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widowControl/>
        <w:suppressLineNumbers w:val="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2022年度</w:t>
      </w:r>
    </w:p>
    <w:p>
      <w:pPr>
        <w:pStyle w:val="8"/>
        <w:keepNext w:val="0"/>
        <w:keepLines w:val="0"/>
        <w:widowControl/>
        <w:suppressLineNumbers w:val="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阿坝州红原县市场监督管理局（汇总）部门决算</w:t>
      </w:r>
    </w:p>
    <w:p>
      <w:pPr>
        <w:pStyle w:val="8"/>
        <w:keepNext w:val="0"/>
        <w:keepLines w:val="0"/>
        <w:widowControl/>
        <w:suppressLineNumbers w:val="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(部门公开范本)</w:t>
      </w:r>
    </w:p>
    <w:p>
      <w:pPr>
        <w:pStyle w:val="8"/>
        <w:keepNext w:val="0"/>
        <w:keepLines w:val="0"/>
        <w:widowControl/>
        <w:suppressLineNumbers w:val="0"/>
        <w:jc w:val="center"/>
      </w:pPr>
      <w:r>
        <w:t> </w:t>
      </w:r>
    </w:p>
    <w:p>
      <w:pPr>
        <w:pStyle w:val="8"/>
        <w:keepNext w:val="0"/>
        <w:keepLines w:val="0"/>
        <w:widowControl/>
        <w:suppressLineNumbers w:val="0"/>
        <w:jc w:val="center"/>
      </w:pPr>
      <w:r>
        <w:t> </w:t>
      </w:r>
    </w:p>
    <w:p>
      <w:pPr>
        <w:pStyle w:val="8"/>
        <w:keepNext w:val="0"/>
        <w:keepLines w:val="0"/>
        <w:widowControl/>
        <w:suppressLineNumbers w:val="0"/>
        <w:jc w:val="center"/>
      </w:pPr>
      <w:r>
        <w:t> </w:t>
      </w:r>
    </w:p>
    <w:p>
      <w:pPr>
        <w:pStyle w:val="8"/>
        <w:keepNext w:val="0"/>
        <w:keepLines w:val="0"/>
        <w:widowControl/>
        <w:suppressLineNumbers w:val="0"/>
        <w:jc w:val="center"/>
      </w:pPr>
      <w:r>
        <w:t> </w:t>
      </w:r>
    </w:p>
    <w:p>
      <w:pPr>
        <w:pStyle w:val="8"/>
        <w:keepNext w:val="0"/>
        <w:keepLines w:val="0"/>
        <w:widowControl/>
        <w:suppressLineNumbers w:val="0"/>
        <w:jc w:val="center"/>
      </w:pPr>
      <w:r>
        <w:t> </w:t>
      </w:r>
    </w:p>
    <w:p>
      <w:pPr>
        <w:pStyle w:val="8"/>
        <w:keepNext w:val="0"/>
        <w:keepLines w:val="0"/>
        <w:widowControl/>
        <w:suppressLineNumbers w:val="0"/>
        <w:jc w:val="center"/>
      </w:pPr>
      <w:r>
        <w:t> </w:t>
      </w:r>
    </w:p>
    <w:p>
      <w:pPr>
        <w:pStyle w:val="8"/>
        <w:keepNext w:val="0"/>
        <w:keepLines w:val="0"/>
        <w:widowControl/>
        <w:suppressLineNumbers w:val="0"/>
        <w:jc w:val="center"/>
      </w:pPr>
      <w:r>
        <w:t> </w:t>
      </w:r>
    </w:p>
    <w:p>
      <w:pPr>
        <w:pStyle w:val="8"/>
        <w:keepNext w:val="0"/>
        <w:keepLines w:val="0"/>
        <w:widowControl/>
        <w:suppressLineNumbers w:val="0"/>
        <w:jc w:val="center"/>
      </w:pPr>
      <w:r>
        <w:t>已经保密审查、内容审定，同意对外公开</w:t>
      </w:r>
    </w:p>
    <w:p>
      <w:pPr>
        <w:pStyle w:val="8"/>
        <w:keepNext w:val="0"/>
        <w:keepLines w:val="0"/>
        <w:widowControl/>
        <w:suppressLineNumbers w:val="0"/>
      </w:pPr>
      <w:r>
        <w:t> </w:t>
      </w:r>
    </w:p>
    <w:p>
      <w:pPr>
        <w:pStyle w:val="8"/>
        <w:keepNext w:val="0"/>
        <w:keepLines w:val="0"/>
        <w:widowControl/>
        <w:suppressLineNumbers w:val="0"/>
      </w:pPr>
      <w:r>
        <w:t> </w:t>
      </w:r>
    </w:p>
    <w:p>
      <w:pPr>
        <w:pStyle w:val="8"/>
        <w:keepNext w:val="0"/>
        <w:keepLines w:val="0"/>
        <w:widowControl/>
        <w:suppressLineNumbers w:val="0"/>
        <w:jc w:val="center"/>
      </w:pPr>
      <w:r>
        <w:t> </w:t>
      </w:r>
    </w:p>
    <w:p>
      <w:pPr>
        <w:pStyle w:val="8"/>
        <w:keepNext w:val="0"/>
        <w:keepLines w:val="0"/>
        <w:widowControl/>
        <w:suppressLineNumbers w:val="0"/>
      </w:pPr>
      <w:r>
        <w:t> </w:t>
      </w:r>
    </w:p>
    <w:p>
      <w:pPr>
        <w:pStyle w:val="8"/>
        <w:keepNext w:val="0"/>
        <w:keepLines w:val="0"/>
        <w:widowControl/>
        <w:suppressLineNumbers w:val="0"/>
        <w:jc w:val="center"/>
      </w:pPr>
      <w:r>
        <w:t> </w:t>
      </w:r>
    </w:p>
    <w:p>
      <w:pPr>
        <w:pStyle w:val="8"/>
        <w:keepNext w:val="0"/>
        <w:keepLines w:val="0"/>
        <w:widowControl/>
        <w:suppressLineNumbers w:val="0"/>
        <w:jc w:val="center"/>
      </w:pPr>
      <w:r>
        <w:t> </w:t>
      </w:r>
    </w:p>
    <w:p>
      <w:pPr>
        <w:pStyle w:val="8"/>
        <w:keepNext w:val="0"/>
        <w:keepLines w:val="0"/>
        <w:widowControl/>
        <w:suppressLineNumbers w:val="0"/>
        <w:jc w:val="center"/>
      </w:pPr>
      <w:r>
        <w:t> </w:t>
      </w:r>
    </w:p>
    <w:p>
      <w:pPr>
        <w:pStyle w:val="8"/>
        <w:keepNext w:val="0"/>
        <w:keepLines w:val="0"/>
        <w:widowControl/>
        <w:suppressLineNumbers w:val="0"/>
        <w:jc w:val="center"/>
        <w:rPr>
          <w:rFonts w:hint="eastAsia" w:eastAsiaTheme="minorEastAsia"/>
          <w:lang w:eastAsia="zh-CN"/>
        </w:rPr>
      </w:pPr>
    </w:p>
    <w:p>
      <w:pPr>
        <w:pStyle w:val="8"/>
        <w:keepNext w:val="0"/>
        <w:keepLines w:val="0"/>
        <w:pageBreakBefore w:val="0"/>
        <w:widowControl/>
        <w:suppressLineNumbers w:val="0"/>
        <w:kinsoku/>
        <w:wordWrap/>
        <w:overflowPunct/>
        <w:topLinePunct w:val="0"/>
        <w:autoSpaceDE/>
        <w:autoSpaceDN/>
        <w:bidi w:val="0"/>
        <w:adjustRightInd/>
        <w:snapToGrid/>
        <w:spacing w:line="570" w:lineRule="exact"/>
        <w:jc w:val="center"/>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目录</w:t>
      </w:r>
      <w:bookmarkStart w:id="3" w:name="_GoBack"/>
      <w:bookmarkEnd w:id="3"/>
    </w:p>
    <w:p>
      <w:pPr>
        <w:pStyle w:val="8"/>
        <w:keepNext w:val="0"/>
        <w:keepLines w:val="0"/>
        <w:pageBreakBefore w:val="0"/>
        <w:widowControl/>
        <w:suppressLineNumbers w:val="0"/>
        <w:kinsoku/>
        <w:wordWrap/>
        <w:overflowPunct/>
        <w:topLinePunct w:val="0"/>
        <w:autoSpaceDE/>
        <w:autoSpaceDN/>
        <w:bidi w:val="0"/>
        <w:adjustRightInd/>
        <w:snapToGrid/>
        <w:spacing w:line="570" w:lineRule="exact"/>
        <w:jc w:val="center"/>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jc w:val="center"/>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公开时间：2023年</w:t>
      </w:r>
      <w:r>
        <w:rPr>
          <w:rFonts w:hint="eastAsia" w:ascii="方正仿宋_GBK" w:hAnsi="方正仿宋_GBK" w:eastAsia="方正仿宋_GBK" w:cs="方正仿宋_GBK"/>
          <w:sz w:val="32"/>
          <w:szCs w:val="32"/>
          <w:lang w:val="en-US" w:eastAsia="zh-CN"/>
        </w:rPr>
        <w:t>10</w:t>
      </w:r>
      <w:r>
        <w:rPr>
          <w:rFonts w:hint="eastAsia" w:ascii="方正仿宋_GBK" w:hAnsi="方正仿宋_GBK" w:eastAsia="方正仿宋_GBK" w:cs="方正仿宋_GBK"/>
          <w:sz w:val="32"/>
          <w:szCs w:val="32"/>
        </w:rPr>
        <w:t>月2</w:t>
      </w:r>
      <w:r>
        <w:rPr>
          <w:rFonts w:hint="eastAsia" w:ascii="方正仿宋_GBK" w:hAnsi="方正仿宋_GBK" w:eastAsia="方正仿宋_GBK" w:cs="方正仿宋_GBK"/>
          <w:sz w:val="32"/>
          <w:szCs w:val="32"/>
          <w:lang w:val="en-US" w:eastAsia="zh-CN"/>
        </w:rPr>
        <w:t>7</w:t>
      </w:r>
      <w:r>
        <w:rPr>
          <w:rFonts w:hint="eastAsia" w:ascii="方正仿宋_GBK" w:hAnsi="方正仿宋_GBK" w:eastAsia="方正仿宋_GBK" w:cs="方正仿宋_GBK"/>
          <w:sz w:val="32"/>
          <w:szCs w:val="32"/>
        </w:rPr>
        <w:t>日</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第一部分 部门概况</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ind w:left="42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一、基本职能及主要工作</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ind w:left="42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二、机构设置</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第二部分 2022年度部门决算情况说明</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ind w:left="42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一、收入支出决算总体情况说明</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ind w:left="42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二、收入决算情况说明</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ind w:left="42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三、支出决算情况说明</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ind w:left="42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四、财政拨款收入支出决算总体情况说明</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ind w:left="42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五、一般公共预算财政拨款支出决算情况说明</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ind w:left="42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六、一般公共预算财政拨款基本支出决算情况说明</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ind w:left="42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七、财政拨款“三公”经费支出决算情况说明</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ind w:left="42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八、政府性基金预算支出决算情况说明</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九、国有资本经营预算支出决算情况说明</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十、其他重要事项的情况说明 </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第三部分 名词解释</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第四部分 附件</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第五部分 附表</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ind w:left="42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一、收入支出决算总表</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ind w:left="42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二、收入决算表</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ind w:left="42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三、支出决算表</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ind w:left="42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四、财政拨款收入支出决算总表</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ind w:left="42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五、财政拨款支出决算明细表</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ind w:left="42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六、一般公共预算财政拨款支出决算表</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ind w:left="42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七、一般公共预算财政拨款支出决算明细表</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ind w:left="42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八、一般公共预算财政拨款基本支出决算表</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ind w:left="42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九、一般公共预算财政拨款项目支出决算表</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ind w:left="42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十、政府性基金预算财政拨款收入支出决算表</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ind w:left="42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十一、国有资本经营预算财政拨款收入支出决算表</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ind w:left="42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十二、国有资本经营预算财政拨款支出决算表</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ind w:left="42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十三、财政拨款“三公”经费支出决算表</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jc w:val="left"/>
        <w:textAlignment w:val="auto"/>
      </w:pPr>
      <w:r>
        <w:rPr>
          <w:rFonts w:hint="eastAsia" w:ascii="方正仿宋_GBK" w:hAnsi="方正仿宋_GBK" w:eastAsia="方正仿宋_GBK" w:cs="方正仿宋_GBK"/>
          <w:sz w:val="32"/>
          <w:szCs w:val="32"/>
        </w:rPr>
        <w:t>(注：请部门根据实际注明页码)</w:t>
      </w:r>
    </w:p>
    <w:p>
      <w:pPr>
        <w:pStyle w:val="4"/>
        <w:keepNext w:val="0"/>
        <w:keepLines w:val="0"/>
        <w:widowControl/>
        <w:suppressLineNumbers w:val="0"/>
        <w:jc w:val="center"/>
      </w:pPr>
      <w:r>
        <w:t>第一部分 部门概况</w:t>
      </w:r>
    </w:p>
    <w:p>
      <w:pPr>
        <w:pStyle w:val="5"/>
        <w:keepNext w:val="0"/>
        <w:keepLines w:val="0"/>
        <w:widowControl/>
        <w:numPr>
          <w:ilvl w:val="0"/>
          <w:numId w:val="1"/>
        </w:numPr>
        <w:suppressLineNumbers w:val="0"/>
      </w:pPr>
      <w:r>
        <w:t>基本职能及主要工作</w:t>
      </w:r>
    </w:p>
    <w:p>
      <w:pPr>
        <w:pStyle w:val="5"/>
        <w:keepNext w:val="0"/>
        <w:keepLines w:val="0"/>
        <w:widowControl/>
        <w:numPr>
          <w:ilvl w:val="0"/>
          <w:numId w:val="0"/>
        </w:numPr>
        <w:suppressLineNumbers w:val="0"/>
        <w:outlineLvl w:val="1"/>
        <w:rPr>
          <w:rFonts w:hint="eastAsia" w:ascii="楷体_GB2312" w:hAnsi="楷体_GB2312" w:eastAsia="楷体_GB2312" w:cs="楷体_GB2312"/>
          <w:b/>
          <w:bCs w:val="0"/>
          <w:color w:val="000000"/>
          <w:sz w:val="32"/>
          <w:szCs w:val="32"/>
          <w:lang w:eastAsia="zh-CN"/>
        </w:rPr>
      </w:pPr>
      <w:r>
        <w:rPr>
          <w:rFonts w:hint="eastAsia" w:ascii="楷体_GB2312" w:hAnsi="楷体_GB2312" w:eastAsia="楷体_GB2312" w:cs="楷体_GB2312"/>
          <w:b/>
          <w:bCs w:val="0"/>
          <w:color w:val="000000"/>
          <w:sz w:val="32"/>
          <w:szCs w:val="32"/>
          <w:lang w:eastAsia="zh-CN"/>
        </w:rPr>
        <w:t>一、职能简介</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1.产权战略，拟订并组织实施全县食品安全等规划，规范和维护市场秩序，营造诚实守信、公平竞争的市场环境。</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负责全县市场主体统一登记注册。负责全县各类企业、农民专业合作社和从事经营活动的单位、个体工商户以及外国（地区）企业、常驻代表机构等市场主体的登记注册和监督管理工作。建立市场主体信息公示和共享机制，依法公示和共享有关信息，加强信用监管，推动市场主体信用体系建设。</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3.负责组织和指导全县市场监督管理综合执法工作。负责全县市场监管综合执法队伍整合和建设，推动实行统一的市场监管。组织查处和督办大案要案、疑难案件、跨区域案件。规范市场监督管理行政执法行为。</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4.负责全县反垄断统一执法。统筹推进竞争政策实施，按照权限指导实施公平竞争审查制度。依法依授权对经营者集中行为进行反垄断审查，负责垄断协议、滥用市场支配地位和滥用行政权力排除、限制竞争等反垄断执法工作。指导在县企业在国外的反垄断应诉工作。</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5.负责监督管理全县市场秩序。依法监督管理市场交易、网络商品交易及有关服务的行为。组织指导查处价格收费违法违规、不正当竞争、违法直销、传销、侵犯商标专利知识产权和制售假冒伪劣行为。指导广告业发展，监督管理广告活动。依法查处无照生产经营和相关无证生产经营行为。依法开展消费者权益保护工作。建设12315行政执法体系。指导县保护消费者权益委员会开展工作。</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6.负责全县宏观质量管理。组织实施质量发展的制度措施。统筹全县质量基础设施建设与应用。会同有关部门组织实施重大工程设备质量监理制度，组织产品质量事故调查，贯彻实施缺陷产品召回制度，监督管理产品防伪工作。</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7.负责全县产品质量安全监督管理。负责产品质量监督抽查和风险监控工作，组织实施质量分级制度、质量安全追溯制度。在权限和职责范围内负责工业产品生产许可管理。负责纤维质量监督工作。</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8.负责全县特种设备安全监督管理。综合管理特种设备安全监察、监督工作，监督检查高耗能特种设备节能标准和锅炉产品环境保护标准的执行情况。</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9.负责全县食品安全监督管理综合协调。统筹指导全县食品安全工作。负责食品安全应急体系建设，组织指导食品安全事件应急处置和调查处理工作。建立健全食品安全重要信息直报制度。承担县食品安全委员会日常工作。</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10.负责全县食品安全监督管理。建立覆盖食品生产、流通、消费全过程的监督检查制度和隐患排查治理机制并组织实施，防范区域性、系统性食品安全风险。推动建立食品生产经营者落实主体责任机制，健全食品安全追溯体系。指导督促食品生产经营企业的安全生产工作，组织开展食品安全监督抽检、风险监测、核查处置和风险预警、风险交流工作。组织实施特殊食品生产、流通、使用的监督管理。</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11.负责全县药品（含中药、民族药，下同）、医疗器械和化妆品安全监督管理。贯彻执行国家有关药品、医疗器械和化妆品监督管理的方针政策和法律法规。贯彻落实国家鼓励药品、医疗器械和化妆品新技术新产品的管理与服务政策。</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12.负责全县药品、医疗器械和化妆品标准执行管理。监督实施全县药品、医疗器械、化妆品标准和分类管理制度。配合实施国家基本药物制度。</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13.负责全县药品、医疗器械和化妆品质量管理。依法依授权监督实施药品、医疗器械生产、经营、使用质量管理规范。</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14.负责全县药品、医疗器械和化妆品监督管理。负责药品、医疗器械、化妆品日常监督检查。依法依授权查处药品、医疗器械和化妆品生产、销售、使用的违法行为。依法承担药品、医疗器械和化妆品安全应急管理和投诉举报处置工作。</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15.负责全县药品、医疗器械和化妆品风险管理。组织开展药品不良反应、医疗器械不良事件和化妆品不良反应的监测、评价和处置工作。依法承担药品、医疗器械和化妆品安全应急管理和投诉举报处置工作。</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16.依法依授权承担我县执业药师注册管理工作，贯彻执行执业药师其他相关管理制度。</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17.负责统一管理全县计量工作。推行法定计量单位，执行国家计量制度，管理计量器具及量值传递和比对工作。规范、监督商品量和计量行为。</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18.负责统一管理全县标准化工作。依法承担地方标准立项、编号和发布等工作，协调指导地方标准、团体标准制定工作，依法对标准制定和实施情况开展监督。</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19.负责统一管理全县检验检测工作。规范检验检测市场，完善检验检测体系，指导协调检验检测行业发展。</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20.负责统一管理全县认证认可工作。监督管理认证认可和合格评定工作。</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21.负责市场监督管理科技和信息化建设、新闻宣传。</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22.负责全县知识产权监督管理。贯彻落实国家、省、州知识产权战略、法规，拟订全县知识产权规划，负责知识产权的保护，负责组织实施商标、专利执法工作。</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23.负责促进全县民营经济发展。负责全县民营经济发展工作的任务制定、调查研究、统筹协调、督促落实及民营企业合法权益维护。在县委组织部指导下，指导全县市场监督管理部门配合党委组织部门开展小微企业、个体工商户、专业市场的党建工作。</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24.负责职责范围内的安全生产和职业健康、生态环境保护、应急联动、审批服务便民化等工作。</w:t>
      </w:r>
    </w:p>
    <w:p>
      <w:pPr>
        <w:numPr>
          <w:ilvl w:val="0"/>
          <w:numId w:val="0"/>
        </w:numPr>
        <w:spacing w:line="600" w:lineRule="exact"/>
        <w:ind w:firstLine="640" w:firstLineChars="200"/>
        <w:rPr>
          <w:rFonts w:hint="eastAsia" w:ascii="黑体" w:hAnsi="黑体" w:eastAsia="黑体" w:cs="黑体"/>
          <w:sz w:val="44"/>
          <w:szCs w:val="44"/>
        </w:rPr>
      </w:pPr>
      <w:r>
        <w:rPr>
          <w:rFonts w:hint="eastAsia" w:ascii="仿宋_GB2312" w:hAnsi="仿宋_GB2312" w:eastAsia="仿宋_GB2312" w:cs="仿宋_GB2312"/>
          <w:color w:val="000000"/>
          <w:sz w:val="32"/>
          <w:szCs w:val="32"/>
          <w:lang w:val="en-US" w:eastAsia="zh-CN"/>
        </w:rPr>
        <w:t>25.完成县委、县政府交办的其他任务。</w:t>
      </w:r>
    </w:p>
    <w:p>
      <w:pPr>
        <w:pStyle w:val="8"/>
        <w:keepNext w:val="0"/>
        <w:keepLines w:val="0"/>
        <w:widowControl/>
        <w:suppressLineNumbers w:val="0"/>
        <w:rPr>
          <w:rFonts w:hint="eastAsia" w:ascii="黑体" w:hAnsi="黑体" w:eastAsia="黑体" w:cs="黑体"/>
          <w:sz w:val="44"/>
          <w:szCs w:val="44"/>
        </w:rPr>
      </w:pPr>
      <w:r>
        <w:rPr>
          <w:rFonts w:hint="eastAsia" w:ascii="黑体" w:hAnsi="黑体" w:eastAsia="黑体" w:cs="黑体"/>
          <w:sz w:val="44"/>
          <w:szCs w:val="44"/>
        </w:rPr>
        <w:t>（二）2022年重点工作完成情况。</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仿宋_GB2312" w:hAnsi="仿宋_GB2312" w:eastAsia="仿宋_GB2312" w:cs="仿宋_GB2312"/>
          <w:color w:val="auto"/>
          <w:sz w:val="32"/>
          <w:szCs w:val="32"/>
          <w:lang w:val="en-US" w:eastAsia="zh-CN"/>
        </w:rPr>
      </w:pPr>
      <w:r>
        <w:rPr>
          <w:rFonts w:hint="eastAsia" w:ascii="楷体_GB2312" w:hAnsi="楷体_GB2312" w:eastAsia="楷体_GB2312" w:cs="楷体_GB2312"/>
          <w:b/>
          <w:bCs/>
          <w:sz w:val="32"/>
          <w:szCs w:val="32"/>
          <w:lang w:val="en-US" w:eastAsia="zh-CN"/>
        </w:rPr>
        <w:t>（一）优化环境，服务发展，激发市场主体健康发展活力。</w:t>
      </w:r>
      <w:r>
        <w:rPr>
          <w:rFonts w:hint="eastAsia" w:ascii="楷体_GB2312" w:hAnsi="楷体_GB2312" w:eastAsia="楷体_GB2312" w:cs="楷体_GB2312"/>
          <w:b/>
          <w:bCs/>
          <w:color w:val="auto"/>
          <w:sz w:val="32"/>
          <w:szCs w:val="32"/>
          <w:lang w:val="en-US" w:eastAsia="zh-CN"/>
        </w:rPr>
        <w:t>一是</w:t>
      </w:r>
      <w:r>
        <w:rPr>
          <w:rFonts w:hint="eastAsia" w:ascii="楷体_GB2312" w:hAnsi="楷体_GB2312" w:eastAsia="楷体_GB2312" w:cs="楷体_GB2312"/>
          <w:b/>
          <w:bCs/>
          <w:color w:val="auto"/>
          <w:sz w:val="32"/>
          <w:szCs w:val="32"/>
          <w:lang w:eastAsia="zh-CN"/>
        </w:rPr>
        <w:t>强化“互联网+监管“思维，提升市场监管效能</w:t>
      </w:r>
      <w:r>
        <w:rPr>
          <w:rFonts w:hint="eastAsia" w:ascii="楷体_GB2312" w:hAnsi="楷体_GB2312" w:eastAsia="楷体_GB2312" w:cs="楷体_GB2312"/>
          <w:b/>
          <w:bCs/>
          <w:sz w:val="32"/>
          <w:szCs w:val="32"/>
          <w:lang w:val="en-US" w:eastAsia="zh-CN"/>
        </w:rPr>
        <w:t>。</w:t>
      </w:r>
      <w:r>
        <w:rPr>
          <w:rFonts w:hint="default" w:ascii="仿宋_GB2312" w:hAnsi="仿宋_GB2312" w:eastAsia="仿宋_GB2312" w:cs="仿宋_GB2312"/>
          <w:color w:val="auto"/>
          <w:sz w:val="32"/>
          <w:szCs w:val="32"/>
          <w:lang w:eastAsia="zh-CN"/>
        </w:rPr>
        <w:t>围绕深化“放管服”改革和推动政府职能转变，持续创新监管方式方法，探索构建“互联网+监管”新模式，指导全县”互联网+监管“工作，将检查实施清单转化为“双随机、一公开”的抽查事项、制定了抽查计划、开展了双随机抽查工作任务，并通过一体化平台录入行政处罚、行政强制和行政其他等三类监管行为信息，有效提升了市场监管服务效能，优化了营商环境。</w:t>
      </w:r>
      <w:r>
        <w:rPr>
          <w:rFonts w:hint="eastAsia" w:ascii="仿宋_GB2312" w:hAnsi="仿宋_GB2312" w:eastAsia="仿宋_GB2312" w:cs="仿宋_GB2312"/>
          <w:color w:val="auto"/>
          <w:sz w:val="32"/>
          <w:szCs w:val="32"/>
          <w:lang w:eastAsia="zh-CN"/>
        </w:rPr>
        <w:t>截至</w:t>
      </w:r>
      <w:r>
        <w:rPr>
          <w:rFonts w:hint="default" w:ascii="仿宋_GB2312" w:hAnsi="仿宋_GB2312" w:eastAsia="仿宋_GB2312" w:cs="仿宋_GB2312"/>
          <w:color w:val="auto"/>
          <w:sz w:val="32"/>
          <w:szCs w:val="32"/>
          <w:lang w:eastAsia="zh-CN"/>
        </w:rPr>
        <w:t>目前，全县共录入各类监管行为信息654条</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lang w:eastAsia="zh-CN"/>
        </w:rPr>
        <w:t>共认领监管事项总数11</w:t>
      </w:r>
      <w:r>
        <w:rPr>
          <w:rFonts w:hint="eastAsia" w:ascii="仿宋_GB2312" w:hAnsi="仿宋_GB2312" w:eastAsia="仿宋_GB2312" w:cs="仿宋_GB2312"/>
          <w:color w:val="auto"/>
          <w:sz w:val="32"/>
          <w:szCs w:val="32"/>
          <w:lang w:val="en-US" w:eastAsia="zh-CN"/>
        </w:rPr>
        <w:t>46</w:t>
      </w:r>
      <w:r>
        <w:rPr>
          <w:rFonts w:hint="default" w:ascii="仿宋_GB2312" w:hAnsi="仿宋_GB2312" w:eastAsia="仿宋_GB2312" w:cs="仿宋_GB2312"/>
          <w:color w:val="auto"/>
          <w:sz w:val="32"/>
          <w:szCs w:val="32"/>
          <w:lang w:eastAsia="zh-CN"/>
        </w:rPr>
        <w:t>项，完成检查实施清单编制</w:t>
      </w:r>
      <w:r>
        <w:rPr>
          <w:rFonts w:hint="eastAsia" w:ascii="仿宋_GB2312" w:hAnsi="仿宋_GB2312" w:eastAsia="仿宋_GB2312" w:cs="仿宋_GB2312"/>
          <w:color w:val="auto"/>
          <w:sz w:val="32"/>
          <w:szCs w:val="32"/>
          <w:lang w:val="en-US" w:eastAsia="zh-CN"/>
        </w:rPr>
        <w:t>1146</w:t>
      </w:r>
      <w:r>
        <w:rPr>
          <w:rFonts w:hint="default" w:ascii="仿宋_GB2312" w:hAnsi="仿宋_GB2312" w:eastAsia="仿宋_GB2312" w:cs="仿宋_GB2312"/>
          <w:color w:val="auto"/>
          <w:sz w:val="32"/>
          <w:szCs w:val="32"/>
          <w:lang w:eastAsia="zh-CN"/>
        </w:rPr>
        <w:t>条，检查实施清单完成率100%。</w:t>
      </w:r>
      <w:r>
        <w:rPr>
          <w:rFonts w:hint="default" w:ascii="仿宋_GB2312" w:hAnsi="仿宋_GB2312" w:eastAsia="仿宋_GB2312" w:cs="仿宋_GB2312"/>
          <w:b/>
          <w:bCs/>
          <w:color w:val="auto"/>
          <w:sz w:val="32"/>
          <w:szCs w:val="32"/>
          <w:lang w:val="en-US" w:eastAsia="zh-CN"/>
        </w:rPr>
        <w:t>二是加强注册登记许可工作。</w:t>
      </w:r>
      <w:r>
        <w:rPr>
          <w:rFonts w:hint="eastAsia" w:ascii="仿宋_GB2312" w:hAnsi="仿宋_GB2312" w:eastAsia="仿宋_GB2312" w:cs="仿宋_GB2312"/>
          <w:color w:val="auto"/>
          <w:sz w:val="32"/>
          <w:szCs w:val="32"/>
          <w:lang w:eastAsia="zh-CN"/>
        </w:rPr>
        <w:t>红原县个体工商户共计3625户，注册资本共计344745.11万元；在册各类企业共计 452户，注册资本共计290727.30万元。第三季度新登记注册个体工商户82户，新增注册资本996万元。新登记注册各类企业共20户，新增注册资本  4613.00万元。农民专业合作社1户，注册资本200万元。全程电子化登记注册445户。</w:t>
      </w:r>
      <w:r>
        <w:rPr>
          <w:rFonts w:hint="eastAsia" w:ascii="仿宋_GB2312" w:hAnsi="仿宋_GB2312" w:eastAsia="仿宋_GB2312" w:cs="仿宋_GB2312"/>
          <w:b/>
          <w:bCs/>
          <w:color w:val="auto"/>
          <w:sz w:val="32"/>
          <w:szCs w:val="32"/>
          <w:lang w:val="en-US" w:eastAsia="zh-CN"/>
        </w:rPr>
        <w:t>三是市场主体年报工作有效推进。</w:t>
      </w:r>
      <w:r>
        <w:rPr>
          <w:rFonts w:hint="eastAsia" w:ascii="仿宋_GB2312" w:hAnsi="仿宋_GB2312" w:eastAsia="仿宋_GB2312" w:cs="仿宋_GB2312"/>
          <w:color w:val="auto"/>
          <w:kern w:val="0"/>
          <w:sz w:val="32"/>
          <w:szCs w:val="32"/>
          <w:lang w:val="en-US" w:eastAsia="zh-CN"/>
        </w:rPr>
        <w:t>积极稳妥推进市场主体年报公</w:t>
      </w:r>
      <w:r>
        <w:rPr>
          <w:rFonts w:hint="default" w:ascii="仿宋_GB2312" w:hAnsi="仿宋_GB2312" w:eastAsia="仿宋_GB2312" w:cs="仿宋_GB2312"/>
          <w:color w:val="auto"/>
          <w:kern w:val="0"/>
          <w:sz w:val="32"/>
          <w:szCs w:val="32"/>
          <w:lang w:val="en-US" w:eastAsia="zh-CN"/>
        </w:rPr>
        <w:t>示工作，采取灵活多样的宣传方式引导市场主体自主年报，提高年报知晓率、准确率，不断增强市场主体的责任意识，切实提升市场主体履行年报公示义务的主动性、自觉性。</w:t>
      </w:r>
      <w:r>
        <w:rPr>
          <w:rFonts w:hint="eastAsia" w:ascii="仿宋_GB2312" w:hAnsi="仿宋_GB2312" w:eastAsia="仿宋_GB2312" w:cs="仿宋_GB2312"/>
          <w:color w:val="auto"/>
          <w:kern w:val="0"/>
          <w:sz w:val="32"/>
          <w:szCs w:val="32"/>
        </w:rPr>
        <w:t>电话通知454余人次，现场指导市场主体进行网上年报564余人次，2021年</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企业年报291户，年报率82.2%，农民专业合作社年报86户，年报率85.15%，个体工商户年报2362户，年报率99.44%</w:t>
      </w:r>
      <w:r>
        <w:rPr>
          <w:rFonts w:hint="eastAsia" w:ascii="仿宋_GB2312" w:hAnsi="仿宋_GB2312" w:eastAsia="仿宋_GB2312" w:cs="仿宋_GB2312"/>
          <w:color w:val="auto"/>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4" w:leftChars="-2" w:firstLine="643" w:firstLineChars="200"/>
        <w:textAlignment w:val="auto"/>
        <w:rPr>
          <w:rFonts w:hint="default" w:ascii="Times New Roman" w:hAnsi="Times New Roman" w:eastAsia="方正仿宋_GBK" w:cs="Times New Roman"/>
          <w:i w:val="0"/>
          <w:iCs w:val="0"/>
          <w:caps w:val="0"/>
          <w:color w:val="auto"/>
          <w:spacing w:val="0"/>
          <w:sz w:val="32"/>
          <w:szCs w:val="32"/>
          <w:shd w:val="clear" w:fill="FFFFFF"/>
          <w:lang w:val="en-US" w:eastAsia="zh-CN"/>
        </w:rPr>
      </w:pPr>
      <w:r>
        <w:rPr>
          <w:rFonts w:hint="eastAsia" w:ascii="楷体_GB2312" w:hAnsi="楷体_GB2312" w:eastAsia="楷体_GB2312" w:cs="楷体_GB2312"/>
          <w:b/>
          <w:bCs/>
          <w:sz w:val="32"/>
          <w:szCs w:val="32"/>
          <w:lang w:val="en-US" w:eastAsia="zh-CN"/>
        </w:rPr>
        <w:t>（二）加大宣传，维护权益，打造良好消费环境。</w:t>
      </w:r>
      <w:r>
        <w:rPr>
          <w:rFonts w:hint="default" w:ascii="Times New Roman" w:hAnsi="Times New Roman" w:eastAsia="方正仿宋_GBK" w:cs="Times New Roman"/>
          <w:b/>
          <w:bCs/>
          <w:sz w:val="32"/>
          <w:szCs w:val="32"/>
          <w:lang w:val="en-US" w:eastAsia="zh-CN"/>
        </w:rPr>
        <w:t>一是狠抓消费维权宣传。</w:t>
      </w:r>
      <w:r>
        <w:rPr>
          <w:rFonts w:hint="eastAsia" w:ascii="仿宋_GB2312" w:hAnsi="仿宋_GB2312" w:eastAsia="仿宋_GB2312" w:cs="仿宋_GB2312"/>
          <w:color w:val="auto"/>
          <w:sz w:val="32"/>
          <w:szCs w:val="32"/>
          <w:lang w:val="en-US" w:eastAsia="zh-CN"/>
        </w:rPr>
        <w:t>认真</w:t>
      </w:r>
      <w:r>
        <w:rPr>
          <w:rFonts w:hint="default" w:ascii="仿宋_GB2312" w:hAnsi="仿宋_GB2312" w:eastAsia="仿宋_GB2312" w:cs="仿宋_GB2312"/>
          <w:color w:val="auto"/>
          <w:sz w:val="32"/>
          <w:szCs w:val="32"/>
          <w:lang w:eastAsia="zh-CN"/>
        </w:rPr>
        <w:t>开展3.1</w:t>
      </w:r>
      <w:r>
        <w:rPr>
          <w:rFonts w:hint="default" w:ascii="仿宋_GB2312" w:hAnsi="仿宋_GB2312" w:eastAsia="仿宋_GB2312" w:cs="仿宋_GB2312"/>
          <w:color w:val="auto"/>
          <w:sz w:val="32"/>
          <w:szCs w:val="32"/>
          <w:lang w:val="en-US" w:eastAsia="zh-CN"/>
        </w:rPr>
        <w:t>5</w:t>
      </w:r>
      <w:r>
        <w:rPr>
          <w:rFonts w:hint="default" w:ascii="仿宋_GB2312" w:hAnsi="仿宋_GB2312" w:eastAsia="仿宋_GB2312" w:cs="仿宋_GB2312"/>
          <w:color w:val="auto"/>
          <w:sz w:val="32"/>
          <w:szCs w:val="32"/>
          <w:lang w:eastAsia="zh-CN"/>
        </w:rPr>
        <w:t>消费者</w:t>
      </w:r>
      <w:r>
        <w:rPr>
          <w:rFonts w:hint="eastAsia" w:ascii="仿宋_GB2312" w:hAnsi="仿宋_GB2312" w:eastAsia="仿宋_GB2312" w:cs="仿宋_GB2312"/>
          <w:color w:val="auto"/>
          <w:sz w:val="32"/>
          <w:szCs w:val="32"/>
          <w:lang w:eastAsia="zh-CN"/>
        </w:rPr>
        <w:t>维权活动，</w:t>
      </w:r>
      <w:r>
        <w:rPr>
          <w:rFonts w:hint="default" w:ascii="仿宋_GB2312" w:hAnsi="仿宋_GB2312" w:eastAsia="仿宋_GB2312" w:cs="仿宋_GB2312"/>
          <w:color w:val="auto"/>
          <w:sz w:val="32"/>
          <w:szCs w:val="32"/>
        </w:rPr>
        <w:t>5.20国际计量日、5.25国际护肤日等宣传活动，采取发放宣传资料、消费维权咨询等方式，积极营造消费维权良好氛围。</w:t>
      </w:r>
      <w:r>
        <w:rPr>
          <w:rFonts w:hint="eastAsia" w:ascii="仿宋_GB2312" w:hAnsi="仿宋_GB2312" w:eastAsia="仿宋_GB2312" w:cs="仿宋_GB2312"/>
          <w:color w:val="auto"/>
          <w:sz w:val="32"/>
          <w:szCs w:val="32"/>
          <w:lang w:val="en-US" w:eastAsia="zh-CN"/>
        </w:rPr>
        <w:t>共</w:t>
      </w:r>
      <w:r>
        <w:rPr>
          <w:rFonts w:hint="default" w:ascii="仿宋_GB2312" w:hAnsi="仿宋_GB2312" w:eastAsia="仿宋_GB2312" w:cs="仿宋_GB2312"/>
          <w:color w:val="auto"/>
          <w:sz w:val="32"/>
          <w:szCs w:val="32"/>
          <w:lang w:eastAsia="zh-CN"/>
        </w:rPr>
        <w:t>发放宣传资料</w:t>
      </w:r>
      <w:r>
        <w:rPr>
          <w:rFonts w:hint="eastAsia" w:ascii="仿宋_GB2312" w:hAnsi="仿宋_GB2312" w:eastAsia="仿宋_GB2312" w:cs="仿宋_GB2312"/>
          <w:color w:val="auto"/>
          <w:sz w:val="32"/>
          <w:szCs w:val="32"/>
          <w:lang w:val="en-US" w:eastAsia="zh-CN"/>
        </w:rPr>
        <w:t>2万</w:t>
      </w:r>
      <w:r>
        <w:rPr>
          <w:rFonts w:hint="default" w:ascii="仿宋_GB2312" w:hAnsi="仿宋_GB2312" w:eastAsia="仿宋_GB2312" w:cs="仿宋_GB2312"/>
          <w:color w:val="auto"/>
          <w:sz w:val="32"/>
          <w:szCs w:val="32"/>
          <w:lang w:eastAsia="zh-CN"/>
        </w:rPr>
        <w:t>余份，悬挂横幅</w:t>
      </w:r>
      <w:r>
        <w:rPr>
          <w:rFonts w:hint="eastAsia" w:ascii="仿宋_GB2312" w:hAnsi="仿宋_GB2312" w:eastAsia="仿宋_GB2312" w:cs="仿宋_GB2312"/>
          <w:color w:val="auto"/>
          <w:sz w:val="32"/>
          <w:szCs w:val="32"/>
          <w:lang w:val="en-US" w:eastAsia="zh-CN"/>
        </w:rPr>
        <w:t>20</w:t>
      </w:r>
      <w:r>
        <w:rPr>
          <w:rFonts w:hint="default" w:ascii="仿宋_GB2312" w:hAnsi="仿宋_GB2312" w:eastAsia="仿宋_GB2312" w:cs="仿宋_GB2312"/>
          <w:color w:val="auto"/>
          <w:sz w:val="32"/>
          <w:szCs w:val="32"/>
          <w:lang w:eastAsia="zh-CN"/>
        </w:rPr>
        <w:t>余条，展板</w:t>
      </w:r>
      <w:r>
        <w:rPr>
          <w:rFonts w:hint="eastAsia" w:ascii="仿宋_GB2312" w:hAnsi="仿宋_GB2312" w:eastAsia="仿宋_GB2312" w:cs="仿宋_GB2312"/>
          <w:color w:val="auto"/>
          <w:sz w:val="32"/>
          <w:szCs w:val="32"/>
          <w:lang w:val="en-US" w:eastAsia="zh-CN"/>
        </w:rPr>
        <w:t>25</w:t>
      </w:r>
      <w:r>
        <w:rPr>
          <w:rFonts w:hint="default" w:ascii="仿宋_GB2312" w:hAnsi="仿宋_GB2312" w:eastAsia="仿宋_GB2312" w:cs="仿宋_GB2312"/>
          <w:color w:val="auto"/>
          <w:sz w:val="32"/>
          <w:szCs w:val="32"/>
          <w:lang w:eastAsia="zh-CN"/>
        </w:rPr>
        <w:t>余块，公开集中销毁假冒伪劣风干肉</w:t>
      </w:r>
      <w:r>
        <w:rPr>
          <w:rFonts w:hint="default" w:ascii="仿宋_GB2312" w:hAnsi="仿宋_GB2312" w:eastAsia="仿宋_GB2312" w:cs="仿宋_GB2312"/>
          <w:color w:val="auto"/>
          <w:sz w:val="32"/>
          <w:szCs w:val="32"/>
          <w:lang w:val="en-US" w:eastAsia="zh-CN"/>
        </w:rPr>
        <w:t>1000公斤</w:t>
      </w:r>
      <w:r>
        <w:rPr>
          <w:rFonts w:hint="default" w:ascii="仿宋_GB2312" w:hAnsi="仿宋_GB2312" w:eastAsia="仿宋_GB2312" w:cs="仿宋_GB2312"/>
          <w:color w:val="auto"/>
          <w:sz w:val="32"/>
          <w:szCs w:val="32"/>
          <w:lang w:eastAsia="zh-CN"/>
        </w:rPr>
        <w:t>，切实提升了群众消费</w:t>
      </w:r>
      <w:r>
        <w:rPr>
          <w:rFonts w:hint="default" w:ascii="仿宋_GB2312" w:hAnsi="仿宋_GB2312" w:eastAsia="仿宋_GB2312" w:cs="仿宋_GB2312"/>
          <w:color w:val="auto"/>
          <w:sz w:val="32"/>
          <w:szCs w:val="32"/>
        </w:rPr>
        <w:t>维权意识;</w:t>
      </w:r>
      <w:r>
        <w:rPr>
          <w:rFonts w:hint="default" w:ascii="Times New Roman" w:hAnsi="Times New Roman" w:eastAsia="方正仿宋_GBK" w:cs="Times New Roman"/>
          <w:b/>
          <w:bCs/>
          <w:sz w:val="32"/>
          <w:szCs w:val="32"/>
        </w:rPr>
        <w:t>二是推进放心消费行动。</w:t>
      </w:r>
      <w:r>
        <w:rPr>
          <w:rFonts w:hint="default" w:ascii="Times New Roman" w:hAnsi="Times New Roman" w:eastAsia="方正仿宋_GBK" w:cs="Times New Roman"/>
          <w:kern w:val="0"/>
          <w:sz w:val="32"/>
          <w:szCs w:val="32"/>
          <w:lang w:val="en-US" w:eastAsia="zh-CN" w:bidi="ar"/>
        </w:rPr>
        <w:t>不断</w:t>
      </w:r>
      <w:r>
        <w:rPr>
          <w:rFonts w:hint="default" w:ascii="Times New Roman" w:hAnsi="Times New Roman" w:eastAsia="方正仿宋_GBK" w:cs="Times New Roman"/>
          <w:sz w:val="32"/>
          <w:szCs w:val="32"/>
          <w:lang w:val="en-US" w:eastAsia="zh-CN"/>
        </w:rPr>
        <w:t>创新消费维权机制，推进消费维权社会共治，改善消费环境，促进消费增长，深入推进12315体系建设。及时处理消费者投诉举报，切实维护消费者权益。</w:t>
      </w:r>
      <w:r>
        <w:rPr>
          <w:rFonts w:hint="eastAsia" w:ascii="Times New Roman" w:hAnsi="Times New Roman" w:eastAsia="方正仿宋_GBK" w:cs="Times New Roman"/>
          <w:sz w:val="32"/>
          <w:szCs w:val="32"/>
          <w:lang w:val="en-US" w:eastAsia="zh-CN"/>
        </w:rPr>
        <w:t>截至目前，</w:t>
      </w:r>
      <w:r>
        <w:rPr>
          <w:rFonts w:hint="default" w:ascii="Times New Roman" w:hAnsi="Times New Roman" w:eastAsia="方正仿宋_GBK" w:cs="Times New Roman"/>
          <w:sz w:val="32"/>
          <w:szCs w:val="32"/>
        </w:rPr>
        <w:t>受理</w:t>
      </w:r>
      <w:r>
        <w:rPr>
          <w:rFonts w:hint="default" w:ascii="Times New Roman" w:hAnsi="Times New Roman" w:eastAsia="方正仿宋_GBK" w:cs="Times New Roman"/>
          <w:sz w:val="32"/>
          <w:szCs w:val="32"/>
          <w:lang w:eastAsia="zh-CN"/>
        </w:rPr>
        <w:t>各类</w:t>
      </w:r>
      <w:r>
        <w:rPr>
          <w:rFonts w:hint="default" w:ascii="Times New Roman" w:hAnsi="Times New Roman" w:eastAsia="方正仿宋_GBK" w:cs="Times New Roman"/>
          <w:sz w:val="32"/>
          <w:szCs w:val="32"/>
        </w:rPr>
        <w:t>消费投诉</w:t>
      </w:r>
      <w:r>
        <w:rPr>
          <w:rFonts w:hint="default" w:ascii="Times New Roman" w:hAnsi="Times New Roman" w:eastAsia="方正仿宋_GBK" w:cs="Times New Roman"/>
          <w:sz w:val="32"/>
          <w:szCs w:val="32"/>
          <w:lang w:eastAsia="zh-CN"/>
        </w:rPr>
        <w:t>举报</w:t>
      </w:r>
      <w:r>
        <w:rPr>
          <w:rFonts w:hint="eastAsia" w:ascii="仿宋_GB2312" w:hAnsi="仿宋_GB2312" w:eastAsia="仿宋_GB2312" w:cs="仿宋_GB2312"/>
          <w:sz w:val="32"/>
          <w:szCs w:val="32"/>
          <w:lang w:val="en-US" w:eastAsia="zh-CN"/>
        </w:rPr>
        <w:t>116</w:t>
      </w:r>
      <w:r>
        <w:rPr>
          <w:rFonts w:hint="default" w:ascii="Times New Roman" w:hAnsi="Times New Roman" w:eastAsia="方正仿宋_GBK" w:cs="Times New Roman"/>
          <w:sz w:val="32"/>
          <w:szCs w:val="32"/>
        </w:rPr>
        <w:t>件</w:t>
      </w:r>
      <w:r>
        <w:rPr>
          <w:rFonts w:hint="default" w:ascii="Times New Roman" w:hAnsi="Times New Roman" w:eastAsia="方正仿宋_GBK" w:cs="Times New Roman"/>
          <w:sz w:val="32"/>
          <w:szCs w:val="32"/>
          <w:lang w:eastAsia="zh-CN"/>
        </w:rPr>
        <w:t>，办结</w:t>
      </w:r>
      <w:r>
        <w:rPr>
          <w:rFonts w:hint="eastAsia" w:ascii="仿宋_GB2312" w:hAnsi="仿宋_GB2312" w:eastAsia="仿宋_GB2312" w:cs="仿宋_GB2312"/>
          <w:sz w:val="32"/>
          <w:szCs w:val="32"/>
          <w:lang w:val="en-US" w:eastAsia="zh-CN"/>
        </w:rPr>
        <w:t>108</w:t>
      </w:r>
      <w:r>
        <w:rPr>
          <w:rFonts w:hint="default" w:ascii="Times New Roman" w:hAnsi="Times New Roman" w:eastAsia="方正仿宋_GBK" w:cs="Times New Roman"/>
          <w:sz w:val="32"/>
          <w:szCs w:val="32"/>
          <w:lang w:val="en-US" w:eastAsia="zh-CN"/>
        </w:rPr>
        <w:t>件，办结率1</w:t>
      </w:r>
      <w:r>
        <w:rPr>
          <w:rFonts w:hint="eastAsia" w:ascii="仿宋_GB2312" w:hAnsi="仿宋_GB2312" w:eastAsia="仿宋_GB2312" w:cs="仿宋_GB2312"/>
          <w:sz w:val="32"/>
          <w:szCs w:val="32"/>
          <w:lang w:val="en-US" w:eastAsia="zh-CN"/>
        </w:rPr>
        <w:t>93.1%</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为消费者挽回经济损失</w:t>
      </w:r>
      <w:r>
        <w:rPr>
          <w:rFonts w:hint="eastAsia" w:ascii="仿宋_GB2312" w:hAnsi="仿宋_GB2312" w:eastAsia="仿宋_GB2312" w:cs="仿宋_GB2312"/>
          <w:sz w:val="32"/>
          <w:szCs w:val="32"/>
          <w:lang w:val="en-US" w:eastAsia="zh-CN"/>
        </w:rPr>
        <w:t>4.7万</w:t>
      </w:r>
      <w:r>
        <w:rPr>
          <w:rFonts w:hint="default" w:ascii="Times New Roman" w:hAnsi="Times New Roman" w:eastAsia="方正仿宋_GBK" w:cs="Times New Roman"/>
          <w:sz w:val="32"/>
          <w:szCs w:val="32"/>
          <w:lang w:val="en-US" w:eastAsia="zh-CN"/>
        </w:rPr>
        <w:t>余元。</w:t>
      </w:r>
      <w:r>
        <w:rPr>
          <w:rFonts w:hint="default" w:ascii="Times New Roman" w:hAnsi="Times New Roman" w:eastAsia="方正仿宋_GBK" w:cs="Times New Roman"/>
          <w:b/>
          <w:bCs/>
          <w:sz w:val="32"/>
          <w:szCs w:val="32"/>
          <w:lang w:val="en-US" w:eastAsia="zh-CN"/>
        </w:rPr>
        <w:t>三是</w:t>
      </w:r>
      <w:r>
        <w:rPr>
          <w:rFonts w:hint="default" w:ascii="Times New Roman" w:hAnsi="Times New Roman" w:eastAsia="方正仿宋_GBK" w:cs="Times New Roman"/>
          <w:b/>
          <w:bCs/>
          <w:sz w:val="32"/>
          <w:szCs w:val="32"/>
          <w:lang w:eastAsia="zh-CN"/>
        </w:rPr>
        <w:t>积极</w:t>
      </w:r>
      <w:r>
        <w:rPr>
          <w:rFonts w:hint="default" w:ascii="Times New Roman" w:hAnsi="Times New Roman" w:eastAsia="方正仿宋_GBK" w:cs="Times New Roman"/>
          <w:b/>
          <w:bCs/>
          <w:sz w:val="32"/>
          <w:szCs w:val="32"/>
        </w:rPr>
        <w:t>开展明码标价检查规范。</w:t>
      </w:r>
      <w:r>
        <w:rPr>
          <w:rFonts w:hint="default" w:ascii="Times New Roman" w:hAnsi="Times New Roman" w:eastAsia="方正仿宋_GBK" w:cs="Times New Roman"/>
          <w:i w:val="0"/>
          <w:iCs w:val="0"/>
          <w:caps w:val="0"/>
          <w:color w:val="auto"/>
          <w:spacing w:val="0"/>
          <w:sz w:val="32"/>
          <w:szCs w:val="32"/>
          <w:shd w:val="clear" w:fill="FFFFFF"/>
          <w:lang w:val="en-US" w:eastAsia="zh-CN"/>
        </w:rPr>
        <w:t>围绕重要民生商品、公共服务、教育、医疗等重点领域及节假日加大价格监管力度，出动执法人员</w:t>
      </w:r>
      <w:r>
        <w:rPr>
          <w:rFonts w:hint="eastAsia" w:ascii="Times New Roman" w:hAnsi="Times New Roman" w:eastAsia="方正仿宋_GBK" w:cs="Times New Roman"/>
          <w:i w:val="0"/>
          <w:iCs w:val="0"/>
          <w:caps w:val="0"/>
          <w:color w:val="auto"/>
          <w:spacing w:val="0"/>
          <w:sz w:val="32"/>
          <w:szCs w:val="32"/>
          <w:shd w:val="clear" w:fill="FFFFFF"/>
          <w:lang w:val="en-US" w:eastAsia="zh-CN"/>
        </w:rPr>
        <w:t>150</w:t>
      </w:r>
      <w:r>
        <w:rPr>
          <w:rFonts w:hint="default" w:ascii="Times New Roman" w:hAnsi="Times New Roman" w:eastAsia="方正仿宋_GBK" w:cs="Times New Roman"/>
          <w:i w:val="0"/>
          <w:iCs w:val="0"/>
          <w:caps w:val="0"/>
          <w:color w:val="auto"/>
          <w:spacing w:val="0"/>
          <w:sz w:val="32"/>
          <w:szCs w:val="32"/>
          <w:shd w:val="clear" w:fill="FFFFFF"/>
          <w:lang w:val="en-US" w:eastAsia="zh-CN"/>
        </w:rPr>
        <w:t>人次，检查餐</w:t>
      </w:r>
      <w:r>
        <w:rPr>
          <w:rFonts w:hint="default" w:ascii="Times New Roman" w:hAnsi="Times New Roman" w:eastAsia="方正仿宋_GBK" w:cs="Times New Roman"/>
          <w:i w:val="0"/>
          <w:iCs w:val="0"/>
          <w:caps w:val="0"/>
          <w:color w:val="auto"/>
          <w:spacing w:val="0"/>
          <w:sz w:val="32"/>
          <w:szCs w:val="32"/>
          <w:shd w:val="clear" w:fill="FFFFFF"/>
          <w:lang w:eastAsia="zh-CN"/>
        </w:rPr>
        <w:t>饮店及商品零售店和超市</w:t>
      </w:r>
      <w:r>
        <w:rPr>
          <w:rFonts w:hint="eastAsia" w:ascii="Times New Roman" w:hAnsi="Times New Roman" w:eastAsia="方正仿宋_GBK" w:cs="Times New Roman"/>
          <w:i w:val="0"/>
          <w:iCs w:val="0"/>
          <w:caps w:val="0"/>
          <w:color w:val="auto"/>
          <w:spacing w:val="0"/>
          <w:sz w:val="32"/>
          <w:szCs w:val="32"/>
          <w:shd w:val="clear" w:fill="FFFFFF"/>
          <w:lang w:val="en-US" w:eastAsia="zh-CN"/>
        </w:rPr>
        <w:t>800</w:t>
      </w:r>
      <w:r>
        <w:rPr>
          <w:rFonts w:hint="default" w:ascii="Times New Roman" w:hAnsi="Times New Roman" w:eastAsia="方正仿宋_GBK" w:cs="Times New Roman"/>
          <w:i w:val="0"/>
          <w:iCs w:val="0"/>
          <w:caps w:val="0"/>
          <w:color w:val="auto"/>
          <w:spacing w:val="0"/>
          <w:sz w:val="32"/>
          <w:szCs w:val="32"/>
          <w:shd w:val="clear" w:fill="FFFFFF"/>
          <w:lang w:eastAsia="zh-CN"/>
        </w:rPr>
        <w:t>余家，</w:t>
      </w:r>
      <w:r>
        <w:rPr>
          <w:rFonts w:hint="default" w:ascii="Times New Roman" w:hAnsi="Times New Roman" w:eastAsia="方正仿宋_GBK" w:cs="Times New Roman"/>
          <w:color w:val="auto"/>
          <w:sz w:val="32"/>
          <w:szCs w:val="32"/>
          <w:lang w:val="en-US" w:eastAsia="zh-CN"/>
        </w:rPr>
        <w:t>检查涉旅市场主体</w:t>
      </w:r>
      <w:r>
        <w:rPr>
          <w:rFonts w:hint="eastAsia" w:ascii="Times New Roman" w:hAnsi="Times New Roman" w:eastAsia="方正仿宋_GBK" w:cs="Times New Roman"/>
          <w:color w:val="auto"/>
          <w:sz w:val="32"/>
          <w:szCs w:val="32"/>
          <w:lang w:val="en-US" w:eastAsia="zh-CN"/>
        </w:rPr>
        <w:t>90</w:t>
      </w:r>
      <w:r>
        <w:rPr>
          <w:rFonts w:hint="default" w:ascii="Times New Roman" w:hAnsi="Times New Roman" w:eastAsia="方正仿宋_GBK" w:cs="Times New Roman"/>
          <w:color w:val="auto"/>
          <w:sz w:val="32"/>
          <w:szCs w:val="32"/>
          <w:lang w:val="en-US" w:eastAsia="zh-CN"/>
        </w:rPr>
        <w:t>余家，</w:t>
      </w:r>
      <w:r>
        <w:rPr>
          <w:rFonts w:hint="default" w:ascii="Times New Roman" w:hAnsi="Times New Roman" w:eastAsia="方正仿宋_GBK" w:cs="Times New Roman"/>
          <w:i w:val="0"/>
          <w:iCs w:val="0"/>
          <w:caps w:val="0"/>
          <w:color w:val="auto"/>
          <w:spacing w:val="0"/>
          <w:sz w:val="32"/>
          <w:szCs w:val="32"/>
          <w:shd w:val="clear" w:fill="FFFFFF"/>
          <w:lang w:eastAsia="zh-CN"/>
        </w:rPr>
        <w:t>规范明码标价行为</w:t>
      </w:r>
      <w:r>
        <w:rPr>
          <w:rFonts w:hint="eastAsia" w:ascii="Times New Roman" w:hAnsi="Times New Roman" w:eastAsia="方正仿宋_GBK" w:cs="Times New Roman"/>
          <w:i w:val="0"/>
          <w:iCs w:val="0"/>
          <w:caps w:val="0"/>
          <w:color w:val="auto"/>
          <w:spacing w:val="0"/>
          <w:sz w:val="32"/>
          <w:szCs w:val="32"/>
          <w:shd w:val="clear" w:fill="FFFFFF"/>
          <w:lang w:val="en-US" w:eastAsia="zh-CN"/>
        </w:rPr>
        <w:t>70</w:t>
      </w:r>
      <w:r>
        <w:rPr>
          <w:rFonts w:hint="default" w:ascii="Times New Roman" w:hAnsi="Times New Roman" w:eastAsia="方正仿宋_GBK" w:cs="Times New Roman"/>
          <w:i w:val="0"/>
          <w:iCs w:val="0"/>
          <w:caps w:val="0"/>
          <w:color w:val="auto"/>
          <w:spacing w:val="0"/>
          <w:sz w:val="32"/>
          <w:szCs w:val="32"/>
          <w:shd w:val="clear" w:fill="FFFFFF"/>
          <w:lang w:eastAsia="zh-CN"/>
        </w:rPr>
        <w:t>余家，发</w:t>
      </w:r>
      <w:r>
        <w:rPr>
          <w:rFonts w:hint="default" w:ascii="Times New Roman" w:hAnsi="Times New Roman" w:eastAsia="方正仿宋_GBK" w:cs="Times New Roman"/>
          <w:i w:val="0"/>
          <w:iCs w:val="0"/>
          <w:caps w:val="0"/>
          <w:color w:val="auto"/>
          <w:spacing w:val="0"/>
          <w:sz w:val="32"/>
          <w:szCs w:val="32"/>
          <w:shd w:val="clear" w:fill="FFFFFF"/>
        </w:rPr>
        <w:t>放标价签</w:t>
      </w:r>
      <w:r>
        <w:rPr>
          <w:rFonts w:hint="eastAsia" w:ascii="仿宋_GB2312" w:hAnsi="仿宋_GB2312" w:eastAsia="仿宋_GB2312" w:cs="仿宋_GB2312"/>
          <w:color w:val="auto"/>
          <w:sz w:val="32"/>
          <w:szCs w:val="32"/>
          <w:lang w:val="en-US" w:eastAsia="zh-CN"/>
        </w:rPr>
        <w:t>18</w:t>
      </w:r>
      <w:r>
        <w:rPr>
          <w:rFonts w:hint="default" w:ascii="Times New Roman" w:hAnsi="Times New Roman" w:eastAsia="方正仿宋_GBK" w:cs="Times New Roman"/>
          <w:i w:val="0"/>
          <w:iCs w:val="0"/>
          <w:caps w:val="0"/>
          <w:color w:val="auto"/>
          <w:spacing w:val="0"/>
          <w:sz w:val="32"/>
          <w:szCs w:val="32"/>
          <w:shd w:val="clear" w:fill="FFFFFF"/>
          <w:lang w:val="en-US" w:eastAsia="zh-CN"/>
        </w:rPr>
        <w:t>万</w:t>
      </w:r>
      <w:r>
        <w:rPr>
          <w:rFonts w:hint="default" w:ascii="Times New Roman" w:hAnsi="Times New Roman" w:eastAsia="方正仿宋_GBK" w:cs="Times New Roman"/>
          <w:i w:val="0"/>
          <w:iCs w:val="0"/>
          <w:caps w:val="0"/>
          <w:color w:val="auto"/>
          <w:spacing w:val="0"/>
          <w:sz w:val="32"/>
          <w:szCs w:val="32"/>
          <w:shd w:val="clear" w:fill="FFFFFF"/>
        </w:rPr>
        <w:t>余张，</w:t>
      </w:r>
      <w:r>
        <w:rPr>
          <w:rFonts w:hint="default" w:ascii="Times New Roman" w:hAnsi="Times New Roman" w:eastAsia="方正仿宋_GBK" w:cs="Times New Roman"/>
          <w:i w:val="0"/>
          <w:iCs w:val="0"/>
          <w:caps w:val="0"/>
          <w:color w:val="auto"/>
          <w:spacing w:val="0"/>
          <w:sz w:val="32"/>
          <w:szCs w:val="32"/>
          <w:shd w:val="clear" w:fill="FFFFFF"/>
          <w:lang w:val="en-US" w:eastAsia="zh-CN"/>
        </w:rPr>
        <w:t>开展各类价格专项监督检查经营户1</w:t>
      </w:r>
      <w:r>
        <w:rPr>
          <w:rFonts w:hint="eastAsia" w:ascii="Times New Roman" w:hAnsi="Times New Roman" w:eastAsia="方正仿宋_GBK" w:cs="Times New Roman"/>
          <w:i w:val="0"/>
          <w:iCs w:val="0"/>
          <w:caps w:val="0"/>
          <w:color w:val="auto"/>
          <w:spacing w:val="0"/>
          <w:sz w:val="32"/>
          <w:szCs w:val="32"/>
          <w:shd w:val="clear" w:fill="FFFFFF"/>
          <w:lang w:val="en-US" w:eastAsia="zh-CN"/>
        </w:rPr>
        <w:t>80</w:t>
      </w:r>
      <w:r>
        <w:rPr>
          <w:rFonts w:hint="default" w:ascii="Times New Roman" w:hAnsi="Times New Roman" w:eastAsia="方正仿宋_GBK" w:cs="Times New Roman"/>
          <w:i w:val="0"/>
          <w:iCs w:val="0"/>
          <w:caps w:val="0"/>
          <w:color w:val="auto"/>
          <w:spacing w:val="0"/>
          <w:sz w:val="32"/>
          <w:szCs w:val="32"/>
          <w:shd w:val="clear" w:fill="FFFFFF"/>
          <w:lang w:val="en-US" w:eastAsia="zh-CN"/>
        </w:rPr>
        <w:t>余</w:t>
      </w:r>
      <w:r>
        <w:rPr>
          <w:rFonts w:hint="eastAsia" w:ascii="Times New Roman" w:hAnsi="Times New Roman" w:eastAsia="方正仿宋_GBK" w:cs="Times New Roman"/>
          <w:i w:val="0"/>
          <w:iCs w:val="0"/>
          <w:caps w:val="0"/>
          <w:color w:val="auto"/>
          <w:spacing w:val="0"/>
          <w:sz w:val="32"/>
          <w:szCs w:val="32"/>
          <w:shd w:val="clear" w:fill="FFFFFF"/>
          <w:lang w:val="en-US" w:eastAsia="zh-CN"/>
        </w:rPr>
        <w:t>家</w:t>
      </w:r>
      <w:r>
        <w:rPr>
          <w:rFonts w:hint="default" w:ascii="Times New Roman" w:hAnsi="Times New Roman" w:eastAsia="方正仿宋_GBK" w:cs="Times New Roman"/>
          <w:i w:val="0"/>
          <w:iCs w:val="0"/>
          <w:caps w:val="0"/>
          <w:color w:val="auto"/>
          <w:spacing w:val="0"/>
          <w:sz w:val="32"/>
          <w:szCs w:val="32"/>
          <w:shd w:val="clear" w:fill="FFFFFF"/>
          <w:lang w:val="en-US" w:eastAsia="zh-CN"/>
        </w:rPr>
        <w:t>次</w:t>
      </w:r>
      <w:r>
        <w:rPr>
          <w:rFonts w:hint="eastAsia" w:ascii="Times New Roman" w:hAnsi="Times New Roman" w:eastAsia="方正仿宋_GBK" w:cs="Times New Roman"/>
          <w:i w:val="0"/>
          <w:iCs w:val="0"/>
          <w:caps w:val="0"/>
          <w:color w:val="auto"/>
          <w:spacing w:val="0"/>
          <w:sz w:val="32"/>
          <w:szCs w:val="32"/>
          <w:shd w:val="clear" w:fill="FFFFFF"/>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left="-4" w:leftChars="-2" w:firstLine="643" w:firstLineChars="200"/>
        <w:textAlignment w:val="auto"/>
        <w:rPr>
          <w:rFonts w:hint="default" w:ascii="Times New Roman" w:hAnsi="Times New Roman" w:eastAsia="方正仿宋_GBK" w:cs="Times New Roman"/>
          <w:sz w:val="32"/>
          <w:szCs w:val="32"/>
          <w:lang w:val="en-US" w:eastAsia="zh-CN"/>
        </w:rPr>
      </w:pPr>
      <w:r>
        <w:rPr>
          <w:rFonts w:hint="eastAsia" w:ascii="楷体_GB2312" w:hAnsi="楷体_GB2312" w:eastAsia="楷体_GB2312" w:cs="楷体_GB2312"/>
          <w:b/>
          <w:bCs/>
          <w:sz w:val="32"/>
          <w:szCs w:val="32"/>
          <w:lang w:val="en-US" w:eastAsia="zh-CN"/>
        </w:rPr>
        <w:t>（三）狠抓重点，加大查处，维护市场公平秩序。</w:t>
      </w:r>
      <w:r>
        <w:rPr>
          <w:rFonts w:hint="default" w:ascii="Times New Roman" w:hAnsi="Times New Roman" w:eastAsia="方正仿宋_GBK" w:cs="Times New Roman"/>
          <w:sz w:val="32"/>
          <w:szCs w:val="32"/>
          <w:lang w:val="en-US" w:eastAsia="zh-CN"/>
        </w:rPr>
        <w:t>以日常监管和各类专项整治为切入点，以监督抽检为聚焦点，围绕涉及民生的重点领域，开展专项整治行动，</w:t>
      </w:r>
      <w:r>
        <w:rPr>
          <w:rFonts w:hint="default" w:ascii="Times New Roman" w:hAnsi="Times New Roman" w:eastAsia="方正仿宋_GBK" w:cs="Times New Roman"/>
          <w:sz w:val="32"/>
          <w:szCs w:val="32"/>
        </w:rPr>
        <w:t>严厉打击产品质量、市场秩序和食品药品领域违法犯罪行为</w:t>
      </w:r>
      <w:r>
        <w:rPr>
          <w:rFonts w:hint="default" w:ascii="Times New Roman" w:hAnsi="Times New Roman" w:eastAsia="方正仿宋_GBK" w:cs="Times New Roman"/>
          <w:sz w:val="32"/>
          <w:szCs w:val="32"/>
          <w:lang w:eastAsia="zh-CN"/>
        </w:rPr>
        <w:t>。</w:t>
      </w:r>
      <w:r>
        <w:rPr>
          <w:rFonts w:hint="eastAsia" w:ascii="仿宋_GB2312" w:hAnsi="仿宋_GB2312" w:eastAsia="仿宋_GB2312" w:cs="仿宋_GB2312"/>
          <w:sz w:val="32"/>
          <w:szCs w:val="32"/>
          <w:lang w:val="en-US" w:eastAsia="zh-CN"/>
        </w:rPr>
        <w:t>今年来，</w:t>
      </w:r>
      <w:r>
        <w:rPr>
          <w:rFonts w:hint="default" w:ascii="仿宋_GB2312" w:hAnsi="仿宋_GB2312" w:eastAsia="仿宋_GB2312" w:cs="仿宋_GB2312"/>
          <w:sz w:val="32"/>
          <w:szCs w:val="32"/>
          <w:lang w:val="en-US" w:eastAsia="zh-CN"/>
        </w:rPr>
        <w:t>立案查处各类违法案件</w:t>
      </w:r>
      <w:r>
        <w:rPr>
          <w:rFonts w:hint="eastAsia" w:ascii="仿宋_GB2312" w:hAnsi="仿宋_GB2312" w:eastAsia="仿宋_GB2312" w:cs="仿宋_GB2312"/>
          <w:sz w:val="32"/>
          <w:szCs w:val="32"/>
          <w:lang w:val="en-US" w:eastAsia="zh-CN"/>
        </w:rPr>
        <w:t>30</w:t>
      </w:r>
      <w:r>
        <w:rPr>
          <w:rFonts w:hint="default" w:ascii="仿宋_GB2312" w:hAnsi="仿宋_GB2312" w:eastAsia="仿宋_GB2312" w:cs="仿宋_GB2312"/>
          <w:sz w:val="32"/>
          <w:szCs w:val="32"/>
          <w:lang w:val="en-US" w:eastAsia="zh-CN"/>
        </w:rPr>
        <w:t>件，</w:t>
      </w:r>
      <w:r>
        <w:rPr>
          <w:rFonts w:hint="eastAsia" w:ascii="仿宋_GB2312" w:hAnsi="仿宋_GB2312" w:eastAsia="仿宋_GB2312" w:cs="仿宋_GB2312"/>
          <w:sz w:val="32"/>
          <w:szCs w:val="32"/>
          <w:lang w:val="en-US" w:eastAsia="zh-CN"/>
        </w:rPr>
        <w:t>办结26件，</w:t>
      </w:r>
      <w:r>
        <w:rPr>
          <w:rFonts w:hint="default" w:ascii="仿宋_GB2312" w:hAnsi="仿宋_GB2312" w:eastAsia="仿宋_GB2312" w:cs="仿宋_GB2312"/>
          <w:sz w:val="32"/>
          <w:szCs w:val="32"/>
          <w:lang w:val="en-US" w:eastAsia="zh-CN"/>
        </w:rPr>
        <w:t>罚没金额合计</w:t>
      </w:r>
      <w:r>
        <w:rPr>
          <w:rFonts w:hint="eastAsia" w:ascii="仿宋_GB2312" w:hAnsi="仿宋_GB2312" w:eastAsia="仿宋_GB2312" w:cs="仿宋_GB2312"/>
          <w:sz w:val="32"/>
          <w:szCs w:val="32"/>
          <w:lang w:val="en-US" w:eastAsia="zh-CN"/>
        </w:rPr>
        <w:t>8</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67</w:t>
      </w:r>
      <w:r>
        <w:rPr>
          <w:rFonts w:hint="default"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lang w:val="en-US" w:eastAsia="zh-CN"/>
        </w:rPr>
        <w:t>其中，生产经营食品处罚案件1件；涉及产品质量类案件9件，罚没金额0.43万元；涉及诚信计量案件4件，罚没金额0.07万元，涉及其他适用市场监管法律法规立案或查处3件，罚没金额0.27万元，涉及食品安全违法行为查处9件，罚没金额5.7万元，涉及药品相关违法违规案件2起、罚没金额2.2万元。</w:t>
      </w:r>
    </w:p>
    <w:p>
      <w:pPr>
        <w:keepNext w:val="0"/>
        <w:keepLines w:val="0"/>
        <w:pageBreakBefore w:val="0"/>
        <w:widowControl w:val="0"/>
        <w:kinsoku/>
        <w:wordWrap/>
        <w:overflowPunct/>
        <w:topLinePunct w:val="0"/>
        <w:autoSpaceDE/>
        <w:autoSpaceDN/>
        <w:bidi w:val="0"/>
        <w:adjustRightInd/>
        <w:snapToGrid/>
        <w:spacing w:line="576" w:lineRule="exact"/>
        <w:ind w:left="210" w:leftChars="100" w:firstLine="321" w:firstLineChars="100"/>
        <w:textAlignment w:val="auto"/>
        <w:rPr>
          <w:rFonts w:hint="eastAsia" w:ascii="仿宋_GB2312" w:hAnsi="仿宋_GB2312" w:eastAsia="仿宋_GB2312" w:cs="仿宋_GB2312"/>
          <w:kern w:val="2"/>
          <w:sz w:val="32"/>
          <w:szCs w:val="32"/>
          <w:lang w:val="en-US" w:eastAsia="zh-CN" w:bidi="ar-SA"/>
        </w:rPr>
      </w:pPr>
      <w:r>
        <w:rPr>
          <w:rFonts w:hint="eastAsia" w:ascii="楷体_GB2312" w:hAnsi="楷体_GB2312" w:eastAsia="楷体_GB2312" w:cs="楷体_GB2312"/>
          <w:b/>
          <w:bCs/>
          <w:sz w:val="32"/>
          <w:szCs w:val="32"/>
          <w:lang w:eastAsia="zh-CN"/>
        </w:rPr>
        <w:t>（四）严格</w:t>
      </w:r>
      <w:r>
        <w:rPr>
          <w:rFonts w:hint="eastAsia" w:ascii="楷体_GB2312" w:hAnsi="楷体_GB2312" w:eastAsia="楷体_GB2312" w:cs="楷体_GB2312"/>
          <w:b/>
          <w:bCs/>
          <w:sz w:val="32"/>
          <w:szCs w:val="32"/>
        </w:rPr>
        <w:t>监管</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常抓常严，</w:t>
      </w:r>
      <w:r>
        <w:rPr>
          <w:rFonts w:hint="eastAsia" w:ascii="楷体_GB2312" w:hAnsi="楷体_GB2312" w:eastAsia="楷体_GB2312" w:cs="楷体_GB2312"/>
          <w:b/>
          <w:bCs/>
          <w:sz w:val="32"/>
          <w:szCs w:val="32"/>
        </w:rPr>
        <w:t>全力守住安全底线。</w:t>
      </w:r>
      <w:r>
        <w:rPr>
          <w:rFonts w:hint="eastAsia" w:ascii="楷体_GB2312" w:hAnsi="楷体_GB2312" w:eastAsia="楷体_GB2312" w:cs="楷体_GB2312"/>
          <w:b/>
          <w:bCs/>
          <w:color w:val="auto"/>
          <w:sz w:val="32"/>
          <w:szCs w:val="32"/>
          <w:lang w:val="en-US" w:eastAsia="zh-CN"/>
        </w:rPr>
        <w:t>一是强化监督抽检。</w:t>
      </w:r>
      <w:r>
        <w:rPr>
          <w:rFonts w:hint="default" w:ascii="Times New Roman" w:hAnsi="Times New Roman" w:eastAsia="方正仿宋_GBK" w:cs="Times New Roman"/>
          <w:color w:val="auto"/>
          <w:sz w:val="32"/>
          <w:szCs w:val="32"/>
          <w:lang w:eastAsia="zh-CN"/>
        </w:rPr>
        <w:t>对</w:t>
      </w:r>
      <w:r>
        <w:rPr>
          <w:rFonts w:hint="default" w:ascii="Times New Roman" w:hAnsi="Times New Roman" w:eastAsia="方正仿宋_GBK" w:cs="Times New Roman"/>
          <w:color w:val="auto"/>
          <w:sz w:val="32"/>
          <w:szCs w:val="32"/>
        </w:rPr>
        <w:t>辖区内旅游餐饮接待重点单位、邛溪综合市场、餐馆、超市以及蔬菜批发部等环节的蔬菜、水果、畜肉等食用农产品</w:t>
      </w:r>
      <w:r>
        <w:rPr>
          <w:rFonts w:hint="default" w:ascii="Times New Roman" w:hAnsi="Times New Roman" w:eastAsia="方正仿宋_GBK" w:cs="Times New Roman"/>
          <w:color w:val="auto"/>
          <w:sz w:val="32"/>
          <w:szCs w:val="32"/>
          <w:lang w:eastAsia="zh-CN"/>
        </w:rPr>
        <w:t>安全监督抽样检测</w:t>
      </w:r>
      <w:r>
        <w:rPr>
          <w:rFonts w:hint="eastAsia" w:ascii="Times New Roman" w:hAnsi="Times New Roman" w:eastAsia="方正仿宋_GBK" w:cs="Times New Roman"/>
          <w:color w:val="auto"/>
          <w:sz w:val="32"/>
          <w:szCs w:val="32"/>
          <w:lang w:val="en-US" w:eastAsia="zh-CN"/>
        </w:rPr>
        <w:t>535批次，</w:t>
      </w:r>
      <w:r>
        <w:rPr>
          <w:rFonts w:hint="eastAsia" w:ascii="仿宋" w:hAnsi="仿宋" w:eastAsia="仿宋"/>
          <w:color w:val="000000"/>
          <w:sz w:val="32"/>
          <w:szCs w:val="32"/>
          <w:lang w:val="en-US" w:eastAsia="zh-CN"/>
        </w:rPr>
        <w:t>其中260批次农产品、275批次工业产品，完成</w:t>
      </w:r>
      <w:r>
        <w:rPr>
          <w:rFonts w:hint="eastAsia" w:ascii="仿宋" w:hAnsi="仿宋" w:eastAsia="仿宋"/>
          <w:color w:val="000000"/>
          <w:sz w:val="32"/>
          <w:szCs w:val="32"/>
        </w:rPr>
        <w:t>食品药品</w:t>
      </w:r>
      <w:r>
        <w:rPr>
          <w:rFonts w:hint="eastAsia" w:ascii="仿宋" w:hAnsi="仿宋" w:eastAsia="仿宋"/>
          <w:color w:val="000000"/>
          <w:sz w:val="32"/>
          <w:szCs w:val="32"/>
          <w:lang w:eastAsia="zh-CN"/>
        </w:rPr>
        <w:t>国抽</w:t>
      </w:r>
      <w:r>
        <w:rPr>
          <w:rFonts w:hint="eastAsia" w:ascii="仿宋" w:hAnsi="仿宋" w:eastAsia="仿宋"/>
          <w:color w:val="000000"/>
          <w:sz w:val="32"/>
          <w:szCs w:val="32"/>
          <w:lang w:val="en-US" w:eastAsia="zh-CN"/>
        </w:rPr>
        <w:t>32批次</w:t>
      </w:r>
      <w:r>
        <w:rPr>
          <w:rFonts w:hint="eastAsia" w:ascii="仿宋" w:hAnsi="仿宋" w:eastAsia="仿宋"/>
          <w:color w:val="000000"/>
          <w:sz w:val="32"/>
          <w:szCs w:val="32"/>
        </w:rPr>
        <w:t>抽样工作</w:t>
      </w:r>
      <w:r>
        <w:rPr>
          <w:rFonts w:hint="eastAsia" w:ascii="仿宋" w:hAnsi="仿宋" w:eastAsia="仿宋"/>
          <w:color w:val="000000"/>
          <w:sz w:val="32"/>
          <w:szCs w:val="32"/>
          <w:lang w:eastAsia="zh-CN"/>
        </w:rPr>
        <w:t>，</w:t>
      </w:r>
      <w:r>
        <w:rPr>
          <w:rFonts w:hint="eastAsia" w:ascii="仿宋_GB2312" w:hAnsi="仿宋_GB2312" w:eastAsia="仿宋_GB2312" w:cs="仿宋_GB2312"/>
          <w:b w:val="0"/>
          <w:bCs w:val="0"/>
          <w:color w:val="000000"/>
          <w:kern w:val="0"/>
          <w:sz w:val="32"/>
          <w:szCs w:val="32"/>
          <w:lang w:val="en-US" w:eastAsia="zh-CN"/>
        </w:rPr>
        <w:t>完成学校食堂抽样检测200个批次，完成工业加工食品（预包装食品）275批次抽样检测工作；</w:t>
      </w:r>
      <w:r>
        <w:rPr>
          <w:rFonts w:hint="default" w:ascii="Times New Roman" w:hAnsi="Times New Roman" w:eastAsia="方正仿宋_GBK" w:cs="Times New Roman"/>
          <w:b/>
          <w:bCs/>
          <w:color w:val="auto"/>
          <w:sz w:val="32"/>
          <w:szCs w:val="32"/>
          <w:lang w:val="en-US" w:eastAsia="zh-CN"/>
        </w:rPr>
        <w:t>二是全面开展食品专项整治。</w:t>
      </w:r>
      <w:r>
        <w:rPr>
          <w:rFonts w:hint="default" w:ascii="Times New Roman" w:hAnsi="Times New Roman" w:eastAsia="方正仿宋_GBK" w:cs="Times New Roman"/>
          <w:b w:val="0"/>
          <w:bCs w:val="0"/>
          <w:color w:val="auto"/>
          <w:sz w:val="32"/>
          <w:szCs w:val="32"/>
          <w:lang w:val="en-US" w:eastAsia="zh-CN"/>
        </w:rPr>
        <w:t>结合各项食品安全专项大检查，</w:t>
      </w:r>
      <w:r>
        <w:rPr>
          <w:rFonts w:hint="default" w:ascii="仿宋_GB2312" w:hAnsi="仿宋_GB2312" w:eastAsia="仿宋_GB2312" w:cs="仿宋_GB2312"/>
          <w:color w:val="auto"/>
          <w:sz w:val="32"/>
          <w:szCs w:val="32"/>
          <w:lang w:val="en-US" w:eastAsia="zh-CN"/>
        </w:rPr>
        <w:t>全面开展春秋季学校食堂及校园周边食品安全专项大检查，完成了对全县</w:t>
      </w:r>
      <w:r>
        <w:rPr>
          <w:rFonts w:hint="eastAsia" w:ascii="仿宋_GB2312" w:hAnsi="仿宋_GB2312" w:eastAsia="仿宋_GB2312" w:cs="仿宋_GB2312"/>
          <w:color w:val="auto"/>
          <w:sz w:val="32"/>
          <w:szCs w:val="32"/>
          <w:lang w:val="en-US" w:eastAsia="zh-CN"/>
        </w:rPr>
        <w:t>25家</w:t>
      </w:r>
      <w:r>
        <w:rPr>
          <w:rFonts w:hint="default" w:ascii="仿宋_GB2312" w:hAnsi="仿宋_GB2312" w:eastAsia="仿宋_GB2312" w:cs="仿宋_GB2312"/>
          <w:color w:val="auto"/>
          <w:sz w:val="32"/>
          <w:szCs w:val="32"/>
          <w:lang w:val="en-US" w:eastAsia="zh-CN"/>
        </w:rPr>
        <w:t>学校食堂及</w:t>
      </w:r>
      <w:r>
        <w:rPr>
          <w:rFonts w:hint="eastAsia" w:ascii="仿宋_GB2312" w:hAnsi="仿宋_GB2312" w:eastAsia="仿宋_GB2312" w:cs="仿宋_GB2312"/>
          <w:color w:val="auto"/>
          <w:sz w:val="32"/>
          <w:szCs w:val="32"/>
          <w:lang w:val="en-US" w:eastAsia="zh-CN"/>
        </w:rPr>
        <w:t>学校</w:t>
      </w:r>
      <w:r>
        <w:rPr>
          <w:rFonts w:hint="default" w:ascii="仿宋_GB2312" w:hAnsi="仿宋_GB2312" w:eastAsia="仿宋_GB2312" w:cs="仿宋_GB2312"/>
          <w:color w:val="auto"/>
          <w:sz w:val="32"/>
          <w:szCs w:val="32"/>
          <w:lang w:val="en-US" w:eastAsia="zh-CN"/>
        </w:rPr>
        <w:t>周边食品安全检查全覆盖</w:t>
      </w:r>
      <w:r>
        <w:rPr>
          <w:rFonts w:hint="eastAsia" w:ascii="仿宋_GB2312" w:hAnsi="仿宋_GB2312" w:eastAsia="仿宋_GB2312" w:cs="仿宋_GB2312"/>
          <w:color w:val="auto"/>
          <w:sz w:val="32"/>
          <w:szCs w:val="32"/>
          <w:lang w:val="en-US" w:eastAsia="zh-CN"/>
        </w:rPr>
        <w:t>，组织</w:t>
      </w:r>
      <w:r>
        <w:rPr>
          <w:rFonts w:hint="eastAsia" w:ascii="仿宋_GB2312" w:eastAsia="仿宋_GB2312"/>
          <w:sz w:val="32"/>
          <w:szCs w:val="32"/>
          <w:lang w:val="en-US" w:eastAsia="zh-CN"/>
        </w:rPr>
        <w:t>学校食堂141名从业人员参加食品安全培训。</w:t>
      </w:r>
      <w:r>
        <w:rPr>
          <w:rFonts w:hint="default" w:ascii="仿宋_GB2312" w:hAnsi="仿宋_GB2312" w:eastAsia="仿宋_GB2312" w:cs="仿宋_GB2312"/>
          <w:color w:val="auto"/>
          <w:sz w:val="32"/>
          <w:szCs w:val="32"/>
          <w:lang w:val="en-US" w:eastAsia="zh-CN"/>
        </w:rPr>
        <w:t>着力以</w:t>
      </w:r>
      <w:r>
        <w:rPr>
          <w:rFonts w:hint="eastAsia" w:ascii="仿宋_GB2312" w:hAnsi="仿宋_GB2312" w:eastAsia="仿宋_GB2312" w:cs="仿宋_GB2312"/>
          <w:color w:val="auto"/>
          <w:sz w:val="32"/>
          <w:szCs w:val="32"/>
          <w:lang w:val="en-US" w:eastAsia="zh-CN"/>
        </w:rPr>
        <w:t>各个法定节假日</w:t>
      </w:r>
      <w:r>
        <w:rPr>
          <w:rFonts w:hint="default" w:ascii="仿宋_GB2312" w:hAnsi="仿宋_GB2312" w:eastAsia="仿宋_GB2312" w:cs="仿宋_GB2312"/>
          <w:color w:val="auto"/>
          <w:sz w:val="32"/>
          <w:szCs w:val="32"/>
          <w:lang w:val="en-US" w:eastAsia="zh-CN"/>
        </w:rPr>
        <w:t>等为重点时段，以婴幼儿配方乳粉、保健食品、</w:t>
      </w:r>
      <w:r>
        <w:rPr>
          <w:rFonts w:hint="eastAsia" w:ascii="仿宋_GB2312" w:hAnsi="仿宋_GB2312" w:eastAsia="仿宋_GB2312" w:cs="仿宋_GB2312"/>
          <w:color w:val="auto"/>
          <w:sz w:val="32"/>
          <w:szCs w:val="32"/>
          <w:lang w:val="en-US" w:eastAsia="zh-CN"/>
        </w:rPr>
        <w:t>牛肉干、旅游产品</w:t>
      </w:r>
      <w:r>
        <w:rPr>
          <w:rFonts w:hint="default" w:ascii="仿宋_GB2312" w:hAnsi="仿宋_GB2312" w:eastAsia="仿宋_GB2312" w:cs="仿宋_GB2312"/>
          <w:color w:val="auto"/>
          <w:sz w:val="32"/>
          <w:szCs w:val="32"/>
          <w:lang w:val="en-US" w:eastAsia="zh-CN"/>
        </w:rPr>
        <w:t>等为重点品种，以</w:t>
      </w:r>
      <w:r>
        <w:rPr>
          <w:rFonts w:hint="eastAsia" w:ascii="仿宋_GB2312" w:hAnsi="仿宋_GB2312" w:eastAsia="仿宋_GB2312" w:cs="仿宋_GB2312"/>
          <w:color w:val="auto"/>
          <w:sz w:val="32"/>
          <w:szCs w:val="32"/>
          <w:lang w:val="en-US" w:eastAsia="zh-CN"/>
        </w:rPr>
        <w:t>校园</w:t>
      </w:r>
      <w:r>
        <w:rPr>
          <w:rFonts w:hint="default" w:ascii="仿宋_GB2312" w:hAnsi="仿宋_GB2312" w:eastAsia="仿宋_GB2312" w:cs="仿宋_GB2312"/>
          <w:color w:val="auto"/>
          <w:sz w:val="32"/>
          <w:szCs w:val="32"/>
          <w:lang w:val="en-US" w:eastAsia="zh-CN"/>
        </w:rPr>
        <w:t>周边、农贸市场等为重点区域，开展食品安全专项整治行动</w:t>
      </w:r>
      <w:r>
        <w:rPr>
          <w:rFonts w:hint="eastAsia" w:ascii="仿宋_GB2312" w:hAnsi="仿宋_GB2312" w:eastAsia="仿宋_GB2312" w:cs="仿宋_GB2312"/>
          <w:color w:val="auto"/>
          <w:sz w:val="32"/>
          <w:szCs w:val="32"/>
          <w:lang w:val="en-US" w:eastAsia="zh-CN"/>
        </w:rPr>
        <w:t>132</w:t>
      </w:r>
      <w:r>
        <w:rPr>
          <w:rFonts w:hint="default" w:ascii="仿宋_GB2312" w:hAnsi="仿宋_GB2312" w:eastAsia="仿宋_GB2312" w:cs="仿宋_GB2312"/>
          <w:color w:val="auto"/>
          <w:sz w:val="32"/>
          <w:szCs w:val="32"/>
          <w:lang w:val="en-US" w:eastAsia="zh-CN"/>
        </w:rPr>
        <w:t>余次，有效地消除了食品安全隐患;同时，圆满完成</w:t>
      </w:r>
      <w:r>
        <w:rPr>
          <w:rFonts w:hint="eastAsia" w:ascii="仿宋_GB2312" w:hAnsi="仿宋_GB2312" w:eastAsia="仿宋_GB2312" w:cs="仿宋_GB2312"/>
          <w:color w:val="auto"/>
          <w:sz w:val="32"/>
          <w:szCs w:val="32"/>
          <w:lang w:val="en-US" w:eastAsia="zh-CN"/>
        </w:rPr>
        <w:t>2022红原雅克音乐节</w:t>
      </w:r>
      <w:r>
        <w:rPr>
          <w:rFonts w:hint="default" w:ascii="仿宋_GB2312" w:hAnsi="仿宋_GB2312" w:eastAsia="仿宋_GB2312" w:cs="仿宋_GB2312"/>
          <w:color w:val="auto"/>
          <w:sz w:val="32"/>
          <w:szCs w:val="32"/>
          <w:lang w:val="en-US" w:eastAsia="zh-CN"/>
        </w:rPr>
        <w:t>等重大活动和重要会议期间的食品安全保障工作</w:t>
      </w:r>
      <w:r>
        <w:rPr>
          <w:rFonts w:hint="eastAsia" w:ascii="仿宋_GB2312" w:hAnsi="仿宋_GB2312" w:eastAsia="仿宋_GB2312" w:cs="仿宋_GB2312"/>
          <w:color w:val="auto"/>
          <w:sz w:val="32"/>
          <w:szCs w:val="32"/>
          <w:lang w:val="en-US" w:eastAsia="zh-CN"/>
        </w:rPr>
        <w:t>。</w:t>
      </w:r>
      <w:r>
        <w:rPr>
          <w:rFonts w:hint="default" w:ascii="Times New Roman" w:hAnsi="Times New Roman" w:eastAsia="方正仿宋_GBK" w:cs="Times New Roman"/>
          <w:b/>
          <w:bCs/>
          <w:sz w:val="32"/>
          <w:szCs w:val="32"/>
          <w:lang w:val="en-US" w:eastAsia="zh-CN"/>
        </w:rPr>
        <w:t>三是全力</w:t>
      </w:r>
      <w:r>
        <w:rPr>
          <w:rFonts w:hint="default" w:ascii="Times New Roman" w:hAnsi="Times New Roman" w:eastAsia="方正仿宋_GBK" w:cs="Times New Roman"/>
          <w:b/>
          <w:bCs/>
          <w:kern w:val="2"/>
          <w:sz w:val="32"/>
          <w:szCs w:val="32"/>
          <w:lang w:val="en-US" w:eastAsia="zh-CN" w:bidi="ar-SA"/>
        </w:rPr>
        <w:t>护航中高考期间食品安全。</w:t>
      </w:r>
      <w:r>
        <w:rPr>
          <w:rFonts w:hint="default" w:ascii="Times New Roman" w:hAnsi="Times New Roman" w:eastAsia="方正仿宋_GBK" w:cs="Times New Roman"/>
          <w:sz w:val="32"/>
          <w:szCs w:val="32"/>
        </w:rPr>
        <w:t>以</w:t>
      </w:r>
      <w:r>
        <w:rPr>
          <w:rFonts w:hint="default" w:ascii="Times New Roman" w:hAnsi="Times New Roman" w:eastAsia="方正仿宋_GBK" w:cs="Times New Roman"/>
          <w:sz w:val="32"/>
          <w:szCs w:val="32"/>
          <w:lang w:eastAsia="zh-CN"/>
        </w:rPr>
        <w:t>考点</w:t>
      </w:r>
      <w:r>
        <w:rPr>
          <w:rFonts w:hint="default" w:ascii="Times New Roman" w:hAnsi="Times New Roman" w:eastAsia="方正仿宋_GBK" w:cs="Times New Roman"/>
          <w:sz w:val="32"/>
          <w:szCs w:val="32"/>
        </w:rPr>
        <w:t>学校食堂、学校周边餐饮</w:t>
      </w:r>
      <w:r>
        <w:rPr>
          <w:rFonts w:hint="default" w:ascii="Times New Roman" w:hAnsi="Times New Roman" w:eastAsia="方正仿宋_GBK" w:cs="Times New Roman"/>
          <w:sz w:val="32"/>
          <w:szCs w:val="32"/>
          <w:lang w:eastAsia="zh-CN"/>
        </w:rPr>
        <w:t>店及小卖部</w:t>
      </w:r>
      <w:r>
        <w:rPr>
          <w:rFonts w:hint="default" w:ascii="Times New Roman" w:hAnsi="Times New Roman" w:eastAsia="方正仿宋_GBK" w:cs="Times New Roman"/>
          <w:sz w:val="32"/>
          <w:szCs w:val="32"/>
        </w:rPr>
        <w:t>为重点，开展拉网式检查，督促学校食堂、周边食品经营单位严格落实主体责任，严格落实食品安全管理制度，建立健全防范措施</w:t>
      </w:r>
      <w:r>
        <w:rPr>
          <w:rFonts w:hint="default" w:ascii="Times New Roman" w:hAnsi="Times New Roman" w:eastAsia="方正仿宋_GBK" w:cs="Times New Roman"/>
          <w:kern w:val="2"/>
          <w:sz w:val="32"/>
          <w:szCs w:val="32"/>
          <w:lang w:val="en-US" w:eastAsia="zh-CN" w:bidi="ar-SA"/>
        </w:rPr>
        <w:t>，消除中高考食品市场安全隐患。</w:t>
      </w:r>
      <w:r>
        <w:rPr>
          <w:rFonts w:hint="default" w:ascii="Times New Roman" w:hAnsi="Times New Roman" w:eastAsia="方正仿宋_GBK" w:cs="Times New Roman"/>
          <w:sz w:val="32"/>
          <w:szCs w:val="32"/>
        </w:rPr>
        <w:t>出动执法人员</w:t>
      </w:r>
      <w:r>
        <w:rPr>
          <w:rFonts w:hint="eastAsia" w:ascii="Times New Roman" w:hAnsi="Times New Roman" w:eastAsia="方正仿宋_GBK" w:cs="Times New Roman"/>
          <w:sz w:val="32"/>
          <w:szCs w:val="32"/>
          <w:lang w:val="en-US" w:eastAsia="zh-CN"/>
        </w:rPr>
        <w:t>26</w:t>
      </w:r>
      <w:r>
        <w:rPr>
          <w:rFonts w:hint="default" w:ascii="Times New Roman" w:hAnsi="Times New Roman" w:eastAsia="方正仿宋_GBK" w:cs="Times New Roman"/>
          <w:sz w:val="32"/>
          <w:szCs w:val="32"/>
          <w:lang w:val="en-US" w:eastAsia="zh-CN"/>
        </w:rPr>
        <w:t>人</w:t>
      </w:r>
      <w:r>
        <w:rPr>
          <w:rFonts w:hint="default" w:ascii="Times New Roman" w:hAnsi="Times New Roman" w:eastAsia="方正仿宋_GBK" w:cs="Times New Roman"/>
          <w:sz w:val="32"/>
          <w:szCs w:val="32"/>
        </w:rPr>
        <w:t>次，</w:t>
      </w:r>
      <w:r>
        <w:rPr>
          <w:rFonts w:hint="default" w:ascii="Times New Roman" w:hAnsi="Times New Roman" w:eastAsia="方正仿宋_GBK" w:cs="Times New Roman"/>
          <w:kern w:val="2"/>
          <w:sz w:val="32"/>
          <w:szCs w:val="32"/>
          <w:lang w:val="en-US" w:eastAsia="zh-CN" w:bidi="ar-SA"/>
        </w:rPr>
        <w:t>检查学校食堂</w:t>
      </w:r>
      <w:r>
        <w:rPr>
          <w:rFonts w:hint="eastAsia" w:ascii="Times New Roman" w:hAnsi="Times New Roman" w:eastAsia="方正仿宋_GBK" w:cs="Times New Roman"/>
          <w:kern w:val="2"/>
          <w:sz w:val="32"/>
          <w:szCs w:val="32"/>
          <w:lang w:val="en-US" w:eastAsia="zh-CN" w:bidi="ar-SA"/>
        </w:rPr>
        <w:t>4</w:t>
      </w:r>
      <w:r>
        <w:rPr>
          <w:rFonts w:hint="default" w:ascii="Times New Roman" w:hAnsi="Times New Roman" w:eastAsia="方正仿宋_GBK" w:cs="Times New Roman"/>
          <w:kern w:val="2"/>
          <w:sz w:val="32"/>
          <w:szCs w:val="32"/>
          <w:lang w:val="en-US" w:eastAsia="zh-CN" w:bidi="ar-SA"/>
        </w:rPr>
        <w:t>家次，学校周边餐饮</w:t>
      </w:r>
      <w:r>
        <w:rPr>
          <w:rFonts w:hint="default" w:ascii="Times New Roman" w:hAnsi="Times New Roman" w:eastAsia="方正仿宋_GBK" w:cs="Times New Roman"/>
          <w:sz w:val="32"/>
          <w:szCs w:val="32"/>
        </w:rPr>
        <w:t>店</w:t>
      </w:r>
      <w:r>
        <w:rPr>
          <w:rFonts w:hint="default" w:ascii="Times New Roman" w:hAnsi="Times New Roman" w:eastAsia="方正仿宋_GBK" w:cs="Times New Roman"/>
          <w:sz w:val="32"/>
          <w:szCs w:val="32"/>
          <w:lang w:eastAsia="zh-CN"/>
        </w:rPr>
        <w:t>及小卖部</w:t>
      </w:r>
      <w:r>
        <w:rPr>
          <w:rFonts w:hint="eastAsia" w:ascii="Times New Roman" w:hAnsi="Times New Roman" w:eastAsia="方正仿宋_GBK" w:cs="Times New Roman"/>
          <w:sz w:val="32"/>
          <w:szCs w:val="32"/>
          <w:lang w:val="en-US" w:eastAsia="zh-CN"/>
        </w:rPr>
        <w:t>16</w:t>
      </w:r>
      <w:r>
        <w:rPr>
          <w:rFonts w:hint="default" w:ascii="Times New Roman" w:hAnsi="Times New Roman" w:eastAsia="方正仿宋_GBK" w:cs="Times New Roman"/>
          <w:sz w:val="32"/>
          <w:szCs w:val="32"/>
        </w:rPr>
        <w:t>家</w:t>
      </w:r>
      <w:r>
        <w:rPr>
          <w:rFonts w:hint="default" w:ascii="Times New Roman" w:hAnsi="Times New Roman" w:eastAsia="方正仿宋_GBK" w:cs="Times New Roman"/>
          <w:kern w:val="2"/>
          <w:sz w:val="32"/>
          <w:szCs w:val="32"/>
          <w:lang w:val="en-US" w:eastAsia="zh-CN" w:bidi="ar-SA"/>
        </w:rPr>
        <w:t>次，</w:t>
      </w:r>
      <w:r>
        <w:rPr>
          <w:rFonts w:hint="default" w:ascii="Times New Roman" w:hAnsi="Times New Roman" w:eastAsia="方正仿宋_GBK" w:cs="Times New Roman"/>
          <w:sz w:val="32"/>
          <w:szCs w:val="32"/>
        </w:rPr>
        <w:t>排查隐患</w:t>
      </w: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处</w:t>
      </w:r>
      <w:r>
        <w:rPr>
          <w:rFonts w:hint="default"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现</w:t>
      </w:r>
      <w:r>
        <w:rPr>
          <w:rFonts w:hint="default" w:ascii="Times New Roman" w:hAnsi="Times New Roman" w:eastAsia="方正仿宋_GBK" w:cs="Times New Roman"/>
          <w:sz w:val="32"/>
          <w:szCs w:val="32"/>
          <w:lang w:eastAsia="zh-CN"/>
        </w:rPr>
        <w:t>已整改</w:t>
      </w:r>
      <w:r>
        <w:rPr>
          <w:rFonts w:hint="eastAsia" w:ascii="Times New Roman" w:hAnsi="Times New Roman" w:eastAsia="方正仿宋_GBK" w:cs="Times New Roman"/>
          <w:sz w:val="32"/>
          <w:szCs w:val="32"/>
          <w:lang w:val="en-US" w:eastAsia="zh-CN"/>
        </w:rPr>
        <w:t>完成</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b/>
          <w:bCs/>
          <w:color w:val="auto"/>
          <w:sz w:val="32"/>
          <w:szCs w:val="32"/>
          <w:lang w:val="en-US" w:eastAsia="zh-CN"/>
        </w:rPr>
        <w:t>四是</w:t>
      </w:r>
      <w:r>
        <w:rPr>
          <w:rFonts w:hint="default" w:ascii="Times New Roman" w:hAnsi="Times New Roman" w:eastAsia="方正仿宋_GBK" w:cs="Times New Roman"/>
          <w:b/>
          <w:bCs/>
          <w:i w:val="0"/>
          <w:iCs w:val="0"/>
          <w:caps w:val="0"/>
          <w:color w:val="auto"/>
          <w:spacing w:val="0"/>
          <w:sz w:val="32"/>
          <w:szCs w:val="32"/>
          <w:shd w:val="clear" w:fill="FFFFFF"/>
        </w:rPr>
        <w:t>突出抓好药品安全监管。</w:t>
      </w:r>
      <w:r>
        <w:rPr>
          <w:rFonts w:hint="default" w:ascii="Times New Roman" w:hAnsi="Times New Roman" w:eastAsia="方正仿宋_GBK" w:cs="Times New Roman"/>
          <w:i w:val="0"/>
          <w:iCs w:val="0"/>
          <w:caps w:val="0"/>
          <w:color w:val="auto"/>
          <w:spacing w:val="0"/>
          <w:sz w:val="32"/>
          <w:szCs w:val="32"/>
          <w:shd w:val="clear" w:fill="FFFFFF"/>
        </w:rPr>
        <w:t>出动执法人员</w:t>
      </w:r>
      <w:r>
        <w:rPr>
          <w:rFonts w:hint="eastAsia" w:ascii="Times New Roman" w:hAnsi="Times New Roman" w:eastAsia="方正仿宋_GBK" w:cs="Times New Roman"/>
          <w:sz w:val="32"/>
          <w:szCs w:val="32"/>
          <w:lang w:val="en-US" w:eastAsia="zh-CN"/>
        </w:rPr>
        <w:t>714</w:t>
      </w:r>
      <w:r>
        <w:rPr>
          <w:rFonts w:hint="default" w:ascii="Times New Roman" w:hAnsi="Times New Roman" w:eastAsia="方正仿宋_GBK" w:cs="Times New Roman"/>
          <w:i w:val="0"/>
          <w:iCs w:val="0"/>
          <w:caps w:val="0"/>
          <w:color w:val="auto"/>
          <w:spacing w:val="0"/>
          <w:sz w:val="32"/>
          <w:szCs w:val="32"/>
          <w:shd w:val="clear" w:fill="FFFFFF"/>
        </w:rPr>
        <w:t>人次</w:t>
      </w:r>
      <w:r>
        <w:rPr>
          <w:rFonts w:hint="eastAsia" w:ascii="Times New Roman" w:hAnsi="Times New Roman" w:eastAsia="方正仿宋_GBK" w:cs="Times New Roman"/>
          <w:i w:val="0"/>
          <w:iCs w:val="0"/>
          <w:caps w:val="0"/>
          <w:color w:val="auto"/>
          <w:spacing w:val="0"/>
          <w:sz w:val="32"/>
          <w:szCs w:val="32"/>
          <w:shd w:val="clear" w:fill="FFFFFF"/>
          <w:lang w:eastAsia="zh-CN"/>
        </w:rPr>
        <w:t>，</w:t>
      </w:r>
      <w:r>
        <w:rPr>
          <w:rFonts w:hint="eastAsia" w:ascii="Times New Roman" w:hAnsi="Times New Roman" w:eastAsia="方正仿宋_GBK" w:cs="Times New Roman"/>
          <w:i w:val="0"/>
          <w:iCs w:val="0"/>
          <w:caps w:val="0"/>
          <w:color w:val="auto"/>
          <w:spacing w:val="0"/>
          <w:sz w:val="32"/>
          <w:szCs w:val="32"/>
          <w:shd w:val="clear" w:fill="FFFFFF"/>
          <w:lang w:val="en-US" w:eastAsia="zh-CN"/>
        </w:rPr>
        <w:t>80</w:t>
      </w:r>
      <w:r>
        <w:rPr>
          <w:rFonts w:hint="default" w:ascii="Times New Roman" w:hAnsi="Times New Roman" w:eastAsia="方正仿宋_GBK" w:cs="Times New Roman"/>
          <w:i w:val="0"/>
          <w:iCs w:val="0"/>
          <w:caps w:val="0"/>
          <w:color w:val="auto"/>
          <w:spacing w:val="0"/>
          <w:sz w:val="32"/>
          <w:szCs w:val="32"/>
          <w:shd w:val="clear" w:fill="FFFFFF"/>
        </w:rPr>
        <w:t>台次车辆</w:t>
      </w:r>
      <w:r>
        <w:rPr>
          <w:rFonts w:hint="eastAsia" w:ascii="Times New Roman" w:hAnsi="Times New Roman" w:eastAsia="方正仿宋_GBK" w:cs="Times New Roman"/>
          <w:i w:val="0"/>
          <w:iCs w:val="0"/>
          <w:caps w:val="0"/>
          <w:color w:val="auto"/>
          <w:spacing w:val="0"/>
          <w:sz w:val="32"/>
          <w:szCs w:val="32"/>
          <w:shd w:val="clear" w:fill="FFFFFF"/>
          <w:lang w:eastAsia="zh-CN"/>
        </w:rPr>
        <w:t>，</w:t>
      </w:r>
      <w:r>
        <w:rPr>
          <w:rFonts w:hint="eastAsia" w:ascii="Times New Roman" w:hAnsi="Times New Roman" w:eastAsia="方正仿宋_GBK" w:cs="Times New Roman"/>
          <w:sz w:val="32"/>
          <w:szCs w:val="32"/>
          <w:lang w:eastAsia="zh-CN"/>
        </w:rPr>
        <w:t>开展</w:t>
      </w:r>
      <w:r>
        <w:rPr>
          <w:rFonts w:hint="default" w:ascii="Times New Roman" w:hAnsi="Times New Roman" w:eastAsia="方正仿宋_GBK" w:cs="Times New Roman"/>
          <w:sz w:val="32"/>
          <w:szCs w:val="32"/>
          <w:lang w:val="en-US" w:eastAsia="zh-CN"/>
        </w:rPr>
        <w:t>药品安全专项、医疗器械质量安全监管风险排查整治行动，</w:t>
      </w:r>
      <w:r>
        <w:rPr>
          <w:rFonts w:hint="default" w:ascii="Times New Roman" w:hAnsi="Times New Roman" w:eastAsia="方正仿宋_GBK" w:cs="Times New Roman"/>
          <w:i w:val="0"/>
          <w:iCs w:val="0"/>
          <w:caps w:val="0"/>
          <w:color w:val="auto"/>
          <w:spacing w:val="0"/>
          <w:sz w:val="32"/>
          <w:szCs w:val="32"/>
          <w:shd w:val="clear" w:fill="FFFFFF"/>
        </w:rPr>
        <w:t>对辖区内</w:t>
      </w:r>
      <w:r>
        <w:rPr>
          <w:rFonts w:hint="default" w:ascii="Times New Roman" w:hAnsi="Times New Roman" w:eastAsia="方正仿宋_GBK" w:cs="Times New Roman"/>
          <w:i w:val="0"/>
          <w:iCs w:val="0"/>
          <w:caps w:val="0"/>
          <w:color w:val="auto"/>
          <w:spacing w:val="0"/>
          <w:sz w:val="32"/>
          <w:szCs w:val="32"/>
          <w:shd w:val="clear" w:fill="FFFFFF"/>
          <w:lang w:val="en-US" w:eastAsia="zh-CN"/>
        </w:rPr>
        <w:t>21</w:t>
      </w:r>
      <w:r>
        <w:rPr>
          <w:rFonts w:hint="default" w:ascii="Times New Roman" w:hAnsi="Times New Roman" w:eastAsia="方正仿宋_GBK" w:cs="Times New Roman"/>
          <w:i w:val="0"/>
          <w:iCs w:val="0"/>
          <w:caps w:val="0"/>
          <w:color w:val="auto"/>
          <w:spacing w:val="0"/>
          <w:sz w:val="32"/>
          <w:szCs w:val="32"/>
          <w:shd w:val="clear" w:fill="FFFFFF"/>
        </w:rPr>
        <w:t>家药品零售药店、19家二类医疗器械经营企业和6家诊所、14家医疗机构、45家化妆品经营使用单位的药品、医疗器械、化妆品经营、使用单位进行各专项检查和日常监督检查</w:t>
      </w:r>
      <w:r>
        <w:rPr>
          <w:rFonts w:hint="eastAsia" w:ascii="Times New Roman" w:hAnsi="Times New Roman" w:eastAsia="方正仿宋_GBK" w:cs="Times New Roman"/>
          <w:i w:val="0"/>
          <w:iCs w:val="0"/>
          <w:caps w:val="0"/>
          <w:color w:val="auto"/>
          <w:spacing w:val="0"/>
          <w:sz w:val="32"/>
          <w:szCs w:val="32"/>
          <w:shd w:val="clear" w:fill="FFFFFF"/>
          <w:lang w:eastAsia="zh-CN"/>
        </w:rPr>
        <w:t>，</w:t>
      </w:r>
      <w:r>
        <w:rPr>
          <w:rFonts w:hint="eastAsia" w:ascii="仿宋_GB2312" w:hAnsi="仿宋_GB2312" w:eastAsia="仿宋_GB2312" w:cs="仿宋_GB2312"/>
          <w:sz w:val="32"/>
          <w:szCs w:val="32"/>
          <w:lang w:val="en-US" w:eastAsia="zh-CN"/>
        </w:rPr>
        <w:t>下发责令整改5份，查处药品相关违法违规案件2起</w:t>
      </w:r>
      <w:r>
        <w:rPr>
          <w:rFonts w:hint="default" w:ascii="Times New Roman" w:hAnsi="Times New Roman" w:eastAsia="方正仿宋_GBK" w:cs="Times New Roman"/>
          <w:i w:val="0"/>
          <w:iCs w:val="0"/>
          <w:caps w:val="0"/>
          <w:color w:val="auto"/>
          <w:spacing w:val="0"/>
          <w:sz w:val="32"/>
          <w:szCs w:val="32"/>
          <w:shd w:val="clear" w:fill="FFFFFF"/>
        </w:rPr>
        <w:t>。</w:t>
      </w:r>
      <w:r>
        <w:rPr>
          <w:rFonts w:hint="default" w:ascii="Times New Roman" w:hAnsi="Times New Roman" w:eastAsia="方正仿宋_GBK" w:cs="Times New Roman"/>
          <w:i w:val="0"/>
          <w:iCs w:val="0"/>
          <w:caps w:val="0"/>
          <w:color w:val="auto"/>
          <w:spacing w:val="0"/>
          <w:sz w:val="32"/>
          <w:szCs w:val="32"/>
          <w:shd w:val="clear" w:fill="FFFFFF"/>
          <w:lang w:eastAsia="zh-CN"/>
        </w:rPr>
        <w:t>与</w:t>
      </w:r>
      <w:r>
        <w:rPr>
          <w:rFonts w:hint="default" w:ascii="Times New Roman" w:hAnsi="Times New Roman" w:eastAsia="方正仿宋_GBK" w:cs="Times New Roman"/>
          <w:sz w:val="32"/>
          <w:szCs w:val="32"/>
          <w:lang w:val="en-US" w:eastAsia="zh-CN"/>
        </w:rPr>
        <w:t>21家药品经营单位签订了《红原县重点管控药品经营责任书》</w:t>
      </w:r>
      <w:r>
        <w:rPr>
          <w:rFonts w:hint="eastAsia" w:ascii="Times New Roman" w:hAnsi="Times New Roman" w:eastAsia="方正仿宋_GBK" w:cs="Times New Roman"/>
          <w:sz w:val="32"/>
          <w:szCs w:val="32"/>
          <w:lang w:val="en-US" w:eastAsia="zh-CN"/>
        </w:rPr>
        <w:t>；</w:t>
      </w:r>
      <w:r>
        <w:rPr>
          <w:rFonts w:hint="eastAsia" w:ascii="Times New Roman" w:hAnsi="Times New Roman" w:eastAsia="方正仿宋_GBK" w:cs="Times New Roman"/>
          <w:b/>
          <w:bCs/>
          <w:i w:val="0"/>
          <w:iCs w:val="0"/>
          <w:caps w:val="0"/>
          <w:color w:val="auto"/>
          <w:spacing w:val="0"/>
          <w:sz w:val="32"/>
          <w:szCs w:val="32"/>
          <w:shd w:val="clear" w:fill="FFFFFF"/>
          <w:lang w:val="en-US" w:eastAsia="zh-CN"/>
        </w:rPr>
        <w:t>五</w:t>
      </w:r>
      <w:r>
        <w:rPr>
          <w:rFonts w:hint="default" w:ascii="Times New Roman" w:hAnsi="Times New Roman" w:eastAsia="方正仿宋_GBK" w:cs="Times New Roman"/>
          <w:b/>
          <w:bCs/>
          <w:i w:val="0"/>
          <w:iCs w:val="0"/>
          <w:caps w:val="0"/>
          <w:color w:val="auto"/>
          <w:spacing w:val="0"/>
          <w:sz w:val="32"/>
          <w:szCs w:val="32"/>
          <w:shd w:val="clear" w:fill="FFFFFF"/>
          <w:lang w:eastAsia="zh-CN"/>
        </w:rPr>
        <w:t>是</w:t>
      </w:r>
      <w:r>
        <w:rPr>
          <w:rFonts w:hint="default" w:ascii="Times New Roman" w:hAnsi="Times New Roman" w:eastAsia="方正仿宋_GBK" w:cs="Times New Roman"/>
          <w:b/>
          <w:bCs/>
          <w:i w:val="0"/>
          <w:iCs w:val="0"/>
          <w:caps w:val="0"/>
          <w:color w:val="auto"/>
          <w:spacing w:val="0"/>
          <w:sz w:val="32"/>
          <w:szCs w:val="32"/>
          <w:shd w:val="clear" w:fill="FFFFFF"/>
          <w:lang w:val="en-US" w:eastAsia="zh-CN"/>
        </w:rPr>
        <w:t>严格控制特种设</w:t>
      </w:r>
      <w:r>
        <w:rPr>
          <w:rFonts w:hint="eastAsia" w:ascii="Times New Roman" w:hAnsi="Times New Roman" w:eastAsia="方正仿宋_GBK" w:cs="Times New Roman"/>
          <w:b/>
          <w:bCs/>
          <w:i w:val="0"/>
          <w:iCs w:val="0"/>
          <w:caps w:val="0"/>
          <w:color w:val="auto"/>
          <w:spacing w:val="0"/>
          <w:sz w:val="32"/>
          <w:szCs w:val="32"/>
          <w:shd w:val="clear" w:fill="FFFFFF"/>
          <w:lang w:val="en-US" w:eastAsia="zh-CN"/>
        </w:rPr>
        <w:t>备</w:t>
      </w:r>
      <w:r>
        <w:rPr>
          <w:rFonts w:hint="default" w:ascii="Times New Roman" w:hAnsi="Times New Roman" w:eastAsia="方正仿宋_GBK" w:cs="Times New Roman"/>
          <w:b/>
          <w:bCs/>
          <w:i w:val="0"/>
          <w:iCs w:val="0"/>
          <w:caps w:val="0"/>
          <w:color w:val="auto"/>
          <w:spacing w:val="0"/>
          <w:sz w:val="32"/>
          <w:szCs w:val="32"/>
          <w:shd w:val="clear" w:fill="FFFFFF"/>
          <w:lang w:val="en-US" w:eastAsia="zh-CN"/>
        </w:rPr>
        <w:t>安全隐患。</w:t>
      </w:r>
      <w:r>
        <w:rPr>
          <w:rFonts w:hint="default" w:ascii="Times New Roman" w:hAnsi="Times New Roman" w:eastAsia="方正仿宋_GBK" w:cs="Times New Roman"/>
          <w:i w:val="0"/>
          <w:iCs w:val="0"/>
          <w:caps w:val="0"/>
          <w:color w:val="auto"/>
          <w:spacing w:val="0"/>
          <w:sz w:val="32"/>
          <w:szCs w:val="32"/>
          <w:shd w:val="clear" w:fill="FFFFFF"/>
          <w:lang w:val="en-US" w:eastAsia="zh-CN"/>
        </w:rPr>
        <w:t>认真开展重要时段特种设备安全专项监察工作，对</w:t>
      </w:r>
      <w:r>
        <w:rPr>
          <w:rFonts w:hint="default" w:ascii="Times New Roman" w:hAnsi="Times New Roman" w:eastAsia="方正仿宋_GBK" w:cs="Times New Roman"/>
          <w:i w:val="0"/>
          <w:iCs w:val="0"/>
          <w:caps w:val="0"/>
          <w:color w:val="auto"/>
          <w:spacing w:val="0"/>
          <w:sz w:val="32"/>
          <w:szCs w:val="32"/>
          <w:shd w:val="clear" w:fill="FFFFFF"/>
        </w:rPr>
        <w:t>辖区内特种设备使用单位现场全面检查率</w:t>
      </w:r>
      <w:r>
        <w:rPr>
          <w:rFonts w:hint="default" w:ascii="Times New Roman" w:hAnsi="Times New Roman" w:eastAsia="方正仿宋_GBK" w:cs="Times New Roman"/>
          <w:i w:val="0"/>
          <w:iCs w:val="0"/>
          <w:caps w:val="0"/>
          <w:color w:val="auto"/>
          <w:spacing w:val="0"/>
          <w:sz w:val="32"/>
          <w:szCs w:val="32"/>
          <w:shd w:val="clear" w:fill="FFFFFF"/>
          <w:lang w:val="en-US" w:eastAsia="zh-CN"/>
        </w:rPr>
        <w:t>100</w:t>
      </w:r>
      <w:r>
        <w:rPr>
          <w:rFonts w:hint="default" w:ascii="Times New Roman" w:hAnsi="Times New Roman" w:eastAsia="方正仿宋_GBK" w:cs="Times New Roman"/>
          <w:i w:val="0"/>
          <w:iCs w:val="0"/>
          <w:caps w:val="0"/>
          <w:color w:val="auto"/>
          <w:spacing w:val="0"/>
          <w:sz w:val="32"/>
          <w:szCs w:val="32"/>
          <w:shd w:val="clear" w:fill="FFFFFF"/>
        </w:rPr>
        <w:t>%，其中重点使用单位现场全面检查率100%，重点设备使用单位登记率100%。</w:t>
      </w:r>
      <w:r>
        <w:rPr>
          <w:rFonts w:hint="default" w:ascii="Times New Roman" w:hAnsi="Times New Roman" w:eastAsia="方正仿宋_GBK" w:cs="Times New Roman"/>
          <w:b w:val="0"/>
          <w:bCs w:val="0"/>
          <w:sz w:val="32"/>
          <w:szCs w:val="32"/>
          <w:lang w:val="en-US" w:eastAsia="zh-CN"/>
        </w:rPr>
        <w:t>检查使用特种设备企业及单位共</w:t>
      </w:r>
      <w:r>
        <w:rPr>
          <w:rFonts w:hint="eastAsia" w:ascii="Times New Roman" w:hAnsi="Times New Roman" w:eastAsia="方正仿宋_GBK" w:cs="Times New Roman"/>
          <w:b w:val="0"/>
          <w:bCs w:val="0"/>
          <w:sz w:val="32"/>
          <w:szCs w:val="32"/>
          <w:lang w:val="en-US" w:eastAsia="zh-CN"/>
        </w:rPr>
        <w:t>70</w:t>
      </w:r>
      <w:r>
        <w:rPr>
          <w:rFonts w:hint="default" w:ascii="Times New Roman" w:hAnsi="Times New Roman" w:eastAsia="方正仿宋_GBK" w:cs="Times New Roman"/>
          <w:b w:val="0"/>
          <w:bCs w:val="0"/>
          <w:sz w:val="32"/>
          <w:szCs w:val="32"/>
          <w:lang w:val="en-US" w:eastAsia="zh-CN"/>
        </w:rPr>
        <w:t>家次,</w:t>
      </w:r>
      <w:r>
        <w:rPr>
          <w:rFonts w:hint="default" w:ascii="Times New Roman" w:hAnsi="Times New Roman" w:eastAsia="方正仿宋_GBK" w:cs="Times New Roman"/>
          <w:color w:val="000000"/>
          <w:sz w:val="32"/>
          <w:szCs w:val="32"/>
        </w:rPr>
        <w:t>共出动执法人员</w:t>
      </w:r>
      <w:r>
        <w:rPr>
          <w:rFonts w:hint="eastAsia" w:ascii="Times New Roman" w:hAnsi="Times New Roman" w:eastAsia="方正仿宋_GBK" w:cs="Times New Roman"/>
          <w:color w:val="000000"/>
          <w:sz w:val="32"/>
          <w:szCs w:val="32"/>
          <w:lang w:val="en-US" w:eastAsia="zh-CN"/>
        </w:rPr>
        <w:t>288</w:t>
      </w:r>
      <w:r>
        <w:rPr>
          <w:rFonts w:hint="default" w:ascii="Times New Roman" w:hAnsi="Times New Roman" w:eastAsia="方正仿宋_GBK" w:cs="Times New Roman"/>
          <w:color w:val="000000"/>
          <w:sz w:val="32"/>
          <w:szCs w:val="32"/>
        </w:rPr>
        <w:t>人次，执法车辆</w:t>
      </w:r>
      <w:r>
        <w:rPr>
          <w:rFonts w:hint="default" w:ascii="Times New Roman" w:hAnsi="Times New Roman" w:eastAsia="方正仿宋_GBK" w:cs="Times New Roman"/>
          <w:color w:val="000000"/>
          <w:sz w:val="32"/>
          <w:szCs w:val="32"/>
          <w:lang w:val="en-US" w:eastAsia="zh-CN"/>
        </w:rPr>
        <w:t>10余</w:t>
      </w:r>
      <w:r>
        <w:rPr>
          <w:rFonts w:hint="default" w:ascii="Times New Roman" w:hAnsi="Times New Roman" w:eastAsia="方正仿宋_GBK" w:cs="Times New Roman"/>
          <w:color w:val="000000"/>
          <w:sz w:val="32"/>
          <w:szCs w:val="32"/>
        </w:rPr>
        <w:t>台</w:t>
      </w:r>
      <w:r>
        <w:rPr>
          <w:rFonts w:hint="default" w:ascii="Times New Roman" w:hAnsi="Times New Roman" w:eastAsia="方正仿宋_GBK" w:cs="Times New Roman"/>
          <w:color w:val="000000"/>
          <w:sz w:val="32"/>
          <w:szCs w:val="32"/>
          <w:lang w:eastAsia="zh-CN"/>
        </w:rPr>
        <w:t>次</w:t>
      </w:r>
      <w:r>
        <w:rPr>
          <w:rFonts w:hint="eastAsia"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lang w:val="en-US" w:eastAsia="zh-CN"/>
        </w:rPr>
        <w:t>下达监察指令共计</w:t>
      </w:r>
      <w:r>
        <w:rPr>
          <w:rFonts w:hint="eastAsia" w:ascii="Times New Roman" w:hAnsi="Times New Roman" w:eastAsia="方正仿宋_GBK" w:cs="Times New Roman"/>
          <w:color w:val="000000"/>
          <w:sz w:val="32"/>
          <w:szCs w:val="32"/>
          <w:lang w:val="en-US" w:eastAsia="zh-CN"/>
        </w:rPr>
        <w:t>6</w:t>
      </w:r>
      <w:r>
        <w:rPr>
          <w:rFonts w:hint="default" w:ascii="Times New Roman" w:hAnsi="Times New Roman" w:eastAsia="方正仿宋_GBK" w:cs="Times New Roman"/>
          <w:color w:val="000000"/>
          <w:sz w:val="32"/>
          <w:szCs w:val="32"/>
          <w:lang w:val="en-US" w:eastAsia="zh-CN"/>
        </w:rPr>
        <w:t>份。</w:t>
      </w:r>
      <w:r>
        <w:rPr>
          <w:rFonts w:hint="eastAsia" w:ascii="Times New Roman" w:hAnsi="Times New Roman" w:eastAsia="方正仿宋_GBK" w:cs="Times New Roman"/>
          <w:color w:val="000000"/>
          <w:sz w:val="32"/>
          <w:szCs w:val="32"/>
          <w:lang w:val="en-US" w:eastAsia="zh-CN"/>
        </w:rPr>
        <w:t>今年以来，</w:t>
      </w:r>
      <w:r>
        <w:rPr>
          <w:rFonts w:hint="default" w:ascii="Times New Roman" w:hAnsi="Times New Roman" w:eastAsia="方正仿宋_GBK" w:cs="Times New Roman"/>
          <w:i w:val="0"/>
          <w:iCs w:val="0"/>
          <w:caps w:val="0"/>
          <w:color w:val="auto"/>
          <w:spacing w:val="0"/>
          <w:sz w:val="32"/>
          <w:szCs w:val="32"/>
          <w:shd w:val="clear" w:fill="FFFFFF"/>
          <w:lang w:eastAsia="zh-CN"/>
        </w:rPr>
        <w:t>未发生特种设备安全事故。</w:t>
      </w:r>
      <w:r>
        <w:rPr>
          <w:rFonts w:hint="default" w:ascii="Times New Roman" w:hAnsi="Times New Roman" w:eastAsia="方正仿宋_GBK" w:cs="Times New Roman"/>
          <w:b/>
          <w:bCs/>
          <w:i w:val="0"/>
          <w:iCs w:val="0"/>
          <w:caps w:val="0"/>
          <w:color w:val="auto"/>
          <w:spacing w:val="0"/>
          <w:sz w:val="32"/>
          <w:szCs w:val="32"/>
          <w:shd w:val="clear" w:fill="FFFFFF"/>
          <w:lang w:eastAsia="zh-CN"/>
        </w:rPr>
        <w:t>六是扎实推进</w:t>
      </w:r>
      <w:r>
        <w:rPr>
          <w:rFonts w:hint="default" w:ascii="Times New Roman" w:hAnsi="Times New Roman" w:eastAsia="方正仿宋_GBK" w:cs="Times New Roman"/>
          <w:b/>
          <w:sz w:val="32"/>
          <w:szCs w:val="32"/>
          <w:lang w:eastAsia="zh-CN"/>
        </w:rPr>
        <w:t>诚信计量工作。</w:t>
      </w:r>
      <w:r>
        <w:rPr>
          <w:rFonts w:hint="default" w:ascii="Times New Roman" w:hAnsi="Times New Roman" w:eastAsia="方正仿宋_GBK" w:cs="Times New Roman"/>
          <w:kern w:val="2"/>
          <w:sz w:val="32"/>
          <w:szCs w:val="32"/>
          <w:lang w:val="en-US" w:eastAsia="zh-CN" w:bidi="ar-SA"/>
        </w:rPr>
        <w:t>为持续强化集贸市场民生计量监管工作，督促市场主办方落实主体责任，履行计量监管在商品交易和市场稳定的职责，打击利用不合格及作弊计量器具坑害消费者利益的计量违法行为。</w:t>
      </w:r>
      <w:r>
        <w:rPr>
          <w:rFonts w:hint="eastAsia" w:ascii="Times New Roman" w:hAnsi="Times New Roman" w:eastAsia="方正仿宋_GBK" w:cs="Times New Roman"/>
          <w:kern w:val="2"/>
          <w:sz w:val="32"/>
          <w:szCs w:val="32"/>
          <w:lang w:val="en-US" w:eastAsia="zh-CN" w:bidi="ar-SA"/>
        </w:rPr>
        <w:t>目前，</w:t>
      </w:r>
      <w:r>
        <w:rPr>
          <w:rFonts w:hint="eastAsia" w:ascii="仿宋_GB2312" w:hAnsi="仿宋_GB2312" w:eastAsia="仿宋_GB2312" w:cs="仿宋_GB2312"/>
          <w:sz w:val="32"/>
          <w:szCs w:val="32"/>
        </w:rPr>
        <w:t>共检查</w:t>
      </w:r>
      <w:r>
        <w:rPr>
          <w:rFonts w:hint="eastAsia" w:ascii="仿宋_GB2312" w:hAnsi="仿宋_GB2312" w:eastAsia="仿宋_GB2312" w:cs="仿宋_GB2312"/>
          <w:sz w:val="32"/>
          <w:szCs w:val="32"/>
          <w:lang w:eastAsia="zh-CN"/>
        </w:rPr>
        <w:t>加油站</w:t>
      </w:r>
      <w:r>
        <w:rPr>
          <w:rFonts w:hint="eastAsia" w:ascii="仿宋_GB2312" w:hAnsi="仿宋_GB2312" w:eastAsia="仿宋_GB2312" w:cs="仿宋_GB2312"/>
          <w:sz w:val="32"/>
          <w:szCs w:val="32"/>
          <w:lang w:val="en-US" w:eastAsia="zh-CN"/>
        </w:rPr>
        <w:t>10家次</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农贸市场</w:t>
      </w:r>
      <w:r>
        <w:rPr>
          <w:rFonts w:hint="eastAsia" w:ascii="仿宋_GB2312" w:hAnsi="仿宋_GB2312" w:eastAsia="仿宋_GB2312" w:cs="仿宋_GB2312"/>
          <w:sz w:val="32"/>
          <w:szCs w:val="32"/>
          <w:lang w:val="en-US" w:eastAsia="zh-CN"/>
        </w:rPr>
        <w:t>3家次，各类经营户49家，</w:t>
      </w:r>
      <w:r>
        <w:rPr>
          <w:rFonts w:hint="eastAsia" w:ascii="仿宋_GB2312" w:hAnsi="仿宋_GB2312" w:eastAsia="仿宋_GB2312" w:cs="仿宋_GB2312"/>
          <w:kern w:val="2"/>
          <w:sz w:val="32"/>
          <w:szCs w:val="32"/>
          <w:lang w:val="en-US" w:eastAsia="zh-CN" w:bidi="ar-SA"/>
        </w:rPr>
        <w:t>发现使用未经检定计量器具5家，已立案查处。发放诚信计量器具3家。</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方正仿宋_GBK" w:cs="Times New Roman"/>
          <w:sz w:val="32"/>
          <w:szCs w:val="32"/>
          <w:lang w:val="en-US" w:eastAsia="zh-CN"/>
        </w:rPr>
      </w:pPr>
      <w:r>
        <w:rPr>
          <w:rFonts w:hint="eastAsia" w:ascii="楷体_GB2312" w:hAnsi="楷体_GB2312" w:eastAsia="楷体_GB2312" w:cs="楷体_GB2312"/>
          <w:b/>
          <w:bCs/>
          <w:sz w:val="32"/>
          <w:szCs w:val="32"/>
          <w:lang w:val="en-US" w:eastAsia="zh-CN"/>
        </w:rPr>
        <w:t>（五）立足监督，突出职能，</w:t>
      </w:r>
      <w:r>
        <w:rPr>
          <w:rFonts w:hint="eastAsia" w:ascii="楷体_GB2312" w:hAnsi="楷体_GB2312" w:eastAsia="楷体_GB2312" w:cs="楷体_GB2312"/>
          <w:b/>
          <w:bCs/>
          <w:sz w:val="32"/>
          <w:szCs w:val="32"/>
          <w:lang w:eastAsia="zh-CN"/>
        </w:rPr>
        <w:t>严抓疫情防控工作。</w:t>
      </w:r>
      <w:r>
        <w:rPr>
          <w:rFonts w:hint="eastAsia" w:ascii="楷体_GB2312" w:hAnsi="楷体_GB2312" w:eastAsia="楷体_GB2312" w:cs="楷体_GB2312"/>
          <w:b/>
          <w:bCs/>
          <w:sz w:val="32"/>
          <w:szCs w:val="32"/>
        </w:rPr>
        <w:t>一是常态化开展冷链食品监督检查。</w:t>
      </w:r>
      <w:r>
        <w:rPr>
          <w:rFonts w:hint="default" w:ascii="Times New Roman" w:hAnsi="Times New Roman" w:eastAsia="方正仿宋_GBK" w:cs="Times New Roman"/>
          <w:i w:val="0"/>
          <w:iCs w:val="0"/>
          <w:caps w:val="0"/>
          <w:color w:val="auto"/>
          <w:spacing w:val="0"/>
          <w:sz w:val="32"/>
          <w:szCs w:val="32"/>
          <w:shd w:val="clear" w:fill="FFFFFF"/>
          <w:lang w:val="en-US" w:eastAsia="zh-CN"/>
        </w:rPr>
        <w:t>持续强化冷链食品摸排，坚持与疾控中心建立冷链食品监督检查常态化机制。积极贯彻追溯信息（“川冷链”平台）的录入，对全县冷链食品经营单位负责人开展集中约谈</w:t>
      </w:r>
      <w:r>
        <w:rPr>
          <w:rFonts w:hint="eastAsia" w:ascii="Times New Roman" w:hAnsi="Times New Roman" w:eastAsia="方正仿宋_GBK" w:cs="Times New Roman"/>
          <w:i w:val="0"/>
          <w:iCs w:val="0"/>
          <w:caps w:val="0"/>
          <w:color w:val="auto"/>
          <w:spacing w:val="0"/>
          <w:sz w:val="32"/>
          <w:szCs w:val="32"/>
          <w:shd w:val="clear" w:fill="FFFFFF"/>
          <w:lang w:val="en-US" w:eastAsia="zh-CN"/>
        </w:rPr>
        <w:t>，约谈9家</w:t>
      </w:r>
      <w:r>
        <w:rPr>
          <w:rFonts w:hint="default" w:ascii="Times New Roman" w:hAnsi="Times New Roman" w:eastAsia="方正仿宋_GBK" w:cs="Times New Roman"/>
          <w:i w:val="0"/>
          <w:iCs w:val="0"/>
          <w:caps w:val="0"/>
          <w:color w:val="auto"/>
          <w:spacing w:val="0"/>
          <w:sz w:val="32"/>
          <w:szCs w:val="32"/>
          <w:shd w:val="clear" w:fill="FFFFFF"/>
          <w:lang w:val="en-US" w:eastAsia="zh-CN"/>
        </w:rPr>
        <w:t>。</w:t>
      </w:r>
      <w:r>
        <w:rPr>
          <w:rFonts w:hint="default" w:ascii="Times New Roman" w:hAnsi="Times New Roman" w:eastAsia="方正仿宋_GBK" w:cs="Times New Roman"/>
          <w:b/>
          <w:bCs/>
          <w:sz w:val="32"/>
          <w:szCs w:val="32"/>
          <w:lang w:eastAsia="zh-CN"/>
        </w:rPr>
        <w:t>二是</w:t>
      </w:r>
      <w:r>
        <w:rPr>
          <w:rFonts w:hint="default" w:ascii="Times New Roman" w:hAnsi="Times New Roman" w:eastAsia="方正仿宋_GBK" w:cs="Times New Roman"/>
          <w:b/>
          <w:bCs/>
          <w:sz w:val="32"/>
          <w:szCs w:val="32"/>
          <w:lang w:val="en-US" w:eastAsia="zh-CN"/>
        </w:rPr>
        <w:t>加强新冠肺炎检测试剂盒监督管理。</w:t>
      </w:r>
      <w:r>
        <w:rPr>
          <w:rFonts w:hint="default" w:ascii="Times New Roman" w:hAnsi="Times New Roman" w:eastAsia="方正仿宋_GBK" w:cs="Times New Roman"/>
          <w:sz w:val="32"/>
          <w:szCs w:val="32"/>
        </w:rPr>
        <w:t>对疫苗在储存、配送、接种质量情况开展全流程全链条全覆盖彻查，</w:t>
      </w:r>
      <w:r>
        <w:rPr>
          <w:rFonts w:hint="default" w:ascii="Times New Roman" w:hAnsi="Times New Roman" w:eastAsia="方正仿宋_GBK" w:cs="Times New Roman"/>
          <w:sz w:val="32"/>
          <w:szCs w:val="32"/>
          <w:lang w:val="en-US" w:eastAsia="zh-CN"/>
        </w:rPr>
        <w:t>做好产品追溯，</w:t>
      </w:r>
      <w:r>
        <w:rPr>
          <w:rFonts w:hint="default" w:ascii="Times New Roman" w:hAnsi="Times New Roman" w:eastAsia="方正仿宋_GBK" w:cs="Times New Roman"/>
          <w:sz w:val="32"/>
          <w:szCs w:val="32"/>
        </w:rPr>
        <w:t>确保工作统一有序、不留死角。</w:t>
      </w:r>
      <w:r>
        <w:rPr>
          <w:rFonts w:hint="default" w:ascii="Times New Roman" w:hAnsi="Times New Roman" w:eastAsia="方正仿宋_GBK" w:cs="Times New Roman"/>
          <w:b/>
          <w:bCs/>
          <w:sz w:val="32"/>
          <w:szCs w:val="32"/>
          <w:lang w:val="en-US" w:eastAsia="zh-CN"/>
        </w:rPr>
        <w:t>三是坚持防疫用械安全监管。</w:t>
      </w:r>
      <w:r>
        <w:rPr>
          <w:rFonts w:hint="default" w:ascii="Times New Roman" w:hAnsi="Times New Roman" w:eastAsia="方正仿宋_GBK" w:cs="Times New Roman"/>
          <w:sz w:val="32"/>
          <w:szCs w:val="32"/>
          <w:lang w:val="en-US" w:eastAsia="zh-CN"/>
        </w:rPr>
        <w:t>开展对口</w:t>
      </w:r>
      <w:r>
        <w:rPr>
          <w:rFonts w:hint="default" w:ascii="Times New Roman" w:hAnsi="Times New Roman" w:eastAsia="方正仿宋_GBK" w:cs="Times New Roman"/>
          <w:sz w:val="32"/>
          <w:szCs w:val="32"/>
          <w:lang w:eastAsia="zh-CN"/>
        </w:rPr>
        <w:t>罩、防护服、消毒液等疫情防控用械监督检查，确保用械安全。</w:t>
      </w:r>
      <w:r>
        <w:rPr>
          <w:rFonts w:hint="default" w:ascii="Times New Roman" w:hAnsi="Times New Roman" w:eastAsia="方正仿宋_GBK" w:cs="Times New Roman"/>
          <w:b/>
          <w:bCs/>
          <w:sz w:val="32"/>
          <w:szCs w:val="32"/>
          <w:lang w:val="en-US" w:eastAsia="zh-CN"/>
        </w:rPr>
        <w:t>四是筑牢关键环节疫情防控屏障。</w:t>
      </w:r>
      <w:r>
        <w:rPr>
          <w:rFonts w:hint="default" w:ascii="Times New Roman" w:hAnsi="Times New Roman" w:eastAsia="方正仿宋_GBK" w:cs="Times New Roman"/>
          <w:sz w:val="32"/>
          <w:szCs w:val="32"/>
          <w:lang w:eastAsia="zh-CN"/>
        </w:rPr>
        <w:t>动员餐饮单位、农贸市场、商超、棋牌室（麻将馆）、药店从业人员接种疫苗，督促农贸市场、商超、餐饮、药店等落实常态化核酸检测要求</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落实登记、测温、消毒、查验健康码等防控措施进行检查核实，设置入口测温点，实行“绿码”上岗制。</w:t>
      </w:r>
      <w:r>
        <w:rPr>
          <w:rFonts w:hint="default" w:ascii="Times New Roman" w:hAnsi="Times New Roman" w:eastAsia="方正仿宋_GBK" w:cs="Times New Roman"/>
          <w:sz w:val="32"/>
          <w:szCs w:val="32"/>
          <w:lang w:val="en-US" w:eastAsia="zh-CN"/>
        </w:rPr>
        <w:t>截止目前，</w:t>
      </w:r>
      <w:r>
        <w:rPr>
          <w:rFonts w:hint="eastAsia" w:ascii="Times New Roman" w:hAnsi="Times New Roman" w:eastAsia="方正仿宋_GBK" w:cs="Times New Roman"/>
          <w:sz w:val="32"/>
          <w:szCs w:val="32"/>
          <w:lang w:val="en-US" w:eastAsia="zh-CN"/>
        </w:rPr>
        <w:t>出动执法人员865人次，执法车251台次，</w:t>
      </w:r>
      <w:r>
        <w:rPr>
          <w:rFonts w:hint="default" w:ascii="Times New Roman" w:hAnsi="Times New Roman" w:eastAsia="方正仿宋_GBK" w:cs="Times New Roman"/>
          <w:sz w:val="32"/>
          <w:szCs w:val="32"/>
          <w:lang w:val="en-US" w:eastAsia="zh-CN"/>
        </w:rPr>
        <w:t>移交公安违反疫情防控相关工作措施案件1起</w:t>
      </w:r>
      <w:r>
        <w:rPr>
          <w:rFonts w:hint="eastAsia" w:ascii="Times New Roman" w:hAnsi="Times New Roman" w:eastAsia="方正仿宋_GBK"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sz w:val="32"/>
          <w:szCs w:val="32"/>
          <w:lang w:eastAsia="zh-CN"/>
        </w:rPr>
      </w:pPr>
      <w:r>
        <w:rPr>
          <w:rFonts w:hint="eastAsia" w:ascii="楷体_GB2312" w:hAnsi="楷体_GB2312" w:eastAsia="楷体_GB2312" w:cs="楷体_GB2312"/>
          <w:b/>
          <w:bCs/>
          <w:sz w:val="32"/>
          <w:szCs w:val="32"/>
          <w:lang w:val="en-US" w:eastAsia="zh-CN"/>
        </w:rPr>
        <w:t>（六）专项出击，打非断链，维护长江黄河流域生态平衡。</w:t>
      </w:r>
      <w:r>
        <w:rPr>
          <w:rFonts w:hint="eastAsia" w:ascii="仿宋_GB2312" w:hAnsi="仿宋_GB2312" w:eastAsia="仿宋_GB2312" w:cs="仿宋_GB2312"/>
          <w:color w:val="000000"/>
          <w:sz w:val="32"/>
          <w:szCs w:val="32"/>
          <w:lang w:val="en-US" w:eastAsia="zh-CN"/>
        </w:rPr>
        <w:t>把“长江黄河禁捕、打非断链”工作与疫情防控、“扫黑除恶”“春雷行动”、食品安全和企业信用监管结合起来，切实开展打击市场销售长江黄河流域非法捕捞渔获物专项行动。</w:t>
      </w:r>
      <w:r>
        <w:rPr>
          <w:rFonts w:hint="eastAsia" w:ascii="仿宋_GB2312" w:hAnsi="仿宋_GB2312" w:eastAsia="仿宋_GB2312" w:cs="仿宋_GB2312"/>
          <w:color w:val="000000"/>
          <w:sz w:val="32"/>
          <w:szCs w:val="32"/>
        </w:rPr>
        <w:t>出动执法人员</w:t>
      </w:r>
      <w:r>
        <w:rPr>
          <w:rFonts w:hint="eastAsia" w:ascii="仿宋_GB2312" w:hAnsi="仿宋_GB2312" w:eastAsia="仿宋_GB2312" w:cs="仿宋_GB2312"/>
          <w:color w:val="000000"/>
          <w:sz w:val="32"/>
          <w:szCs w:val="32"/>
          <w:lang w:val="en-US" w:eastAsia="zh-CN"/>
        </w:rPr>
        <w:t>70</w:t>
      </w:r>
      <w:r>
        <w:rPr>
          <w:rFonts w:hint="eastAsia" w:ascii="仿宋_GB2312" w:hAnsi="仿宋_GB2312" w:eastAsia="仿宋_GB2312" w:cs="仿宋_GB2312"/>
          <w:color w:val="000000"/>
          <w:sz w:val="32"/>
          <w:szCs w:val="32"/>
        </w:rPr>
        <w:t>人次，排查农贸市场1家、水产品销售单位2家、餐饮服务单位</w:t>
      </w:r>
      <w:r>
        <w:rPr>
          <w:rFonts w:hint="eastAsia" w:ascii="仿宋_GB2312" w:hAnsi="仿宋_GB2312" w:eastAsia="仿宋_GB2312" w:cs="仿宋_GB2312"/>
          <w:color w:val="000000"/>
          <w:sz w:val="32"/>
          <w:szCs w:val="32"/>
          <w:lang w:val="en-US" w:eastAsia="zh-CN"/>
        </w:rPr>
        <w:t>110</w:t>
      </w:r>
      <w:r>
        <w:rPr>
          <w:rFonts w:hint="eastAsia" w:ascii="仿宋_GB2312" w:hAnsi="仿宋_GB2312" w:eastAsia="仿宋_GB2312" w:cs="仿宋_GB2312"/>
          <w:color w:val="000000"/>
          <w:sz w:val="32"/>
          <w:szCs w:val="32"/>
        </w:rPr>
        <w:t>家</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印</w:t>
      </w:r>
      <w:r>
        <w:rPr>
          <w:rFonts w:hint="eastAsia" w:ascii="仿宋_GB2312" w:hAnsi="仿宋_GB2312" w:eastAsia="仿宋_GB2312" w:cs="仿宋_GB2312"/>
          <w:color w:val="000000"/>
          <w:sz w:val="32"/>
          <w:szCs w:val="32"/>
          <w:lang w:eastAsia="zh-CN"/>
        </w:rPr>
        <w:t>发</w:t>
      </w:r>
      <w:r>
        <w:rPr>
          <w:rFonts w:hint="eastAsia" w:ascii="仿宋_GB2312" w:hAnsi="仿宋_GB2312" w:eastAsia="仿宋_GB2312" w:cs="仿宋_GB2312"/>
          <w:color w:val="000000"/>
          <w:sz w:val="32"/>
          <w:szCs w:val="32"/>
        </w:rPr>
        <w:t>“长江禁捕</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打非断链”公益宣传海报</w:t>
      </w:r>
      <w:r>
        <w:rPr>
          <w:rFonts w:hint="eastAsia" w:ascii="仿宋_GB2312" w:hAnsi="仿宋_GB2312" w:eastAsia="仿宋_GB2312" w:cs="仿宋_GB2312"/>
          <w:color w:val="000000"/>
          <w:sz w:val="32"/>
          <w:szCs w:val="32"/>
          <w:lang w:val="en-US" w:eastAsia="zh-CN"/>
        </w:rPr>
        <w:t>200</w:t>
      </w:r>
      <w:r>
        <w:rPr>
          <w:rFonts w:hint="eastAsia" w:ascii="仿宋_GB2312" w:hAnsi="仿宋_GB2312" w:eastAsia="仿宋_GB2312" w:cs="仿宋_GB2312"/>
          <w:color w:val="000000"/>
          <w:sz w:val="32"/>
          <w:szCs w:val="32"/>
        </w:rPr>
        <w:t>份</w:t>
      </w:r>
      <w:r>
        <w:rPr>
          <w:rFonts w:hint="eastAsia" w:ascii="仿宋_GB2312" w:hAnsi="仿宋_GB2312" w:eastAsia="仿宋_GB2312" w:cs="仿宋_GB2312"/>
          <w:color w:val="000000"/>
          <w:sz w:val="32"/>
          <w:szCs w:val="32"/>
          <w:lang w:eastAsia="zh-CN"/>
        </w:rPr>
        <w:t>。</w:t>
      </w:r>
    </w:p>
    <w:p>
      <w:pPr>
        <w:pStyle w:val="2"/>
        <w:ind w:left="0" w:leftChars="0" w:firstLine="643" w:firstLineChars="200"/>
        <w:rPr>
          <w:rFonts w:hint="default" w:ascii="仿宋_GB2312" w:hAnsi="仿宋_GB2312" w:eastAsia="仿宋_GB2312" w:cs="仿宋_GB2312"/>
          <w:i w:val="0"/>
          <w:iCs w:val="0"/>
          <w:caps w:val="0"/>
          <w:color w:val="auto"/>
          <w:spacing w:val="0"/>
          <w:kern w:val="2"/>
          <w:sz w:val="32"/>
          <w:szCs w:val="32"/>
          <w:shd w:val="clear" w:fill="FFFFFF"/>
          <w:lang w:val="en-US" w:eastAsia="zh-CN" w:bidi="ar-SA"/>
        </w:rPr>
      </w:pPr>
      <w:r>
        <w:rPr>
          <w:rFonts w:hint="eastAsia" w:ascii="楷体_GB2312" w:hAnsi="楷体_GB2312" w:eastAsia="楷体_GB2312" w:cs="楷体_GB2312"/>
          <w:b/>
          <w:bCs/>
          <w:i w:val="0"/>
          <w:iCs w:val="0"/>
          <w:caps w:val="0"/>
          <w:color w:val="000000"/>
          <w:spacing w:val="0"/>
          <w:sz w:val="32"/>
          <w:szCs w:val="32"/>
          <w:lang w:val="en-US" w:eastAsia="zh-CN"/>
        </w:rPr>
        <w:t>（七）推动质量强县战略，聚力高质量发展。</w:t>
      </w:r>
      <w:r>
        <w:rPr>
          <w:rFonts w:hint="eastAsia" w:ascii="仿宋_GB2312" w:hAnsi="仿宋_GB2312" w:eastAsia="仿宋_GB2312" w:cs="仿宋_GB2312"/>
          <w:i w:val="0"/>
          <w:iCs w:val="0"/>
          <w:caps w:val="0"/>
          <w:color w:val="auto"/>
          <w:spacing w:val="0"/>
          <w:kern w:val="2"/>
          <w:sz w:val="32"/>
          <w:szCs w:val="32"/>
          <w:shd w:val="clear" w:fill="FFFFFF"/>
          <w:lang w:val="en-US" w:eastAsia="zh-CN" w:bidi="ar-SA"/>
        </w:rPr>
        <w:t>为了形成质量强县工作合力，我局不断加强部门之间协调，上下联动，推动质量强县工作；目前，共检查燃气器具质量6家次，处罚1家、工业产品质量4家、农村消费品质量安全守护提升行动11家。各节假日及二十大期间对各企业提高质量管理水平和质量保证能力进行了指导，进一步强化质量理念，推进质量强县工作开展。</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sz w:val="32"/>
          <w:szCs w:val="32"/>
        </w:rPr>
      </w:pP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eastAsia="zh-CN"/>
        </w:rPr>
        <w:t>八</w:t>
      </w:r>
      <w:r>
        <w:rPr>
          <w:rFonts w:hint="eastAsia" w:ascii="楷体_GB2312" w:hAnsi="楷体_GB2312" w:eastAsia="楷体_GB2312" w:cs="楷体_GB2312"/>
          <w:b/>
          <w:bCs/>
          <w:sz w:val="32"/>
          <w:szCs w:val="32"/>
        </w:rPr>
        <w:t>）党建统领，提升素质，大力加强干部队伍建设</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i w:val="0"/>
          <w:iCs w:val="0"/>
          <w:caps w:val="0"/>
          <w:color w:val="auto"/>
          <w:spacing w:val="0"/>
          <w:sz w:val="32"/>
          <w:szCs w:val="32"/>
          <w:shd w:val="clear" w:fill="FFFFFF"/>
          <w:lang w:val="en-US" w:eastAsia="zh-CN"/>
        </w:rPr>
        <w:t>一是始终把党的政治建设摆在党的建设首位。</w:t>
      </w:r>
      <w:r>
        <w:rPr>
          <w:rFonts w:hint="eastAsia" w:ascii="仿宋_GB2312" w:hAnsi="仿宋_GB2312" w:eastAsia="仿宋_GB2312" w:cs="仿宋_GB2312"/>
          <w:i w:val="0"/>
          <w:iCs w:val="0"/>
          <w:caps w:val="0"/>
          <w:color w:val="auto"/>
          <w:spacing w:val="0"/>
          <w:sz w:val="32"/>
          <w:szCs w:val="32"/>
          <w:shd w:val="clear" w:fill="FFFFFF"/>
          <w:lang w:val="en-US" w:eastAsia="zh-CN"/>
        </w:rPr>
        <w:t>扎实推进党史学习教育，订购并发放指定教材42余册，党组理论学习中心组召开专题学习8期，全局上下紧扣“学党史、悟思想、办实事、开新局”要求，结合“三会一课”和主题党日，开展“党员心声大家谈”“党史故事大家讲”“红色歌曲大家唱”等学习活动，将党建与业务融合，在民生保障、消费维权、食品安全等多领域开展一系列主题实践活动，丰富了学习教育形式，激发了党员干部的学习干事热情，推动党史学习教育走深走实。</w:t>
      </w:r>
      <w:r>
        <w:rPr>
          <w:rFonts w:hint="eastAsia" w:ascii="仿宋_GB2312" w:hAnsi="仿宋_GB2312" w:eastAsia="仿宋_GB2312" w:cs="仿宋_GB2312"/>
          <w:b/>
          <w:bCs/>
          <w:i w:val="0"/>
          <w:iCs w:val="0"/>
          <w:caps w:val="0"/>
          <w:color w:val="auto"/>
          <w:spacing w:val="0"/>
          <w:sz w:val="32"/>
          <w:szCs w:val="32"/>
          <w:shd w:val="clear" w:fill="FFFFFF"/>
          <w:lang w:val="en-US" w:eastAsia="zh-CN"/>
        </w:rPr>
        <w:t>二是狠抓班子建设。</w:t>
      </w:r>
      <w:r>
        <w:rPr>
          <w:rFonts w:hint="eastAsia" w:ascii="仿宋_GB2312" w:hAnsi="仿宋_GB2312" w:eastAsia="仿宋_GB2312" w:cs="仿宋_GB2312"/>
          <w:i w:val="0"/>
          <w:iCs w:val="0"/>
          <w:caps w:val="0"/>
          <w:color w:val="auto"/>
          <w:spacing w:val="0"/>
          <w:sz w:val="32"/>
          <w:szCs w:val="32"/>
          <w:shd w:val="clear" w:fill="FFFFFF"/>
          <w:lang w:val="en-US" w:eastAsia="zh-CN"/>
        </w:rPr>
        <w:t>以严格要求、严格教育，加强党性修养和作风养成，切实发挥好领导班子的核心带动作用为出发点，不断增强领导班子的创造力、凝聚力和战斗力，着力提升学习践行科学发展观的能力。正确处理好个人与组织、班长与班子、民主与集中、集体领导与个人分工负责的关系，注重发挥班子整体功能，巩固和发展党内政治生活团结和谐、心齐风正的良好局面。</w:t>
      </w:r>
      <w:r>
        <w:rPr>
          <w:rFonts w:hint="eastAsia" w:ascii="仿宋_GB2312" w:hAnsi="仿宋_GB2312" w:eastAsia="仿宋_GB2312" w:cs="仿宋_GB2312"/>
          <w:b/>
          <w:bCs/>
          <w:i w:val="0"/>
          <w:iCs w:val="0"/>
          <w:caps w:val="0"/>
          <w:color w:val="auto"/>
          <w:spacing w:val="0"/>
          <w:sz w:val="32"/>
          <w:szCs w:val="32"/>
          <w:shd w:val="clear" w:fill="FFFFFF"/>
          <w:lang w:val="en-US" w:eastAsia="zh-CN"/>
        </w:rPr>
        <w:t>三是狠抓作风建设。</w:t>
      </w:r>
      <w:r>
        <w:rPr>
          <w:rFonts w:hint="eastAsia" w:ascii="仿宋_GB2312" w:hAnsi="仿宋_GB2312" w:eastAsia="仿宋_GB2312" w:cs="仿宋_GB2312"/>
          <w:i w:val="0"/>
          <w:iCs w:val="0"/>
          <w:caps w:val="0"/>
          <w:color w:val="auto"/>
          <w:spacing w:val="0"/>
          <w:sz w:val="32"/>
          <w:szCs w:val="32"/>
          <w:shd w:val="clear" w:fill="FFFFFF"/>
          <w:lang w:val="en-US" w:eastAsia="zh-CN"/>
        </w:rPr>
        <w:t>把感情贴在民心民意上、把心思用在干事创业上、把工作落在求真务实上、把成绩记在集体努力上。继续推进机关行政效能建设，精简办事程序，强化行政效能监察，提高群众对市场监督的满意度和信任度。</w:t>
      </w:r>
      <w:r>
        <w:rPr>
          <w:rFonts w:hint="eastAsia" w:ascii="仿宋_GB2312" w:hAnsi="仿宋_GB2312" w:eastAsia="仿宋_GB2312" w:cs="仿宋_GB2312"/>
          <w:b/>
          <w:bCs/>
          <w:i w:val="0"/>
          <w:iCs w:val="0"/>
          <w:caps w:val="0"/>
          <w:color w:val="auto"/>
          <w:spacing w:val="0"/>
          <w:sz w:val="32"/>
          <w:szCs w:val="32"/>
          <w:shd w:val="clear" w:fill="FFFFFF"/>
          <w:lang w:val="en-US" w:eastAsia="zh-CN"/>
        </w:rPr>
        <w:t>四是狠抓廉政建设。</w:t>
      </w:r>
      <w:r>
        <w:rPr>
          <w:rFonts w:hint="eastAsia" w:ascii="仿宋_GB2312" w:hAnsi="仿宋_GB2312" w:eastAsia="仿宋_GB2312" w:cs="仿宋_GB2312"/>
          <w:i w:val="0"/>
          <w:iCs w:val="0"/>
          <w:caps w:val="0"/>
          <w:color w:val="auto"/>
          <w:spacing w:val="0"/>
          <w:sz w:val="32"/>
          <w:szCs w:val="32"/>
          <w:shd w:val="clear" w:fill="FFFFFF"/>
          <w:lang w:val="en-US" w:eastAsia="zh-CN"/>
        </w:rPr>
        <w:t>深入落实经常态化、制度化的廉政教育；以廉政风险点防范管理为载体，狠抓制度建设和源头治理；以领导干部为重点，增强权力監督工作力度；以阳光市场监督建设为抓手，大力推进效能建设和行风建设；以严肃严查领导干部违法违纪案件为重点，进一步增强惩治的威慑力。进一步提升政务公开、政府信息公开水平，树立市场监督机关廉政自律、勤政为民的良好形象。</w:t>
      </w:r>
    </w:p>
    <w:p>
      <w:pPr>
        <w:pStyle w:val="5"/>
        <w:keepNext w:val="0"/>
        <w:keepLines w:val="0"/>
        <w:widowControl/>
        <w:suppressLineNumbers w:val="0"/>
        <w:rPr>
          <w:rFonts w:hint="eastAsia" w:ascii="黑体" w:hAnsi="黑体" w:eastAsia="黑体" w:cs="黑体"/>
        </w:rPr>
      </w:pPr>
      <w:r>
        <w:rPr>
          <w:rFonts w:hint="eastAsia" w:ascii="黑体" w:hAnsi="黑体" w:eastAsia="黑体" w:cs="黑体"/>
        </w:rPr>
        <w:t>二、机构设置</w:t>
      </w:r>
    </w:p>
    <w:p>
      <w:pPr>
        <w:pStyle w:val="5"/>
        <w:keepNext w:val="0"/>
        <w:keepLines w:val="0"/>
        <w:widowControl/>
        <w:suppressLineNumbers w:val="0"/>
        <w:ind w:firstLine="640" w:firstLineChars="200"/>
      </w:pPr>
      <w:r>
        <w:rPr>
          <w:rFonts w:hint="eastAsia" w:ascii="方正仿宋_GBK" w:hAnsi="方正仿宋_GBK" w:eastAsia="方正仿宋_GBK" w:cs="方正仿宋_GBK"/>
          <w:b w:val="0"/>
          <w:bCs/>
          <w:sz w:val="32"/>
          <w:szCs w:val="32"/>
        </w:rPr>
        <w:t>阿坝州红原县市场监督管理局（汇总）下属二级单位</w:t>
      </w:r>
      <w:r>
        <w:rPr>
          <w:rFonts w:hint="eastAsia" w:ascii="方正仿宋_GBK" w:hAnsi="方正仿宋_GBK" w:eastAsia="方正仿宋_GBK" w:cs="方正仿宋_GBK"/>
          <w:b w:val="0"/>
          <w:bCs/>
          <w:sz w:val="32"/>
          <w:szCs w:val="32"/>
          <w:lang w:val="en-US" w:eastAsia="zh-CN"/>
        </w:rPr>
        <w:t>0</w:t>
      </w:r>
      <w:r>
        <w:rPr>
          <w:rFonts w:hint="eastAsia" w:ascii="方正仿宋_GBK" w:hAnsi="方正仿宋_GBK" w:eastAsia="方正仿宋_GBK" w:cs="方正仿宋_GBK"/>
          <w:b w:val="0"/>
          <w:bCs/>
          <w:sz w:val="32"/>
          <w:szCs w:val="32"/>
        </w:rPr>
        <w:t>个，其中行政单位</w:t>
      </w:r>
      <w:r>
        <w:rPr>
          <w:rFonts w:hint="eastAsia" w:ascii="方正仿宋_GBK" w:hAnsi="方正仿宋_GBK" w:eastAsia="方正仿宋_GBK" w:cs="方正仿宋_GBK"/>
          <w:b w:val="0"/>
          <w:bCs/>
          <w:sz w:val="32"/>
          <w:szCs w:val="32"/>
          <w:lang w:val="en-US" w:eastAsia="zh-CN"/>
        </w:rPr>
        <w:t>0</w:t>
      </w:r>
      <w:r>
        <w:rPr>
          <w:rFonts w:hint="eastAsia" w:ascii="方正仿宋_GBK" w:hAnsi="方正仿宋_GBK" w:eastAsia="方正仿宋_GBK" w:cs="方正仿宋_GBK"/>
          <w:b w:val="0"/>
          <w:bCs/>
          <w:sz w:val="32"/>
          <w:szCs w:val="32"/>
        </w:rPr>
        <w:t>个，参照公务员法管理的事业单位</w:t>
      </w:r>
      <w:r>
        <w:rPr>
          <w:rFonts w:hint="eastAsia" w:ascii="方正仿宋_GBK" w:hAnsi="方正仿宋_GBK" w:eastAsia="方正仿宋_GBK" w:cs="方正仿宋_GBK"/>
          <w:b w:val="0"/>
          <w:bCs/>
          <w:sz w:val="32"/>
          <w:szCs w:val="32"/>
          <w:lang w:val="en-US" w:eastAsia="zh-CN"/>
        </w:rPr>
        <w:t>0</w:t>
      </w:r>
      <w:r>
        <w:rPr>
          <w:rFonts w:hint="eastAsia" w:ascii="方正仿宋_GBK" w:hAnsi="方正仿宋_GBK" w:eastAsia="方正仿宋_GBK" w:cs="方正仿宋_GBK"/>
          <w:b w:val="0"/>
          <w:bCs/>
          <w:sz w:val="32"/>
          <w:szCs w:val="32"/>
        </w:rPr>
        <w:t>个，其他事业单位</w:t>
      </w:r>
      <w:r>
        <w:rPr>
          <w:rFonts w:hint="eastAsia" w:ascii="方正仿宋_GBK" w:hAnsi="方正仿宋_GBK" w:eastAsia="方正仿宋_GBK" w:cs="方正仿宋_GBK"/>
          <w:b w:val="0"/>
          <w:bCs/>
          <w:sz w:val="32"/>
          <w:szCs w:val="32"/>
          <w:lang w:val="en-US" w:eastAsia="zh-CN"/>
        </w:rPr>
        <w:t>0</w:t>
      </w:r>
      <w:r>
        <w:rPr>
          <w:rFonts w:hint="eastAsia" w:ascii="方正仿宋_GBK" w:hAnsi="方正仿宋_GBK" w:eastAsia="方正仿宋_GBK" w:cs="方正仿宋_GBK"/>
          <w:b w:val="0"/>
          <w:bCs/>
          <w:sz w:val="32"/>
          <w:szCs w:val="32"/>
        </w:rPr>
        <w:t>个。纳入阿坝州红原县市场监督管理局（汇总）2022年度部门决算编制范围的二级预算</w:t>
      </w:r>
      <w:r>
        <w:rPr>
          <w:rFonts w:hint="eastAsia" w:ascii="方正仿宋_GBK" w:hAnsi="方正仿宋_GBK" w:eastAsia="方正仿宋_GBK" w:cs="方正仿宋_GBK"/>
          <w:b w:val="0"/>
          <w:bCs/>
          <w:sz w:val="32"/>
          <w:szCs w:val="32"/>
          <w:lang w:eastAsia="zh-CN"/>
        </w:rPr>
        <w:t>机构</w:t>
      </w:r>
      <w:r>
        <w:rPr>
          <w:rFonts w:hint="eastAsia" w:ascii="方正仿宋_GBK" w:hAnsi="方正仿宋_GBK" w:eastAsia="方正仿宋_GBK" w:cs="方正仿宋_GBK"/>
          <w:b w:val="0"/>
          <w:bCs/>
          <w:sz w:val="32"/>
          <w:szCs w:val="32"/>
        </w:rPr>
        <w:t>包括：</w:t>
      </w:r>
      <w:r>
        <w:rPr>
          <w:rFonts w:hint="eastAsia" w:ascii="方正仿宋_GBK" w:hAnsi="方正仿宋_GBK" w:eastAsia="方正仿宋_GBK" w:cs="方正仿宋_GBK"/>
          <w:b w:val="0"/>
          <w:bCs/>
          <w:kern w:val="2"/>
          <w:sz w:val="32"/>
          <w:szCs w:val="32"/>
          <w:lang w:val="en-US" w:eastAsia="zh-CN" w:bidi="ar-SA"/>
        </w:rPr>
        <w:t>红原县知识产权局、红原县价格监督检查分局、红原县食品安全委员会办公室、红原县民营经济发展局和三个派出所。红原县市场监督管理局部门内设股室5个，分别是：办公室、食品药品监督管理股(设食安委办公室)、市场监督管理股、质量监督管理股、价格监督股。</w:t>
      </w:r>
      <w:r>
        <w:t> </w:t>
      </w:r>
    </w:p>
    <w:p>
      <w:pPr>
        <w:pStyle w:val="4"/>
        <w:keepNext w:val="0"/>
        <w:keepLines w:val="0"/>
        <w:widowControl/>
        <w:suppressLineNumbers w:val="0"/>
        <w:jc w:val="center"/>
      </w:pPr>
      <w:r>
        <w:t>第二部分 2022年度部门决算情况说明</w:t>
      </w:r>
    </w:p>
    <w:p>
      <w:pPr>
        <w:pStyle w:val="8"/>
        <w:keepNext w:val="0"/>
        <w:keepLines w:val="0"/>
        <w:widowControl/>
        <w:suppressLineNumbers w:val="0"/>
        <w:rPr>
          <w:rFonts w:hint="eastAsia" w:ascii="楷体" w:hAnsi="楷体" w:eastAsia="楷体" w:cs="楷体"/>
          <w:sz w:val="32"/>
          <w:szCs w:val="32"/>
        </w:rPr>
      </w:pPr>
      <w:r>
        <w:rPr>
          <w:rFonts w:hint="eastAsia" w:ascii="楷体" w:hAnsi="楷体" w:eastAsia="楷体" w:cs="楷体"/>
          <w:sz w:val="32"/>
          <w:szCs w:val="32"/>
        </w:rPr>
        <w:t>一、收入支出决算总体情况说明</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方正仿宋_GBK" w:hAnsi="方正仿宋_GBK" w:eastAsia="方正仿宋_GBK" w:cs="方正仿宋_GBK"/>
          <w:sz w:val="32"/>
          <w:szCs w:val="32"/>
        </w:rPr>
        <w:t>2022年度收、支总计1,010.71万元。与2021年相比，收、支总计各增加-121.31万元，增长-10.72%。主要变动原因是</w:t>
      </w:r>
      <w:r>
        <w:rPr>
          <w:rFonts w:hint="eastAsia" w:ascii="方正仿宋_GBK" w:hAnsi="方正仿宋_GBK" w:eastAsia="方正仿宋_GBK" w:cs="方正仿宋_GBK"/>
          <w:sz w:val="32"/>
          <w:szCs w:val="32"/>
          <w:lang w:eastAsia="zh-CN"/>
        </w:rPr>
        <w:t>人员调整和专项经费支出减少。</w:t>
      </w:r>
    </w:p>
    <w:p>
      <w:pPr>
        <w:pStyle w:val="8"/>
        <w:keepNext w:val="0"/>
        <w:keepLines w:val="0"/>
        <w:widowControl/>
        <w:suppressLineNumbers w:val="0"/>
        <w:ind w:firstLine="640" w:firstLineChars="200"/>
        <w:rPr>
          <w:rFonts w:hint="eastAsia" w:ascii="方正仿宋_GBK" w:hAnsi="方正仿宋_GBK" w:eastAsia="方正仿宋_GBK" w:cs="方正仿宋_GBK"/>
          <w:sz w:val="32"/>
          <w:szCs w:val="32"/>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935" distR="114935" simplePos="0" relativeHeight="251659264" behindDoc="1" locked="0" layoutInCell="1" allowOverlap="1">
            <wp:simplePos x="0" y="0"/>
            <wp:positionH relativeFrom="column">
              <wp:posOffset>53975</wp:posOffset>
            </wp:positionH>
            <wp:positionV relativeFrom="paragraph">
              <wp:posOffset>180975</wp:posOffset>
            </wp:positionV>
            <wp:extent cx="5054600" cy="2159000"/>
            <wp:effectExtent l="4445" t="4445" r="15875" b="15875"/>
            <wp:wrapTight wrapText="bothSides">
              <wp:wrapPolygon>
                <wp:start x="-19" y="-44"/>
                <wp:lineTo x="-19" y="21454"/>
                <wp:lineTo x="21538" y="21454"/>
                <wp:lineTo x="21538" y="-44"/>
                <wp:lineTo x="-19" y="-44"/>
              </wp:wrapPolygon>
            </wp:wrapTight>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r>
        <w:rPr>
          <w:rFonts w:hint="eastAsia" w:ascii="方正仿宋_GBK" w:hAnsi="方正仿宋_GBK" w:eastAsia="方正仿宋_GBK" w:cs="方正仿宋_GBK"/>
          <w:sz w:val="32"/>
          <w:szCs w:val="32"/>
        </w:rPr>
        <w:t>1：收、支决算总计变动情况图）（柱状图）</w:t>
      </w:r>
    </w:p>
    <w:p>
      <w:pPr>
        <w:pStyle w:val="8"/>
        <w:keepNext w:val="0"/>
        <w:keepLines w:val="0"/>
        <w:widowControl/>
        <w:suppressLineNumbers w:val="0"/>
        <w:jc w:val="left"/>
      </w:pPr>
      <w:r>
        <w:t> </w:t>
      </w:r>
    </w:p>
    <w:p>
      <w:pPr>
        <w:pStyle w:val="8"/>
        <w:keepNext w:val="0"/>
        <w:keepLines w:val="0"/>
        <w:widowControl/>
        <w:numPr>
          <w:ilvl w:val="0"/>
          <w:numId w:val="1"/>
        </w:numPr>
        <w:suppressLineNumbers w:val="0"/>
        <w:ind w:left="0" w:leftChars="0" w:firstLine="0" w:firstLineChars="0"/>
        <w:rPr>
          <w:rFonts w:hint="eastAsia" w:ascii="楷体" w:hAnsi="楷体" w:eastAsia="楷体" w:cs="楷体"/>
          <w:sz w:val="32"/>
          <w:szCs w:val="32"/>
        </w:rPr>
      </w:pPr>
      <w:r>
        <w:rPr>
          <w:rFonts w:hint="eastAsia" w:ascii="楷体" w:hAnsi="楷体" w:eastAsia="楷体" w:cs="楷体"/>
          <w:sz w:val="32"/>
          <w:szCs w:val="32"/>
        </w:rPr>
        <w:t>收入决算情况说明</w:t>
      </w:r>
    </w:p>
    <w:p>
      <w:pPr>
        <w:pStyle w:val="8"/>
        <w:keepNext w:val="0"/>
        <w:keepLines w:val="0"/>
        <w:widowControl/>
        <w:numPr>
          <w:ilvl w:val="0"/>
          <w:numId w:val="0"/>
        </w:numPr>
        <w:suppressLineNumbers w:val="0"/>
        <w:ind w:leftChars="0" w:right="0" w:rightChars="0" w:firstLine="640" w:firstLineChars="200"/>
        <w:rPr>
          <w:rFonts w:hint="eastAsia" w:ascii="方正仿宋_GBK" w:hAnsi="方正仿宋_GBK" w:eastAsia="方正仿宋_GBK" w:cs="方正仿宋_GBK"/>
          <w:sz w:val="32"/>
          <w:szCs w:val="32"/>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300" distR="114300" simplePos="0" relativeHeight="251660288" behindDoc="1" locked="0" layoutInCell="1" allowOverlap="1">
            <wp:simplePos x="0" y="0"/>
            <wp:positionH relativeFrom="column">
              <wp:posOffset>-36195</wp:posOffset>
            </wp:positionH>
            <wp:positionV relativeFrom="paragraph">
              <wp:posOffset>2847340</wp:posOffset>
            </wp:positionV>
            <wp:extent cx="4757420" cy="2003425"/>
            <wp:effectExtent l="4445" t="4445" r="8255" b="19050"/>
            <wp:wrapTight wrapText="bothSides">
              <wp:wrapPolygon>
                <wp:start x="-20" y="-48"/>
                <wp:lineTo x="-20" y="21477"/>
                <wp:lineTo x="21568" y="21477"/>
                <wp:lineTo x="21568" y="-48"/>
                <wp:lineTo x="-20" y="-48"/>
              </wp:wrapPolygon>
            </wp:wrapTight>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r>
        <w:rPr>
          <w:rFonts w:hint="eastAsia" w:ascii="方正仿宋_GBK" w:hAnsi="方正仿宋_GBK" w:eastAsia="方正仿宋_GBK" w:cs="方正仿宋_GBK"/>
          <w:sz w:val="32"/>
          <w:szCs w:val="32"/>
        </w:rPr>
        <w:t>2022年本年收入合计1,010.71万元，其中：一般公共预算财政拨款收入1,010.71万元，占100.00%；政府性基金预算财政拨款收入0.00万元，占0.00%；国有资本经营预算财政拨款收入0.00万元，占0.00%；上级补助收入0.00万元，占0.00%；事业收入0.00万元，占0.00%%；经营收入0.00万元，占0.00%%；附属单位上缴收入0.00万元，占0.00%；其他收入0.00万元，占0.00%。</w:t>
      </w:r>
    </w:p>
    <w:p>
      <w:pPr>
        <w:spacing w:line="600" w:lineRule="exact"/>
        <w:ind w:firstLine="640" w:firstLineChars="200"/>
        <w:outlineLvl w:val="1"/>
        <w:rPr>
          <w:rFonts w:ascii="仿宋" w:eastAsia="仿宋"/>
          <w:sz w:val="32"/>
          <w:szCs w:val="32"/>
        </w:rPr>
      </w:pPr>
    </w:p>
    <w:p>
      <w:pPr>
        <w:spacing w:line="600" w:lineRule="exact"/>
        <w:outlineLvl w:val="1"/>
        <w:rPr>
          <w:rFonts w:ascii="仿宋" w:eastAsia="仿宋"/>
          <w:b/>
          <w:sz w:val="32"/>
          <w:szCs w:val="32"/>
        </w:rPr>
      </w:pPr>
    </w:p>
    <w:p>
      <w:pPr>
        <w:spacing w:line="600" w:lineRule="exact"/>
        <w:ind w:firstLine="640" w:firstLineChars="200"/>
        <w:outlineLvl w:val="1"/>
        <w:rPr>
          <w:rFonts w:ascii="仿宋" w:eastAsia="仿宋"/>
          <w:sz w:val="32"/>
          <w:szCs w:val="32"/>
        </w:rPr>
      </w:pPr>
    </w:p>
    <w:p>
      <w:pPr>
        <w:spacing w:line="600" w:lineRule="exact"/>
        <w:ind w:firstLine="640" w:firstLineChars="200"/>
        <w:rPr>
          <w:rFonts w:ascii="仿宋" w:eastAsia="仿宋"/>
          <w:sz w:val="32"/>
          <w:szCs w:val="32"/>
        </w:rPr>
      </w:pPr>
    </w:p>
    <w:p>
      <w:pPr>
        <w:pStyle w:val="8"/>
        <w:keepNext w:val="0"/>
        <w:keepLines w:val="0"/>
        <w:widowControl/>
        <w:suppressLineNumbers w:val="0"/>
        <w:rPr>
          <w:rFonts w:hint="eastAsia" w:ascii="方正仿宋_GBK" w:hAnsi="方正仿宋_GBK" w:eastAsia="方正仿宋_GBK" w:cs="方正仿宋_GBK"/>
          <w:sz w:val="32"/>
          <w:szCs w:val="32"/>
        </w:rPr>
      </w:pPr>
    </w:p>
    <w:p>
      <w:pPr>
        <w:pStyle w:val="8"/>
        <w:keepNext w:val="0"/>
        <w:keepLines w:val="0"/>
        <w:widowControl/>
        <w:suppressLineNumbers w:val="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（图2：收入决算结构图）（饼状图）</w:t>
      </w:r>
    </w:p>
    <w:p>
      <w:pPr>
        <w:pStyle w:val="8"/>
        <w:keepNext w:val="0"/>
        <w:keepLines w:val="0"/>
        <w:widowControl/>
        <w:numPr>
          <w:ilvl w:val="0"/>
          <w:numId w:val="1"/>
        </w:numPr>
        <w:suppressLineNumbers w:val="0"/>
        <w:ind w:left="0" w:leftChars="0" w:firstLine="0" w:firstLineChars="0"/>
        <w:rPr>
          <w:rFonts w:hint="eastAsia" w:ascii="楷体" w:hAnsi="楷体" w:eastAsia="楷体" w:cs="楷体"/>
          <w:sz w:val="32"/>
          <w:szCs w:val="32"/>
        </w:rPr>
      </w:pPr>
      <w:r>
        <w:rPr>
          <w:rFonts w:hint="eastAsia" w:ascii="楷体" w:hAnsi="楷体" w:eastAsia="楷体" w:cs="楷体"/>
          <w:sz w:val="32"/>
          <w:szCs w:val="32"/>
        </w:rPr>
        <w:t>支出决算情况说明</w:t>
      </w:r>
    </w:p>
    <w:p>
      <w:pPr>
        <w:pStyle w:val="8"/>
        <w:keepNext w:val="0"/>
        <w:keepLines w:val="0"/>
        <w:widowControl/>
        <w:numPr>
          <w:ilvl w:val="0"/>
          <w:numId w:val="0"/>
        </w:numPr>
        <w:suppressLineNumbers w:val="0"/>
        <w:ind w:leftChars="0" w:right="0" w:rightChars="0"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2022年本年支出合计1,010.71万元，其中：基本支出886.73万元，占87.73%；项目支出123.98万元，占12.27%；上缴上级支出0.00万元，占0.00%；经营支出0.00万元，占经营支出0.00万元，占 0.00%；对附属单位补助支出0.00万元，占0.00%。</w:t>
      </w:r>
    </w:p>
    <w:p>
      <w:pPr>
        <w:pStyle w:val="8"/>
        <w:keepNext w:val="0"/>
        <w:keepLines w:val="0"/>
        <w:widowControl/>
        <w:numPr>
          <w:ilvl w:val="0"/>
          <w:numId w:val="0"/>
        </w:numPr>
        <w:suppressLineNumbers w:val="0"/>
        <w:ind w:leftChars="0" w:right="0" w:rightChars="0" w:firstLine="640" w:firstLineChars="200"/>
        <w:rPr>
          <w:rFonts w:hint="eastAsia" w:ascii="方正仿宋_GBK" w:hAnsi="方正仿宋_GBK" w:eastAsia="方正仿宋_GBK" w:cs="方正仿宋_GBK"/>
          <w:sz w:val="32"/>
          <w:szCs w:val="32"/>
        </w:rPr>
      </w:pPr>
    </w:p>
    <w:p>
      <w:pPr>
        <w:pStyle w:val="8"/>
        <w:keepNext w:val="0"/>
        <w:keepLines w:val="0"/>
        <w:widowControl/>
        <w:suppressLineNumbers w:val="0"/>
        <w:rPr>
          <w:rFonts w:hint="eastAsia" w:ascii="方正仿宋_GBK" w:hAnsi="方正仿宋_GBK" w:eastAsia="方正仿宋_GBK" w:cs="方正仿宋_GBK"/>
          <w:sz w:val="32"/>
          <w:szCs w:val="32"/>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935" distR="114935" simplePos="0" relativeHeight="251661312" behindDoc="1" locked="0" layoutInCell="1" allowOverlap="1">
            <wp:simplePos x="0" y="0"/>
            <wp:positionH relativeFrom="column">
              <wp:posOffset>364490</wp:posOffset>
            </wp:positionH>
            <wp:positionV relativeFrom="paragraph">
              <wp:posOffset>533400</wp:posOffset>
            </wp:positionV>
            <wp:extent cx="4815840" cy="1490345"/>
            <wp:effectExtent l="5080" t="5080" r="10160" b="13335"/>
            <wp:wrapTight wrapText="bothSides">
              <wp:wrapPolygon>
                <wp:start x="-23" y="-74"/>
                <wp:lineTo x="-23" y="21352"/>
                <wp:lineTo x="21577" y="21352"/>
                <wp:lineTo x="21577" y="-74"/>
                <wp:lineTo x="-23" y="-74"/>
              </wp:wrapPolygon>
            </wp:wrapTight>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pStyle w:val="8"/>
        <w:keepNext w:val="0"/>
        <w:keepLines w:val="0"/>
        <w:widowControl/>
        <w:suppressLineNumbers w:val="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w:t>
      </w:r>
    </w:p>
    <w:p>
      <w:pPr>
        <w:pStyle w:val="8"/>
        <w:keepNext w:val="0"/>
        <w:keepLines w:val="0"/>
        <w:widowControl/>
        <w:suppressLineNumbers w:val="0"/>
        <w:ind w:firstLine="320" w:firstLineChars="100"/>
      </w:pPr>
      <w:r>
        <w:rPr>
          <w:rFonts w:hint="eastAsia" w:ascii="方正仿宋_GBK" w:hAnsi="方正仿宋_GBK" w:eastAsia="方正仿宋_GBK" w:cs="方正仿宋_GBK"/>
          <w:sz w:val="32"/>
          <w:szCs w:val="32"/>
        </w:rPr>
        <w:t>（图3：支出决算结构图）（饼状图）</w:t>
      </w:r>
    </w:p>
    <w:p>
      <w:pPr>
        <w:pStyle w:val="8"/>
        <w:keepNext w:val="0"/>
        <w:keepLines w:val="0"/>
        <w:widowControl/>
        <w:suppressLineNumbers w:val="0"/>
      </w:pPr>
      <w:r>
        <w:t> </w:t>
      </w:r>
    </w:p>
    <w:p>
      <w:pPr>
        <w:pStyle w:val="8"/>
        <w:keepNext w:val="0"/>
        <w:keepLines w:val="0"/>
        <w:widowControl/>
        <w:suppressLineNumbers w:val="0"/>
        <w:rPr>
          <w:rFonts w:hint="eastAsia" w:ascii="楷体" w:hAnsi="楷体" w:eastAsia="楷体" w:cs="楷体"/>
          <w:sz w:val="32"/>
          <w:szCs w:val="32"/>
        </w:rPr>
      </w:pPr>
      <w:r>
        <w:rPr>
          <w:rFonts w:hint="eastAsia" w:ascii="楷体" w:hAnsi="楷体" w:eastAsia="楷体" w:cs="楷体"/>
          <w:sz w:val="32"/>
          <w:szCs w:val="32"/>
        </w:rPr>
        <w:t>四、财政拨款收入支出决算总体情况说明</w:t>
      </w:r>
    </w:p>
    <w:p>
      <w:pPr>
        <w:pStyle w:val="8"/>
        <w:keepNext w:val="0"/>
        <w:keepLines w:val="0"/>
        <w:widowControl/>
        <w:suppressLineNumbers w:val="0"/>
        <w:ind w:firstLine="640" w:firstLineChars="200"/>
        <w:jc w:val="left"/>
        <w:rPr>
          <w:rStyle w:val="11"/>
          <w:rFonts w:hint="eastAsia" w:ascii="方正仿宋_GBK" w:hAnsi="方正仿宋_GBK" w:eastAsia="方正仿宋_GBK" w:cs="方正仿宋_GBK"/>
          <w:sz w:val="32"/>
          <w:szCs w:val="32"/>
        </w:rPr>
      </w:pPr>
      <w:r>
        <w:rPr>
          <w:rFonts w:hint="eastAsia" w:ascii="仿宋" w:hAnsi="仿宋" w:eastAsia="仿宋"/>
          <w:color w:val="000000" w:themeColor="text1"/>
          <w:sz w:val="32"/>
          <w:szCs w:val="32"/>
          <w:highlight w:val="none"/>
          <w:lang w:eastAsia="zh-CN"/>
          <w14:textFill>
            <w14:solidFill>
              <w14:schemeClr w14:val="tx1"/>
            </w14:solidFill>
          </w14:textFill>
        </w:rPr>
        <w:drawing>
          <wp:anchor distT="0" distB="0" distL="114935" distR="114935" simplePos="0" relativeHeight="251662336" behindDoc="1" locked="0" layoutInCell="1" allowOverlap="1">
            <wp:simplePos x="0" y="0"/>
            <wp:positionH relativeFrom="column">
              <wp:posOffset>424815</wp:posOffset>
            </wp:positionH>
            <wp:positionV relativeFrom="paragraph">
              <wp:posOffset>3994150</wp:posOffset>
            </wp:positionV>
            <wp:extent cx="4709160" cy="2547620"/>
            <wp:effectExtent l="4445" t="4445" r="10795" b="8255"/>
            <wp:wrapTight wrapText="bothSides">
              <wp:wrapPolygon>
                <wp:start x="-20" y="-38"/>
                <wp:lineTo x="-20" y="21541"/>
                <wp:lineTo x="21580" y="21541"/>
                <wp:lineTo x="21580" y="-38"/>
                <wp:lineTo x="-20" y="-38"/>
              </wp:wrapPolygon>
            </wp:wrapTight>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方正仿宋_GBK" w:hAnsi="方正仿宋_GBK" w:eastAsia="方正仿宋_GBK" w:cs="方正仿宋_GBK"/>
          <w:sz w:val="32"/>
          <w:szCs w:val="32"/>
        </w:rPr>
        <w:t>2022年财政拨款收、支总计1,010.71万元。与2021年相比，财政拨款收、支总计各增加/减少-121.31万元，增长-10.72%。主要变动原因是</w:t>
      </w:r>
      <w:r>
        <w:rPr>
          <w:rFonts w:hint="eastAsia" w:ascii="方正仿宋_GBK" w:hAnsi="方正仿宋_GBK" w:eastAsia="方正仿宋_GBK" w:cs="方正仿宋_GBK"/>
          <w:sz w:val="32"/>
          <w:szCs w:val="32"/>
          <w:lang w:eastAsia="zh-CN"/>
        </w:rPr>
        <w:t>人员变动。</w:t>
      </w:r>
    </w:p>
    <w:p>
      <w:pPr>
        <w:pStyle w:val="8"/>
        <w:keepNext w:val="0"/>
        <w:keepLines w:val="0"/>
        <w:widowControl/>
        <w:suppressLineNumbers w:val="0"/>
        <w:rPr>
          <w:rStyle w:val="11"/>
          <w:rFonts w:hint="eastAsia" w:ascii="方正仿宋_GBK" w:hAnsi="方正仿宋_GBK" w:eastAsia="方正仿宋_GBK" w:cs="方正仿宋_GBK"/>
          <w:sz w:val="32"/>
          <w:szCs w:val="32"/>
        </w:rPr>
      </w:pPr>
    </w:p>
    <w:p>
      <w:pPr>
        <w:pStyle w:val="8"/>
        <w:keepNext w:val="0"/>
        <w:keepLines w:val="0"/>
        <w:widowControl/>
        <w:suppressLineNumbers w:val="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w:t>
      </w:r>
    </w:p>
    <w:p>
      <w:pPr>
        <w:pStyle w:val="8"/>
        <w:keepNext w:val="0"/>
        <w:keepLines w:val="0"/>
        <w:widowControl/>
        <w:suppressLineNumbers w:val="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（图4：财政拨款收、支决算总计变动情况）（柱状图）</w:t>
      </w:r>
    </w:p>
    <w:p>
      <w:pPr>
        <w:pStyle w:val="8"/>
        <w:keepNext w:val="0"/>
        <w:keepLines w:val="0"/>
        <w:widowControl/>
        <w:suppressLineNumbers w:val="0"/>
        <w:rPr>
          <w:rFonts w:hint="eastAsia" w:ascii="楷体" w:hAnsi="楷体" w:eastAsia="楷体" w:cs="楷体"/>
          <w:sz w:val="32"/>
          <w:szCs w:val="32"/>
        </w:rPr>
      </w:pPr>
      <w:r>
        <w:t> </w:t>
      </w:r>
      <w:r>
        <w:rPr>
          <w:rFonts w:hint="eastAsia" w:ascii="楷体" w:hAnsi="楷体" w:eastAsia="楷体" w:cs="楷体"/>
          <w:sz w:val="32"/>
          <w:szCs w:val="32"/>
        </w:rPr>
        <w:t>五、</w:t>
      </w:r>
      <w:r>
        <w:rPr>
          <w:rStyle w:val="11"/>
          <w:rFonts w:hint="eastAsia" w:ascii="楷体" w:hAnsi="楷体" w:eastAsia="楷体" w:cs="楷体"/>
          <w:sz w:val="32"/>
          <w:szCs w:val="32"/>
        </w:rPr>
        <w:t>一</w:t>
      </w:r>
      <w:r>
        <w:rPr>
          <w:rFonts w:hint="eastAsia" w:ascii="楷体" w:hAnsi="楷体" w:eastAsia="楷体" w:cs="楷体"/>
          <w:sz w:val="32"/>
          <w:szCs w:val="32"/>
        </w:rPr>
        <w:t>般公共预算财政拨款支出决算情况说明</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方正仿宋_GBK" w:hAnsi="方正仿宋_GBK" w:eastAsia="方正仿宋_GBK" w:cs="方正仿宋_GBK"/>
          <w:sz w:val="32"/>
          <w:szCs w:val="32"/>
        </w:rPr>
      </w:pPr>
      <w:r>
        <w:rPr>
          <w:rStyle w:val="11"/>
          <w:rFonts w:hint="eastAsia" w:ascii="方正仿宋_GBK" w:hAnsi="方正仿宋_GBK" w:eastAsia="方正仿宋_GBK" w:cs="方正仿宋_GBK"/>
          <w:sz w:val="32"/>
          <w:szCs w:val="32"/>
        </w:rPr>
        <w:t>（一）一般公共预算财政拨款支出决算总体情况</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ind w:firstLine="640" w:firstLineChars="200"/>
        <w:jc w:val="left"/>
        <w:textAlignment w:val="auto"/>
        <w:rPr>
          <w:rFonts w:hint="eastAsia" w:ascii="方正仿宋_GBK" w:hAnsi="方正仿宋_GBK" w:eastAsia="方正仿宋_GBK" w:cs="方正仿宋_GBK"/>
          <w:sz w:val="32"/>
          <w:szCs w:val="32"/>
          <w:lang w:eastAsia="zh-CN"/>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935" distR="114935" simplePos="0" relativeHeight="251663360" behindDoc="1" locked="0" layoutInCell="1" allowOverlap="1">
            <wp:simplePos x="0" y="0"/>
            <wp:positionH relativeFrom="column">
              <wp:posOffset>532130</wp:posOffset>
            </wp:positionH>
            <wp:positionV relativeFrom="paragraph">
              <wp:posOffset>1496060</wp:posOffset>
            </wp:positionV>
            <wp:extent cx="5059045" cy="3130550"/>
            <wp:effectExtent l="12700" t="12700" r="18415" b="26670"/>
            <wp:wrapTight wrapText="bothSides">
              <wp:wrapPolygon>
                <wp:start x="-54" y="-88"/>
                <wp:lineTo x="-54" y="21574"/>
                <wp:lineTo x="21614" y="21574"/>
                <wp:lineTo x="21614" y="-88"/>
                <wp:lineTo x="-54" y="-88"/>
              </wp:wrapPolygon>
            </wp:wrapTight>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方正仿宋_GBK" w:hAnsi="方正仿宋_GBK" w:eastAsia="方正仿宋_GBK" w:cs="方正仿宋_GBK"/>
          <w:sz w:val="32"/>
          <w:szCs w:val="32"/>
        </w:rPr>
        <w:t>2022年一般公共预算财政拨款支出1,010.71万元，占本年支出合计的100.00%。与2021年相比，一般公共预算财政拨款支出增加-121.31万元，增长-10.72%。主要变动原因是</w:t>
      </w:r>
      <w:r>
        <w:rPr>
          <w:rFonts w:hint="eastAsia" w:ascii="方正仿宋_GBK" w:hAnsi="方正仿宋_GBK" w:eastAsia="方正仿宋_GBK" w:cs="方正仿宋_GBK"/>
          <w:sz w:val="32"/>
          <w:szCs w:val="32"/>
          <w:lang w:eastAsia="zh-CN"/>
        </w:rPr>
        <w:t>人员变动。</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（图5：一般公共预算财政拨款支出决算变动情况）（柱状图）</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方正仿宋_GBK" w:hAnsi="方正仿宋_GBK" w:eastAsia="方正仿宋_GBK" w:cs="方正仿宋_GBK"/>
          <w:sz w:val="32"/>
          <w:szCs w:val="32"/>
        </w:rPr>
      </w:pPr>
      <w:r>
        <w:rPr>
          <w:rStyle w:val="11"/>
          <w:rFonts w:hint="eastAsia" w:ascii="方正仿宋_GBK" w:hAnsi="方正仿宋_GBK" w:eastAsia="方正仿宋_GBK" w:cs="方正仿宋_GBK"/>
          <w:sz w:val="32"/>
          <w:szCs w:val="32"/>
        </w:rPr>
        <w:t>（二）一般公共预算财政拨款支出决算结构情况</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ind w:firstLine="640" w:firstLineChars="20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2022年一般公共预算财政拨款支出1,010.71万元，主要用于以下方面:</w:t>
      </w:r>
      <w:r>
        <w:rPr>
          <w:rStyle w:val="11"/>
          <w:rFonts w:hint="eastAsia" w:ascii="方正仿宋_GBK" w:hAnsi="方正仿宋_GBK" w:eastAsia="方正仿宋_GBK" w:cs="方正仿宋_GBK"/>
          <w:sz w:val="32"/>
          <w:szCs w:val="32"/>
        </w:rPr>
        <w:t>一般公共服务（类）</w:t>
      </w:r>
      <w:r>
        <w:rPr>
          <w:rFonts w:hint="eastAsia" w:ascii="方正仿宋_GBK" w:hAnsi="方正仿宋_GBK" w:eastAsia="方正仿宋_GBK" w:cs="方正仿宋_GBK"/>
          <w:sz w:val="32"/>
          <w:szCs w:val="32"/>
        </w:rPr>
        <w:t>支出802.72万元，占79.42%；</w:t>
      </w:r>
      <w:r>
        <w:rPr>
          <w:rStyle w:val="11"/>
          <w:rFonts w:hint="eastAsia" w:ascii="方正仿宋_GBK" w:hAnsi="方正仿宋_GBK" w:eastAsia="方正仿宋_GBK" w:cs="方正仿宋_GBK"/>
          <w:sz w:val="32"/>
          <w:szCs w:val="32"/>
        </w:rPr>
        <w:t>教育支出（类）</w:t>
      </w:r>
      <w:r>
        <w:rPr>
          <w:rFonts w:hint="eastAsia" w:ascii="方正仿宋_GBK" w:hAnsi="方正仿宋_GBK" w:eastAsia="方正仿宋_GBK" w:cs="方正仿宋_GBK"/>
          <w:sz w:val="32"/>
          <w:szCs w:val="32"/>
        </w:rPr>
        <w:t>0.00万元，占0.00%；</w:t>
      </w:r>
      <w:r>
        <w:rPr>
          <w:rStyle w:val="11"/>
          <w:rFonts w:hint="eastAsia" w:ascii="方正仿宋_GBK" w:hAnsi="方正仿宋_GBK" w:eastAsia="方正仿宋_GBK" w:cs="方正仿宋_GBK"/>
          <w:sz w:val="32"/>
          <w:szCs w:val="32"/>
        </w:rPr>
        <w:t>科学技术（类）</w:t>
      </w:r>
      <w:r>
        <w:rPr>
          <w:rFonts w:hint="eastAsia" w:ascii="方正仿宋_GBK" w:hAnsi="方正仿宋_GBK" w:eastAsia="方正仿宋_GBK" w:cs="方正仿宋_GBK"/>
          <w:sz w:val="32"/>
          <w:szCs w:val="32"/>
        </w:rPr>
        <w:t>支出0.00万元，占0.00%；</w:t>
      </w:r>
      <w:r>
        <w:rPr>
          <w:rStyle w:val="11"/>
          <w:rFonts w:hint="eastAsia" w:ascii="方正仿宋_GBK" w:hAnsi="方正仿宋_GBK" w:eastAsia="方正仿宋_GBK" w:cs="方正仿宋_GBK"/>
          <w:sz w:val="32"/>
          <w:szCs w:val="32"/>
        </w:rPr>
        <w:t>文化旅游体育与传媒（类）支出0.00万元，占0.00%；社会保障和就业（类）</w:t>
      </w:r>
      <w:r>
        <w:rPr>
          <w:rFonts w:hint="eastAsia" w:ascii="方正仿宋_GBK" w:hAnsi="方正仿宋_GBK" w:eastAsia="方正仿宋_GBK" w:cs="方正仿宋_GBK"/>
          <w:sz w:val="32"/>
          <w:szCs w:val="32"/>
        </w:rPr>
        <w:t>支出103.02万元，占10.19%；</w:t>
      </w:r>
      <w:r>
        <w:rPr>
          <w:rStyle w:val="11"/>
          <w:rFonts w:hint="eastAsia" w:ascii="方正仿宋_GBK" w:hAnsi="方正仿宋_GBK" w:eastAsia="方正仿宋_GBK" w:cs="方正仿宋_GBK"/>
          <w:sz w:val="32"/>
          <w:szCs w:val="32"/>
        </w:rPr>
        <w:t>卫生健康支出</w:t>
      </w:r>
      <w:r>
        <w:rPr>
          <w:rFonts w:hint="eastAsia" w:ascii="方正仿宋_GBK" w:hAnsi="方正仿宋_GBK" w:eastAsia="方正仿宋_GBK" w:cs="方正仿宋_GBK"/>
          <w:sz w:val="32"/>
          <w:szCs w:val="32"/>
        </w:rPr>
        <w:t>48.06万元，占4.76%；住房保障支出56.92万元，占5.63%。</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方正仿宋_GBK" w:hAnsi="方正仿宋_GBK" w:eastAsia="方正仿宋_GBK" w:cs="方正仿宋_GBK"/>
          <w:sz w:val="32"/>
          <w:szCs w:val="32"/>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935" distR="114935" simplePos="0" relativeHeight="251664384" behindDoc="0" locked="0" layoutInCell="1" allowOverlap="1">
            <wp:simplePos x="0" y="0"/>
            <wp:positionH relativeFrom="column">
              <wp:posOffset>243840</wp:posOffset>
            </wp:positionH>
            <wp:positionV relativeFrom="paragraph">
              <wp:posOffset>763270</wp:posOffset>
            </wp:positionV>
            <wp:extent cx="5236845" cy="1958975"/>
            <wp:effectExtent l="5080" t="4445" r="15875" b="17780"/>
            <wp:wrapNone/>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Style w:val="11"/>
          <w:rFonts w:hint="eastAsia" w:ascii="方正仿宋_GBK" w:hAnsi="方正仿宋_GBK" w:eastAsia="方正仿宋_GBK" w:cs="方正仿宋_GBK"/>
          <w:sz w:val="32"/>
          <w:szCs w:val="32"/>
        </w:rPr>
        <w:t>（注表，仅罗列本部门涉及的全部功能分类科目，至类级。）</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方正仿宋_GBK" w:hAnsi="方正仿宋_GBK" w:eastAsia="方正仿宋_GBK" w:cs="方正仿宋_GBK"/>
          <w:sz w:val="32"/>
          <w:szCs w:val="32"/>
        </w:rPr>
      </w:pP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方正仿宋_GBK" w:hAnsi="方正仿宋_GBK" w:eastAsia="方正仿宋_GBK" w:cs="方正仿宋_GBK"/>
          <w:sz w:val="32"/>
          <w:szCs w:val="32"/>
        </w:rPr>
      </w:pP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方正仿宋_GBK" w:hAnsi="方正仿宋_GBK" w:eastAsia="方正仿宋_GBK" w:cs="方正仿宋_GBK"/>
          <w:sz w:val="32"/>
          <w:szCs w:val="32"/>
        </w:rPr>
      </w:pP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（图6：一般公共预算财政拨款支出决算结构）（饼状图）</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方正仿宋_GBK" w:hAnsi="方正仿宋_GBK" w:eastAsia="方正仿宋_GBK" w:cs="方正仿宋_GBK"/>
          <w:sz w:val="32"/>
          <w:szCs w:val="32"/>
        </w:rPr>
      </w:pPr>
      <w:r>
        <w:rPr>
          <w:rStyle w:val="11"/>
          <w:rFonts w:hint="eastAsia" w:ascii="方正仿宋_GBK" w:hAnsi="方正仿宋_GBK" w:eastAsia="方正仿宋_GBK" w:cs="方正仿宋_GBK"/>
          <w:sz w:val="32"/>
          <w:szCs w:val="32"/>
        </w:rPr>
        <w:t>（三）一般公共预算财政拨款支出决算具体情况</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方正仿宋_GBK" w:hAnsi="方正仿宋_GBK" w:eastAsia="方正仿宋_GBK" w:cs="方正仿宋_GBK"/>
          <w:sz w:val="32"/>
          <w:szCs w:val="32"/>
        </w:rPr>
      </w:pPr>
      <w:r>
        <w:rPr>
          <w:rStyle w:val="11"/>
          <w:rFonts w:hint="eastAsia" w:ascii="方正仿宋_GBK" w:hAnsi="方正仿宋_GBK" w:eastAsia="方正仿宋_GBK" w:cs="方正仿宋_GBK"/>
          <w:sz w:val="32"/>
          <w:szCs w:val="32"/>
        </w:rPr>
        <w:t>2022年一般公共预算支出决算数为1,010.71</w:t>
      </w:r>
      <w:r>
        <w:rPr>
          <w:rFonts w:hint="eastAsia" w:ascii="方正仿宋_GBK" w:hAnsi="方正仿宋_GBK" w:eastAsia="方正仿宋_GBK" w:cs="方正仿宋_GBK"/>
          <w:sz w:val="32"/>
          <w:szCs w:val="32"/>
        </w:rPr>
        <w:t>，</w:t>
      </w:r>
      <w:r>
        <w:rPr>
          <w:rStyle w:val="11"/>
          <w:rFonts w:hint="eastAsia" w:ascii="方正仿宋_GBK" w:hAnsi="方正仿宋_GBK" w:eastAsia="方正仿宋_GBK" w:cs="方正仿宋_GBK"/>
          <w:sz w:val="32"/>
          <w:szCs w:val="32"/>
        </w:rPr>
        <w:t>完成预算100.00%。其中：</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jc w:val="left"/>
        <w:textAlignment w:val="auto"/>
        <w:rPr>
          <w:rFonts w:hint="eastAsia" w:ascii="方正仿宋_GBK" w:hAnsi="方正仿宋_GBK" w:eastAsia="方正仿宋_GBK" w:cs="方正仿宋_GBK"/>
          <w:sz w:val="32"/>
          <w:szCs w:val="32"/>
        </w:rPr>
      </w:pPr>
      <w:r>
        <w:rPr>
          <w:rStyle w:val="11"/>
          <w:rFonts w:hint="eastAsia" w:ascii="方正仿宋_GBK" w:hAnsi="方正仿宋_GBK" w:eastAsia="方正仿宋_GBK" w:cs="方正仿宋_GBK"/>
          <w:sz w:val="32"/>
          <w:szCs w:val="32"/>
        </w:rPr>
        <w:t>1.一般公共服务（类）</w:t>
      </w:r>
      <w:r>
        <w:rPr>
          <w:rStyle w:val="11"/>
          <w:rFonts w:hint="eastAsia" w:ascii="方正仿宋_GBK" w:hAnsi="方正仿宋_GBK" w:eastAsia="方正仿宋_GBK" w:cs="方正仿宋_GBK"/>
          <w:sz w:val="32"/>
          <w:szCs w:val="32"/>
          <w:lang w:val="en-US" w:eastAsia="zh-CN"/>
        </w:rPr>
        <w:t>201项</w:t>
      </w:r>
      <w:r>
        <w:rPr>
          <w:rStyle w:val="11"/>
          <w:rFonts w:hint="eastAsia" w:ascii="方正仿宋_GBK" w:hAnsi="方正仿宋_GBK" w:eastAsia="方正仿宋_GBK" w:cs="方正仿宋_GBK"/>
          <w:sz w:val="32"/>
          <w:szCs w:val="32"/>
        </w:rPr>
        <w:t>: 支出决算为</w:t>
      </w:r>
      <w:r>
        <w:rPr>
          <w:rStyle w:val="11"/>
          <w:rFonts w:hint="eastAsia" w:ascii="方正仿宋_GBK" w:hAnsi="方正仿宋_GBK" w:eastAsia="方正仿宋_GBK" w:cs="方正仿宋_GBK"/>
          <w:sz w:val="32"/>
          <w:szCs w:val="32"/>
          <w:lang w:val="en-US" w:eastAsia="zh-CN"/>
        </w:rPr>
        <w:t>802.72</w:t>
      </w:r>
      <w:r>
        <w:rPr>
          <w:rStyle w:val="11"/>
          <w:rFonts w:hint="eastAsia" w:ascii="方正仿宋_GBK" w:hAnsi="方正仿宋_GBK" w:eastAsia="方正仿宋_GBK" w:cs="方正仿宋_GBK"/>
          <w:sz w:val="32"/>
          <w:szCs w:val="32"/>
        </w:rPr>
        <w:t>万元，完成预算</w:t>
      </w:r>
      <w:r>
        <w:rPr>
          <w:rStyle w:val="11"/>
          <w:rFonts w:hint="eastAsia" w:ascii="方正仿宋_GBK" w:hAnsi="方正仿宋_GBK" w:eastAsia="方正仿宋_GBK" w:cs="方正仿宋_GBK"/>
          <w:sz w:val="32"/>
          <w:szCs w:val="32"/>
          <w:lang w:val="en-US" w:eastAsia="zh-CN"/>
        </w:rPr>
        <w:t>100</w:t>
      </w:r>
      <w:r>
        <w:rPr>
          <w:rStyle w:val="11"/>
          <w:rFonts w:hint="eastAsia" w:ascii="方正仿宋_GBK" w:hAnsi="方正仿宋_GBK" w:eastAsia="方正仿宋_GBK" w:cs="方正仿宋_GBK"/>
          <w:sz w:val="32"/>
          <w:szCs w:val="32"/>
        </w:rPr>
        <w:t>%，决算数等于预算数。</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jc w:val="left"/>
        <w:textAlignment w:val="auto"/>
        <w:rPr>
          <w:rFonts w:hint="eastAsia" w:ascii="方正仿宋_GBK" w:hAnsi="方正仿宋_GBK" w:eastAsia="方正仿宋_GBK" w:cs="方正仿宋_GBK"/>
          <w:sz w:val="32"/>
          <w:szCs w:val="32"/>
        </w:rPr>
      </w:pPr>
      <w:r>
        <w:rPr>
          <w:rStyle w:val="11"/>
          <w:rFonts w:hint="eastAsia" w:ascii="方正仿宋_GBK" w:hAnsi="方正仿宋_GBK" w:eastAsia="方正仿宋_GBK" w:cs="方正仿宋_GBK"/>
          <w:sz w:val="32"/>
          <w:szCs w:val="32"/>
          <w:lang w:val="en-US" w:eastAsia="zh-CN"/>
        </w:rPr>
        <w:t>2.</w:t>
      </w:r>
      <w:r>
        <w:rPr>
          <w:rStyle w:val="11"/>
          <w:rFonts w:hint="eastAsia" w:ascii="方正仿宋_GBK" w:hAnsi="方正仿宋_GBK" w:eastAsia="方正仿宋_GBK" w:cs="方正仿宋_GBK"/>
          <w:sz w:val="32"/>
          <w:szCs w:val="32"/>
        </w:rPr>
        <w:t>社会保障和就业（类）</w:t>
      </w:r>
      <w:r>
        <w:rPr>
          <w:rStyle w:val="11"/>
          <w:rFonts w:hint="eastAsia" w:ascii="方正仿宋_GBK" w:hAnsi="方正仿宋_GBK" w:eastAsia="方正仿宋_GBK" w:cs="方正仿宋_GBK"/>
          <w:sz w:val="32"/>
          <w:szCs w:val="32"/>
          <w:lang w:val="en-US" w:eastAsia="zh-CN"/>
        </w:rPr>
        <w:t>208项</w:t>
      </w:r>
      <w:r>
        <w:rPr>
          <w:rStyle w:val="11"/>
          <w:rFonts w:hint="eastAsia" w:ascii="方正仿宋_GBK" w:hAnsi="方正仿宋_GBK" w:eastAsia="方正仿宋_GBK" w:cs="方正仿宋_GBK"/>
          <w:sz w:val="32"/>
          <w:szCs w:val="32"/>
        </w:rPr>
        <w:t>: 支出决算为</w:t>
      </w:r>
      <w:r>
        <w:rPr>
          <w:rStyle w:val="11"/>
          <w:rFonts w:hint="eastAsia" w:ascii="方正仿宋_GBK" w:hAnsi="方正仿宋_GBK" w:eastAsia="方正仿宋_GBK" w:cs="方正仿宋_GBK"/>
          <w:sz w:val="32"/>
          <w:szCs w:val="32"/>
          <w:lang w:val="en-US" w:eastAsia="zh-CN"/>
        </w:rPr>
        <w:t>103.32</w:t>
      </w:r>
      <w:r>
        <w:rPr>
          <w:rStyle w:val="11"/>
          <w:rFonts w:hint="eastAsia" w:ascii="方正仿宋_GBK" w:hAnsi="方正仿宋_GBK" w:eastAsia="方正仿宋_GBK" w:cs="方正仿宋_GBK"/>
          <w:sz w:val="32"/>
          <w:szCs w:val="32"/>
        </w:rPr>
        <w:t>万元，完成预算</w:t>
      </w:r>
      <w:r>
        <w:rPr>
          <w:rStyle w:val="11"/>
          <w:rFonts w:hint="eastAsia" w:ascii="方正仿宋_GBK" w:hAnsi="方正仿宋_GBK" w:eastAsia="方正仿宋_GBK" w:cs="方正仿宋_GBK"/>
          <w:sz w:val="32"/>
          <w:szCs w:val="32"/>
          <w:lang w:val="en-US" w:eastAsia="zh-CN"/>
        </w:rPr>
        <w:t>100</w:t>
      </w:r>
      <w:r>
        <w:rPr>
          <w:rStyle w:val="11"/>
          <w:rFonts w:hint="eastAsia" w:ascii="方正仿宋_GBK" w:hAnsi="方正仿宋_GBK" w:eastAsia="方正仿宋_GBK" w:cs="方正仿宋_GBK"/>
          <w:sz w:val="32"/>
          <w:szCs w:val="32"/>
        </w:rPr>
        <w:t>%，决算数等于预算数。</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jc w:val="left"/>
        <w:textAlignment w:val="auto"/>
        <w:rPr>
          <w:rStyle w:val="11"/>
          <w:rFonts w:hint="eastAsia" w:ascii="方正仿宋_GBK" w:hAnsi="方正仿宋_GBK" w:eastAsia="方正仿宋_GBK" w:cs="方正仿宋_GBK"/>
          <w:sz w:val="32"/>
          <w:szCs w:val="32"/>
        </w:rPr>
      </w:pPr>
      <w:r>
        <w:rPr>
          <w:rStyle w:val="11"/>
          <w:rFonts w:hint="eastAsia" w:ascii="方正仿宋_GBK" w:hAnsi="方正仿宋_GBK" w:eastAsia="方正仿宋_GBK" w:cs="方正仿宋_GBK"/>
          <w:sz w:val="32"/>
          <w:szCs w:val="32"/>
          <w:lang w:val="en-US" w:eastAsia="zh-CN"/>
        </w:rPr>
        <w:t>3</w:t>
      </w:r>
      <w:r>
        <w:rPr>
          <w:rStyle w:val="11"/>
          <w:rFonts w:hint="eastAsia" w:ascii="方正仿宋_GBK" w:hAnsi="方正仿宋_GBK" w:eastAsia="方正仿宋_GBK" w:cs="方正仿宋_GBK"/>
          <w:sz w:val="32"/>
          <w:szCs w:val="32"/>
        </w:rPr>
        <w:t>.卫生健康（类）</w:t>
      </w:r>
      <w:r>
        <w:rPr>
          <w:rStyle w:val="11"/>
          <w:rFonts w:hint="eastAsia" w:ascii="方正仿宋_GBK" w:hAnsi="方正仿宋_GBK" w:eastAsia="方正仿宋_GBK" w:cs="方正仿宋_GBK"/>
          <w:sz w:val="32"/>
          <w:szCs w:val="32"/>
          <w:lang w:val="en-US" w:eastAsia="zh-CN"/>
        </w:rPr>
        <w:t>210项</w:t>
      </w:r>
      <w:r>
        <w:rPr>
          <w:rStyle w:val="11"/>
          <w:rFonts w:hint="eastAsia" w:ascii="方正仿宋_GBK" w:hAnsi="方正仿宋_GBK" w:eastAsia="方正仿宋_GBK" w:cs="方正仿宋_GBK"/>
          <w:sz w:val="32"/>
          <w:szCs w:val="32"/>
        </w:rPr>
        <w:t>:支出决算为</w:t>
      </w:r>
      <w:r>
        <w:rPr>
          <w:rStyle w:val="11"/>
          <w:rFonts w:hint="eastAsia" w:ascii="方正仿宋_GBK" w:hAnsi="方正仿宋_GBK" w:eastAsia="方正仿宋_GBK" w:cs="方正仿宋_GBK"/>
          <w:sz w:val="32"/>
          <w:szCs w:val="32"/>
          <w:lang w:val="en-US" w:eastAsia="zh-CN"/>
        </w:rPr>
        <w:t>48.06</w:t>
      </w:r>
      <w:r>
        <w:rPr>
          <w:rStyle w:val="11"/>
          <w:rFonts w:hint="eastAsia" w:ascii="方正仿宋_GBK" w:hAnsi="方正仿宋_GBK" w:eastAsia="方正仿宋_GBK" w:cs="方正仿宋_GBK"/>
          <w:sz w:val="32"/>
          <w:szCs w:val="32"/>
        </w:rPr>
        <w:t>万元，完成预算</w:t>
      </w:r>
      <w:r>
        <w:rPr>
          <w:rStyle w:val="11"/>
          <w:rFonts w:hint="eastAsia" w:ascii="方正仿宋_GBK" w:hAnsi="方正仿宋_GBK" w:eastAsia="方正仿宋_GBK" w:cs="方正仿宋_GBK"/>
          <w:sz w:val="32"/>
          <w:szCs w:val="32"/>
          <w:lang w:val="en-US" w:eastAsia="zh-CN"/>
        </w:rPr>
        <w:t>100</w:t>
      </w:r>
      <w:r>
        <w:rPr>
          <w:rStyle w:val="11"/>
          <w:rFonts w:hint="eastAsia" w:ascii="方正仿宋_GBK" w:hAnsi="方正仿宋_GBK" w:eastAsia="方正仿宋_GBK" w:cs="方正仿宋_GBK"/>
          <w:sz w:val="32"/>
          <w:szCs w:val="32"/>
        </w:rPr>
        <w:t>%，决算数等于预算数。</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jc w:val="left"/>
        <w:textAlignment w:val="auto"/>
        <w:rPr>
          <w:rFonts w:hint="eastAsia" w:ascii="楷体" w:hAnsi="楷体" w:eastAsia="楷体" w:cs="楷体"/>
          <w:sz w:val="32"/>
          <w:szCs w:val="32"/>
        </w:rPr>
      </w:pPr>
      <w:r>
        <w:rPr>
          <w:rFonts w:hint="eastAsia" w:ascii="仿宋" w:hAnsi="仿宋" w:eastAsia="仿宋"/>
          <w:b/>
          <w:color w:val="000000" w:themeColor="text1"/>
          <w:sz w:val="32"/>
          <w:szCs w:val="32"/>
          <w:lang w:val="en-US" w:eastAsia="zh-CN"/>
          <w14:textFill>
            <w14:solidFill>
              <w14:schemeClr w14:val="tx1"/>
            </w14:solidFill>
          </w14:textFill>
        </w:rPr>
        <w:t>4.</w:t>
      </w:r>
      <w:r>
        <w:rPr>
          <w:rFonts w:hint="eastAsia" w:ascii="仿宋" w:hAnsi="仿宋" w:eastAsia="仿宋"/>
          <w:b/>
          <w:bCs/>
          <w:color w:val="000000" w:themeColor="text1"/>
          <w:sz w:val="32"/>
          <w:szCs w:val="32"/>
          <w14:textFill>
            <w14:solidFill>
              <w14:schemeClr w14:val="tx1"/>
            </w14:solidFill>
          </w14:textFill>
        </w:rPr>
        <w:t>住房保障</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类</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221项：</w:t>
      </w:r>
      <w:r>
        <w:rPr>
          <w:rFonts w:hint="eastAsia" w:ascii="仿宋" w:hAnsi="仿宋" w:eastAsia="仿宋"/>
          <w:b/>
          <w:bCs/>
          <w:color w:val="000000" w:themeColor="text1"/>
          <w:sz w:val="32"/>
          <w:szCs w:val="32"/>
          <w14:textFill>
            <w14:solidFill>
              <w14:schemeClr w14:val="tx1"/>
            </w14:solidFill>
          </w14:textFill>
        </w:rPr>
        <w:t>支出</w:t>
      </w:r>
      <w:r>
        <w:rPr>
          <w:rFonts w:hint="eastAsia" w:ascii="仿宋" w:hAnsi="仿宋" w:eastAsia="仿宋"/>
          <w:b/>
          <w:bCs/>
          <w:color w:val="000000" w:themeColor="text1"/>
          <w:sz w:val="32"/>
          <w:szCs w:val="32"/>
          <w:lang w:eastAsia="zh-CN"/>
          <w14:textFill>
            <w14:solidFill>
              <w14:schemeClr w14:val="tx1"/>
            </w14:solidFill>
          </w14:textFill>
        </w:rPr>
        <w:t>决算为</w:t>
      </w:r>
      <w:r>
        <w:rPr>
          <w:rFonts w:hint="eastAsia" w:ascii="仿宋" w:hAnsi="仿宋" w:eastAsia="仿宋"/>
          <w:b/>
          <w:bCs/>
          <w:color w:val="000000" w:themeColor="text1"/>
          <w:sz w:val="32"/>
          <w:szCs w:val="32"/>
          <w:lang w:val="en-US" w:eastAsia="zh-CN"/>
          <w14:textFill>
            <w14:solidFill>
              <w14:schemeClr w14:val="tx1"/>
            </w14:solidFill>
          </w14:textFill>
        </w:rPr>
        <w:t>56.92万元，完成预算100%，决算数等于预算数。</w:t>
      </w:r>
    </w:p>
    <w:p>
      <w:pPr>
        <w:pStyle w:val="8"/>
        <w:keepNext w:val="0"/>
        <w:keepLines w:val="0"/>
        <w:widowControl/>
        <w:suppressLineNumbers w:val="0"/>
        <w:rPr>
          <w:rFonts w:hint="eastAsia" w:ascii="楷体" w:hAnsi="楷体" w:eastAsia="楷体" w:cs="楷体"/>
          <w:sz w:val="32"/>
          <w:szCs w:val="32"/>
        </w:rPr>
      </w:pPr>
      <w:r>
        <w:rPr>
          <w:rFonts w:hint="eastAsia" w:ascii="楷体" w:hAnsi="楷体" w:eastAsia="楷体" w:cs="楷体"/>
          <w:sz w:val="32"/>
          <w:szCs w:val="32"/>
        </w:rPr>
        <w:t>六</w:t>
      </w:r>
      <w:r>
        <w:rPr>
          <w:rStyle w:val="11"/>
          <w:rFonts w:hint="eastAsia" w:ascii="楷体" w:hAnsi="楷体" w:eastAsia="楷体" w:cs="楷体"/>
          <w:sz w:val="32"/>
          <w:szCs w:val="32"/>
        </w:rPr>
        <w:t>、一</w:t>
      </w:r>
      <w:r>
        <w:rPr>
          <w:rFonts w:hint="eastAsia" w:ascii="楷体" w:hAnsi="楷体" w:eastAsia="楷体" w:cs="楷体"/>
          <w:sz w:val="32"/>
          <w:szCs w:val="32"/>
        </w:rPr>
        <w:t>般公共预算财政拨款基本支出决算情况说明   </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2022年一般公共预算财政拨款基本支出886.73万元，其中：人员经费805.81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公用经费80.92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 </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楷体" w:hAnsi="楷体" w:eastAsia="楷体" w:cs="楷体"/>
          <w:sz w:val="32"/>
          <w:szCs w:val="32"/>
        </w:rPr>
      </w:pPr>
      <w:r>
        <w:rPr>
          <w:rFonts w:hint="eastAsia" w:ascii="楷体" w:hAnsi="楷体" w:eastAsia="楷体" w:cs="楷体"/>
          <w:sz w:val="32"/>
          <w:szCs w:val="32"/>
        </w:rPr>
        <w:t>七、“三公”经费财政拨款支出决算情况说明</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方正仿宋_GBK" w:hAnsi="方正仿宋_GBK" w:eastAsia="方正仿宋_GBK" w:cs="方正仿宋_GBK"/>
          <w:sz w:val="32"/>
          <w:szCs w:val="32"/>
        </w:rPr>
      </w:pPr>
      <w:r>
        <w:rPr>
          <w:rStyle w:val="11"/>
          <w:rFonts w:hint="eastAsia" w:ascii="方正仿宋_GBK" w:hAnsi="方正仿宋_GBK" w:eastAsia="方正仿宋_GBK" w:cs="方正仿宋_GBK"/>
          <w:sz w:val="32"/>
          <w:szCs w:val="32"/>
        </w:rPr>
        <w:t>（一）“三公”经费财政拨款支出决算总体情况说明</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2022年“三公”经费财政拨款支出决算为14.20万元，完成预算100.00%，决算数小于预算数的主要原因</w:t>
      </w:r>
      <w:r>
        <w:rPr>
          <w:rFonts w:hint="eastAsia" w:ascii="方正仿宋_GBK" w:hAnsi="方正仿宋_GBK" w:eastAsia="方正仿宋_GBK" w:cs="方正仿宋_GBK"/>
          <w:sz w:val="32"/>
          <w:szCs w:val="32"/>
          <w:lang w:eastAsia="zh-CN"/>
        </w:rPr>
        <w:t>是坚持节俭力行</w:t>
      </w:r>
      <w:r>
        <w:rPr>
          <w:rFonts w:hint="eastAsia" w:ascii="方正仿宋_GBK" w:hAnsi="方正仿宋_GBK" w:eastAsia="方正仿宋_GBK" w:cs="方正仿宋_GBK"/>
          <w:sz w:val="32"/>
          <w:szCs w:val="32"/>
        </w:rPr>
        <w:t>。</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方正仿宋_GBK" w:hAnsi="方正仿宋_GBK" w:eastAsia="方正仿宋_GBK" w:cs="方正仿宋_GBK"/>
          <w:sz w:val="32"/>
          <w:szCs w:val="32"/>
        </w:rPr>
      </w:pPr>
      <w:r>
        <w:rPr>
          <w:rStyle w:val="11"/>
          <w:rFonts w:hint="eastAsia" w:ascii="方正仿宋_GBK" w:hAnsi="方正仿宋_GBK" w:eastAsia="方正仿宋_GBK" w:cs="方正仿宋_GBK"/>
          <w:sz w:val="32"/>
          <w:szCs w:val="32"/>
        </w:rPr>
        <w:t>（二）“三公”经费财政拨款支出决算具体情况说明</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2022年“三公”经费财政拨款支出决算中，因公出国（境）费支出决算0.00万元，占0.00%；公务用车购置及运行维护费支出决算13.76万元，占96.90%；公务接待费支出决算0.44万元，占3.10%。具体情况如下：</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方正仿宋_GBK" w:hAnsi="方正仿宋_GBK" w:eastAsia="方正仿宋_GBK" w:cs="方正仿宋_GBK"/>
          <w:sz w:val="32"/>
          <w:szCs w:val="32"/>
        </w:rPr>
      </w:pPr>
      <w:r>
        <w:rPr>
          <w:rFonts w:hint="eastAsia" w:ascii="仿宋" w:hAnsi="仿宋" w:eastAsia="仿宋"/>
          <w:color w:val="000000"/>
          <w:sz w:val="32"/>
          <w:szCs w:val="32"/>
          <w:lang w:eastAsia="zh-CN"/>
        </w:rPr>
        <w:drawing>
          <wp:anchor distT="0" distB="0" distL="114300" distR="114300" simplePos="0" relativeHeight="251665408" behindDoc="1" locked="0" layoutInCell="1" allowOverlap="1">
            <wp:simplePos x="0" y="0"/>
            <wp:positionH relativeFrom="column">
              <wp:posOffset>377825</wp:posOffset>
            </wp:positionH>
            <wp:positionV relativeFrom="paragraph">
              <wp:posOffset>130175</wp:posOffset>
            </wp:positionV>
            <wp:extent cx="4841240" cy="2237740"/>
            <wp:effectExtent l="4445" t="4445" r="15875" b="13335"/>
            <wp:wrapTight wrapText="bothSides">
              <wp:wrapPolygon>
                <wp:start x="-20" y="-43"/>
                <wp:lineTo x="-20" y="21435"/>
                <wp:lineTo x="21535" y="21435"/>
                <wp:lineTo x="21535" y="-43"/>
                <wp:lineTo x="-20" y="-43"/>
              </wp:wrapPolygon>
            </wp:wrapTight>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方正仿宋_GBK" w:hAnsi="方正仿宋_GBK" w:eastAsia="方正仿宋_GBK" w:cs="方正仿宋_GBK"/>
          <w:sz w:val="32"/>
          <w:szCs w:val="32"/>
        </w:rPr>
      </w:pP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方正仿宋_GBK" w:hAnsi="方正仿宋_GBK" w:eastAsia="方正仿宋_GBK" w:cs="方正仿宋_GBK"/>
          <w:sz w:val="32"/>
          <w:szCs w:val="32"/>
        </w:rPr>
      </w:pP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（图7：“三公”经费财政拨款支出结构）（饼状图）</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方正仿宋_GBK" w:hAnsi="方正仿宋_GBK" w:eastAsia="方正仿宋_GBK" w:cs="方正仿宋_GBK"/>
          <w:sz w:val="32"/>
          <w:szCs w:val="32"/>
        </w:rPr>
      </w:pPr>
      <w:r>
        <w:rPr>
          <w:rStyle w:val="11"/>
          <w:rFonts w:hint="eastAsia" w:ascii="方正仿宋_GBK" w:hAnsi="方正仿宋_GBK" w:eastAsia="方正仿宋_GBK" w:cs="方正仿宋_GBK"/>
          <w:sz w:val="32"/>
          <w:szCs w:val="32"/>
        </w:rPr>
        <w:t>1.因公出国（境）经费支出</w:t>
      </w:r>
      <w:r>
        <w:rPr>
          <w:rFonts w:hint="eastAsia" w:ascii="方正仿宋_GBK" w:hAnsi="方正仿宋_GBK" w:eastAsia="方正仿宋_GBK" w:cs="方正仿宋_GBK"/>
          <w:sz w:val="32"/>
          <w:szCs w:val="32"/>
        </w:rPr>
        <w:t>0.00万元，</w:t>
      </w:r>
      <w:r>
        <w:rPr>
          <w:rStyle w:val="11"/>
          <w:rFonts w:hint="eastAsia" w:ascii="方正仿宋_GBK" w:hAnsi="方正仿宋_GBK" w:eastAsia="方正仿宋_GBK" w:cs="方正仿宋_GBK"/>
          <w:sz w:val="32"/>
          <w:szCs w:val="32"/>
        </w:rPr>
        <w:t>完成预算0.00%。</w:t>
      </w:r>
      <w:r>
        <w:rPr>
          <w:rFonts w:hint="eastAsia" w:ascii="方正仿宋_GBK" w:hAnsi="方正仿宋_GBK" w:eastAsia="方正仿宋_GBK" w:cs="方正仿宋_GBK"/>
          <w:sz w:val="32"/>
          <w:szCs w:val="32"/>
        </w:rPr>
        <w:t>全年安排因公出国（境）团组0次，出国（境）0人。因公出国（境）支出决算比2021年增加0.00万元，增长0.00%。主要原因是</w:t>
      </w:r>
      <w:r>
        <w:rPr>
          <w:rFonts w:hint="eastAsia" w:ascii="方正仿宋_GBK" w:hAnsi="方正仿宋_GBK" w:eastAsia="方正仿宋_GBK" w:cs="方正仿宋_GBK"/>
          <w:sz w:val="32"/>
          <w:szCs w:val="32"/>
          <w:lang w:eastAsia="zh-CN"/>
        </w:rPr>
        <w:t>未安排人员出国</w:t>
      </w:r>
      <w:r>
        <w:rPr>
          <w:rFonts w:hint="eastAsia" w:ascii="方正仿宋_GBK" w:hAnsi="方正仿宋_GBK" w:eastAsia="方正仿宋_GBK" w:cs="方正仿宋_GBK"/>
          <w:sz w:val="32"/>
          <w:szCs w:val="32"/>
        </w:rPr>
        <w:t>。</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方正仿宋_GBK" w:hAnsi="方正仿宋_GBK" w:eastAsia="方正仿宋_GBK" w:cs="方正仿宋_GBK"/>
          <w:sz w:val="32"/>
          <w:szCs w:val="32"/>
        </w:rPr>
      </w:pPr>
      <w:r>
        <w:rPr>
          <w:rStyle w:val="11"/>
          <w:rFonts w:hint="eastAsia" w:ascii="方正仿宋_GBK" w:hAnsi="方正仿宋_GBK" w:eastAsia="方正仿宋_GBK" w:cs="方正仿宋_GBK"/>
          <w:sz w:val="32"/>
          <w:szCs w:val="32"/>
        </w:rPr>
        <w:t>2.公务用车购置及运行维护费支出</w:t>
      </w:r>
      <w:r>
        <w:rPr>
          <w:rFonts w:hint="eastAsia" w:ascii="方正仿宋_GBK" w:hAnsi="方正仿宋_GBK" w:eastAsia="方正仿宋_GBK" w:cs="方正仿宋_GBK"/>
          <w:sz w:val="32"/>
          <w:szCs w:val="32"/>
        </w:rPr>
        <w:t>13.76万元,</w:t>
      </w:r>
      <w:r>
        <w:rPr>
          <w:rStyle w:val="11"/>
          <w:rFonts w:hint="eastAsia" w:ascii="方正仿宋_GBK" w:hAnsi="方正仿宋_GBK" w:eastAsia="方正仿宋_GBK" w:cs="方正仿宋_GBK"/>
          <w:sz w:val="32"/>
          <w:szCs w:val="32"/>
        </w:rPr>
        <w:t>完成预算100.00%。</w:t>
      </w:r>
      <w:r>
        <w:rPr>
          <w:rFonts w:hint="eastAsia" w:ascii="方正仿宋_GBK" w:hAnsi="方正仿宋_GBK" w:eastAsia="方正仿宋_GBK" w:cs="方正仿宋_GBK"/>
          <w:sz w:val="32"/>
          <w:szCs w:val="32"/>
        </w:rPr>
        <w:t>公务用车购置及运行维护费支出决算比2021年增加-2.63万元，增长-16.04%。主要原因是</w:t>
      </w:r>
      <w:r>
        <w:rPr>
          <w:rFonts w:hint="eastAsia" w:ascii="方正仿宋_GBK" w:hAnsi="方正仿宋_GBK" w:eastAsia="方正仿宋_GBK" w:cs="方正仿宋_GBK"/>
          <w:sz w:val="32"/>
          <w:szCs w:val="32"/>
          <w:lang w:eastAsia="zh-CN"/>
        </w:rPr>
        <w:t>节俭力行</w:t>
      </w:r>
      <w:r>
        <w:rPr>
          <w:rFonts w:hint="eastAsia" w:ascii="方正仿宋_GBK" w:hAnsi="方正仿宋_GBK" w:eastAsia="方正仿宋_GBK" w:cs="方正仿宋_GBK"/>
          <w:sz w:val="32"/>
          <w:szCs w:val="32"/>
        </w:rPr>
        <w:t>。</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ascii="仿宋_GB2312" w:eastAsia="仿宋_GB2312"/>
          <w:b/>
          <w:sz w:val="32"/>
          <w:szCs w:val="32"/>
        </w:rPr>
      </w:pPr>
      <w:r>
        <w:rPr>
          <w:rFonts w:hint="eastAsia" w:ascii="方正仿宋_GBK" w:hAnsi="方正仿宋_GBK" w:eastAsia="方正仿宋_GBK" w:cs="方正仿宋_GBK"/>
          <w:sz w:val="32"/>
          <w:szCs w:val="32"/>
        </w:rPr>
        <w:t>其中：</w:t>
      </w:r>
      <w:r>
        <w:rPr>
          <w:rStyle w:val="11"/>
          <w:rFonts w:hint="eastAsia" w:ascii="方正仿宋_GBK" w:hAnsi="方正仿宋_GBK" w:eastAsia="方正仿宋_GBK" w:cs="方正仿宋_GBK"/>
          <w:sz w:val="32"/>
          <w:szCs w:val="32"/>
        </w:rPr>
        <w:t>公务用车购置支出</w:t>
      </w:r>
      <w:r>
        <w:rPr>
          <w:rFonts w:hint="eastAsia" w:ascii="方正仿宋_GBK" w:hAnsi="方正仿宋_GBK" w:eastAsia="方正仿宋_GBK" w:cs="方正仿宋_GBK"/>
          <w:sz w:val="32"/>
          <w:szCs w:val="32"/>
        </w:rPr>
        <w:t>0.00万元。全年按规定更新购置公务用车0辆。截至202</w:t>
      </w:r>
      <w:r>
        <w:rPr>
          <w:rFonts w:hint="eastAsia" w:ascii="方正仿宋_GBK" w:hAnsi="方正仿宋_GBK" w:eastAsia="方正仿宋_GBK" w:cs="方正仿宋_GBK"/>
          <w:sz w:val="32"/>
          <w:szCs w:val="32"/>
          <w:lang w:val="en-US" w:eastAsia="zh-CN"/>
        </w:rPr>
        <w:t>2</w:t>
      </w:r>
      <w:r>
        <w:rPr>
          <w:rFonts w:hint="eastAsia" w:ascii="方正仿宋_GBK" w:hAnsi="方正仿宋_GBK" w:eastAsia="方正仿宋_GBK" w:cs="方正仿宋_GBK"/>
          <w:sz w:val="32"/>
          <w:szCs w:val="32"/>
        </w:rPr>
        <w:t>年12月底，单位共有公务用车4辆，其中：</w:t>
      </w:r>
      <w:r>
        <w:rPr>
          <w:rFonts w:hint="eastAsia" w:ascii="仿宋_GB2312" w:eastAsia="仿宋_GB2312"/>
          <w:sz w:val="32"/>
          <w:szCs w:val="32"/>
        </w:rPr>
        <w:t>公务用车</w:t>
      </w:r>
      <w:r>
        <w:rPr>
          <w:rFonts w:hint="eastAsia" w:ascii="仿宋_GB2312" w:eastAsia="仿宋_GB2312"/>
          <w:sz w:val="32"/>
          <w:szCs w:val="32"/>
          <w:lang w:val="en-US" w:eastAsia="zh-CN"/>
        </w:rPr>
        <w:t>2</w:t>
      </w:r>
      <w:r>
        <w:rPr>
          <w:rFonts w:hint="eastAsia" w:ascii="仿宋_GB2312" w:eastAsia="仿宋_GB2312"/>
          <w:sz w:val="32"/>
          <w:szCs w:val="32"/>
        </w:rPr>
        <w:t>辆，</w:t>
      </w:r>
      <w:r>
        <w:rPr>
          <w:rFonts w:hint="eastAsia" w:ascii="仿宋_GB2312" w:eastAsia="仿宋_GB2312"/>
          <w:sz w:val="32"/>
          <w:szCs w:val="32"/>
          <w:lang w:eastAsia="zh-CN"/>
        </w:rPr>
        <w:t>特种设备用车</w:t>
      </w:r>
      <w:r>
        <w:rPr>
          <w:rFonts w:hint="eastAsia" w:ascii="仿宋_GB2312" w:eastAsia="仿宋_GB2312"/>
          <w:sz w:val="32"/>
          <w:szCs w:val="32"/>
          <w:lang w:val="en-US" w:eastAsia="zh-CN"/>
        </w:rPr>
        <w:t>1辆，皮卡车1辆。</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方正仿宋_GBK" w:hAnsi="方正仿宋_GBK" w:eastAsia="方正仿宋_GBK" w:cs="方正仿宋_GBK"/>
          <w:sz w:val="32"/>
          <w:szCs w:val="32"/>
        </w:rPr>
      </w:pPr>
      <w:r>
        <w:rPr>
          <w:rStyle w:val="11"/>
          <w:rFonts w:hint="eastAsia" w:ascii="方正仿宋_GBK" w:hAnsi="方正仿宋_GBK" w:eastAsia="方正仿宋_GBK" w:cs="方正仿宋_GBK"/>
          <w:sz w:val="32"/>
          <w:szCs w:val="32"/>
        </w:rPr>
        <w:t>公务用车运行维护费支出</w:t>
      </w:r>
      <w:r>
        <w:rPr>
          <w:rFonts w:hint="eastAsia" w:ascii="方正仿宋_GBK" w:hAnsi="方正仿宋_GBK" w:eastAsia="方正仿宋_GBK" w:cs="方正仿宋_GBK"/>
          <w:sz w:val="32"/>
          <w:szCs w:val="32"/>
        </w:rPr>
        <w:t>13.76万元。主要用于</w:t>
      </w:r>
      <w:r>
        <w:rPr>
          <w:rFonts w:hint="eastAsia" w:ascii="仿宋_GB2312" w:eastAsia="仿宋_GB2312"/>
          <w:sz w:val="32"/>
          <w:szCs w:val="32"/>
          <w:lang w:eastAsia="zh-CN"/>
        </w:rPr>
        <w:t>出差、下乡专项检查</w:t>
      </w:r>
      <w:r>
        <w:rPr>
          <w:rFonts w:hint="eastAsia" w:ascii="方正仿宋_GBK" w:hAnsi="方正仿宋_GBK" w:eastAsia="方正仿宋_GBK" w:cs="方正仿宋_GBK"/>
          <w:sz w:val="32"/>
          <w:szCs w:val="32"/>
        </w:rPr>
        <w:t>等所需的公务用车燃料费、维修费、过路过桥费、保险费等支出。</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方正仿宋_GBK" w:hAnsi="方正仿宋_GBK" w:eastAsia="方正仿宋_GBK" w:cs="方正仿宋_GBK"/>
          <w:sz w:val="32"/>
          <w:szCs w:val="32"/>
        </w:rPr>
      </w:pPr>
      <w:r>
        <w:rPr>
          <w:rStyle w:val="11"/>
          <w:rFonts w:hint="eastAsia" w:ascii="方正仿宋_GBK" w:hAnsi="方正仿宋_GBK" w:eastAsia="方正仿宋_GBK" w:cs="方正仿宋_GBK"/>
          <w:sz w:val="32"/>
          <w:szCs w:val="32"/>
        </w:rPr>
        <w:t>3.公务接待费支出</w:t>
      </w:r>
      <w:r>
        <w:rPr>
          <w:rFonts w:hint="eastAsia" w:ascii="方正仿宋_GBK" w:hAnsi="方正仿宋_GBK" w:eastAsia="方正仿宋_GBK" w:cs="方正仿宋_GBK"/>
          <w:sz w:val="32"/>
          <w:szCs w:val="32"/>
        </w:rPr>
        <w:t>0.44万元，</w:t>
      </w:r>
      <w:r>
        <w:rPr>
          <w:rStyle w:val="11"/>
          <w:rFonts w:hint="eastAsia" w:ascii="方正仿宋_GBK" w:hAnsi="方正仿宋_GBK" w:eastAsia="方正仿宋_GBK" w:cs="方正仿宋_GBK"/>
          <w:sz w:val="32"/>
          <w:szCs w:val="32"/>
        </w:rPr>
        <w:t>完成预算100%。</w:t>
      </w:r>
      <w:r>
        <w:rPr>
          <w:rFonts w:hint="eastAsia" w:ascii="方正仿宋_GBK" w:hAnsi="方正仿宋_GBK" w:eastAsia="方正仿宋_GBK" w:cs="方正仿宋_GBK"/>
          <w:sz w:val="32"/>
          <w:szCs w:val="32"/>
        </w:rPr>
        <w:t>公务接待费支出决算比2021年增加0.44万元，增长0.00%。主要原因</w:t>
      </w:r>
      <w:r>
        <w:rPr>
          <w:rFonts w:hint="eastAsia" w:ascii="方正仿宋_GBK" w:hAnsi="方正仿宋_GBK" w:eastAsia="方正仿宋_GBK" w:cs="方正仿宋_GBK"/>
          <w:sz w:val="32"/>
          <w:szCs w:val="32"/>
          <w:lang w:eastAsia="zh-CN"/>
        </w:rPr>
        <w:t>正常接待。</w:t>
      </w:r>
      <w:r>
        <w:rPr>
          <w:rFonts w:hint="eastAsia" w:ascii="方正仿宋_GBK" w:hAnsi="方正仿宋_GBK" w:eastAsia="方正仿宋_GBK" w:cs="方正仿宋_GBK"/>
          <w:sz w:val="32"/>
          <w:szCs w:val="32"/>
        </w:rPr>
        <w:t>其中：</w:t>
      </w:r>
      <w:r>
        <w:rPr>
          <w:rStyle w:val="11"/>
          <w:rFonts w:hint="eastAsia" w:ascii="方正仿宋_GBK" w:hAnsi="方正仿宋_GBK" w:eastAsia="方正仿宋_GBK" w:cs="方正仿宋_GBK"/>
          <w:sz w:val="32"/>
          <w:szCs w:val="32"/>
        </w:rPr>
        <w:t>国内公务接待支出</w:t>
      </w:r>
      <w:r>
        <w:rPr>
          <w:rFonts w:hint="eastAsia" w:ascii="方正仿宋_GBK" w:hAnsi="方正仿宋_GBK" w:eastAsia="方正仿宋_GBK" w:cs="方正仿宋_GBK"/>
          <w:sz w:val="32"/>
          <w:szCs w:val="32"/>
        </w:rPr>
        <w:t>0.44万元，主要用于执行公务、开展业务活动开支的用餐费。国内公务接待</w:t>
      </w:r>
      <w:r>
        <w:rPr>
          <w:rFonts w:hint="eastAsia" w:ascii="方正仿宋_GBK" w:hAnsi="方正仿宋_GBK" w:eastAsia="方正仿宋_GBK" w:cs="方正仿宋_GBK"/>
          <w:sz w:val="32"/>
          <w:szCs w:val="32"/>
          <w:lang w:val="en-US" w:eastAsia="zh-CN"/>
        </w:rPr>
        <w:t>3</w:t>
      </w:r>
      <w:r>
        <w:rPr>
          <w:rFonts w:hint="eastAsia" w:ascii="方正仿宋_GBK" w:hAnsi="方正仿宋_GBK" w:eastAsia="方正仿宋_GBK" w:cs="方正仿宋_GBK"/>
          <w:sz w:val="32"/>
          <w:szCs w:val="32"/>
        </w:rPr>
        <w:t>批次，55人次（不包括陪同人员），共计支出0.44万元，具体内容包括：主要用于执行公务、开展业务活动开支的用餐费。</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楷体" w:hAnsi="楷体" w:eastAsia="楷体" w:cs="楷体"/>
          <w:sz w:val="32"/>
          <w:szCs w:val="32"/>
        </w:rPr>
      </w:pPr>
      <w:r>
        <w:rPr>
          <w:rFonts w:hint="eastAsia" w:ascii="楷体" w:hAnsi="楷体" w:eastAsia="楷体" w:cs="楷体"/>
          <w:sz w:val="32"/>
          <w:szCs w:val="32"/>
        </w:rPr>
        <w:t>八、政府性基金预算支出决算情况说明</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2022年政府性基金预算财政拨款支出0.00万元。</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楷体" w:hAnsi="楷体" w:eastAsia="楷体" w:cs="楷体"/>
          <w:sz w:val="32"/>
          <w:szCs w:val="32"/>
        </w:rPr>
      </w:pPr>
      <w:r>
        <w:rPr>
          <w:rFonts w:hint="eastAsia" w:ascii="楷体" w:hAnsi="楷体" w:eastAsia="楷体" w:cs="楷体"/>
          <w:sz w:val="32"/>
          <w:szCs w:val="32"/>
        </w:rPr>
        <w:t>九、国有资本经营预算支出决算情况说明</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2022年国有资本经营预算财政拨款支出0.00万元。 </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楷体" w:hAnsi="楷体" w:eastAsia="楷体" w:cs="楷体"/>
          <w:sz w:val="32"/>
          <w:szCs w:val="32"/>
        </w:rPr>
      </w:pPr>
      <w:r>
        <w:rPr>
          <w:rFonts w:hint="eastAsia" w:ascii="楷体" w:hAnsi="楷体" w:eastAsia="楷体" w:cs="楷体"/>
          <w:sz w:val="32"/>
          <w:szCs w:val="32"/>
        </w:rPr>
        <w:t>十、其他重要事项的情况说明</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方正仿宋_GBK" w:hAnsi="方正仿宋_GBK" w:eastAsia="方正仿宋_GBK" w:cs="方正仿宋_GBK"/>
          <w:sz w:val="32"/>
          <w:szCs w:val="32"/>
        </w:rPr>
      </w:pPr>
      <w:r>
        <w:rPr>
          <w:rStyle w:val="11"/>
          <w:rFonts w:hint="eastAsia" w:ascii="方正仿宋_GBK" w:hAnsi="方正仿宋_GBK" w:eastAsia="方正仿宋_GBK" w:cs="方正仿宋_GBK"/>
          <w:sz w:val="32"/>
          <w:szCs w:val="32"/>
        </w:rPr>
        <w:t>（一）机关运行经费支出情况</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2022年，阿坝州红原县市场监督管理局（汇总）机关运行经费支出76.19万元，比2021年增加27.87万元，增长57.67%（或与2021年决算数持平）。主要原因是</w:t>
      </w:r>
      <w:r>
        <w:rPr>
          <w:rFonts w:hint="eastAsia" w:ascii="方正仿宋_GBK" w:hAnsi="方正仿宋_GBK" w:eastAsia="方正仿宋_GBK" w:cs="方正仿宋_GBK"/>
          <w:sz w:val="32"/>
          <w:szCs w:val="32"/>
          <w:lang w:eastAsia="zh-CN"/>
        </w:rPr>
        <w:t>人员经费和业务工作经费增加。</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jc w:val="left"/>
        <w:textAlignment w:val="auto"/>
        <w:rPr>
          <w:rFonts w:hint="eastAsia" w:ascii="方正仿宋_GBK" w:hAnsi="方正仿宋_GBK" w:eastAsia="方正仿宋_GBK" w:cs="方正仿宋_GBK"/>
          <w:sz w:val="32"/>
          <w:szCs w:val="32"/>
        </w:rPr>
      </w:pPr>
      <w:r>
        <w:rPr>
          <w:rStyle w:val="11"/>
          <w:rFonts w:hint="eastAsia" w:ascii="方正仿宋_GBK" w:hAnsi="方正仿宋_GBK" w:eastAsia="方正仿宋_GBK" w:cs="方正仿宋_GBK"/>
          <w:sz w:val="32"/>
          <w:szCs w:val="32"/>
        </w:rPr>
        <w:t>（二）政府采购支出情况</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2022年，阿坝州红原县市场监督管理局（汇总）政府采购支出总额54.30万元，其中：政府采购货物支出54.30万元、政府采购工程支出0.00万元、政府采购服务支出0.00万元。主要用于</w:t>
      </w:r>
      <w:r>
        <w:rPr>
          <w:rFonts w:hint="eastAsia" w:ascii="方正仿宋_GBK" w:hAnsi="方正仿宋_GBK" w:eastAsia="方正仿宋_GBK" w:cs="方正仿宋_GBK"/>
          <w:sz w:val="32"/>
          <w:szCs w:val="32"/>
          <w:lang w:eastAsia="zh-CN"/>
        </w:rPr>
        <w:t>红原县牦牛制品检验检测中心办公设备采购</w:t>
      </w:r>
      <w:r>
        <w:rPr>
          <w:rFonts w:hint="eastAsia" w:ascii="方正仿宋_GBK" w:hAnsi="方正仿宋_GBK" w:eastAsia="方正仿宋_GBK" w:cs="方正仿宋_GBK"/>
          <w:sz w:val="32"/>
          <w:szCs w:val="32"/>
        </w:rPr>
        <w:t>。授予中小企业合同金额54.30万元，占政府采购支出总额的100.00%，其中：授予小微企业合同金额0.00万元，占政府采购支出总额的0.00%。</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jc w:val="left"/>
        <w:textAlignment w:val="auto"/>
        <w:rPr>
          <w:rFonts w:hint="eastAsia" w:ascii="方正仿宋_GBK" w:hAnsi="方正仿宋_GBK" w:eastAsia="方正仿宋_GBK" w:cs="方正仿宋_GBK"/>
          <w:sz w:val="32"/>
          <w:szCs w:val="32"/>
        </w:rPr>
      </w:pPr>
      <w:r>
        <w:rPr>
          <w:rStyle w:val="11"/>
          <w:rFonts w:hint="eastAsia" w:ascii="方正仿宋_GBK" w:hAnsi="方正仿宋_GBK" w:eastAsia="方正仿宋_GBK" w:cs="方正仿宋_GBK"/>
          <w:sz w:val="32"/>
          <w:szCs w:val="32"/>
        </w:rPr>
        <w:t>（三）国有资产占有使用情况</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截至2022年12月31日，阿坝州红原县市场监督管理局（汇总）共有车辆4辆，其中：</w:t>
      </w:r>
      <w:r>
        <w:rPr>
          <w:rFonts w:hint="eastAsia" w:ascii="方正仿宋_GBK" w:hAnsi="方正仿宋_GBK" w:eastAsia="方正仿宋_GBK" w:cs="方正仿宋_GBK"/>
          <w:sz w:val="32"/>
          <w:szCs w:val="32"/>
          <w:lang w:eastAsia="zh-CN"/>
        </w:rPr>
        <w:t>执法用车</w:t>
      </w:r>
      <w:r>
        <w:rPr>
          <w:rFonts w:hint="eastAsia" w:ascii="方正仿宋_GBK" w:hAnsi="方正仿宋_GBK" w:eastAsia="方正仿宋_GBK" w:cs="方正仿宋_GBK"/>
          <w:sz w:val="32"/>
          <w:szCs w:val="32"/>
          <w:lang w:val="en-US" w:eastAsia="zh-CN"/>
        </w:rPr>
        <w:t>3辆，特种设备用车1辆。</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jc w:val="left"/>
        <w:textAlignment w:val="auto"/>
        <w:rPr>
          <w:rFonts w:hint="eastAsia" w:ascii="方正仿宋_GBK" w:hAnsi="方正仿宋_GBK" w:eastAsia="方正仿宋_GBK" w:cs="方正仿宋_GBK"/>
          <w:sz w:val="32"/>
          <w:szCs w:val="32"/>
        </w:rPr>
      </w:pPr>
      <w:r>
        <w:rPr>
          <w:rStyle w:val="11"/>
          <w:rFonts w:hint="eastAsia" w:ascii="方正仿宋_GBK" w:hAnsi="方正仿宋_GBK" w:eastAsia="方正仿宋_GBK" w:cs="方正仿宋_GBK"/>
          <w:sz w:val="32"/>
          <w:szCs w:val="32"/>
        </w:rPr>
        <w:t>（四）预算绩效管理情况</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根据预算绩效管理要求，本部门在2022年度预算编制阶段，组织对</w:t>
      </w:r>
      <w:r>
        <w:rPr>
          <w:rFonts w:hint="eastAsia" w:ascii="方正仿宋_GBK" w:hAnsi="方正仿宋_GBK" w:eastAsia="方正仿宋_GBK" w:cs="方正仿宋_GBK"/>
          <w:sz w:val="32"/>
          <w:szCs w:val="32"/>
          <w:lang w:val="en-US" w:eastAsia="zh-CN"/>
        </w:rPr>
        <w:t>1个</w:t>
      </w:r>
      <w:r>
        <w:rPr>
          <w:rFonts w:hint="eastAsia" w:ascii="方正仿宋_GBK" w:hAnsi="方正仿宋_GBK" w:eastAsia="方正仿宋_GBK" w:cs="方正仿宋_GBK"/>
          <w:sz w:val="32"/>
          <w:szCs w:val="32"/>
        </w:rPr>
        <w:t>项目（</w:t>
      </w:r>
      <w:r>
        <w:rPr>
          <w:rFonts w:hint="eastAsia" w:ascii="方正仿宋_GBK" w:hAnsi="方正仿宋_GBK" w:eastAsia="方正仿宋_GBK" w:cs="方正仿宋_GBK"/>
          <w:sz w:val="32"/>
          <w:szCs w:val="32"/>
          <w:lang w:eastAsia="zh-CN"/>
        </w:rPr>
        <w:t>红原县牦牛制品检验检测中心设备采购</w:t>
      </w:r>
      <w:r>
        <w:rPr>
          <w:rFonts w:hint="eastAsia" w:ascii="方正仿宋_GBK" w:hAnsi="方正仿宋_GBK" w:eastAsia="方正仿宋_GBK" w:cs="方正仿宋_GBK"/>
          <w:sz w:val="32"/>
          <w:szCs w:val="32"/>
        </w:rPr>
        <w:t>）等</w:t>
      </w: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rPr>
        <w:t>个项目开展了预算事前绩效评估，对</w:t>
      </w: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rPr>
        <w:t>个项目编制了绩效目标，预算执行过程中，选取</w:t>
      </w: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rPr>
        <w:t>个项目开展绩效监控</w:t>
      </w:r>
      <w:r>
        <w:rPr>
          <w:rFonts w:hint="eastAsia" w:ascii="方正仿宋_GBK" w:hAnsi="方正仿宋_GBK" w:eastAsia="方正仿宋_GBK" w:cs="方正仿宋_GBK"/>
          <w:sz w:val="32"/>
          <w:szCs w:val="32"/>
          <w:lang w:eastAsia="zh-CN"/>
        </w:rPr>
        <w:t>。</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组织对2022年度一般公共预算、政府性基金预算、国有资本经营预算、社会保险基金预算以及资本资产、债券资金等全面开展绩效自评，形成</w:t>
      </w:r>
      <w:r>
        <w:rPr>
          <w:rFonts w:hint="eastAsia" w:ascii="方正仿宋_GBK" w:hAnsi="方正仿宋_GBK" w:eastAsia="方正仿宋_GBK" w:cs="方正仿宋_GBK"/>
          <w:sz w:val="32"/>
          <w:szCs w:val="32"/>
          <w:lang w:eastAsia="zh-CN"/>
        </w:rPr>
        <w:t>红原县市场监督管理局</w:t>
      </w:r>
      <w:r>
        <w:rPr>
          <w:rFonts w:hint="eastAsia" w:ascii="方正仿宋_GBK" w:hAnsi="方正仿宋_GBK" w:eastAsia="方正仿宋_GBK" w:cs="方正仿宋_GBK"/>
          <w:sz w:val="32"/>
          <w:szCs w:val="32"/>
        </w:rPr>
        <w:t>部门整体绩效自评报告、</w:t>
      </w:r>
      <w:r>
        <w:rPr>
          <w:rFonts w:hint="eastAsia" w:ascii="方正仿宋_GBK" w:hAnsi="方正仿宋_GBK" w:eastAsia="方正仿宋_GBK" w:cs="方正仿宋_GBK"/>
          <w:sz w:val="32"/>
          <w:szCs w:val="32"/>
          <w:lang w:eastAsia="zh-CN"/>
        </w:rPr>
        <w:t>市场监管</w:t>
      </w:r>
      <w:r>
        <w:rPr>
          <w:rFonts w:hint="eastAsia" w:ascii="方正仿宋_GBK" w:hAnsi="方正仿宋_GBK" w:eastAsia="方正仿宋_GBK" w:cs="方正仿宋_GBK"/>
          <w:sz w:val="32"/>
          <w:szCs w:val="32"/>
        </w:rPr>
        <w:t>等专项预算项目绩效自评报告，其中，</w:t>
      </w:r>
      <w:r>
        <w:rPr>
          <w:rFonts w:hint="eastAsia" w:ascii="方正仿宋_GBK" w:hAnsi="方正仿宋_GBK" w:eastAsia="方正仿宋_GBK" w:cs="方正仿宋_GBK"/>
          <w:sz w:val="32"/>
          <w:szCs w:val="32"/>
          <w:lang w:eastAsia="zh-CN"/>
        </w:rPr>
        <w:t>红原县市场监督管理局</w:t>
      </w:r>
      <w:r>
        <w:rPr>
          <w:rFonts w:hint="eastAsia" w:ascii="方正仿宋_GBK" w:hAnsi="方正仿宋_GBK" w:eastAsia="方正仿宋_GBK" w:cs="方正仿宋_GBK"/>
          <w:sz w:val="32"/>
          <w:szCs w:val="32"/>
        </w:rPr>
        <w:t>部门整体绩效自评得分为</w:t>
      </w:r>
      <w:r>
        <w:rPr>
          <w:rFonts w:hint="eastAsia" w:ascii="方正仿宋_GBK" w:hAnsi="方正仿宋_GBK" w:eastAsia="方正仿宋_GBK" w:cs="方正仿宋_GBK"/>
          <w:sz w:val="32"/>
          <w:szCs w:val="32"/>
          <w:lang w:val="en-US" w:eastAsia="zh-CN"/>
        </w:rPr>
        <w:t>95</w:t>
      </w:r>
      <w:r>
        <w:rPr>
          <w:rFonts w:hint="eastAsia" w:ascii="方正仿宋_GBK" w:hAnsi="方正仿宋_GBK" w:eastAsia="方正仿宋_GBK" w:cs="方正仿宋_GBK"/>
          <w:sz w:val="32"/>
          <w:szCs w:val="32"/>
        </w:rPr>
        <w:t>分；</w:t>
      </w:r>
      <w:r>
        <w:rPr>
          <w:rFonts w:hint="eastAsia" w:ascii="方正仿宋_GBK" w:hAnsi="方正仿宋_GBK" w:eastAsia="方正仿宋_GBK" w:cs="方正仿宋_GBK"/>
          <w:sz w:val="32"/>
          <w:szCs w:val="32"/>
          <w:lang w:eastAsia="zh-CN"/>
        </w:rPr>
        <w:t>市场监管</w:t>
      </w:r>
      <w:r>
        <w:rPr>
          <w:rFonts w:hint="eastAsia" w:ascii="方正仿宋_GBK" w:hAnsi="方正仿宋_GBK" w:eastAsia="方正仿宋_GBK" w:cs="方正仿宋_GBK"/>
          <w:sz w:val="32"/>
          <w:szCs w:val="32"/>
        </w:rPr>
        <w:t>专项预算项目绩效自评得分为</w:t>
      </w:r>
      <w:r>
        <w:rPr>
          <w:rFonts w:hint="eastAsia" w:ascii="方正仿宋_GBK" w:hAnsi="方正仿宋_GBK" w:eastAsia="方正仿宋_GBK" w:cs="方正仿宋_GBK"/>
          <w:sz w:val="32"/>
          <w:szCs w:val="32"/>
          <w:lang w:val="en-US" w:eastAsia="zh-CN"/>
        </w:rPr>
        <w:t>96</w:t>
      </w:r>
      <w:r>
        <w:rPr>
          <w:rFonts w:hint="eastAsia" w:ascii="方正仿宋_GBK" w:hAnsi="方正仿宋_GBK" w:eastAsia="方正仿宋_GBK" w:cs="方正仿宋_GBK"/>
          <w:sz w:val="32"/>
          <w:szCs w:val="32"/>
        </w:rPr>
        <w:t>分。绩效自评报告详见附件。</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jc w:val="center"/>
        <w:textAlignment w:val="auto"/>
        <w:rPr>
          <w:rFonts w:hint="eastAsia" w:ascii="方正仿宋_GBK" w:hAnsi="方正仿宋_GBK" w:eastAsia="方正仿宋_GBK" w:cs="方正仿宋_GBK"/>
          <w:sz w:val="32"/>
          <w:szCs w:val="32"/>
        </w:rPr>
      </w:pPr>
      <w:r>
        <w:rPr>
          <w:rStyle w:val="11"/>
          <w:rFonts w:hint="eastAsia" w:ascii="方正仿宋_GBK" w:hAnsi="方正仿宋_GBK" w:eastAsia="方正仿宋_GBK" w:cs="方正仿宋_GBK"/>
          <w:sz w:val="32"/>
          <w:szCs w:val="32"/>
        </w:rPr>
        <w:t>第三部分 名词解释</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1.财政拨款收入：指单位从同级财政部门取得的财政预算资金。</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2.事业收入：指事业单位开展专业业务活动及辅助活动取得的收入。如…（二级预算单位事业收入情况）等。</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3.经营收入：指事业单位在专业业务活动及其辅助活动之外开展非独立核算经营活动取得的收入。如…（二级预算单位经营收入情况）等。</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4.其他收入：指单位取得的除上述收入以外的各项收入。主要是…（收入类型）等。</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5.使用非财政拨款结余：指事业单位使用以前年度积累的非财政拨款结余弥补当年收支差额的金额。</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6.年初结转和结余：指以前年度尚未完成、结转到本年按有关规定继续使用的资金。</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7.结余分配：指事业单位按照会计制度规定缴纳的所得税、提取的专用结余以及转入非财政拨款结余的金额等。</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8、年末结转和结余：指单位按有关规定结转到下年或以后年度继续使用的资金。</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9.一般公共服务（类）…（款）…（项）：指……。</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10.外交（类）…（款）…（项）：指……。</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11.公共安全（类）…（款）…（项）：指……。</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12.教育（类）…（款）…（项）：指……。</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13.科学技术（类）…（款）…（项）：指……。</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14.文化体育与传媒（类）…（款）…（项）：指……。</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15.社会保障和就业（类）…（款）…（项）：指……。</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16.医疗卫生与计划生育（类）…（款）…（项）：指……。</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17.节能环保（类）…（款）…（项）：指……。</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18.城乡社区（类）…（款）…（项）：指……。</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19.农林水（类）…（款）…（项）：指……。</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20.交通运输（类）…（款）…（项）：指……。</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21.资源勘探信息等（类）…（款）…（项）：指……。</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22.商业服务业（类）…（款）…（项）：指……。</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23.金融（类）…（款）…（项）：指……。</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24.国土海洋气象等（类）…（款）…（项）：指……。</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25.住房保障（类）…（款）…（项）：指……。</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26.粮油物资储备（类）…（款）…（项）：指……。</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27.基本支出：指为保障机构正常运转、完成日常工作任务而发生的人员支出和公用支出。</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28.项目支出：指在基本支出之外为完成特定行政任务和事业发展目标所发生的支出。</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29.经营支出：指事业单位在专业业务活动及其辅助活动之外开展非独立核算经营活动发生的支出。</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8"/>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pPr>
        <w:pStyle w:val="8"/>
        <w:keepNext w:val="0"/>
        <w:keepLines w:val="0"/>
        <w:widowControl/>
        <w:suppressLineNumbers w:val="0"/>
        <w:jc w:val="center"/>
      </w:pPr>
      <w:r>
        <w:rPr>
          <w:rStyle w:val="11"/>
          <w:sz w:val="39"/>
          <w:szCs w:val="39"/>
        </w:rPr>
        <w:t>第四部分 附件</w:t>
      </w:r>
    </w:p>
    <w:p>
      <w:pPr>
        <w:pStyle w:val="8"/>
        <w:keepNext w:val="0"/>
        <w:keepLines w:val="0"/>
        <w:widowControl/>
        <w:suppressLineNumbers w:val="0"/>
        <w:jc w:val="left"/>
      </w:pPr>
      <w:r>
        <w:t>附件</w:t>
      </w:r>
    </w:p>
    <w:p>
      <w:pPr>
        <w:widowControl/>
        <w:spacing w:line="560" w:lineRule="exact"/>
        <w:contextualSpacing/>
        <w:jc w:val="center"/>
        <w:rPr>
          <w:rFonts w:hint="eastAsia" w:ascii="方正小标宋_GBK" w:hAnsi="方正小标宋_GBK" w:eastAsia="方正小标宋_GBK" w:cs="方正小标宋_GBK"/>
          <w:b w:val="0"/>
          <w:bCs/>
          <w:sz w:val="44"/>
          <w:szCs w:val="44"/>
          <w:shd w:val="clear" w:color="auto" w:fill="FFFFFF"/>
          <w:lang w:eastAsia="zh-CN"/>
        </w:rPr>
      </w:pPr>
      <w:r>
        <w:rPr>
          <w:rFonts w:hint="eastAsia" w:ascii="方正小标宋_GBK" w:hAnsi="方正小标宋_GBK" w:eastAsia="方正小标宋_GBK" w:cs="方正小标宋_GBK"/>
          <w:b w:val="0"/>
          <w:bCs/>
          <w:sz w:val="44"/>
          <w:szCs w:val="44"/>
          <w:shd w:val="clear" w:color="auto" w:fill="FFFFFF"/>
          <w:lang w:eastAsia="zh-CN"/>
        </w:rPr>
        <w:t>红原县市场监督管理局</w:t>
      </w:r>
    </w:p>
    <w:p>
      <w:pPr>
        <w:widowControl/>
        <w:spacing w:line="560" w:lineRule="exact"/>
        <w:contextualSpacing/>
        <w:jc w:val="center"/>
        <w:rPr>
          <w:rFonts w:hint="eastAsia" w:ascii="方正小标宋_GBK" w:hAnsi="方正小标宋_GBK" w:eastAsia="方正小标宋_GBK" w:cs="方正小标宋_GBK"/>
          <w:b w:val="0"/>
          <w:bCs/>
          <w:sz w:val="44"/>
          <w:szCs w:val="44"/>
          <w:shd w:val="clear" w:color="auto" w:fill="FFFFFF"/>
        </w:rPr>
      </w:pPr>
      <w:r>
        <w:rPr>
          <w:rFonts w:hint="eastAsia" w:ascii="方正小标宋_GBK" w:hAnsi="方正小标宋_GBK" w:eastAsia="方正小标宋_GBK" w:cs="方正小标宋_GBK"/>
          <w:b w:val="0"/>
          <w:bCs/>
          <w:sz w:val="44"/>
          <w:szCs w:val="44"/>
          <w:shd w:val="clear" w:color="auto" w:fill="FFFFFF"/>
        </w:rPr>
        <w:t>2</w:t>
      </w:r>
      <w:r>
        <w:rPr>
          <w:rFonts w:hint="eastAsia" w:ascii="方正小标宋_GBK" w:hAnsi="方正小标宋_GBK" w:eastAsia="方正小标宋_GBK" w:cs="方正小标宋_GBK"/>
          <w:b w:val="0"/>
          <w:bCs/>
          <w:sz w:val="44"/>
          <w:szCs w:val="44"/>
          <w:shd w:val="clear" w:color="auto" w:fill="FFFFFF"/>
          <w:lang w:val="en-US" w:eastAsia="zh-CN"/>
        </w:rPr>
        <w:t>022</w:t>
      </w:r>
      <w:r>
        <w:rPr>
          <w:rFonts w:hint="eastAsia" w:ascii="方正小标宋_GBK" w:hAnsi="方正小标宋_GBK" w:eastAsia="方正小标宋_GBK" w:cs="方正小标宋_GBK"/>
          <w:b w:val="0"/>
          <w:bCs/>
          <w:sz w:val="44"/>
          <w:szCs w:val="44"/>
          <w:shd w:val="clear" w:color="auto" w:fill="FFFFFF"/>
        </w:rPr>
        <w:t>年</w:t>
      </w:r>
      <w:r>
        <w:rPr>
          <w:rFonts w:hint="eastAsia" w:ascii="方正小标宋_GBK" w:hAnsi="方正小标宋_GBK" w:eastAsia="方正小标宋_GBK" w:cs="方正小标宋_GBK"/>
          <w:b w:val="0"/>
          <w:bCs/>
          <w:sz w:val="44"/>
          <w:szCs w:val="44"/>
          <w:shd w:val="clear" w:color="auto" w:fill="FFFFFF"/>
          <w:lang w:eastAsia="zh-CN"/>
        </w:rPr>
        <w:t>度</w:t>
      </w:r>
      <w:r>
        <w:rPr>
          <w:rFonts w:hint="eastAsia" w:ascii="方正小标宋_GBK" w:hAnsi="方正小标宋_GBK" w:eastAsia="方正小标宋_GBK" w:cs="方正小标宋_GBK"/>
          <w:b w:val="0"/>
          <w:bCs/>
          <w:sz w:val="44"/>
          <w:szCs w:val="44"/>
          <w:shd w:val="clear" w:color="auto" w:fill="FFFFFF"/>
        </w:rPr>
        <w:t>部门整体支出绩效评价</w:t>
      </w:r>
      <w:r>
        <w:rPr>
          <w:rFonts w:hint="eastAsia" w:ascii="方正小标宋_GBK" w:hAnsi="方正小标宋_GBK" w:eastAsia="方正小标宋_GBK" w:cs="方正小标宋_GBK"/>
          <w:b w:val="0"/>
          <w:bCs/>
          <w:sz w:val="44"/>
          <w:szCs w:val="44"/>
          <w:shd w:val="clear" w:color="auto" w:fill="FFFFFF"/>
          <w:lang w:eastAsia="zh-CN"/>
        </w:rPr>
        <w:t>自评</w:t>
      </w:r>
      <w:r>
        <w:rPr>
          <w:rFonts w:hint="eastAsia" w:ascii="方正小标宋_GBK" w:hAnsi="方正小标宋_GBK" w:eastAsia="方正小标宋_GBK" w:cs="方正小标宋_GBK"/>
          <w:b w:val="0"/>
          <w:bCs/>
          <w:sz w:val="44"/>
          <w:szCs w:val="44"/>
          <w:shd w:val="clear" w:color="auto" w:fill="FFFFFF"/>
        </w:rPr>
        <w:t>报告</w:t>
      </w:r>
    </w:p>
    <w:p>
      <w:pPr>
        <w:widowControl/>
        <w:adjustRightInd w:val="0"/>
        <w:snapToGrid w:val="0"/>
        <w:spacing w:line="56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6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60" w:lineRule="exact"/>
        <w:ind w:firstLine="640" w:firstLineChars="200"/>
        <w:contextualSpacing/>
        <w:jc w:val="left"/>
        <w:rPr>
          <w:rFonts w:hint="eastAsia" w:ascii="楷体" w:hAnsi="楷体" w:eastAsia="楷体" w:cs="楷体"/>
          <w:color w:val="000000"/>
          <w:kern w:val="0"/>
          <w:sz w:val="32"/>
          <w:szCs w:val="32"/>
          <w:shd w:val="clear" w:color="auto" w:fill="FFFFFF"/>
          <w:lang w:val="zh-CN"/>
        </w:rPr>
      </w:pPr>
      <w:r>
        <w:rPr>
          <w:rFonts w:hint="eastAsia" w:ascii="楷体" w:hAnsi="楷体" w:eastAsia="楷体" w:cs="楷体"/>
          <w:color w:val="000000"/>
          <w:kern w:val="0"/>
          <w:sz w:val="32"/>
          <w:szCs w:val="32"/>
          <w:shd w:val="clear" w:color="auto" w:fill="FFFFFF"/>
          <w:lang w:val="zh-CN"/>
        </w:rPr>
        <w:t>（一）机构组成</w:t>
      </w:r>
    </w:p>
    <w:p>
      <w:pPr>
        <w:widowControl/>
        <w:adjustRightInd w:val="0"/>
        <w:snapToGrid w:val="0"/>
        <w:spacing w:line="480" w:lineRule="exact"/>
        <w:jc w:val="left"/>
        <w:rPr>
          <w:rFonts w:hint="eastAsia" w:ascii="仿宋_GB2312" w:hAnsi="Calibri" w:eastAsia="仿宋_GB2312" w:cs="仿宋_GB2312"/>
          <w:kern w:val="0"/>
          <w:sz w:val="32"/>
          <w:szCs w:val="32"/>
          <w:lang w:val="en-US" w:eastAsia="zh-CN" w:bidi="ar-SA"/>
        </w:rPr>
      </w:pPr>
      <w:r>
        <w:rPr>
          <w:rFonts w:hint="eastAsia" w:ascii="仿宋_GB2312" w:hAnsi="Calibri" w:eastAsia="仿宋_GB2312" w:cs="仿宋_GB2312"/>
          <w:kern w:val="0"/>
          <w:sz w:val="32"/>
          <w:szCs w:val="32"/>
          <w:lang w:val="en-US" w:eastAsia="zh-CN" w:bidi="ar-SA"/>
        </w:rPr>
        <w:t xml:space="preserve">  我单位独立编制单位机构1个，独立核算机构1个。</w:t>
      </w:r>
    </w:p>
    <w:p>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firstLine="640" w:firstLineChars="200"/>
        <w:contextualSpacing/>
        <w:jc w:val="left"/>
        <w:textAlignment w:val="auto"/>
        <w:rPr>
          <w:rFonts w:hint="eastAsia" w:ascii="楷体" w:hAnsi="楷体" w:eastAsia="楷体" w:cs="楷体"/>
          <w:color w:val="000000"/>
          <w:kern w:val="0"/>
          <w:sz w:val="32"/>
          <w:szCs w:val="32"/>
          <w:shd w:val="clear" w:color="auto" w:fill="FFFFFF"/>
          <w:lang w:val="zh-CN"/>
        </w:rPr>
      </w:pPr>
      <w:r>
        <w:rPr>
          <w:rFonts w:hint="eastAsia" w:ascii="楷体" w:hAnsi="楷体" w:eastAsia="楷体" w:cs="楷体"/>
          <w:color w:val="000000"/>
          <w:kern w:val="0"/>
          <w:sz w:val="32"/>
          <w:szCs w:val="32"/>
          <w:shd w:val="clear" w:color="auto" w:fill="FFFFFF"/>
          <w:lang w:val="zh-CN"/>
        </w:rPr>
        <w:t>（二）机构职能</w:t>
      </w:r>
    </w:p>
    <w:p>
      <w:pPr>
        <w:pStyle w:val="6"/>
        <w:keepNext w:val="0"/>
        <w:keepLines w:val="0"/>
        <w:pageBreakBefore w:val="0"/>
        <w:kinsoku/>
        <w:wordWrap/>
        <w:overflowPunct/>
        <w:topLinePunct w:val="0"/>
        <w:autoSpaceDE/>
        <w:autoSpaceDN/>
        <w:bidi w:val="0"/>
        <w:adjustRightInd w:val="0"/>
        <w:snapToGrid w:val="0"/>
        <w:spacing w:line="240" w:lineRule="auto"/>
        <w:ind w:right="0" w:rightChars="0" w:firstLine="320" w:firstLineChars="100"/>
        <w:textAlignment w:val="auto"/>
        <w:rPr>
          <w:rFonts w:hint="eastAsia"/>
          <w:sz w:val="32"/>
          <w:szCs w:val="32"/>
        </w:rPr>
      </w:pPr>
      <w:r>
        <w:rPr>
          <w:rFonts w:hint="eastAsia"/>
          <w:sz w:val="32"/>
          <w:szCs w:val="32"/>
          <w:lang w:val="en-US" w:eastAsia="zh-CN"/>
        </w:rPr>
        <w:t>1.</w:t>
      </w:r>
      <w:r>
        <w:rPr>
          <w:rFonts w:hint="eastAsia"/>
          <w:sz w:val="32"/>
          <w:szCs w:val="32"/>
        </w:rPr>
        <w:t>负责全县市场综合监督管理工作。组织实施质量强县、食品安全、标准化和知识产权战略，拟订并组织实施全县食品安全等规划，规范和维护市场秩序，营造诚实守信、公平竞争的市场环境。</w:t>
      </w:r>
    </w:p>
    <w:p>
      <w:pPr>
        <w:pStyle w:val="6"/>
        <w:keepNext w:val="0"/>
        <w:keepLines w:val="0"/>
        <w:pageBreakBefore w:val="0"/>
        <w:kinsoku/>
        <w:wordWrap/>
        <w:overflowPunct/>
        <w:topLinePunct w:val="0"/>
        <w:autoSpaceDE/>
        <w:autoSpaceDN/>
        <w:bidi w:val="0"/>
        <w:adjustRightInd w:val="0"/>
        <w:snapToGrid w:val="0"/>
        <w:spacing w:line="240" w:lineRule="auto"/>
        <w:ind w:right="0" w:rightChars="0" w:firstLine="640" w:firstLineChars="200"/>
        <w:textAlignment w:val="auto"/>
        <w:rPr>
          <w:rFonts w:hint="eastAsia"/>
          <w:sz w:val="32"/>
          <w:szCs w:val="32"/>
        </w:rPr>
      </w:pPr>
      <w:r>
        <w:rPr>
          <w:rFonts w:hint="eastAsia"/>
          <w:sz w:val="32"/>
          <w:szCs w:val="32"/>
          <w:lang w:val="en-US" w:eastAsia="zh-CN"/>
        </w:rPr>
        <w:t>2.</w:t>
      </w:r>
      <w:r>
        <w:rPr>
          <w:rFonts w:hint="eastAsia"/>
          <w:sz w:val="32"/>
          <w:szCs w:val="32"/>
        </w:rPr>
        <w:t>负责全县市场主体统一登记注册。负责全县各类企业、农民专业合作社和从事经营活动的单位、个体工商户以及外国（地区）企业、常驻代表机构等市场主体的登记注册和监督管理工作。建立市场主体信息公示和共享机制，依法公示和共享有关信息，加强信用监管，推动市场主体信用体系建设。</w:t>
      </w:r>
    </w:p>
    <w:p>
      <w:pPr>
        <w:pStyle w:val="6"/>
        <w:keepNext w:val="0"/>
        <w:keepLines w:val="0"/>
        <w:pageBreakBefore w:val="0"/>
        <w:kinsoku/>
        <w:wordWrap/>
        <w:overflowPunct/>
        <w:topLinePunct w:val="0"/>
        <w:autoSpaceDE/>
        <w:autoSpaceDN/>
        <w:bidi w:val="0"/>
        <w:adjustRightInd w:val="0"/>
        <w:snapToGrid w:val="0"/>
        <w:spacing w:line="240" w:lineRule="auto"/>
        <w:ind w:right="0" w:rightChars="0" w:firstLine="320" w:firstLineChars="100"/>
        <w:textAlignment w:val="auto"/>
        <w:rPr>
          <w:rFonts w:hint="eastAsia"/>
          <w:sz w:val="32"/>
          <w:szCs w:val="32"/>
        </w:rPr>
      </w:pPr>
      <w:r>
        <w:rPr>
          <w:rFonts w:hint="eastAsia"/>
          <w:sz w:val="32"/>
          <w:szCs w:val="32"/>
          <w:lang w:val="en-US" w:eastAsia="zh-CN"/>
        </w:rPr>
        <w:t>3.</w:t>
      </w:r>
      <w:r>
        <w:rPr>
          <w:rFonts w:hint="eastAsia"/>
          <w:sz w:val="32"/>
          <w:szCs w:val="32"/>
        </w:rPr>
        <w:t>负责组织和指导全县市场监督管理综合执法工作。负责全县市场监管综合执法队伍整合和建设，推动实行统一的市场监管。组织查处和督办大案要案、疑难案件、跨区域案件。规范市场监督管理行政执法行为。</w:t>
      </w:r>
    </w:p>
    <w:p>
      <w:pPr>
        <w:pStyle w:val="6"/>
        <w:keepNext w:val="0"/>
        <w:keepLines w:val="0"/>
        <w:pageBreakBefore w:val="0"/>
        <w:kinsoku/>
        <w:wordWrap/>
        <w:overflowPunct/>
        <w:topLinePunct w:val="0"/>
        <w:autoSpaceDE/>
        <w:autoSpaceDN/>
        <w:bidi w:val="0"/>
        <w:adjustRightInd w:val="0"/>
        <w:snapToGrid w:val="0"/>
        <w:spacing w:line="240" w:lineRule="auto"/>
        <w:ind w:right="0" w:rightChars="0" w:firstLine="320" w:firstLineChars="100"/>
        <w:textAlignment w:val="auto"/>
        <w:rPr>
          <w:rFonts w:hint="eastAsia"/>
          <w:sz w:val="32"/>
          <w:szCs w:val="32"/>
        </w:rPr>
      </w:pPr>
      <w:r>
        <w:rPr>
          <w:rFonts w:hint="eastAsia"/>
          <w:sz w:val="32"/>
          <w:szCs w:val="32"/>
          <w:lang w:val="en-US" w:eastAsia="zh-CN"/>
        </w:rPr>
        <w:t>4.</w:t>
      </w:r>
      <w:r>
        <w:rPr>
          <w:rFonts w:hint="eastAsia"/>
          <w:sz w:val="32"/>
          <w:szCs w:val="32"/>
        </w:rPr>
        <w:t>负责全县反垄断统一执法。统筹推进竞争政策实施，按照权限指导实施公平竞争审查制度。依法依授权对经营者集中行为进行反垄断审查，负责垄断协议、滥用市场支配地位和滥用行政权力排除、限制竞争等反垄断执法工作。指导在县企业在国外的反垄断应诉工作。</w:t>
      </w:r>
    </w:p>
    <w:p>
      <w:pPr>
        <w:pStyle w:val="6"/>
        <w:keepNext w:val="0"/>
        <w:keepLines w:val="0"/>
        <w:pageBreakBefore w:val="0"/>
        <w:kinsoku/>
        <w:wordWrap/>
        <w:overflowPunct/>
        <w:topLinePunct w:val="0"/>
        <w:autoSpaceDE/>
        <w:autoSpaceDN/>
        <w:bidi w:val="0"/>
        <w:adjustRightInd w:val="0"/>
        <w:snapToGrid w:val="0"/>
        <w:spacing w:line="240" w:lineRule="auto"/>
        <w:ind w:right="0" w:rightChars="0" w:firstLine="640" w:firstLineChars="200"/>
        <w:textAlignment w:val="auto"/>
        <w:rPr>
          <w:rFonts w:hint="eastAsia"/>
          <w:sz w:val="32"/>
          <w:szCs w:val="32"/>
        </w:rPr>
      </w:pPr>
      <w:r>
        <w:rPr>
          <w:rFonts w:hint="eastAsia"/>
          <w:sz w:val="32"/>
          <w:szCs w:val="32"/>
          <w:lang w:val="en-US" w:eastAsia="zh-CN"/>
        </w:rPr>
        <w:t>5.</w:t>
      </w:r>
      <w:r>
        <w:rPr>
          <w:rFonts w:hint="eastAsia"/>
          <w:sz w:val="32"/>
          <w:szCs w:val="32"/>
        </w:rPr>
        <w:t>负责监督管理全县市场秩序。依法监督管理市场交易、网络商品交易及有关服务的行为。组织指导查处价格收费违法违规、不正当竞争、违法直销、传销、侵犯商标专利知识产权和制售假冒伪劣行为。指导广告业发展，监督管理广告活动。依法查处无照生产经营和相关无证生产经营行为。依法开展消费者权益保护工作。建设12315行政执法体系。指导县保护消费者权益委员会开展工作。</w:t>
      </w:r>
    </w:p>
    <w:p>
      <w:pPr>
        <w:pStyle w:val="6"/>
        <w:keepNext w:val="0"/>
        <w:keepLines w:val="0"/>
        <w:pageBreakBefore w:val="0"/>
        <w:numPr>
          <w:ilvl w:val="0"/>
          <w:numId w:val="0"/>
        </w:numPr>
        <w:kinsoku/>
        <w:wordWrap/>
        <w:overflowPunct/>
        <w:topLinePunct w:val="0"/>
        <w:autoSpaceDE/>
        <w:autoSpaceDN/>
        <w:bidi w:val="0"/>
        <w:adjustRightInd w:val="0"/>
        <w:snapToGrid w:val="0"/>
        <w:spacing w:line="240" w:lineRule="auto"/>
        <w:ind w:right="0" w:rightChars="0"/>
        <w:textAlignment w:val="auto"/>
        <w:rPr>
          <w:rFonts w:hint="eastAsia"/>
          <w:sz w:val="32"/>
          <w:szCs w:val="32"/>
        </w:rPr>
      </w:pPr>
      <w:r>
        <w:rPr>
          <w:rFonts w:hint="eastAsia"/>
          <w:sz w:val="32"/>
          <w:szCs w:val="32"/>
          <w:lang w:val="en-US" w:eastAsia="zh-CN"/>
        </w:rPr>
        <w:t xml:space="preserve">   6.</w:t>
      </w:r>
      <w:r>
        <w:rPr>
          <w:rFonts w:hint="eastAsia"/>
          <w:sz w:val="32"/>
          <w:szCs w:val="32"/>
        </w:rPr>
        <w:t>负责全县宏观质量管理。组织实施质量发展的制度措施。统筹全县质量基础设施建设与应用。会同有关部门组织实施重大工程设备质量监理制度，组织产品质量事故调查，贯彻实施缺陷产品召回制度，监督管理产品防伪工作。</w:t>
      </w:r>
    </w:p>
    <w:p>
      <w:pPr>
        <w:pStyle w:val="6"/>
        <w:keepNext w:val="0"/>
        <w:keepLines w:val="0"/>
        <w:pageBreakBefore w:val="0"/>
        <w:kinsoku/>
        <w:wordWrap/>
        <w:overflowPunct/>
        <w:topLinePunct w:val="0"/>
        <w:autoSpaceDE/>
        <w:autoSpaceDN/>
        <w:bidi w:val="0"/>
        <w:adjustRightInd w:val="0"/>
        <w:snapToGrid w:val="0"/>
        <w:spacing w:line="240" w:lineRule="auto"/>
        <w:ind w:right="0" w:rightChars="0" w:firstLine="640" w:firstLineChars="200"/>
        <w:textAlignment w:val="auto"/>
        <w:rPr>
          <w:rFonts w:hint="eastAsia"/>
          <w:sz w:val="32"/>
          <w:szCs w:val="32"/>
        </w:rPr>
      </w:pPr>
      <w:r>
        <w:rPr>
          <w:rFonts w:hint="eastAsia"/>
          <w:sz w:val="32"/>
          <w:szCs w:val="32"/>
          <w:lang w:val="en-US" w:eastAsia="zh-CN"/>
        </w:rPr>
        <w:t>7.</w:t>
      </w:r>
      <w:r>
        <w:rPr>
          <w:rFonts w:hint="eastAsia"/>
          <w:sz w:val="32"/>
          <w:szCs w:val="32"/>
        </w:rPr>
        <w:t>负责全县产品质量安全监督管理。负责产品质量监督抽查和风险监控工作，组织实施质量分级制度、质量安全追溯制度。在权限和职责范围内负责工业产品生产许可管理。负责纤维质量监督工作。</w:t>
      </w:r>
    </w:p>
    <w:p>
      <w:pPr>
        <w:pStyle w:val="6"/>
        <w:keepNext w:val="0"/>
        <w:keepLines w:val="0"/>
        <w:pageBreakBefore w:val="0"/>
        <w:kinsoku/>
        <w:wordWrap/>
        <w:overflowPunct/>
        <w:topLinePunct w:val="0"/>
        <w:autoSpaceDE/>
        <w:autoSpaceDN/>
        <w:bidi w:val="0"/>
        <w:adjustRightInd w:val="0"/>
        <w:snapToGrid w:val="0"/>
        <w:spacing w:line="240" w:lineRule="auto"/>
        <w:ind w:right="0" w:rightChars="0" w:firstLine="640" w:firstLineChars="200"/>
        <w:textAlignment w:val="auto"/>
        <w:rPr>
          <w:rFonts w:hint="eastAsia"/>
          <w:sz w:val="32"/>
          <w:szCs w:val="32"/>
        </w:rPr>
      </w:pPr>
      <w:r>
        <w:rPr>
          <w:rFonts w:hint="eastAsia"/>
          <w:sz w:val="32"/>
          <w:szCs w:val="32"/>
          <w:lang w:val="en-US" w:eastAsia="zh-CN"/>
        </w:rPr>
        <w:t>8.</w:t>
      </w:r>
      <w:r>
        <w:rPr>
          <w:rFonts w:hint="eastAsia"/>
          <w:sz w:val="32"/>
          <w:szCs w:val="32"/>
        </w:rPr>
        <w:t>负责全县特种设备安全监督管理。综合管理特种设备安全监察、监督工作，监督检查高耗能特种设备节能标准和锅炉产品环境保护标准的执行情况。</w:t>
      </w:r>
    </w:p>
    <w:p>
      <w:pPr>
        <w:pStyle w:val="6"/>
        <w:keepNext w:val="0"/>
        <w:keepLines w:val="0"/>
        <w:pageBreakBefore w:val="0"/>
        <w:kinsoku/>
        <w:wordWrap/>
        <w:overflowPunct/>
        <w:topLinePunct w:val="0"/>
        <w:autoSpaceDE/>
        <w:autoSpaceDN/>
        <w:bidi w:val="0"/>
        <w:adjustRightInd w:val="0"/>
        <w:snapToGrid w:val="0"/>
        <w:spacing w:line="240" w:lineRule="auto"/>
        <w:ind w:right="0" w:rightChars="0" w:firstLine="640" w:firstLineChars="200"/>
        <w:textAlignment w:val="auto"/>
        <w:rPr>
          <w:rFonts w:hint="eastAsia"/>
          <w:sz w:val="32"/>
          <w:szCs w:val="32"/>
        </w:rPr>
      </w:pPr>
      <w:r>
        <w:rPr>
          <w:rFonts w:hint="eastAsia"/>
          <w:sz w:val="32"/>
          <w:szCs w:val="32"/>
          <w:lang w:val="en-US" w:eastAsia="zh-CN"/>
        </w:rPr>
        <w:t>9.</w:t>
      </w:r>
      <w:r>
        <w:rPr>
          <w:rFonts w:hint="eastAsia"/>
          <w:sz w:val="32"/>
          <w:szCs w:val="32"/>
        </w:rPr>
        <w:t>负责全县食品安全监督管理综合协调。统筹指导全县食品安全工作。负责食品安全应急体系建设，组织指导食品安全事件应急处置和调查处理工作。建立健全食品安全重要信息直报制度。承担县食品安全委员会日常工作。</w:t>
      </w:r>
    </w:p>
    <w:p>
      <w:pPr>
        <w:pStyle w:val="6"/>
        <w:keepNext w:val="0"/>
        <w:keepLines w:val="0"/>
        <w:pageBreakBefore w:val="0"/>
        <w:kinsoku/>
        <w:wordWrap/>
        <w:overflowPunct/>
        <w:topLinePunct w:val="0"/>
        <w:autoSpaceDE/>
        <w:autoSpaceDN/>
        <w:bidi w:val="0"/>
        <w:adjustRightInd w:val="0"/>
        <w:snapToGrid w:val="0"/>
        <w:spacing w:line="240" w:lineRule="auto"/>
        <w:ind w:right="0" w:rightChars="0" w:firstLine="640" w:firstLineChars="200"/>
        <w:textAlignment w:val="auto"/>
        <w:rPr>
          <w:rFonts w:hint="eastAsia"/>
          <w:sz w:val="32"/>
          <w:szCs w:val="32"/>
        </w:rPr>
      </w:pPr>
      <w:r>
        <w:rPr>
          <w:rFonts w:hint="eastAsia"/>
          <w:sz w:val="32"/>
          <w:szCs w:val="32"/>
          <w:lang w:val="en-US" w:eastAsia="zh-CN"/>
        </w:rPr>
        <w:t>10.</w:t>
      </w:r>
      <w:r>
        <w:rPr>
          <w:rFonts w:hint="eastAsia"/>
          <w:sz w:val="32"/>
          <w:szCs w:val="32"/>
        </w:rPr>
        <w:t>负责全县食品安全监督管理。建立覆盖食品生产、流通、消费全过程的监督检查制度和隐患排查治理机制并组织实施，防范区域性、系统性食品安全风险。推动建立食品生产经营者落实主体责任机制，健全食品安全追溯体系。指导督促食品生产经营企业的安全生产工作，组织开展食品安全监督抽检、风险监测、核查处置和风险预警、风险交流工作。组织实施特殊食品生产、流通、使用的监督管理。</w:t>
      </w:r>
    </w:p>
    <w:p>
      <w:pPr>
        <w:pStyle w:val="6"/>
        <w:keepNext w:val="0"/>
        <w:keepLines w:val="0"/>
        <w:pageBreakBefore w:val="0"/>
        <w:kinsoku/>
        <w:wordWrap/>
        <w:overflowPunct/>
        <w:topLinePunct w:val="0"/>
        <w:autoSpaceDE/>
        <w:autoSpaceDN/>
        <w:bidi w:val="0"/>
        <w:adjustRightInd w:val="0"/>
        <w:snapToGrid w:val="0"/>
        <w:spacing w:line="240" w:lineRule="auto"/>
        <w:ind w:right="0" w:rightChars="0" w:firstLine="640" w:firstLineChars="200"/>
        <w:textAlignment w:val="auto"/>
        <w:rPr>
          <w:rFonts w:hint="eastAsia"/>
          <w:sz w:val="32"/>
          <w:szCs w:val="32"/>
        </w:rPr>
      </w:pPr>
      <w:r>
        <w:rPr>
          <w:rFonts w:hint="eastAsia"/>
          <w:sz w:val="32"/>
          <w:szCs w:val="32"/>
          <w:lang w:val="en-US" w:eastAsia="zh-CN"/>
        </w:rPr>
        <w:t>11.</w:t>
      </w:r>
      <w:r>
        <w:rPr>
          <w:rFonts w:hint="eastAsia"/>
          <w:sz w:val="32"/>
          <w:szCs w:val="32"/>
        </w:rPr>
        <w:t>负责全县药品（含中药、民族药，下同）、医疗器械和化妆品安全监督管理。贯彻执行国家有关药品、医疗器械和化妆品监督管理的方针政策和法律法规。贯彻落实国家鼓励药品、医疗器械和化妆品新技术新产品的管理与服务政策。</w:t>
      </w:r>
    </w:p>
    <w:p>
      <w:pPr>
        <w:pStyle w:val="6"/>
        <w:keepNext w:val="0"/>
        <w:keepLines w:val="0"/>
        <w:pageBreakBefore w:val="0"/>
        <w:kinsoku/>
        <w:wordWrap/>
        <w:overflowPunct/>
        <w:topLinePunct w:val="0"/>
        <w:autoSpaceDE/>
        <w:autoSpaceDN/>
        <w:bidi w:val="0"/>
        <w:adjustRightInd w:val="0"/>
        <w:snapToGrid w:val="0"/>
        <w:spacing w:line="240" w:lineRule="auto"/>
        <w:ind w:right="0" w:rightChars="0" w:firstLine="640" w:firstLineChars="200"/>
        <w:textAlignment w:val="auto"/>
        <w:rPr>
          <w:rFonts w:hint="eastAsia"/>
          <w:sz w:val="32"/>
          <w:szCs w:val="32"/>
        </w:rPr>
      </w:pPr>
      <w:r>
        <w:rPr>
          <w:rFonts w:hint="eastAsia"/>
          <w:sz w:val="32"/>
          <w:szCs w:val="32"/>
          <w:lang w:val="en-US" w:eastAsia="zh-CN"/>
        </w:rPr>
        <w:t>12.</w:t>
      </w:r>
      <w:r>
        <w:rPr>
          <w:rFonts w:hint="eastAsia"/>
          <w:sz w:val="32"/>
          <w:szCs w:val="32"/>
        </w:rPr>
        <w:t>负责全县药品、医疗器械和化妆品标准执行管理。监督实施全县药品、医疗器械、化妆品标准和分类管理制度。配合实施国家基本药物制度。</w:t>
      </w:r>
    </w:p>
    <w:p>
      <w:pPr>
        <w:pStyle w:val="6"/>
        <w:keepNext w:val="0"/>
        <w:keepLines w:val="0"/>
        <w:pageBreakBefore w:val="0"/>
        <w:kinsoku/>
        <w:wordWrap/>
        <w:overflowPunct/>
        <w:topLinePunct w:val="0"/>
        <w:autoSpaceDE/>
        <w:autoSpaceDN/>
        <w:bidi w:val="0"/>
        <w:adjustRightInd w:val="0"/>
        <w:snapToGrid w:val="0"/>
        <w:spacing w:line="240" w:lineRule="auto"/>
        <w:ind w:right="0" w:rightChars="0" w:firstLine="640" w:firstLineChars="200"/>
        <w:textAlignment w:val="auto"/>
        <w:rPr>
          <w:rFonts w:hint="eastAsia"/>
          <w:sz w:val="32"/>
          <w:szCs w:val="32"/>
        </w:rPr>
      </w:pPr>
      <w:r>
        <w:rPr>
          <w:rFonts w:hint="eastAsia"/>
          <w:sz w:val="32"/>
          <w:szCs w:val="32"/>
          <w:lang w:val="en-US" w:eastAsia="zh-CN"/>
        </w:rPr>
        <w:t>13.</w:t>
      </w:r>
      <w:r>
        <w:rPr>
          <w:rFonts w:hint="eastAsia"/>
          <w:sz w:val="32"/>
          <w:szCs w:val="32"/>
        </w:rPr>
        <w:t>负责全县药品、医疗器械和化妆品质量管理。依法依授权监督实施药品、医疗器械生产、经营、使用质量管理规范。</w:t>
      </w:r>
    </w:p>
    <w:p>
      <w:pPr>
        <w:pStyle w:val="6"/>
        <w:keepNext w:val="0"/>
        <w:keepLines w:val="0"/>
        <w:pageBreakBefore w:val="0"/>
        <w:kinsoku/>
        <w:wordWrap/>
        <w:overflowPunct/>
        <w:topLinePunct w:val="0"/>
        <w:autoSpaceDE/>
        <w:autoSpaceDN/>
        <w:bidi w:val="0"/>
        <w:adjustRightInd w:val="0"/>
        <w:snapToGrid w:val="0"/>
        <w:spacing w:line="240" w:lineRule="auto"/>
        <w:ind w:right="0" w:rightChars="0" w:firstLine="640" w:firstLineChars="200"/>
        <w:textAlignment w:val="auto"/>
        <w:rPr>
          <w:rFonts w:hint="eastAsia"/>
          <w:sz w:val="32"/>
          <w:szCs w:val="32"/>
        </w:rPr>
      </w:pPr>
      <w:r>
        <w:rPr>
          <w:rFonts w:hint="eastAsia"/>
          <w:sz w:val="32"/>
          <w:szCs w:val="32"/>
          <w:lang w:val="en-US" w:eastAsia="zh-CN"/>
        </w:rPr>
        <w:t>14.</w:t>
      </w:r>
      <w:r>
        <w:rPr>
          <w:rFonts w:hint="eastAsia"/>
          <w:sz w:val="32"/>
          <w:szCs w:val="32"/>
        </w:rPr>
        <w:t>负责全县药品、医疗器械和化妆品监督管理。负责药品、医疗器械、化妆品日常监督检查。依法依授权查处药品、医疗器械和化妆品生产、销售、使用的违法行为。依法承担药品、医疗器械和化妆品安全应急管理和投诉举报处置工作。</w:t>
      </w:r>
    </w:p>
    <w:p>
      <w:pPr>
        <w:pStyle w:val="6"/>
        <w:keepNext w:val="0"/>
        <w:keepLines w:val="0"/>
        <w:pageBreakBefore w:val="0"/>
        <w:kinsoku/>
        <w:wordWrap/>
        <w:overflowPunct/>
        <w:topLinePunct w:val="0"/>
        <w:autoSpaceDE/>
        <w:autoSpaceDN/>
        <w:bidi w:val="0"/>
        <w:adjustRightInd w:val="0"/>
        <w:snapToGrid w:val="0"/>
        <w:spacing w:line="240" w:lineRule="auto"/>
        <w:ind w:right="0" w:rightChars="0" w:firstLine="640" w:firstLineChars="200"/>
        <w:textAlignment w:val="auto"/>
        <w:rPr>
          <w:rFonts w:hint="eastAsia"/>
          <w:sz w:val="32"/>
          <w:szCs w:val="32"/>
        </w:rPr>
      </w:pPr>
      <w:r>
        <w:rPr>
          <w:rFonts w:hint="eastAsia"/>
          <w:sz w:val="32"/>
          <w:szCs w:val="32"/>
          <w:lang w:val="en-US" w:eastAsia="zh-CN"/>
        </w:rPr>
        <w:t>15.</w:t>
      </w:r>
      <w:r>
        <w:rPr>
          <w:rFonts w:hint="eastAsia"/>
          <w:sz w:val="32"/>
          <w:szCs w:val="32"/>
        </w:rPr>
        <w:t>负责全县药品、医疗器械和化妆品风险管理。组织开展药品不良反应、医疗器械不良事件和化妆品不良反应的监测、评价和处置工作。依法承担药品、医疗器械和化妆品安全应急管理和投诉举报处置工作。</w:t>
      </w:r>
    </w:p>
    <w:p>
      <w:pPr>
        <w:pStyle w:val="6"/>
        <w:keepNext w:val="0"/>
        <w:keepLines w:val="0"/>
        <w:pageBreakBefore w:val="0"/>
        <w:kinsoku/>
        <w:wordWrap/>
        <w:overflowPunct/>
        <w:topLinePunct w:val="0"/>
        <w:autoSpaceDE/>
        <w:autoSpaceDN/>
        <w:bidi w:val="0"/>
        <w:adjustRightInd w:val="0"/>
        <w:snapToGrid w:val="0"/>
        <w:spacing w:line="240" w:lineRule="auto"/>
        <w:ind w:right="0" w:rightChars="0" w:firstLine="640" w:firstLineChars="200"/>
        <w:textAlignment w:val="auto"/>
        <w:rPr>
          <w:rFonts w:hint="eastAsia"/>
          <w:sz w:val="32"/>
          <w:szCs w:val="32"/>
        </w:rPr>
      </w:pPr>
      <w:r>
        <w:rPr>
          <w:rFonts w:hint="eastAsia"/>
          <w:sz w:val="32"/>
          <w:szCs w:val="32"/>
          <w:lang w:val="en-US" w:eastAsia="zh-CN"/>
        </w:rPr>
        <w:t>16.</w:t>
      </w:r>
      <w:r>
        <w:rPr>
          <w:rFonts w:hint="eastAsia"/>
          <w:sz w:val="32"/>
          <w:szCs w:val="32"/>
        </w:rPr>
        <w:t>依法依授权承担我县执业药师注册管理工作，贯彻执行执业药师其他相关管理制度。</w:t>
      </w:r>
    </w:p>
    <w:p>
      <w:pPr>
        <w:pStyle w:val="6"/>
        <w:keepNext w:val="0"/>
        <w:keepLines w:val="0"/>
        <w:pageBreakBefore w:val="0"/>
        <w:kinsoku/>
        <w:wordWrap/>
        <w:overflowPunct/>
        <w:topLinePunct w:val="0"/>
        <w:autoSpaceDE/>
        <w:autoSpaceDN/>
        <w:bidi w:val="0"/>
        <w:adjustRightInd w:val="0"/>
        <w:snapToGrid w:val="0"/>
        <w:spacing w:line="240" w:lineRule="auto"/>
        <w:ind w:right="0" w:rightChars="0" w:firstLine="640" w:firstLineChars="200"/>
        <w:textAlignment w:val="auto"/>
        <w:rPr>
          <w:rFonts w:hint="eastAsia"/>
          <w:sz w:val="32"/>
          <w:szCs w:val="32"/>
        </w:rPr>
      </w:pPr>
      <w:r>
        <w:rPr>
          <w:rFonts w:hint="eastAsia"/>
          <w:sz w:val="32"/>
          <w:szCs w:val="32"/>
          <w:lang w:val="en-US" w:eastAsia="zh-CN"/>
        </w:rPr>
        <w:t>17.</w:t>
      </w:r>
      <w:r>
        <w:rPr>
          <w:rFonts w:hint="eastAsia"/>
          <w:sz w:val="32"/>
          <w:szCs w:val="32"/>
        </w:rPr>
        <w:t>负责统一管理全县计量工作。推行法定计量单位，执行国家计量制度，管理计量器具及量值传递和比对工作。规范、监督商品量和计量行为。</w:t>
      </w:r>
    </w:p>
    <w:p>
      <w:pPr>
        <w:pStyle w:val="6"/>
        <w:keepNext w:val="0"/>
        <w:keepLines w:val="0"/>
        <w:pageBreakBefore w:val="0"/>
        <w:kinsoku/>
        <w:wordWrap/>
        <w:overflowPunct/>
        <w:topLinePunct w:val="0"/>
        <w:autoSpaceDE/>
        <w:autoSpaceDN/>
        <w:bidi w:val="0"/>
        <w:adjustRightInd w:val="0"/>
        <w:snapToGrid w:val="0"/>
        <w:spacing w:line="240" w:lineRule="auto"/>
        <w:ind w:right="0" w:rightChars="0" w:firstLine="640" w:firstLineChars="200"/>
        <w:textAlignment w:val="auto"/>
        <w:rPr>
          <w:rFonts w:hint="eastAsia"/>
          <w:sz w:val="32"/>
          <w:szCs w:val="32"/>
        </w:rPr>
      </w:pPr>
      <w:r>
        <w:rPr>
          <w:rFonts w:hint="eastAsia"/>
          <w:sz w:val="32"/>
          <w:szCs w:val="32"/>
          <w:lang w:val="en-US" w:eastAsia="zh-CN"/>
        </w:rPr>
        <w:t>18.</w:t>
      </w:r>
      <w:r>
        <w:rPr>
          <w:rFonts w:hint="eastAsia"/>
          <w:sz w:val="32"/>
          <w:szCs w:val="32"/>
        </w:rPr>
        <w:t>负责统一管理全县标准化工作。依法承担地方标准立项、编号和发布等工作，协调指导地方标准、团体标准制定工作，依法对标准制定和实施情况开展监督。</w:t>
      </w:r>
    </w:p>
    <w:p>
      <w:pPr>
        <w:pStyle w:val="6"/>
        <w:keepNext w:val="0"/>
        <w:keepLines w:val="0"/>
        <w:pageBreakBefore w:val="0"/>
        <w:kinsoku/>
        <w:wordWrap/>
        <w:overflowPunct/>
        <w:topLinePunct w:val="0"/>
        <w:autoSpaceDE/>
        <w:autoSpaceDN/>
        <w:bidi w:val="0"/>
        <w:adjustRightInd w:val="0"/>
        <w:snapToGrid w:val="0"/>
        <w:spacing w:line="240" w:lineRule="auto"/>
        <w:ind w:right="0" w:rightChars="0" w:firstLine="640" w:firstLineChars="200"/>
        <w:textAlignment w:val="auto"/>
        <w:rPr>
          <w:rFonts w:hint="eastAsia"/>
          <w:sz w:val="32"/>
          <w:szCs w:val="32"/>
        </w:rPr>
      </w:pPr>
      <w:r>
        <w:rPr>
          <w:rFonts w:hint="eastAsia"/>
          <w:sz w:val="32"/>
          <w:szCs w:val="32"/>
          <w:lang w:val="en-US" w:eastAsia="zh-CN"/>
        </w:rPr>
        <w:t>19.</w:t>
      </w:r>
      <w:r>
        <w:rPr>
          <w:rFonts w:hint="eastAsia"/>
          <w:sz w:val="32"/>
          <w:szCs w:val="32"/>
        </w:rPr>
        <w:t>负责统一管理全县检验检测工作。规范检验检测市场，完善检验检测体系，指导协调检验检测行业发展。</w:t>
      </w:r>
    </w:p>
    <w:p>
      <w:pPr>
        <w:pStyle w:val="6"/>
        <w:keepNext w:val="0"/>
        <w:keepLines w:val="0"/>
        <w:pageBreakBefore w:val="0"/>
        <w:kinsoku/>
        <w:wordWrap/>
        <w:overflowPunct/>
        <w:topLinePunct w:val="0"/>
        <w:autoSpaceDE/>
        <w:autoSpaceDN/>
        <w:bidi w:val="0"/>
        <w:adjustRightInd w:val="0"/>
        <w:snapToGrid w:val="0"/>
        <w:spacing w:line="240" w:lineRule="auto"/>
        <w:ind w:right="0" w:rightChars="0" w:firstLine="640" w:firstLineChars="200"/>
        <w:textAlignment w:val="auto"/>
        <w:rPr>
          <w:rFonts w:hint="eastAsia"/>
          <w:sz w:val="32"/>
          <w:szCs w:val="32"/>
        </w:rPr>
      </w:pPr>
      <w:r>
        <w:rPr>
          <w:rFonts w:hint="eastAsia"/>
          <w:sz w:val="32"/>
          <w:szCs w:val="32"/>
          <w:lang w:val="en-US" w:eastAsia="zh-CN"/>
        </w:rPr>
        <w:t>20.</w:t>
      </w:r>
      <w:r>
        <w:rPr>
          <w:rFonts w:hint="eastAsia"/>
          <w:sz w:val="32"/>
          <w:szCs w:val="32"/>
        </w:rPr>
        <w:t>负责统一管理全县认证认可工作。监督管理认证认可和合格评定工作。</w:t>
      </w:r>
    </w:p>
    <w:p>
      <w:pPr>
        <w:pStyle w:val="6"/>
        <w:keepNext w:val="0"/>
        <w:keepLines w:val="0"/>
        <w:pageBreakBefore w:val="0"/>
        <w:kinsoku/>
        <w:wordWrap/>
        <w:overflowPunct/>
        <w:topLinePunct w:val="0"/>
        <w:autoSpaceDE/>
        <w:autoSpaceDN/>
        <w:bidi w:val="0"/>
        <w:adjustRightInd w:val="0"/>
        <w:snapToGrid w:val="0"/>
        <w:spacing w:line="240" w:lineRule="auto"/>
        <w:ind w:right="0" w:rightChars="0" w:firstLine="640" w:firstLineChars="200"/>
        <w:textAlignment w:val="auto"/>
        <w:rPr>
          <w:rFonts w:hint="eastAsia"/>
          <w:sz w:val="32"/>
          <w:szCs w:val="32"/>
        </w:rPr>
      </w:pPr>
      <w:r>
        <w:rPr>
          <w:rFonts w:hint="eastAsia"/>
          <w:sz w:val="32"/>
          <w:szCs w:val="32"/>
          <w:lang w:val="en-US" w:eastAsia="zh-CN"/>
        </w:rPr>
        <w:t>21.</w:t>
      </w:r>
      <w:r>
        <w:rPr>
          <w:rFonts w:hint="eastAsia"/>
          <w:sz w:val="32"/>
          <w:szCs w:val="32"/>
        </w:rPr>
        <w:t>负责市场监督管理科技和信息化建设、新闻宣传。</w:t>
      </w:r>
    </w:p>
    <w:p>
      <w:pPr>
        <w:pStyle w:val="6"/>
        <w:keepNext w:val="0"/>
        <w:keepLines w:val="0"/>
        <w:pageBreakBefore w:val="0"/>
        <w:kinsoku/>
        <w:wordWrap/>
        <w:overflowPunct/>
        <w:topLinePunct w:val="0"/>
        <w:autoSpaceDE/>
        <w:autoSpaceDN/>
        <w:bidi w:val="0"/>
        <w:adjustRightInd w:val="0"/>
        <w:snapToGrid w:val="0"/>
        <w:spacing w:line="240" w:lineRule="auto"/>
        <w:ind w:right="0" w:rightChars="0" w:firstLine="640" w:firstLineChars="200"/>
        <w:textAlignment w:val="auto"/>
        <w:rPr>
          <w:rFonts w:hint="eastAsia"/>
          <w:sz w:val="32"/>
          <w:szCs w:val="32"/>
        </w:rPr>
      </w:pPr>
      <w:r>
        <w:rPr>
          <w:rFonts w:hint="eastAsia"/>
          <w:sz w:val="32"/>
          <w:szCs w:val="32"/>
          <w:lang w:val="en-US" w:eastAsia="zh-CN"/>
        </w:rPr>
        <w:t>22.</w:t>
      </w:r>
      <w:r>
        <w:rPr>
          <w:rFonts w:hint="eastAsia"/>
          <w:sz w:val="32"/>
          <w:szCs w:val="32"/>
        </w:rPr>
        <w:t>负责全县知识产权监督管理。贯彻落实国家、省、州知识产权战略、法规，拟订全县知识产权规划，负责知识产权的保护，负责组织实施商标、专利执法工作。</w:t>
      </w:r>
    </w:p>
    <w:p>
      <w:pPr>
        <w:pStyle w:val="6"/>
        <w:keepNext w:val="0"/>
        <w:keepLines w:val="0"/>
        <w:pageBreakBefore w:val="0"/>
        <w:kinsoku/>
        <w:wordWrap/>
        <w:overflowPunct/>
        <w:topLinePunct w:val="0"/>
        <w:autoSpaceDE/>
        <w:autoSpaceDN/>
        <w:bidi w:val="0"/>
        <w:adjustRightInd w:val="0"/>
        <w:snapToGrid w:val="0"/>
        <w:spacing w:line="240" w:lineRule="auto"/>
        <w:ind w:right="0" w:rightChars="0" w:firstLine="640" w:firstLineChars="200"/>
        <w:textAlignment w:val="auto"/>
        <w:rPr>
          <w:rFonts w:hint="eastAsia"/>
          <w:sz w:val="32"/>
          <w:szCs w:val="32"/>
        </w:rPr>
      </w:pPr>
      <w:r>
        <w:rPr>
          <w:rFonts w:hint="eastAsia"/>
          <w:sz w:val="32"/>
          <w:szCs w:val="32"/>
          <w:lang w:val="en-US" w:eastAsia="zh-CN"/>
        </w:rPr>
        <w:t>23.</w:t>
      </w:r>
      <w:r>
        <w:rPr>
          <w:rFonts w:hint="eastAsia"/>
          <w:sz w:val="32"/>
          <w:szCs w:val="32"/>
        </w:rPr>
        <w:t>负责促进全县民营经济发展。负责全县民营经济发展工作的任务制定、调查研究、统筹协调、督促落实及民营企业合法权益维护。在县委组织部指导下，指导全县市场监督管理部门配合党委组织部门开展小微企业、个体工商户、专业市场的党建工作。</w:t>
      </w:r>
    </w:p>
    <w:p>
      <w:pPr>
        <w:pStyle w:val="6"/>
        <w:keepNext w:val="0"/>
        <w:keepLines w:val="0"/>
        <w:pageBreakBefore w:val="0"/>
        <w:kinsoku/>
        <w:wordWrap/>
        <w:overflowPunct/>
        <w:topLinePunct w:val="0"/>
        <w:autoSpaceDE/>
        <w:autoSpaceDN/>
        <w:bidi w:val="0"/>
        <w:adjustRightInd w:val="0"/>
        <w:snapToGrid w:val="0"/>
        <w:spacing w:line="240" w:lineRule="auto"/>
        <w:ind w:right="0" w:rightChars="0" w:firstLine="640" w:firstLineChars="200"/>
        <w:textAlignment w:val="auto"/>
        <w:rPr>
          <w:rFonts w:hint="eastAsia"/>
          <w:sz w:val="32"/>
          <w:szCs w:val="32"/>
        </w:rPr>
      </w:pPr>
      <w:r>
        <w:rPr>
          <w:rFonts w:hint="eastAsia"/>
          <w:sz w:val="32"/>
          <w:szCs w:val="32"/>
          <w:lang w:val="en-US" w:eastAsia="zh-CN"/>
        </w:rPr>
        <w:t>24.</w:t>
      </w:r>
      <w:r>
        <w:rPr>
          <w:rFonts w:hint="eastAsia"/>
          <w:sz w:val="32"/>
          <w:szCs w:val="32"/>
        </w:rPr>
        <w:t>负责职责范围内的安全生产和职业健康、生态环境保护、应急联动、审批服务便民化等工作。</w:t>
      </w:r>
    </w:p>
    <w:p>
      <w:pPr>
        <w:pStyle w:val="6"/>
        <w:keepNext w:val="0"/>
        <w:keepLines w:val="0"/>
        <w:pageBreakBefore w:val="0"/>
        <w:kinsoku/>
        <w:wordWrap/>
        <w:overflowPunct/>
        <w:topLinePunct w:val="0"/>
        <w:autoSpaceDE/>
        <w:autoSpaceDN/>
        <w:bidi w:val="0"/>
        <w:adjustRightInd w:val="0"/>
        <w:snapToGrid w:val="0"/>
        <w:spacing w:line="240" w:lineRule="auto"/>
        <w:ind w:right="0" w:rightChars="0" w:firstLine="640" w:firstLineChars="200"/>
        <w:textAlignment w:val="auto"/>
        <w:rPr>
          <w:rFonts w:hint="eastAsia"/>
          <w:sz w:val="32"/>
          <w:szCs w:val="32"/>
        </w:rPr>
      </w:pPr>
      <w:r>
        <w:rPr>
          <w:rFonts w:hint="eastAsia"/>
          <w:sz w:val="32"/>
          <w:szCs w:val="32"/>
          <w:lang w:val="en-US" w:eastAsia="zh-CN"/>
        </w:rPr>
        <w:t>25.</w:t>
      </w:r>
      <w:r>
        <w:rPr>
          <w:rFonts w:hint="eastAsia"/>
          <w:sz w:val="32"/>
          <w:szCs w:val="32"/>
        </w:rPr>
        <w:t>完成县委、县政府交办的其他任务。</w:t>
      </w:r>
    </w:p>
    <w:p>
      <w:pPr>
        <w:keepNext w:val="0"/>
        <w:keepLines w:val="0"/>
        <w:pageBreakBefore w:val="0"/>
        <w:widowControl/>
        <w:kinsoku/>
        <w:wordWrap/>
        <w:overflowPunct/>
        <w:topLinePunct w:val="0"/>
        <w:autoSpaceDE/>
        <w:autoSpaceDN/>
        <w:bidi w:val="0"/>
        <w:adjustRightInd w:val="0"/>
        <w:snapToGrid w:val="0"/>
        <w:spacing w:line="240" w:lineRule="auto"/>
        <w:contextualSpacing/>
        <w:jc w:val="left"/>
        <w:textAlignment w:val="auto"/>
        <w:rPr>
          <w:rFonts w:hint="eastAsia" w:ascii="楷体" w:hAnsi="楷体" w:eastAsia="楷体" w:cs="楷体"/>
          <w:color w:val="000000"/>
          <w:kern w:val="0"/>
          <w:sz w:val="32"/>
          <w:szCs w:val="32"/>
          <w:shd w:val="clear" w:color="auto" w:fill="FFFFFF"/>
          <w:lang w:val="zh-CN"/>
        </w:rPr>
      </w:pPr>
      <w:r>
        <w:rPr>
          <w:rFonts w:hint="eastAsia" w:ascii="楷体" w:hAnsi="楷体" w:eastAsia="楷体" w:cs="楷体"/>
          <w:color w:val="000000"/>
          <w:kern w:val="0"/>
          <w:sz w:val="32"/>
          <w:szCs w:val="32"/>
          <w:shd w:val="clear" w:color="auto" w:fill="FFFFFF"/>
          <w:lang w:val="zh-CN"/>
        </w:rPr>
        <w:t>（三）人员概况</w:t>
      </w:r>
    </w:p>
    <w:p>
      <w:pPr>
        <w:keepNext w:val="0"/>
        <w:keepLines w:val="0"/>
        <w:pageBreakBefore w:val="0"/>
        <w:kinsoku/>
        <w:wordWrap/>
        <w:overflowPunct/>
        <w:topLinePunct w:val="0"/>
        <w:autoSpaceDE/>
        <w:autoSpaceDN/>
        <w:bidi w:val="0"/>
        <w:spacing w:line="240" w:lineRule="auto"/>
        <w:jc w:val="left"/>
        <w:textAlignment w:val="auto"/>
        <w:rPr>
          <w:rFonts w:hint="eastAsia" w:ascii="仿宋_GB2312" w:hAnsi="Calibri" w:eastAsia="仿宋_GB2312" w:cs="仿宋_GB2312"/>
          <w:kern w:val="0"/>
          <w:sz w:val="32"/>
          <w:szCs w:val="32"/>
          <w:lang w:val="en-US" w:eastAsia="zh-CN" w:bidi="ar-SA"/>
        </w:rPr>
      </w:pPr>
      <w:r>
        <w:rPr>
          <w:rFonts w:hint="eastAsia" w:ascii="仿宋_GB2312" w:hAnsi="Calibri" w:eastAsia="仿宋_GB2312" w:cs="仿宋_GB2312"/>
          <w:kern w:val="0"/>
          <w:sz w:val="32"/>
          <w:szCs w:val="32"/>
          <w:lang w:val="en-US" w:eastAsia="zh-CN" w:bidi="ar-SA"/>
        </w:rPr>
        <w:t xml:space="preserve"> </w:t>
      </w:r>
      <w:r>
        <w:rPr>
          <w:rFonts w:hint="eastAsia" w:ascii="仿宋_GB2312" w:hAnsi="Calibri" w:cs="仿宋_GB2312"/>
          <w:kern w:val="0"/>
          <w:sz w:val="32"/>
          <w:szCs w:val="32"/>
          <w:lang w:val="en-US" w:eastAsia="zh-CN" w:bidi="ar-SA"/>
        </w:rPr>
        <w:t xml:space="preserve"> </w:t>
      </w:r>
      <w:r>
        <w:rPr>
          <w:rFonts w:hint="eastAsia" w:ascii="仿宋_GB2312" w:hAnsi="Calibri" w:eastAsia="仿宋_GB2312" w:cs="仿宋_GB2312"/>
          <w:kern w:val="0"/>
          <w:sz w:val="32"/>
          <w:szCs w:val="32"/>
          <w:lang w:val="en-US" w:eastAsia="zh-CN" w:bidi="ar-SA"/>
        </w:rPr>
        <w:t>红原县市场监督管理局属于一级预算单位，其中内设机构</w:t>
      </w:r>
      <w:r>
        <w:rPr>
          <w:rFonts w:hint="eastAsia" w:ascii="仿宋_GB2312" w:hAnsi="Calibri" w:cs="仿宋_GB2312"/>
          <w:kern w:val="0"/>
          <w:sz w:val="32"/>
          <w:szCs w:val="32"/>
          <w:lang w:val="en-US" w:eastAsia="zh-CN" w:bidi="ar-SA"/>
        </w:rPr>
        <w:t>4</w:t>
      </w:r>
      <w:r>
        <w:rPr>
          <w:rFonts w:hint="eastAsia" w:ascii="仿宋_GB2312" w:hAnsi="Calibri" w:eastAsia="仿宋_GB2312" w:cs="仿宋_GB2312"/>
          <w:kern w:val="0"/>
          <w:sz w:val="32"/>
          <w:szCs w:val="32"/>
          <w:lang w:val="en-US" w:eastAsia="zh-CN" w:bidi="ar-SA"/>
        </w:rPr>
        <w:t>个，</w:t>
      </w:r>
      <w:r>
        <w:rPr>
          <w:rFonts w:hint="eastAsia" w:ascii="仿宋_GB2312" w:hAnsi="仿宋_GB2312" w:eastAsia="仿宋_GB2312" w:cs="仿宋_GB2312"/>
          <w:kern w:val="0"/>
          <w:sz w:val="32"/>
          <w:szCs w:val="32"/>
          <w:lang w:val="en-US" w:eastAsia="zh-CN" w:bidi="ar-SA"/>
        </w:rPr>
        <w:t>下设所3个，</w:t>
      </w:r>
      <w:r>
        <w:rPr>
          <w:rFonts w:hint="eastAsia" w:ascii="仿宋_GB2312" w:hAnsi="Calibri" w:eastAsia="仿宋_GB2312" w:cs="仿宋_GB2312"/>
          <w:kern w:val="0"/>
          <w:sz w:val="32"/>
          <w:szCs w:val="32"/>
          <w:lang w:val="en-US" w:eastAsia="zh-CN" w:bidi="ar-SA"/>
        </w:rPr>
        <w:t>下属二级单位</w:t>
      </w:r>
      <w:r>
        <w:rPr>
          <w:rFonts w:hint="eastAsia" w:ascii="仿宋_GB2312" w:hAnsi="Calibri" w:cs="仿宋_GB2312"/>
          <w:kern w:val="0"/>
          <w:sz w:val="32"/>
          <w:szCs w:val="32"/>
          <w:lang w:val="en-US" w:eastAsia="zh-CN" w:bidi="ar-SA"/>
        </w:rPr>
        <w:t>2</w:t>
      </w:r>
      <w:r>
        <w:rPr>
          <w:rFonts w:hint="eastAsia" w:ascii="仿宋_GB2312" w:hAnsi="Calibri" w:eastAsia="仿宋_GB2312" w:cs="仿宋_GB2312"/>
          <w:kern w:val="0"/>
          <w:sz w:val="32"/>
          <w:szCs w:val="32"/>
          <w:lang w:val="en-US" w:eastAsia="zh-CN" w:bidi="ar-SA"/>
        </w:rPr>
        <w:t>个，其中行政单位0个，参照公务员法管理的事业单位0个，其他事业单位</w:t>
      </w:r>
      <w:r>
        <w:rPr>
          <w:rFonts w:hint="eastAsia" w:ascii="仿宋_GB2312" w:hAnsi="Calibri" w:cs="仿宋_GB2312"/>
          <w:kern w:val="0"/>
          <w:sz w:val="32"/>
          <w:szCs w:val="32"/>
          <w:lang w:val="en-US" w:eastAsia="zh-CN" w:bidi="ar-SA"/>
        </w:rPr>
        <w:t>2</w:t>
      </w:r>
      <w:r>
        <w:rPr>
          <w:rFonts w:hint="eastAsia" w:ascii="仿宋_GB2312" w:hAnsi="Calibri" w:eastAsia="仿宋_GB2312" w:cs="仿宋_GB2312"/>
          <w:kern w:val="0"/>
          <w:sz w:val="32"/>
          <w:szCs w:val="32"/>
          <w:lang w:val="en-US" w:eastAsia="zh-CN" w:bidi="ar-SA"/>
        </w:rPr>
        <w:t>个。</w:t>
      </w:r>
    </w:p>
    <w:p>
      <w:pPr>
        <w:widowControl/>
        <w:adjustRightInd w:val="0"/>
        <w:snapToGrid w:val="0"/>
        <w:spacing w:line="560" w:lineRule="exact"/>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keepNext w:val="0"/>
        <w:keepLines w:val="0"/>
        <w:pageBreakBefore w:val="0"/>
        <w:widowControl/>
        <w:kinsoku/>
        <w:wordWrap/>
        <w:overflowPunct/>
        <w:topLinePunct w:val="0"/>
        <w:autoSpaceDE/>
        <w:autoSpaceDN/>
        <w:bidi w:val="0"/>
        <w:adjustRightInd w:val="0"/>
        <w:snapToGrid w:val="0"/>
        <w:spacing w:line="240" w:lineRule="auto"/>
        <w:contextualSpacing/>
        <w:jc w:val="left"/>
        <w:textAlignment w:val="auto"/>
        <w:rPr>
          <w:rFonts w:hint="eastAsia" w:ascii="仿宋_GB2312" w:hAnsi="宋体" w:cs="宋体"/>
          <w:color w:val="000000"/>
          <w:kern w:val="0"/>
          <w:sz w:val="32"/>
          <w:szCs w:val="32"/>
          <w:shd w:val="clear" w:color="auto" w:fill="FFFFFF"/>
          <w:lang w:val="zh-CN"/>
        </w:rPr>
      </w:pPr>
      <w:r>
        <w:rPr>
          <w:rFonts w:hint="eastAsia" w:ascii="仿宋_GB2312" w:hAnsi="宋体" w:cs="宋体"/>
          <w:color w:val="000000"/>
          <w:kern w:val="0"/>
          <w:sz w:val="32"/>
          <w:szCs w:val="32"/>
          <w:shd w:val="clear" w:color="auto" w:fill="FFFFFF"/>
          <w:lang w:val="zh-CN"/>
        </w:rPr>
        <w:t>（一）部门财政资金收入情况</w:t>
      </w:r>
    </w:p>
    <w:p>
      <w:pPr>
        <w:keepNext w:val="0"/>
        <w:keepLines w:val="0"/>
        <w:pageBreakBefore w:val="0"/>
        <w:kinsoku/>
        <w:wordWrap/>
        <w:overflowPunct/>
        <w:topLinePunct w:val="0"/>
        <w:autoSpaceDE/>
        <w:autoSpaceDN/>
        <w:bidi w:val="0"/>
        <w:spacing w:line="240" w:lineRule="auto"/>
        <w:ind w:firstLine="640" w:firstLineChars="200"/>
        <w:jc w:val="left"/>
        <w:textAlignment w:val="auto"/>
        <w:rPr>
          <w:rFonts w:hint="eastAsia" w:ascii="仿宋_GB2312" w:hAnsi="Calibri" w:eastAsia="仿宋_GB2312" w:cs="仿宋_GB2312"/>
          <w:kern w:val="0"/>
          <w:sz w:val="32"/>
          <w:szCs w:val="32"/>
          <w:lang w:val="zh-CN" w:eastAsia="zh-CN" w:bidi="ar-SA"/>
        </w:rPr>
      </w:pPr>
      <w:r>
        <w:rPr>
          <w:rFonts w:hint="eastAsia" w:ascii="仿宋_GB2312" w:hAnsi="Calibri" w:eastAsia="仿宋_GB2312" w:cs="仿宋_GB2312"/>
          <w:kern w:val="0"/>
          <w:sz w:val="32"/>
          <w:szCs w:val="32"/>
          <w:lang w:val="en-US" w:eastAsia="zh-CN" w:bidi="ar-SA"/>
        </w:rPr>
        <w:t>202</w:t>
      </w:r>
      <w:r>
        <w:rPr>
          <w:rFonts w:hint="eastAsia" w:ascii="仿宋_GB2312" w:hAnsi="Calibri" w:cs="仿宋_GB2312"/>
          <w:kern w:val="0"/>
          <w:sz w:val="32"/>
          <w:szCs w:val="32"/>
          <w:lang w:val="en-US" w:eastAsia="zh-CN" w:bidi="ar-SA"/>
        </w:rPr>
        <w:t>2</w:t>
      </w:r>
      <w:r>
        <w:rPr>
          <w:rFonts w:hint="eastAsia" w:ascii="仿宋_GB2312" w:hAnsi="Calibri" w:eastAsia="仿宋_GB2312" w:cs="仿宋_GB2312"/>
          <w:kern w:val="0"/>
          <w:sz w:val="32"/>
          <w:szCs w:val="32"/>
          <w:lang w:val="en-US" w:eastAsia="zh-CN" w:bidi="ar-SA"/>
        </w:rPr>
        <w:t>年收入</w:t>
      </w:r>
      <w:r>
        <w:rPr>
          <w:rFonts w:hint="eastAsia" w:ascii="仿宋_GB2312" w:hAnsi="Calibri" w:cs="仿宋_GB2312"/>
          <w:kern w:val="0"/>
          <w:sz w:val="32"/>
          <w:szCs w:val="32"/>
          <w:lang w:val="en-US" w:eastAsia="zh-CN" w:bidi="ar-SA"/>
        </w:rPr>
        <w:t>1010.71</w:t>
      </w:r>
      <w:r>
        <w:rPr>
          <w:rFonts w:hint="eastAsia" w:ascii="仿宋_GB2312" w:hAnsi="Calibri" w:eastAsia="仿宋_GB2312" w:cs="仿宋_GB2312"/>
          <w:kern w:val="0"/>
          <w:sz w:val="32"/>
          <w:szCs w:val="32"/>
          <w:lang w:val="en-US" w:eastAsia="zh-CN" w:bidi="ar-SA"/>
        </w:rPr>
        <w:t>万元，其中：一般公共预算财政拨款收入</w:t>
      </w:r>
      <w:r>
        <w:rPr>
          <w:rFonts w:hint="eastAsia" w:ascii="仿宋_GB2312" w:hAnsi="Calibri" w:cs="仿宋_GB2312"/>
          <w:kern w:val="0"/>
          <w:sz w:val="32"/>
          <w:szCs w:val="32"/>
          <w:lang w:val="en-US" w:eastAsia="zh-CN" w:bidi="ar-SA"/>
        </w:rPr>
        <w:t>1010.71</w:t>
      </w:r>
      <w:r>
        <w:rPr>
          <w:rFonts w:hint="eastAsia" w:ascii="仿宋_GB2312" w:hAnsi="Calibri" w:eastAsia="仿宋_GB2312" w:cs="仿宋_GB2312"/>
          <w:kern w:val="0"/>
          <w:sz w:val="32"/>
          <w:szCs w:val="32"/>
          <w:lang w:val="en-US" w:eastAsia="zh-CN" w:bidi="ar-SA"/>
        </w:rPr>
        <w:t>万元。</w:t>
      </w:r>
    </w:p>
    <w:p>
      <w:pPr>
        <w:keepNext w:val="0"/>
        <w:keepLines w:val="0"/>
        <w:pageBreakBefore w:val="0"/>
        <w:kinsoku/>
        <w:wordWrap/>
        <w:overflowPunct/>
        <w:topLinePunct w:val="0"/>
        <w:autoSpaceDE/>
        <w:autoSpaceDN/>
        <w:bidi w:val="0"/>
        <w:spacing w:line="240" w:lineRule="auto"/>
        <w:jc w:val="left"/>
        <w:textAlignment w:val="auto"/>
        <w:rPr>
          <w:rFonts w:hint="eastAsia" w:ascii="仿宋_GB2312" w:hAnsi="Calibri" w:eastAsia="仿宋_GB2312" w:cs="仿宋_GB2312"/>
          <w:kern w:val="0"/>
          <w:sz w:val="32"/>
          <w:szCs w:val="32"/>
          <w:lang w:val="zh-CN" w:eastAsia="zh-CN" w:bidi="ar-SA"/>
        </w:rPr>
      </w:pPr>
      <w:r>
        <w:rPr>
          <w:rFonts w:hint="eastAsia" w:ascii="仿宋_GB2312" w:hAnsi="Calibri" w:eastAsia="仿宋_GB2312" w:cs="仿宋_GB2312"/>
          <w:kern w:val="0"/>
          <w:sz w:val="32"/>
          <w:szCs w:val="32"/>
          <w:lang w:val="zh-CN" w:eastAsia="zh-CN" w:bidi="ar-SA"/>
        </w:rPr>
        <w:t>部门财政资金支出情况。</w:t>
      </w:r>
      <w:r>
        <w:rPr>
          <w:rFonts w:hint="eastAsia" w:ascii="仿宋_GB2312" w:hAnsi="Calibri" w:eastAsia="仿宋_GB2312" w:cs="仿宋_GB2312"/>
          <w:kern w:val="0"/>
          <w:sz w:val="32"/>
          <w:szCs w:val="32"/>
          <w:lang w:val="en-US" w:eastAsia="zh-CN" w:bidi="ar-SA"/>
        </w:rPr>
        <w:t xml:space="preserve"> </w:t>
      </w:r>
    </w:p>
    <w:p>
      <w:pPr>
        <w:keepNext w:val="0"/>
        <w:keepLines w:val="0"/>
        <w:pageBreakBefore w:val="0"/>
        <w:kinsoku/>
        <w:wordWrap/>
        <w:overflowPunct/>
        <w:topLinePunct w:val="0"/>
        <w:autoSpaceDE/>
        <w:autoSpaceDN/>
        <w:bidi w:val="0"/>
        <w:spacing w:line="240" w:lineRule="auto"/>
        <w:jc w:val="left"/>
        <w:textAlignment w:val="auto"/>
        <w:rPr>
          <w:rFonts w:hint="eastAsia" w:ascii="仿宋_GB2312" w:hAnsi="宋体" w:cs="宋体"/>
          <w:color w:val="000000"/>
          <w:kern w:val="0"/>
          <w:sz w:val="32"/>
          <w:szCs w:val="32"/>
          <w:shd w:val="clear" w:color="auto" w:fill="FFFFFF"/>
          <w:lang w:val="zh-CN"/>
        </w:rPr>
      </w:pPr>
      <w:r>
        <w:rPr>
          <w:rFonts w:hint="eastAsia" w:ascii="仿宋_GB2312" w:hAnsi="Calibri" w:eastAsia="仿宋_GB2312" w:cs="仿宋_GB2312"/>
          <w:kern w:val="0"/>
          <w:sz w:val="32"/>
          <w:szCs w:val="32"/>
          <w:lang w:val="en-US" w:eastAsia="zh-CN" w:bidi="ar-SA"/>
        </w:rPr>
        <w:t xml:space="preserve"> </w:t>
      </w:r>
      <w:r>
        <w:rPr>
          <w:rFonts w:hint="eastAsia" w:ascii="仿宋_GB2312" w:hAnsi="Calibri" w:cs="仿宋_GB2312"/>
          <w:kern w:val="0"/>
          <w:sz w:val="32"/>
          <w:szCs w:val="32"/>
          <w:lang w:val="en-US" w:eastAsia="zh-CN" w:bidi="ar-SA"/>
        </w:rPr>
        <w:t>(二)</w:t>
      </w:r>
      <w:r>
        <w:rPr>
          <w:rFonts w:hint="eastAsia" w:ascii="仿宋_GB2312" w:hAnsi="宋体" w:cs="宋体"/>
          <w:color w:val="000000"/>
          <w:kern w:val="0"/>
          <w:sz w:val="32"/>
          <w:szCs w:val="32"/>
          <w:shd w:val="clear" w:color="auto" w:fill="FFFFFF"/>
          <w:lang w:val="zh-CN"/>
        </w:rPr>
        <w:t>部门财政资金支出情况</w:t>
      </w:r>
    </w:p>
    <w:p>
      <w:pPr>
        <w:keepNext w:val="0"/>
        <w:keepLines w:val="0"/>
        <w:pageBreakBefore w:val="0"/>
        <w:kinsoku/>
        <w:wordWrap/>
        <w:overflowPunct/>
        <w:topLinePunct w:val="0"/>
        <w:autoSpaceDE/>
        <w:autoSpaceDN/>
        <w:bidi w:val="0"/>
        <w:spacing w:line="240" w:lineRule="auto"/>
        <w:jc w:val="left"/>
        <w:textAlignment w:val="auto"/>
        <w:rPr>
          <w:rFonts w:hint="eastAsia" w:ascii="仿宋_GB2312" w:hAnsi="仿宋_GB2312" w:eastAsia="仿宋_GB2312" w:cs="仿宋_GB2312"/>
          <w:kern w:val="0"/>
          <w:sz w:val="32"/>
          <w:szCs w:val="32"/>
          <w:lang w:val="en-US" w:eastAsia="zh-CN" w:bidi="ar-SA"/>
        </w:rPr>
      </w:pPr>
      <w:r>
        <w:rPr>
          <w:rFonts w:hint="eastAsia" w:ascii="仿宋_GB2312" w:hAnsi="Calibri" w:eastAsia="仿宋_GB2312" w:cs="仿宋_GB2312"/>
          <w:kern w:val="0"/>
          <w:sz w:val="32"/>
          <w:szCs w:val="32"/>
          <w:lang w:val="en-US" w:eastAsia="zh-CN" w:bidi="ar-SA"/>
        </w:rPr>
        <w:t xml:space="preserve"> </w:t>
      </w:r>
      <w:r>
        <w:rPr>
          <w:rFonts w:hint="eastAsia" w:ascii="仿宋_GB2312" w:hAnsi="Calibri" w:cs="仿宋_GB2312"/>
          <w:kern w:val="0"/>
          <w:sz w:val="32"/>
          <w:szCs w:val="32"/>
          <w:lang w:val="en-US" w:eastAsia="zh-CN" w:bidi="ar-SA"/>
        </w:rPr>
        <w:t xml:space="preserve">  </w:t>
      </w:r>
      <w:r>
        <w:rPr>
          <w:rFonts w:hint="eastAsia" w:ascii="仿宋_GB2312" w:hAnsi="Calibri" w:eastAsia="仿宋_GB2312" w:cs="仿宋_GB2312"/>
          <w:kern w:val="0"/>
          <w:sz w:val="32"/>
          <w:szCs w:val="32"/>
          <w:lang w:val="en-US" w:eastAsia="zh-CN" w:bidi="ar-SA"/>
        </w:rPr>
        <w:t>202</w:t>
      </w:r>
      <w:r>
        <w:rPr>
          <w:rFonts w:hint="eastAsia" w:ascii="仿宋_GB2312" w:hAnsi="Calibri" w:cs="仿宋_GB2312"/>
          <w:kern w:val="0"/>
          <w:sz w:val="32"/>
          <w:szCs w:val="32"/>
          <w:lang w:val="en-US" w:eastAsia="zh-CN" w:bidi="ar-SA"/>
        </w:rPr>
        <w:t>2</w:t>
      </w:r>
      <w:r>
        <w:rPr>
          <w:rFonts w:hint="eastAsia" w:ascii="仿宋_GB2312" w:hAnsi="Calibri" w:eastAsia="仿宋_GB2312" w:cs="仿宋_GB2312"/>
          <w:kern w:val="0"/>
          <w:sz w:val="32"/>
          <w:szCs w:val="32"/>
          <w:lang w:val="en-US" w:eastAsia="zh-CN" w:bidi="ar-SA"/>
        </w:rPr>
        <w:t>年一般公共预算财政拨款支出</w:t>
      </w:r>
      <w:r>
        <w:rPr>
          <w:rFonts w:hint="eastAsia" w:ascii="仿宋_GB2312" w:hAnsi="Calibri" w:cs="仿宋_GB2312"/>
          <w:kern w:val="0"/>
          <w:sz w:val="32"/>
          <w:szCs w:val="32"/>
          <w:lang w:val="en-US" w:eastAsia="zh-CN" w:bidi="ar-SA"/>
        </w:rPr>
        <w:t>1010.71</w:t>
      </w:r>
      <w:r>
        <w:rPr>
          <w:rFonts w:hint="eastAsia" w:ascii="仿宋_GB2312" w:hAnsi="Calibri" w:eastAsia="仿宋_GB2312" w:cs="仿宋_GB2312"/>
          <w:kern w:val="0"/>
          <w:sz w:val="32"/>
          <w:szCs w:val="32"/>
          <w:lang w:val="en-US" w:eastAsia="zh-CN" w:bidi="ar-SA"/>
        </w:rPr>
        <w:t>万元。主要用于以下方面: 其中基本工资</w:t>
      </w:r>
      <w:r>
        <w:rPr>
          <w:rFonts w:hint="eastAsia" w:ascii="仿宋_GB2312" w:hAnsi="Calibri" w:cs="仿宋_GB2312"/>
          <w:kern w:val="0"/>
          <w:sz w:val="32"/>
          <w:szCs w:val="32"/>
          <w:lang w:val="en-US" w:eastAsia="zh-CN" w:bidi="ar-SA"/>
        </w:rPr>
        <w:t>149.52</w:t>
      </w:r>
      <w:r>
        <w:rPr>
          <w:rFonts w:hint="eastAsia" w:ascii="仿宋_GB2312" w:hAnsi="Calibri" w:eastAsia="仿宋_GB2312" w:cs="仿宋_GB2312"/>
          <w:kern w:val="0"/>
          <w:sz w:val="32"/>
          <w:szCs w:val="32"/>
          <w:lang w:val="en-US" w:eastAsia="zh-CN" w:bidi="ar-SA"/>
        </w:rPr>
        <w:t>万元，津补贴</w:t>
      </w:r>
      <w:r>
        <w:rPr>
          <w:rFonts w:hint="eastAsia" w:ascii="仿宋_GB2312" w:hAnsi="Calibri" w:cs="仿宋_GB2312"/>
          <w:kern w:val="0"/>
          <w:sz w:val="32"/>
          <w:szCs w:val="32"/>
          <w:lang w:val="en-US" w:eastAsia="zh-CN" w:bidi="ar-SA"/>
        </w:rPr>
        <w:t>389.72</w:t>
      </w:r>
      <w:r>
        <w:rPr>
          <w:rFonts w:hint="eastAsia" w:ascii="仿宋_GB2312" w:hAnsi="Calibri" w:eastAsia="仿宋_GB2312" w:cs="仿宋_GB2312"/>
          <w:kern w:val="0"/>
          <w:sz w:val="32"/>
          <w:szCs w:val="32"/>
          <w:lang w:val="en-US" w:eastAsia="zh-CN" w:bidi="ar-SA"/>
        </w:rPr>
        <w:t>万元，奖金</w:t>
      </w:r>
      <w:r>
        <w:rPr>
          <w:rFonts w:hint="eastAsia" w:ascii="仿宋_GB2312" w:hAnsi="Calibri" w:cs="仿宋_GB2312"/>
          <w:kern w:val="0"/>
          <w:sz w:val="32"/>
          <w:szCs w:val="32"/>
          <w:lang w:val="en-US" w:eastAsia="zh-CN" w:bidi="ar-SA"/>
        </w:rPr>
        <w:t>11.92</w:t>
      </w:r>
      <w:r>
        <w:rPr>
          <w:rFonts w:hint="eastAsia" w:ascii="仿宋_GB2312" w:hAnsi="Calibri" w:eastAsia="仿宋_GB2312" w:cs="仿宋_GB2312"/>
          <w:kern w:val="0"/>
          <w:sz w:val="32"/>
          <w:szCs w:val="32"/>
          <w:lang w:val="en-US" w:eastAsia="zh-CN" w:bidi="ar-SA"/>
        </w:rPr>
        <w:t>万元，绩效工资</w:t>
      </w:r>
      <w:r>
        <w:rPr>
          <w:rFonts w:hint="eastAsia" w:ascii="仿宋_GB2312" w:hAnsi="Calibri" w:cs="仿宋_GB2312"/>
          <w:kern w:val="0"/>
          <w:sz w:val="32"/>
          <w:szCs w:val="32"/>
          <w:lang w:val="en-US" w:eastAsia="zh-CN" w:bidi="ar-SA"/>
        </w:rPr>
        <w:t>15.31万元</w:t>
      </w:r>
      <w:r>
        <w:rPr>
          <w:rFonts w:hint="eastAsia" w:ascii="仿宋_GB2312" w:hAnsi="Calibri" w:eastAsia="仿宋_GB2312" w:cs="仿宋_GB2312"/>
          <w:kern w:val="0"/>
          <w:sz w:val="32"/>
          <w:szCs w:val="32"/>
          <w:lang w:val="en-US" w:eastAsia="zh-CN" w:bidi="ar-SA"/>
        </w:rPr>
        <w:t>，机关事业单位基本养老保险缴费</w:t>
      </w:r>
      <w:r>
        <w:rPr>
          <w:rFonts w:hint="eastAsia" w:ascii="仿宋_GB2312" w:hAnsi="Calibri" w:cs="仿宋_GB2312"/>
          <w:kern w:val="0"/>
          <w:sz w:val="32"/>
          <w:szCs w:val="32"/>
          <w:lang w:val="en-US" w:eastAsia="zh-CN" w:bidi="ar-SA"/>
        </w:rPr>
        <w:t>68.68</w:t>
      </w:r>
      <w:r>
        <w:rPr>
          <w:rFonts w:hint="eastAsia" w:ascii="仿宋_GB2312" w:hAnsi="Calibri" w:eastAsia="仿宋_GB2312" w:cs="仿宋_GB2312"/>
          <w:kern w:val="0"/>
          <w:sz w:val="32"/>
          <w:szCs w:val="32"/>
          <w:lang w:val="en-US" w:eastAsia="zh-CN" w:bidi="ar-SA"/>
        </w:rPr>
        <w:t>万元，职业年金缴费</w:t>
      </w:r>
      <w:r>
        <w:rPr>
          <w:rFonts w:hint="eastAsia" w:ascii="仿宋_GB2312" w:hAnsi="Calibri" w:cs="仿宋_GB2312"/>
          <w:kern w:val="0"/>
          <w:sz w:val="32"/>
          <w:szCs w:val="32"/>
          <w:lang w:val="en-US" w:eastAsia="zh-CN" w:bidi="ar-SA"/>
        </w:rPr>
        <w:t>34.34</w:t>
      </w:r>
      <w:r>
        <w:rPr>
          <w:rFonts w:hint="eastAsia" w:ascii="仿宋_GB2312" w:hAnsi="Calibri" w:eastAsia="仿宋_GB2312" w:cs="仿宋_GB2312"/>
          <w:kern w:val="0"/>
          <w:sz w:val="32"/>
          <w:szCs w:val="32"/>
          <w:lang w:val="en-US" w:eastAsia="zh-CN" w:bidi="ar-SA"/>
        </w:rPr>
        <w:t>万元，职工基本医疗缴费</w:t>
      </w:r>
      <w:r>
        <w:rPr>
          <w:rFonts w:hint="eastAsia" w:ascii="仿宋_GB2312" w:hAnsi="Calibri" w:cs="仿宋_GB2312"/>
          <w:kern w:val="0"/>
          <w:sz w:val="32"/>
          <w:szCs w:val="32"/>
          <w:lang w:val="en-US" w:eastAsia="zh-CN" w:bidi="ar-SA"/>
        </w:rPr>
        <w:t>37.37</w:t>
      </w:r>
      <w:r>
        <w:rPr>
          <w:rFonts w:hint="eastAsia" w:ascii="仿宋_GB2312" w:hAnsi="Calibri" w:eastAsia="仿宋_GB2312" w:cs="仿宋_GB2312"/>
          <w:kern w:val="0"/>
          <w:sz w:val="32"/>
          <w:szCs w:val="32"/>
          <w:lang w:val="en-US" w:eastAsia="zh-CN" w:bidi="ar-SA"/>
        </w:rPr>
        <w:t>万元，公务员医疗补助缴费</w:t>
      </w:r>
      <w:r>
        <w:rPr>
          <w:rFonts w:hint="eastAsia" w:ascii="仿宋_GB2312" w:hAnsi="Calibri" w:cs="仿宋_GB2312"/>
          <w:kern w:val="0"/>
          <w:sz w:val="32"/>
          <w:szCs w:val="32"/>
          <w:lang w:val="en-US" w:eastAsia="zh-CN" w:bidi="ar-SA"/>
        </w:rPr>
        <w:t>10.68</w:t>
      </w:r>
      <w:r>
        <w:rPr>
          <w:rFonts w:hint="eastAsia" w:ascii="仿宋_GB2312" w:hAnsi="Calibri" w:eastAsia="仿宋_GB2312" w:cs="仿宋_GB2312"/>
          <w:kern w:val="0"/>
          <w:sz w:val="32"/>
          <w:szCs w:val="32"/>
          <w:lang w:val="en-US" w:eastAsia="zh-CN" w:bidi="ar-SA"/>
        </w:rPr>
        <w:t>万元，其他社会保障缴费</w:t>
      </w:r>
      <w:r>
        <w:rPr>
          <w:rFonts w:hint="eastAsia" w:ascii="仿宋_GB2312" w:hAnsi="Calibri" w:cs="仿宋_GB2312"/>
          <w:kern w:val="0"/>
          <w:sz w:val="32"/>
          <w:szCs w:val="32"/>
          <w:lang w:val="en-US" w:eastAsia="zh-CN" w:bidi="ar-SA"/>
        </w:rPr>
        <w:t>6.96</w:t>
      </w:r>
      <w:r>
        <w:rPr>
          <w:rFonts w:hint="eastAsia" w:ascii="仿宋_GB2312" w:hAnsi="Calibri" w:eastAsia="仿宋_GB2312" w:cs="仿宋_GB2312"/>
          <w:kern w:val="0"/>
          <w:sz w:val="32"/>
          <w:szCs w:val="32"/>
          <w:lang w:val="en-US" w:eastAsia="zh-CN" w:bidi="ar-SA"/>
        </w:rPr>
        <w:t>万元，住房公积金5</w:t>
      </w:r>
      <w:r>
        <w:rPr>
          <w:rFonts w:hint="eastAsia" w:ascii="仿宋_GB2312" w:hAnsi="Calibri" w:cs="仿宋_GB2312"/>
          <w:kern w:val="0"/>
          <w:sz w:val="32"/>
          <w:szCs w:val="32"/>
          <w:lang w:val="en-US" w:eastAsia="zh-CN" w:bidi="ar-SA"/>
        </w:rPr>
        <w:t>6.92</w:t>
      </w:r>
      <w:r>
        <w:rPr>
          <w:rFonts w:hint="eastAsia" w:ascii="仿宋_GB2312" w:hAnsi="Calibri" w:eastAsia="仿宋_GB2312" w:cs="仿宋_GB2312"/>
          <w:kern w:val="0"/>
          <w:sz w:val="32"/>
          <w:szCs w:val="32"/>
          <w:lang w:val="en-US" w:eastAsia="zh-CN" w:bidi="ar-SA"/>
        </w:rPr>
        <w:t>万元，办公费</w:t>
      </w:r>
      <w:r>
        <w:rPr>
          <w:rFonts w:hint="eastAsia" w:ascii="仿宋_GB2312" w:hAnsi="Calibri" w:cs="仿宋_GB2312"/>
          <w:kern w:val="0"/>
          <w:sz w:val="32"/>
          <w:szCs w:val="32"/>
          <w:lang w:val="en-US" w:eastAsia="zh-CN" w:bidi="ar-SA"/>
        </w:rPr>
        <w:t>70.96</w:t>
      </w:r>
      <w:r>
        <w:rPr>
          <w:rFonts w:hint="eastAsia" w:ascii="仿宋_GB2312" w:hAnsi="Calibri" w:eastAsia="仿宋_GB2312" w:cs="仿宋_GB2312"/>
          <w:kern w:val="0"/>
          <w:sz w:val="32"/>
          <w:szCs w:val="32"/>
          <w:lang w:val="en-US" w:eastAsia="zh-CN" w:bidi="ar-SA"/>
        </w:rPr>
        <w:t>万元，印刷费</w:t>
      </w:r>
      <w:r>
        <w:rPr>
          <w:rFonts w:hint="eastAsia" w:ascii="仿宋_GB2312" w:hAnsi="Calibri" w:cs="仿宋_GB2312"/>
          <w:kern w:val="0"/>
          <w:sz w:val="32"/>
          <w:szCs w:val="32"/>
          <w:lang w:val="en-US" w:eastAsia="zh-CN" w:bidi="ar-SA"/>
        </w:rPr>
        <w:t>12.59</w:t>
      </w:r>
      <w:r>
        <w:rPr>
          <w:rFonts w:hint="eastAsia" w:ascii="仿宋_GB2312" w:hAnsi="Calibri" w:eastAsia="仿宋_GB2312" w:cs="仿宋_GB2312"/>
          <w:kern w:val="0"/>
          <w:sz w:val="32"/>
          <w:szCs w:val="32"/>
          <w:lang w:val="en-US" w:eastAsia="zh-CN" w:bidi="ar-SA"/>
        </w:rPr>
        <w:t>万元，水费0.</w:t>
      </w:r>
      <w:r>
        <w:rPr>
          <w:rFonts w:hint="eastAsia" w:ascii="仿宋_GB2312" w:hAnsi="Calibri" w:cs="仿宋_GB2312"/>
          <w:kern w:val="0"/>
          <w:sz w:val="32"/>
          <w:szCs w:val="32"/>
          <w:lang w:val="en-US" w:eastAsia="zh-CN" w:bidi="ar-SA"/>
        </w:rPr>
        <w:t>38</w:t>
      </w:r>
      <w:r>
        <w:rPr>
          <w:rFonts w:hint="eastAsia" w:ascii="仿宋_GB2312" w:hAnsi="Calibri" w:eastAsia="仿宋_GB2312" w:cs="仿宋_GB2312"/>
          <w:kern w:val="0"/>
          <w:sz w:val="32"/>
          <w:szCs w:val="32"/>
          <w:lang w:val="en-US" w:eastAsia="zh-CN" w:bidi="ar-SA"/>
        </w:rPr>
        <w:t>万元，电费</w:t>
      </w:r>
      <w:r>
        <w:rPr>
          <w:rFonts w:hint="eastAsia" w:ascii="仿宋_GB2312" w:hAnsi="Calibri" w:cs="仿宋_GB2312"/>
          <w:kern w:val="0"/>
          <w:sz w:val="32"/>
          <w:szCs w:val="32"/>
          <w:lang w:val="en-US" w:eastAsia="zh-CN" w:bidi="ar-SA"/>
        </w:rPr>
        <w:t>3.54</w:t>
      </w:r>
      <w:r>
        <w:rPr>
          <w:rFonts w:hint="eastAsia" w:ascii="仿宋_GB2312" w:hAnsi="Calibri" w:eastAsia="仿宋_GB2312" w:cs="仿宋_GB2312"/>
          <w:kern w:val="0"/>
          <w:sz w:val="32"/>
          <w:szCs w:val="32"/>
          <w:lang w:val="en-US" w:eastAsia="zh-CN" w:bidi="ar-SA"/>
        </w:rPr>
        <w:t>万元，邮电费</w:t>
      </w:r>
      <w:r>
        <w:rPr>
          <w:rFonts w:hint="eastAsia" w:ascii="仿宋_GB2312" w:hAnsi="Calibri" w:cs="仿宋_GB2312"/>
          <w:kern w:val="0"/>
          <w:sz w:val="32"/>
          <w:szCs w:val="32"/>
          <w:lang w:val="en-US" w:eastAsia="zh-CN" w:bidi="ar-SA"/>
        </w:rPr>
        <w:t>5.84</w:t>
      </w:r>
      <w:r>
        <w:rPr>
          <w:rFonts w:hint="eastAsia" w:ascii="仿宋_GB2312" w:hAnsi="Calibri" w:eastAsia="仿宋_GB2312" w:cs="仿宋_GB2312"/>
          <w:kern w:val="0"/>
          <w:sz w:val="32"/>
          <w:szCs w:val="32"/>
          <w:lang w:val="en-US" w:eastAsia="zh-CN" w:bidi="ar-SA"/>
        </w:rPr>
        <w:t>万元，取暖费2万元，差旅费</w:t>
      </w:r>
      <w:r>
        <w:rPr>
          <w:rFonts w:hint="eastAsia" w:ascii="仿宋_GB2312" w:hAnsi="Calibri" w:cs="仿宋_GB2312"/>
          <w:kern w:val="0"/>
          <w:sz w:val="32"/>
          <w:szCs w:val="32"/>
          <w:lang w:val="en-US" w:eastAsia="zh-CN" w:bidi="ar-SA"/>
        </w:rPr>
        <w:t>7.64</w:t>
      </w:r>
      <w:r>
        <w:rPr>
          <w:rFonts w:hint="eastAsia" w:ascii="仿宋_GB2312" w:hAnsi="Calibri" w:eastAsia="仿宋_GB2312" w:cs="仿宋_GB2312"/>
          <w:kern w:val="0"/>
          <w:sz w:val="32"/>
          <w:szCs w:val="32"/>
          <w:lang w:val="en-US" w:eastAsia="zh-CN" w:bidi="ar-SA"/>
        </w:rPr>
        <w:t>万元，维修（护）费</w:t>
      </w:r>
      <w:r>
        <w:rPr>
          <w:rFonts w:hint="eastAsia" w:ascii="仿宋_GB2312" w:hAnsi="Calibri" w:cs="仿宋_GB2312"/>
          <w:kern w:val="0"/>
          <w:sz w:val="32"/>
          <w:szCs w:val="32"/>
          <w:lang w:val="en-US" w:eastAsia="zh-CN" w:bidi="ar-SA"/>
        </w:rPr>
        <w:t>2.29</w:t>
      </w:r>
      <w:r>
        <w:rPr>
          <w:rFonts w:hint="eastAsia" w:ascii="仿宋_GB2312" w:hAnsi="Calibri" w:eastAsia="仿宋_GB2312" w:cs="仿宋_GB2312"/>
          <w:kern w:val="0"/>
          <w:sz w:val="32"/>
          <w:szCs w:val="32"/>
          <w:lang w:val="en-US" w:eastAsia="zh-CN" w:bidi="ar-SA"/>
        </w:rPr>
        <w:t>万元，培训费</w:t>
      </w:r>
      <w:r>
        <w:rPr>
          <w:rFonts w:hint="eastAsia" w:ascii="仿宋_GB2312" w:hAnsi="Calibri" w:cs="仿宋_GB2312"/>
          <w:kern w:val="0"/>
          <w:sz w:val="32"/>
          <w:szCs w:val="32"/>
          <w:lang w:val="en-US" w:eastAsia="zh-CN" w:bidi="ar-SA"/>
        </w:rPr>
        <w:t>6.76</w:t>
      </w:r>
      <w:r>
        <w:rPr>
          <w:rFonts w:hint="eastAsia" w:ascii="仿宋_GB2312" w:hAnsi="Calibri" w:eastAsia="仿宋_GB2312" w:cs="仿宋_GB2312"/>
          <w:kern w:val="0"/>
          <w:sz w:val="32"/>
          <w:szCs w:val="32"/>
          <w:lang w:val="en-US" w:eastAsia="zh-CN" w:bidi="ar-SA"/>
        </w:rPr>
        <w:t>万元，劳务费</w:t>
      </w:r>
      <w:r>
        <w:rPr>
          <w:rFonts w:hint="eastAsia" w:ascii="仿宋_GB2312" w:hAnsi="Calibri" w:cs="仿宋_GB2312"/>
          <w:kern w:val="0"/>
          <w:sz w:val="32"/>
          <w:szCs w:val="32"/>
          <w:lang w:val="en-US" w:eastAsia="zh-CN" w:bidi="ar-SA"/>
        </w:rPr>
        <w:t>2.71</w:t>
      </w:r>
      <w:r>
        <w:rPr>
          <w:rFonts w:hint="eastAsia" w:ascii="仿宋_GB2312" w:hAnsi="Calibri" w:eastAsia="仿宋_GB2312" w:cs="仿宋_GB2312"/>
          <w:kern w:val="0"/>
          <w:sz w:val="32"/>
          <w:szCs w:val="32"/>
          <w:lang w:val="en-US" w:eastAsia="zh-CN" w:bidi="ar-SA"/>
        </w:rPr>
        <w:t>万元，</w:t>
      </w:r>
      <w:r>
        <w:rPr>
          <w:rFonts w:hint="eastAsia" w:ascii="仿宋_GB2312" w:hAnsi="仿宋_GB2312" w:eastAsia="仿宋_GB2312" w:cs="仿宋_GB2312"/>
          <w:kern w:val="0"/>
          <w:sz w:val="32"/>
          <w:szCs w:val="32"/>
          <w:lang w:val="en-US" w:eastAsia="zh-CN" w:bidi="ar-SA"/>
        </w:rPr>
        <w:t>公务接待费0.44万元，公务用车运行维护费13.96万元，专用材料费12.33万元，工会经费4.61万元，生活补助24.11万元，医疗补助1.82万元，奖励金0.0012万元，办公设备购置费54.3万元，对企业的费用补助3万元。</w:t>
      </w:r>
    </w:p>
    <w:p>
      <w:pPr>
        <w:keepNext w:val="0"/>
        <w:keepLines w:val="0"/>
        <w:pageBreakBefore w:val="0"/>
        <w:kinsoku/>
        <w:wordWrap/>
        <w:overflowPunct/>
        <w:topLinePunct w:val="0"/>
        <w:autoSpaceDE/>
        <w:autoSpaceDN/>
        <w:bidi w:val="0"/>
        <w:spacing w:line="240" w:lineRule="auto"/>
        <w:jc w:val="left"/>
        <w:textAlignment w:val="auto"/>
        <w:rPr>
          <w:rFonts w:ascii="黑体" w:hAnsi="宋体" w:eastAsia="黑体" w:cs="宋体"/>
          <w:color w:val="000000"/>
          <w:kern w:val="0"/>
          <w:sz w:val="32"/>
          <w:szCs w:val="32"/>
          <w:shd w:val="clear" w:color="auto" w:fill="FFFFFF"/>
        </w:rPr>
      </w:pPr>
      <w:r>
        <w:rPr>
          <w:rFonts w:hint="eastAsia" w:ascii="仿宋_GB2312" w:hAnsi="Calibri" w:eastAsia="仿宋_GB2312" w:cs="仿宋_GB2312"/>
          <w:kern w:val="0"/>
          <w:sz w:val="32"/>
          <w:szCs w:val="32"/>
          <w:lang w:val="en-US" w:eastAsia="zh-CN" w:bidi="ar-SA"/>
        </w:rPr>
        <w:t xml:space="preserve"> </w:t>
      </w:r>
      <w:r>
        <w:rPr>
          <w:rFonts w:hint="eastAsia" w:ascii="黑体" w:hAnsi="宋体" w:eastAsia="黑体" w:cs="宋体"/>
          <w:color w:val="000000"/>
          <w:kern w:val="0"/>
          <w:sz w:val="32"/>
          <w:szCs w:val="32"/>
          <w:shd w:val="clear" w:color="auto" w:fill="FFFFFF"/>
        </w:rPr>
        <w:t>三、部门整体预算绩效管理情况</w:t>
      </w:r>
    </w:p>
    <w:p>
      <w:pPr>
        <w:keepNext w:val="0"/>
        <w:keepLines w:val="0"/>
        <w:pageBreakBefore w:val="0"/>
        <w:kinsoku/>
        <w:wordWrap/>
        <w:overflowPunct/>
        <w:topLinePunct w:val="0"/>
        <w:autoSpaceDE/>
        <w:autoSpaceDN/>
        <w:bidi w:val="0"/>
        <w:spacing w:line="240" w:lineRule="auto"/>
        <w:ind w:firstLine="640" w:firstLineChars="200"/>
        <w:jc w:val="left"/>
        <w:textAlignment w:val="auto"/>
        <w:rPr>
          <w:rFonts w:hint="eastAsia" w:ascii="仿宋_GB2312" w:hAnsi="Calibri" w:eastAsia="仿宋_GB2312" w:cs="仿宋_GB2312"/>
          <w:kern w:val="0"/>
          <w:sz w:val="32"/>
          <w:szCs w:val="32"/>
          <w:lang w:val="zh-CN" w:eastAsia="zh-CN" w:bidi="ar-SA"/>
        </w:rPr>
      </w:pPr>
      <w:r>
        <w:rPr>
          <w:rFonts w:hint="eastAsia" w:ascii="仿宋_GB2312" w:hAnsi="Calibri" w:eastAsia="仿宋_GB2312" w:cs="仿宋_GB2312"/>
          <w:kern w:val="0"/>
          <w:sz w:val="32"/>
          <w:szCs w:val="32"/>
          <w:lang w:val="zh-CN" w:eastAsia="zh-CN" w:bidi="ar-SA"/>
        </w:rPr>
        <w:t>（一）预算编制情况。</w:t>
      </w:r>
    </w:p>
    <w:p>
      <w:pPr>
        <w:keepNext w:val="0"/>
        <w:keepLines w:val="0"/>
        <w:pageBreakBefore w:val="0"/>
        <w:kinsoku/>
        <w:wordWrap/>
        <w:overflowPunct/>
        <w:topLinePunct w:val="0"/>
        <w:autoSpaceDE/>
        <w:autoSpaceDN/>
        <w:bidi w:val="0"/>
        <w:spacing w:line="240" w:lineRule="auto"/>
        <w:ind w:firstLine="640" w:firstLineChars="200"/>
        <w:jc w:val="left"/>
        <w:textAlignment w:val="auto"/>
        <w:rPr>
          <w:rFonts w:hint="eastAsia" w:ascii="仿宋_GB2312" w:hAnsi="Calibri" w:eastAsia="仿宋_GB2312" w:cs="仿宋_GB2312"/>
          <w:kern w:val="0"/>
          <w:sz w:val="32"/>
          <w:szCs w:val="32"/>
          <w:lang w:val="zh-CN" w:eastAsia="zh-CN" w:bidi="ar-SA"/>
        </w:rPr>
      </w:pPr>
      <w:r>
        <w:rPr>
          <w:rFonts w:hint="eastAsia" w:ascii="仿宋_GB2312" w:hAnsi="Calibri" w:eastAsia="仿宋_GB2312" w:cs="仿宋_GB2312"/>
          <w:kern w:val="0"/>
          <w:sz w:val="32"/>
          <w:szCs w:val="32"/>
          <w:lang w:val="zh-CN" w:eastAsia="zh-CN" w:bidi="ar-SA"/>
        </w:rPr>
        <w:t>我单位严格按照相关编制要求、编制程序及时组织财务人员进行部门预算编制。对本年度预算款项进行及时清理和处理，做到账账相符、账实相符、账证相符,按先有预算再有支出的原则，及时处理相关事务；对绩效目标进行季度梳理和年度分析，及时上报相关报表；对专项预算提前细化，分科目上报，做到收支平衡。20</w:t>
      </w:r>
      <w:r>
        <w:rPr>
          <w:rFonts w:hint="eastAsia" w:ascii="仿宋_GB2312" w:hAnsi="Calibri" w:eastAsia="仿宋_GB2312" w:cs="仿宋_GB2312"/>
          <w:kern w:val="0"/>
          <w:sz w:val="32"/>
          <w:szCs w:val="32"/>
          <w:lang w:val="en-US" w:eastAsia="zh-CN" w:bidi="ar-SA"/>
        </w:rPr>
        <w:t>22</w:t>
      </w:r>
      <w:r>
        <w:rPr>
          <w:rFonts w:hint="eastAsia" w:ascii="仿宋_GB2312" w:hAnsi="Calibri" w:eastAsia="仿宋_GB2312" w:cs="仿宋_GB2312"/>
          <w:kern w:val="0"/>
          <w:sz w:val="32"/>
          <w:szCs w:val="32"/>
          <w:lang w:val="zh-CN" w:eastAsia="zh-CN" w:bidi="ar-SA"/>
        </w:rPr>
        <w:t>年收入预算总额为</w:t>
      </w:r>
      <w:r>
        <w:rPr>
          <w:rFonts w:hint="eastAsia" w:ascii="仿宋_GB2312" w:hAnsi="Calibri" w:eastAsia="仿宋_GB2312" w:cs="仿宋_GB2312"/>
          <w:kern w:val="0"/>
          <w:sz w:val="32"/>
          <w:szCs w:val="32"/>
          <w:lang w:val="en-US" w:eastAsia="zh-CN" w:bidi="ar-SA"/>
        </w:rPr>
        <w:t>10</w:t>
      </w:r>
      <w:r>
        <w:rPr>
          <w:rFonts w:hint="eastAsia" w:ascii="仿宋_GB2312" w:hAnsi="Calibri" w:cs="仿宋_GB2312"/>
          <w:kern w:val="0"/>
          <w:sz w:val="32"/>
          <w:szCs w:val="32"/>
          <w:lang w:val="en-US" w:eastAsia="zh-CN" w:bidi="ar-SA"/>
        </w:rPr>
        <w:t>10.71</w:t>
      </w:r>
      <w:r>
        <w:rPr>
          <w:rFonts w:hint="eastAsia" w:ascii="仿宋_GB2312" w:hAnsi="Calibri" w:eastAsia="仿宋_GB2312" w:cs="仿宋_GB2312"/>
          <w:kern w:val="0"/>
          <w:sz w:val="32"/>
          <w:szCs w:val="32"/>
          <w:lang w:val="zh-CN" w:eastAsia="zh-CN" w:bidi="ar-SA"/>
        </w:rPr>
        <w:t>万元。</w:t>
      </w:r>
    </w:p>
    <w:p>
      <w:pPr>
        <w:keepNext w:val="0"/>
        <w:keepLines w:val="0"/>
        <w:pageBreakBefore w:val="0"/>
        <w:kinsoku/>
        <w:wordWrap/>
        <w:overflowPunct/>
        <w:topLinePunct w:val="0"/>
        <w:autoSpaceDE/>
        <w:autoSpaceDN/>
        <w:bidi w:val="0"/>
        <w:spacing w:line="240" w:lineRule="auto"/>
        <w:ind w:firstLine="640" w:firstLineChars="200"/>
        <w:jc w:val="left"/>
        <w:textAlignment w:val="auto"/>
        <w:rPr>
          <w:rFonts w:hint="eastAsia" w:ascii="仿宋_GB2312" w:hAnsi="Calibri" w:eastAsia="仿宋_GB2312" w:cs="仿宋_GB2312"/>
          <w:kern w:val="0"/>
          <w:sz w:val="32"/>
          <w:szCs w:val="32"/>
          <w:lang w:val="zh-CN" w:eastAsia="zh-CN" w:bidi="ar-SA"/>
        </w:rPr>
      </w:pPr>
      <w:r>
        <w:rPr>
          <w:rFonts w:hint="eastAsia" w:ascii="仿宋_GB2312" w:hAnsi="Calibri" w:eastAsia="仿宋_GB2312" w:cs="仿宋_GB2312"/>
          <w:kern w:val="0"/>
          <w:sz w:val="32"/>
          <w:szCs w:val="32"/>
          <w:lang w:val="zh-CN" w:eastAsia="zh-CN" w:bidi="ar-SA"/>
        </w:rPr>
        <w:t>（二）执行管理情况。</w:t>
      </w:r>
      <w:r>
        <w:rPr>
          <w:rFonts w:hint="eastAsia" w:ascii="仿宋_GB2312" w:hAnsi="Calibri" w:eastAsia="仿宋_GB2312" w:cs="仿宋_GB2312"/>
          <w:kern w:val="0"/>
          <w:sz w:val="32"/>
          <w:szCs w:val="32"/>
          <w:lang w:val="zh-CN" w:eastAsia="zh-CN" w:bidi="ar-SA"/>
        </w:rPr>
        <w:tab/>
      </w:r>
    </w:p>
    <w:p>
      <w:pPr>
        <w:keepNext w:val="0"/>
        <w:keepLines w:val="0"/>
        <w:pageBreakBefore w:val="0"/>
        <w:kinsoku/>
        <w:wordWrap/>
        <w:overflowPunct/>
        <w:topLinePunct w:val="0"/>
        <w:autoSpaceDE/>
        <w:autoSpaceDN/>
        <w:bidi w:val="0"/>
        <w:spacing w:line="240" w:lineRule="auto"/>
        <w:ind w:firstLine="640" w:firstLineChars="200"/>
        <w:jc w:val="left"/>
        <w:textAlignment w:val="auto"/>
        <w:rPr>
          <w:rFonts w:hint="eastAsia" w:ascii="仿宋_GB2312" w:hAnsi="Calibri" w:eastAsia="仿宋_GB2312" w:cs="仿宋_GB2312"/>
          <w:kern w:val="0"/>
          <w:sz w:val="32"/>
          <w:szCs w:val="32"/>
          <w:lang w:val="zh-CN" w:eastAsia="zh-CN" w:bidi="ar-SA"/>
        </w:rPr>
      </w:pPr>
      <w:r>
        <w:rPr>
          <w:rFonts w:hint="eastAsia" w:ascii="仿宋_GB2312" w:hAnsi="Calibri" w:eastAsia="仿宋_GB2312" w:cs="仿宋_GB2312"/>
          <w:kern w:val="0"/>
          <w:sz w:val="32"/>
          <w:szCs w:val="32"/>
          <w:lang w:val="zh-CN" w:eastAsia="zh-CN" w:bidi="ar-SA"/>
        </w:rPr>
        <w:t>我单位按照县财政的要求，及时上报相应计划，待财政审核通过后，严格按计划执行，各季度执行情况良好。20</w:t>
      </w:r>
      <w:r>
        <w:rPr>
          <w:rFonts w:hint="eastAsia" w:ascii="仿宋_GB2312" w:hAnsi="Calibri" w:eastAsia="仿宋_GB2312" w:cs="仿宋_GB2312"/>
          <w:kern w:val="0"/>
          <w:sz w:val="32"/>
          <w:szCs w:val="32"/>
          <w:lang w:val="en-US" w:eastAsia="zh-CN" w:bidi="ar-SA"/>
        </w:rPr>
        <w:t>22</w:t>
      </w:r>
      <w:r>
        <w:rPr>
          <w:rFonts w:hint="eastAsia" w:ascii="仿宋_GB2312" w:hAnsi="Calibri" w:eastAsia="仿宋_GB2312" w:cs="仿宋_GB2312"/>
          <w:kern w:val="0"/>
          <w:sz w:val="32"/>
          <w:szCs w:val="32"/>
          <w:lang w:val="zh-CN" w:eastAsia="zh-CN" w:bidi="ar-SA"/>
        </w:rPr>
        <w:t>年支出总额控制在预算总额以内，除专项预算的追加和政策性工资绩效预算的追加外，未进行预算相关事项的调整。截止20</w:t>
      </w:r>
      <w:r>
        <w:rPr>
          <w:rFonts w:hint="eastAsia" w:ascii="仿宋_GB2312" w:hAnsi="Calibri" w:eastAsia="仿宋_GB2312" w:cs="仿宋_GB2312"/>
          <w:kern w:val="0"/>
          <w:sz w:val="32"/>
          <w:szCs w:val="32"/>
          <w:lang w:val="en-US" w:eastAsia="zh-CN" w:bidi="ar-SA"/>
        </w:rPr>
        <w:t>22</w:t>
      </w:r>
      <w:r>
        <w:rPr>
          <w:rFonts w:hint="eastAsia" w:ascii="仿宋_GB2312" w:hAnsi="Calibri" w:eastAsia="仿宋_GB2312" w:cs="仿宋_GB2312"/>
          <w:kern w:val="0"/>
          <w:sz w:val="32"/>
          <w:szCs w:val="32"/>
          <w:lang w:val="zh-CN" w:eastAsia="zh-CN" w:bidi="ar-SA"/>
        </w:rPr>
        <w:t>年底支出总额控制在预算总额以内，未进行相关事项的调整追加和调整。</w:t>
      </w:r>
    </w:p>
    <w:p>
      <w:pPr>
        <w:keepNext w:val="0"/>
        <w:keepLines w:val="0"/>
        <w:pageBreakBefore w:val="0"/>
        <w:kinsoku/>
        <w:wordWrap/>
        <w:overflowPunct/>
        <w:topLinePunct w:val="0"/>
        <w:autoSpaceDE/>
        <w:autoSpaceDN/>
        <w:bidi w:val="0"/>
        <w:spacing w:line="240" w:lineRule="auto"/>
        <w:jc w:val="left"/>
        <w:textAlignment w:val="auto"/>
        <w:rPr>
          <w:rFonts w:hint="default" w:ascii="仿宋_GB2312" w:hAnsi="Calibri" w:eastAsia="仿宋_GB2312" w:cs="仿宋_GB2312"/>
          <w:kern w:val="0"/>
          <w:sz w:val="32"/>
          <w:szCs w:val="32"/>
          <w:lang w:val="en-US" w:eastAsia="zh-CN" w:bidi="ar-SA"/>
        </w:rPr>
      </w:pPr>
      <w:r>
        <w:rPr>
          <w:rFonts w:hint="eastAsia" w:ascii="仿宋_GB2312" w:hAnsi="Calibri" w:eastAsia="仿宋_GB2312" w:cs="仿宋_GB2312"/>
          <w:kern w:val="0"/>
          <w:sz w:val="32"/>
          <w:szCs w:val="32"/>
          <w:lang w:val="zh-CN" w:eastAsia="zh-CN" w:bidi="ar-SA"/>
        </w:rPr>
        <w:tab/>
      </w:r>
      <w:bookmarkStart w:id="0" w:name="_Toc15377213"/>
      <w:bookmarkStart w:id="1" w:name="_Toc15377444"/>
      <w:bookmarkStart w:id="2" w:name="_Toc15378460"/>
      <w:r>
        <w:rPr>
          <w:rFonts w:hint="eastAsia" w:ascii="仿宋_GB2312" w:hAnsi="Calibri" w:eastAsia="仿宋_GB2312" w:cs="仿宋_GB2312"/>
          <w:kern w:val="0"/>
          <w:sz w:val="32"/>
          <w:szCs w:val="32"/>
          <w:lang w:val="en-US" w:eastAsia="zh-CN" w:bidi="ar-SA"/>
        </w:rPr>
        <w:t xml:space="preserve"> </w:t>
      </w:r>
      <w:r>
        <w:rPr>
          <w:rFonts w:hint="eastAsia" w:ascii="仿宋_GB2312" w:hAnsi="Calibri" w:eastAsia="仿宋_GB2312" w:cs="仿宋_GB2312"/>
          <w:kern w:val="0"/>
          <w:sz w:val="32"/>
          <w:szCs w:val="32"/>
          <w:lang w:val="zh-CN" w:eastAsia="zh-CN" w:bidi="ar-SA"/>
        </w:rPr>
        <w:t>20</w:t>
      </w:r>
      <w:r>
        <w:rPr>
          <w:rFonts w:hint="eastAsia" w:ascii="仿宋_GB2312" w:hAnsi="Calibri" w:eastAsia="仿宋_GB2312" w:cs="仿宋_GB2312"/>
          <w:kern w:val="0"/>
          <w:sz w:val="32"/>
          <w:szCs w:val="32"/>
          <w:lang w:val="en-US" w:eastAsia="zh-CN" w:bidi="ar-SA"/>
        </w:rPr>
        <w:t>22</w:t>
      </w:r>
      <w:r>
        <w:rPr>
          <w:rFonts w:hint="eastAsia" w:ascii="仿宋_GB2312" w:hAnsi="Calibri" w:eastAsia="仿宋_GB2312" w:cs="仿宋_GB2312"/>
          <w:kern w:val="0"/>
          <w:sz w:val="32"/>
          <w:szCs w:val="32"/>
          <w:lang w:val="zh-CN" w:eastAsia="zh-CN" w:bidi="ar-SA"/>
        </w:rPr>
        <w:t>年支出决算数为</w:t>
      </w:r>
      <w:r>
        <w:rPr>
          <w:rFonts w:hint="eastAsia" w:ascii="仿宋_GB2312" w:hAnsi="Calibri" w:cs="仿宋_GB2312"/>
          <w:kern w:val="0"/>
          <w:sz w:val="32"/>
          <w:szCs w:val="32"/>
          <w:lang w:val="en-US" w:eastAsia="zh-CN" w:bidi="ar-SA"/>
        </w:rPr>
        <w:t>1010.71</w:t>
      </w:r>
      <w:r>
        <w:rPr>
          <w:rFonts w:hint="eastAsia" w:ascii="仿宋_GB2312" w:hAnsi="Calibri" w:eastAsia="仿宋_GB2312" w:cs="仿宋_GB2312"/>
          <w:kern w:val="0"/>
          <w:sz w:val="32"/>
          <w:szCs w:val="32"/>
          <w:lang w:val="zh-CN" w:eastAsia="zh-CN" w:bidi="ar-SA"/>
        </w:rPr>
        <w:t>万元，完成预算100%。其中：</w:t>
      </w:r>
      <w:bookmarkEnd w:id="0"/>
      <w:bookmarkEnd w:id="1"/>
      <w:bookmarkEnd w:id="2"/>
      <w:r>
        <w:rPr>
          <w:rFonts w:hint="eastAsia" w:ascii="仿宋_GB2312" w:hAnsi="Calibri" w:eastAsia="仿宋_GB2312" w:cs="仿宋_GB2312"/>
          <w:kern w:val="0"/>
          <w:sz w:val="32"/>
          <w:szCs w:val="32"/>
          <w:lang w:val="en-US" w:eastAsia="zh-CN" w:bidi="ar-SA"/>
        </w:rPr>
        <w:t>1.</w:t>
      </w:r>
      <w:r>
        <w:rPr>
          <w:rFonts w:hint="eastAsia" w:ascii="仿宋_GB2312" w:hAnsi="Calibri" w:eastAsia="仿宋_GB2312" w:cs="仿宋_GB2312"/>
          <w:kern w:val="0"/>
          <w:sz w:val="32"/>
          <w:szCs w:val="32"/>
          <w:lang w:val="zh-CN" w:eastAsia="zh-CN" w:bidi="ar-SA"/>
        </w:rPr>
        <w:t>一般公共服务支出（</w:t>
      </w:r>
      <w:r>
        <w:rPr>
          <w:rFonts w:hint="eastAsia" w:ascii="仿宋_GB2312" w:hAnsi="Calibri" w:eastAsia="仿宋_GB2312" w:cs="仿宋_GB2312"/>
          <w:kern w:val="0"/>
          <w:sz w:val="32"/>
          <w:szCs w:val="32"/>
          <w:lang w:val="en-US" w:eastAsia="zh-CN" w:bidi="ar-SA"/>
        </w:rPr>
        <w:t>201</w:t>
      </w:r>
      <w:r>
        <w:rPr>
          <w:rFonts w:hint="eastAsia" w:ascii="仿宋_GB2312" w:hAnsi="Calibri" w:eastAsia="仿宋_GB2312" w:cs="仿宋_GB2312"/>
          <w:kern w:val="0"/>
          <w:sz w:val="32"/>
          <w:szCs w:val="32"/>
          <w:lang w:val="zh-CN" w:eastAsia="zh-CN" w:bidi="ar-SA"/>
        </w:rPr>
        <w:t>）决算为</w:t>
      </w:r>
      <w:r>
        <w:rPr>
          <w:rFonts w:hint="eastAsia" w:ascii="仿宋_GB2312" w:hAnsi="Calibri" w:cs="仿宋_GB2312"/>
          <w:kern w:val="0"/>
          <w:sz w:val="32"/>
          <w:szCs w:val="32"/>
          <w:lang w:val="en-US" w:eastAsia="zh-CN" w:bidi="ar-SA"/>
        </w:rPr>
        <w:t>802.72</w:t>
      </w:r>
      <w:r>
        <w:rPr>
          <w:rFonts w:hint="eastAsia" w:ascii="仿宋_GB2312" w:hAnsi="Calibri" w:eastAsia="仿宋_GB2312" w:cs="仿宋_GB2312"/>
          <w:kern w:val="0"/>
          <w:sz w:val="32"/>
          <w:szCs w:val="32"/>
          <w:lang w:val="zh-CN" w:eastAsia="zh-CN" w:bidi="ar-SA"/>
        </w:rPr>
        <w:t>万元，完成预算100%，上年财</w:t>
      </w:r>
      <w:r>
        <w:rPr>
          <w:rFonts w:hint="eastAsia" w:ascii="仿宋_GB2312" w:hAnsi="Calibri" w:cs="仿宋_GB2312"/>
          <w:kern w:val="0"/>
          <w:sz w:val="32"/>
          <w:szCs w:val="32"/>
          <w:lang w:val="zh-CN" w:eastAsia="zh-CN" w:bidi="ar-SA"/>
        </w:rPr>
        <w:t>返</w:t>
      </w:r>
      <w:r>
        <w:rPr>
          <w:rFonts w:hint="eastAsia" w:ascii="仿宋_GB2312" w:hAnsi="Calibri" w:eastAsia="仿宋_GB2312" w:cs="仿宋_GB2312"/>
          <w:kern w:val="0"/>
          <w:sz w:val="32"/>
          <w:szCs w:val="32"/>
          <w:lang w:val="zh-CN" w:eastAsia="zh-CN" w:bidi="ar-SA"/>
        </w:rPr>
        <w:t>资金与今年财政拨款之和决算数等于预算数。社会保障和就业支出（</w:t>
      </w:r>
      <w:r>
        <w:rPr>
          <w:rFonts w:hint="eastAsia" w:ascii="仿宋_GB2312" w:hAnsi="Calibri" w:eastAsia="仿宋_GB2312" w:cs="仿宋_GB2312"/>
          <w:kern w:val="0"/>
          <w:sz w:val="32"/>
          <w:szCs w:val="32"/>
          <w:lang w:val="en-US" w:eastAsia="zh-CN" w:bidi="ar-SA"/>
        </w:rPr>
        <w:t>208</w:t>
      </w:r>
      <w:r>
        <w:rPr>
          <w:rFonts w:hint="eastAsia" w:ascii="仿宋_GB2312" w:hAnsi="Calibri" w:eastAsia="仿宋_GB2312" w:cs="仿宋_GB2312"/>
          <w:kern w:val="0"/>
          <w:sz w:val="32"/>
          <w:szCs w:val="32"/>
          <w:lang w:val="zh-CN" w:eastAsia="zh-CN" w:bidi="ar-SA"/>
        </w:rPr>
        <w:t>）</w:t>
      </w:r>
      <w:r>
        <w:rPr>
          <w:rFonts w:hint="eastAsia" w:ascii="仿宋_GB2312" w:hAnsi="Calibri" w:cs="仿宋_GB2312"/>
          <w:kern w:val="0"/>
          <w:sz w:val="32"/>
          <w:szCs w:val="32"/>
          <w:lang w:val="en-US" w:eastAsia="zh-CN" w:bidi="ar-SA"/>
        </w:rPr>
        <w:t>103.02</w:t>
      </w:r>
      <w:r>
        <w:rPr>
          <w:rFonts w:hint="eastAsia" w:ascii="仿宋_GB2312" w:hAnsi="Calibri" w:eastAsia="仿宋_GB2312" w:cs="仿宋_GB2312"/>
          <w:kern w:val="0"/>
          <w:sz w:val="32"/>
          <w:szCs w:val="32"/>
          <w:lang w:val="en-US" w:eastAsia="zh-CN" w:bidi="ar-SA"/>
        </w:rPr>
        <w:t>万元，</w:t>
      </w:r>
      <w:r>
        <w:rPr>
          <w:rFonts w:hint="eastAsia" w:ascii="仿宋_GB2312" w:hAnsi="Calibri" w:eastAsia="仿宋_GB2312" w:cs="仿宋_GB2312"/>
          <w:kern w:val="0"/>
          <w:sz w:val="32"/>
          <w:szCs w:val="32"/>
          <w:lang w:val="zh-CN" w:eastAsia="zh-CN" w:bidi="ar-SA"/>
        </w:rPr>
        <w:t>完成预算100%，决算数等于预算数。卫生健康支出（</w:t>
      </w:r>
      <w:r>
        <w:rPr>
          <w:rFonts w:hint="eastAsia" w:ascii="仿宋_GB2312" w:hAnsi="Calibri" w:eastAsia="仿宋_GB2312" w:cs="仿宋_GB2312"/>
          <w:kern w:val="0"/>
          <w:sz w:val="32"/>
          <w:szCs w:val="32"/>
          <w:lang w:val="en-US" w:eastAsia="zh-CN" w:bidi="ar-SA"/>
        </w:rPr>
        <w:t>210</w:t>
      </w:r>
      <w:r>
        <w:rPr>
          <w:rFonts w:hint="eastAsia" w:ascii="仿宋_GB2312" w:hAnsi="Calibri" w:eastAsia="仿宋_GB2312" w:cs="仿宋_GB2312"/>
          <w:kern w:val="0"/>
          <w:sz w:val="32"/>
          <w:szCs w:val="32"/>
          <w:lang w:val="zh-CN" w:eastAsia="zh-CN" w:bidi="ar-SA"/>
        </w:rPr>
        <w:t>）</w:t>
      </w:r>
      <w:r>
        <w:rPr>
          <w:rFonts w:hint="eastAsia" w:ascii="仿宋_GB2312" w:hAnsi="Calibri" w:eastAsia="仿宋_GB2312" w:cs="仿宋_GB2312"/>
          <w:kern w:val="0"/>
          <w:sz w:val="32"/>
          <w:szCs w:val="32"/>
          <w:lang w:val="en-US" w:eastAsia="zh-CN" w:bidi="ar-SA"/>
        </w:rPr>
        <w:t>4</w:t>
      </w:r>
      <w:r>
        <w:rPr>
          <w:rFonts w:hint="eastAsia" w:ascii="仿宋_GB2312" w:hAnsi="Calibri" w:cs="仿宋_GB2312"/>
          <w:kern w:val="0"/>
          <w:sz w:val="32"/>
          <w:szCs w:val="32"/>
          <w:lang w:val="en-US" w:eastAsia="zh-CN" w:bidi="ar-SA"/>
        </w:rPr>
        <w:t>8.06</w:t>
      </w:r>
      <w:r>
        <w:rPr>
          <w:rFonts w:hint="eastAsia" w:ascii="仿宋_GB2312" w:hAnsi="Calibri" w:eastAsia="仿宋_GB2312" w:cs="仿宋_GB2312"/>
          <w:kern w:val="0"/>
          <w:sz w:val="32"/>
          <w:szCs w:val="32"/>
          <w:lang w:val="en-US" w:eastAsia="zh-CN" w:bidi="ar-SA"/>
        </w:rPr>
        <w:t>万元，</w:t>
      </w:r>
      <w:r>
        <w:rPr>
          <w:rFonts w:hint="eastAsia" w:ascii="仿宋_GB2312" w:hAnsi="Calibri" w:eastAsia="仿宋_GB2312" w:cs="仿宋_GB2312"/>
          <w:kern w:val="0"/>
          <w:sz w:val="32"/>
          <w:szCs w:val="32"/>
          <w:lang w:val="zh-CN" w:eastAsia="zh-CN" w:bidi="ar-SA"/>
        </w:rPr>
        <w:t>完成预算100%，决算数等于预算数。住房保障支出（</w:t>
      </w:r>
      <w:r>
        <w:rPr>
          <w:rFonts w:hint="eastAsia" w:ascii="仿宋_GB2312" w:hAnsi="Calibri" w:eastAsia="仿宋_GB2312" w:cs="仿宋_GB2312"/>
          <w:kern w:val="0"/>
          <w:sz w:val="32"/>
          <w:szCs w:val="32"/>
          <w:lang w:val="en-US" w:eastAsia="zh-CN" w:bidi="ar-SA"/>
        </w:rPr>
        <w:t>221</w:t>
      </w:r>
      <w:r>
        <w:rPr>
          <w:rFonts w:hint="eastAsia" w:ascii="仿宋_GB2312" w:hAnsi="Calibri" w:eastAsia="仿宋_GB2312" w:cs="仿宋_GB2312"/>
          <w:kern w:val="0"/>
          <w:sz w:val="32"/>
          <w:szCs w:val="32"/>
          <w:lang w:val="zh-CN" w:eastAsia="zh-CN" w:bidi="ar-SA"/>
        </w:rPr>
        <w:t>）</w:t>
      </w:r>
      <w:r>
        <w:rPr>
          <w:rFonts w:hint="eastAsia" w:ascii="仿宋_GB2312" w:hAnsi="Calibri" w:cs="仿宋_GB2312"/>
          <w:kern w:val="0"/>
          <w:sz w:val="32"/>
          <w:szCs w:val="32"/>
          <w:lang w:val="en-US" w:eastAsia="zh-CN" w:bidi="ar-SA"/>
        </w:rPr>
        <w:t>56.92</w:t>
      </w:r>
      <w:r>
        <w:rPr>
          <w:rFonts w:hint="eastAsia" w:ascii="仿宋_GB2312" w:hAnsi="Calibri" w:eastAsia="仿宋_GB2312" w:cs="仿宋_GB2312"/>
          <w:kern w:val="0"/>
          <w:sz w:val="32"/>
          <w:szCs w:val="32"/>
          <w:lang w:val="en-US" w:eastAsia="zh-CN" w:bidi="ar-SA"/>
        </w:rPr>
        <w:t>万元，</w:t>
      </w:r>
      <w:r>
        <w:rPr>
          <w:rFonts w:hint="eastAsia" w:ascii="仿宋_GB2312" w:hAnsi="Calibri" w:eastAsia="仿宋_GB2312" w:cs="仿宋_GB2312"/>
          <w:kern w:val="0"/>
          <w:sz w:val="32"/>
          <w:szCs w:val="32"/>
          <w:lang w:val="zh-CN" w:eastAsia="zh-CN" w:bidi="ar-SA"/>
        </w:rPr>
        <w:t>完成预算100%，决算数等于预算数。</w:t>
      </w:r>
    </w:p>
    <w:p>
      <w:pPr>
        <w:keepNext w:val="0"/>
        <w:keepLines w:val="0"/>
        <w:pageBreakBefore w:val="0"/>
        <w:kinsoku/>
        <w:wordWrap/>
        <w:overflowPunct/>
        <w:topLinePunct w:val="0"/>
        <w:autoSpaceDE/>
        <w:autoSpaceDN/>
        <w:bidi w:val="0"/>
        <w:spacing w:line="240" w:lineRule="auto"/>
        <w:ind w:firstLine="640" w:firstLineChars="200"/>
        <w:jc w:val="left"/>
        <w:textAlignment w:val="auto"/>
        <w:rPr>
          <w:rFonts w:hint="eastAsia" w:ascii="仿宋_GB2312" w:hAnsi="Calibri" w:eastAsia="仿宋_GB2312" w:cs="仿宋_GB2312"/>
          <w:kern w:val="0"/>
          <w:sz w:val="32"/>
          <w:szCs w:val="32"/>
          <w:lang w:val="zh-CN" w:eastAsia="zh-CN" w:bidi="ar-SA"/>
        </w:rPr>
      </w:pPr>
      <w:r>
        <w:rPr>
          <w:rFonts w:hint="eastAsia" w:ascii="仿宋_GB2312" w:hAnsi="Calibri" w:eastAsia="仿宋_GB2312" w:cs="仿宋_GB2312"/>
          <w:kern w:val="0"/>
          <w:sz w:val="32"/>
          <w:szCs w:val="32"/>
          <w:lang w:val="zh-CN" w:eastAsia="zh-CN" w:bidi="ar-SA"/>
        </w:rPr>
        <w:t>我局认真执行中央八项规定，厉行节约，严格控制三公经费支出。20</w:t>
      </w:r>
      <w:r>
        <w:rPr>
          <w:rFonts w:hint="eastAsia" w:ascii="仿宋_GB2312" w:hAnsi="Calibri" w:eastAsia="仿宋_GB2312" w:cs="仿宋_GB2312"/>
          <w:kern w:val="0"/>
          <w:sz w:val="32"/>
          <w:szCs w:val="32"/>
          <w:lang w:val="en-US" w:eastAsia="zh-CN" w:bidi="ar-SA"/>
        </w:rPr>
        <w:t>2</w:t>
      </w:r>
      <w:r>
        <w:rPr>
          <w:rFonts w:hint="eastAsia" w:ascii="仿宋_GB2312" w:hAnsi="Calibri" w:cs="仿宋_GB2312"/>
          <w:kern w:val="0"/>
          <w:sz w:val="32"/>
          <w:szCs w:val="32"/>
          <w:lang w:val="en-US" w:eastAsia="zh-CN" w:bidi="ar-SA"/>
        </w:rPr>
        <w:t>2</w:t>
      </w:r>
      <w:r>
        <w:rPr>
          <w:rFonts w:hint="eastAsia" w:ascii="仿宋_GB2312" w:hAnsi="Calibri" w:eastAsia="仿宋_GB2312" w:cs="仿宋_GB2312"/>
          <w:kern w:val="0"/>
          <w:sz w:val="32"/>
          <w:szCs w:val="32"/>
          <w:lang w:val="zh-CN" w:eastAsia="zh-CN" w:bidi="ar-SA"/>
        </w:rPr>
        <w:t>年“三公”经费财政拨款支出决算为</w:t>
      </w:r>
      <w:r>
        <w:rPr>
          <w:rFonts w:hint="eastAsia" w:ascii="仿宋_GB2312" w:hAnsi="Calibri" w:cs="仿宋_GB2312"/>
          <w:kern w:val="0"/>
          <w:sz w:val="32"/>
          <w:szCs w:val="32"/>
          <w:lang w:val="en-US" w:eastAsia="zh-CN" w:bidi="ar-SA"/>
        </w:rPr>
        <w:t>14.2</w:t>
      </w:r>
      <w:r>
        <w:rPr>
          <w:rFonts w:hint="eastAsia" w:ascii="仿宋_GB2312" w:hAnsi="Calibri" w:eastAsia="仿宋_GB2312" w:cs="仿宋_GB2312"/>
          <w:kern w:val="0"/>
          <w:sz w:val="32"/>
          <w:szCs w:val="32"/>
          <w:lang w:val="zh-CN" w:eastAsia="zh-CN" w:bidi="ar-SA"/>
        </w:rPr>
        <w:t>万元，完成预算100%，决算数等于预算数。</w:t>
      </w:r>
    </w:p>
    <w:p>
      <w:pPr>
        <w:keepNext w:val="0"/>
        <w:keepLines w:val="0"/>
        <w:pageBreakBefore w:val="0"/>
        <w:kinsoku/>
        <w:wordWrap/>
        <w:overflowPunct/>
        <w:topLinePunct w:val="0"/>
        <w:autoSpaceDE/>
        <w:autoSpaceDN/>
        <w:bidi w:val="0"/>
        <w:spacing w:line="240" w:lineRule="auto"/>
        <w:jc w:val="left"/>
        <w:textAlignment w:val="auto"/>
        <w:rPr>
          <w:rFonts w:hint="eastAsia" w:ascii="仿宋_GB2312" w:hAnsi="Calibri" w:eastAsia="仿宋_GB2312" w:cs="仿宋_GB2312"/>
          <w:kern w:val="0"/>
          <w:sz w:val="32"/>
          <w:szCs w:val="32"/>
          <w:lang w:val="zh-CN" w:eastAsia="zh-CN" w:bidi="ar-SA"/>
        </w:rPr>
      </w:pPr>
      <w:r>
        <w:rPr>
          <w:rFonts w:hint="eastAsia" w:ascii="仿宋_GB2312" w:hAnsi="Calibri" w:eastAsia="仿宋_GB2312" w:cs="仿宋_GB2312"/>
          <w:kern w:val="0"/>
          <w:sz w:val="32"/>
          <w:szCs w:val="32"/>
          <w:lang w:val="zh-CN" w:eastAsia="zh-CN" w:bidi="ar-SA"/>
        </w:rPr>
        <w:t>（三）综合管理情况。</w:t>
      </w:r>
    </w:p>
    <w:p>
      <w:pPr>
        <w:keepNext w:val="0"/>
        <w:keepLines w:val="0"/>
        <w:pageBreakBefore w:val="0"/>
        <w:kinsoku/>
        <w:wordWrap/>
        <w:overflowPunct/>
        <w:topLinePunct w:val="0"/>
        <w:autoSpaceDE/>
        <w:autoSpaceDN/>
        <w:bidi w:val="0"/>
        <w:spacing w:line="240" w:lineRule="auto"/>
        <w:ind w:firstLine="640" w:firstLineChars="200"/>
        <w:jc w:val="left"/>
        <w:textAlignment w:val="auto"/>
        <w:rPr>
          <w:rFonts w:hint="eastAsia" w:ascii="仿宋_GB2312" w:hAnsi="Calibri" w:eastAsia="仿宋_GB2312" w:cs="仿宋_GB2312"/>
          <w:kern w:val="0"/>
          <w:sz w:val="32"/>
          <w:szCs w:val="32"/>
          <w:lang w:val="zh-CN" w:eastAsia="zh-CN" w:bidi="ar-SA"/>
        </w:rPr>
      </w:pPr>
      <w:r>
        <w:rPr>
          <w:rFonts w:hint="eastAsia" w:ascii="仿宋_GB2312" w:hAnsi="Calibri" w:eastAsia="仿宋_GB2312" w:cs="仿宋_GB2312"/>
          <w:kern w:val="0"/>
          <w:sz w:val="32"/>
          <w:szCs w:val="32"/>
          <w:lang w:val="zh-CN" w:eastAsia="zh-CN" w:bidi="ar-SA"/>
        </w:rPr>
        <w:t>预决算公开：我局按照上级的要求，在财政批复后20日内在指定网站公开</w:t>
      </w:r>
      <w:r>
        <w:rPr>
          <w:rFonts w:hint="eastAsia" w:ascii="仿宋_GB2312" w:hAnsi="Calibri" w:cs="仿宋_GB2312"/>
          <w:kern w:val="0"/>
          <w:sz w:val="32"/>
          <w:szCs w:val="32"/>
          <w:lang w:val="en-US" w:eastAsia="zh-CN" w:bidi="ar-SA"/>
        </w:rPr>
        <w:t>2022</w:t>
      </w:r>
      <w:r>
        <w:rPr>
          <w:rFonts w:hint="eastAsia" w:ascii="仿宋_GB2312" w:hAnsi="Calibri" w:cs="仿宋_GB2312"/>
          <w:kern w:val="0"/>
          <w:sz w:val="32"/>
          <w:szCs w:val="32"/>
          <w:lang w:val="zh-CN" w:eastAsia="zh-CN" w:bidi="ar-SA"/>
        </w:rPr>
        <w:t>年度</w:t>
      </w:r>
      <w:r>
        <w:rPr>
          <w:rFonts w:hint="eastAsia" w:ascii="仿宋_GB2312" w:hAnsi="Calibri" w:eastAsia="仿宋_GB2312" w:cs="仿宋_GB2312"/>
          <w:kern w:val="0"/>
          <w:sz w:val="32"/>
          <w:szCs w:val="32"/>
          <w:lang w:val="zh-CN" w:eastAsia="zh-CN" w:bidi="ar-SA"/>
        </w:rPr>
        <w:t>预决算信息。</w:t>
      </w:r>
    </w:p>
    <w:p>
      <w:pPr>
        <w:keepNext w:val="0"/>
        <w:keepLines w:val="0"/>
        <w:pageBreakBefore w:val="0"/>
        <w:kinsoku/>
        <w:wordWrap/>
        <w:overflowPunct/>
        <w:topLinePunct w:val="0"/>
        <w:autoSpaceDE/>
        <w:autoSpaceDN/>
        <w:bidi w:val="0"/>
        <w:spacing w:line="240" w:lineRule="auto"/>
        <w:ind w:firstLine="640" w:firstLineChars="200"/>
        <w:jc w:val="left"/>
        <w:textAlignment w:val="auto"/>
        <w:rPr>
          <w:rFonts w:hint="eastAsia" w:ascii="仿宋_GB2312" w:hAnsi="Calibri" w:eastAsia="仿宋_GB2312" w:cs="仿宋_GB2312"/>
          <w:kern w:val="0"/>
          <w:sz w:val="32"/>
          <w:szCs w:val="32"/>
          <w:lang w:val="zh-CN" w:eastAsia="zh-CN" w:bidi="ar-SA"/>
        </w:rPr>
      </w:pPr>
      <w:r>
        <w:rPr>
          <w:rFonts w:hint="eastAsia" w:ascii="仿宋_GB2312" w:hAnsi="Calibri" w:eastAsia="仿宋_GB2312" w:cs="仿宋_GB2312"/>
          <w:kern w:val="0"/>
          <w:sz w:val="32"/>
          <w:szCs w:val="32"/>
          <w:lang w:val="zh-CN" w:eastAsia="zh-CN" w:bidi="ar-SA"/>
        </w:rPr>
        <w:t>内部管理制度建设情况：201</w:t>
      </w:r>
      <w:r>
        <w:rPr>
          <w:rFonts w:hint="eastAsia" w:ascii="仿宋_GB2312" w:hAnsi="Calibri" w:eastAsia="仿宋_GB2312" w:cs="仿宋_GB2312"/>
          <w:kern w:val="0"/>
          <w:sz w:val="32"/>
          <w:szCs w:val="32"/>
          <w:lang w:val="en-US" w:eastAsia="zh-CN" w:bidi="ar-SA"/>
        </w:rPr>
        <w:t>9</w:t>
      </w:r>
      <w:r>
        <w:rPr>
          <w:rFonts w:hint="eastAsia" w:ascii="仿宋_GB2312" w:hAnsi="Calibri" w:eastAsia="仿宋_GB2312" w:cs="仿宋_GB2312"/>
          <w:kern w:val="0"/>
          <w:sz w:val="32"/>
          <w:szCs w:val="32"/>
          <w:lang w:val="zh-CN" w:eastAsia="zh-CN" w:bidi="ar-SA"/>
        </w:rPr>
        <w:t>年以来，我局制定了机关内部控制工作实施方案，并不断完善了“预算管理办法”、“合同管理制度”、“收支管理办法”、“资产管理制度”等一系列内部制度。</w:t>
      </w:r>
    </w:p>
    <w:p>
      <w:pPr>
        <w:keepNext w:val="0"/>
        <w:keepLines w:val="0"/>
        <w:pageBreakBefore w:val="0"/>
        <w:kinsoku/>
        <w:wordWrap/>
        <w:overflowPunct/>
        <w:topLinePunct w:val="0"/>
        <w:autoSpaceDE/>
        <w:autoSpaceDN/>
        <w:bidi w:val="0"/>
        <w:spacing w:line="240" w:lineRule="auto"/>
        <w:ind w:firstLine="640" w:firstLineChars="200"/>
        <w:jc w:val="left"/>
        <w:textAlignment w:val="auto"/>
        <w:rPr>
          <w:rFonts w:hint="eastAsia" w:ascii="仿宋_GB2312" w:hAnsi="Calibri" w:eastAsia="仿宋_GB2312" w:cs="仿宋_GB2312"/>
          <w:kern w:val="0"/>
          <w:sz w:val="32"/>
          <w:szCs w:val="32"/>
          <w:lang w:val="zh-CN" w:eastAsia="zh-CN" w:bidi="ar-SA"/>
        </w:rPr>
      </w:pPr>
      <w:r>
        <w:rPr>
          <w:rFonts w:hint="eastAsia" w:ascii="仿宋_GB2312" w:hAnsi="Calibri" w:eastAsia="仿宋_GB2312" w:cs="仿宋_GB2312"/>
          <w:kern w:val="0"/>
          <w:sz w:val="32"/>
          <w:szCs w:val="32"/>
          <w:lang w:val="zh-CN" w:eastAsia="zh-CN" w:bidi="ar-SA"/>
        </w:rPr>
        <w:t>绩效评价：根据绩效评价的要求，我们成立了自评工作领导小组，对照自评方案进行研究和布署，按照自评方案的要求，对照各实施项目的内容逐条逐项自评。</w:t>
      </w:r>
    </w:p>
    <w:p>
      <w:pPr>
        <w:keepNext w:val="0"/>
        <w:keepLines w:val="0"/>
        <w:pageBreakBefore w:val="0"/>
        <w:kinsoku/>
        <w:wordWrap/>
        <w:overflowPunct/>
        <w:topLinePunct w:val="0"/>
        <w:autoSpaceDE/>
        <w:autoSpaceDN/>
        <w:bidi w:val="0"/>
        <w:spacing w:line="240" w:lineRule="auto"/>
        <w:jc w:val="left"/>
        <w:textAlignment w:val="auto"/>
        <w:rPr>
          <w:rFonts w:hint="eastAsia" w:ascii="仿宋_GB2312" w:hAnsi="Calibri" w:eastAsia="仿宋_GB2312" w:cs="仿宋_GB2312"/>
          <w:kern w:val="0"/>
          <w:sz w:val="32"/>
          <w:szCs w:val="32"/>
          <w:lang w:val="zh-CN" w:eastAsia="zh-CN" w:bidi="ar-SA"/>
        </w:rPr>
      </w:pPr>
      <w:r>
        <w:rPr>
          <w:rFonts w:hint="eastAsia" w:ascii="仿宋_GB2312" w:hAnsi="Calibri" w:eastAsia="仿宋_GB2312" w:cs="仿宋_GB2312"/>
          <w:kern w:val="0"/>
          <w:sz w:val="32"/>
          <w:szCs w:val="32"/>
          <w:lang w:val="zh-CN" w:eastAsia="zh-CN" w:bidi="ar-SA"/>
        </w:rPr>
        <w:t>（四）整体绩效。</w:t>
      </w:r>
    </w:p>
    <w:p>
      <w:pPr>
        <w:keepNext w:val="0"/>
        <w:keepLines w:val="0"/>
        <w:pageBreakBefore w:val="0"/>
        <w:kinsoku/>
        <w:wordWrap/>
        <w:overflowPunct/>
        <w:topLinePunct w:val="0"/>
        <w:autoSpaceDE/>
        <w:autoSpaceDN/>
        <w:bidi w:val="0"/>
        <w:spacing w:line="240" w:lineRule="auto"/>
        <w:ind w:firstLine="640" w:firstLineChars="200"/>
        <w:jc w:val="left"/>
        <w:textAlignment w:val="auto"/>
        <w:rPr>
          <w:rFonts w:hint="eastAsia" w:ascii="仿宋_GB2312" w:hAnsi="Calibri" w:eastAsia="仿宋_GB2312" w:cs="仿宋_GB2312"/>
          <w:kern w:val="0"/>
          <w:sz w:val="32"/>
          <w:szCs w:val="32"/>
          <w:lang w:val="zh-CN" w:eastAsia="zh-CN" w:bidi="ar-SA"/>
        </w:rPr>
      </w:pPr>
      <w:r>
        <w:rPr>
          <w:rFonts w:hint="eastAsia" w:ascii="仿宋_GB2312" w:hAnsi="Calibri" w:eastAsia="仿宋_GB2312" w:cs="仿宋_GB2312"/>
          <w:kern w:val="0"/>
          <w:sz w:val="32"/>
          <w:szCs w:val="32"/>
          <w:lang w:val="zh-CN" w:eastAsia="zh-CN" w:bidi="ar-SA"/>
        </w:rPr>
        <w:t>从整体情况来看，我局严格按照年初预算进行部门整体支出，在支出过程中，能严格遵守各项规章制度。“三公经费”明显下降。所有项目都详细制定了方案，严格按方案组织实施，并加强了监督。尤其是在专项经费支出上，我们能专款专用，严格审批程序，按的进度情况进行资金拨付，无截留、无挪用等现象，保障了资金安全。实行了先有预算、后有执行的新常态。</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720"/>
        <w:jc w:val="left"/>
        <w:textAlignment w:val="auto"/>
        <w:rPr>
          <w:rFonts w:hint="eastAsia" w:ascii="黑体" w:hAnsi="宋体" w:eastAsia="黑体" w:cs="宋体"/>
          <w:color w:val="000000"/>
          <w:kern w:val="0"/>
          <w:lang w:val="en-US"/>
        </w:rPr>
      </w:pPr>
      <w:r>
        <w:rPr>
          <w:rFonts w:hint="eastAsia" w:ascii="黑体" w:hAnsi="宋体" w:eastAsia="黑体" w:cs="宋体"/>
          <w:color w:val="000000"/>
          <w:kern w:val="0"/>
          <w:sz w:val="32"/>
          <w:szCs w:val="24"/>
          <w:lang w:val="en-US" w:eastAsia="zh-CN" w:bidi="ar"/>
        </w:rPr>
        <w:t>四、评价结论及建议</w:t>
      </w:r>
    </w:p>
    <w:p>
      <w:pPr>
        <w:keepNext w:val="0"/>
        <w:keepLines w:val="0"/>
        <w:pageBreakBefore w:val="0"/>
        <w:kinsoku/>
        <w:wordWrap/>
        <w:overflowPunct/>
        <w:topLinePunct w:val="0"/>
        <w:autoSpaceDE/>
        <w:autoSpaceDN/>
        <w:bidi w:val="0"/>
        <w:spacing w:line="240" w:lineRule="auto"/>
        <w:ind w:firstLine="640" w:firstLineChars="200"/>
        <w:jc w:val="left"/>
        <w:textAlignment w:val="auto"/>
        <w:rPr>
          <w:rFonts w:hint="eastAsia" w:ascii="仿宋_GB2312" w:hAnsi="Calibri" w:eastAsia="仿宋_GB2312" w:cs="仿宋_GB2312"/>
          <w:kern w:val="0"/>
          <w:sz w:val="32"/>
          <w:szCs w:val="32"/>
          <w:lang w:val="zh-CN" w:eastAsia="zh-CN" w:bidi="ar-SA"/>
        </w:rPr>
      </w:pPr>
      <w:r>
        <w:rPr>
          <w:rFonts w:hint="eastAsia" w:ascii="仿宋_GB2312" w:hAnsi="Calibri" w:eastAsia="仿宋_GB2312" w:cs="仿宋_GB2312"/>
          <w:kern w:val="0"/>
          <w:sz w:val="32"/>
          <w:szCs w:val="32"/>
          <w:lang w:val="zh-CN" w:eastAsia="zh-CN" w:bidi="ar-SA"/>
        </w:rPr>
        <w:t>（一）评价结论。</w:t>
      </w:r>
    </w:p>
    <w:p>
      <w:pPr>
        <w:keepNext w:val="0"/>
        <w:keepLines w:val="0"/>
        <w:pageBreakBefore w:val="0"/>
        <w:kinsoku/>
        <w:wordWrap/>
        <w:overflowPunct/>
        <w:topLinePunct w:val="0"/>
        <w:autoSpaceDE/>
        <w:autoSpaceDN/>
        <w:bidi w:val="0"/>
        <w:spacing w:line="240" w:lineRule="auto"/>
        <w:ind w:firstLine="640" w:firstLineChars="200"/>
        <w:jc w:val="left"/>
        <w:textAlignment w:val="auto"/>
        <w:rPr>
          <w:rFonts w:hint="eastAsia" w:ascii="仿宋_GB2312" w:hAnsi="Calibri" w:eastAsia="仿宋_GB2312" w:cs="仿宋_GB2312"/>
          <w:kern w:val="0"/>
          <w:sz w:val="32"/>
          <w:szCs w:val="32"/>
          <w:lang w:val="en-US" w:eastAsia="zh-CN" w:bidi="ar-SA"/>
        </w:rPr>
      </w:pPr>
      <w:r>
        <w:rPr>
          <w:rFonts w:hint="eastAsia" w:ascii="仿宋_GB2312" w:hAnsi="Calibri" w:eastAsia="仿宋_GB2312" w:cs="仿宋_GB2312"/>
          <w:kern w:val="0"/>
          <w:sz w:val="32"/>
          <w:szCs w:val="32"/>
          <w:lang w:val="en-US" w:eastAsia="zh-CN" w:bidi="ar-SA"/>
        </w:rPr>
        <w:t>按照预算绩效管理要求，本部门对202</w:t>
      </w:r>
      <w:r>
        <w:rPr>
          <w:rFonts w:hint="eastAsia" w:ascii="仿宋_GB2312" w:hAnsi="Calibri" w:cs="仿宋_GB2312"/>
          <w:kern w:val="0"/>
          <w:sz w:val="32"/>
          <w:szCs w:val="32"/>
          <w:lang w:val="en-US" w:eastAsia="zh-CN" w:bidi="ar-SA"/>
        </w:rPr>
        <w:t>2</w:t>
      </w:r>
      <w:r>
        <w:rPr>
          <w:rFonts w:hint="eastAsia" w:ascii="仿宋_GB2312" w:hAnsi="Calibri" w:eastAsia="仿宋_GB2312" w:cs="仿宋_GB2312"/>
          <w:kern w:val="0"/>
          <w:sz w:val="32"/>
          <w:szCs w:val="32"/>
          <w:lang w:val="en-US" w:eastAsia="zh-CN" w:bidi="ar-SA"/>
        </w:rPr>
        <w:t>年整体支出情况开展绩效自评，自评得分9</w:t>
      </w:r>
      <w:r>
        <w:rPr>
          <w:rFonts w:hint="eastAsia" w:ascii="仿宋_GB2312" w:hAnsi="Calibri" w:cs="仿宋_GB2312"/>
          <w:kern w:val="0"/>
          <w:sz w:val="32"/>
          <w:szCs w:val="32"/>
          <w:lang w:val="en-US" w:eastAsia="zh-CN" w:bidi="ar-SA"/>
        </w:rPr>
        <w:t>5</w:t>
      </w:r>
      <w:r>
        <w:rPr>
          <w:rFonts w:hint="eastAsia" w:ascii="仿宋_GB2312" w:hAnsi="Calibri" w:eastAsia="仿宋_GB2312" w:cs="仿宋_GB2312"/>
          <w:kern w:val="0"/>
          <w:sz w:val="32"/>
          <w:szCs w:val="32"/>
          <w:lang w:val="en-US" w:eastAsia="zh-CN" w:bidi="ar-SA"/>
        </w:rPr>
        <w:t>分。</w:t>
      </w:r>
    </w:p>
    <w:p>
      <w:pPr>
        <w:keepNext w:val="0"/>
        <w:keepLines w:val="0"/>
        <w:pageBreakBefore w:val="0"/>
        <w:kinsoku/>
        <w:wordWrap/>
        <w:overflowPunct/>
        <w:topLinePunct w:val="0"/>
        <w:autoSpaceDE/>
        <w:autoSpaceDN/>
        <w:bidi w:val="0"/>
        <w:spacing w:line="240" w:lineRule="auto"/>
        <w:ind w:firstLine="640" w:firstLineChars="200"/>
        <w:jc w:val="left"/>
        <w:textAlignment w:val="auto"/>
        <w:rPr>
          <w:rFonts w:hint="eastAsia" w:ascii="仿宋_GB2312" w:hAnsi="Calibri" w:eastAsia="仿宋_GB2312" w:cs="仿宋_GB2312"/>
          <w:kern w:val="0"/>
          <w:sz w:val="32"/>
          <w:szCs w:val="32"/>
          <w:lang w:val="zh-CN" w:eastAsia="zh-CN" w:bidi="ar-SA"/>
        </w:rPr>
      </w:pPr>
      <w:r>
        <w:rPr>
          <w:rFonts w:hint="eastAsia" w:ascii="仿宋_GB2312" w:hAnsi="Calibri" w:eastAsia="仿宋_GB2312" w:cs="仿宋_GB2312"/>
          <w:kern w:val="0"/>
          <w:sz w:val="32"/>
          <w:szCs w:val="32"/>
          <w:lang w:val="zh-CN" w:eastAsia="zh-CN" w:bidi="ar-SA"/>
        </w:rPr>
        <w:t>（二）存在问题。</w:t>
      </w:r>
    </w:p>
    <w:p>
      <w:pPr>
        <w:keepNext w:val="0"/>
        <w:keepLines w:val="0"/>
        <w:pageBreakBefore w:val="0"/>
        <w:kinsoku/>
        <w:wordWrap/>
        <w:overflowPunct/>
        <w:topLinePunct w:val="0"/>
        <w:autoSpaceDE/>
        <w:autoSpaceDN/>
        <w:bidi w:val="0"/>
        <w:spacing w:line="240" w:lineRule="auto"/>
        <w:ind w:firstLine="640" w:firstLineChars="200"/>
        <w:jc w:val="left"/>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一是资金使用效益专项资金执行进度有待进一步提高和加强；二是对固定资产的管理应进一步加强；三是要进一步规范单位财务管理及监控制度，制定对本单位行之有效的措施。</w:t>
      </w:r>
    </w:p>
    <w:p>
      <w:pPr>
        <w:keepNext w:val="0"/>
        <w:keepLines w:val="0"/>
        <w:pageBreakBefore w:val="0"/>
        <w:numPr>
          <w:ilvl w:val="0"/>
          <w:numId w:val="2"/>
        </w:numPr>
        <w:kinsoku/>
        <w:wordWrap/>
        <w:overflowPunct/>
        <w:topLinePunct w:val="0"/>
        <w:autoSpaceDE/>
        <w:autoSpaceDN/>
        <w:bidi w:val="0"/>
        <w:spacing w:line="240" w:lineRule="auto"/>
        <w:jc w:val="left"/>
        <w:textAlignment w:val="auto"/>
        <w:rPr>
          <w:rFonts w:hint="eastAsia" w:ascii="仿宋_GB2312" w:hAnsi="Calibri" w:eastAsia="仿宋_GB2312" w:cs="仿宋_GB2312"/>
          <w:kern w:val="0"/>
          <w:sz w:val="32"/>
          <w:szCs w:val="32"/>
          <w:lang w:val="zh-CN" w:eastAsia="zh-CN" w:bidi="ar-SA"/>
        </w:rPr>
      </w:pPr>
      <w:r>
        <w:rPr>
          <w:rFonts w:hint="eastAsia" w:ascii="仿宋_GB2312" w:hAnsi="Calibri" w:eastAsia="仿宋_GB2312" w:cs="仿宋_GB2312"/>
          <w:kern w:val="0"/>
          <w:sz w:val="32"/>
          <w:szCs w:val="32"/>
          <w:lang w:val="zh-CN" w:eastAsia="zh-CN" w:bidi="ar-SA"/>
        </w:rPr>
        <w:t>改进建议。</w:t>
      </w:r>
    </w:p>
    <w:p>
      <w:pPr>
        <w:keepNext w:val="0"/>
        <w:keepLines w:val="0"/>
        <w:pageBreakBefore w:val="0"/>
        <w:numPr>
          <w:ilvl w:val="0"/>
          <w:numId w:val="0"/>
        </w:numPr>
        <w:kinsoku/>
        <w:wordWrap/>
        <w:overflowPunct/>
        <w:topLinePunct w:val="0"/>
        <w:autoSpaceDE/>
        <w:autoSpaceDN/>
        <w:bidi w:val="0"/>
        <w:spacing w:line="240" w:lineRule="auto"/>
        <w:jc w:val="left"/>
        <w:textAlignment w:val="auto"/>
      </w:pPr>
      <w:r>
        <w:rPr>
          <w:rFonts w:hint="eastAsia" w:ascii="仿宋_GB2312" w:hAnsi="Calibri" w:eastAsia="仿宋_GB2312" w:cs="仿宋_GB2312"/>
          <w:kern w:val="0"/>
          <w:sz w:val="32"/>
          <w:szCs w:val="32"/>
          <w:lang w:val="en-US" w:eastAsia="zh-CN" w:bidi="ar-SA"/>
        </w:rPr>
        <w:t>一是认真做好预算的编制，细化预算编制；二是加强对固定资产的管理</w:t>
      </w:r>
      <w:r>
        <w:rPr>
          <w:rFonts w:hint="eastAsia" w:ascii="仿宋_GB2312" w:hAnsi="Calibri" w:cs="仿宋_GB2312"/>
          <w:kern w:val="0"/>
          <w:sz w:val="32"/>
          <w:szCs w:val="32"/>
          <w:lang w:val="en-US" w:eastAsia="zh-CN" w:bidi="ar-SA"/>
        </w:rPr>
        <w:t>和处置工作</w:t>
      </w:r>
      <w:r>
        <w:rPr>
          <w:rFonts w:hint="eastAsia" w:ascii="仿宋_GB2312" w:hAnsi="Calibri" w:eastAsia="仿宋_GB2312" w:cs="仿宋_GB2312"/>
          <w:kern w:val="0"/>
          <w:sz w:val="32"/>
          <w:szCs w:val="32"/>
          <w:lang w:val="en-US" w:eastAsia="zh-CN" w:bidi="ar-SA"/>
        </w:rPr>
        <w:t>，严格财务审核，及时录入新增固定资产。</w:t>
      </w:r>
      <w:r>
        <w:rPr>
          <w:rFonts w:hint="eastAsia" w:ascii="仿宋_GB2312" w:hAnsi="Calibri" w:cs="仿宋_GB2312"/>
          <w:kern w:val="0"/>
          <w:sz w:val="32"/>
          <w:szCs w:val="32"/>
          <w:lang w:val="en-US" w:eastAsia="zh-CN" w:bidi="ar-SA"/>
        </w:rPr>
        <w:t>三是</w:t>
      </w:r>
      <w:r>
        <w:rPr>
          <w:rFonts w:hint="eastAsia" w:ascii="仿宋_GB2312" w:hAnsi="Calibri" w:eastAsia="仿宋_GB2312" w:cs="仿宋_GB2312"/>
          <w:kern w:val="0"/>
          <w:sz w:val="32"/>
          <w:szCs w:val="32"/>
          <w:lang w:val="en-US" w:eastAsia="zh-CN" w:bidi="ar-SA"/>
        </w:rPr>
        <w:t>应进一步细化“三公经费</w:t>
      </w:r>
      <w:r>
        <w:rPr>
          <w:rFonts w:hint="eastAsia" w:ascii="仿宋_GB2312" w:hAnsi="Calibri" w:cs="仿宋_GB2312"/>
          <w:kern w:val="0"/>
          <w:sz w:val="32"/>
          <w:szCs w:val="32"/>
          <w:lang w:val="en-US" w:eastAsia="zh-CN" w:bidi="ar-SA"/>
        </w:rPr>
        <w:t>”，减少不必要的开支。</w:t>
      </w:r>
      <w:r>
        <w:rPr>
          <w:rFonts w:hint="eastAsia" w:ascii="仿宋_GB2312" w:hAnsi="Calibri" w:eastAsia="仿宋_GB2312" w:cs="仿宋_GB2312"/>
          <w:kern w:val="0"/>
          <w:sz w:val="32"/>
          <w:szCs w:val="32"/>
          <w:lang w:val="en-US" w:eastAsia="zh-CN" w:bidi="ar-SA"/>
        </w:rPr>
        <w:t>四是不断加强新《预算法》、《行政单位会计制度》等学习培训，规范部门预算收支核算，制定和完善基本支出、项目支出等各项支出标准，严格按项目和进度执行预算，增强预算的约束力和严肃性。落实预算执行分析，及时了解预算执行差异，合理调整、纠正预算执行偏差，切实提高部门预算收支管理水平。</w:t>
      </w:r>
      <w:r>
        <w:t> </w:t>
      </w:r>
    </w:p>
    <w:p>
      <w:pPr>
        <w:pStyle w:val="8"/>
        <w:keepNext w:val="0"/>
        <w:keepLines w:val="0"/>
        <w:widowControl/>
        <w:suppressLineNumbers w:val="0"/>
      </w:pPr>
      <w:r>
        <w:t>附件</w:t>
      </w:r>
    </w:p>
    <w:p>
      <w:pPr>
        <w:pStyle w:val="12"/>
        <w:keepNext w:val="0"/>
        <w:keepLines w:val="0"/>
        <w:pageBreakBefore w:val="0"/>
        <w:widowControl w:val="0"/>
        <w:kinsoku/>
        <w:wordWrap/>
        <w:overflowPunct/>
        <w:topLinePunct w:val="0"/>
        <w:autoSpaceDE/>
        <w:autoSpaceDN/>
        <w:bidi w:val="0"/>
        <w:spacing w:line="600" w:lineRule="exact"/>
        <w:jc w:val="center"/>
        <w:textAlignment w:val="auto"/>
        <w:rPr>
          <w:rFonts w:hint="eastAsia" w:ascii="方正小标宋简体" w:eastAsia="方正小标宋简体"/>
          <w:sz w:val="44"/>
          <w:szCs w:val="44"/>
          <w:lang w:eastAsia="zh-CN"/>
        </w:rPr>
      </w:pPr>
      <w:r>
        <w:rPr>
          <w:rFonts w:hint="eastAsia" w:ascii="方正小标宋简体" w:eastAsia="方正小标宋简体"/>
          <w:sz w:val="44"/>
          <w:szCs w:val="44"/>
          <w:lang w:eastAsia="zh-CN"/>
        </w:rPr>
        <w:t>红原县市场监督管理局</w:t>
      </w:r>
    </w:p>
    <w:p>
      <w:pPr>
        <w:pStyle w:val="12"/>
        <w:keepNext w:val="0"/>
        <w:keepLines w:val="0"/>
        <w:pageBreakBefore w:val="0"/>
        <w:widowControl w:val="0"/>
        <w:kinsoku/>
        <w:wordWrap/>
        <w:overflowPunct/>
        <w:topLinePunct w:val="0"/>
        <w:autoSpaceDE/>
        <w:autoSpaceDN/>
        <w:bidi w:val="0"/>
        <w:spacing w:line="600" w:lineRule="exact"/>
        <w:jc w:val="center"/>
        <w:textAlignment w:val="auto"/>
        <w:rPr>
          <w:rFonts w:ascii="宋体"/>
          <w:color w:val="auto"/>
          <w:kern w:val="2"/>
          <w:sz w:val="32"/>
          <w:szCs w:val="32"/>
        </w:rPr>
      </w:pPr>
      <w:r>
        <w:rPr>
          <w:rFonts w:hint="eastAsia" w:ascii="方正小标宋简体" w:eastAsia="方正小标宋简体"/>
          <w:sz w:val="44"/>
          <w:szCs w:val="44"/>
          <w:lang w:eastAsia="zh-CN"/>
        </w:rPr>
        <w:t>专项预算项目支出</w:t>
      </w:r>
      <w:r>
        <w:rPr>
          <w:rFonts w:hint="eastAsia" w:ascii="方正小标宋简体" w:eastAsia="方正小标宋简体"/>
          <w:sz w:val="44"/>
          <w:szCs w:val="44"/>
        </w:rPr>
        <w:t>绩效自评报告范本</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黑体" w:eastAsia="黑体"/>
          <w:sz w:val="32"/>
          <w:szCs w:val="32"/>
          <w:lang w:val="zh-CN"/>
        </w:rPr>
      </w:pPr>
      <w:r>
        <w:rPr>
          <w:rFonts w:hint="eastAsia" w:ascii="黑体" w:eastAsia="黑体"/>
          <w:sz w:val="32"/>
          <w:szCs w:val="32"/>
        </w:rPr>
        <w:t>一、</w:t>
      </w:r>
      <w:r>
        <w:rPr>
          <w:rFonts w:hint="eastAsia" w:ascii="黑体" w:eastAsia="黑体"/>
          <w:sz w:val="32"/>
          <w:szCs w:val="32"/>
          <w:lang w:val="zh-CN"/>
        </w:rPr>
        <w:t>项目概况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sz w:val="32"/>
          <w:szCs w:val="32"/>
          <w:lang w:val="zh-CN"/>
        </w:rPr>
      </w:pPr>
      <w:r>
        <w:rPr>
          <w:rFonts w:hint="eastAsia" w:ascii="仿宋_GB2312"/>
          <w:sz w:val="32"/>
          <w:szCs w:val="32"/>
          <w:lang w:val="zh-CN"/>
        </w:rPr>
        <w:t>介绍项目基本情况，重点说明以下内容：</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3" w:firstLineChars="200"/>
        <w:textAlignment w:val="auto"/>
        <w:rPr>
          <w:rFonts w:ascii="仿宋_GB2312"/>
          <w:sz w:val="32"/>
          <w:szCs w:val="32"/>
          <w:lang w:val="zh-CN"/>
        </w:rPr>
      </w:pPr>
      <w:r>
        <w:rPr>
          <w:rFonts w:hint="eastAsia" w:ascii="楷体_GB2312" w:eastAsia="楷体_GB2312"/>
          <w:b/>
          <w:sz w:val="32"/>
          <w:szCs w:val="32"/>
          <w:lang w:val="zh-CN"/>
        </w:rPr>
        <w:t>（一）项目资金申报及批复情况。</w:t>
      </w:r>
      <w:r>
        <w:rPr>
          <w:rFonts w:hint="eastAsia" w:ascii="Times New Roman" w:hAnsi="Times New Roman" w:eastAsia="仿宋_GB2312"/>
          <w:spacing w:val="-4"/>
          <w:kern w:val="2"/>
          <w:sz w:val="32"/>
          <w:szCs w:val="32"/>
        </w:rPr>
        <w:t>根据省财政厅《关于下达202</w:t>
      </w:r>
      <w:r>
        <w:rPr>
          <w:rFonts w:hint="eastAsia" w:ascii="Times New Roman" w:hAnsi="Times New Roman"/>
          <w:spacing w:val="-4"/>
          <w:kern w:val="2"/>
          <w:sz w:val="32"/>
          <w:szCs w:val="32"/>
          <w:lang w:val="en-US" w:eastAsia="zh-CN"/>
        </w:rPr>
        <w:t>2</w:t>
      </w:r>
      <w:r>
        <w:rPr>
          <w:rFonts w:hint="eastAsia" w:ascii="Times New Roman" w:hAnsi="Times New Roman" w:eastAsia="仿宋_GB2312"/>
          <w:spacing w:val="-4"/>
          <w:kern w:val="2"/>
          <w:sz w:val="32"/>
          <w:szCs w:val="32"/>
        </w:rPr>
        <w:t>年</w:t>
      </w:r>
      <w:r>
        <w:rPr>
          <w:rFonts w:hint="eastAsia" w:ascii="Times New Roman" w:hAnsi="Times New Roman"/>
          <w:spacing w:val="-4"/>
          <w:kern w:val="2"/>
          <w:sz w:val="32"/>
          <w:szCs w:val="32"/>
          <w:lang w:val="en-US" w:eastAsia="zh-CN"/>
        </w:rPr>
        <w:t>市场监管专项资</w:t>
      </w:r>
      <w:r>
        <w:rPr>
          <w:rFonts w:hint="eastAsia" w:ascii="Times New Roman" w:hAnsi="Times New Roman" w:eastAsia="仿宋_GB2312"/>
          <w:spacing w:val="-4"/>
          <w:kern w:val="2"/>
          <w:sz w:val="32"/>
          <w:szCs w:val="32"/>
        </w:rPr>
        <w:t>金预算的通知》，202</w:t>
      </w:r>
      <w:r>
        <w:rPr>
          <w:rFonts w:hint="eastAsia" w:ascii="Times New Roman" w:hAnsi="Times New Roman"/>
          <w:spacing w:val="-4"/>
          <w:kern w:val="2"/>
          <w:sz w:val="32"/>
          <w:szCs w:val="32"/>
          <w:lang w:val="en-US" w:eastAsia="zh-CN"/>
        </w:rPr>
        <w:t>2</w:t>
      </w:r>
      <w:r>
        <w:rPr>
          <w:rFonts w:hint="eastAsia" w:ascii="Times New Roman" w:hAnsi="Times New Roman" w:eastAsia="仿宋_GB2312"/>
          <w:spacing w:val="-4"/>
          <w:kern w:val="2"/>
          <w:sz w:val="32"/>
          <w:szCs w:val="32"/>
        </w:rPr>
        <w:t>年下达</w:t>
      </w:r>
      <w:r>
        <w:rPr>
          <w:rFonts w:hint="eastAsia" w:ascii="Times New Roman" w:hAnsi="Times New Roman"/>
          <w:spacing w:val="-4"/>
          <w:kern w:val="2"/>
          <w:sz w:val="32"/>
          <w:szCs w:val="32"/>
          <w:lang w:val="en-US" w:eastAsia="zh-CN"/>
        </w:rPr>
        <w:t>市场监管</w:t>
      </w:r>
      <w:r>
        <w:rPr>
          <w:rFonts w:hint="eastAsia" w:ascii="Times New Roman" w:hAnsi="Times New Roman" w:eastAsia="仿宋_GB2312"/>
          <w:spacing w:val="-4"/>
          <w:kern w:val="2"/>
          <w:sz w:val="32"/>
          <w:szCs w:val="32"/>
        </w:rPr>
        <w:t>资金</w:t>
      </w:r>
      <w:r>
        <w:rPr>
          <w:rFonts w:hint="eastAsia"/>
          <w:spacing w:val="-4"/>
          <w:kern w:val="2"/>
          <w:sz w:val="32"/>
          <w:szCs w:val="32"/>
          <w:lang w:val="en-US" w:eastAsia="zh-CN"/>
        </w:rPr>
        <w:t>21</w:t>
      </w:r>
      <w:r>
        <w:rPr>
          <w:rFonts w:hint="eastAsia" w:ascii="Times New Roman" w:hAnsi="Times New Roman" w:eastAsia="仿宋_GB2312"/>
          <w:spacing w:val="-4"/>
          <w:kern w:val="2"/>
          <w:sz w:val="32"/>
          <w:szCs w:val="32"/>
        </w:rPr>
        <w:t>万元</w:t>
      </w:r>
      <w:r>
        <w:rPr>
          <w:rFonts w:hint="eastAsia"/>
          <w:spacing w:val="-4"/>
          <w:kern w:val="2"/>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方正仿宋_GBK" w:hAnsi="方正仿宋_GBK" w:eastAsia="方正仿宋_GBK" w:cs="方正仿宋_GBK"/>
          <w:sz w:val="32"/>
          <w:szCs w:val="32"/>
          <w:lang w:val="zh-CN"/>
        </w:rPr>
      </w:pPr>
      <w:r>
        <w:rPr>
          <w:rFonts w:hint="eastAsia" w:ascii="楷体_GB2312" w:eastAsia="楷体_GB2312"/>
          <w:b/>
          <w:sz w:val="32"/>
          <w:szCs w:val="32"/>
          <w:lang w:val="zh-CN"/>
        </w:rPr>
        <w:t>（二）项目绩效目标。</w:t>
      </w:r>
      <w:r>
        <w:rPr>
          <w:rFonts w:hint="eastAsia" w:ascii="方正仿宋_GBK" w:hAnsi="方正仿宋_GBK" w:eastAsia="方正仿宋_GBK" w:cs="方正仿宋_GBK"/>
          <w:b w:val="0"/>
          <w:bCs/>
          <w:sz w:val="32"/>
          <w:szCs w:val="32"/>
          <w:lang w:val="zh-CN"/>
        </w:rPr>
        <w:t>严守食品、重要工业产品质量、特种设备三条安全底线。</w:t>
      </w:r>
      <w:r>
        <w:rPr>
          <w:rFonts w:hint="eastAsia" w:ascii="方正仿宋_GBK" w:hAnsi="方正仿宋_GBK" w:eastAsia="方正仿宋_GBK" w:cs="方正仿宋_GBK"/>
          <w:sz w:val="32"/>
          <w:szCs w:val="32"/>
        </w:rPr>
        <w:t>继续强化食品抽检监测工作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深入推动放心舒心消费环境</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加强食品安全监管</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深化商事制度改革</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提高市场监管综合水平</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此项目</w:t>
      </w:r>
      <w:r>
        <w:rPr>
          <w:rFonts w:hint="eastAsia" w:ascii="方正仿宋_GBK" w:hAnsi="方正仿宋_GBK" w:eastAsia="方正仿宋_GBK" w:cs="方正仿宋_GBK"/>
          <w:sz w:val="32"/>
          <w:szCs w:val="32"/>
          <w:lang w:val="zh-CN"/>
        </w:rPr>
        <w:t>申报内容与实际相符，申报目标合理可行。</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方正仿宋_GBK" w:hAnsi="方正仿宋_GBK" w:eastAsia="方正仿宋_GBK" w:cs="方正仿宋_GBK"/>
          <w:sz w:val="32"/>
          <w:szCs w:val="32"/>
          <w:lang w:val="zh-CN"/>
        </w:rPr>
      </w:pPr>
      <w:r>
        <w:rPr>
          <w:rFonts w:hint="eastAsia" w:ascii="楷体_GB2312" w:eastAsia="楷体_GB2312"/>
          <w:b/>
          <w:sz w:val="32"/>
          <w:szCs w:val="32"/>
          <w:lang w:val="zh-CN"/>
        </w:rPr>
        <w:t>（三）项目资金申报相符性。</w:t>
      </w:r>
      <w:r>
        <w:rPr>
          <w:rFonts w:hint="eastAsia" w:ascii="方正仿宋_GBK" w:hAnsi="方正仿宋_GBK" w:eastAsia="方正仿宋_GBK" w:cs="方正仿宋_GBK"/>
          <w:sz w:val="32"/>
          <w:szCs w:val="32"/>
          <w:lang w:val="en-US" w:eastAsia="zh-CN"/>
        </w:rPr>
        <w:t>项目申报内容与预期相符，</w:t>
      </w:r>
      <w:r>
        <w:rPr>
          <w:rFonts w:hint="eastAsia" w:ascii="方正仿宋_GBK" w:hAnsi="方正仿宋_GBK" w:eastAsia="方正仿宋_GBK" w:cs="方正仿宋_GBK"/>
          <w:sz w:val="32"/>
          <w:szCs w:val="32"/>
          <w:lang w:val="zh-CN"/>
        </w:rPr>
        <w:t>申报目标合理可行。</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黑体" w:eastAsia="黑体"/>
          <w:sz w:val="32"/>
          <w:szCs w:val="32"/>
        </w:rPr>
      </w:pPr>
      <w:r>
        <w:rPr>
          <w:rFonts w:hint="eastAsia" w:ascii="黑体" w:eastAsia="黑体"/>
          <w:sz w:val="32"/>
          <w:szCs w:val="32"/>
        </w:rPr>
        <w:t>二、项目实施及管理情况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sz w:val="32"/>
          <w:szCs w:val="32"/>
          <w:lang w:val="zh-CN"/>
        </w:rPr>
      </w:pPr>
      <w:r>
        <w:rPr>
          <w:rFonts w:hint="eastAsia" w:ascii="仿宋_GB2312"/>
          <w:sz w:val="32"/>
          <w:szCs w:val="32"/>
          <w:lang w:val="zh-CN"/>
        </w:rPr>
        <w:tab/>
      </w:r>
      <w:r>
        <w:rPr>
          <w:rFonts w:hint="eastAsia" w:ascii="楷体_GB2312" w:eastAsia="楷体_GB2312"/>
          <w:b/>
          <w:sz w:val="32"/>
          <w:szCs w:val="32"/>
          <w:lang w:val="zh-CN"/>
        </w:rPr>
        <w:t>（一）资金计划、到位及使用情况。</w:t>
      </w:r>
    </w:p>
    <w:p>
      <w:pPr>
        <w:textAlignment w:val="baseline"/>
        <w:rPr>
          <w:rFonts w:ascii="Times New Roman" w:hAnsi="Times New Roman" w:eastAsia="仿宋_GB2312" w:cs="Times New Roman"/>
          <w:spacing w:val="-4"/>
          <w:sz w:val="32"/>
          <w:szCs w:val="32"/>
        </w:rPr>
      </w:pPr>
      <w:r>
        <w:rPr>
          <w:rFonts w:hint="eastAsia" w:ascii="楷体_GB2312" w:eastAsia="楷体_GB2312"/>
          <w:sz w:val="32"/>
          <w:szCs w:val="32"/>
          <w:lang w:val="zh-CN"/>
        </w:rPr>
        <w:t>1．资金计划及到位。</w:t>
      </w:r>
      <w:r>
        <w:rPr>
          <w:rFonts w:ascii="Times New Roman" w:hAnsi="Times New Roman" w:eastAsia="仿宋_GB2312" w:cs="Times New Roman"/>
          <w:spacing w:val="-4"/>
          <w:sz w:val="32"/>
          <w:szCs w:val="32"/>
        </w:rPr>
        <w:t>202</w:t>
      </w:r>
      <w:r>
        <w:rPr>
          <w:rFonts w:hint="eastAsia" w:ascii="Times New Roman" w:hAnsi="Times New Roman" w:cs="Times New Roman"/>
          <w:spacing w:val="-4"/>
          <w:sz w:val="32"/>
          <w:szCs w:val="32"/>
          <w:lang w:val="en-US" w:eastAsia="zh-CN"/>
        </w:rPr>
        <w:t>2</w:t>
      </w:r>
      <w:r>
        <w:rPr>
          <w:rFonts w:ascii="Times New Roman" w:hAnsi="Times New Roman" w:eastAsia="仿宋_GB2312" w:cs="Times New Roman"/>
          <w:spacing w:val="-4"/>
          <w:sz w:val="32"/>
          <w:szCs w:val="32"/>
        </w:rPr>
        <w:t>年下达我局</w:t>
      </w:r>
      <w:r>
        <w:rPr>
          <w:rFonts w:hint="eastAsia" w:ascii="Times New Roman" w:hAnsi="Times New Roman" w:cs="Times New Roman"/>
          <w:spacing w:val="-4"/>
          <w:sz w:val="32"/>
          <w:szCs w:val="32"/>
          <w:lang w:val="en-US" w:eastAsia="zh-CN"/>
        </w:rPr>
        <w:t>市场监管</w:t>
      </w:r>
      <w:r>
        <w:rPr>
          <w:rFonts w:ascii="Times New Roman" w:hAnsi="Times New Roman" w:eastAsia="仿宋_GB2312" w:cs="Times New Roman"/>
          <w:spacing w:val="-4"/>
          <w:sz w:val="32"/>
          <w:szCs w:val="32"/>
        </w:rPr>
        <w:t>资金</w:t>
      </w:r>
      <w:r>
        <w:rPr>
          <w:rFonts w:hint="eastAsia" w:cs="Times New Roman"/>
          <w:spacing w:val="-4"/>
          <w:sz w:val="32"/>
          <w:szCs w:val="32"/>
          <w:lang w:val="en-US" w:eastAsia="zh-CN"/>
        </w:rPr>
        <w:t>21</w:t>
      </w:r>
      <w:r>
        <w:rPr>
          <w:rFonts w:ascii="Times New Roman" w:hAnsi="Times New Roman" w:eastAsia="仿宋_GB2312" w:cs="Times New Roman"/>
          <w:spacing w:val="-4"/>
          <w:sz w:val="32"/>
          <w:szCs w:val="32"/>
        </w:rPr>
        <w:t>万元。其中:阿州财行</w:t>
      </w:r>
      <w:r>
        <w:rPr>
          <w:rFonts w:hint="eastAsia" w:ascii="仿宋_GB2312" w:hAnsi="仿宋_GB2312" w:eastAsia="仿宋_GB2312" w:cs="仿宋_GB2312"/>
          <w:spacing w:val="-4"/>
          <w:sz w:val="32"/>
          <w:szCs w:val="32"/>
        </w:rPr>
        <w:t>〔</w:t>
      </w:r>
      <w:r>
        <w:rPr>
          <w:rFonts w:hint="eastAsia" w:ascii="Times New Roman" w:hAnsi="Times New Roman" w:eastAsia="仿宋_GB2312" w:cs="Times New Roman"/>
          <w:spacing w:val="-4"/>
          <w:sz w:val="32"/>
          <w:szCs w:val="32"/>
        </w:rPr>
        <w:t>202</w:t>
      </w:r>
      <w:r>
        <w:rPr>
          <w:rFonts w:hint="eastAsia" w:ascii="Times New Roman" w:hAnsi="Times New Roman" w:cs="Times New Roman"/>
          <w:spacing w:val="-4"/>
          <w:sz w:val="32"/>
          <w:szCs w:val="32"/>
          <w:lang w:val="en-US" w:eastAsia="zh-CN"/>
        </w:rPr>
        <w:t>2</w:t>
      </w:r>
      <w:r>
        <w:rPr>
          <w:rFonts w:hint="eastAsia" w:ascii="仿宋_GB2312" w:hAnsi="仿宋_GB2312" w:eastAsia="仿宋_GB2312" w:cs="仿宋_GB2312"/>
          <w:spacing w:val="-4"/>
          <w:sz w:val="32"/>
          <w:szCs w:val="32"/>
          <w:lang w:val="en-US" w:eastAsia="zh-CN"/>
        </w:rPr>
        <w:t>〕</w:t>
      </w:r>
      <w:r>
        <w:rPr>
          <w:rFonts w:hint="eastAsia" w:ascii="Times New Roman" w:hAnsi="Times New Roman" w:cs="Times New Roman"/>
          <w:spacing w:val="-4"/>
          <w:sz w:val="32"/>
          <w:szCs w:val="32"/>
          <w:lang w:val="en-US" w:eastAsia="zh-CN"/>
        </w:rPr>
        <w:t>44</w:t>
      </w:r>
      <w:r>
        <w:rPr>
          <w:rFonts w:hint="eastAsia" w:ascii="Times New Roman" w:hAnsi="Times New Roman" w:eastAsia="仿宋_GB2312" w:cs="Times New Roman"/>
          <w:spacing w:val="-4"/>
          <w:sz w:val="32"/>
          <w:szCs w:val="32"/>
        </w:rPr>
        <w:t>号</w:t>
      </w:r>
      <w:r>
        <w:rPr>
          <w:rFonts w:hint="eastAsia" w:cs="Times New Roman"/>
          <w:spacing w:val="-4"/>
          <w:sz w:val="32"/>
          <w:szCs w:val="32"/>
          <w:lang w:val="en-US" w:eastAsia="zh-CN"/>
        </w:rPr>
        <w:t>21</w:t>
      </w:r>
      <w:r>
        <w:rPr>
          <w:rFonts w:ascii="Times New Roman" w:hAnsi="Times New Roman" w:eastAsia="仿宋_GB2312" w:cs="Times New Roman"/>
          <w:spacing w:val="-4"/>
          <w:sz w:val="32"/>
          <w:szCs w:val="32"/>
        </w:rPr>
        <w:t>万元</w:t>
      </w:r>
      <w:r>
        <w:rPr>
          <w:rFonts w:hint="eastAsia" w:ascii="Times New Roman" w:hAnsi="Times New Roman" w:cs="Times New Roman"/>
          <w:spacing w:val="-4"/>
          <w:sz w:val="32"/>
          <w:szCs w:val="32"/>
          <w:lang w:eastAsia="zh-CN"/>
        </w:rPr>
        <w:t>，</w:t>
      </w:r>
      <w:r>
        <w:rPr>
          <w:rFonts w:ascii="Times New Roman" w:hAnsi="Times New Roman" w:eastAsia="仿宋_GB2312" w:cs="Times New Roman"/>
          <w:spacing w:val="-4"/>
          <w:sz w:val="32"/>
          <w:szCs w:val="32"/>
        </w:rPr>
        <w:t>202</w:t>
      </w:r>
      <w:r>
        <w:rPr>
          <w:rFonts w:hint="eastAsia" w:ascii="Times New Roman" w:hAnsi="Times New Roman" w:cs="Times New Roman"/>
          <w:spacing w:val="-4"/>
          <w:sz w:val="32"/>
          <w:szCs w:val="32"/>
          <w:lang w:val="en-US" w:eastAsia="zh-CN"/>
        </w:rPr>
        <w:t>2</w:t>
      </w:r>
      <w:r>
        <w:rPr>
          <w:rFonts w:ascii="Times New Roman" w:hAnsi="Times New Roman" w:eastAsia="仿宋_GB2312" w:cs="Times New Roman"/>
          <w:spacing w:val="-4"/>
          <w:sz w:val="32"/>
          <w:szCs w:val="32"/>
        </w:rPr>
        <w:t>年</w:t>
      </w:r>
      <w:r>
        <w:rPr>
          <w:rFonts w:hint="eastAsia" w:ascii="Times New Roman" w:hAnsi="Times New Roman" w:cs="Times New Roman"/>
          <w:spacing w:val="-4"/>
          <w:sz w:val="32"/>
          <w:szCs w:val="32"/>
          <w:lang w:val="en-US" w:eastAsia="zh-CN"/>
        </w:rPr>
        <w:t>资金</w:t>
      </w:r>
      <w:r>
        <w:rPr>
          <w:rFonts w:ascii="Times New Roman" w:hAnsi="Times New Roman" w:eastAsia="仿宋_GB2312" w:cs="Times New Roman"/>
          <w:spacing w:val="-4"/>
          <w:sz w:val="32"/>
          <w:szCs w:val="32"/>
        </w:rPr>
        <w:t>全部到位。</w:t>
      </w:r>
    </w:p>
    <w:p>
      <w:pPr>
        <w:textAlignment w:val="baseline"/>
        <w:rPr>
          <w:rFonts w:ascii="Times New Roman" w:hAnsi="Times New Roman" w:eastAsia="仿宋_GB2312" w:cs="Times New Roman"/>
          <w:spacing w:val="-4"/>
          <w:sz w:val="32"/>
          <w:szCs w:val="32"/>
        </w:rPr>
      </w:pPr>
      <w:r>
        <w:rPr>
          <w:rFonts w:hint="eastAsia" w:ascii="楷体_GB2312" w:eastAsia="楷体_GB2312"/>
          <w:sz w:val="32"/>
          <w:szCs w:val="32"/>
          <w:lang w:val="zh-CN"/>
        </w:rPr>
        <w:t>2．资金使用。</w:t>
      </w:r>
      <w:r>
        <w:rPr>
          <w:rFonts w:ascii="Times New Roman" w:hAnsi="Times New Roman" w:eastAsia="仿宋_GB2312" w:cs="Times New Roman"/>
          <w:spacing w:val="-4"/>
          <w:sz w:val="32"/>
          <w:szCs w:val="32"/>
        </w:rPr>
        <w:t>202</w:t>
      </w:r>
      <w:r>
        <w:rPr>
          <w:rFonts w:hint="eastAsia" w:ascii="Times New Roman" w:hAnsi="Times New Roman" w:cs="Times New Roman"/>
          <w:spacing w:val="-4"/>
          <w:sz w:val="32"/>
          <w:szCs w:val="32"/>
          <w:lang w:val="en-US" w:eastAsia="zh-CN"/>
        </w:rPr>
        <w:t>2</w:t>
      </w:r>
      <w:r>
        <w:rPr>
          <w:rFonts w:ascii="Times New Roman" w:hAnsi="Times New Roman" w:eastAsia="仿宋_GB2312" w:cs="Times New Roman"/>
          <w:spacing w:val="-4"/>
          <w:sz w:val="32"/>
          <w:szCs w:val="32"/>
        </w:rPr>
        <w:t>年</w:t>
      </w:r>
      <w:r>
        <w:rPr>
          <w:rFonts w:hint="eastAsia" w:ascii="Times New Roman" w:hAnsi="Times New Roman" w:cs="Times New Roman"/>
          <w:spacing w:val="-4"/>
          <w:sz w:val="32"/>
          <w:szCs w:val="32"/>
          <w:lang w:val="en-US" w:eastAsia="zh-CN"/>
        </w:rPr>
        <w:t>市场</w:t>
      </w:r>
      <w:r>
        <w:rPr>
          <w:rFonts w:hint="eastAsia" w:ascii="Times New Roman" w:hAnsi="Times New Roman" w:eastAsia="仿宋_GB2312" w:cs="Times New Roman"/>
          <w:spacing w:val="-4"/>
          <w:sz w:val="32"/>
          <w:szCs w:val="32"/>
        </w:rPr>
        <w:t>监管资金</w:t>
      </w:r>
      <w:r>
        <w:rPr>
          <w:rFonts w:hint="eastAsia" w:ascii="Times New Roman" w:hAnsi="Times New Roman" w:cs="Times New Roman"/>
          <w:spacing w:val="-4"/>
          <w:sz w:val="32"/>
          <w:szCs w:val="32"/>
          <w:lang w:eastAsia="zh-CN"/>
        </w:rPr>
        <w:t>支出</w:t>
      </w:r>
      <w:r>
        <w:rPr>
          <w:rFonts w:hint="eastAsia" w:ascii="Times New Roman" w:hAnsi="Times New Roman" w:cs="Times New Roman"/>
          <w:spacing w:val="-4"/>
          <w:sz w:val="32"/>
          <w:szCs w:val="32"/>
          <w:lang w:val="en-US" w:eastAsia="zh-CN"/>
        </w:rPr>
        <w:t>146120元，其中商事制度宣传费140720元，市场监管综合业务5400元</w:t>
      </w:r>
      <w:r>
        <w:rPr>
          <w:rFonts w:hint="eastAsia" w:ascii="Times New Roman" w:hAnsi="Times New Roman" w:eastAsia="仿宋_GB2312" w:cs="Times New Roman"/>
          <w:spacing w:val="-4"/>
          <w:sz w:val="32"/>
          <w:szCs w:val="32"/>
        </w:rPr>
        <w:t>。</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楷体_GB2312" w:eastAsia="楷体_GB2312"/>
          <w:b/>
          <w:sz w:val="32"/>
          <w:szCs w:val="32"/>
          <w:lang w:val="zh-CN"/>
        </w:rPr>
      </w:pPr>
      <w:r>
        <w:rPr>
          <w:rFonts w:hint="eastAsia" w:ascii="楷体_GB2312" w:eastAsia="楷体_GB2312"/>
          <w:b/>
          <w:sz w:val="32"/>
          <w:szCs w:val="32"/>
          <w:lang w:val="zh-CN"/>
        </w:rPr>
        <w:t>（二）项目财务管理情况。</w:t>
      </w:r>
    </w:p>
    <w:p>
      <w:pPr>
        <w:keepNext w:val="0"/>
        <w:keepLines w:val="0"/>
        <w:pageBreakBefore w:val="0"/>
        <w:kinsoku/>
        <w:wordWrap/>
        <w:overflowPunct/>
        <w:topLinePunct w:val="0"/>
        <w:autoSpaceDE/>
        <w:autoSpaceDN/>
        <w:bidi w:val="0"/>
        <w:adjustRightInd w:val="0"/>
        <w:snapToGrid w:val="0"/>
        <w:spacing w:line="600" w:lineRule="exact"/>
        <w:textAlignment w:val="auto"/>
        <w:rPr>
          <w:rFonts w:hint="eastAsia" w:ascii="Times New Roman" w:hAnsi="Times New Roman" w:eastAsia="仿宋_GB2312" w:cs="Times New Roman"/>
          <w:spacing w:val="-4"/>
          <w:sz w:val="32"/>
          <w:szCs w:val="32"/>
          <w:lang w:eastAsia="zh-CN"/>
        </w:rPr>
      </w:pPr>
      <w:r>
        <w:rPr>
          <w:rFonts w:hint="eastAsia" w:ascii="Times New Roman" w:hAnsi="Times New Roman" w:eastAsia="仿宋_GB2312" w:cs="Times New Roman"/>
          <w:spacing w:val="-4"/>
          <w:sz w:val="32"/>
          <w:szCs w:val="32"/>
        </w:rPr>
        <w:t>我局按照专款专用管理要求，建立专项核算，按绩效目标任务开展专项工作</w:t>
      </w:r>
      <w:r>
        <w:rPr>
          <w:rFonts w:hint="eastAsia" w:cs="Times New Roman"/>
          <w:spacing w:val="-4"/>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楷体_GB2312" w:eastAsia="楷体_GB2312"/>
          <w:b/>
          <w:sz w:val="32"/>
          <w:szCs w:val="32"/>
          <w:lang w:val="zh-CN"/>
        </w:rPr>
      </w:pPr>
      <w:r>
        <w:rPr>
          <w:rFonts w:hint="eastAsia" w:ascii="楷体_GB2312" w:eastAsia="楷体_GB2312"/>
          <w:b/>
          <w:sz w:val="32"/>
          <w:szCs w:val="32"/>
          <w:lang w:val="zh-CN"/>
        </w:rPr>
        <w:t>（三）项目组织实施情况。</w:t>
      </w:r>
    </w:p>
    <w:p>
      <w:pPr>
        <w:keepNext w:val="0"/>
        <w:keepLines w:val="0"/>
        <w:pageBreakBefore w:val="0"/>
        <w:kinsoku/>
        <w:wordWrap/>
        <w:overflowPunct/>
        <w:topLinePunct w:val="0"/>
        <w:autoSpaceDE/>
        <w:autoSpaceDN/>
        <w:bidi w:val="0"/>
        <w:adjustRightInd w:val="0"/>
        <w:snapToGrid w:val="0"/>
        <w:spacing w:line="600" w:lineRule="exact"/>
        <w:ind w:firstLine="624" w:firstLineChars="200"/>
        <w:textAlignment w:val="auto"/>
        <w:rPr>
          <w:rFonts w:hint="eastAsia" w:ascii="Times New Roman" w:hAnsi="Times New Roman" w:eastAsia="仿宋_GB2312" w:cs="Times New Roman"/>
          <w:spacing w:val="-4"/>
          <w:sz w:val="32"/>
          <w:szCs w:val="32"/>
          <w:lang w:val="en-US" w:eastAsia="zh-CN"/>
        </w:rPr>
      </w:pPr>
      <w:r>
        <w:rPr>
          <w:rFonts w:hint="eastAsia" w:ascii="Times New Roman" w:hAnsi="Times New Roman" w:eastAsia="仿宋_GB2312" w:cs="Times New Roman"/>
          <w:spacing w:val="-4"/>
          <w:sz w:val="32"/>
          <w:szCs w:val="32"/>
        </w:rPr>
        <w:t>一是</w:t>
      </w:r>
      <w:r>
        <w:rPr>
          <w:rFonts w:hint="default" w:ascii="Times New Roman" w:hAnsi="Times New Roman" w:eastAsia="仿宋_GB2312" w:cs="Times New Roman"/>
          <w:spacing w:val="-4"/>
          <w:sz w:val="32"/>
          <w:szCs w:val="32"/>
        </w:rPr>
        <w:t>召开</w:t>
      </w:r>
      <w:r>
        <w:rPr>
          <w:rFonts w:hint="eastAsia" w:cs="Times New Roman"/>
          <w:spacing w:val="-4"/>
          <w:sz w:val="32"/>
          <w:szCs w:val="32"/>
          <w:lang w:val="en-US" w:eastAsia="zh-CN"/>
        </w:rPr>
        <w:t>项目实施</w:t>
      </w:r>
      <w:r>
        <w:rPr>
          <w:rFonts w:hint="default" w:ascii="Times New Roman" w:hAnsi="Times New Roman" w:eastAsia="仿宋_GB2312" w:cs="Times New Roman"/>
          <w:spacing w:val="-4"/>
          <w:sz w:val="32"/>
          <w:szCs w:val="32"/>
        </w:rPr>
        <w:t>会议，明确专门人员负责具体工作</w:t>
      </w:r>
      <w:r>
        <w:rPr>
          <w:rFonts w:hint="eastAsia" w:cs="Times New Roman"/>
          <w:spacing w:val="-4"/>
          <w:sz w:val="32"/>
          <w:szCs w:val="32"/>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24" w:firstLineChars="200"/>
        <w:textAlignment w:val="auto"/>
        <w:rPr>
          <w:rFonts w:hint="default" w:ascii="Times New Roman" w:hAnsi="Times New Roman" w:eastAsia="仿宋_GB2312" w:cs="Times New Roman"/>
          <w:spacing w:val="-4"/>
          <w:sz w:val="32"/>
          <w:szCs w:val="32"/>
        </w:rPr>
      </w:pPr>
      <w:r>
        <w:rPr>
          <w:rFonts w:hint="default" w:ascii="Times New Roman" w:hAnsi="Times New Roman" w:eastAsia="仿宋_GB2312" w:cs="Times New Roman"/>
          <w:spacing w:val="-4"/>
          <w:sz w:val="32"/>
          <w:szCs w:val="32"/>
        </w:rPr>
        <w:t>二是及时组织内部业务</w:t>
      </w:r>
      <w:r>
        <w:rPr>
          <w:rFonts w:hint="eastAsia" w:cs="Times New Roman"/>
          <w:spacing w:val="-4"/>
          <w:sz w:val="32"/>
          <w:szCs w:val="32"/>
          <w:lang w:eastAsia="zh-CN"/>
        </w:rPr>
        <w:t>股</w:t>
      </w:r>
      <w:r>
        <w:rPr>
          <w:rFonts w:hint="default" w:ascii="Times New Roman" w:hAnsi="Times New Roman" w:eastAsia="仿宋_GB2312" w:cs="Times New Roman"/>
          <w:spacing w:val="-4"/>
          <w:sz w:val="32"/>
          <w:szCs w:val="32"/>
        </w:rPr>
        <w:t>室应积极配合做好有关工作。</w:t>
      </w:r>
    </w:p>
    <w:p>
      <w:pPr>
        <w:keepNext w:val="0"/>
        <w:keepLines w:val="0"/>
        <w:pageBreakBefore w:val="0"/>
        <w:kinsoku/>
        <w:wordWrap/>
        <w:overflowPunct/>
        <w:topLinePunct w:val="0"/>
        <w:autoSpaceDE/>
        <w:autoSpaceDN/>
        <w:bidi w:val="0"/>
        <w:adjustRightInd w:val="0"/>
        <w:snapToGrid w:val="0"/>
        <w:spacing w:line="600" w:lineRule="exact"/>
        <w:ind w:firstLine="624" w:firstLineChars="200"/>
        <w:textAlignment w:val="auto"/>
        <w:rPr>
          <w:rFonts w:hint="eastAsia" w:ascii="Times New Roman" w:hAnsi="Times New Roman" w:eastAsia="仿宋_GB2312" w:cs="Times New Roman"/>
          <w:spacing w:val="-4"/>
          <w:sz w:val="32"/>
          <w:szCs w:val="32"/>
          <w:lang w:val="zh-CN"/>
        </w:rPr>
      </w:pPr>
      <w:r>
        <w:rPr>
          <w:rFonts w:hint="default" w:ascii="Times New Roman" w:hAnsi="Times New Roman" w:eastAsia="仿宋_GB2312" w:cs="Times New Roman"/>
          <w:spacing w:val="-4"/>
          <w:sz w:val="32"/>
          <w:szCs w:val="32"/>
        </w:rPr>
        <w:t>三是根据已设定的目标，认真总结202</w:t>
      </w:r>
      <w:r>
        <w:rPr>
          <w:rFonts w:hint="eastAsia" w:cs="Times New Roman"/>
          <w:spacing w:val="-4"/>
          <w:sz w:val="32"/>
          <w:szCs w:val="32"/>
          <w:lang w:val="en-US" w:eastAsia="zh-CN"/>
        </w:rPr>
        <w:t>2</w:t>
      </w:r>
      <w:r>
        <w:rPr>
          <w:rFonts w:hint="default" w:ascii="Times New Roman" w:hAnsi="Times New Roman" w:eastAsia="仿宋_GB2312" w:cs="Times New Roman"/>
          <w:spacing w:val="-4"/>
          <w:sz w:val="32"/>
          <w:szCs w:val="32"/>
        </w:rPr>
        <w:t>年市场监管各项任务完成情况，按时完成</w:t>
      </w:r>
      <w:r>
        <w:rPr>
          <w:rFonts w:hint="eastAsia" w:cs="Times New Roman"/>
          <w:spacing w:val="-4"/>
          <w:sz w:val="32"/>
          <w:szCs w:val="32"/>
          <w:lang w:val="en-US" w:eastAsia="zh-CN"/>
        </w:rPr>
        <w:t>工作</w:t>
      </w:r>
      <w:r>
        <w:rPr>
          <w:rFonts w:hint="default" w:ascii="Times New Roman" w:hAnsi="Times New Roman" w:eastAsia="仿宋_GB2312" w:cs="Times New Roman"/>
          <w:spacing w:val="-4"/>
          <w:sz w:val="32"/>
          <w:szCs w:val="32"/>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sz w:val="32"/>
          <w:szCs w:val="32"/>
          <w:lang w:val="zh-CN"/>
        </w:rPr>
      </w:pPr>
      <w:r>
        <w:rPr>
          <w:rFonts w:hint="eastAsia" w:ascii="黑体" w:eastAsia="黑体"/>
          <w:sz w:val="32"/>
          <w:szCs w:val="32"/>
        </w:rPr>
        <w:t>三、项目绩效情况</w:t>
      </w:r>
      <w:r>
        <w:rPr>
          <w:rFonts w:hint="eastAsia" w:ascii="仿宋_GB2312"/>
          <w:sz w:val="32"/>
          <w:szCs w:val="32"/>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sz w:val="32"/>
          <w:szCs w:val="32"/>
          <w:lang w:val="zh-CN"/>
        </w:rPr>
      </w:pPr>
      <w:r>
        <w:rPr>
          <w:rFonts w:hint="eastAsia" w:ascii="楷体_GB2312" w:eastAsia="楷体_GB2312"/>
          <w:b/>
          <w:sz w:val="32"/>
          <w:szCs w:val="32"/>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Times New Roman" w:hAnsi="Times New Roman" w:eastAsia="仿宋_GB2312" w:cs="Times New Roman"/>
          <w:spacing w:val="-4"/>
          <w:sz w:val="32"/>
          <w:szCs w:val="32"/>
          <w:lang w:val="en-US" w:eastAsia="zh-CN"/>
        </w:rPr>
      </w:pPr>
      <w:r>
        <w:rPr>
          <w:rFonts w:hint="eastAsia" w:ascii="Times New Roman" w:hAnsi="Times New Roman" w:eastAsia="仿宋_GB2312" w:cs="Times New Roman"/>
          <w:spacing w:val="-4"/>
          <w:sz w:val="32"/>
          <w:szCs w:val="32"/>
          <w:lang w:val="en-US" w:eastAsia="zh-CN"/>
        </w:rPr>
        <w:t>1、</w:t>
      </w:r>
      <w:r>
        <w:rPr>
          <w:rFonts w:hint="default" w:ascii="Times New Roman" w:hAnsi="Times New Roman" w:eastAsia="方正仿宋_GBK" w:cs="Times New Roman"/>
          <w:color w:val="auto"/>
          <w:sz w:val="32"/>
          <w:szCs w:val="32"/>
        </w:rPr>
        <w:t>食用农产品</w:t>
      </w:r>
      <w:r>
        <w:rPr>
          <w:rFonts w:hint="default" w:ascii="Times New Roman" w:hAnsi="Times New Roman" w:eastAsia="方正仿宋_GBK" w:cs="Times New Roman"/>
          <w:color w:val="auto"/>
          <w:sz w:val="32"/>
          <w:szCs w:val="32"/>
          <w:lang w:eastAsia="zh-CN"/>
        </w:rPr>
        <w:t>安全监督抽样检测</w:t>
      </w:r>
      <w:r>
        <w:rPr>
          <w:rFonts w:hint="eastAsia" w:ascii="Times New Roman" w:hAnsi="Times New Roman" w:eastAsia="方正仿宋_GBK" w:cs="Times New Roman"/>
          <w:color w:val="auto"/>
          <w:sz w:val="32"/>
          <w:szCs w:val="32"/>
          <w:lang w:val="en-US" w:eastAsia="zh-CN"/>
        </w:rPr>
        <w:t>535批次，</w:t>
      </w:r>
      <w:r>
        <w:rPr>
          <w:rFonts w:hint="eastAsia" w:ascii="仿宋" w:hAnsi="仿宋" w:eastAsia="仿宋"/>
          <w:color w:val="000000"/>
          <w:sz w:val="32"/>
          <w:szCs w:val="32"/>
          <w:lang w:val="en-US" w:eastAsia="zh-CN"/>
        </w:rPr>
        <w:t>其中260批次农产品、275批次工业产品，完成</w:t>
      </w:r>
      <w:r>
        <w:rPr>
          <w:rFonts w:hint="eastAsia" w:ascii="仿宋" w:hAnsi="仿宋" w:eastAsia="仿宋"/>
          <w:color w:val="000000"/>
          <w:sz w:val="32"/>
          <w:szCs w:val="32"/>
        </w:rPr>
        <w:t>食品药品</w:t>
      </w:r>
      <w:r>
        <w:rPr>
          <w:rFonts w:hint="eastAsia" w:ascii="仿宋" w:hAnsi="仿宋" w:eastAsia="仿宋"/>
          <w:color w:val="000000"/>
          <w:sz w:val="32"/>
          <w:szCs w:val="32"/>
          <w:lang w:eastAsia="zh-CN"/>
        </w:rPr>
        <w:t>国抽</w:t>
      </w:r>
      <w:r>
        <w:rPr>
          <w:rFonts w:hint="eastAsia" w:ascii="仿宋" w:hAnsi="仿宋" w:eastAsia="仿宋"/>
          <w:color w:val="000000"/>
          <w:sz w:val="32"/>
          <w:szCs w:val="32"/>
          <w:lang w:val="en-US" w:eastAsia="zh-CN"/>
        </w:rPr>
        <w:t>32批次</w:t>
      </w:r>
      <w:r>
        <w:rPr>
          <w:rFonts w:hint="eastAsia" w:ascii="仿宋" w:hAnsi="仿宋" w:eastAsia="仿宋"/>
          <w:color w:val="000000"/>
          <w:sz w:val="32"/>
          <w:szCs w:val="32"/>
        </w:rPr>
        <w:t>抽样工作</w:t>
      </w:r>
      <w:r>
        <w:rPr>
          <w:rFonts w:hint="eastAsia" w:ascii="仿宋" w:hAnsi="仿宋" w:eastAsia="仿宋"/>
          <w:color w:val="000000"/>
          <w:sz w:val="32"/>
          <w:szCs w:val="32"/>
          <w:lang w:eastAsia="zh-CN"/>
        </w:rPr>
        <w:t>，</w:t>
      </w:r>
      <w:r>
        <w:rPr>
          <w:rFonts w:hint="eastAsia" w:ascii="仿宋_GB2312" w:hAnsi="仿宋_GB2312" w:eastAsia="仿宋_GB2312" w:cs="仿宋_GB2312"/>
          <w:b w:val="0"/>
          <w:bCs w:val="0"/>
          <w:color w:val="000000"/>
          <w:kern w:val="0"/>
          <w:sz w:val="32"/>
          <w:szCs w:val="32"/>
          <w:lang w:val="en-US" w:eastAsia="zh-CN"/>
        </w:rPr>
        <w:t>完成学校食堂抽样检测200个批次，完成工业加工食品（预包装食品）275批次抽样检测工作</w:t>
      </w:r>
      <w:r>
        <w:rPr>
          <w:rFonts w:hint="eastAsia" w:ascii="仿宋_GB2312" w:hAnsi="仿宋_GB2312" w:cs="仿宋_GB2312"/>
          <w:b w:val="0"/>
          <w:bCs w:val="0"/>
          <w:color w:val="000000"/>
          <w:kern w:val="0"/>
          <w:sz w:val="32"/>
          <w:szCs w:val="32"/>
          <w:lang w:val="en-US" w:eastAsia="zh-CN"/>
        </w:rPr>
        <w:t>，</w:t>
      </w:r>
      <w:r>
        <w:rPr>
          <w:rFonts w:hint="default" w:ascii="Times New Roman" w:hAnsi="Times New Roman" w:eastAsia="仿宋_GB2312" w:cs="Times New Roman"/>
          <w:spacing w:val="-4"/>
          <w:sz w:val="32"/>
          <w:szCs w:val="32"/>
        </w:rPr>
        <w:t>完成食</w:t>
      </w:r>
      <w:r>
        <w:rPr>
          <w:rFonts w:hint="eastAsia" w:ascii="Times New Roman" w:hAnsi="Times New Roman" w:eastAsia="仿宋_GB2312" w:cs="Times New Roman"/>
          <w:spacing w:val="-4"/>
          <w:sz w:val="32"/>
          <w:szCs w:val="32"/>
          <w:lang w:val="en-US" w:eastAsia="zh-CN"/>
        </w:rPr>
        <w:t>品领域快速检测次数</w:t>
      </w:r>
      <w:r>
        <w:rPr>
          <w:rFonts w:hint="eastAsia" w:cs="Times New Roman"/>
          <w:spacing w:val="-4"/>
          <w:sz w:val="32"/>
          <w:szCs w:val="32"/>
          <w:lang w:val="en-US" w:eastAsia="zh-CN"/>
        </w:rPr>
        <w:t>1</w:t>
      </w:r>
      <w:r>
        <w:rPr>
          <w:rFonts w:hint="eastAsia" w:ascii="Times New Roman" w:hAnsi="Times New Roman" w:eastAsia="仿宋_GB2312" w:cs="Times New Roman"/>
          <w:spacing w:val="-4"/>
          <w:sz w:val="32"/>
          <w:szCs w:val="32"/>
          <w:lang w:val="en-US" w:eastAsia="zh-CN"/>
        </w:rPr>
        <w:t>次、全国食品安全宣传周1次，均达到年初预期指标值。</w:t>
      </w:r>
    </w:p>
    <w:p>
      <w:pPr>
        <w:keepNext w:val="0"/>
        <w:keepLines w:val="0"/>
        <w:pageBreakBefore w:val="0"/>
        <w:widowControl w:val="0"/>
        <w:kinsoku/>
        <w:wordWrap/>
        <w:overflowPunct/>
        <w:topLinePunct w:val="0"/>
        <w:autoSpaceDE/>
        <w:autoSpaceDN/>
        <w:bidi w:val="0"/>
        <w:adjustRightInd w:val="0"/>
        <w:snapToGrid w:val="0"/>
        <w:spacing w:line="560" w:lineRule="exact"/>
        <w:ind w:firstLine="312" w:firstLineChars="100"/>
        <w:textAlignment w:val="auto"/>
        <w:rPr>
          <w:rFonts w:hint="eastAsia" w:cs="Times New Roman"/>
          <w:spacing w:val="-4"/>
          <w:sz w:val="32"/>
          <w:szCs w:val="32"/>
          <w:lang w:val="en-US" w:eastAsia="zh-CN"/>
        </w:rPr>
      </w:pPr>
      <w:r>
        <w:rPr>
          <w:rFonts w:hint="eastAsia" w:cs="Times New Roman"/>
          <w:spacing w:val="-4"/>
          <w:sz w:val="32"/>
          <w:szCs w:val="32"/>
          <w:lang w:val="en-US" w:eastAsia="zh-CN"/>
        </w:rPr>
        <w:t>2、制作市场监管工作资料30000份。</w:t>
      </w:r>
    </w:p>
    <w:p>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hint="default" w:cs="Times New Roman"/>
          <w:spacing w:val="-4"/>
          <w:sz w:val="32"/>
          <w:szCs w:val="32"/>
          <w:lang w:val="en-US" w:eastAsia="zh-CN"/>
        </w:rPr>
      </w:pPr>
      <w:r>
        <w:rPr>
          <w:rFonts w:hint="eastAsia" w:ascii="楷体_GB2312" w:hAnsi="楷体_GB2312" w:eastAsia="楷体_GB2312" w:cs="楷体_GB2312"/>
          <w:b w:val="0"/>
          <w:bCs w:val="0"/>
          <w:sz w:val="32"/>
          <w:szCs w:val="32"/>
          <w:lang w:val="en-US" w:eastAsia="zh-CN"/>
        </w:rPr>
        <w:t>3、</w:t>
      </w:r>
      <w:r>
        <w:rPr>
          <w:rFonts w:hint="eastAsia" w:ascii="仿宋_GB2312" w:hAnsi="仿宋_GB2312" w:eastAsia="仿宋_GB2312" w:cs="仿宋_GB2312"/>
          <w:color w:val="auto"/>
          <w:sz w:val="32"/>
          <w:szCs w:val="32"/>
          <w:lang w:val="en-US" w:eastAsia="zh-CN"/>
        </w:rPr>
        <w:t>认真</w:t>
      </w:r>
      <w:r>
        <w:rPr>
          <w:rFonts w:hint="default" w:ascii="仿宋_GB2312" w:hAnsi="仿宋_GB2312" w:eastAsia="仿宋_GB2312" w:cs="仿宋_GB2312"/>
          <w:color w:val="auto"/>
          <w:sz w:val="32"/>
          <w:szCs w:val="32"/>
          <w:lang w:eastAsia="zh-CN"/>
        </w:rPr>
        <w:t>开展3.1</w:t>
      </w:r>
      <w:r>
        <w:rPr>
          <w:rFonts w:hint="default" w:ascii="仿宋_GB2312" w:hAnsi="仿宋_GB2312" w:eastAsia="仿宋_GB2312" w:cs="仿宋_GB2312"/>
          <w:color w:val="auto"/>
          <w:sz w:val="32"/>
          <w:szCs w:val="32"/>
          <w:lang w:val="en-US" w:eastAsia="zh-CN"/>
        </w:rPr>
        <w:t>5</w:t>
      </w:r>
      <w:r>
        <w:rPr>
          <w:rFonts w:hint="default" w:ascii="仿宋_GB2312" w:hAnsi="仿宋_GB2312" w:eastAsia="仿宋_GB2312" w:cs="仿宋_GB2312"/>
          <w:color w:val="auto"/>
          <w:sz w:val="32"/>
          <w:szCs w:val="32"/>
          <w:lang w:eastAsia="zh-CN"/>
        </w:rPr>
        <w:t>消费者</w:t>
      </w:r>
      <w:r>
        <w:rPr>
          <w:rFonts w:hint="eastAsia" w:ascii="仿宋_GB2312" w:hAnsi="仿宋_GB2312" w:eastAsia="仿宋_GB2312" w:cs="仿宋_GB2312"/>
          <w:color w:val="auto"/>
          <w:sz w:val="32"/>
          <w:szCs w:val="32"/>
          <w:lang w:eastAsia="zh-CN"/>
        </w:rPr>
        <w:t>维权活动，</w:t>
      </w:r>
      <w:r>
        <w:rPr>
          <w:rFonts w:hint="default" w:ascii="仿宋_GB2312" w:hAnsi="仿宋_GB2312" w:eastAsia="仿宋_GB2312" w:cs="仿宋_GB2312"/>
          <w:color w:val="auto"/>
          <w:sz w:val="32"/>
          <w:szCs w:val="32"/>
        </w:rPr>
        <w:t>5.20国际计量日、5.25国际护肤日等宣传活动</w:t>
      </w:r>
      <w:r>
        <w:rPr>
          <w:rFonts w:hint="eastAsia" w:ascii="仿宋_GB2312" w:hAnsi="仿宋_GB2312" w:cs="仿宋_GB2312"/>
          <w:color w:val="auto"/>
          <w:sz w:val="32"/>
          <w:szCs w:val="32"/>
          <w:lang w:val="en-US" w:eastAsia="zh-CN"/>
        </w:rPr>
        <w:t>。</w:t>
      </w:r>
      <w:r>
        <w:rPr>
          <w:rFonts w:hint="eastAsia" w:ascii="仿宋_GB2312" w:hAnsi="仿宋_GB2312" w:eastAsia="仿宋_GB2312" w:cs="仿宋_GB2312"/>
          <w:color w:val="auto"/>
          <w:sz w:val="32"/>
          <w:szCs w:val="32"/>
          <w:lang w:val="en-US" w:eastAsia="zh-CN"/>
        </w:rPr>
        <w:t>共</w:t>
      </w:r>
      <w:r>
        <w:rPr>
          <w:rFonts w:hint="default" w:ascii="仿宋_GB2312" w:hAnsi="仿宋_GB2312" w:eastAsia="仿宋_GB2312" w:cs="仿宋_GB2312"/>
          <w:color w:val="auto"/>
          <w:sz w:val="32"/>
          <w:szCs w:val="32"/>
          <w:lang w:eastAsia="zh-CN"/>
        </w:rPr>
        <w:t>发放宣传资料</w:t>
      </w:r>
      <w:r>
        <w:rPr>
          <w:rFonts w:hint="eastAsia" w:ascii="仿宋_GB2312" w:hAnsi="仿宋_GB2312" w:eastAsia="仿宋_GB2312" w:cs="仿宋_GB2312"/>
          <w:color w:val="auto"/>
          <w:sz w:val="32"/>
          <w:szCs w:val="32"/>
          <w:lang w:val="en-US" w:eastAsia="zh-CN"/>
        </w:rPr>
        <w:t>2万</w:t>
      </w:r>
      <w:r>
        <w:rPr>
          <w:rFonts w:hint="default" w:ascii="仿宋_GB2312" w:hAnsi="仿宋_GB2312" w:eastAsia="仿宋_GB2312" w:cs="仿宋_GB2312"/>
          <w:color w:val="auto"/>
          <w:sz w:val="32"/>
          <w:szCs w:val="32"/>
          <w:lang w:eastAsia="zh-CN"/>
        </w:rPr>
        <w:t>余份，悬挂横幅</w:t>
      </w:r>
      <w:r>
        <w:rPr>
          <w:rFonts w:hint="eastAsia" w:ascii="仿宋_GB2312" w:hAnsi="仿宋_GB2312" w:eastAsia="仿宋_GB2312" w:cs="仿宋_GB2312"/>
          <w:color w:val="auto"/>
          <w:sz w:val="32"/>
          <w:szCs w:val="32"/>
          <w:lang w:val="en-US" w:eastAsia="zh-CN"/>
        </w:rPr>
        <w:t>20</w:t>
      </w:r>
      <w:r>
        <w:rPr>
          <w:rFonts w:hint="default" w:ascii="仿宋_GB2312" w:hAnsi="仿宋_GB2312" w:eastAsia="仿宋_GB2312" w:cs="仿宋_GB2312"/>
          <w:color w:val="auto"/>
          <w:sz w:val="32"/>
          <w:szCs w:val="32"/>
          <w:lang w:eastAsia="zh-CN"/>
        </w:rPr>
        <w:t>余条，展板</w:t>
      </w:r>
      <w:r>
        <w:rPr>
          <w:rFonts w:hint="eastAsia" w:ascii="仿宋_GB2312" w:hAnsi="仿宋_GB2312" w:eastAsia="仿宋_GB2312" w:cs="仿宋_GB2312"/>
          <w:color w:val="auto"/>
          <w:sz w:val="32"/>
          <w:szCs w:val="32"/>
          <w:lang w:val="en-US" w:eastAsia="zh-CN"/>
        </w:rPr>
        <w:t>25</w:t>
      </w:r>
      <w:r>
        <w:rPr>
          <w:rFonts w:hint="default" w:ascii="仿宋_GB2312" w:hAnsi="仿宋_GB2312" w:eastAsia="仿宋_GB2312" w:cs="仿宋_GB2312"/>
          <w:color w:val="auto"/>
          <w:sz w:val="32"/>
          <w:szCs w:val="32"/>
          <w:lang w:eastAsia="zh-CN"/>
        </w:rPr>
        <w:t>余块</w:t>
      </w:r>
      <w:r>
        <w:rPr>
          <w:rFonts w:hint="eastAsia" w:ascii="仿宋_GB2312" w:hAnsi="仿宋_GB2312" w:cs="仿宋_GB2312"/>
          <w:color w:val="auto"/>
          <w:sz w:val="32"/>
          <w:szCs w:val="32"/>
          <w:lang w:eastAsia="zh-CN"/>
        </w:rPr>
        <w:t>；</w:t>
      </w:r>
      <w:r>
        <w:rPr>
          <w:rFonts w:hint="eastAsia" w:ascii="仿宋_GB2312" w:hAnsi="仿宋_GB2312" w:eastAsia="仿宋_GB2312" w:cs="仿宋_GB2312"/>
          <w:b w:val="0"/>
          <w:bCs w:val="0"/>
          <w:sz w:val="32"/>
          <w:szCs w:val="32"/>
        </w:rPr>
        <w:t>推进放心消费行动</w:t>
      </w:r>
      <w:r>
        <w:rPr>
          <w:rFonts w:hint="eastAsia" w:ascii="仿宋_GB2312" w:hAnsi="仿宋_GB2312" w:cs="仿宋_GB2312"/>
          <w:b w:val="0"/>
          <w:bCs w:val="0"/>
          <w:sz w:val="32"/>
          <w:szCs w:val="32"/>
          <w:lang w:eastAsia="zh-CN"/>
        </w:rPr>
        <w:t>，</w:t>
      </w:r>
      <w:r>
        <w:rPr>
          <w:rFonts w:hint="default" w:ascii="Times New Roman" w:hAnsi="Times New Roman" w:eastAsia="方正仿宋_GBK" w:cs="Times New Roman"/>
          <w:sz w:val="32"/>
          <w:szCs w:val="32"/>
        </w:rPr>
        <w:t>受理</w:t>
      </w:r>
      <w:r>
        <w:rPr>
          <w:rFonts w:hint="default" w:ascii="Times New Roman" w:hAnsi="Times New Roman" w:eastAsia="方正仿宋_GBK" w:cs="Times New Roman"/>
          <w:sz w:val="32"/>
          <w:szCs w:val="32"/>
          <w:lang w:eastAsia="zh-CN"/>
        </w:rPr>
        <w:t>各类</w:t>
      </w:r>
      <w:r>
        <w:rPr>
          <w:rFonts w:hint="default" w:ascii="Times New Roman" w:hAnsi="Times New Roman" w:eastAsia="方正仿宋_GBK" w:cs="Times New Roman"/>
          <w:sz w:val="32"/>
          <w:szCs w:val="32"/>
        </w:rPr>
        <w:t>消费投诉</w:t>
      </w:r>
      <w:r>
        <w:rPr>
          <w:rFonts w:hint="default" w:ascii="Times New Roman" w:hAnsi="Times New Roman" w:eastAsia="方正仿宋_GBK" w:cs="Times New Roman"/>
          <w:sz w:val="32"/>
          <w:szCs w:val="32"/>
          <w:lang w:eastAsia="zh-CN"/>
        </w:rPr>
        <w:t>举报</w:t>
      </w:r>
      <w:r>
        <w:rPr>
          <w:rFonts w:hint="eastAsia" w:ascii="仿宋_GB2312" w:hAnsi="仿宋_GB2312" w:eastAsia="仿宋_GB2312" w:cs="仿宋_GB2312"/>
          <w:sz w:val="32"/>
          <w:szCs w:val="32"/>
          <w:lang w:val="en-US" w:eastAsia="zh-CN"/>
        </w:rPr>
        <w:t>116</w:t>
      </w:r>
      <w:r>
        <w:rPr>
          <w:rFonts w:hint="default" w:ascii="Times New Roman" w:hAnsi="Times New Roman" w:eastAsia="方正仿宋_GBK" w:cs="Times New Roman"/>
          <w:sz w:val="32"/>
          <w:szCs w:val="32"/>
        </w:rPr>
        <w:t>件</w:t>
      </w:r>
      <w:r>
        <w:rPr>
          <w:rFonts w:hint="default" w:ascii="Times New Roman" w:hAnsi="Times New Roman" w:eastAsia="方正仿宋_GBK" w:cs="Times New Roman"/>
          <w:sz w:val="32"/>
          <w:szCs w:val="32"/>
          <w:lang w:eastAsia="zh-CN"/>
        </w:rPr>
        <w:t>，办结</w:t>
      </w:r>
      <w:r>
        <w:rPr>
          <w:rFonts w:hint="eastAsia" w:ascii="仿宋_GB2312" w:hAnsi="仿宋_GB2312" w:eastAsia="仿宋_GB2312" w:cs="仿宋_GB2312"/>
          <w:sz w:val="32"/>
          <w:szCs w:val="32"/>
          <w:lang w:val="en-US" w:eastAsia="zh-CN"/>
        </w:rPr>
        <w:t>108</w:t>
      </w:r>
      <w:r>
        <w:rPr>
          <w:rFonts w:hint="default" w:ascii="Times New Roman" w:hAnsi="Times New Roman" w:eastAsia="方正仿宋_GBK" w:cs="Times New Roman"/>
          <w:sz w:val="32"/>
          <w:szCs w:val="32"/>
          <w:lang w:val="en-US" w:eastAsia="zh-CN"/>
        </w:rPr>
        <w:t>件，办结率1</w:t>
      </w:r>
      <w:r>
        <w:rPr>
          <w:rFonts w:hint="eastAsia" w:ascii="仿宋_GB2312" w:hAnsi="仿宋_GB2312" w:eastAsia="仿宋_GB2312" w:cs="仿宋_GB2312"/>
          <w:sz w:val="32"/>
          <w:szCs w:val="32"/>
          <w:lang w:val="en-US" w:eastAsia="zh-CN"/>
        </w:rPr>
        <w:t>93.1%</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为消费者挽回经济损失</w:t>
      </w:r>
      <w:r>
        <w:rPr>
          <w:rFonts w:hint="eastAsia" w:ascii="仿宋_GB2312" w:hAnsi="仿宋_GB2312" w:eastAsia="仿宋_GB2312" w:cs="仿宋_GB2312"/>
          <w:sz w:val="32"/>
          <w:szCs w:val="32"/>
          <w:lang w:val="en-US" w:eastAsia="zh-CN"/>
        </w:rPr>
        <w:t>4.7万</w:t>
      </w:r>
      <w:r>
        <w:rPr>
          <w:rFonts w:hint="default" w:ascii="Times New Roman" w:hAnsi="Times New Roman" w:eastAsia="方正仿宋_GBK" w:cs="Times New Roman"/>
          <w:sz w:val="32"/>
          <w:szCs w:val="32"/>
          <w:lang w:val="en-US" w:eastAsia="zh-CN"/>
        </w:rPr>
        <w:t>余元</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lang w:eastAsia="zh-CN"/>
        </w:rPr>
        <w:t>积极</w:t>
      </w:r>
      <w:r>
        <w:rPr>
          <w:rFonts w:hint="eastAsia" w:ascii="仿宋_GB2312" w:hAnsi="仿宋_GB2312" w:eastAsia="仿宋_GB2312" w:cs="仿宋_GB2312"/>
          <w:b w:val="0"/>
          <w:bCs w:val="0"/>
          <w:sz w:val="32"/>
          <w:szCs w:val="32"/>
        </w:rPr>
        <w:t>开展明码标价检查规范</w:t>
      </w:r>
      <w:r>
        <w:rPr>
          <w:rFonts w:hint="eastAsia" w:ascii="仿宋_GB2312" w:hAnsi="仿宋_GB2312" w:cs="仿宋_GB2312"/>
          <w:b w:val="0"/>
          <w:bCs w:val="0"/>
          <w:sz w:val="32"/>
          <w:szCs w:val="32"/>
          <w:lang w:eastAsia="zh-CN"/>
        </w:rPr>
        <w:t>，</w:t>
      </w:r>
      <w:r>
        <w:rPr>
          <w:rFonts w:hint="default" w:ascii="Times New Roman" w:hAnsi="Times New Roman" w:eastAsia="方正仿宋_GBK" w:cs="Times New Roman"/>
          <w:i w:val="0"/>
          <w:iCs w:val="0"/>
          <w:caps w:val="0"/>
          <w:color w:val="auto"/>
          <w:spacing w:val="0"/>
          <w:sz w:val="32"/>
          <w:szCs w:val="32"/>
          <w:shd w:val="clear" w:fill="FFFFFF"/>
          <w:lang w:val="en-US" w:eastAsia="zh-CN"/>
        </w:rPr>
        <w:t>检查餐</w:t>
      </w:r>
      <w:r>
        <w:rPr>
          <w:rFonts w:hint="default" w:ascii="Times New Roman" w:hAnsi="Times New Roman" w:eastAsia="方正仿宋_GBK" w:cs="Times New Roman"/>
          <w:i w:val="0"/>
          <w:iCs w:val="0"/>
          <w:caps w:val="0"/>
          <w:color w:val="auto"/>
          <w:spacing w:val="0"/>
          <w:sz w:val="32"/>
          <w:szCs w:val="32"/>
          <w:shd w:val="clear" w:fill="FFFFFF"/>
          <w:lang w:eastAsia="zh-CN"/>
        </w:rPr>
        <w:t>饮店及商品零售店和超市</w:t>
      </w:r>
      <w:r>
        <w:rPr>
          <w:rFonts w:hint="eastAsia" w:ascii="Times New Roman" w:hAnsi="Times New Roman" w:eastAsia="方正仿宋_GBK" w:cs="Times New Roman"/>
          <w:i w:val="0"/>
          <w:iCs w:val="0"/>
          <w:caps w:val="0"/>
          <w:color w:val="auto"/>
          <w:spacing w:val="0"/>
          <w:sz w:val="32"/>
          <w:szCs w:val="32"/>
          <w:shd w:val="clear" w:fill="FFFFFF"/>
          <w:lang w:val="en-US" w:eastAsia="zh-CN"/>
        </w:rPr>
        <w:t>800</w:t>
      </w:r>
      <w:r>
        <w:rPr>
          <w:rFonts w:hint="default" w:ascii="Times New Roman" w:hAnsi="Times New Roman" w:eastAsia="方正仿宋_GBK" w:cs="Times New Roman"/>
          <w:i w:val="0"/>
          <w:iCs w:val="0"/>
          <w:caps w:val="0"/>
          <w:color w:val="auto"/>
          <w:spacing w:val="0"/>
          <w:sz w:val="32"/>
          <w:szCs w:val="32"/>
          <w:shd w:val="clear" w:fill="FFFFFF"/>
          <w:lang w:eastAsia="zh-CN"/>
        </w:rPr>
        <w:t>余家，</w:t>
      </w:r>
      <w:r>
        <w:rPr>
          <w:rFonts w:hint="default" w:ascii="Times New Roman" w:hAnsi="Times New Roman" w:eastAsia="方正仿宋_GBK" w:cs="Times New Roman"/>
          <w:color w:val="auto"/>
          <w:sz w:val="32"/>
          <w:szCs w:val="32"/>
          <w:lang w:val="en-US" w:eastAsia="zh-CN"/>
        </w:rPr>
        <w:t>检查涉旅市场主体</w:t>
      </w:r>
      <w:r>
        <w:rPr>
          <w:rFonts w:hint="eastAsia" w:ascii="Times New Roman" w:hAnsi="Times New Roman" w:eastAsia="方正仿宋_GBK" w:cs="Times New Roman"/>
          <w:color w:val="auto"/>
          <w:sz w:val="32"/>
          <w:szCs w:val="32"/>
          <w:lang w:val="en-US" w:eastAsia="zh-CN"/>
        </w:rPr>
        <w:t>90</w:t>
      </w:r>
      <w:r>
        <w:rPr>
          <w:rFonts w:hint="default" w:ascii="Times New Roman" w:hAnsi="Times New Roman" w:eastAsia="方正仿宋_GBK" w:cs="Times New Roman"/>
          <w:color w:val="auto"/>
          <w:sz w:val="32"/>
          <w:szCs w:val="32"/>
          <w:lang w:val="en-US" w:eastAsia="zh-CN"/>
        </w:rPr>
        <w:t>余家，</w:t>
      </w:r>
      <w:r>
        <w:rPr>
          <w:rFonts w:hint="default" w:ascii="Times New Roman" w:hAnsi="Times New Roman" w:eastAsia="方正仿宋_GBK" w:cs="Times New Roman"/>
          <w:i w:val="0"/>
          <w:iCs w:val="0"/>
          <w:caps w:val="0"/>
          <w:color w:val="auto"/>
          <w:spacing w:val="0"/>
          <w:sz w:val="32"/>
          <w:szCs w:val="32"/>
          <w:shd w:val="clear" w:fill="FFFFFF"/>
          <w:lang w:eastAsia="zh-CN"/>
        </w:rPr>
        <w:t>规范明码标价行为</w:t>
      </w:r>
      <w:r>
        <w:rPr>
          <w:rFonts w:hint="eastAsia" w:ascii="Times New Roman" w:hAnsi="Times New Roman" w:eastAsia="方正仿宋_GBK" w:cs="Times New Roman"/>
          <w:i w:val="0"/>
          <w:iCs w:val="0"/>
          <w:caps w:val="0"/>
          <w:color w:val="auto"/>
          <w:spacing w:val="0"/>
          <w:sz w:val="32"/>
          <w:szCs w:val="32"/>
          <w:shd w:val="clear" w:fill="FFFFFF"/>
          <w:lang w:val="en-US" w:eastAsia="zh-CN"/>
        </w:rPr>
        <w:t>70</w:t>
      </w:r>
      <w:r>
        <w:rPr>
          <w:rFonts w:hint="default" w:ascii="Times New Roman" w:hAnsi="Times New Roman" w:eastAsia="方正仿宋_GBK" w:cs="Times New Roman"/>
          <w:i w:val="0"/>
          <w:iCs w:val="0"/>
          <w:caps w:val="0"/>
          <w:color w:val="auto"/>
          <w:spacing w:val="0"/>
          <w:sz w:val="32"/>
          <w:szCs w:val="32"/>
          <w:shd w:val="clear" w:fill="FFFFFF"/>
          <w:lang w:eastAsia="zh-CN"/>
        </w:rPr>
        <w:t>余家，发</w:t>
      </w:r>
      <w:r>
        <w:rPr>
          <w:rFonts w:hint="default" w:ascii="Times New Roman" w:hAnsi="Times New Roman" w:eastAsia="方正仿宋_GBK" w:cs="Times New Roman"/>
          <w:i w:val="0"/>
          <w:iCs w:val="0"/>
          <w:caps w:val="0"/>
          <w:color w:val="auto"/>
          <w:spacing w:val="0"/>
          <w:sz w:val="32"/>
          <w:szCs w:val="32"/>
          <w:shd w:val="clear" w:fill="FFFFFF"/>
        </w:rPr>
        <w:t>放标价签</w:t>
      </w:r>
      <w:r>
        <w:rPr>
          <w:rFonts w:hint="eastAsia" w:ascii="仿宋_GB2312" w:hAnsi="仿宋_GB2312" w:eastAsia="仿宋_GB2312" w:cs="仿宋_GB2312"/>
          <w:color w:val="auto"/>
          <w:sz w:val="32"/>
          <w:szCs w:val="32"/>
          <w:lang w:val="en-US" w:eastAsia="zh-CN"/>
        </w:rPr>
        <w:t>18</w:t>
      </w:r>
      <w:r>
        <w:rPr>
          <w:rFonts w:hint="default" w:ascii="Times New Roman" w:hAnsi="Times New Roman" w:eastAsia="方正仿宋_GBK" w:cs="Times New Roman"/>
          <w:i w:val="0"/>
          <w:iCs w:val="0"/>
          <w:caps w:val="0"/>
          <w:color w:val="auto"/>
          <w:spacing w:val="0"/>
          <w:sz w:val="32"/>
          <w:szCs w:val="32"/>
          <w:shd w:val="clear" w:fill="FFFFFF"/>
          <w:lang w:val="en-US" w:eastAsia="zh-CN"/>
        </w:rPr>
        <w:t>万</w:t>
      </w:r>
      <w:r>
        <w:rPr>
          <w:rFonts w:hint="default" w:ascii="Times New Roman" w:hAnsi="Times New Roman" w:eastAsia="方正仿宋_GBK" w:cs="Times New Roman"/>
          <w:i w:val="0"/>
          <w:iCs w:val="0"/>
          <w:caps w:val="0"/>
          <w:color w:val="auto"/>
          <w:spacing w:val="0"/>
          <w:sz w:val="32"/>
          <w:szCs w:val="32"/>
          <w:shd w:val="clear" w:fill="FFFFFF"/>
        </w:rPr>
        <w:t>余张，</w:t>
      </w:r>
      <w:r>
        <w:rPr>
          <w:rFonts w:hint="default" w:ascii="Times New Roman" w:hAnsi="Times New Roman" w:eastAsia="方正仿宋_GBK" w:cs="Times New Roman"/>
          <w:i w:val="0"/>
          <w:iCs w:val="0"/>
          <w:caps w:val="0"/>
          <w:color w:val="auto"/>
          <w:spacing w:val="0"/>
          <w:sz w:val="32"/>
          <w:szCs w:val="32"/>
          <w:shd w:val="clear" w:fill="FFFFFF"/>
          <w:lang w:val="en-US" w:eastAsia="zh-CN"/>
        </w:rPr>
        <w:t>开展各类价格专项监督检查经营户1</w:t>
      </w:r>
      <w:r>
        <w:rPr>
          <w:rFonts w:hint="eastAsia" w:ascii="Times New Roman" w:hAnsi="Times New Roman" w:eastAsia="方正仿宋_GBK" w:cs="Times New Roman"/>
          <w:i w:val="0"/>
          <w:iCs w:val="0"/>
          <w:caps w:val="0"/>
          <w:color w:val="auto"/>
          <w:spacing w:val="0"/>
          <w:sz w:val="32"/>
          <w:szCs w:val="32"/>
          <w:shd w:val="clear" w:fill="FFFFFF"/>
          <w:lang w:val="en-US" w:eastAsia="zh-CN"/>
        </w:rPr>
        <w:t>80</w:t>
      </w:r>
      <w:r>
        <w:rPr>
          <w:rFonts w:hint="default" w:ascii="Times New Roman" w:hAnsi="Times New Roman" w:eastAsia="方正仿宋_GBK" w:cs="Times New Roman"/>
          <w:i w:val="0"/>
          <w:iCs w:val="0"/>
          <w:caps w:val="0"/>
          <w:color w:val="auto"/>
          <w:spacing w:val="0"/>
          <w:sz w:val="32"/>
          <w:szCs w:val="32"/>
          <w:shd w:val="clear" w:fill="FFFFFF"/>
          <w:lang w:val="en-US" w:eastAsia="zh-CN"/>
        </w:rPr>
        <w:t>余</w:t>
      </w:r>
      <w:r>
        <w:rPr>
          <w:rFonts w:hint="eastAsia" w:ascii="Times New Roman" w:hAnsi="Times New Roman" w:eastAsia="方正仿宋_GBK" w:cs="Times New Roman"/>
          <w:i w:val="0"/>
          <w:iCs w:val="0"/>
          <w:caps w:val="0"/>
          <w:color w:val="auto"/>
          <w:spacing w:val="0"/>
          <w:sz w:val="32"/>
          <w:szCs w:val="32"/>
          <w:shd w:val="clear" w:fill="FFFFFF"/>
          <w:lang w:val="en-US" w:eastAsia="zh-CN"/>
        </w:rPr>
        <w:t>家</w:t>
      </w:r>
      <w:r>
        <w:rPr>
          <w:rFonts w:hint="default" w:ascii="Times New Roman" w:hAnsi="Times New Roman" w:eastAsia="方正仿宋_GBK" w:cs="Times New Roman"/>
          <w:i w:val="0"/>
          <w:iCs w:val="0"/>
          <w:caps w:val="0"/>
          <w:color w:val="auto"/>
          <w:spacing w:val="0"/>
          <w:sz w:val="32"/>
          <w:szCs w:val="32"/>
          <w:shd w:val="clear" w:fill="FFFFFF"/>
          <w:lang w:val="en-US" w:eastAsia="zh-CN"/>
        </w:rPr>
        <w:t>次</w:t>
      </w:r>
      <w:r>
        <w:rPr>
          <w:rFonts w:hint="eastAsia" w:ascii="Times New Roman" w:hAnsi="Times New Roman" w:eastAsia="方正仿宋_GBK" w:cs="Times New Roman"/>
          <w:i w:val="0"/>
          <w:iCs w:val="0"/>
          <w:caps w:val="0"/>
          <w:color w:val="auto"/>
          <w:spacing w:val="0"/>
          <w:sz w:val="32"/>
          <w:szCs w:val="32"/>
          <w:shd w:val="clear" w:fill="FFFFFF"/>
          <w:lang w:val="en-US" w:eastAsia="zh-CN"/>
        </w:rPr>
        <w:t>。</w:t>
      </w:r>
    </w:p>
    <w:p>
      <w:pPr>
        <w:pStyle w:val="3"/>
        <w:bidi w:val="0"/>
        <w:ind w:left="0" w:leftChars="0" w:firstLine="0" w:firstLineChars="0"/>
        <w:rPr>
          <w:rFonts w:hint="eastAsia"/>
          <w:sz w:val="32"/>
          <w:szCs w:val="32"/>
          <w:lang w:val="zh-CN"/>
        </w:rPr>
      </w:pPr>
      <w:r>
        <w:rPr>
          <w:rFonts w:hint="eastAsia"/>
          <w:sz w:val="32"/>
          <w:szCs w:val="32"/>
          <w:lang w:val="zh-CN"/>
        </w:rPr>
        <w:t>（二）项目效益情况。</w:t>
      </w:r>
    </w:p>
    <w:p>
      <w:pPr>
        <w:bidi w:val="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（1）经济效益指标。</w:t>
      </w:r>
    </w:p>
    <w:p>
      <w:pPr>
        <w:bidi w:val="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     辖区食品产业健康有序发展的活力逐步提高。</w:t>
      </w:r>
    </w:p>
    <w:p>
      <w:pPr>
        <w:bidi w:val="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（2）社会效益指标。</w:t>
      </w:r>
    </w:p>
    <w:p>
      <w:pPr>
        <w:bidi w:val="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    全县与补助资金相关的重大食品监管责任事故发生数为0，公众饮食安全科普知识素养逐步提高，假冒伪劣产品制售行为不断降低，对市场监管的相关知识熟悉。</w:t>
      </w:r>
    </w:p>
    <w:p>
      <w:pPr>
        <w:bidi w:val="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（3）可持续影响指标。</w:t>
      </w:r>
    </w:p>
    <w:p>
      <w:pPr>
        <w:bidi w:val="0"/>
        <w:ind w:firstLine="640" w:firstLineChars="20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食品安全基层监管队伍整体素质和装备配置水平逐年提高，均达到年初下达指标数。</w:t>
      </w:r>
    </w:p>
    <w:p>
      <w:pPr>
        <w:bidi w:val="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（4）满意度指标。</w:t>
      </w:r>
    </w:p>
    <w:p>
      <w:pPr>
        <w:bidi w:val="0"/>
        <w:ind w:firstLine="640" w:firstLineChars="20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一是重大活动食品安全保障对象满意度均达到年初预期指标值。</w:t>
      </w:r>
    </w:p>
    <w:p>
      <w:pPr>
        <w:bidi w:val="0"/>
        <w:ind w:firstLine="640" w:firstLineChars="200"/>
        <w:rPr>
          <w:rFonts w:hint="eastAsia" w:ascii="方正仿宋_GBK" w:hAnsi="方正仿宋_GBK" w:eastAsia="方正仿宋_GBK" w:cs="方正仿宋_GBK"/>
          <w:sz w:val="32"/>
          <w:szCs w:val="32"/>
          <w:lang w:val="zh-CN" w:eastAsia="zh-CN"/>
        </w:rPr>
      </w:pPr>
      <w:r>
        <w:rPr>
          <w:rFonts w:hint="eastAsia" w:ascii="方正仿宋_GBK" w:hAnsi="方正仿宋_GBK" w:eastAsia="方正仿宋_GBK" w:cs="方正仿宋_GBK"/>
          <w:sz w:val="32"/>
          <w:szCs w:val="32"/>
          <w:lang w:val="en-US" w:eastAsia="zh-CN"/>
        </w:rPr>
        <w:t>二是对市场监管的相关业务的了解逐步提高。</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黑体" w:eastAsia="黑体"/>
          <w:sz w:val="32"/>
          <w:szCs w:val="32"/>
        </w:rPr>
      </w:pPr>
      <w:r>
        <w:rPr>
          <w:rFonts w:hint="eastAsia" w:ascii="黑体" w:eastAsia="黑体"/>
          <w:sz w:val="32"/>
          <w:szCs w:val="32"/>
        </w:rPr>
        <w:t>四、问题及建议</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楷体_GB2312" w:eastAsia="楷体_GB2312"/>
          <w:b/>
          <w:sz w:val="32"/>
          <w:szCs w:val="32"/>
          <w:lang w:val="zh-CN"/>
        </w:rPr>
      </w:pPr>
      <w:r>
        <w:rPr>
          <w:rFonts w:hint="eastAsia" w:ascii="楷体_GB2312" w:eastAsia="楷体_GB2312"/>
          <w:b/>
          <w:sz w:val="32"/>
          <w:szCs w:val="32"/>
          <w:lang w:val="zh-CN"/>
        </w:rPr>
        <w:t>（一）存在的问题。</w:t>
      </w:r>
    </w:p>
    <w:p>
      <w:pPr>
        <w:pStyle w:val="2"/>
        <w:rPr>
          <w:b w:val="0"/>
          <w:bCs/>
          <w:sz w:val="32"/>
          <w:szCs w:val="32"/>
          <w:lang w:val="zh-CN"/>
        </w:rPr>
      </w:pPr>
      <w:r>
        <w:rPr>
          <w:rFonts w:hint="eastAsia" w:ascii="楷体_GB2312" w:eastAsia="楷体_GB2312"/>
          <w:b w:val="0"/>
          <w:bCs/>
          <w:sz w:val="32"/>
          <w:szCs w:val="32"/>
          <w:lang w:val="zh-CN"/>
        </w:rPr>
        <w:t>无</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楷体_GB2312" w:eastAsia="楷体_GB2312"/>
          <w:b/>
          <w:sz w:val="32"/>
          <w:szCs w:val="32"/>
          <w:lang w:val="zh-CN"/>
        </w:rPr>
      </w:pPr>
      <w:r>
        <w:rPr>
          <w:rFonts w:hint="eastAsia" w:ascii="楷体_GB2312" w:eastAsia="楷体_GB2312"/>
          <w:b/>
          <w:sz w:val="32"/>
          <w:szCs w:val="32"/>
          <w:lang w:val="zh-CN"/>
        </w:rPr>
        <w:t>（二）相关建议。</w:t>
      </w:r>
    </w:p>
    <w:p>
      <w:pPr>
        <w:keepNext w:val="0"/>
        <w:keepLines w:val="0"/>
        <w:pageBreakBefore w:val="0"/>
        <w:widowControl w:val="0"/>
        <w:kinsoku/>
        <w:wordWrap/>
        <w:overflowPunct/>
        <w:topLinePunct w:val="0"/>
        <w:autoSpaceDE/>
        <w:autoSpaceDN/>
        <w:bidi w:val="0"/>
        <w:adjustRightInd w:val="0"/>
        <w:snapToGrid w:val="0"/>
        <w:spacing w:line="600" w:lineRule="exact"/>
        <w:ind w:firstLine="1360" w:firstLineChars="425"/>
        <w:textAlignment w:val="auto"/>
        <w:rPr>
          <w:rFonts w:hint="eastAsia" w:ascii="仿宋_GB2312"/>
          <w:sz w:val="32"/>
          <w:szCs w:val="32"/>
          <w:lang w:val="zh-CN"/>
        </w:rPr>
      </w:pPr>
      <w:r>
        <w:rPr>
          <w:rFonts w:hint="eastAsia" w:ascii="仿宋_GB2312"/>
          <w:sz w:val="32"/>
          <w:szCs w:val="32"/>
          <w:lang w:val="zh-CN"/>
        </w:rPr>
        <w:t>无</w:t>
      </w:r>
    </w:p>
    <w:p>
      <w:pPr>
        <w:pStyle w:val="8"/>
        <w:keepNext w:val="0"/>
        <w:keepLines w:val="0"/>
        <w:widowControl/>
        <w:suppressLineNumbers w:val="0"/>
        <w:jc w:val="center"/>
      </w:pPr>
      <w:r>
        <w:t> </w:t>
      </w:r>
    </w:p>
    <w:p>
      <w:pPr>
        <w:pStyle w:val="8"/>
        <w:keepNext w:val="0"/>
        <w:keepLines w:val="0"/>
        <w:widowControl/>
        <w:suppressLineNumbers w:val="0"/>
      </w:pPr>
      <w:r>
        <w:t>附表</w:t>
      </w:r>
    </w:p>
    <w:tbl>
      <w:tblPr>
        <w:tblStyle w:val="9"/>
        <w:tblW w:w="8321" w:type="dxa"/>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698"/>
        <w:gridCol w:w="1014"/>
        <w:gridCol w:w="1417"/>
        <w:gridCol w:w="1051"/>
        <w:gridCol w:w="1089"/>
        <w:gridCol w:w="2052"/>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75" w:hRule="atLeast"/>
          <w:tblCellSpacing w:w="0" w:type="dxa"/>
        </w:trPr>
        <w:tc>
          <w:tcPr>
            <w:tcW w:w="8321" w:type="dxa"/>
            <w:gridSpan w:val="6"/>
            <w:shd w:val="clear" w:color="auto" w:fill="auto"/>
            <w:noWrap/>
            <w:vAlign w:val="center"/>
          </w:tcPr>
          <w:p>
            <w:pPr>
              <w:pStyle w:val="8"/>
              <w:keepNext w:val="0"/>
              <w:keepLines w:val="0"/>
              <w:widowControl/>
              <w:suppressLineNumbers w:val="0"/>
              <w:jc w:val="center"/>
            </w:pPr>
            <w:r>
              <w:rPr>
                <w:rStyle w:val="11"/>
              </w:rPr>
              <w:t>2022年50万元以上（含）特定目标类部门预算项目绩效目标自评</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56" w:hRule="atLeast"/>
          <w:tblCellSpacing w:w="0" w:type="dxa"/>
        </w:trPr>
        <w:tc>
          <w:tcPr>
            <w:tcW w:w="2711" w:type="dxa"/>
            <w:gridSpan w:val="2"/>
            <w:shd w:val="clear" w:color="auto" w:fill="auto"/>
            <w:noWrap/>
            <w:vAlign w:val="center"/>
          </w:tcPr>
          <w:p>
            <w:pPr>
              <w:pStyle w:val="8"/>
              <w:keepNext w:val="0"/>
              <w:keepLines w:val="0"/>
              <w:widowControl/>
              <w:suppressLineNumbers w:val="0"/>
              <w:jc w:val="center"/>
            </w:pPr>
            <w:r>
              <w:t>主管部门及代码</w:t>
            </w:r>
          </w:p>
        </w:tc>
        <w:tc>
          <w:tcPr>
            <w:tcW w:w="2462" w:type="dxa"/>
            <w:gridSpan w:val="2"/>
            <w:shd w:val="clear" w:color="auto" w:fill="auto"/>
            <w:noWrap/>
            <w:vAlign w:val="center"/>
          </w:tcPr>
          <w:p>
            <w:pPr>
              <w:pStyle w:val="8"/>
              <w:keepNext w:val="0"/>
              <w:keepLines w:val="0"/>
              <w:widowControl/>
              <w:suppressLineNumbers w:val="0"/>
              <w:jc w:val="center"/>
              <w:rPr>
                <w:rFonts w:hint="default" w:eastAsiaTheme="minorEastAsia"/>
                <w:lang w:val="en-US" w:eastAsia="zh-CN"/>
              </w:rPr>
            </w:pPr>
            <w:r>
              <w:t> </w:t>
            </w:r>
            <w:r>
              <w:rPr>
                <w:rFonts w:hint="eastAsia"/>
                <w:lang w:val="en-US" w:eastAsia="zh-CN"/>
              </w:rPr>
              <w:t>143001</w:t>
            </w:r>
          </w:p>
        </w:tc>
        <w:tc>
          <w:tcPr>
            <w:tcW w:w="1082" w:type="dxa"/>
            <w:shd w:val="clear" w:color="auto" w:fill="auto"/>
            <w:noWrap/>
            <w:vAlign w:val="center"/>
          </w:tcPr>
          <w:p>
            <w:pPr>
              <w:pStyle w:val="8"/>
              <w:keepNext w:val="0"/>
              <w:keepLines w:val="0"/>
              <w:widowControl/>
              <w:suppressLineNumbers w:val="0"/>
              <w:jc w:val="center"/>
            </w:pPr>
            <w:r>
              <w:t>实施单位</w:t>
            </w:r>
          </w:p>
        </w:tc>
        <w:tc>
          <w:tcPr>
            <w:tcW w:w="2066" w:type="dxa"/>
            <w:shd w:val="clear" w:color="auto" w:fill="auto"/>
            <w:noWrap/>
            <w:vAlign w:val="center"/>
          </w:tcPr>
          <w:p>
            <w:pPr>
              <w:pStyle w:val="8"/>
              <w:keepNext w:val="0"/>
              <w:keepLines w:val="0"/>
              <w:widowControl/>
              <w:suppressLineNumbers w:val="0"/>
              <w:jc w:val="center"/>
            </w:pPr>
            <w:r>
              <w:rPr>
                <w:rFonts w:hint="eastAsia"/>
                <w:lang w:eastAsia="zh-CN"/>
              </w:rPr>
              <w:t>红原县市场监督管理局</w:t>
            </w: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45" w:hRule="atLeast"/>
          <w:tblCellSpacing w:w="0" w:type="dxa"/>
        </w:trPr>
        <w:tc>
          <w:tcPr>
            <w:tcW w:w="2711" w:type="dxa"/>
            <w:gridSpan w:val="2"/>
            <w:vMerge w:val="restart"/>
            <w:shd w:val="clear" w:color="auto" w:fill="auto"/>
            <w:noWrap/>
            <w:vAlign w:val="center"/>
          </w:tcPr>
          <w:p>
            <w:pPr>
              <w:pStyle w:val="8"/>
              <w:keepNext w:val="0"/>
              <w:keepLines w:val="0"/>
              <w:widowControl/>
              <w:suppressLineNumbers w:val="0"/>
              <w:jc w:val="center"/>
            </w:pPr>
            <w:r>
              <w:t>项目预算</w:t>
            </w:r>
          </w:p>
          <w:p>
            <w:pPr>
              <w:pStyle w:val="8"/>
              <w:keepNext w:val="0"/>
              <w:keepLines w:val="0"/>
              <w:widowControl/>
              <w:suppressLineNumbers w:val="0"/>
              <w:jc w:val="center"/>
            </w:pPr>
            <w:r>
              <w:t>执行情况</w:t>
            </w:r>
          </w:p>
          <w:p>
            <w:pPr>
              <w:pStyle w:val="8"/>
              <w:keepNext w:val="0"/>
              <w:keepLines w:val="0"/>
              <w:widowControl/>
              <w:suppressLineNumbers w:val="0"/>
              <w:jc w:val="center"/>
            </w:pPr>
            <w:r>
              <w:t>（万元）</w:t>
            </w:r>
          </w:p>
        </w:tc>
        <w:tc>
          <w:tcPr>
            <w:tcW w:w="1418" w:type="dxa"/>
            <w:shd w:val="clear" w:color="auto" w:fill="auto"/>
            <w:noWrap/>
            <w:vAlign w:val="center"/>
          </w:tcPr>
          <w:p>
            <w:pPr>
              <w:pStyle w:val="8"/>
              <w:keepNext w:val="0"/>
              <w:keepLines w:val="0"/>
              <w:widowControl/>
              <w:suppressLineNumbers w:val="0"/>
              <w:jc w:val="center"/>
            </w:pPr>
            <w:r>
              <w:t> 预算数：</w:t>
            </w:r>
          </w:p>
        </w:tc>
        <w:tc>
          <w:tcPr>
            <w:tcW w:w="1044" w:type="dxa"/>
            <w:shd w:val="clear" w:color="auto" w:fill="auto"/>
            <w:noWrap/>
            <w:vAlign w:val="center"/>
          </w:tcPr>
          <w:p>
            <w:pPr>
              <w:pStyle w:val="8"/>
              <w:keepNext w:val="0"/>
              <w:keepLines w:val="0"/>
              <w:widowControl/>
              <w:suppressLineNumbers w:val="0"/>
              <w:jc w:val="center"/>
              <w:rPr>
                <w:rFonts w:hint="default" w:eastAsiaTheme="minorEastAsia"/>
                <w:lang w:val="en-US" w:eastAsia="zh-CN"/>
              </w:rPr>
            </w:pPr>
            <w:r>
              <w:t> </w:t>
            </w:r>
            <w:r>
              <w:rPr>
                <w:rFonts w:hint="eastAsia"/>
                <w:lang w:val="en-US" w:eastAsia="zh-CN"/>
              </w:rPr>
              <w:t>55</w:t>
            </w:r>
          </w:p>
        </w:tc>
        <w:tc>
          <w:tcPr>
            <w:tcW w:w="1082" w:type="dxa"/>
            <w:shd w:val="clear" w:color="auto" w:fill="auto"/>
            <w:noWrap/>
            <w:vAlign w:val="center"/>
          </w:tcPr>
          <w:p>
            <w:pPr>
              <w:pStyle w:val="8"/>
              <w:keepNext w:val="0"/>
              <w:keepLines w:val="0"/>
              <w:widowControl/>
              <w:suppressLineNumbers w:val="0"/>
              <w:jc w:val="center"/>
            </w:pPr>
            <w:r>
              <w:t> 执行数：</w:t>
            </w:r>
          </w:p>
        </w:tc>
        <w:tc>
          <w:tcPr>
            <w:tcW w:w="2066" w:type="dxa"/>
            <w:shd w:val="clear" w:color="auto" w:fill="auto"/>
            <w:noWrap/>
            <w:vAlign w:val="center"/>
          </w:tcPr>
          <w:p>
            <w:pPr>
              <w:pStyle w:val="8"/>
              <w:keepNext w:val="0"/>
              <w:keepLines w:val="0"/>
              <w:widowControl/>
              <w:suppressLineNumbers w:val="0"/>
              <w:jc w:val="center"/>
              <w:rPr>
                <w:rFonts w:hint="default" w:eastAsiaTheme="minorEastAsia"/>
                <w:lang w:val="en-US" w:eastAsia="zh-CN"/>
              </w:rPr>
            </w:pPr>
            <w:r>
              <w:t> </w:t>
            </w:r>
            <w:r>
              <w:rPr>
                <w:rFonts w:hint="eastAsia"/>
                <w:lang w:val="en-US" w:eastAsia="zh-CN"/>
              </w:rPr>
              <w:t>54.3</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55" w:hRule="atLeast"/>
          <w:tblCellSpacing w:w="0" w:type="dxa"/>
        </w:trPr>
        <w:tc>
          <w:tcPr>
            <w:tcW w:w="2711" w:type="dxa"/>
            <w:gridSpan w:val="2"/>
            <w:vMerge w:val="continue"/>
            <w:shd w:val="clear" w:color="auto" w:fill="auto"/>
            <w:noWrap/>
            <w:vAlign w:val="center"/>
          </w:tcPr>
          <w:p>
            <w:pPr>
              <w:rPr>
                <w:rFonts w:hint="eastAsia" w:ascii="宋体"/>
                <w:sz w:val="24"/>
                <w:szCs w:val="24"/>
              </w:rPr>
            </w:pPr>
          </w:p>
        </w:tc>
        <w:tc>
          <w:tcPr>
            <w:tcW w:w="1418" w:type="dxa"/>
            <w:shd w:val="clear" w:color="auto" w:fill="auto"/>
            <w:noWrap/>
            <w:vAlign w:val="center"/>
          </w:tcPr>
          <w:p>
            <w:pPr>
              <w:pStyle w:val="8"/>
              <w:keepNext w:val="0"/>
              <w:keepLines w:val="0"/>
              <w:widowControl/>
              <w:suppressLineNumbers w:val="0"/>
              <w:jc w:val="center"/>
            </w:pPr>
            <w:r>
              <w:t>其中：</w:t>
            </w:r>
          </w:p>
          <w:p>
            <w:pPr>
              <w:pStyle w:val="8"/>
              <w:keepNext w:val="0"/>
              <w:keepLines w:val="0"/>
              <w:widowControl/>
              <w:suppressLineNumbers w:val="0"/>
              <w:jc w:val="center"/>
            </w:pPr>
            <w:r>
              <w:t>财政拨款</w:t>
            </w:r>
          </w:p>
        </w:tc>
        <w:tc>
          <w:tcPr>
            <w:tcW w:w="1044" w:type="dxa"/>
            <w:shd w:val="clear" w:color="auto" w:fill="auto"/>
            <w:noWrap/>
            <w:vAlign w:val="center"/>
          </w:tcPr>
          <w:p>
            <w:pPr>
              <w:pStyle w:val="8"/>
              <w:keepNext w:val="0"/>
              <w:keepLines w:val="0"/>
              <w:widowControl/>
              <w:suppressLineNumbers w:val="0"/>
              <w:jc w:val="center"/>
            </w:pPr>
            <w:r>
              <w:rPr>
                <w:rFonts w:hint="eastAsia"/>
                <w:lang w:val="en-US" w:eastAsia="zh-CN"/>
              </w:rPr>
              <w:t>55</w:t>
            </w:r>
            <w:r>
              <w:t> </w:t>
            </w:r>
          </w:p>
        </w:tc>
        <w:tc>
          <w:tcPr>
            <w:tcW w:w="1082" w:type="dxa"/>
            <w:shd w:val="clear" w:color="auto" w:fill="auto"/>
            <w:noWrap/>
            <w:vAlign w:val="center"/>
          </w:tcPr>
          <w:p>
            <w:pPr>
              <w:pStyle w:val="8"/>
              <w:keepNext w:val="0"/>
              <w:keepLines w:val="0"/>
              <w:widowControl/>
              <w:suppressLineNumbers w:val="0"/>
              <w:jc w:val="center"/>
            </w:pPr>
            <w:r>
              <w:t>其中：</w:t>
            </w:r>
          </w:p>
          <w:p>
            <w:pPr>
              <w:pStyle w:val="8"/>
              <w:keepNext w:val="0"/>
              <w:keepLines w:val="0"/>
              <w:widowControl/>
              <w:suppressLineNumbers w:val="0"/>
              <w:jc w:val="center"/>
            </w:pPr>
            <w:r>
              <w:t>财政拨款</w:t>
            </w:r>
          </w:p>
        </w:tc>
        <w:tc>
          <w:tcPr>
            <w:tcW w:w="2066" w:type="dxa"/>
            <w:shd w:val="clear" w:color="auto" w:fill="auto"/>
            <w:noWrap/>
            <w:vAlign w:val="center"/>
          </w:tcPr>
          <w:p>
            <w:pPr>
              <w:pStyle w:val="8"/>
              <w:keepNext w:val="0"/>
              <w:keepLines w:val="0"/>
              <w:widowControl/>
              <w:suppressLineNumbers w:val="0"/>
              <w:jc w:val="center"/>
              <w:rPr>
                <w:rFonts w:hint="default" w:eastAsiaTheme="minorEastAsia"/>
                <w:lang w:val="en-US" w:eastAsia="zh-CN"/>
              </w:rPr>
            </w:pPr>
            <w:r>
              <w:t> </w:t>
            </w:r>
            <w:r>
              <w:rPr>
                <w:rFonts w:hint="eastAsia"/>
                <w:lang w:val="en-US" w:eastAsia="zh-CN"/>
              </w:rPr>
              <w:t>54.3</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45" w:hRule="atLeast"/>
          <w:tblCellSpacing w:w="0" w:type="dxa"/>
        </w:trPr>
        <w:tc>
          <w:tcPr>
            <w:tcW w:w="2711" w:type="dxa"/>
            <w:gridSpan w:val="2"/>
            <w:vMerge w:val="continue"/>
            <w:shd w:val="clear" w:color="auto" w:fill="auto"/>
            <w:noWrap/>
            <w:vAlign w:val="center"/>
          </w:tcPr>
          <w:p>
            <w:pPr>
              <w:rPr>
                <w:rFonts w:hint="eastAsia" w:ascii="宋体"/>
                <w:sz w:val="24"/>
                <w:szCs w:val="24"/>
              </w:rPr>
            </w:pPr>
          </w:p>
        </w:tc>
        <w:tc>
          <w:tcPr>
            <w:tcW w:w="1418" w:type="dxa"/>
            <w:shd w:val="clear" w:color="auto" w:fill="auto"/>
            <w:noWrap/>
            <w:vAlign w:val="center"/>
          </w:tcPr>
          <w:p>
            <w:pPr>
              <w:pStyle w:val="8"/>
              <w:keepNext w:val="0"/>
              <w:keepLines w:val="0"/>
              <w:widowControl/>
              <w:suppressLineNumbers w:val="0"/>
              <w:jc w:val="center"/>
            </w:pPr>
            <w:r>
              <w:t>其他资金</w:t>
            </w:r>
          </w:p>
        </w:tc>
        <w:tc>
          <w:tcPr>
            <w:tcW w:w="1044" w:type="dxa"/>
            <w:shd w:val="clear" w:color="auto" w:fill="auto"/>
            <w:noWrap/>
            <w:vAlign w:val="center"/>
          </w:tcPr>
          <w:p>
            <w:pPr>
              <w:pStyle w:val="8"/>
              <w:keepNext w:val="0"/>
              <w:keepLines w:val="0"/>
              <w:widowControl/>
              <w:suppressLineNumbers w:val="0"/>
              <w:jc w:val="center"/>
            </w:pPr>
            <w:r>
              <w:t> </w:t>
            </w:r>
          </w:p>
        </w:tc>
        <w:tc>
          <w:tcPr>
            <w:tcW w:w="1082" w:type="dxa"/>
            <w:shd w:val="clear" w:color="auto" w:fill="auto"/>
            <w:noWrap/>
            <w:vAlign w:val="center"/>
          </w:tcPr>
          <w:p>
            <w:pPr>
              <w:pStyle w:val="8"/>
              <w:keepNext w:val="0"/>
              <w:keepLines w:val="0"/>
              <w:widowControl/>
              <w:suppressLineNumbers w:val="0"/>
              <w:jc w:val="center"/>
            </w:pPr>
            <w:r>
              <w:t>其他资金</w:t>
            </w:r>
          </w:p>
        </w:tc>
        <w:tc>
          <w:tcPr>
            <w:tcW w:w="2066" w:type="dxa"/>
            <w:shd w:val="clear" w:color="auto" w:fill="auto"/>
            <w:noWrap/>
            <w:vAlign w:val="center"/>
          </w:tcPr>
          <w:p>
            <w:pPr>
              <w:pStyle w:val="8"/>
              <w:keepNext w:val="0"/>
              <w:keepLines w:val="0"/>
              <w:widowControl/>
              <w:suppressLineNumbers w:val="0"/>
              <w:jc w:val="center"/>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11" w:hRule="atLeast"/>
          <w:tblCellSpacing w:w="0" w:type="dxa"/>
        </w:trPr>
        <w:tc>
          <w:tcPr>
            <w:tcW w:w="1705" w:type="dxa"/>
            <w:vMerge w:val="restart"/>
            <w:shd w:val="clear" w:color="auto" w:fill="auto"/>
            <w:noWrap/>
            <w:vAlign w:val="center"/>
          </w:tcPr>
          <w:p>
            <w:pPr>
              <w:pStyle w:val="8"/>
              <w:keepNext w:val="0"/>
              <w:keepLines w:val="0"/>
              <w:widowControl/>
              <w:suppressLineNumbers w:val="0"/>
              <w:jc w:val="center"/>
            </w:pPr>
            <w:r>
              <w:t>年度总体目标</w:t>
            </w:r>
          </w:p>
          <w:p>
            <w:pPr>
              <w:pStyle w:val="8"/>
              <w:keepNext w:val="0"/>
              <w:keepLines w:val="0"/>
              <w:widowControl/>
              <w:suppressLineNumbers w:val="0"/>
              <w:jc w:val="center"/>
            </w:pPr>
            <w:r>
              <w:t>完成情况</w:t>
            </w:r>
          </w:p>
        </w:tc>
        <w:tc>
          <w:tcPr>
            <w:tcW w:w="3468" w:type="dxa"/>
            <w:gridSpan w:val="3"/>
            <w:shd w:val="clear" w:color="auto" w:fill="auto"/>
            <w:noWrap/>
            <w:vAlign w:val="center"/>
          </w:tcPr>
          <w:p>
            <w:pPr>
              <w:pStyle w:val="8"/>
              <w:keepNext w:val="0"/>
              <w:keepLines w:val="0"/>
              <w:widowControl/>
              <w:suppressLineNumbers w:val="0"/>
              <w:jc w:val="center"/>
            </w:pPr>
            <w:r>
              <w:t>预期目标</w:t>
            </w:r>
          </w:p>
        </w:tc>
        <w:tc>
          <w:tcPr>
            <w:tcW w:w="3148" w:type="dxa"/>
            <w:gridSpan w:val="2"/>
            <w:shd w:val="clear" w:color="auto" w:fill="auto"/>
            <w:noWrap/>
            <w:vAlign w:val="center"/>
          </w:tcPr>
          <w:p>
            <w:pPr>
              <w:pStyle w:val="8"/>
              <w:keepNext w:val="0"/>
              <w:keepLines w:val="0"/>
              <w:widowControl/>
              <w:suppressLineNumbers w:val="0"/>
              <w:jc w:val="center"/>
            </w:pPr>
            <w:r>
              <w:t>目标实际完成情况</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95" w:hRule="atLeast"/>
          <w:tblCellSpacing w:w="0" w:type="dxa"/>
        </w:trPr>
        <w:tc>
          <w:tcPr>
            <w:tcW w:w="1705" w:type="dxa"/>
            <w:vMerge w:val="continue"/>
            <w:shd w:val="clear" w:color="auto" w:fill="auto"/>
            <w:noWrap/>
            <w:vAlign w:val="center"/>
          </w:tcPr>
          <w:p>
            <w:pPr>
              <w:rPr>
                <w:rFonts w:hint="eastAsia" w:ascii="宋体"/>
                <w:sz w:val="24"/>
                <w:szCs w:val="24"/>
              </w:rPr>
            </w:pPr>
          </w:p>
        </w:tc>
        <w:tc>
          <w:tcPr>
            <w:tcW w:w="3468" w:type="dxa"/>
            <w:gridSpan w:val="3"/>
            <w:shd w:val="clear" w:color="auto" w:fill="auto"/>
            <w:noWrap/>
            <w:vAlign w:val="center"/>
          </w:tcPr>
          <w:p>
            <w:pPr>
              <w:pStyle w:val="8"/>
              <w:keepNext w:val="0"/>
              <w:keepLines w:val="0"/>
              <w:widowControl/>
              <w:suppressLineNumbers w:val="0"/>
              <w:jc w:val="center"/>
            </w:pPr>
            <w:r>
              <w:rPr>
                <w:rFonts w:hint="eastAsia"/>
                <w:lang w:eastAsia="zh-CN"/>
              </w:rPr>
              <w:t>用于红原县牦牛制品检验检测中心电压稳定，保障中心平稳运行</w:t>
            </w:r>
            <w:r>
              <w:t> </w:t>
            </w:r>
          </w:p>
        </w:tc>
        <w:tc>
          <w:tcPr>
            <w:tcW w:w="3148" w:type="dxa"/>
            <w:gridSpan w:val="2"/>
            <w:shd w:val="clear" w:color="auto" w:fill="auto"/>
            <w:noWrap/>
            <w:vAlign w:val="center"/>
          </w:tcPr>
          <w:p>
            <w:pPr>
              <w:pStyle w:val="8"/>
              <w:keepNext w:val="0"/>
              <w:keepLines w:val="0"/>
              <w:widowControl/>
              <w:suppressLineNumbers w:val="0"/>
              <w:jc w:val="center"/>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90" w:hRule="atLeast"/>
          <w:tblCellSpacing w:w="0" w:type="dxa"/>
        </w:trPr>
        <w:tc>
          <w:tcPr>
            <w:tcW w:w="1705" w:type="dxa"/>
            <w:vMerge w:val="restart"/>
            <w:shd w:val="clear" w:color="auto" w:fill="auto"/>
            <w:noWrap/>
            <w:vAlign w:val="center"/>
          </w:tcPr>
          <w:p>
            <w:pPr>
              <w:pStyle w:val="8"/>
              <w:keepNext w:val="0"/>
              <w:keepLines w:val="0"/>
              <w:widowControl/>
              <w:suppressLineNumbers w:val="0"/>
              <w:jc w:val="center"/>
            </w:pPr>
            <w:r>
              <w:t>年度绩效指标完成情况</w:t>
            </w:r>
          </w:p>
        </w:tc>
        <w:tc>
          <w:tcPr>
            <w:tcW w:w="1006" w:type="dxa"/>
            <w:shd w:val="clear" w:color="auto" w:fill="auto"/>
            <w:noWrap/>
            <w:vAlign w:val="center"/>
          </w:tcPr>
          <w:p>
            <w:pPr>
              <w:pStyle w:val="8"/>
              <w:keepNext w:val="0"/>
              <w:keepLines w:val="0"/>
              <w:widowControl/>
              <w:suppressLineNumbers w:val="0"/>
              <w:jc w:val="center"/>
            </w:pPr>
            <w:r>
              <w:t>一级</w:t>
            </w:r>
          </w:p>
          <w:p>
            <w:pPr>
              <w:pStyle w:val="8"/>
              <w:keepNext w:val="0"/>
              <w:keepLines w:val="0"/>
              <w:widowControl/>
              <w:suppressLineNumbers w:val="0"/>
              <w:jc w:val="center"/>
            </w:pPr>
            <w:r>
              <w:t>指标</w:t>
            </w:r>
          </w:p>
        </w:tc>
        <w:tc>
          <w:tcPr>
            <w:tcW w:w="1418" w:type="dxa"/>
            <w:shd w:val="clear" w:color="auto" w:fill="auto"/>
            <w:noWrap/>
            <w:vAlign w:val="center"/>
          </w:tcPr>
          <w:p>
            <w:pPr>
              <w:pStyle w:val="8"/>
              <w:keepNext w:val="0"/>
              <w:keepLines w:val="0"/>
              <w:widowControl/>
              <w:suppressLineNumbers w:val="0"/>
              <w:jc w:val="center"/>
            </w:pPr>
            <w:r>
              <w:t>二级</w:t>
            </w:r>
          </w:p>
          <w:p>
            <w:pPr>
              <w:pStyle w:val="8"/>
              <w:keepNext w:val="0"/>
              <w:keepLines w:val="0"/>
              <w:widowControl/>
              <w:suppressLineNumbers w:val="0"/>
              <w:jc w:val="center"/>
            </w:pPr>
            <w:r>
              <w:t>指标</w:t>
            </w:r>
          </w:p>
        </w:tc>
        <w:tc>
          <w:tcPr>
            <w:tcW w:w="1044" w:type="dxa"/>
            <w:shd w:val="clear" w:color="auto" w:fill="auto"/>
            <w:noWrap/>
            <w:vAlign w:val="center"/>
          </w:tcPr>
          <w:p>
            <w:pPr>
              <w:pStyle w:val="8"/>
              <w:keepNext w:val="0"/>
              <w:keepLines w:val="0"/>
              <w:widowControl/>
              <w:suppressLineNumbers w:val="0"/>
              <w:jc w:val="center"/>
            </w:pPr>
            <w:r>
              <w:t>三级</w:t>
            </w:r>
          </w:p>
          <w:p>
            <w:pPr>
              <w:pStyle w:val="8"/>
              <w:keepNext w:val="0"/>
              <w:keepLines w:val="0"/>
              <w:widowControl/>
              <w:suppressLineNumbers w:val="0"/>
              <w:jc w:val="center"/>
            </w:pPr>
            <w:r>
              <w:t>指标</w:t>
            </w:r>
          </w:p>
        </w:tc>
        <w:tc>
          <w:tcPr>
            <w:tcW w:w="1082" w:type="dxa"/>
            <w:shd w:val="clear" w:color="auto" w:fill="auto"/>
            <w:noWrap/>
            <w:vAlign w:val="center"/>
          </w:tcPr>
          <w:p>
            <w:pPr>
              <w:pStyle w:val="8"/>
              <w:keepNext w:val="0"/>
              <w:keepLines w:val="0"/>
              <w:widowControl/>
              <w:suppressLineNumbers w:val="0"/>
              <w:jc w:val="center"/>
            </w:pPr>
            <w:r>
              <w:t>预期指标值</w:t>
            </w:r>
          </w:p>
        </w:tc>
        <w:tc>
          <w:tcPr>
            <w:tcW w:w="2066" w:type="dxa"/>
            <w:shd w:val="clear" w:color="auto" w:fill="auto"/>
            <w:noWrap/>
            <w:vAlign w:val="center"/>
          </w:tcPr>
          <w:p>
            <w:pPr>
              <w:pStyle w:val="8"/>
              <w:keepNext w:val="0"/>
              <w:keepLines w:val="0"/>
              <w:widowControl/>
              <w:suppressLineNumbers w:val="0"/>
              <w:jc w:val="center"/>
            </w:pPr>
            <w:r>
              <w:t>实际完成指标值</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20" w:hRule="atLeast"/>
          <w:tblCellSpacing w:w="0" w:type="dxa"/>
        </w:trPr>
        <w:tc>
          <w:tcPr>
            <w:tcW w:w="1705" w:type="dxa"/>
            <w:vMerge w:val="continue"/>
            <w:shd w:val="clear" w:color="auto" w:fill="auto"/>
            <w:noWrap/>
            <w:vAlign w:val="center"/>
          </w:tcPr>
          <w:p>
            <w:pPr>
              <w:rPr>
                <w:rFonts w:hint="eastAsia" w:ascii="宋体"/>
                <w:sz w:val="24"/>
                <w:szCs w:val="24"/>
              </w:rPr>
            </w:pPr>
          </w:p>
        </w:tc>
        <w:tc>
          <w:tcPr>
            <w:tcW w:w="1006" w:type="dxa"/>
            <w:vMerge w:val="restart"/>
            <w:shd w:val="clear" w:color="auto" w:fill="auto"/>
            <w:noWrap/>
            <w:vAlign w:val="center"/>
          </w:tcPr>
          <w:p>
            <w:pPr>
              <w:pStyle w:val="8"/>
              <w:keepNext w:val="0"/>
              <w:keepLines w:val="0"/>
              <w:widowControl/>
              <w:suppressLineNumbers w:val="0"/>
              <w:jc w:val="center"/>
            </w:pPr>
            <w:r>
              <w:t>完成</w:t>
            </w:r>
          </w:p>
          <w:p>
            <w:pPr>
              <w:pStyle w:val="8"/>
              <w:keepNext w:val="0"/>
              <w:keepLines w:val="0"/>
              <w:widowControl/>
              <w:suppressLineNumbers w:val="0"/>
              <w:jc w:val="center"/>
            </w:pPr>
            <w:r>
              <w:t>指标</w:t>
            </w:r>
          </w:p>
        </w:tc>
        <w:tc>
          <w:tcPr>
            <w:tcW w:w="1418" w:type="dxa"/>
            <w:shd w:val="clear" w:color="auto" w:fill="auto"/>
            <w:noWrap/>
            <w:vAlign w:val="center"/>
          </w:tcPr>
          <w:p>
            <w:pPr>
              <w:pStyle w:val="8"/>
              <w:keepNext w:val="0"/>
              <w:keepLines w:val="0"/>
              <w:widowControl/>
              <w:suppressLineNumbers w:val="0"/>
              <w:jc w:val="center"/>
            </w:pPr>
            <w:r>
              <w:t>数量指标</w:t>
            </w:r>
          </w:p>
        </w:tc>
        <w:tc>
          <w:tcPr>
            <w:tcW w:w="1044" w:type="dxa"/>
            <w:shd w:val="clear" w:color="auto" w:fill="auto"/>
            <w:noWrap/>
            <w:vAlign w:val="center"/>
          </w:tcPr>
          <w:p>
            <w:pPr>
              <w:pStyle w:val="8"/>
              <w:keepNext w:val="0"/>
              <w:keepLines w:val="0"/>
              <w:widowControl/>
              <w:suppressLineNumbers w:val="0"/>
              <w:jc w:val="center"/>
            </w:pPr>
            <w:r>
              <w:rPr>
                <w:rFonts w:hint="eastAsia"/>
                <w:lang w:eastAsia="zh-CN"/>
              </w:rPr>
              <w:t>采购办公设备</w:t>
            </w:r>
            <w:r>
              <w:t> </w:t>
            </w:r>
          </w:p>
        </w:tc>
        <w:tc>
          <w:tcPr>
            <w:tcW w:w="1082" w:type="dxa"/>
            <w:shd w:val="clear" w:color="auto" w:fill="auto"/>
            <w:noWrap/>
            <w:vAlign w:val="center"/>
          </w:tcPr>
          <w:p>
            <w:pPr>
              <w:pStyle w:val="8"/>
              <w:keepNext w:val="0"/>
              <w:keepLines w:val="0"/>
              <w:widowControl/>
              <w:suppressLineNumbers w:val="0"/>
              <w:jc w:val="center"/>
              <w:rPr>
                <w:rFonts w:hint="default" w:eastAsiaTheme="minorEastAsia"/>
                <w:lang w:val="en-US" w:eastAsia="zh-CN"/>
              </w:rPr>
            </w:pPr>
            <w:r>
              <w:t> </w:t>
            </w:r>
            <w:r>
              <w:rPr>
                <w:rFonts w:hint="eastAsia"/>
                <w:lang w:val="en-US" w:eastAsia="zh-CN"/>
              </w:rPr>
              <w:t>100%</w:t>
            </w:r>
          </w:p>
        </w:tc>
        <w:tc>
          <w:tcPr>
            <w:tcW w:w="2066" w:type="dxa"/>
            <w:shd w:val="clear" w:color="auto" w:fill="auto"/>
            <w:noWrap/>
            <w:vAlign w:val="center"/>
          </w:tcPr>
          <w:p>
            <w:pPr>
              <w:pStyle w:val="8"/>
              <w:keepNext w:val="0"/>
              <w:keepLines w:val="0"/>
              <w:widowControl/>
              <w:suppressLineNumbers w:val="0"/>
              <w:jc w:val="center"/>
            </w:pPr>
            <w:r>
              <w:rPr>
                <w:rFonts w:hint="eastAsia"/>
                <w:lang w:val="en-US" w:eastAsia="zh-CN"/>
              </w:rPr>
              <w:t>100%</w:t>
            </w: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20" w:hRule="atLeast"/>
          <w:tblCellSpacing w:w="0" w:type="dxa"/>
        </w:trPr>
        <w:tc>
          <w:tcPr>
            <w:tcW w:w="1705" w:type="dxa"/>
            <w:vMerge w:val="continue"/>
            <w:shd w:val="clear" w:color="auto" w:fill="auto"/>
            <w:noWrap/>
            <w:vAlign w:val="center"/>
          </w:tcPr>
          <w:p>
            <w:pPr>
              <w:rPr>
                <w:rFonts w:hint="eastAsia" w:ascii="宋体"/>
                <w:sz w:val="24"/>
                <w:szCs w:val="24"/>
              </w:rPr>
            </w:pPr>
          </w:p>
        </w:tc>
        <w:tc>
          <w:tcPr>
            <w:tcW w:w="1006" w:type="dxa"/>
            <w:vMerge w:val="continue"/>
            <w:shd w:val="clear" w:color="auto" w:fill="auto"/>
            <w:noWrap/>
            <w:vAlign w:val="center"/>
          </w:tcPr>
          <w:p>
            <w:pPr>
              <w:rPr>
                <w:rFonts w:hint="eastAsia" w:ascii="宋体"/>
                <w:sz w:val="24"/>
                <w:szCs w:val="24"/>
              </w:rPr>
            </w:pPr>
          </w:p>
        </w:tc>
        <w:tc>
          <w:tcPr>
            <w:tcW w:w="1418" w:type="dxa"/>
            <w:shd w:val="clear" w:color="auto" w:fill="auto"/>
            <w:noWrap/>
            <w:vAlign w:val="center"/>
          </w:tcPr>
          <w:p>
            <w:pPr>
              <w:pStyle w:val="8"/>
              <w:keepNext w:val="0"/>
              <w:keepLines w:val="0"/>
              <w:widowControl/>
              <w:suppressLineNumbers w:val="0"/>
              <w:jc w:val="center"/>
            </w:pPr>
            <w:r>
              <w:t>质量指标</w:t>
            </w:r>
          </w:p>
        </w:tc>
        <w:tc>
          <w:tcPr>
            <w:tcW w:w="1044" w:type="dxa"/>
            <w:shd w:val="clear" w:color="auto" w:fill="auto"/>
            <w:noWrap/>
            <w:vAlign w:val="center"/>
          </w:tcPr>
          <w:p>
            <w:pPr>
              <w:pStyle w:val="8"/>
              <w:keepNext w:val="0"/>
              <w:keepLines w:val="0"/>
              <w:widowControl/>
              <w:suppressLineNumbers w:val="0"/>
              <w:jc w:val="center"/>
            </w:pPr>
            <w:r>
              <w:rPr>
                <w:rFonts w:hint="eastAsia"/>
                <w:lang w:eastAsia="zh-CN"/>
              </w:rPr>
              <w:t>验收合格</w:t>
            </w:r>
            <w:r>
              <w:t> </w:t>
            </w:r>
          </w:p>
        </w:tc>
        <w:tc>
          <w:tcPr>
            <w:tcW w:w="1082" w:type="dxa"/>
            <w:shd w:val="clear" w:color="auto" w:fill="auto"/>
            <w:noWrap/>
            <w:vAlign w:val="center"/>
          </w:tcPr>
          <w:p>
            <w:pPr>
              <w:pStyle w:val="8"/>
              <w:keepNext w:val="0"/>
              <w:keepLines w:val="0"/>
              <w:widowControl/>
              <w:suppressLineNumbers w:val="0"/>
              <w:jc w:val="center"/>
              <w:rPr>
                <w:rFonts w:hint="eastAsia" w:eastAsiaTheme="minorEastAsia"/>
                <w:lang w:eastAsia="zh-CN"/>
              </w:rPr>
            </w:pPr>
            <w:r>
              <w:t> </w:t>
            </w:r>
            <w:r>
              <w:rPr>
                <w:rFonts w:hint="eastAsia"/>
                <w:lang w:eastAsia="zh-CN"/>
              </w:rPr>
              <w:t>合格</w:t>
            </w:r>
          </w:p>
        </w:tc>
        <w:tc>
          <w:tcPr>
            <w:tcW w:w="2066" w:type="dxa"/>
            <w:shd w:val="clear" w:color="auto" w:fill="auto"/>
            <w:noWrap/>
            <w:vAlign w:val="center"/>
          </w:tcPr>
          <w:p>
            <w:pPr>
              <w:pStyle w:val="8"/>
              <w:keepNext w:val="0"/>
              <w:keepLines w:val="0"/>
              <w:widowControl/>
              <w:suppressLineNumbers w:val="0"/>
              <w:jc w:val="center"/>
            </w:pPr>
            <w:r>
              <w:rPr>
                <w:rFonts w:hint="eastAsia"/>
                <w:lang w:eastAsia="zh-CN"/>
              </w:rPr>
              <w:t>合格</w:t>
            </w: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20" w:hRule="atLeast"/>
          <w:tblCellSpacing w:w="0" w:type="dxa"/>
        </w:trPr>
        <w:tc>
          <w:tcPr>
            <w:tcW w:w="1705" w:type="dxa"/>
            <w:vMerge w:val="continue"/>
            <w:shd w:val="clear" w:color="auto" w:fill="auto"/>
            <w:noWrap/>
            <w:vAlign w:val="center"/>
          </w:tcPr>
          <w:p>
            <w:pPr>
              <w:rPr>
                <w:rFonts w:hint="eastAsia" w:ascii="宋体"/>
                <w:sz w:val="24"/>
                <w:szCs w:val="24"/>
              </w:rPr>
            </w:pPr>
          </w:p>
        </w:tc>
        <w:tc>
          <w:tcPr>
            <w:tcW w:w="1006" w:type="dxa"/>
            <w:vMerge w:val="continue"/>
            <w:shd w:val="clear" w:color="auto" w:fill="auto"/>
            <w:noWrap/>
            <w:vAlign w:val="center"/>
          </w:tcPr>
          <w:p>
            <w:pPr>
              <w:rPr>
                <w:rFonts w:hint="eastAsia" w:ascii="宋体"/>
                <w:sz w:val="24"/>
                <w:szCs w:val="24"/>
              </w:rPr>
            </w:pPr>
          </w:p>
        </w:tc>
        <w:tc>
          <w:tcPr>
            <w:tcW w:w="1418" w:type="dxa"/>
            <w:shd w:val="clear" w:color="auto" w:fill="auto"/>
            <w:noWrap/>
            <w:vAlign w:val="center"/>
          </w:tcPr>
          <w:p>
            <w:pPr>
              <w:pStyle w:val="8"/>
              <w:keepNext w:val="0"/>
              <w:keepLines w:val="0"/>
              <w:widowControl/>
              <w:suppressLineNumbers w:val="0"/>
              <w:jc w:val="center"/>
            </w:pPr>
            <w:r>
              <w:t>时效指标</w:t>
            </w:r>
          </w:p>
        </w:tc>
        <w:tc>
          <w:tcPr>
            <w:tcW w:w="1044" w:type="dxa"/>
            <w:shd w:val="clear" w:color="auto" w:fill="auto"/>
            <w:noWrap/>
            <w:vAlign w:val="center"/>
          </w:tcPr>
          <w:p>
            <w:pPr>
              <w:pStyle w:val="8"/>
              <w:keepNext w:val="0"/>
              <w:keepLines w:val="0"/>
              <w:widowControl/>
              <w:suppressLineNumbers w:val="0"/>
              <w:jc w:val="center"/>
            </w:pPr>
            <w:r>
              <w:rPr>
                <w:rFonts w:hint="eastAsia"/>
                <w:lang w:val="en-US" w:eastAsia="zh-CN"/>
              </w:rPr>
              <w:t>2022年10月底完成采购</w:t>
            </w:r>
            <w:r>
              <w:t> </w:t>
            </w:r>
          </w:p>
        </w:tc>
        <w:tc>
          <w:tcPr>
            <w:tcW w:w="1082" w:type="dxa"/>
            <w:shd w:val="clear" w:color="auto" w:fill="auto"/>
            <w:noWrap/>
            <w:vAlign w:val="center"/>
          </w:tcPr>
          <w:p>
            <w:pPr>
              <w:pStyle w:val="8"/>
              <w:keepNext w:val="0"/>
              <w:keepLines w:val="0"/>
              <w:widowControl/>
              <w:suppressLineNumbers w:val="0"/>
              <w:jc w:val="center"/>
              <w:rPr>
                <w:rFonts w:hint="default" w:eastAsiaTheme="minorEastAsia"/>
                <w:lang w:val="en-US" w:eastAsia="zh-CN"/>
              </w:rPr>
            </w:pPr>
            <w:r>
              <w:rPr>
                <w:rFonts w:hint="eastAsia"/>
                <w:lang w:val="en-US" w:eastAsia="zh-CN"/>
              </w:rPr>
              <w:t>2022年10月底</w:t>
            </w:r>
          </w:p>
        </w:tc>
        <w:tc>
          <w:tcPr>
            <w:tcW w:w="2066" w:type="dxa"/>
            <w:shd w:val="clear" w:color="auto" w:fill="auto"/>
            <w:noWrap/>
            <w:vAlign w:val="center"/>
          </w:tcPr>
          <w:p>
            <w:pPr>
              <w:pStyle w:val="8"/>
              <w:keepNext w:val="0"/>
              <w:keepLines w:val="0"/>
              <w:widowControl/>
              <w:suppressLineNumbers w:val="0"/>
              <w:jc w:val="center"/>
            </w:pPr>
            <w:r>
              <w:rPr>
                <w:rFonts w:hint="eastAsia"/>
                <w:lang w:val="en-US" w:eastAsia="zh-CN"/>
              </w:rPr>
              <w:t>2022年10月底</w:t>
            </w: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80" w:hRule="atLeast"/>
          <w:tblCellSpacing w:w="0" w:type="dxa"/>
        </w:trPr>
        <w:tc>
          <w:tcPr>
            <w:tcW w:w="1705" w:type="dxa"/>
            <w:vMerge w:val="continue"/>
            <w:shd w:val="clear" w:color="auto" w:fill="auto"/>
            <w:noWrap/>
            <w:vAlign w:val="center"/>
          </w:tcPr>
          <w:p>
            <w:pPr>
              <w:rPr>
                <w:rFonts w:hint="eastAsia" w:ascii="宋体"/>
                <w:sz w:val="24"/>
                <w:szCs w:val="24"/>
              </w:rPr>
            </w:pPr>
          </w:p>
        </w:tc>
        <w:tc>
          <w:tcPr>
            <w:tcW w:w="1006" w:type="dxa"/>
            <w:vMerge w:val="continue"/>
            <w:shd w:val="clear" w:color="auto" w:fill="auto"/>
            <w:noWrap/>
            <w:vAlign w:val="center"/>
          </w:tcPr>
          <w:p>
            <w:pPr>
              <w:rPr>
                <w:rFonts w:hint="eastAsia" w:ascii="宋体"/>
                <w:sz w:val="24"/>
                <w:szCs w:val="24"/>
              </w:rPr>
            </w:pPr>
          </w:p>
        </w:tc>
        <w:tc>
          <w:tcPr>
            <w:tcW w:w="1418" w:type="dxa"/>
            <w:shd w:val="clear" w:color="auto" w:fill="auto"/>
            <w:noWrap/>
            <w:vAlign w:val="center"/>
          </w:tcPr>
          <w:p>
            <w:pPr>
              <w:pStyle w:val="8"/>
              <w:keepNext w:val="0"/>
              <w:keepLines w:val="0"/>
              <w:widowControl/>
              <w:suppressLineNumbers w:val="0"/>
              <w:jc w:val="center"/>
            </w:pPr>
            <w:r>
              <w:t>成本指标</w:t>
            </w:r>
          </w:p>
        </w:tc>
        <w:tc>
          <w:tcPr>
            <w:tcW w:w="1044" w:type="dxa"/>
            <w:shd w:val="clear" w:color="auto" w:fill="auto"/>
            <w:noWrap/>
            <w:vAlign w:val="center"/>
          </w:tcPr>
          <w:p>
            <w:pPr>
              <w:pStyle w:val="8"/>
              <w:keepNext w:val="0"/>
              <w:keepLines w:val="0"/>
              <w:widowControl/>
              <w:suppressLineNumbers w:val="0"/>
              <w:jc w:val="center"/>
            </w:pPr>
            <w:r>
              <w:rPr>
                <w:rFonts w:hint="eastAsia"/>
                <w:lang w:eastAsia="zh-CN"/>
              </w:rPr>
              <w:t>控制在预算范围内</w:t>
            </w:r>
            <w:r>
              <w:t> </w:t>
            </w:r>
          </w:p>
        </w:tc>
        <w:tc>
          <w:tcPr>
            <w:tcW w:w="1082" w:type="dxa"/>
            <w:shd w:val="clear" w:color="auto" w:fill="auto"/>
            <w:noWrap/>
            <w:vAlign w:val="center"/>
          </w:tcPr>
          <w:p>
            <w:pPr>
              <w:pStyle w:val="8"/>
              <w:keepNext w:val="0"/>
              <w:keepLines w:val="0"/>
              <w:widowControl/>
              <w:suppressLineNumbers w:val="0"/>
              <w:jc w:val="center"/>
              <w:rPr>
                <w:rFonts w:hint="eastAsia" w:eastAsiaTheme="minorEastAsia"/>
                <w:lang w:eastAsia="zh-CN"/>
              </w:rPr>
            </w:pPr>
            <w:r>
              <w:rPr>
                <w:rFonts w:hint="eastAsia"/>
                <w:lang w:eastAsia="zh-CN"/>
              </w:rPr>
              <w:t>未超标</w:t>
            </w:r>
            <w:r>
              <w:t> </w:t>
            </w:r>
          </w:p>
        </w:tc>
        <w:tc>
          <w:tcPr>
            <w:tcW w:w="2066" w:type="dxa"/>
            <w:shd w:val="clear" w:color="auto" w:fill="auto"/>
            <w:noWrap/>
            <w:vAlign w:val="center"/>
          </w:tcPr>
          <w:p>
            <w:pPr>
              <w:pStyle w:val="8"/>
              <w:keepNext w:val="0"/>
              <w:keepLines w:val="0"/>
              <w:widowControl/>
              <w:suppressLineNumbers w:val="0"/>
              <w:jc w:val="center"/>
            </w:pPr>
            <w:r>
              <w:rPr>
                <w:rFonts w:hint="eastAsia"/>
                <w:lang w:eastAsia="zh-CN"/>
              </w:rPr>
              <w:t>未超标</w:t>
            </w: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80" w:hRule="atLeast"/>
          <w:tblCellSpacing w:w="0" w:type="dxa"/>
        </w:trPr>
        <w:tc>
          <w:tcPr>
            <w:tcW w:w="1705" w:type="dxa"/>
            <w:vMerge w:val="continue"/>
            <w:shd w:val="clear" w:color="auto" w:fill="auto"/>
            <w:noWrap/>
            <w:vAlign w:val="center"/>
          </w:tcPr>
          <w:p>
            <w:pPr>
              <w:rPr>
                <w:rFonts w:hint="eastAsia" w:ascii="宋体"/>
                <w:sz w:val="24"/>
                <w:szCs w:val="24"/>
              </w:rPr>
            </w:pPr>
          </w:p>
        </w:tc>
        <w:tc>
          <w:tcPr>
            <w:tcW w:w="1006" w:type="dxa"/>
            <w:vMerge w:val="restart"/>
            <w:shd w:val="clear" w:color="auto" w:fill="auto"/>
            <w:noWrap/>
            <w:vAlign w:val="center"/>
          </w:tcPr>
          <w:p>
            <w:pPr>
              <w:pStyle w:val="8"/>
              <w:keepNext w:val="0"/>
              <w:keepLines w:val="0"/>
              <w:widowControl/>
              <w:suppressLineNumbers w:val="0"/>
              <w:jc w:val="center"/>
            </w:pPr>
            <w:r>
              <w:t>效益</w:t>
            </w:r>
          </w:p>
          <w:p>
            <w:pPr>
              <w:pStyle w:val="8"/>
              <w:keepNext w:val="0"/>
              <w:keepLines w:val="0"/>
              <w:widowControl/>
              <w:suppressLineNumbers w:val="0"/>
              <w:jc w:val="center"/>
            </w:pPr>
            <w:r>
              <w:t>指标</w:t>
            </w:r>
          </w:p>
        </w:tc>
        <w:tc>
          <w:tcPr>
            <w:tcW w:w="1418" w:type="dxa"/>
            <w:shd w:val="clear" w:color="auto" w:fill="auto"/>
            <w:noWrap/>
            <w:vAlign w:val="center"/>
          </w:tcPr>
          <w:p>
            <w:pPr>
              <w:pStyle w:val="8"/>
              <w:keepNext w:val="0"/>
              <w:keepLines w:val="0"/>
              <w:widowControl/>
              <w:suppressLineNumbers w:val="0"/>
              <w:jc w:val="center"/>
            </w:pPr>
            <w:r>
              <w:t>经济效益指标</w:t>
            </w:r>
          </w:p>
        </w:tc>
        <w:tc>
          <w:tcPr>
            <w:tcW w:w="1044" w:type="dxa"/>
            <w:shd w:val="clear" w:color="auto" w:fill="auto"/>
            <w:noWrap/>
            <w:vAlign w:val="center"/>
          </w:tcPr>
          <w:p>
            <w:pPr>
              <w:pStyle w:val="8"/>
              <w:keepNext w:val="0"/>
              <w:keepLines w:val="0"/>
              <w:widowControl/>
              <w:suppressLineNumbers w:val="0"/>
              <w:ind w:left="0" w:leftChars="0" w:right="0" w:rightChars="0"/>
              <w:jc w:val="center"/>
              <w:rPr>
                <w:rFonts w:asciiTheme="minorHAnsi" w:hAnsiTheme="minorHAnsi" w:eastAsiaTheme="minorEastAsia" w:cstheme="minorBidi"/>
                <w:kern w:val="0"/>
                <w:sz w:val="24"/>
                <w:szCs w:val="24"/>
                <w:lang w:val="en-US" w:eastAsia="zh-CN" w:bidi="ar"/>
              </w:rPr>
            </w:pPr>
            <w:r>
              <w:rPr>
                <w:rFonts w:hint="eastAsia"/>
                <w:lang w:eastAsia="zh-CN"/>
              </w:rPr>
              <w:t>控制在预算范围内</w:t>
            </w:r>
            <w:r>
              <w:t> </w:t>
            </w:r>
          </w:p>
        </w:tc>
        <w:tc>
          <w:tcPr>
            <w:tcW w:w="1082" w:type="dxa"/>
            <w:shd w:val="clear" w:color="auto" w:fill="auto"/>
            <w:noWrap/>
            <w:vAlign w:val="center"/>
          </w:tcPr>
          <w:p>
            <w:pPr>
              <w:pStyle w:val="8"/>
              <w:keepNext w:val="0"/>
              <w:keepLines w:val="0"/>
              <w:widowControl/>
              <w:suppressLineNumbers w:val="0"/>
              <w:ind w:left="0" w:leftChars="0" w:right="0" w:rightChars="0"/>
              <w:jc w:val="center"/>
              <w:rPr>
                <w:rFonts w:hint="eastAsia" w:asciiTheme="minorHAnsi" w:hAnsiTheme="minorHAnsi" w:eastAsiaTheme="minorEastAsia" w:cstheme="minorBidi"/>
                <w:kern w:val="0"/>
                <w:sz w:val="24"/>
                <w:szCs w:val="24"/>
                <w:lang w:val="en-US" w:eastAsia="zh-CN" w:bidi="ar"/>
              </w:rPr>
            </w:pPr>
            <w:r>
              <w:rPr>
                <w:rFonts w:hint="eastAsia"/>
                <w:lang w:eastAsia="zh-CN"/>
              </w:rPr>
              <w:t>未超标</w:t>
            </w:r>
            <w:r>
              <w:t> </w:t>
            </w:r>
          </w:p>
        </w:tc>
        <w:tc>
          <w:tcPr>
            <w:tcW w:w="2066" w:type="dxa"/>
            <w:shd w:val="clear" w:color="auto" w:fill="auto"/>
            <w:noWrap/>
            <w:vAlign w:val="center"/>
          </w:tcPr>
          <w:p>
            <w:pPr>
              <w:pStyle w:val="8"/>
              <w:keepNext w:val="0"/>
              <w:keepLines w:val="0"/>
              <w:widowControl/>
              <w:suppressLineNumbers w:val="0"/>
              <w:ind w:left="0" w:leftChars="0" w:right="0" w:rightChars="0"/>
              <w:jc w:val="center"/>
              <w:rPr>
                <w:rFonts w:asciiTheme="minorHAnsi" w:hAnsiTheme="minorHAnsi" w:eastAsiaTheme="minorEastAsia" w:cstheme="minorBidi"/>
                <w:kern w:val="0"/>
                <w:sz w:val="24"/>
                <w:szCs w:val="24"/>
                <w:lang w:val="en-US" w:eastAsia="zh-CN" w:bidi="ar"/>
              </w:rPr>
            </w:pPr>
            <w:r>
              <w:rPr>
                <w:rFonts w:hint="eastAsia"/>
                <w:lang w:eastAsia="zh-CN"/>
              </w:rPr>
              <w:t>未超标</w:t>
            </w: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80" w:hRule="atLeast"/>
          <w:tblCellSpacing w:w="0" w:type="dxa"/>
        </w:trPr>
        <w:tc>
          <w:tcPr>
            <w:tcW w:w="1705" w:type="dxa"/>
            <w:vMerge w:val="continue"/>
            <w:shd w:val="clear" w:color="auto" w:fill="auto"/>
            <w:noWrap/>
            <w:vAlign w:val="center"/>
          </w:tcPr>
          <w:p>
            <w:pPr>
              <w:rPr>
                <w:rFonts w:hint="eastAsia" w:ascii="宋体"/>
                <w:sz w:val="24"/>
                <w:szCs w:val="24"/>
              </w:rPr>
            </w:pPr>
          </w:p>
        </w:tc>
        <w:tc>
          <w:tcPr>
            <w:tcW w:w="1006" w:type="dxa"/>
            <w:vMerge w:val="continue"/>
            <w:shd w:val="clear" w:color="auto" w:fill="auto"/>
            <w:noWrap/>
            <w:vAlign w:val="center"/>
          </w:tcPr>
          <w:p>
            <w:pPr>
              <w:rPr>
                <w:rFonts w:hint="eastAsia" w:ascii="宋体"/>
                <w:sz w:val="24"/>
                <w:szCs w:val="24"/>
              </w:rPr>
            </w:pPr>
          </w:p>
        </w:tc>
        <w:tc>
          <w:tcPr>
            <w:tcW w:w="1418" w:type="dxa"/>
            <w:shd w:val="clear" w:color="auto" w:fill="auto"/>
            <w:noWrap/>
            <w:vAlign w:val="center"/>
          </w:tcPr>
          <w:p>
            <w:pPr>
              <w:pStyle w:val="8"/>
              <w:keepNext w:val="0"/>
              <w:keepLines w:val="0"/>
              <w:widowControl/>
              <w:suppressLineNumbers w:val="0"/>
              <w:jc w:val="center"/>
            </w:pPr>
            <w:r>
              <w:t>社会效益指标</w:t>
            </w:r>
          </w:p>
        </w:tc>
        <w:tc>
          <w:tcPr>
            <w:tcW w:w="1044" w:type="dxa"/>
            <w:shd w:val="clear" w:color="auto" w:fill="auto"/>
            <w:noWrap/>
            <w:vAlign w:val="center"/>
          </w:tcPr>
          <w:p>
            <w:pPr>
              <w:pStyle w:val="8"/>
              <w:keepNext w:val="0"/>
              <w:keepLines w:val="0"/>
              <w:widowControl/>
              <w:suppressLineNumbers w:val="0"/>
              <w:jc w:val="center"/>
            </w:pPr>
            <w:r>
              <w:rPr>
                <w:rFonts w:hint="eastAsia"/>
                <w:lang w:eastAsia="zh-CN"/>
              </w:rPr>
              <w:t>保障中心平稳运行</w:t>
            </w:r>
            <w:r>
              <w:t> </w:t>
            </w:r>
          </w:p>
        </w:tc>
        <w:tc>
          <w:tcPr>
            <w:tcW w:w="1082" w:type="dxa"/>
            <w:shd w:val="clear" w:color="auto" w:fill="auto"/>
            <w:noWrap/>
            <w:vAlign w:val="center"/>
          </w:tcPr>
          <w:p>
            <w:pPr>
              <w:pStyle w:val="8"/>
              <w:keepNext w:val="0"/>
              <w:keepLines w:val="0"/>
              <w:widowControl/>
              <w:suppressLineNumbers w:val="0"/>
              <w:jc w:val="center"/>
              <w:rPr>
                <w:rFonts w:hint="eastAsia" w:eastAsiaTheme="minorEastAsia"/>
                <w:lang w:eastAsia="zh-CN"/>
              </w:rPr>
            </w:pPr>
            <w:r>
              <w:rPr>
                <w:rFonts w:hint="eastAsia"/>
                <w:lang w:eastAsia="zh-CN"/>
              </w:rPr>
              <w:t>平稳运行</w:t>
            </w:r>
          </w:p>
        </w:tc>
        <w:tc>
          <w:tcPr>
            <w:tcW w:w="2066" w:type="dxa"/>
            <w:shd w:val="clear" w:color="auto" w:fill="auto"/>
            <w:noWrap/>
            <w:vAlign w:val="center"/>
          </w:tcPr>
          <w:p>
            <w:pPr>
              <w:pStyle w:val="8"/>
              <w:keepNext w:val="0"/>
              <w:keepLines w:val="0"/>
              <w:widowControl/>
              <w:suppressLineNumbers w:val="0"/>
              <w:jc w:val="center"/>
            </w:pPr>
            <w:r>
              <w:rPr>
                <w:rFonts w:hint="eastAsia"/>
                <w:lang w:eastAsia="zh-CN"/>
              </w:rPr>
              <w:t>平稳运行</w:t>
            </w: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70" w:hRule="atLeast"/>
          <w:tblCellSpacing w:w="0" w:type="dxa"/>
        </w:trPr>
        <w:tc>
          <w:tcPr>
            <w:tcW w:w="1705" w:type="dxa"/>
            <w:vMerge w:val="continue"/>
            <w:shd w:val="clear" w:color="auto" w:fill="auto"/>
            <w:noWrap/>
            <w:vAlign w:val="center"/>
          </w:tcPr>
          <w:p>
            <w:pPr>
              <w:rPr>
                <w:rFonts w:hint="eastAsia" w:ascii="宋体"/>
                <w:sz w:val="24"/>
                <w:szCs w:val="24"/>
              </w:rPr>
            </w:pPr>
          </w:p>
        </w:tc>
        <w:tc>
          <w:tcPr>
            <w:tcW w:w="1006" w:type="dxa"/>
            <w:vMerge w:val="continue"/>
            <w:shd w:val="clear" w:color="auto" w:fill="auto"/>
            <w:noWrap/>
            <w:vAlign w:val="center"/>
          </w:tcPr>
          <w:p>
            <w:pPr>
              <w:rPr>
                <w:rFonts w:hint="eastAsia" w:ascii="宋体"/>
                <w:sz w:val="24"/>
                <w:szCs w:val="24"/>
              </w:rPr>
            </w:pPr>
          </w:p>
        </w:tc>
        <w:tc>
          <w:tcPr>
            <w:tcW w:w="1418" w:type="dxa"/>
            <w:shd w:val="clear" w:color="auto" w:fill="auto"/>
            <w:noWrap/>
            <w:vAlign w:val="center"/>
          </w:tcPr>
          <w:p>
            <w:pPr>
              <w:pStyle w:val="8"/>
              <w:keepNext w:val="0"/>
              <w:keepLines w:val="0"/>
              <w:widowControl/>
              <w:suppressLineNumbers w:val="0"/>
              <w:ind w:left="423"/>
              <w:jc w:val="both"/>
            </w:pPr>
            <w:r>
              <w:t>生态效益指标</w:t>
            </w:r>
          </w:p>
        </w:tc>
        <w:tc>
          <w:tcPr>
            <w:tcW w:w="1044" w:type="dxa"/>
            <w:shd w:val="clear" w:color="auto" w:fill="auto"/>
            <w:noWrap/>
            <w:vAlign w:val="center"/>
          </w:tcPr>
          <w:p>
            <w:pPr>
              <w:pStyle w:val="8"/>
              <w:keepNext w:val="0"/>
              <w:keepLines w:val="0"/>
              <w:widowControl/>
              <w:suppressLineNumbers w:val="0"/>
              <w:ind w:left="0" w:leftChars="0" w:right="0" w:rightChars="0"/>
              <w:jc w:val="center"/>
              <w:rPr>
                <w:rFonts w:asciiTheme="minorHAnsi" w:hAnsiTheme="minorHAnsi" w:eastAsiaTheme="minorEastAsia" w:cstheme="minorBidi"/>
                <w:kern w:val="0"/>
                <w:sz w:val="24"/>
                <w:szCs w:val="24"/>
                <w:lang w:val="en-US" w:eastAsia="zh-CN" w:bidi="ar"/>
              </w:rPr>
            </w:pPr>
            <w:r>
              <w:rPr>
                <w:rFonts w:hint="eastAsia"/>
                <w:lang w:eastAsia="zh-CN"/>
              </w:rPr>
              <w:t>保障中心平稳运行</w:t>
            </w:r>
            <w:r>
              <w:t> </w:t>
            </w:r>
          </w:p>
        </w:tc>
        <w:tc>
          <w:tcPr>
            <w:tcW w:w="1082" w:type="dxa"/>
            <w:shd w:val="clear" w:color="auto" w:fill="auto"/>
            <w:noWrap/>
            <w:vAlign w:val="center"/>
          </w:tcPr>
          <w:p>
            <w:pPr>
              <w:pStyle w:val="8"/>
              <w:keepNext w:val="0"/>
              <w:keepLines w:val="0"/>
              <w:widowControl/>
              <w:suppressLineNumbers w:val="0"/>
              <w:ind w:left="0" w:leftChars="0" w:right="0" w:rightChars="0"/>
              <w:jc w:val="center"/>
              <w:rPr>
                <w:rFonts w:hint="eastAsia" w:asciiTheme="minorHAnsi" w:hAnsiTheme="minorHAnsi" w:eastAsiaTheme="minorEastAsia" w:cstheme="minorBidi"/>
                <w:kern w:val="0"/>
                <w:sz w:val="24"/>
                <w:szCs w:val="24"/>
                <w:lang w:val="en-US" w:eastAsia="zh-CN" w:bidi="ar"/>
              </w:rPr>
            </w:pPr>
            <w:r>
              <w:rPr>
                <w:rFonts w:hint="eastAsia"/>
                <w:lang w:eastAsia="zh-CN"/>
              </w:rPr>
              <w:t>平稳运行</w:t>
            </w:r>
          </w:p>
        </w:tc>
        <w:tc>
          <w:tcPr>
            <w:tcW w:w="2066" w:type="dxa"/>
            <w:shd w:val="clear" w:color="auto" w:fill="auto"/>
            <w:noWrap/>
            <w:vAlign w:val="center"/>
          </w:tcPr>
          <w:p>
            <w:pPr>
              <w:pStyle w:val="8"/>
              <w:keepNext w:val="0"/>
              <w:keepLines w:val="0"/>
              <w:widowControl/>
              <w:suppressLineNumbers w:val="0"/>
              <w:ind w:left="0" w:leftChars="0" w:right="0" w:rightChars="0"/>
              <w:jc w:val="center"/>
              <w:rPr>
                <w:rFonts w:asciiTheme="minorHAnsi" w:hAnsiTheme="minorHAnsi" w:eastAsiaTheme="minorEastAsia" w:cstheme="minorBidi"/>
                <w:kern w:val="0"/>
                <w:sz w:val="24"/>
                <w:szCs w:val="24"/>
                <w:lang w:val="en-US" w:eastAsia="zh-CN" w:bidi="ar"/>
              </w:rPr>
            </w:pPr>
            <w:r>
              <w:rPr>
                <w:rFonts w:hint="eastAsia"/>
                <w:lang w:eastAsia="zh-CN"/>
              </w:rPr>
              <w:t>平稳运行</w:t>
            </w: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80" w:hRule="atLeast"/>
          <w:tblCellSpacing w:w="0" w:type="dxa"/>
        </w:trPr>
        <w:tc>
          <w:tcPr>
            <w:tcW w:w="1705" w:type="dxa"/>
            <w:vMerge w:val="continue"/>
            <w:shd w:val="clear" w:color="auto" w:fill="auto"/>
            <w:noWrap/>
            <w:vAlign w:val="center"/>
          </w:tcPr>
          <w:p>
            <w:pPr>
              <w:rPr>
                <w:rFonts w:hint="eastAsia" w:ascii="宋体"/>
                <w:sz w:val="24"/>
                <w:szCs w:val="24"/>
              </w:rPr>
            </w:pPr>
          </w:p>
        </w:tc>
        <w:tc>
          <w:tcPr>
            <w:tcW w:w="1006" w:type="dxa"/>
            <w:vMerge w:val="continue"/>
            <w:shd w:val="clear" w:color="auto" w:fill="auto"/>
            <w:noWrap/>
            <w:vAlign w:val="center"/>
          </w:tcPr>
          <w:p>
            <w:pPr>
              <w:rPr>
                <w:rFonts w:hint="eastAsia" w:ascii="宋体"/>
                <w:sz w:val="24"/>
                <w:szCs w:val="24"/>
              </w:rPr>
            </w:pPr>
          </w:p>
        </w:tc>
        <w:tc>
          <w:tcPr>
            <w:tcW w:w="1418" w:type="dxa"/>
            <w:shd w:val="clear" w:color="auto" w:fill="auto"/>
            <w:noWrap/>
            <w:vAlign w:val="center"/>
          </w:tcPr>
          <w:p>
            <w:pPr>
              <w:pStyle w:val="8"/>
              <w:keepNext w:val="0"/>
              <w:keepLines w:val="0"/>
              <w:widowControl/>
              <w:suppressLineNumbers w:val="0"/>
              <w:jc w:val="center"/>
            </w:pPr>
            <w:r>
              <w:t>可持续影响指标</w:t>
            </w:r>
          </w:p>
        </w:tc>
        <w:tc>
          <w:tcPr>
            <w:tcW w:w="1044" w:type="dxa"/>
            <w:shd w:val="clear" w:color="auto" w:fill="auto"/>
            <w:noWrap/>
            <w:vAlign w:val="center"/>
          </w:tcPr>
          <w:p>
            <w:pPr>
              <w:pStyle w:val="8"/>
              <w:keepNext w:val="0"/>
              <w:keepLines w:val="0"/>
              <w:widowControl/>
              <w:suppressLineNumbers w:val="0"/>
              <w:ind w:left="0" w:leftChars="0" w:right="0" w:rightChars="0"/>
              <w:jc w:val="center"/>
              <w:rPr>
                <w:rFonts w:asciiTheme="minorHAnsi" w:hAnsiTheme="minorHAnsi" w:eastAsiaTheme="minorEastAsia" w:cstheme="minorBidi"/>
                <w:kern w:val="0"/>
                <w:sz w:val="24"/>
                <w:szCs w:val="24"/>
                <w:lang w:val="en-US" w:eastAsia="zh-CN" w:bidi="ar"/>
              </w:rPr>
            </w:pPr>
            <w:r>
              <w:rPr>
                <w:rFonts w:hint="eastAsia"/>
                <w:lang w:eastAsia="zh-CN"/>
              </w:rPr>
              <w:t>保障中心平稳运行</w:t>
            </w:r>
            <w:r>
              <w:t> </w:t>
            </w:r>
          </w:p>
        </w:tc>
        <w:tc>
          <w:tcPr>
            <w:tcW w:w="1082" w:type="dxa"/>
            <w:shd w:val="clear" w:color="auto" w:fill="auto"/>
            <w:noWrap/>
            <w:vAlign w:val="center"/>
          </w:tcPr>
          <w:p>
            <w:pPr>
              <w:pStyle w:val="8"/>
              <w:keepNext w:val="0"/>
              <w:keepLines w:val="0"/>
              <w:widowControl/>
              <w:suppressLineNumbers w:val="0"/>
              <w:ind w:left="0" w:leftChars="0" w:right="0" w:rightChars="0"/>
              <w:jc w:val="center"/>
              <w:rPr>
                <w:rFonts w:hint="eastAsia" w:asciiTheme="minorHAnsi" w:hAnsiTheme="minorHAnsi" w:eastAsiaTheme="minorEastAsia" w:cstheme="minorBidi"/>
                <w:kern w:val="0"/>
                <w:sz w:val="24"/>
                <w:szCs w:val="24"/>
                <w:lang w:val="en-US" w:eastAsia="zh-CN" w:bidi="ar"/>
              </w:rPr>
            </w:pPr>
            <w:r>
              <w:rPr>
                <w:rFonts w:hint="eastAsia"/>
                <w:lang w:eastAsia="zh-CN"/>
              </w:rPr>
              <w:t>平稳运行</w:t>
            </w:r>
          </w:p>
        </w:tc>
        <w:tc>
          <w:tcPr>
            <w:tcW w:w="2066" w:type="dxa"/>
            <w:shd w:val="clear" w:color="auto" w:fill="auto"/>
            <w:noWrap/>
            <w:vAlign w:val="center"/>
          </w:tcPr>
          <w:p>
            <w:pPr>
              <w:pStyle w:val="8"/>
              <w:keepNext w:val="0"/>
              <w:keepLines w:val="0"/>
              <w:widowControl/>
              <w:suppressLineNumbers w:val="0"/>
              <w:ind w:left="0" w:leftChars="0" w:right="0" w:rightChars="0"/>
              <w:jc w:val="center"/>
              <w:rPr>
                <w:rFonts w:asciiTheme="minorHAnsi" w:hAnsiTheme="minorHAnsi" w:eastAsiaTheme="minorEastAsia" w:cstheme="minorBidi"/>
                <w:kern w:val="0"/>
                <w:sz w:val="24"/>
                <w:szCs w:val="24"/>
                <w:lang w:val="en-US" w:eastAsia="zh-CN" w:bidi="ar"/>
              </w:rPr>
            </w:pPr>
            <w:r>
              <w:rPr>
                <w:rFonts w:hint="eastAsia"/>
                <w:lang w:eastAsia="zh-CN"/>
              </w:rPr>
              <w:t>平稳运行</w:t>
            </w: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25" w:hRule="atLeast"/>
          <w:tblCellSpacing w:w="0" w:type="dxa"/>
        </w:trPr>
        <w:tc>
          <w:tcPr>
            <w:tcW w:w="1705" w:type="dxa"/>
            <w:vMerge w:val="continue"/>
            <w:shd w:val="clear" w:color="auto" w:fill="auto"/>
            <w:noWrap/>
            <w:vAlign w:val="center"/>
          </w:tcPr>
          <w:p>
            <w:pPr>
              <w:rPr>
                <w:rFonts w:hint="eastAsia" w:ascii="宋体"/>
                <w:sz w:val="24"/>
                <w:szCs w:val="24"/>
              </w:rPr>
            </w:pPr>
          </w:p>
        </w:tc>
        <w:tc>
          <w:tcPr>
            <w:tcW w:w="1006" w:type="dxa"/>
            <w:shd w:val="clear" w:color="auto" w:fill="auto"/>
            <w:noWrap/>
            <w:vAlign w:val="center"/>
          </w:tcPr>
          <w:p>
            <w:pPr>
              <w:pStyle w:val="8"/>
              <w:keepNext w:val="0"/>
              <w:keepLines w:val="0"/>
              <w:widowControl/>
              <w:suppressLineNumbers w:val="0"/>
              <w:jc w:val="center"/>
            </w:pPr>
            <w:r>
              <w:t>满意</w:t>
            </w:r>
          </w:p>
          <w:p>
            <w:pPr>
              <w:pStyle w:val="8"/>
              <w:keepNext w:val="0"/>
              <w:keepLines w:val="0"/>
              <w:widowControl/>
              <w:suppressLineNumbers w:val="0"/>
              <w:jc w:val="center"/>
            </w:pPr>
            <w:r>
              <w:t>度指标</w:t>
            </w:r>
          </w:p>
        </w:tc>
        <w:tc>
          <w:tcPr>
            <w:tcW w:w="1418" w:type="dxa"/>
            <w:shd w:val="clear" w:color="auto" w:fill="auto"/>
            <w:noWrap/>
            <w:vAlign w:val="center"/>
          </w:tcPr>
          <w:p>
            <w:pPr>
              <w:pStyle w:val="8"/>
              <w:keepNext w:val="0"/>
              <w:keepLines w:val="0"/>
              <w:widowControl/>
              <w:suppressLineNumbers w:val="0"/>
              <w:jc w:val="center"/>
            </w:pPr>
            <w:r>
              <w:t>满意度</w:t>
            </w:r>
          </w:p>
          <w:p>
            <w:pPr>
              <w:pStyle w:val="8"/>
              <w:keepNext w:val="0"/>
              <w:keepLines w:val="0"/>
              <w:widowControl/>
              <w:suppressLineNumbers w:val="0"/>
              <w:jc w:val="center"/>
            </w:pPr>
            <w:r>
              <w:t>指标</w:t>
            </w:r>
          </w:p>
        </w:tc>
        <w:tc>
          <w:tcPr>
            <w:tcW w:w="1044" w:type="dxa"/>
            <w:shd w:val="clear" w:color="auto" w:fill="auto"/>
            <w:noWrap/>
            <w:vAlign w:val="center"/>
          </w:tcPr>
          <w:p>
            <w:pPr>
              <w:pStyle w:val="8"/>
              <w:keepNext w:val="0"/>
              <w:keepLines w:val="0"/>
              <w:widowControl/>
              <w:suppressLineNumbers w:val="0"/>
              <w:jc w:val="center"/>
            </w:pPr>
            <w:r>
              <w:rPr>
                <w:rFonts w:hint="eastAsia"/>
                <w:lang w:eastAsia="zh-CN"/>
              </w:rPr>
              <w:t>服务对象满意度</w:t>
            </w:r>
            <w:r>
              <w:t> </w:t>
            </w:r>
          </w:p>
        </w:tc>
        <w:tc>
          <w:tcPr>
            <w:tcW w:w="1082" w:type="dxa"/>
            <w:shd w:val="clear" w:color="auto" w:fill="auto"/>
            <w:noWrap/>
            <w:vAlign w:val="center"/>
          </w:tcPr>
          <w:p>
            <w:pPr>
              <w:pStyle w:val="8"/>
              <w:keepNext w:val="0"/>
              <w:keepLines w:val="0"/>
              <w:widowControl/>
              <w:suppressLineNumbers w:val="0"/>
              <w:jc w:val="center"/>
              <w:rPr>
                <w:rFonts w:hint="default" w:eastAsiaTheme="minorEastAsia"/>
                <w:lang w:val="en-US" w:eastAsia="zh-CN"/>
              </w:rPr>
            </w:pPr>
            <w:r>
              <w:t> </w:t>
            </w:r>
            <w:r>
              <w:rPr>
                <w:rFonts w:hint="eastAsia"/>
                <w:lang w:val="en-US" w:eastAsia="zh-CN"/>
              </w:rPr>
              <w:t>90%</w:t>
            </w:r>
          </w:p>
        </w:tc>
        <w:tc>
          <w:tcPr>
            <w:tcW w:w="2066" w:type="dxa"/>
            <w:shd w:val="clear" w:color="auto" w:fill="auto"/>
            <w:noWrap/>
            <w:vAlign w:val="center"/>
          </w:tcPr>
          <w:p>
            <w:pPr>
              <w:pStyle w:val="8"/>
              <w:keepNext w:val="0"/>
              <w:keepLines w:val="0"/>
              <w:widowControl/>
              <w:suppressLineNumbers w:val="0"/>
              <w:jc w:val="center"/>
            </w:pPr>
            <w:r>
              <w:rPr>
                <w:rFonts w:hint="eastAsia"/>
                <w:lang w:val="en-US" w:eastAsia="zh-CN"/>
              </w:rPr>
              <w:t>90%</w:t>
            </w:r>
            <w:r>
              <w:t> </w:t>
            </w:r>
          </w:p>
        </w:tc>
      </w:tr>
    </w:tbl>
    <w:p>
      <w:pPr>
        <w:pStyle w:val="8"/>
        <w:keepNext w:val="0"/>
        <w:keepLines w:val="0"/>
        <w:widowControl/>
        <w:suppressLineNumbers w:val="0"/>
        <w:jc w:val="left"/>
      </w:pPr>
      <w:r>
        <w:t>（注：有两个及以上50万元以上（含）特定目标类部门预算项目的，需分别开展绩效目标自评并填写附表）</w:t>
      </w:r>
    </w:p>
    <w:p>
      <w:pPr>
        <w:pStyle w:val="8"/>
        <w:keepNext w:val="0"/>
        <w:keepLines w:val="0"/>
        <w:widowControl/>
        <w:suppressLineNumbers w:val="0"/>
        <w:jc w:val="center"/>
      </w:pPr>
      <w:r>
        <w:rPr>
          <w:rStyle w:val="11"/>
          <w:sz w:val="39"/>
          <w:szCs w:val="39"/>
        </w:rPr>
        <w:t>第五部分 附表</w:t>
      </w:r>
    </w:p>
    <w:p>
      <w:pPr>
        <w:pStyle w:val="5"/>
        <w:keepNext w:val="0"/>
        <w:keepLines w:val="0"/>
        <w:widowControl/>
        <w:suppressLineNumbers w:val="0"/>
      </w:pPr>
      <w:r>
        <w:t>一、收入支出决算总表</w:t>
      </w:r>
    </w:p>
    <w:p>
      <w:pPr>
        <w:pStyle w:val="5"/>
        <w:keepNext w:val="0"/>
        <w:keepLines w:val="0"/>
        <w:widowControl/>
        <w:suppressLineNumbers w:val="0"/>
      </w:pPr>
      <w:r>
        <w:t>二、收入决算表</w:t>
      </w:r>
    </w:p>
    <w:p>
      <w:pPr>
        <w:pStyle w:val="5"/>
        <w:keepNext w:val="0"/>
        <w:keepLines w:val="0"/>
        <w:widowControl/>
        <w:suppressLineNumbers w:val="0"/>
      </w:pPr>
      <w:r>
        <w:t>三、支出决算表</w:t>
      </w:r>
    </w:p>
    <w:p>
      <w:pPr>
        <w:pStyle w:val="5"/>
        <w:keepNext w:val="0"/>
        <w:keepLines w:val="0"/>
        <w:widowControl/>
        <w:suppressLineNumbers w:val="0"/>
      </w:pPr>
      <w:r>
        <w:t>四、财政拨款收入支出决算总表</w:t>
      </w:r>
    </w:p>
    <w:p>
      <w:pPr>
        <w:pStyle w:val="5"/>
        <w:keepNext w:val="0"/>
        <w:keepLines w:val="0"/>
        <w:widowControl/>
        <w:suppressLineNumbers w:val="0"/>
      </w:pPr>
      <w:r>
        <w:t>五、财政拨款支出决算明细表</w:t>
      </w:r>
    </w:p>
    <w:p>
      <w:pPr>
        <w:pStyle w:val="5"/>
        <w:keepNext w:val="0"/>
        <w:keepLines w:val="0"/>
        <w:widowControl/>
        <w:suppressLineNumbers w:val="0"/>
      </w:pPr>
      <w:r>
        <w:t>六、一般公共预算财政拨款支出决算表</w:t>
      </w:r>
    </w:p>
    <w:p>
      <w:pPr>
        <w:pStyle w:val="5"/>
        <w:keepNext w:val="0"/>
        <w:keepLines w:val="0"/>
        <w:widowControl/>
        <w:suppressLineNumbers w:val="0"/>
      </w:pPr>
      <w:r>
        <w:t>七、一般公共预算财政拨款支出决算明细表</w:t>
      </w:r>
    </w:p>
    <w:p>
      <w:pPr>
        <w:pStyle w:val="5"/>
        <w:keepNext w:val="0"/>
        <w:keepLines w:val="0"/>
        <w:widowControl/>
        <w:suppressLineNumbers w:val="0"/>
      </w:pPr>
      <w:r>
        <w:t>八、一般公共预算财政拨款基本支出决算表</w:t>
      </w:r>
    </w:p>
    <w:p>
      <w:pPr>
        <w:pStyle w:val="5"/>
        <w:keepNext w:val="0"/>
        <w:keepLines w:val="0"/>
        <w:widowControl/>
        <w:suppressLineNumbers w:val="0"/>
      </w:pPr>
      <w:r>
        <w:t>九、一般公共预算财政拨款项目支出决算表</w:t>
      </w:r>
    </w:p>
    <w:p>
      <w:pPr>
        <w:pStyle w:val="5"/>
        <w:keepNext w:val="0"/>
        <w:keepLines w:val="0"/>
        <w:widowControl/>
        <w:suppressLineNumbers w:val="0"/>
      </w:pPr>
      <w:r>
        <w:t>十、政府性基金预算财政拨款收入支出决算表</w:t>
      </w:r>
    </w:p>
    <w:p>
      <w:pPr>
        <w:pStyle w:val="5"/>
        <w:keepNext w:val="0"/>
        <w:keepLines w:val="0"/>
        <w:widowControl/>
        <w:suppressLineNumbers w:val="0"/>
      </w:pPr>
      <w:r>
        <w:t>十一、国有资本经营预算财政拨款收入支出决算表</w:t>
      </w:r>
    </w:p>
    <w:p>
      <w:pPr>
        <w:pStyle w:val="5"/>
        <w:keepNext w:val="0"/>
        <w:keepLines w:val="0"/>
        <w:widowControl/>
        <w:suppressLineNumbers w:val="0"/>
      </w:pPr>
      <w:r>
        <w:t>十二、国有资本经营预算财政拨款支出决算表</w:t>
      </w:r>
    </w:p>
    <w:p>
      <w:pPr>
        <w:pStyle w:val="5"/>
        <w:keepNext w:val="0"/>
        <w:keepLines w:val="0"/>
        <w:widowControl/>
        <w:suppressLineNumbers w:val="0"/>
      </w:pPr>
      <w:r>
        <w:t>十三、财政拨款“三公”经费支出决算表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
    <w:altName w:val="仿宋_GB2312"/>
    <w:panose1 w:val="00000000000000000000"/>
    <w:charset w:val="00"/>
    <w:family w:val="roman"/>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ABFE38"/>
    <w:multiLevelType w:val="singleLevel"/>
    <w:tmpl w:val="BAABFE38"/>
    <w:lvl w:ilvl="0" w:tentative="0">
      <w:start w:val="1"/>
      <w:numFmt w:val="chineseCounting"/>
      <w:suff w:val="nothing"/>
      <w:lvlText w:val="%1、"/>
      <w:lvlJc w:val="left"/>
      <w:rPr>
        <w:rFonts w:hint="eastAsia"/>
      </w:rPr>
    </w:lvl>
  </w:abstractNum>
  <w:abstractNum w:abstractNumId="1">
    <w:nsid w:val="C70525D2"/>
    <w:multiLevelType w:val="singleLevel"/>
    <w:tmpl w:val="C70525D2"/>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liMDZiMWQwMDkzYTU0NjBjM2RkZTA4ZjQyOTI3Y2MifQ=="/>
  </w:docVars>
  <w:rsids>
    <w:rsidRoot w:val="00000000"/>
    <w:rsid w:val="084F568C"/>
    <w:rsid w:val="0C2577CE"/>
    <w:rsid w:val="104B5755"/>
    <w:rsid w:val="182E0907"/>
    <w:rsid w:val="18615B18"/>
    <w:rsid w:val="20937FD9"/>
    <w:rsid w:val="20D12669"/>
    <w:rsid w:val="2AC53588"/>
    <w:rsid w:val="2B576C2A"/>
    <w:rsid w:val="2E435DC8"/>
    <w:rsid w:val="2F5F748B"/>
    <w:rsid w:val="30ED7159"/>
    <w:rsid w:val="380E03E3"/>
    <w:rsid w:val="3DCF4467"/>
    <w:rsid w:val="42723962"/>
    <w:rsid w:val="48E5108B"/>
    <w:rsid w:val="53C25AFF"/>
    <w:rsid w:val="5AD33EAC"/>
    <w:rsid w:val="696A584E"/>
    <w:rsid w:val="6EFD60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5">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pPr>
  </w:style>
  <w:style w:type="paragraph" w:styleId="3">
    <w:name w:val="Body Text Indent"/>
    <w:basedOn w:val="1"/>
    <w:qFormat/>
    <w:uiPriority w:val="0"/>
    <w:pPr>
      <w:spacing w:line="560" w:lineRule="atLeast"/>
      <w:ind w:firstLine="640" w:firstLineChars="200"/>
    </w:pPr>
    <w:rPr>
      <w:rFonts w:ascii="仿宋_GB2312" w:eastAsia="仿宋_GB2312"/>
      <w:sz w:val="32"/>
    </w:rPr>
  </w:style>
  <w:style w:type="paragraph" w:styleId="6">
    <w:name w:val="Body Text"/>
    <w:basedOn w:val="1"/>
    <w:qFormat/>
    <w:uiPriority w:val="0"/>
    <w:pPr>
      <w:spacing w:before="93" w:beforeLines="30"/>
    </w:pPr>
    <w:rPr>
      <w:rFonts w:ascii="仿宋_GB2312" w:eastAsia="仿宋_GB2312"/>
      <w:sz w:val="30"/>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Normal (Web)"/>
    <w:basedOn w:val="1"/>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paragraph" w:customStyle="1" w:styleId="12">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6.xml"/><Relationship Id="rId8" Type="http://schemas.openxmlformats.org/officeDocument/2006/relationships/chart" Target="charts/chart5.xml"/><Relationship Id="rId7" Type="http://schemas.openxmlformats.org/officeDocument/2006/relationships/chart" Target="charts/chart4.xml"/><Relationship Id="rId6" Type="http://schemas.openxmlformats.org/officeDocument/2006/relationships/chart" Target="charts/chart3.xml"/><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hart" Target="charts/chart7.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03015075376884"/>
          <c:y val="0.144705882352941"/>
          <c:w val="0.907462311557789"/>
          <c:h val="0.790705882352941"/>
        </c:manualLayout>
      </c:layout>
      <c:barChart>
        <c:barDir val="col"/>
        <c:grouping val="clustered"/>
        <c:varyColors val="0"/>
        <c:ser>
          <c:idx val="0"/>
          <c:order val="0"/>
          <c:tx>
            <c:strRef>
              <c:f>Sheet1!$B$1</c:f>
              <c:strCache>
                <c:ptCount val="1"/>
                <c:pt idx="0">
                  <c:v>收入</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dLbl>
              <c:idx val="0"/>
              <c:layout>
                <c:manualLayout>
                  <c:x val="-0.0100502512562814"/>
                  <c:y val="0"/>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1010.71</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Ref>
              <c:f>Sheet1!#REF!</c:f>
              <c:numCache>
                <c:ptCount val="0"/>
              </c:numCache>
            </c:numRef>
          </c:cat>
          <c:val>
            <c:numRef>
              <c:f>Sheet1!$B$2</c:f>
              <c:numCache>
                <c:formatCode>General</c:formatCode>
                <c:ptCount val="1"/>
                <c:pt idx="0">
                  <c:v>1010.71</c:v>
                </c:pt>
              </c:numCache>
            </c:numRef>
          </c:val>
        </c:ser>
        <c:ser>
          <c:idx val="1"/>
          <c:order val="1"/>
          <c:tx>
            <c:strRef>
              <c:f>Sheet1!$C$1</c:f>
              <c:strCache>
                <c:ptCount val="1"/>
                <c:pt idx="0">
                  <c:v>支出</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1010.71</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Ref>
              <c:f>Sheet1!#REF!</c:f>
              <c:numCache>
                <c:ptCount val="0"/>
              </c:numCache>
            </c:numRef>
          </c:cat>
          <c:val>
            <c:numRef>
              <c:f>Sheet1!$C$2</c:f>
              <c:numCache>
                <c:formatCode>General</c:formatCode>
                <c:ptCount val="1"/>
                <c:pt idx="0">
                  <c:v>1010.71</c:v>
                </c:pt>
              </c:numCache>
            </c:numRef>
          </c:val>
        </c:ser>
        <c:ser>
          <c:idx val="2"/>
          <c:order val="2"/>
          <c:tx>
            <c:strRef>
              <c:f>Sheet1!#REF!</c:f>
              <c:strCache>
                <c:ptCount val="1"/>
                <c:pt idx="0">
                  <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delete val="1"/>
          </c:dLbls>
          <c:cat>
            <c:numRef>
              <c:f>Sheet1!#REF!</c:f>
              <c:numCache>
                <c:ptCount val="0"/>
              </c:numCache>
            </c:numRef>
          </c:cat>
          <c:val>
            <c:numRef>
              <c:f>Sheet1!#REF!</c:f>
              <c:numCache>
                <c:formatCode>General</c:formatCode>
                <c:ptCount val="1"/>
                <c:pt idx="0">
                  <c:v>1</c:v>
                </c:pt>
              </c:numCache>
            </c:numRef>
          </c:val>
        </c:ser>
        <c:dLbls>
          <c:showLegendKey val="0"/>
          <c:showVal val="1"/>
          <c:showCatName val="0"/>
          <c:showSerName val="0"/>
          <c:showPercent val="0"/>
          <c:showBubbleSize val="0"/>
        </c:dLbls>
        <c:gapWidth val="164"/>
        <c:overlap val="-22"/>
        <c:axId val="968769396"/>
        <c:axId val="842422400"/>
      </c:barChart>
      <c:catAx>
        <c:axId val="968769396"/>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42422400"/>
        <c:crosses val="autoZero"/>
        <c:auto val="1"/>
        <c:lblAlgn val="ctr"/>
        <c:lblOffset val="100"/>
        <c:noMultiLvlLbl val="0"/>
      </c:catAx>
      <c:valAx>
        <c:axId val="842422400"/>
        <c:scaling>
          <c:orientation val="minMax"/>
        </c:scaling>
        <c:delete val="0"/>
        <c:axPos val="l"/>
        <c:numFmt formatCode="General" sourceLinked="1"/>
        <c:majorTickMark val="none"/>
        <c:minorTickMark val="none"/>
        <c:tickLblPos val="nextTo"/>
        <c:spPr>
          <a:noFill/>
          <a:ln>
            <a:noFill/>
          </a:ln>
          <a:effectLst/>
        </c:spPr>
        <c:txPr>
          <a:bodyPr rot="-6000000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68769396"/>
        <c:crosses val="autoZero"/>
        <c:crossBetween val="between"/>
      </c:valAx>
      <c:spPr>
        <a:noFill/>
        <a:ln>
          <a:noFill/>
        </a:ln>
        <a:effectLst/>
      </c:spPr>
    </c:plotArea>
    <c:legend>
      <c:legendPos val="r"/>
      <c:legendEntry>
        <c:idx val="2"/>
        <c:delete val="1"/>
      </c:legendEntry>
      <c:layout/>
      <c:overlay val="0"/>
      <c:spPr>
        <a:noFill/>
        <a:ln>
          <a:noFill/>
        </a:ln>
        <a:effectLst/>
      </c:spPr>
      <c:txPr>
        <a:bodyPr rot="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400" b="0" i="0" u="none" strike="noStrike" kern="1200" spc="0" baseline="0">
                <a:solidFill>
                  <a:schemeClr val="tx1">
                    <a:lumMod val="65000"/>
                    <a:lumOff val="35000"/>
                  </a:schemeClr>
                </a:solidFill>
                <a:latin typeface="+mn-lt"/>
                <a:ea typeface="+mn-ea"/>
                <a:cs typeface="+mn-cs"/>
              </a:defRPr>
            </a:pPr>
            <a:r>
              <a:t>收入决算结构图</a:t>
            </a:r>
          </a:p>
        </c:rich>
      </c:tx>
      <c:layout/>
      <c:overlay val="0"/>
      <c:spPr>
        <a:noFill/>
        <a:ln>
          <a:noFill/>
        </a:ln>
        <a:effectLst/>
      </c:spPr>
    </c:title>
    <c:autoTitleDeleted val="0"/>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tx>
            <c:strRef>
              <c:f>Sheet1!$B$1</c:f>
              <c:strCache>
                <c:ptCount val="1"/>
                <c:pt idx="0">
                  <c:v>收入决算结构图</c:v>
                </c:pt>
              </c:strCache>
            </c:strRef>
          </c:tx>
          <c:spPr>
            <a:effectLst/>
          </c:spPr>
          <c:explosion val="0"/>
          <c:dPt>
            <c:idx val="0"/>
            <c:bubble3D val="0"/>
            <c:explosion val="0"/>
            <c:spPr>
              <a:solidFill>
                <a:schemeClr val="accent1"/>
              </a:solidFill>
              <a:ln w="25400">
                <a:solidFill>
                  <a:schemeClr val="lt1"/>
                </a:solidFill>
              </a:ln>
              <a:effectLst/>
            </c:spPr>
          </c:dPt>
          <c:dLbls>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一般公共预算财政拨款收入</c:v>
                </c:pt>
              </c:strCache>
            </c:strRef>
          </c:cat>
          <c:val>
            <c:numRef>
              <c:f>Sheet1!$B$2</c:f>
              <c:numCache>
                <c:formatCode>General</c:formatCode>
                <c:ptCount val="1"/>
                <c:pt idx="0">
                  <c:v>1010.71</c:v>
                </c:pt>
              </c:numCache>
            </c:numRef>
          </c:val>
        </c:ser>
        <c:dLbls>
          <c:showLegendKey val="0"/>
          <c:showVal val="0"/>
          <c:showCatName val="0"/>
          <c:showSerName val="0"/>
          <c:showPercent val="1"/>
          <c:showBubbleSize val="0"/>
        </c:dLbls>
      </c:pie3DChart>
      <c:spPr>
        <a:noFill/>
        <a:ln>
          <a:noFill/>
        </a:ln>
        <a:effectLst/>
      </c:spPr>
    </c:plotArea>
    <c:legend>
      <c:legendPos val="r"/>
      <c:layout/>
      <c:overlay val="0"/>
      <c:spPr>
        <a:noFill/>
        <a:ln>
          <a:noFill/>
        </a:ln>
        <a:effectLst/>
      </c:spPr>
      <c:txPr>
        <a:bodyPr rot="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400" b="0" i="0" u="none" strike="noStrike" kern="1200" spc="0" baseline="0">
                <a:solidFill>
                  <a:schemeClr val="tx1">
                    <a:lumMod val="65000"/>
                    <a:lumOff val="35000"/>
                  </a:scheme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tx>
            <c:strRef>
              <c:f>Sheet1!$B$1</c:f>
              <c:strCache>
                <c:ptCount val="1"/>
                <c:pt idx="0">
                  <c:v>支出决算结构图</c:v>
                </c:pt>
              </c:strCache>
            </c:strRef>
          </c:tx>
          <c:spPr>
            <a:effectLst/>
          </c:spPr>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87.73%</a:t>
                    </a:r>
                    <a:endParaRPr lang="en-US" altLang="zh-CN"/>
                  </a:p>
                </c:rich>
              </c:tx>
              <c:dLblPos val="inEnd"/>
              <c:showLegendKey val="0"/>
              <c:showVal val="0"/>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12.27%</a:t>
                    </a:r>
                    <a:endParaRPr lang="en-US" altLang="zh-CN"/>
                  </a:p>
                </c:rich>
              </c:tx>
              <c:dLblPos val="inEnd"/>
              <c:showLegendKey val="0"/>
              <c:showVal val="0"/>
              <c:showCatName val="0"/>
              <c:showSerName val="0"/>
              <c:showPercent val="1"/>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一般公共服务支出</c:v>
                </c:pt>
                <c:pt idx="1">
                  <c:v>项目支出</c:v>
                </c:pt>
              </c:strCache>
            </c:strRef>
          </c:cat>
          <c:val>
            <c:numRef>
              <c:f>Sheet1!$B$2:$B$3</c:f>
              <c:numCache>
                <c:formatCode>General</c:formatCode>
                <c:ptCount val="2"/>
                <c:pt idx="0">
                  <c:v>886.73</c:v>
                </c:pt>
                <c:pt idx="1">
                  <c:v>123.98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900" b="1" i="0" u="none" strike="noStrike" kern="1200" cap="all" spc="150" baseline="0">
                <a:solidFill>
                  <a:schemeClr val="tx1">
                    <a:lumMod val="50000"/>
                    <a:lumOff val="50000"/>
                  </a:schemeClr>
                </a:solidFill>
                <a:latin typeface="+mn-lt"/>
                <a:ea typeface="+mn-ea"/>
                <a:cs typeface="+mn-cs"/>
              </a:defRPr>
            </a:pPr>
            <a:r>
              <a:rPr sz="900"/>
              <a:t>20</a:t>
            </a:r>
            <a:r>
              <a:rPr lang="en-US" altLang="zh-CN" sz="900"/>
              <a:t>21.2022</a:t>
            </a:r>
            <a:r>
              <a:rPr sz="900"/>
              <a:t>年度财政拨款收、支决算总计变动情况图</a:t>
            </a:r>
            <a:endParaRPr sz="900"/>
          </a:p>
        </c:rich>
      </c:tx>
      <c:layout/>
      <c:overlay val="0"/>
      <c:spPr>
        <a:noFill/>
        <a:ln>
          <a:noFill/>
        </a:ln>
        <a:effectLst/>
      </c:spPr>
    </c:title>
    <c:autoTitleDeleted val="0"/>
    <c:plotArea>
      <c:layout>
        <c:manualLayout>
          <c:layoutTarget val="inner"/>
          <c:xMode val="edge"/>
          <c:yMode val="edge"/>
          <c:x val="0.140567458514081"/>
          <c:y val="0.197326164287598"/>
          <c:w val="0.855387234042553"/>
          <c:h val="0.466290928609769"/>
        </c:manualLayout>
      </c:layout>
      <c:barChart>
        <c:barDir val="col"/>
        <c:grouping val="clustered"/>
        <c:varyColors val="0"/>
        <c:ser>
          <c:idx val="0"/>
          <c:order val="0"/>
          <c:tx>
            <c:strRef>
              <c:f>Sheet1!$B$1</c:f>
              <c:strCache>
                <c:ptCount val="1"/>
                <c:pt idx="0">
                  <c:v>收入</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75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Sheet1!$A$2:$A$3</c:f>
              <c:strCache>
                <c:ptCount val="2"/>
                <c:pt idx="0">
                  <c:v>2021年</c:v>
                </c:pt>
                <c:pt idx="1">
                  <c:v>2022年</c:v>
                </c:pt>
              </c:strCache>
            </c:strRef>
          </c:cat>
          <c:val>
            <c:numRef>
              <c:f>Sheet1!$B$2:$B$3</c:f>
              <c:numCache>
                <c:formatCode>General</c:formatCode>
                <c:ptCount val="2"/>
                <c:pt idx="0">
                  <c:v>1096.32</c:v>
                </c:pt>
                <c:pt idx="1">
                  <c:v>1010.71</c:v>
                </c:pt>
              </c:numCache>
            </c:numRef>
          </c:val>
        </c:ser>
        <c:ser>
          <c:idx val="1"/>
          <c:order val="1"/>
          <c:tx>
            <c:strRef>
              <c:f>Sheet1!#REF!</c:f>
              <c:strCache>
                <c:ptCount val="1"/>
                <c:pt idx="0">
                  <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delete val="1"/>
          </c:dLbls>
          <c:cat>
            <c:strRef>
              <c:f>Sheet1!$A$2:$A$3</c:f>
              <c:strCache>
                <c:ptCount val="2"/>
                <c:pt idx="0">
                  <c:v>2021年</c:v>
                </c:pt>
                <c:pt idx="1">
                  <c:v>2022年</c:v>
                </c:pt>
              </c:strCache>
            </c:strRef>
          </c:cat>
          <c:val>
            <c:numRef>
              <c:f>Sheet1!#REF!</c:f>
              <c:numCache>
                <c:formatCode>General</c:formatCode>
                <c:ptCount val="1"/>
                <c:pt idx="0">
                  <c:v>1</c:v>
                </c:pt>
              </c:numCache>
            </c:numRef>
          </c:val>
        </c:ser>
        <c:ser>
          <c:idx val="2"/>
          <c:order val="2"/>
          <c:tx>
            <c:strRef>
              <c:f>Sheet1!$C$1</c:f>
              <c:strCache>
                <c:ptCount val="1"/>
                <c:pt idx="0">
                  <c:v>支出</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75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Sheet1!$A$2:$A$3</c:f>
              <c:strCache>
                <c:ptCount val="2"/>
                <c:pt idx="0">
                  <c:v>2021年</c:v>
                </c:pt>
                <c:pt idx="1">
                  <c:v>2022年</c:v>
                </c:pt>
              </c:strCache>
            </c:strRef>
          </c:cat>
          <c:val>
            <c:numRef>
              <c:f>Sheet1!$C$2:$C$3</c:f>
              <c:numCache>
                <c:formatCode>General</c:formatCode>
                <c:ptCount val="2"/>
                <c:pt idx="0">
                  <c:v>1132.02</c:v>
                </c:pt>
                <c:pt idx="1">
                  <c:v>1010.71</c:v>
                </c:pt>
              </c:numCache>
            </c:numRef>
          </c:val>
        </c:ser>
        <c:dLbls>
          <c:showLegendKey val="0"/>
          <c:showVal val="1"/>
          <c:showCatName val="0"/>
          <c:showSerName val="0"/>
          <c:showPercent val="0"/>
          <c:showBubbleSize val="0"/>
        </c:dLbls>
        <c:gapWidth val="164"/>
        <c:overlap val="-22"/>
        <c:axId val="812231112"/>
        <c:axId val="567768063"/>
      </c:barChart>
      <c:catAx>
        <c:axId val="81223111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0" vertOverflow="ellipsis" horzOverflow="overflow" vert="horz" wrap="square" anchor="ctr" anchorCtr="1"/>
          <a:lstStyle/>
          <a:p>
            <a:pPr>
              <a:defRPr lang="zh-CN" sz="750" b="0" i="0" u="none" strike="noStrike" kern="1200" baseline="0">
                <a:solidFill>
                  <a:schemeClr val="tx1">
                    <a:lumMod val="65000"/>
                    <a:lumOff val="35000"/>
                  </a:schemeClr>
                </a:solidFill>
                <a:latin typeface="+mn-lt"/>
                <a:ea typeface="+mn-ea"/>
                <a:cs typeface="+mn-cs"/>
              </a:defRPr>
            </a:pPr>
          </a:p>
        </c:txPr>
        <c:crossAx val="567768063"/>
        <c:crosses val="autoZero"/>
        <c:auto val="1"/>
        <c:lblAlgn val="ctr"/>
        <c:lblOffset val="100"/>
        <c:noMultiLvlLbl val="0"/>
      </c:catAx>
      <c:valAx>
        <c:axId val="567768063"/>
        <c:scaling>
          <c:orientation val="minMax"/>
        </c:scaling>
        <c:delete val="0"/>
        <c:axPos val="l"/>
        <c:numFmt formatCode="General" sourceLinked="1"/>
        <c:majorTickMark val="none"/>
        <c:minorTickMark val="none"/>
        <c:tickLblPos val="nextTo"/>
        <c:spPr>
          <a:noFill/>
          <a:ln>
            <a:noFill/>
          </a:ln>
          <a:effectLst/>
        </c:spPr>
        <c:txPr>
          <a:bodyPr rot="-60000000" spcFirstLastPara="0" vertOverflow="ellipsis" horzOverflow="overflow" vert="horz" wrap="square" anchor="ctr" anchorCtr="1"/>
          <a:lstStyle/>
          <a:p>
            <a:pPr>
              <a:defRPr lang="zh-CN" sz="750" b="0" i="0" u="none" strike="noStrike" kern="1200" baseline="0">
                <a:solidFill>
                  <a:schemeClr val="tx1">
                    <a:lumMod val="65000"/>
                    <a:lumOff val="35000"/>
                  </a:schemeClr>
                </a:solidFill>
                <a:latin typeface="+mn-lt"/>
                <a:ea typeface="+mn-ea"/>
                <a:cs typeface="+mn-cs"/>
              </a:defRPr>
            </a:pPr>
          </a:p>
        </c:txPr>
        <c:crossAx val="812231112"/>
        <c:crosses val="autoZero"/>
        <c:crossBetween val="between"/>
      </c:valAx>
      <c:spPr>
        <a:noFill/>
        <a:ln>
          <a:noFill/>
        </a:ln>
        <a:effectLst/>
      </c:spPr>
    </c:plotArea>
    <c:legend>
      <c:legendPos val="b"/>
      <c:legendEntry>
        <c:idx val="0"/>
        <c:txPr>
          <a:bodyPr rot="0" spcFirstLastPara="0" vertOverflow="ellipsis" horzOverflow="overflow" vert="horz" wrap="square" anchor="ctr" anchorCtr="1"/>
          <a:lstStyle/>
          <a:p>
            <a:pPr>
              <a:defRPr lang="zh-CN" sz="750" b="0" i="0" u="none" strike="noStrike" kern="1200" baseline="0">
                <a:solidFill>
                  <a:schemeClr val="tx1">
                    <a:lumMod val="65000"/>
                    <a:lumOff val="35000"/>
                  </a:schemeClr>
                </a:solidFill>
                <a:latin typeface="+mn-lt"/>
                <a:ea typeface="+mn-ea"/>
                <a:cs typeface="+mn-cs"/>
              </a:defRPr>
            </a:pPr>
          </a:p>
        </c:txPr>
      </c:legendEntry>
      <c:legendEntry>
        <c:idx val="1"/>
        <c:delete val="1"/>
      </c:legendEntry>
      <c:legendEntry>
        <c:idx val="2"/>
        <c:txPr>
          <a:bodyPr rot="0" spcFirstLastPara="0" vertOverflow="ellipsis" horzOverflow="overflow" vert="horz" wrap="square" anchor="ctr" anchorCtr="1"/>
          <a:lstStyle/>
          <a:p>
            <a:pPr>
              <a:defRPr lang="zh-CN" sz="750" b="0" i="0" u="none" strike="noStrike" kern="1200" baseline="0">
                <a:solidFill>
                  <a:schemeClr val="tx1">
                    <a:lumMod val="65000"/>
                    <a:lumOff val="35000"/>
                  </a:schemeClr>
                </a:solidFill>
                <a:latin typeface="+mn-lt"/>
                <a:ea typeface="+mn-ea"/>
                <a:cs typeface="+mn-cs"/>
              </a:defRPr>
            </a:pPr>
          </a:p>
        </c:txPr>
      </c:legendEntry>
      <c:layout>
        <c:manualLayout>
          <c:xMode val="edge"/>
          <c:yMode val="edge"/>
          <c:x val="0.73388619201726"/>
          <c:y val="0.923479561316052"/>
        </c:manualLayout>
      </c:layout>
      <c:overlay val="0"/>
      <c:spPr>
        <a:noFill/>
        <a:ln>
          <a:noFill/>
        </a:ln>
        <a:effectLst/>
      </c:spPr>
      <c:txPr>
        <a:bodyPr rot="0" spcFirstLastPara="0" vertOverflow="ellipsis" horzOverflow="overflow" vert="horz" wrap="square" anchor="ctr" anchorCtr="1"/>
        <a:lstStyle/>
        <a:p>
          <a:pPr>
            <a:defRPr lang="zh-CN" sz="75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rot="0" spcFirstLastPara="0" vertOverflow="ellipsis" horzOverflow="overflow" vert="horz" wrap="square" anchor="ctr" anchorCtr="1"/>
    <a:lstStyle/>
    <a:p>
      <a:pPr>
        <a:defRPr lang="zh-CN" sz="750"/>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440" b="1" i="0" u="none" strike="noStrike" kern="1200" cap="all" spc="150" baseline="0">
                <a:solidFill>
                  <a:schemeClr val="dk1"/>
                </a:solidFill>
                <a:latin typeface="+mn-lt"/>
                <a:ea typeface="+mn-ea"/>
                <a:cs typeface="+mn-cs"/>
              </a:defRPr>
            </a:pPr>
            <a:r>
              <a:rPr lang="en-US" altLang="zh-CN" sz="1440">
                <a:solidFill>
                  <a:schemeClr val="dk1"/>
                </a:solidFill>
                <a:latin typeface="+mn-lt"/>
                <a:ea typeface="+mn-ea"/>
                <a:cs typeface="+mn-cs"/>
              </a:rPr>
              <a:t>2021</a:t>
            </a:r>
            <a:r>
              <a:rPr sz="1440">
                <a:solidFill>
                  <a:schemeClr val="dk1"/>
                </a:solidFill>
                <a:latin typeface="+mn-lt"/>
                <a:ea typeface="+mn-ea"/>
                <a:cs typeface="+mn-cs"/>
              </a:rPr>
              <a:t>、</a:t>
            </a:r>
            <a:r>
              <a:rPr lang="en-US" altLang="zh-CN" sz="1440">
                <a:solidFill>
                  <a:schemeClr val="dk1"/>
                </a:solidFill>
                <a:latin typeface="+mn-lt"/>
                <a:ea typeface="+mn-ea"/>
                <a:cs typeface="+mn-cs"/>
              </a:rPr>
              <a:t>2022</a:t>
            </a:r>
            <a:r>
              <a:rPr sz="1440">
                <a:solidFill>
                  <a:schemeClr val="dk1"/>
                </a:solidFill>
                <a:latin typeface="+mn-lt"/>
                <a:ea typeface="+mn-ea"/>
                <a:cs typeface="+mn-cs"/>
              </a:rPr>
              <a:t>年度一般公共预算财政拨款支出决算变动情况图</a:t>
            </a:r>
            <a:endParaRPr sz="1440">
              <a:solidFill>
                <a:schemeClr val="dk1"/>
              </a:solidFill>
              <a:latin typeface="+mn-lt"/>
              <a:ea typeface="+mn-ea"/>
              <a:cs typeface="+mn-cs"/>
            </a:endParaRPr>
          </a:p>
        </c:rich>
      </c:tx>
      <c:layout>
        <c:manualLayout>
          <c:xMode val="edge"/>
          <c:yMode val="edge"/>
          <c:x val="0.117296347433162"/>
          <c:y val="0.0273833671399594"/>
        </c:manualLayout>
      </c:layout>
      <c:overlay val="0"/>
      <c:spPr>
        <a:noFill/>
        <a:ln>
          <a:noFill/>
        </a:ln>
        <a:effectLst/>
      </c:spPr>
    </c:title>
    <c:autoTitleDeleted val="0"/>
    <c:plotArea>
      <c:layout>
        <c:manualLayout>
          <c:layoutTarget val="inner"/>
          <c:xMode val="edge"/>
          <c:yMode val="edge"/>
          <c:x val="0.106790510857287"/>
          <c:y val="0.346754563894523"/>
          <c:w val="0.870867327726873"/>
          <c:h val="0.529148073022312"/>
        </c:manualLayout>
      </c:layout>
      <c:barChart>
        <c:barDir val="col"/>
        <c:grouping val="clustered"/>
        <c:varyColors val="0"/>
        <c:ser>
          <c:idx val="0"/>
          <c:order val="0"/>
          <c:tx>
            <c:strRef>
              <c:f>Sheet1!#REF!</c:f>
              <c:strCache>
                <c:ptCount val="1"/>
                <c:pt idx="0">
                  <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delete val="1"/>
          </c:dLbls>
          <c:cat>
            <c:strRef>
              <c:f>Sheet1!$A$2:$A$3</c:f>
              <c:strCache>
                <c:ptCount val="2"/>
                <c:pt idx="0">
                  <c:v>2021年</c:v>
                </c:pt>
                <c:pt idx="1">
                  <c:v>2022年</c:v>
                </c:pt>
              </c:strCache>
            </c:strRef>
          </c:cat>
          <c:val>
            <c:numRef>
              <c:f>Sheet1!#REF!</c:f>
              <c:numCache>
                <c:formatCode>General</c:formatCode>
                <c:ptCount val="1"/>
                <c:pt idx="0">
                  <c:v>1</c:v>
                </c:pt>
              </c:numCache>
            </c:numRef>
          </c:val>
        </c:ser>
        <c:ser>
          <c:idx val="1"/>
          <c:order val="1"/>
          <c:tx>
            <c:strRef>
              <c:f>Sheet1!#REF!</c:f>
              <c:strCache>
                <c:ptCount val="1"/>
                <c:pt idx="0">
                  <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delete val="1"/>
          </c:dLbls>
          <c:cat>
            <c:strRef>
              <c:f>Sheet1!$A$2:$A$3</c:f>
              <c:strCache>
                <c:ptCount val="2"/>
                <c:pt idx="0">
                  <c:v>2021年</c:v>
                </c:pt>
                <c:pt idx="1">
                  <c:v>2022年</c:v>
                </c:pt>
              </c:strCache>
            </c:strRef>
          </c:cat>
          <c:val>
            <c:numRef>
              <c:f>Sheet1!#REF!</c:f>
              <c:numCache>
                <c:formatCode>General</c:formatCode>
                <c:ptCount val="1"/>
                <c:pt idx="0">
                  <c:v>1</c:v>
                </c:pt>
              </c:numCache>
            </c:numRef>
          </c:val>
        </c:ser>
        <c:ser>
          <c:idx val="2"/>
          <c:order val="2"/>
          <c:tx>
            <c:strRef>
              <c:f>Sheet1!$B$1</c:f>
              <c:strCache>
                <c:ptCount val="1"/>
                <c:pt idx="0">
                  <c:v>支出</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1200" b="0" i="0" u="none" strike="noStrike" kern="1200" baseline="0">
                    <a:solidFill>
                      <a:schemeClr val="dk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a:solidFill>
                        <a:schemeClr val="tx1">
                          <a:lumMod val="35000"/>
                          <a:lumOff val="65000"/>
                        </a:schemeClr>
                      </a:solidFill>
                    </a:ln>
                    <a:effectLst/>
                  </c:spPr>
                </c15:leaderLines>
              </c:ext>
            </c:extLst>
          </c:dLbls>
          <c:cat>
            <c:strRef>
              <c:f>Sheet1!$A$2:$A$3</c:f>
              <c:strCache>
                <c:ptCount val="2"/>
                <c:pt idx="0">
                  <c:v>2021年</c:v>
                </c:pt>
                <c:pt idx="1">
                  <c:v>2022年</c:v>
                </c:pt>
              </c:strCache>
            </c:strRef>
          </c:cat>
          <c:val>
            <c:numRef>
              <c:f>Sheet1!$B$2:$B$3</c:f>
              <c:numCache>
                <c:formatCode>General</c:formatCode>
                <c:ptCount val="2"/>
                <c:pt idx="0">
                  <c:v>1132.02</c:v>
                </c:pt>
                <c:pt idx="1">
                  <c:v>1010.71</c:v>
                </c:pt>
              </c:numCache>
            </c:numRef>
          </c:val>
        </c:ser>
        <c:dLbls>
          <c:showLegendKey val="0"/>
          <c:showVal val="1"/>
          <c:showCatName val="0"/>
          <c:showSerName val="0"/>
          <c:showPercent val="0"/>
          <c:showBubbleSize val="0"/>
        </c:dLbls>
        <c:gapWidth val="164"/>
        <c:overlap val="-22"/>
        <c:axId val="973666578"/>
        <c:axId val="135195795"/>
      </c:barChart>
      <c:catAx>
        <c:axId val="973666578"/>
        <c:scaling>
          <c:orientation val="minMax"/>
        </c:scaling>
        <c:delete val="0"/>
        <c:axPos val="b"/>
        <c:numFmt formatCode="General" sourceLinked="1"/>
        <c:majorTickMark val="out"/>
        <c:minorTickMark val="none"/>
        <c:tickLblPos val="nextTo"/>
        <c:spPr>
          <a:noFill/>
          <a:ln w="19050" cap="flat" cmpd="sng" algn="ctr">
            <a:solidFill>
              <a:schemeClr val="tx1">
                <a:lumMod val="25000"/>
                <a:lumOff val="75000"/>
              </a:schemeClr>
            </a:solidFill>
            <a:round/>
          </a:ln>
          <a:effectLst/>
        </c:spPr>
        <c:txPr>
          <a:bodyPr rot="-60000000" spcFirstLastPara="0" vertOverflow="ellipsis" horzOverflow="overflow" vert="horz" wrap="square" anchor="ctr" anchorCtr="1"/>
          <a:lstStyle/>
          <a:p>
            <a:pPr>
              <a:defRPr lang="zh-CN" sz="1200" b="0" i="0" u="none" strike="noStrike" kern="1200" baseline="0">
                <a:solidFill>
                  <a:schemeClr val="dk1"/>
                </a:solidFill>
                <a:latin typeface="+mn-lt"/>
                <a:ea typeface="+mn-ea"/>
                <a:cs typeface="+mn-cs"/>
              </a:defRPr>
            </a:pPr>
          </a:p>
        </c:txPr>
        <c:crossAx val="135195795"/>
        <c:crosses val="autoZero"/>
        <c:auto val="1"/>
        <c:lblAlgn val="ctr"/>
        <c:lblOffset val="100"/>
        <c:noMultiLvlLbl val="0"/>
      </c:catAx>
      <c:valAx>
        <c:axId val="135195795"/>
        <c:scaling>
          <c:orientation val="minMax"/>
        </c:scaling>
        <c:delete val="0"/>
        <c:axPos val="l"/>
        <c:numFmt formatCode="General" sourceLinked="1"/>
        <c:majorTickMark val="out"/>
        <c:minorTickMark val="none"/>
        <c:tickLblPos val="nextTo"/>
        <c:spPr>
          <a:noFill/>
          <a:ln>
            <a:noFill/>
          </a:ln>
          <a:effectLst/>
        </c:spPr>
        <c:txPr>
          <a:bodyPr rot="-60000000" spcFirstLastPara="0" vertOverflow="ellipsis" horzOverflow="overflow" vert="horz" wrap="square" anchor="ctr" anchorCtr="1"/>
          <a:lstStyle/>
          <a:p>
            <a:pPr>
              <a:defRPr lang="zh-CN" sz="1200" b="0" i="0" u="none" strike="noStrike" kern="1200" baseline="0">
                <a:solidFill>
                  <a:schemeClr val="dk1"/>
                </a:solidFill>
                <a:latin typeface="+mn-lt"/>
                <a:ea typeface="+mn-ea"/>
                <a:cs typeface="+mn-cs"/>
              </a:defRPr>
            </a:pPr>
          </a:p>
        </c:txPr>
        <c:crossAx val="973666578"/>
        <c:crosses val="autoZero"/>
        <c:crossBetween val="between"/>
      </c:valAx>
      <c:spPr>
        <a:noFill/>
        <a:ln>
          <a:noFill/>
        </a:ln>
        <a:effectLst/>
      </c:spPr>
    </c:plotArea>
    <c:legend>
      <c:legendPos val="t"/>
      <c:legendEntry>
        <c:idx val="0"/>
        <c:delete val="1"/>
      </c:legendEntry>
      <c:legendEntry>
        <c:idx val="1"/>
        <c:delete val="1"/>
      </c:legendEntry>
      <c:legendEntry>
        <c:idx val="2"/>
        <c:txPr>
          <a:bodyPr rot="0" spcFirstLastPara="0" vertOverflow="ellipsis" horzOverflow="overflow" vert="horz" wrap="square" anchor="ctr" anchorCtr="1"/>
          <a:lstStyle/>
          <a:p>
            <a:pPr>
              <a:defRPr lang="zh-CN" sz="1200" b="0" i="0" u="none" strike="noStrike" kern="1200" baseline="0">
                <a:solidFill>
                  <a:schemeClr val="dk1"/>
                </a:solidFill>
                <a:latin typeface="+mn-lt"/>
                <a:ea typeface="+mn-ea"/>
                <a:cs typeface="+mn-cs"/>
              </a:defRPr>
            </a:pPr>
          </a:p>
        </c:txPr>
      </c:legendEntry>
      <c:layout/>
      <c:overlay val="0"/>
      <c:spPr>
        <a:noFill/>
        <a:ln>
          <a:noFill/>
        </a:ln>
        <a:effectLst/>
      </c:spPr>
      <c:txPr>
        <a:bodyPr rot="0" spcFirstLastPara="0" vertOverflow="ellipsis" horzOverflow="overflow" vert="horz" wrap="square" anchor="ctr" anchorCtr="1"/>
        <a:lstStyle/>
        <a:p>
          <a:pPr>
            <a:defRPr lang="zh-CN" sz="1200" b="0" i="0" u="none" strike="noStrike" kern="1200" baseline="0">
              <a:solidFill>
                <a:schemeClr val="dk1"/>
              </a:solidFill>
              <a:latin typeface="+mn-lt"/>
              <a:ea typeface="+mn-ea"/>
              <a:cs typeface="+mn-cs"/>
            </a:defRPr>
          </a:pPr>
        </a:p>
      </c:txPr>
    </c:legend>
    <c:plotVisOnly val="1"/>
    <c:dispBlanksAs val="gap"/>
    <c:showDLblsOverMax val="0"/>
  </c:chart>
  <c:spPr>
    <a:solidFill>
      <a:schemeClr val="accent1"/>
    </a:solidFill>
    <a:ln w="25400" cap="flat" cmpd="sng" algn="ctr">
      <a:solidFill>
        <a:schemeClr val="dk1"/>
      </a:solidFill>
      <a:prstDash val="solid"/>
      <a:round/>
    </a:ln>
    <a:effectLst/>
    <a:sp3d>
      <a:extrusionClr>
        <a:srgbClr val="FFFFFF"/>
      </a:extrusionClr>
      <a:contourClr>
        <a:srgbClr val="FFFFFF"/>
      </a:contourClr>
    </a:sp3d>
  </c:spPr>
  <c:txPr>
    <a:bodyPr rot="0" spcFirstLastPara="0" vertOverflow="ellipsis" horzOverflow="overflow" vert="horz" wrap="square" anchor="ctr" anchorCtr="1"/>
    <a:lstStyle/>
    <a:p>
      <a:pPr>
        <a:defRPr lang="zh-CN" sz="1200">
          <a:solidFill>
            <a:schemeClr val="dk1"/>
          </a:solidFill>
          <a:latin typeface="+mn-lt"/>
          <a:ea typeface="+mn-ea"/>
          <a:cs typeface="+mn-c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600" b="1" i="0" u="none" strike="noStrike" kern="1200" cap="all" baseline="0">
                <a:solidFill>
                  <a:schemeClr val="tx1">
                    <a:lumMod val="65000"/>
                    <a:lumOff val="35000"/>
                  </a:schemeClr>
                </a:solidFill>
                <a:latin typeface="+mn-lt"/>
                <a:ea typeface="+mn-ea"/>
                <a:cs typeface="+mn-cs"/>
              </a:defRPr>
            </a:pPr>
            <a:r>
              <a:t>一般公共预算财政拨款支出决算结构图</a:t>
            </a:r>
          </a:p>
        </c:rich>
      </c:tx>
      <c:layout/>
      <c:overlay val="0"/>
      <c:spPr>
        <a:noFill/>
        <a:ln>
          <a:noFill/>
        </a:ln>
        <a:effectLst/>
      </c:spPr>
    </c:title>
    <c:autoTitleDeleted val="0"/>
    <c:plotArea>
      <c:layout>
        <c:manualLayout>
          <c:layoutTarget val="inner"/>
          <c:xMode val="edge"/>
          <c:yMode val="edge"/>
          <c:x val="0.093175700254638"/>
          <c:y val="0.11257698541329"/>
          <c:w val="0.833049593791682"/>
          <c:h val="0.586191247974068"/>
        </c:manualLayout>
      </c:layout>
      <c:ofPieChart>
        <c:ofPieType val="pie"/>
        <c:varyColors val="1"/>
        <c:ser>
          <c:idx val="0"/>
          <c:order val="0"/>
          <c:tx>
            <c:strRef>
              <c:f>Sheet1!$B$1</c:f>
              <c:strCache>
                <c:ptCount val="1"/>
                <c:pt idx="0">
                  <c:v>支出</c:v>
                </c:pt>
              </c:strCache>
            </c:strRef>
          </c:tx>
          <c:spPr/>
          <c:explosion val="0"/>
          <c:dPt>
            <c:idx val="0"/>
            <c:bubble3D val="0"/>
            <c:explosion val="0"/>
            <c:spPr>
              <a:solidFill>
                <a:schemeClr val="accent1"/>
              </a:solidFill>
              <a:ln>
                <a:noFill/>
              </a:ln>
              <a:effectLst>
                <a:outerShdw blurRad="63500" sx="102000" sy="102000" algn="ctr" rotWithShape="0">
                  <a:prstClr val="black">
                    <a:alpha val="20000"/>
                  </a:prstClr>
                </a:outerShdw>
              </a:effectLst>
            </c:spPr>
          </c:dPt>
          <c:dPt>
            <c:idx val="1"/>
            <c:bubble3D val="0"/>
            <c:explosion val="0"/>
            <c:spPr>
              <a:solidFill>
                <a:schemeClr val="accent2"/>
              </a:solidFill>
              <a:ln>
                <a:noFill/>
              </a:ln>
              <a:effectLst>
                <a:outerShdw blurRad="63500" sx="102000" sy="102000" algn="ctr" rotWithShape="0">
                  <a:prstClr val="black">
                    <a:alpha val="20000"/>
                  </a:prstClr>
                </a:outerShdw>
              </a:effectLst>
            </c:spPr>
          </c:dPt>
          <c:dPt>
            <c:idx val="2"/>
            <c:bubble3D val="0"/>
            <c:explosion val="0"/>
            <c:spPr>
              <a:solidFill>
                <a:schemeClr val="accent3"/>
              </a:solidFill>
              <a:ln>
                <a:noFill/>
              </a:ln>
              <a:effectLst>
                <a:outerShdw blurRad="63500" sx="102000" sy="102000" algn="ctr" rotWithShape="0">
                  <a:prstClr val="black">
                    <a:alpha val="20000"/>
                  </a:prstClr>
                </a:outerShdw>
              </a:effectLst>
            </c:spPr>
          </c:dPt>
          <c:dPt>
            <c:idx val="3"/>
            <c:bubble3D val="0"/>
            <c:explosion val="0"/>
            <c:spPr>
              <a:solidFill>
                <a:schemeClr val="accent4"/>
              </a:solidFill>
              <a:ln>
                <a:noFill/>
              </a:ln>
              <a:effectLst>
                <a:outerShdw blurRad="63500" sx="102000" sy="102000" algn="ctr" rotWithShape="0">
                  <a:prstClr val="black">
                    <a:alpha val="20000"/>
                  </a:prstClr>
                </a:outerShdw>
              </a:effectLst>
            </c:spPr>
          </c:dPt>
          <c:dPt>
            <c:idx val="4"/>
            <c:bubble3D val="0"/>
            <c:spPr>
              <a:solidFill>
                <a:schemeClr val="accent5"/>
              </a:solidFill>
              <a:ln>
                <a:noFill/>
              </a:ln>
              <a:effectLst>
                <a:outerShdw blurRad="63500" sx="102000" sy="102000" algn="ctr" rotWithShape="0">
                  <a:prstClr val="black">
                    <a:alpha val="20000"/>
                  </a:prstClr>
                </a:outerShdw>
              </a:effectLst>
            </c:spPr>
          </c:dPt>
          <c:dPt>
            <c:idx val="5"/>
            <c:bubble3D val="0"/>
            <c:spPr>
              <a:solidFill>
                <a:schemeClr val="accent6"/>
              </a:solidFill>
              <a:ln>
                <a:noFill/>
              </a:ln>
              <a:effectLst>
                <a:outerShdw blurRad="63500" sx="102000" sy="102000" algn="ctr" rotWithShape="0">
                  <a:prstClr val="black">
                    <a:alpha val="20000"/>
                  </a:prstClr>
                </a:outerShdw>
              </a:effectLst>
            </c:spPr>
          </c:dPt>
          <c:dPt>
            <c:idx val="6"/>
            <c:bubble3D val="0"/>
            <c:spPr>
              <a:solidFill>
                <a:schemeClr val="accent1">
                  <a:lumMod val="60000"/>
                </a:schemeClr>
              </a:solidFill>
              <a:ln>
                <a:noFill/>
              </a:ln>
              <a:effectLst>
                <a:outerShdw blurRad="63500" sx="102000" sy="102000" algn="ctr" rotWithShape="0">
                  <a:prstClr val="black">
                    <a:alpha val="20000"/>
                  </a:prstClr>
                </a:outerShdw>
              </a:effectLst>
            </c:spPr>
          </c:dPt>
          <c:dLbls>
            <c:dLbl>
              <c:idx val="0"/>
              <c:layout/>
              <c:tx>
                <c:rich>
                  <a:bodyPr rot="0" spcFirstLastPara="0" vertOverflow="ellipsis" vert="horz" wrap="square" lIns="38100" tIns="19050" rIns="38100" bIns="19050" anchor="ctr" anchorCtr="1"/>
                  <a:lstStyle/>
                  <a:p>
                    <a:pPr defTabSz="914400">
                      <a:defRPr lang="zh-CN" sz="1000" b="1" i="0" u="none" strike="noStrike" kern="1200" spc="0" baseline="0">
                        <a:solidFill>
                          <a:schemeClr val="accent1"/>
                        </a:solidFill>
                        <a:latin typeface="+mn-lt"/>
                        <a:ea typeface="+mn-ea"/>
                        <a:cs typeface="+mn-cs"/>
                      </a:defRPr>
                    </a:pPr>
                    <a:r>
                      <a:t>一般公共服务</a:t>
                    </a:r>
                  </a:p>
                  <a:p>
                    <a:pPr defTabSz="914400">
                      <a:defRPr lang="zh-CN" sz="1000" b="1" i="0" u="none" strike="noStrike" kern="1200" spc="0" baseline="0">
                        <a:solidFill>
                          <a:schemeClr val="accent1"/>
                        </a:solidFill>
                        <a:latin typeface="+mn-lt"/>
                        <a:ea typeface="+mn-ea"/>
                        <a:cs typeface="+mn-cs"/>
                      </a:defRPr>
                    </a:pPr>
                    <a:r>
                      <a:rPr lang="en-US" altLang="zh-CN"/>
                      <a:t>79.42</a:t>
                    </a:r>
                    <a:r>
                      <a:t>%</a:t>
                    </a:r>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1"/>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2"/>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2"/>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3"/>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3"/>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4"/>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4"/>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5"/>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5"/>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6"/>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6"/>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lumMod val="60000"/>
                        </a:schemeClr>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一般公共服务</c:v>
                </c:pt>
                <c:pt idx="1">
                  <c:v>社会保障和就业</c:v>
                </c:pt>
                <c:pt idx="2">
                  <c:v>卫生健康</c:v>
                </c:pt>
                <c:pt idx="3">
                  <c:v>住房保障</c:v>
                </c:pt>
              </c:strCache>
            </c:strRef>
          </c:cat>
          <c:val>
            <c:numRef>
              <c:f>Sheet1!$B$2:$B$7</c:f>
              <c:numCache>
                <c:formatCode>General</c:formatCode>
                <c:ptCount val="6"/>
                <c:pt idx="0">
                  <c:v>802.72</c:v>
                </c:pt>
                <c:pt idx="1">
                  <c:v>103.02</c:v>
                </c:pt>
                <c:pt idx="2">
                  <c:v>48.06</c:v>
                </c:pt>
                <c:pt idx="3">
                  <c:v>56.92</c:v>
                </c:pt>
              </c:numCache>
            </c:numRef>
          </c:val>
        </c:ser>
        <c:dLbls>
          <c:showLegendKey val="0"/>
          <c:showVal val="0"/>
          <c:showCatName val="1"/>
          <c:showSerName val="0"/>
          <c:showPercent val="0"/>
          <c:showBubbleSize val="0"/>
          <c:showLeaderLines val="1"/>
        </c:dLbls>
        <c:gapWidth val="100"/>
        <c:secondPieSize val="75"/>
        <c:serLines>
          <c:spPr>
            <a:ln w="9525" cap="flat" cmpd="sng" algn="ctr">
              <a:solidFill>
                <a:schemeClr val="tx1">
                  <a:lumMod val="35000"/>
                  <a:lumOff val="65000"/>
                </a:schemeClr>
              </a:solidFill>
              <a:round/>
            </a:ln>
            <a:effectLst/>
          </c:spPr>
        </c:serLines>
      </c:of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wrap="square"/>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400" b="0" i="0" u="none" strike="noStrike" kern="1200" spc="0" baseline="0">
                <a:solidFill>
                  <a:schemeClr val="tx1">
                    <a:lumMod val="65000"/>
                    <a:lumOff val="35000"/>
                  </a:schemeClr>
                </a:solidFill>
                <a:latin typeface="+mn-lt"/>
                <a:ea typeface="+mn-ea"/>
                <a:cs typeface="+mn-cs"/>
              </a:defRPr>
            </a:pPr>
            <a:r>
              <a:rPr lang="en-US" altLang="zh-CN"/>
              <a:t>“</a:t>
            </a:r>
            <a:r>
              <a:rPr altLang="en-US"/>
              <a:t>三公</a:t>
            </a:r>
            <a:r>
              <a:rPr lang="en-US" altLang="zh-CN"/>
              <a:t>”</a:t>
            </a:r>
            <a:r>
              <a:t>经费财政拨款支出结构图</a:t>
            </a:r>
          </a:p>
        </c:rich>
      </c:tx>
      <c:layout/>
      <c:overlay val="0"/>
      <c:spPr>
        <a:noFill/>
        <a:ln>
          <a:noFill/>
        </a:ln>
        <a:effectLst/>
      </c:spPr>
    </c:title>
    <c:autoTitleDeleted val="0"/>
    <c:plotArea>
      <c:layout/>
      <c:pieChart>
        <c:varyColors val="1"/>
        <c:ser>
          <c:idx val="0"/>
          <c:order val="0"/>
          <c:tx>
            <c:strRef>
              <c:f>Sheet1!$B$1</c:f>
              <c:strCache>
                <c:ptCount val="1"/>
                <c:pt idx="0">
                  <c:v>支出</c:v>
                </c:pt>
              </c:strCache>
            </c:strRef>
          </c:tx>
          <c:spPr>
            <a:effectLst/>
          </c:spPr>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Lbls>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公务用车运行维护费</c:v>
                </c:pt>
                <c:pt idx="1">
                  <c:v>接待费</c:v>
                </c:pt>
              </c:strCache>
            </c:strRef>
          </c:cat>
          <c:val>
            <c:numRef>
              <c:f>Sheet1!$B$2:$B$3</c:f>
              <c:numCache>
                <c:formatCode>General</c:formatCode>
                <c:ptCount val="2"/>
                <c:pt idx="0">
                  <c:v>13.76</c:v>
                </c:pt>
                <c:pt idx="1">
                  <c:v>0.44</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36</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2023-10-19T02:08:00Z</dcterms:created>
  <dc:creator>Administrator</dc:creator>
  <cp:lastModifiedBy>杰</cp:lastModifiedBy>
  <dcterms:modified xsi:type="dcterms:W3CDTF">2023-10-27T02:21:57Z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D8087A172FBE4982BDBA0192B626EA39_12</vt:lpwstr>
  </property>
</Properties>
</file>