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suppressLineNumbers w:val="0"/>
        <w:kinsoku/>
        <w:wordWrap/>
        <w:overflowPunct/>
        <w:topLinePunct w:val="0"/>
        <w:bidi w:val="0"/>
        <w:spacing w:before="0" w:beforeAutospacing="0" w:after="0" w:afterAutospacing="0" w:line="560" w:lineRule="exact"/>
        <w:jc w:val="center"/>
        <w:rPr>
          <w:rFonts w:hint="eastAsia" w:ascii="方正小标宋简体" w:hAnsi="方正小标宋简体" w:eastAsia="方正小标宋简体" w:cs="方正小标宋简体"/>
          <w:color w:val="000000"/>
          <w:sz w:val="72"/>
          <w:szCs w:val="72"/>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jc w:val="center"/>
        <w:rPr>
          <w:rFonts w:hint="eastAsia" w:ascii="方正小标宋简体" w:hAnsi="方正小标宋简体" w:eastAsia="方正小标宋简体" w:cs="方正小标宋简体"/>
          <w:color w:val="000000"/>
          <w:sz w:val="72"/>
          <w:szCs w:val="72"/>
        </w:rPr>
      </w:pPr>
      <w:r>
        <w:rPr>
          <w:rFonts w:hint="eastAsia" w:ascii="方正小标宋简体" w:hAnsi="方正小标宋简体" w:eastAsia="方正小标宋简体" w:cs="方正小标宋简体"/>
          <w:color w:val="000000"/>
          <w:sz w:val="72"/>
          <w:szCs w:val="72"/>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center"/>
        <w:textAlignment w:val="auto"/>
        <w:outlineLvl w:val="9"/>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pPr>
      <w:r>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800" w:lineRule="exact"/>
        <w:ind w:left="0" w:right="0" w:firstLine="0"/>
        <w:contextualSpacing w:val="0"/>
        <w:jc w:val="center"/>
        <w:textAlignment w:val="auto"/>
        <w:outlineLvl w:val="9"/>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800" w:lineRule="exact"/>
        <w:ind w:left="0" w:right="0" w:firstLine="0"/>
        <w:contextualSpacing w:val="0"/>
        <w:jc w:val="both"/>
        <w:textAlignment w:val="auto"/>
        <w:outlineLvl w:val="9"/>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800" w:lineRule="exact"/>
        <w:ind w:left="0" w:right="0" w:firstLine="0"/>
        <w:contextualSpacing w:val="0"/>
        <w:jc w:val="center"/>
        <w:textAlignment w:val="auto"/>
        <w:outlineLvl w:val="9"/>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pPr>
      <w:bookmarkStart w:id="0" w:name="_Toc15377193"/>
      <w:bookmarkEnd w:id="0"/>
      <w:bookmarkStart w:id="1" w:name="_Toc15396597"/>
      <w:bookmarkEnd w:id="1"/>
      <w:bookmarkStart w:id="2" w:name="_Toc15378441"/>
      <w:bookmarkEnd w:id="2"/>
      <w:bookmarkStart w:id="3" w:name="_Toc15377425"/>
      <w:bookmarkEnd w:id="3"/>
      <w:bookmarkStart w:id="4" w:name="_Toc15396475"/>
      <w:bookmarkEnd w:id="4"/>
      <w:bookmarkStart w:id="5" w:name="_Toc1674"/>
      <w:r>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t>20</w:t>
      </w:r>
      <w:bookmarkEnd w:id="5"/>
      <w:r>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t>21年度</w:t>
      </w:r>
      <w:bookmarkStart w:id="6" w:name="_Toc15377426"/>
      <w:bookmarkEnd w:id="6"/>
      <w:bookmarkStart w:id="7" w:name="_Toc15396476"/>
      <w:bookmarkEnd w:id="7"/>
      <w:bookmarkStart w:id="8" w:name="_Toc15378442"/>
      <w:bookmarkEnd w:id="8"/>
      <w:bookmarkStart w:id="9" w:name="_Toc15396598"/>
      <w:bookmarkEnd w:id="9"/>
      <w:bookmarkStart w:id="10" w:name="_Toc15377194"/>
      <w:bookmarkEnd w:id="10"/>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800" w:lineRule="exact"/>
        <w:ind w:left="0" w:right="0" w:firstLine="0"/>
        <w:contextualSpacing w:val="0"/>
        <w:jc w:val="center"/>
        <w:textAlignment w:val="auto"/>
        <w:outlineLvl w:val="0"/>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pPr>
      <w:bookmarkStart w:id="11" w:name="_Toc25940"/>
      <w:bookmarkEnd w:id="11"/>
      <w:bookmarkStart w:id="12" w:name="_Toc8961"/>
      <w:bookmarkStart w:id="13" w:name="_Toc9326"/>
      <w:bookmarkStart w:id="14" w:name="_Toc10070"/>
      <w:bookmarkStart w:id="15" w:name="_Toc26892"/>
      <w:bookmarkStart w:id="16" w:name="_Toc19599"/>
      <w:r>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t>四川省阿坝州红原县</w:t>
      </w:r>
      <w:bookmarkStart w:id="17" w:name="_Toc15306268"/>
      <w:r>
        <w:rPr>
          <w:rFonts w:hint="eastAsia" w:ascii="黑体" w:hAnsi="Times New Roman" w:eastAsia="黑体" w:cs="宋体"/>
          <w:snapToGrid/>
          <w:color w:val="auto"/>
          <w:spacing w:val="0"/>
          <w:w w:val="100"/>
          <w:position w:val="0"/>
          <w:sz w:val="72"/>
          <w:szCs w:val="72"/>
          <w:u w:val="none" w:color="auto"/>
          <w:shd w:val="clear" w:color="auto" w:fill="auto"/>
          <w:vertAlign w:val="baseline"/>
          <w:lang w:bidi="ar-SA"/>
        </w:rPr>
        <w:t>麦洼乡人民政府部门决算</w:t>
      </w:r>
      <w:bookmarkEnd w:id="12"/>
      <w:bookmarkEnd w:id="13"/>
      <w:bookmarkEnd w:id="14"/>
      <w:bookmarkEnd w:id="15"/>
      <w:bookmarkEnd w:id="16"/>
      <w:bookmarkEnd w:id="17"/>
    </w:p>
    <w:p>
      <w:pPr>
        <w:pStyle w:val="16"/>
        <w:keepNext w:val="0"/>
        <w:keepLines w:val="0"/>
        <w:pageBreakBefore w:val="0"/>
        <w:widowControl/>
        <w:suppressLineNumbers w:val="0"/>
        <w:kinsoku/>
        <w:wordWrap/>
        <w:overflowPunct/>
        <w:topLinePunct w:val="0"/>
        <w:autoSpaceDN/>
        <w:bidi w:val="0"/>
        <w:adjustRightInd/>
        <w:spacing w:before="0" w:beforeAutospacing="0" w:after="0" w:afterAutospacing="0" w:line="80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 xml:space="preserve"> </w:t>
      </w:r>
    </w:p>
    <w:p>
      <w:pPr>
        <w:pStyle w:val="16"/>
        <w:keepNext w:val="0"/>
        <w:keepLines w:val="0"/>
        <w:pageBreakBefore w:val="0"/>
        <w:widowControl/>
        <w:suppressLineNumbers w:val="0"/>
        <w:kinsoku/>
        <w:wordWrap/>
        <w:overflowPunct/>
        <w:topLinePunct w:val="0"/>
        <w:autoSpaceDN/>
        <w:bidi w:val="0"/>
        <w:adjustRightInd/>
        <w:spacing w:before="0" w:beforeAutospacing="0" w:after="0" w:afterAutospacing="0" w:line="80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 xml:space="preserve"> </w:t>
      </w:r>
    </w:p>
    <w:p>
      <w:pPr>
        <w:pStyle w:val="16"/>
        <w:keepNext w:val="0"/>
        <w:keepLines w:val="0"/>
        <w:pageBreakBefore w:val="0"/>
        <w:widowControl/>
        <w:suppressLineNumbers w:val="0"/>
        <w:kinsoku/>
        <w:wordWrap/>
        <w:overflowPunct/>
        <w:topLinePunct w:val="0"/>
        <w:autoSpaceDN/>
        <w:bidi w:val="0"/>
        <w:adjustRightInd/>
        <w:spacing w:before="0" w:beforeAutospacing="0" w:after="0" w:afterAutospacing="0" w:line="80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 xml:space="preserve"> </w:t>
      </w:r>
    </w:p>
    <w:p>
      <w:pPr>
        <w:pStyle w:val="16"/>
        <w:keepNext w:val="0"/>
        <w:keepLines w:val="0"/>
        <w:pageBreakBefore w:val="0"/>
        <w:widowControl/>
        <w:suppressLineNumbers w:val="0"/>
        <w:kinsoku/>
        <w:wordWrap/>
        <w:overflowPunct/>
        <w:topLinePunct w:val="0"/>
        <w:autoSpaceDN/>
        <w:bidi w:val="0"/>
        <w:adjustRightInd/>
        <w:spacing w:before="0" w:beforeAutospacing="0" w:after="0" w:afterAutospacing="0" w:line="80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 xml:space="preserve"> </w:t>
      </w:r>
    </w:p>
    <w:p>
      <w:pPr>
        <w:pStyle w:val="16"/>
        <w:keepNext w:val="0"/>
        <w:keepLines w:val="0"/>
        <w:pageBreakBefore w:val="0"/>
        <w:widowControl/>
        <w:suppressLineNumbers w:val="0"/>
        <w:kinsoku/>
        <w:wordWrap/>
        <w:overflowPunct/>
        <w:topLinePunct w:val="0"/>
        <w:autoSpaceDN/>
        <w:bidi w:val="0"/>
        <w:adjustRightInd/>
        <w:spacing w:before="0" w:beforeAutospacing="0" w:after="0" w:afterAutospacing="0" w:line="80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 xml:space="preserve"> </w:t>
      </w:r>
    </w:p>
    <w:p>
      <w:pPr>
        <w:pStyle w:val="16"/>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800" w:lineRule="exact"/>
        <w:ind w:left="0" w:firstLine="1276"/>
        <w:jc w:val="left"/>
        <w:textAlignment w:val="auto"/>
        <w:outlineLvl w:val="0"/>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pPr>
      <w:bookmarkStart w:id="18" w:name="_Toc20690"/>
      <w:bookmarkStart w:id="19" w:name="_Toc25310"/>
      <w:bookmarkStart w:id="20" w:name="_Toc18961"/>
      <w:bookmarkStart w:id="21" w:name="_Toc13752"/>
      <w:bookmarkStart w:id="22" w:name="_Toc22333"/>
      <w:bookmarkStart w:id="23" w:name="_Toc17922"/>
      <w:r>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t>已经保密审查，内容审定，同意对外公开</w:t>
      </w:r>
      <w:bookmarkEnd w:id="18"/>
      <w:bookmarkEnd w:id="19"/>
      <w:bookmarkEnd w:id="20"/>
      <w:bookmarkEnd w:id="21"/>
      <w:bookmarkEnd w:id="22"/>
      <w:bookmarkEnd w:id="23"/>
    </w:p>
    <w:p>
      <w:pPr>
        <w:pStyle w:val="17"/>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800" w:lineRule="exact"/>
        <w:ind w:left="0" w:right="0"/>
        <w:jc w:val="both"/>
        <w:textAlignment w:val="auto"/>
        <w:rPr>
          <w:rFonts w:hint="eastAsia" w:ascii="仿宋_GB2312" w:eastAsia="仿宋_GB2312" w:cs="仿宋_GB2312"/>
          <w:b/>
          <w:bCs/>
          <w:i w:val="0"/>
          <w:iCs w:val="0"/>
          <w:sz w:val="44"/>
          <w:szCs w:val="44"/>
        </w:rPr>
      </w:pPr>
      <w:r>
        <w:rPr>
          <w:rFonts w:hint="eastAsia" w:ascii="仿宋_GB2312" w:eastAsia="仿宋_GB2312" w:cs="仿宋_GB2312"/>
          <w:b/>
          <w:bCs/>
          <w:i w:val="0"/>
          <w:iCs w:val="0"/>
          <w:sz w:val="44"/>
          <w:szCs w:val="44"/>
        </w:rPr>
        <w:t xml:space="preserve"> </w:t>
      </w:r>
      <w:bookmarkStart w:id="24" w:name="_Toc2641"/>
    </w:p>
    <w:p>
      <w:pPr>
        <w:pStyle w:val="17"/>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800" w:lineRule="exact"/>
        <w:ind w:left="0" w:right="0"/>
        <w:jc w:val="both"/>
        <w:textAlignment w:val="auto"/>
        <w:rPr>
          <w:rFonts w:hint="eastAsia" w:ascii="仿宋_GB2312" w:eastAsia="仿宋_GB2312" w:cs="仿宋_GB2312"/>
          <w:b/>
          <w:bCs/>
          <w:i w:val="0"/>
          <w:iCs w:val="0"/>
          <w:sz w:val="44"/>
          <w:szCs w:val="44"/>
        </w:rPr>
      </w:pPr>
    </w:p>
    <w:p>
      <w:pPr>
        <w:pStyle w:val="17"/>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800" w:lineRule="exact"/>
        <w:ind w:left="0" w:right="0"/>
        <w:jc w:val="both"/>
        <w:textAlignment w:val="auto"/>
        <w:rPr>
          <w:rFonts w:hint="eastAsia" w:ascii="仿宋_GB2312" w:eastAsia="仿宋_GB2312" w:cs="仿宋_GB2312"/>
          <w:b/>
          <w:bCs/>
          <w:i w:val="0"/>
          <w:iCs w:val="0"/>
          <w:sz w:val="44"/>
          <w:szCs w:val="44"/>
        </w:rPr>
      </w:pPr>
    </w:p>
    <w:p>
      <w:pPr>
        <w:pStyle w:val="17"/>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800" w:lineRule="exact"/>
        <w:ind w:left="0" w:right="0"/>
        <w:jc w:val="both"/>
        <w:textAlignment w:val="auto"/>
        <w:rPr>
          <w:rFonts w:hint="eastAsia" w:ascii="仿宋_GB2312" w:eastAsia="仿宋_GB2312" w:cs="仿宋_GB2312"/>
          <w:b/>
          <w:bCs/>
          <w:i w:val="0"/>
          <w:iCs w:val="0"/>
          <w:sz w:val="44"/>
          <w:szCs w:val="44"/>
          <w:lang w:val="en-US" w:eastAsia="zh-CN"/>
        </w:rPr>
      </w:pPr>
    </w:p>
    <w:p>
      <w:pPr>
        <w:spacing w:before="0" w:beforeLines="0" w:after="0" w:afterLines="0" w:line="240" w:lineRule="auto"/>
        <w:ind w:left="0" w:leftChars="0" w:right="0" w:rightChars="0" w:firstLine="0" w:firstLineChars="0"/>
        <w:jc w:val="center"/>
        <w:rPr>
          <w:rFonts w:ascii="宋体" w:hAnsi="宋体" w:eastAsia="宋体" w:cstheme="minorEastAsia"/>
          <w:kern w:val="0"/>
          <w:sz w:val="21"/>
          <w:szCs w:val="24"/>
          <w:lang w:val="en-US" w:eastAsia="zh-CN" w:bidi="ar"/>
        </w:rPr>
        <w:sectPr>
          <w:pgSz w:w="11915" w:h="16851"/>
          <w:pgMar w:top="1440" w:right="1800" w:bottom="1440" w:left="1800" w:header="851" w:footer="992" w:gutter="0"/>
          <w:pgNumType w:fmt="decimal" w:start="1"/>
          <w:cols w:space="0" w:num="1"/>
          <w:docGrid w:type="lines" w:linePitch="312" w:charSpace="0"/>
        </w:sectPr>
      </w:pPr>
      <w:bookmarkStart w:id="25" w:name="_Toc9121"/>
      <w:bookmarkStart w:id="26" w:name="_Toc23710"/>
    </w:p>
    <w:sdt>
      <w:sdtPr>
        <w:rPr>
          <w:rFonts w:ascii="宋体" w:hAnsi="宋体" w:eastAsia="宋体" w:cstheme="minorEastAsia"/>
          <w:b/>
          <w:bCs/>
          <w:kern w:val="0"/>
          <w:sz w:val="36"/>
          <w:szCs w:val="44"/>
          <w:lang w:val="en-US" w:eastAsia="zh-CN" w:bidi="ar"/>
        </w:rPr>
        <w:id w:val="147465767"/>
        <w15:color w:val="DBDBDB"/>
        <w:docPartObj>
          <w:docPartGallery w:val="Table of Contents"/>
          <w:docPartUnique/>
        </w:docPartObj>
      </w:sdtPr>
      <w:sdtEndPr>
        <w:rPr>
          <w:b/>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36"/>
              <w:szCs w:val="44"/>
            </w:rPr>
            <w:t>目录</w:t>
          </w:r>
        </w:p>
        <w:p>
          <w:pPr>
            <w:pStyle w:val="9"/>
            <w:tabs>
              <w:tab w:val="right" w:leader="dot" w:pos="8315"/>
            </w:tabs>
          </w:pPr>
          <w:r>
            <w:fldChar w:fldCharType="begin"/>
          </w:r>
          <w:r>
            <w:instrText xml:space="preserve">TOC \o "1-2" \h \u </w:instrText>
          </w:r>
          <w:r>
            <w:fldChar w:fldCharType="separate"/>
          </w:r>
        </w:p>
        <w:p>
          <w:pPr>
            <w:pStyle w:val="9"/>
            <w:tabs>
              <w:tab w:val="right" w:leader="dot" w:pos="8315"/>
            </w:tabs>
          </w:pPr>
          <w:r>
            <w:fldChar w:fldCharType="begin"/>
          </w:r>
          <w:r>
            <w:instrText xml:space="preserve"> HYPERLINK \l _Toc28528 </w:instrText>
          </w:r>
          <w:r>
            <w:fldChar w:fldCharType="separate"/>
          </w:r>
          <w:r>
            <w:rPr>
              <w:rFonts w:hint="eastAsia" w:ascii="黑体" w:hAnsi="黑体" w:eastAsia="黑体" w:cs="黑体"/>
              <w:bCs w:val="0"/>
              <w:i w:val="0"/>
              <w:iCs w:val="0"/>
              <w:szCs w:val="44"/>
              <w:shd w:val="clear" w:fill="FFFFFF"/>
              <w:lang w:val="en-US" w:eastAsia="zh-CN"/>
            </w:rPr>
            <w:t>第一部分部门概况</w:t>
          </w:r>
          <w:r>
            <w:tab/>
          </w:r>
          <w:r>
            <w:fldChar w:fldCharType="begin"/>
          </w:r>
          <w:r>
            <w:instrText xml:space="preserve"> PAGEREF _Toc28528 \h </w:instrText>
          </w:r>
          <w:r>
            <w:fldChar w:fldCharType="separate"/>
          </w:r>
          <w:r>
            <w:t>1</w:t>
          </w:r>
          <w:r>
            <w:fldChar w:fldCharType="end"/>
          </w:r>
          <w:r>
            <w:fldChar w:fldCharType="end"/>
          </w:r>
        </w:p>
        <w:p>
          <w:pPr>
            <w:pStyle w:val="10"/>
            <w:tabs>
              <w:tab w:val="right" w:leader="dot" w:pos="8315"/>
            </w:tabs>
          </w:pPr>
          <w:r>
            <w:fldChar w:fldCharType="begin"/>
          </w:r>
          <w:r>
            <w:instrText xml:space="preserve"> HYPERLINK \l _Toc1538 </w:instrText>
          </w:r>
          <w:r>
            <w:fldChar w:fldCharType="separate"/>
          </w:r>
          <w:r>
            <w:rPr>
              <w:rFonts w:hint="eastAsia" w:ascii="黑体" w:eastAsia="黑体" w:cs="楷体"/>
              <w:kern w:val="2"/>
              <w:szCs w:val="32"/>
              <w:shd w:val="clear" w:color="auto" w:fill="auto"/>
            </w:rPr>
            <w:t>一、基本职能及主要工作</w:t>
          </w:r>
          <w:r>
            <w:tab/>
          </w:r>
          <w:r>
            <w:fldChar w:fldCharType="begin"/>
          </w:r>
          <w:r>
            <w:instrText xml:space="preserve"> PAGEREF _Toc1538 \h </w:instrText>
          </w:r>
          <w:r>
            <w:fldChar w:fldCharType="separate"/>
          </w:r>
          <w:r>
            <w:t>1</w:t>
          </w:r>
          <w:r>
            <w:fldChar w:fldCharType="end"/>
          </w:r>
          <w:r>
            <w:fldChar w:fldCharType="end"/>
          </w:r>
        </w:p>
        <w:p>
          <w:pPr>
            <w:pStyle w:val="10"/>
            <w:tabs>
              <w:tab w:val="right" w:leader="dot" w:pos="8315"/>
            </w:tabs>
          </w:pPr>
          <w:r>
            <w:fldChar w:fldCharType="begin"/>
          </w:r>
          <w:r>
            <w:instrText xml:space="preserve"> HYPERLINK \l _Toc19757 </w:instrText>
          </w:r>
          <w:r>
            <w:fldChar w:fldCharType="separate"/>
          </w:r>
          <w:r>
            <w:rPr>
              <w:rFonts w:hint="eastAsia" w:ascii="黑体" w:eastAsia="黑体" w:cs="楷体"/>
              <w:kern w:val="2"/>
              <w:szCs w:val="32"/>
              <w:shd w:val="clear" w:color="auto" w:fill="auto"/>
            </w:rPr>
            <w:t>二、机构设置</w:t>
          </w:r>
          <w:r>
            <w:tab/>
          </w:r>
          <w:r>
            <w:fldChar w:fldCharType="begin"/>
          </w:r>
          <w:r>
            <w:instrText xml:space="preserve"> PAGEREF _Toc19757 \h </w:instrText>
          </w:r>
          <w:r>
            <w:fldChar w:fldCharType="separate"/>
          </w:r>
          <w:r>
            <w:t>2</w:t>
          </w:r>
          <w:r>
            <w:fldChar w:fldCharType="end"/>
          </w:r>
          <w:r>
            <w:fldChar w:fldCharType="end"/>
          </w:r>
        </w:p>
        <w:p>
          <w:pPr>
            <w:pStyle w:val="9"/>
            <w:tabs>
              <w:tab w:val="right" w:leader="dot" w:pos="8315"/>
            </w:tabs>
          </w:pPr>
          <w:r>
            <w:fldChar w:fldCharType="begin"/>
          </w:r>
          <w:r>
            <w:instrText xml:space="preserve"> HYPERLINK \l _Toc19638 </w:instrText>
          </w:r>
          <w:r>
            <w:fldChar w:fldCharType="separate"/>
          </w:r>
          <w:r>
            <w:rPr>
              <w:rFonts w:hint="eastAsia" w:ascii="黑体" w:hAnsi="黑体" w:eastAsia="黑体" w:cs="黑体"/>
              <w:bCs w:val="0"/>
              <w:i w:val="0"/>
              <w:iCs w:val="0"/>
              <w:szCs w:val="44"/>
              <w:shd w:val="clear" w:fill="FFFFFF"/>
              <w:lang w:val="en-US" w:eastAsia="zh-CN"/>
            </w:rPr>
            <w:t>第二部分 2021年度部门决算情况说明</w:t>
          </w:r>
          <w:r>
            <w:tab/>
          </w:r>
          <w:r>
            <w:fldChar w:fldCharType="begin"/>
          </w:r>
          <w:r>
            <w:instrText xml:space="preserve"> PAGEREF _Toc19638 \h </w:instrText>
          </w:r>
          <w:r>
            <w:fldChar w:fldCharType="separate"/>
          </w:r>
          <w:r>
            <w:t>2</w:t>
          </w:r>
          <w:r>
            <w:fldChar w:fldCharType="end"/>
          </w:r>
          <w:r>
            <w:fldChar w:fldCharType="end"/>
          </w:r>
        </w:p>
        <w:p>
          <w:pPr>
            <w:pStyle w:val="10"/>
            <w:tabs>
              <w:tab w:val="right" w:leader="dot" w:pos="8315"/>
            </w:tabs>
          </w:pPr>
          <w:r>
            <w:fldChar w:fldCharType="begin"/>
          </w:r>
          <w:r>
            <w:instrText xml:space="preserve"> HYPERLINK \l _Toc11755 </w:instrText>
          </w:r>
          <w:r>
            <w:fldChar w:fldCharType="separate"/>
          </w:r>
          <w:r>
            <w:rPr>
              <w:rFonts w:hint="eastAsia" w:ascii="黑体" w:hAnsi="黑体" w:eastAsia="黑体" w:cs="黑体"/>
              <w:szCs w:val="32"/>
              <w:lang w:val="en-US" w:eastAsia="zh-CN"/>
            </w:rPr>
            <w:t>一、收入支出决算总体情况说明</w:t>
          </w:r>
          <w:r>
            <w:tab/>
          </w:r>
          <w:r>
            <w:fldChar w:fldCharType="begin"/>
          </w:r>
          <w:r>
            <w:instrText xml:space="preserve"> PAGEREF _Toc11755 \h </w:instrText>
          </w:r>
          <w:r>
            <w:fldChar w:fldCharType="separate"/>
          </w:r>
          <w:r>
            <w:t>2</w:t>
          </w:r>
          <w:r>
            <w:fldChar w:fldCharType="end"/>
          </w:r>
          <w:r>
            <w:fldChar w:fldCharType="end"/>
          </w:r>
        </w:p>
        <w:p>
          <w:pPr>
            <w:pStyle w:val="10"/>
            <w:tabs>
              <w:tab w:val="right" w:leader="dot" w:pos="8315"/>
            </w:tabs>
          </w:pPr>
          <w:r>
            <w:fldChar w:fldCharType="begin"/>
          </w:r>
          <w:r>
            <w:instrText xml:space="preserve"> HYPERLINK \l _Toc3599 </w:instrText>
          </w:r>
          <w:r>
            <w:fldChar w:fldCharType="separate"/>
          </w:r>
          <w:r>
            <w:rPr>
              <w:rFonts w:hint="eastAsia" w:ascii="黑体" w:hAnsi="黑体" w:eastAsia="黑体" w:cs="黑体"/>
              <w:szCs w:val="32"/>
              <w:lang w:val="en-US" w:eastAsia="zh-CN"/>
            </w:rPr>
            <w:t>二、收入决算情况说明</w:t>
          </w:r>
          <w:r>
            <w:tab/>
          </w:r>
          <w:r>
            <w:fldChar w:fldCharType="begin"/>
          </w:r>
          <w:r>
            <w:instrText xml:space="preserve"> PAGEREF _Toc3599 \h </w:instrText>
          </w:r>
          <w:r>
            <w:fldChar w:fldCharType="separate"/>
          </w:r>
          <w:r>
            <w:t>3</w:t>
          </w:r>
          <w:r>
            <w:fldChar w:fldCharType="end"/>
          </w:r>
          <w:r>
            <w:fldChar w:fldCharType="end"/>
          </w:r>
        </w:p>
        <w:p>
          <w:pPr>
            <w:pStyle w:val="10"/>
            <w:tabs>
              <w:tab w:val="right" w:leader="dot" w:pos="8315"/>
            </w:tabs>
          </w:pPr>
          <w:r>
            <w:fldChar w:fldCharType="begin"/>
          </w:r>
          <w:r>
            <w:instrText xml:space="preserve"> HYPERLINK \l _Toc14539 </w:instrText>
          </w:r>
          <w:r>
            <w:fldChar w:fldCharType="separate"/>
          </w:r>
          <w:r>
            <w:rPr>
              <w:rFonts w:hint="eastAsia" w:ascii="黑体" w:hAnsi="黑体" w:eastAsia="黑体" w:cs="黑体"/>
              <w:szCs w:val="32"/>
              <w:lang w:val="en-US" w:eastAsia="zh-CN"/>
            </w:rPr>
            <w:t>三、支出决算情况说明</w:t>
          </w:r>
          <w:r>
            <w:tab/>
          </w:r>
          <w:r>
            <w:fldChar w:fldCharType="begin"/>
          </w:r>
          <w:r>
            <w:instrText xml:space="preserve"> PAGEREF _Toc14539 \h </w:instrText>
          </w:r>
          <w:r>
            <w:fldChar w:fldCharType="separate"/>
          </w:r>
          <w:r>
            <w:t>4</w:t>
          </w:r>
          <w:r>
            <w:fldChar w:fldCharType="end"/>
          </w:r>
          <w:r>
            <w:fldChar w:fldCharType="end"/>
          </w:r>
        </w:p>
        <w:p>
          <w:pPr>
            <w:pStyle w:val="10"/>
            <w:tabs>
              <w:tab w:val="right" w:leader="dot" w:pos="8315"/>
            </w:tabs>
          </w:pPr>
          <w:r>
            <w:fldChar w:fldCharType="begin"/>
          </w:r>
          <w:r>
            <w:instrText xml:space="preserve"> HYPERLINK \l _Toc5073 </w:instrText>
          </w:r>
          <w:r>
            <w:fldChar w:fldCharType="separate"/>
          </w:r>
          <w:r>
            <w:rPr>
              <w:rFonts w:hint="eastAsia" w:ascii="黑体" w:hAnsi="黑体" w:eastAsia="黑体" w:cs="黑体"/>
              <w:szCs w:val="32"/>
              <w:lang w:val="en-US" w:eastAsia="zh-CN"/>
            </w:rPr>
            <w:t>四、财政拨款收入支出决算总体情况说明</w:t>
          </w:r>
          <w:r>
            <w:tab/>
          </w:r>
          <w:r>
            <w:fldChar w:fldCharType="begin"/>
          </w:r>
          <w:r>
            <w:instrText xml:space="preserve"> PAGEREF _Toc5073 \h </w:instrText>
          </w:r>
          <w:r>
            <w:fldChar w:fldCharType="separate"/>
          </w:r>
          <w:r>
            <w:t>5</w:t>
          </w:r>
          <w:r>
            <w:fldChar w:fldCharType="end"/>
          </w:r>
          <w:r>
            <w:fldChar w:fldCharType="end"/>
          </w:r>
        </w:p>
        <w:p>
          <w:pPr>
            <w:pStyle w:val="10"/>
            <w:tabs>
              <w:tab w:val="right" w:leader="dot" w:pos="8315"/>
            </w:tabs>
          </w:pPr>
          <w:r>
            <w:fldChar w:fldCharType="begin"/>
          </w:r>
          <w:r>
            <w:instrText xml:space="preserve"> HYPERLINK \l _Toc31488 </w:instrText>
          </w:r>
          <w:r>
            <w:fldChar w:fldCharType="separate"/>
          </w:r>
          <w:r>
            <w:rPr>
              <w:rFonts w:hint="eastAsia" w:ascii="黑体" w:hAnsi="黑体" w:eastAsia="黑体" w:cs="黑体"/>
              <w:szCs w:val="32"/>
            </w:rPr>
            <w:t>五、一般公共预算财政拨款支出决算情况说明</w:t>
          </w:r>
          <w:r>
            <w:tab/>
          </w:r>
          <w:r>
            <w:fldChar w:fldCharType="begin"/>
          </w:r>
          <w:r>
            <w:instrText xml:space="preserve"> PAGEREF _Toc31488 \h </w:instrText>
          </w:r>
          <w:r>
            <w:fldChar w:fldCharType="separate"/>
          </w:r>
          <w:r>
            <w:t>5</w:t>
          </w:r>
          <w:r>
            <w:fldChar w:fldCharType="end"/>
          </w:r>
          <w:r>
            <w:fldChar w:fldCharType="end"/>
          </w:r>
        </w:p>
        <w:p>
          <w:pPr>
            <w:pStyle w:val="10"/>
            <w:tabs>
              <w:tab w:val="right" w:leader="dot" w:pos="8315"/>
            </w:tabs>
          </w:pPr>
          <w:r>
            <w:fldChar w:fldCharType="begin"/>
          </w:r>
          <w:r>
            <w:instrText xml:space="preserve"> HYPERLINK \l _Toc8322 </w:instrText>
          </w:r>
          <w:r>
            <w:fldChar w:fldCharType="separate"/>
          </w:r>
          <w:r>
            <w:rPr>
              <w:rFonts w:hint="eastAsia" w:ascii="黑体" w:hAnsi="黑体" w:eastAsia="黑体" w:cs="黑体"/>
              <w:szCs w:val="32"/>
              <w:lang w:val="en-US" w:eastAsia="zh-CN"/>
            </w:rPr>
            <w:t>六、</w:t>
          </w:r>
          <w:r>
            <w:rPr>
              <w:rFonts w:hint="eastAsia" w:ascii="黑体" w:hAnsi="黑体" w:eastAsia="黑体" w:cs="黑体"/>
              <w:szCs w:val="32"/>
            </w:rPr>
            <w:t>一般公共预算财政拨款基本支出决算情况说明</w:t>
          </w:r>
          <w:r>
            <w:tab/>
          </w:r>
          <w:r>
            <w:fldChar w:fldCharType="begin"/>
          </w:r>
          <w:r>
            <w:instrText xml:space="preserve"> PAGEREF _Toc8322 \h </w:instrText>
          </w:r>
          <w:r>
            <w:fldChar w:fldCharType="separate"/>
          </w:r>
          <w:r>
            <w:t>7</w:t>
          </w:r>
          <w:r>
            <w:fldChar w:fldCharType="end"/>
          </w:r>
          <w:r>
            <w:fldChar w:fldCharType="end"/>
          </w:r>
        </w:p>
        <w:p>
          <w:pPr>
            <w:pStyle w:val="10"/>
            <w:tabs>
              <w:tab w:val="right" w:leader="dot" w:pos="8315"/>
            </w:tabs>
          </w:pPr>
          <w:r>
            <w:fldChar w:fldCharType="begin"/>
          </w:r>
          <w:r>
            <w:instrText xml:space="preserve"> HYPERLINK \l _Toc26516 </w:instrText>
          </w:r>
          <w:r>
            <w:fldChar w:fldCharType="separate"/>
          </w:r>
          <w:r>
            <w:rPr>
              <w:rFonts w:hint="eastAsia" w:ascii="黑体" w:hAnsi="黑体" w:eastAsia="黑体" w:cs="黑体"/>
              <w:szCs w:val="32"/>
              <w:lang w:val="en-US" w:eastAsia="zh-CN"/>
            </w:rPr>
            <w:t>七、“三公”经费财政拨款支出决算情况说明</w:t>
          </w:r>
          <w:r>
            <w:tab/>
          </w:r>
          <w:r>
            <w:fldChar w:fldCharType="begin"/>
          </w:r>
          <w:r>
            <w:instrText xml:space="preserve"> PAGEREF _Toc26516 \h </w:instrText>
          </w:r>
          <w:r>
            <w:fldChar w:fldCharType="separate"/>
          </w:r>
          <w:r>
            <w:t>8</w:t>
          </w:r>
          <w:r>
            <w:fldChar w:fldCharType="end"/>
          </w:r>
          <w:r>
            <w:fldChar w:fldCharType="end"/>
          </w:r>
        </w:p>
        <w:p>
          <w:pPr>
            <w:pStyle w:val="10"/>
            <w:tabs>
              <w:tab w:val="right" w:leader="dot" w:pos="8315"/>
            </w:tabs>
          </w:pPr>
          <w:r>
            <w:fldChar w:fldCharType="begin"/>
          </w:r>
          <w:r>
            <w:instrText xml:space="preserve"> HYPERLINK \l _Toc13118 </w:instrText>
          </w:r>
          <w:r>
            <w:fldChar w:fldCharType="separate"/>
          </w:r>
          <w:r>
            <w:rPr>
              <w:rFonts w:hint="eastAsia" w:ascii="黑体" w:hAnsi="黑体" w:eastAsia="黑体" w:cs="黑体"/>
              <w:szCs w:val="32"/>
              <w:lang w:val="en-US" w:eastAsia="zh-CN"/>
            </w:rPr>
            <w:t>八、政府性基金预算支出决算情况说明</w:t>
          </w:r>
          <w:r>
            <w:tab/>
          </w:r>
          <w:r>
            <w:fldChar w:fldCharType="begin"/>
          </w:r>
          <w:r>
            <w:instrText xml:space="preserve"> PAGEREF _Toc13118 \h </w:instrText>
          </w:r>
          <w:r>
            <w:fldChar w:fldCharType="separate"/>
          </w:r>
          <w:r>
            <w:t>9</w:t>
          </w:r>
          <w:r>
            <w:fldChar w:fldCharType="end"/>
          </w:r>
          <w:r>
            <w:fldChar w:fldCharType="end"/>
          </w:r>
        </w:p>
        <w:p>
          <w:pPr>
            <w:pStyle w:val="10"/>
            <w:tabs>
              <w:tab w:val="right" w:leader="dot" w:pos="8315"/>
            </w:tabs>
          </w:pPr>
          <w:r>
            <w:fldChar w:fldCharType="begin"/>
          </w:r>
          <w:r>
            <w:instrText xml:space="preserve"> HYPERLINK \l _Toc16073 </w:instrText>
          </w:r>
          <w:r>
            <w:fldChar w:fldCharType="separate"/>
          </w:r>
          <w:r>
            <w:rPr>
              <w:rFonts w:hint="eastAsia" w:ascii="黑体" w:hAnsi="黑体" w:eastAsia="黑体" w:cs="黑体"/>
              <w:szCs w:val="32"/>
              <w:lang w:val="en-US" w:eastAsia="zh-CN"/>
            </w:rPr>
            <w:t>九、国有资本经营预算支出决算情况说明</w:t>
          </w:r>
          <w:r>
            <w:tab/>
          </w:r>
          <w:r>
            <w:fldChar w:fldCharType="begin"/>
          </w:r>
          <w:r>
            <w:instrText xml:space="preserve"> PAGEREF _Toc16073 \h </w:instrText>
          </w:r>
          <w:r>
            <w:fldChar w:fldCharType="separate"/>
          </w:r>
          <w:r>
            <w:t>9</w:t>
          </w:r>
          <w:r>
            <w:fldChar w:fldCharType="end"/>
          </w:r>
          <w:r>
            <w:fldChar w:fldCharType="end"/>
          </w:r>
        </w:p>
        <w:p>
          <w:pPr>
            <w:pStyle w:val="10"/>
            <w:tabs>
              <w:tab w:val="right" w:leader="dot" w:pos="8315"/>
            </w:tabs>
          </w:pPr>
          <w:r>
            <w:fldChar w:fldCharType="begin"/>
          </w:r>
          <w:r>
            <w:instrText xml:space="preserve"> HYPERLINK \l _Toc7424 </w:instrText>
          </w:r>
          <w:r>
            <w:fldChar w:fldCharType="separate"/>
          </w:r>
          <w:r>
            <w:rPr>
              <w:rFonts w:hint="eastAsia" w:ascii="黑体" w:hAnsi="黑体" w:eastAsia="黑体" w:cs="黑体"/>
              <w:szCs w:val="32"/>
              <w:lang w:val="en-US" w:eastAsia="zh-CN"/>
            </w:rPr>
            <w:t>十、其他重要事项的情况说明</w:t>
          </w:r>
          <w:r>
            <w:tab/>
          </w:r>
          <w:r>
            <w:fldChar w:fldCharType="begin"/>
          </w:r>
          <w:r>
            <w:instrText xml:space="preserve"> PAGEREF _Toc7424 \h </w:instrText>
          </w:r>
          <w:r>
            <w:fldChar w:fldCharType="separate"/>
          </w:r>
          <w:r>
            <w:t>9</w:t>
          </w:r>
          <w:r>
            <w:fldChar w:fldCharType="end"/>
          </w:r>
          <w:r>
            <w:fldChar w:fldCharType="end"/>
          </w:r>
        </w:p>
        <w:p>
          <w:pPr>
            <w:pStyle w:val="9"/>
            <w:tabs>
              <w:tab w:val="right" w:leader="dot" w:pos="8315"/>
            </w:tabs>
          </w:pPr>
          <w:r>
            <w:fldChar w:fldCharType="begin"/>
          </w:r>
          <w:r>
            <w:instrText xml:space="preserve"> HYPERLINK \l _Toc23174 </w:instrText>
          </w:r>
          <w:r>
            <w:fldChar w:fldCharType="separate"/>
          </w:r>
          <w:r>
            <w:rPr>
              <w:rFonts w:hint="eastAsia" w:ascii="黑体" w:hAnsi="Times New Roman" w:eastAsia="黑体"/>
              <w:snapToGrid/>
              <w:spacing w:val="0"/>
              <w:w w:val="100"/>
              <w:kern w:val="44"/>
              <w:position w:val="0"/>
              <w:szCs w:val="44"/>
              <w:shd w:val="clear" w:color="auto" w:fill="auto"/>
              <w:vertAlign w:val="baseline"/>
              <w:lang w:val="en-US" w:eastAsia="zh-CN" w:bidi="ar-SA"/>
            </w:rPr>
            <w:t>第三部分 名词解释</w:t>
          </w:r>
          <w:r>
            <w:tab/>
          </w:r>
          <w:r>
            <w:fldChar w:fldCharType="begin"/>
          </w:r>
          <w:r>
            <w:instrText xml:space="preserve"> PAGEREF _Toc23174 \h </w:instrText>
          </w:r>
          <w:r>
            <w:fldChar w:fldCharType="separate"/>
          </w:r>
          <w:r>
            <w:t>11</w:t>
          </w:r>
          <w:r>
            <w:fldChar w:fldCharType="end"/>
          </w:r>
          <w:r>
            <w:fldChar w:fldCharType="end"/>
          </w:r>
        </w:p>
        <w:p>
          <w:pPr>
            <w:pStyle w:val="9"/>
            <w:tabs>
              <w:tab w:val="right" w:leader="dot" w:pos="8315"/>
            </w:tabs>
          </w:pPr>
          <w:r>
            <w:fldChar w:fldCharType="begin"/>
          </w:r>
          <w:r>
            <w:instrText xml:space="preserve"> HYPERLINK \l _Toc14000 </w:instrText>
          </w:r>
          <w:r>
            <w:fldChar w:fldCharType="separate"/>
          </w:r>
          <w:r>
            <w:rPr>
              <w:rFonts w:hint="eastAsia" w:ascii="黑体" w:hAnsi="Times New Roman" w:eastAsia="黑体"/>
              <w:snapToGrid/>
              <w:spacing w:val="0"/>
              <w:w w:val="100"/>
              <w:kern w:val="44"/>
              <w:position w:val="0"/>
              <w:szCs w:val="44"/>
              <w:shd w:val="clear" w:color="auto" w:fill="auto"/>
              <w:vertAlign w:val="baseline"/>
              <w:lang w:val="en-US" w:eastAsia="zh-CN" w:bidi="ar-SA"/>
            </w:rPr>
            <w:t>第四部分  附件</w:t>
          </w:r>
          <w:r>
            <w:tab/>
          </w:r>
          <w:r>
            <w:fldChar w:fldCharType="begin"/>
          </w:r>
          <w:r>
            <w:instrText xml:space="preserve"> PAGEREF _Toc14000 \h </w:instrText>
          </w:r>
          <w:r>
            <w:fldChar w:fldCharType="separate"/>
          </w:r>
          <w:r>
            <w:t>13</w:t>
          </w:r>
          <w:r>
            <w:fldChar w:fldCharType="end"/>
          </w:r>
          <w:r>
            <w:fldChar w:fldCharType="end"/>
          </w:r>
        </w:p>
        <w:p>
          <w:pPr>
            <w:pStyle w:val="9"/>
            <w:tabs>
              <w:tab w:val="right" w:leader="dot" w:pos="8315"/>
            </w:tabs>
          </w:pPr>
          <w:r>
            <w:fldChar w:fldCharType="begin"/>
          </w:r>
          <w:r>
            <w:instrText xml:space="preserve"> HYPERLINK \l _Toc14070 </w:instrText>
          </w:r>
          <w:r>
            <w:fldChar w:fldCharType="separate"/>
          </w:r>
          <w:r>
            <w:rPr>
              <w:rFonts w:hint="eastAsia" w:ascii="黑体" w:hAnsi="Times New Roman" w:eastAsia="黑体" w:cs="宋体"/>
              <w:snapToGrid/>
              <w:spacing w:val="0"/>
              <w:w w:val="100"/>
              <w:kern w:val="44"/>
              <w:position w:val="0"/>
              <w:szCs w:val="44"/>
              <w:shd w:val="clear" w:color="auto" w:fill="auto"/>
              <w:vertAlign w:val="baseline"/>
              <w:lang w:val="en-US" w:eastAsia="zh-CN" w:bidi="ar-SA"/>
            </w:rPr>
            <w:t>第五部分 附表</w:t>
          </w:r>
          <w:r>
            <w:tab/>
          </w:r>
          <w:r>
            <w:fldChar w:fldCharType="begin"/>
          </w:r>
          <w:r>
            <w:instrText xml:space="preserve"> PAGEREF _Toc14070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_Toc27813 </w:instrText>
          </w:r>
          <w:r>
            <w:fldChar w:fldCharType="separate"/>
          </w:r>
          <w:r>
            <w:rPr>
              <w:rFonts w:hint="eastAsia" w:ascii="黑体" w:eastAsia="黑体" w:cs="楷体"/>
              <w:i w:val="0"/>
              <w:caps w:val="0"/>
              <w:smallCaps w:val="0"/>
              <w:strike w:val="0"/>
              <w:dstrike w:val="0"/>
              <w:vanish w:val="0"/>
              <w:kern w:val="2"/>
              <w:szCs w:val="32"/>
              <w:shd w:val="clear" w:color="auto" w:fill="auto"/>
            </w:rPr>
            <w:t>一、收入支出决算总表</w:t>
          </w:r>
          <w:r>
            <w:tab/>
          </w:r>
          <w:r>
            <w:fldChar w:fldCharType="begin"/>
          </w:r>
          <w:r>
            <w:instrText xml:space="preserve"> PAGEREF _Toc27813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_Toc18782 </w:instrText>
          </w:r>
          <w:r>
            <w:fldChar w:fldCharType="separate"/>
          </w:r>
          <w:r>
            <w:rPr>
              <w:rFonts w:hint="eastAsia" w:ascii="黑体" w:eastAsia="黑体" w:cs="楷体"/>
              <w:i w:val="0"/>
              <w:caps w:val="0"/>
              <w:smallCaps w:val="0"/>
              <w:strike w:val="0"/>
              <w:dstrike w:val="0"/>
              <w:vanish w:val="0"/>
              <w:kern w:val="2"/>
              <w:szCs w:val="32"/>
              <w:shd w:val="clear" w:color="auto" w:fill="auto"/>
            </w:rPr>
            <w:t>二、收入决算表</w:t>
          </w:r>
          <w:r>
            <w:tab/>
          </w:r>
          <w:r>
            <w:fldChar w:fldCharType="begin"/>
          </w:r>
          <w:r>
            <w:instrText xml:space="preserve"> PAGEREF _Toc18782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_Toc4242 </w:instrText>
          </w:r>
          <w:r>
            <w:fldChar w:fldCharType="separate"/>
          </w:r>
          <w:r>
            <w:rPr>
              <w:rFonts w:hint="eastAsia" w:ascii="黑体" w:eastAsia="黑体" w:cs="楷体"/>
              <w:i w:val="0"/>
              <w:caps w:val="0"/>
              <w:smallCaps w:val="0"/>
              <w:strike w:val="0"/>
              <w:dstrike w:val="0"/>
              <w:vanish w:val="0"/>
              <w:kern w:val="2"/>
              <w:szCs w:val="32"/>
              <w:shd w:val="clear" w:color="auto" w:fill="auto"/>
            </w:rPr>
            <w:t>三、支出决算表</w:t>
          </w:r>
          <w:r>
            <w:tab/>
          </w:r>
          <w:r>
            <w:fldChar w:fldCharType="begin"/>
          </w:r>
          <w:r>
            <w:instrText xml:space="preserve"> PAGEREF _Toc4242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_Toc24269 </w:instrText>
          </w:r>
          <w:r>
            <w:fldChar w:fldCharType="separate"/>
          </w:r>
          <w:r>
            <w:rPr>
              <w:rFonts w:hint="eastAsia" w:ascii="黑体" w:eastAsia="黑体" w:cs="楷体"/>
              <w:i w:val="0"/>
              <w:caps w:val="0"/>
              <w:smallCaps w:val="0"/>
              <w:strike w:val="0"/>
              <w:dstrike w:val="0"/>
              <w:vanish w:val="0"/>
              <w:kern w:val="2"/>
              <w:szCs w:val="32"/>
              <w:shd w:val="clear" w:color="auto" w:fill="auto"/>
            </w:rPr>
            <w:t>四、财政拨款收入支出决算总表</w:t>
          </w:r>
          <w:r>
            <w:tab/>
          </w:r>
          <w:r>
            <w:fldChar w:fldCharType="begin"/>
          </w:r>
          <w:r>
            <w:instrText xml:space="preserve"> PAGEREF _Toc24269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_Toc5324 </w:instrText>
          </w:r>
          <w:r>
            <w:fldChar w:fldCharType="separate"/>
          </w:r>
          <w:r>
            <w:rPr>
              <w:rFonts w:hint="eastAsia" w:ascii="黑体" w:eastAsia="黑体" w:cs="楷体"/>
              <w:i w:val="0"/>
              <w:caps w:val="0"/>
              <w:smallCaps w:val="0"/>
              <w:strike w:val="0"/>
              <w:dstrike w:val="0"/>
              <w:vanish w:val="0"/>
              <w:kern w:val="2"/>
              <w:szCs w:val="32"/>
              <w:shd w:val="clear" w:color="auto" w:fill="auto"/>
            </w:rPr>
            <w:t>五、财政拨款支出决算明细表</w:t>
          </w:r>
          <w:r>
            <w:tab/>
          </w:r>
          <w:r>
            <w:fldChar w:fldCharType="begin"/>
          </w:r>
          <w:r>
            <w:instrText xml:space="preserve"> PAGEREF _Toc5324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_Toc11309 </w:instrText>
          </w:r>
          <w:r>
            <w:fldChar w:fldCharType="separate"/>
          </w:r>
          <w:r>
            <w:rPr>
              <w:rFonts w:hint="eastAsia" w:ascii="黑体" w:eastAsia="黑体" w:cs="楷体"/>
              <w:i w:val="0"/>
              <w:caps w:val="0"/>
              <w:smallCaps w:val="0"/>
              <w:strike w:val="0"/>
              <w:dstrike w:val="0"/>
              <w:vanish w:val="0"/>
              <w:kern w:val="2"/>
              <w:szCs w:val="32"/>
              <w:shd w:val="clear" w:color="auto" w:fill="auto"/>
            </w:rPr>
            <w:t>六、一般公共预算财政拨款支出决算表</w:t>
          </w:r>
          <w:r>
            <w:tab/>
          </w:r>
          <w:r>
            <w:fldChar w:fldCharType="begin"/>
          </w:r>
          <w:r>
            <w:instrText xml:space="preserve"> PAGEREF _Toc11309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_Toc10139 </w:instrText>
          </w:r>
          <w:r>
            <w:fldChar w:fldCharType="separate"/>
          </w:r>
          <w:r>
            <w:rPr>
              <w:rFonts w:hint="eastAsia" w:ascii="黑体" w:eastAsia="黑体" w:cs="楷体"/>
              <w:i w:val="0"/>
              <w:caps w:val="0"/>
              <w:smallCaps w:val="0"/>
              <w:strike w:val="0"/>
              <w:dstrike w:val="0"/>
              <w:vanish w:val="0"/>
              <w:kern w:val="2"/>
              <w:szCs w:val="32"/>
              <w:shd w:val="clear" w:color="auto" w:fill="auto"/>
            </w:rPr>
            <w:t>七、一般公共预算财政拨款支出决算明细表</w:t>
          </w:r>
          <w:r>
            <w:tab/>
          </w:r>
          <w:r>
            <w:fldChar w:fldCharType="begin"/>
          </w:r>
          <w:r>
            <w:instrText xml:space="preserve"> PAGEREF _Toc10139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_Toc26509 </w:instrText>
          </w:r>
          <w:r>
            <w:fldChar w:fldCharType="separate"/>
          </w:r>
          <w:r>
            <w:rPr>
              <w:rFonts w:hint="eastAsia" w:ascii="黑体" w:eastAsia="黑体" w:cs="楷体"/>
              <w:i w:val="0"/>
              <w:caps w:val="0"/>
              <w:smallCaps w:val="0"/>
              <w:strike w:val="0"/>
              <w:dstrike w:val="0"/>
              <w:vanish w:val="0"/>
              <w:kern w:val="2"/>
              <w:szCs w:val="32"/>
              <w:shd w:val="clear" w:color="auto" w:fill="auto"/>
            </w:rPr>
            <w:t>八、一般公共预算财政拨款基本支出决算表</w:t>
          </w:r>
          <w:r>
            <w:tab/>
          </w:r>
          <w:r>
            <w:fldChar w:fldCharType="begin"/>
          </w:r>
          <w:r>
            <w:instrText xml:space="preserve"> PAGEREF _Toc26509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_Toc27697 </w:instrText>
          </w:r>
          <w:r>
            <w:fldChar w:fldCharType="separate"/>
          </w:r>
          <w:r>
            <w:rPr>
              <w:rFonts w:hint="eastAsia" w:ascii="黑体" w:eastAsia="黑体" w:cs="楷体"/>
              <w:i w:val="0"/>
              <w:caps w:val="0"/>
              <w:smallCaps w:val="0"/>
              <w:strike w:val="0"/>
              <w:dstrike w:val="0"/>
              <w:vanish w:val="0"/>
              <w:kern w:val="2"/>
              <w:szCs w:val="32"/>
              <w:shd w:val="clear" w:color="auto" w:fill="auto"/>
            </w:rPr>
            <w:t>九、一般公共预算财政拨款项目支出决算表</w:t>
          </w:r>
          <w:r>
            <w:tab/>
          </w:r>
          <w:r>
            <w:fldChar w:fldCharType="begin"/>
          </w:r>
          <w:r>
            <w:instrText xml:space="preserve"> PAGEREF _Toc27697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_Toc16203 </w:instrText>
          </w:r>
          <w:r>
            <w:fldChar w:fldCharType="separate"/>
          </w:r>
          <w:r>
            <w:rPr>
              <w:rFonts w:hint="eastAsia" w:ascii="黑体" w:eastAsia="黑体" w:cs="楷体"/>
              <w:i w:val="0"/>
              <w:caps w:val="0"/>
              <w:smallCaps w:val="0"/>
              <w:strike w:val="0"/>
              <w:dstrike w:val="0"/>
              <w:vanish w:val="0"/>
              <w:kern w:val="2"/>
              <w:szCs w:val="32"/>
              <w:shd w:val="clear" w:color="auto" w:fill="auto"/>
            </w:rPr>
            <w:t>十、一般公共预算财政拨款“三公”经费支出决算表</w:t>
          </w:r>
          <w:r>
            <w:tab/>
          </w:r>
          <w:r>
            <w:fldChar w:fldCharType="begin"/>
          </w:r>
          <w:r>
            <w:instrText xml:space="preserve"> PAGEREF _Toc16203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_Toc22429 </w:instrText>
          </w:r>
          <w:r>
            <w:fldChar w:fldCharType="separate"/>
          </w:r>
          <w:r>
            <w:rPr>
              <w:rFonts w:hint="eastAsia" w:ascii="黑体" w:eastAsia="黑体" w:cs="楷体"/>
              <w:i w:val="0"/>
              <w:caps w:val="0"/>
              <w:smallCaps w:val="0"/>
              <w:strike w:val="0"/>
              <w:dstrike w:val="0"/>
              <w:vanish w:val="0"/>
              <w:kern w:val="2"/>
              <w:szCs w:val="32"/>
              <w:shd w:val="clear" w:color="auto" w:fill="auto"/>
            </w:rPr>
            <w:t>十一、政府性基金预算财政拨款收入支出决算表</w:t>
          </w:r>
          <w:r>
            <w:tab/>
          </w:r>
          <w:r>
            <w:fldChar w:fldCharType="begin"/>
          </w:r>
          <w:r>
            <w:instrText xml:space="preserve"> PAGEREF _Toc22429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_Toc31673 </w:instrText>
          </w:r>
          <w:r>
            <w:fldChar w:fldCharType="separate"/>
          </w:r>
          <w:r>
            <w:rPr>
              <w:rFonts w:hint="eastAsia" w:ascii="黑体" w:eastAsia="黑体" w:cs="楷体"/>
              <w:i w:val="0"/>
              <w:caps w:val="0"/>
              <w:smallCaps w:val="0"/>
              <w:strike w:val="0"/>
              <w:dstrike w:val="0"/>
              <w:vanish w:val="0"/>
              <w:kern w:val="2"/>
              <w:szCs w:val="32"/>
              <w:shd w:val="clear" w:color="auto" w:fill="auto"/>
            </w:rPr>
            <w:t>十二、政府性基金预算财政拨款“三公”经费支出决算表</w:t>
          </w:r>
          <w:r>
            <w:tab/>
          </w:r>
          <w:r>
            <w:fldChar w:fldCharType="begin"/>
          </w:r>
          <w:r>
            <w:instrText xml:space="preserve"> PAGEREF _Toc31673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_Toc8802 </w:instrText>
          </w:r>
          <w:r>
            <w:fldChar w:fldCharType="separate"/>
          </w:r>
          <w:r>
            <w:rPr>
              <w:rFonts w:hint="eastAsia" w:ascii="黑体" w:eastAsia="黑体" w:cs="楷体"/>
              <w:i w:val="0"/>
              <w:caps w:val="0"/>
              <w:smallCaps w:val="0"/>
              <w:strike w:val="0"/>
              <w:dstrike w:val="0"/>
              <w:vanish w:val="0"/>
              <w:kern w:val="2"/>
              <w:szCs w:val="32"/>
              <w:shd w:val="clear" w:color="auto" w:fill="auto"/>
            </w:rPr>
            <w:t>十三、国有资本经营预算财政拨款收入支出决算表</w:t>
          </w:r>
          <w:r>
            <w:tab/>
          </w:r>
          <w:r>
            <w:fldChar w:fldCharType="begin"/>
          </w:r>
          <w:r>
            <w:instrText xml:space="preserve"> PAGEREF _Toc8802 \h </w:instrText>
          </w:r>
          <w:r>
            <w:fldChar w:fldCharType="separate"/>
          </w:r>
          <w:r>
            <w:t>28</w:t>
          </w:r>
          <w:r>
            <w:fldChar w:fldCharType="end"/>
          </w:r>
          <w:r>
            <w:fldChar w:fldCharType="end"/>
          </w:r>
        </w:p>
        <w:p>
          <w:pPr>
            <w:pStyle w:val="10"/>
            <w:tabs>
              <w:tab w:val="right" w:leader="dot" w:pos="8315"/>
            </w:tabs>
          </w:pPr>
          <w:r>
            <w:fldChar w:fldCharType="begin"/>
          </w:r>
          <w:r>
            <w:instrText xml:space="preserve"> HYPERLINK \l _Toc9949 </w:instrText>
          </w:r>
          <w:r>
            <w:fldChar w:fldCharType="separate"/>
          </w:r>
          <w:r>
            <w:rPr>
              <w:rFonts w:hint="eastAsia" w:ascii="黑体" w:eastAsia="黑体" w:cs="楷体"/>
              <w:i w:val="0"/>
              <w:caps w:val="0"/>
              <w:smallCaps w:val="0"/>
              <w:strike w:val="0"/>
              <w:dstrike w:val="0"/>
              <w:vanish w:val="0"/>
              <w:kern w:val="2"/>
              <w:szCs w:val="32"/>
              <w:shd w:val="clear" w:color="auto" w:fill="auto"/>
            </w:rPr>
            <w:t>十四、国有资本经营预算财政拨款支出决算表</w:t>
          </w:r>
          <w:r>
            <w:tab/>
          </w:r>
          <w:r>
            <w:fldChar w:fldCharType="begin"/>
          </w:r>
          <w:r>
            <w:instrText xml:space="preserve"> PAGEREF _Toc9949 \h </w:instrText>
          </w:r>
          <w:r>
            <w:fldChar w:fldCharType="separate"/>
          </w:r>
          <w:r>
            <w:t>28</w:t>
          </w:r>
          <w:r>
            <w:fldChar w:fldCharType="end"/>
          </w:r>
          <w:r>
            <w:fldChar w:fldCharType="end"/>
          </w:r>
        </w:p>
        <w:p>
          <w:r>
            <w:fldChar w:fldCharType="end"/>
          </w:r>
        </w:p>
        <w:p/>
        <w:p/>
        <w:p/>
        <w:p/>
        <w:p/>
        <w:p/>
        <w:p/>
        <w:p/>
      </w:sdtContent>
    </w:sdt>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jc w:val="both"/>
        <w:outlineLvl w:val="0"/>
        <w:rPr>
          <w:rStyle w:val="18"/>
          <w:rFonts w:hint="eastAsia" w:ascii="黑体" w:hAnsi="黑体" w:eastAsia="黑体" w:cs="黑体"/>
          <w:b w:val="0"/>
          <w:bCs w:val="0"/>
          <w:i w:val="0"/>
          <w:iCs w:val="0"/>
          <w:sz w:val="44"/>
          <w:szCs w:val="44"/>
          <w:shd w:val="clear" w:fill="FFFFFF"/>
          <w:lang w:val="en-US" w:eastAsia="zh-CN"/>
        </w:rPr>
        <w:sectPr>
          <w:footerReference r:id="rId3" w:type="default"/>
          <w:pgSz w:w="11915" w:h="16851"/>
          <w:pgMar w:top="1440" w:right="1800" w:bottom="1440" w:left="1800" w:header="851" w:footer="992" w:gutter="0"/>
          <w:pgNumType w:fmt="decimal" w:start="1"/>
          <w:cols w:space="0" w:num="1"/>
          <w:docGrid w:type="lines" w:linePitch="312" w:charSpace="0"/>
        </w:sectPr>
      </w:pPr>
      <w:bookmarkStart w:id="27" w:name="_Toc28528"/>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jc w:val="both"/>
        <w:outlineLvl w:val="0"/>
        <w:rPr>
          <w:rStyle w:val="18"/>
          <w:rFonts w:hint="default" w:ascii="黑体" w:hAnsi="黑体" w:eastAsia="黑体" w:cs="黑体"/>
          <w:b w:val="0"/>
          <w:bCs w:val="0"/>
          <w:i w:val="0"/>
          <w:iCs w:val="0"/>
          <w:sz w:val="44"/>
          <w:szCs w:val="44"/>
          <w:shd w:val="clear" w:fill="FFFFFF"/>
          <w:lang w:val="en-US" w:eastAsia="zh-CN"/>
        </w:rPr>
      </w:pPr>
      <w:r>
        <w:rPr>
          <w:rStyle w:val="18"/>
          <w:rFonts w:hint="eastAsia" w:ascii="黑体" w:hAnsi="黑体" w:eastAsia="黑体" w:cs="黑体"/>
          <w:b w:val="0"/>
          <w:bCs w:val="0"/>
          <w:i w:val="0"/>
          <w:iCs w:val="0"/>
          <w:sz w:val="44"/>
          <w:szCs w:val="44"/>
          <w:shd w:val="clear" w:fill="FFFFFF"/>
          <w:lang w:val="en-US" w:eastAsia="zh-CN"/>
        </w:rPr>
        <w:t>第一部分部门概况</w:t>
      </w:r>
      <w:bookmarkEnd w:id="24"/>
      <w:bookmarkEnd w:id="25"/>
      <w:bookmarkEnd w:id="26"/>
      <w:bookmarkEnd w:id="27"/>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jc w:val="center"/>
        <w:rPr>
          <w:rFonts w:hint="eastAsia" w:ascii="仿宋_GB2312" w:eastAsia="仿宋_GB2312" w:cs="仿宋_GB2312"/>
          <w:b/>
          <w:bCs/>
          <w:i w:val="0"/>
          <w:iCs w:val="0"/>
          <w:sz w:val="44"/>
          <w:szCs w:val="44"/>
          <w:shd w:val="clear" w:fill="FFFFFF"/>
        </w:rPr>
      </w:pPr>
      <w:r>
        <w:rPr>
          <w:rStyle w:val="18"/>
          <w:rFonts w:hint="eastAsia" w:ascii="仿宋_GB2312" w:eastAsia="仿宋_GB2312" w:cs="仿宋_GB2312"/>
          <w:b/>
          <w:bCs/>
          <w:sz w:val="44"/>
          <w:szCs w:val="44"/>
          <w:shd w:val="clear" w:fill="FFFFFF"/>
        </w:rPr>
        <w:t xml:space="preserve"> </w:t>
      </w:r>
    </w:p>
    <w:p>
      <w:pPr>
        <w:pStyle w:val="3"/>
        <w:keepNext/>
        <w:keepLines/>
        <w:pageBreakBefore w:val="0"/>
        <w:widowControl w:val="0"/>
        <w:suppressLineNumbers w:val="0"/>
        <w:suppressAutoHyphens w:val="0"/>
        <w:kinsoku/>
        <w:wordWrap/>
        <w:overflowPunct/>
        <w:topLinePunct w:val="0"/>
        <w:autoSpaceDE/>
        <w:autoSpaceDN/>
        <w:bidi w:val="0"/>
        <w:spacing w:line="560" w:lineRule="exact"/>
        <w:rPr>
          <w:rFonts w:hint="eastAsia" w:ascii="黑体" w:eastAsia="黑体" w:cs="楷体"/>
          <w:color w:val="000000"/>
          <w:kern w:val="2"/>
          <w:sz w:val="32"/>
          <w:szCs w:val="32"/>
          <w:shd w:val="clear" w:color="auto" w:fill="auto"/>
        </w:rPr>
      </w:pPr>
      <w:bookmarkStart w:id="28" w:name="_Toc29581"/>
      <w:bookmarkStart w:id="29" w:name="_Toc19873"/>
      <w:bookmarkStart w:id="30" w:name="_Toc8707"/>
      <w:bookmarkStart w:id="31" w:name="_Toc7435"/>
      <w:bookmarkStart w:id="32" w:name="_Toc1538"/>
      <w:r>
        <w:rPr>
          <w:rFonts w:hint="eastAsia" w:ascii="黑体" w:eastAsia="黑体" w:cs="楷体"/>
          <w:color w:val="000000"/>
          <w:kern w:val="2"/>
          <w:sz w:val="32"/>
          <w:szCs w:val="32"/>
          <w:shd w:val="clear" w:color="auto" w:fill="auto"/>
        </w:rPr>
        <w:t>一、基本职能及主要工作</w:t>
      </w:r>
      <w:bookmarkEnd w:id="28"/>
      <w:bookmarkEnd w:id="29"/>
      <w:bookmarkEnd w:id="30"/>
      <w:bookmarkEnd w:id="31"/>
      <w:bookmarkEnd w:id="32"/>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outlineLvl w:val="2"/>
        <w:rPr>
          <w:rFonts w:hint="eastAsia" w:ascii="宋体" w:hAnsi="宋体" w:eastAsia="宋体" w:cs="宋体"/>
          <w:b w:val="0"/>
          <w:bCs w:val="0"/>
          <w:i w:val="0"/>
          <w:iCs w:val="0"/>
          <w:sz w:val="32"/>
          <w:szCs w:val="32"/>
        </w:rPr>
      </w:pPr>
      <w:r>
        <w:rPr>
          <w:rFonts w:ascii="仿宋_GB2312" w:eastAsia="仿宋_GB2312" w:cs="Times New Roman"/>
          <w:b/>
          <w:bCs/>
          <w:kern w:val="2"/>
          <w:sz w:val="32"/>
          <w:szCs w:val="20"/>
          <w:shd w:val="clear" w:color="auto" w:fill="auto"/>
        </w:rPr>
        <w:t>（一）主要职能。</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cs="宋体"/>
          <w:b w:val="0"/>
          <w:bCs w:val="0"/>
          <w:i w:val="0"/>
          <w:iCs w:val="0"/>
          <w:sz w:val="32"/>
          <w:szCs w:val="32"/>
          <w:shd w:val="clear" w:fill="FFFFFF"/>
          <w:lang w:eastAsia="zh-CN"/>
        </w:rPr>
        <w:t>（</w:t>
      </w:r>
      <w:r>
        <w:rPr>
          <w:rFonts w:hint="eastAsia" w:cs="宋体"/>
          <w:b w:val="0"/>
          <w:bCs w:val="0"/>
          <w:i w:val="0"/>
          <w:iCs w:val="0"/>
          <w:sz w:val="32"/>
          <w:szCs w:val="32"/>
          <w:shd w:val="clear" w:fill="FFFFFF"/>
          <w:lang w:val="en-US" w:eastAsia="zh-CN"/>
        </w:rPr>
        <w:t>1</w:t>
      </w:r>
      <w:r>
        <w:rPr>
          <w:rFonts w:hint="eastAsia" w:cs="宋体"/>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rPr>
        <w:t>宣传、实施上级主管部门以及相关单位的有关政策</w:t>
      </w:r>
      <w:r>
        <w:rPr>
          <w:rFonts w:hint="eastAsia" w:ascii="宋体" w:hAnsi="宋体" w:eastAsia="宋体" w:cs="宋体"/>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cs="宋体"/>
          <w:b w:val="0"/>
          <w:bCs w:val="0"/>
          <w:i w:val="0"/>
          <w:iCs w:val="0"/>
          <w:sz w:val="32"/>
          <w:szCs w:val="32"/>
          <w:shd w:val="clear" w:fill="FFFFFF"/>
          <w:lang w:eastAsia="zh-CN"/>
        </w:rPr>
        <w:t>（</w:t>
      </w:r>
      <w:r>
        <w:rPr>
          <w:rFonts w:hint="eastAsia" w:cs="宋体"/>
          <w:b w:val="0"/>
          <w:bCs w:val="0"/>
          <w:i w:val="0"/>
          <w:iCs w:val="0"/>
          <w:sz w:val="32"/>
          <w:szCs w:val="32"/>
          <w:shd w:val="clear" w:fill="FFFFFF"/>
          <w:lang w:val="en-US" w:eastAsia="zh-CN"/>
        </w:rPr>
        <w:t>2</w:t>
      </w:r>
      <w:r>
        <w:rPr>
          <w:rFonts w:hint="eastAsia" w:cs="宋体"/>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rPr>
        <w:t>执行本行政区域内的经济和社会发展计划、预算、管理本行政区域内的经济、教育、科学、文化、卫生、体育事业和财政、民政、公安、司法行政、计划生育等行政工作</w:t>
      </w:r>
      <w:r>
        <w:rPr>
          <w:rFonts w:hint="eastAsia" w:ascii="宋体" w:hAnsi="宋体" w:eastAsia="宋体" w:cs="宋体"/>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cs="宋体"/>
          <w:b w:val="0"/>
          <w:bCs w:val="0"/>
          <w:i w:val="0"/>
          <w:iCs w:val="0"/>
          <w:sz w:val="32"/>
          <w:szCs w:val="32"/>
          <w:shd w:val="clear" w:fill="FFFFFF"/>
          <w:lang w:eastAsia="zh-CN"/>
        </w:rPr>
        <w:t>（</w:t>
      </w:r>
      <w:r>
        <w:rPr>
          <w:rFonts w:hint="eastAsia" w:cs="宋体"/>
          <w:b w:val="0"/>
          <w:bCs w:val="0"/>
          <w:i w:val="0"/>
          <w:iCs w:val="0"/>
          <w:sz w:val="32"/>
          <w:szCs w:val="32"/>
          <w:shd w:val="clear" w:fill="FFFFFF"/>
          <w:lang w:val="en-US" w:eastAsia="zh-CN"/>
        </w:rPr>
        <w:t>3</w:t>
      </w:r>
      <w:r>
        <w:rPr>
          <w:rFonts w:hint="eastAsia" w:cs="宋体"/>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rPr>
        <w:t>保护各种经济组织的合法权益</w:t>
      </w:r>
      <w:r>
        <w:rPr>
          <w:rFonts w:hint="eastAsia" w:ascii="宋体" w:hAnsi="宋体" w:eastAsia="宋体" w:cs="宋体"/>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cs="宋体"/>
          <w:b w:val="0"/>
          <w:bCs w:val="0"/>
          <w:i w:val="0"/>
          <w:iCs w:val="0"/>
          <w:sz w:val="32"/>
          <w:szCs w:val="32"/>
          <w:shd w:val="clear" w:fill="FFFFFF"/>
          <w:lang w:eastAsia="zh-CN"/>
        </w:rPr>
        <w:t>（</w:t>
      </w:r>
      <w:r>
        <w:rPr>
          <w:rFonts w:hint="eastAsia" w:cs="宋体"/>
          <w:b w:val="0"/>
          <w:bCs w:val="0"/>
          <w:i w:val="0"/>
          <w:iCs w:val="0"/>
          <w:sz w:val="32"/>
          <w:szCs w:val="32"/>
          <w:shd w:val="clear" w:fill="FFFFFF"/>
          <w:lang w:val="en-US" w:eastAsia="zh-CN"/>
        </w:rPr>
        <w:t>4</w:t>
      </w:r>
      <w:r>
        <w:rPr>
          <w:rFonts w:hint="eastAsia" w:cs="宋体"/>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rPr>
        <w:t>保障少数民族的权利和尊重少数民族的风俗习惯</w:t>
      </w:r>
      <w:r>
        <w:rPr>
          <w:rFonts w:hint="eastAsia" w:ascii="宋体" w:hAnsi="宋体" w:eastAsia="宋体" w:cs="宋体"/>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cs="宋体"/>
          <w:b w:val="0"/>
          <w:bCs w:val="0"/>
          <w:i w:val="0"/>
          <w:iCs w:val="0"/>
          <w:sz w:val="32"/>
          <w:szCs w:val="32"/>
          <w:shd w:val="clear" w:fill="FFFFFF"/>
          <w:lang w:eastAsia="zh-CN"/>
        </w:rPr>
        <w:t>（</w:t>
      </w:r>
      <w:r>
        <w:rPr>
          <w:rFonts w:hint="eastAsia" w:cs="宋体"/>
          <w:b w:val="0"/>
          <w:bCs w:val="0"/>
          <w:i w:val="0"/>
          <w:iCs w:val="0"/>
          <w:sz w:val="32"/>
          <w:szCs w:val="32"/>
          <w:shd w:val="clear" w:fill="FFFFFF"/>
          <w:lang w:val="en-US" w:eastAsia="zh-CN"/>
        </w:rPr>
        <w:t>5</w:t>
      </w:r>
      <w:r>
        <w:rPr>
          <w:rFonts w:hint="eastAsia" w:cs="宋体"/>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rPr>
        <w:t>保护社会主义的全民所有的财产和劳动群众集体所有的财产，保护公民私人所有的合法财产，维护社会秩序，保障公民的人身权利、民主权利和</w:t>
      </w:r>
      <w:r>
        <w:fldChar w:fldCharType="begin"/>
      </w:r>
      <w:r>
        <w:instrText xml:space="preserve"> HYPERLINK "http://www.oh100.com/qita/" </w:instrText>
      </w:r>
      <w:r>
        <w:fldChar w:fldCharType="separate"/>
      </w:r>
      <w:r>
        <w:rPr>
          <w:rStyle w:val="15"/>
          <w:rFonts w:hint="eastAsia" w:ascii="仿宋_GB2312" w:eastAsia="仿宋_GB2312" w:cs="仿宋_GB2312"/>
          <w:b w:val="0"/>
          <w:bCs w:val="0"/>
          <w:color w:val="0000FF"/>
          <w:sz w:val="32"/>
          <w:szCs w:val="32"/>
          <w:u w:val="single"/>
          <w:shd w:val="clear" w:fill="FFFFFF"/>
        </w:rPr>
        <w:t>其他</w:t>
      </w:r>
      <w:r>
        <w:fldChar w:fldCharType="end"/>
      </w:r>
      <w:r>
        <w:rPr>
          <w:rFonts w:hint="eastAsia" w:ascii="仿宋_GB2312" w:eastAsia="仿宋_GB2312" w:cs="仿宋_GB2312"/>
          <w:b w:val="0"/>
          <w:bCs w:val="0"/>
          <w:i w:val="0"/>
          <w:iCs w:val="0"/>
          <w:sz w:val="32"/>
          <w:szCs w:val="32"/>
          <w:shd w:val="clear" w:fill="FFFFFF"/>
        </w:rPr>
        <w:t>权利</w:t>
      </w:r>
      <w:r>
        <w:rPr>
          <w:rFonts w:hint="eastAsia" w:ascii="宋体" w:hAnsi="宋体" w:eastAsia="宋体" w:cs="宋体"/>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rPr>
      </w:pPr>
      <w:r>
        <w:rPr>
          <w:rFonts w:hint="eastAsia" w:ascii="仿宋_GB2312" w:eastAsia="仿宋_GB2312" w:cs="仿宋_GB2312"/>
          <w:b w:val="0"/>
          <w:bCs w:val="0"/>
          <w:i w:val="0"/>
          <w:iCs w:val="0"/>
          <w:sz w:val="32"/>
          <w:szCs w:val="32"/>
          <w:shd w:val="clear" w:fill="FFFFFF"/>
        </w:rPr>
        <w:t>本单位本年度年末实有人数为37人，比上年增加6人；年末实有离退休人数为4人，比上年增加-1人；年末实有其他人数为0人，比上年增加0人</w:t>
      </w:r>
      <w:r>
        <w:rPr>
          <w:rStyle w:val="18"/>
          <w:rFonts w:hint="eastAsia" w:ascii="仿宋_GB2312" w:eastAsia="仿宋_GB2312" w:cs="仿宋_GB2312"/>
          <w:b/>
          <w:bCs/>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outlineLvl w:val="2"/>
        <w:rPr>
          <w:rFonts w:hint="eastAsia" w:ascii="宋体" w:hAnsi="宋体" w:eastAsia="宋体" w:cs="宋体"/>
          <w:b/>
          <w:bCs/>
          <w:i w:val="0"/>
          <w:iCs w:val="0"/>
          <w:sz w:val="32"/>
          <w:szCs w:val="32"/>
          <w:shd w:val="clear" w:fill="FFFFFF"/>
        </w:rPr>
      </w:pPr>
      <w:r>
        <w:rPr>
          <w:rStyle w:val="18"/>
          <w:rFonts w:hint="eastAsia" w:ascii="仿宋_GB2312" w:eastAsia="仿宋_GB2312" w:cs="仿宋_GB2312"/>
          <w:b/>
          <w:bCs/>
          <w:sz w:val="32"/>
          <w:szCs w:val="32"/>
          <w:shd w:val="clear" w:fill="FFFFFF"/>
        </w:rPr>
        <w:t>（二）</w:t>
      </w:r>
      <w:r>
        <w:rPr>
          <w:rStyle w:val="18"/>
          <w:rFonts w:hint="eastAsia" w:ascii="仿宋_GB2312" w:eastAsia="仿宋_GB2312" w:cs="仿宋_GB2312"/>
          <w:b/>
          <w:bCs/>
          <w:sz w:val="32"/>
          <w:szCs w:val="32"/>
          <w:shd w:val="clear" w:fill="FFFFFF"/>
          <w:lang w:val="en-US" w:eastAsia="zh-CN"/>
        </w:rPr>
        <w:t>2021年重点工作完成情况</w:t>
      </w:r>
      <w:r>
        <w:rPr>
          <w:rStyle w:val="18"/>
          <w:rFonts w:hint="eastAsia" w:ascii="仿宋_GB2312" w:eastAsia="仿宋_GB2312" w:cs="仿宋_GB2312"/>
          <w:b/>
          <w:bCs/>
          <w:sz w:val="32"/>
          <w:szCs w:val="32"/>
          <w:shd w:val="clear" w:fill="FFFFFF"/>
        </w:rPr>
        <w:t>。</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right="0" w:rightChars="0" w:firstLine="640" w:firstLineChars="200"/>
        <w:rPr>
          <w:rFonts w:hint="eastAsia" w:ascii="宋体" w:hAnsi="宋体" w:eastAsia="宋体" w:cs="宋体"/>
          <w:b w:val="0"/>
          <w:bCs w:val="0"/>
          <w:i w:val="0"/>
          <w:iCs w:val="0"/>
          <w:sz w:val="32"/>
          <w:szCs w:val="32"/>
          <w:shd w:val="clear" w:fill="FFFFFF"/>
        </w:rPr>
      </w:pP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麦洼乡党委政府</w:t>
      </w:r>
      <w:r>
        <w:rPr>
          <w:rFonts w:hint="eastAsia" w:ascii="仿宋_GB2312" w:hAnsi="仿宋_GB2312" w:eastAsia="仿宋_GB2312" w:cs="仿宋_GB2312"/>
          <w:color w:val="auto"/>
          <w:sz w:val="32"/>
          <w:szCs w:val="32"/>
        </w:rPr>
        <w:t>在县委、县政府</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坚强领导下</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rPr>
        <w:t>坚持以习近平新时代中国特色社会主义思想为指导，全面深入贯彻</w:t>
      </w:r>
      <w:r>
        <w:rPr>
          <w:rFonts w:hint="eastAsia" w:ascii="Times New Roman" w:hAnsi="Times New Roman" w:eastAsia="仿宋_GB2312"/>
          <w:color w:val="auto"/>
          <w:sz w:val="32"/>
          <w:szCs w:val="32"/>
          <w:lang w:val="en-US" w:eastAsia="zh-CN"/>
        </w:rPr>
        <w:t>中央、</w:t>
      </w:r>
      <w:r>
        <w:rPr>
          <w:rFonts w:hint="eastAsia" w:ascii="Times New Roman" w:hAnsi="Times New Roman" w:eastAsia="仿宋_GB2312"/>
          <w:color w:val="auto"/>
          <w:sz w:val="32"/>
          <w:szCs w:val="32"/>
        </w:rPr>
        <w:t>省委</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州委和</w:t>
      </w:r>
      <w:r>
        <w:rPr>
          <w:rFonts w:hint="eastAsia" w:ascii="Times New Roman" w:hAnsi="Times New Roman" w:eastAsia="仿宋_GB2312"/>
          <w:color w:val="auto"/>
          <w:sz w:val="32"/>
          <w:szCs w:val="32"/>
        </w:rPr>
        <w:t>县委</w:t>
      </w:r>
      <w:r>
        <w:rPr>
          <w:rFonts w:hint="eastAsia" w:ascii="Times New Roman" w:hAnsi="Times New Roman" w:eastAsia="仿宋_GB2312"/>
          <w:color w:val="auto"/>
          <w:sz w:val="32"/>
          <w:szCs w:val="32"/>
          <w:lang w:val="en-US" w:eastAsia="zh-CN"/>
        </w:rPr>
        <w:t>历次</w:t>
      </w:r>
      <w:r>
        <w:rPr>
          <w:rFonts w:hint="eastAsia" w:ascii="Times New Roman" w:hAnsi="Times New Roman" w:eastAsia="仿宋_GB2312"/>
          <w:color w:val="auto"/>
          <w:sz w:val="32"/>
          <w:szCs w:val="32"/>
        </w:rPr>
        <w:t>全会精神，紧紧围绕“三地两心一时代”奋斗目标，贯彻落实杨文松书记在全县领导干部换届会议上的重要讲话，</w:t>
      </w:r>
      <w:r>
        <w:rPr>
          <w:rFonts w:hint="eastAsia" w:ascii="Times New Roman" w:hAnsi="Times New Roman" w:eastAsia="仿宋_GB2312"/>
          <w:color w:val="000000" w:themeColor="text1"/>
          <w:sz w:val="32"/>
          <w:szCs w:val="32"/>
          <w14:textFill>
            <w14:solidFill>
              <w14:schemeClr w14:val="tx1"/>
            </w14:solidFill>
          </w14:textFill>
        </w:rPr>
        <w:t>即紧扣生态、发展、民生、稳定、作风“五个关键”，抓好强体、壮骨、聚气、暖心、靓色“五个工程”，强化政治、组织、制度、能力、作风“五项保障”，干</w:t>
      </w:r>
      <w:r>
        <w:rPr>
          <w:rFonts w:hint="eastAsia" w:ascii="Times New Roman" w:hAnsi="Times New Roman" w:eastAsia="仿宋_GB2312"/>
          <w:color w:val="auto"/>
          <w:sz w:val="32"/>
          <w:szCs w:val="32"/>
        </w:rPr>
        <w:t>好干成庆祝建党100周年、筹办全州文旅大会、完成县乡换届、党史学习教育、维护和谐稳定“五件大事”</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全力</w:t>
      </w:r>
      <w:r>
        <w:rPr>
          <w:rFonts w:hint="eastAsia" w:ascii="Times New Roman" w:hAnsi="Times New Roman" w:eastAsia="仿宋_GB2312"/>
          <w:color w:val="auto"/>
          <w:sz w:val="32"/>
          <w:szCs w:val="32"/>
          <w:lang w:val="en-US" w:eastAsia="zh-CN"/>
        </w:rPr>
        <w:t>做好生态环境保护、密织疫情防控网、</w:t>
      </w:r>
      <w:r>
        <w:rPr>
          <w:rFonts w:hint="eastAsia" w:ascii="Times New Roman" w:hAnsi="Times New Roman" w:eastAsia="仿宋_GB2312"/>
          <w:color w:val="auto"/>
          <w:sz w:val="32"/>
          <w:szCs w:val="32"/>
        </w:rPr>
        <w:t>打造特色产业</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强化项目保障、</w:t>
      </w:r>
      <w:r>
        <w:rPr>
          <w:rFonts w:hint="eastAsia" w:ascii="Times New Roman" w:hAnsi="Times New Roman" w:eastAsia="仿宋_GB2312"/>
          <w:color w:val="auto"/>
          <w:sz w:val="32"/>
          <w:szCs w:val="32"/>
        </w:rPr>
        <w:t>落实民生工程</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完成县乡村换届选举、加强社会治理、夯实党建基础等工作，全乡各项工作实现了</w:t>
      </w:r>
      <w:r>
        <w:rPr>
          <w:rFonts w:hint="eastAsia" w:ascii="Times New Roman" w:hAnsi="Times New Roman" w:eastAsia="仿宋_GB2312"/>
          <w:color w:val="auto"/>
          <w:sz w:val="32"/>
          <w:szCs w:val="32"/>
        </w:rPr>
        <w:t>稳中求进、上档升级、提质增效</w:t>
      </w:r>
      <w:r>
        <w:rPr>
          <w:rFonts w:hint="eastAsia" w:ascii="Times New Roman" w:hAnsi="Times New Roman" w:eastAsia="仿宋_GB2312"/>
          <w:color w:val="auto"/>
          <w:sz w:val="32"/>
          <w:szCs w:val="32"/>
          <w:lang w:eastAsia="zh-CN"/>
        </w:rPr>
        <w:t>。</w:t>
      </w:r>
    </w:p>
    <w:p>
      <w:pPr>
        <w:keepNext w:val="0"/>
        <w:keepLines w:val="0"/>
        <w:pageBreakBefore w:val="0"/>
        <w:widowControl w:val="0"/>
        <w:suppressLineNumbers w:val="0"/>
        <w:suppressAutoHyphens w:val="0"/>
        <w:kinsoku/>
        <w:wordWrap/>
        <w:overflowPunct/>
        <w:topLinePunct w:val="0"/>
        <w:bidi w:val="0"/>
        <w:adjustRightInd/>
        <w:snapToGrid/>
        <w:spacing w:line="560" w:lineRule="exact"/>
        <w:ind w:firstLine="640" w:firstLineChars="200"/>
        <w:contextualSpacing w:val="0"/>
        <w:outlineLvl w:val="1"/>
        <w:rPr>
          <w:rFonts w:ascii="黑体" w:eastAsia="黑体" w:cs="楷体"/>
          <w:color w:val="000000"/>
          <w:kern w:val="2"/>
          <w:sz w:val="32"/>
          <w:szCs w:val="32"/>
          <w:shd w:val="clear" w:color="auto" w:fill="auto"/>
        </w:rPr>
      </w:pPr>
      <w:bookmarkStart w:id="33" w:name="_Toc16692"/>
      <w:bookmarkStart w:id="34" w:name="_Toc19915"/>
      <w:bookmarkStart w:id="35" w:name="_Toc26822"/>
      <w:bookmarkStart w:id="36" w:name="_Toc19757"/>
      <w:r>
        <w:rPr>
          <w:rFonts w:hint="eastAsia" w:ascii="黑体" w:eastAsia="黑体" w:cs="楷体"/>
          <w:color w:val="000000"/>
          <w:kern w:val="2"/>
          <w:sz w:val="32"/>
          <w:szCs w:val="32"/>
          <w:shd w:val="clear" w:color="auto" w:fill="auto"/>
        </w:rPr>
        <w:t>二、机构设置</w:t>
      </w:r>
      <w:bookmarkEnd w:id="33"/>
      <w:bookmarkEnd w:id="34"/>
      <w:bookmarkEnd w:id="35"/>
      <w:bookmarkEnd w:id="36"/>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仿宋_GB2312" w:eastAsia="仿宋_GB2312" w:cs="仿宋_GB2312"/>
          <w:kern w:val="2"/>
          <w:sz w:val="32"/>
          <w:szCs w:val="32"/>
          <w:shd w:val="clear" w:color="auto" w:fill="auto"/>
          <w:lang w:val="en-US" w:eastAsia="zh-CN"/>
        </w:rPr>
      </w:pPr>
      <w:r>
        <w:rPr>
          <w:rFonts w:hint="eastAsia" w:ascii="仿宋_GB2312" w:eastAsia="仿宋_GB2312" w:cs="仿宋_GB2312"/>
          <w:kern w:val="2"/>
          <w:sz w:val="32"/>
          <w:szCs w:val="32"/>
          <w:shd w:val="clear" w:color="auto" w:fill="auto"/>
          <w:lang w:val="en-US" w:eastAsia="zh-CN"/>
        </w:rPr>
        <w:t>本单位</w:t>
      </w:r>
      <w:r>
        <w:rPr>
          <w:rFonts w:hint="eastAsia" w:ascii="仿宋_GB2312" w:eastAsia="仿宋_GB2312" w:cs="仿宋_GB2312"/>
          <w:b w:val="0"/>
          <w:bCs w:val="0"/>
          <w:i w:val="0"/>
          <w:iCs w:val="0"/>
          <w:sz w:val="32"/>
          <w:szCs w:val="32"/>
          <w:shd w:val="clear" w:fill="FFFFFF"/>
        </w:rPr>
        <w:t>本年度纳入本套决算编制范围的独立编制机构数共2个，比上年增加0个；独立核算机构数共2个，比上年增加0个</w:t>
      </w:r>
      <w:r>
        <w:rPr>
          <w:rStyle w:val="18"/>
          <w:rFonts w:hint="eastAsia" w:ascii="仿宋_GB2312" w:eastAsia="仿宋_GB2312" w:cs="仿宋_GB2312"/>
          <w:b/>
          <w:bCs/>
          <w:sz w:val="32"/>
          <w:szCs w:val="32"/>
          <w:shd w:val="clear" w:fill="FFFFFF"/>
        </w:rPr>
        <w:t>。</w:t>
      </w:r>
      <w:r>
        <w:rPr>
          <w:rFonts w:hint="eastAsia" w:ascii="仿宋_GB2312" w:eastAsia="仿宋_GB2312" w:cs="仿宋_GB2312"/>
          <w:kern w:val="2"/>
          <w:sz w:val="32"/>
          <w:szCs w:val="32"/>
          <w:shd w:val="clear" w:color="auto" w:fill="auto"/>
          <w:lang w:val="en-US" w:eastAsia="zh-CN"/>
        </w:rPr>
        <w:t>根据职能职责本单位</w:t>
      </w:r>
      <w:r>
        <w:rPr>
          <w:rFonts w:hint="eastAsia" w:ascii="仿宋_GB2312" w:eastAsia="仿宋_GB2312" w:cs="仿宋_GB2312"/>
          <w:kern w:val="2"/>
          <w:sz w:val="32"/>
          <w:szCs w:val="32"/>
          <w:shd w:val="clear" w:color="auto" w:fill="auto"/>
        </w:rPr>
        <w:t>设</w:t>
      </w:r>
      <w:r>
        <w:rPr>
          <w:rFonts w:hint="eastAsia" w:ascii="仿宋_GB2312" w:eastAsia="仿宋_GB2312" w:cs="仿宋_GB2312"/>
          <w:kern w:val="2"/>
          <w:sz w:val="32"/>
          <w:szCs w:val="32"/>
          <w:shd w:val="clear" w:color="auto" w:fill="auto"/>
          <w:lang w:val="en-US" w:eastAsia="zh-CN"/>
        </w:rPr>
        <w:t>6</w:t>
      </w:r>
      <w:r>
        <w:rPr>
          <w:rFonts w:hint="eastAsia" w:ascii="仿宋_GB2312" w:eastAsia="仿宋_GB2312" w:cs="仿宋_GB2312"/>
          <w:kern w:val="2"/>
          <w:sz w:val="32"/>
          <w:szCs w:val="32"/>
          <w:shd w:val="clear" w:color="auto" w:fill="auto"/>
        </w:rPr>
        <w:t>个</w:t>
      </w:r>
      <w:r>
        <w:rPr>
          <w:rFonts w:hint="eastAsia" w:ascii="仿宋_GB2312" w:eastAsia="仿宋_GB2312" w:cs="仿宋_GB2312"/>
          <w:kern w:val="2"/>
          <w:sz w:val="32"/>
          <w:szCs w:val="32"/>
          <w:shd w:val="clear" w:color="auto" w:fill="auto"/>
          <w:lang w:val="en-US" w:eastAsia="zh-CN"/>
        </w:rPr>
        <w:t>内设机构</w:t>
      </w:r>
      <w:r>
        <w:rPr>
          <w:rFonts w:hint="eastAsia" w:ascii="仿宋_GB2312" w:eastAsia="仿宋_GB2312" w:cs="仿宋_GB2312"/>
          <w:kern w:val="2"/>
          <w:sz w:val="32"/>
          <w:szCs w:val="32"/>
          <w:shd w:val="clear" w:color="auto" w:fill="auto"/>
        </w:rPr>
        <w:t>，</w:t>
      </w:r>
      <w:r>
        <w:rPr>
          <w:rFonts w:hint="eastAsia" w:ascii="仿宋_GB2312" w:eastAsia="仿宋_GB2312" w:cs="仿宋_GB2312"/>
          <w:kern w:val="2"/>
          <w:sz w:val="32"/>
          <w:szCs w:val="32"/>
          <w:shd w:val="clear" w:color="auto" w:fill="auto"/>
          <w:lang w:val="en-US" w:eastAsia="zh-CN"/>
        </w:rPr>
        <w:t>4个直属事业机构。</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仿宋_GB2312" w:hAnsi="宋体" w:eastAsia="仿宋_GB2312" w:cs="仿宋_GB2312"/>
          <w:b w:val="0"/>
          <w:bCs w:val="0"/>
          <w:i w:val="0"/>
          <w:iCs w:val="0"/>
          <w:sz w:val="32"/>
          <w:szCs w:val="32"/>
          <w:shd w:val="clear" w:fill="FFFFFF"/>
        </w:rPr>
      </w:pPr>
      <w:r>
        <w:rPr>
          <w:rFonts w:hint="eastAsia" w:ascii="仿宋_GB2312" w:hAnsi="宋体" w:eastAsia="仿宋_GB2312" w:cs="仿宋_GB2312"/>
          <w:b w:val="0"/>
          <w:bCs w:val="0"/>
          <w:i w:val="0"/>
          <w:iCs w:val="0"/>
          <w:sz w:val="32"/>
          <w:szCs w:val="32"/>
          <w:shd w:val="clear" w:fill="FFFFFF"/>
        </w:rPr>
        <w:t>本单位本年度年末实有人数为37人，比上年增加6人；年末实有离退休人数为4人，比上年增加-1人；年末实有其他人数为0人，比上年增加0人。</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Fonts w:hint="eastAsia" w:ascii="仿宋_GB2312" w:hAnsi="宋体" w:eastAsia="仿宋_GB2312" w:cs="仿宋_GB2312"/>
          <w:b w:val="0"/>
          <w:bCs w:val="0"/>
          <w:i w:val="0"/>
          <w:iCs w:val="0"/>
          <w:sz w:val="32"/>
          <w:szCs w:val="32"/>
          <w:shd w:val="clear" w:fill="FFFFFF"/>
        </w:rPr>
      </w:pPr>
    </w:p>
    <w:p>
      <w:pPr>
        <w:pStyle w:val="1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640" w:lineRule="exact"/>
        <w:ind w:left="0" w:right="0"/>
        <w:jc w:val="center"/>
        <w:textAlignment w:val="auto"/>
        <w:outlineLvl w:val="0"/>
        <w:rPr>
          <w:rStyle w:val="18"/>
          <w:rFonts w:hint="eastAsia" w:ascii="黑体" w:hAnsi="黑体" w:eastAsia="黑体" w:cs="黑体"/>
          <w:b w:val="0"/>
          <w:bCs w:val="0"/>
          <w:i w:val="0"/>
          <w:iCs w:val="0"/>
          <w:sz w:val="44"/>
          <w:szCs w:val="44"/>
          <w:shd w:val="clear" w:fill="FFFFFF"/>
          <w:lang w:val="en-US" w:eastAsia="zh-CN"/>
        </w:rPr>
      </w:pPr>
      <w:bookmarkStart w:id="37" w:name="_Toc25443"/>
      <w:bookmarkStart w:id="38" w:name="_Toc18227"/>
      <w:bookmarkStart w:id="39" w:name="_Toc15695"/>
      <w:bookmarkStart w:id="40" w:name="_Toc5417"/>
      <w:bookmarkStart w:id="41" w:name="_Toc8836"/>
      <w:bookmarkStart w:id="42" w:name="_Toc19638"/>
      <w:r>
        <w:rPr>
          <w:rStyle w:val="18"/>
          <w:rFonts w:hint="eastAsia" w:ascii="黑体" w:hAnsi="黑体" w:eastAsia="黑体" w:cs="黑体"/>
          <w:b w:val="0"/>
          <w:bCs w:val="0"/>
          <w:i w:val="0"/>
          <w:iCs w:val="0"/>
          <w:sz w:val="44"/>
          <w:szCs w:val="44"/>
          <w:shd w:val="clear" w:fill="FFFFFF"/>
          <w:lang w:val="en-US" w:eastAsia="zh-CN"/>
        </w:rPr>
        <w:t>第二部分 2021年度部门决算情况说明</w:t>
      </w:r>
      <w:bookmarkEnd w:id="37"/>
      <w:bookmarkEnd w:id="38"/>
      <w:bookmarkEnd w:id="39"/>
      <w:bookmarkEnd w:id="40"/>
      <w:bookmarkEnd w:id="41"/>
      <w:bookmarkEnd w:id="42"/>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43" w:name="_Toc15396603"/>
      <w:bookmarkStart w:id="44" w:name="_Toc15377205"/>
      <w:bookmarkStart w:id="45" w:name="_Toc21294"/>
      <w:bookmarkStart w:id="46" w:name="_Toc26754"/>
      <w:bookmarkStart w:id="47" w:name="_Toc20744"/>
      <w:bookmarkStart w:id="48" w:name="_Toc5375"/>
      <w:bookmarkStart w:id="49" w:name="_Toc29663"/>
      <w:bookmarkStart w:id="50" w:name="_Toc4779"/>
      <w:bookmarkStart w:id="51" w:name="_Toc11755"/>
      <w:r>
        <w:rPr>
          <w:rFonts w:hint="eastAsia" w:ascii="黑体" w:hAnsi="黑体" w:eastAsia="黑体" w:cs="黑体"/>
          <w:color w:val="000000"/>
          <w:sz w:val="32"/>
          <w:szCs w:val="32"/>
          <w:lang w:val="en-US" w:eastAsia="zh-CN"/>
        </w:rPr>
        <w:t>一、收入支出决算总体情况说明</w:t>
      </w:r>
      <w:bookmarkEnd w:id="43"/>
      <w:bookmarkEnd w:id="44"/>
      <w:bookmarkEnd w:id="45"/>
      <w:bookmarkEnd w:id="46"/>
      <w:bookmarkEnd w:id="47"/>
      <w:bookmarkEnd w:id="48"/>
      <w:bookmarkEnd w:id="49"/>
      <w:bookmarkEnd w:id="50"/>
      <w:bookmarkEnd w:id="51"/>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rPr>
        <w:t>本单位本年度收入的为</w:t>
      </w:r>
      <w:r>
        <w:rPr>
          <w:rFonts w:hint="eastAsia" w:cs="宋体"/>
          <w:b w:val="0"/>
          <w:bCs w:val="0"/>
          <w:i w:val="0"/>
          <w:iCs w:val="0"/>
          <w:sz w:val="32"/>
          <w:szCs w:val="32"/>
          <w:shd w:val="clear" w:fill="FFFFFF"/>
          <w:lang w:val="en-US" w:eastAsia="zh-CN"/>
        </w:rPr>
        <w:t>962.88</w:t>
      </w:r>
      <w:r>
        <w:rPr>
          <w:rFonts w:hint="eastAsia" w:ascii="仿宋_GB2312" w:eastAsia="仿宋_GB2312" w:cs="仿宋_GB2312"/>
          <w:b w:val="0"/>
          <w:bCs w:val="0"/>
          <w:i w:val="0"/>
          <w:iCs w:val="0"/>
          <w:sz w:val="32"/>
          <w:szCs w:val="32"/>
          <w:shd w:val="clear" w:fill="FFFFFF"/>
        </w:rPr>
        <w:t>万元，上年度收入为</w:t>
      </w:r>
      <w:r>
        <w:rPr>
          <w:rFonts w:hint="eastAsia" w:cs="宋体"/>
          <w:b w:val="0"/>
          <w:bCs w:val="0"/>
          <w:i w:val="0"/>
          <w:iCs w:val="0"/>
          <w:sz w:val="32"/>
          <w:szCs w:val="32"/>
          <w:shd w:val="clear" w:fill="FFFFFF"/>
          <w:lang w:val="en-US" w:eastAsia="zh-CN"/>
        </w:rPr>
        <w:t>732.55</w:t>
      </w:r>
      <w:r>
        <w:rPr>
          <w:rFonts w:hint="eastAsia" w:ascii="仿宋_GB2312" w:eastAsia="仿宋_GB2312" w:cs="仿宋_GB2312"/>
          <w:b w:val="0"/>
          <w:bCs w:val="0"/>
          <w:i w:val="0"/>
          <w:iCs w:val="0"/>
          <w:sz w:val="32"/>
          <w:szCs w:val="32"/>
          <w:shd w:val="clear" w:fill="FFFFFF"/>
        </w:rPr>
        <w:t>万元。差异为</w:t>
      </w:r>
      <w:r>
        <w:rPr>
          <w:rFonts w:hint="eastAsia" w:cs="宋体"/>
          <w:b w:val="0"/>
          <w:bCs w:val="0"/>
          <w:i w:val="0"/>
          <w:iCs w:val="0"/>
          <w:sz w:val="32"/>
          <w:szCs w:val="32"/>
          <w:shd w:val="clear" w:fill="FFFFFF"/>
          <w:lang w:val="en-US" w:eastAsia="zh-CN"/>
        </w:rPr>
        <w:t>230.33</w:t>
      </w:r>
      <w:r>
        <w:rPr>
          <w:rFonts w:hint="eastAsia" w:ascii="仿宋_GB2312" w:eastAsia="仿宋_GB2312" w:cs="仿宋_GB2312"/>
          <w:b w:val="0"/>
          <w:bCs w:val="0"/>
          <w:i w:val="0"/>
          <w:iCs w:val="0"/>
          <w:sz w:val="32"/>
          <w:szCs w:val="32"/>
          <w:shd w:val="clear" w:fill="FFFFFF"/>
        </w:rPr>
        <w:t>万元；</w:t>
      </w:r>
      <w:r>
        <w:rPr>
          <w:rStyle w:val="18"/>
          <w:rFonts w:hint="eastAsia" w:ascii="仿宋_GB2312" w:eastAsia="仿宋_GB2312" w:cs="仿宋_GB2312"/>
          <w:b w:val="0"/>
          <w:bCs w:val="0"/>
          <w:sz w:val="32"/>
          <w:szCs w:val="32"/>
          <w:shd w:val="clear" w:fill="FFFFFF"/>
        </w:rPr>
        <w:t>主要原因为：人员和车辆新增，相应的经费增多。</w:t>
      </w:r>
      <w:r>
        <w:rPr>
          <w:rFonts w:hint="eastAsia" w:ascii="仿宋_GB2312" w:eastAsia="仿宋_GB2312" w:cs="仿宋_GB2312"/>
          <w:b w:val="0"/>
          <w:bCs w:val="0"/>
          <w:i w:val="0"/>
          <w:iCs w:val="0"/>
          <w:sz w:val="32"/>
          <w:szCs w:val="32"/>
          <w:shd w:val="clear" w:fill="FFFFFF"/>
        </w:rPr>
        <w:t>本年度支出为</w:t>
      </w:r>
      <w:r>
        <w:rPr>
          <w:rFonts w:hint="eastAsia" w:cs="宋体"/>
          <w:b w:val="0"/>
          <w:bCs w:val="0"/>
          <w:i w:val="0"/>
          <w:iCs w:val="0"/>
          <w:sz w:val="32"/>
          <w:szCs w:val="32"/>
          <w:shd w:val="clear" w:fill="FFFFFF"/>
          <w:lang w:val="en-US" w:eastAsia="zh-CN"/>
        </w:rPr>
        <w:t>962.88</w:t>
      </w:r>
      <w:r>
        <w:rPr>
          <w:rFonts w:hint="eastAsia" w:ascii="仿宋_GB2312" w:eastAsia="仿宋_GB2312" w:cs="仿宋_GB2312"/>
          <w:b w:val="0"/>
          <w:bCs w:val="0"/>
          <w:i w:val="0"/>
          <w:iCs w:val="0"/>
          <w:sz w:val="32"/>
          <w:szCs w:val="32"/>
          <w:shd w:val="clear" w:fill="FFFFFF"/>
        </w:rPr>
        <w:t>万元，上年度支出为</w:t>
      </w:r>
      <w:r>
        <w:rPr>
          <w:rFonts w:hint="eastAsia" w:cs="宋体"/>
          <w:b w:val="0"/>
          <w:bCs w:val="0"/>
          <w:i w:val="0"/>
          <w:iCs w:val="0"/>
          <w:sz w:val="32"/>
          <w:szCs w:val="32"/>
          <w:shd w:val="clear" w:fill="FFFFFF"/>
          <w:lang w:val="en-US" w:eastAsia="zh-CN"/>
        </w:rPr>
        <w:t>828.90</w:t>
      </w:r>
      <w:r>
        <w:rPr>
          <w:rFonts w:hint="eastAsia" w:ascii="仿宋_GB2312" w:eastAsia="仿宋_GB2312" w:cs="仿宋_GB2312"/>
          <w:b w:val="0"/>
          <w:bCs w:val="0"/>
          <w:i w:val="0"/>
          <w:iCs w:val="0"/>
          <w:sz w:val="32"/>
          <w:szCs w:val="32"/>
          <w:shd w:val="clear" w:fill="FFFFFF"/>
        </w:rPr>
        <w:t>万元，差异为</w:t>
      </w:r>
      <w:r>
        <w:rPr>
          <w:rFonts w:hint="eastAsia" w:cs="宋体"/>
          <w:b w:val="0"/>
          <w:bCs w:val="0"/>
          <w:i w:val="0"/>
          <w:iCs w:val="0"/>
          <w:sz w:val="32"/>
          <w:szCs w:val="32"/>
          <w:shd w:val="clear" w:fill="FFFFFF"/>
          <w:lang w:val="en-US" w:eastAsia="zh-CN"/>
        </w:rPr>
        <w:t>133.98</w:t>
      </w:r>
      <w:r>
        <w:rPr>
          <w:rFonts w:hint="eastAsia" w:ascii="仿宋_GB2312" w:eastAsia="仿宋_GB2312" w:cs="仿宋_GB2312"/>
          <w:b w:val="0"/>
          <w:bCs w:val="0"/>
          <w:i w:val="0"/>
          <w:iCs w:val="0"/>
          <w:sz w:val="32"/>
          <w:szCs w:val="32"/>
          <w:shd w:val="clear" w:fill="FFFFFF"/>
        </w:rPr>
        <w:t>万元；</w:t>
      </w:r>
      <w:r>
        <w:rPr>
          <w:rStyle w:val="18"/>
          <w:rFonts w:hint="eastAsia" w:ascii="仿宋_GB2312" w:eastAsia="仿宋_GB2312" w:cs="仿宋_GB2312"/>
          <w:b w:val="0"/>
          <w:bCs w:val="0"/>
          <w:sz w:val="32"/>
          <w:szCs w:val="32"/>
          <w:shd w:val="clear" w:fill="FFFFFF"/>
        </w:rPr>
        <w:t>主要原因为</w:t>
      </w:r>
      <w:r>
        <w:rPr>
          <w:rStyle w:val="18"/>
          <w:rFonts w:hint="eastAsia" w:ascii="仿宋_GB2312" w:eastAsia="仿宋_GB2312" w:cs="仿宋_GB2312"/>
          <w:b w:val="0"/>
          <w:bCs w:val="0"/>
          <w:sz w:val="32"/>
          <w:szCs w:val="32"/>
          <w:shd w:val="clear" w:fill="FFFFFF"/>
          <w:lang w:val="en-US" w:eastAsia="zh-CN"/>
        </w:rPr>
        <w:t>上年度</w:t>
      </w:r>
      <w:r>
        <w:rPr>
          <w:rStyle w:val="18"/>
          <w:rFonts w:hint="eastAsia" w:ascii="仿宋_GB2312" w:eastAsia="仿宋_GB2312" w:cs="仿宋_GB2312"/>
          <w:b w:val="0"/>
          <w:bCs w:val="0"/>
          <w:sz w:val="32"/>
          <w:szCs w:val="32"/>
          <w:shd w:val="clear" w:fill="FFFFFF"/>
        </w:rPr>
        <w:t>年初有结转结余资金。</w:t>
      </w:r>
      <w:r>
        <w:rPr>
          <w:rStyle w:val="18"/>
          <w:rFonts w:hint="eastAsia" w:ascii="宋体" w:hAnsi="宋体" w:eastAsia="宋体" w:cs="宋体"/>
          <w:b w:val="0"/>
          <w:bCs w:val="0"/>
          <w:sz w:val="32"/>
          <w:szCs w:val="32"/>
          <w:shd w:val="clear" w:fill="FFFFFF"/>
        </w:rPr>
        <w:t>(</w:t>
      </w:r>
      <w:r>
        <w:rPr>
          <w:rStyle w:val="18"/>
          <w:rFonts w:hint="eastAsia" w:ascii="仿宋_GB2312" w:eastAsia="仿宋_GB2312" w:cs="仿宋_GB2312"/>
          <w:b w:val="0"/>
          <w:bCs w:val="0"/>
          <w:sz w:val="32"/>
          <w:szCs w:val="32"/>
          <w:shd w:val="clear" w:fill="FFFFFF"/>
        </w:rPr>
        <w:t>可用柱形图或折线图</w:t>
      </w:r>
      <w:r>
        <w:rPr>
          <w:rStyle w:val="18"/>
          <w:rFonts w:hint="eastAsia" w:ascii="宋体" w:hAnsi="宋体" w:eastAsia="宋体" w:cs="宋体"/>
          <w:b w:val="0"/>
          <w:bCs w:val="0"/>
          <w:sz w:val="32"/>
          <w:szCs w:val="32"/>
          <w:shd w:val="clear" w:fill="FFFFFF"/>
        </w:rPr>
        <w:t>)</w:t>
      </w: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rPr>
          <w:rFonts w:hint="eastAsia" w:ascii="宋体" w:hAnsi="宋体" w:eastAsia="宋体" w:cs="宋体"/>
          <w:b w:val="0"/>
          <w:bCs w:val="0"/>
          <w:sz w:val="32"/>
          <w:szCs w:val="32"/>
          <w:shd w:val="clear" w:fill="FFFFFF"/>
        </w:rPr>
      </w:pPr>
      <w:r>
        <w:rPr>
          <w:rStyle w:val="18"/>
          <w:rFonts w:hint="eastAsia" w:ascii="宋体" w:hAnsi="宋体" w:eastAsia="宋体" w:cs="宋体"/>
          <w:b w:val="0"/>
          <w:bCs w:val="0"/>
          <w:sz w:val="32"/>
          <w:szCs w:val="32"/>
          <w:shd w:val="clear" w:fill="FFFFFF"/>
        </w:rPr>
        <w:drawing>
          <wp:anchor distT="0" distB="0" distL="114300" distR="114300" simplePos="0" relativeHeight="251659264" behindDoc="1" locked="0" layoutInCell="1" allowOverlap="1">
            <wp:simplePos x="0" y="0"/>
            <wp:positionH relativeFrom="column">
              <wp:posOffset>120650</wp:posOffset>
            </wp:positionH>
            <wp:positionV relativeFrom="paragraph">
              <wp:posOffset>164465</wp:posOffset>
            </wp:positionV>
            <wp:extent cx="4839970" cy="2755265"/>
            <wp:effectExtent l="0" t="0" r="17780" b="6985"/>
            <wp:wrapTight wrapText="bothSides">
              <wp:wrapPolygon>
                <wp:start x="0" y="0"/>
                <wp:lineTo x="0" y="21505"/>
                <wp:lineTo x="21509" y="21505"/>
                <wp:lineTo x="21509" y="0"/>
                <wp:lineTo x="0" y="0"/>
              </wp:wrapPolygon>
            </wp:wrapTight>
            <wp:docPr id="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图片1"/>
                    <pic:cNvPicPr>
                      <a:picLocks noChangeAspect="1"/>
                    </pic:cNvPicPr>
                  </pic:nvPicPr>
                  <pic:blipFill>
                    <a:blip r:embed="rId6"/>
                    <a:stretch>
                      <a:fillRect/>
                    </a:stretch>
                  </pic:blipFill>
                  <pic:spPr>
                    <a:xfrm>
                      <a:off x="0" y="0"/>
                      <a:ext cx="4839970" cy="2755265"/>
                    </a:xfrm>
                    <a:prstGeom prst="rect">
                      <a:avLst/>
                    </a:prstGeom>
                    <a:noFill/>
                    <a:ln>
                      <a:noFill/>
                    </a:ln>
                  </pic:spPr>
                </pic:pic>
              </a:graphicData>
            </a:graphic>
          </wp:anchor>
        </w:drawing>
      </w:r>
      <w:r>
        <w:rPr>
          <w:rStyle w:val="18"/>
          <w:rFonts w:hint="eastAsia" w:cs="宋体"/>
          <w:b w:val="0"/>
          <w:bCs w:val="0"/>
          <w:sz w:val="32"/>
          <w:szCs w:val="32"/>
          <w:shd w:val="clear" w:fill="FFFFFF"/>
          <w:lang w:val="en-US" w:eastAsia="zh-CN"/>
        </w:rPr>
        <w:t xml:space="preserve"> </w:t>
      </w:r>
      <w:r>
        <w:rPr>
          <w:rStyle w:val="18"/>
          <w:rFonts w:hint="eastAsia" w:ascii="宋体" w:hAnsi="宋体" w:eastAsia="宋体" w:cs="宋体"/>
          <w:b w:val="0"/>
          <w:bCs w:val="0"/>
          <w:sz w:val="32"/>
          <w:szCs w:val="32"/>
          <w:shd w:val="clear" w:fill="FFFFFF"/>
        </w:rPr>
        <w:t xml:space="preserve"> </w:t>
      </w: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t xml:space="preserve"> </w:t>
      </w: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ind w:firstLine="480" w:firstLineChars="200"/>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rPr>
          <w:rFonts w:hint="eastAsia" w:ascii="宋体" w:hAnsi="宋体" w:eastAsia="宋体" w:cs="宋体"/>
          <w:b w:val="0"/>
          <w:bCs w:val="0"/>
          <w:i w:val="0"/>
          <w:iCs w:val="0"/>
          <w:sz w:val="24"/>
          <w:szCs w:val="24"/>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（图1：收、支决算总计变动情况图）（柱状图）</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52" w:name="_Toc15377206"/>
      <w:bookmarkStart w:id="53" w:name="_Toc30303"/>
      <w:bookmarkStart w:id="54" w:name="_Toc15396604"/>
      <w:bookmarkStart w:id="55" w:name="_Toc21895"/>
      <w:bookmarkStart w:id="56" w:name="_Toc32537"/>
      <w:bookmarkStart w:id="57" w:name="_Toc18032"/>
      <w:bookmarkStart w:id="58" w:name="_Toc26568"/>
      <w:bookmarkStart w:id="59" w:name="_Toc19840"/>
      <w:bookmarkStart w:id="60" w:name="_Toc3599"/>
      <w:r>
        <w:rPr>
          <w:rFonts w:hint="eastAsia" w:ascii="黑体" w:hAnsi="黑体" w:eastAsia="黑体" w:cs="黑体"/>
          <w:color w:val="000000"/>
          <w:sz w:val="32"/>
          <w:szCs w:val="32"/>
          <w:lang w:val="en-US" w:eastAsia="zh-CN"/>
        </w:rPr>
        <w:t>二、收入决算情况说明</w:t>
      </w:r>
      <w:bookmarkEnd w:id="52"/>
      <w:bookmarkEnd w:id="53"/>
      <w:bookmarkEnd w:id="54"/>
      <w:bookmarkEnd w:id="55"/>
      <w:bookmarkEnd w:id="56"/>
      <w:bookmarkEnd w:id="57"/>
      <w:bookmarkEnd w:id="58"/>
      <w:bookmarkEnd w:id="59"/>
      <w:bookmarkEnd w:id="60"/>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40" w:firstLineChars="200"/>
        <w:rPr>
          <w:rFonts w:hint="eastAsia" w:ascii="仿宋_GB2312" w:hAnsi="仿宋_GB2312" w:eastAsia="仿宋_GB2312" w:cs="仿宋_GB2312"/>
          <w:color w:val="000000"/>
          <w:sz w:val="30"/>
          <w:szCs w:val="30"/>
          <w:lang w:eastAsia="zh-CN"/>
        </w:rPr>
      </w:pPr>
      <w:r>
        <w:rPr>
          <w:rFonts w:hint="eastAsia" w:ascii="仿宋_GB2312" w:eastAsia="仿宋_GB2312" w:cs="仿宋_GB2312"/>
          <w:b w:val="0"/>
          <w:bCs w:val="0"/>
          <w:sz w:val="32"/>
          <w:szCs w:val="32"/>
          <w:shd w:val="clear" w:fill="FFFFFF"/>
        </w:rPr>
        <w:t>（</w:t>
      </w:r>
      <w:r>
        <w:rPr>
          <w:rFonts w:hint="eastAsia" w:ascii="宋体" w:hAnsi="宋体" w:eastAsia="宋体" w:cs="宋体"/>
          <w:b w:val="0"/>
          <w:bCs w:val="0"/>
          <w:sz w:val="32"/>
          <w:szCs w:val="32"/>
          <w:shd w:val="clear" w:fill="FFFFFF"/>
        </w:rPr>
        <w:t>1</w:t>
      </w:r>
      <w:r>
        <w:rPr>
          <w:rFonts w:hint="eastAsia" w:ascii="仿宋_GB2312" w:eastAsia="仿宋_GB2312" w:cs="仿宋_GB2312"/>
          <w:b w:val="0"/>
          <w:bCs w:val="0"/>
          <w:sz w:val="32"/>
          <w:szCs w:val="32"/>
          <w:shd w:val="clear" w:fill="FFFFFF"/>
        </w:rPr>
        <w:t>）本单位本年度总收入为</w:t>
      </w:r>
      <w:r>
        <w:rPr>
          <w:rFonts w:hint="eastAsia" w:ascii="宋体" w:hAnsi="宋体" w:eastAsia="宋体" w:cs="宋体"/>
          <w:b w:val="0"/>
          <w:bCs w:val="0"/>
          <w:sz w:val="32"/>
          <w:szCs w:val="32"/>
          <w:shd w:val="clear" w:fill="FFFFFF"/>
        </w:rPr>
        <w:t>962.88</w:t>
      </w:r>
      <w:r>
        <w:rPr>
          <w:rFonts w:hint="eastAsia" w:ascii="仿宋_GB2312" w:eastAsia="仿宋_GB2312" w:cs="仿宋_GB2312"/>
          <w:b w:val="0"/>
          <w:bCs w:val="0"/>
          <w:sz w:val="32"/>
          <w:szCs w:val="32"/>
          <w:shd w:val="clear" w:fill="FFFFFF"/>
        </w:rPr>
        <w:t>万元。其中：一般公共预算财政拨款收入为</w:t>
      </w:r>
      <w:r>
        <w:rPr>
          <w:rFonts w:hint="eastAsia" w:ascii="宋体" w:hAnsi="宋体" w:eastAsia="宋体" w:cs="宋体"/>
          <w:b w:val="0"/>
          <w:bCs w:val="0"/>
          <w:sz w:val="32"/>
          <w:szCs w:val="32"/>
          <w:shd w:val="clear" w:fill="FFFFFF"/>
        </w:rPr>
        <w:t>962.88</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100.00%</w:t>
      </w:r>
      <w:r>
        <w:rPr>
          <w:rFonts w:hint="eastAsia" w:ascii="仿宋_GB2312" w:eastAsia="仿宋_GB2312" w:cs="仿宋_GB2312"/>
          <w:b w:val="0"/>
          <w:bCs w:val="0"/>
          <w:sz w:val="32"/>
          <w:szCs w:val="32"/>
          <w:shd w:val="clear" w:fill="FFFFFF"/>
        </w:rPr>
        <w:t>；政府性基金预算财政拨款收入为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；国有资本经营预算财政拨款收入为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；上级补助收入为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；事业收入为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；经营收入为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；附属单位上缴收入为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；其他收入为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w:t>
      </w: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eastAsia="zh-CN"/>
        </w:rPr>
        <w:drawing>
          <wp:anchor distT="0" distB="0" distL="114300" distR="114300" simplePos="0" relativeHeight="251660288" behindDoc="1" locked="0" layoutInCell="1" allowOverlap="1">
            <wp:simplePos x="0" y="0"/>
            <wp:positionH relativeFrom="column">
              <wp:posOffset>127000</wp:posOffset>
            </wp:positionH>
            <wp:positionV relativeFrom="paragraph">
              <wp:posOffset>25400</wp:posOffset>
            </wp:positionV>
            <wp:extent cx="4769485" cy="2715260"/>
            <wp:effectExtent l="0" t="0" r="12065" b="8890"/>
            <wp:wrapTight wrapText="bothSides">
              <wp:wrapPolygon>
                <wp:start x="0" y="0"/>
                <wp:lineTo x="0" y="21519"/>
                <wp:lineTo x="21482" y="21519"/>
                <wp:lineTo x="21482" y="0"/>
                <wp:lineTo x="0" y="0"/>
              </wp:wrapPolygon>
            </wp:wrapTight>
            <wp:docPr id="2" name="图片 12" descr="收入决算情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收入决算情况1"/>
                    <pic:cNvPicPr>
                      <a:picLocks noChangeAspect="1"/>
                    </pic:cNvPicPr>
                  </pic:nvPicPr>
                  <pic:blipFill>
                    <a:blip r:embed="rId7"/>
                    <a:stretch>
                      <a:fillRect/>
                    </a:stretch>
                  </pic:blipFill>
                  <pic:spPr>
                    <a:xfrm>
                      <a:off x="0" y="0"/>
                      <a:ext cx="4769485" cy="2715260"/>
                    </a:xfrm>
                    <a:prstGeom prst="rect">
                      <a:avLst/>
                    </a:prstGeom>
                    <a:noFill/>
                    <a:ln>
                      <a:noFill/>
                    </a:ln>
                  </pic:spPr>
                </pic:pic>
              </a:graphicData>
            </a:graphic>
          </wp:anchor>
        </w:drawing>
      </w: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仿宋_GB2312" w:hAnsi="仿宋_GB2312" w:eastAsia="仿宋_GB2312" w:cs="仿宋_GB2312"/>
          <w:color w:val="000000"/>
          <w:sz w:val="30"/>
          <w:szCs w:val="30"/>
        </w:rPr>
      </w:pP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ind w:firstLine="600" w:firstLineChars="200"/>
        <w:rPr>
          <w:rFonts w:hint="eastAsia" w:ascii="宋体" w:hAnsi="宋体" w:eastAsia="宋体" w:cs="宋体"/>
          <w:b w:val="0"/>
          <w:bCs w:val="0"/>
          <w:sz w:val="32"/>
          <w:szCs w:val="32"/>
          <w:shd w:val="clear" w:fill="FFFFFF"/>
        </w:rPr>
      </w:pPr>
      <w:r>
        <w:rPr>
          <w:rFonts w:hint="eastAsia" w:ascii="仿宋_GB2312" w:hAnsi="仿宋_GB2312" w:eastAsia="仿宋_GB2312" w:cs="仿宋_GB2312"/>
          <w:color w:val="000000"/>
          <w:sz w:val="30"/>
          <w:szCs w:val="30"/>
        </w:rPr>
        <w:t>（图2：收入决算结构图</w:t>
      </w:r>
      <w:r>
        <w:rPr>
          <w:rStyle w:val="18"/>
          <w:rFonts w:hint="eastAsia" w:ascii="宋体" w:hAnsi="宋体" w:eastAsia="宋体" w:cs="宋体"/>
          <w:b w:val="0"/>
          <w:bCs w:val="0"/>
          <w:sz w:val="32"/>
          <w:szCs w:val="32"/>
          <w:shd w:val="clear" w:fill="FFFFFF"/>
        </w:rPr>
        <w:t>(</w:t>
      </w:r>
      <w:r>
        <w:rPr>
          <w:rStyle w:val="18"/>
          <w:rFonts w:hint="eastAsia" w:ascii="仿宋_GB2312" w:eastAsia="仿宋_GB2312" w:cs="仿宋_GB2312"/>
          <w:b w:val="0"/>
          <w:bCs w:val="0"/>
          <w:sz w:val="32"/>
          <w:szCs w:val="32"/>
          <w:shd w:val="clear" w:fill="FFFFFF"/>
        </w:rPr>
        <w:t>可用柱形图或折线图</w:t>
      </w:r>
      <w:r>
        <w:rPr>
          <w:rStyle w:val="18"/>
          <w:rFonts w:hint="eastAsia" w:ascii="宋体" w:hAnsi="宋体" w:eastAsia="宋体" w:cs="宋体"/>
          <w:b w:val="0"/>
          <w:bCs w:val="0"/>
          <w:sz w:val="32"/>
          <w:szCs w:val="32"/>
          <w:shd w:val="clear" w:fill="FFFFFF"/>
        </w:rPr>
        <w:t>)</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61" w:name="_Toc18367"/>
      <w:bookmarkStart w:id="62" w:name="_Toc12631"/>
      <w:bookmarkStart w:id="63" w:name="_Toc15377207"/>
      <w:bookmarkStart w:id="64" w:name="_Toc15396605"/>
      <w:bookmarkStart w:id="65" w:name="_Toc6236"/>
      <w:bookmarkStart w:id="66" w:name="_Toc29452"/>
      <w:bookmarkStart w:id="67" w:name="_Toc4210"/>
      <w:bookmarkStart w:id="68" w:name="_Toc4309"/>
      <w:bookmarkStart w:id="69" w:name="_Toc14539"/>
      <w:r>
        <w:rPr>
          <w:rFonts w:hint="eastAsia" w:ascii="黑体" w:hAnsi="黑体" w:eastAsia="黑体" w:cs="黑体"/>
          <w:color w:val="000000"/>
          <w:sz w:val="32"/>
          <w:szCs w:val="32"/>
          <w:lang w:val="en-US" w:eastAsia="zh-CN"/>
        </w:rPr>
        <w:t>三、支出决算情况说明</w:t>
      </w:r>
      <w:bookmarkEnd w:id="61"/>
      <w:bookmarkEnd w:id="62"/>
      <w:bookmarkEnd w:id="63"/>
      <w:bookmarkEnd w:id="64"/>
      <w:bookmarkEnd w:id="65"/>
      <w:bookmarkEnd w:id="66"/>
      <w:bookmarkEnd w:id="67"/>
      <w:bookmarkEnd w:id="68"/>
      <w:bookmarkEnd w:id="69"/>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仿宋_GB2312" w:hAnsi="仿宋_GB2312" w:eastAsia="仿宋_GB2312" w:cs="仿宋_GB2312"/>
          <w:color w:val="000000"/>
          <w:sz w:val="30"/>
          <w:szCs w:val="30"/>
        </w:rPr>
      </w:pPr>
      <w:r>
        <w:rPr>
          <w:rFonts w:hint="eastAsia" w:ascii="仿宋_GB2312" w:eastAsia="仿宋_GB2312" w:cs="仿宋_GB2312"/>
          <w:b w:val="0"/>
          <w:bCs w:val="0"/>
          <w:sz w:val="32"/>
          <w:szCs w:val="32"/>
          <w:shd w:val="clear" w:fill="FFFFFF"/>
        </w:rPr>
        <w:t>本年度总支出为</w:t>
      </w:r>
      <w:r>
        <w:rPr>
          <w:rFonts w:hint="eastAsia" w:ascii="宋体" w:hAnsi="宋体" w:eastAsia="宋体" w:cs="宋体"/>
          <w:b w:val="0"/>
          <w:bCs w:val="0"/>
          <w:sz w:val="32"/>
          <w:szCs w:val="32"/>
          <w:shd w:val="clear" w:fill="FFFFFF"/>
        </w:rPr>
        <w:t>1,340.49</w:t>
      </w:r>
      <w:r>
        <w:rPr>
          <w:rFonts w:hint="eastAsia" w:ascii="仿宋_GB2312" w:eastAsia="仿宋_GB2312" w:cs="仿宋_GB2312"/>
          <w:b w:val="0"/>
          <w:bCs w:val="0"/>
          <w:sz w:val="32"/>
          <w:szCs w:val="32"/>
          <w:shd w:val="clear" w:fill="FFFFFF"/>
        </w:rPr>
        <w:t>万元。其中：一般公共服务支出为</w:t>
      </w:r>
      <w:r>
        <w:rPr>
          <w:rFonts w:hint="eastAsia" w:ascii="宋体" w:hAnsi="宋体" w:eastAsia="宋体" w:cs="宋体"/>
          <w:b w:val="0"/>
          <w:bCs w:val="0"/>
          <w:sz w:val="32"/>
          <w:szCs w:val="32"/>
          <w:shd w:val="clear" w:fill="FFFFFF"/>
        </w:rPr>
        <w:t>712.61</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74.00%</w:t>
      </w:r>
      <w:r>
        <w:rPr>
          <w:rFonts w:hint="eastAsia" w:ascii="仿宋_GB2312" w:eastAsia="仿宋_GB2312" w:cs="仿宋_GB2312"/>
          <w:b w:val="0"/>
          <w:bCs w:val="0"/>
          <w:sz w:val="32"/>
          <w:szCs w:val="32"/>
          <w:shd w:val="clear" w:fill="FFFFFF"/>
        </w:rPr>
        <w:t>；文化旅游体育与传媒支出为</w:t>
      </w:r>
      <w:r>
        <w:rPr>
          <w:rFonts w:hint="eastAsia" w:ascii="宋体" w:hAnsi="宋体" w:eastAsia="宋体" w:cs="宋体"/>
          <w:b w:val="0"/>
          <w:bCs w:val="0"/>
          <w:sz w:val="32"/>
          <w:szCs w:val="32"/>
          <w:shd w:val="clear" w:fill="FFFFFF"/>
        </w:rPr>
        <w:t>5.00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0.52%</w:t>
      </w:r>
      <w:r>
        <w:rPr>
          <w:rFonts w:hint="eastAsia" w:ascii="仿宋_GB2312" w:eastAsia="仿宋_GB2312" w:cs="仿宋_GB2312"/>
          <w:b w:val="0"/>
          <w:bCs w:val="0"/>
          <w:sz w:val="32"/>
          <w:szCs w:val="32"/>
          <w:shd w:val="clear" w:fill="FFFFFF"/>
        </w:rPr>
        <w:t>；社会保障和就业支出为</w:t>
      </w:r>
      <w:r>
        <w:rPr>
          <w:rFonts w:hint="eastAsia" w:ascii="宋体" w:hAnsi="宋体" w:eastAsia="宋体" w:cs="宋体"/>
          <w:b w:val="0"/>
          <w:bCs w:val="0"/>
          <w:sz w:val="32"/>
          <w:szCs w:val="32"/>
          <w:shd w:val="clear" w:fill="FFFFFF"/>
        </w:rPr>
        <w:t>79.95</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8.30%</w:t>
      </w:r>
      <w:r>
        <w:rPr>
          <w:rFonts w:hint="eastAsia" w:ascii="仿宋_GB2312" w:eastAsia="仿宋_GB2312" w:cs="仿宋_GB2312"/>
          <w:b w:val="0"/>
          <w:bCs w:val="0"/>
          <w:sz w:val="32"/>
          <w:szCs w:val="32"/>
          <w:shd w:val="clear" w:fill="FFFFFF"/>
        </w:rPr>
        <w:t>；卫生健康支出为</w:t>
      </w:r>
      <w:r>
        <w:rPr>
          <w:rFonts w:hint="eastAsia" w:ascii="宋体" w:hAnsi="宋体" w:eastAsia="宋体" w:cs="宋体"/>
          <w:b w:val="0"/>
          <w:bCs w:val="0"/>
          <w:sz w:val="32"/>
          <w:szCs w:val="32"/>
          <w:shd w:val="clear" w:fill="FFFFFF"/>
        </w:rPr>
        <w:t>36.49</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3.79%</w:t>
      </w:r>
      <w:r>
        <w:rPr>
          <w:rFonts w:hint="eastAsia" w:ascii="仿宋_GB2312" w:eastAsia="仿宋_GB2312" w:cs="仿宋_GB2312"/>
          <w:b w:val="0"/>
          <w:bCs w:val="0"/>
          <w:sz w:val="32"/>
          <w:szCs w:val="32"/>
          <w:shd w:val="clear" w:fill="FFFFFF"/>
        </w:rPr>
        <w:t>；城乡社区支出为</w:t>
      </w:r>
      <w:r>
        <w:rPr>
          <w:rFonts w:hint="eastAsia" w:ascii="宋体" w:hAnsi="宋体" w:eastAsia="宋体" w:cs="宋体"/>
          <w:b w:val="0"/>
          <w:bCs w:val="0"/>
          <w:sz w:val="32"/>
          <w:szCs w:val="32"/>
          <w:shd w:val="clear" w:fill="FFFFFF"/>
        </w:rPr>
        <w:t>8.00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0.83%</w:t>
      </w:r>
      <w:r>
        <w:rPr>
          <w:rFonts w:hint="eastAsia" w:ascii="仿宋_GB2312" w:eastAsia="仿宋_GB2312" w:cs="仿宋_GB2312"/>
          <w:b w:val="0"/>
          <w:bCs w:val="0"/>
          <w:sz w:val="32"/>
          <w:szCs w:val="32"/>
          <w:shd w:val="clear" w:fill="FFFFFF"/>
        </w:rPr>
        <w:t>；农林水支出为</w:t>
      </w:r>
      <w:r>
        <w:rPr>
          <w:rFonts w:hint="eastAsia" w:ascii="宋体" w:hAnsi="宋体" w:eastAsia="宋体" w:cs="宋体"/>
          <w:b w:val="0"/>
          <w:bCs w:val="0"/>
          <w:sz w:val="32"/>
          <w:szCs w:val="32"/>
          <w:shd w:val="clear" w:fill="FFFFFF"/>
        </w:rPr>
        <w:t>61.31</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6.37%</w:t>
      </w:r>
      <w:r>
        <w:rPr>
          <w:rFonts w:hint="eastAsia" w:ascii="仿宋_GB2312" w:eastAsia="仿宋_GB2312" w:cs="仿宋_GB2312"/>
          <w:b w:val="0"/>
          <w:bCs w:val="0"/>
          <w:sz w:val="32"/>
          <w:szCs w:val="32"/>
          <w:shd w:val="clear" w:fill="FFFFFF"/>
        </w:rPr>
        <w:t>；住房保障支出为</w:t>
      </w:r>
      <w:r>
        <w:rPr>
          <w:rFonts w:hint="eastAsia" w:ascii="宋体" w:hAnsi="宋体" w:eastAsia="宋体" w:cs="宋体"/>
          <w:b w:val="0"/>
          <w:bCs w:val="0"/>
          <w:sz w:val="32"/>
          <w:szCs w:val="32"/>
          <w:shd w:val="clear" w:fill="FFFFFF"/>
        </w:rPr>
        <w:t>59.52</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6.18%</w:t>
      </w:r>
      <w:r>
        <w:rPr>
          <w:rFonts w:hint="eastAsia" w:ascii="宋体" w:hAnsi="宋体" w:eastAsia="宋体" w:cs="宋体"/>
          <w:b w:val="0"/>
          <w:bCs w:val="0"/>
          <w:sz w:val="32"/>
          <w:szCs w:val="32"/>
          <w:shd w:val="clear" w:fill="FFFFFF"/>
          <w:lang w:eastAsia="zh-CN"/>
        </w:rPr>
        <w:t>。</w:t>
      </w:r>
    </w:p>
    <w:p>
      <w:pPr>
        <w:pageBreakBefore w:val="0"/>
        <w:kinsoku/>
        <w:wordWrap/>
        <w:overflowPunct/>
        <w:topLinePunct w:val="0"/>
        <w:bidi w:val="0"/>
        <w:spacing w:line="560" w:lineRule="exact"/>
        <w:jc w:val="center"/>
        <w:rPr>
          <w:rFonts w:hint="eastAsia" w:ascii="仿宋_GB2312" w:hAnsi="仿宋_GB2312" w:eastAsia="仿宋_GB2312" w:cs="仿宋_GB2312"/>
          <w:color w:val="000000"/>
          <w:sz w:val="30"/>
          <w:szCs w:val="30"/>
        </w:rPr>
      </w:pPr>
      <w:r>
        <w:rPr>
          <w:rStyle w:val="18"/>
          <w:rFonts w:hint="eastAsia" w:ascii="仿宋_GB2312" w:eastAsia="仿宋_GB2312" w:cs="仿宋_GB2312"/>
          <w:b/>
          <w:bCs/>
          <w:sz w:val="32"/>
          <w:szCs w:val="32"/>
          <w:shd w:val="clear" w:fill="FFFFFF"/>
          <w:lang w:eastAsia="zh-CN"/>
        </w:rPr>
        <w:drawing>
          <wp:anchor distT="0" distB="0" distL="114300" distR="114300" simplePos="0" relativeHeight="251661312" behindDoc="1" locked="0" layoutInCell="1" allowOverlap="1">
            <wp:simplePos x="0" y="0"/>
            <wp:positionH relativeFrom="column">
              <wp:posOffset>243840</wp:posOffset>
            </wp:positionH>
            <wp:positionV relativeFrom="paragraph">
              <wp:posOffset>260350</wp:posOffset>
            </wp:positionV>
            <wp:extent cx="4759960" cy="2710180"/>
            <wp:effectExtent l="0" t="0" r="2540" b="13970"/>
            <wp:wrapTight wrapText="bothSides">
              <wp:wrapPolygon>
                <wp:start x="0" y="0"/>
                <wp:lineTo x="0" y="21408"/>
                <wp:lineTo x="21525" y="21408"/>
                <wp:lineTo x="21525" y="0"/>
                <wp:lineTo x="0" y="0"/>
              </wp:wrapPolygon>
            </wp:wrapTight>
            <wp:docPr id="3" name="图片 13" descr="支出决算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descr="支出决算情况"/>
                    <pic:cNvPicPr>
                      <a:picLocks noChangeAspect="1"/>
                    </pic:cNvPicPr>
                  </pic:nvPicPr>
                  <pic:blipFill>
                    <a:blip r:embed="rId8"/>
                    <a:stretch>
                      <a:fillRect/>
                    </a:stretch>
                  </pic:blipFill>
                  <pic:spPr>
                    <a:xfrm>
                      <a:off x="0" y="0"/>
                      <a:ext cx="4759960" cy="2710180"/>
                    </a:xfrm>
                    <a:prstGeom prst="rect">
                      <a:avLst/>
                    </a:prstGeom>
                    <a:noFill/>
                    <a:ln>
                      <a:noFill/>
                    </a:ln>
                  </pic:spPr>
                </pic:pic>
              </a:graphicData>
            </a:graphic>
          </wp:anchor>
        </w:drawing>
      </w:r>
    </w:p>
    <w:p>
      <w:pPr>
        <w:pageBreakBefore w:val="0"/>
        <w:kinsoku/>
        <w:wordWrap/>
        <w:overflowPunct/>
        <w:topLinePunct w:val="0"/>
        <w:bidi w:val="0"/>
        <w:spacing w:line="560" w:lineRule="exact"/>
        <w:jc w:val="both"/>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jc w:val="center"/>
        <w:rPr>
          <w:rStyle w:val="18"/>
          <w:rFonts w:hint="eastAsia" w:ascii="仿宋_GB2312" w:eastAsia="仿宋_GB2312" w:cs="仿宋_GB2312"/>
          <w:b/>
          <w:bCs/>
          <w:sz w:val="32"/>
          <w:szCs w:val="32"/>
          <w:shd w:val="clear" w:fill="FFFFFF"/>
          <w:lang w:eastAsia="zh-CN"/>
        </w:rPr>
      </w:pPr>
      <w:r>
        <w:rPr>
          <w:rFonts w:hint="eastAsia" w:ascii="仿宋_GB2312" w:hAnsi="仿宋_GB2312" w:eastAsia="仿宋_GB2312" w:cs="仿宋_GB2312"/>
          <w:color w:val="000000"/>
          <w:sz w:val="30"/>
          <w:szCs w:val="30"/>
        </w:rPr>
        <w:t>（图3：支出决算结构图）（饼状图）</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70" w:name="_Toc15377208"/>
      <w:bookmarkStart w:id="71" w:name="_Toc11941"/>
      <w:bookmarkStart w:id="72" w:name="_Toc13365"/>
      <w:bookmarkStart w:id="73" w:name="_Toc15831"/>
      <w:bookmarkStart w:id="74" w:name="_Toc15396606"/>
      <w:bookmarkStart w:id="75" w:name="_Toc13852"/>
      <w:bookmarkStart w:id="76" w:name="_Toc26548"/>
      <w:bookmarkStart w:id="77" w:name="_Toc27212"/>
      <w:bookmarkStart w:id="78" w:name="_Toc5073"/>
      <w:r>
        <w:rPr>
          <w:rFonts w:hint="eastAsia" w:ascii="黑体" w:hAnsi="黑体" w:eastAsia="黑体" w:cs="黑体"/>
          <w:color w:val="000000"/>
          <w:sz w:val="32"/>
          <w:szCs w:val="32"/>
          <w:lang w:val="en-US" w:eastAsia="zh-CN"/>
        </w:rPr>
        <w:t>四、财政拨款收入支出决算总体情况说明</w:t>
      </w:r>
      <w:bookmarkEnd w:id="70"/>
      <w:bookmarkEnd w:id="71"/>
      <w:bookmarkEnd w:id="72"/>
      <w:bookmarkEnd w:id="73"/>
      <w:bookmarkEnd w:id="74"/>
      <w:bookmarkEnd w:id="75"/>
      <w:bookmarkEnd w:id="76"/>
      <w:bookmarkEnd w:id="77"/>
      <w:bookmarkEnd w:id="78"/>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firstLine="640" w:firstLineChars="200"/>
        <w:jc w:val="left"/>
        <w:rPr>
          <w:rStyle w:val="18"/>
          <w:rFonts w:hint="eastAsia" w:ascii="仿宋_GB2312" w:eastAsia="仿宋_GB2312" w:cs="仿宋_GB2312"/>
          <w:b w:val="0"/>
          <w:bCs w:val="0"/>
          <w:sz w:val="32"/>
          <w:szCs w:val="32"/>
          <w:shd w:val="clear" w:fill="FFFFFF"/>
        </w:rPr>
      </w:pPr>
      <w:r>
        <w:rPr>
          <w:rFonts w:hint="eastAsia" w:ascii="仿宋_GB2312" w:hAnsi="宋体" w:eastAsia="仿宋_GB2312" w:cs="仿宋_GB2312"/>
          <w:b w:val="0"/>
          <w:bCs w:val="0"/>
          <w:i w:val="0"/>
          <w:iCs w:val="0"/>
          <w:sz w:val="32"/>
          <w:szCs w:val="32"/>
          <w:shd w:val="clear" w:fill="FFFFFF"/>
          <w:lang w:val="en-US" w:eastAsia="zh-CN"/>
        </w:rPr>
        <w:t>本单位本年度</w:t>
      </w:r>
      <w:r>
        <w:rPr>
          <w:rFonts w:hint="eastAsia" w:ascii="仿宋_GB2312" w:hAnsi="宋体" w:eastAsia="仿宋_GB2312" w:cs="仿宋_GB2312"/>
          <w:b w:val="0"/>
          <w:bCs w:val="0"/>
          <w:i w:val="0"/>
          <w:iCs w:val="0"/>
          <w:sz w:val="32"/>
          <w:szCs w:val="32"/>
          <w:shd w:val="clear" w:fill="FFFFFF"/>
        </w:rPr>
        <w:t>财政拨款收入总计</w:t>
      </w:r>
      <w:r>
        <w:rPr>
          <w:rFonts w:hint="eastAsia" w:ascii="仿宋_GB2312" w:hAnsi="宋体" w:eastAsia="仿宋_GB2312" w:cs="仿宋_GB2312"/>
          <w:b w:val="0"/>
          <w:bCs w:val="0"/>
          <w:i w:val="0"/>
          <w:iCs w:val="0"/>
          <w:sz w:val="32"/>
          <w:szCs w:val="32"/>
          <w:shd w:val="clear" w:fill="FFFFFF"/>
          <w:lang w:val="en-US" w:eastAsia="zh-CN"/>
        </w:rPr>
        <w:t>962.88</w:t>
      </w:r>
      <w:r>
        <w:rPr>
          <w:rFonts w:hint="eastAsia" w:ascii="仿宋_GB2312" w:hAnsi="宋体" w:eastAsia="仿宋_GB2312" w:cs="仿宋_GB2312"/>
          <w:b w:val="0"/>
          <w:bCs w:val="0"/>
          <w:i w:val="0"/>
          <w:iCs w:val="0"/>
          <w:sz w:val="32"/>
          <w:szCs w:val="32"/>
          <w:shd w:val="clear" w:fill="FFFFFF"/>
        </w:rPr>
        <w:t>万元</w:t>
      </w:r>
      <w:r>
        <w:rPr>
          <w:rFonts w:hint="eastAsia" w:ascii="仿宋_GB2312" w:hAnsi="宋体" w:eastAsia="仿宋_GB2312" w:cs="仿宋_GB2312"/>
          <w:b w:val="0"/>
          <w:bCs w:val="0"/>
          <w:i w:val="0"/>
          <w:iCs w:val="0"/>
          <w:sz w:val="32"/>
          <w:szCs w:val="32"/>
          <w:shd w:val="clear" w:fill="FFFFFF"/>
          <w:lang w:eastAsia="zh-CN"/>
        </w:rPr>
        <w:t>，</w:t>
      </w:r>
      <w:r>
        <w:rPr>
          <w:rFonts w:hint="eastAsia" w:ascii="仿宋_GB2312" w:hAnsi="宋体" w:eastAsia="仿宋_GB2312" w:cs="仿宋_GB2312"/>
          <w:b w:val="0"/>
          <w:bCs w:val="0"/>
          <w:i w:val="0"/>
          <w:iCs w:val="0"/>
          <w:sz w:val="32"/>
          <w:szCs w:val="32"/>
          <w:shd w:val="clear" w:fill="FFFFFF"/>
          <w:lang w:val="en-US" w:eastAsia="zh-CN"/>
        </w:rPr>
        <w:t>与</w:t>
      </w:r>
      <w:r>
        <w:rPr>
          <w:rFonts w:hint="eastAsia" w:ascii="仿宋_GB2312" w:eastAsia="仿宋_GB2312" w:cs="仿宋_GB2312"/>
          <w:b w:val="0"/>
          <w:bCs w:val="0"/>
          <w:i w:val="0"/>
          <w:iCs w:val="0"/>
          <w:sz w:val="32"/>
          <w:szCs w:val="32"/>
          <w:shd w:val="clear" w:fill="FFFFFF"/>
        </w:rPr>
        <w:t>上年</w:t>
      </w:r>
      <w:r>
        <w:rPr>
          <w:rFonts w:hint="eastAsia" w:ascii="仿宋_GB2312" w:eastAsia="仿宋_GB2312" w:cs="仿宋_GB2312"/>
          <w:b w:val="0"/>
          <w:bCs w:val="0"/>
          <w:i w:val="0"/>
          <w:iCs w:val="0"/>
          <w:sz w:val="32"/>
          <w:szCs w:val="32"/>
          <w:shd w:val="clear" w:fill="FFFFFF"/>
          <w:lang w:val="en-US" w:eastAsia="zh-CN"/>
        </w:rPr>
        <w:t>相比，收入增加</w:t>
      </w:r>
      <w:r>
        <w:rPr>
          <w:rFonts w:hint="eastAsia" w:cs="宋体"/>
          <w:b w:val="0"/>
          <w:bCs w:val="0"/>
          <w:i w:val="0"/>
          <w:iCs w:val="0"/>
          <w:sz w:val="32"/>
          <w:szCs w:val="32"/>
          <w:shd w:val="clear" w:fill="FFFFFF"/>
          <w:lang w:val="en-US" w:eastAsia="zh-CN"/>
        </w:rPr>
        <w:t>230.33</w:t>
      </w:r>
      <w:r>
        <w:rPr>
          <w:rFonts w:hint="eastAsia" w:ascii="仿宋_GB2312" w:eastAsia="仿宋_GB2312" w:cs="仿宋_GB2312"/>
          <w:b w:val="0"/>
          <w:bCs w:val="0"/>
          <w:i w:val="0"/>
          <w:iCs w:val="0"/>
          <w:sz w:val="32"/>
          <w:szCs w:val="32"/>
          <w:shd w:val="clear" w:fill="FFFFFF"/>
        </w:rPr>
        <w:t>万元</w:t>
      </w:r>
      <w:r>
        <w:rPr>
          <w:rFonts w:hint="eastAsia" w:ascii="仿宋_GB2312" w:eastAsia="仿宋_GB2312" w:cs="仿宋_GB2312"/>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lang w:val="en-US" w:eastAsia="zh-CN"/>
        </w:rPr>
        <w:t>增加31.44%</w:t>
      </w:r>
      <w:r>
        <w:rPr>
          <w:rFonts w:hint="eastAsia" w:ascii="仿宋_GB2312" w:eastAsia="仿宋_GB2312" w:cs="仿宋_GB2312"/>
          <w:b w:val="0"/>
          <w:bCs w:val="0"/>
          <w:i w:val="0"/>
          <w:iCs w:val="0"/>
          <w:sz w:val="32"/>
          <w:szCs w:val="32"/>
          <w:shd w:val="clear" w:fill="FFFFFF"/>
        </w:rPr>
        <w:t>；</w:t>
      </w:r>
      <w:r>
        <w:rPr>
          <w:rStyle w:val="18"/>
          <w:rFonts w:hint="eastAsia" w:ascii="仿宋_GB2312" w:eastAsia="仿宋_GB2312" w:cs="仿宋_GB2312"/>
          <w:b w:val="0"/>
          <w:bCs w:val="0"/>
          <w:sz w:val="32"/>
          <w:szCs w:val="32"/>
          <w:shd w:val="clear" w:fill="FFFFFF"/>
        </w:rPr>
        <w:t>主要原因为：人员和车辆新增，相应的经费增多。</w:t>
      </w:r>
      <w:r>
        <w:rPr>
          <w:rFonts w:hint="eastAsia" w:ascii="仿宋_GB2312" w:eastAsia="仿宋_GB2312" w:cs="仿宋_GB2312"/>
          <w:b w:val="0"/>
          <w:bCs w:val="0"/>
          <w:i w:val="0"/>
          <w:iCs w:val="0"/>
          <w:sz w:val="32"/>
          <w:szCs w:val="32"/>
          <w:shd w:val="clear" w:fill="FFFFFF"/>
        </w:rPr>
        <w:t>本年度</w:t>
      </w:r>
      <w:r>
        <w:rPr>
          <w:rFonts w:hint="eastAsia" w:ascii="仿宋_GB2312" w:hAnsi="宋体" w:eastAsia="仿宋_GB2312" w:cs="仿宋_GB2312"/>
          <w:b w:val="0"/>
          <w:bCs w:val="0"/>
          <w:i w:val="0"/>
          <w:iCs w:val="0"/>
          <w:sz w:val="32"/>
          <w:szCs w:val="32"/>
          <w:shd w:val="clear" w:fill="FFFFFF"/>
        </w:rPr>
        <w:t>财政拨款</w:t>
      </w:r>
      <w:r>
        <w:rPr>
          <w:rFonts w:hint="eastAsia" w:ascii="仿宋_GB2312" w:eastAsia="仿宋_GB2312" w:cs="仿宋_GB2312"/>
          <w:b w:val="0"/>
          <w:bCs w:val="0"/>
          <w:i w:val="0"/>
          <w:iCs w:val="0"/>
          <w:sz w:val="32"/>
          <w:szCs w:val="32"/>
          <w:shd w:val="clear" w:fill="FFFFFF"/>
        </w:rPr>
        <w:t>支出为</w:t>
      </w:r>
      <w:r>
        <w:rPr>
          <w:rFonts w:hint="eastAsia" w:cs="宋体"/>
          <w:b w:val="0"/>
          <w:bCs w:val="0"/>
          <w:i w:val="0"/>
          <w:iCs w:val="0"/>
          <w:sz w:val="32"/>
          <w:szCs w:val="32"/>
          <w:shd w:val="clear" w:fill="FFFFFF"/>
          <w:lang w:val="en-US" w:eastAsia="zh-CN"/>
        </w:rPr>
        <w:t>962.88</w:t>
      </w:r>
      <w:r>
        <w:rPr>
          <w:rFonts w:hint="eastAsia" w:ascii="仿宋_GB2312" w:eastAsia="仿宋_GB2312" w:cs="仿宋_GB2312"/>
          <w:b w:val="0"/>
          <w:bCs w:val="0"/>
          <w:i w:val="0"/>
          <w:iCs w:val="0"/>
          <w:sz w:val="32"/>
          <w:szCs w:val="32"/>
          <w:shd w:val="clear" w:fill="FFFFFF"/>
        </w:rPr>
        <w:t>万元，</w:t>
      </w:r>
      <w:r>
        <w:rPr>
          <w:rFonts w:hint="eastAsia" w:ascii="仿宋_GB2312" w:eastAsia="仿宋_GB2312" w:cs="仿宋_GB2312"/>
          <w:b w:val="0"/>
          <w:bCs w:val="0"/>
          <w:i w:val="0"/>
          <w:iCs w:val="0"/>
          <w:sz w:val="32"/>
          <w:szCs w:val="32"/>
          <w:shd w:val="clear" w:fill="FFFFFF"/>
          <w:lang w:val="en-US" w:eastAsia="zh-CN"/>
        </w:rPr>
        <w:t>与</w:t>
      </w:r>
      <w:r>
        <w:rPr>
          <w:rFonts w:hint="eastAsia" w:ascii="仿宋_GB2312" w:eastAsia="仿宋_GB2312" w:cs="仿宋_GB2312"/>
          <w:b w:val="0"/>
          <w:bCs w:val="0"/>
          <w:i w:val="0"/>
          <w:iCs w:val="0"/>
          <w:sz w:val="32"/>
          <w:szCs w:val="32"/>
          <w:shd w:val="clear" w:fill="FFFFFF"/>
        </w:rPr>
        <w:t>上年度</w:t>
      </w:r>
      <w:r>
        <w:rPr>
          <w:rFonts w:hint="eastAsia" w:ascii="仿宋_GB2312" w:eastAsia="仿宋_GB2312" w:cs="仿宋_GB2312"/>
          <w:b w:val="0"/>
          <w:bCs w:val="0"/>
          <w:i w:val="0"/>
          <w:iCs w:val="0"/>
          <w:sz w:val="32"/>
          <w:szCs w:val="32"/>
          <w:shd w:val="clear" w:fill="FFFFFF"/>
          <w:lang w:val="en-US" w:eastAsia="zh-CN"/>
        </w:rPr>
        <w:t>相比，支出增加</w:t>
      </w:r>
      <w:r>
        <w:rPr>
          <w:rFonts w:hint="eastAsia" w:cs="宋体"/>
          <w:b w:val="0"/>
          <w:bCs w:val="0"/>
          <w:i w:val="0"/>
          <w:iCs w:val="0"/>
          <w:sz w:val="32"/>
          <w:szCs w:val="32"/>
          <w:shd w:val="clear" w:fill="FFFFFF"/>
          <w:lang w:val="en-US" w:eastAsia="zh-CN"/>
        </w:rPr>
        <w:t>133.98</w:t>
      </w:r>
      <w:r>
        <w:rPr>
          <w:rFonts w:hint="eastAsia" w:ascii="仿宋_GB2312" w:eastAsia="仿宋_GB2312" w:cs="仿宋_GB2312"/>
          <w:b w:val="0"/>
          <w:bCs w:val="0"/>
          <w:i w:val="0"/>
          <w:iCs w:val="0"/>
          <w:sz w:val="32"/>
          <w:szCs w:val="32"/>
          <w:shd w:val="clear" w:fill="FFFFFF"/>
        </w:rPr>
        <w:t>万元</w:t>
      </w:r>
      <w:r>
        <w:rPr>
          <w:rFonts w:hint="eastAsia" w:ascii="仿宋_GB2312" w:eastAsia="仿宋_GB2312" w:cs="仿宋_GB2312"/>
          <w:b w:val="0"/>
          <w:bCs w:val="0"/>
          <w:i w:val="0"/>
          <w:iCs w:val="0"/>
          <w:sz w:val="32"/>
          <w:szCs w:val="32"/>
          <w:shd w:val="clear" w:fill="FFFFFF"/>
          <w:lang w:eastAsia="zh-CN"/>
        </w:rPr>
        <w:t>，</w:t>
      </w:r>
      <w:r>
        <w:rPr>
          <w:rFonts w:hint="eastAsia" w:ascii="仿宋_GB2312" w:eastAsia="仿宋_GB2312" w:cs="仿宋_GB2312"/>
          <w:b w:val="0"/>
          <w:bCs w:val="0"/>
          <w:i w:val="0"/>
          <w:iCs w:val="0"/>
          <w:sz w:val="32"/>
          <w:szCs w:val="32"/>
          <w:shd w:val="clear" w:fill="FFFFFF"/>
          <w:lang w:val="en-US" w:eastAsia="zh-CN"/>
        </w:rPr>
        <w:t>增加31.44%</w:t>
      </w:r>
      <w:r>
        <w:rPr>
          <w:rFonts w:hint="eastAsia" w:ascii="仿宋_GB2312" w:eastAsia="仿宋_GB2312" w:cs="仿宋_GB2312"/>
          <w:b w:val="0"/>
          <w:bCs w:val="0"/>
          <w:i w:val="0"/>
          <w:iCs w:val="0"/>
          <w:sz w:val="32"/>
          <w:szCs w:val="32"/>
          <w:shd w:val="clear" w:fill="FFFFFF"/>
        </w:rPr>
        <w:t>；</w:t>
      </w:r>
      <w:r>
        <w:rPr>
          <w:rStyle w:val="18"/>
          <w:rFonts w:hint="eastAsia" w:ascii="仿宋_GB2312" w:eastAsia="仿宋_GB2312" w:cs="仿宋_GB2312"/>
          <w:b w:val="0"/>
          <w:bCs w:val="0"/>
          <w:sz w:val="32"/>
          <w:szCs w:val="32"/>
          <w:shd w:val="clear" w:fill="FFFFFF"/>
        </w:rPr>
        <w:t>主要原因为</w:t>
      </w:r>
      <w:r>
        <w:rPr>
          <w:rStyle w:val="18"/>
          <w:rFonts w:hint="eastAsia" w:ascii="仿宋_GB2312" w:eastAsia="仿宋_GB2312" w:cs="仿宋_GB2312"/>
          <w:b w:val="0"/>
          <w:bCs w:val="0"/>
          <w:sz w:val="32"/>
          <w:szCs w:val="32"/>
          <w:shd w:val="clear" w:fill="FFFFFF"/>
          <w:lang w:val="en-US" w:eastAsia="zh-CN"/>
        </w:rPr>
        <w:t>人员和车辆的新增</w:t>
      </w:r>
      <w:r>
        <w:rPr>
          <w:rStyle w:val="18"/>
          <w:rFonts w:hint="eastAsia" w:ascii="仿宋_GB2312" w:eastAsia="仿宋_GB2312" w:cs="仿宋_GB2312"/>
          <w:b w:val="0"/>
          <w:b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Style w:val="18"/>
          <w:rFonts w:hint="eastAsia" w:ascii="仿宋_GB2312" w:eastAsia="仿宋_GB2312" w:cs="仿宋_GB2312"/>
          <w:b w:val="0"/>
          <w:bCs w:val="0"/>
          <w:sz w:val="32"/>
          <w:szCs w:val="32"/>
          <w:shd w:val="clear" w:fill="FFFFFF"/>
          <w:lang w:eastAsia="zh-CN"/>
        </w:rPr>
      </w:pPr>
      <w:r>
        <w:rPr>
          <w:rStyle w:val="18"/>
          <w:rFonts w:hint="eastAsia" w:ascii="仿宋_GB2312" w:eastAsia="仿宋_GB2312" w:cs="仿宋_GB2312"/>
          <w:b w:val="0"/>
          <w:bCs w:val="0"/>
          <w:sz w:val="32"/>
          <w:szCs w:val="32"/>
          <w:shd w:val="clear" w:fill="FFFFFF"/>
          <w:lang w:eastAsia="zh-CN"/>
        </w:rPr>
        <w:drawing>
          <wp:anchor distT="0" distB="0" distL="114300" distR="114300" simplePos="0" relativeHeight="251662336" behindDoc="1" locked="0" layoutInCell="1" allowOverlap="1">
            <wp:simplePos x="0" y="0"/>
            <wp:positionH relativeFrom="column">
              <wp:posOffset>55880</wp:posOffset>
            </wp:positionH>
            <wp:positionV relativeFrom="paragraph">
              <wp:posOffset>79375</wp:posOffset>
            </wp:positionV>
            <wp:extent cx="4839970" cy="2755265"/>
            <wp:effectExtent l="0" t="0" r="17780" b="6985"/>
            <wp:wrapTight wrapText="bothSides">
              <wp:wrapPolygon>
                <wp:start x="0" y="0"/>
                <wp:lineTo x="0" y="21505"/>
                <wp:lineTo x="21509" y="21505"/>
                <wp:lineTo x="21509" y="0"/>
                <wp:lineTo x="0" y="0"/>
              </wp:wrapPolygon>
            </wp:wrapTight>
            <wp:docPr id="4" name="图片 1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图片2"/>
                    <pic:cNvPicPr>
                      <a:picLocks noChangeAspect="1"/>
                    </pic:cNvPicPr>
                  </pic:nvPicPr>
                  <pic:blipFill>
                    <a:blip r:embed="rId9"/>
                    <a:stretch>
                      <a:fillRect/>
                    </a:stretch>
                  </pic:blipFill>
                  <pic:spPr>
                    <a:xfrm>
                      <a:off x="0" y="0"/>
                      <a:ext cx="4839970" cy="2755265"/>
                    </a:xfrm>
                    <a:prstGeom prst="rect">
                      <a:avLst/>
                    </a:prstGeom>
                    <a:noFill/>
                    <a:ln>
                      <a:noFill/>
                    </a:ln>
                  </pic:spPr>
                </pic:pic>
              </a:graphicData>
            </a:graphic>
          </wp:anchor>
        </w:drawing>
      </w: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b/>
          <w:color w:val="00B050"/>
          <w:sz w:val="30"/>
          <w:szCs w:val="30"/>
        </w:rPr>
      </w:pPr>
      <w:r>
        <w:rPr>
          <w:rFonts w:hint="eastAsia" w:ascii="仿宋_GB2312" w:hAnsi="仿宋_GB2312" w:eastAsia="仿宋_GB2312" w:cs="仿宋_GB2312"/>
          <w:color w:val="000000"/>
          <w:sz w:val="30"/>
          <w:szCs w:val="30"/>
        </w:rPr>
        <w:t>（图4：财政拨款收、支决算总</w:t>
      </w:r>
      <w:r>
        <w:rPr>
          <w:rFonts w:hint="eastAsia" w:ascii="仿宋_GB2312" w:hAnsi="仿宋_GB2312" w:eastAsia="仿宋_GB2312" w:cs="仿宋_GB2312"/>
          <w:color w:val="000000"/>
          <w:sz w:val="30"/>
          <w:szCs w:val="30"/>
          <w:lang w:val="en-US" w:eastAsia="zh-CN"/>
        </w:rPr>
        <w:t>体</w:t>
      </w:r>
      <w:r>
        <w:rPr>
          <w:rFonts w:hint="eastAsia" w:ascii="仿宋_GB2312" w:hAnsi="仿宋_GB2312" w:eastAsia="仿宋_GB2312" w:cs="仿宋_GB2312"/>
          <w:color w:val="000000"/>
          <w:sz w:val="30"/>
          <w:szCs w:val="30"/>
        </w:rPr>
        <w:t>变动情况）（柱状图）</w:t>
      </w:r>
    </w:p>
    <w:p>
      <w:pPr>
        <w:pageBreakBefore w:val="0"/>
        <w:kinsoku/>
        <w:wordWrap/>
        <w:overflowPunct/>
        <w:topLinePunct w:val="0"/>
        <w:bidi w:val="0"/>
        <w:spacing w:line="560" w:lineRule="exact"/>
        <w:ind w:firstLine="640" w:firstLineChars="200"/>
        <w:jc w:val="left"/>
        <w:outlineLvl w:val="1"/>
        <w:rPr>
          <w:rFonts w:hint="eastAsia" w:ascii="黑体" w:hAnsi="黑体" w:eastAsia="黑体" w:cs="黑体"/>
          <w:color w:val="000000"/>
          <w:sz w:val="32"/>
          <w:szCs w:val="32"/>
        </w:rPr>
      </w:pPr>
      <w:bookmarkStart w:id="79" w:name="_Toc19523"/>
      <w:bookmarkStart w:id="80" w:name="_Toc15377209"/>
      <w:bookmarkStart w:id="81" w:name="_Toc15396607"/>
      <w:bookmarkStart w:id="82" w:name="_Toc30184"/>
      <w:bookmarkStart w:id="83" w:name="_Toc11166"/>
      <w:bookmarkStart w:id="84" w:name="_Toc12084"/>
      <w:bookmarkStart w:id="85" w:name="_Toc4827"/>
      <w:bookmarkStart w:id="86" w:name="_Toc14003"/>
      <w:bookmarkStart w:id="87" w:name="_Toc31488"/>
      <w:r>
        <w:rPr>
          <w:rFonts w:hint="eastAsia" w:ascii="黑体" w:hAnsi="黑体" w:eastAsia="黑体" w:cs="黑体"/>
          <w:color w:val="000000"/>
          <w:sz w:val="32"/>
          <w:szCs w:val="32"/>
        </w:rPr>
        <w:t>五、一般公共预算财政拨款支出决算情况说明</w:t>
      </w:r>
      <w:bookmarkEnd w:id="79"/>
      <w:bookmarkEnd w:id="80"/>
      <w:bookmarkEnd w:id="81"/>
      <w:bookmarkEnd w:id="82"/>
      <w:bookmarkEnd w:id="83"/>
      <w:bookmarkEnd w:id="84"/>
      <w:bookmarkEnd w:id="85"/>
      <w:bookmarkEnd w:id="86"/>
      <w:bookmarkEnd w:id="87"/>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pPr>
      <w:bookmarkStart w:id="88" w:name="_Toc15377210"/>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t>（一）一般公共预算财政拨款支出决算总体情况</w:t>
      </w:r>
      <w:bookmarkEnd w:id="88"/>
    </w:p>
    <w:p>
      <w:pPr>
        <w:pageBreakBefore w:val="0"/>
        <w:kinsoku/>
        <w:wordWrap/>
        <w:overflowPunct/>
        <w:topLinePunct w:val="0"/>
        <w:bidi w:val="0"/>
        <w:spacing w:line="560" w:lineRule="exact"/>
        <w:ind w:firstLine="640" w:firstLineChars="200"/>
        <w:rPr>
          <w:rFonts w:hint="eastAsia" w:ascii="仿宋_GB2312" w:hAnsi="宋体" w:eastAsia="仿宋_GB2312" w:cs="仿宋_GB2312"/>
          <w:b w:val="0"/>
          <w:bCs w:val="0"/>
          <w:i w:val="0"/>
          <w:iCs w:val="0"/>
          <w:color w:val="000000"/>
          <w:kern w:val="0"/>
          <w:sz w:val="32"/>
          <w:szCs w:val="32"/>
          <w:shd w:val="clear" w:fill="FFFFFF"/>
          <w:lang w:val="en-US" w:eastAsia="zh-CN" w:bidi="ar"/>
        </w:rPr>
      </w:pPr>
      <w:r>
        <w:rPr>
          <w:rFonts w:hint="eastAsia" w:ascii="仿宋_GB2312" w:hAnsi="宋体" w:eastAsia="仿宋_GB2312" w:cs="仿宋_GB2312"/>
          <w:b w:val="0"/>
          <w:bCs w:val="0"/>
          <w:i w:val="0"/>
          <w:iCs w:val="0"/>
          <w:color w:val="000000"/>
          <w:kern w:val="0"/>
          <w:sz w:val="32"/>
          <w:szCs w:val="32"/>
          <w:shd w:val="clear" w:fill="FFFFFF"/>
          <w:lang w:val="en-US" w:eastAsia="zh-CN" w:bidi="ar"/>
        </w:rPr>
        <w:t>本年度一般公共预算财政拨款支出962.88万元，占本年支出合计的100%。与上年度相比，一般公共预算财政拨款增加230.33万元，增加31.447%。主要变动原因是人员增加。</w:t>
      </w:r>
    </w:p>
    <w:p>
      <w:pPr>
        <w:pStyle w:val="6"/>
        <w:pageBreakBefore w:val="0"/>
        <w:kinsoku/>
        <w:wordWrap/>
        <w:overflowPunct/>
        <w:topLinePunct w:val="0"/>
        <w:bidi w:val="0"/>
        <w:spacing w:line="560" w:lineRule="exact"/>
        <w:ind w:left="0" w:leftChars="0" w:firstLine="0" w:firstLineChars="0"/>
        <w:rPr>
          <w:rFonts w:hint="eastAsia"/>
          <w:lang w:val="en-US" w:eastAsia="zh-CN"/>
        </w:rPr>
      </w:pPr>
      <w:r>
        <w:rPr>
          <w:rFonts w:hint="eastAsia"/>
          <w:lang w:val="en-US" w:eastAsia="zh-CN"/>
        </w:rPr>
        <w:drawing>
          <wp:anchor distT="0" distB="0" distL="114300" distR="114300" simplePos="0" relativeHeight="251663360" behindDoc="1" locked="0" layoutInCell="1" allowOverlap="1">
            <wp:simplePos x="0" y="0"/>
            <wp:positionH relativeFrom="column">
              <wp:posOffset>146050</wp:posOffset>
            </wp:positionH>
            <wp:positionV relativeFrom="paragraph">
              <wp:posOffset>59690</wp:posOffset>
            </wp:positionV>
            <wp:extent cx="4839970" cy="2755265"/>
            <wp:effectExtent l="0" t="0" r="17780" b="6985"/>
            <wp:wrapTight wrapText="bothSides">
              <wp:wrapPolygon>
                <wp:start x="0" y="0"/>
                <wp:lineTo x="0" y="21505"/>
                <wp:lineTo x="21509" y="21505"/>
                <wp:lineTo x="21509" y="0"/>
                <wp:lineTo x="0" y="0"/>
              </wp:wrapPolygon>
            </wp:wrapTight>
            <wp:docPr id="5" name="图片 1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图片4"/>
                    <pic:cNvPicPr>
                      <a:picLocks noChangeAspect="1"/>
                    </pic:cNvPicPr>
                  </pic:nvPicPr>
                  <pic:blipFill>
                    <a:blip r:embed="rId10"/>
                    <a:stretch>
                      <a:fillRect/>
                    </a:stretch>
                  </pic:blipFill>
                  <pic:spPr>
                    <a:xfrm>
                      <a:off x="0" y="0"/>
                      <a:ext cx="4839970" cy="2755265"/>
                    </a:xfrm>
                    <a:prstGeom prst="rect">
                      <a:avLst/>
                    </a:prstGeom>
                    <a:noFill/>
                    <a:ln>
                      <a:noFill/>
                    </a:ln>
                  </pic:spPr>
                </pic:pic>
              </a:graphicData>
            </a:graphic>
          </wp:anchor>
        </w:drawing>
      </w:r>
      <w:r>
        <w:rPr>
          <w:rFonts w:hint="eastAsia"/>
          <w:lang w:val="en-US" w:eastAsia="zh-CN"/>
        </w:rPr>
        <w:t xml:space="preserve">  </w:t>
      </w: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（图5：一般公共预算财政拨款支出决算变动情况）</w:t>
      </w:r>
    </w:p>
    <w:p>
      <w:pPr>
        <w:pStyle w:val="6"/>
        <w:pageBreakBefore w:val="0"/>
        <w:kinsoku/>
        <w:wordWrap/>
        <w:overflowPunct/>
        <w:topLinePunct w:val="0"/>
        <w:bidi w:val="0"/>
        <w:spacing w:line="560" w:lineRule="exact"/>
        <w:ind w:left="0" w:leftChars="0" w:firstLine="0" w:firstLineChars="0"/>
        <w:rPr>
          <w:rFonts w:hint="eastAsia"/>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pPr>
      <w:bookmarkStart w:id="89" w:name="_Toc15377211"/>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t>（</w:t>
      </w:r>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en-US" w:eastAsia="zh-CN" w:bidi="ar-SA"/>
        </w:rPr>
        <w:t>二</w:t>
      </w:r>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t>）一般公共预算财政拨款支出决算结构情况</w:t>
      </w:r>
      <w:bookmarkEnd w:id="89"/>
    </w:p>
    <w:p>
      <w:pPr>
        <w:pStyle w:val="6"/>
        <w:pageBreakBefore w:val="0"/>
        <w:numPr>
          <w:ilvl w:val="0"/>
          <w:numId w:val="0"/>
        </w:numPr>
        <w:kinsoku/>
        <w:wordWrap/>
        <w:overflowPunct/>
        <w:topLinePunct w:val="0"/>
        <w:bidi w:val="0"/>
        <w:spacing w:line="560" w:lineRule="exact"/>
        <w:ind w:firstLine="640" w:firstLineChars="200"/>
        <w:jc w:val="both"/>
        <w:rPr>
          <w:rFonts w:hint="eastAsia" w:ascii="仿宋_GB2312" w:hAnsi="宋体" w:eastAsia="仿宋_GB2312" w:cs="仿宋_GB2312"/>
          <w:b w:val="0"/>
          <w:bCs w:val="0"/>
          <w:i w:val="0"/>
          <w:iCs w:val="0"/>
          <w:kern w:val="0"/>
          <w:sz w:val="32"/>
          <w:szCs w:val="32"/>
          <w:shd w:val="clear" w:fill="FFFFFF"/>
          <w:lang w:val="en-US" w:eastAsia="zh-CN" w:bidi="ar"/>
        </w:rPr>
      </w:pPr>
      <w:r>
        <w:rPr>
          <w:rFonts w:hint="eastAsia" w:ascii="仿宋_GB2312" w:hAnsi="宋体" w:eastAsia="仿宋_GB2312" w:cs="仿宋_GB2312"/>
          <w:b w:val="0"/>
          <w:bCs w:val="0"/>
          <w:i w:val="0"/>
          <w:iCs w:val="0"/>
          <w:kern w:val="0"/>
          <w:sz w:val="32"/>
          <w:szCs w:val="32"/>
          <w:shd w:val="clear" w:fill="FFFFFF"/>
          <w:lang w:val="en-US" w:eastAsia="zh-CN" w:bidi="ar"/>
        </w:rPr>
        <w:t>本年度一般公共预算财政拨款支出962.88万元，主要用于以下方面:一般公共服务（类）支出712.6万元，占74.00%；文化旅游体育与传媒支出5万元，占0.52%；卫生健康支出36.49万元，占3.79%；社会保障和就业支出79.95万元，占8.30%；城乡社区支出8万元，占0.83%；农林水（类）支出61.31万元，占6.36%；住房保障支出59.52万元，占6.18%。</w:t>
      </w:r>
    </w:p>
    <w:p>
      <w:pPr>
        <w:pStyle w:val="6"/>
        <w:pageBreakBefore w:val="0"/>
        <w:numPr>
          <w:ilvl w:val="0"/>
          <w:numId w:val="0"/>
        </w:numPr>
        <w:kinsoku/>
        <w:wordWrap/>
        <w:overflowPunct/>
        <w:topLinePunct w:val="0"/>
        <w:bidi w:val="0"/>
        <w:spacing w:line="560" w:lineRule="exact"/>
        <w:jc w:val="both"/>
        <w:rPr>
          <w:rFonts w:hint="eastAsia" w:ascii="仿宋_GB2312" w:hAnsi="宋体" w:eastAsia="仿宋_GB2312" w:cs="仿宋_GB2312"/>
          <w:b w:val="0"/>
          <w:bCs w:val="0"/>
          <w:i w:val="0"/>
          <w:iCs w:val="0"/>
          <w:kern w:val="0"/>
          <w:sz w:val="32"/>
          <w:szCs w:val="32"/>
          <w:shd w:val="clear" w:fill="FFFFFF"/>
          <w:lang w:val="en-US" w:eastAsia="zh-CN" w:bidi="ar"/>
        </w:rPr>
      </w:pPr>
      <w:r>
        <w:rPr>
          <w:rFonts w:hint="eastAsia" w:ascii="仿宋_GB2312" w:hAnsi="宋体" w:eastAsia="仿宋_GB2312" w:cs="仿宋_GB2312"/>
          <w:b w:val="0"/>
          <w:bCs w:val="0"/>
          <w:i w:val="0"/>
          <w:iCs w:val="0"/>
          <w:kern w:val="0"/>
          <w:sz w:val="32"/>
          <w:szCs w:val="32"/>
          <w:shd w:val="clear" w:fill="FFFFFF"/>
          <w:lang w:val="en-US" w:eastAsia="zh-CN" w:bidi="ar"/>
        </w:rPr>
        <w:drawing>
          <wp:anchor distT="0" distB="0" distL="114300" distR="114300" simplePos="0" relativeHeight="251664384" behindDoc="1" locked="0" layoutInCell="1" allowOverlap="1">
            <wp:simplePos x="0" y="0"/>
            <wp:positionH relativeFrom="column">
              <wp:posOffset>155575</wp:posOffset>
            </wp:positionH>
            <wp:positionV relativeFrom="paragraph">
              <wp:posOffset>136525</wp:posOffset>
            </wp:positionV>
            <wp:extent cx="4839970" cy="2755265"/>
            <wp:effectExtent l="0" t="0" r="17780" b="6985"/>
            <wp:wrapTight wrapText="bothSides">
              <wp:wrapPolygon>
                <wp:start x="0" y="0"/>
                <wp:lineTo x="0" y="21505"/>
                <wp:lineTo x="21509" y="21505"/>
                <wp:lineTo x="21509" y="0"/>
                <wp:lineTo x="0" y="0"/>
              </wp:wrapPolygon>
            </wp:wrapTight>
            <wp:docPr id="6" name="图片 16"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descr="图片3"/>
                    <pic:cNvPicPr>
                      <a:picLocks noChangeAspect="1"/>
                    </pic:cNvPicPr>
                  </pic:nvPicPr>
                  <pic:blipFill>
                    <a:blip r:embed="rId11"/>
                    <a:stretch>
                      <a:fillRect/>
                    </a:stretch>
                  </pic:blipFill>
                  <pic:spPr>
                    <a:xfrm>
                      <a:off x="0" y="0"/>
                      <a:ext cx="4839970" cy="2755265"/>
                    </a:xfrm>
                    <a:prstGeom prst="rect">
                      <a:avLst/>
                    </a:prstGeom>
                    <a:noFill/>
                    <a:ln>
                      <a:noFill/>
                    </a:ln>
                  </pic:spPr>
                </pic:pic>
              </a:graphicData>
            </a:graphic>
          </wp:anchor>
        </w:drawing>
      </w:r>
      <w:r>
        <w:rPr>
          <w:rFonts w:hint="eastAsia" w:ascii="仿宋_GB2312" w:hAnsi="宋体" w:eastAsia="仿宋_GB2312" w:cs="仿宋_GB2312"/>
          <w:b w:val="0"/>
          <w:bCs w:val="0"/>
          <w:i w:val="0"/>
          <w:iCs w:val="0"/>
          <w:kern w:val="0"/>
          <w:sz w:val="32"/>
          <w:szCs w:val="32"/>
          <w:shd w:val="clear" w:fill="FFFFFF"/>
          <w:lang w:val="en-US" w:eastAsia="zh-CN" w:bidi="ar"/>
        </w:rPr>
        <w:t xml:space="preserve">  </w:t>
      </w:r>
    </w:p>
    <w:p>
      <w:pPr>
        <w:pageBreakBefore w:val="0"/>
        <w:kinsoku/>
        <w:wordWrap/>
        <w:overflowPunct/>
        <w:topLinePunct w:val="0"/>
        <w:bidi w:val="0"/>
        <w:spacing w:line="560" w:lineRule="exact"/>
        <w:ind w:firstLine="300" w:firstLineChars="1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300" w:firstLineChars="1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300" w:firstLineChars="1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300" w:firstLineChars="100"/>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rPr>
          <w:rFonts w:hint="eastAsia" w:ascii="仿宋_GB2312" w:hAnsi="仿宋_GB2312" w:eastAsia="仿宋_GB2312" w:cs="仿宋_GB2312"/>
          <w:color w:val="000000"/>
          <w:sz w:val="30"/>
          <w:szCs w:val="30"/>
        </w:rPr>
      </w:pPr>
    </w:p>
    <w:p>
      <w:pPr>
        <w:pageBreakBefore w:val="0"/>
        <w:kinsoku/>
        <w:wordWrap/>
        <w:overflowPunct/>
        <w:topLinePunct w:val="0"/>
        <w:bidi w:val="0"/>
        <w:spacing w:line="560" w:lineRule="exact"/>
        <w:ind w:firstLine="300" w:firstLineChars="100"/>
        <w:rPr>
          <w:rFonts w:hint="eastAsia" w:ascii="仿宋_GB2312" w:hAnsi="宋体" w:eastAsia="仿宋_GB2312" w:cs="仿宋_GB2312"/>
          <w:b w:val="0"/>
          <w:bCs w:val="0"/>
          <w:i w:val="0"/>
          <w:iCs w:val="0"/>
          <w:kern w:val="0"/>
          <w:sz w:val="32"/>
          <w:szCs w:val="32"/>
          <w:shd w:val="clear" w:fill="FFFFFF"/>
          <w:lang w:val="en-US" w:eastAsia="zh-CN" w:bidi="ar"/>
        </w:rPr>
      </w:pPr>
      <w:r>
        <w:rPr>
          <w:rFonts w:hint="eastAsia" w:ascii="仿宋_GB2312" w:hAnsi="仿宋_GB2312" w:eastAsia="仿宋_GB2312" w:cs="仿宋_GB2312"/>
          <w:color w:val="000000"/>
          <w:sz w:val="30"/>
          <w:szCs w:val="30"/>
        </w:rPr>
        <w:t>（图6：一般公共预算财政拨款支出决算结构）（饼状图）</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en-US" w:eastAsia="zh-CN" w:bidi="ar-SA"/>
        </w:rPr>
      </w:pPr>
      <w:bookmarkStart w:id="90" w:name="_Toc15377212"/>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t>（</w:t>
      </w:r>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en-US" w:eastAsia="zh-CN" w:bidi="ar-SA"/>
        </w:rPr>
        <w:t>三</w:t>
      </w:r>
      <w:r>
        <w:rPr>
          <w:rFonts w:hint="eastAsia" w:ascii="方正楷体_GBK" w:hAnsi="方正楷体_GBK" w:eastAsia="方正楷体_GBK" w:cs="方正楷体_GBK"/>
          <w:b/>
          <w:bCs/>
          <w:snapToGrid/>
          <w:color w:val="000000"/>
          <w:spacing w:val="0"/>
          <w:w w:val="100"/>
          <w:kern w:val="2"/>
          <w:position w:val="0"/>
          <w:sz w:val="32"/>
          <w:szCs w:val="20"/>
          <w:u w:val="none" w:color="auto"/>
          <w:shd w:val="clear" w:color="auto" w:fill="auto"/>
          <w:vertAlign w:val="baseline"/>
          <w:lang w:val="zh-CN" w:bidi="ar-SA"/>
        </w:rPr>
        <w:t>）一般公共预算财政拨款支出决算具体情况</w:t>
      </w:r>
      <w:bookmarkEnd w:id="90"/>
    </w:p>
    <w:p>
      <w:pPr>
        <w:pageBreakBefore w:val="0"/>
        <w:kinsoku/>
        <w:wordWrap/>
        <w:overflowPunct/>
        <w:topLinePunct w:val="0"/>
        <w:bidi w:val="0"/>
        <w:spacing w:line="560" w:lineRule="exact"/>
        <w:ind w:firstLine="640" w:firstLineChars="200"/>
        <w:outlineLvl w:val="1"/>
        <w:rPr>
          <w:rFonts w:hint="eastAsia" w:ascii="宋体" w:hAnsi="宋体" w:eastAsia="宋体" w:cs="宋体"/>
          <w:b w:val="0"/>
          <w:bCs w:val="0"/>
          <w:i w:val="0"/>
          <w:iCs w:val="0"/>
          <w:kern w:val="0"/>
          <w:sz w:val="32"/>
          <w:szCs w:val="32"/>
          <w:shd w:val="clear" w:fill="FFFFFF"/>
          <w:lang w:val="en-US" w:eastAsia="zh-CN" w:bidi="ar"/>
        </w:rPr>
      </w:pPr>
      <w:bookmarkStart w:id="91" w:name="_Toc26177"/>
      <w:bookmarkStart w:id="92" w:name="_Toc20626"/>
      <w:bookmarkStart w:id="93" w:name="_Toc15757"/>
      <w:bookmarkStart w:id="94" w:name="_Toc32476"/>
      <w:r>
        <w:rPr>
          <w:rFonts w:hint="eastAsia" w:ascii="仿宋_GB2312" w:hAnsi="宋体" w:eastAsia="仿宋_GB2312" w:cs="仿宋_GB2312"/>
          <w:b w:val="0"/>
          <w:bCs w:val="0"/>
          <w:i w:val="0"/>
          <w:iCs w:val="0"/>
          <w:color w:val="000000"/>
          <w:kern w:val="0"/>
          <w:sz w:val="32"/>
          <w:szCs w:val="32"/>
          <w:shd w:val="clear" w:fill="FFFFFF"/>
          <w:lang w:val="en-US" w:eastAsia="zh-CN" w:bidi="ar"/>
        </w:rPr>
        <w:t>一般公共预算支出决算数为962.88，完成预算100%。其中：</w:t>
      </w:r>
      <w:bookmarkEnd w:id="91"/>
      <w:bookmarkEnd w:id="92"/>
      <w:bookmarkEnd w:id="93"/>
      <w:bookmarkEnd w:id="94"/>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一般公共服务</w:t>
      </w:r>
      <w:r>
        <w:rPr>
          <w:rFonts w:hint="eastAsia" w:ascii="宋体" w:hAnsi="宋体" w:eastAsia="宋体" w:cs="宋体"/>
          <w:b/>
          <w:bCs/>
          <w:i w:val="0"/>
          <w:iCs w:val="0"/>
          <w:sz w:val="32"/>
          <w:szCs w:val="32"/>
          <w:shd w:val="clear" w:fill="FFFFFF"/>
        </w:rPr>
        <w:t>201</w:t>
      </w:r>
      <w:r>
        <w:rPr>
          <w:rFonts w:hint="eastAsia" w:ascii="仿宋_GB2312" w:eastAsia="仿宋_GB2312" w:cs="仿宋_GB2312"/>
          <w:b/>
          <w:bCs/>
          <w:i w:val="0"/>
          <w:iCs w:val="0"/>
          <w:sz w:val="32"/>
          <w:szCs w:val="32"/>
          <w:shd w:val="clear" w:fill="FFFFFF"/>
        </w:rPr>
        <w:t>：</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712.60</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。支出</w:t>
      </w:r>
      <w:r>
        <w:rPr>
          <w:rFonts w:hint="eastAsia" w:ascii="宋体" w:hAnsi="宋体" w:eastAsia="宋体" w:cs="宋体"/>
          <w:b w:val="0"/>
          <w:bCs w:val="0"/>
          <w:i w:val="0"/>
          <w:iCs w:val="0"/>
          <w:sz w:val="32"/>
          <w:szCs w:val="32"/>
          <w:shd w:val="clear" w:fill="FFFFFF"/>
        </w:rPr>
        <w:t>712.60</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文化旅游体育与传媒支出</w:t>
      </w:r>
      <w:r>
        <w:rPr>
          <w:rFonts w:hint="eastAsia" w:ascii="宋体" w:hAnsi="宋体" w:eastAsia="宋体" w:cs="宋体"/>
          <w:b/>
          <w:bCs/>
          <w:i w:val="0"/>
          <w:iCs w:val="0"/>
          <w:sz w:val="32"/>
          <w:szCs w:val="32"/>
          <w:shd w:val="clear" w:fill="FFFFFF"/>
        </w:rPr>
        <w:t>207:</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5</w:t>
      </w:r>
      <w:r>
        <w:rPr>
          <w:rFonts w:hint="eastAsia" w:ascii="仿宋_GB2312" w:eastAsia="仿宋_GB2312" w:cs="仿宋_GB2312"/>
          <w:b w:val="0"/>
          <w:bCs w:val="0"/>
          <w:i w:val="0"/>
          <w:iCs w:val="0"/>
          <w:sz w:val="32"/>
          <w:szCs w:val="32"/>
          <w:shd w:val="clear" w:fill="FFFFFF"/>
        </w:rPr>
        <w:t>万元，完成预算，支出</w:t>
      </w:r>
      <w:r>
        <w:rPr>
          <w:rFonts w:hint="eastAsia" w:ascii="宋体" w:hAnsi="宋体" w:eastAsia="宋体" w:cs="宋体"/>
          <w:b w:val="0"/>
          <w:bCs w:val="0"/>
          <w:i w:val="0"/>
          <w:iCs w:val="0"/>
          <w:sz w:val="32"/>
          <w:szCs w:val="32"/>
          <w:shd w:val="clear" w:fill="FFFFFF"/>
        </w:rPr>
        <w:t>5</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社会保障和就业</w:t>
      </w:r>
      <w:r>
        <w:rPr>
          <w:rFonts w:hint="eastAsia" w:ascii="宋体" w:hAnsi="宋体" w:eastAsia="宋体" w:cs="宋体"/>
          <w:b/>
          <w:bCs/>
          <w:i w:val="0"/>
          <w:iCs w:val="0"/>
          <w:sz w:val="32"/>
          <w:szCs w:val="32"/>
          <w:shd w:val="clear" w:fill="FFFFFF"/>
        </w:rPr>
        <w:t>208</w:t>
      </w:r>
      <w:r>
        <w:rPr>
          <w:rFonts w:hint="eastAsia" w:ascii="仿宋_GB2312" w:eastAsia="仿宋_GB2312" w:cs="仿宋_GB2312"/>
          <w:b/>
          <w:bCs/>
          <w:i w:val="0"/>
          <w:iCs w:val="0"/>
          <w:sz w:val="32"/>
          <w:szCs w:val="32"/>
          <w:shd w:val="clear" w:fill="FFFFFF"/>
        </w:rPr>
        <w:t>：</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79.95</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。支出</w:t>
      </w:r>
      <w:r>
        <w:rPr>
          <w:rFonts w:hint="eastAsia" w:ascii="宋体" w:hAnsi="宋体" w:eastAsia="宋体" w:cs="宋体"/>
          <w:b w:val="0"/>
          <w:bCs w:val="0"/>
          <w:i w:val="0"/>
          <w:iCs w:val="0"/>
          <w:sz w:val="32"/>
          <w:szCs w:val="32"/>
          <w:shd w:val="clear" w:fill="FFFFFF"/>
        </w:rPr>
        <w:t>79.95</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卫生健康</w:t>
      </w:r>
      <w:r>
        <w:rPr>
          <w:rFonts w:hint="eastAsia" w:ascii="宋体" w:hAnsi="宋体" w:eastAsia="宋体" w:cs="宋体"/>
          <w:b/>
          <w:bCs/>
          <w:i w:val="0"/>
          <w:iCs w:val="0"/>
          <w:sz w:val="32"/>
          <w:szCs w:val="32"/>
          <w:shd w:val="clear" w:fill="FFFFFF"/>
        </w:rPr>
        <w:t>210</w:t>
      </w:r>
      <w:r>
        <w:rPr>
          <w:rFonts w:hint="eastAsia" w:ascii="仿宋_GB2312" w:eastAsia="仿宋_GB2312" w:cs="仿宋_GB2312"/>
          <w:b/>
          <w:bCs/>
          <w:i w:val="0"/>
          <w:iCs w:val="0"/>
          <w:sz w:val="32"/>
          <w:szCs w:val="32"/>
          <w:shd w:val="clear" w:fill="FFFFFF"/>
        </w:rPr>
        <w:t>：</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36.49</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。支出</w:t>
      </w:r>
      <w:r>
        <w:rPr>
          <w:rFonts w:hint="eastAsia" w:ascii="宋体" w:hAnsi="宋体" w:eastAsia="宋体" w:cs="宋体"/>
          <w:b w:val="0"/>
          <w:bCs w:val="0"/>
          <w:i w:val="0"/>
          <w:iCs w:val="0"/>
          <w:sz w:val="32"/>
          <w:szCs w:val="32"/>
          <w:shd w:val="clear" w:fill="FFFFFF"/>
        </w:rPr>
        <w:t>36.49</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城乡社区</w:t>
      </w:r>
      <w:r>
        <w:rPr>
          <w:rFonts w:hint="eastAsia" w:ascii="宋体" w:hAnsi="宋体" w:eastAsia="宋体" w:cs="宋体"/>
          <w:b/>
          <w:bCs/>
          <w:i w:val="0"/>
          <w:iCs w:val="0"/>
          <w:sz w:val="32"/>
          <w:szCs w:val="32"/>
          <w:shd w:val="clear" w:fill="FFFFFF"/>
        </w:rPr>
        <w:t>212</w:t>
      </w:r>
      <w:r>
        <w:rPr>
          <w:rFonts w:hint="eastAsia" w:ascii="仿宋_GB2312" w:eastAsia="仿宋_GB2312" w:cs="仿宋_GB2312"/>
          <w:b/>
          <w:bCs/>
          <w:i w:val="0"/>
          <w:iCs w:val="0"/>
          <w:sz w:val="32"/>
          <w:szCs w:val="32"/>
          <w:shd w:val="clear" w:fill="FFFFFF"/>
        </w:rPr>
        <w:t>：</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8</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支出</w:t>
      </w:r>
      <w:r>
        <w:rPr>
          <w:rFonts w:hint="eastAsia" w:ascii="宋体" w:hAnsi="宋体" w:eastAsia="宋体" w:cs="宋体"/>
          <w:b w:val="0"/>
          <w:bCs w:val="0"/>
          <w:i w:val="0"/>
          <w:iCs w:val="0"/>
          <w:sz w:val="32"/>
          <w:szCs w:val="32"/>
          <w:shd w:val="clear" w:fill="FFFFFF"/>
        </w:rPr>
        <w:t>8</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农林水</w:t>
      </w:r>
      <w:r>
        <w:rPr>
          <w:rFonts w:hint="eastAsia" w:ascii="宋体" w:hAnsi="宋体" w:eastAsia="宋体" w:cs="宋体"/>
          <w:b/>
          <w:bCs/>
          <w:i w:val="0"/>
          <w:iCs w:val="0"/>
          <w:sz w:val="32"/>
          <w:szCs w:val="32"/>
          <w:shd w:val="clear" w:fill="FFFFFF"/>
        </w:rPr>
        <w:t>213</w:t>
      </w:r>
      <w:r>
        <w:rPr>
          <w:rFonts w:hint="eastAsia" w:ascii="仿宋_GB2312" w:eastAsia="仿宋_GB2312" w:cs="仿宋_GB2312"/>
          <w:b/>
          <w:bCs/>
          <w:i w:val="0"/>
          <w:iCs w:val="0"/>
          <w:sz w:val="32"/>
          <w:szCs w:val="32"/>
          <w:shd w:val="clear" w:fill="FFFFFF"/>
        </w:rPr>
        <w:t>：</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61.31</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。支出</w:t>
      </w:r>
      <w:r>
        <w:rPr>
          <w:rFonts w:hint="eastAsia" w:ascii="宋体" w:hAnsi="宋体" w:eastAsia="宋体" w:cs="宋体"/>
          <w:b w:val="0"/>
          <w:bCs w:val="0"/>
          <w:i w:val="0"/>
          <w:iCs w:val="0"/>
          <w:sz w:val="32"/>
          <w:szCs w:val="32"/>
          <w:shd w:val="clear" w:fill="FFFFFF"/>
        </w:rPr>
        <w:t>61.31</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bCs/>
          <w:i w:val="0"/>
          <w:iCs w:val="0"/>
          <w:sz w:val="32"/>
          <w:szCs w:val="32"/>
          <w:shd w:val="clear" w:fill="FFFFFF"/>
        </w:rPr>
        <w:t>住房保障</w:t>
      </w:r>
      <w:r>
        <w:rPr>
          <w:rFonts w:hint="eastAsia" w:ascii="宋体" w:hAnsi="宋体" w:eastAsia="宋体" w:cs="宋体"/>
          <w:b/>
          <w:bCs/>
          <w:i w:val="0"/>
          <w:iCs w:val="0"/>
          <w:sz w:val="32"/>
          <w:szCs w:val="32"/>
          <w:shd w:val="clear" w:fill="FFFFFF"/>
        </w:rPr>
        <w:t>221</w:t>
      </w:r>
      <w:r>
        <w:rPr>
          <w:rFonts w:hint="eastAsia" w:ascii="仿宋_GB2312" w:eastAsia="仿宋_GB2312" w:cs="仿宋_GB2312"/>
          <w:b/>
          <w:bCs/>
          <w:i w:val="0"/>
          <w:iCs w:val="0"/>
          <w:sz w:val="32"/>
          <w:szCs w:val="32"/>
          <w:shd w:val="clear" w:fill="FFFFFF"/>
        </w:rPr>
        <w:t>：</w:t>
      </w:r>
      <w:r>
        <w:rPr>
          <w:rFonts w:hint="eastAsia" w:ascii="仿宋_GB2312" w:eastAsia="仿宋_GB2312" w:cs="仿宋_GB2312"/>
          <w:b w:val="0"/>
          <w:bCs w:val="0"/>
          <w:i w:val="0"/>
          <w:iCs w:val="0"/>
          <w:sz w:val="32"/>
          <w:szCs w:val="32"/>
          <w:shd w:val="clear" w:fill="FFFFFF"/>
        </w:rPr>
        <w:t>收入</w:t>
      </w:r>
      <w:r>
        <w:rPr>
          <w:rFonts w:hint="eastAsia" w:ascii="宋体" w:hAnsi="宋体" w:eastAsia="宋体" w:cs="宋体"/>
          <w:b w:val="0"/>
          <w:bCs w:val="0"/>
          <w:i w:val="0"/>
          <w:iCs w:val="0"/>
          <w:sz w:val="32"/>
          <w:szCs w:val="32"/>
          <w:shd w:val="clear" w:fill="FFFFFF"/>
        </w:rPr>
        <w:t>59.52</w:t>
      </w:r>
      <w:r>
        <w:rPr>
          <w:rFonts w:hint="eastAsia" w:ascii="仿宋_GB2312" w:eastAsia="仿宋_GB2312" w:cs="仿宋_GB2312"/>
          <w:b w:val="0"/>
          <w:bCs w:val="0"/>
          <w:i w:val="0"/>
          <w:iCs w:val="0"/>
          <w:sz w:val="32"/>
          <w:szCs w:val="32"/>
          <w:shd w:val="clear" w:fill="FFFFFF"/>
        </w:rPr>
        <w:t>万元，完成预算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。支出</w:t>
      </w:r>
      <w:r>
        <w:rPr>
          <w:rFonts w:hint="eastAsia" w:ascii="宋体" w:hAnsi="宋体" w:eastAsia="宋体" w:cs="宋体"/>
          <w:b w:val="0"/>
          <w:bCs w:val="0"/>
          <w:i w:val="0"/>
          <w:iCs w:val="0"/>
          <w:sz w:val="32"/>
          <w:szCs w:val="32"/>
          <w:shd w:val="clear" w:fill="FFFFFF"/>
        </w:rPr>
        <w:t>59.52</w:t>
      </w:r>
      <w:r>
        <w:rPr>
          <w:rFonts w:hint="eastAsia" w:ascii="仿宋_GB2312" w:eastAsia="仿宋_GB2312" w:cs="仿宋_GB2312"/>
          <w:b w:val="0"/>
          <w:bCs w:val="0"/>
          <w:i w:val="0"/>
          <w:iCs w:val="0"/>
          <w:sz w:val="32"/>
          <w:szCs w:val="32"/>
          <w:shd w:val="clear" w:fill="FFFFFF"/>
        </w:rPr>
        <w:t>，完成预算</w:t>
      </w:r>
      <w:r>
        <w:rPr>
          <w:rFonts w:hint="eastAsia" w:ascii="宋体" w:hAnsi="宋体" w:eastAsia="宋体" w:cs="宋体"/>
          <w:b w:val="0"/>
          <w:bCs w:val="0"/>
          <w:i w:val="0"/>
          <w:iCs w:val="0"/>
          <w:sz w:val="32"/>
          <w:szCs w:val="32"/>
          <w:shd w:val="clear" w:fill="FFFFFF"/>
        </w:rPr>
        <w:t>100%</w:t>
      </w:r>
      <w:r>
        <w:rPr>
          <w:rFonts w:hint="eastAsia" w:ascii="仿宋_GB2312" w:eastAsia="仿宋_GB2312" w:cs="仿宋_GB2312"/>
          <w:b w:val="0"/>
          <w:bCs w:val="0"/>
          <w:i w:val="0"/>
          <w:iCs w:val="0"/>
          <w:sz w:val="32"/>
          <w:szCs w:val="32"/>
          <w:shd w:val="clear" w:fill="FFFFFF"/>
        </w:rPr>
        <w:t>。</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rPr>
      </w:pPr>
      <w:bookmarkStart w:id="95" w:name="_Toc27592"/>
      <w:bookmarkStart w:id="96" w:name="_Toc15377214"/>
      <w:bookmarkStart w:id="97" w:name="_Toc11554"/>
      <w:bookmarkStart w:id="98" w:name="_Toc17239"/>
      <w:bookmarkStart w:id="99" w:name="_Toc15396608"/>
      <w:bookmarkStart w:id="100" w:name="_Toc24200"/>
      <w:bookmarkStart w:id="101" w:name="_Toc9240"/>
      <w:bookmarkStart w:id="102" w:name="_Toc5651"/>
      <w:bookmarkStart w:id="103" w:name="_Toc8322"/>
      <w:r>
        <w:rPr>
          <w:rFonts w:hint="eastAsia" w:ascii="黑体" w:hAnsi="黑体" w:eastAsia="黑体" w:cs="黑体"/>
          <w:color w:val="000000"/>
          <w:sz w:val="32"/>
          <w:szCs w:val="32"/>
          <w:lang w:val="en-US" w:eastAsia="zh-CN"/>
        </w:rPr>
        <w:t>六、</w:t>
      </w:r>
      <w:r>
        <w:rPr>
          <w:rFonts w:hint="eastAsia" w:ascii="黑体" w:hAnsi="黑体" w:eastAsia="黑体" w:cs="黑体"/>
          <w:color w:val="000000"/>
          <w:sz w:val="32"/>
          <w:szCs w:val="32"/>
        </w:rPr>
        <w:t>一般公共预算财政拨款基本支出决算情况说明</w:t>
      </w:r>
      <w:bookmarkEnd w:id="95"/>
      <w:bookmarkEnd w:id="96"/>
      <w:bookmarkEnd w:id="97"/>
      <w:bookmarkEnd w:id="98"/>
      <w:bookmarkEnd w:id="99"/>
      <w:bookmarkEnd w:id="100"/>
      <w:bookmarkEnd w:id="101"/>
      <w:bookmarkEnd w:id="102"/>
      <w:bookmarkEnd w:id="103"/>
    </w:p>
    <w:p>
      <w:pPr>
        <w:pStyle w:val="17"/>
        <w:keepNext w:val="0"/>
        <w:keepLines w:val="0"/>
        <w:pageBreakBefore w:val="0"/>
        <w:widowControl/>
        <w:numPr>
          <w:ilvl w:val="0"/>
          <w:numId w:val="0"/>
        </w:numPr>
        <w:suppressLineNumbers w:val="0"/>
        <w:tabs>
          <w:tab w:val="left" w:pos="0"/>
        </w:tabs>
        <w:kinsoku/>
        <w:wordWrap/>
        <w:overflowPunct/>
        <w:topLinePunct w:val="0"/>
        <w:autoSpaceDE w:val="0"/>
        <w:autoSpaceDN/>
        <w:bidi w:val="0"/>
        <w:spacing w:before="0" w:beforeAutospacing="0" w:after="0" w:afterAutospacing="0" w:line="560" w:lineRule="exact"/>
        <w:ind w:right="0" w:rightChars="0" w:firstLine="640" w:firstLineChars="200"/>
        <w:jc w:val="both"/>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lang w:val="en-US" w:eastAsia="zh-CN"/>
        </w:rPr>
        <w:t>本年度</w:t>
      </w:r>
      <w:r>
        <w:rPr>
          <w:rFonts w:hint="eastAsia" w:ascii="仿宋_GB2312" w:eastAsia="仿宋_GB2312" w:cs="仿宋_GB2312"/>
          <w:b w:val="0"/>
          <w:bCs w:val="0"/>
          <w:i w:val="0"/>
          <w:iCs w:val="0"/>
          <w:sz w:val="32"/>
          <w:szCs w:val="32"/>
          <w:shd w:val="clear" w:fill="FFFFFF"/>
        </w:rPr>
        <w:t>一般公共预算财政拨款基本支出</w:t>
      </w:r>
      <w:r>
        <w:rPr>
          <w:rFonts w:hint="eastAsia" w:ascii="仿宋_GB2312" w:eastAsia="仿宋_GB2312" w:cs="仿宋_GB2312"/>
          <w:b w:val="0"/>
          <w:bCs w:val="0"/>
          <w:i w:val="0"/>
          <w:iCs w:val="0"/>
          <w:sz w:val="32"/>
          <w:szCs w:val="32"/>
          <w:shd w:val="clear" w:fill="FFFFFF"/>
          <w:lang w:val="en-US" w:eastAsia="zh-CN"/>
        </w:rPr>
        <w:t>839.94</w:t>
      </w:r>
      <w:r>
        <w:rPr>
          <w:rFonts w:hint="eastAsia" w:ascii="仿宋_GB2312" w:eastAsia="仿宋_GB2312" w:cs="仿宋_GB2312"/>
          <w:b w:val="0"/>
          <w:bCs w:val="0"/>
          <w:i w:val="0"/>
          <w:iCs w:val="0"/>
          <w:sz w:val="32"/>
          <w:szCs w:val="32"/>
          <w:shd w:val="clear" w:fill="FFFFFF"/>
        </w:rPr>
        <w:t>万元，其中：</w:t>
      </w:r>
    </w:p>
    <w:p>
      <w:pPr>
        <w:pStyle w:val="17"/>
        <w:keepNext w:val="0"/>
        <w:keepLines w:val="0"/>
        <w:pageBreakBefore w:val="0"/>
        <w:widowControl/>
        <w:numPr>
          <w:ilvl w:val="0"/>
          <w:numId w:val="0"/>
        </w:numPr>
        <w:suppressLineNumbers w:val="0"/>
        <w:tabs>
          <w:tab w:val="left" w:pos="0"/>
        </w:tabs>
        <w:kinsoku/>
        <w:wordWrap/>
        <w:overflowPunct/>
        <w:topLinePunct w:val="0"/>
        <w:autoSpaceDE w:val="0"/>
        <w:autoSpaceDN/>
        <w:bidi w:val="0"/>
        <w:spacing w:before="0" w:beforeAutospacing="0" w:after="0" w:afterAutospacing="0" w:line="560" w:lineRule="exact"/>
        <w:ind w:right="0" w:rightChars="0" w:firstLine="640" w:firstLineChars="200"/>
        <w:jc w:val="both"/>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rPr>
        <w:t>人员经费</w:t>
      </w:r>
      <w:r>
        <w:rPr>
          <w:rFonts w:hint="eastAsia" w:ascii="仿宋_GB2312" w:eastAsia="仿宋_GB2312" w:cs="仿宋_GB2312"/>
          <w:b w:val="0"/>
          <w:bCs w:val="0"/>
          <w:i w:val="0"/>
          <w:iCs w:val="0"/>
          <w:sz w:val="32"/>
          <w:szCs w:val="32"/>
          <w:shd w:val="clear" w:fill="FFFFFF"/>
          <w:lang w:val="en-US" w:eastAsia="zh-CN"/>
        </w:rPr>
        <w:t>791.73</w:t>
      </w:r>
      <w:r>
        <w:rPr>
          <w:rFonts w:hint="eastAsia" w:ascii="仿宋_GB2312" w:eastAsia="仿宋_GB2312" w:cs="仿宋_GB2312"/>
          <w:b w:val="0"/>
          <w:bCs w:val="0"/>
          <w:i w:val="0"/>
          <w:iCs w:val="0"/>
          <w:sz w:val="32"/>
          <w:szCs w:val="32"/>
          <w:shd w:val="clear" w:fill="FFFFFF"/>
        </w:rPr>
        <w:t>万元，主要包括：基本工资</w:t>
      </w:r>
      <w:r>
        <w:rPr>
          <w:rFonts w:hint="eastAsia" w:ascii="仿宋_GB2312" w:eastAsia="仿宋_GB2312" w:cs="仿宋_GB2312"/>
          <w:b w:val="0"/>
          <w:bCs w:val="0"/>
          <w:i w:val="0"/>
          <w:iCs w:val="0"/>
          <w:sz w:val="32"/>
          <w:szCs w:val="32"/>
          <w:shd w:val="clear" w:fill="FFFFFF"/>
          <w:lang w:val="en-US" w:eastAsia="zh-CN"/>
        </w:rPr>
        <w:t>123.24万元、</w:t>
      </w:r>
      <w:r>
        <w:rPr>
          <w:rFonts w:hint="eastAsia" w:ascii="仿宋_GB2312" w:eastAsia="仿宋_GB2312" w:cs="仿宋_GB2312"/>
          <w:b w:val="0"/>
          <w:bCs w:val="0"/>
          <w:i w:val="0"/>
          <w:iCs w:val="0"/>
          <w:sz w:val="32"/>
          <w:szCs w:val="32"/>
          <w:shd w:val="clear" w:fill="FFFFFF"/>
        </w:rPr>
        <w:t>津贴补贴</w:t>
      </w:r>
      <w:r>
        <w:rPr>
          <w:rFonts w:hint="eastAsia" w:ascii="仿宋_GB2312" w:eastAsia="仿宋_GB2312" w:cs="仿宋_GB2312"/>
          <w:b w:val="0"/>
          <w:bCs w:val="0"/>
          <w:i w:val="0"/>
          <w:iCs w:val="0"/>
          <w:sz w:val="32"/>
          <w:szCs w:val="32"/>
          <w:shd w:val="clear" w:fill="FFFFFF"/>
          <w:lang w:val="en-US" w:eastAsia="zh-CN"/>
        </w:rPr>
        <w:t>436.61万元</w:t>
      </w:r>
      <w:r>
        <w:rPr>
          <w:rFonts w:hint="eastAsia" w:ascii="仿宋_GB2312" w:eastAsia="仿宋_GB2312" w:cs="仿宋_GB2312"/>
          <w:b w:val="0"/>
          <w:bCs w:val="0"/>
          <w:i w:val="0"/>
          <w:iCs w:val="0"/>
          <w:sz w:val="32"/>
          <w:szCs w:val="32"/>
          <w:shd w:val="clear" w:fill="FFFFFF"/>
        </w:rPr>
        <w:t>、奖金</w:t>
      </w:r>
      <w:r>
        <w:rPr>
          <w:rFonts w:hint="eastAsia" w:ascii="仿宋_GB2312" w:eastAsia="仿宋_GB2312" w:cs="仿宋_GB2312"/>
          <w:b w:val="0"/>
          <w:bCs w:val="0"/>
          <w:i w:val="0"/>
          <w:iCs w:val="0"/>
          <w:sz w:val="32"/>
          <w:szCs w:val="32"/>
          <w:shd w:val="clear" w:fill="FFFFFF"/>
          <w:lang w:val="en-US" w:eastAsia="zh-CN"/>
        </w:rPr>
        <w:t>5.44万元</w:t>
      </w:r>
      <w:r>
        <w:rPr>
          <w:rFonts w:hint="eastAsia" w:ascii="仿宋_GB2312" w:eastAsia="仿宋_GB2312" w:cs="仿宋_GB2312"/>
          <w:b w:val="0"/>
          <w:bCs w:val="0"/>
          <w:i w:val="0"/>
          <w:iCs w:val="0"/>
          <w:sz w:val="32"/>
          <w:szCs w:val="32"/>
          <w:shd w:val="clear" w:fill="FFFFFF"/>
        </w:rPr>
        <w:t>、绩效工资</w:t>
      </w:r>
      <w:r>
        <w:rPr>
          <w:rFonts w:hint="eastAsia" w:ascii="仿宋_GB2312" w:eastAsia="仿宋_GB2312" w:cs="仿宋_GB2312"/>
          <w:b w:val="0"/>
          <w:bCs w:val="0"/>
          <w:i w:val="0"/>
          <w:iCs w:val="0"/>
          <w:sz w:val="32"/>
          <w:szCs w:val="32"/>
          <w:shd w:val="clear" w:fill="FFFFFF"/>
          <w:lang w:val="en-US" w:eastAsia="zh-CN"/>
        </w:rPr>
        <w:t>10.98万元</w:t>
      </w:r>
      <w:r>
        <w:rPr>
          <w:rFonts w:hint="eastAsia" w:ascii="仿宋_GB2312" w:eastAsia="仿宋_GB2312" w:cs="仿宋_GB2312"/>
          <w:b w:val="0"/>
          <w:bCs w:val="0"/>
          <w:i w:val="0"/>
          <w:iCs w:val="0"/>
          <w:sz w:val="32"/>
          <w:szCs w:val="32"/>
          <w:shd w:val="clear" w:fill="FFFFFF"/>
        </w:rPr>
        <w:t>、机关事业单位基本养老保险缴费</w:t>
      </w:r>
      <w:r>
        <w:rPr>
          <w:rFonts w:hint="eastAsia" w:ascii="仿宋_GB2312" w:eastAsia="仿宋_GB2312" w:cs="仿宋_GB2312"/>
          <w:b w:val="0"/>
          <w:bCs w:val="0"/>
          <w:i w:val="0"/>
          <w:iCs w:val="0"/>
          <w:sz w:val="32"/>
          <w:szCs w:val="32"/>
          <w:shd w:val="clear" w:fill="FFFFFF"/>
          <w:lang w:val="en-US" w:eastAsia="zh-CN"/>
        </w:rPr>
        <w:t>53.18万元</w:t>
      </w:r>
      <w:r>
        <w:rPr>
          <w:rFonts w:hint="eastAsia" w:ascii="仿宋_GB2312" w:eastAsia="仿宋_GB2312" w:cs="仿宋_GB2312"/>
          <w:b w:val="0"/>
          <w:bCs w:val="0"/>
          <w:i w:val="0"/>
          <w:iCs w:val="0"/>
          <w:sz w:val="32"/>
          <w:szCs w:val="32"/>
          <w:shd w:val="clear" w:fill="FFFFFF"/>
        </w:rPr>
        <w:t>、职业年金缴费</w:t>
      </w:r>
      <w:r>
        <w:rPr>
          <w:rFonts w:hint="eastAsia" w:ascii="仿宋_GB2312" w:eastAsia="仿宋_GB2312" w:cs="仿宋_GB2312"/>
          <w:b w:val="0"/>
          <w:bCs w:val="0"/>
          <w:i w:val="0"/>
          <w:iCs w:val="0"/>
          <w:sz w:val="32"/>
          <w:szCs w:val="32"/>
          <w:shd w:val="clear" w:fill="FFFFFF"/>
          <w:lang w:val="en-US" w:eastAsia="zh-CN"/>
        </w:rPr>
        <w:t>26.57万元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职工基本医疗保险缴费28.01万元、公务员医疗补助缴费7.47万元、</w:t>
      </w:r>
      <w:r>
        <w:rPr>
          <w:rFonts w:hint="eastAsia" w:ascii="仿宋_GB2312" w:eastAsia="仿宋_GB2312" w:cs="仿宋_GB2312"/>
          <w:b w:val="0"/>
          <w:bCs w:val="0"/>
          <w:i w:val="0"/>
          <w:iCs w:val="0"/>
          <w:sz w:val="32"/>
          <w:szCs w:val="32"/>
          <w:shd w:val="clear" w:fill="FFFFFF"/>
        </w:rPr>
        <w:t>其他社会保障缴费</w:t>
      </w:r>
      <w:r>
        <w:rPr>
          <w:rFonts w:hint="eastAsia" w:ascii="仿宋_GB2312" w:eastAsia="仿宋_GB2312" w:cs="仿宋_GB2312"/>
          <w:b w:val="0"/>
          <w:bCs w:val="0"/>
          <w:i w:val="0"/>
          <w:iCs w:val="0"/>
          <w:sz w:val="32"/>
          <w:szCs w:val="32"/>
          <w:shd w:val="clear" w:fill="FFFFFF"/>
          <w:lang w:val="en-US" w:eastAsia="zh-CN"/>
        </w:rPr>
        <w:t>6.46万元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住房公积金59.52万元、医疗费3.71万元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对个人和家庭的补助30.50万元。</w:t>
      </w:r>
    </w:p>
    <w:p>
      <w:pPr>
        <w:pStyle w:val="17"/>
        <w:keepNext w:val="0"/>
        <w:keepLines w:val="0"/>
        <w:pageBreakBefore w:val="0"/>
        <w:widowControl/>
        <w:numPr>
          <w:ilvl w:val="0"/>
          <w:numId w:val="0"/>
        </w:numPr>
        <w:suppressLineNumbers w:val="0"/>
        <w:tabs>
          <w:tab w:val="left" w:pos="0"/>
        </w:tabs>
        <w:kinsoku/>
        <w:wordWrap/>
        <w:overflowPunct/>
        <w:topLinePunct w:val="0"/>
        <w:autoSpaceDE w:val="0"/>
        <w:autoSpaceDN/>
        <w:bidi w:val="0"/>
        <w:spacing w:before="0" w:beforeAutospacing="0" w:after="0" w:afterAutospacing="0" w:line="560" w:lineRule="exact"/>
        <w:ind w:right="0" w:rightChars="0" w:firstLine="640" w:firstLineChars="200"/>
        <w:jc w:val="both"/>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rPr>
        <w:t>日常公用经费</w:t>
      </w:r>
      <w:r>
        <w:rPr>
          <w:rFonts w:hint="eastAsia" w:ascii="仿宋_GB2312" w:eastAsia="仿宋_GB2312" w:cs="仿宋_GB2312"/>
          <w:b w:val="0"/>
          <w:bCs w:val="0"/>
          <w:i w:val="0"/>
          <w:iCs w:val="0"/>
          <w:sz w:val="32"/>
          <w:szCs w:val="32"/>
          <w:shd w:val="clear" w:fill="FFFFFF"/>
          <w:lang w:val="en-US" w:eastAsia="zh-CN"/>
        </w:rPr>
        <w:t>482.03</w:t>
      </w:r>
      <w:r>
        <w:rPr>
          <w:rFonts w:hint="eastAsia" w:ascii="仿宋_GB2312" w:eastAsia="仿宋_GB2312" w:cs="仿宋_GB2312"/>
          <w:b w:val="0"/>
          <w:bCs w:val="0"/>
          <w:i w:val="0"/>
          <w:iCs w:val="0"/>
          <w:sz w:val="32"/>
          <w:szCs w:val="32"/>
          <w:shd w:val="clear" w:fill="FFFFFF"/>
        </w:rPr>
        <w:t>万元，主要包括：办公费</w:t>
      </w:r>
      <w:r>
        <w:rPr>
          <w:rFonts w:hint="eastAsia" w:ascii="仿宋_GB2312" w:eastAsia="仿宋_GB2312" w:cs="仿宋_GB2312"/>
          <w:b w:val="0"/>
          <w:bCs w:val="0"/>
          <w:i w:val="0"/>
          <w:iCs w:val="0"/>
          <w:sz w:val="32"/>
          <w:szCs w:val="32"/>
          <w:shd w:val="clear" w:fill="FFFFFF"/>
          <w:lang w:val="en-US" w:eastAsia="zh-CN"/>
        </w:rPr>
        <w:t>17.31万元</w:t>
      </w:r>
      <w:r>
        <w:rPr>
          <w:rFonts w:hint="eastAsia" w:ascii="仿宋_GB2312" w:eastAsia="仿宋_GB2312" w:cs="仿宋_GB2312"/>
          <w:b w:val="0"/>
          <w:bCs w:val="0"/>
          <w:i w:val="0"/>
          <w:iCs w:val="0"/>
          <w:sz w:val="32"/>
          <w:szCs w:val="32"/>
          <w:shd w:val="clear" w:fill="FFFFFF"/>
        </w:rPr>
        <w:t>、印刷费</w:t>
      </w:r>
      <w:r>
        <w:rPr>
          <w:rFonts w:hint="eastAsia" w:ascii="仿宋_GB2312" w:eastAsia="仿宋_GB2312" w:cs="仿宋_GB2312"/>
          <w:b w:val="0"/>
          <w:bCs w:val="0"/>
          <w:i w:val="0"/>
          <w:iCs w:val="0"/>
          <w:sz w:val="32"/>
          <w:szCs w:val="32"/>
          <w:shd w:val="clear" w:fill="FFFFFF"/>
          <w:lang w:val="en-US" w:eastAsia="zh-CN"/>
        </w:rPr>
        <w:t>4.7万元、</w:t>
      </w:r>
      <w:r>
        <w:rPr>
          <w:rFonts w:hint="eastAsia" w:ascii="仿宋_GB2312" w:eastAsia="仿宋_GB2312" w:cs="仿宋_GB2312"/>
          <w:b w:val="0"/>
          <w:bCs w:val="0"/>
          <w:i w:val="0"/>
          <w:iCs w:val="0"/>
          <w:sz w:val="32"/>
          <w:szCs w:val="32"/>
          <w:shd w:val="clear" w:fill="FFFFFF"/>
        </w:rPr>
        <w:t>电费</w:t>
      </w:r>
      <w:r>
        <w:rPr>
          <w:rFonts w:hint="eastAsia" w:ascii="仿宋_GB2312" w:eastAsia="仿宋_GB2312" w:cs="仿宋_GB2312"/>
          <w:b w:val="0"/>
          <w:bCs w:val="0"/>
          <w:i w:val="0"/>
          <w:iCs w:val="0"/>
          <w:sz w:val="32"/>
          <w:szCs w:val="32"/>
          <w:shd w:val="clear" w:fill="FFFFFF"/>
          <w:lang w:val="en-US" w:eastAsia="zh-CN"/>
        </w:rPr>
        <w:t>2.24万元</w:t>
      </w:r>
      <w:r>
        <w:rPr>
          <w:rFonts w:hint="eastAsia" w:ascii="仿宋_GB2312" w:eastAsia="仿宋_GB2312" w:cs="仿宋_GB2312"/>
          <w:b w:val="0"/>
          <w:bCs w:val="0"/>
          <w:i w:val="0"/>
          <w:iCs w:val="0"/>
          <w:sz w:val="32"/>
          <w:szCs w:val="32"/>
          <w:shd w:val="clear" w:fill="FFFFFF"/>
        </w:rPr>
        <w:t>、邮电费</w:t>
      </w:r>
      <w:r>
        <w:rPr>
          <w:rFonts w:hint="eastAsia" w:ascii="仿宋_GB2312" w:eastAsia="仿宋_GB2312" w:cs="仿宋_GB2312"/>
          <w:b w:val="0"/>
          <w:bCs w:val="0"/>
          <w:i w:val="0"/>
          <w:iCs w:val="0"/>
          <w:sz w:val="32"/>
          <w:szCs w:val="32"/>
          <w:shd w:val="clear" w:fill="FFFFFF"/>
          <w:lang w:val="en-US" w:eastAsia="zh-CN"/>
        </w:rPr>
        <w:t>0.5万元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取暖费3.5万元、</w:t>
      </w:r>
      <w:r>
        <w:rPr>
          <w:rFonts w:hint="eastAsia" w:ascii="仿宋_GB2312" w:eastAsia="仿宋_GB2312" w:cs="仿宋_GB2312"/>
          <w:b w:val="0"/>
          <w:bCs w:val="0"/>
          <w:i w:val="0"/>
          <w:iCs w:val="0"/>
          <w:sz w:val="32"/>
          <w:szCs w:val="32"/>
          <w:shd w:val="clear" w:fill="FFFFFF"/>
        </w:rPr>
        <w:t>差旅费</w:t>
      </w:r>
      <w:r>
        <w:rPr>
          <w:rFonts w:hint="eastAsia" w:ascii="仿宋_GB2312" w:eastAsia="仿宋_GB2312" w:cs="仿宋_GB2312"/>
          <w:b w:val="0"/>
          <w:bCs w:val="0"/>
          <w:i w:val="0"/>
          <w:iCs w:val="0"/>
          <w:sz w:val="32"/>
          <w:szCs w:val="32"/>
          <w:shd w:val="clear" w:fill="FFFFFF"/>
          <w:lang w:val="en-US" w:eastAsia="zh-CN"/>
        </w:rPr>
        <w:t>1.49万元</w:t>
      </w:r>
      <w:r>
        <w:rPr>
          <w:rFonts w:hint="eastAsia" w:ascii="仿宋_GB2312" w:eastAsia="仿宋_GB2312" w:cs="仿宋_GB2312"/>
          <w:b w:val="0"/>
          <w:bCs w:val="0"/>
          <w:i w:val="0"/>
          <w:iCs w:val="0"/>
          <w:sz w:val="32"/>
          <w:szCs w:val="32"/>
          <w:shd w:val="clear" w:fill="FFFFFF"/>
        </w:rPr>
        <w:t>、会议费</w:t>
      </w:r>
      <w:r>
        <w:rPr>
          <w:rFonts w:hint="eastAsia" w:ascii="仿宋_GB2312" w:eastAsia="仿宋_GB2312" w:cs="仿宋_GB2312"/>
          <w:b w:val="0"/>
          <w:bCs w:val="0"/>
          <w:i w:val="0"/>
          <w:iCs w:val="0"/>
          <w:sz w:val="32"/>
          <w:szCs w:val="32"/>
          <w:shd w:val="clear" w:fill="FFFFFF"/>
          <w:lang w:val="en-US" w:eastAsia="zh-CN"/>
        </w:rPr>
        <w:t>0.8万元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维修（护）费：1万元、</w:t>
      </w:r>
      <w:r>
        <w:rPr>
          <w:rFonts w:hint="eastAsia" w:ascii="仿宋_GB2312" w:eastAsia="仿宋_GB2312" w:cs="仿宋_GB2312"/>
          <w:b w:val="0"/>
          <w:bCs w:val="0"/>
          <w:i w:val="0"/>
          <w:iCs w:val="0"/>
          <w:sz w:val="32"/>
          <w:szCs w:val="32"/>
          <w:shd w:val="clear" w:fill="FFFFFF"/>
        </w:rPr>
        <w:t>培训费</w:t>
      </w:r>
      <w:r>
        <w:rPr>
          <w:rFonts w:hint="eastAsia" w:ascii="仿宋_GB2312" w:eastAsia="仿宋_GB2312" w:cs="仿宋_GB2312"/>
          <w:b w:val="0"/>
          <w:bCs w:val="0"/>
          <w:i w:val="0"/>
          <w:iCs w:val="0"/>
          <w:sz w:val="32"/>
          <w:szCs w:val="32"/>
          <w:shd w:val="clear" w:fill="FFFFFF"/>
          <w:lang w:val="en-US" w:eastAsia="zh-CN"/>
        </w:rPr>
        <w:t>1万元</w:t>
      </w:r>
      <w:r>
        <w:rPr>
          <w:rFonts w:hint="eastAsia" w:ascii="仿宋_GB2312" w:eastAsia="仿宋_GB2312" w:cs="仿宋_GB2312"/>
          <w:b w:val="0"/>
          <w:bCs w:val="0"/>
          <w:i w:val="0"/>
          <w:iCs w:val="0"/>
          <w:sz w:val="32"/>
          <w:szCs w:val="32"/>
          <w:shd w:val="clear" w:fill="FFFFFF"/>
        </w:rPr>
        <w:t>、劳务费</w:t>
      </w:r>
      <w:r>
        <w:rPr>
          <w:rFonts w:hint="eastAsia" w:ascii="仿宋_GB2312" w:eastAsia="仿宋_GB2312" w:cs="仿宋_GB2312"/>
          <w:b w:val="0"/>
          <w:bCs w:val="0"/>
          <w:i w:val="0"/>
          <w:iCs w:val="0"/>
          <w:sz w:val="32"/>
          <w:szCs w:val="32"/>
          <w:shd w:val="clear" w:fill="FFFFFF"/>
          <w:lang w:val="en-US" w:eastAsia="zh-CN"/>
        </w:rPr>
        <w:t>0.82万元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接待费0.52万元、</w:t>
      </w:r>
      <w:r>
        <w:rPr>
          <w:rFonts w:hint="eastAsia" w:ascii="仿宋_GB2312" w:eastAsia="仿宋_GB2312" w:cs="仿宋_GB2312"/>
          <w:b w:val="0"/>
          <w:bCs w:val="0"/>
          <w:i w:val="0"/>
          <w:iCs w:val="0"/>
          <w:sz w:val="32"/>
          <w:szCs w:val="32"/>
          <w:shd w:val="clear" w:fill="FFFFFF"/>
        </w:rPr>
        <w:t>公务用车运行维护费</w:t>
      </w:r>
      <w:r>
        <w:rPr>
          <w:rFonts w:hint="eastAsia" w:ascii="仿宋_GB2312" w:eastAsia="仿宋_GB2312" w:cs="仿宋_GB2312"/>
          <w:b w:val="0"/>
          <w:bCs w:val="0"/>
          <w:i w:val="0"/>
          <w:iCs w:val="0"/>
          <w:sz w:val="32"/>
          <w:szCs w:val="32"/>
          <w:shd w:val="clear" w:fill="FFFFFF"/>
          <w:lang w:val="en-US" w:eastAsia="zh-CN"/>
        </w:rPr>
        <w:t>14.3万元。</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104" w:name="_Toc15377215"/>
      <w:bookmarkStart w:id="105" w:name="_Toc10013"/>
      <w:bookmarkStart w:id="106" w:name="_Toc19193"/>
      <w:bookmarkStart w:id="107" w:name="_Toc31636"/>
      <w:bookmarkStart w:id="108" w:name="_Toc15396609"/>
      <w:bookmarkStart w:id="109" w:name="_Toc20509"/>
      <w:bookmarkStart w:id="110" w:name="_Toc25849"/>
      <w:bookmarkStart w:id="111" w:name="_Toc14666"/>
      <w:bookmarkStart w:id="112" w:name="_Toc26516"/>
      <w:r>
        <w:rPr>
          <w:rFonts w:hint="eastAsia" w:ascii="黑体" w:hAnsi="黑体" w:eastAsia="黑体" w:cs="黑体"/>
          <w:color w:val="000000"/>
          <w:sz w:val="32"/>
          <w:szCs w:val="32"/>
          <w:lang w:val="en-US" w:eastAsia="zh-CN"/>
        </w:rPr>
        <w:t>七、“三公”经费财政拨款支出决算情况说明</w:t>
      </w:r>
      <w:bookmarkEnd w:id="104"/>
      <w:bookmarkEnd w:id="105"/>
      <w:bookmarkEnd w:id="106"/>
      <w:bookmarkEnd w:id="107"/>
      <w:bookmarkEnd w:id="108"/>
      <w:bookmarkEnd w:id="109"/>
      <w:bookmarkEnd w:id="110"/>
      <w:bookmarkEnd w:id="111"/>
      <w:bookmarkEnd w:id="112"/>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bookmarkStart w:id="113" w:name="_Toc15377216"/>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（一）“三公”经费财政拨款支出决算总体情况说明</w:t>
      </w:r>
      <w:bookmarkEnd w:id="113"/>
    </w:p>
    <w:p>
      <w:pPr>
        <w:pageBreakBefore w:val="0"/>
        <w:kinsoku/>
        <w:wordWrap/>
        <w:overflowPunct/>
        <w:topLinePunct w:val="0"/>
        <w:bidi w:val="0"/>
        <w:spacing w:line="560" w:lineRule="exact"/>
        <w:ind w:firstLine="640"/>
        <w:rPr>
          <w:rFonts w:hint="eastAsia" w:ascii="仿宋_GB2312" w:hAnsi="仿宋_GB2312" w:eastAsia="仿宋_GB2312" w:cs="仿宋_GB2312"/>
          <w:color w:val="000000"/>
          <w:sz w:val="30"/>
          <w:szCs w:val="30"/>
        </w:rPr>
      </w:pPr>
      <w:r>
        <w:rPr>
          <w:rFonts w:hint="eastAsia" w:ascii="仿宋_GB2312" w:eastAsia="仿宋_GB2312" w:cs="仿宋_GB2312"/>
          <w:b w:val="0"/>
          <w:bCs w:val="0"/>
          <w:i w:val="0"/>
          <w:iCs w:val="0"/>
          <w:sz w:val="32"/>
          <w:szCs w:val="32"/>
          <w:shd w:val="clear" w:fill="FFFFFF"/>
        </w:rPr>
        <w:t>本单位本年度</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三公</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经费支出决算数为</w:t>
      </w:r>
      <w:r>
        <w:rPr>
          <w:rFonts w:hint="eastAsia" w:ascii="宋体" w:hAnsi="宋体" w:eastAsia="宋体" w:cs="宋体"/>
          <w:b w:val="0"/>
          <w:bCs w:val="0"/>
          <w:i w:val="0"/>
          <w:iCs w:val="0"/>
          <w:sz w:val="32"/>
          <w:szCs w:val="32"/>
          <w:shd w:val="clear" w:fill="FFFFFF"/>
        </w:rPr>
        <w:t>14.8</w:t>
      </w:r>
      <w:r>
        <w:rPr>
          <w:rFonts w:hint="eastAsia" w:ascii="宋体" w:hAnsi="宋体" w:eastAsia="宋体" w:cs="宋体"/>
          <w:b w:val="0"/>
          <w:bCs w:val="0"/>
          <w:i w:val="0"/>
          <w:iCs w:val="0"/>
          <w:sz w:val="32"/>
          <w:szCs w:val="32"/>
          <w:shd w:val="clear" w:fill="FFFFFF"/>
          <w:lang w:val="en-US" w:eastAsia="zh-CN"/>
        </w:rPr>
        <w:t>2</w:t>
      </w:r>
      <w:r>
        <w:rPr>
          <w:rFonts w:hint="eastAsia" w:ascii="仿宋_GB2312" w:eastAsia="仿宋_GB2312" w:cs="仿宋_GB2312"/>
          <w:b w:val="0"/>
          <w:bCs w:val="0"/>
          <w:i w:val="0"/>
          <w:iCs w:val="0"/>
          <w:sz w:val="32"/>
          <w:szCs w:val="32"/>
          <w:shd w:val="clear" w:fill="FFFFFF"/>
        </w:rPr>
        <w:t>万元。其中</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因公出国（境）费支出决算数为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万元，相比上年度增加</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万元；公务用车购置及运行维护费支出决算数为</w:t>
      </w:r>
      <w:r>
        <w:rPr>
          <w:rFonts w:hint="eastAsia" w:ascii="宋体" w:hAnsi="宋体" w:eastAsia="宋体" w:cs="宋体"/>
          <w:b w:val="0"/>
          <w:bCs w:val="0"/>
          <w:i w:val="0"/>
          <w:iCs w:val="0"/>
          <w:sz w:val="32"/>
          <w:szCs w:val="32"/>
          <w:shd w:val="clear" w:fill="FFFFFF"/>
        </w:rPr>
        <w:t>14.30</w:t>
      </w:r>
      <w:r>
        <w:rPr>
          <w:rFonts w:hint="eastAsia" w:ascii="仿宋_GB2312" w:eastAsia="仿宋_GB2312" w:cs="仿宋_GB2312"/>
          <w:b w:val="0"/>
          <w:bCs w:val="0"/>
          <w:i w:val="0"/>
          <w:iCs w:val="0"/>
          <w:sz w:val="32"/>
          <w:szCs w:val="32"/>
          <w:shd w:val="clear" w:fill="FFFFFF"/>
        </w:rPr>
        <w:t>万元，相比上年度增加</w:t>
      </w:r>
      <w:r>
        <w:rPr>
          <w:rFonts w:hint="eastAsia" w:ascii="宋体" w:hAnsi="宋体" w:eastAsia="宋体" w:cs="宋体"/>
          <w:b w:val="0"/>
          <w:bCs w:val="0"/>
          <w:i w:val="0"/>
          <w:iCs w:val="0"/>
          <w:sz w:val="32"/>
          <w:szCs w:val="32"/>
          <w:shd w:val="clear" w:fill="FFFFFF"/>
        </w:rPr>
        <w:t>4.7</w:t>
      </w:r>
      <w:r>
        <w:rPr>
          <w:rFonts w:hint="eastAsia" w:ascii="仿宋_GB2312" w:eastAsia="仿宋_GB2312" w:cs="仿宋_GB2312"/>
          <w:b w:val="0"/>
          <w:bCs w:val="0"/>
          <w:i w:val="0"/>
          <w:iCs w:val="0"/>
          <w:sz w:val="32"/>
          <w:szCs w:val="32"/>
          <w:shd w:val="clear" w:fill="FFFFFF"/>
        </w:rPr>
        <w:t>万元，</w:t>
      </w:r>
      <w:r>
        <w:rPr>
          <w:rStyle w:val="18"/>
          <w:rFonts w:hint="eastAsia" w:ascii="仿宋_GB2312" w:eastAsia="仿宋_GB2312" w:cs="仿宋_GB2312"/>
          <w:b w:val="0"/>
          <w:bCs w:val="0"/>
          <w:sz w:val="32"/>
          <w:szCs w:val="32"/>
          <w:shd w:val="clear" w:fill="FFFFFF"/>
        </w:rPr>
        <w:t>主要原因为新入捐赠车辆产生维护维修费</w:t>
      </w:r>
      <w:r>
        <w:rPr>
          <w:rFonts w:hint="eastAsia" w:ascii="仿宋_GB2312" w:eastAsia="仿宋_GB2312" w:cs="仿宋_GB2312"/>
          <w:b w:val="0"/>
          <w:bCs w:val="0"/>
          <w:i w:val="0"/>
          <w:iCs w:val="0"/>
          <w:sz w:val="32"/>
          <w:szCs w:val="32"/>
          <w:shd w:val="clear" w:fill="FFFFFF"/>
        </w:rPr>
        <w:t>；公务接待费支出决算数为</w:t>
      </w:r>
      <w:r>
        <w:rPr>
          <w:rFonts w:hint="eastAsia" w:ascii="宋体" w:hAnsi="宋体" w:eastAsia="宋体" w:cs="宋体"/>
          <w:b w:val="0"/>
          <w:bCs w:val="0"/>
          <w:i w:val="0"/>
          <w:iCs w:val="0"/>
          <w:sz w:val="32"/>
          <w:szCs w:val="32"/>
          <w:shd w:val="clear" w:fill="FFFFFF"/>
        </w:rPr>
        <w:t>0.52</w:t>
      </w:r>
      <w:r>
        <w:rPr>
          <w:rFonts w:hint="eastAsia" w:ascii="仿宋_GB2312" w:eastAsia="仿宋_GB2312" w:cs="仿宋_GB2312"/>
          <w:b w:val="0"/>
          <w:bCs w:val="0"/>
          <w:i w:val="0"/>
          <w:iCs w:val="0"/>
          <w:sz w:val="32"/>
          <w:szCs w:val="32"/>
          <w:shd w:val="clear" w:fill="FFFFFF"/>
        </w:rPr>
        <w:t>万元，相比上年度增加</w:t>
      </w:r>
      <w:r>
        <w:rPr>
          <w:rFonts w:hint="eastAsia" w:ascii="宋体" w:hAnsi="宋体" w:eastAsia="宋体" w:cs="宋体"/>
          <w:b w:val="0"/>
          <w:bCs w:val="0"/>
          <w:i w:val="0"/>
          <w:iCs w:val="0"/>
          <w:sz w:val="32"/>
          <w:szCs w:val="32"/>
          <w:shd w:val="clear" w:fill="FFFFFF"/>
        </w:rPr>
        <w:t>0</w:t>
      </w:r>
      <w:r>
        <w:rPr>
          <w:rFonts w:hint="eastAsia" w:ascii="仿宋_GB2312" w:eastAsia="仿宋_GB2312" w:cs="仿宋_GB2312"/>
          <w:b w:val="0"/>
          <w:bCs w:val="0"/>
          <w:i w:val="0"/>
          <w:iCs w:val="0"/>
          <w:sz w:val="32"/>
          <w:szCs w:val="32"/>
          <w:shd w:val="clear" w:fill="FFFFFF"/>
        </w:rPr>
        <w:t>万元。</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bookmarkStart w:id="114" w:name="_Toc15377217"/>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（二）“三公”经费财政拨款支出决算具体情况说明</w:t>
      </w:r>
      <w:bookmarkEnd w:id="114"/>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rPr>
        <w:t>本年度</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三公</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经费支出预算数为</w:t>
      </w:r>
      <w:r>
        <w:rPr>
          <w:rFonts w:hint="eastAsia" w:ascii="宋体" w:hAnsi="宋体" w:eastAsia="宋体" w:cs="宋体"/>
          <w:b w:val="0"/>
          <w:bCs w:val="0"/>
          <w:i w:val="0"/>
          <w:iCs w:val="0"/>
          <w:sz w:val="32"/>
          <w:szCs w:val="32"/>
          <w:shd w:val="clear" w:fill="FFFFFF"/>
        </w:rPr>
        <w:t>14.8</w:t>
      </w:r>
      <w:r>
        <w:rPr>
          <w:rFonts w:hint="eastAsia" w:cs="宋体"/>
          <w:b w:val="0"/>
          <w:bCs w:val="0"/>
          <w:i w:val="0"/>
          <w:iCs w:val="0"/>
          <w:sz w:val="32"/>
          <w:szCs w:val="32"/>
          <w:shd w:val="clear" w:fill="FFFFFF"/>
          <w:lang w:val="en-US" w:eastAsia="zh-CN"/>
        </w:rPr>
        <w:t>2</w:t>
      </w:r>
      <w:r>
        <w:rPr>
          <w:rFonts w:hint="eastAsia" w:ascii="仿宋_GB2312" w:eastAsia="仿宋_GB2312" w:cs="仿宋_GB2312"/>
          <w:b w:val="0"/>
          <w:bCs w:val="0"/>
          <w:i w:val="0"/>
          <w:iCs w:val="0"/>
          <w:sz w:val="32"/>
          <w:szCs w:val="32"/>
          <w:shd w:val="clear" w:fill="FFFFFF"/>
        </w:rPr>
        <w:t>万元，决算数为</w:t>
      </w:r>
      <w:r>
        <w:rPr>
          <w:rFonts w:hint="eastAsia" w:ascii="宋体" w:hAnsi="宋体" w:eastAsia="宋体" w:cs="宋体"/>
          <w:b w:val="0"/>
          <w:bCs w:val="0"/>
          <w:i w:val="0"/>
          <w:iCs w:val="0"/>
          <w:sz w:val="32"/>
          <w:szCs w:val="32"/>
          <w:shd w:val="clear" w:fill="FFFFFF"/>
        </w:rPr>
        <w:t>14.83</w:t>
      </w:r>
      <w:r>
        <w:rPr>
          <w:rFonts w:hint="eastAsia" w:ascii="仿宋_GB2312" w:eastAsia="仿宋_GB2312" w:cs="仿宋_GB2312"/>
          <w:b w:val="0"/>
          <w:bCs w:val="0"/>
          <w:i w:val="0"/>
          <w:iCs w:val="0"/>
          <w:sz w:val="32"/>
          <w:szCs w:val="32"/>
          <w:shd w:val="clear" w:fill="FFFFFF"/>
        </w:rPr>
        <w:t>万元，预算完成度为</w:t>
      </w:r>
      <w:r>
        <w:rPr>
          <w:rFonts w:hint="eastAsia" w:ascii="宋体" w:hAnsi="宋体" w:eastAsia="宋体" w:cs="宋体"/>
          <w:b w:val="0"/>
          <w:bCs w:val="0"/>
          <w:i w:val="0"/>
          <w:iCs w:val="0"/>
          <w:sz w:val="32"/>
          <w:szCs w:val="32"/>
          <w:shd w:val="clear" w:fill="FFFFFF"/>
        </w:rPr>
        <w:t>100.00%</w:t>
      </w:r>
      <w:r>
        <w:rPr>
          <w:rFonts w:hint="eastAsia" w:ascii="仿宋_GB2312" w:eastAsia="仿宋_GB2312" w:cs="仿宋_GB2312"/>
          <w:b w:val="0"/>
          <w:bCs w:val="0"/>
          <w:i w:val="0"/>
          <w:iCs w:val="0"/>
          <w:sz w:val="32"/>
          <w:szCs w:val="32"/>
          <w:shd w:val="clear" w:fill="FFFFFF"/>
        </w:rPr>
        <w:t>。本年度因公出国（境）费人均支出为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万元，公务用车购置及运行维护费人均支出为</w:t>
      </w:r>
      <w:r>
        <w:rPr>
          <w:rFonts w:hint="eastAsia" w:ascii="宋体" w:hAnsi="宋体" w:eastAsia="宋体" w:cs="宋体"/>
          <w:b w:val="0"/>
          <w:bCs w:val="0"/>
          <w:i w:val="0"/>
          <w:iCs w:val="0"/>
          <w:sz w:val="32"/>
          <w:szCs w:val="32"/>
          <w:shd w:val="clear" w:fill="FFFFFF"/>
        </w:rPr>
        <w:t>0.39</w:t>
      </w:r>
      <w:r>
        <w:rPr>
          <w:rFonts w:hint="eastAsia" w:ascii="仿宋_GB2312" w:eastAsia="仿宋_GB2312" w:cs="仿宋_GB2312"/>
          <w:b w:val="0"/>
          <w:bCs w:val="0"/>
          <w:i w:val="0"/>
          <w:iCs w:val="0"/>
          <w:sz w:val="32"/>
          <w:szCs w:val="32"/>
          <w:shd w:val="clear" w:fill="FFFFFF"/>
        </w:rPr>
        <w:t>万元，公务接待费人均支出为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w:t>
      </w:r>
      <w:r>
        <w:rPr>
          <w:rStyle w:val="18"/>
          <w:rFonts w:hint="eastAsia" w:ascii="仿宋_GB2312" w:eastAsia="仿宋_GB2312" w:cs="仿宋_GB2312"/>
          <w:b w:val="0"/>
          <w:bCs w:val="0"/>
          <w:sz w:val="32"/>
          <w:szCs w:val="32"/>
          <w:shd w:val="clear" w:fill="FFFFFF"/>
        </w:rPr>
        <w:t>（可做表、柱图、折线图）</w:t>
      </w:r>
    </w:p>
    <w:p>
      <w:pPr>
        <w:pStyle w:val="16"/>
        <w:keepNext w:val="0"/>
        <w:keepLines w:val="0"/>
        <w:pageBreakBefore w:val="0"/>
        <w:widowControl/>
        <w:suppressLineNumbers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000000"/>
          <w:sz w:val="30"/>
          <w:szCs w:val="30"/>
        </w:rPr>
      </w:pPr>
      <w:r>
        <w:drawing>
          <wp:anchor distT="0" distB="0" distL="114300" distR="114300" simplePos="0" relativeHeight="251665408" behindDoc="1" locked="0" layoutInCell="1" allowOverlap="1">
            <wp:simplePos x="0" y="0"/>
            <wp:positionH relativeFrom="column">
              <wp:posOffset>85725</wp:posOffset>
            </wp:positionH>
            <wp:positionV relativeFrom="paragraph">
              <wp:posOffset>132080</wp:posOffset>
            </wp:positionV>
            <wp:extent cx="5114925" cy="2867025"/>
            <wp:effectExtent l="0" t="0" r="9525" b="9525"/>
            <wp:wrapTight wrapText="bothSides">
              <wp:wrapPolygon>
                <wp:start x="0" y="0"/>
                <wp:lineTo x="0" y="21528"/>
                <wp:lineTo x="21560" y="21528"/>
                <wp:lineTo x="21560" y="0"/>
                <wp:lineTo x="0" y="0"/>
              </wp:wrapPolygon>
            </wp:wrapTight>
            <wp:docPr id="7" name="图片 1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IMG_261"/>
                    <pic:cNvPicPr>
                      <a:picLocks noChangeAspect="1"/>
                    </pic:cNvPicPr>
                  </pic:nvPicPr>
                  <pic:blipFill>
                    <a:blip r:embed="rId12"/>
                    <a:stretch>
                      <a:fillRect/>
                    </a:stretch>
                  </pic:blipFill>
                  <pic:spPr>
                    <a:xfrm>
                      <a:off x="0" y="0"/>
                      <a:ext cx="5114925" cy="2867025"/>
                    </a:xfrm>
                    <a:prstGeom prst="rect">
                      <a:avLst/>
                    </a:prstGeom>
                    <a:noFill/>
                    <a:ln w="9525">
                      <a:noFill/>
                    </a:ln>
                  </pic:spPr>
                </pic:pic>
              </a:graphicData>
            </a:graphic>
          </wp:anchor>
        </w:drawing>
      </w:r>
    </w:p>
    <w:p>
      <w:pPr>
        <w:pageBreakBefore w:val="0"/>
        <w:kinsoku/>
        <w:wordWrap/>
        <w:overflowPunct/>
        <w:topLinePunct w:val="0"/>
        <w:bidi w:val="0"/>
        <w:spacing w:line="560" w:lineRule="exact"/>
        <w:ind w:firstLine="64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（图7：“三公”经费财政拨款支出结构）</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115" w:name="_Toc10466"/>
      <w:bookmarkStart w:id="116" w:name="_Toc10045"/>
      <w:bookmarkStart w:id="117" w:name="_Toc15377218"/>
      <w:bookmarkStart w:id="118" w:name="_Toc15396610"/>
      <w:bookmarkStart w:id="119" w:name="_Toc30898"/>
      <w:bookmarkStart w:id="120" w:name="_Toc5138"/>
      <w:bookmarkStart w:id="121" w:name="_Toc2988"/>
      <w:bookmarkStart w:id="122" w:name="_Toc26182"/>
      <w:bookmarkStart w:id="123" w:name="_Toc13118"/>
      <w:r>
        <w:rPr>
          <w:rFonts w:hint="eastAsia" w:ascii="黑体" w:hAnsi="黑体" w:eastAsia="黑体" w:cs="黑体"/>
          <w:color w:val="000000"/>
          <w:sz w:val="32"/>
          <w:szCs w:val="32"/>
          <w:lang w:val="en-US" w:eastAsia="zh-CN"/>
        </w:rPr>
        <w:t>八、政府性基金预算支出决算情况说明</w:t>
      </w:r>
      <w:bookmarkEnd w:id="115"/>
      <w:bookmarkEnd w:id="116"/>
      <w:bookmarkEnd w:id="117"/>
      <w:bookmarkEnd w:id="118"/>
      <w:bookmarkEnd w:id="119"/>
      <w:bookmarkEnd w:id="120"/>
      <w:bookmarkEnd w:id="121"/>
      <w:bookmarkEnd w:id="122"/>
      <w:bookmarkEnd w:id="123"/>
    </w:p>
    <w:p>
      <w:pPr>
        <w:pageBreakBefore w:val="0"/>
        <w:kinsoku/>
        <w:wordWrap/>
        <w:overflowPunct/>
        <w:topLinePunct w:val="0"/>
        <w:bidi w:val="0"/>
        <w:spacing w:line="560" w:lineRule="exact"/>
        <w:ind w:firstLine="640"/>
        <w:jc w:val="left"/>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lang w:val="en-US" w:eastAsia="zh-CN"/>
        </w:rPr>
        <w:t>2021</w:t>
      </w:r>
      <w:r>
        <w:rPr>
          <w:rFonts w:hint="eastAsia" w:ascii="仿宋_GB2312" w:eastAsia="仿宋_GB2312" w:cs="仿宋_GB2312"/>
          <w:b w:val="0"/>
          <w:bCs w:val="0"/>
          <w:i w:val="0"/>
          <w:iCs w:val="0"/>
          <w:sz w:val="32"/>
          <w:szCs w:val="32"/>
          <w:shd w:val="clear" w:fill="FFFFFF"/>
        </w:rPr>
        <w:t>年政府性基金预算拨款支出</w:t>
      </w:r>
      <w:r>
        <w:rPr>
          <w:rFonts w:hint="eastAsia" w:ascii="仿宋_GB2312" w:eastAsia="仿宋_GB2312" w:cs="仿宋_GB2312"/>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rPr>
        <w:t>万元。</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124" w:name="_Toc21399"/>
      <w:bookmarkStart w:id="125" w:name="_Toc10726"/>
      <w:bookmarkStart w:id="126" w:name="_Toc15396611"/>
      <w:bookmarkStart w:id="127" w:name="_Toc15377219"/>
      <w:bookmarkStart w:id="128" w:name="_Toc23112"/>
      <w:bookmarkStart w:id="129" w:name="_Toc17991"/>
      <w:bookmarkStart w:id="130" w:name="_Toc18559"/>
      <w:bookmarkStart w:id="131" w:name="_Toc28446"/>
      <w:bookmarkStart w:id="132" w:name="_Toc16073"/>
      <w:r>
        <w:rPr>
          <w:rFonts w:hint="eastAsia" w:ascii="黑体" w:hAnsi="黑体" w:eastAsia="黑体" w:cs="黑体"/>
          <w:color w:val="000000"/>
          <w:sz w:val="32"/>
          <w:szCs w:val="32"/>
          <w:lang w:val="en-US" w:eastAsia="zh-CN"/>
        </w:rPr>
        <w:t>九、国有资本经营预算支出决算情况说明</w:t>
      </w:r>
      <w:bookmarkEnd w:id="124"/>
      <w:bookmarkEnd w:id="125"/>
      <w:bookmarkEnd w:id="126"/>
      <w:bookmarkEnd w:id="127"/>
      <w:bookmarkEnd w:id="128"/>
      <w:bookmarkEnd w:id="129"/>
      <w:bookmarkEnd w:id="130"/>
      <w:bookmarkEnd w:id="131"/>
      <w:bookmarkEnd w:id="132"/>
    </w:p>
    <w:p>
      <w:pPr>
        <w:pageBreakBefore w:val="0"/>
        <w:kinsoku/>
        <w:wordWrap/>
        <w:overflowPunct/>
        <w:topLinePunct w:val="0"/>
        <w:bidi w:val="0"/>
        <w:spacing w:line="560" w:lineRule="exact"/>
        <w:ind w:firstLine="640"/>
        <w:jc w:val="left"/>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2021年国有资本经营预算拨款支出0万元。</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outlineLvl w:val="1"/>
        <w:rPr>
          <w:rFonts w:hint="eastAsia" w:ascii="黑体" w:hAnsi="黑体" w:eastAsia="黑体" w:cs="黑体"/>
          <w:color w:val="000000"/>
          <w:sz w:val="32"/>
          <w:szCs w:val="32"/>
          <w:lang w:val="en-US" w:eastAsia="zh-CN"/>
        </w:rPr>
      </w:pPr>
      <w:bookmarkStart w:id="133" w:name="_Toc21091"/>
      <w:bookmarkStart w:id="134" w:name="_Toc28181"/>
      <w:bookmarkStart w:id="135" w:name="_Toc15396612"/>
      <w:bookmarkStart w:id="136" w:name="_Toc15377221"/>
      <w:bookmarkStart w:id="137" w:name="_Toc23945"/>
      <w:bookmarkStart w:id="138" w:name="_Toc7391"/>
      <w:bookmarkStart w:id="139" w:name="_Toc30834"/>
      <w:bookmarkStart w:id="140" w:name="_Toc27169"/>
      <w:bookmarkStart w:id="141" w:name="_Toc7424"/>
      <w:r>
        <w:rPr>
          <w:rFonts w:hint="eastAsia" w:ascii="黑体" w:hAnsi="黑体" w:eastAsia="黑体" w:cs="黑体"/>
          <w:color w:val="000000"/>
          <w:sz w:val="32"/>
          <w:szCs w:val="32"/>
          <w:lang w:val="en-US" w:eastAsia="zh-CN"/>
        </w:rPr>
        <w:t>十、其他重要事项的情况说明</w:t>
      </w:r>
      <w:bookmarkEnd w:id="133"/>
      <w:bookmarkEnd w:id="134"/>
      <w:bookmarkEnd w:id="135"/>
      <w:bookmarkEnd w:id="136"/>
      <w:bookmarkEnd w:id="137"/>
      <w:bookmarkEnd w:id="138"/>
      <w:bookmarkEnd w:id="139"/>
      <w:bookmarkEnd w:id="140"/>
      <w:bookmarkEnd w:id="141"/>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bookmarkStart w:id="142" w:name="_Toc15377222"/>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（一）机关运行经费支出情况</w:t>
      </w:r>
      <w:bookmarkEnd w:id="142"/>
    </w:p>
    <w:p>
      <w:pPr>
        <w:pageBreakBefore w:val="0"/>
        <w:kinsoku/>
        <w:wordWrap/>
        <w:overflowPunct/>
        <w:topLinePunct w:val="0"/>
        <w:bidi w:val="0"/>
        <w:spacing w:line="560" w:lineRule="exact"/>
        <w:ind w:firstLine="640"/>
        <w:jc w:val="left"/>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2021年，麦洼乡机关运行经费支出839.94万元，与决算数持平。</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bookmarkStart w:id="143" w:name="_Toc15377223"/>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（二）政府采购支出情况</w:t>
      </w:r>
      <w:bookmarkEnd w:id="143"/>
    </w:p>
    <w:p>
      <w:pPr>
        <w:pageBreakBefore w:val="0"/>
        <w:kinsoku/>
        <w:wordWrap/>
        <w:overflowPunct/>
        <w:topLinePunct w:val="0"/>
        <w:bidi w:val="0"/>
        <w:spacing w:line="560" w:lineRule="exact"/>
        <w:ind w:firstLine="640"/>
        <w:jc w:val="left"/>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2021年，麦洼乡人民政府采购支出总额0万元，其中：政府采购货物支出0万元、政府采购工程支出万元、政府采购服务支出0万元。</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bookmarkStart w:id="144" w:name="_Toc15377224"/>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（三）国有资产占有使用情况</w:t>
      </w:r>
      <w:bookmarkEnd w:id="144"/>
    </w:p>
    <w:p>
      <w:pPr>
        <w:pageBreakBefore w:val="0"/>
        <w:kinsoku/>
        <w:wordWrap/>
        <w:overflowPunct/>
        <w:topLinePunct w:val="0"/>
        <w:bidi w:val="0"/>
        <w:spacing w:line="560" w:lineRule="exact"/>
        <w:ind w:firstLine="640"/>
        <w:jc w:val="left"/>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截至2021年12月31日，麦洼乡人民政府共有车辆2辆，其中：部级领导干部用车1辆、一般公务用车1辆，主要是用于日常出差使用。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（四）预算绩效管理情况。</w:t>
      </w:r>
    </w:p>
    <w:p>
      <w:pPr>
        <w:pageBreakBefore w:val="0"/>
        <w:kinsoku/>
        <w:wordWrap/>
        <w:overflowPunct/>
        <w:topLinePunct w:val="0"/>
        <w:bidi w:val="0"/>
        <w:spacing w:line="560" w:lineRule="exact"/>
        <w:ind w:firstLine="640"/>
        <w:jc w:val="left"/>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lang w:val="en-US" w:eastAsia="zh-CN"/>
        </w:rPr>
        <w:t>根据预算绩效管理要求，本单位在年初预算编制阶段，组织对人大代表活动经费、人大会议经费、乡人大主席团工作经费、安全生产工作经费、群团工作经费、武装工作经费、环卫经费等开展了预算事前绩效评估，编制了绩效目标，预算执行过程中，选取了1个项目开展了绩效监控，</w:t>
      </w:r>
      <w:r>
        <w:rPr>
          <w:rFonts w:hint="eastAsia" w:ascii="仿宋_GB2312" w:eastAsia="仿宋_GB2312" w:cs="Times New Roman"/>
          <w:kern w:val="2"/>
          <w:sz w:val="32"/>
          <w:szCs w:val="32"/>
        </w:rPr>
        <w:t>年终执行完毕后，对</w:t>
      </w:r>
      <w:r>
        <w:rPr>
          <w:rFonts w:ascii="仿宋_GB2312" w:eastAsia="仿宋_GB2312" w:cs="Times New Roman"/>
          <w:kern w:val="2"/>
          <w:sz w:val="32"/>
          <w:szCs w:val="32"/>
        </w:rPr>
        <w:t>1</w:t>
      </w:r>
      <w:r>
        <w:rPr>
          <w:rFonts w:hint="eastAsia" w:ascii="仿宋_GB2312" w:eastAsia="仿宋_GB2312" w:cs="Times New Roman"/>
          <w:kern w:val="2"/>
          <w:sz w:val="32"/>
          <w:szCs w:val="32"/>
        </w:rPr>
        <w:t>个项目开展了绩效自评。同时，本部门对2021年部门整体开展绩效自评，《</w:t>
      </w:r>
      <w:r>
        <w:rPr>
          <w:rFonts w:ascii="仿宋_GB2312" w:eastAsia="仿宋_GB2312" w:cs="Times New Roman"/>
          <w:kern w:val="2"/>
          <w:sz w:val="32"/>
          <w:szCs w:val="32"/>
        </w:rPr>
        <w:t>红原县</w:t>
      </w:r>
      <w:r>
        <w:rPr>
          <w:rFonts w:hint="eastAsia" w:ascii="仿宋_GB2312" w:eastAsia="仿宋_GB2312" w:cs="Times New Roman"/>
          <w:kern w:val="2"/>
          <w:sz w:val="32"/>
          <w:szCs w:val="32"/>
          <w:lang w:val="en-US" w:eastAsia="zh-CN"/>
        </w:rPr>
        <w:t>麦洼乡</w:t>
      </w:r>
      <w:r>
        <w:rPr>
          <w:rFonts w:hint="eastAsia" w:ascii="仿宋_GB2312" w:eastAsia="仿宋_GB2312" w:cs="Times New Roman"/>
          <w:kern w:val="2"/>
          <w:sz w:val="32"/>
          <w:szCs w:val="32"/>
        </w:rPr>
        <w:t>2021年整体绩效评价报告》见附件（第四部分）。</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宋体" w:hAnsi="宋体" w:eastAsia="宋体" w:cs="宋体"/>
          <w:b/>
          <w:bCs/>
          <w:i w:val="0"/>
          <w:iCs w:val="0"/>
          <w:sz w:val="32"/>
          <w:szCs w:val="32"/>
          <w:shd w:val="clear" w:fill="FFFFFF"/>
        </w:rPr>
      </w:pPr>
    </w:p>
    <w:p>
      <w:pPr>
        <w:pStyle w:val="2"/>
        <w:pageBreakBefore w:val="0"/>
        <w:kinsoku/>
        <w:wordWrap/>
        <w:overflowPunct/>
        <w:topLinePunct w:val="0"/>
        <w:bidi w:val="0"/>
        <w:spacing w:line="560" w:lineRule="exact"/>
        <w:jc w:val="both"/>
        <w:outlineLvl w:val="9"/>
        <w:rPr>
          <w:rFonts w:hint="eastAsia"/>
          <w:lang w:val="en-US" w:eastAsia="zh-CN"/>
        </w:rPr>
      </w:pPr>
      <w:bookmarkStart w:id="145" w:name="_Toc23329"/>
    </w:p>
    <w:p>
      <w:pPr>
        <w:pStyle w:val="2"/>
        <w:pageBreakBefore w:val="0"/>
        <w:kinsoku/>
        <w:wordWrap/>
        <w:overflowPunct/>
        <w:topLinePunct w:val="0"/>
        <w:bidi w:val="0"/>
        <w:spacing w:line="560" w:lineRule="exact"/>
        <w:jc w:val="center"/>
      </w:pPr>
      <w:bookmarkStart w:id="146" w:name="_Toc2506"/>
      <w:bookmarkStart w:id="147" w:name="_Toc15224"/>
      <w:bookmarkStart w:id="148" w:name="_Toc10664"/>
      <w:bookmarkStart w:id="149" w:name="_Toc23174"/>
      <w:r>
        <w:rPr>
          <w:rFonts w:hint="eastAsia"/>
          <w:lang w:val="en-US" w:eastAsia="zh-CN"/>
        </w:rPr>
        <w:t xml:space="preserve">第三部分 </w:t>
      </w:r>
      <w:r>
        <w:rPr>
          <w:rFonts w:hint="eastAsia"/>
        </w:rPr>
        <w:t>名词解释</w:t>
      </w:r>
      <w:bookmarkEnd w:id="145"/>
      <w:bookmarkEnd w:id="146"/>
      <w:bookmarkEnd w:id="147"/>
      <w:bookmarkEnd w:id="148"/>
      <w:bookmarkEnd w:id="149"/>
    </w:p>
    <w:p>
      <w:pPr>
        <w:keepNext w:val="0"/>
        <w:keepLines w:val="0"/>
        <w:pageBreakBefore w:val="0"/>
        <w:kinsoku/>
        <w:wordWrap/>
        <w:overflowPunct/>
        <w:topLinePunct w:val="0"/>
        <w:bidi w:val="0"/>
        <w:spacing w:line="560" w:lineRule="exact"/>
        <w:jc w:val="left"/>
        <w:rPr>
          <w:rFonts w:ascii="宋体"/>
          <w:b/>
          <w:color w:val="000000"/>
          <w:sz w:val="44"/>
          <w:szCs w:val="44"/>
        </w:rPr>
      </w:pPr>
    </w:p>
    <w:p>
      <w:pPr>
        <w:keepNext w:val="0"/>
        <w:keepLines w:val="0"/>
        <w:pageBreakBefore w:val="0"/>
        <w:kinsoku/>
        <w:wordWrap/>
        <w:overflowPunct/>
        <w:topLinePunct w:val="0"/>
        <w:bidi w:val="0"/>
        <w:spacing w:line="560" w:lineRule="exact"/>
        <w:jc w:val="left"/>
        <w:rPr>
          <w:rFonts w:ascii="宋体"/>
          <w:b/>
          <w:color w:val="000000"/>
          <w:sz w:val="44"/>
          <w:szCs w:val="44"/>
        </w:rPr>
      </w:pPr>
    </w:p>
    <w:p>
      <w:pPr>
        <w:pStyle w:val="19"/>
        <w:keepNext w:val="0"/>
        <w:keepLines w:val="0"/>
        <w:pageBreakBefore w:val="0"/>
        <w:kinsoku/>
        <w:wordWrap/>
        <w:overflowPunct/>
        <w:topLinePunct w:val="0"/>
        <w:bidi w:val="0"/>
        <w:spacing w:line="560" w:lineRule="exact"/>
        <w:ind w:firstLine="640" w:firstLineChars="200"/>
        <w:outlineLvl w:val="1"/>
        <w:rPr>
          <w:rFonts w:hint="eastAsia" w:ascii="仿宋_GB2312" w:eastAsia="仿宋_GB2312" w:cs="仿宋_GB2312" w:hAnsiTheme="minorEastAsia"/>
          <w:b w:val="0"/>
          <w:bCs w:val="0"/>
          <w:i w:val="0"/>
          <w:iCs w:val="0"/>
          <w:color w:val="auto"/>
          <w:kern w:val="0"/>
          <w:sz w:val="32"/>
          <w:szCs w:val="32"/>
          <w:shd w:val="clear" w:fill="FFFFFF"/>
          <w:lang w:val="en-US" w:eastAsia="zh-CN" w:bidi="ar"/>
        </w:rPr>
      </w:pPr>
      <w:bookmarkStart w:id="150" w:name="_Toc32040"/>
      <w:bookmarkStart w:id="151" w:name="_Toc23772"/>
      <w:bookmarkStart w:id="152" w:name="_Toc13534"/>
      <w:bookmarkStart w:id="153" w:name="_Toc17872"/>
      <w:bookmarkStart w:id="154" w:name="_Toc18787"/>
      <w:r>
        <w:rPr>
          <w:rFonts w:hint="eastAsia" w:ascii="仿宋_GB2312" w:eastAsia="仿宋_GB2312" w:cs="仿宋_GB2312" w:hAnsiTheme="minorEastAsia"/>
          <w:b w:val="0"/>
          <w:bCs w:val="0"/>
          <w:i w:val="0"/>
          <w:iCs w:val="0"/>
          <w:color w:val="auto"/>
          <w:kern w:val="0"/>
          <w:sz w:val="32"/>
          <w:szCs w:val="32"/>
          <w:shd w:val="clear" w:fill="FFFFFF"/>
          <w:lang w:val="en-US" w:eastAsia="zh-CN" w:bidi="ar"/>
        </w:rPr>
        <w:t>1.财政拨款收入：指单位从同级财政部门取得的财政预算资金。</w:t>
      </w:r>
      <w:bookmarkEnd w:id="150"/>
      <w:bookmarkEnd w:id="151"/>
      <w:bookmarkEnd w:id="152"/>
      <w:bookmarkEnd w:id="153"/>
      <w:bookmarkEnd w:id="154"/>
    </w:p>
    <w:p>
      <w:pPr>
        <w:pStyle w:val="19"/>
        <w:keepNext w:val="0"/>
        <w:keepLines w:val="0"/>
        <w:pageBreakBefore w:val="0"/>
        <w:kinsoku/>
        <w:wordWrap/>
        <w:overflowPunct/>
        <w:topLinePunct w:val="0"/>
        <w:bidi w:val="0"/>
        <w:spacing w:line="560" w:lineRule="exact"/>
        <w:ind w:firstLine="640" w:firstLineChars="200"/>
        <w:rPr>
          <w:rFonts w:hint="eastAsia" w:ascii="仿宋_GB2312" w:eastAsia="仿宋_GB2312" w:cs="仿宋_GB2312" w:hAnsiTheme="minorEastAsia"/>
          <w:b w:val="0"/>
          <w:bCs w:val="0"/>
          <w:i w:val="0"/>
          <w:iCs w:val="0"/>
          <w:color w:val="auto"/>
          <w:kern w:val="0"/>
          <w:sz w:val="32"/>
          <w:szCs w:val="32"/>
          <w:shd w:val="clear" w:fill="FFFFFF"/>
          <w:lang w:val="en-US" w:eastAsia="zh-CN" w:bidi="ar"/>
        </w:rPr>
      </w:pPr>
      <w:r>
        <w:rPr>
          <w:rFonts w:hint="eastAsia" w:ascii="仿宋_GB2312" w:eastAsia="仿宋_GB2312" w:cs="仿宋_GB2312" w:hAnsiTheme="minorEastAsia"/>
          <w:b w:val="0"/>
          <w:bCs w:val="0"/>
          <w:i w:val="0"/>
          <w:iCs w:val="0"/>
          <w:color w:val="auto"/>
          <w:kern w:val="0"/>
          <w:sz w:val="32"/>
          <w:szCs w:val="32"/>
          <w:shd w:val="clear" w:fill="FFFFFF"/>
          <w:lang w:val="en-US" w:eastAsia="zh-CN" w:bidi="ar"/>
        </w:rPr>
        <w:t>2.事业收入：指事业单位开展专业业务活动及辅助活动取得的收入。</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s="仿宋_GB2312" w:hAnsiTheme="minorEastAsia"/>
          <w:b w:val="0"/>
          <w:bCs w:val="0"/>
          <w:i w:val="0"/>
          <w:iCs w:val="0"/>
          <w:color w:val="auto"/>
          <w:kern w:val="0"/>
          <w:sz w:val="32"/>
          <w:szCs w:val="32"/>
          <w:shd w:val="clear" w:fill="FFFFFF"/>
          <w:lang w:val="en-US" w:eastAsia="zh-CN" w:bidi="ar"/>
        </w:rPr>
        <w:t>3.经营收入：指事业</w:t>
      </w:r>
      <w:r>
        <w:rPr>
          <w:rFonts w:hint="eastAsia" w:ascii="仿宋_GB2312" w:eastAsia="仿宋_GB2312"/>
          <w:color w:val="000000"/>
          <w:sz w:val="32"/>
          <w:szCs w:val="32"/>
        </w:rPr>
        <w:t>单位在专业业务活动及其辅助活动之外开展非独立核算经营活动取得的收入。</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其他收入：指单位取得的除上述收入以外的各项收入。主要是银行存款利息收入等。</w:t>
      </w:r>
      <w:r>
        <w:rPr>
          <w:rFonts w:ascii="仿宋_GB2312" w:eastAsia="仿宋_GB2312"/>
          <w:color w:val="000000"/>
          <w:sz w:val="32"/>
          <w:szCs w:val="32"/>
        </w:rPr>
        <w:t xml:space="preserve"> </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sz w:val="32"/>
          <w:szCs w:val="32"/>
        </w:rPr>
        <w:t xml:space="preserve"> </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结余分配：指事业单位按照事业单位会计制度的规定从非财政补助结余中分配的事业基金和职工福利基金等。</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、年末结转和结余：指单位按有关规定结转到下年或以后年度继续使用的资金。</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一般公共服务：201类20101款人大事务，2010101项指人大工作人员工资，2010301指行政工作人员工资、2010601行政运行财政所工作人员工资、2010108人大代表工作经费。</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文化体育与传媒：207类20701款2070199项指其他文化支出文化院坝工作经费。</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社会保障和就业：208类20802款2080208项指基层政权和社区建设，2080505指机关事业单位基本养老保险缴费支出，2080506指机关事业单位职业年金缴费支出2081107指残疾人生活和护理补助，2082102指农村特困人员救助。</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卫生健康：210类21004款2100409项指公共卫生专项资金。</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城乡社区：212类21205，2120501指城乡社区环境卫生支出。</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农林水：213类21301款2130152项指对高校毕业生到基层任职补助，2130504指农村基础设施建设，2130705指对村民委员会和村党支部的补助。</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交通运输：214类21401款2140104项指公路建设。</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住房保障：221类22102款2210201项指住房公积金。</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pPr>
        <w:pStyle w:val="19"/>
        <w:keepNext w:val="0"/>
        <w:keepLines w:val="0"/>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0.</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keepNext w:val="0"/>
        <w:keepLines w:val="0"/>
        <w:pageBreakBefore w:val="0"/>
        <w:kinsoku/>
        <w:wordWrap/>
        <w:overflowPunct/>
        <w:topLinePunct w:val="0"/>
        <w:bidi w:val="0"/>
        <w:spacing w:line="560" w:lineRule="exact"/>
        <w:ind w:firstLine="640" w:firstLineChars="200"/>
      </w:pP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55" w:name="_Toc15396614"/>
    </w:p>
    <w:bookmarkEnd w:id="155"/>
    <w:p>
      <w:pPr>
        <w:rPr>
          <w:rFonts w:hint="eastAsia" w:ascii="黑体" w:hAnsi="Times New Roman" w:eastAsia="黑体"/>
          <w:b w:val="0"/>
          <w:snapToGrid/>
          <w:color w:val="auto"/>
          <w:spacing w:val="0"/>
          <w:w w:val="100"/>
          <w:kern w:val="44"/>
          <w:position w:val="0"/>
          <w:sz w:val="44"/>
          <w:szCs w:val="44"/>
          <w:u w:val="none" w:color="auto"/>
          <w:shd w:val="clear" w:color="auto" w:fill="auto"/>
          <w:vertAlign w:val="baseline"/>
          <w:lang w:val="en-US" w:eastAsia="zh-CN" w:bidi="ar-SA"/>
        </w:rPr>
      </w:pPr>
    </w:p>
    <w:p>
      <w:pPr>
        <w:pStyle w:val="2"/>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1" w:afterAutospacing="1" w:line="560" w:lineRule="exact"/>
        <w:ind w:left="0" w:right="0" w:firstLine="0"/>
        <w:contextualSpacing w:val="0"/>
        <w:jc w:val="both"/>
        <w:textAlignment w:val="auto"/>
        <w:outlineLvl w:val="0"/>
        <w:rPr>
          <w:rFonts w:hint="eastAsia" w:ascii="方正小标宋_GBK" w:hAnsi="方正小标宋_GBK" w:eastAsia="方正小标宋_GBK" w:cs="方正小标宋_GBK"/>
          <w:b w:val="0"/>
          <w:bCs/>
          <w:sz w:val="44"/>
          <w:szCs w:val="44"/>
          <w:shd w:val="clear" w:color="auto" w:fill="FFFFFF"/>
          <w:lang w:val="en-US" w:eastAsia="zh-CN"/>
        </w:rPr>
      </w:pPr>
      <w:bookmarkStart w:id="156" w:name="_Toc22496"/>
      <w:bookmarkStart w:id="157" w:name="_Toc3642"/>
      <w:bookmarkStart w:id="158" w:name="_Toc4554"/>
      <w:bookmarkStart w:id="159" w:name="_Toc23501"/>
      <w:bookmarkStart w:id="160" w:name="_Toc14000"/>
      <w:r>
        <w:rPr>
          <w:rFonts w:hint="eastAsia" w:ascii="黑体" w:hAnsi="Times New Roman" w:eastAsia="黑体"/>
          <w:b w:val="0"/>
          <w:snapToGrid/>
          <w:color w:val="auto"/>
          <w:spacing w:val="0"/>
          <w:w w:val="100"/>
          <w:kern w:val="44"/>
          <w:position w:val="0"/>
          <w:sz w:val="44"/>
          <w:szCs w:val="44"/>
          <w:u w:val="none" w:color="auto"/>
          <w:shd w:val="clear" w:color="auto" w:fill="auto"/>
          <w:vertAlign w:val="baseline"/>
          <w:lang w:val="en-US" w:eastAsia="zh-CN" w:bidi="ar-SA"/>
        </w:rPr>
        <w:t>第四部分  附件</w:t>
      </w:r>
      <w:bookmarkEnd w:id="156"/>
      <w:bookmarkEnd w:id="157"/>
      <w:bookmarkEnd w:id="158"/>
      <w:bookmarkEnd w:id="159"/>
      <w:bookmarkEnd w:id="160"/>
      <w:bookmarkStart w:id="161" w:name="_Toc16324"/>
    </w:p>
    <w:p>
      <w:pPr>
        <w:keepNext w:val="0"/>
        <w:keepLines w:val="0"/>
        <w:pageBreakBefore w:val="0"/>
        <w:widowControl/>
        <w:kinsoku/>
        <w:wordWrap/>
        <w:overflowPunct/>
        <w:topLinePunct w:val="0"/>
        <w:autoSpaceDN/>
        <w:bidi w:val="0"/>
        <w:spacing w:line="560" w:lineRule="exact"/>
        <w:ind w:firstLine="883" w:firstLineChars="200"/>
        <w:contextualSpacing/>
        <w:jc w:val="center"/>
        <w:outlineLvl w:val="9"/>
        <w:rPr>
          <w:rFonts w:hint="eastAsia" w:ascii="方正小标宋_GBK" w:hAnsi="方正小标宋_GBK" w:eastAsia="方正小标宋_GBK" w:cs="方正小标宋_GBK"/>
          <w:b/>
          <w:bCs w:val="0"/>
          <w:sz w:val="44"/>
          <w:szCs w:val="44"/>
          <w:shd w:val="clear" w:color="auto" w:fill="FFFFFF"/>
          <w:lang w:val="en-US" w:eastAsia="zh-CN"/>
        </w:rPr>
      </w:pPr>
    </w:p>
    <w:p>
      <w:pPr>
        <w:keepNext w:val="0"/>
        <w:keepLines w:val="0"/>
        <w:pageBreakBefore w:val="0"/>
        <w:widowControl/>
        <w:kinsoku/>
        <w:wordWrap/>
        <w:overflowPunct/>
        <w:topLinePunct w:val="0"/>
        <w:autoSpaceDN/>
        <w:bidi w:val="0"/>
        <w:spacing w:line="560" w:lineRule="exact"/>
        <w:ind w:firstLine="883" w:firstLineChars="200"/>
        <w:contextualSpacing/>
        <w:jc w:val="center"/>
        <w:outlineLvl w:val="1"/>
        <w:rPr>
          <w:rFonts w:hint="eastAsia" w:ascii="方正小标宋_GBK" w:hAnsi="方正小标宋_GBK" w:eastAsia="方正小标宋_GBK" w:cs="方正小标宋_GBK"/>
          <w:b/>
          <w:bCs w:val="0"/>
          <w:color w:val="000000"/>
          <w:kern w:val="0"/>
          <w:sz w:val="44"/>
          <w:szCs w:val="44"/>
          <w:lang w:val="en-US" w:eastAsia="zh-CN" w:bidi="ar-SA"/>
        </w:rPr>
      </w:pPr>
      <w:bookmarkStart w:id="162" w:name="_Toc19087"/>
      <w:bookmarkStart w:id="163" w:name="_Toc10858"/>
      <w:bookmarkStart w:id="164" w:name="_Toc28812"/>
      <w:r>
        <w:rPr>
          <w:rFonts w:hint="eastAsia" w:ascii="方正小标宋_GBK" w:hAnsi="方正小标宋_GBK" w:eastAsia="方正小标宋_GBK" w:cs="方正小标宋_GBK"/>
          <w:b/>
          <w:bCs w:val="0"/>
          <w:color w:val="000000"/>
          <w:kern w:val="0"/>
          <w:sz w:val="44"/>
          <w:szCs w:val="44"/>
          <w:lang w:val="en-US" w:eastAsia="zh-CN" w:bidi="ar-SA"/>
        </w:rPr>
        <w:t>红原县麦洼乡人民政府</w:t>
      </w:r>
      <w:bookmarkEnd w:id="161"/>
      <w:bookmarkEnd w:id="162"/>
      <w:bookmarkEnd w:id="163"/>
      <w:bookmarkEnd w:id="164"/>
    </w:p>
    <w:p>
      <w:pPr>
        <w:keepNext w:val="0"/>
        <w:keepLines w:val="0"/>
        <w:pageBreakBefore w:val="0"/>
        <w:widowControl/>
        <w:kinsoku/>
        <w:wordWrap/>
        <w:overflowPunct/>
        <w:topLinePunct w:val="0"/>
        <w:autoSpaceDN/>
        <w:bidi w:val="0"/>
        <w:spacing w:line="560" w:lineRule="exact"/>
        <w:ind w:firstLine="883" w:firstLineChars="200"/>
        <w:contextualSpacing/>
        <w:jc w:val="center"/>
        <w:rPr>
          <w:rFonts w:hint="eastAsia" w:ascii="方正小标宋_GBK" w:hAnsi="方正小标宋_GBK" w:eastAsia="方正小标宋_GBK" w:cs="方正小标宋_GBK"/>
          <w:b/>
          <w:bCs w:val="0"/>
          <w:color w:val="000000"/>
          <w:kern w:val="0"/>
          <w:sz w:val="44"/>
          <w:szCs w:val="44"/>
          <w:lang w:val="en-US" w:eastAsia="zh-CN" w:bidi="ar-SA"/>
        </w:rPr>
      </w:pPr>
      <w:r>
        <w:rPr>
          <w:rFonts w:hint="eastAsia" w:ascii="方正小标宋_GBK" w:hAnsi="方正小标宋_GBK" w:eastAsia="方正小标宋_GBK" w:cs="方正小标宋_GBK"/>
          <w:b/>
          <w:bCs w:val="0"/>
          <w:color w:val="000000"/>
          <w:kern w:val="0"/>
          <w:sz w:val="44"/>
          <w:szCs w:val="44"/>
          <w:lang w:val="en-US" w:eastAsia="zh-CN" w:bidi="ar-SA"/>
        </w:rPr>
        <w:t>2021年度部门整体支出绩效评价自评报告</w:t>
      </w:r>
    </w:p>
    <w:p>
      <w:pPr>
        <w:pStyle w:val="4"/>
        <w:pageBreakBefore w:val="0"/>
        <w:kinsoku/>
        <w:wordWrap/>
        <w:overflowPunct/>
        <w:topLinePunct w:val="0"/>
        <w:bidi w:val="0"/>
        <w:spacing w:line="560" w:lineRule="exact"/>
      </w:pPr>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lang w:val="zh-CN" w:eastAsia="zh-CN"/>
        </w:rPr>
      </w:pPr>
      <w:bookmarkStart w:id="165" w:name="_Toc12449"/>
      <w:bookmarkStart w:id="166" w:name="_Toc29642"/>
      <w:bookmarkStart w:id="167" w:name="_Toc23808"/>
      <w:bookmarkStart w:id="168" w:name="_Toc28518"/>
      <w:r>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t>一、</w:t>
      </w:r>
      <w:r>
        <w:rPr>
          <w:rFonts w:hint="eastAsia" w:ascii="黑体" w:eastAsia="黑体" w:cs="楷体"/>
          <w:b w:val="0"/>
          <w:i w:val="0"/>
          <w:caps w:val="0"/>
          <w:smallCaps w:val="0"/>
          <w:strike w:val="0"/>
          <w:dstrike w:val="0"/>
          <w:vanish w:val="0"/>
          <w:color w:val="000000"/>
          <w:kern w:val="2"/>
          <w:sz w:val="32"/>
          <w:szCs w:val="32"/>
          <w:shd w:val="clear" w:color="auto" w:fill="auto"/>
          <w:lang w:val="zh-CN" w:eastAsia="zh-CN"/>
        </w:rPr>
        <w:t>部门（单位）概况</w:t>
      </w:r>
      <w:bookmarkEnd w:id="165"/>
      <w:bookmarkEnd w:id="166"/>
      <w:bookmarkEnd w:id="167"/>
      <w:bookmarkEnd w:id="168"/>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（一）机构组成</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eastAsia="仿宋_GB2312" w:cs="仿宋_GB2312"/>
          <w:kern w:val="2"/>
          <w:sz w:val="32"/>
          <w:szCs w:val="32"/>
        </w:rPr>
      </w:pPr>
      <w:r>
        <w:rPr>
          <w:rFonts w:hint="eastAsia" w:ascii="仿宋_GB2312" w:eastAsia="仿宋_GB2312" w:cs="仿宋_GB2312"/>
          <w:kern w:val="2"/>
          <w:sz w:val="32"/>
          <w:szCs w:val="32"/>
        </w:rPr>
        <w:t>红原县</w:t>
      </w:r>
      <w:r>
        <w:rPr>
          <w:rFonts w:hint="eastAsia" w:ascii="仿宋_GB2312" w:eastAsia="仿宋_GB2312" w:cs="仿宋_GB2312"/>
          <w:kern w:val="2"/>
          <w:sz w:val="32"/>
          <w:szCs w:val="32"/>
          <w:lang w:eastAsia="zh-CN"/>
        </w:rPr>
        <w:t>麦洼乡</w:t>
      </w:r>
      <w:r>
        <w:rPr>
          <w:rFonts w:hint="eastAsia" w:ascii="仿宋_GB2312" w:eastAsia="仿宋_GB2312" w:cs="仿宋_GB2312"/>
          <w:kern w:val="2"/>
          <w:sz w:val="32"/>
          <w:szCs w:val="32"/>
        </w:rPr>
        <w:t>人民政府是行政单位，执行行政单位会计制度，我单位下属二级决算单位0个，其中行政单位0个，参照公务员法管理的事业单位0个，其他事业单位0个。是独立核算的机构，是独立编报决算的单位。</w:t>
      </w:r>
      <w:r>
        <w:rPr>
          <w:rFonts w:hint="eastAsia" w:ascii="仿宋_GB2312" w:hAnsi="Times New Roman" w:eastAsia="仿宋_GB2312" w:cs="仿宋_GB2312"/>
          <w:kern w:val="2"/>
          <w:sz w:val="32"/>
          <w:szCs w:val="32"/>
          <w:lang w:eastAsia="zh-CN"/>
        </w:rPr>
        <w:t>麦洼乡</w:t>
      </w:r>
      <w:r>
        <w:rPr>
          <w:rFonts w:hint="eastAsia" w:ascii="仿宋_GB2312" w:hAnsi="Times New Roman" w:eastAsia="仿宋_GB2312" w:cs="仿宋_GB2312"/>
          <w:kern w:val="2"/>
          <w:sz w:val="32"/>
          <w:szCs w:val="32"/>
        </w:rPr>
        <w:t>下辖2个行政村</w:t>
      </w:r>
      <w:r>
        <w:rPr>
          <w:rFonts w:hint="eastAsia" w:ascii="仿宋_GB2312" w:eastAsia="仿宋_GB2312" w:cs="仿宋_GB2312"/>
          <w:kern w:val="2"/>
          <w:sz w:val="32"/>
          <w:szCs w:val="32"/>
        </w:rPr>
        <w:t>。</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（二）机构职能</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outlineLvl w:val="3"/>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1、宣传、实施上级主管部门以及相关单位的有关政策;</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2、执行本行政区域内的经济和社会发展计划、预算、管理本行政区域内的经济、教育、科学、文化、卫生、体育事业和财政、民政、公安、司法行政、计划生育等行政工作;</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3、保护各种经济组织的合法权益;</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4、保障少数民族的权利和尊重少数民族的风俗习惯;</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lang w:val="zh-CN"/>
        </w:rPr>
      </w:pPr>
      <w:r>
        <w:rPr>
          <w:rFonts w:hint="eastAsia" w:ascii="仿宋_GB2312" w:hAnsi="Times New Roman" w:eastAsia="仿宋_GB2312" w:cs="仿宋_GB2312"/>
          <w:kern w:val="2"/>
          <w:sz w:val="32"/>
          <w:szCs w:val="32"/>
        </w:rPr>
        <w:t>5、保护社会主义的全民所有的财产和劳动群众集体所有的财产，保护公民私人所有的合法财产，维护社会秩序，保障公民的人身权利、民主权利和</w:t>
      </w:r>
      <w:r>
        <w:rPr>
          <w:rFonts w:hint="eastAsia" w:ascii="仿宋_GB2312" w:hAnsi="Times New Roman" w:eastAsia="仿宋_GB2312" w:cs="仿宋_GB2312"/>
          <w:kern w:val="2"/>
          <w:sz w:val="32"/>
          <w:szCs w:val="32"/>
        </w:rPr>
        <w:fldChar w:fldCharType="begin"/>
      </w:r>
      <w:r>
        <w:rPr>
          <w:rFonts w:hint="eastAsia" w:ascii="仿宋_GB2312" w:hAnsi="Times New Roman" w:eastAsia="仿宋_GB2312" w:cs="仿宋_GB2312"/>
          <w:kern w:val="2"/>
          <w:sz w:val="32"/>
          <w:szCs w:val="32"/>
        </w:rPr>
        <w:instrText xml:space="preserve"> HYPERLINK "http://www.oh100.com/qita/" </w:instrText>
      </w:r>
      <w:r>
        <w:rPr>
          <w:rFonts w:hint="eastAsia" w:ascii="仿宋_GB2312" w:hAnsi="Times New Roman" w:eastAsia="仿宋_GB2312" w:cs="仿宋_GB2312"/>
          <w:kern w:val="2"/>
          <w:sz w:val="32"/>
          <w:szCs w:val="32"/>
        </w:rPr>
        <w:fldChar w:fldCharType="separate"/>
      </w:r>
      <w:r>
        <w:rPr>
          <w:rFonts w:hint="eastAsia" w:ascii="仿宋_GB2312" w:hAnsi="Times New Roman" w:eastAsia="仿宋_GB2312" w:cs="仿宋_GB2312"/>
          <w:kern w:val="2"/>
          <w:sz w:val="32"/>
          <w:szCs w:val="32"/>
        </w:rPr>
        <w:t>其他</w:t>
      </w:r>
      <w:r>
        <w:rPr>
          <w:rFonts w:hint="eastAsia" w:ascii="仿宋_GB2312" w:hAnsi="Times New Roman" w:eastAsia="仿宋_GB2312" w:cs="仿宋_GB2312"/>
          <w:kern w:val="2"/>
          <w:sz w:val="32"/>
          <w:szCs w:val="32"/>
        </w:rPr>
        <w:fldChar w:fldCharType="end"/>
      </w:r>
      <w:r>
        <w:rPr>
          <w:rFonts w:hint="eastAsia" w:ascii="仿宋_GB2312" w:hAnsi="Times New Roman" w:eastAsia="仿宋_GB2312" w:cs="仿宋_GB2312"/>
          <w:kern w:val="2"/>
          <w:sz w:val="32"/>
          <w:szCs w:val="32"/>
        </w:rPr>
        <w:t>权利;</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（三）人员概况</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lang w:val="zh-CN"/>
        </w:rPr>
      </w:pPr>
      <w:r>
        <w:rPr>
          <w:rFonts w:hint="eastAsia" w:ascii="仿宋_GB2312" w:hAnsi="Times New Roman" w:eastAsia="仿宋_GB2312" w:cs="仿宋_GB2312"/>
          <w:kern w:val="2"/>
          <w:sz w:val="32"/>
          <w:szCs w:val="32"/>
        </w:rPr>
        <w:t>全乡总编制</w:t>
      </w:r>
      <w:r>
        <w:rPr>
          <w:rFonts w:hint="eastAsia" w:ascii="仿宋_GB2312" w:hAnsi="Times New Roman" w:eastAsia="仿宋_GB2312" w:cs="仿宋_GB2312"/>
          <w:kern w:val="2"/>
          <w:sz w:val="32"/>
          <w:szCs w:val="32"/>
          <w:lang w:val="en-US" w:eastAsia="zh-CN"/>
        </w:rPr>
        <w:t>37</w:t>
      </w:r>
      <w:r>
        <w:rPr>
          <w:rFonts w:hint="eastAsia" w:ascii="仿宋_GB2312" w:hAnsi="Times New Roman" w:eastAsia="仿宋_GB2312" w:cs="仿宋_GB2312"/>
          <w:kern w:val="2"/>
          <w:sz w:val="32"/>
          <w:szCs w:val="32"/>
        </w:rPr>
        <w:t>名，其中：行政编制：</w:t>
      </w:r>
      <w:r>
        <w:rPr>
          <w:rFonts w:hint="eastAsia" w:ascii="仿宋_GB2312" w:hAnsi="Times New Roman" w:eastAsia="仿宋_GB2312" w:cs="仿宋_GB2312"/>
          <w:kern w:val="2"/>
          <w:sz w:val="32"/>
          <w:szCs w:val="32"/>
          <w:lang w:val="en-US" w:eastAsia="zh-CN"/>
        </w:rPr>
        <w:t>24</w:t>
      </w:r>
      <w:r>
        <w:rPr>
          <w:rFonts w:hint="eastAsia" w:ascii="仿宋_GB2312" w:hAnsi="Times New Roman" w:eastAsia="仿宋_GB2312" w:cs="仿宋_GB2312"/>
          <w:kern w:val="2"/>
          <w:sz w:val="32"/>
          <w:szCs w:val="32"/>
        </w:rPr>
        <w:t>名，事业编制：</w:t>
      </w:r>
      <w:r>
        <w:rPr>
          <w:rFonts w:hint="eastAsia" w:ascii="仿宋_GB2312" w:hAnsi="Times New Roman" w:eastAsia="仿宋_GB2312" w:cs="仿宋_GB2312"/>
          <w:kern w:val="2"/>
          <w:sz w:val="32"/>
          <w:szCs w:val="32"/>
          <w:lang w:val="en-US" w:eastAsia="zh-CN"/>
        </w:rPr>
        <w:t>12</w:t>
      </w:r>
      <w:r>
        <w:rPr>
          <w:rFonts w:hint="eastAsia" w:ascii="仿宋_GB2312" w:hAnsi="Times New Roman" w:eastAsia="仿宋_GB2312" w:cs="仿宋_GB2312"/>
          <w:kern w:val="2"/>
          <w:sz w:val="32"/>
          <w:szCs w:val="32"/>
        </w:rPr>
        <w:t>名，行政工勤编制：1名。有编在岗人员总数</w:t>
      </w:r>
      <w:r>
        <w:rPr>
          <w:rFonts w:hint="eastAsia" w:ascii="仿宋_GB2312" w:hAnsi="Times New Roman" w:eastAsia="仿宋_GB2312" w:cs="仿宋_GB2312"/>
          <w:kern w:val="2"/>
          <w:sz w:val="32"/>
          <w:szCs w:val="32"/>
          <w:lang w:val="en-US" w:eastAsia="zh-CN"/>
        </w:rPr>
        <w:t>37</w:t>
      </w:r>
      <w:r>
        <w:rPr>
          <w:rFonts w:hint="eastAsia" w:ascii="仿宋_GB2312" w:hAnsi="Times New Roman" w:eastAsia="仿宋_GB2312" w:cs="仿宋_GB2312"/>
          <w:kern w:val="2"/>
          <w:sz w:val="32"/>
          <w:szCs w:val="32"/>
        </w:rPr>
        <w:t>名，其中：行政人员</w:t>
      </w:r>
      <w:r>
        <w:rPr>
          <w:rFonts w:hint="eastAsia" w:ascii="仿宋_GB2312" w:hAnsi="Times New Roman" w:eastAsia="仿宋_GB2312" w:cs="仿宋_GB2312"/>
          <w:kern w:val="2"/>
          <w:sz w:val="32"/>
          <w:szCs w:val="32"/>
          <w:lang w:val="en-US" w:eastAsia="zh-CN"/>
        </w:rPr>
        <w:t>24</w:t>
      </w:r>
      <w:r>
        <w:rPr>
          <w:rFonts w:hint="eastAsia" w:ascii="仿宋_GB2312" w:hAnsi="Times New Roman" w:eastAsia="仿宋_GB2312" w:cs="仿宋_GB2312"/>
          <w:kern w:val="2"/>
          <w:sz w:val="32"/>
          <w:szCs w:val="32"/>
        </w:rPr>
        <w:t>名，事业人员</w:t>
      </w:r>
      <w:r>
        <w:rPr>
          <w:rFonts w:hint="eastAsia" w:ascii="仿宋_GB2312" w:hAnsi="Times New Roman" w:eastAsia="仿宋_GB2312" w:cs="仿宋_GB2312"/>
          <w:kern w:val="2"/>
          <w:sz w:val="32"/>
          <w:szCs w:val="32"/>
          <w:lang w:val="en-US" w:eastAsia="zh-CN"/>
        </w:rPr>
        <w:t>12</w:t>
      </w:r>
      <w:r>
        <w:rPr>
          <w:rFonts w:hint="eastAsia" w:ascii="仿宋_GB2312" w:hAnsi="Times New Roman" w:eastAsia="仿宋_GB2312" w:cs="仿宋_GB2312"/>
          <w:kern w:val="2"/>
          <w:sz w:val="32"/>
          <w:szCs w:val="32"/>
        </w:rPr>
        <w:t>名，行政工勤人员1名</w:t>
      </w:r>
      <w:r>
        <w:rPr>
          <w:rFonts w:hint="eastAsia" w:ascii="仿宋_GB2312" w:hAnsi="Times New Roman" w:eastAsia="仿宋_GB2312" w:cs="仿宋_GB2312"/>
          <w:kern w:val="2"/>
          <w:sz w:val="32"/>
          <w:szCs w:val="32"/>
          <w:lang w:val="en-US" w:eastAsia="zh-CN"/>
        </w:rPr>
        <w:t>。</w:t>
      </w:r>
      <w:r>
        <w:rPr>
          <w:rFonts w:hint="eastAsia" w:ascii="仿宋_GB2312" w:hAnsi="Times New Roman" w:eastAsia="仿宋_GB2312" w:cs="仿宋_GB2312"/>
          <w:kern w:val="2"/>
          <w:sz w:val="32"/>
          <w:szCs w:val="32"/>
        </w:rPr>
        <w:t>退休人员</w:t>
      </w:r>
      <w:r>
        <w:rPr>
          <w:rFonts w:hint="eastAsia" w:ascii="仿宋_GB2312" w:hAnsi="Times New Roman" w:eastAsia="仿宋_GB2312" w:cs="仿宋_GB2312"/>
          <w:kern w:val="2"/>
          <w:sz w:val="32"/>
          <w:szCs w:val="32"/>
          <w:lang w:val="en-US" w:eastAsia="zh-CN"/>
        </w:rPr>
        <w:t>4</w:t>
      </w:r>
      <w:r>
        <w:rPr>
          <w:rFonts w:hint="eastAsia" w:ascii="仿宋_GB2312" w:hAnsi="Times New Roman" w:eastAsia="仿宋_GB2312" w:cs="仿宋_GB2312"/>
          <w:kern w:val="2"/>
          <w:sz w:val="32"/>
          <w:szCs w:val="32"/>
        </w:rPr>
        <w:t>人</w:t>
      </w:r>
      <w:r>
        <w:rPr>
          <w:rFonts w:hint="eastAsia" w:ascii="仿宋_GB2312" w:hAnsi="Times New Roman" w:eastAsia="仿宋_GB2312" w:cs="仿宋_GB2312"/>
          <w:kern w:val="2"/>
          <w:sz w:val="32"/>
          <w:szCs w:val="32"/>
          <w:lang w:eastAsia="zh-CN"/>
        </w:rPr>
        <w:t>。麦洼乡</w:t>
      </w:r>
      <w:r>
        <w:rPr>
          <w:rFonts w:hint="eastAsia" w:ascii="仿宋_GB2312" w:hAnsi="Times New Roman" w:eastAsia="仿宋_GB2312" w:cs="仿宋_GB2312"/>
          <w:kern w:val="2"/>
          <w:sz w:val="32"/>
          <w:szCs w:val="32"/>
        </w:rPr>
        <w:t>下辖2个行政村，2名一肩挑，</w:t>
      </w:r>
      <w:r>
        <w:rPr>
          <w:rFonts w:hint="eastAsia" w:ascii="仿宋_GB2312" w:hAnsi="Times New Roman" w:eastAsia="仿宋_GB2312" w:cs="仿宋_GB2312"/>
          <w:kern w:val="2"/>
          <w:sz w:val="32"/>
          <w:szCs w:val="32"/>
          <w:lang w:val="en-US" w:eastAsia="zh-CN"/>
        </w:rPr>
        <w:t>2</w:t>
      </w:r>
      <w:r>
        <w:rPr>
          <w:rFonts w:hint="eastAsia" w:ascii="仿宋_GB2312" w:hAnsi="Times New Roman" w:eastAsia="仿宋_GB2312" w:cs="仿宋_GB2312"/>
          <w:kern w:val="2"/>
          <w:sz w:val="32"/>
          <w:szCs w:val="32"/>
        </w:rPr>
        <w:t>名村</w:t>
      </w:r>
      <w:r>
        <w:rPr>
          <w:rFonts w:hint="eastAsia" w:ascii="仿宋_GB2312" w:hAnsi="Times New Roman" w:eastAsia="仿宋_GB2312" w:cs="仿宋_GB2312"/>
          <w:kern w:val="2"/>
          <w:sz w:val="32"/>
          <w:szCs w:val="32"/>
          <w:lang w:eastAsia="zh-CN"/>
        </w:rPr>
        <w:t>副主任，</w:t>
      </w:r>
      <w:r>
        <w:rPr>
          <w:rFonts w:hint="eastAsia" w:ascii="仿宋_GB2312" w:hAnsi="Times New Roman" w:eastAsia="仿宋_GB2312" w:cs="仿宋_GB2312"/>
          <w:kern w:val="2"/>
          <w:sz w:val="32"/>
          <w:szCs w:val="32"/>
          <w:lang w:val="en-US" w:eastAsia="zh-CN"/>
        </w:rPr>
        <w:t>2名村支部副书记，</w:t>
      </w:r>
      <w:r>
        <w:rPr>
          <w:rFonts w:hint="eastAsia" w:ascii="仿宋_GB2312" w:hAnsi="Times New Roman" w:eastAsia="仿宋_GB2312" w:cs="仿宋_GB2312"/>
          <w:kern w:val="2"/>
          <w:sz w:val="32"/>
          <w:szCs w:val="32"/>
        </w:rPr>
        <w:t>2名村会计</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lang w:val="en-US" w:eastAsia="zh-CN"/>
        </w:rPr>
        <w:t>2名村纪检委员</w:t>
      </w:r>
      <w:r>
        <w:rPr>
          <w:rFonts w:hint="eastAsia" w:ascii="仿宋_GB2312" w:hAnsi="Times New Roman" w:eastAsia="仿宋_GB2312" w:cs="仿宋_GB2312"/>
          <w:kern w:val="2"/>
          <w:sz w:val="32"/>
          <w:szCs w:val="32"/>
        </w:rPr>
        <w:t>。</w:t>
      </w:r>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pPr>
      <w:bookmarkStart w:id="169" w:name="_Toc29275"/>
      <w:bookmarkStart w:id="170" w:name="_Toc30488"/>
      <w:bookmarkStart w:id="171" w:name="_Toc14696"/>
      <w:bookmarkStart w:id="172" w:name="_Toc6269"/>
      <w:r>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t>二、部门财政资金收支情况</w:t>
      </w:r>
      <w:bookmarkEnd w:id="169"/>
      <w:bookmarkEnd w:id="170"/>
      <w:bookmarkEnd w:id="171"/>
      <w:bookmarkEnd w:id="172"/>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（一）部门财政资金收入情况</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lang w:val="zh-CN"/>
        </w:rPr>
      </w:pPr>
      <w:r>
        <w:rPr>
          <w:rFonts w:hint="eastAsia" w:ascii="仿宋_GB2312" w:hAnsi="Times New Roman" w:eastAsia="仿宋_GB2312" w:cs="仿宋_GB2312"/>
          <w:kern w:val="2"/>
          <w:sz w:val="32"/>
          <w:szCs w:val="32"/>
        </w:rPr>
        <w:t>本单位本年度总收入为962.88万元。其中：一般公共预算财政拨款收入为962.88万元，占比100.00%；一般公共服务201：收入712.60万元，完成预算100%</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rPr>
        <w:t>文化旅游体育与传媒支出207:收入5万元，完成预算</w:t>
      </w:r>
      <w:r>
        <w:rPr>
          <w:rFonts w:hint="eastAsia" w:ascii="仿宋_GB2312" w:hAnsi="Times New Roman" w:eastAsia="仿宋_GB2312" w:cs="仿宋_GB2312"/>
          <w:kern w:val="2"/>
          <w:sz w:val="32"/>
          <w:szCs w:val="32"/>
          <w:lang w:val="en-US" w:eastAsia="zh-CN"/>
        </w:rPr>
        <w:t>100%；</w:t>
      </w:r>
      <w:r>
        <w:rPr>
          <w:rFonts w:hint="eastAsia" w:ascii="仿宋_GB2312" w:hAnsi="Times New Roman" w:eastAsia="仿宋_GB2312" w:cs="仿宋_GB2312"/>
          <w:kern w:val="2"/>
          <w:sz w:val="32"/>
          <w:szCs w:val="32"/>
        </w:rPr>
        <w:t>社会保障和就业208：收入79.95万元，完成预算100%</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rPr>
        <w:t>卫生健康210：收入36.49万元，完成预算100%</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rPr>
        <w:t>城乡社区212：收入8万元，完成预算100%</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rPr>
        <w:t>农林水213：收入61.31万元，完成预算100%</w:t>
      </w:r>
      <w:r>
        <w:rPr>
          <w:rFonts w:hint="eastAsia" w:ascii="仿宋_GB2312" w:hAnsi="Times New Roman" w:eastAsia="仿宋_GB2312" w:cs="仿宋_GB2312"/>
          <w:kern w:val="2"/>
          <w:sz w:val="32"/>
          <w:szCs w:val="32"/>
          <w:lang w:eastAsia="zh-CN"/>
        </w:rPr>
        <w:t>；</w:t>
      </w:r>
      <w:r>
        <w:rPr>
          <w:rFonts w:hint="eastAsia" w:ascii="仿宋_GB2312" w:hAnsi="Times New Roman" w:eastAsia="仿宋_GB2312" w:cs="仿宋_GB2312"/>
          <w:kern w:val="2"/>
          <w:sz w:val="32"/>
          <w:szCs w:val="32"/>
        </w:rPr>
        <w:t>住房保障221：收入59.52万元，完成预算100%</w:t>
      </w:r>
      <w:r>
        <w:rPr>
          <w:rFonts w:hint="eastAsia" w:ascii="仿宋_GB2312" w:hAnsi="Times New Roman" w:eastAsia="仿宋_GB2312" w:cs="仿宋_GB2312"/>
          <w:kern w:val="2"/>
          <w:sz w:val="32"/>
          <w:szCs w:val="32"/>
          <w:lang w:eastAsia="zh-CN"/>
        </w:rPr>
        <w:t>。</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（二）部门财政资金支出情况</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lang w:val="zh-CN" w:eastAsia="zh-CN"/>
        </w:rPr>
      </w:pPr>
      <w:r>
        <w:rPr>
          <w:rFonts w:hint="eastAsia" w:ascii="仿宋_GB2312" w:hAnsi="Times New Roman" w:eastAsia="仿宋_GB2312" w:cs="仿宋_GB2312"/>
          <w:kern w:val="2"/>
          <w:sz w:val="32"/>
          <w:szCs w:val="32"/>
        </w:rPr>
        <w:t>本年度总支出为</w:t>
      </w:r>
      <w:r>
        <w:rPr>
          <w:rFonts w:hint="eastAsia" w:ascii="仿宋_GB2312" w:hAnsi="Times New Roman" w:eastAsia="仿宋_GB2312" w:cs="仿宋_GB2312"/>
          <w:kern w:val="2"/>
          <w:sz w:val="32"/>
          <w:szCs w:val="32"/>
          <w:lang w:val="en-US" w:eastAsia="zh-CN"/>
        </w:rPr>
        <w:t>962.88</w:t>
      </w:r>
      <w:r>
        <w:rPr>
          <w:rFonts w:hint="eastAsia" w:ascii="仿宋_GB2312" w:hAnsi="Times New Roman" w:eastAsia="仿宋_GB2312" w:cs="仿宋_GB2312"/>
          <w:kern w:val="2"/>
          <w:sz w:val="32"/>
          <w:szCs w:val="32"/>
        </w:rPr>
        <w:t>万元。其中：一般公共服务支出为712.61万元，占比74.00%；文化旅游体育与传媒支出为5.00万元，占比0.52%；社会保障和就业支出为79.95万元，占比8.30%；卫生健康支出为36.49万元，占比3.79%；城乡社区支出为8.00万元，占比0.83%；农林水支出为61.31万元，占比6.37%；住房保障支出为59.52万元，占比6.18%</w:t>
      </w:r>
      <w:r>
        <w:rPr>
          <w:rFonts w:hint="eastAsia" w:ascii="仿宋_GB2312" w:hAnsi="Times New Roman" w:eastAsia="仿宋_GB2312" w:cs="仿宋_GB2312"/>
          <w:kern w:val="2"/>
          <w:sz w:val="32"/>
          <w:szCs w:val="32"/>
          <w:lang w:eastAsia="zh-CN"/>
        </w:rPr>
        <w:t>。</w:t>
      </w:r>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pPr>
      <w:bookmarkStart w:id="173" w:name="_Toc1644"/>
      <w:bookmarkStart w:id="174" w:name="_Toc25375"/>
      <w:bookmarkStart w:id="175" w:name="_Toc6503"/>
      <w:bookmarkStart w:id="176" w:name="_Toc27509"/>
      <w:r>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t>三、部门整体预算绩效管理情况</w:t>
      </w:r>
      <w:bookmarkEnd w:id="173"/>
      <w:bookmarkEnd w:id="174"/>
      <w:bookmarkEnd w:id="175"/>
      <w:bookmarkEnd w:id="176"/>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（一）部门预算管理</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jc w:val="left"/>
        <w:rPr>
          <w:rFonts w:hint="eastAsia" w:ascii="仿宋_GB2312" w:hAnsi="Times New Roman" w:eastAsia="仿宋_GB2312" w:cs="仿宋_GB2312"/>
          <w:kern w:val="2"/>
          <w:sz w:val="32"/>
          <w:szCs w:val="32"/>
          <w:lang w:val="en-US" w:eastAsia="zh-CN"/>
        </w:rPr>
      </w:pPr>
      <w:r>
        <w:rPr>
          <w:rFonts w:hint="eastAsia" w:ascii="仿宋_GB2312" w:hAnsi="Times New Roman" w:eastAsia="仿宋_GB2312" w:cs="仿宋_GB2312"/>
          <w:kern w:val="2"/>
          <w:sz w:val="32"/>
          <w:szCs w:val="32"/>
          <w:lang w:val="zh-CN" w:eastAsia="zh-CN"/>
        </w:rPr>
        <w:t>我乡严格按照相关编制要求、编制程序</w:t>
      </w:r>
      <w:r>
        <w:rPr>
          <w:rFonts w:hint="eastAsia" w:ascii="仿宋_GB2312" w:hAnsi="Times New Roman" w:eastAsia="仿宋_GB2312" w:cs="仿宋_GB2312"/>
          <w:kern w:val="2"/>
          <w:sz w:val="32"/>
          <w:szCs w:val="32"/>
          <w:lang w:val="en-US" w:eastAsia="zh-CN"/>
        </w:rPr>
        <w:t>及时组织财务人员进行</w:t>
      </w:r>
      <w:r>
        <w:rPr>
          <w:rFonts w:hint="eastAsia" w:ascii="仿宋_GB2312" w:hAnsi="Times New Roman" w:eastAsia="仿宋_GB2312" w:cs="仿宋_GB2312"/>
          <w:kern w:val="2"/>
          <w:sz w:val="32"/>
          <w:szCs w:val="32"/>
          <w:lang w:val="zh-CN" w:eastAsia="zh-CN"/>
        </w:rPr>
        <w:t>部门预算编制。</w:t>
      </w:r>
      <w:r>
        <w:rPr>
          <w:rFonts w:hint="eastAsia" w:ascii="仿宋_GB2312" w:hAnsi="Times New Roman" w:eastAsia="仿宋_GB2312" w:cs="仿宋_GB2312"/>
          <w:kern w:val="2"/>
          <w:sz w:val="32"/>
          <w:szCs w:val="32"/>
          <w:lang w:val="en-US" w:eastAsia="zh-CN"/>
        </w:rPr>
        <w:t>对本年度预算款项进行及时清理和处理，做到账账相符、账实相符、账证相符,按先有预算再有支出的原则，及时处理相关事务；对绩效目标进行梳理和分析，及时上报相关报表；对专项预算提前细化，分科目上报，做到收支平衡。</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bidi="ar-SA"/>
        </w:rPr>
        <w:t>（二）结果应用情况</w:t>
      </w:r>
    </w:p>
    <w:p>
      <w:pPr>
        <w:pStyle w:val="11"/>
        <w:keepNext w:val="0"/>
        <w:keepLines w:val="0"/>
        <w:pageBreakBefore w:val="0"/>
        <w:widowControl/>
        <w:suppressLineNumbers w:val="0"/>
        <w:kinsoku/>
        <w:wordWrap/>
        <w:overflowPunct/>
        <w:topLinePunct w:val="0"/>
        <w:autoSpaceDN/>
        <w:bidi w:val="0"/>
        <w:spacing w:before="105" w:beforeAutospacing="0" w:after="105" w:afterAutospacing="0" w:line="560" w:lineRule="exact"/>
        <w:ind w:left="0" w:firstLine="643" w:firstLineChars="200"/>
        <w:rPr>
          <w:rFonts w:hint="eastAsia" w:ascii="仿宋_GB2312" w:hAnsi="Calibri" w:eastAsia="仿宋_GB2312" w:cs="Times New Roman"/>
          <w:bCs/>
          <w:color w:val="000000"/>
          <w:kern w:val="0"/>
          <w:sz w:val="32"/>
          <w:szCs w:val="32"/>
          <w:lang w:val="zh-CN" w:eastAsia="zh-CN" w:bidi="ar-SA"/>
        </w:rPr>
      </w:pPr>
      <w:r>
        <w:rPr>
          <w:rFonts w:hint="eastAsia" w:ascii="仿宋_GB2312" w:hAnsi="Calibri" w:cs="Times New Roman"/>
          <w:b/>
          <w:bCs w:val="0"/>
          <w:color w:val="000000"/>
          <w:kern w:val="0"/>
          <w:sz w:val="32"/>
          <w:szCs w:val="32"/>
          <w:lang w:val="zh-CN" w:eastAsia="zh-CN" w:bidi="ar-SA"/>
        </w:rPr>
        <w:t>信息</w:t>
      </w:r>
      <w:r>
        <w:rPr>
          <w:rFonts w:hint="eastAsia" w:ascii="仿宋_GB2312" w:hAnsi="Calibri" w:eastAsia="仿宋_GB2312" w:cs="Times New Roman"/>
          <w:b/>
          <w:bCs w:val="0"/>
          <w:color w:val="000000"/>
          <w:kern w:val="0"/>
          <w:sz w:val="32"/>
          <w:szCs w:val="32"/>
          <w:lang w:val="zh-CN" w:eastAsia="zh-CN" w:bidi="ar-SA"/>
        </w:rPr>
        <w:t>公开：</w:t>
      </w:r>
      <w:r>
        <w:rPr>
          <w:rFonts w:hint="eastAsia" w:ascii="仿宋_GB2312" w:hAnsi="Calibri" w:eastAsia="仿宋_GB2312" w:cs="Times New Roman"/>
          <w:b w:val="0"/>
          <w:bCs/>
          <w:color w:val="000000"/>
          <w:kern w:val="0"/>
          <w:sz w:val="32"/>
          <w:szCs w:val="32"/>
          <w:lang w:val="zh-CN" w:eastAsia="zh-CN" w:bidi="ar-SA"/>
        </w:rPr>
        <w:t>根据县政府相关工作要求，及时依法在政府官方网站对“三公经费”及预算、决算</w:t>
      </w:r>
      <w:r>
        <w:rPr>
          <w:rFonts w:hint="eastAsia" w:ascii="仿宋_GB2312" w:hAnsi="Calibri" w:cs="Times New Roman"/>
          <w:b w:val="0"/>
          <w:bCs/>
          <w:color w:val="000000"/>
          <w:kern w:val="0"/>
          <w:sz w:val="32"/>
          <w:szCs w:val="32"/>
          <w:lang w:val="zh-CN" w:eastAsia="zh-CN" w:bidi="ar-SA"/>
        </w:rPr>
        <w:t>信息</w:t>
      </w:r>
      <w:r>
        <w:rPr>
          <w:rFonts w:hint="eastAsia" w:ascii="仿宋_GB2312" w:hAnsi="Calibri" w:eastAsia="仿宋_GB2312" w:cs="Times New Roman"/>
          <w:b w:val="0"/>
          <w:bCs/>
          <w:color w:val="000000"/>
          <w:kern w:val="0"/>
          <w:sz w:val="32"/>
          <w:szCs w:val="32"/>
          <w:lang w:val="zh-CN" w:eastAsia="zh-CN" w:bidi="ar-SA"/>
        </w:rPr>
        <w:t>进行公示，授受社会的监督</w:t>
      </w:r>
      <w:r>
        <w:rPr>
          <w:rFonts w:hint="eastAsia" w:ascii="仿宋_GB2312" w:hAnsi="Calibri" w:cs="Times New Roman"/>
          <w:b w:val="0"/>
          <w:bCs/>
          <w:color w:val="000000"/>
          <w:kern w:val="0"/>
          <w:sz w:val="32"/>
          <w:szCs w:val="32"/>
          <w:lang w:val="zh-CN" w:eastAsia="zh-CN" w:bidi="ar-SA"/>
        </w:rPr>
        <w:t>。</w:t>
      </w:r>
    </w:p>
    <w:p>
      <w:pPr>
        <w:pageBreakBefore w:val="0"/>
        <w:kinsoku/>
        <w:wordWrap/>
        <w:overflowPunct/>
        <w:topLinePunct w:val="0"/>
        <w:bidi w:val="0"/>
        <w:spacing w:line="560" w:lineRule="exact"/>
        <w:ind w:firstLine="643"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b/>
          <w:bCs/>
          <w:color w:val="000000"/>
          <w:kern w:val="0"/>
          <w:sz w:val="32"/>
          <w:szCs w:val="32"/>
          <w:lang w:val="zh-CN" w:eastAsia="zh-CN" w:bidi="ar-SA"/>
        </w:rPr>
        <w:t>内部管理制度建设情况：</w:t>
      </w:r>
      <w:r>
        <w:rPr>
          <w:rFonts w:hint="eastAsia" w:ascii="仿宋_GB2312" w:hAnsi="Calibri" w:eastAsia="仿宋_GB2312" w:cs="仿宋"/>
          <w:color w:val="000000"/>
          <w:kern w:val="0"/>
          <w:sz w:val="32"/>
          <w:szCs w:val="32"/>
          <w:lang w:val="zh-CN" w:eastAsia="zh-CN" w:bidi="ar-SA"/>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pageBreakBefore w:val="0"/>
        <w:kinsoku/>
        <w:wordWrap/>
        <w:overflowPunct/>
        <w:topLinePunct w:val="0"/>
        <w:bidi w:val="0"/>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1、明确了记账人员与审批人员、经办人员的职责权限，使其相互分离、相互制约，以明确责任，防止舞弊，各项业务事项得以有序进行。</w:t>
      </w:r>
    </w:p>
    <w:p>
      <w:pPr>
        <w:pageBreakBefore w:val="0"/>
        <w:kinsoku/>
        <w:wordWrap/>
        <w:overflowPunct/>
        <w:topLinePunct w:val="0"/>
        <w:bidi w:val="0"/>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2、明确了财务收支审批程序和审批人的权限和责任，规范了各项资金的使用，提高了资金使用效益。</w:t>
      </w:r>
    </w:p>
    <w:p>
      <w:pPr>
        <w:pageBreakBefore w:val="0"/>
        <w:kinsoku/>
        <w:wordWrap/>
        <w:overflowPunct/>
        <w:topLinePunct w:val="0"/>
        <w:bidi w:val="0"/>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3、明确经费支出的范围和开支标准，采取各种有效措施控制经费开支，杜绝了浪费现象的发生。</w:t>
      </w:r>
    </w:p>
    <w:p>
      <w:pPr>
        <w:pageBreakBefore w:val="0"/>
        <w:kinsoku/>
        <w:wordWrap/>
        <w:overflowPunct/>
        <w:topLinePunct w:val="0"/>
        <w:bidi w:val="0"/>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4、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pageBreakBefore w:val="0"/>
        <w:kinsoku/>
        <w:wordWrap/>
        <w:overflowPunct/>
        <w:topLinePunct w:val="0"/>
        <w:bidi w:val="0"/>
        <w:spacing w:line="560" w:lineRule="exact"/>
        <w:ind w:firstLine="643"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b/>
          <w:bCs/>
          <w:color w:val="000000"/>
          <w:kern w:val="0"/>
          <w:sz w:val="32"/>
          <w:szCs w:val="32"/>
          <w:lang w:val="zh-CN" w:eastAsia="zh-CN" w:bidi="ar-SA"/>
        </w:rPr>
        <w:t>财务财政监督情况：</w:t>
      </w:r>
      <w:r>
        <w:rPr>
          <w:rFonts w:hint="eastAsia" w:ascii="仿宋_GB2312" w:hAnsi="Calibri" w:eastAsia="仿宋_GB2312" w:cs="仿宋"/>
          <w:color w:val="000000"/>
          <w:kern w:val="0"/>
          <w:sz w:val="32"/>
          <w:szCs w:val="32"/>
          <w:lang w:val="zh-CN" w:eastAsia="zh-CN" w:bidi="ar-SA"/>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3"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b/>
          <w:bCs/>
          <w:color w:val="000000"/>
          <w:kern w:val="0"/>
          <w:sz w:val="32"/>
          <w:szCs w:val="32"/>
          <w:lang w:val="zh-CN" w:eastAsia="zh-CN" w:bidi="ar-SA"/>
        </w:rPr>
        <w:t>绩效评价：</w:t>
      </w:r>
      <w:r>
        <w:rPr>
          <w:rFonts w:hint="eastAsia" w:ascii="仿宋_GB2312" w:hAnsi="Calibri" w:eastAsia="仿宋_GB2312" w:cs="仿宋"/>
          <w:color w:val="000000"/>
          <w:kern w:val="0"/>
          <w:sz w:val="32"/>
          <w:szCs w:val="32"/>
          <w:lang w:val="zh-CN" w:eastAsia="zh-CN" w:bidi="ar-SA"/>
        </w:rPr>
        <w:t>根据绩效评价的要求，我们成立了自评工作领导小组，对照自评方案进行研究和布署，按照自评方案的要求，对照各实施项目的内容逐条逐项自评。</w:t>
      </w:r>
    </w:p>
    <w:p>
      <w:pPr>
        <w:keepNext w:val="0"/>
        <w:keepLines w:val="0"/>
        <w:pageBreakBefore w:val="0"/>
        <w:widowControl/>
        <w:kinsoku/>
        <w:wordWrap/>
        <w:overflowPunct/>
        <w:topLinePunct w:val="0"/>
        <w:autoSpaceDN/>
        <w:bidi w:val="0"/>
        <w:adjustRightInd w:val="0"/>
        <w:snapToGrid w:val="0"/>
        <w:spacing w:line="560" w:lineRule="exact"/>
        <w:ind w:firstLine="640" w:firstLineChars="200"/>
        <w:jc w:val="left"/>
        <w:outlineLvl w:val="1"/>
        <w:rPr>
          <w:rFonts w:hint="eastAsia" w:ascii="黑体" w:hAnsi="宋体" w:eastAsia="黑体" w:cs="宋体"/>
          <w:b w:val="0"/>
          <w:bCs w:val="0"/>
          <w:color w:val="000000"/>
          <w:kern w:val="0"/>
          <w:sz w:val="32"/>
          <w:szCs w:val="32"/>
        </w:rPr>
      </w:pPr>
      <w:bookmarkStart w:id="177" w:name="_Toc15337"/>
      <w:bookmarkStart w:id="178" w:name="_Toc9322"/>
      <w:bookmarkStart w:id="179" w:name="_Toc25783"/>
      <w:bookmarkStart w:id="180" w:name="_Toc2628"/>
      <w:r>
        <w:rPr>
          <w:rFonts w:hint="eastAsia" w:ascii="黑体" w:hAnsi="宋体" w:eastAsia="黑体" w:cs="宋体"/>
          <w:b w:val="0"/>
          <w:bCs w:val="0"/>
          <w:color w:val="000000"/>
          <w:kern w:val="0"/>
          <w:sz w:val="32"/>
          <w:szCs w:val="32"/>
        </w:rPr>
        <w:t>四、评价结论及建议</w:t>
      </w:r>
      <w:bookmarkEnd w:id="177"/>
      <w:bookmarkEnd w:id="178"/>
      <w:bookmarkEnd w:id="179"/>
      <w:bookmarkEnd w:id="180"/>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（一）评价结论</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firstLineChars="200"/>
        <w:rPr>
          <w:rFonts w:hint="eastAsia" w:ascii="仿宋_GB2312" w:hAnsi="Times New Roman" w:eastAsia="仿宋_GB2312" w:cs="仿宋_GB2312"/>
          <w:kern w:val="2"/>
          <w:sz w:val="32"/>
          <w:szCs w:val="32"/>
          <w:lang w:val="zh-CN" w:eastAsia="zh-CN"/>
        </w:rPr>
      </w:pPr>
      <w:r>
        <w:rPr>
          <w:rFonts w:hint="eastAsia" w:ascii="仿宋_GB2312" w:hAnsi="Times New Roman" w:eastAsia="仿宋_GB2312" w:cs="仿宋_GB2312"/>
          <w:kern w:val="2"/>
          <w:sz w:val="32"/>
          <w:szCs w:val="32"/>
          <w:lang w:val="zh-CN" w:eastAsia="zh-CN"/>
        </w:rPr>
        <w:t>在自评过程发现问题，查找原因，及时纠正偏差，为下一步工作夯实基础。我</w:t>
      </w:r>
      <w:r>
        <w:rPr>
          <w:rFonts w:hint="eastAsia" w:ascii="仿宋_GB2312" w:cs="仿宋_GB2312"/>
          <w:kern w:val="2"/>
          <w:sz w:val="32"/>
          <w:szCs w:val="32"/>
          <w:lang w:val="zh-CN" w:eastAsia="zh-CN"/>
        </w:rPr>
        <w:t>乡</w:t>
      </w:r>
      <w:r>
        <w:rPr>
          <w:rFonts w:hint="eastAsia" w:ascii="仿宋_GB2312" w:cs="仿宋_GB2312"/>
          <w:kern w:val="2"/>
          <w:sz w:val="32"/>
          <w:szCs w:val="32"/>
          <w:lang w:val="en-US" w:eastAsia="zh-CN"/>
        </w:rPr>
        <w:t>自</w:t>
      </w:r>
      <w:r>
        <w:rPr>
          <w:rFonts w:hint="eastAsia" w:ascii="仿宋_GB2312" w:hAnsi="Times New Roman" w:eastAsia="仿宋_GB2312" w:cs="仿宋_GB2312"/>
          <w:kern w:val="2"/>
          <w:sz w:val="32"/>
          <w:szCs w:val="32"/>
          <w:lang w:val="zh-CN" w:eastAsia="zh-CN"/>
        </w:rPr>
        <w:t>评得分</w:t>
      </w:r>
      <w:r>
        <w:rPr>
          <w:rFonts w:hint="eastAsia" w:ascii="仿宋_GB2312" w:cs="仿宋_GB2312"/>
          <w:kern w:val="2"/>
          <w:sz w:val="32"/>
          <w:szCs w:val="32"/>
          <w:lang w:val="en-US" w:eastAsia="zh-CN"/>
        </w:rPr>
        <w:t>92</w:t>
      </w:r>
      <w:r>
        <w:rPr>
          <w:rFonts w:hint="eastAsia" w:ascii="仿宋_GB2312" w:hAnsi="Times New Roman" w:eastAsia="仿宋_GB2312" w:cs="仿宋_GB2312"/>
          <w:kern w:val="2"/>
          <w:sz w:val="32"/>
          <w:szCs w:val="32"/>
          <w:lang w:val="zh-CN" w:eastAsia="zh-CN"/>
        </w:rPr>
        <w:t>分，整体评价良好，预算收入和支出相符。</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（二）存在问题</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3" w:firstLineChars="200"/>
        <w:rPr>
          <w:rFonts w:hint="eastAsia" w:ascii="仿宋_GB2312" w:hAnsi="Times New Roman" w:eastAsia="仿宋_GB2312" w:cs="仿宋_GB2312"/>
          <w:kern w:val="2"/>
          <w:sz w:val="32"/>
          <w:szCs w:val="32"/>
          <w:lang w:val="zh-CN" w:eastAsia="zh-CN"/>
        </w:rPr>
      </w:pPr>
      <w:r>
        <w:rPr>
          <w:rFonts w:hint="eastAsia" w:ascii="仿宋_GB2312" w:cs="仿宋_GB2312"/>
          <w:b/>
          <w:bCs/>
          <w:kern w:val="2"/>
          <w:sz w:val="32"/>
          <w:szCs w:val="32"/>
          <w:lang w:val="zh-CN" w:eastAsia="zh-CN"/>
        </w:rPr>
        <w:t>一是</w:t>
      </w:r>
      <w:r>
        <w:rPr>
          <w:rFonts w:hint="eastAsia" w:ascii="仿宋_GB2312" w:hAnsi="Times New Roman" w:eastAsia="仿宋_GB2312" w:cs="仿宋_GB2312"/>
          <w:kern w:val="2"/>
          <w:sz w:val="32"/>
          <w:szCs w:val="32"/>
          <w:lang w:val="en-US" w:eastAsia="zh-CN"/>
        </w:rPr>
        <w:t>未建立完善的绩效评价指标体系，部分项目无指标或指标不明确</w:t>
      </w:r>
      <w:r>
        <w:rPr>
          <w:rFonts w:hint="eastAsia" w:ascii="仿宋_GB2312" w:cs="仿宋_GB2312"/>
          <w:kern w:val="2"/>
          <w:sz w:val="32"/>
          <w:szCs w:val="32"/>
          <w:lang w:val="en-US" w:eastAsia="zh-CN"/>
        </w:rPr>
        <w:t>。</w:t>
      </w:r>
      <w:r>
        <w:rPr>
          <w:rFonts w:hint="eastAsia" w:ascii="仿宋_GB2312" w:hAnsi="Times New Roman" w:eastAsia="仿宋_GB2312" w:cs="仿宋_GB2312"/>
          <w:b/>
          <w:bCs/>
          <w:kern w:val="2"/>
          <w:sz w:val="32"/>
          <w:szCs w:val="32"/>
          <w:lang w:val="zh-CN" w:eastAsia="zh-CN"/>
        </w:rPr>
        <w:t>二是</w:t>
      </w:r>
      <w:r>
        <w:rPr>
          <w:rFonts w:hint="eastAsia" w:ascii="仿宋_GB2312" w:hAnsi="Times New Roman" w:eastAsia="仿宋_GB2312" w:cs="仿宋_GB2312"/>
          <w:kern w:val="2"/>
          <w:sz w:val="32"/>
          <w:szCs w:val="32"/>
          <w:lang w:val="zh-CN" w:eastAsia="zh-CN"/>
        </w:rPr>
        <w:t>绩效目标设立不够明确、细化和量化。</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100" w:after="100" w:line="560" w:lineRule="exact"/>
        <w:ind w:left="420" w:firstLine="161" w:firstLineChars="50"/>
        <w:contextualSpacing w:val="0"/>
        <w:jc w:val="left"/>
        <w:textAlignment w:val="auto"/>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（三）改进建议</w:t>
      </w:r>
    </w:p>
    <w:p>
      <w:pPr>
        <w:pStyle w:val="11"/>
        <w:keepNext w:val="0"/>
        <w:keepLines w:val="0"/>
        <w:pageBreakBefore w:val="0"/>
        <w:widowControl/>
        <w:shd w:val="clear" w:color="auto" w:fill="FFFFFF"/>
        <w:kinsoku/>
        <w:wordWrap/>
        <w:overflowPunct/>
        <w:topLinePunct w:val="0"/>
        <w:autoSpaceDN/>
        <w:bidi w:val="0"/>
        <w:spacing w:beforeAutospacing="0" w:afterAutospacing="0" w:line="560" w:lineRule="exact"/>
        <w:ind w:firstLine="643" w:firstLineChars="200"/>
        <w:rPr>
          <w:rFonts w:hint="eastAsia" w:ascii="仿宋_GB2312" w:hAnsi="Times New Roman" w:eastAsia="仿宋_GB2312" w:cs="仿宋_GB2312"/>
          <w:kern w:val="2"/>
          <w:sz w:val="32"/>
          <w:szCs w:val="32"/>
          <w:lang w:val="zh-CN" w:eastAsia="zh-CN"/>
        </w:rPr>
      </w:pPr>
      <w:r>
        <w:rPr>
          <w:rFonts w:hint="eastAsia" w:ascii="仿宋_GB2312" w:cs="仿宋_GB2312"/>
          <w:b/>
          <w:bCs/>
          <w:kern w:val="2"/>
          <w:sz w:val="32"/>
          <w:szCs w:val="32"/>
          <w:lang w:val="zh-CN" w:eastAsia="zh-CN"/>
        </w:rPr>
        <w:t>一</w:t>
      </w:r>
      <w:r>
        <w:rPr>
          <w:rFonts w:hint="eastAsia" w:ascii="仿宋_GB2312" w:hAnsi="Times New Roman" w:eastAsia="仿宋_GB2312" w:cs="仿宋_GB2312"/>
          <w:b/>
          <w:bCs/>
          <w:kern w:val="2"/>
          <w:sz w:val="32"/>
          <w:szCs w:val="32"/>
          <w:lang w:val="zh-CN" w:eastAsia="zh-CN"/>
        </w:rPr>
        <w:t>是</w:t>
      </w:r>
      <w:r>
        <w:rPr>
          <w:rFonts w:hint="eastAsia" w:ascii="仿宋_GB2312" w:hAnsi="Times New Roman" w:eastAsia="仿宋_GB2312" w:cs="仿宋_GB2312"/>
          <w:kern w:val="2"/>
          <w:sz w:val="32"/>
          <w:szCs w:val="32"/>
          <w:lang w:val="zh-CN" w:eastAsia="zh-CN"/>
        </w:rPr>
        <w:t>进一步规范绩效目标编制。在编制项目资金绩效目标时要求指向明确、细化量化、合理可行、相应匹配。</w:t>
      </w:r>
      <w:r>
        <w:rPr>
          <w:rFonts w:hint="eastAsia" w:ascii="仿宋_GB2312" w:cs="仿宋_GB2312"/>
          <w:b/>
          <w:bCs/>
          <w:kern w:val="2"/>
          <w:sz w:val="32"/>
          <w:szCs w:val="32"/>
          <w:lang w:val="zh-CN" w:eastAsia="zh-CN"/>
        </w:rPr>
        <w:t>二</w:t>
      </w:r>
      <w:r>
        <w:rPr>
          <w:rFonts w:hint="eastAsia" w:ascii="仿宋_GB2312" w:hAnsi="Times New Roman" w:eastAsia="仿宋_GB2312" w:cs="仿宋_GB2312"/>
          <w:b/>
          <w:bCs/>
          <w:kern w:val="2"/>
          <w:sz w:val="32"/>
          <w:szCs w:val="32"/>
          <w:lang w:val="zh-CN" w:eastAsia="zh-CN"/>
        </w:rPr>
        <w:t>是</w:t>
      </w:r>
      <w:r>
        <w:rPr>
          <w:rFonts w:hint="eastAsia" w:ascii="仿宋_GB2312" w:hAnsi="Times New Roman" w:eastAsia="仿宋_GB2312" w:cs="仿宋_GB2312"/>
          <w:kern w:val="2"/>
          <w:sz w:val="32"/>
          <w:szCs w:val="32"/>
          <w:lang w:val="zh-CN" w:eastAsia="zh-CN"/>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Fonts w:hint="eastAsia" w:ascii="宋体" w:hAnsi="宋体" w:eastAsia="宋体" w:cs="宋体"/>
          <w:b w:val="0"/>
          <w:bCs w:val="0"/>
          <w:i w:val="0"/>
          <w:iCs w:val="0"/>
          <w:sz w:val="32"/>
          <w:szCs w:val="32"/>
        </w:rPr>
      </w:pP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Fonts w:hint="eastAsia" w:ascii="宋体" w:hAnsi="宋体" w:eastAsia="宋体" w:cs="宋体"/>
          <w:b w:val="0"/>
          <w:bCs w:val="0"/>
          <w:i w:val="0"/>
          <w:iCs w:val="0"/>
          <w:sz w:val="32"/>
          <w:szCs w:val="32"/>
        </w:rPr>
      </w:pP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Fonts w:hint="eastAsia" w:ascii="宋体" w:hAnsi="宋体" w:eastAsia="宋体" w:cs="宋体"/>
          <w:b w:val="0"/>
          <w:bCs w:val="0"/>
          <w:i w:val="0"/>
          <w:iCs w:val="0"/>
          <w:sz w:val="32"/>
          <w:szCs w:val="32"/>
        </w:rPr>
      </w:pP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Fonts w:hint="eastAsia" w:ascii="宋体" w:hAnsi="宋体" w:eastAsia="宋体" w:cs="宋体"/>
          <w:b w:val="0"/>
          <w:bCs w:val="0"/>
          <w:i w:val="0"/>
          <w:iCs w:val="0"/>
          <w:sz w:val="32"/>
          <w:szCs w:val="32"/>
        </w:rPr>
      </w:pPr>
    </w:p>
    <w:p>
      <w:pPr>
        <w:pStyle w:val="17"/>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Fonts w:hint="eastAsia" w:ascii="宋体" w:hAnsi="宋体" w:eastAsia="宋体" w:cs="宋体"/>
          <w:b w:val="0"/>
          <w:bCs w:val="0"/>
          <w:i w:val="0"/>
          <w:iCs w:val="0"/>
          <w:sz w:val="32"/>
          <w:szCs w:val="32"/>
        </w:rPr>
      </w:pPr>
    </w:p>
    <w:p>
      <w:pPr>
        <w:keepNext w:val="0"/>
        <w:keepLines w:val="0"/>
        <w:pageBreakBefore w:val="0"/>
        <w:widowControl/>
        <w:kinsoku/>
        <w:wordWrap/>
        <w:overflowPunct/>
        <w:topLinePunct w:val="0"/>
        <w:autoSpaceDN/>
        <w:bidi w:val="0"/>
        <w:spacing w:line="560" w:lineRule="exact"/>
        <w:contextualSpacing/>
        <w:jc w:val="both"/>
        <w:rPr>
          <w:rFonts w:hint="eastAsia" w:ascii="宋体" w:hAnsi="宋体" w:eastAsia="宋体" w:cs="宋体"/>
          <w:b w:val="0"/>
          <w:bCs w:val="0"/>
          <w:i w:val="0"/>
          <w:iCs w:val="0"/>
          <w:sz w:val="32"/>
          <w:szCs w:val="32"/>
          <w:shd w:val="clear" w:fill="FFFFFF"/>
        </w:rPr>
      </w:pPr>
    </w:p>
    <w:p>
      <w:pPr>
        <w:pageBreakBefore w:val="0"/>
        <w:kinsoku/>
        <w:wordWrap/>
        <w:overflowPunct/>
        <w:topLinePunct w:val="0"/>
        <w:bidi w:val="0"/>
        <w:adjustRightInd w:val="0"/>
        <w:snapToGrid w:val="0"/>
        <w:spacing w:line="560" w:lineRule="exact"/>
        <w:ind w:firstLine="720"/>
        <w:jc w:val="center"/>
        <w:outlineLvl w:val="1"/>
        <w:rPr>
          <w:rFonts w:hint="eastAsia" w:ascii="方正小标宋_GBK" w:hAnsi="方正小标宋_GBK" w:eastAsia="方正小标宋_GBK" w:cs="方正小标宋_GBK"/>
          <w:b w:val="0"/>
          <w:bCs/>
          <w:color w:val="000000"/>
          <w:sz w:val="44"/>
          <w:szCs w:val="44"/>
        </w:rPr>
      </w:pPr>
      <w:bookmarkStart w:id="181" w:name="_Toc3607"/>
      <w:bookmarkStart w:id="182" w:name="_Toc23256"/>
      <w:bookmarkStart w:id="183" w:name="_Toc8206"/>
      <w:bookmarkStart w:id="184" w:name="_Toc8035"/>
      <w:r>
        <w:rPr>
          <w:rFonts w:hint="eastAsia" w:ascii="方正小标宋_GBK" w:hAnsi="方正小标宋_GBK" w:eastAsia="方正小标宋_GBK" w:cs="方正小标宋_GBK"/>
          <w:b w:val="0"/>
          <w:bCs/>
          <w:color w:val="000000"/>
          <w:sz w:val="44"/>
          <w:szCs w:val="44"/>
          <w:lang w:val="en-US" w:eastAsia="zh-CN"/>
        </w:rPr>
        <w:t>红原县麦洼乡人民政府</w:t>
      </w:r>
      <w:bookmarkEnd w:id="181"/>
      <w:bookmarkEnd w:id="182"/>
      <w:bookmarkEnd w:id="183"/>
      <w:bookmarkEnd w:id="184"/>
    </w:p>
    <w:p>
      <w:pPr>
        <w:pageBreakBefore w:val="0"/>
        <w:kinsoku/>
        <w:wordWrap/>
        <w:overflowPunct/>
        <w:topLinePunct w:val="0"/>
        <w:bidi w:val="0"/>
        <w:adjustRightInd w:val="0"/>
        <w:snapToGrid w:val="0"/>
        <w:spacing w:line="560" w:lineRule="exact"/>
        <w:ind w:firstLine="720"/>
        <w:jc w:val="center"/>
        <w:rPr>
          <w:rFonts w:hint="eastAsia" w:ascii="方正小标宋_GBK" w:hAnsi="方正小标宋_GBK" w:eastAsia="方正小标宋_GBK" w:cs="方正小标宋_GBK"/>
          <w:b w:val="0"/>
          <w:bCs/>
          <w:color w:val="000000"/>
          <w:sz w:val="44"/>
          <w:szCs w:val="44"/>
        </w:rPr>
      </w:pPr>
      <w:bookmarkStart w:id="185" w:name="_Toc10380"/>
      <w:bookmarkStart w:id="186" w:name="_Toc26958"/>
      <w:bookmarkStart w:id="187" w:name="_Toc17734"/>
      <w:r>
        <w:rPr>
          <w:rFonts w:hint="eastAsia" w:ascii="方正小标宋_GBK" w:hAnsi="方正小标宋_GBK" w:eastAsia="方正小标宋_GBK" w:cs="方正小标宋_GBK"/>
          <w:b w:val="0"/>
          <w:bCs/>
          <w:color w:val="000000"/>
          <w:sz w:val="44"/>
          <w:szCs w:val="44"/>
          <w:lang w:val="en-US" w:eastAsia="zh-CN"/>
        </w:rPr>
        <w:t>关于麦洼乡动态调整建档立卡贫困人员产业到户牦牛采购项目</w:t>
      </w:r>
      <w:r>
        <w:rPr>
          <w:rFonts w:hint="eastAsia" w:ascii="方正小标宋_GBK" w:hAnsi="方正小标宋_GBK" w:eastAsia="方正小标宋_GBK" w:cs="方正小标宋_GBK"/>
          <w:b w:val="0"/>
          <w:bCs/>
          <w:color w:val="000000"/>
          <w:sz w:val="44"/>
          <w:szCs w:val="44"/>
          <w:lang w:eastAsia="zh-CN"/>
        </w:rPr>
        <w:t>的</w:t>
      </w:r>
      <w:r>
        <w:rPr>
          <w:rFonts w:hint="eastAsia" w:ascii="方正小标宋_GBK" w:hAnsi="方正小标宋_GBK" w:eastAsia="方正小标宋_GBK" w:cs="方正小标宋_GBK"/>
          <w:b w:val="0"/>
          <w:bCs/>
          <w:color w:val="000000"/>
          <w:sz w:val="44"/>
          <w:szCs w:val="44"/>
          <w:lang w:val="en-US" w:eastAsia="zh-CN"/>
        </w:rPr>
        <w:t>项目</w:t>
      </w:r>
      <w:r>
        <w:rPr>
          <w:rFonts w:hint="eastAsia" w:ascii="方正小标宋_GBK" w:hAnsi="方正小标宋_GBK" w:eastAsia="方正小标宋_GBK" w:cs="方正小标宋_GBK"/>
          <w:b w:val="0"/>
          <w:bCs/>
          <w:color w:val="000000"/>
          <w:sz w:val="44"/>
          <w:szCs w:val="44"/>
        </w:rPr>
        <w:t>支出绩效自评报告</w:t>
      </w:r>
      <w:bookmarkEnd w:id="185"/>
      <w:bookmarkEnd w:id="186"/>
      <w:bookmarkEnd w:id="187"/>
    </w:p>
    <w:p>
      <w:pPr>
        <w:pStyle w:val="20"/>
        <w:pageBreakBefore w:val="0"/>
        <w:kinsoku/>
        <w:wordWrap/>
        <w:overflowPunct/>
        <w:topLinePunct w:val="0"/>
        <w:bidi w:val="0"/>
        <w:spacing w:line="560" w:lineRule="exact"/>
        <w:ind w:firstLine="640"/>
        <w:jc w:val="center"/>
        <w:rPr>
          <w:rFonts w:hint="eastAsia" w:ascii="方正小标宋_GBK" w:hAnsi="方正小标宋_GBK" w:eastAsia="方正小标宋_GBK" w:cs="方正小标宋_GBK"/>
          <w:b w:val="0"/>
          <w:bCs/>
          <w:color w:val="auto"/>
          <w:kern w:val="2"/>
          <w:sz w:val="44"/>
          <w:szCs w:val="44"/>
        </w:rPr>
      </w:pPr>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lang w:val="zh-CN" w:eastAsia="zh-CN"/>
        </w:rPr>
      </w:pPr>
      <w:bookmarkStart w:id="188" w:name="_Toc11103"/>
      <w:bookmarkStart w:id="189" w:name="_Toc1695"/>
      <w:bookmarkStart w:id="190" w:name="_Toc14502"/>
      <w:bookmarkStart w:id="191" w:name="_Toc8527"/>
      <w:r>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t>一、</w:t>
      </w:r>
      <w:r>
        <w:rPr>
          <w:rFonts w:hint="eastAsia" w:ascii="黑体" w:eastAsia="黑体" w:cs="楷体"/>
          <w:b w:val="0"/>
          <w:i w:val="0"/>
          <w:caps w:val="0"/>
          <w:smallCaps w:val="0"/>
          <w:strike w:val="0"/>
          <w:dstrike w:val="0"/>
          <w:vanish w:val="0"/>
          <w:color w:val="000000"/>
          <w:kern w:val="2"/>
          <w:sz w:val="32"/>
          <w:szCs w:val="32"/>
          <w:shd w:val="clear" w:color="auto" w:fill="auto"/>
          <w:lang w:val="zh-CN" w:eastAsia="zh-CN"/>
        </w:rPr>
        <w:t>项目概况</w:t>
      </w:r>
      <w:bookmarkEnd w:id="188"/>
      <w:bookmarkEnd w:id="189"/>
      <w:bookmarkEnd w:id="190"/>
      <w:bookmarkEnd w:id="191"/>
    </w:p>
    <w:p>
      <w:pPr>
        <w:pageBreakBefore w:val="0"/>
        <w:kinsoku/>
        <w:wordWrap/>
        <w:overflowPunct/>
        <w:topLinePunct w:val="0"/>
        <w:bidi w:val="0"/>
        <w:adjustRightInd w:val="0"/>
        <w:snapToGrid w:val="0"/>
        <w:spacing w:line="560" w:lineRule="exact"/>
        <w:ind w:firstLine="720"/>
        <w:jc w:val="left"/>
        <w:rPr>
          <w:rFonts w:hint="default" w:ascii="仿宋_GB2312" w:eastAsia="仿宋_GB2312" w:cs="仿宋_GB2312"/>
          <w:b w:val="0"/>
          <w:bCs/>
          <w:color w:val="000000"/>
          <w:sz w:val="32"/>
          <w:szCs w:val="32"/>
          <w:lang w:val="en-US" w:eastAsia="zh-CN"/>
        </w:rPr>
      </w:pPr>
      <w:r>
        <w:rPr>
          <w:rFonts w:hint="eastAsia" w:ascii="仿宋_GB2312" w:eastAsia="仿宋_GB2312" w:cs="仿宋_GB2312"/>
          <w:b w:val="0"/>
          <w:bCs/>
          <w:color w:val="000000"/>
          <w:sz w:val="32"/>
          <w:szCs w:val="32"/>
        </w:rPr>
        <w:t>根据《红原县脱贫攻坚领导小组办公室关于下达</w:t>
      </w:r>
      <w:r>
        <w:rPr>
          <w:rFonts w:hint="eastAsia" w:ascii="仿宋_GB2312" w:eastAsia="仿宋_GB2312" w:cs="仿宋_GB2312"/>
          <w:b w:val="0"/>
          <w:bCs/>
          <w:color w:val="000000"/>
          <w:sz w:val="32"/>
          <w:szCs w:val="32"/>
          <w:lang w:val="en-US" w:eastAsia="zh-CN"/>
        </w:rPr>
        <w:t>2021年脱贫攻坚项目建设</w:t>
      </w:r>
      <w:r>
        <w:rPr>
          <w:rFonts w:hint="eastAsia" w:ascii="仿宋_GB2312" w:eastAsia="仿宋_GB2312" w:cs="仿宋_GB2312"/>
          <w:b w:val="0"/>
          <w:bCs/>
          <w:color w:val="000000"/>
          <w:sz w:val="32"/>
          <w:szCs w:val="32"/>
        </w:rPr>
        <w:t>的通知》(红脱办【2020】</w:t>
      </w:r>
      <w:r>
        <w:rPr>
          <w:rFonts w:hint="eastAsia" w:ascii="仿宋_GB2312" w:eastAsia="仿宋_GB2312" w:cs="仿宋_GB2312"/>
          <w:b w:val="0"/>
          <w:bCs/>
          <w:color w:val="000000"/>
          <w:sz w:val="32"/>
          <w:szCs w:val="32"/>
          <w:lang w:val="en-US" w:eastAsia="zh-CN"/>
        </w:rPr>
        <w:t>101</w:t>
      </w:r>
      <w:r>
        <w:rPr>
          <w:rFonts w:hint="eastAsia" w:ascii="仿宋_GB2312" w:eastAsia="仿宋_GB2312" w:cs="仿宋_GB2312"/>
          <w:b w:val="0"/>
          <w:bCs/>
          <w:color w:val="000000"/>
          <w:sz w:val="32"/>
          <w:szCs w:val="32"/>
        </w:rPr>
        <w:t>号)文件精神，结合我乡动态新增贫困户人员实际情况</w:t>
      </w:r>
      <w:r>
        <w:rPr>
          <w:rFonts w:hint="eastAsia" w:ascii="仿宋_GB2312" w:cs="仿宋_GB2312"/>
          <w:b w:val="0"/>
          <w:bCs/>
          <w:color w:val="000000"/>
          <w:sz w:val="32"/>
          <w:szCs w:val="32"/>
          <w:lang w:eastAsia="zh-CN"/>
        </w:rPr>
        <w:t>，</w:t>
      </w:r>
      <w:r>
        <w:rPr>
          <w:rFonts w:hint="eastAsia" w:ascii="仿宋_GB2312" w:eastAsia="仿宋_GB2312" w:cs="仿宋_GB2312"/>
          <w:b w:val="0"/>
          <w:bCs/>
          <w:color w:val="000000"/>
          <w:sz w:val="32"/>
          <w:szCs w:val="32"/>
          <w:lang w:val="en-US" w:eastAsia="zh-CN"/>
        </w:rPr>
        <w:t>为我乡26户30人采购并发放30头优质牦母牛。</w:t>
      </w:r>
    </w:p>
    <w:p>
      <w:pPr>
        <w:pageBreakBefore w:val="0"/>
        <w:kinsoku/>
        <w:wordWrap/>
        <w:overflowPunct/>
        <w:topLinePunct w:val="0"/>
        <w:bidi w:val="0"/>
        <w:adjustRightInd w:val="0"/>
        <w:snapToGrid w:val="0"/>
        <w:spacing w:line="560" w:lineRule="exact"/>
        <w:ind w:firstLine="720"/>
        <w:jc w:val="left"/>
        <w:rPr>
          <w:rFonts w:hint="eastAsia" w:ascii="仿宋_GB2312" w:eastAsia="仿宋_GB2312" w:cs="仿宋_GB2312"/>
          <w:b w:val="0"/>
          <w:bCs/>
          <w:color w:val="000000"/>
          <w:sz w:val="32"/>
          <w:szCs w:val="32"/>
          <w:lang w:val="zh-CN" w:eastAsia="zh-CN"/>
        </w:rPr>
      </w:pPr>
      <w:r>
        <w:rPr>
          <w:rFonts w:hint="eastAsia" w:ascii="仿宋_GB2312" w:eastAsia="仿宋_GB2312" w:cs="仿宋_GB2312"/>
          <w:b w:val="0"/>
          <w:bCs/>
          <w:color w:val="000000"/>
          <w:sz w:val="32"/>
          <w:szCs w:val="32"/>
          <w:lang w:val="zh-CN" w:eastAsia="zh-CN"/>
        </w:rPr>
        <w:t>项目总投资</w:t>
      </w:r>
      <w:r>
        <w:rPr>
          <w:rFonts w:hint="eastAsia" w:ascii="仿宋_GB2312" w:eastAsia="仿宋_GB2312" w:cs="仿宋_GB2312"/>
          <w:b w:val="0"/>
          <w:bCs/>
          <w:color w:val="000000"/>
          <w:sz w:val="32"/>
          <w:szCs w:val="32"/>
          <w:lang w:val="en-US" w:eastAsia="zh-CN"/>
        </w:rPr>
        <w:t>18</w:t>
      </w:r>
      <w:r>
        <w:rPr>
          <w:rFonts w:hint="eastAsia" w:ascii="仿宋_GB2312" w:eastAsia="仿宋_GB2312" w:cs="仿宋_GB2312"/>
          <w:b w:val="0"/>
          <w:bCs/>
          <w:color w:val="000000"/>
          <w:sz w:val="32"/>
          <w:szCs w:val="32"/>
          <w:lang w:val="zh-CN" w:eastAsia="zh-CN"/>
        </w:rPr>
        <w:t>万元，其中：申请</w:t>
      </w:r>
      <w:r>
        <w:rPr>
          <w:rFonts w:hint="eastAsia" w:ascii="仿宋_GB2312" w:eastAsia="仿宋_GB2312" w:cs="仿宋_GB2312"/>
          <w:b w:val="0"/>
          <w:bCs/>
          <w:color w:val="000000"/>
          <w:sz w:val="32"/>
          <w:szCs w:val="32"/>
          <w:lang w:val="en-US" w:eastAsia="zh-CN"/>
        </w:rPr>
        <w:t>精准扶贫到户产业发展资金项目总投资 18万元占总投资的100%。</w:t>
      </w:r>
    </w:p>
    <w:p>
      <w:pPr>
        <w:pageBreakBefore w:val="0"/>
        <w:numPr>
          <w:ilvl w:val="0"/>
          <w:numId w:val="1"/>
        </w:numPr>
        <w:kinsoku/>
        <w:wordWrap/>
        <w:overflowPunct/>
        <w:topLinePunct w:val="0"/>
        <w:bidi w:val="0"/>
        <w:adjustRightInd w:val="0"/>
        <w:snapToGrid w:val="0"/>
        <w:spacing w:line="560" w:lineRule="exact"/>
        <w:ind w:firstLine="720"/>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项目资金申报及批复情况。</w:t>
      </w:r>
    </w:p>
    <w:p>
      <w:pPr>
        <w:pageBreakBefore w:val="0"/>
        <w:kinsoku/>
        <w:wordWrap/>
        <w:overflowPunct/>
        <w:topLinePunct w:val="0"/>
        <w:bidi w:val="0"/>
        <w:adjustRightInd w:val="0"/>
        <w:snapToGrid w:val="0"/>
        <w:spacing w:line="560" w:lineRule="exact"/>
        <w:ind w:firstLine="720"/>
        <w:jc w:val="left"/>
        <w:rPr>
          <w:rFonts w:hint="eastAsia" w:ascii="仿宋_GB2312" w:eastAsia="仿宋_GB2312" w:cs="仿宋_GB2312"/>
          <w:b w:val="0"/>
          <w:bCs/>
          <w:color w:val="000000"/>
          <w:sz w:val="32"/>
          <w:szCs w:val="32"/>
          <w:lang w:val="zh-CN" w:eastAsia="zh-CN"/>
        </w:rPr>
      </w:pPr>
      <w:r>
        <w:rPr>
          <w:rFonts w:hint="eastAsia" w:ascii="仿宋_GB2312" w:eastAsia="仿宋_GB2312" w:cs="仿宋_GB2312"/>
          <w:b w:val="0"/>
          <w:bCs/>
          <w:color w:val="000000"/>
          <w:sz w:val="32"/>
          <w:szCs w:val="32"/>
          <w:lang w:val="zh-CN" w:eastAsia="zh-CN"/>
        </w:rPr>
        <w:t>州财农2020-139号中央扶贫发展资金90万元（后面下达正式文件文号阿州财农2021-42号）阿州财农2021-43号-10省级财政扶贫发展资金7.2万元。</w:t>
      </w:r>
      <w:r>
        <w:rPr>
          <w:rFonts w:hint="eastAsia" w:ascii="仿宋_GB2312" w:eastAsia="仿宋_GB2312" w:cs="仿宋_GB2312"/>
          <w:b w:val="0"/>
          <w:bCs/>
          <w:color w:val="000000"/>
          <w:sz w:val="32"/>
          <w:szCs w:val="32"/>
          <w:lang w:val="en-US" w:eastAsia="zh-CN"/>
        </w:rPr>
        <w:t>下达我乡2021年麦洼乡动态调整建档立卡贫困人员产业到户牦牛采购项目18万元（该项目申报到实施期间不涉及预算调整）。</w:t>
      </w:r>
      <w:r>
        <w:rPr>
          <w:rFonts w:hint="eastAsia" w:ascii="仿宋_GB2312" w:eastAsia="仿宋_GB2312" w:cs="仿宋_GB2312"/>
          <w:b w:val="0"/>
          <w:bCs/>
          <w:color w:val="000000"/>
          <w:sz w:val="32"/>
          <w:szCs w:val="32"/>
          <w:lang w:val="zh-CN" w:eastAsia="zh-CN"/>
        </w:rPr>
        <w:t>符合资金管理办法等相关规定。</w:t>
      </w:r>
    </w:p>
    <w:p>
      <w:pPr>
        <w:pageBreakBefore w:val="0"/>
        <w:numPr>
          <w:ilvl w:val="0"/>
          <w:numId w:val="1"/>
        </w:numPr>
        <w:kinsoku/>
        <w:wordWrap/>
        <w:overflowPunct/>
        <w:topLinePunct w:val="0"/>
        <w:bidi w:val="0"/>
        <w:adjustRightInd w:val="0"/>
        <w:snapToGrid w:val="0"/>
        <w:spacing w:line="560" w:lineRule="exact"/>
        <w:ind w:firstLine="720"/>
        <w:jc w:val="left"/>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项目绩效目标。</w:t>
      </w:r>
    </w:p>
    <w:p>
      <w:pPr>
        <w:pageBreakBefore w:val="0"/>
        <w:kinsoku/>
        <w:wordWrap/>
        <w:overflowPunct/>
        <w:topLinePunct w:val="0"/>
        <w:bidi w:val="0"/>
        <w:adjustRightInd w:val="0"/>
        <w:snapToGrid w:val="0"/>
        <w:spacing w:line="560" w:lineRule="exact"/>
        <w:ind w:firstLine="720"/>
        <w:rPr>
          <w:rFonts w:hint="default" w:ascii="仿宋_GB2312" w:eastAsia="仿宋_GB2312" w:cs="仿宋_GB2312"/>
          <w:b w:val="0"/>
          <w:bCs/>
          <w:color w:val="000000"/>
          <w:sz w:val="32"/>
          <w:szCs w:val="32"/>
          <w:lang w:val="en-US" w:eastAsia="zh-CN"/>
        </w:rPr>
      </w:pPr>
      <w:r>
        <w:rPr>
          <w:rFonts w:hint="eastAsia" w:ascii="仿宋_GB2312" w:eastAsia="仿宋_GB2312" w:cs="仿宋_GB2312"/>
          <w:b w:val="0"/>
          <w:bCs/>
          <w:color w:val="000000"/>
          <w:sz w:val="32"/>
          <w:szCs w:val="32"/>
        </w:rPr>
        <w:t>根据《红原县脱贫攻坚领导小组办公室关于下达</w:t>
      </w:r>
      <w:r>
        <w:rPr>
          <w:rFonts w:hint="eastAsia" w:ascii="仿宋_GB2312" w:eastAsia="仿宋_GB2312" w:cs="仿宋_GB2312"/>
          <w:b w:val="0"/>
          <w:bCs/>
          <w:color w:val="000000"/>
          <w:sz w:val="32"/>
          <w:szCs w:val="32"/>
          <w:lang w:val="en-US" w:eastAsia="zh-CN"/>
        </w:rPr>
        <w:t>2021年脱贫攻坚项目建设</w:t>
      </w:r>
      <w:r>
        <w:rPr>
          <w:rFonts w:hint="eastAsia" w:ascii="仿宋_GB2312" w:eastAsia="仿宋_GB2312" w:cs="仿宋_GB2312"/>
          <w:b w:val="0"/>
          <w:bCs/>
          <w:color w:val="000000"/>
          <w:sz w:val="32"/>
          <w:szCs w:val="32"/>
        </w:rPr>
        <w:t>的通知》(红脱办【2020】</w:t>
      </w:r>
      <w:r>
        <w:rPr>
          <w:rFonts w:hint="eastAsia" w:ascii="仿宋_GB2312" w:eastAsia="仿宋_GB2312" w:cs="仿宋_GB2312"/>
          <w:b w:val="0"/>
          <w:bCs/>
          <w:color w:val="000000"/>
          <w:sz w:val="32"/>
          <w:szCs w:val="32"/>
          <w:lang w:val="en-US" w:eastAsia="zh-CN"/>
        </w:rPr>
        <w:t>101</w:t>
      </w:r>
      <w:r>
        <w:rPr>
          <w:rFonts w:hint="eastAsia" w:ascii="仿宋_GB2312" w:eastAsia="仿宋_GB2312" w:cs="仿宋_GB2312"/>
          <w:b w:val="0"/>
          <w:bCs/>
          <w:color w:val="000000"/>
          <w:sz w:val="32"/>
          <w:szCs w:val="32"/>
        </w:rPr>
        <w:t>号)文件精神，结合我乡动态新增贫困户人员实际情况</w:t>
      </w:r>
      <w:r>
        <w:rPr>
          <w:rFonts w:hint="eastAsia" w:ascii="仿宋_GB2312" w:cs="仿宋_GB2312"/>
          <w:b w:val="0"/>
          <w:bCs/>
          <w:color w:val="000000"/>
          <w:sz w:val="32"/>
          <w:szCs w:val="32"/>
          <w:lang w:eastAsia="zh-CN"/>
        </w:rPr>
        <w:t>，</w:t>
      </w:r>
      <w:r>
        <w:rPr>
          <w:rFonts w:hint="eastAsia" w:ascii="仿宋_GB2312" w:eastAsia="仿宋_GB2312" w:cs="仿宋_GB2312"/>
          <w:b w:val="0"/>
          <w:bCs/>
          <w:color w:val="000000"/>
          <w:sz w:val="32"/>
          <w:szCs w:val="32"/>
          <w:lang w:val="en-US" w:eastAsia="zh-CN"/>
        </w:rPr>
        <w:t>为我乡26户30人采购并发放30头优质牦母牛。</w:t>
      </w:r>
    </w:p>
    <w:p>
      <w:pPr>
        <w:pStyle w:val="6"/>
        <w:pageBreakBefore w:val="0"/>
        <w:kinsoku/>
        <w:wordWrap/>
        <w:overflowPunct/>
        <w:topLinePunct w:val="0"/>
        <w:bidi w:val="0"/>
        <w:spacing w:line="560" w:lineRule="exact"/>
        <w:rPr>
          <w:rFonts w:hint="eastAsia" w:ascii="仿宋_GB2312" w:eastAsia="仿宋_GB2312" w:cs="仿宋_GB2312" w:hAnsiTheme="minorEastAsia"/>
          <w:b/>
          <w:bCs w:val="0"/>
          <w:color w:val="000000"/>
          <w:kern w:val="0"/>
          <w:sz w:val="32"/>
          <w:szCs w:val="32"/>
          <w:lang w:val="zh-CN" w:eastAsia="zh-CN" w:bidi="ar"/>
        </w:rPr>
      </w:pPr>
      <w:r>
        <w:rPr>
          <w:rFonts w:hint="eastAsia" w:ascii="仿宋_GB2312" w:eastAsia="仿宋_GB2312" w:cs="仿宋_GB2312" w:hAnsiTheme="minorEastAsia"/>
          <w:b/>
          <w:bCs w:val="0"/>
          <w:color w:val="000000"/>
          <w:kern w:val="0"/>
          <w:sz w:val="32"/>
          <w:szCs w:val="32"/>
          <w:lang w:val="zh-CN" w:eastAsia="zh-CN" w:bidi="ar"/>
        </w:rPr>
        <w:t>计划实现的具体绩效目标：</w:t>
      </w:r>
    </w:p>
    <w:p>
      <w:pPr>
        <w:pageBreakBefore w:val="0"/>
        <w:kinsoku/>
        <w:wordWrap/>
        <w:overflowPunct/>
        <w:topLinePunct w:val="0"/>
        <w:bidi w:val="0"/>
        <w:adjustRightInd w:val="0"/>
        <w:snapToGrid w:val="0"/>
        <w:spacing w:line="560" w:lineRule="exact"/>
        <w:ind w:firstLine="720"/>
        <w:rPr>
          <w:rFonts w:hint="eastAsia" w:ascii="仿宋_GB2312" w:eastAsia="仿宋_GB2312" w:cs="仿宋_GB2312" w:hAnsiTheme="minorEastAsia"/>
          <w:b w:val="0"/>
          <w:bCs/>
          <w:color w:val="000000"/>
          <w:kern w:val="0"/>
          <w:sz w:val="32"/>
          <w:szCs w:val="32"/>
          <w:lang w:val="zh-CN" w:eastAsia="zh-CN" w:bidi="ar"/>
        </w:rPr>
      </w:pPr>
      <w:r>
        <w:rPr>
          <w:rFonts w:hint="eastAsia" w:ascii="仿宋_GB2312" w:eastAsia="仿宋_GB2312" w:cs="仿宋_GB2312" w:hAnsiTheme="minorEastAsia"/>
          <w:b w:val="0"/>
          <w:bCs/>
          <w:color w:val="000000"/>
          <w:kern w:val="0"/>
          <w:sz w:val="32"/>
          <w:szCs w:val="32"/>
          <w:lang w:val="en-US" w:eastAsia="zh-CN" w:bidi="ar"/>
        </w:rPr>
        <w:t>通过精准扶贫产业到户发展项目实施后，项目区人均纯收入预计增加676元，30名贫困人口将直接受益，起到很好的扶贫效益、经济效益十分可观。</w:t>
      </w:r>
      <w:r>
        <w:rPr>
          <w:rFonts w:hint="eastAsia" w:ascii="仿宋_GB2312" w:eastAsia="仿宋_GB2312" w:cs="仿宋_GB2312" w:hAnsiTheme="minorEastAsia"/>
          <w:b w:val="0"/>
          <w:bCs/>
          <w:color w:val="000000"/>
          <w:kern w:val="0"/>
          <w:sz w:val="32"/>
          <w:szCs w:val="32"/>
          <w:lang w:val="zh-CN" w:eastAsia="zh-CN" w:bidi="ar"/>
        </w:rPr>
        <w:t>（定性和定量</w:t>
      </w:r>
      <w:r>
        <w:rPr>
          <w:rFonts w:hint="eastAsia" w:ascii="仿宋_GB2312" w:eastAsia="仿宋_GB2312" w:cs="仿宋_GB2312"/>
          <w:b w:val="0"/>
          <w:bCs/>
          <w:color w:val="000000"/>
          <w:kern w:val="0"/>
          <w:sz w:val="32"/>
          <w:szCs w:val="32"/>
          <w:lang w:val="en-US" w:eastAsia="zh-CN" w:bidi="ar"/>
        </w:rPr>
        <w:t>目</w:t>
      </w:r>
      <w:r>
        <w:rPr>
          <w:rFonts w:hint="eastAsia" w:ascii="仿宋_GB2312" w:eastAsia="仿宋_GB2312" w:cs="仿宋_GB2312" w:hAnsiTheme="minorEastAsia"/>
          <w:b w:val="0"/>
          <w:bCs/>
          <w:color w:val="000000"/>
          <w:kern w:val="0"/>
          <w:sz w:val="32"/>
          <w:szCs w:val="32"/>
          <w:lang w:val="zh-CN" w:eastAsia="zh-CN" w:bidi="ar"/>
        </w:rPr>
        <w:t>标）以及项目实施进度计划等。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2021年6月中旬，制订实施方案等前期工作。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2021年6月下旬，启动实施产业发展项目。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2021年7月上旬，完成产业发展项目采购。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2021年7月下旬收集、整理相关资料，迎接省、州检查验收。</w:t>
      </w:r>
    </w:p>
    <w:p>
      <w:pPr>
        <w:pageBreakBefore w:val="0"/>
        <w:numPr>
          <w:ilvl w:val="0"/>
          <w:numId w:val="1"/>
        </w:numPr>
        <w:kinsoku/>
        <w:wordWrap/>
        <w:overflowPunct/>
        <w:topLinePunct w:val="0"/>
        <w:bidi w:val="0"/>
        <w:adjustRightInd w:val="0"/>
        <w:snapToGrid w:val="0"/>
        <w:spacing w:line="560" w:lineRule="exact"/>
        <w:ind w:firstLine="720"/>
        <w:jc w:val="left"/>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项目资金申报相符性。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hAnsi="Times New Roman" w:eastAsia="仿宋_GB2312" w:cs="仿宋_GB2312"/>
          <w:b w:val="0"/>
          <w:bCs w:val="0"/>
          <w:color w:val="000000"/>
          <w:kern w:val="2"/>
          <w:sz w:val="32"/>
          <w:szCs w:val="32"/>
          <w:lang w:val="zh-CN" w:eastAsia="zh-CN" w:bidi="ar-SA"/>
        </w:rPr>
        <w:t>从拟定的项目</w:t>
      </w:r>
      <w:r>
        <w:rPr>
          <w:rFonts w:hint="eastAsia" w:ascii="仿宋_GB2312" w:eastAsia="仿宋_GB2312" w:cs="仿宋_GB2312"/>
          <w:b/>
          <w:bCs/>
          <w:color w:val="000000"/>
          <w:sz w:val="32"/>
          <w:szCs w:val="32"/>
          <w:lang w:val="en-US" w:eastAsia="zh-CN"/>
        </w:rPr>
        <w:t>经济效益</w:t>
      </w:r>
      <w:r>
        <w:rPr>
          <w:rFonts w:hint="eastAsia" w:ascii="仿宋_GB2312" w:hAnsi="Times New Roman" w:eastAsia="仿宋_GB2312" w:cs="仿宋_GB2312"/>
          <w:b w:val="0"/>
          <w:bCs w:val="0"/>
          <w:color w:val="000000"/>
          <w:kern w:val="2"/>
          <w:sz w:val="32"/>
          <w:szCs w:val="32"/>
          <w:lang w:val="zh-CN" w:eastAsia="zh-CN" w:bidi="ar-SA"/>
        </w:rPr>
        <w:t>、</w:t>
      </w:r>
      <w:r>
        <w:rPr>
          <w:rFonts w:hint="eastAsia" w:ascii="仿宋_GB2312" w:eastAsia="仿宋_GB2312" w:cs="仿宋_GB2312"/>
          <w:b/>
          <w:bCs/>
          <w:color w:val="000000"/>
          <w:sz w:val="32"/>
          <w:szCs w:val="32"/>
          <w:lang w:val="en-US" w:eastAsia="zh-CN"/>
        </w:rPr>
        <w:t>生态效益</w:t>
      </w:r>
      <w:r>
        <w:rPr>
          <w:rFonts w:hint="eastAsia" w:ascii="仿宋_GB2312" w:cs="仿宋_GB2312"/>
          <w:b/>
          <w:bCs/>
          <w:color w:val="000000"/>
          <w:sz w:val="32"/>
          <w:szCs w:val="32"/>
          <w:lang w:val="en-US" w:eastAsia="zh-CN"/>
        </w:rPr>
        <w:t>、</w:t>
      </w:r>
      <w:r>
        <w:rPr>
          <w:rFonts w:hint="eastAsia" w:ascii="仿宋_GB2312" w:eastAsia="仿宋_GB2312" w:cs="仿宋_GB2312"/>
          <w:b/>
          <w:bCs/>
          <w:color w:val="000000"/>
          <w:sz w:val="32"/>
          <w:szCs w:val="32"/>
          <w:lang w:val="en-US" w:eastAsia="zh-CN"/>
        </w:rPr>
        <w:t>社会效益</w:t>
      </w:r>
      <w:r>
        <w:rPr>
          <w:rFonts w:hint="eastAsia" w:ascii="仿宋_GB2312" w:hAnsi="Times New Roman" w:eastAsia="仿宋_GB2312" w:cs="仿宋_GB2312"/>
          <w:b w:val="0"/>
          <w:bCs w:val="0"/>
          <w:color w:val="000000"/>
          <w:kern w:val="2"/>
          <w:sz w:val="32"/>
          <w:szCs w:val="32"/>
          <w:lang w:val="zh-CN" w:eastAsia="zh-CN" w:bidi="ar-SA"/>
        </w:rPr>
        <w:t>、</w:t>
      </w:r>
      <w:r>
        <w:rPr>
          <w:rFonts w:hint="eastAsia" w:ascii="仿宋_GB2312" w:eastAsia="仿宋_GB2312" w:cs="仿宋_GB2312"/>
          <w:b/>
          <w:bCs/>
          <w:color w:val="000000"/>
          <w:sz w:val="32"/>
          <w:szCs w:val="32"/>
          <w:lang w:val="en-US" w:eastAsia="zh-CN"/>
        </w:rPr>
        <w:t>扶贫效益</w:t>
      </w:r>
      <w:r>
        <w:rPr>
          <w:rFonts w:hint="eastAsia" w:ascii="仿宋_GB2312" w:hAnsi="Times New Roman" w:eastAsia="仿宋_GB2312" w:cs="仿宋_GB2312"/>
          <w:b w:val="0"/>
          <w:bCs w:val="0"/>
          <w:color w:val="000000"/>
          <w:kern w:val="2"/>
          <w:sz w:val="32"/>
          <w:szCs w:val="32"/>
          <w:lang w:val="zh-CN" w:eastAsia="zh-CN" w:bidi="ar-SA"/>
        </w:rPr>
        <w:t>等</w:t>
      </w:r>
      <w:r>
        <w:rPr>
          <w:rFonts w:hint="eastAsia" w:ascii="仿宋_GB2312" w:hAnsi="Times New Roman" w:cs="仿宋_GB2312"/>
          <w:b w:val="0"/>
          <w:bCs w:val="0"/>
          <w:color w:val="000000"/>
          <w:kern w:val="2"/>
          <w:sz w:val="32"/>
          <w:szCs w:val="32"/>
          <w:lang w:val="en-US" w:eastAsia="zh-CN" w:bidi="ar-SA"/>
        </w:rPr>
        <w:t>效益</w:t>
      </w:r>
      <w:r>
        <w:rPr>
          <w:rFonts w:hint="eastAsia" w:ascii="仿宋_GB2312" w:hAnsi="Times New Roman" w:eastAsia="仿宋_GB2312" w:cs="仿宋_GB2312"/>
          <w:b w:val="0"/>
          <w:bCs w:val="0"/>
          <w:color w:val="000000"/>
          <w:kern w:val="2"/>
          <w:sz w:val="32"/>
          <w:szCs w:val="32"/>
          <w:lang w:val="zh-CN" w:eastAsia="zh-CN" w:bidi="ar-SA"/>
        </w:rPr>
        <w:t>来看，项目具有必要性，其意义在于，-是</w:t>
      </w:r>
      <w:r>
        <w:rPr>
          <w:rFonts w:hint="eastAsia" w:ascii="仿宋_GB2312" w:eastAsia="仿宋_GB2312" w:cs="仿宋_GB2312"/>
          <w:b w:val="0"/>
          <w:bCs w:val="0"/>
          <w:color w:val="000000"/>
          <w:sz w:val="32"/>
          <w:szCs w:val="32"/>
          <w:lang w:val="en-US" w:eastAsia="zh-CN"/>
        </w:rPr>
        <w:t>项目区人均纯收入预计增加676元，30名贫困人口将直接受益，起到很好的扶贫效益、经济效益十分可观。</w:t>
      </w:r>
      <w:r>
        <w:rPr>
          <w:rFonts w:hint="eastAsia" w:ascii="仿宋_GB2312" w:hAnsi="Times New Roman" w:eastAsia="仿宋_GB2312" w:cs="仿宋_GB2312"/>
          <w:b w:val="0"/>
          <w:bCs w:val="0"/>
          <w:color w:val="000000"/>
          <w:kern w:val="2"/>
          <w:sz w:val="32"/>
          <w:szCs w:val="32"/>
          <w:lang w:val="zh-CN" w:eastAsia="zh-CN" w:bidi="ar-SA"/>
        </w:rPr>
        <w:t>二是</w:t>
      </w:r>
      <w:r>
        <w:rPr>
          <w:rFonts w:hint="eastAsia" w:ascii="仿宋_GB2312" w:eastAsia="仿宋_GB2312" w:cs="仿宋_GB2312"/>
          <w:b w:val="0"/>
          <w:bCs w:val="0"/>
          <w:color w:val="000000"/>
          <w:sz w:val="32"/>
          <w:szCs w:val="32"/>
          <w:lang w:val="en-US" w:eastAsia="zh-CN"/>
        </w:rPr>
        <w:t>项目实施基本消除脏、乱、差现象，实现道路硬化、学校美化、村庄亮化的目标，造就天蓝、山青、水秀、人美、人与自然和谐的环境，促进可持续发展具有重要的作用，生态效益十分显著。三是项目建成后，能较好地改善农业生产条件，对项目区合理调整农业产业结构，提高农业生产水平，加快推进贫困村向新农村、小康村转变，贫困户向宽裕户、小康户转变起到关键的带动作用。四是通过此项目和相关行业扶贫等项目的实施，将减贫2021年上级下达的贫困人口。有力提高项目区建档立卡贫困人口产业发展水平，改善生产生活条件，起到很好的扶贫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项目申报内容与具体实施内容完全相符、申报目标完全合理可行。</w:t>
      </w:r>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pPr>
      <w:bookmarkStart w:id="192" w:name="_Toc23746"/>
      <w:bookmarkStart w:id="193" w:name="_Toc31424"/>
      <w:bookmarkStart w:id="194" w:name="_Toc26546"/>
      <w:bookmarkStart w:id="195" w:name="_Toc21982"/>
      <w:r>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t>二、项目实施及管理情况</w:t>
      </w:r>
      <w:bookmarkEnd w:id="192"/>
      <w:bookmarkEnd w:id="193"/>
      <w:bookmarkEnd w:id="194"/>
      <w:bookmarkEnd w:id="195"/>
    </w:p>
    <w:p>
      <w:pPr>
        <w:pageBreakBefore w:val="0"/>
        <w:kinsoku/>
        <w:wordWrap/>
        <w:overflowPunct/>
        <w:topLinePunct w:val="0"/>
        <w:bidi w:val="0"/>
        <w:adjustRightInd w:val="0"/>
        <w:snapToGrid w:val="0"/>
        <w:spacing w:line="560" w:lineRule="exact"/>
        <w:ind w:firstLine="720"/>
        <w:outlineLvl w:val="2"/>
        <w:rPr>
          <w:rFonts w:ascii="楷体_GB2312" w:hAnsi="宋体" w:eastAsia="楷体_GB2312"/>
          <w:b/>
          <w:lang w:val="zh-CN"/>
        </w:rPr>
      </w:pPr>
      <w:r>
        <w:rPr>
          <w:rFonts w:hint="eastAsia" w:ascii="仿宋_GB2312" w:hAnsi="宋体"/>
          <w:lang w:val="zh-CN"/>
        </w:rPr>
        <w:tab/>
      </w:r>
      <w:bookmarkStart w:id="196" w:name="_Toc18870"/>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（一）资金计划、到位及使用情况。</w:t>
      </w:r>
      <w:bookmarkEnd w:id="19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3"/>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1．资金计划及到位。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州财农2020-139号中央扶贫发展资金90万元（后面下达正式文件文号阿州财农2021-42号）阿州财农2021-43号-10省级财政扶贫发展资金7.2万元。</w:t>
      </w:r>
      <w:r>
        <w:rPr>
          <w:rFonts w:hint="eastAsia" w:ascii="仿宋_GB2312" w:eastAsia="仿宋_GB2312" w:cs="仿宋_GB2312"/>
          <w:b w:val="0"/>
          <w:bCs w:val="0"/>
          <w:color w:val="000000"/>
          <w:sz w:val="32"/>
          <w:szCs w:val="32"/>
          <w:lang w:val="en-US" w:eastAsia="zh-CN"/>
        </w:rPr>
        <w:t>下达我乡2021年麦洼乡动态调整建档立卡贫困人员产业到户牦牛采购项目18万元下达我乡，没</w:t>
      </w:r>
      <w:r>
        <w:rPr>
          <w:rFonts w:hint="eastAsia" w:ascii="仿宋_GB2312" w:eastAsia="仿宋_GB2312" w:cs="仿宋_GB2312"/>
          <w:b w:val="0"/>
          <w:bCs w:val="0"/>
          <w:color w:val="000000"/>
          <w:sz w:val="32"/>
          <w:szCs w:val="32"/>
          <w:lang w:val="zh-CN" w:eastAsia="zh-CN"/>
        </w:rPr>
        <w:t>有资金未到位或到位不及时等情况。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3"/>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en-US" w:eastAsia="zh-CN"/>
        </w:rPr>
        <w:t>2、</w:t>
      </w:r>
      <w:r>
        <w:rPr>
          <w:rFonts w:hint="eastAsia" w:ascii="仿宋_GB2312" w:eastAsia="仿宋_GB2312" w:cs="仿宋_GB2312"/>
          <w:b w:val="0"/>
          <w:bCs w:val="0"/>
          <w:color w:val="000000"/>
          <w:sz w:val="32"/>
          <w:szCs w:val="32"/>
          <w:lang w:val="zh-CN" w:eastAsia="zh-CN"/>
        </w:rPr>
        <w:t>资金使用。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州财农2020-139号中央扶贫发展资金90万元（后面下达正式文件文号阿州财农2021-42号）阿州财农2021-43号-10省级财政扶贫发展资金7.2万元。</w:t>
      </w:r>
      <w:r>
        <w:rPr>
          <w:rFonts w:hint="eastAsia" w:ascii="仿宋_GB2312" w:eastAsia="仿宋_GB2312" w:cs="仿宋_GB2312"/>
          <w:b w:val="0"/>
          <w:bCs w:val="0"/>
          <w:color w:val="000000"/>
          <w:sz w:val="32"/>
          <w:szCs w:val="32"/>
          <w:lang w:val="en-US" w:eastAsia="zh-CN"/>
        </w:rPr>
        <w:t>下达我乡2021年麦洼乡动态调整建档立卡贫困人员产业到户牦牛采购项目18万元截止目前拨付率达100%，该项目支付依据合法合规，支付与预算相符。</w:t>
      </w:r>
    </w:p>
    <w:p>
      <w:pPr>
        <w:pageBreakBefore w:val="0"/>
        <w:kinsoku/>
        <w:wordWrap/>
        <w:overflowPunct/>
        <w:topLinePunct w:val="0"/>
        <w:bidi w:val="0"/>
        <w:adjustRightInd w:val="0"/>
        <w:snapToGrid w:val="0"/>
        <w:spacing w:line="560" w:lineRule="exact"/>
        <w:ind w:firstLine="720"/>
        <w:jc w:val="left"/>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bookmarkStart w:id="197" w:name="_Toc13173"/>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（二）项目财务管理情况。</w:t>
      </w:r>
      <w:bookmarkEnd w:id="19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1．建立资金管理责任制。资金安排的建设项目实行县级管理责任制度，坚持资金跟着项目走，项目跟着规划走，规划跟着贫病群众走的分配管理原则，统筹兼顾、整合资源、突出重点、分类实施。实行项目管理部门和项目实施单位法人代表责任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2．建立资金使用公示制。按照公开、公平、公正的原则对专项资金的分配和使用进行公告、公示。在项目实施地对具体项目实行张榜公布，自觉接受社会和群众监督。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3．建立资金管理专账核算制。严格按照国家和省资金管理办法和有关资金管理规定，对试点工作资金实行专账管理、专账核算、专款专用、封闭运行，提高资金使用效益。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4．建立资金管理报账制。资金实行县级财政报账制管理，做到资金安排到项目、日常管理到项目、支出核算到项目，按项目建设进度核拨资金，确保资金及时足额到位。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5．建立资金管理审计制。工程完工后，相关审计部门应及时会同财政、纪检、监察部门对资金使用情况进行专项审计。对转移、挪用、拖欠、挤占、贪污等违纪违法行为，要严肃查处，并追究相关责任人的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zh-CN" w:eastAsia="zh-CN"/>
        </w:rPr>
      </w:pPr>
      <w:r>
        <w:rPr>
          <w:rFonts w:hint="eastAsia" w:ascii="仿宋_GB2312" w:eastAsia="仿宋_GB2312" w:cs="仿宋_GB2312"/>
          <w:b w:val="0"/>
          <w:bCs w:val="0"/>
          <w:color w:val="000000"/>
          <w:sz w:val="32"/>
          <w:szCs w:val="32"/>
          <w:lang w:val="zh-CN" w:eastAsia="zh-CN"/>
        </w:rPr>
        <w:t>6．建立资金检查验收制。年度计划完成后，上级有关部门要按项目实施方案组织检查验收，进行绩效评估。</w:t>
      </w:r>
    </w:p>
    <w:p>
      <w:pPr>
        <w:pageBreakBefore w:val="0"/>
        <w:kinsoku/>
        <w:wordWrap/>
        <w:overflowPunct/>
        <w:topLinePunct w:val="0"/>
        <w:bidi w:val="0"/>
        <w:adjustRightInd w:val="0"/>
        <w:snapToGrid w:val="0"/>
        <w:spacing w:line="560" w:lineRule="exact"/>
        <w:ind w:firstLine="720"/>
        <w:outlineLvl w:val="2"/>
        <w:rPr>
          <w:rFonts w:ascii="楷体_GB2312" w:hAnsi="宋体" w:eastAsia="楷体_GB2312"/>
          <w:b/>
          <w:lang w:val="zh-CN"/>
        </w:rPr>
      </w:pPr>
      <w:bookmarkStart w:id="198" w:name="_Toc2197"/>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（三）项目组织实施情况。</w:t>
      </w:r>
      <w:bookmarkEnd w:id="19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1.成立2021年麦洼乡动态调整建档立卡贫困人员到户产业牦牛采购项目领导小组和项目监督领导小组。领导小组统一领导协调项目实施工作，审定项目具体实施内容、资金使用年度计划，监督检查项目资金到位情况、项目推进情况，上级报告项目进展和资金使用情况，领导小组办公室负责项目日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项目领导小组成员名单：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组 长:旦真扎西      乡政府代理乡长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索朗泽仁      乡政府副乡长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成 员:仙巴能州      乡专武部长兼项目副乡长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 xml:space="preserve">      能么措       乡组织委员兼财务分管领导</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贡秋让窝      洞拉村支部书记兼村委会主任</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求花          滚塘村支部书记兼村委会主任</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黄忠保        乡政府扶贫专干</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看作          乡政府畜牧专干</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李文          乡政府项目专干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3"/>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2.成立项目监督领导小组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eastAsia="仿宋_GB2312" w:cs="仿宋_GB2312"/>
          <w:b w:val="0"/>
          <w:bCs w:val="0"/>
          <w:color w:val="000000"/>
          <w:sz w:val="32"/>
          <w:szCs w:val="32"/>
          <w:lang w:val="en-US" w:eastAsia="zh-CN"/>
        </w:rPr>
      </w:pPr>
      <w:bookmarkStart w:id="199" w:name="_Toc9611"/>
      <w:bookmarkStart w:id="200" w:name="_Toc1937"/>
      <w:bookmarkStart w:id="201" w:name="_Toc9729"/>
      <w:bookmarkStart w:id="202" w:name="_Toc20137"/>
      <w:r>
        <w:rPr>
          <w:rFonts w:hint="eastAsia" w:ascii="仿宋_GB2312" w:eastAsia="仿宋_GB2312" w:cs="仿宋_GB2312"/>
          <w:b w:val="0"/>
          <w:bCs w:val="0"/>
          <w:color w:val="000000"/>
          <w:sz w:val="32"/>
          <w:szCs w:val="32"/>
          <w:lang w:val="en-US" w:eastAsia="zh-CN"/>
        </w:rPr>
        <w:t>项目监督领导小组项目监督领导小组</w:t>
      </w:r>
      <w:bookmarkEnd w:id="199"/>
      <w:bookmarkEnd w:id="200"/>
      <w:bookmarkEnd w:id="201"/>
      <w:bookmarkEnd w:id="20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组长:   韩树平   乡人大主席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副组长: 王欢     乡纪委书记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成 员:  笛娜     乡纪委委员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 xml:space="preserve">        泽郎准   乡纪委委员</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八布        洞拉村贫困牧户代表</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王加        滚塘村贫困牧户代表</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夺吉三周    洞拉村监督委员会委员</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旦洛        滚塘村监督委员会主任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供木科      滚塘村监督委员会委员</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default"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尔  金      洞拉村监督委员会委员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项目监督领导小组的主要职责是负责监督项目方案制定、监督项目实施、牲畜购置等工作，督促推进进度，确保项目质量。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3、加强群众的宣传引导。加强项目实施区农牧民群众的宣传引导，不断提高群众参与项目建设的积极性和热情，体现农牧民群众的主体地位。强化群众的感恩教育和爱国主义教育，通过项目的实施增强农牧民群众的感恩意识，坚定群众爱党爱国信念，巩固执政基础，不断密切党群、干群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4、建立目标责任制和绩效考评制、项目实行目标管理责任制，乡、村两级层层落实项目建设目标管理责任制，并签订目标责任书，确保责任落实、乡、村实行项目建设专人负责制，实施建设内容和任务由专人负责，实行目标管理，确保各项工作落到实处。</w:t>
      </w:r>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lang w:val="zh-CN" w:eastAsia="zh-CN"/>
        </w:rPr>
      </w:pPr>
      <w:bookmarkStart w:id="203" w:name="_Toc16216"/>
      <w:bookmarkStart w:id="204" w:name="_Toc32055"/>
      <w:bookmarkStart w:id="205" w:name="_Toc9968"/>
      <w:bookmarkStart w:id="206" w:name="_Toc4240"/>
      <w:r>
        <w:rPr>
          <w:rFonts w:hint="eastAsia" w:ascii="黑体" w:eastAsia="黑体" w:cs="楷体"/>
          <w:b w:val="0"/>
          <w:i w:val="0"/>
          <w:caps w:val="0"/>
          <w:smallCaps w:val="0"/>
          <w:strike w:val="0"/>
          <w:dstrike w:val="0"/>
          <w:vanish w:val="0"/>
          <w:color w:val="000000"/>
          <w:kern w:val="2"/>
          <w:sz w:val="32"/>
          <w:szCs w:val="32"/>
          <w:shd w:val="clear" w:color="auto" w:fill="auto"/>
          <w:lang w:val="en-US" w:eastAsia="zh-CN"/>
        </w:rPr>
        <w:t>三、项目绩效情况</w:t>
      </w:r>
      <w:bookmarkEnd w:id="203"/>
      <w:bookmarkEnd w:id="204"/>
      <w:bookmarkEnd w:id="205"/>
      <w:bookmarkEnd w:id="206"/>
      <w:r>
        <w:rPr>
          <w:rFonts w:hint="eastAsia" w:ascii="黑体" w:eastAsia="黑体" w:cs="楷体"/>
          <w:b w:val="0"/>
          <w:i w:val="0"/>
          <w:caps w:val="0"/>
          <w:smallCaps w:val="0"/>
          <w:strike w:val="0"/>
          <w:dstrike w:val="0"/>
          <w:vanish w:val="0"/>
          <w:color w:val="000000"/>
          <w:kern w:val="2"/>
          <w:sz w:val="32"/>
          <w:szCs w:val="32"/>
          <w:shd w:val="clear" w:color="auto" w:fill="auto"/>
          <w:lang w:val="zh-CN" w:eastAsia="zh-CN"/>
        </w:rPr>
        <w:tab/>
      </w:r>
    </w:p>
    <w:p>
      <w:pPr>
        <w:pageBreakBefore w:val="0"/>
        <w:kinsoku/>
        <w:wordWrap/>
        <w:overflowPunct/>
        <w:topLinePunct w:val="0"/>
        <w:bidi w:val="0"/>
        <w:adjustRightInd w:val="0"/>
        <w:snapToGrid w:val="0"/>
        <w:spacing w:line="560" w:lineRule="exact"/>
        <w:ind w:firstLine="720"/>
        <w:jc w:val="left"/>
        <w:outlineLvl w:val="2"/>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pPr>
      <w:bookmarkStart w:id="207" w:name="_Toc3796"/>
      <w:r>
        <w:rPr>
          <w:rFonts w:hint="eastAsia" w:ascii="仿宋_GB2312" w:hAnsi="Times New Roman" w:eastAsia="仿宋_GB2312" w:cs="Times New Roman"/>
          <w:b/>
          <w:bCs/>
          <w:snapToGrid/>
          <w:color w:val="000000"/>
          <w:spacing w:val="0"/>
          <w:w w:val="100"/>
          <w:kern w:val="2"/>
          <w:position w:val="0"/>
          <w:sz w:val="32"/>
          <w:szCs w:val="20"/>
          <w:u w:val="none" w:color="auto"/>
          <w:shd w:val="clear" w:color="auto" w:fill="auto"/>
          <w:vertAlign w:val="baseline"/>
          <w:lang w:val="zh-CN" w:eastAsia="zh-CN" w:bidi="ar-SA"/>
        </w:rPr>
        <w:t>（一）项目完成情况。</w:t>
      </w:r>
      <w:bookmarkEnd w:id="20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项目总体进度安排：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2021年6月中旬，制订实施方案等前期工作。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2021年6月下旬，启动实施产业发展项目。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2021年7月上旬，完成产业发展项目采购。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2021年7月下旬收集、整理相关资料，迎接省、州检查验收。</w:t>
      </w:r>
    </w:p>
    <w:p>
      <w:pPr>
        <w:pStyle w:val="6"/>
        <w:pageBreakBefore w:val="0"/>
        <w:kinsoku/>
        <w:wordWrap/>
        <w:overflowPunct/>
        <w:topLinePunct w:val="0"/>
        <w:bidi w:val="0"/>
        <w:spacing w:line="560" w:lineRule="exact"/>
        <w:rPr>
          <w:lang w:val="zh-CN"/>
        </w:rPr>
      </w:pPr>
    </w:p>
    <w:p>
      <w:pPr>
        <w:pStyle w:val="17"/>
        <w:keepNext w:val="0"/>
        <w:keepLines w:val="0"/>
        <w:pageBreakBefore w:val="0"/>
        <w:widowControl/>
        <w:numPr>
          <w:ilvl w:val="0"/>
          <w:numId w:val="2"/>
        </w:numPr>
        <w:suppressLineNumbers w:val="0"/>
        <w:kinsoku/>
        <w:wordWrap/>
        <w:overflowPunct/>
        <w:topLinePunct w:val="0"/>
        <w:autoSpaceDE w:val="0"/>
        <w:autoSpaceDN/>
        <w:bidi w:val="0"/>
        <w:spacing w:before="0" w:beforeAutospacing="0" w:after="0" w:afterAutospacing="0" w:line="560" w:lineRule="exact"/>
        <w:ind w:left="0" w:right="0" w:firstLine="640"/>
        <w:jc w:val="left"/>
        <w:rPr>
          <w:rFonts w:hint="eastAsia" w:ascii="仿宋_GB2312" w:cs="仿宋_GB2312"/>
          <w:b w:val="0"/>
          <w:bCs w:val="0"/>
          <w:color w:val="000000"/>
          <w:sz w:val="32"/>
          <w:szCs w:val="32"/>
          <w:lang w:val="en-US" w:eastAsia="zh-CN"/>
        </w:rPr>
      </w:pPr>
      <w:r>
        <w:rPr>
          <w:rFonts w:hint="eastAsia" w:ascii="仿宋_GB2312" w:hAnsi="Times New Roman" w:eastAsia="仿宋_GB2312" w:cs="Times New Roman"/>
          <w:b/>
          <w:bCs/>
          <w:i w:val="0"/>
          <w:iCs w:val="0"/>
          <w:snapToGrid/>
          <w:color w:val="000000"/>
          <w:spacing w:val="0"/>
          <w:w w:val="100"/>
          <w:kern w:val="2"/>
          <w:position w:val="0"/>
          <w:sz w:val="32"/>
          <w:szCs w:val="20"/>
          <w:u w:val="none" w:color="auto"/>
          <w:shd w:val="clear" w:color="auto" w:fill="auto"/>
          <w:vertAlign w:val="baseline"/>
          <w:lang w:val="zh-CN" w:eastAsia="zh-CN" w:bidi="ar-SA"/>
        </w:rPr>
        <w:t>项目效益情况。</w:t>
      </w:r>
      <w:r>
        <w:rPr>
          <w:rFonts w:hint="eastAsia" w:ascii="仿宋_GB2312" w:eastAsia="仿宋_GB2312" w:cs="仿宋_GB2312"/>
          <w:b w:val="0"/>
          <w:bCs w:val="0"/>
          <w:color w:val="000000"/>
          <w:sz w:val="32"/>
          <w:szCs w:val="32"/>
          <w:lang w:val="en-US" w:eastAsia="zh-CN"/>
        </w:rPr>
        <w:t>通过精准扶贫产业到户发展项目实施后，项目区人均纯收入预计增加676元，30名贫困人口将直接受益，起到很好的扶贫效益、经济效益十分可观</w:t>
      </w:r>
      <w:r>
        <w:rPr>
          <w:rFonts w:hint="eastAsia" w:ascii="仿宋_GB2312" w:cs="仿宋_GB2312"/>
          <w:b w:val="0"/>
          <w:bCs w:val="0"/>
          <w:color w:val="000000"/>
          <w:sz w:val="32"/>
          <w:szCs w:val="32"/>
          <w:lang w:val="en-US" w:eastAsia="zh-CN"/>
        </w:rPr>
        <w:t>。</w:t>
      </w:r>
    </w:p>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附表</w:t>
      </w:r>
    </w:p>
    <w:tbl>
      <w:tblPr>
        <w:tblStyle w:val="12"/>
        <w:tblW w:w="832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494"/>
        <w:gridCol w:w="922"/>
        <w:gridCol w:w="1234"/>
        <w:gridCol w:w="1398"/>
        <w:gridCol w:w="1398"/>
        <w:gridCol w:w="187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8320" w:type="dxa"/>
            <w:gridSpan w:val="6"/>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hint="eastAsia" w:ascii="仿宋_GB2312" w:eastAsia="仿宋_GB2312" w:cs="Times New Roman"/>
                <w:kern w:val="2"/>
                <w:sz w:val="32"/>
                <w:szCs w:val="32"/>
                <w:shd w:val="clear" w:color="auto" w:fill="auto"/>
                <w:lang w:val="en-US" w:eastAsia="zh-CN"/>
              </w:rPr>
              <w:t>麦洼乡动态调整建档立卡贫困人员产业到户牦牛采购项目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5" w:hRule="atLeast"/>
          <w:tblCellSpacing w:w="0" w:type="dxa"/>
        </w:trPr>
        <w:tc>
          <w:tcPr>
            <w:tcW w:w="2416" w:type="dxa"/>
            <w:gridSpan w:val="2"/>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主管部门及代码</w:t>
            </w:r>
          </w:p>
        </w:tc>
        <w:tc>
          <w:tcPr>
            <w:tcW w:w="2632" w:type="dxa"/>
            <w:gridSpan w:val="2"/>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ascii="仿宋_GB2312" w:eastAsia="仿宋_GB2312" w:cs="Times New Roman"/>
                <w:kern w:val="2"/>
                <w:sz w:val="32"/>
                <w:szCs w:val="32"/>
                <w:shd w:val="clear" w:color="auto" w:fill="auto"/>
              </w:rPr>
              <w:t>红原县</w:t>
            </w:r>
            <w:r>
              <w:rPr>
                <w:rFonts w:hint="eastAsia" w:ascii="仿宋_GB2312" w:eastAsia="仿宋_GB2312" w:cs="Times New Roman"/>
                <w:kern w:val="2"/>
                <w:sz w:val="32"/>
                <w:szCs w:val="32"/>
                <w:shd w:val="clear" w:color="auto" w:fill="auto"/>
                <w:lang w:val="en-US" w:eastAsia="zh-CN"/>
              </w:rPr>
              <w:t>麦洼乡</w:t>
            </w:r>
            <w:r>
              <w:rPr>
                <w:rFonts w:ascii="仿宋_GB2312" w:eastAsia="仿宋_GB2312" w:cs="Times New Roman"/>
                <w:kern w:val="2"/>
                <w:sz w:val="32"/>
                <w:szCs w:val="32"/>
                <w:shd w:val="clear" w:color="auto" w:fill="auto"/>
              </w:rPr>
              <w:t>1</w:t>
            </w:r>
            <w:r>
              <w:rPr>
                <w:rFonts w:hint="eastAsia" w:ascii="仿宋_GB2312" w:eastAsia="仿宋_GB2312" w:cs="Times New Roman"/>
                <w:kern w:val="2"/>
                <w:sz w:val="32"/>
                <w:szCs w:val="32"/>
                <w:shd w:val="clear" w:color="auto" w:fill="auto"/>
                <w:lang w:val="en-US" w:eastAsia="zh-CN"/>
              </w:rPr>
              <w:t>65</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实施单位</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hint="eastAsia" w:ascii="仿宋_GB2312" w:eastAsia="仿宋_GB2312" w:cs="Times New Roman"/>
                <w:kern w:val="2"/>
                <w:sz w:val="32"/>
                <w:szCs w:val="32"/>
                <w:shd w:val="clear" w:color="auto" w:fill="auto"/>
                <w:lang w:val="en-US" w:eastAsia="zh-CN"/>
              </w:rPr>
              <w:t>红原县麦洼乡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416" w:type="dxa"/>
            <w:gridSpan w:val="2"/>
            <w:vMerge w:val="restart"/>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项目预算</w:t>
            </w:r>
          </w:p>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执行情况</w:t>
            </w:r>
          </w:p>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（万元）</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预</w:t>
            </w:r>
            <w:r>
              <w:rPr>
                <w:rFonts w:hint="eastAsia" w:ascii="仿宋_GB2312" w:eastAsia="仿宋_GB2312" w:cs="Times New Roman"/>
                <w:kern w:val="2"/>
                <w:sz w:val="32"/>
                <w:szCs w:val="32"/>
                <w:shd w:val="clear" w:color="auto" w:fill="auto"/>
                <w:lang w:val="en-US" w:eastAsia="zh-CN"/>
              </w:rPr>
              <w:t>算</w:t>
            </w:r>
            <w:r>
              <w:rPr>
                <w:rFonts w:ascii="仿宋_GB2312" w:eastAsia="仿宋_GB2312" w:cs="Times New Roman"/>
                <w:kern w:val="2"/>
                <w:sz w:val="32"/>
                <w:szCs w:val="32"/>
                <w:shd w:val="clear" w:color="auto" w:fill="auto"/>
              </w:rPr>
              <w:t>数：</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hint="eastAsia" w:ascii="仿宋_GB2312" w:eastAsia="仿宋_GB2312" w:cs="Times New Roman"/>
                <w:kern w:val="2"/>
                <w:sz w:val="32"/>
                <w:szCs w:val="32"/>
                <w:shd w:val="clear" w:color="auto" w:fill="auto"/>
                <w:lang w:val="en-US" w:eastAsia="zh-CN"/>
              </w:rPr>
              <w:t>18</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执行数：</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hint="eastAsia" w:ascii="仿宋_GB2312" w:eastAsia="仿宋_GB2312" w:cs="Times New Roman"/>
                <w:kern w:val="2"/>
                <w:sz w:val="32"/>
                <w:szCs w:val="32"/>
                <w:shd w:val="clear" w:color="auto" w:fill="auto"/>
                <w:lang w:val="en-US" w:eastAsia="zh-CN"/>
              </w:rPr>
              <w:t>18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2416" w:type="dxa"/>
            <w:gridSpan w:val="2"/>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其中：</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财政拨款</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hint="eastAsia" w:ascii="仿宋_GB2312" w:eastAsia="仿宋_GB2312" w:cs="Times New Roman"/>
                <w:kern w:val="2"/>
                <w:sz w:val="32"/>
                <w:szCs w:val="32"/>
                <w:shd w:val="clear" w:color="auto" w:fill="auto"/>
                <w:lang w:val="en-US" w:eastAsia="zh-CN"/>
              </w:rPr>
              <w:t>18</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其中：</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财政拨款</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hint="eastAsia" w:ascii="仿宋_GB2312" w:eastAsia="仿宋_GB2312" w:cs="Times New Roman"/>
                <w:kern w:val="2"/>
                <w:sz w:val="32"/>
                <w:szCs w:val="32"/>
                <w:shd w:val="clear" w:color="auto" w:fill="auto"/>
                <w:lang w:val="en-US" w:eastAsia="zh-CN"/>
              </w:rPr>
              <w:t>18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416" w:type="dxa"/>
            <w:gridSpan w:val="2"/>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其他资金</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0</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其他资金</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0" w:hRule="atLeast"/>
          <w:tblCellSpacing w:w="0" w:type="dxa"/>
        </w:trPr>
        <w:tc>
          <w:tcPr>
            <w:tcW w:w="1494" w:type="dxa"/>
            <w:vMerge w:val="restart"/>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年度总体目标</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完成情况</w:t>
            </w:r>
          </w:p>
        </w:tc>
        <w:tc>
          <w:tcPr>
            <w:tcW w:w="3554" w:type="dxa"/>
            <w:gridSpan w:val="3"/>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预期目标</w:t>
            </w:r>
          </w:p>
        </w:tc>
        <w:tc>
          <w:tcPr>
            <w:tcW w:w="3272" w:type="dxa"/>
            <w:gridSpan w:val="2"/>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目标实际完成情况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3554" w:type="dxa"/>
            <w:gridSpan w:val="3"/>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hint="eastAsia" w:ascii="仿宋_GB2312" w:eastAsia="仿宋_GB2312" w:cs="仿宋_GB2312" w:hAnsiTheme="minorEastAsia"/>
                <w:b w:val="0"/>
                <w:bCs/>
                <w:color w:val="000000"/>
                <w:kern w:val="0"/>
                <w:sz w:val="32"/>
                <w:szCs w:val="32"/>
                <w:lang w:val="en-US" w:eastAsia="zh-CN" w:bidi="ar"/>
              </w:rPr>
              <w:t>通过精准扶贫产业到户发展项目实施后，项目区人均纯收入预计增加676元，30名贫困人口将直接受益，起到很好的扶贫效益、经济效益</w:t>
            </w:r>
            <w:r>
              <w:rPr>
                <w:rFonts w:hint="eastAsia" w:ascii="仿宋_GB2312" w:eastAsia="仿宋_GB2312" w:cs="仿宋_GB2312"/>
                <w:b w:val="0"/>
                <w:bCs/>
                <w:color w:val="000000"/>
                <w:kern w:val="0"/>
                <w:sz w:val="32"/>
                <w:szCs w:val="32"/>
                <w:lang w:val="en-US" w:eastAsia="zh-CN" w:bidi="ar"/>
              </w:rPr>
              <w:t>。</w:t>
            </w:r>
          </w:p>
        </w:tc>
        <w:tc>
          <w:tcPr>
            <w:tcW w:w="3272" w:type="dxa"/>
            <w:gridSpan w:val="2"/>
            <w:tcBorders>
              <w:top w:val="outset" w:color="auto" w:sz="6" w:space="0"/>
              <w:left w:val="outset" w:color="auto" w:sz="6" w:space="0"/>
              <w:bottom w:val="outset" w:color="auto" w:sz="6" w:space="0"/>
              <w:right w:val="outset" w:color="auto" w:sz="6" w:space="0"/>
              <w:tl2br w:val="nil"/>
              <w:tr2bl w:val="nil"/>
            </w:tcBorders>
            <w:vAlign w:val="center"/>
          </w:tcPr>
          <w:p>
            <w:pPr>
              <w:pStyle w:val="17"/>
              <w:keepNext w:val="0"/>
              <w:keepLines w:val="0"/>
              <w:pageBreakBefore w:val="0"/>
              <w:widowControl/>
              <w:numPr>
                <w:ilvl w:val="0"/>
                <w:numId w:val="0"/>
              </w:numPr>
              <w:suppressLineNumbers w:val="0"/>
              <w:kinsoku/>
              <w:wordWrap/>
              <w:overflowPunct/>
              <w:topLinePunct w:val="0"/>
              <w:autoSpaceDE w:val="0"/>
              <w:autoSpaceDN/>
              <w:bidi w:val="0"/>
              <w:spacing w:before="0" w:beforeAutospacing="0" w:after="0" w:afterAutospacing="0" w:line="560" w:lineRule="exact"/>
              <w:ind w:right="0" w:rightChars="0"/>
              <w:jc w:val="left"/>
              <w:rPr>
                <w:rFonts w:hint="eastAsia" w:ascii="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lang w:val="en-US" w:eastAsia="zh-CN"/>
              </w:rPr>
              <w:t>，项目区人均纯收入预计增加676元，30名贫困人口将直接受益，起到很好的扶贫效益、经济效益十分可观</w:t>
            </w:r>
            <w:r>
              <w:rPr>
                <w:rFonts w:hint="eastAsia" w:ascii="仿宋_GB2312" w:cs="仿宋_GB2312"/>
                <w:b w:val="0"/>
                <w:bCs w:val="0"/>
                <w:color w:val="000000"/>
                <w:sz w:val="32"/>
                <w:szCs w:val="32"/>
                <w:lang w:val="en-US" w:eastAsia="zh-CN"/>
              </w:rPr>
              <w:t>。</w:t>
            </w:r>
          </w:p>
          <w:p>
            <w:pPr>
              <w:pStyle w:val="11"/>
              <w:shd w:val="clear" w:color="auto" w:fill="FFFFFF"/>
              <w:ind w:left="420" w:firstLine="160" w:firstLineChars="50"/>
              <w:jc w:val="both"/>
              <w:rPr>
                <w:rFonts w:ascii="仿宋_GB2312" w:eastAsia="仿宋_GB2312" w:cs="Times New Roman"/>
                <w:kern w:val="2"/>
                <w:sz w:val="32"/>
                <w:szCs w:val="32"/>
                <w:shd w:val="clear" w:color="auto" w:fill="auto"/>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494" w:type="dxa"/>
            <w:vMerge w:val="restart"/>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年度绩效指标完成情况</w:t>
            </w:r>
          </w:p>
        </w:tc>
        <w:tc>
          <w:tcPr>
            <w:tcW w:w="922"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一级</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二级</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三级</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预期指标值</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实际完成指标值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922" w:type="dxa"/>
            <w:vMerge w:val="restart"/>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产出指标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数量指标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审核项目完成数量 </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Times New Roman"/>
                <w:kern w:val="2"/>
                <w:sz w:val="32"/>
                <w:szCs w:val="32"/>
                <w:shd w:val="clear" w:color="auto" w:fill="auto"/>
                <w:lang w:eastAsia="zh-CN"/>
              </w:rPr>
              <w:t>≥</w:t>
            </w:r>
            <w:r>
              <w:rPr>
                <w:rFonts w:hint="eastAsia" w:ascii="仿宋_GB2312" w:eastAsia="仿宋_GB2312" w:cs="Times New Roman"/>
                <w:kern w:val="2"/>
                <w:sz w:val="32"/>
                <w:szCs w:val="32"/>
                <w:shd w:val="clear" w:color="auto" w:fill="auto"/>
                <w:lang w:val="en-US" w:eastAsia="zh-CN"/>
              </w:rPr>
              <w:t>1</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hint="default" w:ascii="仿宋_GB2312" w:eastAsia="仿宋_GB2312" w:cs="Times New Roman"/>
                <w:kern w:val="2"/>
                <w:sz w:val="32"/>
                <w:szCs w:val="32"/>
                <w:shd w:val="clear" w:color="auto" w:fill="auto"/>
                <w:lang w:val="en-US" w:eastAsia="zh-CN"/>
              </w:rPr>
            </w:pPr>
            <w:r>
              <w:rPr>
                <w:rFonts w:hint="eastAsia" w:ascii="仿宋_GB2312" w:eastAsia="仿宋_GB2312" w:cs="Times New Roman"/>
                <w:kern w:val="2"/>
                <w:sz w:val="32"/>
                <w:szCs w:val="32"/>
                <w:shd w:val="clear" w:color="auto" w:fill="auto"/>
                <w:lang w:val="en-US" w:eastAsia="zh-CN"/>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922" w:type="dxa"/>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质量指标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审核报告的质量</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Times New Roman"/>
                <w:kern w:val="2"/>
                <w:sz w:val="32"/>
                <w:szCs w:val="32"/>
                <w:shd w:val="clear" w:color="auto" w:fill="auto"/>
                <w:lang w:eastAsia="zh-CN"/>
              </w:rPr>
              <w:t>优良</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Times New Roman"/>
                <w:kern w:val="2"/>
                <w:sz w:val="32"/>
                <w:szCs w:val="32"/>
                <w:shd w:val="clear" w:color="auto" w:fill="auto"/>
                <w:lang w:eastAsia="zh-CN"/>
              </w:rPr>
              <w:t>优</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922"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效益</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经济效益指标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hint="eastAsia" w:ascii="仿宋_GB2312" w:hAnsi="仿宋_GB2312" w:eastAsia="仿宋_GB2312" w:cs="仿宋_GB2312"/>
                <w:kern w:val="0"/>
                <w:sz w:val="30"/>
                <w:szCs w:val="30"/>
              </w:rPr>
              <w:t>反映相关产出对社会发展带来的影响和效果，根据项目实际细化具体指标。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仿宋_GB2312"/>
                <w:b w:val="0"/>
                <w:bCs w:val="0"/>
                <w:color w:val="000000"/>
                <w:sz w:val="32"/>
                <w:szCs w:val="32"/>
                <w:lang w:val="en-US" w:eastAsia="zh-CN"/>
              </w:rPr>
              <w:t>项目区人均纯收入预计增加676元，30名贫困人口将直接受益，起到很好的扶贫效益</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hint="eastAsia" w:ascii="仿宋_GB2312" w:eastAsia="仿宋_GB2312" w:cs="仿宋_GB2312"/>
                <w:b w:val="0"/>
                <w:bCs w:val="0"/>
                <w:color w:val="000000"/>
                <w:sz w:val="32"/>
                <w:szCs w:val="32"/>
                <w:lang w:val="en-US" w:eastAsia="zh-CN"/>
              </w:rPr>
              <w:t>项目区人均纯收入预计增加676元，30名贫困人口将直接受益，起到很好的扶贫效益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494" w:type="dxa"/>
            <w:vMerge w:val="continue"/>
            <w:tcBorders>
              <w:top w:val="outset" w:color="auto" w:sz="6" w:space="0"/>
              <w:left w:val="outset" w:color="auto" w:sz="6" w:space="0"/>
              <w:bottom w:val="outset" w:color="auto" w:sz="6" w:space="0"/>
              <w:right w:val="outset" w:color="auto" w:sz="6" w:space="0"/>
              <w:tl2br w:val="nil"/>
              <w:tr2bl w:val="nil"/>
            </w:tcBorders>
            <w:vAlign w:val="center"/>
          </w:tcPr>
          <w:p/>
        </w:tc>
        <w:tc>
          <w:tcPr>
            <w:tcW w:w="922"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满意</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度指标</w:t>
            </w:r>
          </w:p>
        </w:tc>
        <w:tc>
          <w:tcPr>
            <w:tcW w:w="123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满意度</w:t>
            </w:r>
          </w:p>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指标</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委托单位对中介公司服务的满意度</w:t>
            </w:r>
          </w:p>
        </w:tc>
        <w:tc>
          <w:tcPr>
            <w:tcW w:w="1398"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95%</w:t>
            </w:r>
          </w:p>
        </w:tc>
        <w:tc>
          <w:tcPr>
            <w:tcW w:w="1874" w:type="dxa"/>
            <w:tcBorders>
              <w:top w:val="outset" w:color="auto" w:sz="6" w:space="0"/>
              <w:left w:val="outset" w:color="auto" w:sz="6" w:space="0"/>
              <w:bottom w:val="outset" w:color="auto" w:sz="6" w:space="0"/>
              <w:right w:val="outset" w:color="auto" w:sz="6" w:space="0"/>
              <w:tl2br w:val="nil"/>
              <w:tr2bl w:val="nil"/>
            </w:tcBorders>
            <w:vAlign w:val="center"/>
          </w:tcPr>
          <w:p>
            <w:pPr>
              <w:pStyle w:val="11"/>
              <w:shd w:val="clear" w:color="auto" w:fill="FFFFFF"/>
              <w:ind w:left="420" w:firstLine="160" w:firstLineChars="50"/>
              <w:rPr>
                <w:rFonts w:ascii="仿宋_GB2312" w:eastAsia="仿宋_GB2312" w:cs="Times New Roman"/>
                <w:kern w:val="2"/>
                <w:sz w:val="32"/>
                <w:szCs w:val="32"/>
                <w:shd w:val="clear" w:color="auto" w:fill="auto"/>
              </w:rPr>
            </w:pPr>
            <w:r>
              <w:rPr>
                <w:rFonts w:ascii="仿宋_GB2312" w:eastAsia="仿宋_GB2312" w:cs="Times New Roman"/>
                <w:kern w:val="2"/>
                <w:sz w:val="32"/>
                <w:szCs w:val="32"/>
                <w:shd w:val="clear" w:color="auto" w:fill="auto"/>
              </w:rPr>
              <w:t>96%</w:t>
            </w:r>
          </w:p>
        </w:tc>
      </w:tr>
    </w:tbl>
    <w:p>
      <w:pPr>
        <w:pStyle w:val="17"/>
        <w:keepNext w:val="0"/>
        <w:keepLines w:val="0"/>
        <w:pageBreakBefore w:val="0"/>
        <w:widowControl/>
        <w:numPr>
          <w:ilvl w:val="0"/>
          <w:numId w:val="0"/>
        </w:numPr>
        <w:suppressLineNumbers w:val="0"/>
        <w:kinsoku/>
        <w:wordWrap/>
        <w:overflowPunct/>
        <w:topLinePunct w:val="0"/>
        <w:autoSpaceDE w:val="0"/>
        <w:autoSpaceDN/>
        <w:bidi w:val="0"/>
        <w:spacing w:before="0" w:beforeAutospacing="0" w:after="0" w:afterAutospacing="0" w:line="560" w:lineRule="exact"/>
        <w:ind w:left="640" w:leftChars="0" w:right="0" w:rightChars="0"/>
        <w:jc w:val="left"/>
        <w:rPr>
          <w:rFonts w:hint="eastAsia" w:ascii="仿宋_GB2312" w:cs="仿宋_GB2312"/>
          <w:b w:val="0"/>
          <w:bCs w:val="0"/>
          <w:color w:val="000000"/>
          <w:sz w:val="32"/>
          <w:szCs w:val="32"/>
          <w:lang w:val="en-US" w:eastAsia="zh-CN"/>
        </w:rPr>
      </w:pPr>
    </w:p>
    <w:p>
      <w:pPr>
        <w:pStyle w:val="2"/>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1" w:afterAutospacing="1" w:line="560" w:lineRule="exact"/>
        <w:ind w:left="0" w:right="0" w:firstLine="0"/>
        <w:contextualSpacing w:val="0"/>
        <w:jc w:val="both"/>
        <w:textAlignment w:val="auto"/>
        <w:outlineLvl w:val="0"/>
        <w:rPr>
          <w:rFonts w:hint="eastAsia" w:ascii="黑体" w:hAnsi="Times New Roman" w:eastAsia="黑体" w:cs="宋体"/>
          <w:b w:val="0"/>
          <w:snapToGrid/>
          <w:color w:val="auto"/>
          <w:spacing w:val="0"/>
          <w:w w:val="100"/>
          <w:kern w:val="44"/>
          <w:position w:val="0"/>
          <w:sz w:val="44"/>
          <w:szCs w:val="44"/>
          <w:u w:val="none" w:color="auto"/>
          <w:shd w:val="clear" w:color="auto" w:fill="auto"/>
          <w:vertAlign w:val="baseline"/>
          <w:lang w:val="en-US" w:eastAsia="zh-CN" w:bidi="ar-SA"/>
        </w:rPr>
      </w:pPr>
      <w:bookmarkStart w:id="208" w:name="_Toc8160"/>
      <w:bookmarkStart w:id="209" w:name="_Toc15590"/>
      <w:bookmarkStart w:id="210" w:name="_Toc230"/>
      <w:bookmarkStart w:id="211" w:name="_Toc4327"/>
      <w:bookmarkStart w:id="212" w:name="_Toc22019"/>
      <w:bookmarkStart w:id="213" w:name="_Toc14070"/>
      <w:r>
        <w:rPr>
          <w:rFonts w:hint="eastAsia" w:ascii="黑体" w:hAnsi="Times New Roman" w:eastAsia="黑体" w:cs="宋体"/>
          <w:b w:val="0"/>
          <w:snapToGrid/>
          <w:color w:val="auto"/>
          <w:spacing w:val="0"/>
          <w:w w:val="100"/>
          <w:kern w:val="44"/>
          <w:position w:val="0"/>
          <w:sz w:val="44"/>
          <w:szCs w:val="44"/>
          <w:u w:val="none" w:color="auto"/>
          <w:shd w:val="clear" w:color="auto" w:fill="auto"/>
          <w:vertAlign w:val="baseline"/>
          <w:lang w:val="en-US" w:eastAsia="zh-CN" w:bidi="ar-SA"/>
        </w:rPr>
        <w:t>第五部分 附表</w:t>
      </w:r>
      <w:bookmarkEnd w:id="208"/>
      <w:bookmarkEnd w:id="209"/>
      <w:bookmarkEnd w:id="210"/>
      <w:bookmarkEnd w:id="211"/>
      <w:bookmarkEnd w:id="212"/>
      <w:bookmarkEnd w:id="21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14" w:name="_Toc19418"/>
      <w:bookmarkStart w:id="215" w:name="_Toc17292"/>
      <w:bookmarkStart w:id="216" w:name="_Toc23839"/>
      <w:bookmarkStart w:id="217" w:name="_Toc17111"/>
      <w:bookmarkStart w:id="218" w:name="_Toc27813"/>
      <w:r>
        <w:rPr>
          <w:rFonts w:hint="eastAsia" w:ascii="黑体" w:eastAsia="黑体" w:cs="楷体"/>
          <w:b w:val="0"/>
          <w:i w:val="0"/>
          <w:caps w:val="0"/>
          <w:smallCaps w:val="0"/>
          <w:strike w:val="0"/>
          <w:dstrike w:val="0"/>
          <w:vanish w:val="0"/>
          <w:color w:val="000000"/>
          <w:kern w:val="2"/>
          <w:sz w:val="32"/>
          <w:szCs w:val="32"/>
          <w:shd w:val="clear" w:color="auto" w:fill="auto"/>
        </w:rPr>
        <w:t>一、收入支出决算总表</w:t>
      </w:r>
      <w:bookmarkEnd w:id="214"/>
      <w:bookmarkEnd w:id="215"/>
      <w:bookmarkEnd w:id="216"/>
      <w:bookmarkEnd w:id="217"/>
      <w:bookmarkEnd w:id="218"/>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19" w:name="_Toc1661"/>
      <w:bookmarkStart w:id="220" w:name="_Toc2488"/>
      <w:bookmarkStart w:id="221" w:name="_Toc4885"/>
      <w:bookmarkStart w:id="222" w:name="_Toc7965"/>
      <w:bookmarkStart w:id="223" w:name="_Toc18782"/>
      <w:r>
        <w:rPr>
          <w:rFonts w:hint="eastAsia" w:ascii="黑体" w:eastAsia="黑体" w:cs="楷体"/>
          <w:b w:val="0"/>
          <w:i w:val="0"/>
          <w:caps w:val="0"/>
          <w:smallCaps w:val="0"/>
          <w:strike w:val="0"/>
          <w:dstrike w:val="0"/>
          <w:vanish w:val="0"/>
          <w:color w:val="000000"/>
          <w:kern w:val="2"/>
          <w:sz w:val="32"/>
          <w:szCs w:val="32"/>
          <w:shd w:val="clear" w:color="auto" w:fill="auto"/>
        </w:rPr>
        <w:t>二、收入决算表</w:t>
      </w:r>
      <w:bookmarkEnd w:id="219"/>
      <w:bookmarkEnd w:id="220"/>
      <w:bookmarkEnd w:id="221"/>
      <w:bookmarkEnd w:id="222"/>
      <w:bookmarkEnd w:id="22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24" w:name="_Toc3917"/>
      <w:bookmarkStart w:id="225" w:name="_Toc17100"/>
      <w:bookmarkStart w:id="226" w:name="_Toc20482"/>
      <w:bookmarkStart w:id="227" w:name="_Toc12086"/>
      <w:bookmarkStart w:id="228" w:name="_Toc4242"/>
      <w:r>
        <w:rPr>
          <w:rFonts w:hint="eastAsia" w:ascii="黑体" w:eastAsia="黑体" w:cs="楷体"/>
          <w:b w:val="0"/>
          <w:i w:val="0"/>
          <w:caps w:val="0"/>
          <w:smallCaps w:val="0"/>
          <w:strike w:val="0"/>
          <w:dstrike w:val="0"/>
          <w:vanish w:val="0"/>
          <w:color w:val="000000"/>
          <w:kern w:val="2"/>
          <w:sz w:val="32"/>
          <w:szCs w:val="32"/>
          <w:shd w:val="clear" w:color="auto" w:fill="auto"/>
        </w:rPr>
        <w:t>三、支出决算表</w:t>
      </w:r>
      <w:bookmarkEnd w:id="224"/>
      <w:bookmarkEnd w:id="225"/>
      <w:bookmarkEnd w:id="226"/>
      <w:bookmarkEnd w:id="227"/>
      <w:bookmarkEnd w:id="228"/>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29" w:name="_Toc11619"/>
      <w:bookmarkStart w:id="230" w:name="_Toc26363"/>
      <w:bookmarkStart w:id="231" w:name="_Toc188"/>
      <w:bookmarkStart w:id="232" w:name="_Toc10394"/>
      <w:bookmarkStart w:id="233" w:name="_Toc24269"/>
      <w:r>
        <w:rPr>
          <w:rFonts w:hint="eastAsia" w:ascii="黑体" w:eastAsia="黑体" w:cs="楷体"/>
          <w:b w:val="0"/>
          <w:i w:val="0"/>
          <w:caps w:val="0"/>
          <w:smallCaps w:val="0"/>
          <w:strike w:val="0"/>
          <w:dstrike w:val="0"/>
          <w:vanish w:val="0"/>
          <w:color w:val="000000"/>
          <w:kern w:val="2"/>
          <w:sz w:val="32"/>
          <w:szCs w:val="32"/>
          <w:shd w:val="clear" w:color="auto" w:fill="auto"/>
        </w:rPr>
        <w:t>四、财政拨款收入支出决算总表</w:t>
      </w:r>
      <w:bookmarkEnd w:id="229"/>
      <w:bookmarkEnd w:id="230"/>
      <w:bookmarkEnd w:id="231"/>
      <w:bookmarkEnd w:id="232"/>
      <w:bookmarkEnd w:id="23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34" w:name="_Toc16768"/>
      <w:bookmarkStart w:id="235" w:name="_Toc30108"/>
      <w:bookmarkStart w:id="236" w:name="_Toc27712"/>
      <w:bookmarkStart w:id="237" w:name="_Toc13846"/>
      <w:bookmarkStart w:id="238" w:name="_Toc5324"/>
      <w:r>
        <w:rPr>
          <w:rFonts w:hint="eastAsia" w:ascii="黑体" w:eastAsia="黑体" w:cs="楷体"/>
          <w:b w:val="0"/>
          <w:i w:val="0"/>
          <w:caps w:val="0"/>
          <w:smallCaps w:val="0"/>
          <w:strike w:val="0"/>
          <w:dstrike w:val="0"/>
          <w:vanish w:val="0"/>
          <w:color w:val="000000"/>
          <w:kern w:val="2"/>
          <w:sz w:val="32"/>
          <w:szCs w:val="32"/>
          <w:shd w:val="clear" w:color="auto" w:fill="auto"/>
        </w:rPr>
        <w:t>五、财政拨款支出决算明细表</w:t>
      </w:r>
      <w:bookmarkEnd w:id="234"/>
      <w:bookmarkEnd w:id="235"/>
      <w:bookmarkEnd w:id="236"/>
      <w:bookmarkEnd w:id="237"/>
      <w:bookmarkEnd w:id="238"/>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39" w:name="_Toc12858"/>
      <w:bookmarkStart w:id="240" w:name="_Toc23521"/>
      <w:bookmarkStart w:id="241" w:name="_Toc21518"/>
      <w:bookmarkStart w:id="242" w:name="_Toc31903"/>
      <w:bookmarkStart w:id="243" w:name="_Toc11309"/>
      <w:r>
        <w:rPr>
          <w:rFonts w:hint="eastAsia" w:ascii="黑体" w:eastAsia="黑体" w:cs="楷体"/>
          <w:b w:val="0"/>
          <w:i w:val="0"/>
          <w:caps w:val="0"/>
          <w:smallCaps w:val="0"/>
          <w:strike w:val="0"/>
          <w:dstrike w:val="0"/>
          <w:vanish w:val="0"/>
          <w:color w:val="000000"/>
          <w:kern w:val="2"/>
          <w:sz w:val="32"/>
          <w:szCs w:val="32"/>
          <w:shd w:val="clear" w:color="auto" w:fill="auto"/>
        </w:rPr>
        <w:t>六、一般公共预算财政拨款支出决算表</w:t>
      </w:r>
      <w:bookmarkEnd w:id="239"/>
      <w:bookmarkEnd w:id="240"/>
      <w:bookmarkEnd w:id="241"/>
      <w:bookmarkEnd w:id="242"/>
      <w:bookmarkEnd w:id="24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44" w:name="_Toc12367"/>
      <w:bookmarkStart w:id="245" w:name="_Toc10120"/>
      <w:bookmarkStart w:id="246" w:name="_Toc29509"/>
      <w:bookmarkStart w:id="247" w:name="_Toc2108"/>
      <w:bookmarkStart w:id="248" w:name="_Toc10139"/>
      <w:r>
        <w:rPr>
          <w:rFonts w:hint="eastAsia" w:ascii="黑体" w:eastAsia="黑体" w:cs="楷体"/>
          <w:b w:val="0"/>
          <w:i w:val="0"/>
          <w:caps w:val="0"/>
          <w:smallCaps w:val="0"/>
          <w:strike w:val="0"/>
          <w:dstrike w:val="0"/>
          <w:vanish w:val="0"/>
          <w:color w:val="000000"/>
          <w:kern w:val="2"/>
          <w:sz w:val="32"/>
          <w:szCs w:val="32"/>
          <w:shd w:val="clear" w:color="auto" w:fill="auto"/>
        </w:rPr>
        <w:t>七、一般公共预算财政拨款支出决算明细表</w:t>
      </w:r>
      <w:bookmarkEnd w:id="244"/>
      <w:bookmarkEnd w:id="245"/>
      <w:bookmarkEnd w:id="246"/>
      <w:bookmarkEnd w:id="247"/>
      <w:bookmarkEnd w:id="248"/>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49" w:name="_Toc32504"/>
      <w:bookmarkStart w:id="250" w:name="_Toc27231"/>
      <w:bookmarkStart w:id="251" w:name="_Toc20649"/>
      <w:bookmarkStart w:id="252" w:name="_Toc811"/>
      <w:bookmarkStart w:id="253" w:name="_Toc26509"/>
      <w:r>
        <w:rPr>
          <w:rFonts w:hint="eastAsia" w:ascii="黑体" w:eastAsia="黑体" w:cs="楷体"/>
          <w:b w:val="0"/>
          <w:i w:val="0"/>
          <w:caps w:val="0"/>
          <w:smallCaps w:val="0"/>
          <w:strike w:val="0"/>
          <w:dstrike w:val="0"/>
          <w:vanish w:val="0"/>
          <w:color w:val="000000"/>
          <w:kern w:val="2"/>
          <w:sz w:val="32"/>
          <w:szCs w:val="32"/>
          <w:shd w:val="clear" w:color="auto" w:fill="auto"/>
        </w:rPr>
        <w:t>八、一般公共预算财政拨款基本支出决算表</w:t>
      </w:r>
      <w:bookmarkEnd w:id="249"/>
      <w:bookmarkEnd w:id="250"/>
      <w:bookmarkEnd w:id="251"/>
      <w:bookmarkEnd w:id="252"/>
      <w:bookmarkEnd w:id="25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54" w:name="_Toc19251"/>
      <w:bookmarkStart w:id="255" w:name="_Toc3300"/>
      <w:bookmarkStart w:id="256" w:name="_Toc2710"/>
      <w:bookmarkStart w:id="257" w:name="_Toc18103"/>
      <w:bookmarkStart w:id="258" w:name="_Toc27697"/>
      <w:r>
        <w:rPr>
          <w:rFonts w:hint="eastAsia" w:ascii="黑体" w:eastAsia="黑体" w:cs="楷体"/>
          <w:b w:val="0"/>
          <w:i w:val="0"/>
          <w:caps w:val="0"/>
          <w:smallCaps w:val="0"/>
          <w:strike w:val="0"/>
          <w:dstrike w:val="0"/>
          <w:vanish w:val="0"/>
          <w:color w:val="000000"/>
          <w:kern w:val="2"/>
          <w:sz w:val="32"/>
          <w:szCs w:val="32"/>
          <w:shd w:val="clear" w:color="auto" w:fill="auto"/>
        </w:rPr>
        <w:t>九、一般公共预算财政拨款项目支出决算表</w:t>
      </w:r>
      <w:bookmarkEnd w:id="254"/>
      <w:bookmarkEnd w:id="255"/>
      <w:bookmarkEnd w:id="256"/>
      <w:bookmarkEnd w:id="257"/>
      <w:bookmarkEnd w:id="258"/>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59" w:name="_Toc17674"/>
      <w:bookmarkStart w:id="260" w:name="_Toc3814"/>
      <w:bookmarkStart w:id="261" w:name="_Toc7407"/>
      <w:bookmarkStart w:id="262" w:name="_Toc30200"/>
      <w:bookmarkStart w:id="263" w:name="_Toc16203"/>
      <w:r>
        <w:rPr>
          <w:rFonts w:hint="eastAsia" w:ascii="黑体" w:eastAsia="黑体" w:cs="楷体"/>
          <w:b w:val="0"/>
          <w:i w:val="0"/>
          <w:caps w:val="0"/>
          <w:smallCaps w:val="0"/>
          <w:strike w:val="0"/>
          <w:dstrike w:val="0"/>
          <w:vanish w:val="0"/>
          <w:color w:val="000000"/>
          <w:kern w:val="2"/>
          <w:sz w:val="32"/>
          <w:szCs w:val="32"/>
          <w:shd w:val="clear" w:color="auto" w:fill="auto"/>
        </w:rPr>
        <w:t>十、一般公共预算财政拨款“三公”经费支出决算表</w:t>
      </w:r>
      <w:bookmarkEnd w:id="259"/>
      <w:bookmarkEnd w:id="260"/>
      <w:bookmarkEnd w:id="261"/>
      <w:bookmarkEnd w:id="262"/>
      <w:bookmarkEnd w:id="26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64" w:name="_Toc26205"/>
      <w:bookmarkStart w:id="265" w:name="_Toc3105"/>
      <w:bookmarkStart w:id="266" w:name="_Toc16950"/>
      <w:bookmarkStart w:id="267" w:name="_Toc30136"/>
      <w:bookmarkStart w:id="268" w:name="_Toc22429"/>
      <w:r>
        <w:rPr>
          <w:rFonts w:hint="eastAsia" w:ascii="黑体" w:eastAsia="黑体" w:cs="楷体"/>
          <w:b w:val="0"/>
          <w:i w:val="0"/>
          <w:caps w:val="0"/>
          <w:smallCaps w:val="0"/>
          <w:strike w:val="0"/>
          <w:dstrike w:val="0"/>
          <w:vanish w:val="0"/>
          <w:color w:val="000000"/>
          <w:kern w:val="2"/>
          <w:sz w:val="32"/>
          <w:szCs w:val="32"/>
          <w:shd w:val="clear" w:color="auto" w:fill="auto"/>
        </w:rPr>
        <w:t>十一、政府性基金预算财政拨款收入支出决算表</w:t>
      </w:r>
      <w:bookmarkEnd w:id="264"/>
      <w:bookmarkEnd w:id="265"/>
      <w:bookmarkEnd w:id="266"/>
      <w:bookmarkEnd w:id="267"/>
      <w:bookmarkEnd w:id="268"/>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69" w:name="_Toc5771"/>
      <w:bookmarkStart w:id="270" w:name="_Toc2777"/>
      <w:bookmarkStart w:id="271" w:name="_Toc10077"/>
      <w:bookmarkStart w:id="272" w:name="_Toc7269"/>
      <w:bookmarkStart w:id="273" w:name="_Toc31673"/>
      <w:r>
        <w:rPr>
          <w:rFonts w:hint="eastAsia" w:ascii="黑体" w:eastAsia="黑体" w:cs="楷体"/>
          <w:b w:val="0"/>
          <w:i w:val="0"/>
          <w:caps w:val="0"/>
          <w:smallCaps w:val="0"/>
          <w:strike w:val="0"/>
          <w:dstrike w:val="0"/>
          <w:vanish w:val="0"/>
          <w:color w:val="000000"/>
          <w:kern w:val="2"/>
          <w:sz w:val="32"/>
          <w:szCs w:val="32"/>
          <w:shd w:val="clear" w:color="auto" w:fill="auto"/>
        </w:rPr>
        <w:t>十二、政府性基金预算财政拨款“三公”经费支出决算表</w:t>
      </w:r>
      <w:bookmarkEnd w:id="269"/>
      <w:bookmarkEnd w:id="270"/>
      <w:bookmarkEnd w:id="271"/>
      <w:bookmarkEnd w:id="272"/>
      <w:bookmarkEnd w:id="273"/>
    </w:p>
    <w:p>
      <w:pPr>
        <w:pStyle w:val="3"/>
        <w:keepNext/>
        <w:keepLines/>
        <w:pageBreakBefore w:val="0"/>
        <w:widowControl w:val="0"/>
        <w:suppressLineNumbers w:val="0"/>
        <w:shd w:val="clear" w:color="auto" w:fill="auto"/>
        <w:suppressAutoHyphens w:val="0"/>
        <w:kinsoku/>
        <w:wordWrap/>
        <w:overflowPunct/>
        <w:topLinePunct w:val="0"/>
        <w:autoSpaceDE/>
        <w:autoSpaceDN/>
        <w:bidi w:val="0"/>
        <w:spacing w:line="560" w:lineRule="exact"/>
        <w:ind w:firstLine="640" w:firstLineChars="200"/>
        <w:rPr>
          <w:rFonts w:hint="eastAsia" w:ascii="黑体" w:eastAsia="黑体" w:cs="楷体"/>
          <w:b w:val="0"/>
          <w:i w:val="0"/>
          <w:caps w:val="0"/>
          <w:smallCaps w:val="0"/>
          <w:strike w:val="0"/>
          <w:dstrike w:val="0"/>
          <w:vanish w:val="0"/>
          <w:color w:val="000000"/>
          <w:kern w:val="2"/>
          <w:sz w:val="32"/>
          <w:szCs w:val="32"/>
          <w:shd w:val="clear" w:color="auto" w:fill="auto"/>
        </w:rPr>
      </w:pPr>
      <w:bookmarkStart w:id="274" w:name="_Toc18302"/>
      <w:bookmarkStart w:id="275" w:name="_Toc27365"/>
      <w:bookmarkStart w:id="276" w:name="_Toc31527"/>
      <w:bookmarkStart w:id="277" w:name="_Toc2884"/>
      <w:bookmarkStart w:id="278" w:name="_Toc8802"/>
      <w:r>
        <w:rPr>
          <w:rFonts w:hint="eastAsia" w:ascii="黑体" w:eastAsia="黑体" w:cs="楷体"/>
          <w:b w:val="0"/>
          <w:i w:val="0"/>
          <w:caps w:val="0"/>
          <w:smallCaps w:val="0"/>
          <w:strike w:val="0"/>
          <w:dstrike w:val="0"/>
          <w:vanish w:val="0"/>
          <w:color w:val="000000"/>
          <w:kern w:val="2"/>
          <w:sz w:val="32"/>
          <w:szCs w:val="32"/>
          <w:shd w:val="clear" w:color="auto" w:fill="auto"/>
        </w:rPr>
        <w:t>十三、国有资本经营预算财政拨款收入支出决算表</w:t>
      </w:r>
      <w:bookmarkEnd w:id="274"/>
      <w:bookmarkEnd w:id="275"/>
      <w:bookmarkEnd w:id="276"/>
      <w:bookmarkEnd w:id="277"/>
      <w:bookmarkEnd w:id="278"/>
    </w:p>
    <w:p>
      <w:pPr>
        <w:pStyle w:val="3"/>
        <w:keepNext/>
        <w:keepLines/>
        <w:pageBreakBefore w:val="0"/>
        <w:widowControl w:val="0"/>
        <w:suppressLineNumbers w:val="0"/>
        <w:suppressAutoHyphens w:val="0"/>
        <w:kinsoku/>
        <w:wordWrap/>
        <w:overflowPunct/>
        <w:topLinePunct w:val="0"/>
        <w:bidi w:val="0"/>
        <w:spacing w:line="560" w:lineRule="exact"/>
        <w:ind w:firstLine="640" w:firstLineChars="200"/>
        <w:rPr>
          <w:rFonts w:hint="eastAsia" w:ascii="黑体" w:eastAsia="黑体" w:cs="楷体"/>
          <w:b w:val="0"/>
          <w:color w:val="000000"/>
          <w:kern w:val="2"/>
          <w:sz w:val="32"/>
          <w:szCs w:val="32"/>
        </w:rPr>
      </w:pPr>
      <w:bookmarkStart w:id="279" w:name="_Toc13922"/>
      <w:bookmarkStart w:id="280" w:name="_Toc14292"/>
      <w:bookmarkStart w:id="281" w:name="_Toc12154"/>
      <w:bookmarkStart w:id="282" w:name="_Toc22497"/>
      <w:bookmarkStart w:id="283" w:name="_Toc9949"/>
      <w:r>
        <w:rPr>
          <w:rFonts w:hint="eastAsia" w:ascii="黑体" w:eastAsia="黑体" w:cs="楷体"/>
          <w:b w:val="0"/>
          <w:i w:val="0"/>
          <w:caps w:val="0"/>
          <w:smallCaps w:val="0"/>
          <w:strike w:val="0"/>
          <w:dstrike w:val="0"/>
          <w:vanish w:val="0"/>
          <w:color w:val="000000"/>
          <w:kern w:val="2"/>
          <w:sz w:val="32"/>
          <w:szCs w:val="32"/>
          <w:shd w:val="clear" w:color="auto" w:fill="auto"/>
        </w:rPr>
        <w:t>十四、国有资本经营预算财政拨款支出决算表</w:t>
      </w:r>
      <w:bookmarkEnd w:id="279"/>
      <w:bookmarkEnd w:id="280"/>
      <w:bookmarkEnd w:id="281"/>
      <w:bookmarkEnd w:id="282"/>
      <w:bookmarkEnd w:id="283"/>
    </w:p>
    <w:p>
      <w:pPr>
        <w:pStyle w:val="17"/>
        <w:keepNext w:val="0"/>
        <w:keepLines w:val="0"/>
        <w:pageBreakBefore w:val="0"/>
        <w:widowControl/>
        <w:numPr>
          <w:numId w:val="0"/>
        </w:numPr>
        <w:suppressLineNumbers w:val="0"/>
        <w:kinsoku/>
        <w:wordWrap/>
        <w:overflowPunct/>
        <w:topLinePunct w:val="0"/>
        <w:autoSpaceDE w:val="0"/>
        <w:autoSpaceDN/>
        <w:bidi w:val="0"/>
        <w:spacing w:before="0" w:beforeAutospacing="0" w:after="0" w:afterAutospacing="0" w:line="560" w:lineRule="exact"/>
        <w:ind w:left="640" w:leftChars="0" w:right="0" w:rightChars="0"/>
        <w:jc w:val="left"/>
        <w:rPr>
          <w:rFonts w:hint="eastAsia" w:ascii="仿宋_GB2312" w:cs="仿宋_GB2312"/>
          <w:b w:val="0"/>
          <w:bCs w:val="0"/>
          <w:color w:val="000000"/>
          <w:sz w:val="32"/>
          <w:szCs w:val="32"/>
          <w:lang w:val="en-US" w:eastAsia="zh-CN"/>
        </w:rPr>
      </w:pPr>
      <w:bookmarkStart w:id="284" w:name="_GoBack"/>
      <w:bookmarkEnd w:id="284"/>
    </w:p>
    <w:p/>
    <w:sectPr>
      <w:footerReference r:id="rId4" w:type="default"/>
      <w:pgSz w:w="11915" w:h="16851"/>
      <w:pgMar w:top="1440" w:right="1800" w:bottom="1440" w:left="1800" w:header="851" w:footer="992"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0FF57E"/>
    <w:multiLevelType w:val="singleLevel"/>
    <w:tmpl w:val="600FF57E"/>
    <w:lvl w:ilvl="0" w:tentative="0">
      <w:start w:val="2"/>
      <w:numFmt w:val="chineseCounting"/>
      <w:suff w:val="nothing"/>
      <w:lvlText w:val="（%1）"/>
      <w:lvlJc w:val="left"/>
      <w:rPr>
        <w:rFonts w:hint="eastAsia"/>
      </w:rPr>
    </w:lvl>
  </w:abstractNum>
  <w:abstractNum w:abstractNumId="1">
    <w:nsid w:val="656FBD59"/>
    <w:multiLevelType w:val="singleLevel"/>
    <w:tmpl w:val="656FBD5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0NjI2N2JkZWQwZmJiNDlhYmFkNGU0ODY4NzQ1OGYifQ=="/>
  </w:docVars>
  <w:rsids>
    <w:rsidRoot w:val="67345B0B"/>
    <w:rsid w:val="33C3081F"/>
    <w:rsid w:val="49F97A8E"/>
    <w:rsid w:val="5DB524FD"/>
    <w:rsid w:val="67345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uiPriority w:val="99"/>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100" w:beforeAutospacing="0" w:after="100" w:afterAutospacing="0"/>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100" w:beforeAutospacing="0" w:after="100" w:afterAutospacing="0"/>
      <w:jc w:val="left"/>
    </w:pPr>
    <w:rPr>
      <w:rFonts w:hint="eastAsia" w:ascii="宋体" w:hAnsi="宋体" w:eastAsia="宋体" w:cs="宋体"/>
      <w:b/>
      <w:bCs/>
      <w:kern w:val="0"/>
      <w:sz w:val="36"/>
      <w:szCs w:val="36"/>
      <w:lang w:val="en-US" w:eastAsia="zh-CN" w:bidi="ar"/>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Calibri" w:hAnsi="Calibri" w:eastAsia="宋体" w:cs="Times New Roman"/>
      <w:szCs w:val="24"/>
    </w:rPr>
  </w:style>
  <w:style w:type="paragraph" w:styleId="5">
    <w:name w:val="Body Text Indent"/>
    <w:basedOn w:val="1"/>
    <w:next w:val="6"/>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6">
    <w:name w:val="Body Text First Indent 2"/>
    <w:basedOn w:val="5"/>
    <w:qFormat/>
    <w:uiPriority w:val="99"/>
    <w:rPr>
      <w:rFonts w:eastAsia="宋体"/>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iPriority w:val="0"/>
  </w:style>
  <w:style w:type="paragraph" w:styleId="10">
    <w:name w:val="toc 2"/>
    <w:basedOn w:val="1"/>
    <w:next w:val="1"/>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99"/>
    <w:rPr>
      <w:b/>
    </w:rPr>
  </w:style>
  <w:style w:type="character" w:styleId="15">
    <w:name w:val="Hyperlink"/>
    <w:basedOn w:val="13"/>
    <w:qFormat/>
    <w:uiPriority w:val="0"/>
    <w:rPr>
      <w:color w:val="0000FF"/>
      <w:u w:val="single"/>
    </w:rPr>
  </w:style>
  <w:style w:type="paragraph" w:customStyle="1" w:styleId="16">
    <w:name w:val="p0"/>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7">
    <w:name w:val="p40"/>
    <w:basedOn w:val="1"/>
    <w:qFormat/>
    <w:uiPriority w:val="0"/>
    <w:pPr>
      <w:spacing w:before="100" w:beforeAutospacing="0" w:after="100" w:afterAutospacing="0"/>
      <w:jc w:val="left"/>
    </w:pPr>
    <w:rPr>
      <w:rFonts w:hint="eastAsia" w:ascii="宋体" w:hAnsi="宋体" w:eastAsia="宋体" w:cs="宋体"/>
      <w:kern w:val="0"/>
      <w:sz w:val="24"/>
      <w:szCs w:val="24"/>
      <w:lang w:val="en-US" w:eastAsia="zh-CN" w:bidi="ar"/>
    </w:rPr>
  </w:style>
  <w:style w:type="character" w:customStyle="1" w:styleId="18">
    <w:name w:val="19"/>
    <w:basedOn w:val="13"/>
    <w:qFormat/>
    <w:uiPriority w:val="0"/>
    <w:rPr>
      <w:rFonts w:hint="default" w:ascii="Times New Roman" w:hAnsi="Times New Roman" w:cs="Times New Roman"/>
      <w:b/>
      <w:bCs/>
    </w:r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0">
    <w:name w:val="四号正文"/>
    <w:basedOn w:val="1"/>
    <w:qFormat/>
    <w:uiPriority w:val="0"/>
    <w:pPr>
      <w:spacing w:line="360" w:lineRule="auto"/>
    </w:pPr>
    <w:rPr>
      <w:rFonts w:ascii="??" w:hAnsi="??" w:eastAsia="宋体"/>
      <w:color w:val="000000"/>
      <w:kern w:val="0"/>
      <w:sz w:val="28"/>
      <w:szCs w:val="21"/>
      <w:lang w:val="zh-CN"/>
    </w:rPr>
  </w:style>
  <w:style w:type="paragraph" w:customStyle="1" w:styleId="21">
    <w:name w:val="WPSOffice手动目录 1"/>
    <w:uiPriority w:val="0"/>
    <w:pPr>
      <w:ind w:leftChars="0"/>
    </w:pPr>
    <w:rPr>
      <w:sz w:val="20"/>
      <w:szCs w:val="20"/>
    </w:rPr>
  </w:style>
  <w:style w:type="paragraph" w:customStyle="1" w:styleId="22">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9966</Words>
  <Characters>11019</Characters>
  <Lines>0</Lines>
  <Paragraphs>0</Paragraphs>
  <TotalTime>0</TotalTime>
  <ScaleCrop>false</ScaleCrop>
  <LinksUpToDate>false</LinksUpToDate>
  <CharactersWithSpaces>11203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2023-10-25T09:42:00Z</dcterms:created>
  <dc:creator>满天的蒲公英随风飘</dc:creator>
  <cp:lastModifiedBy>满天的蒲公英随风飘</cp:lastModifiedBy>
  <dcterms:modified xsi:type="dcterms:W3CDTF">2023-10-25T10:48:14Z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ED92909C991F4065BB0A5C84F2E4AA1A_13</vt:lpwstr>
  </property>
</Properties>
</file>