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rPr>
      </w:pPr>
      <w:bookmarkStart w:id="0" w:name="_Toc955"/>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红原县城乡居民养老保险事业管理局</w:t>
      </w:r>
      <w:bookmarkEnd w:id="0"/>
    </w:p>
    <w:p>
      <w:pPr>
        <w:keepNext w:val="0"/>
        <w:keepLines w:val="0"/>
        <w:pageBreakBefore w:val="0"/>
        <w:kinsoku/>
        <w:wordWrap/>
        <w:overflowPunct/>
        <w:topLinePunct w:val="0"/>
        <w:autoSpaceDE/>
        <w:autoSpaceDN/>
        <w:bidi w:val="0"/>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rPr>
      </w:pPr>
      <w:bookmarkStart w:id="1" w:name="_Toc11291"/>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bookmarkEnd w:id="1"/>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right="0" w:rightChars="0"/>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目录</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center"/>
        <w:textAlignment w:val="auto"/>
        <w:rPr>
          <w:rFonts w:hint="eastAsia"/>
          <w:sz w:val="32"/>
          <w:szCs w:val="32"/>
          <w:lang w:val="en-US" w:eastAsia="zh-CN"/>
        </w:rPr>
      </w:pPr>
    </w:p>
    <w:p>
      <w:pPr>
        <w:pStyle w:val="4"/>
        <w:tabs>
          <w:tab w:val="right" w:leader="hyphen" w:pos="8844"/>
        </w:tabs>
        <w:rPr>
          <w:rFonts w:hint="eastAsia" w:ascii="仿宋_GB2312" w:hAnsi="仿宋_GB2312" w:eastAsia="仿宋_GB2312" w:cs="仿宋_GB2312"/>
          <w:sz w:val="32"/>
          <w:szCs w:val="32"/>
          <w:lang w:val="en-US" w:eastAsia="zh-CN"/>
        </w:rPr>
      </w:pPr>
      <w:r>
        <w:rPr>
          <w:rFonts w:hint="eastAsia"/>
          <w:sz w:val="32"/>
          <w:szCs w:val="32"/>
          <w:lang w:val="en-US" w:eastAsia="zh-CN"/>
        </w:rPr>
        <w:fldChar w:fldCharType="begin"/>
      </w:r>
      <w:r>
        <w:rPr>
          <w:rFonts w:hint="eastAsia"/>
          <w:sz w:val="32"/>
          <w:szCs w:val="32"/>
          <w:lang w:val="en-US" w:eastAsia="zh-CN"/>
        </w:rPr>
        <w:instrText xml:space="preserve">TOC \o "1-9" \h \u </w:instrText>
      </w:r>
      <w:r>
        <w:rPr>
          <w:rFonts w:hint="eastAsia"/>
          <w:sz w:val="32"/>
          <w:szCs w:val="32"/>
          <w:lang w:val="en-US" w:eastAsia="zh-CN"/>
        </w:rPr>
        <w:fldChar w:fldCharType="separate"/>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_Toc3957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bCs w:val="0"/>
          <w:sz w:val="32"/>
          <w:szCs w:val="32"/>
          <w:lang w:eastAsia="zh-CN"/>
        </w:rPr>
        <w:t>基本职能</w:t>
      </w:r>
      <w:r>
        <w:rPr>
          <w:rFonts w:hint="eastAsia" w:ascii="仿宋_GB2312" w:hAnsi="仿宋_GB2312" w:eastAsia="仿宋_GB2312" w:cs="仿宋_GB2312"/>
          <w:bCs w:val="0"/>
          <w:sz w:val="32"/>
          <w:szCs w:val="32"/>
          <w:lang w:val="en-US" w:eastAsia="zh-CN"/>
        </w:rPr>
        <w:t>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_Toc3957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fldChar w:fldCharType="end"/>
      </w:r>
    </w:p>
    <w:p>
      <w:pPr>
        <w:pStyle w:val="4"/>
        <w:tabs>
          <w:tab w:val="right" w:leader="hyphen" w:pos="8844"/>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_Toc4440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bCs/>
          <w:kern w:val="0"/>
          <w:sz w:val="32"/>
          <w:szCs w:val="32"/>
          <w:shd w:val="clear" w:color="auto" w:fill="FFFFFF"/>
          <w:lang w:val="en-US" w:eastAsia="zh-CN" w:bidi="ar"/>
        </w:rPr>
        <w:t>（一）基本职能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fldChar w:fldCharType="end"/>
      </w:r>
    </w:p>
    <w:p>
      <w:pPr>
        <w:pStyle w:val="4"/>
        <w:tabs>
          <w:tab w:val="right" w:leader="hyphen" w:pos="8844"/>
        </w:tabs>
        <w:ind w:firstLine="640" w:firstLineChars="200"/>
        <w:rPr>
          <w:rFonts w:hint="eastAsia"/>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_Toc17072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bCs/>
          <w:kern w:val="0"/>
          <w:sz w:val="32"/>
          <w:szCs w:val="32"/>
          <w:shd w:val="clear" w:color="auto" w:fill="FFFFFF"/>
          <w:lang w:val="en-US" w:eastAsia="zh-CN" w:bidi="ar"/>
        </w:rPr>
        <w:t>（二）2022年重点工作任务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fldChar w:fldCharType="end"/>
      </w:r>
    </w:p>
    <w:p>
      <w:pPr>
        <w:pStyle w:val="4"/>
        <w:tabs>
          <w:tab w:val="right" w:leader="hyphen"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_Toc20387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二、部门预算单位构成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_Toc20387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fldChar w:fldCharType="end"/>
      </w:r>
    </w:p>
    <w:p>
      <w:pPr>
        <w:pStyle w:val="4"/>
        <w:tabs>
          <w:tab w:val="right" w:leader="hyphen"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_Toc4440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三、收支预算总体情况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fldChar w:fldCharType="end"/>
      </w:r>
    </w:p>
    <w:p>
      <w:pPr>
        <w:pStyle w:val="4"/>
        <w:tabs>
          <w:tab w:val="right" w:leader="hyphen" w:pos="8844"/>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_Toc17072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四、支出预算安排情况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五、较上年度增减变化</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szCs w:val="32"/>
          <w:lang w:val="en-US" w:eastAsia="zh-CN"/>
        </w:rPr>
        <w:fldChar w:fldCharType="end"/>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 xml:space="preserve">六、“三公”经费预算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七、政府性基金预算收支情况说明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八、国有资本经营预算收支情况说明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九、其他重要事项的情况说明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十、名词解释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_Toc5042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fldChar w:fldCharType="end"/>
      </w:r>
    </w:p>
    <w:p>
      <w:pPr>
        <w:pStyle w:val="4"/>
        <w:tabs>
          <w:tab w:val="right" w:leader="hyphen" w:pos="8844"/>
        </w:tabs>
      </w:pP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\l _Toc5042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十一、附件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fldChar w:fldCharType="end"/>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rPr>
          <w:rFonts w:hint="eastAsia"/>
          <w:sz w:val="32"/>
          <w:szCs w:val="32"/>
          <w:lang w:val="en-US" w:eastAsia="zh-CN"/>
        </w:rPr>
      </w:pPr>
    </w:p>
    <w:p>
      <w:pPr>
        <w:pStyle w:val="2"/>
        <w:keepNext w:val="0"/>
        <w:keepLines w:val="0"/>
        <w:pageBreakBefore w:val="0"/>
        <w:kinsoku/>
        <w:wordWrap/>
        <w:overflowPunct/>
        <w:topLinePunct w:val="0"/>
        <w:autoSpaceDE/>
        <w:autoSpaceDN/>
        <w:bidi w:val="0"/>
        <w:adjustRightInd w:val="0"/>
        <w:snapToGrid w:val="0"/>
        <w:spacing w:line="560" w:lineRule="exact"/>
        <w:ind w:right="0" w:rightChars="0"/>
        <w:textAlignment w:val="auto"/>
        <w:rPr>
          <w:rFonts w:hint="eastAsia"/>
          <w:sz w:val="32"/>
          <w:szCs w:val="32"/>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黑体" w:eastAsia="黑体"/>
          <w:b/>
          <w:bCs/>
          <w:sz w:val="32"/>
          <w:szCs w:val="32"/>
        </w:rPr>
      </w:pPr>
      <w:r>
        <w:rPr>
          <w:rFonts w:hint="eastAsia" w:ascii="黑体" w:eastAsia="黑体"/>
          <w:b/>
          <w:bCs/>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0"/>
        <w:rPr>
          <w:rFonts w:hint="eastAsia" w:ascii="楷体_GB2312" w:hAnsi="楷体_GB2312" w:eastAsia="楷体_GB2312" w:cs="楷体_GB2312"/>
          <w:b/>
          <w:bCs w:val="0"/>
          <w:sz w:val="32"/>
          <w:szCs w:val="32"/>
          <w:lang w:eastAsia="zh-CN"/>
        </w:rPr>
      </w:pPr>
      <w:bookmarkStart w:id="2" w:name="_Toc3957"/>
      <w:r>
        <w:rPr>
          <w:rFonts w:hint="eastAsia" w:ascii="楷体_GB2312" w:hAnsi="楷体_GB2312" w:eastAsia="楷体_GB2312" w:cs="楷体_GB2312"/>
          <w:b/>
          <w:bCs w:val="0"/>
          <w:sz w:val="32"/>
          <w:szCs w:val="32"/>
          <w:lang w:eastAsia="zh-CN"/>
        </w:rPr>
        <w:t>（一）基本职能</w:t>
      </w:r>
      <w:bookmarkEnd w:id="2"/>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主要承担红原县辖区内城乡居民养老保险工作的开展，认真贯彻执行城乡居民养老保险方面的各项政策、法律、法规，全面发展城乡居民养老保险事业，加快社会保障体系的建设，由政府及社会集中建立基金，保障参保人员在年老丧失劳动力的情况下能够足额领取养老保险。</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0"/>
        <w:rPr>
          <w:rFonts w:hint="eastAsia" w:ascii="楷体_GB2312" w:hAnsi="楷体_GB2312" w:eastAsia="楷体_GB2312" w:cs="楷体_GB2312"/>
          <w:b/>
          <w:bCs w:val="0"/>
          <w:sz w:val="32"/>
          <w:szCs w:val="32"/>
          <w:lang w:eastAsia="zh-CN"/>
        </w:rPr>
      </w:pPr>
      <w:bookmarkStart w:id="3" w:name="_Toc20387"/>
      <w:r>
        <w:rPr>
          <w:rFonts w:hint="eastAsia" w:ascii="楷体_GB2312" w:hAnsi="楷体_GB2312" w:eastAsia="楷体_GB2312" w:cs="楷体_GB2312"/>
          <w:b/>
          <w:bCs w:val="0"/>
          <w:sz w:val="32"/>
          <w:szCs w:val="32"/>
          <w:lang w:eastAsia="zh-CN"/>
        </w:rPr>
        <w:t>（二）2022年重点工作任务</w:t>
      </w:r>
      <w:bookmarkEnd w:id="3"/>
    </w:p>
    <w:p>
      <w:pPr>
        <w:pStyle w:val="2"/>
        <w:adjustRightInd w:val="0"/>
        <w:snapToGrid w:val="0"/>
        <w:spacing w:before="93" w:line="560" w:lineRule="exact"/>
        <w:ind w:firstLine="672" w:firstLineChars="210"/>
        <w:rPr>
          <w:rFonts w:hint="eastAsia" w:eastAsia="仿宋_GB2312"/>
          <w:bCs/>
          <w:sz w:val="32"/>
          <w:szCs w:val="32"/>
          <w:lang w:val="en-US" w:eastAsia="zh-CN"/>
        </w:rPr>
      </w:pPr>
      <w:r>
        <w:rPr>
          <w:rFonts w:hint="eastAsia"/>
          <w:bCs/>
          <w:sz w:val="32"/>
          <w:szCs w:val="32"/>
          <w:lang w:val="en-US" w:eastAsia="zh-CN"/>
        </w:rPr>
        <w:t>1、</w:t>
      </w:r>
      <w:r>
        <w:rPr>
          <w:rFonts w:hint="eastAsia"/>
          <w:bCs/>
          <w:sz w:val="32"/>
          <w:szCs w:val="32"/>
        </w:rPr>
        <w:t>负责宣传和贯彻执行城乡居民养老保险有关政策。</w:t>
      </w:r>
      <w:r>
        <w:rPr>
          <w:bCs/>
          <w:sz w:val="32"/>
          <w:szCs w:val="32"/>
        </w:rPr>
        <w:t>2</w:t>
      </w:r>
      <w:r>
        <w:rPr>
          <w:rFonts w:hint="eastAsia"/>
          <w:bCs/>
          <w:sz w:val="32"/>
          <w:szCs w:val="32"/>
        </w:rPr>
        <w:t>、负责对城乡居民养老保险业务的指导、人员培训和检查考核。</w:t>
      </w:r>
      <w:r>
        <w:rPr>
          <w:bCs/>
          <w:sz w:val="32"/>
          <w:szCs w:val="32"/>
        </w:rPr>
        <w:t>3</w:t>
      </w:r>
      <w:r>
        <w:rPr>
          <w:rFonts w:hint="eastAsia"/>
          <w:bCs/>
          <w:sz w:val="32"/>
          <w:szCs w:val="32"/>
        </w:rPr>
        <w:t>、</w:t>
      </w:r>
      <w:r>
        <w:rPr>
          <w:rFonts w:hint="eastAsia"/>
          <w:bCs/>
          <w:sz w:val="32"/>
          <w:szCs w:val="32"/>
          <w:lang w:eastAsia="zh-CN"/>
        </w:rPr>
        <w:t>协同税务部门</w:t>
      </w:r>
      <w:r>
        <w:rPr>
          <w:rFonts w:hint="eastAsia"/>
          <w:bCs/>
          <w:sz w:val="32"/>
          <w:szCs w:val="32"/>
        </w:rPr>
        <w:t>负责保险费的征收和转存。</w:t>
      </w:r>
      <w:r>
        <w:rPr>
          <w:bCs/>
          <w:sz w:val="32"/>
          <w:szCs w:val="32"/>
        </w:rPr>
        <w:t>4</w:t>
      </w:r>
      <w:r>
        <w:rPr>
          <w:rFonts w:hint="eastAsia"/>
          <w:bCs/>
          <w:sz w:val="32"/>
          <w:szCs w:val="32"/>
        </w:rPr>
        <w:t>、负责建立个人账户，办理保险关系转移、退保等手续。</w:t>
      </w:r>
      <w:r>
        <w:rPr>
          <w:rFonts w:hint="eastAsia"/>
          <w:bCs/>
          <w:sz w:val="32"/>
          <w:szCs w:val="32"/>
          <w:lang w:val="en-US" w:eastAsia="zh-CN"/>
        </w:rPr>
        <w:t>5、负责为参保符合领取待遇的人员发放养老保险金。</w:t>
      </w:r>
      <w:r>
        <w:rPr>
          <w:bCs/>
          <w:sz w:val="32"/>
          <w:szCs w:val="32"/>
        </w:rPr>
        <w:t>5</w:t>
      </w:r>
      <w:r>
        <w:rPr>
          <w:rFonts w:hint="eastAsia"/>
          <w:bCs/>
          <w:sz w:val="32"/>
          <w:szCs w:val="32"/>
        </w:rPr>
        <w:t>、负责档案管理和统计工作。</w:t>
      </w:r>
      <w:r>
        <w:rPr>
          <w:rFonts w:hint="eastAsia"/>
          <w:bCs/>
          <w:sz w:val="32"/>
          <w:szCs w:val="32"/>
          <w:lang w:val="en-US" w:eastAsia="zh-CN"/>
        </w:rPr>
        <w:t>6、建立城乡居民养老保险丧葬抚恤制度。7</w:t>
      </w:r>
      <w:r>
        <w:rPr>
          <w:rFonts w:hint="eastAsia"/>
          <w:bCs/>
          <w:sz w:val="32"/>
          <w:szCs w:val="32"/>
        </w:rPr>
        <w:t>、完成上级交办的其他工作。</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黑体" w:eastAsia="黑体"/>
          <w:b/>
          <w:bCs/>
          <w:sz w:val="32"/>
          <w:szCs w:val="32"/>
        </w:rPr>
      </w:pPr>
      <w:r>
        <w:rPr>
          <w:rFonts w:hint="eastAsia" w:ascii="黑体" w:eastAsia="黑体"/>
          <w:b/>
          <w:bCs/>
          <w:sz w:val="32"/>
          <w:szCs w:val="32"/>
        </w:rPr>
        <w:t>二、部门</w:t>
      </w:r>
      <w:r>
        <w:rPr>
          <w:rFonts w:hint="eastAsia" w:ascii="黑体" w:eastAsia="黑体"/>
          <w:b/>
          <w:bCs/>
          <w:sz w:val="32"/>
          <w:szCs w:val="32"/>
          <w:lang w:eastAsia="zh-CN"/>
        </w:rPr>
        <w:t>预算单位构成</w:t>
      </w:r>
    </w:p>
    <w:p>
      <w:pPr>
        <w:spacing w:line="560" w:lineRule="exact"/>
        <w:ind w:firstLine="640" w:firstLineChars="200"/>
        <w:rPr>
          <w:rFonts w:hint="eastAsia" w:ascii="仿宋_GB2312" w:hAnsi="Calibri" w:eastAsia="仿宋_GB2312" w:cs="Times New Roman"/>
          <w:bCs/>
          <w:kern w:val="2"/>
          <w:sz w:val="32"/>
          <w:szCs w:val="32"/>
          <w:lang w:val="en-US" w:eastAsia="zh-CN" w:bidi="ar-SA"/>
        </w:rPr>
      </w:pPr>
      <w:r>
        <w:rPr>
          <w:rFonts w:hint="eastAsia" w:ascii="仿宋_GB2312" w:hAnsi="Calibri" w:eastAsia="仿宋_GB2312" w:cs="Times New Roman"/>
          <w:bCs/>
          <w:kern w:val="2"/>
          <w:sz w:val="32"/>
          <w:szCs w:val="32"/>
          <w:lang w:val="en-US" w:eastAsia="zh-CN" w:bidi="ar-SA"/>
        </w:rPr>
        <w:t>红原县城乡居民养老保险事业管理局是隶属于红原县人力资源和社会保障局的副科级单位，经费独立核算，属于事业单位。红原县城乡居民养老保险事业管理局下设5个股室分别为：办公室、统筹计划股、财务股、退管股、稽核股。事业编制10名，目前在编人员9名。</w:t>
      </w:r>
    </w:p>
    <w:p>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黑体" w:eastAsia="黑体"/>
          <w:b/>
          <w:bCs/>
          <w:sz w:val="32"/>
          <w:szCs w:val="32"/>
        </w:rPr>
      </w:pPr>
      <w:r>
        <w:rPr>
          <w:rFonts w:hint="eastAsia" w:ascii="黑体" w:eastAsia="黑体"/>
          <w:b/>
          <w:bCs/>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val="en-US" w:eastAsia="zh-CN"/>
        </w:rPr>
        <w:t>红原县城乡居民养老保险事业管理局</w:t>
      </w:r>
      <w:r>
        <w:rPr>
          <w:rFonts w:hint="eastAsia" w:ascii="仿宋_GB2312" w:eastAsia="仿宋_GB2312"/>
          <w:sz w:val="32"/>
          <w:szCs w:val="32"/>
        </w:rPr>
        <w:t>收入预算总额为</w:t>
      </w:r>
      <w:r>
        <w:rPr>
          <w:rFonts w:hint="eastAsia" w:ascii="仿宋_GB2312" w:eastAsia="仿宋_GB2312"/>
          <w:sz w:val="32"/>
          <w:szCs w:val="32"/>
          <w:lang w:val="en-US" w:eastAsia="zh-CN"/>
        </w:rPr>
        <w:t>137.68</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137.68</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136.72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116.01</w:t>
      </w:r>
      <w:r>
        <w:rPr>
          <w:rFonts w:hint="eastAsia" w:ascii="仿宋_GB2312" w:eastAsia="仿宋_GB2312"/>
          <w:sz w:val="32"/>
          <w:szCs w:val="32"/>
        </w:rPr>
        <w:t>万元，医疗卫生</w:t>
      </w:r>
      <w:r>
        <w:rPr>
          <w:rFonts w:hint="eastAsia" w:ascii="仿宋_GB2312" w:eastAsia="仿宋_GB2312"/>
          <w:sz w:val="32"/>
          <w:szCs w:val="32"/>
          <w:lang w:val="en-US" w:eastAsia="zh-CN"/>
        </w:rPr>
        <w:t>7.41</w:t>
      </w:r>
      <w:r>
        <w:rPr>
          <w:rFonts w:hint="eastAsia" w:ascii="仿宋_GB2312" w:eastAsia="仿宋_GB2312"/>
          <w:sz w:val="32"/>
          <w:szCs w:val="32"/>
        </w:rPr>
        <w:t>万元，住房保障支出</w:t>
      </w:r>
      <w:r>
        <w:rPr>
          <w:rFonts w:hint="eastAsia" w:ascii="仿宋_GB2312" w:eastAsia="仿宋_GB2312"/>
          <w:sz w:val="32"/>
          <w:szCs w:val="32"/>
          <w:lang w:val="en-US" w:eastAsia="zh-CN"/>
        </w:rPr>
        <w:t>14.25</w:t>
      </w:r>
      <w:r>
        <w:rPr>
          <w:rFonts w:hint="eastAsia" w:ascii="仿宋_GB2312" w:eastAsia="仿宋_GB2312"/>
          <w:sz w:val="32"/>
          <w:szCs w:val="32"/>
        </w:rPr>
        <w:t>万元。</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黑体" w:eastAsia="黑体"/>
          <w:b/>
          <w:bCs/>
          <w:sz w:val="32"/>
          <w:szCs w:val="32"/>
        </w:rPr>
      </w:pPr>
      <w:r>
        <w:rPr>
          <w:rFonts w:hint="eastAsia" w:ascii="黑体" w:eastAsia="黑体"/>
          <w:b/>
          <w:bCs/>
          <w:sz w:val="32"/>
          <w:szCs w:val="32"/>
          <w:lang w:val="en-US" w:eastAsia="zh-CN"/>
        </w:rPr>
        <w:t>四、</w:t>
      </w:r>
      <w:r>
        <w:rPr>
          <w:rFonts w:hint="eastAsia" w:ascii="黑体" w:eastAsia="黑体"/>
          <w:b/>
          <w:bCs/>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红原县城乡居民养老保险事业管理局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城乡居民养老保险</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137.68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126.87万元，机关运行经费10.81万元，其中：办公费6.32万元，印刷费0.14万元，手续费0.02万元，水费0.21万元，电费0.3万元，邮电费0.02万元，差旅费2.1万元，会议费0.3万元，培训费0.3万元，公务接待费0.11万元，工会经费0.99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116.01</w:t>
      </w:r>
      <w:r>
        <w:rPr>
          <w:rFonts w:hint="eastAsia" w:ascii="仿宋_GB2312" w:eastAsia="仿宋_GB2312"/>
          <w:sz w:val="32"/>
          <w:szCs w:val="32"/>
          <w:lang w:eastAsia="zh-CN"/>
        </w:rPr>
        <w:t>万元</w:t>
      </w:r>
      <w:r>
        <w:rPr>
          <w:rFonts w:hint="eastAsia" w:ascii="仿宋_GB2312" w:eastAsia="仿宋_GB2312"/>
          <w:sz w:val="32"/>
          <w:szCs w:val="32"/>
        </w:rPr>
        <w:t>，主要用</w:t>
      </w:r>
      <w:r>
        <w:rPr>
          <w:rFonts w:hint="eastAsia" w:ascii="仿宋_GB2312" w:eastAsia="仿宋_GB2312"/>
          <w:sz w:val="32"/>
          <w:szCs w:val="32"/>
          <w:lang w:val="en-US" w:eastAsia="zh-CN"/>
        </w:rPr>
        <w:t>与</w:t>
      </w:r>
      <w:r>
        <w:rPr>
          <w:rFonts w:hint="eastAsia" w:ascii="仿宋_GB2312" w:eastAsia="仿宋_GB2312"/>
          <w:sz w:val="32"/>
          <w:szCs w:val="32"/>
        </w:rPr>
        <w:t>下属事业单位人员工资、日常运转以及为完成特定行政工作任务和事业发展目标而安排的年度项目支出</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）医疗卫生</w:t>
      </w:r>
      <w:r>
        <w:rPr>
          <w:rFonts w:hint="eastAsia" w:ascii="仿宋_GB2312" w:eastAsia="仿宋_GB2312"/>
          <w:sz w:val="32"/>
          <w:szCs w:val="32"/>
          <w:lang w:val="en-US" w:eastAsia="zh-CN"/>
        </w:rPr>
        <w:t>7.41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14.25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b/>
          <w:bCs/>
          <w:color w:val="333333"/>
          <w:kern w:val="0"/>
          <w:sz w:val="32"/>
          <w:szCs w:val="32"/>
          <w:shd w:val="clear" w:color="auto" w:fill="FFFFFF"/>
          <w:lang w:val="en-US" w:eastAsia="zh-CN" w:bidi="ar"/>
        </w:rPr>
        <w:t xml:space="preserve">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137.68万元较上年度预算144.22万元减少了4.5%，其中基本行政运行经费预算9.82（未包含0.99万元工会经费）万元，占全部总预算的7.1%，较上年10.26万元减少了4%，原因为压缩各项开支，减少基本支出；专项业务工作经费预算0万元，占总预算的0%，较上年预算减少了0%。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b/>
          <w:bCs/>
          <w:color w:val="333333"/>
          <w:kern w:val="0"/>
          <w:sz w:val="32"/>
          <w:szCs w:val="32"/>
          <w:shd w:val="clear" w:color="auto" w:fill="FFFFFF"/>
          <w:lang w:val="en-US" w:eastAsia="zh-CN" w:bidi="ar"/>
        </w:rPr>
        <w:t xml:space="preserve">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0.11万元，其中：出国费0万元，与上年持平，主要原因为未安排因公出国；公车购置费0万元，与上年持平；公务用车维护费支出0万元，较上年度预算持平，主要原因严格执行“八项规定、六项禁令”；二是将有关股室的工作有机地结合起来，减少不必要的资源浪费。公务接待费0.11万元，较上年度预算减少0.04万元，主要原因为厉行节约，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b/>
          <w:bCs/>
          <w:color w:val="333333"/>
          <w:kern w:val="0"/>
          <w:sz w:val="32"/>
          <w:szCs w:val="32"/>
          <w:shd w:val="clear" w:color="auto" w:fill="FFFFFF"/>
          <w:lang w:val="en-US" w:eastAsia="zh-CN" w:bidi="ar"/>
        </w:rPr>
      </w:pPr>
      <w:r>
        <w:rPr>
          <w:rFonts w:hint="eastAsia" w:ascii="黑体" w:hAnsi="黑体" w:eastAsia="黑体" w:cs="黑体"/>
          <w:b/>
          <w:bCs/>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b/>
          <w:bCs/>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b/>
          <w:bCs/>
          <w:color w:val="333333"/>
          <w:kern w:val="0"/>
          <w:sz w:val="32"/>
          <w:szCs w:val="32"/>
          <w:shd w:val="clear" w:color="auto" w:fill="FFFFFF"/>
          <w:lang w:val="en-US" w:eastAsia="zh-CN" w:bidi="ar"/>
        </w:rPr>
      </w:pPr>
      <w:r>
        <w:rPr>
          <w:rFonts w:hint="eastAsia" w:ascii="黑体" w:hAnsi="黑体" w:eastAsia="黑体" w:cs="黑体"/>
          <w:b/>
          <w:bCs/>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4" w:name="_Toc4440"/>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4"/>
      <w:r>
        <w:rPr>
          <w:rFonts w:hint="eastAsia" w:ascii="黑体" w:hAnsi="黑体" w:eastAsia="黑体" w:cs="黑体"/>
          <w:b/>
          <w:bCs/>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5" w:name="_Toc17072"/>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5"/>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hAnsi="仿宋_GB2312" w:eastAsia="仿宋_GB2312" w:cs="仿宋_GB2312"/>
          <w:b w:val="0"/>
          <w:bCs w:val="0"/>
          <w:color w:val="333333"/>
          <w:kern w:val="0"/>
          <w:sz w:val="32"/>
          <w:szCs w:val="32"/>
          <w:shd w:val="clear" w:color="auto" w:fill="FFFFFF"/>
          <w:lang w:val="en-US" w:eastAsia="zh-CN" w:bidi="ar"/>
        </w:rPr>
      </w:pPr>
      <w:r>
        <w:rPr>
          <w:rFonts w:hint="eastAsia" w:ascii="仿宋_GB2312" w:hAnsi="仿宋_GB2312" w:eastAsia="仿宋_GB2312" w:cs="仿宋_GB2312"/>
          <w:b w:val="0"/>
          <w:bCs w:val="0"/>
          <w:color w:val="333333"/>
          <w:kern w:val="0"/>
          <w:sz w:val="32"/>
          <w:szCs w:val="32"/>
          <w:shd w:val="clear" w:color="auto" w:fill="FFFFFF"/>
          <w:lang w:val="en-US" w:eastAsia="zh-CN" w:bidi="ar"/>
        </w:rPr>
        <w:t>截止2021年底，实际共有固定资产价值11.77万元（净值2.2万元），均为办公设备。</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6" w:name="_Toc5042"/>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2021年我单位无项目支出故未编制绩效目标。</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黑体" w:hAnsi="黑体" w:eastAsia="黑体" w:cs="黑体"/>
          <w:b/>
          <w:bCs/>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eastAsia="仿宋_GB2312"/>
          <w:sz w:val="32"/>
          <w:szCs w:val="32"/>
          <w:lang w:val="en-US" w:eastAsia="zh-CN"/>
        </w:rPr>
      </w:pPr>
    </w:p>
    <w:p>
      <w:pPr>
        <w:keepNext w:val="0"/>
        <w:keepLines w:val="0"/>
        <w:pageBreakBefore w:val="0"/>
        <w:numPr>
          <w:numId w:val="0"/>
        </w:numPr>
        <w:kinsoku/>
        <w:wordWrap/>
        <w:overflowPunct/>
        <w:topLinePunct w:val="0"/>
        <w:autoSpaceDE/>
        <w:autoSpaceDN/>
        <w:bidi w:val="0"/>
        <w:spacing w:line="560" w:lineRule="exact"/>
        <w:ind w:leftChars="200" w:right="0" w:rightChars="0"/>
        <w:textAlignment w:val="auto"/>
        <w:rPr>
          <w:rFonts w:hint="eastAsia" w:ascii="仿宋_GB2312" w:eastAsia="仿宋_GB2312"/>
          <w:sz w:val="32"/>
          <w:szCs w:val="32"/>
          <w:lang w:val="en-US" w:eastAsia="zh-CN"/>
        </w:rPr>
      </w:pPr>
      <w:r>
        <w:rPr>
          <w:rFonts w:hint="eastAsia" w:ascii="黑体" w:hAnsi="黑体" w:eastAsia="黑体" w:cs="黑体"/>
          <w:b w:val="0"/>
          <w:bCs w:val="0"/>
          <w:color w:val="333333"/>
          <w:kern w:val="0"/>
          <w:sz w:val="32"/>
          <w:szCs w:val="32"/>
          <w:shd w:val="clear" w:color="auto" w:fill="FFFFFF"/>
          <w:lang w:val="en-US" w:eastAsia="zh-CN" w:bidi="ar"/>
        </w:rPr>
        <w:t>十一、</w:t>
      </w:r>
      <w:r>
        <w:rPr>
          <w:rFonts w:hint="eastAsia" w:ascii="黑体" w:hAnsi="黑体" w:eastAsia="黑体" w:cs="黑体"/>
          <w:b w:val="0"/>
          <w:bCs w:val="0"/>
          <w:sz w:val="32"/>
          <w:szCs w:val="32"/>
          <w:lang w:val="en-US" w:eastAsia="zh-CN"/>
        </w:rPr>
        <w:t>附件</w:t>
      </w:r>
      <w:bookmarkStart w:id="7" w:name="_GoBack"/>
      <w:bookmarkEnd w:id="7"/>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1600" w:firstLineChars="5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B9775D"/>
    <w:rsid w:val="10B92046"/>
    <w:rsid w:val="123D7F1F"/>
    <w:rsid w:val="176024E2"/>
    <w:rsid w:val="18870CA9"/>
    <w:rsid w:val="1D6C0938"/>
    <w:rsid w:val="2D241839"/>
    <w:rsid w:val="379D22AE"/>
    <w:rsid w:val="389429BB"/>
    <w:rsid w:val="3FDD5033"/>
    <w:rsid w:val="41C14C68"/>
    <w:rsid w:val="555E53B0"/>
    <w:rsid w:val="56F015BA"/>
    <w:rsid w:val="636966A0"/>
    <w:rsid w:val="670175BB"/>
    <w:rsid w:val="6D10243D"/>
    <w:rsid w:val="6FBF4B32"/>
    <w:rsid w:val="70F00356"/>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oc 1"/>
    <w:basedOn w:val="1"/>
    <w:next w:val="1"/>
    <w:uiPriority w:val="0"/>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2023-10-24T07:16:20Z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