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A1E8B8B">
      <w:pPr>
        <w:pStyle w:val="189"/>
        <w:shd w:val="clear" w:color="auto" w:fill="FFFFFF"/>
        <w:jc w:val="center"/>
      </w:pPr>
      <w:r>
        <w:rPr>
          <w:rFonts w:hint="eastAsia"/>
        </w:rPr>
        <w:t> </w:t>
      </w:r>
    </w:p>
    <w:p w14:paraId="3FF42DCE">
      <w:pPr>
        <w:pStyle w:val="189"/>
        <w:shd w:val="clear" w:color="auto" w:fill="FFFFFF"/>
        <w:jc w:val="center"/>
        <w:rPr>
          <w:rStyle w:val="190"/>
          <w:rFonts w:hint="eastAsia" w:ascii="宋体" w:hAnsi="宋体" w:eastAsia="宋体" w:cs="宋体"/>
          <w:sz w:val="52"/>
          <w:szCs w:val="52"/>
        </w:rPr>
      </w:pPr>
      <w:r>
        <w:rPr>
          <w:rStyle w:val="190"/>
          <w:rFonts w:hint="eastAsia" w:ascii="宋体" w:hAnsi="宋体" w:eastAsia="宋体" w:cs="宋体"/>
          <w:sz w:val="52"/>
          <w:szCs w:val="52"/>
        </w:rPr>
        <w:t>阿坝州红原县疾病预防控制中心</w:t>
      </w:r>
    </w:p>
    <w:p w14:paraId="2840F06F">
      <w:pPr>
        <w:pStyle w:val="189"/>
        <w:shd w:val="clear" w:color="auto" w:fill="FFFFFF"/>
        <w:jc w:val="center"/>
        <w:rPr>
          <w:rFonts w:hint="eastAsia" w:ascii="宋体" w:hAnsi="宋体" w:eastAsia="宋体" w:cs="宋体"/>
          <w:sz w:val="52"/>
          <w:szCs w:val="52"/>
        </w:rPr>
      </w:pPr>
      <w:r>
        <w:rPr>
          <w:rStyle w:val="190"/>
          <w:rFonts w:hint="eastAsia" w:ascii="宋体" w:hAnsi="宋体" w:eastAsia="宋体" w:cs="宋体"/>
          <w:sz w:val="52"/>
          <w:szCs w:val="52"/>
        </w:rPr>
        <w:t>2022年度部门决算分析报告</w:t>
      </w:r>
    </w:p>
    <w:p w14:paraId="23440F31">
      <w:pPr>
        <w:pStyle w:val="189"/>
        <w:shd w:val="clear" w:color="auto" w:fill="FFFFFF"/>
        <w:jc w:val="center"/>
        <w:rPr>
          <w:rFonts w:hint="eastAsia"/>
          <w:sz w:val="32"/>
          <w:szCs w:val="32"/>
        </w:rPr>
      </w:pPr>
    </w:p>
    <w:p w14:paraId="4185A3FA">
      <w:pPr>
        <w:pStyle w:val="189"/>
        <w:shd w:val="clear" w:color="auto" w:fill="FFFFFF"/>
        <w:rPr>
          <w:rFonts w:hint="eastAsia"/>
          <w:sz w:val="32"/>
          <w:szCs w:val="32"/>
        </w:rPr>
      </w:pPr>
      <w:r>
        <w:rPr>
          <w:rFonts w:hint="eastAsia"/>
          <w:sz w:val="32"/>
          <w:szCs w:val="32"/>
        </w:rPr>
        <w:t> </w:t>
      </w:r>
      <w:bookmarkStart w:id="0" w:name="_GoBack"/>
      <w:bookmarkEnd w:id="0"/>
    </w:p>
    <w:p w14:paraId="2FCE7395">
      <w:pPr>
        <w:pStyle w:val="189"/>
        <w:shd w:val="clear" w:color="auto" w:fill="FFFFFF"/>
        <w:rPr>
          <w:rFonts w:hint="eastAsia"/>
          <w:sz w:val="32"/>
          <w:szCs w:val="32"/>
        </w:rPr>
      </w:pPr>
      <w:r>
        <w:rPr>
          <w:rFonts w:hint="eastAsia"/>
          <w:sz w:val="32"/>
          <w:szCs w:val="32"/>
        </w:rPr>
        <w:t>一、单位情况</w:t>
      </w:r>
    </w:p>
    <w:p w14:paraId="6EFC75BA">
      <w:pPr>
        <w:pStyle w:val="189"/>
        <w:shd w:val="clear" w:color="auto" w:fill="FFFFFF"/>
        <w:rPr>
          <w:rFonts w:hint="eastAsia"/>
          <w:sz w:val="32"/>
          <w:szCs w:val="32"/>
        </w:rPr>
      </w:pPr>
      <w:r>
        <w:rPr>
          <w:rStyle w:val="190"/>
          <w:rFonts w:hint="eastAsia"/>
          <w:sz w:val="32"/>
          <w:szCs w:val="32"/>
        </w:rPr>
        <w:t>（一）基本情况。</w:t>
      </w:r>
    </w:p>
    <w:p w14:paraId="0BFECADD">
      <w:pPr>
        <w:pStyle w:val="189"/>
        <w:shd w:val="clear" w:color="auto" w:fill="FFFFFF"/>
        <w:rPr>
          <w:rFonts w:hint="eastAsia"/>
          <w:sz w:val="32"/>
          <w:szCs w:val="32"/>
        </w:rPr>
      </w:pPr>
      <w:r>
        <w:rPr>
          <w:rFonts w:hint="eastAsia"/>
          <w:sz w:val="32"/>
          <w:szCs w:val="32"/>
        </w:rPr>
        <w:t>1．主要职能。</w:t>
      </w:r>
    </w:p>
    <w:p w14:paraId="166222E4">
      <w:pPr>
        <w:pStyle w:val="189"/>
        <w:shd w:val="clear" w:color="auto" w:fill="FFFFFF"/>
        <w:rPr>
          <w:rFonts w:hint="eastAsia" w:ascii="宋体" w:hAnsi="宋体" w:eastAsia="宋体" w:cs="宋体"/>
          <w:sz w:val="32"/>
          <w:szCs w:val="32"/>
        </w:rPr>
      </w:pPr>
      <w:r>
        <w:rPr>
          <w:rFonts w:hint="eastAsia" w:ascii="宋体" w:hAnsi="宋体" w:eastAsia="宋体" w:cs="宋体"/>
          <w:i w:val="0"/>
          <w:iCs w:val="0"/>
          <w:caps w:val="0"/>
          <w:color w:val="000000"/>
          <w:spacing w:val="0"/>
          <w:sz w:val="32"/>
          <w:szCs w:val="32"/>
        </w:rPr>
        <w:t>全面履行政府赋予的卫生防病职能</w:t>
      </w:r>
      <w:r>
        <w:rPr>
          <w:rFonts w:hint="eastAsia" w:ascii="宋体" w:hAnsi="宋体" w:eastAsia="宋体" w:cs="宋体"/>
          <w:i w:val="0"/>
          <w:iCs w:val="0"/>
          <w:caps w:val="0"/>
          <w:color w:val="000000"/>
          <w:spacing w:val="0"/>
          <w:sz w:val="32"/>
          <w:szCs w:val="32"/>
          <w:lang w:val="en-US"/>
        </w:rPr>
        <w:t>, </w:t>
      </w:r>
      <w:r>
        <w:rPr>
          <w:rFonts w:hint="eastAsia" w:ascii="宋体" w:hAnsi="宋体" w:eastAsia="宋体" w:cs="宋体"/>
          <w:i w:val="0"/>
          <w:iCs w:val="0"/>
          <w:caps w:val="0"/>
          <w:color w:val="000000"/>
          <w:spacing w:val="0"/>
          <w:sz w:val="32"/>
          <w:szCs w:val="32"/>
        </w:rPr>
        <w:t>做好传染病等突发公共卫生事件应急、监测、报告与管理；信息与网络管理；加强疾病及健康相关因素监测和分析评估能力的储备及应用；完成国家、省、州下达的重大疾病预防控制指令性任务；实施疾病预防控制规划、方案，组织开展辖区内疾病爆发调查处理和报告；负责全县慢性传染病、慢性非传染性疾病的流行病学调查、监测，营养健康，健康教育与健康促进，实施儿童计划免疫及预防性生物制品管理；推行重大公共卫生服务项目，免费为艾滋病患者提供“四免一关怀”服务；制定我县结核病预防控制规划并组织实施；负责本辖区内大骨节病、包虫病、地氟病、碘缺乏病的综合防治和研究；提供消毒、杀虫、灭蝇等相关技术性服务；对食品卫生、公共场所、工矿企业、学校及生产经营单位的卫生具有监测职能和卫生学评价职能，对其从业人员定期进行健康体检；为社会人群提供预防性疫苗接种等工作。</w:t>
      </w:r>
    </w:p>
    <w:p w14:paraId="02DE6DC1">
      <w:pPr>
        <w:pStyle w:val="189"/>
        <w:numPr>
          <w:ilvl w:val="0"/>
          <w:numId w:val="1"/>
        </w:numPr>
        <w:shd w:val="clear" w:color="auto" w:fill="FFFFFF"/>
        <w:rPr>
          <w:rStyle w:val="190"/>
          <w:rFonts w:hint="eastAsia"/>
          <w:sz w:val="32"/>
          <w:szCs w:val="32"/>
        </w:rPr>
      </w:pPr>
      <w:r>
        <w:rPr>
          <w:rFonts w:hint="eastAsia"/>
          <w:sz w:val="32"/>
          <w:szCs w:val="32"/>
        </w:rPr>
        <w:t>本单位本年度纳入本套决算编制范围的独立编制机构数共1个，比上年增加0个，</w:t>
      </w:r>
      <w:r>
        <w:rPr>
          <w:rFonts w:hint="eastAsia"/>
          <w:sz w:val="32"/>
          <w:szCs w:val="32"/>
          <w:lang w:eastAsia="zh-CN"/>
        </w:rPr>
        <w:t>无变动</w:t>
      </w:r>
      <w:r>
        <w:rPr>
          <w:rFonts w:hint="eastAsia"/>
          <w:sz w:val="32"/>
          <w:szCs w:val="32"/>
        </w:rPr>
        <w:t>；独立核算机构数共1个，比上年增加0个，</w:t>
      </w:r>
      <w:r>
        <w:rPr>
          <w:rFonts w:hint="eastAsia"/>
          <w:sz w:val="32"/>
          <w:szCs w:val="32"/>
          <w:lang w:eastAsia="zh-CN"/>
        </w:rPr>
        <w:t>无</w:t>
      </w:r>
      <w:r>
        <w:rPr>
          <w:rStyle w:val="190"/>
          <w:rFonts w:hint="eastAsia"/>
          <w:sz w:val="32"/>
          <w:szCs w:val="32"/>
        </w:rPr>
        <w:t>变动。</w:t>
      </w:r>
    </w:p>
    <w:p w14:paraId="4C0E6727">
      <w:pPr>
        <w:pStyle w:val="189"/>
        <w:numPr>
          <w:ilvl w:val="0"/>
          <w:numId w:val="0"/>
        </w:numPr>
        <w:shd w:val="clear" w:color="auto" w:fill="FFFFFF"/>
        <w:rPr>
          <w:rStyle w:val="190"/>
          <w:rFonts w:hint="eastAsia"/>
          <w:sz w:val="32"/>
          <w:szCs w:val="32"/>
        </w:rPr>
      </w:pPr>
    </w:p>
    <w:tbl>
      <w:tblPr>
        <w:tblStyle w:val="30"/>
        <w:tblW w:w="0" w:type="auto"/>
        <w:tblInd w:w="12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top w:w="15" w:type="dxa"/>
          <w:left w:w="15" w:type="dxa"/>
          <w:bottom w:w="15" w:type="dxa"/>
          <w:right w:w="15" w:type="dxa"/>
        </w:tblCellMar>
      </w:tblPr>
      <w:tblGrid>
        <w:gridCol w:w="2920"/>
        <w:gridCol w:w="359"/>
        <w:gridCol w:w="978"/>
        <w:gridCol w:w="829"/>
        <w:gridCol w:w="801"/>
        <w:gridCol w:w="810"/>
        <w:gridCol w:w="1504"/>
      </w:tblGrid>
      <w:tr w14:paraId="3C10A6C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5" w:type="dxa"/>
            <w:left w:w="15" w:type="dxa"/>
            <w:bottom w:w="15" w:type="dxa"/>
            <w:right w:w="15" w:type="dxa"/>
          </w:tblCellMar>
        </w:tblPrEx>
        <w:trPr>
          <w:trHeight w:val="690" w:hRule="atLeast"/>
        </w:trPr>
        <w:tc>
          <w:tcPr>
            <w:tcW w:w="2920" w:type="dxa"/>
            <w:shd w:val="clear" w:color="auto" w:fill="C0C0C0"/>
            <w:noWrap w:val="0"/>
            <w:tcMar>
              <w:top w:w="15" w:type="dxa"/>
              <w:left w:w="15" w:type="dxa"/>
              <w:bottom w:w="15" w:type="dxa"/>
              <w:right w:w="15" w:type="dxa"/>
            </w:tcMar>
            <w:vAlign w:val="center"/>
          </w:tcPr>
          <w:p w14:paraId="3C71AB49">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b/>
                <w:bCs/>
                <w:caps w:val="0"/>
                <w:color w:val="000000"/>
                <w:spacing w:val="0"/>
                <w:sz w:val="24"/>
                <w:szCs w:val="24"/>
                <w:lang w:val="en-US" w:eastAsia="zh-CN" w:bidi="ar"/>
              </w:rPr>
              <w:t>    1.独立编制机构数</w:t>
            </w:r>
          </w:p>
        </w:tc>
        <w:tc>
          <w:tcPr>
            <w:tcW w:w="359" w:type="dxa"/>
            <w:shd w:val="clear" w:color="auto" w:fill="C0C0C0"/>
            <w:noWrap w:val="0"/>
            <w:tcMar>
              <w:top w:w="15" w:type="dxa"/>
              <w:left w:w="15" w:type="dxa"/>
              <w:bottom w:w="15" w:type="dxa"/>
              <w:right w:w="15" w:type="dxa"/>
            </w:tcMar>
            <w:vAlign w:val="center"/>
          </w:tcPr>
          <w:p w14:paraId="4ED9D24A">
            <w:pPr>
              <w:keepNext w:val="0"/>
              <w:keepLines w:val="0"/>
              <w:widowControl/>
              <w:suppressLineNumbers w:val="0"/>
              <w:spacing w:before="0" w:beforeAutospacing="0" w:after="0" w:afterAutospacing="0"/>
              <w:ind w:left="0" w:right="0"/>
              <w:jc w:val="center"/>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30</w:t>
            </w:r>
          </w:p>
        </w:tc>
        <w:tc>
          <w:tcPr>
            <w:tcW w:w="978" w:type="dxa"/>
            <w:noWrap w:val="0"/>
            <w:tcMar>
              <w:top w:w="15" w:type="dxa"/>
              <w:left w:w="15" w:type="dxa"/>
              <w:bottom w:w="15" w:type="dxa"/>
              <w:right w:w="15" w:type="dxa"/>
            </w:tcMar>
            <w:vAlign w:val="center"/>
          </w:tcPr>
          <w:p w14:paraId="2061C414">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1</w:t>
            </w:r>
          </w:p>
        </w:tc>
        <w:tc>
          <w:tcPr>
            <w:tcW w:w="829" w:type="dxa"/>
            <w:noWrap w:val="0"/>
            <w:tcMar>
              <w:top w:w="15" w:type="dxa"/>
              <w:left w:w="15" w:type="dxa"/>
              <w:bottom w:w="15" w:type="dxa"/>
              <w:right w:w="15" w:type="dxa"/>
            </w:tcMar>
            <w:vAlign w:val="center"/>
          </w:tcPr>
          <w:p w14:paraId="49FFDA18">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1</w:t>
            </w:r>
          </w:p>
        </w:tc>
        <w:tc>
          <w:tcPr>
            <w:tcW w:w="801" w:type="dxa"/>
            <w:noWrap w:val="0"/>
            <w:tcMar>
              <w:top w:w="15" w:type="dxa"/>
              <w:left w:w="15" w:type="dxa"/>
              <w:bottom w:w="15" w:type="dxa"/>
              <w:right w:w="15" w:type="dxa"/>
            </w:tcMar>
            <w:vAlign w:val="center"/>
          </w:tcPr>
          <w:p w14:paraId="1886FF8C">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10" w:type="dxa"/>
            <w:noWrap w:val="0"/>
            <w:tcMar>
              <w:top w:w="15" w:type="dxa"/>
              <w:left w:w="15" w:type="dxa"/>
              <w:bottom w:w="15" w:type="dxa"/>
              <w:right w:w="15" w:type="dxa"/>
            </w:tcMar>
            <w:vAlign w:val="center"/>
          </w:tcPr>
          <w:p w14:paraId="2BFF6871">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0.00</w:t>
            </w:r>
          </w:p>
        </w:tc>
        <w:tc>
          <w:tcPr>
            <w:tcW w:w="1504" w:type="dxa"/>
            <w:noWrap w:val="0"/>
            <w:tcMar>
              <w:top w:w="15" w:type="dxa"/>
              <w:left w:w="15" w:type="dxa"/>
              <w:bottom w:w="15" w:type="dxa"/>
              <w:right w:w="15" w:type="dxa"/>
            </w:tcMar>
            <w:vAlign w:val="center"/>
          </w:tcPr>
          <w:p w14:paraId="511044F4">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r>
      <w:tr w14:paraId="584DA97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5" w:type="dxa"/>
            <w:left w:w="15" w:type="dxa"/>
            <w:bottom w:w="15" w:type="dxa"/>
            <w:right w:w="15" w:type="dxa"/>
          </w:tblCellMar>
        </w:tblPrEx>
        <w:trPr>
          <w:trHeight w:val="921" w:hRule="atLeast"/>
        </w:trPr>
        <w:tc>
          <w:tcPr>
            <w:tcW w:w="2920" w:type="dxa"/>
            <w:shd w:val="clear" w:color="auto" w:fill="C0C0C0"/>
            <w:noWrap w:val="0"/>
            <w:tcMar>
              <w:top w:w="15" w:type="dxa"/>
              <w:left w:w="15" w:type="dxa"/>
              <w:bottom w:w="15" w:type="dxa"/>
              <w:right w:w="15" w:type="dxa"/>
            </w:tcMar>
            <w:vAlign w:val="center"/>
          </w:tcPr>
          <w:p w14:paraId="2FC9C224">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b/>
                <w:bCs/>
                <w:caps w:val="0"/>
                <w:color w:val="000000"/>
                <w:spacing w:val="0"/>
                <w:sz w:val="24"/>
                <w:szCs w:val="24"/>
                <w:lang w:val="en-US" w:eastAsia="zh-CN" w:bidi="ar"/>
              </w:rPr>
              <w:t>      其中：行政机构</w:t>
            </w:r>
          </w:p>
        </w:tc>
        <w:tc>
          <w:tcPr>
            <w:tcW w:w="359" w:type="dxa"/>
            <w:shd w:val="clear" w:color="auto" w:fill="C0C0C0"/>
            <w:noWrap w:val="0"/>
            <w:tcMar>
              <w:top w:w="15" w:type="dxa"/>
              <w:left w:w="15" w:type="dxa"/>
              <w:bottom w:w="15" w:type="dxa"/>
              <w:right w:w="15" w:type="dxa"/>
            </w:tcMar>
            <w:vAlign w:val="center"/>
          </w:tcPr>
          <w:p w14:paraId="15786059">
            <w:pPr>
              <w:keepNext w:val="0"/>
              <w:keepLines w:val="0"/>
              <w:widowControl/>
              <w:suppressLineNumbers w:val="0"/>
              <w:spacing w:before="0" w:beforeAutospacing="0" w:after="0" w:afterAutospacing="0"/>
              <w:ind w:left="0" w:right="0"/>
              <w:jc w:val="center"/>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31</w:t>
            </w:r>
          </w:p>
        </w:tc>
        <w:tc>
          <w:tcPr>
            <w:tcW w:w="978" w:type="dxa"/>
            <w:noWrap w:val="0"/>
            <w:tcMar>
              <w:top w:w="15" w:type="dxa"/>
              <w:left w:w="15" w:type="dxa"/>
              <w:bottom w:w="15" w:type="dxa"/>
              <w:right w:w="15" w:type="dxa"/>
            </w:tcMar>
            <w:vAlign w:val="center"/>
          </w:tcPr>
          <w:p w14:paraId="5F905150">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c>
          <w:tcPr>
            <w:tcW w:w="829" w:type="dxa"/>
            <w:noWrap w:val="0"/>
            <w:tcMar>
              <w:top w:w="15" w:type="dxa"/>
              <w:left w:w="15" w:type="dxa"/>
              <w:bottom w:w="15" w:type="dxa"/>
              <w:right w:w="15" w:type="dxa"/>
            </w:tcMar>
            <w:vAlign w:val="center"/>
          </w:tcPr>
          <w:p w14:paraId="58ED6DB9">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c>
          <w:tcPr>
            <w:tcW w:w="801" w:type="dxa"/>
            <w:noWrap w:val="0"/>
            <w:tcMar>
              <w:top w:w="15" w:type="dxa"/>
              <w:left w:w="15" w:type="dxa"/>
              <w:bottom w:w="15" w:type="dxa"/>
              <w:right w:w="15" w:type="dxa"/>
            </w:tcMar>
            <w:vAlign w:val="center"/>
          </w:tcPr>
          <w:p w14:paraId="787D7204">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10" w:type="dxa"/>
            <w:noWrap w:val="0"/>
            <w:tcMar>
              <w:top w:w="15" w:type="dxa"/>
              <w:left w:w="15" w:type="dxa"/>
              <w:bottom w:w="15" w:type="dxa"/>
              <w:right w:w="15" w:type="dxa"/>
            </w:tcMar>
            <w:vAlign w:val="center"/>
          </w:tcPr>
          <w:p w14:paraId="7358C808">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0.00</w:t>
            </w:r>
          </w:p>
        </w:tc>
        <w:tc>
          <w:tcPr>
            <w:tcW w:w="1504" w:type="dxa"/>
            <w:noWrap w:val="0"/>
            <w:tcMar>
              <w:top w:w="15" w:type="dxa"/>
              <w:left w:w="15" w:type="dxa"/>
              <w:bottom w:w="15" w:type="dxa"/>
              <w:right w:w="15" w:type="dxa"/>
            </w:tcMar>
            <w:vAlign w:val="center"/>
          </w:tcPr>
          <w:p w14:paraId="580CC608">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r>
      <w:tr w14:paraId="2D74E00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5" w:type="dxa"/>
            <w:left w:w="15" w:type="dxa"/>
            <w:bottom w:w="15" w:type="dxa"/>
            <w:right w:w="15" w:type="dxa"/>
          </w:tblCellMar>
        </w:tblPrEx>
        <w:trPr>
          <w:trHeight w:val="228" w:hRule="atLeast"/>
        </w:trPr>
        <w:tc>
          <w:tcPr>
            <w:tcW w:w="2920" w:type="dxa"/>
            <w:shd w:val="clear" w:color="auto" w:fill="C0C0C0"/>
            <w:noWrap w:val="0"/>
            <w:tcMar>
              <w:top w:w="15" w:type="dxa"/>
              <w:left w:w="15" w:type="dxa"/>
              <w:bottom w:w="15" w:type="dxa"/>
              <w:right w:w="15" w:type="dxa"/>
            </w:tcMar>
            <w:vAlign w:val="center"/>
          </w:tcPr>
          <w:p w14:paraId="1003C580">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b/>
                <w:bCs/>
                <w:caps w:val="0"/>
                <w:color w:val="000000"/>
                <w:spacing w:val="0"/>
                <w:sz w:val="24"/>
                <w:szCs w:val="24"/>
                <w:lang w:val="en-US" w:eastAsia="zh-CN" w:bidi="ar"/>
              </w:rPr>
              <w:t>            事业机构</w:t>
            </w:r>
          </w:p>
        </w:tc>
        <w:tc>
          <w:tcPr>
            <w:tcW w:w="359" w:type="dxa"/>
            <w:shd w:val="clear" w:color="auto" w:fill="C0C0C0"/>
            <w:noWrap w:val="0"/>
            <w:tcMar>
              <w:top w:w="15" w:type="dxa"/>
              <w:left w:w="15" w:type="dxa"/>
              <w:bottom w:w="15" w:type="dxa"/>
              <w:right w:w="15" w:type="dxa"/>
            </w:tcMar>
            <w:vAlign w:val="center"/>
          </w:tcPr>
          <w:p w14:paraId="39AB6EA6">
            <w:pPr>
              <w:keepNext w:val="0"/>
              <w:keepLines w:val="0"/>
              <w:widowControl/>
              <w:suppressLineNumbers w:val="0"/>
              <w:spacing w:before="0" w:beforeAutospacing="0" w:after="0" w:afterAutospacing="0"/>
              <w:ind w:left="0" w:right="0"/>
              <w:jc w:val="center"/>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32</w:t>
            </w:r>
          </w:p>
        </w:tc>
        <w:tc>
          <w:tcPr>
            <w:tcW w:w="978" w:type="dxa"/>
            <w:noWrap w:val="0"/>
            <w:tcMar>
              <w:top w:w="15" w:type="dxa"/>
              <w:left w:w="15" w:type="dxa"/>
              <w:bottom w:w="15" w:type="dxa"/>
              <w:right w:w="15" w:type="dxa"/>
            </w:tcMar>
            <w:vAlign w:val="center"/>
          </w:tcPr>
          <w:p w14:paraId="5A6616FF">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29" w:type="dxa"/>
            <w:noWrap w:val="0"/>
            <w:tcMar>
              <w:top w:w="15" w:type="dxa"/>
              <w:left w:w="15" w:type="dxa"/>
              <w:bottom w:w="15" w:type="dxa"/>
              <w:right w:w="15" w:type="dxa"/>
            </w:tcMar>
            <w:vAlign w:val="center"/>
          </w:tcPr>
          <w:p w14:paraId="61AB297C">
            <w:pPr>
              <w:keepNext w:val="0"/>
              <w:keepLines w:val="0"/>
              <w:widowControl/>
              <w:suppressLineNumbers w:val="0"/>
              <w:spacing w:before="0" w:beforeAutospacing="0" w:after="0" w:afterAutospacing="0"/>
              <w:ind w:left="0" w:right="440"/>
              <w:jc w:val="center"/>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01" w:type="dxa"/>
            <w:noWrap w:val="0"/>
            <w:tcMar>
              <w:top w:w="15" w:type="dxa"/>
              <w:left w:w="15" w:type="dxa"/>
              <w:bottom w:w="15" w:type="dxa"/>
              <w:right w:w="15" w:type="dxa"/>
            </w:tcMar>
            <w:vAlign w:val="center"/>
          </w:tcPr>
          <w:p w14:paraId="6E3B015A">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10" w:type="dxa"/>
            <w:noWrap w:val="0"/>
            <w:tcMar>
              <w:top w:w="15" w:type="dxa"/>
              <w:left w:w="15" w:type="dxa"/>
              <w:bottom w:w="15" w:type="dxa"/>
              <w:right w:w="15" w:type="dxa"/>
            </w:tcMar>
            <w:vAlign w:val="center"/>
          </w:tcPr>
          <w:p w14:paraId="34950AD8">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0.00</w:t>
            </w:r>
          </w:p>
        </w:tc>
        <w:tc>
          <w:tcPr>
            <w:tcW w:w="1504" w:type="dxa"/>
            <w:noWrap w:val="0"/>
            <w:tcMar>
              <w:top w:w="15" w:type="dxa"/>
              <w:left w:w="15" w:type="dxa"/>
              <w:bottom w:w="15" w:type="dxa"/>
              <w:right w:w="15" w:type="dxa"/>
            </w:tcMar>
            <w:vAlign w:val="center"/>
          </w:tcPr>
          <w:p w14:paraId="07A2C08B">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r>
      <w:tr w14:paraId="14356DC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5" w:type="dxa"/>
            <w:left w:w="15" w:type="dxa"/>
            <w:bottom w:w="15" w:type="dxa"/>
            <w:right w:w="15" w:type="dxa"/>
          </w:tblCellMar>
        </w:tblPrEx>
        <w:trPr>
          <w:trHeight w:val="228" w:hRule="atLeast"/>
        </w:trPr>
        <w:tc>
          <w:tcPr>
            <w:tcW w:w="2920" w:type="dxa"/>
            <w:shd w:val="clear" w:color="auto" w:fill="C0C0C0"/>
            <w:noWrap w:val="0"/>
            <w:tcMar>
              <w:top w:w="15" w:type="dxa"/>
              <w:left w:w="15" w:type="dxa"/>
              <w:bottom w:w="15" w:type="dxa"/>
              <w:right w:w="15" w:type="dxa"/>
            </w:tcMar>
            <w:vAlign w:val="center"/>
          </w:tcPr>
          <w:p w14:paraId="381ED434">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2.独立核算机构数</w:t>
            </w:r>
          </w:p>
        </w:tc>
        <w:tc>
          <w:tcPr>
            <w:tcW w:w="359" w:type="dxa"/>
            <w:shd w:val="clear" w:color="auto" w:fill="C0C0C0"/>
            <w:noWrap w:val="0"/>
            <w:tcMar>
              <w:top w:w="15" w:type="dxa"/>
              <w:left w:w="15" w:type="dxa"/>
              <w:bottom w:w="15" w:type="dxa"/>
              <w:right w:w="15" w:type="dxa"/>
            </w:tcMar>
            <w:vAlign w:val="center"/>
          </w:tcPr>
          <w:p w14:paraId="2F4374AE">
            <w:pPr>
              <w:keepNext w:val="0"/>
              <w:keepLines w:val="0"/>
              <w:widowControl/>
              <w:suppressLineNumbers w:val="0"/>
              <w:spacing w:before="0" w:beforeAutospacing="0" w:after="0" w:afterAutospacing="0"/>
              <w:ind w:left="0" w:right="0"/>
              <w:jc w:val="center"/>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33</w:t>
            </w:r>
          </w:p>
        </w:tc>
        <w:tc>
          <w:tcPr>
            <w:tcW w:w="978" w:type="dxa"/>
            <w:noWrap w:val="0"/>
            <w:tcMar>
              <w:top w:w="15" w:type="dxa"/>
              <w:left w:w="15" w:type="dxa"/>
              <w:bottom w:w="15" w:type="dxa"/>
              <w:right w:w="15" w:type="dxa"/>
            </w:tcMar>
            <w:vAlign w:val="center"/>
          </w:tcPr>
          <w:p w14:paraId="62968A1A">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1</w:t>
            </w:r>
          </w:p>
        </w:tc>
        <w:tc>
          <w:tcPr>
            <w:tcW w:w="829" w:type="dxa"/>
            <w:noWrap w:val="0"/>
            <w:tcMar>
              <w:top w:w="15" w:type="dxa"/>
              <w:left w:w="15" w:type="dxa"/>
              <w:bottom w:w="15" w:type="dxa"/>
              <w:right w:w="15" w:type="dxa"/>
            </w:tcMar>
            <w:vAlign w:val="center"/>
          </w:tcPr>
          <w:p w14:paraId="75C6AB8A">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1</w:t>
            </w:r>
          </w:p>
        </w:tc>
        <w:tc>
          <w:tcPr>
            <w:tcW w:w="801" w:type="dxa"/>
            <w:noWrap w:val="0"/>
            <w:tcMar>
              <w:top w:w="15" w:type="dxa"/>
              <w:left w:w="15" w:type="dxa"/>
              <w:bottom w:w="15" w:type="dxa"/>
              <w:right w:w="15" w:type="dxa"/>
            </w:tcMar>
            <w:vAlign w:val="center"/>
          </w:tcPr>
          <w:p w14:paraId="3F9483C2">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10" w:type="dxa"/>
            <w:noWrap w:val="0"/>
            <w:tcMar>
              <w:top w:w="15" w:type="dxa"/>
              <w:left w:w="15" w:type="dxa"/>
              <w:bottom w:w="15" w:type="dxa"/>
              <w:right w:w="15" w:type="dxa"/>
            </w:tcMar>
            <w:vAlign w:val="center"/>
          </w:tcPr>
          <w:p w14:paraId="4A88EB9A">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0.00</w:t>
            </w:r>
          </w:p>
        </w:tc>
        <w:tc>
          <w:tcPr>
            <w:tcW w:w="1504" w:type="dxa"/>
            <w:noWrap w:val="0"/>
            <w:tcMar>
              <w:top w:w="15" w:type="dxa"/>
              <w:left w:w="15" w:type="dxa"/>
              <w:bottom w:w="15" w:type="dxa"/>
              <w:right w:w="15" w:type="dxa"/>
            </w:tcMar>
            <w:vAlign w:val="center"/>
          </w:tcPr>
          <w:p w14:paraId="1CB6397B">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r>
      <w:tr w14:paraId="6DD35D9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5" w:type="dxa"/>
            <w:left w:w="15" w:type="dxa"/>
            <w:bottom w:w="15" w:type="dxa"/>
            <w:right w:w="15" w:type="dxa"/>
          </w:tblCellMar>
        </w:tblPrEx>
        <w:trPr>
          <w:trHeight w:val="228" w:hRule="atLeast"/>
        </w:trPr>
        <w:tc>
          <w:tcPr>
            <w:tcW w:w="2920" w:type="dxa"/>
            <w:shd w:val="clear" w:color="auto" w:fill="C0C0C0"/>
            <w:noWrap w:val="0"/>
            <w:tcMar>
              <w:top w:w="15" w:type="dxa"/>
              <w:left w:w="15" w:type="dxa"/>
              <w:bottom w:w="15" w:type="dxa"/>
              <w:right w:w="15" w:type="dxa"/>
            </w:tcMar>
            <w:vAlign w:val="center"/>
          </w:tcPr>
          <w:p w14:paraId="63CDF771">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其中：行政机构</w:t>
            </w:r>
          </w:p>
        </w:tc>
        <w:tc>
          <w:tcPr>
            <w:tcW w:w="359" w:type="dxa"/>
            <w:shd w:val="clear" w:color="auto" w:fill="C0C0C0"/>
            <w:noWrap w:val="0"/>
            <w:tcMar>
              <w:top w:w="15" w:type="dxa"/>
              <w:left w:w="15" w:type="dxa"/>
              <w:bottom w:w="15" w:type="dxa"/>
              <w:right w:w="15" w:type="dxa"/>
            </w:tcMar>
            <w:vAlign w:val="center"/>
          </w:tcPr>
          <w:p w14:paraId="28C2EABD">
            <w:pPr>
              <w:keepNext w:val="0"/>
              <w:keepLines w:val="0"/>
              <w:widowControl/>
              <w:suppressLineNumbers w:val="0"/>
              <w:spacing w:before="0" w:beforeAutospacing="0" w:after="0" w:afterAutospacing="0"/>
              <w:ind w:left="0" w:right="0"/>
              <w:jc w:val="center"/>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34</w:t>
            </w:r>
          </w:p>
        </w:tc>
        <w:tc>
          <w:tcPr>
            <w:tcW w:w="978" w:type="dxa"/>
            <w:noWrap w:val="0"/>
            <w:tcMar>
              <w:top w:w="15" w:type="dxa"/>
              <w:left w:w="15" w:type="dxa"/>
              <w:bottom w:w="15" w:type="dxa"/>
              <w:right w:w="15" w:type="dxa"/>
            </w:tcMar>
            <w:vAlign w:val="center"/>
          </w:tcPr>
          <w:p w14:paraId="1CF23361">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c>
          <w:tcPr>
            <w:tcW w:w="829" w:type="dxa"/>
            <w:noWrap w:val="0"/>
            <w:tcMar>
              <w:top w:w="15" w:type="dxa"/>
              <w:left w:w="15" w:type="dxa"/>
              <w:bottom w:w="15" w:type="dxa"/>
              <w:right w:w="15" w:type="dxa"/>
            </w:tcMar>
            <w:vAlign w:val="center"/>
          </w:tcPr>
          <w:p w14:paraId="469E145F">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c>
          <w:tcPr>
            <w:tcW w:w="801" w:type="dxa"/>
            <w:noWrap w:val="0"/>
            <w:tcMar>
              <w:top w:w="15" w:type="dxa"/>
              <w:left w:w="15" w:type="dxa"/>
              <w:bottom w:w="15" w:type="dxa"/>
              <w:right w:w="15" w:type="dxa"/>
            </w:tcMar>
            <w:vAlign w:val="center"/>
          </w:tcPr>
          <w:p w14:paraId="7E1F670B">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10" w:type="dxa"/>
            <w:noWrap w:val="0"/>
            <w:tcMar>
              <w:top w:w="15" w:type="dxa"/>
              <w:left w:w="15" w:type="dxa"/>
              <w:bottom w:w="15" w:type="dxa"/>
              <w:right w:w="15" w:type="dxa"/>
            </w:tcMar>
            <w:vAlign w:val="center"/>
          </w:tcPr>
          <w:p w14:paraId="061E7614">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0.00</w:t>
            </w:r>
          </w:p>
        </w:tc>
        <w:tc>
          <w:tcPr>
            <w:tcW w:w="1504" w:type="dxa"/>
            <w:noWrap w:val="0"/>
            <w:tcMar>
              <w:top w:w="15" w:type="dxa"/>
              <w:left w:w="15" w:type="dxa"/>
              <w:bottom w:w="15" w:type="dxa"/>
              <w:right w:w="15" w:type="dxa"/>
            </w:tcMar>
            <w:vAlign w:val="center"/>
          </w:tcPr>
          <w:p w14:paraId="4CBE2062">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r>
      <w:tr w14:paraId="25906AF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5" w:type="dxa"/>
            <w:left w:w="15" w:type="dxa"/>
            <w:bottom w:w="15" w:type="dxa"/>
            <w:right w:w="15" w:type="dxa"/>
          </w:tblCellMar>
        </w:tblPrEx>
        <w:trPr>
          <w:trHeight w:val="228" w:hRule="atLeast"/>
        </w:trPr>
        <w:tc>
          <w:tcPr>
            <w:tcW w:w="2920" w:type="dxa"/>
            <w:shd w:val="clear" w:color="auto" w:fill="C0C0C0"/>
            <w:noWrap w:val="0"/>
            <w:tcMar>
              <w:top w:w="15" w:type="dxa"/>
              <w:left w:w="15" w:type="dxa"/>
              <w:bottom w:w="15" w:type="dxa"/>
              <w:right w:w="15" w:type="dxa"/>
            </w:tcMar>
            <w:vAlign w:val="center"/>
          </w:tcPr>
          <w:p w14:paraId="212BBE8C">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事业机构</w:t>
            </w:r>
          </w:p>
        </w:tc>
        <w:tc>
          <w:tcPr>
            <w:tcW w:w="359" w:type="dxa"/>
            <w:shd w:val="clear" w:color="auto" w:fill="C0C0C0"/>
            <w:noWrap w:val="0"/>
            <w:tcMar>
              <w:top w:w="15" w:type="dxa"/>
              <w:left w:w="15" w:type="dxa"/>
              <w:bottom w:w="15" w:type="dxa"/>
              <w:right w:w="15" w:type="dxa"/>
            </w:tcMar>
            <w:vAlign w:val="center"/>
          </w:tcPr>
          <w:p w14:paraId="015546B3">
            <w:pPr>
              <w:keepNext w:val="0"/>
              <w:keepLines w:val="0"/>
              <w:widowControl/>
              <w:suppressLineNumbers w:val="0"/>
              <w:spacing w:before="0" w:beforeAutospacing="0" w:after="0" w:afterAutospacing="0"/>
              <w:ind w:left="0" w:right="0"/>
              <w:jc w:val="center"/>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35</w:t>
            </w:r>
          </w:p>
        </w:tc>
        <w:tc>
          <w:tcPr>
            <w:tcW w:w="978" w:type="dxa"/>
            <w:noWrap w:val="0"/>
            <w:tcMar>
              <w:top w:w="15" w:type="dxa"/>
              <w:left w:w="15" w:type="dxa"/>
              <w:bottom w:w="15" w:type="dxa"/>
              <w:right w:w="15" w:type="dxa"/>
            </w:tcMar>
            <w:vAlign w:val="center"/>
          </w:tcPr>
          <w:p w14:paraId="32BC720E">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1</w:t>
            </w:r>
          </w:p>
        </w:tc>
        <w:tc>
          <w:tcPr>
            <w:tcW w:w="829" w:type="dxa"/>
            <w:noWrap w:val="0"/>
            <w:tcMar>
              <w:top w:w="15" w:type="dxa"/>
              <w:left w:w="15" w:type="dxa"/>
              <w:bottom w:w="15" w:type="dxa"/>
              <w:right w:w="15" w:type="dxa"/>
            </w:tcMar>
            <w:vAlign w:val="center"/>
          </w:tcPr>
          <w:p w14:paraId="7D524EB9">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1</w:t>
            </w:r>
          </w:p>
        </w:tc>
        <w:tc>
          <w:tcPr>
            <w:tcW w:w="801" w:type="dxa"/>
            <w:noWrap w:val="0"/>
            <w:tcMar>
              <w:top w:w="15" w:type="dxa"/>
              <w:left w:w="15" w:type="dxa"/>
              <w:bottom w:w="15" w:type="dxa"/>
              <w:right w:w="15" w:type="dxa"/>
            </w:tcMar>
            <w:vAlign w:val="center"/>
          </w:tcPr>
          <w:p w14:paraId="10434A19">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10" w:type="dxa"/>
            <w:noWrap w:val="0"/>
            <w:tcMar>
              <w:top w:w="15" w:type="dxa"/>
              <w:left w:w="15" w:type="dxa"/>
              <w:bottom w:w="15" w:type="dxa"/>
              <w:right w:w="15" w:type="dxa"/>
            </w:tcMar>
            <w:vAlign w:val="center"/>
          </w:tcPr>
          <w:p w14:paraId="6EED2061">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0.00</w:t>
            </w:r>
          </w:p>
        </w:tc>
        <w:tc>
          <w:tcPr>
            <w:tcW w:w="1504" w:type="dxa"/>
            <w:noWrap w:val="0"/>
            <w:tcMar>
              <w:top w:w="15" w:type="dxa"/>
              <w:left w:w="15" w:type="dxa"/>
              <w:bottom w:w="15" w:type="dxa"/>
              <w:right w:w="15" w:type="dxa"/>
            </w:tcMar>
            <w:vAlign w:val="center"/>
          </w:tcPr>
          <w:p w14:paraId="7277769F">
            <w:pPr>
              <w:keepNext w:val="0"/>
              <w:keepLines w:val="0"/>
              <w:widowControl/>
              <w:suppressLineNumbers w:val="0"/>
              <w:spacing w:before="0" w:beforeAutospacing="0" w:after="0" w:afterAutospacing="0"/>
              <w:ind w:left="0" w:right="0"/>
              <w:jc w:val="center"/>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r>
      <w:tr w14:paraId="6A9C4DA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5" w:type="dxa"/>
            <w:left w:w="15" w:type="dxa"/>
            <w:bottom w:w="15" w:type="dxa"/>
            <w:right w:w="15" w:type="dxa"/>
          </w:tblCellMar>
        </w:tblPrEx>
        <w:trPr>
          <w:trHeight w:val="228" w:hRule="atLeast"/>
        </w:trPr>
        <w:tc>
          <w:tcPr>
            <w:tcW w:w="2920" w:type="dxa"/>
            <w:shd w:val="clear" w:color="auto" w:fill="C0C0C0"/>
            <w:noWrap w:val="0"/>
            <w:tcMar>
              <w:top w:w="15" w:type="dxa"/>
              <w:left w:w="15" w:type="dxa"/>
              <w:bottom w:w="15" w:type="dxa"/>
              <w:right w:w="15" w:type="dxa"/>
            </w:tcMar>
            <w:vAlign w:val="center"/>
          </w:tcPr>
          <w:p w14:paraId="542CB633">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3.年末编制人数</w:t>
            </w:r>
          </w:p>
        </w:tc>
        <w:tc>
          <w:tcPr>
            <w:tcW w:w="359" w:type="dxa"/>
            <w:shd w:val="clear" w:color="auto" w:fill="C0C0C0"/>
            <w:noWrap w:val="0"/>
            <w:tcMar>
              <w:top w:w="15" w:type="dxa"/>
              <w:left w:w="15" w:type="dxa"/>
              <w:bottom w:w="15" w:type="dxa"/>
              <w:right w:w="15" w:type="dxa"/>
            </w:tcMar>
            <w:vAlign w:val="center"/>
          </w:tcPr>
          <w:p w14:paraId="5C308855">
            <w:pPr>
              <w:keepNext w:val="0"/>
              <w:keepLines w:val="0"/>
              <w:widowControl/>
              <w:suppressLineNumbers w:val="0"/>
              <w:spacing w:before="0" w:beforeAutospacing="0" w:after="0" w:afterAutospacing="0"/>
              <w:ind w:left="0" w:right="0"/>
              <w:jc w:val="center"/>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36</w:t>
            </w:r>
          </w:p>
        </w:tc>
        <w:tc>
          <w:tcPr>
            <w:tcW w:w="978" w:type="dxa"/>
            <w:noWrap w:val="0"/>
            <w:tcMar>
              <w:top w:w="15" w:type="dxa"/>
              <w:left w:w="15" w:type="dxa"/>
              <w:bottom w:w="15" w:type="dxa"/>
              <w:right w:w="15" w:type="dxa"/>
            </w:tcMar>
            <w:vAlign w:val="center"/>
          </w:tcPr>
          <w:p w14:paraId="1AC3691D">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39</w:t>
            </w:r>
          </w:p>
        </w:tc>
        <w:tc>
          <w:tcPr>
            <w:tcW w:w="829" w:type="dxa"/>
            <w:noWrap w:val="0"/>
            <w:tcMar>
              <w:top w:w="15" w:type="dxa"/>
              <w:left w:w="15" w:type="dxa"/>
              <w:bottom w:w="15" w:type="dxa"/>
              <w:right w:w="15" w:type="dxa"/>
            </w:tcMar>
            <w:vAlign w:val="center"/>
          </w:tcPr>
          <w:p w14:paraId="6F92E96E">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39</w:t>
            </w:r>
          </w:p>
        </w:tc>
        <w:tc>
          <w:tcPr>
            <w:tcW w:w="801" w:type="dxa"/>
            <w:noWrap w:val="0"/>
            <w:tcMar>
              <w:top w:w="15" w:type="dxa"/>
              <w:left w:w="15" w:type="dxa"/>
              <w:bottom w:w="15" w:type="dxa"/>
              <w:right w:w="15" w:type="dxa"/>
            </w:tcMar>
            <w:vAlign w:val="center"/>
          </w:tcPr>
          <w:p w14:paraId="08995862">
            <w:pPr>
              <w:keepNext w:val="0"/>
              <w:keepLines w:val="0"/>
              <w:widowControl/>
              <w:suppressLineNumbers w:val="0"/>
              <w:spacing w:before="0" w:beforeAutospacing="0" w:after="0" w:afterAutospacing="0"/>
              <w:ind w:left="0" w:right="22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10" w:type="dxa"/>
            <w:noWrap w:val="0"/>
            <w:tcMar>
              <w:top w:w="15" w:type="dxa"/>
              <w:left w:w="15" w:type="dxa"/>
              <w:bottom w:w="15" w:type="dxa"/>
              <w:right w:w="15" w:type="dxa"/>
            </w:tcMar>
            <w:vAlign w:val="center"/>
          </w:tcPr>
          <w:p w14:paraId="605ABC63">
            <w:pPr>
              <w:keepNext w:val="0"/>
              <w:keepLines w:val="0"/>
              <w:widowControl/>
              <w:suppressLineNumbers w:val="0"/>
              <w:spacing w:before="0" w:beforeAutospacing="0" w:after="0" w:afterAutospacing="0"/>
              <w:ind w:left="0" w:right="11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1504" w:type="dxa"/>
            <w:noWrap w:val="0"/>
            <w:tcMar>
              <w:top w:w="15" w:type="dxa"/>
              <w:left w:w="15" w:type="dxa"/>
              <w:bottom w:w="15" w:type="dxa"/>
              <w:right w:w="15" w:type="dxa"/>
            </w:tcMar>
            <w:vAlign w:val="center"/>
          </w:tcPr>
          <w:p w14:paraId="54E59A8B">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r>
      <w:tr w14:paraId="5220AB5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5" w:type="dxa"/>
            <w:left w:w="15" w:type="dxa"/>
            <w:bottom w:w="15" w:type="dxa"/>
            <w:right w:w="15" w:type="dxa"/>
          </w:tblCellMar>
        </w:tblPrEx>
        <w:trPr>
          <w:trHeight w:val="228" w:hRule="atLeast"/>
        </w:trPr>
        <w:tc>
          <w:tcPr>
            <w:tcW w:w="2920" w:type="dxa"/>
            <w:shd w:val="clear" w:color="auto" w:fill="C0C0C0"/>
            <w:noWrap w:val="0"/>
            <w:tcMar>
              <w:top w:w="15" w:type="dxa"/>
              <w:left w:w="15" w:type="dxa"/>
              <w:bottom w:w="15" w:type="dxa"/>
              <w:right w:w="15" w:type="dxa"/>
            </w:tcMar>
            <w:vAlign w:val="center"/>
          </w:tcPr>
          <w:p w14:paraId="2883A1DB">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行政人员</w:t>
            </w:r>
          </w:p>
        </w:tc>
        <w:tc>
          <w:tcPr>
            <w:tcW w:w="359" w:type="dxa"/>
            <w:shd w:val="clear" w:color="auto" w:fill="C0C0C0"/>
            <w:noWrap w:val="0"/>
            <w:tcMar>
              <w:top w:w="15" w:type="dxa"/>
              <w:left w:w="15" w:type="dxa"/>
              <w:bottom w:w="15" w:type="dxa"/>
              <w:right w:w="15" w:type="dxa"/>
            </w:tcMar>
            <w:vAlign w:val="center"/>
          </w:tcPr>
          <w:p w14:paraId="32CB9446">
            <w:pPr>
              <w:keepNext w:val="0"/>
              <w:keepLines w:val="0"/>
              <w:widowControl/>
              <w:suppressLineNumbers w:val="0"/>
              <w:spacing w:before="0" w:beforeAutospacing="0" w:after="0" w:afterAutospacing="0"/>
              <w:ind w:left="0" w:right="0"/>
              <w:jc w:val="center"/>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37</w:t>
            </w:r>
          </w:p>
        </w:tc>
        <w:tc>
          <w:tcPr>
            <w:tcW w:w="978" w:type="dxa"/>
            <w:noWrap w:val="0"/>
            <w:tcMar>
              <w:top w:w="15" w:type="dxa"/>
              <w:left w:w="15" w:type="dxa"/>
              <w:bottom w:w="15" w:type="dxa"/>
              <w:right w:w="15" w:type="dxa"/>
            </w:tcMar>
            <w:vAlign w:val="center"/>
          </w:tcPr>
          <w:p w14:paraId="65AAB0F1">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c>
          <w:tcPr>
            <w:tcW w:w="829" w:type="dxa"/>
            <w:noWrap w:val="0"/>
            <w:tcMar>
              <w:top w:w="15" w:type="dxa"/>
              <w:left w:w="15" w:type="dxa"/>
              <w:bottom w:w="15" w:type="dxa"/>
              <w:right w:w="15" w:type="dxa"/>
            </w:tcMar>
            <w:vAlign w:val="center"/>
          </w:tcPr>
          <w:p w14:paraId="1F2662A9">
            <w:pPr>
              <w:keepNext w:val="0"/>
              <w:keepLines w:val="0"/>
              <w:widowControl/>
              <w:suppressLineNumbers w:val="0"/>
              <w:spacing w:before="0" w:beforeAutospacing="0" w:after="0" w:afterAutospacing="0"/>
              <w:ind w:left="0" w:right="22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01" w:type="dxa"/>
            <w:noWrap w:val="0"/>
            <w:tcMar>
              <w:top w:w="15" w:type="dxa"/>
              <w:left w:w="15" w:type="dxa"/>
              <w:bottom w:w="15" w:type="dxa"/>
              <w:right w:w="15" w:type="dxa"/>
            </w:tcMar>
            <w:vAlign w:val="center"/>
          </w:tcPr>
          <w:p w14:paraId="3970F9E0">
            <w:pPr>
              <w:keepNext w:val="0"/>
              <w:keepLines w:val="0"/>
              <w:widowControl/>
              <w:suppressLineNumbers w:val="0"/>
              <w:spacing w:before="0" w:beforeAutospacing="0" w:after="0" w:afterAutospacing="0"/>
              <w:ind w:left="0" w:right="11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c>
          <w:tcPr>
            <w:tcW w:w="810" w:type="dxa"/>
            <w:noWrap w:val="0"/>
            <w:tcMar>
              <w:top w:w="15" w:type="dxa"/>
              <w:left w:w="15" w:type="dxa"/>
              <w:bottom w:w="15" w:type="dxa"/>
              <w:right w:w="15" w:type="dxa"/>
            </w:tcMar>
            <w:vAlign w:val="center"/>
          </w:tcPr>
          <w:p w14:paraId="19DB5D04">
            <w:pPr>
              <w:keepNext w:val="0"/>
              <w:keepLines w:val="0"/>
              <w:widowControl/>
              <w:suppressLineNumbers w:val="0"/>
              <w:spacing w:before="0" w:beforeAutospacing="0" w:after="0" w:afterAutospacing="0"/>
              <w:ind w:left="0" w:right="44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c>
          <w:tcPr>
            <w:tcW w:w="1504" w:type="dxa"/>
            <w:noWrap w:val="0"/>
            <w:tcMar>
              <w:top w:w="15" w:type="dxa"/>
              <w:left w:w="15" w:type="dxa"/>
              <w:bottom w:w="15" w:type="dxa"/>
              <w:right w:w="15" w:type="dxa"/>
            </w:tcMar>
            <w:vAlign w:val="center"/>
          </w:tcPr>
          <w:p w14:paraId="1339B0E4">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r>
      <w:tr w14:paraId="2BAD20E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5" w:type="dxa"/>
            <w:left w:w="15" w:type="dxa"/>
            <w:bottom w:w="15" w:type="dxa"/>
            <w:right w:w="15" w:type="dxa"/>
          </w:tblCellMar>
        </w:tblPrEx>
        <w:trPr>
          <w:trHeight w:val="426" w:hRule="atLeast"/>
        </w:trPr>
        <w:tc>
          <w:tcPr>
            <w:tcW w:w="2920" w:type="dxa"/>
            <w:shd w:val="clear" w:color="auto" w:fill="C0C0C0"/>
            <w:noWrap w:val="0"/>
            <w:tcMar>
              <w:top w:w="15" w:type="dxa"/>
              <w:left w:w="15" w:type="dxa"/>
              <w:bottom w:w="15" w:type="dxa"/>
              <w:right w:w="15" w:type="dxa"/>
            </w:tcMar>
            <w:vAlign w:val="center"/>
          </w:tcPr>
          <w:p w14:paraId="65FF086D">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其中：行政工勤人员</w:t>
            </w:r>
          </w:p>
        </w:tc>
        <w:tc>
          <w:tcPr>
            <w:tcW w:w="359" w:type="dxa"/>
            <w:shd w:val="clear" w:color="auto" w:fill="C0C0C0"/>
            <w:noWrap w:val="0"/>
            <w:tcMar>
              <w:top w:w="15" w:type="dxa"/>
              <w:left w:w="15" w:type="dxa"/>
              <w:bottom w:w="15" w:type="dxa"/>
              <w:right w:w="15" w:type="dxa"/>
            </w:tcMar>
            <w:vAlign w:val="center"/>
          </w:tcPr>
          <w:p w14:paraId="041951FE">
            <w:pPr>
              <w:keepNext w:val="0"/>
              <w:keepLines w:val="0"/>
              <w:widowControl/>
              <w:suppressLineNumbers w:val="0"/>
              <w:spacing w:before="0" w:beforeAutospacing="0" w:after="0" w:afterAutospacing="0"/>
              <w:ind w:left="0" w:right="0"/>
              <w:jc w:val="center"/>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38</w:t>
            </w:r>
          </w:p>
        </w:tc>
        <w:tc>
          <w:tcPr>
            <w:tcW w:w="978" w:type="dxa"/>
            <w:noWrap w:val="0"/>
            <w:tcMar>
              <w:top w:w="15" w:type="dxa"/>
              <w:left w:w="15" w:type="dxa"/>
              <w:bottom w:w="15" w:type="dxa"/>
              <w:right w:w="15" w:type="dxa"/>
            </w:tcMar>
            <w:vAlign w:val="center"/>
          </w:tcPr>
          <w:p w14:paraId="2F3C0300">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c>
          <w:tcPr>
            <w:tcW w:w="829" w:type="dxa"/>
            <w:noWrap w:val="0"/>
            <w:tcMar>
              <w:top w:w="15" w:type="dxa"/>
              <w:left w:w="15" w:type="dxa"/>
              <w:bottom w:w="15" w:type="dxa"/>
              <w:right w:w="15" w:type="dxa"/>
            </w:tcMar>
            <w:vAlign w:val="center"/>
          </w:tcPr>
          <w:p w14:paraId="3A3270BC">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c>
          <w:tcPr>
            <w:tcW w:w="801" w:type="dxa"/>
            <w:noWrap w:val="0"/>
            <w:tcMar>
              <w:top w:w="15" w:type="dxa"/>
              <w:left w:w="15" w:type="dxa"/>
              <w:bottom w:w="15" w:type="dxa"/>
              <w:right w:w="15" w:type="dxa"/>
            </w:tcMar>
            <w:vAlign w:val="center"/>
          </w:tcPr>
          <w:p w14:paraId="6535C7D3">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10" w:type="dxa"/>
            <w:noWrap w:val="0"/>
            <w:tcMar>
              <w:top w:w="15" w:type="dxa"/>
              <w:left w:w="15" w:type="dxa"/>
              <w:bottom w:w="15" w:type="dxa"/>
              <w:right w:w="15" w:type="dxa"/>
            </w:tcMar>
            <w:vAlign w:val="center"/>
          </w:tcPr>
          <w:p w14:paraId="54FA4E90">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0.00</w:t>
            </w:r>
          </w:p>
        </w:tc>
        <w:tc>
          <w:tcPr>
            <w:tcW w:w="1504" w:type="dxa"/>
            <w:noWrap w:val="0"/>
            <w:tcMar>
              <w:top w:w="15" w:type="dxa"/>
              <w:left w:w="15" w:type="dxa"/>
              <w:bottom w:w="15" w:type="dxa"/>
              <w:right w:w="15" w:type="dxa"/>
            </w:tcMar>
            <w:vAlign w:val="center"/>
          </w:tcPr>
          <w:p w14:paraId="7E7D7D4A">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r>
      <w:tr w14:paraId="515BC68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5" w:type="dxa"/>
            <w:left w:w="15" w:type="dxa"/>
            <w:bottom w:w="15" w:type="dxa"/>
            <w:right w:w="15" w:type="dxa"/>
          </w:tblCellMar>
        </w:tblPrEx>
        <w:trPr>
          <w:trHeight w:val="228" w:hRule="atLeast"/>
        </w:trPr>
        <w:tc>
          <w:tcPr>
            <w:tcW w:w="2920" w:type="dxa"/>
            <w:shd w:val="clear" w:color="auto" w:fill="C0C0C0"/>
            <w:noWrap w:val="0"/>
            <w:tcMar>
              <w:top w:w="15" w:type="dxa"/>
              <w:left w:w="15" w:type="dxa"/>
              <w:bottom w:w="15" w:type="dxa"/>
              <w:right w:w="15" w:type="dxa"/>
            </w:tcMar>
            <w:vAlign w:val="center"/>
          </w:tcPr>
          <w:p w14:paraId="4B7FC196">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事业人员</w:t>
            </w:r>
          </w:p>
        </w:tc>
        <w:tc>
          <w:tcPr>
            <w:tcW w:w="359" w:type="dxa"/>
            <w:shd w:val="clear" w:color="auto" w:fill="C0C0C0"/>
            <w:noWrap w:val="0"/>
            <w:tcMar>
              <w:top w:w="15" w:type="dxa"/>
              <w:left w:w="15" w:type="dxa"/>
              <w:bottom w:w="15" w:type="dxa"/>
              <w:right w:w="15" w:type="dxa"/>
            </w:tcMar>
            <w:vAlign w:val="center"/>
          </w:tcPr>
          <w:p w14:paraId="051B330F">
            <w:pPr>
              <w:keepNext w:val="0"/>
              <w:keepLines w:val="0"/>
              <w:widowControl/>
              <w:suppressLineNumbers w:val="0"/>
              <w:spacing w:before="0" w:beforeAutospacing="0" w:after="0" w:afterAutospacing="0"/>
              <w:ind w:left="0" w:right="0"/>
              <w:jc w:val="center"/>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39</w:t>
            </w:r>
          </w:p>
        </w:tc>
        <w:tc>
          <w:tcPr>
            <w:tcW w:w="978" w:type="dxa"/>
            <w:noWrap w:val="0"/>
            <w:tcMar>
              <w:top w:w="15" w:type="dxa"/>
              <w:left w:w="15" w:type="dxa"/>
              <w:bottom w:w="15" w:type="dxa"/>
              <w:right w:w="15" w:type="dxa"/>
            </w:tcMar>
            <w:vAlign w:val="center"/>
          </w:tcPr>
          <w:p w14:paraId="4F728C97">
            <w:pPr>
              <w:keepNext w:val="0"/>
              <w:keepLines w:val="0"/>
              <w:widowControl/>
              <w:suppressLineNumbers w:val="0"/>
              <w:spacing w:before="0" w:beforeAutospacing="0" w:after="0" w:afterAutospacing="0"/>
              <w:ind w:left="0" w:right="0"/>
              <w:jc w:val="right"/>
              <w:rPr>
                <w:rFonts w:ascii="宋体" w:hAnsi="宋体" w:eastAsia="宋体" w:cs="宋体"/>
                <w:sz w:val="28"/>
                <w:szCs w:val="28"/>
                <w:lang w:val="en-US"/>
              </w:rPr>
            </w:pPr>
            <w:r>
              <w:rPr>
                <w:rFonts w:ascii="仿宋_GB2312" w:hAnsi="仿宋_GB2312" w:eastAsia="仿宋_GB2312" w:cs="仿宋_GB2312"/>
                <w:caps w:val="0"/>
                <w:color w:val="000000"/>
                <w:spacing w:val="0"/>
                <w:sz w:val="24"/>
                <w:szCs w:val="24"/>
                <w:lang w:val="en-US" w:eastAsia="zh-CN" w:bidi="ar"/>
              </w:rPr>
              <w:t>3</w:t>
            </w:r>
            <w:r>
              <w:rPr>
                <w:rFonts w:hint="eastAsia" w:ascii="仿宋_GB2312" w:hAnsi="仿宋_GB2312" w:eastAsia="仿宋_GB2312" w:cs="仿宋_GB2312"/>
                <w:caps w:val="0"/>
                <w:color w:val="000000"/>
                <w:spacing w:val="0"/>
                <w:sz w:val="24"/>
                <w:szCs w:val="24"/>
                <w:lang w:val="en-US" w:eastAsia="zh-CN" w:bidi="ar"/>
              </w:rPr>
              <w:t>6</w:t>
            </w:r>
          </w:p>
        </w:tc>
        <w:tc>
          <w:tcPr>
            <w:tcW w:w="829" w:type="dxa"/>
            <w:noWrap w:val="0"/>
            <w:tcMar>
              <w:top w:w="15" w:type="dxa"/>
              <w:left w:w="15" w:type="dxa"/>
              <w:bottom w:w="15" w:type="dxa"/>
              <w:right w:w="15" w:type="dxa"/>
            </w:tcMar>
            <w:vAlign w:val="center"/>
          </w:tcPr>
          <w:p w14:paraId="617632DA">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3</w:t>
            </w:r>
            <w:r>
              <w:rPr>
                <w:rFonts w:hint="eastAsia" w:ascii="仿宋_GB2312" w:hAnsi="仿宋_GB2312" w:eastAsia="仿宋_GB2312" w:cs="仿宋_GB2312"/>
                <w:caps w:val="0"/>
                <w:color w:val="000000"/>
                <w:spacing w:val="0"/>
                <w:sz w:val="24"/>
                <w:szCs w:val="24"/>
                <w:lang w:val="en-US" w:eastAsia="zh-CN" w:bidi="ar"/>
              </w:rPr>
              <w:t>5</w:t>
            </w:r>
          </w:p>
        </w:tc>
        <w:tc>
          <w:tcPr>
            <w:tcW w:w="801" w:type="dxa"/>
            <w:noWrap w:val="0"/>
            <w:tcMar>
              <w:top w:w="15" w:type="dxa"/>
              <w:left w:w="15" w:type="dxa"/>
              <w:bottom w:w="15" w:type="dxa"/>
              <w:right w:w="15" w:type="dxa"/>
            </w:tcMar>
            <w:vAlign w:val="center"/>
          </w:tcPr>
          <w:p w14:paraId="14309170">
            <w:pPr>
              <w:keepNext w:val="0"/>
              <w:keepLines w:val="0"/>
              <w:widowControl/>
              <w:suppressLineNumbers w:val="0"/>
              <w:spacing w:before="0" w:beforeAutospacing="0" w:after="0" w:afterAutospacing="0"/>
              <w:ind w:left="0" w:right="33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c>
          <w:tcPr>
            <w:tcW w:w="810" w:type="dxa"/>
            <w:noWrap w:val="0"/>
            <w:tcMar>
              <w:top w:w="15" w:type="dxa"/>
              <w:left w:w="15" w:type="dxa"/>
              <w:bottom w:w="15" w:type="dxa"/>
              <w:right w:w="15" w:type="dxa"/>
            </w:tcMar>
            <w:vAlign w:val="center"/>
          </w:tcPr>
          <w:p w14:paraId="7A2DBEFC">
            <w:pPr>
              <w:keepNext w:val="0"/>
              <w:keepLines w:val="0"/>
              <w:widowControl/>
              <w:suppressLineNumbers w:val="0"/>
              <w:spacing w:before="0" w:beforeAutospacing="0" w:after="0" w:afterAutospacing="0"/>
              <w:ind w:left="0" w:right="11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c>
          <w:tcPr>
            <w:tcW w:w="1504" w:type="dxa"/>
            <w:noWrap w:val="0"/>
            <w:tcMar>
              <w:top w:w="15" w:type="dxa"/>
              <w:left w:w="15" w:type="dxa"/>
              <w:bottom w:w="15" w:type="dxa"/>
              <w:right w:w="15" w:type="dxa"/>
            </w:tcMar>
            <w:vAlign w:val="center"/>
          </w:tcPr>
          <w:p w14:paraId="79D167C0">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因工作需要，</w:t>
            </w:r>
            <w:r>
              <w:rPr>
                <w:rFonts w:hint="eastAsia" w:ascii="仿宋_GB2312" w:hAnsi="仿宋_GB2312" w:eastAsia="仿宋_GB2312" w:cs="仿宋_GB2312"/>
                <w:caps w:val="0"/>
                <w:color w:val="000000"/>
                <w:spacing w:val="0"/>
                <w:sz w:val="24"/>
                <w:szCs w:val="24"/>
                <w:lang w:val="en-US" w:eastAsia="zh-CN" w:bidi="ar"/>
              </w:rPr>
              <w:t>系统内人员调动</w:t>
            </w:r>
          </w:p>
        </w:tc>
      </w:tr>
      <w:tr w14:paraId="0373300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5" w:type="dxa"/>
            <w:left w:w="15" w:type="dxa"/>
            <w:bottom w:w="15" w:type="dxa"/>
            <w:right w:w="15" w:type="dxa"/>
          </w:tblCellMar>
        </w:tblPrEx>
        <w:trPr>
          <w:trHeight w:val="228" w:hRule="atLeast"/>
        </w:trPr>
        <w:tc>
          <w:tcPr>
            <w:tcW w:w="2920" w:type="dxa"/>
            <w:shd w:val="clear" w:color="auto" w:fill="C0C0C0"/>
            <w:noWrap w:val="0"/>
            <w:tcMar>
              <w:top w:w="15" w:type="dxa"/>
              <w:left w:w="15" w:type="dxa"/>
              <w:bottom w:w="15" w:type="dxa"/>
              <w:right w:w="15" w:type="dxa"/>
            </w:tcMar>
            <w:vAlign w:val="center"/>
          </w:tcPr>
          <w:p w14:paraId="3C14FFB4">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其中：参照公务员法管理人员</w:t>
            </w:r>
          </w:p>
        </w:tc>
        <w:tc>
          <w:tcPr>
            <w:tcW w:w="359" w:type="dxa"/>
            <w:shd w:val="clear" w:color="auto" w:fill="C0C0C0"/>
            <w:noWrap w:val="0"/>
            <w:tcMar>
              <w:top w:w="15" w:type="dxa"/>
              <w:left w:w="15" w:type="dxa"/>
              <w:bottom w:w="15" w:type="dxa"/>
              <w:right w:w="15" w:type="dxa"/>
            </w:tcMar>
            <w:vAlign w:val="center"/>
          </w:tcPr>
          <w:p w14:paraId="253DB32E">
            <w:pPr>
              <w:keepNext w:val="0"/>
              <w:keepLines w:val="0"/>
              <w:widowControl/>
              <w:suppressLineNumbers w:val="0"/>
              <w:spacing w:before="0" w:beforeAutospacing="0" w:after="0" w:afterAutospacing="0"/>
              <w:ind w:left="0" w:right="0"/>
              <w:jc w:val="center"/>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40</w:t>
            </w:r>
          </w:p>
        </w:tc>
        <w:tc>
          <w:tcPr>
            <w:tcW w:w="978" w:type="dxa"/>
            <w:noWrap w:val="0"/>
            <w:tcMar>
              <w:top w:w="15" w:type="dxa"/>
              <w:left w:w="15" w:type="dxa"/>
              <w:bottom w:w="15" w:type="dxa"/>
              <w:right w:w="15" w:type="dxa"/>
            </w:tcMar>
            <w:vAlign w:val="center"/>
          </w:tcPr>
          <w:p w14:paraId="24579F4D">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c>
          <w:tcPr>
            <w:tcW w:w="829" w:type="dxa"/>
            <w:noWrap w:val="0"/>
            <w:tcMar>
              <w:top w:w="15" w:type="dxa"/>
              <w:left w:w="15" w:type="dxa"/>
              <w:bottom w:w="15" w:type="dxa"/>
              <w:right w:w="15" w:type="dxa"/>
            </w:tcMar>
            <w:vAlign w:val="center"/>
          </w:tcPr>
          <w:p w14:paraId="7F62451A">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c>
          <w:tcPr>
            <w:tcW w:w="801" w:type="dxa"/>
            <w:noWrap w:val="0"/>
            <w:tcMar>
              <w:top w:w="15" w:type="dxa"/>
              <w:left w:w="15" w:type="dxa"/>
              <w:bottom w:w="15" w:type="dxa"/>
              <w:right w:w="15" w:type="dxa"/>
            </w:tcMar>
            <w:vAlign w:val="center"/>
          </w:tcPr>
          <w:p w14:paraId="36E14B49">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10" w:type="dxa"/>
            <w:noWrap w:val="0"/>
            <w:tcMar>
              <w:top w:w="15" w:type="dxa"/>
              <w:left w:w="15" w:type="dxa"/>
              <w:bottom w:w="15" w:type="dxa"/>
              <w:right w:w="15" w:type="dxa"/>
            </w:tcMar>
            <w:vAlign w:val="center"/>
          </w:tcPr>
          <w:p w14:paraId="0F8CB6ED">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0.00</w:t>
            </w:r>
          </w:p>
        </w:tc>
        <w:tc>
          <w:tcPr>
            <w:tcW w:w="1504" w:type="dxa"/>
            <w:noWrap w:val="0"/>
            <w:tcMar>
              <w:top w:w="15" w:type="dxa"/>
              <w:left w:w="15" w:type="dxa"/>
              <w:bottom w:w="15" w:type="dxa"/>
              <w:right w:w="15" w:type="dxa"/>
            </w:tcMar>
            <w:vAlign w:val="center"/>
          </w:tcPr>
          <w:p w14:paraId="548C0815">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r>
      <w:tr w14:paraId="48EBA13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5" w:type="dxa"/>
            <w:left w:w="15" w:type="dxa"/>
            <w:bottom w:w="15" w:type="dxa"/>
            <w:right w:w="15" w:type="dxa"/>
          </w:tblCellMar>
        </w:tblPrEx>
        <w:trPr>
          <w:trHeight w:val="853" w:hRule="atLeast"/>
        </w:trPr>
        <w:tc>
          <w:tcPr>
            <w:tcW w:w="2920" w:type="dxa"/>
            <w:shd w:val="clear" w:color="auto" w:fill="C0C0C0"/>
            <w:noWrap w:val="0"/>
            <w:tcMar>
              <w:top w:w="15" w:type="dxa"/>
              <w:left w:w="15" w:type="dxa"/>
              <w:bottom w:w="15" w:type="dxa"/>
              <w:right w:w="15" w:type="dxa"/>
            </w:tcMar>
            <w:vAlign w:val="center"/>
          </w:tcPr>
          <w:p w14:paraId="2AA658FE">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4.年末实有人数</w:t>
            </w:r>
          </w:p>
        </w:tc>
        <w:tc>
          <w:tcPr>
            <w:tcW w:w="359" w:type="dxa"/>
            <w:shd w:val="clear" w:color="auto" w:fill="C0C0C0"/>
            <w:noWrap w:val="0"/>
            <w:tcMar>
              <w:top w:w="15" w:type="dxa"/>
              <w:left w:w="15" w:type="dxa"/>
              <w:bottom w:w="15" w:type="dxa"/>
              <w:right w:w="15" w:type="dxa"/>
            </w:tcMar>
            <w:vAlign w:val="center"/>
          </w:tcPr>
          <w:p w14:paraId="7B4679B5">
            <w:pPr>
              <w:keepNext w:val="0"/>
              <w:keepLines w:val="0"/>
              <w:widowControl/>
              <w:suppressLineNumbers w:val="0"/>
              <w:spacing w:before="0" w:beforeAutospacing="0" w:after="0" w:afterAutospacing="0"/>
              <w:ind w:left="0" w:right="0"/>
              <w:jc w:val="center"/>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41</w:t>
            </w:r>
          </w:p>
        </w:tc>
        <w:tc>
          <w:tcPr>
            <w:tcW w:w="978" w:type="dxa"/>
            <w:noWrap w:val="0"/>
            <w:tcMar>
              <w:top w:w="15" w:type="dxa"/>
              <w:left w:w="15" w:type="dxa"/>
              <w:bottom w:w="15" w:type="dxa"/>
              <w:right w:w="15" w:type="dxa"/>
            </w:tcMar>
            <w:vAlign w:val="center"/>
          </w:tcPr>
          <w:p w14:paraId="72FAEBE5">
            <w:pPr>
              <w:keepNext w:val="0"/>
              <w:keepLines w:val="0"/>
              <w:widowControl/>
              <w:suppressLineNumbers w:val="0"/>
              <w:spacing w:before="0" w:beforeAutospacing="0" w:after="0" w:afterAutospacing="0"/>
              <w:ind w:left="0" w:right="0"/>
              <w:jc w:val="right"/>
              <w:rPr>
                <w:rFonts w:ascii="宋体" w:hAnsi="宋体" w:eastAsia="宋体" w:cs="宋体"/>
                <w:sz w:val="28"/>
                <w:szCs w:val="28"/>
                <w:lang w:val="en-US"/>
              </w:rPr>
            </w:pPr>
            <w:r>
              <w:rPr>
                <w:rFonts w:hint="eastAsia" w:ascii="仿宋_GB2312" w:hAnsi="仿宋_GB2312" w:eastAsia="仿宋_GB2312" w:cs="仿宋_GB2312"/>
                <w:caps w:val="0"/>
                <w:color w:val="000000"/>
                <w:spacing w:val="0"/>
                <w:sz w:val="24"/>
                <w:szCs w:val="24"/>
                <w:lang w:val="en-US" w:eastAsia="zh-CN" w:bidi="ar"/>
              </w:rPr>
              <w:t>35</w:t>
            </w:r>
          </w:p>
        </w:tc>
        <w:tc>
          <w:tcPr>
            <w:tcW w:w="829" w:type="dxa"/>
            <w:noWrap w:val="0"/>
            <w:tcMar>
              <w:top w:w="15" w:type="dxa"/>
              <w:left w:w="15" w:type="dxa"/>
              <w:bottom w:w="15" w:type="dxa"/>
              <w:right w:w="15" w:type="dxa"/>
            </w:tcMar>
            <w:vAlign w:val="center"/>
          </w:tcPr>
          <w:p w14:paraId="2E4DD021">
            <w:pPr>
              <w:keepNext w:val="0"/>
              <w:keepLines w:val="0"/>
              <w:widowControl/>
              <w:suppressLineNumbers w:val="0"/>
              <w:spacing w:before="0" w:beforeAutospacing="0" w:after="0" w:afterAutospacing="0"/>
              <w:ind w:left="0" w:right="0"/>
              <w:jc w:val="right"/>
              <w:rPr>
                <w:rFonts w:ascii="宋体" w:hAnsi="宋体" w:eastAsia="宋体" w:cs="宋体"/>
                <w:sz w:val="28"/>
                <w:szCs w:val="28"/>
                <w:lang w:val="en-US"/>
              </w:rPr>
            </w:pPr>
            <w:r>
              <w:rPr>
                <w:rFonts w:ascii="仿宋_GB2312" w:hAnsi="仿宋_GB2312" w:eastAsia="仿宋_GB2312" w:cs="仿宋_GB2312"/>
                <w:caps w:val="0"/>
                <w:color w:val="000000"/>
                <w:spacing w:val="0"/>
                <w:sz w:val="24"/>
                <w:szCs w:val="24"/>
                <w:lang w:val="en-US" w:eastAsia="zh-CN" w:bidi="ar"/>
              </w:rPr>
              <w:t>3</w:t>
            </w:r>
            <w:r>
              <w:rPr>
                <w:rFonts w:hint="eastAsia" w:ascii="仿宋_GB2312" w:hAnsi="仿宋_GB2312" w:eastAsia="仿宋_GB2312" w:cs="仿宋_GB2312"/>
                <w:caps w:val="0"/>
                <w:color w:val="000000"/>
                <w:spacing w:val="0"/>
                <w:sz w:val="24"/>
                <w:szCs w:val="24"/>
                <w:lang w:val="en-US" w:eastAsia="zh-CN" w:bidi="ar"/>
              </w:rPr>
              <w:t>5</w:t>
            </w:r>
          </w:p>
        </w:tc>
        <w:tc>
          <w:tcPr>
            <w:tcW w:w="801" w:type="dxa"/>
            <w:noWrap w:val="0"/>
            <w:tcMar>
              <w:top w:w="15" w:type="dxa"/>
              <w:left w:w="15" w:type="dxa"/>
              <w:bottom w:w="15" w:type="dxa"/>
              <w:right w:w="15" w:type="dxa"/>
            </w:tcMar>
            <w:vAlign w:val="center"/>
          </w:tcPr>
          <w:p w14:paraId="3251E564">
            <w:pPr>
              <w:keepNext w:val="0"/>
              <w:keepLines w:val="0"/>
              <w:widowControl/>
              <w:suppressLineNumbers w:val="0"/>
              <w:spacing w:before="0" w:beforeAutospacing="0" w:after="0" w:afterAutospacing="0"/>
              <w:ind w:left="0" w:right="11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10" w:type="dxa"/>
            <w:noWrap w:val="0"/>
            <w:tcMar>
              <w:top w:w="15" w:type="dxa"/>
              <w:left w:w="15" w:type="dxa"/>
              <w:bottom w:w="15" w:type="dxa"/>
              <w:right w:w="15" w:type="dxa"/>
            </w:tcMar>
            <w:vAlign w:val="center"/>
          </w:tcPr>
          <w:p w14:paraId="61BFA9B4">
            <w:pPr>
              <w:keepNext w:val="0"/>
              <w:keepLines w:val="0"/>
              <w:widowControl/>
              <w:suppressLineNumbers w:val="0"/>
              <w:spacing w:before="0" w:beforeAutospacing="0" w:after="0" w:afterAutospacing="0"/>
              <w:ind w:left="0" w:right="440"/>
              <w:jc w:val="center"/>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1504" w:type="dxa"/>
            <w:noWrap w:val="0"/>
            <w:tcMar>
              <w:top w:w="15" w:type="dxa"/>
              <w:left w:w="15" w:type="dxa"/>
              <w:bottom w:w="15" w:type="dxa"/>
              <w:right w:w="15" w:type="dxa"/>
            </w:tcMar>
            <w:vAlign w:val="center"/>
          </w:tcPr>
          <w:p w14:paraId="1377C2AB">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r>
      <w:tr w14:paraId="1E74D6E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5" w:type="dxa"/>
            <w:left w:w="15" w:type="dxa"/>
            <w:bottom w:w="15" w:type="dxa"/>
            <w:right w:w="15" w:type="dxa"/>
          </w:tblCellMar>
        </w:tblPrEx>
        <w:trPr>
          <w:trHeight w:val="228" w:hRule="atLeast"/>
        </w:trPr>
        <w:tc>
          <w:tcPr>
            <w:tcW w:w="2920" w:type="dxa"/>
            <w:shd w:val="clear" w:color="auto" w:fill="C0C0C0"/>
            <w:noWrap w:val="0"/>
            <w:tcMar>
              <w:top w:w="15" w:type="dxa"/>
              <w:left w:w="15" w:type="dxa"/>
              <w:bottom w:w="15" w:type="dxa"/>
              <w:right w:w="15" w:type="dxa"/>
            </w:tcMar>
            <w:vAlign w:val="center"/>
          </w:tcPr>
          <w:p w14:paraId="04E1AF18">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在职人员</w:t>
            </w:r>
          </w:p>
        </w:tc>
        <w:tc>
          <w:tcPr>
            <w:tcW w:w="359" w:type="dxa"/>
            <w:shd w:val="clear" w:color="auto" w:fill="C0C0C0"/>
            <w:noWrap w:val="0"/>
            <w:tcMar>
              <w:top w:w="15" w:type="dxa"/>
              <w:left w:w="15" w:type="dxa"/>
              <w:bottom w:w="15" w:type="dxa"/>
              <w:right w:w="15" w:type="dxa"/>
            </w:tcMar>
            <w:vAlign w:val="center"/>
          </w:tcPr>
          <w:p w14:paraId="7E8EC330">
            <w:pPr>
              <w:keepNext w:val="0"/>
              <w:keepLines w:val="0"/>
              <w:widowControl/>
              <w:suppressLineNumbers w:val="0"/>
              <w:spacing w:before="0" w:beforeAutospacing="0" w:after="0" w:afterAutospacing="0"/>
              <w:ind w:left="0" w:right="0"/>
              <w:jc w:val="center"/>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42</w:t>
            </w:r>
          </w:p>
        </w:tc>
        <w:tc>
          <w:tcPr>
            <w:tcW w:w="978" w:type="dxa"/>
            <w:noWrap w:val="0"/>
            <w:tcMar>
              <w:top w:w="15" w:type="dxa"/>
              <w:left w:w="15" w:type="dxa"/>
              <w:bottom w:w="15" w:type="dxa"/>
              <w:right w:w="15" w:type="dxa"/>
            </w:tcMar>
            <w:vAlign w:val="center"/>
          </w:tcPr>
          <w:p w14:paraId="4E0C7730">
            <w:pPr>
              <w:keepNext w:val="0"/>
              <w:keepLines w:val="0"/>
              <w:widowControl/>
              <w:suppressLineNumbers w:val="0"/>
              <w:spacing w:before="0" w:beforeAutospacing="0" w:after="0" w:afterAutospacing="0"/>
              <w:ind w:left="0" w:right="220"/>
              <w:jc w:val="right"/>
              <w:rPr>
                <w:rFonts w:ascii="宋体" w:hAnsi="宋体" w:eastAsia="宋体" w:cs="宋体"/>
                <w:sz w:val="28"/>
                <w:szCs w:val="28"/>
                <w:lang w:val="en-US"/>
              </w:rPr>
            </w:pPr>
            <w:r>
              <w:rPr>
                <w:rFonts w:ascii="仿宋_GB2312" w:hAnsi="仿宋_GB2312" w:eastAsia="仿宋_GB2312" w:cs="仿宋_GB2312"/>
                <w:caps w:val="0"/>
                <w:color w:val="000000"/>
                <w:spacing w:val="0"/>
                <w:sz w:val="24"/>
                <w:szCs w:val="24"/>
                <w:lang w:val="en-US" w:eastAsia="zh-CN" w:bidi="ar"/>
              </w:rPr>
              <w:t>3</w:t>
            </w:r>
            <w:r>
              <w:rPr>
                <w:rFonts w:hint="eastAsia" w:ascii="仿宋_GB2312" w:hAnsi="仿宋_GB2312" w:eastAsia="仿宋_GB2312" w:cs="仿宋_GB2312"/>
                <w:caps w:val="0"/>
                <w:color w:val="000000"/>
                <w:spacing w:val="0"/>
                <w:sz w:val="24"/>
                <w:szCs w:val="24"/>
                <w:lang w:val="en-US" w:eastAsia="zh-CN" w:bidi="ar"/>
              </w:rPr>
              <w:t>5</w:t>
            </w:r>
          </w:p>
        </w:tc>
        <w:tc>
          <w:tcPr>
            <w:tcW w:w="829" w:type="dxa"/>
            <w:noWrap w:val="0"/>
            <w:tcMar>
              <w:top w:w="15" w:type="dxa"/>
              <w:left w:w="15" w:type="dxa"/>
              <w:bottom w:w="15" w:type="dxa"/>
              <w:right w:w="15" w:type="dxa"/>
            </w:tcMar>
            <w:vAlign w:val="center"/>
          </w:tcPr>
          <w:p w14:paraId="205308A7">
            <w:pPr>
              <w:keepNext w:val="0"/>
              <w:keepLines w:val="0"/>
              <w:widowControl/>
              <w:suppressLineNumbers w:val="0"/>
              <w:spacing w:before="0" w:beforeAutospacing="0" w:after="0" w:afterAutospacing="0"/>
              <w:ind w:left="0" w:right="0"/>
              <w:jc w:val="right"/>
              <w:rPr>
                <w:rFonts w:ascii="宋体" w:hAnsi="宋体" w:eastAsia="宋体" w:cs="宋体"/>
                <w:sz w:val="28"/>
                <w:szCs w:val="28"/>
                <w:lang w:val="en-US"/>
              </w:rPr>
            </w:pPr>
            <w:r>
              <w:rPr>
                <w:rFonts w:ascii="仿宋_GB2312" w:hAnsi="仿宋_GB2312" w:eastAsia="仿宋_GB2312" w:cs="仿宋_GB2312"/>
                <w:caps w:val="0"/>
                <w:color w:val="000000"/>
                <w:spacing w:val="0"/>
                <w:sz w:val="24"/>
                <w:szCs w:val="24"/>
                <w:lang w:val="en-US" w:eastAsia="zh-CN" w:bidi="ar"/>
              </w:rPr>
              <w:t>3</w:t>
            </w:r>
            <w:r>
              <w:rPr>
                <w:rFonts w:hint="eastAsia" w:ascii="仿宋_GB2312" w:hAnsi="仿宋_GB2312" w:eastAsia="仿宋_GB2312" w:cs="仿宋_GB2312"/>
                <w:caps w:val="0"/>
                <w:color w:val="000000"/>
                <w:spacing w:val="0"/>
                <w:sz w:val="24"/>
                <w:szCs w:val="24"/>
                <w:lang w:val="en-US" w:eastAsia="zh-CN" w:bidi="ar"/>
              </w:rPr>
              <w:t>5</w:t>
            </w:r>
          </w:p>
        </w:tc>
        <w:tc>
          <w:tcPr>
            <w:tcW w:w="801" w:type="dxa"/>
            <w:noWrap w:val="0"/>
            <w:tcMar>
              <w:top w:w="15" w:type="dxa"/>
              <w:left w:w="15" w:type="dxa"/>
              <w:bottom w:w="15" w:type="dxa"/>
              <w:right w:w="15" w:type="dxa"/>
            </w:tcMar>
            <w:vAlign w:val="center"/>
          </w:tcPr>
          <w:p w14:paraId="410B0527">
            <w:pPr>
              <w:keepNext w:val="0"/>
              <w:keepLines w:val="0"/>
              <w:widowControl/>
              <w:suppressLineNumbers w:val="0"/>
              <w:spacing w:before="0" w:beforeAutospacing="0" w:after="0" w:afterAutospacing="0"/>
              <w:ind w:left="0" w:right="11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10" w:type="dxa"/>
            <w:noWrap w:val="0"/>
            <w:tcMar>
              <w:top w:w="15" w:type="dxa"/>
              <w:left w:w="15" w:type="dxa"/>
              <w:bottom w:w="15" w:type="dxa"/>
              <w:right w:w="15" w:type="dxa"/>
            </w:tcMar>
            <w:vAlign w:val="center"/>
          </w:tcPr>
          <w:p w14:paraId="065D1F78">
            <w:pPr>
              <w:keepNext w:val="0"/>
              <w:keepLines w:val="0"/>
              <w:widowControl/>
              <w:suppressLineNumbers w:val="0"/>
              <w:spacing w:before="0" w:beforeAutospacing="0" w:after="0" w:afterAutospacing="0"/>
              <w:ind w:left="0" w:right="33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1504" w:type="dxa"/>
            <w:noWrap w:val="0"/>
            <w:tcMar>
              <w:top w:w="15" w:type="dxa"/>
              <w:left w:w="15" w:type="dxa"/>
              <w:bottom w:w="15" w:type="dxa"/>
              <w:right w:w="15" w:type="dxa"/>
            </w:tcMar>
            <w:vAlign w:val="center"/>
          </w:tcPr>
          <w:p w14:paraId="69606022">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r>
      <w:tr w14:paraId="6BCED79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5" w:type="dxa"/>
            <w:left w:w="15" w:type="dxa"/>
            <w:bottom w:w="15" w:type="dxa"/>
            <w:right w:w="15" w:type="dxa"/>
          </w:tblCellMar>
        </w:tblPrEx>
        <w:trPr>
          <w:trHeight w:val="228" w:hRule="atLeast"/>
        </w:trPr>
        <w:tc>
          <w:tcPr>
            <w:tcW w:w="2920" w:type="dxa"/>
            <w:shd w:val="clear" w:color="auto" w:fill="C0C0C0"/>
            <w:noWrap w:val="0"/>
            <w:tcMar>
              <w:top w:w="15" w:type="dxa"/>
              <w:left w:w="15" w:type="dxa"/>
              <w:bottom w:w="15" w:type="dxa"/>
              <w:right w:w="15" w:type="dxa"/>
            </w:tcMar>
            <w:vAlign w:val="center"/>
          </w:tcPr>
          <w:p w14:paraId="70C678C9">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其中：行政人员</w:t>
            </w:r>
          </w:p>
        </w:tc>
        <w:tc>
          <w:tcPr>
            <w:tcW w:w="359" w:type="dxa"/>
            <w:shd w:val="clear" w:color="auto" w:fill="C0C0C0"/>
            <w:noWrap w:val="0"/>
            <w:tcMar>
              <w:top w:w="15" w:type="dxa"/>
              <w:left w:w="15" w:type="dxa"/>
              <w:bottom w:w="15" w:type="dxa"/>
              <w:right w:w="15" w:type="dxa"/>
            </w:tcMar>
            <w:vAlign w:val="center"/>
          </w:tcPr>
          <w:p w14:paraId="6C667CC4">
            <w:pPr>
              <w:keepNext w:val="0"/>
              <w:keepLines w:val="0"/>
              <w:widowControl/>
              <w:suppressLineNumbers w:val="0"/>
              <w:spacing w:before="0" w:beforeAutospacing="0" w:after="0" w:afterAutospacing="0"/>
              <w:ind w:left="0" w:right="0"/>
              <w:jc w:val="center"/>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43</w:t>
            </w:r>
          </w:p>
        </w:tc>
        <w:tc>
          <w:tcPr>
            <w:tcW w:w="978" w:type="dxa"/>
            <w:noWrap w:val="0"/>
            <w:tcMar>
              <w:top w:w="15" w:type="dxa"/>
              <w:left w:w="15" w:type="dxa"/>
              <w:bottom w:w="15" w:type="dxa"/>
              <w:right w:w="15" w:type="dxa"/>
            </w:tcMar>
            <w:vAlign w:val="center"/>
          </w:tcPr>
          <w:p w14:paraId="672E9F0C">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29" w:type="dxa"/>
            <w:noWrap w:val="0"/>
            <w:tcMar>
              <w:top w:w="15" w:type="dxa"/>
              <w:left w:w="15" w:type="dxa"/>
              <w:bottom w:w="15" w:type="dxa"/>
              <w:right w:w="15" w:type="dxa"/>
            </w:tcMar>
            <w:vAlign w:val="center"/>
          </w:tcPr>
          <w:p w14:paraId="6F143A18">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01" w:type="dxa"/>
            <w:noWrap w:val="0"/>
            <w:tcMar>
              <w:top w:w="15" w:type="dxa"/>
              <w:left w:w="15" w:type="dxa"/>
              <w:bottom w:w="15" w:type="dxa"/>
              <w:right w:w="15" w:type="dxa"/>
            </w:tcMar>
            <w:vAlign w:val="center"/>
          </w:tcPr>
          <w:p w14:paraId="403BDC7E">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10" w:type="dxa"/>
            <w:noWrap w:val="0"/>
            <w:tcMar>
              <w:top w:w="15" w:type="dxa"/>
              <w:left w:w="15" w:type="dxa"/>
              <w:bottom w:w="15" w:type="dxa"/>
              <w:right w:w="15" w:type="dxa"/>
            </w:tcMar>
            <w:vAlign w:val="center"/>
          </w:tcPr>
          <w:p w14:paraId="481FBCFD">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1504" w:type="dxa"/>
            <w:noWrap w:val="0"/>
            <w:tcMar>
              <w:top w:w="15" w:type="dxa"/>
              <w:left w:w="15" w:type="dxa"/>
              <w:bottom w:w="15" w:type="dxa"/>
              <w:right w:w="15" w:type="dxa"/>
            </w:tcMar>
            <w:vAlign w:val="center"/>
          </w:tcPr>
          <w:p w14:paraId="2D8714E3">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r>
      <w:tr w14:paraId="5107DD2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5" w:type="dxa"/>
            <w:left w:w="15" w:type="dxa"/>
            <w:bottom w:w="15" w:type="dxa"/>
            <w:right w:w="15" w:type="dxa"/>
          </w:tblCellMar>
        </w:tblPrEx>
        <w:trPr>
          <w:trHeight w:val="228" w:hRule="atLeast"/>
        </w:trPr>
        <w:tc>
          <w:tcPr>
            <w:tcW w:w="2920" w:type="dxa"/>
            <w:shd w:val="clear" w:color="auto" w:fill="C0C0C0"/>
            <w:noWrap w:val="0"/>
            <w:tcMar>
              <w:top w:w="15" w:type="dxa"/>
              <w:left w:w="15" w:type="dxa"/>
              <w:bottom w:w="15" w:type="dxa"/>
              <w:right w:w="15" w:type="dxa"/>
            </w:tcMar>
            <w:vAlign w:val="center"/>
          </w:tcPr>
          <w:p w14:paraId="59C1E076">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其中：行政工勤人员</w:t>
            </w:r>
          </w:p>
        </w:tc>
        <w:tc>
          <w:tcPr>
            <w:tcW w:w="359" w:type="dxa"/>
            <w:shd w:val="clear" w:color="auto" w:fill="C0C0C0"/>
            <w:noWrap w:val="0"/>
            <w:tcMar>
              <w:top w:w="15" w:type="dxa"/>
              <w:left w:w="15" w:type="dxa"/>
              <w:bottom w:w="15" w:type="dxa"/>
              <w:right w:w="15" w:type="dxa"/>
            </w:tcMar>
            <w:vAlign w:val="center"/>
          </w:tcPr>
          <w:p w14:paraId="728D713F">
            <w:pPr>
              <w:keepNext w:val="0"/>
              <w:keepLines w:val="0"/>
              <w:widowControl/>
              <w:suppressLineNumbers w:val="0"/>
              <w:spacing w:before="0" w:beforeAutospacing="0" w:after="0" w:afterAutospacing="0"/>
              <w:ind w:left="0" w:right="0"/>
              <w:jc w:val="center"/>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44</w:t>
            </w:r>
          </w:p>
        </w:tc>
        <w:tc>
          <w:tcPr>
            <w:tcW w:w="978" w:type="dxa"/>
            <w:noWrap w:val="0"/>
            <w:tcMar>
              <w:top w:w="15" w:type="dxa"/>
              <w:left w:w="15" w:type="dxa"/>
              <w:bottom w:w="15" w:type="dxa"/>
              <w:right w:w="15" w:type="dxa"/>
            </w:tcMar>
            <w:vAlign w:val="center"/>
          </w:tcPr>
          <w:p w14:paraId="1DBC6848">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29" w:type="dxa"/>
            <w:noWrap w:val="0"/>
            <w:tcMar>
              <w:top w:w="15" w:type="dxa"/>
              <w:left w:w="15" w:type="dxa"/>
              <w:bottom w:w="15" w:type="dxa"/>
              <w:right w:w="15" w:type="dxa"/>
            </w:tcMar>
            <w:vAlign w:val="center"/>
          </w:tcPr>
          <w:p w14:paraId="55D97726">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01" w:type="dxa"/>
            <w:noWrap w:val="0"/>
            <w:tcMar>
              <w:top w:w="15" w:type="dxa"/>
              <w:left w:w="15" w:type="dxa"/>
              <w:bottom w:w="15" w:type="dxa"/>
              <w:right w:w="15" w:type="dxa"/>
            </w:tcMar>
            <w:vAlign w:val="center"/>
          </w:tcPr>
          <w:p w14:paraId="045CCEE3">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10" w:type="dxa"/>
            <w:noWrap w:val="0"/>
            <w:tcMar>
              <w:top w:w="15" w:type="dxa"/>
              <w:left w:w="15" w:type="dxa"/>
              <w:bottom w:w="15" w:type="dxa"/>
              <w:right w:w="15" w:type="dxa"/>
            </w:tcMar>
            <w:vAlign w:val="center"/>
          </w:tcPr>
          <w:p w14:paraId="3A7244E4">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0.00</w:t>
            </w:r>
          </w:p>
        </w:tc>
        <w:tc>
          <w:tcPr>
            <w:tcW w:w="1504" w:type="dxa"/>
            <w:noWrap w:val="0"/>
            <w:tcMar>
              <w:top w:w="15" w:type="dxa"/>
              <w:left w:w="15" w:type="dxa"/>
              <w:bottom w:w="15" w:type="dxa"/>
              <w:right w:w="15" w:type="dxa"/>
            </w:tcMar>
            <w:vAlign w:val="center"/>
          </w:tcPr>
          <w:p w14:paraId="60F09201">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r>
      <w:tr w14:paraId="037FD2F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5" w:type="dxa"/>
            <w:left w:w="15" w:type="dxa"/>
            <w:bottom w:w="15" w:type="dxa"/>
            <w:right w:w="15" w:type="dxa"/>
          </w:tblCellMar>
        </w:tblPrEx>
        <w:trPr>
          <w:trHeight w:val="228" w:hRule="atLeast"/>
        </w:trPr>
        <w:tc>
          <w:tcPr>
            <w:tcW w:w="2920" w:type="dxa"/>
            <w:shd w:val="clear" w:color="auto" w:fill="C0C0C0"/>
            <w:noWrap w:val="0"/>
            <w:tcMar>
              <w:top w:w="15" w:type="dxa"/>
              <w:left w:w="15" w:type="dxa"/>
              <w:bottom w:w="15" w:type="dxa"/>
              <w:right w:w="15" w:type="dxa"/>
            </w:tcMar>
            <w:vAlign w:val="center"/>
          </w:tcPr>
          <w:p w14:paraId="7BAAD509">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事业人员</w:t>
            </w:r>
          </w:p>
        </w:tc>
        <w:tc>
          <w:tcPr>
            <w:tcW w:w="359" w:type="dxa"/>
            <w:shd w:val="clear" w:color="auto" w:fill="C0C0C0"/>
            <w:noWrap w:val="0"/>
            <w:tcMar>
              <w:top w:w="15" w:type="dxa"/>
              <w:left w:w="15" w:type="dxa"/>
              <w:bottom w:w="15" w:type="dxa"/>
              <w:right w:w="15" w:type="dxa"/>
            </w:tcMar>
            <w:vAlign w:val="center"/>
          </w:tcPr>
          <w:p w14:paraId="1A6312AE">
            <w:pPr>
              <w:keepNext w:val="0"/>
              <w:keepLines w:val="0"/>
              <w:widowControl/>
              <w:suppressLineNumbers w:val="0"/>
              <w:spacing w:before="0" w:beforeAutospacing="0" w:after="0" w:afterAutospacing="0"/>
              <w:ind w:left="0" w:right="0"/>
              <w:jc w:val="center"/>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45</w:t>
            </w:r>
          </w:p>
        </w:tc>
        <w:tc>
          <w:tcPr>
            <w:tcW w:w="978" w:type="dxa"/>
            <w:noWrap w:val="0"/>
            <w:tcMar>
              <w:top w:w="15" w:type="dxa"/>
              <w:left w:w="15" w:type="dxa"/>
              <w:bottom w:w="15" w:type="dxa"/>
              <w:right w:w="15" w:type="dxa"/>
            </w:tcMar>
            <w:vAlign w:val="center"/>
          </w:tcPr>
          <w:p w14:paraId="638E0811">
            <w:pPr>
              <w:keepNext w:val="0"/>
              <w:keepLines w:val="0"/>
              <w:widowControl/>
              <w:suppressLineNumbers w:val="0"/>
              <w:spacing w:before="0" w:beforeAutospacing="0" w:after="0" w:afterAutospacing="0"/>
              <w:ind w:left="0" w:right="0"/>
              <w:jc w:val="right"/>
              <w:rPr>
                <w:rFonts w:ascii="宋体" w:hAnsi="宋体" w:eastAsia="宋体" w:cs="宋体"/>
                <w:sz w:val="28"/>
                <w:szCs w:val="28"/>
                <w:lang w:val="en-US"/>
              </w:rPr>
            </w:pPr>
            <w:r>
              <w:rPr>
                <w:rFonts w:ascii="仿宋_GB2312" w:hAnsi="仿宋_GB2312" w:eastAsia="仿宋_GB2312" w:cs="仿宋_GB2312"/>
                <w:caps w:val="0"/>
                <w:color w:val="000000"/>
                <w:spacing w:val="0"/>
                <w:sz w:val="24"/>
                <w:szCs w:val="24"/>
                <w:lang w:val="en-US" w:eastAsia="zh-CN" w:bidi="ar"/>
              </w:rPr>
              <w:t>3</w:t>
            </w:r>
            <w:r>
              <w:rPr>
                <w:rFonts w:hint="eastAsia" w:ascii="仿宋_GB2312" w:hAnsi="仿宋_GB2312" w:eastAsia="仿宋_GB2312" w:cs="仿宋_GB2312"/>
                <w:caps w:val="0"/>
                <w:color w:val="000000"/>
                <w:spacing w:val="0"/>
                <w:sz w:val="24"/>
                <w:szCs w:val="24"/>
                <w:lang w:val="en-US" w:eastAsia="zh-CN" w:bidi="ar"/>
              </w:rPr>
              <w:t>5</w:t>
            </w:r>
          </w:p>
        </w:tc>
        <w:tc>
          <w:tcPr>
            <w:tcW w:w="829" w:type="dxa"/>
            <w:noWrap w:val="0"/>
            <w:tcMar>
              <w:top w:w="15" w:type="dxa"/>
              <w:left w:w="15" w:type="dxa"/>
              <w:bottom w:w="15" w:type="dxa"/>
              <w:right w:w="15" w:type="dxa"/>
            </w:tcMar>
            <w:vAlign w:val="center"/>
          </w:tcPr>
          <w:p w14:paraId="74A63AE1">
            <w:pPr>
              <w:keepNext w:val="0"/>
              <w:keepLines w:val="0"/>
              <w:widowControl/>
              <w:suppressLineNumbers w:val="0"/>
              <w:spacing w:before="0" w:beforeAutospacing="0" w:after="0" w:afterAutospacing="0"/>
              <w:ind w:left="0" w:right="0"/>
              <w:jc w:val="center"/>
              <w:rPr>
                <w:rFonts w:ascii="宋体" w:hAnsi="宋体" w:eastAsia="宋体" w:cs="宋体"/>
                <w:sz w:val="28"/>
                <w:szCs w:val="28"/>
                <w:lang w:val="en-US" w:eastAsia="zh-CN"/>
              </w:rPr>
            </w:pPr>
            <w:r>
              <w:rPr>
                <w:rFonts w:hint="eastAsia" w:ascii="宋体" w:hAnsi="宋体" w:cs="宋体"/>
                <w:sz w:val="28"/>
                <w:szCs w:val="28"/>
                <w:lang w:val="en-US" w:eastAsia="zh-CN"/>
              </w:rPr>
              <w:t>35</w:t>
            </w:r>
          </w:p>
        </w:tc>
        <w:tc>
          <w:tcPr>
            <w:tcW w:w="801" w:type="dxa"/>
            <w:noWrap w:val="0"/>
            <w:tcMar>
              <w:top w:w="15" w:type="dxa"/>
              <w:left w:w="15" w:type="dxa"/>
              <w:bottom w:w="15" w:type="dxa"/>
              <w:right w:w="15" w:type="dxa"/>
            </w:tcMar>
            <w:vAlign w:val="center"/>
          </w:tcPr>
          <w:p w14:paraId="59C2DB11">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10" w:type="dxa"/>
            <w:noWrap w:val="0"/>
            <w:tcMar>
              <w:top w:w="15" w:type="dxa"/>
              <w:left w:w="15" w:type="dxa"/>
              <w:bottom w:w="15" w:type="dxa"/>
              <w:right w:w="15" w:type="dxa"/>
            </w:tcMar>
            <w:vAlign w:val="center"/>
          </w:tcPr>
          <w:p w14:paraId="466DF762">
            <w:pPr>
              <w:keepNext w:val="0"/>
              <w:keepLines w:val="0"/>
              <w:widowControl/>
              <w:suppressLineNumbers w:val="0"/>
              <w:spacing w:before="0" w:beforeAutospacing="0" w:after="0" w:afterAutospacing="0"/>
              <w:ind w:left="0" w:right="11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1504" w:type="dxa"/>
            <w:noWrap w:val="0"/>
            <w:tcMar>
              <w:top w:w="15" w:type="dxa"/>
              <w:left w:w="15" w:type="dxa"/>
              <w:bottom w:w="15" w:type="dxa"/>
              <w:right w:w="15" w:type="dxa"/>
            </w:tcMar>
            <w:vAlign w:val="center"/>
          </w:tcPr>
          <w:p w14:paraId="293A1984">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r>
      <w:tr w14:paraId="185EB2F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5" w:type="dxa"/>
            <w:left w:w="15" w:type="dxa"/>
            <w:bottom w:w="15" w:type="dxa"/>
            <w:right w:w="15" w:type="dxa"/>
          </w:tblCellMar>
        </w:tblPrEx>
        <w:trPr>
          <w:trHeight w:val="228" w:hRule="atLeast"/>
        </w:trPr>
        <w:tc>
          <w:tcPr>
            <w:tcW w:w="2920" w:type="dxa"/>
            <w:shd w:val="clear" w:color="auto" w:fill="C0C0C0"/>
            <w:noWrap w:val="0"/>
            <w:tcMar>
              <w:top w:w="15" w:type="dxa"/>
              <w:left w:w="15" w:type="dxa"/>
              <w:bottom w:w="15" w:type="dxa"/>
              <w:right w:w="15" w:type="dxa"/>
            </w:tcMar>
            <w:vAlign w:val="center"/>
          </w:tcPr>
          <w:p w14:paraId="494C8A0E">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其中：参照公务员法管理人员</w:t>
            </w:r>
          </w:p>
        </w:tc>
        <w:tc>
          <w:tcPr>
            <w:tcW w:w="359" w:type="dxa"/>
            <w:shd w:val="clear" w:color="auto" w:fill="C0C0C0"/>
            <w:noWrap w:val="0"/>
            <w:tcMar>
              <w:top w:w="15" w:type="dxa"/>
              <w:left w:w="15" w:type="dxa"/>
              <w:bottom w:w="15" w:type="dxa"/>
              <w:right w:w="15" w:type="dxa"/>
            </w:tcMar>
            <w:vAlign w:val="center"/>
          </w:tcPr>
          <w:p w14:paraId="33EA985D">
            <w:pPr>
              <w:keepNext w:val="0"/>
              <w:keepLines w:val="0"/>
              <w:widowControl/>
              <w:suppressLineNumbers w:val="0"/>
              <w:spacing w:before="0" w:beforeAutospacing="0" w:after="0" w:afterAutospacing="0"/>
              <w:ind w:left="0" w:right="0"/>
              <w:jc w:val="center"/>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46</w:t>
            </w:r>
          </w:p>
        </w:tc>
        <w:tc>
          <w:tcPr>
            <w:tcW w:w="978" w:type="dxa"/>
            <w:noWrap w:val="0"/>
            <w:tcMar>
              <w:top w:w="15" w:type="dxa"/>
              <w:left w:w="15" w:type="dxa"/>
              <w:bottom w:w="15" w:type="dxa"/>
              <w:right w:w="15" w:type="dxa"/>
            </w:tcMar>
            <w:vAlign w:val="center"/>
          </w:tcPr>
          <w:p w14:paraId="299CED09">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29" w:type="dxa"/>
            <w:noWrap w:val="0"/>
            <w:tcMar>
              <w:top w:w="15" w:type="dxa"/>
              <w:left w:w="15" w:type="dxa"/>
              <w:bottom w:w="15" w:type="dxa"/>
              <w:right w:w="15" w:type="dxa"/>
            </w:tcMar>
            <w:vAlign w:val="center"/>
          </w:tcPr>
          <w:p w14:paraId="2F788564">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01" w:type="dxa"/>
            <w:noWrap w:val="0"/>
            <w:tcMar>
              <w:top w:w="15" w:type="dxa"/>
              <w:left w:w="15" w:type="dxa"/>
              <w:bottom w:w="15" w:type="dxa"/>
              <w:right w:w="15" w:type="dxa"/>
            </w:tcMar>
            <w:vAlign w:val="center"/>
          </w:tcPr>
          <w:p w14:paraId="022F9452">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10" w:type="dxa"/>
            <w:noWrap w:val="0"/>
            <w:tcMar>
              <w:top w:w="15" w:type="dxa"/>
              <w:left w:w="15" w:type="dxa"/>
              <w:bottom w:w="15" w:type="dxa"/>
              <w:right w:w="15" w:type="dxa"/>
            </w:tcMar>
            <w:vAlign w:val="center"/>
          </w:tcPr>
          <w:p w14:paraId="7BF1B719">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0.00</w:t>
            </w:r>
          </w:p>
        </w:tc>
        <w:tc>
          <w:tcPr>
            <w:tcW w:w="1504" w:type="dxa"/>
            <w:noWrap w:val="0"/>
            <w:tcMar>
              <w:top w:w="15" w:type="dxa"/>
              <w:left w:w="15" w:type="dxa"/>
              <w:bottom w:w="15" w:type="dxa"/>
              <w:right w:w="15" w:type="dxa"/>
            </w:tcMar>
            <w:vAlign w:val="center"/>
          </w:tcPr>
          <w:p w14:paraId="226A9690">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r>
      <w:tr w14:paraId="66301D4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5" w:type="dxa"/>
            <w:left w:w="15" w:type="dxa"/>
            <w:bottom w:w="15" w:type="dxa"/>
            <w:right w:w="15" w:type="dxa"/>
          </w:tblCellMar>
        </w:tblPrEx>
        <w:trPr>
          <w:trHeight w:val="228" w:hRule="atLeast"/>
        </w:trPr>
        <w:tc>
          <w:tcPr>
            <w:tcW w:w="2920" w:type="dxa"/>
            <w:shd w:val="clear" w:color="auto" w:fill="C0C0C0"/>
            <w:noWrap w:val="0"/>
            <w:tcMar>
              <w:top w:w="15" w:type="dxa"/>
              <w:left w:w="15" w:type="dxa"/>
              <w:bottom w:w="15" w:type="dxa"/>
              <w:right w:w="15" w:type="dxa"/>
            </w:tcMar>
            <w:vAlign w:val="center"/>
          </w:tcPr>
          <w:p w14:paraId="48FF19A0">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离休人员</w:t>
            </w:r>
          </w:p>
        </w:tc>
        <w:tc>
          <w:tcPr>
            <w:tcW w:w="359" w:type="dxa"/>
            <w:shd w:val="clear" w:color="auto" w:fill="C0C0C0"/>
            <w:noWrap w:val="0"/>
            <w:tcMar>
              <w:top w:w="15" w:type="dxa"/>
              <w:left w:w="15" w:type="dxa"/>
              <w:bottom w:w="15" w:type="dxa"/>
              <w:right w:w="15" w:type="dxa"/>
            </w:tcMar>
            <w:vAlign w:val="center"/>
          </w:tcPr>
          <w:p w14:paraId="2BEA8FD5">
            <w:pPr>
              <w:keepNext w:val="0"/>
              <w:keepLines w:val="0"/>
              <w:widowControl/>
              <w:suppressLineNumbers w:val="0"/>
              <w:spacing w:before="0" w:beforeAutospacing="0" w:after="0" w:afterAutospacing="0"/>
              <w:ind w:left="0" w:right="0"/>
              <w:jc w:val="center"/>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47</w:t>
            </w:r>
          </w:p>
        </w:tc>
        <w:tc>
          <w:tcPr>
            <w:tcW w:w="978" w:type="dxa"/>
            <w:noWrap w:val="0"/>
            <w:tcMar>
              <w:top w:w="15" w:type="dxa"/>
              <w:left w:w="15" w:type="dxa"/>
              <w:bottom w:w="15" w:type="dxa"/>
              <w:right w:w="15" w:type="dxa"/>
            </w:tcMar>
            <w:vAlign w:val="center"/>
          </w:tcPr>
          <w:p w14:paraId="7BE8D876">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29" w:type="dxa"/>
            <w:noWrap w:val="0"/>
            <w:tcMar>
              <w:top w:w="15" w:type="dxa"/>
              <w:left w:w="15" w:type="dxa"/>
              <w:bottom w:w="15" w:type="dxa"/>
              <w:right w:w="15" w:type="dxa"/>
            </w:tcMar>
            <w:vAlign w:val="center"/>
          </w:tcPr>
          <w:p w14:paraId="12A85423">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01" w:type="dxa"/>
            <w:noWrap w:val="0"/>
            <w:tcMar>
              <w:top w:w="15" w:type="dxa"/>
              <w:left w:w="15" w:type="dxa"/>
              <w:bottom w:w="15" w:type="dxa"/>
              <w:right w:w="15" w:type="dxa"/>
            </w:tcMar>
            <w:vAlign w:val="center"/>
          </w:tcPr>
          <w:p w14:paraId="776A9FD1">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10" w:type="dxa"/>
            <w:noWrap w:val="0"/>
            <w:tcMar>
              <w:top w:w="15" w:type="dxa"/>
              <w:left w:w="15" w:type="dxa"/>
              <w:bottom w:w="15" w:type="dxa"/>
              <w:right w:w="15" w:type="dxa"/>
            </w:tcMar>
            <w:vAlign w:val="center"/>
          </w:tcPr>
          <w:p w14:paraId="15B4E4E6">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0.00</w:t>
            </w:r>
          </w:p>
        </w:tc>
        <w:tc>
          <w:tcPr>
            <w:tcW w:w="1504" w:type="dxa"/>
            <w:noWrap w:val="0"/>
            <w:tcMar>
              <w:top w:w="15" w:type="dxa"/>
              <w:left w:w="15" w:type="dxa"/>
              <w:bottom w:w="15" w:type="dxa"/>
              <w:right w:w="15" w:type="dxa"/>
            </w:tcMar>
            <w:vAlign w:val="center"/>
          </w:tcPr>
          <w:p w14:paraId="1113BC47">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r>
      <w:tr w14:paraId="199B63B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5" w:type="dxa"/>
            <w:left w:w="15" w:type="dxa"/>
            <w:bottom w:w="15" w:type="dxa"/>
            <w:right w:w="15" w:type="dxa"/>
          </w:tblCellMar>
        </w:tblPrEx>
        <w:trPr>
          <w:trHeight w:val="228" w:hRule="atLeast"/>
        </w:trPr>
        <w:tc>
          <w:tcPr>
            <w:tcW w:w="2920" w:type="dxa"/>
            <w:shd w:val="clear" w:color="auto" w:fill="C0C0C0"/>
            <w:noWrap w:val="0"/>
            <w:tcMar>
              <w:top w:w="15" w:type="dxa"/>
              <w:left w:w="15" w:type="dxa"/>
              <w:bottom w:w="15" w:type="dxa"/>
              <w:right w:w="15" w:type="dxa"/>
            </w:tcMar>
            <w:vAlign w:val="center"/>
          </w:tcPr>
          <w:p w14:paraId="1C06733C">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退休人员</w:t>
            </w:r>
          </w:p>
        </w:tc>
        <w:tc>
          <w:tcPr>
            <w:tcW w:w="359" w:type="dxa"/>
            <w:shd w:val="clear" w:color="auto" w:fill="C0C0C0"/>
            <w:noWrap w:val="0"/>
            <w:tcMar>
              <w:top w:w="15" w:type="dxa"/>
              <w:left w:w="15" w:type="dxa"/>
              <w:bottom w:w="15" w:type="dxa"/>
              <w:right w:w="15" w:type="dxa"/>
            </w:tcMar>
            <w:vAlign w:val="center"/>
          </w:tcPr>
          <w:p w14:paraId="0BF772FA">
            <w:pPr>
              <w:keepNext w:val="0"/>
              <w:keepLines w:val="0"/>
              <w:widowControl/>
              <w:suppressLineNumbers w:val="0"/>
              <w:spacing w:before="0" w:beforeAutospacing="0" w:after="0" w:afterAutospacing="0"/>
              <w:ind w:left="0" w:right="0"/>
              <w:jc w:val="center"/>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48</w:t>
            </w:r>
          </w:p>
        </w:tc>
        <w:tc>
          <w:tcPr>
            <w:tcW w:w="978" w:type="dxa"/>
            <w:noWrap w:val="0"/>
            <w:tcMar>
              <w:top w:w="15" w:type="dxa"/>
              <w:left w:w="15" w:type="dxa"/>
              <w:bottom w:w="15" w:type="dxa"/>
              <w:right w:w="15" w:type="dxa"/>
            </w:tcMar>
            <w:vAlign w:val="center"/>
          </w:tcPr>
          <w:p w14:paraId="68F08ABE">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29" w:type="dxa"/>
            <w:noWrap w:val="0"/>
            <w:tcMar>
              <w:top w:w="15" w:type="dxa"/>
              <w:left w:w="15" w:type="dxa"/>
              <w:bottom w:w="15" w:type="dxa"/>
              <w:right w:w="15" w:type="dxa"/>
            </w:tcMar>
            <w:vAlign w:val="center"/>
          </w:tcPr>
          <w:p w14:paraId="46DBB406">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01" w:type="dxa"/>
            <w:noWrap w:val="0"/>
            <w:tcMar>
              <w:top w:w="15" w:type="dxa"/>
              <w:left w:w="15" w:type="dxa"/>
              <w:bottom w:w="15" w:type="dxa"/>
              <w:right w:w="15" w:type="dxa"/>
            </w:tcMar>
            <w:vAlign w:val="center"/>
          </w:tcPr>
          <w:p w14:paraId="6169BCA1">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10" w:type="dxa"/>
            <w:noWrap w:val="0"/>
            <w:tcMar>
              <w:top w:w="15" w:type="dxa"/>
              <w:left w:w="15" w:type="dxa"/>
              <w:bottom w:w="15" w:type="dxa"/>
              <w:right w:w="15" w:type="dxa"/>
            </w:tcMar>
            <w:vAlign w:val="center"/>
          </w:tcPr>
          <w:p w14:paraId="1F5FF84F">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0.00</w:t>
            </w:r>
          </w:p>
        </w:tc>
        <w:tc>
          <w:tcPr>
            <w:tcW w:w="1504" w:type="dxa"/>
            <w:noWrap w:val="0"/>
            <w:tcMar>
              <w:top w:w="15" w:type="dxa"/>
              <w:left w:w="15" w:type="dxa"/>
              <w:bottom w:w="15" w:type="dxa"/>
              <w:right w:w="15" w:type="dxa"/>
            </w:tcMar>
            <w:vAlign w:val="center"/>
          </w:tcPr>
          <w:p w14:paraId="4346A2B2">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r>
      <w:tr w14:paraId="37338A3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5" w:type="dxa"/>
            <w:left w:w="15" w:type="dxa"/>
            <w:bottom w:w="15" w:type="dxa"/>
            <w:right w:w="15" w:type="dxa"/>
          </w:tblCellMar>
        </w:tblPrEx>
        <w:trPr>
          <w:trHeight w:val="228" w:hRule="atLeast"/>
        </w:trPr>
        <w:tc>
          <w:tcPr>
            <w:tcW w:w="2920" w:type="dxa"/>
            <w:shd w:val="clear" w:color="auto" w:fill="C0C0C0"/>
            <w:noWrap w:val="0"/>
            <w:tcMar>
              <w:top w:w="15" w:type="dxa"/>
              <w:left w:w="15" w:type="dxa"/>
              <w:bottom w:w="15" w:type="dxa"/>
              <w:right w:w="15" w:type="dxa"/>
            </w:tcMar>
            <w:vAlign w:val="center"/>
          </w:tcPr>
          <w:p w14:paraId="08D06C4E">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5.年末一般公共预算财政拨款（补助）开支人数</w:t>
            </w:r>
          </w:p>
        </w:tc>
        <w:tc>
          <w:tcPr>
            <w:tcW w:w="359" w:type="dxa"/>
            <w:shd w:val="clear" w:color="auto" w:fill="C0C0C0"/>
            <w:noWrap w:val="0"/>
            <w:tcMar>
              <w:top w:w="15" w:type="dxa"/>
              <w:left w:w="15" w:type="dxa"/>
              <w:bottom w:w="15" w:type="dxa"/>
              <w:right w:w="15" w:type="dxa"/>
            </w:tcMar>
            <w:vAlign w:val="center"/>
          </w:tcPr>
          <w:p w14:paraId="192BE0BE">
            <w:pPr>
              <w:keepNext w:val="0"/>
              <w:keepLines w:val="0"/>
              <w:widowControl/>
              <w:suppressLineNumbers w:val="0"/>
              <w:spacing w:before="0" w:beforeAutospacing="0" w:after="0" w:afterAutospacing="0"/>
              <w:ind w:left="0" w:right="0"/>
              <w:jc w:val="center"/>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49</w:t>
            </w:r>
          </w:p>
        </w:tc>
        <w:tc>
          <w:tcPr>
            <w:tcW w:w="978" w:type="dxa"/>
            <w:noWrap w:val="0"/>
            <w:tcMar>
              <w:top w:w="15" w:type="dxa"/>
              <w:left w:w="15" w:type="dxa"/>
              <w:bottom w:w="15" w:type="dxa"/>
              <w:right w:w="15" w:type="dxa"/>
            </w:tcMar>
            <w:vAlign w:val="center"/>
          </w:tcPr>
          <w:p w14:paraId="1BD5F9B9">
            <w:pPr>
              <w:keepNext w:val="0"/>
              <w:keepLines w:val="0"/>
              <w:widowControl/>
              <w:suppressLineNumbers w:val="0"/>
              <w:spacing w:before="0" w:beforeAutospacing="0" w:after="0" w:afterAutospacing="0"/>
              <w:ind w:left="0" w:right="0"/>
              <w:jc w:val="right"/>
              <w:rPr>
                <w:rFonts w:ascii="宋体" w:hAnsi="宋体" w:eastAsia="宋体" w:cs="宋体"/>
                <w:sz w:val="28"/>
                <w:szCs w:val="28"/>
                <w:lang w:val="en-US"/>
              </w:rPr>
            </w:pPr>
            <w:r>
              <w:rPr>
                <w:rFonts w:ascii="仿宋_GB2312" w:hAnsi="仿宋_GB2312" w:eastAsia="仿宋_GB2312" w:cs="仿宋_GB2312"/>
                <w:caps w:val="0"/>
                <w:color w:val="000000"/>
                <w:spacing w:val="0"/>
                <w:sz w:val="24"/>
                <w:szCs w:val="24"/>
                <w:lang w:val="en-US" w:eastAsia="zh-CN" w:bidi="ar"/>
              </w:rPr>
              <w:t>3</w:t>
            </w:r>
            <w:r>
              <w:rPr>
                <w:rFonts w:hint="eastAsia" w:ascii="仿宋_GB2312" w:hAnsi="仿宋_GB2312" w:eastAsia="仿宋_GB2312" w:cs="仿宋_GB2312"/>
                <w:caps w:val="0"/>
                <w:color w:val="000000"/>
                <w:spacing w:val="0"/>
                <w:sz w:val="24"/>
                <w:szCs w:val="24"/>
                <w:lang w:val="en-US" w:eastAsia="zh-CN" w:bidi="ar"/>
              </w:rPr>
              <w:t>5</w:t>
            </w:r>
          </w:p>
        </w:tc>
        <w:tc>
          <w:tcPr>
            <w:tcW w:w="829" w:type="dxa"/>
            <w:noWrap w:val="0"/>
            <w:tcMar>
              <w:top w:w="15" w:type="dxa"/>
              <w:left w:w="15" w:type="dxa"/>
              <w:bottom w:w="15" w:type="dxa"/>
              <w:right w:w="15" w:type="dxa"/>
            </w:tcMar>
            <w:vAlign w:val="center"/>
          </w:tcPr>
          <w:p w14:paraId="4BBE7402">
            <w:pPr>
              <w:keepNext w:val="0"/>
              <w:keepLines w:val="0"/>
              <w:widowControl/>
              <w:suppressLineNumbers w:val="0"/>
              <w:spacing w:before="0" w:beforeAutospacing="0" w:after="0" w:afterAutospacing="0"/>
              <w:ind w:left="0" w:right="0"/>
              <w:jc w:val="right"/>
              <w:rPr>
                <w:rFonts w:ascii="宋体" w:hAnsi="宋体" w:eastAsia="宋体" w:cs="宋体"/>
                <w:sz w:val="28"/>
                <w:szCs w:val="28"/>
                <w:lang w:val="en-US"/>
              </w:rPr>
            </w:pPr>
            <w:r>
              <w:rPr>
                <w:rFonts w:ascii="仿宋_GB2312" w:hAnsi="仿宋_GB2312" w:eastAsia="仿宋_GB2312" w:cs="仿宋_GB2312"/>
                <w:caps w:val="0"/>
                <w:color w:val="000000"/>
                <w:spacing w:val="0"/>
                <w:sz w:val="24"/>
                <w:szCs w:val="24"/>
                <w:lang w:val="en-US" w:eastAsia="zh-CN" w:bidi="ar"/>
              </w:rPr>
              <w:t>3</w:t>
            </w:r>
            <w:r>
              <w:rPr>
                <w:rFonts w:hint="eastAsia" w:ascii="仿宋_GB2312" w:hAnsi="仿宋_GB2312" w:eastAsia="仿宋_GB2312" w:cs="仿宋_GB2312"/>
                <w:caps w:val="0"/>
                <w:color w:val="000000"/>
                <w:spacing w:val="0"/>
                <w:sz w:val="24"/>
                <w:szCs w:val="24"/>
                <w:lang w:val="en-US" w:eastAsia="zh-CN" w:bidi="ar"/>
              </w:rPr>
              <w:t>5</w:t>
            </w:r>
          </w:p>
        </w:tc>
        <w:tc>
          <w:tcPr>
            <w:tcW w:w="801" w:type="dxa"/>
            <w:noWrap w:val="0"/>
            <w:tcMar>
              <w:top w:w="15" w:type="dxa"/>
              <w:left w:w="15" w:type="dxa"/>
              <w:bottom w:w="15" w:type="dxa"/>
              <w:right w:w="15" w:type="dxa"/>
            </w:tcMar>
            <w:vAlign w:val="center"/>
          </w:tcPr>
          <w:p w14:paraId="296C68D0">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10" w:type="dxa"/>
            <w:noWrap w:val="0"/>
            <w:tcMar>
              <w:top w:w="15" w:type="dxa"/>
              <w:left w:w="15" w:type="dxa"/>
              <w:bottom w:w="15" w:type="dxa"/>
              <w:right w:w="15" w:type="dxa"/>
            </w:tcMar>
            <w:vAlign w:val="center"/>
          </w:tcPr>
          <w:p w14:paraId="42AD973C">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1504" w:type="dxa"/>
            <w:noWrap w:val="0"/>
            <w:tcMar>
              <w:top w:w="15" w:type="dxa"/>
              <w:left w:w="15" w:type="dxa"/>
              <w:bottom w:w="15" w:type="dxa"/>
              <w:right w:w="15" w:type="dxa"/>
            </w:tcMar>
            <w:vAlign w:val="center"/>
          </w:tcPr>
          <w:p w14:paraId="70BD19BF">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r>
      <w:tr w14:paraId="5C25833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5" w:type="dxa"/>
            <w:left w:w="15" w:type="dxa"/>
            <w:bottom w:w="15" w:type="dxa"/>
            <w:right w:w="15" w:type="dxa"/>
          </w:tblCellMar>
        </w:tblPrEx>
        <w:trPr>
          <w:trHeight w:val="228" w:hRule="atLeast"/>
        </w:trPr>
        <w:tc>
          <w:tcPr>
            <w:tcW w:w="2920" w:type="dxa"/>
            <w:shd w:val="clear" w:color="auto" w:fill="C0C0C0"/>
            <w:noWrap w:val="0"/>
            <w:tcMar>
              <w:top w:w="15" w:type="dxa"/>
              <w:left w:w="15" w:type="dxa"/>
              <w:bottom w:w="15" w:type="dxa"/>
              <w:right w:w="15" w:type="dxa"/>
            </w:tcMar>
            <w:vAlign w:val="center"/>
          </w:tcPr>
          <w:p w14:paraId="1689F6E4">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在职人员</w:t>
            </w:r>
          </w:p>
        </w:tc>
        <w:tc>
          <w:tcPr>
            <w:tcW w:w="359" w:type="dxa"/>
            <w:shd w:val="clear" w:color="auto" w:fill="C0C0C0"/>
            <w:noWrap w:val="0"/>
            <w:tcMar>
              <w:top w:w="15" w:type="dxa"/>
              <w:left w:w="15" w:type="dxa"/>
              <w:bottom w:w="15" w:type="dxa"/>
              <w:right w:w="15" w:type="dxa"/>
            </w:tcMar>
            <w:vAlign w:val="center"/>
          </w:tcPr>
          <w:p w14:paraId="52F3BC79">
            <w:pPr>
              <w:keepNext w:val="0"/>
              <w:keepLines w:val="0"/>
              <w:widowControl/>
              <w:suppressLineNumbers w:val="0"/>
              <w:spacing w:before="0" w:beforeAutospacing="0" w:after="0" w:afterAutospacing="0"/>
              <w:ind w:left="0" w:right="0"/>
              <w:jc w:val="center"/>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50</w:t>
            </w:r>
          </w:p>
        </w:tc>
        <w:tc>
          <w:tcPr>
            <w:tcW w:w="978" w:type="dxa"/>
            <w:noWrap w:val="0"/>
            <w:tcMar>
              <w:top w:w="15" w:type="dxa"/>
              <w:left w:w="15" w:type="dxa"/>
              <w:bottom w:w="15" w:type="dxa"/>
              <w:right w:w="15" w:type="dxa"/>
            </w:tcMar>
            <w:vAlign w:val="center"/>
          </w:tcPr>
          <w:p w14:paraId="0540DC8E">
            <w:pPr>
              <w:keepNext w:val="0"/>
              <w:keepLines w:val="0"/>
              <w:widowControl/>
              <w:suppressLineNumbers w:val="0"/>
              <w:spacing w:before="0" w:beforeAutospacing="0" w:after="0" w:afterAutospacing="0"/>
              <w:ind w:left="0" w:right="110"/>
              <w:jc w:val="right"/>
              <w:rPr>
                <w:rFonts w:ascii="宋体" w:hAnsi="宋体" w:eastAsia="宋体" w:cs="宋体"/>
                <w:sz w:val="28"/>
                <w:szCs w:val="28"/>
                <w:lang w:val="en-US"/>
              </w:rPr>
            </w:pPr>
            <w:r>
              <w:rPr>
                <w:rFonts w:ascii="仿宋_GB2312" w:hAnsi="仿宋_GB2312" w:eastAsia="仿宋_GB2312" w:cs="仿宋_GB2312"/>
                <w:caps w:val="0"/>
                <w:color w:val="000000"/>
                <w:spacing w:val="0"/>
                <w:sz w:val="24"/>
                <w:szCs w:val="24"/>
                <w:lang w:val="en-US" w:eastAsia="zh-CN" w:bidi="ar"/>
              </w:rPr>
              <w:t>3</w:t>
            </w:r>
            <w:r>
              <w:rPr>
                <w:rFonts w:hint="eastAsia" w:ascii="仿宋_GB2312" w:hAnsi="仿宋_GB2312" w:eastAsia="仿宋_GB2312" w:cs="仿宋_GB2312"/>
                <w:caps w:val="0"/>
                <w:color w:val="000000"/>
                <w:spacing w:val="0"/>
                <w:sz w:val="24"/>
                <w:szCs w:val="24"/>
                <w:lang w:val="en-US" w:eastAsia="zh-CN" w:bidi="ar"/>
              </w:rPr>
              <w:t>5</w:t>
            </w:r>
          </w:p>
        </w:tc>
        <w:tc>
          <w:tcPr>
            <w:tcW w:w="829" w:type="dxa"/>
            <w:noWrap w:val="0"/>
            <w:tcMar>
              <w:top w:w="15" w:type="dxa"/>
              <w:left w:w="15" w:type="dxa"/>
              <w:bottom w:w="15" w:type="dxa"/>
              <w:right w:w="15" w:type="dxa"/>
            </w:tcMar>
            <w:vAlign w:val="center"/>
          </w:tcPr>
          <w:p w14:paraId="5BBE42B2">
            <w:pPr>
              <w:keepNext w:val="0"/>
              <w:keepLines w:val="0"/>
              <w:widowControl/>
              <w:suppressLineNumbers w:val="0"/>
              <w:spacing w:before="0" w:beforeAutospacing="0" w:after="0" w:afterAutospacing="0"/>
              <w:ind w:left="0" w:right="0"/>
              <w:jc w:val="right"/>
              <w:rPr>
                <w:rFonts w:ascii="宋体" w:hAnsi="宋体" w:eastAsia="宋体" w:cs="宋体"/>
                <w:sz w:val="28"/>
                <w:szCs w:val="28"/>
                <w:lang w:val="en-US"/>
              </w:rPr>
            </w:pPr>
            <w:r>
              <w:rPr>
                <w:rFonts w:ascii="仿宋_GB2312" w:hAnsi="仿宋_GB2312" w:eastAsia="仿宋_GB2312" w:cs="仿宋_GB2312"/>
                <w:caps w:val="0"/>
                <w:color w:val="000000"/>
                <w:spacing w:val="0"/>
                <w:sz w:val="24"/>
                <w:szCs w:val="24"/>
                <w:lang w:val="en-US" w:eastAsia="zh-CN" w:bidi="ar"/>
              </w:rPr>
              <w:t>3</w:t>
            </w:r>
            <w:r>
              <w:rPr>
                <w:rFonts w:hint="eastAsia" w:ascii="仿宋_GB2312" w:hAnsi="仿宋_GB2312" w:eastAsia="仿宋_GB2312" w:cs="仿宋_GB2312"/>
                <w:caps w:val="0"/>
                <w:color w:val="000000"/>
                <w:spacing w:val="0"/>
                <w:sz w:val="24"/>
                <w:szCs w:val="24"/>
                <w:lang w:val="en-US" w:eastAsia="zh-CN" w:bidi="ar"/>
              </w:rPr>
              <w:t>5</w:t>
            </w:r>
          </w:p>
        </w:tc>
        <w:tc>
          <w:tcPr>
            <w:tcW w:w="801" w:type="dxa"/>
            <w:noWrap w:val="0"/>
            <w:tcMar>
              <w:top w:w="15" w:type="dxa"/>
              <w:left w:w="15" w:type="dxa"/>
              <w:bottom w:w="15" w:type="dxa"/>
              <w:right w:w="15" w:type="dxa"/>
            </w:tcMar>
            <w:vAlign w:val="center"/>
          </w:tcPr>
          <w:p w14:paraId="5C48D242">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c>
          <w:tcPr>
            <w:tcW w:w="810" w:type="dxa"/>
            <w:noWrap w:val="0"/>
            <w:tcMar>
              <w:top w:w="15" w:type="dxa"/>
              <w:left w:w="15" w:type="dxa"/>
              <w:bottom w:w="15" w:type="dxa"/>
              <w:right w:w="15" w:type="dxa"/>
            </w:tcMar>
            <w:vAlign w:val="center"/>
          </w:tcPr>
          <w:p w14:paraId="1AC899A2">
            <w:pPr>
              <w:keepNext w:val="0"/>
              <w:keepLines w:val="0"/>
              <w:widowControl/>
              <w:suppressLineNumbers w:val="0"/>
              <w:spacing w:before="0" w:beforeAutospacing="0" w:after="0" w:afterAutospacing="0"/>
              <w:ind w:left="0" w:right="11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1504" w:type="dxa"/>
            <w:noWrap w:val="0"/>
            <w:tcMar>
              <w:top w:w="15" w:type="dxa"/>
              <w:left w:w="15" w:type="dxa"/>
              <w:bottom w:w="15" w:type="dxa"/>
              <w:right w:w="15" w:type="dxa"/>
            </w:tcMar>
            <w:vAlign w:val="center"/>
          </w:tcPr>
          <w:p w14:paraId="3A1E7ADD">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r>
      <w:tr w14:paraId="0F8D774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5" w:type="dxa"/>
            <w:left w:w="15" w:type="dxa"/>
            <w:bottom w:w="15" w:type="dxa"/>
            <w:right w:w="15" w:type="dxa"/>
          </w:tblCellMar>
        </w:tblPrEx>
        <w:trPr>
          <w:trHeight w:val="228" w:hRule="atLeast"/>
        </w:trPr>
        <w:tc>
          <w:tcPr>
            <w:tcW w:w="2920" w:type="dxa"/>
            <w:shd w:val="clear" w:color="auto" w:fill="C0C0C0"/>
            <w:noWrap w:val="0"/>
            <w:tcMar>
              <w:top w:w="15" w:type="dxa"/>
              <w:left w:w="15" w:type="dxa"/>
              <w:bottom w:w="15" w:type="dxa"/>
              <w:right w:w="15" w:type="dxa"/>
            </w:tcMar>
            <w:vAlign w:val="center"/>
          </w:tcPr>
          <w:p w14:paraId="0FD0CA42">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其中：行政工勤人员</w:t>
            </w:r>
          </w:p>
        </w:tc>
        <w:tc>
          <w:tcPr>
            <w:tcW w:w="359" w:type="dxa"/>
            <w:shd w:val="clear" w:color="auto" w:fill="C0C0C0"/>
            <w:noWrap w:val="0"/>
            <w:tcMar>
              <w:top w:w="15" w:type="dxa"/>
              <w:left w:w="15" w:type="dxa"/>
              <w:bottom w:w="15" w:type="dxa"/>
              <w:right w:w="15" w:type="dxa"/>
            </w:tcMar>
            <w:vAlign w:val="center"/>
          </w:tcPr>
          <w:p w14:paraId="112B4524">
            <w:pPr>
              <w:keepNext w:val="0"/>
              <w:keepLines w:val="0"/>
              <w:widowControl/>
              <w:suppressLineNumbers w:val="0"/>
              <w:spacing w:before="0" w:beforeAutospacing="0" w:after="0" w:afterAutospacing="0"/>
              <w:ind w:left="0" w:right="0"/>
              <w:jc w:val="center"/>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51</w:t>
            </w:r>
          </w:p>
        </w:tc>
        <w:tc>
          <w:tcPr>
            <w:tcW w:w="978" w:type="dxa"/>
            <w:noWrap w:val="0"/>
            <w:tcMar>
              <w:top w:w="15" w:type="dxa"/>
              <w:left w:w="15" w:type="dxa"/>
              <w:bottom w:w="15" w:type="dxa"/>
              <w:right w:w="15" w:type="dxa"/>
            </w:tcMar>
            <w:vAlign w:val="center"/>
          </w:tcPr>
          <w:p w14:paraId="3D6190F7">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c>
          <w:tcPr>
            <w:tcW w:w="829" w:type="dxa"/>
            <w:noWrap w:val="0"/>
            <w:tcMar>
              <w:top w:w="15" w:type="dxa"/>
              <w:left w:w="15" w:type="dxa"/>
              <w:bottom w:w="15" w:type="dxa"/>
              <w:right w:w="15" w:type="dxa"/>
            </w:tcMar>
            <w:vAlign w:val="center"/>
          </w:tcPr>
          <w:p w14:paraId="733B57C0">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p w14:paraId="1E3C97EC">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c>
          <w:tcPr>
            <w:tcW w:w="801" w:type="dxa"/>
            <w:noWrap w:val="0"/>
            <w:tcMar>
              <w:top w:w="15" w:type="dxa"/>
              <w:left w:w="15" w:type="dxa"/>
              <w:bottom w:w="15" w:type="dxa"/>
              <w:right w:w="15" w:type="dxa"/>
            </w:tcMar>
            <w:vAlign w:val="center"/>
          </w:tcPr>
          <w:p w14:paraId="51983260">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10" w:type="dxa"/>
            <w:noWrap w:val="0"/>
            <w:tcMar>
              <w:top w:w="15" w:type="dxa"/>
              <w:left w:w="15" w:type="dxa"/>
              <w:bottom w:w="15" w:type="dxa"/>
              <w:right w:w="15" w:type="dxa"/>
            </w:tcMar>
            <w:vAlign w:val="center"/>
          </w:tcPr>
          <w:p w14:paraId="77D19F99">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0.00</w:t>
            </w:r>
          </w:p>
        </w:tc>
        <w:tc>
          <w:tcPr>
            <w:tcW w:w="1504" w:type="dxa"/>
            <w:noWrap w:val="0"/>
            <w:tcMar>
              <w:top w:w="15" w:type="dxa"/>
              <w:left w:w="15" w:type="dxa"/>
              <w:bottom w:w="15" w:type="dxa"/>
              <w:right w:w="15" w:type="dxa"/>
            </w:tcMar>
            <w:vAlign w:val="center"/>
          </w:tcPr>
          <w:p w14:paraId="38B90235">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r>
      <w:tr w14:paraId="1962FDD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5" w:type="dxa"/>
            <w:left w:w="15" w:type="dxa"/>
            <w:bottom w:w="15" w:type="dxa"/>
            <w:right w:w="15" w:type="dxa"/>
          </w:tblCellMar>
        </w:tblPrEx>
        <w:trPr>
          <w:trHeight w:val="228" w:hRule="atLeast"/>
        </w:trPr>
        <w:tc>
          <w:tcPr>
            <w:tcW w:w="2920" w:type="dxa"/>
            <w:shd w:val="clear" w:color="auto" w:fill="C0C0C0"/>
            <w:noWrap w:val="0"/>
            <w:tcMar>
              <w:top w:w="15" w:type="dxa"/>
              <w:left w:w="15" w:type="dxa"/>
              <w:bottom w:w="15" w:type="dxa"/>
              <w:right w:w="15" w:type="dxa"/>
            </w:tcMar>
            <w:vAlign w:val="center"/>
          </w:tcPr>
          <w:p w14:paraId="74ED08B5">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离休人员</w:t>
            </w:r>
          </w:p>
        </w:tc>
        <w:tc>
          <w:tcPr>
            <w:tcW w:w="359" w:type="dxa"/>
            <w:shd w:val="clear" w:color="auto" w:fill="C0C0C0"/>
            <w:noWrap w:val="0"/>
            <w:tcMar>
              <w:top w:w="15" w:type="dxa"/>
              <w:left w:w="15" w:type="dxa"/>
              <w:bottom w:w="15" w:type="dxa"/>
              <w:right w:w="15" w:type="dxa"/>
            </w:tcMar>
            <w:vAlign w:val="center"/>
          </w:tcPr>
          <w:p w14:paraId="374EFE17">
            <w:pPr>
              <w:keepNext w:val="0"/>
              <w:keepLines w:val="0"/>
              <w:widowControl/>
              <w:suppressLineNumbers w:val="0"/>
              <w:spacing w:before="0" w:beforeAutospacing="0" w:after="0" w:afterAutospacing="0"/>
              <w:ind w:left="0" w:right="0"/>
              <w:jc w:val="center"/>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52</w:t>
            </w:r>
          </w:p>
        </w:tc>
        <w:tc>
          <w:tcPr>
            <w:tcW w:w="978" w:type="dxa"/>
            <w:noWrap w:val="0"/>
            <w:tcMar>
              <w:top w:w="15" w:type="dxa"/>
              <w:left w:w="15" w:type="dxa"/>
              <w:bottom w:w="15" w:type="dxa"/>
              <w:right w:w="15" w:type="dxa"/>
            </w:tcMar>
            <w:vAlign w:val="center"/>
          </w:tcPr>
          <w:p w14:paraId="40BE89C9">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29" w:type="dxa"/>
            <w:noWrap w:val="0"/>
            <w:tcMar>
              <w:top w:w="15" w:type="dxa"/>
              <w:left w:w="15" w:type="dxa"/>
              <w:bottom w:w="15" w:type="dxa"/>
              <w:right w:w="15" w:type="dxa"/>
            </w:tcMar>
            <w:vAlign w:val="center"/>
          </w:tcPr>
          <w:p w14:paraId="28FD3C7F">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01" w:type="dxa"/>
            <w:noWrap w:val="0"/>
            <w:tcMar>
              <w:top w:w="15" w:type="dxa"/>
              <w:left w:w="15" w:type="dxa"/>
              <w:bottom w:w="15" w:type="dxa"/>
              <w:right w:w="15" w:type="dxa"/>
            </w:tcMar>
            <w:vAlign w:val="center"/>
          </w:tcPr>
          <w:p w14:paraId="3C3A7A06">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10" w:type="dxa"/>
            <w:noWrap w:val="0"/>
            <w:tcMar>
              <w:top w:w="15" w:type="dxa"/>
              <w:left w:w="15" w:type="dxa"/>
              <w:bottom w:w="15" w:type="dxa"/>
              <w:right w:w="15" w:type="dxa"/>
            </w:tcMar>
            <w:vAlign w:val="center"/>
          </w:tcPr>
          <w:p w14:paraId="2CCC2DE1">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0.00</w:t>
            </w:r>
          </w:p>
        </w:tc>
        <w:tc>
          <w:tcPr>
            <w:tcW w:w="1504" w:type="dxa"/>
            <w:noWrap w:val="0"/>
            <w:tcMar>
              <w:top w:w="15" w:type="dxa"/>
              <w:left w:w="15" w:type="dxa"/>
              <w:bottom w:w="15" w:type="dxa"/>
              <w:right w:w="15" w:type="dxa"/>
            </w:tcMar>
            <w:vAlign w:val="center"/>
          </w:tcPr>
          <w:p w14:paraId="7A383E0A">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r>
      <w:tr w14:paraId="0A5473E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5" w:type="dxa"/>
            <w:left w:w="15" w:type="dxa"/>
            <w:bottom w:w="15" w:type="dxa"/>
            <w:right w:w="15" w:type="dxa"/>
          </w:tblCellMar>
        </w:tblPrEx>
        <w:trPr>
          <w:trHeight w:val="228" w:hRule="atLeast"/>
        </w:trPr>
        <w:tc>
          <w:tcPr>
            <w:tcW w:w="2920" w:type="dxa"/>
            <w:shd w:val="clear" w:color="auto" w:fill="C0C0C0"/>
            <w:noWrap w:val="0"/>
            <w:tcMar>
              <w:top w:w="15" w:type="dxa"/>
              <w:left w:w="15" w:type="dxa"/>
              <w:bottom w:w="15" w:type="dxa"/>
              <w:right w:w="15" w:type="dxa"/>
            </w:tcMar>
            <w:vAlign w:val="center"/>
          </w:tcPr>
          <w:p w14:paraId="5F5959DB">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退休人员</w:t>
            </w:r>
          </w:p>
        </w:tc>
        <w:tc>
          <w:tcPr>
            <w:tcW w:w="359" w:type="dxa"/>
            <w:shd w:val="clear" w:color="auto" w:fill="C0C0C0"/>
            <w:noWrap w:val="0"/>
            <w:tcMar>
              <w:top w:w="15" w:type="dxa"/>
              <w:left w:w="15" w:type="dxa"/>
              <w:bottom w:w="15" w:type="dxa"/>
              <w:right w:w="15" w:type="dxa"/>
            </w:tcMar>
            <w:vAlign w:val="center"/>
          </w:tcPr>
          <w:p w14:paraId="6174C9F0">
            <w:pPr>
              <w:keepNext w:val="0"/>
              <w:keepLines w:val="0"/>
              <w:widowControl/>
              <w:suppressLineNumbers w:val="0"/>
              <w:spacing w:before="0" w:beforeAutospacing="0" w:after="0" w:afterAutospacing="0"/>
              <w:ind w:left="0" w:right="0"/>
              <w:jc w:val="center"/>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53</w:t>
            </w:r>
          </w:p>
        </w:tc>
        <w:tc>
          <w:tcPr>
            <w:tcW w:w="978" w:type="dxa"/>
            <w:noWrap w:val="0"/>
            <w:tcMar>
              <w:top w:w="15" w:type="dxa"/>
              <w:left w:w="15" w:type="dxa"/>
              <w:bottom w:w="15" w:type="dxa"/>
              <w:right w:w="15" w:type="dxa"/>
            </w:tcMar>
            <w:vAlign w:val="center"/>
          </w:tcPr>
          <w:p w14:paraId="0ED671CD">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29" w:type="dxa"/>
            <w:noWrap w:val="0"/>
            <w:tcMar>
              <w:top w:w="15" w:type="dxa"/>
              <w:left w:w="15" w:type="dxa"/>
              <w:bottom w:w="15" w:type="dxa"/>
              <w:right w:w="15" w:type="dxa"/>
            </w:tcMar>
            <w:vAlign w:val="center"/>
          </w:tcPr>
          <w:p w14:paraId="1A8F0F49">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01" w:type="dxa"/>
            <w:noWrap w:val="0"/>
            <w:tcMar>
              <w:top w:w="15" w:type="dxa"/>
              <w:left w:w="15" w:type="dxa"/>
              <w:bottom w:w="15" w:type="dxa"/>
              <w:right w:w="15" w:type="dxa"/>
            </w:tcMar>
            <w:vAlign w:val="center"/>
          </w:tcPr>
          <w:p w14:paraId="6459D265">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10" w:type="dxa"/>
            <w:noWrap w:val="0"/>
            <w:tcMar>
              <w:top w:w="15" w:type="dxa"/>
              <w:left w:w="15" w:type="dxa"/>
              <w:bottom w:w="15" w:type="dxa"/>
              <w:right w:w="15" w:type="dxa"/>
            </w:tcMar>
            <w:vAlign w:val="center"/>
          </w:tcPr>
          <w:p w14:paraId="09687F99">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0.00</w:t>
            </w:r>
          </w:p>
        </w:tc>
        <w:tc>
          <w:tcPr>
            <w:tcW w:w="1504" w:type="dxa"/>
            <w:noWrap w:val="0"/>
            <w:tcMar>
              <w:top w:w="15" w:type="dxa"/>
              <w:left w:w="15" w:type="dxa"/>
              <w:bottom w:w="15" w:type="dxa"/>
              <w:right w:w="15" w:type="dxa"/>
            </w:tcMar>
            <w:vAlign w:val="center"/>
          </w:tcPr>
          <w:p w14:paraId="522A07D3">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r>
      <w:tr w14:paraId="55C0448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5" w:type="dxa"/>
            <w:left w:w="15" w:type="dxa"/>
            <w:bottom w:w="15" w:type="dxa"/>
            <w:right w:w="15" w:type="dxa"/>
          </w:tblCellMar>
        </w:tblPrEx>
        <w:trPr>
          <w:trHeight w:val="228" w:hRule="atLeast"/>
        </w:trPr>
        <w:tc>
          <w:tcPr>
            <w:tcW w:w="2920" w:type="dxa"/>
            <w:shd w:val="clear" w:color="auto" w:fill="C0C0C0"/>
            <w:noWrap w:val="0"/>
            <w:tcMar>
              <w:top w:w="15" w:type="dxa"/>
              <w:left w:w="15" w:type="dxa"/>
              <w:bottom w:w="15" w:type="dxa"/>
              <w:right w:w="15" w:type="dxa"/>
            </w:tcMar>
            <w:vAlign w:val="center"/>
          </w:tcPr>
          <w:p w14:paraId="3737F663">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6.年末学生人数</w:t>
            </w:r>
          </w:p>
        </w:tc>
        <w:tc>
          <w:tcPr>
            <w:tcW w:w="359" w:type="dxa"/>
            <w:shd w:val="clear" w:color="auto" w:fill="C0C0C0"/>
            <w:noWrap w:val="0"/>
            <w:tcMar>
              <w:top w:w="15" w:type="dxa"/>
              <w:left w:w="15" w:type="dxa"/>
              <w:bottom w:w="15" w:type="dxa"/>
              <w:right w:w="15" w:type="dxa"/>
            </w:tcMar>
            <w:vAlign w:val="center"/>
          </w:tcPr>
          <w:p w14:paraId="6DE00171">
            <w:pPr>
              <w:keepNext w:val="0"/>
              <w:keepLines w:val="0"/>
              <w:widowControl/>
              <w:suppressLineNumbers w:val="0"/>
              <w:spacing w:before="0" w:beforeAutospacing="0" w:after="0" w:afterAutospacing="0"/>
              <w:ind w:left="0" w:right="0"/>
              <w:jc w:val="center"/>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54</w:t>
            </w:r>
          </w:p>
        </w:tc>
        <w:tc>
          <w:tcPr>
            <w:tcW w:w="978" w:type="dxa"/>
            <w:noWrap w:val="0"/>
            <w:tcMar>
              <w:top w:w="15" w:type="dxa"/>
              <w:left w:w="15" w:type="dxa"/>
              <w:bottom w:w="15" w:type="dxa"/>
              <w:right w:w="15" w:type="dxa"/>
            </w:tcMar>
            <w:vAlign w:val="center"/>
          </w:tcPr>
          <w:p w14:paraId="63CA8897">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29" w:type="dxa"/>
            <w:noWrap w:val="0"/>
            <w:tcMar>
              <w:top w:w="15" w:type="dxa"/>
              <w:left w:w="15" w:type="dxa"/>
              <w:bottom w:w="15" w:type="dxa"/>
              <w:right w:w="15" w:type="dxa"/>
            </w:tcMar>
            <w:vAlign w:val="center"/>
          </w:tcPr>
          <w:p w14:paraId="3FBADD38">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01" w:type="dxa"/>
            <w:noWrap w:val="0"/>
            <w:tcMar>
              <w:top w:w="15" w:type="dxa"/>
              <w:left w:w="15" w:type="dxa"/>
              <w:bottom w:w="15" w:type="dxa"/>
              <w:right w:w="15" w:type="dxa"/>
            </w:tcMar>
            <w:vAlign w:val="center"/>
          </w:tcPr>
          <w:p w14:paraId="521A999C">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w:t>
            </w:r>
          </w:p>
        </w:tc>
        <w:tc>
          <w:tcPr>
            <w:tcW w:w="810" w:type="dxa"/>
            <w:noWrap w:val="0"/>
            <w:tcMar>
              <w:top w:w="15" w:type="dxa"/>
              <w:left w:w="15" w:type="dxa"/>
              <w:bottom w:w="15" w:type="dxa"/>
              <w:right w:w="15" w:type="dxa"/>
            </w:tcMar>
            <w:vAlign w:val="center"/>
          </w:tcPr>
          <w:p w14:paraId="5BF0A759">
            <w:pPr>
              <w:keepNext w:val="0"/>
              <w:keepLines w:val="0"/>
              <w:widowControl/>
              <w:suppressLineNumbers w:val="0"/>
              <w:spacing w:before="0" w:beforeAutospacing="0" w:after="0" w:afterAutospacing="0"/>
              <w:ind w:left="0" w:right="0"/>
              <w:jc w:val="righ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0.00</w:t>
            </w:r>
          </w:p>
        </w:tc>
        <w:tc>
          <w:tcPr>
            <w:tcW w:w="1504" w:type="dxa"/>
            <w:noWrap w:val="0"/>
            <w:tcMar>
              <w:top w:w="15" w:type="dxa"/>
              <w:left w:w="15" w:type="dxa"/>
              <w:bottom w:w="15" w:type="dxa"/>
              <w:right w:w="15" w:type="dxa"/>
            </w:tcMar>
            <w:vAlign w:val="center"/>
          </w:tcPr>
          <w:p w14:paraId="0D8E5470">
            <w:pPr>
              <w:keepNext w:val="0"/>
              <w:keepLines w:val="0"/>
              <w:widowControl/>
              <w:suppressLineNumbers w:val="0"/>
              <w:spacing w:before="0" w:beforeAutospacing="0" w:after="0" w:afterAutospacing="0"/>
              <w:ind w:left="0" w:right="0"/>
              <w:jc w:val="left"/>
              <w:rPr>
                <w:rFonts w:ascii="宋体" w:hAnsi="宋体" w:eastAsia="宋体" w:cs="宋体"/>
                <w:sz w:val="28"/>
                <w:szCs w:val="28"/>
              </w:rPr>
            </w:pPr>
            <w:r>
              <w:rPr>
                <w:rFonts w:ascii="仿宋_GB2312" w:hAnsi="仿宋_GB2312" w:eastAsia="仿宋_GB2312" w:cs="仿宋_GB2312"/>
                <w:caps w:val="0"/>
                <w:color w:val="000000"/>
                <w:spacing w:val="0"/>
                <w:sz w:val="24"/>
                <w:szCs w:val="24"/>
                <w:lang w:val="en-US" w:eastAsia="zh-CN" w:bidi="ar"/>
              </w:rPr>
              <w:t> </w:t>
            </w:r>
          </w:p>
        </w:tc>
      </w:tr>
    </w:tbl>
    <w:p w14:paraId="788F4C4B">
      <w:pPr>
        <w:keepNext w:val="0"/>
        <w:keepLines w:val="0"/>
        <w:widowControl/>
        <w:suppressLineNumbers w:val="0"/>
        <w:jc w:val="left"/>
        <w:rPr>
          <w:sz w:val="22"/>
          <w:szCs w:val="28"/>
        </w:rPr>
      </w:pPr>
    </w:p>
    <w:p w14:paraId="64CBC77D">
      <w:pPr>
        <w:pStyle w:val="189"/>
        <w:shd w:val="clear" w:color="auto" w:fill="FFFFFF"/>
        <w:rPr>
          <w:rFonts w:hint="eastAsia"/>
          <w:sz w:val="48"/>
          <w:szCs w:val="48"/>
        </w:rPr>
      </w:pPr>
    </w:p>
    <w:p w14:paraId="3286D283">
      <w:pPr>
        <w:pStyle w:val="189"/>
        <w:shd w:val="clear" w:color="auto" w:fill="FFFFFF"/>
        <w:rPr>
          <w:rFonts w:hint="eastAsia"/>
          <w:sz w:val="32"/>
          <w:szCs w:val="32"/>
        </w:rPr>
      </w:pPr>
      <w:r>
        <w:rPr>
          <w:rFonts w:hint="eastAsia"/>
          <w:sz w:val="32"/>
          <w:szCs w:val="32"/>
        </w:rPr>
        <w:t> </w:t>
      </w:r>
    </w:p>
    <w:p w14:paraId="220C7224">
      <w:pPr>
        <w:pStyle w:val="189"/>
        <w:shd w:val="clear" w:color="auto" w:fill="FFFFFF"/>
        <w:rPr>
          <w:rFonts w:hint="eastAsia"/>
          <w:sz w:val="32"/>
          <w:szCs w:val="32"/>
        </w:rPr>
      </w:pPr>
      <w:r>
        <w:rPr>
          <w:rFonts w:hint="eastAsia"/>
          <w:sz w:val="32"/>
          <w:szCs w:val="32"/>
        </w:rPr>
        <w:t>3． 本单位本年度年末实有人数为35人，比上年增加-2人；年末实有离退休人数为</w:t>
      </w:r>
      <w:r>
        <w:rPr>
          <w:rFonts w:hint="eastAsia"/>
          <w:sz w:val="32"/>
          <w:szCs w:val="32"/>
          <w:lang w:val="en-US" w:eastAsia="zh-CN"/>
        </w:rPr>
        <w:t>13</w:t>
      </w:r>
      <w:r>
        <w:rPr>
          <w:rFonts w:hint="eastAsia"/>
          <w:sz w:val="32"/>
          <w:szCs w:val="32"/>
        </w:rPr>
        <w:t>人，比上年增加0人；</w:t>
      </w:r>
      <w:r>
        <w:rPr>
          <w:rStyle w:val="190"/>
          <w:rFonts w:hint="eastAsia"/>
          <w:sz w:val="32"/>
          <w:szCs w:val="32"/>
        </w:rPr>
        <w:t>变动原因为</w:t>
      </w:r>
      <w:r>
        <w:rPr>
          <w:rStyle w:val="190"/>
          <w:rFonts w:hint="eastAsia"/>
          <w:sz w:val="32"/>
          <w:szCs w:val="32"/>
          <w:lang w:eastAsia="zh-CN"/>
        </w:rPr>
        <w:t>系统内人员调动</w:t>
      </w:r>
      <w:r>
        <w:rPr>
          <w:rStyle w:val="190"/>
          <w:rFonts w:hint="eastAsia"/>
          <w:sz w:val="32"/>
          <w:szCs w:val="32"/>
        </w:rPr>
        <w:t>。</w:t>
      </w:r>
      <w:r>
        <w:rPr>
          <w:rFonts w:hint="eastAsia"/>
          <w:sz w:val="32"/>
          <w:szCs w:val="32"/>
        </w:rPr>
        <w:t>年末实有其他人数为0人，比上年增加0</w:t>
      </w:r>
      <w:r>
        <w:rPr>
          <w:rStyle w:val="190"/>
          <w:rFonts w:hint="eastAsia"/>
          <w:sz w:val="32"/>
          <w:szCs w:val="32"/>
        </w:rPr>
        <w:t>。</w:t>
      </w:r>
    </w:p>
    <w:p w14:paraId="18322A9B">
      <w:pPr>
        <w:pStyle w:val="189"/>
        <w:shd w:val="clear" w:color="auto" w:fill="FFFFFF"/>
        <w:rPr>
          <w:rFonts w:hint="eastAsia"/>
          <w:sz w:val="32"/>
          <w:szCs w:val="32"/>
        </w:rPr>
      </w:pPr>
      <w:r>
        <w:rPr>
          <w:rFonts w:hint="eastAsia"/>
          <w:sz w:val="32"/>
          <w:szCs w:val="32"/>
        </w:rPr>
        <w:t> </w:t>
      </w:r>
    </w:p>
    <w:p w14:paraId="320D374A">
      <w:pPr>
        <w:pStyle w:val="189"/>
        <w:shd w:val="clear" w:color="auto" w:fill="FFFFFF"/>
        <w:rPr>
          <w:rFonts w:hint="eastAsia"/>
          <w:sz w:val="32"/>
          <w:szCs w:val="32"/>
        </w:rPr>
      </w:pPr>
      <w:r>
        <w:rPr>
          <w:rStyle w:val="190"/>
          <w:rFonts w:hint="eastAsia"/>
          <w:sz w:val="32"/>
          <w:szCs w:val="32"/>
        </w:rPr>
        <w:t>（二）当年取得的主要事业成效。</w:t>
      </w:r>
    </w:p>
    <w:p w14:paraId="1FA55CC9">
      <w:pPr>
        <w:pStyle w:val="189"/>
        <w:shd w:val="clear" w:color="auto" w:fill="FFFFFF"/>
        <w:rPr>
          <w:rFonts w:hint="eastAsia"/>
          <w:sz w:val="32"/>
          <w:szCs w:val="32"/>
        </w:rPr>
      </w:pPr>
      <w:r>
        <w:rPr>
          <w:rFonts w:hint="eastAsia"/>
          <w:sz w:val="32"/>
          <w:szCs w:val="32"/>
        </w:rPr>
        <w:t>一、概述单位工作开展情况及主要事业成效。</w:t>
      </w:r>
    </w:p>
    <w:p w14:paraId="40073638">
      <w:pPr>
        <w:keepNext w:val="0"/>
        <w:keepLines w:val="0"/>
        <w:pageBreakBefore w:val="0"/>
        <w:widowControl w:val="0"/>
        <w:spacing w:line="560" w:lineRule="exact"/>
        <w:ind w:firstLine="640"/>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一、工作开展情况</w:t>
      </w:r>
    </w:p>
    <w:p w14:paraId="444907F8">
      <w:pPr>
        <w:keepNext w:val="0"/>
        <w:keepLines w:val="0"/>
        <w:pageBreakBefore w:val="0"/>
        <w:widowControl w:val="0"/>
        <w:spacing w:line="560" w:lineRule="exact"/>
        <w:ind w:firstLine="640"/>
        <w:jc w:val="both"/>
        <w:rPr>
          <w:rFonts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（一）疫情防控</w:t>
      </w:r>
    </w:p>
    <w:p w14:paraId="5B962760">
      <w:pPr>
        <w:keepNext w:val="0"/>
        <w:keepLines w:val="0"/>
        <w:pageBreakBefore w:val="0"/>
        <w:widowControl w:val="0"/>
        <w:spacing w:line="560" w:lineRule="exact"/>
        <w:ind w:firstLine="643"/>
        <w:jc w:val="both"/>
        <w:rPr>
          <w:rFonts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1.重点人群监测</w:t>
      </w:r>
    </w:p>
    <w:p w14:paraId="3F130C07">
      <w:pPr>
        <w:keepNext w:val="0"/>
        <w:keepLines w:val="0"/>
        <w:pageBreakBefore w:val="0"/>
        <w:widowControl w:val="0"/>
        <w:spacing w:line="560" w:lineRule="exact"/>
        <w:ind w:firstLine="640"/>
        <w:jc w:val="both"/>
        <w:rPr>
          <w:rFonts w:hint="eastAsia" w:ascii="宋体" w:hAnsi="宋体" w:eastAsia="宋体" w:cs="宋体"/>
          <w:sz w:val="32"/>
          <w:szCs w:val="32"/>
          <w:lang w:val="en-US" w:eastAsia="zh-CN"/>
        </w:rPr>
      </w:pPr>
      <w:r>
        <w:rPr>
          <w:rFonts w:hint="eastAsia" w:ascii="宋体" w:hAnsi="宋体" w:eastAsia="宋体" w:cs="宋体"/>
          <w:b w:val="0"/>
          <w:bCs w:val="0"/>
          <w:sz w:val="32"/>
          <w:szCs w:val="32"/>
          <w:lang w:val="en-US" w:eastAsia="zh-CN"/>
        </w:rPr>
        <w:t>县疾控中心根据疫情防控工作要求，对医务人员、物流、交通、红码、黄码等重点人群常态化监测；截至10月底，</w:t>
      </w:r>
      <w:r>
        <w:rPr>
          <w:rFonts w:hint="eastAsia" w:ascii="宋体" w:hAnsi="宋体" w:eastAsia="宋体" w:cs="宋体"/>
          <w:sz w:val="32"/>
          <w:szCs w:val="32"/>
          <w:lang w:val="en-US" w:eastAsia="zh-CN"/>
        </w:rPr>
        <w:t>共采集人员核酸样本29029份，环境核酸样本4976份，经检测，结果均为阴性。共收到协查函22份，排查密接人员32人、次密人员124人、红码人员46人、查黄码人员791人。</w:t>
      </w:r>
    </w:p>
    <w:p w14:paraId="7817A88E">
      <w:pPr>
        <w:keepNext w:val="0"/>
        <w:keepLines w:val="0"/>
        <w:pageBreakBefore w:val="0"/>
        <w:widowControl w:val="0"/>
        <w:spacing w:line="560" w:lineRule="exact"/>
        <w:ind w:firstLine="643"/>
        <w:jc w:val="both"/>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2.全员核酸检测</w:t>
      </w:r>
    </w:p>
    <w:p w14:paraId="6E3FFD15">
      <w:pPr>
        <w:keepNext w:val="0"/>
        <w:keepLines w:val="0"/>
        <w:pageBreakBefore w:val="0"/>
        <w:widowControl w:val="0"/>
        <w:spacing w:line="560" w:lineRule="exact"/>
        <w:ind w:firstLine="640"/>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截至目前，县疾控中心</w:t>
      </w:r>
      <w:r>
        <w:rPr>
          <w:rFonts w:hint="eastAsia" w:ascii="宋体" w:hAnsi="宋体" w:eastAsia="宋体" w:cs="宋体"/>
          <w:color w:val="000000"/>
          <w:sz w:val="32"/>
          <w:szCs w:val="32"/>
          <w:lang w:eastAsia="zh-CN"/>
        </w:rPr>
        <w:t>检测人核酸员样本</w:t>
      </w:r>
      <w:r>
        <w:rPr>
          <w:rFonts w:hint="eastAsia" w:ascii="宋体" w:hAnsi="宋体" w:eastAsia="宋体" w:cs="宋体"/>
          <w:color w:val="000000"/>
          <w:sz w:val="32"/>
          <w:szCs w:val="32"/>
          <w:lang w:val="en-US" w:eastAsia="zh-CN"/>
        </w:rPr>
        <w:t>49847管、419830人，环境样本1241份，结果均为阴性。</w:t>
      </w:r>
    </w:p>
    <w:p w14:paraId="29DD9A78">
      <w:pPr>
        <w:keepNext w:val="0"/>
        <w:keepLines w:val="0"/>
        <w:pageBreakBefore w:val="0"/>
        <w:widowControl w:val="0"/>
        <w:spacing w:line="560" w:lineRule="exact"/>
        <w:ind w:firstLine="643"/>
        <w:jc w:val="both"/>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3.新冠疫苗接种</w:t>
      </w:r>
    </w:p>
    <w:p w14:paraId="7EADA427">
      <w:pPr>
        <w:keepNext w:val="0"/>
        <w:keepLines w:val="0"/>
        <w:pageBreakBefore w:val="0"/>
        <w:widowControl w:val="0"/>
        <w:spacing w:line="560" w:lineRule="exact"/>
        <w:ind w:firstLine="640"/>
        <w:jc w:val="both"/>
        <w:rPr>
          <w:rFonts w:hint="eastAsia" w:ascii="宋体" w:hAnsi="宋体" w:eastAsia="宋体" w:cs="宋体"/>
          <w:color w:val="000000"/>
          <w:sz w:val="32"/>
          <w:szCs w:val="32"/>
          <w:lang w:val="en-US" w:eastAsia="zh-CN"/>
        </w:rPr>
      </w:pPr>
      <w:r>
        <w:rPr>
          <w:rFonts w:hint="eastAsia" w:ascii="宋体" w:hAnsi="宋体" w:eastAsia="宋体" w:cs="宋体"/>
          <w:b w:val="0"/>
          <w:bCs w:val="0"/>
          <w:sz w:val="32"/>
          <w:szCs w:val="32"/>
          <w:lang w:val="en-US" w:eastAsia="zh-CN" w:bidi="ar-SA"/>
        </w:rPr>
        <w:t>截至2022年10月底，全县累计接种新冠病毒疫苗34224剂次（含腺病毒疫苗2208剂次），其中，第一剂3937剂次、第二剂8064剂次、第三剂2</w:t>
      </w:r>
      <w:r>
        <w:rPr>
          <w:rFonts w:hint="eastAsia" w:ascii="宋体" w:hAnsi="宋体" w:eastAsia="宋体" w:cs="宋体"/>
          <w:sz w:val="32"/>
          <w:szCs w:val="32"/>
          <w:lang w:val="en-US" w:eastAsia="zh-CN"/>
        </w:rPr>
        <w:t>2223剂次。</w:t>
      </w:r>
      <w:r>
        <w:rPr>
          <w:rFonts w:hint="eastAsia" w:ascii="宋体" w:hAnsi="宋体" w:eastAsia="宋体" w:cs="宋体"/>
          <w:color w:val="000000"/>
          <w:sz w:val="32"/>
          <w:szCs w:val="32"/>
          <w:lang w:val="en-US" w:eastAsia="zh-CN"/>
        </w:rPr>
        <w:t>检测结果均为阴性。</w:t>
      </w:r>
    </w:p>
    <w:p w14:paraId="1CEBC8DD">
      <w:pPr>
        <w:keepNext w:val="0"/>
        <w:keepLines w:val="0"/>
        <w:pageBreakBefore w:val="0"/>
        <w:widowControl w:val="0"/>
        <w:spacing w:line="560" w:lineRule="exact"/>
        <w:ind w:firstLine="643"/>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4.人员培训</w:t>
      </w:r>
    </w:p>
    <w:p w14:paraId="69727F4D">
      <w:pPr>
        <w:keepNext w:val="0"/>
        <w:keepLines w:val="0"/>
        <w:pageBreakBefore w:val="0"/>
        <w:widowControl w:val="0"/>
        <w:spacing w:line="560" w:lineRule="exact"/>
        <w:ind w:firstLine="640"/>
        <w:jc w:val="both"/>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2022年，县疾控中心采取多种形式对县内各行业、部门工作人员、志愿者开展新冠疫情防控技术相关培训，共计</w:t>
      </w:r>
      <w:r>
        <w:rPr>
          <w:rFonts w:hint="eastAsia" w:ascii="宋体" w:hAnsi="宋体" w:eastAsia="宋体" w:cs="宋体"/>
          <w:sz w:val="32"/>
          <w:szCs w:val="32"/>
          <w:lang w:val="en-US" w:eastAsia="zh-CN"/>
        </w:rPr>
        <w:t xml:space="preserve">培训400余人次。 </w:t>
      </w:r>
    </w:p>
    <w:p w14:paraId="4C4312A1">
      <w:pPr>
        <w:keepNext w:val="0"/>
        <w:keepLines w:val="0"/>
        <w:pageBreakBefore w:val="0"/>
        <w:widowControl w:val="0"/>
        <w:spacing w:line="560" w:lineRule="exact"/>
        <w:ind w:firstLine="643"/>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5.应急演练</w:t>
      </w:r>
    </w:p>
    <w:p w14:paraId="4B3C6ADE">
      <w:pPr>
        <w:keepNext w:val="0"/>
        <w:keepLines w:val="0"/>
        <w:pageBreakBefore w:val="0"/>
        <w:widowControl w:val="0"/>
        <w:spacing w:line="560" w:lineRule="exact"/>
        <w:ind w:firstLine="640"/>
        <w:jc w:val="both"/>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2022年，县疾控中心先后参加了“红原县2022年新冠肺炎疫情防控应急处置演练”、“2022年应对红原大草原雅克音乐季等系列重大文旅活动疫情防控应急处置现场演练”2场演练活动，全县流调溯源队伍及疫情防控成员单位人员核酸样本采、转、运、人员处置能力得到充分检验。</w:t>
      </w:r>
    </w:p>
    <w:p w14:paraId="07A81DC7">
      <w:pPr>
        <w:keepNext w:val="0"/>
        <w:keepLines w:val="0"/>
        <w:pageBreakBefore w:val="0"/>
        <w:widowControl w:val="0"/>
        <w:spacing w:line="560" w:lineRule="exact"/>
        <w:ind w:firstLine="643"/>
        <w:jc w:val="both"/>
        <w:rPr>
          <w:rFonts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6.重要任务落实情况</w:t>
      </w:r>
    </w:p>
    <w:p w14:paraId="6EC00EBA">
      <w:pPr>
        <w:keepNext w:val="0"/>
        <w:keepLines w:val="0"/>
        <w:pageBreakBefore w:val="0"/>
        <w:widowControl w:val="0"/>
        <w:spacing w:line="560" w:lineRule="exact"/>
        <w:ind w:firstLine="640"/>
        <w:jc w:val="both"/>
        <w:rPr>
          <w:rFonts w:hint="eastAsia" w:ascii="宋体" w:hAnsi="宋体" w:eastAsia="宋体" w:cs="宋体"/>
          <w:b/>
          <w:bCs/>
          <w:sz w:val="32"/>
          <w:szCs w:val="32"/>
          <w:lang w:val="en-US" w:eastAsia="zh-CN"/>
        </w:rPr>
      </w:pPr>
      <w:r>
        <w:rPr>
          <w:rFonts w:hint="eastAsia" w:ascii="宋体" w:hAnsi="宋体" w:eastAsia="宋体" w:cs="宋体"/>
          <w:b w:val="0"/>
          <w:bCs w:val="0"/>
          <w:sz w:val="32"/>
          <w:szCs w:val="32"/>
          <w:lang w:val="en-US" w:eastAsia="zh-CN"/>
        </w:rPr>
        <w:t>（1）雅克音乐季疫情防控</w:t>
      </w:r>
    </w:p>
    <w:p w14:paraId="2D7B6C9C">
      <w:pPr>
        <w:keepNext w:val="0"/>
        <w:keepLines w:val="0"/>
        <w:pageBreakBefore w:val="0"/>
        <w:widowControl w:val="0"/>
        <w:spacing w:line="560" w:lineRule="exact"/>
        <w:ind w:firstLine="640"/>
        <w:jc w:val="both"/>
        <w:rPr>
          <w:rFonts w:hint="eastAsia" w:ascii="宋体" w:hAnsi="宋体" w:eastAsia="宋体" w:cs="宋体"/>
          <w:b w:val="0"/>
          <w:bCs w:val="0"/>
          <w:color w:val="000000"/>
          <w:sz w:val="32"/>
          <w:szCs w:val="32"/>
          <w:lang w:val="en-US" w:eastAsia="zh-CN"/>
        </w:rPr>
      </w:pPr>
      <w:r>
        <w:rPr>
          <w:rFonts w:hint="eastAsia" w:ascii="宋体" w:hAnsi="宋体" w:eastAsia="宋体" w:cs="宋体"/>
          <w:i w:val="0"/>
          <w:iCs w:val="0"/>
          <w:caps w:val="0"/>
          <w:color w:val="000000"/>
          <w:spacing w:val="0"/>
          <w:sz w:val="32"/>
          <w:szCs w:val="32"/>
          <w:shd w:val="clear" w:color="auto" w:fill="FFFFFF"/>
          <w:lang w:val="en-US" w:eastAsia="zh-CN"/>
        </w:rPr>
        <w:t>按照县委政府雅克音乐季工作安排，县疾控中心圆满完成了卡点工作督导指导、会场消杀、通道人员查验、点位采样、人群监测、核酸检测、联系乡镇疫情防控蹲点指导等工作。</w:t>
      </w:r>
    </w:p>
    <w:p w14:paraId="0CA618C9">
      <w:pPr>
        <w:keepNext w:val="0"/>
        <w:keepLines w:val="0"/>
        <w:pageBreakBefore w:val="0"/>
        <w:widowControl w:val="0"/>
        <w:spacing w:line="560" w:lineRule="exact"/>
        <w:ind w:firstLine="640"/>
        <w:jc w:val="both"/>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（2）支援州内省外疫情防控工作情况</w:t>
      </w:r>
    </w:p>
    <w:p w14:paraId="55426735">
      <w:pPr>
        <w:keepNext w:val="0"/>
        <w:keepLines w:val="0"/>
        <w:pageBreakBefore w:val="0"/>
        <w:widowControl w:val="0"/>
        <w:spacing w:line="560" w:lineRule="exact"/>
        <w:ind w:firstLine="640"/>
        <w:jc w:val="both"/>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2022年，我单位共计派出3批4人先后支援西藏昌都市、我州阿坝县、马尔康市疫情防控工作。</w:t>
      </w:r>
    </w:p>
    <w:p w14:paraId="757B8238">
      <w:pPr>
        <w:keepNext w:val="0"/>
        <w:keepLines w:val="0"/>
        <w:pageBreakBefore w:val="0"/>
        <w:widowControl w:val="0"/>
        <w:spacing w:line="560" w:lineRule="exact"/>
        <w:ind w:firstLine="643"/>
        <w:jc w:val="both"/>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二、思想政治工作</w:t>
      </w:r>
    </w:p>
    <w:p w14:paraId="1B62A3E3">
      <w:pPr>
        <w:keepNext w:val="0"/>
        <w:keepLines w:val="0"/>
        <w:pageBreakBefore w:val="0"/>
        <w:widowControl w:val="0"/>
        <w:spacing w:line="560" w:lineRule="exact"/>
        <w:ind w:firstLine="640"/>
        <w:jc w:val="both"/>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（一）党的建设</w:t>
      </w:r>
    </w:p>
    <w:p w14:paraId="28891515">
      <w:pPr>
        <w:keepNext w:val="0"/>
        <w:keepLines w:val="0"/>
        <w:pageBreakBefore w:val="0"/>
        <w:widowControl w:val="0"/>
        <w:numPr>
          <w:ilvl w:val="0"/>
          <w:numId w:val="0"/>
        </w:numPr>
        <w:spacing w:line="560" w:lineRule="exact"/>
        <w:ind w:firstLine="640"/>
        <w:rPr>
          <w:rFonts w:hint="eastAsia" w:ascii="宋体" w:hAnsi="宋体" w:eastAsia="宋体" w:cs="宋体"/>
          <w:b w:val="0"/>
          <w:bCs w:val="0"/>
          <w:sz w:val="32"/>
          <w:szCs w:val="32"/>
          <w:vertAlign w:val="baseline"/>
          <w:lang w:val="en-US" w:eastAsia="zh-CN"/>
        </w:rPr>
      </w:pPr>
      <w:r>
        <w:rPr>
          <w:rFonts w:hint="eastAsia" w:ascii="宋体" w:hAnsi="宋体" w:eastAsia="宋体" w:cs="宋体"/>
          <w:b w:val="0"/>
          <w:bCs w:val="0"/>
          <w:sz w:val="32"/>
          <w:szCs w:val="32"/>
          <w:lang w:val="en-US" w:eastAsia="zh-CN"/>
        </w:rPr>
        <w:t>1至9月，县疾控中心共计召开党支部会议6次、党员大会2次、党风廉政建设专题教育1次、支部书记讲党课2次，召开职工大会6次；利用“学习强国”、“青年大学习”、“四川党建”等手机APP，开展常态化线上教育学习，疾控中心全体人员</w:t>
      </w:r>
      <w:r>
        <w:rPr>
          <w:rFonts w:hint="eastAsia" w:ascii="宋体" w:hAnsi="宋体" w:eastAsia="宋体" w:cs="宋体"/>
          <w:b w:val="0"/>
          <w:bCs w:val="0"/>
          <w:sz w:val="32"/>
          <w:szCs w:val="32"/>
          <w:vertAlign w:val="baseline"/>
          <w:lang w:val="en-US" w:eastAsia="zh-CN"/>
        </w:rPr>
        <w:t>“四个意识”进一步增强、“四个自信”进一步坚定、忠诚拥护“两个确立”、坚决做到了“两个维护”。</w:t>
      </w:r>
    </w:p>
    <w:p w14:paraId="062CECCE">
      <w:pPr>
        <w:numPr>
          <w:ilvl w:val="0"/>
          <w:numId w:val="0"/>
        </w:numPr>
        <w:ind w:firstLine="640"/>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（二）乡村振兴及“两联一进”工作</w:t>
      </w:r>
    </w:p>
    <w:p w14:paraId="5BD4023B">
      <w:pPr>
        <w:keepNext w:val="0"/>
        <w:keepLines w:val="0"/>
        <w:pageBreakBefore w:val="0"/>
        <w:widowControl w:val="0"/>
        <w:spacing w:line="240" w:lineRule="auto"/>
        <w:ind w:firstLine="640"/>
        <w:jc w:val="left"/>
        <w:rPr>
          <w:rFonts w:hint="eastAsia" w:ascii="宋体" w:hAnsi="宋体" w:eastAsia="宋体" w:cs="宋体"/>
          <w:sz w:val="32"/>
          <w:szCs w:val="32"/>
          <w:lang w:val="en-US" w:eastAsia="zh-CN"/>
        </w:rPr>
      </w:pPr>
      <w:r>
        <w:rPr>
          <w:rFonts w:hint="eastAsia" w:ascii="宋体" w:hAnsi="宋体" w:eastAsia="宋体" w:cs="宋体"/>
          <w:color w:val="000000"/>
          <w:sz w:val="32"/>
          <w:szCs w:val="32"/>
          <w:lang w:val="en-US" w:eastAsia="zh-CN" w:bidi="ar"/>
        </w:rPr>
        <w:t>2022年，县疾控中心</w:t>
      </w:r>
      <w:r>
        <w:rPr>
          <w:rFonts w:hint="eastAsia" w:ascii="宋体" w:hAnsi="宋体" w:eastAsia="宋体" w:cs="宋体"/>
          <w:b w:val="0"/>
          <w:bCs w:val="0"/>
          <w:sz w:val="32"/>
          <w:szCs w:val="32"/>
          <w:lang w:val="en-US" w:eastAsia="zh-CN"/>
        </w:rPr>
        <w:t>组织单位职工</w:t>
      </w:r>
      <w:r>
        <w:rPr>
          <w:rFonts w:hint="eastAsia" w:ascii="宋体" w:hAnsi="宋体" w:eastAsia="宋体" w:cs="宋体"/>
          <w:color w:val="000000"/>
          <w:sz w:val="32"/>
          <w:szCs w:val="32"/>
          <w:lang w:val="en-US" w:eastAsia="zh-CN" w:bidi="ar"/>
        </w:rPr>
        <w:t>深入色地镇茸塔玛村开展入户走访工作，全年共计走访入户70户、230余人次，</w:t>
      </w:r>
      <w:r>
        <w:rPr>
          <w:rFonts w:hint="eastAsia" w:ascii="宋体" w:hAnsi="宋体" w:eastAsia="宋体" w:cs="宋体"/>
          <w:b w:val="0"/>
          <w:bCs w:val="0"/>
          <w:sz w:val="32"/>
          <w:szCs w:val="32"/>
          <w:lang w:val="en-US" w:eastAsia="zh-CN"/>
        </w:rPr>
        <w:t>收集到用水、用电等相关求助诉求6件，目前均已妥善解决。</w:t>
      </w:r>
    </w:p>
    <w:p w14:paraId="196A80D0">
      <w:pPr>
        <w:keepNext w:val="0"/>
        <w:keepLines w:val="0"/>
        <w:pageBreakBefore w:val="0"/>
        <w:widowControl w:val="0"/>
        <w:spacing w:line="560" w:lineRule="exact"/>
        <w:ind w:firstLine="640"/>
        <w:jc w:val="both"/>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（三）意识形态工作</w:t>
      </w:r>
    </w:p>
    <w:p w14:paraId="2F031C8A">
      <w:pPr>
        <w:pStyle w:val="188"/>
        <w:ind w:left="0" w:firstLine="640"/>
        <w:rPr>
          <w:rFonts w:hint="eastAsia" w:ascii="宋体" w:hAnsi="宋体" w:eastAsia="宋体" w:cs="宋体"/>
          <w:sz w:val="32"/>
          <w:szCs w:val="32"/>
          <w:lang w:val="en-US" w:eastAsia="zh-CN"/>
        </w:rPr>
      </w:pPr>
      <w:r>
        <w:rPr>
          <w:rFonts w:hint="eastAsia" w:ascii="宋体" w:hAnsi="宋体" w:eastAsia="宋体" w:cs="宋体"/>
          <w:b w:val="0"/>
          <w:bCs w:val="0"/>
          <w:sz w:val="32"/>
          <w:szCs w:val="32"/>
          <w:lang w:val="en-US" w:eastAsia="zh-CN"/>
        </w:rPr>
        <w:t>本年度制定工作方案1套，召开意识形态相关会议3次，就党的十九届六中全会、习近平总书记来川视察重要指示和省、州、县相关重要文件精神进行了集中学习，组织全体职工观看了党的二十大、省第十二次次党代会等会议现场直播，上报意识形态工作信息2期。</w:t>
      </w:r>
    </w:p>
    <w:p w14:paraId="50DA1FBF">
      <w:pPr>
        <w:keepNext w:val="0"/>
        <w:keepLines w:val="0"/>
        <w:pageBreakBefore w:val="0"/>
        <w:widowControl w:val="0"/>
        <w:numPr>
          <w:ilvl w:val="0"/>
          <w:numId w:val="0"/>
        </w:numPr>
        <w:spacing w:line="560" w:lineRule="exact"/>
        <w:ind w:left="630"/>
        <w:jc w:val="both"/>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（四）党风廉政建设</w:t>
      </w:r>
    </w:p>
    <w:p w14:paraId="10CC061E">
      <w:pPr>
        <w:keepNext w:val="0"/>
        <w:keepLines w:val="0"/>
        <w:pageBreakBefore w:val="0"/>
        <w:widowControl w:val="0"/>
        <w:numPr>
          <w:ilvl w:val="0"/>
          <w:numId w:val="0"/>
        </w:numPr>
        <w:spacing w:line="560" w:lineRule="exact"/>
        <w:ind w:firstLine="643"/>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1.全面落实县委巡察发现问题整改工作</w:t>
      </w:r>
    </w:p>
    <w:p w14:paraId="492769B7">
      <w:pPr>
        <w:keepNext w:val="0"/>
        <w:keepLines w:val="0"/>
        <w:pageBreakBefore w:val="0"/>
        <w:widowControl w:val="0"/>
        <w:spacing w:line="560" w:lineRule="exact"/>
        <w:ind w:firstLine="640"/>
        <w:jc w:val="both"/>
        <w:rPr>
          <w:rFonts w:ascii="仿宋_GB2312" w:hAnsi="仿宋_GB2312" w:eastAsia="仿宋_GB2312" w:cs="仿宋_GB2312"/>
          <w:b w:val="0"/>
          <w:bCs w:val="0"/>
          <w:sz w:val="32"/>
          <w:szCs w:val="32"/>
          <w:lang w:val="en-US" w:eastAsia="zh-CN"/>
        </w:rPr>
      </w:pPr>
      <w:r>
        <w:rPr>
          <w:rFonts w:hint="eastAsia" w:ascii="宋体" w:hAnsi="宋体" w:eastAsia="宋体" w:cs="宋体"/>
          <w:b w:val="0"/>
          <w:bCs w:val="0"/>
          <w:sz w:val="32"/>
          <w:szCs w:val="32"/>
          <w:lang w:val="en-US" w:eastAsia="zh-CN"/>
        </w:rPr>
        <w:t>中共县委第二巡察组于2022年4月11日至5月12日，进驻我中心开展常规巡察工作，10月13日反馈巡察发现的11个问题，并就整改工作作出重要强调；目前，县疾控中心已对照反馈问题拟定了整改方案，下一步，疾控中心将按照县委第二巡察组反馈意见和整改要求，认真落实整改。</w:t>
      </w:r>
    </w:p>
    <w:p w14:paraId="75C912F6">
      <w:pPr>
        <w:keepNext w:val="0"/>
        <w:keepLines w:val="0"/>
        <w:pageBreakBefore w:val="0"/>
        <w:widowControl w:val="0"/>
        <w:spacing w:line="560" w:lineRule="exact"/>
        <w:ind w:firstLine="643"/>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2.认真落实干部队伍作风整顿工作</w:t>
      </w:r>
    </w:p>
    <w:p w14:paraId="02F47958">
      <w:pPr>
        <w:keepNext w:val="0"/>
        <w:keepLines w:val="0"/>
        <w:pageBreakBefore w:val="0"/>
        <w:widowControl w:val="0"/>
        <w:spacing w:line="560" w:lineRule="exact"/>
        <w:ind w:firstLine="640"/>
        <w:jc w:val="both"/>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按照全县干部队伍作风教育整顿工作要求，我单位制定了《红原县疾病预防控制中心干部队伍作风教育整顿实施方案》，深推工作，明确“思想认识不到位、庸懒散浮、无激情、无干劲”、“工作态度不端正、‘等靠要’”等作风方面问题6项，形成工作开展情况报告1份、领导班子自查报告1份、个人自查报告36份。</w:t>
      </w:r>
    </w:p>
    <w:p w14:paraId="5EDF6DD9">
      <w:pPr>
        <w:keepNext w:val="0"/>
        <w:keepLines w:val="0"/>
        <w:pageBreakBefore w:val="0"/>
        <w:widowControl w:val="0"/>
        <w:spacing w:line="560" w:lineRule="exact"/>
        <w:ind w:firstLine="643"/>
        <w:jc w:val="both"/>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三、综治维稳</w:t>
      </w:r>
    </w:p>
    <w:p w14:paraId="2BC17ED6">
      <w:pPr>
        <w:keepNext w:val="0"/>
        <w:keepLines w:val="0"/>
        <w:pageBreakBefore w:val="0"/>
        <w:widowControl w:val="0"/>
        <w:spacing w:line="560" w:lineRule="exact"/>
        <w:ind w:firstLine="640"/>
        <w:jc w:val="both"/>
        <w:rPr>
          <w:rFonts w:hint="eastAsia" w:ascii="宋体" w:hAnsi="宋体" w:eastAsia="宋体" w:cs="宋体"/>
          <w:b w:val="0"/>
          <w:bCs w:val="0"/>
          <w:color w:val="000000"/>
          <w:sz w:val="32"/>
          <w:szCs w:val="32"/>
          <w:lang w:val="en-US" w:eastAsia="zh-CN" w:bidi="ar-SA"/>
        </w:rPr>
      </w:pPr>
      <w:r>
        <w:rPr>
          <w:rFonts w:hint="eastAsia" w:ascii="宋体" w:hAnsi="宋体" w:eastAsia="宋体" w:cs="宋体"/>
          <w:b w:val="0"/>
          <w:bCs w:val="0"/>
          <w:color w:val="000000"/>
          <w:sz w:val="32"/>
          <w:szCs w:val="32"/>
          <w:lang w:val="en-US" w:eastAsia="zh-CN" w:bidi="ar-SA"/>
        </w:rPr>
        <w:t>（一）3月敏感期维稳工作</w:t>
      </w:r>
    </w:p>
    <w:p w14:paraId="61BA7C64">
      <w:pPr>
        <w:keepNext w:val="0"/>
        <w:keepLines w:val="0"/>
        <w:pageBreakBefore w:val="0"/>
        <w:widowControl w:val="0"/>
        <w:spacing w:line="560" w:lineRule="exact"/>
        <w:ind w:firstLine="640"/>
        <w:jc w:val="both"/>
        <w:rPr>
          <w:rFonts w:hint="eastAsia" w:ascii="宋体" w:hAnsi="宋体" w:eastAsia="宋体" w:cs="宋体"/>
          <w:color w:val="000000"/>
          <w:sz w:val="32"/>
          <w:szCs w:val="32"/>
          <w:lang w:val="en-US" w:eastAsia="zh-CN"/>
        </w:rPr>
      </w:pPr>
      <w:r>
        <w:rPr>
          <w:rFonts w:hint="eastAsia" w:ascii="宋体" w:hAnsi="宋体" w:eastAsia="宋体" w:cs="宋体"/>
          <w:b w:val="0"/>
          <w:bCs w:val="0"/>
          <w:color w:val="000000"/>
          <w:sz w:val="32"/>
          <w:szCs w:val="32"/>
          <w:lang w:val="en-US" w:eastAsia="zh-CN" w:bidi="ar-SA"/>
        </w:rPr>
        <w:t>结合乡村振兴、“两联一进”工作要求，</w:t>
      </w:r>
      <w:r>
        <w:rPr>
          <w:rFonts w:hint="eastAsia" w:ascii="宋体" w:hAnsi="宋体" w:eastAsia="宋体" w:cs="宋体"/>
          <w:b w:val="0"/>
          <w:bCs w:val="0"/>
          <w:color w:val="000000"/>
          <w:sz w:val="32"/>
          <w:szCs w:val="32"/>
          <w:lang w:val="en-US" w:eastAsia="zh-CN"/>
        </w:rPr>
        <w:t>3月3日至18日，</w:t>
      </w:r>
      <w:r>
        <w:rPr>
          <w:rFonts w:hint="eastAsia" w:ascii="宋体" w:hAnsi="宋体" w:eastAsia="宋体" w:cs="宋体"/>
          <w:b w:val="0"/>
          <w:bCs w:val="0"/>
          <w:color w:val="000000"/>
          <w:sz w:val="32"/>
          <w:szCs w:val="32"/>
          <w:lang w:val="en-US" w:eastAsia="zh-CN" w:bidi="ar-SA"/>
        </w:rPr>
        <w:t>疾控中</w:t>
      </w:r>
      <w:r>
        <w:rPr>
          <w:rFonts w:hint="eastAsia" w:ascii="宋体" w:hAnsi="宋体" w:eastAsia="宋体" w:cs="宋体"/>
          <w:b w:val="0"/>
          <w:bCs w:val="0"/>
          <w:color w:val="000000"/>
          <w:sz w:val="32"/>
          <w:szCs w:val="32"/>
          <w:lang w:val="en-US" w:eastAsia="zh-CN"/>
        </w:rPr>
        <w:t>心组织全体干部职工深入色地镇茸塔玛村开展维稳工作，共计入户走访对口帮扶联系户49户，收集到用水、用电等相关求助诉求3件，疾控中心均已给予了妥善解决。</w:t>
      </w:r>
    </w:p>
    <w:p w14:paraId="7E0397CF">
      <w:pPr>
        <w:keepNext w:val="0"/>
        <w:keepLines w:val="0"/>
        <w:pageBreakBefore w:val="0"/>
        <w:widowControl w:val="0"/>
        <w:spacing w:line="560" w:lineRule="exact"/>
        <w:ind w:firstLine="640"/>
        <w:jc w:val="both"/>
        <w:rPr>
          <w:rFonts w:hint="eastAsia" w:ascii="宋体" w:hAnsi="宋体" w:eastAsia="宋体" w:cs="宋体"/>
          <w:b w:val="0"/>
          <w:bCs w:val="0"/>
          <w:color w:val="000000"/>
          <w:sz w:val="32"/>
          <w:szCs w:val="32"/>
          <w:lang w:val="en-US" w:eastAsia="zh-CN" w:bidi="ar-SA"/>
        </w:rPr>
      </w:pPr>
      <w:r>
        <w:rPr>
          <w:rFonts w:hint="eastAsia" w:ascii="宋体" w:hAnsi="宋体" w:eastAsia="宋体" w:cs="宋体"/>
          <w:b w:val="0"/>
          <w:bCs w:val="0"/>
          <w:color w:val="000000"/>
          <w:sz w:val="32"/>
          <w:szCs w:val="32"/>
          <w:lang w:val="en-US" w:eastAsia="zh-CN" w:bidi="ar-SA"/>
        </w:rPr>
        <w:t>（二）风险防范化解、扫黑除恶</w:t>
      </w:r>
    </w:p>
    <w:p w14:paraId="4C311C7C">
      <w:pPr>
        <w:keepNext w:val="0"/>
        <w:keepLines w:val="0"/>
        <w:pageBreakBefore w:val="0"/>
        <w:widowControl w:val="0"/>
        <w:spacing w:line="560" w:lineRule="exact"/>
        <w:ind w:firstLine="640"/>
        <w:jc w:val="both"/>
        <w:rPr>
          <w:rFonts w:hint="eastAsia" w:ascii="宋体" w:hAnsi="宋体" w:eastAsia="宋体" w:cs="宋体"/>
          <w:b w:val="0"/>
          <w:bCs w:val="0"/>
          <w:color w:val="000000"/>
          <w:sz w:val="32"/>
          <w:szCs w:val="32"/>
          <w:lang w:val="en-US" w:eastAsia="zh-CN" w:bidi="ar-SA"/>
        </w:rPr>
      </w:pPr>
      <w:r>
        <w:rPr>
          <w:rFonts w:hint="eastAsia" w:ascii="宋体" w:hAnsi="宋体" w:eastAsia="宋体" w:cs="宋体"/>
          <w:b w:val="0"/>
          <w:bCs w:val="0"/>
          <w:color w:val="000000"/>
          <w:sz w:val="32"/>
          <w:szCs w:val="32"/>
          <w:lang w:val="en-US" w:eastAsia="zh-CN" w:bidi="ar-SA"/>
        </w:rPr>
        <w:t>2022年本单位以安全生产为主线，常态化开展安全隐患巡查和矛盾纠纷、黑恶势力现象排查工作，全年本单位无安全生产事故、无重大矛盾纠纷、无黑恶势力渗透现象。</w:t>
      </w:r>
    </w:p>
    <w:p w14:paraId="226B7140">
      <w:pPr>
        <w:keepNext w:val="0"/>
        <w:keepLines w:val="0"/>
        <w:pageBreakBefore w:val="0"/>
        <w:widowControl w:val="0"/>
        <w:spacing w:line="560" w:lineRule="exact"/>
        <w:ind w:firstLine="640"/>
        <w:jc w:val="both"/>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（三）安全生产</w:t>
      </w:r>
    </w:p>
    <w:p w14:paraId="0C116B62">
      <w:pPr>
        <w:pStyle w:val="186"/>
        <w:keepNext w:val="0"/>
        <w:keepLines w:val="0"/>
        <w:pageBreakBefore w:val="0"/>
        <w:widowControl w:val="0"/>
        <w:spacing w:line="560" w:lineRule="exact"/>
        <w:rPr>
          <w:rFonts w:hint="eastAsia" w:ascii="宋体" w:hAnsi="宋体" w:eastAsia="宋体" w:cs="宋体"/>
          <w:lang w:val="en-US" w:eastAsia="zh-CN"/>
        </w:rPr>
      </w:pPr>
      <w:r>
        <w:rPr>
          <w:rFonts w:hint="eastAsia" w:ascii="宋体" w:hAnsi="宋体" w:eastAsia="宋体" w:cs="宋体"/>
          <w:b w:val="0"/>
          <w:bCs w:val="0"/>
          <w:sz w:val="32"/>
          <w:szCs w:val="32"/>
          <w:lang w:val="en-US" w:eastAsia="zh-CN"/>
        </w:rPr>
        <w:t xml:space="preserve">    本年度我单位共计开展安全生产工作定期、不定期排查、巡查、大检查共计7次，发现安全隐患及存在问题5处，目前均已整改到位；全年</w:t>
      </w:r>
      <w:r>
        <w:rPr>
          <w:rFonts w:hint="eastAsia" w:ascii="宋体" w:hAnsi="宋体" w:eastAsia="宋体" w:cs="宋体"/>
          <w:sz w:val="32"/>
          <w:szCs w:val="32"/>
          <w:lang w:val="en-US" w:eastAsia="zh-CN"/>
        </w:rPr>
        <w:t>共计上报安全生产相关工作信息8期。</w:t>
      </w:r>
    </w:p>
    <w:p w14:paraId="105DAF09">
      <w:pPr>
        <w:keepNext w:val="0"/>
        <w:keepLines w:val="0"/>
        <w:pageBreakBefore w:val="0"/>
        <w:widowControl w:val="0"/>
        <w:spacing w:line="560" w:lineRule="exact"/>
        <w:ind w:firstLine="643"/>
        <w:jc w:val="both"/>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四、依法治县</w:t>
      </w:r>
    </w:p>
    <w:p w14:paraId="0E7881D3">
      <w:pPr>
        <w:pStyle w:val="186"/>
        <w:keepNext w:val="0"/>
        <w:keepLines w:val="0"/>
        <w:pageBreakBefore w:val="0"/>
        <w:widowControl w:val="0"/>
        <w:spacing w:line="560" w:lineRule="exact"/>
        <w:rPr>
          <w:rFonts w:hint="eastAsia" w:ascii="宋体" w:hAnsi="宋体" w:eastAsia="宋体" w:cs="宋体"/>
          <w:sz w:val="32"/>
          <w:szCs w:val="32"/>
          <w:lang w:val="en-US" w:eastAsia="zh-CN"/>
        </w:rPr>
      </w:pPr>
      <w:r>
        <w:rPr>
          <w:rFonts w:hint="eastAsia" w:ascii="黑体" w:hAnsi="黑体" w:eastAsia="黑体" w:cs="黑体"/>
          <w:b w:val="0"/>
          <w:bCs w:val="0"/>
          <w:sz w:val="32"/>
          <w:szCs w:val="32"/>
          <w:lang w:val="en-US" w:eastAsia="zh-CN"/>
        </w:rPr>
        <w:t xml:space="preserve">    </w:t>
      </w:r>
      <w:r>
        <w:rPr>
          <w:rFonts w:hint="eastAsia" w:ascii="宋体" w:hAnsi="宋体" w:eastAsia="宋体" w:cs="宋体"/>
          <w:b w:val="0"/>
          <w:bCs w:val="0"/>
          <w:sz w:val="32"/>
          <w:szCs w:val="32"/>
          <w:lang w:val="en-US" w:eastAsia="zh-CN"/>
        </w:rPr>
        <w:t>2022年，县疾控中心认真落实依法治县各项工作，开展“法治四川行-安全生产‘4.15’全民国家安全教育日主题活动”1次;常态化组织单位职工对国家卫生健康、电信反诈防骗、政府采购、疫情防控、安全生产等法律法规进行学习，在岗在编人员“学法考试”App注册率100%，</w:t>
      </w:r>
    </w:p>
    <w:p w14:paraId="4855C6BB">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上报依法治县相关信息4期。</w:t>
      </w:r>
    </w:p>
    <w:p w14:paraId="0FE2D414">
      <w:pPr>
        <w:keepNext w:val="0"/>
        <w:keepLines w:val="0"/>
        <w:pageBreakBefore w:val="0"/>
        <w:widowControl w:val="0"/>
        <w:spacing w:line="560" w:lineRule="exact"/>
        <w:ind w:firstLine="643"/>
        <w:jc w:val="both"/>
        <w:rPr>
          <w:rFonts w:ascii="黑体" w:hAnsi="黑体" w:eastAsia="黑体" w:cs="黑体"/>
          <w:b/>
          <w:bCs/>
          <w:sz w:val="32"/>
          <w:szCs w:val="32"/>
          <w:lang w:val="en-US" w:eastAsia="zh-CN"/>
        </w:rPr>
      </w:pPr>
      <w:r>
        <w:rPr>
          <w:rFonts w:hint="eastAsia" w:ascii="黑体" w:hAnsi="黑体" w:eastAsia="黑体" w:cs="黑体"/>
          <w:b/>
          <w:bCs/>
          <w:sz w:val="32"/>
          <w:szCs w:val="32"/>
          <w:lang w:val="en-US" w:eastAsia="zh-CN"/>
        </w:rPr>
        <w:t>五、省内对口帮扶受援工作</w:t>
      </w:r>
    </w:p>
    <w:p w14:paraId="49673980">
      <w:pPr>
        <w:keepNext w:val="0"/>
        <w:keepLines w:val="0"/>
        <w:pageBreakBefore w:val="0"/>
        <w:widowControl w:val="0"/>
        <w:tabs>
          <w:tab w:val="left" w:pos="555"/>
        </w:tabs>
        <w:spacing w:line="560" w:lineRule="exact"/>
        <w:ind w:firstLine="640"/>
        <w:rPr>
          <w:rFonts w:hint="eastAsia" w:ascii="宋体" w:hAnsi="宋体" w:eastAsia="宋体" w:cs="宋体"/>
          <w:sz w:val="32"/>
          <w:szCs w:val="32"/>
          <w:lang w:val="en-US" w:eastAsia="zh-CN"/>
        </w:rPr>
      </w:pPr>
      <w:r>
        <w:rPr>
          <w:rFonts w:hint="eastAsia" w:ascii="仿宋_GB2312" w:hAnsi="仿宋_GB2312" w:eastAsia="仿宋_GB2312" w:cs="仿宋_GB2312"/>
          <w:sz w:val="32"/>
          <w:szCs w:val="32"/>
          <w:lang w:val="en-US" w:eastAsia="zh-CN"/>
        </w:rPr>
        <w:t>2022年，支援方派驻我单位副高级职称对口帮扶专技人员2</w:t>
      </w:r>
      <w:r>
        <w:rPr>
          <w:rFonts w:hint="eastAsia" w:ascii="宋体" w:hAnsi="宋体" w:eastAsia="宋体" w:cs="宋体"/>
          <w:sz w:val="32"/>
          <w:szCs w:val="32"/>
          <w:lang w:val="en-US" w:eastAsia="zh-CN"/>
        </w:rPr>
        <w:t>名，主要负责对口带教、指导红原县疾控中心开展本县健康教育、免疫规划、“健康阿坝行动”工作。</w:t>
      </w:r>
    </w:p>
    <w:p w14:paraId="4FBEFCBA">
      <w:pPr>
        <w:keepNext w:val="0"/>
        <w:keepLines w:val="0"/>
        <w:pageBreakBefore w:val="0"/>
        <w:widowControl w:val="0"/>
        <w:tabs>
          <w:tab w:val="left" w:pos="555"/>
        </w:tabs>
        <w:spacing w:line="560" w:lineRule="exact"/>
        <w:ind w:firstLine="640"/>
        <w:rPr>
          <w:rFonts w:hint="eastAsia" w:ascii="宋体" w:hAnsi="宋体" w:eastAsia="宋体" w:cs="宋体"/>
          <w:lang w:val="en-US" w:eastAsia="zh-CN"/>
        </w:rPr>
      </w:pPr>
      <w:r>
        <w:rPr>
          <w:rFonts w:hint="eastAsia" w:ascii="宋体" w:hAnsi="宋体" w:eastAsia="宋体" w:cs="宋体"/>
          <w:sz w:val="32"/>
          <w:szCs w:val="32"/>
          <w:lang w:val="en-US" w:eastAsia="zh-CN"/>
        </w:rPr>
        <w:t>截至目前，2名绵阳支援人员总计授课180余课时、下基层指导督导开展健康教育、免疫规划相关工作20余天次，录制教学视频1期，时长42分钟。</w:t>
      </w:r>
    </w:p>
    <w:p w14:paraId="178253AE">
      <w:pPr>
        <w:keepNext w:val="0"/>
        <w:keepLines w:val="0"/>
        <w:pageBreakBefore w:val="0"/>
        <w:widowControl w:val="0"/>
        <w:spacing w:line="560" w:lineRule="exact"/>
        <w:ind w:firstLine="643"/>
        <w:jc w:val="both"/>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六、继续教育</w:t>
      </w:r>
    </w:p>
    <w:p w14:paraId="5976C61F">
      <w:pPr>
        <w:keepNext w:val="0"/>
        <w:keepLines w:val="0"/>
        <w:pageBreakBefore w:val="0"/>
        <w:widowControl w:val="0"/>
        <w:spacing w:line="560" w:lineRule="exact"/>
        <w:ind w:firstLine="640"/>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2022年，县疾控中心共计派员参加省州级业务工作现场培训、进修16人次；其中，结防1人次、艾防2人次、基本公卫及慢病管理4人次、传染病管理3人次、地方病防治3人次、免疫规划2人次、检验1人次；组织本单位职工参加思想政治、新冠疫情防控相关视频会议、线上培训30余场150余人次。</w:t>
      </w:r>
    </w:p>
    <w:p w14:paraId="5C678744">
      <w:pPr>
        <w:keepNext w:val="0"/>
        <w:keepLines w:val="0"/>
        <w:pageBreakBefore w:val="0"/>
        <w:widowControl w:val="0"/>
        <w:spacing w:line="560" w:lineRule="exact"/>
        <w:ind w:firstLine="643"/>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七、疾控项目工作</w:t>
      </w:r>
    </w:p>
    <w:p w14:paraId="00C5E878">
      <w:pPr>
        <w:keepNext w:val="0"/>
        <w:keepLines w:val="0"/>
        <w:pageBreakBefore w:val="0"/>
        <w:widowControl w:val="0"/>
        <w:spacing w:line="560" w:lineRule="exact"/>
        <w:ind w:firstLine="640"/>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因执行新冠疫情防控任务，本年度，我县疾控常规项目推进进度较往年同期明显滞后。</w:t>
      </w:r>
    </w:p>
    <w:p w14:paraId="7DB0EEA1">
      <w:pPr>
        <w:keepNext w:val="0"/>
        <w:keepLines w:val="0"/>
        <w:pageBreakBefore w:val="0"/>
        <w:widowControl w:val="0"/>
        <w:spacing w:line="560" w:lineRule="exact"/>
        <w:ind w:firstLine="640"/>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（一）重传防治工作</w:t>
      </w:r>
    </w:p>
    <w:p w14:paraId="4D2B01D9">
      <w:pPr>
        <w:keepNext w:val="0"/>
        <w:keepLines w:val="0"/>
        <w:pageBreakBefore w:val="0"/>
        <w:widowControl w:val="0"/>
        <w:spacing w:line="560" w:lineRule="exact"/>
        <w:ind w:firstLine="643"/>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1.艾滋病防治</w:t>
      </w:r>
    </w:p>
    <w:p w14:paraId="7B60EE9B">
      <w:pPr>
        <w:keepNext w:val="0"/>
        <w:keepLines w:val="0"/>
        <w:pageBreakBefore w:val="0"/>
        <w:widowControl w:val="0"/>
        <w:spacing w:line="560" w:lineRule="exact"/>
        <w:ind w:firstLine="640"/>
        <w:rPr>
          <w:rFonts w:hint="eastAsia" w:ascii="宋体" w:hAnsi="宋体" w:eastAsia="宋体" w:cs="宋体"/>
          <w:color w:val="000000"/>
          <w:sz w:val="32"/>
          <w:szCs w:val="32"/>
        </w:rPr>
      </w:pPr>
      <w:r>
        <w:rPr>
          <w:rFonts w:hint="eastAsia" w:ascii="宋体" w:hAnsi="宋体" w:eastAsia="宋体" w:cs="宋体"/>
          <w:b w:val="0"/>
          <w:bCs w:val="0"/>
          <w:sz w:val="32"/>
          <w:szCs w:val="32"/>
          <w:lang w:val="en-US" w:eastAsia="zh-CN"/>
        </w:rPr>
        <w:t>截至目前，全县医疗机构共完成艾滋病检测10428人次，完成全年检测任务数的18.41%；目前存活艾滋病感染者及病</w:t>
      </w:r>
      <w:r>
        <w:rPr>
          <w:rFonts w:hint="eastAsia" w:ascii="宋体" w:hAnsi="宋体" w:eastAsia="宋体" w:cs="宋体"/>
          <w:color w:val="000000"/>
          <w:sz w:val="32"/>
          <w:szCs w:val="32"/>
        </w:rPr>
        <w:t>人</w:t>
      </w:r>
      <w:r>
        <w:rPr>
          <w:rFonts w:hint="eastAsia" w:ascii="宋体" w:hAnsi="宋体" w:eastAsia="宋体" w:cs="宋体"/>
          <w:color w:val="000000"/>
          <w:sz w:val="32"/>
          <w:szCs w:val="32"/>
          <w:lang w:val="en-US" w:eastAsia="zh-CN"/>
        </w:rPr>
        <w:t>40</w:t>
      </w:r>
      <w:r>
        <w:rPr>
          <w:rFonts w:hint="eastAsia" w:ascii="宋体" w:hAnsi="宋体" w:eastAsia="宋体" w:cs="宋体"/>
          <w:color w:val="000000"/>
          <w:sz w:val="32"/>
          <w:szCs w:val="32"/>
        </w:rPr>
        <w:t>人，完成CD4检测</w:t>
      </w:r>
      <w:r>
        <w:rPr>
          <w:rFonts w:hint="eastAsia" w:ascii="宋体" w:hAnsi="宋体" w:eastAsia="宋体" w:cs="宋体"/>
          <w:color w:val="000000"/>
          <w:sz w:val="32"/>
          <w:szCs w:val="32"/>
          <w:lang w:val="en-US" w:eastAsia="zh-CN"/>
        </w:rPr>
        <w:t>19</w:t>
      </w:r>
      <w:r>
        <w:rPr>
          <w:rFonts w:hint="eastAsia" w:ascii="宋体" w:hAnsi="宋体" w:eastAsia="宋体" w:cs="宋体"/>
          <w:color w:val="000000"/>
          <w:sz w:val="32"/>
          <w:szCs w:val="32"/>
        </w:rPr>
        <w:t>人，完成率为</w:t>
      </w:r>
      <w:r>
        <w:rPr>
          <w:rFonts w:hint="eastAsia" w:ascii="宋体" w:hAnsi="宋体" w:eastAsia="宋体" w:cs="宋体"/>
          <w:color w:val="000000"/>
          <w:sz w:val="32"/>
          <w:szCs w:val="32"/>
          <w:lang w:val="en-US" w:eastAsia="zh-CN"/>
        </w:rPr>
        <w:t>47.5</w:t>
      </w:r>
      <w:r>
        <w:rPr>
          <w:rFonts w:hint="eastAsia" w:ascii="宋体" w:hAnsi="宋体" w:eastAsia="宋体" w:cs="宋体"/>
          <w:color w:val="000000"/>
          <w:sz w:val="32"/>
          <w:szCs w:val="32"/>
        </w:rPr>
        <w:t>%</w:t>
      </w:r>
      <w:r>
        <w:rPr>
          <w:rFonts w:hint="eastAsia" w:ascii="宋体" w:hAnsi="宋体" w:eastAsia="宋体" w:cs="宋体"/>
          <w:color w:val="000000"/>
          <w:sz w:val="32"/>
          <w:szCs w:val="32"/>
          <w:lang w:eastAsia="zh-CN"/>
        </w:rPr>
        <w:t>；</w:t>
      </w:r>
      <w:r>
        <w:rPr>
          <w:rFonts w:hint="eastAsia" w:ascii="宋体" w:hAnsi="宋体" w:eastAsia="宋体" w:cs="宋体"/>
          <w:color w:val="000000"/>
          <w:sz w:val="32"/>
          <w:szCs w:val="32"/>
        </w:rPr>
        <w:t>完成配偶检测</w:t>
      </w:r>
      <w:r>
        <w:rPr>
          <w:rFonts w:hint="eastAsia" w:ascii="宋体" w:hAnsi="宋体" w:eastAsia="宋体" w:cs="宋体"/>
          <w:color w:val="000000"/>
          <w:sz w:val="32"/>
          <w:szCs w:val="32"/>
          <w:lang w:val="en-US" w:eastAsia="zh-CN"/>
        </w:rPr>
        <w:t>9</w:t>
      </w:r>
      <w:r>
        <w:rPr>
          <w:rFonts w:hint="eastAsia" w:ascii="宋体" w:hAnsi="宋体" w:eastAsia="宋体" w:cs="宋体"/>
          <w:color w:val="000000"/>
          <w:sz w:val="32"/>
          <w:szCs w:val="32"/>
        </w:rPr>
        <w:t>人，完成率为</w:t>
      </w:r>
      <w:r>
        <w:rPr>
          <w:rFonts w:hint="eastAsia" w:ascii="宋体" w:hAnsi="宋体" w:eastAsia="宋体" w:cs="宋体"/>
          <w:color w:val="000000"/>
          <w:sz w:val="32"/>
          <w:szCs w:val="32"/>
          <w:lang w:val="en-US" w:eastAsia="zh-CN"/>
        </w:rPr>
        <w:t>100</w:t>
      </w:r>
      <w:r>
        <w:rPr>
          <w:rFonts w:hint="eastAsia" w:ascii="宋体" w:hAnsi="宋体" w:eastAsia="宋体" w:cs="宋体"/>
          <w:color w:val="000000"/>
          <w:sz w:val="32"/>
          <w:szCs w:val="32"/>
        </w:rPr>
        <w:t>%</w:t>
      </w:r>
      <w:r>
        <w:rPr>
          <w:rFonts w:hint="eastAsia" w:ascii="宋体" w:hAnsi="宋体" w:eastAsia="宋体" w:cs="宋体"/>
          <w:color w:val="000000"/>
          <w:sz w:val="32"/>
          <w:szCs w:val="32"/>
          <w:lang w:eastAsia="zh-CN"/>
        </w:rPr>
        <w:t>；</w:t>
      </w:r>
      <w:r>
        <w:rPr>
          <w:rFonts w:hint="eastAsia" w:ascii="宋体" w:hAnsi="宋体" w:eastAsia="宋体" w:cs="宋体"/>
          <w:color w:val="000000"/>
          <w:sz w:val="32"/>
          <w:szCs w:val="32"/>
        </w:rPr>
        <w:t>完成抗病毒治疗</w:t>
      </w:r>
      <w:r>
        <w:rPr>
          <w:rFonts w:hint="eastAsia" w:ascii="宋体" w:hAnsi="宋体" w:eastAsia="宋体" w:cs="宋体"/>
          <w:color w:val="000000"/>
          <w:sz w:val="32"/>
          <w:szCs w:val="32"/>
          <w:lang w:val="en-US" w:eastAsia="zh-CN"/>
        </w:rPr>
        <w:t>40</w:t>
      </w:r>
      <w:r>
        <w:rPr>
          <w:rFonts w:hint="eastAsia" w:ascii="宋体" w:hAnsi="宋体" w:eastAsia="宋体" w:cs="宋体"/>
          <w:color w:val="000000"/>
          <w:sz w:val="32"/>
          <w:szCs w:val="32"/>
        </w:rPr>
        <w:t>人，完成率为</w:t>
      </w:r>
      <w:r>
        <w:rPr>
          <w:rFonts w:hint="eastAsia" w:ascii="宋体" w:hAnsi="宋体" w:eastAsia="宋体" w:cs="宋体"/>
          <w:color w:val="000000"/>
          <w:sz w:val="32"/>
          <w:szCs w:val="32"/>
          <w:lang w:val="en-US" w:eastAsia="zh-CN"/>
        </w:rPr>
        <w:t>100</w:t>
      </w:r>
      <w:r>
        <w:rPr>
          <w:rFonts w:hint="eastAsia" w:ascii="宋体" w:hAnsi="宋体" w:eastAsia="宋体" w:cs="宋体"/>
          <w:color w:val="000000"/>
          <w:sz w:val="32"/>
          <w:szCs w:val="32"/>
        </w:rPr>
        <w:t>%</w:t>
      </w:r>
      <w:r>
        <w:rPr>
          <w:rFonts w:hint="eastAsia" w:ascii="宋体" w:hAnsi="宋体" w:eastAsia="宋体" w:cs="宋体"/>
          <w:color w:val="000000"/>
          <w:sz w:val="32"/>
          <w:szCs w:val="32"/>
          <w:lang w:eastAsia="zh-CN"/>
        </w:rPr>
        <w:t>，抗病毒治疗成功率达到</w:t>
      </w:r>
      <w:r>
        <w:rPr>
          <w:rFonts w:hint="eastAsia" w:ascii="宋体" w:hAnsi="宋体" w:eastAsia="宋体" w:cs="宋体"/>
          <w:color w:val="000000"/>
          <w:sz w:val="32"/>
          <w:szCs w:val="32"/>
          <w:lang w:val="en-US" w:eastAsia="zh-CN"/>
        </w:rPr>
        <w:t>93%；已完成在治感染者及病人病毒载量检测15人；全年完成</w:t>
      </w:r>
      <w:r>
        <w:rPr>
          <w:rFonts w:hint="eastAsia" w:ascii="宋体" w:hAnsi="宋体" w:eastAsia="宋体" w:cs="宋体"/>
          <w:color w:val="000000"/>
          <w:sz w:val="32"/>
          <w:szCs w:val="32"/>
        </w:rPr>
        <w:t>暗娼人群</w:t>
      </w:r>
      <w:r>
        <w:rPr>
          <w:rFonts w:hint="eastAsia" w:ascii="宋体" w:hAnsi="宋体" w:eastAsia="宋体" w:cs="宋体"/>
          <w:color w:val="000000"/>
          <w:sz w:val="32"/>
          <w:szCs w:val="32"/>
          <w:lang w:eastAsia="zh-CN"/>
        </w:rPr>
        <w:t>干预</w:t>
      </w:r>
      <w:r>
        <w:rPr>
          <w:rFonts w:hint="eastAsia" w:ascii="宋体" w:hAnsi="宋体" w:eastAsia="宋体" w:cs="宋体"/>
          <w:color w:val="000000"/>
          <w:sz w:val="32"/>
          <w:szCs w:val="32"/>
          <w:lang w:val="en-US" w:eastAsia="zh-CN"/>
        </w:rPr>
        <w:t>10人次，完成检测10人，发放安全套共计2000余只；</w:t>
      </w:r>
      <w:r>
        <w:rPr>
          <w:rFonts w:hint="eastAsia" w:ascii="宋体" w:hAnsi="宋体" w:eastAsia="宋体" w:cs="宋体"/>
          <w:color w:val="000000"/>
          <w:sz w:val="32"/>
          <w:szCs w:val="32"/>
        </w:rPr>
        <w:t>公共场所安全套推广使用检查覆盖率100%，</w:t>
      </w:r>
      <w:r>
        <w:rPr>
          <w:rFonts w:hint="eastAsia" w:ascii="宋体" w:hAnsi="宋体" w:eastAsia="宋体" w:cs="宋体"/>
          <w:color w:val="000000"/>
          <w:sz w:val="32"/>
          <w:szCs w:val="32"/>
          <w:lang w:eastAsia="zh-CN"/>
        </w:rPr>
        <w:t>县城各大</w:t>
      </w:r>
      <w:r>
        <w:rPr>
          <w:rFonts w:hint="eastAsia" w:ascii="宋体" w:hAnsi="宋体" w:eastAsia="宋体" w:cs="宋体"/>
          <w:color w:val="000000"/>
          <w:sz w:val="32"/>
          <w:szCs w:val="32"/>
        </w:rPr>
        <w:t>宾馆安全套摆放率达100%、其他公共场所达95%，公共场所安全套无偿提供率达95%。</w:t>
      </w:r>
    </w:p>
    <w:p w14:paraId="41F15D18">
      <w:pPr>
        <w:keepNext w:val="0"/>
        <w:keepLines w:val="0"/>
        <w:pageBreakBefore w:val="0"/>
        <w:widowControl w:val="0"/>
        <w:spacing w:line="560" w:lineRule="exact"/>
        <w:ind w:firstLine="643"/>
        <w:jc w:val="both"/>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2.结核病防治</w:t>
      </w:r>
    </w:p>
    <w:p w14:paraId="1ED19D1B">
      <w:pPr>
        <w:spacing w:line="560" w:lineRule="exact"/>
        <w:ind w:firstLine="64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截至目前，全县</w:t>
      </w:r>
      <w:r>
        <w:rPr>
          <w:rFonts w:hint="eastAsia" w:ascii="宋体" w:hAnsi="宋体" w:eastAsia="宋体" w:cs="宋体"/>
          <w:sz w:val="32"/>
          <w:szCs w:val="32"/>
        </w:rPr>
        <w:t>初诊结核病人</w:t>
      </w:r>
      <w:r>
        <w:rPr>
          <w:rFonts w:hint="eastAsia" w:ascii="宋体" w:hAnsi="宋体" w:eastAsia="宋体" w:cs="宋体"/>
          <w:color w:val="000000"/>
          <w:sz w:val="32"/>
          <w:szCs w:val="32"/>
          <w:lang w:val="en-US" w:eastAsia="zh-CN"/>
        </w:rPr>
        <w:t>157</w:t>
      </w:r>
      <w:r>
        <w:rPr>
          <w:rFonts w:hint="eastAsia" w:ascii="宋体" w:hAnsi="宋体" w:eastAsia="宋体" w:cs="宋体"/>
          <w:color w:val="000000"/>
          <w:sz w:val="32"/>
          <w:szCs w:val="32"/>
        </w:rPr>
        <w:t>例，删除重卡</w:t>
      </w:r>
      <w:r>
        <w:rPr>
          <w:rFonts w:hint="eastAsia" w:ascii="宋体" w:hAnsi="宋体" w:eastAsia="宋体" w:cs="宋体"/>
          <w:color w:val="000000"/>
          <w:sz w:val="32"/>
          <w:szCs w:val="32"/>
          <w:lang w:val="en-US" w:eastAsia="zh-CN"/>
        </w:rPr>
        <w:t>31</w:t>
      </w:r>
      <w:r>
        <w:rPr>
          <w:rFonts w:hint="eastAsia" w:ascii="宋体" w:hAnsi="宋体" w:eastAsia="宋体" w:cs="宋体"/>
          <w:color w:val="000000"/>
          <w:sz w:val="32"/>
          <w:szCs w:val="32"/>
        </w:rPr>
        <w:t>例，</w:t>
      </w:r>
      <w:r>
        <w:rPr>
          <w:rFonts w:hint="eastAsia" w:ascii="宋体" w:hAnsi="宋体" w:eastAsia="宋体" w:cs="宋体"/>
          <w:color w:val="000000"/>
          <w:sz w:val="32"/>
          <w:szCs w:val="32"/>
          <w:lang w:val="en-US" w:eastAsia="zh-CN"/>
        </w:rPr>
        <w:t>排查诊断为</w:t>
      </w:r>
      <w:r>
        <w:rPr>
          <w:rFonts w:hint="eastAsia" w:ascii="宋体" w:hAnsi="宋体" w:eastAsia="宋体" w:cs="宋体"/>
          <w:color w:val="000000"/>
          <w:sz w:val="32"/>
          <w:szCs w:val="32"/>
        </w:rPr>
        <w:t>其他疾病</w:t>
      </w:r>
      <w:r>
        <w:rPr>
          <w:rFonts w:hint="eastAsia" w:ascii="宋体" w:hAnsi="宋体" w:eastAsia="宋体" w:cs="宋体"/>
          <w:color w:val="000000"/>
          <w:sz w:val="32"/>
          <w:szCs w:val="32"/>
          <w:lang w:val="en-US" w:eastAsia="zh-CN"/>
        </w:rPr>
        <w:t>34</w:t>
      </w:r>
      <w:r>
        <w:rPr>
          <w:rFonts w:hint="eastAsia" w:ascii="宋体" w:hAnsi="宋体" w:eastAsia="宋体" w:cs="宋体"/>
          <w:color w:val="000000"/>
          <w:sz w:val="32"/>
          <w:szCs w:val="32"/>
        </w:rPr>
        <w:t>例</w:t>
      </w:r>
      <w:r>
        <w:rPr>
          <w:rFonts w:hint="eastAsia" w:ascii="宋体" w:hAnsi="宋体" w:eastAsia="宋体" w:cs="宋体"/>
          <w:color w:val="000000"/>
          <w:sz w:val="32"/>
          <w:szCs w:val="32"/>
          <w:lang w:eastAsia="zh-CN"/>
        </w:rPr>
        <w:t>，</w:t>
      </w:r>
      <w:r>
        <w:rPr>
          <w:rFonts w:hint="eastAsia" w:ascii="宋体" w:hAnsi="宋体" w:eastAsia="宋体" w:cs="宋体"/>
          <w:color w:val="000000"/>
          <w:sz w:val="32"/>
          <w:szCs w:val="32"/>
          <w:lang w:val="en-US" w:eastAsia="zh-CN"/>
        </w:rPr>
        <w:t>临床诊断结核病例92例，已纳入规范管理86例，另6例正在接受住院治疗</w:t>
      </w:r>
      <w:r>
        <w:rPr>
          <w:rFonts w:hint="eastAsia" w:ascii="宋体" w:hAnsi="宋体" w:eastAsia="宋体" w:cs="宋体"/>
          <w:color w:val="000000"/>
          <w:sz w:val="32"/>
          <w:szCs w:val="32"/>
          <w:lang w:eastAsia="zh-CN"/>
        </w:rPr>
        <w:t>；</w:t>
      </w:r>
      <w:r>
        <w:rPr>
          <w:rFonts w:hint="eastAsia" w:ascii="宋体" w:hAnsi="宋体" w:eastAsia="宋体" w:cs="宋体"/>
          <w:color w:val="000000"/>
          <w:sz w:val="32"/>
          <w:szCs w:val="32"/>
          <w:lang w:val="en-US" w:eastAsia="zh-CN"/>
        </w:rPr>
        <w:t>2021年接受规范管理的158例病例中，146例已</w:t>
      </w:r>
      <w:r>
        <w:rPr>
          <w:rFonts w:hint="eastAsia" w:ascii="宋体" w:hAnsi="宋体" w:eastAsia="宋体" w:cs="宋体"/>
          <w:sz w:val="32"/>
          <w:szCs w:val="32"/>
          <w:lang w:val="en-US" w:eastAsia="zh-CN"/>
        </w:rPr>
        <w:t>完成疗程</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另</w:t>
      </w:r>
      <w:r>
        <w:rPr>
          <w:rFonts w:hint="eastAsia" w:ascii="宋体" w:hAnsi="宋体" w:eastAsia="宋体" w:cs="宋体"/>
          <w:color w:val="000000"/>
          <w:sz w:val="32"/>
          <w:szCs w:val="32"/>
          <w:lang w:val="en-US" w:eastAsia="zh-CN"/>
        </w:rPr>
        <w:t>12</w:t>
      </w:r>
      <w:r>
        <w:rPr>
          <w:rFonts w:hint="eastAsia" w:ascii="宋体" w:hAnsi="宋体" w:eastAsia="宋体" w:cs="宋体"/>
          <w:sz w:val="32"/>
          <w:szCs w:val="32"/>
          <w:lang w:val="en-US" w:eastAsia="zh-CN"/>
        </w:rPr>
        <w:t>例病例正在接受规范治疗。</w:t>
      </w:r>
    </w:p>
    <w:p w14:paraId="23E9B921">
      <w:pPr>
        <w:numPr>
          <w:ilvl w:val="0"/>
          <w:numId w:val="0"/>
        </w:numPr>
        <w:ind w:firstLine="640"/>
        <w:rPr>
          <w:rFonts w:hint="eastAsia" w:ascii="宋体" w:hAnsi="宋体" w:eastAsia="宋体" w:cs="宋体"/>
          <w:sz w:val="32"/>
          <w:szCs w:val="32"/>
          <w:lang w:eastAsia="zh-CN"/>
        </w:rPr>
      </w:pPr>
      <w:r>
        <w:rPr>
          <w:rFonts w:hint="eastAsia" w:ascii="宋体" w:hAnsi="宋体" w:eastAsia="宋体" w:cs="宋体"/>
          <w:color w:val="000000"/>
          <w:sz w:val="32"/>
          <w:szCs w:val="32"/>
          <w:lang w:val="en-US" w:eastAsia="zh-CN"/>
        </w:rPr>
        <w:t>2022年累计筛查学校师生</w:t>
      </w:r>
      <w:r>
        <w:rPr>
          <w:rFonts w:hint="eastAsia" w:ascii="宋体" w:hAnsi="宋体" w:eastAsia="宋体" w:cs="宋体"/>
          <w:sz w:val="32"/>
          <w:szCs w:val="32"/>
          <w:lang w:val="en-US" w:eastAsia="zh-CN"/>
        </w:rPr>
        <w:t>5506</w:t>
      </w:r>
      <w:r>
        <w:rPr>
          <w:rFonts w:hint="eastAsia" w:ascii="宋体" w:hAnsi="宋体" w:eastAsia="宋体" w:cs="宋体"/>
          <w:sz w:val="32"/>
          <w:szCs w:val="32"/>
          <w:lang w:eastAsia="zh-CN"/>
        </w:rPr>
        <w:t>人，</w:t>
      </w:r>
      <w:r>
        <w:rPr>
          <w:rFonts w:hint="eastAsia" w:ascii="宋体" w:hAnsi="宋体" w:eastAsia="宋体" w:cs="宋体"/>
          <w:sz w:val="32"/>
          <w:szCs w:val="32"/>
        </w:rPr>
        <w:t>发现结核病疑似患者</w:t>
      </w:r>
      <w:r>
        <w:rPr>
          <w:rFonts w:hint="eastAsia" w:ascii="宋体" w:hAnsi="宋体" w:eastAsia="宋体" w:cs="宋体"/>
          <w:color w:val="000000"/>
          <w:sz w:val="32"/>
          <w:szCs w:val="32"/>
          <w:lang w:val="en-US" w:eastAsia="zh-CN"/>
        </w:rPr>
        <w:t>146</w:t>
      </w:r>
      <w:r>
        <w:rPr>
          <w:rFonts w:hint="eastAsia" w:ascii="宋体" w:hAnsi="宋体" w:eastAsia="宋体" w:cs="宋体"/>
          <w:sz w:val="32"/>
          <w:szCs w:val="32"/>
        </w:rPr>
        <w:t>例</w:t>
      </w:r>
      <w:r>
        <w:rPr>
          <w:rFonts w:hint="eastAsia" w:ascii="宋体" w:hAnsi="宋体" w:eastAsia="宋体" w:cs="宋体"/>
          <w:sz w:val="32"/>
          <w:szCs w:val="32"/>
          <w:lang w:val="en-US" w:eastAsia="zh-CN"/>
        </w:rPr>
        <w:t>。</w:t>
      </w:r>
    </w:p>
    <w:p w14:paraId="40A50248">
      <w:pPr>
        <w:keepNext w:val="0"/>
        <w:keepLines w:val="0"/>
        <w:pageBreakBefore w:val="0"/>
        <w:widowControl w:val="0"/>
        <w:spacing w:line="560" w:lineRule="exact"/>
        <w:ind w:firstLine="643"/>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3.包虫病防治</w:t>
      </w:r>
    </w:p>
    <w:p w14:paraId="7F60A162">
      <w:pPr>
        <w:keepNext w:val="0"/>
        <w:keepLines w:val="0"/>
        <w:pageBreakBefore w:val="0"/>
        <w:widowControl w:val="0"/>
        <w:spacing w:line="560" w:lineRule="exact"/>
        <w:ind w:firstLine="640"/>
        <w:rPr>
          <w:rFonts w:hint="eastAsia" w:ascii="宋体" w:hAnsi="宋体" w:eastAsia="宋体" w:cs="宋体"/>
          <w:color w:val="000000"/>
          <w:sz w:val="32"/>
          <w:szCs w:val="32"/>
          <w:lang w:eastAsia="zh-CN"/>
        </w:rPr>
      </w:pPr>
      <w:r>
        <w:rPr>
          <w:rFonts w:hint="eastAsia" w:ascii="宋体" w:hAnsi="宋体" w:eastAsia="宋体" w:cs="宋体"/>
          <w:color w:val="000000"/>
          <w:sz w:val="32"/>
          <w:szCs w:val="32"/>
        </w:rPr>
        <w:t>2008年至今</w:t>
      </w:r>
      <w:r>
        <w:rPr>
          <w:rFonts w:hint="eastAsia" w:ascii="宋体" w:hAnsi="宋体" w:eastAsia="宋体" w:cs="宋体"/>
          <w:color w:val="000000"/>
          <w:sz w:val="32"/>
          <w:szCs w:val="32"/>
          <w:lang w:eastAsia="zh-CN"/>
        </w:rPr>
        <w:t>，</w:t>
      </w:r>
      <w:r>
        <w:rPr>
          <w:rFonts w:hint="eastAsia" w:ascii="宋体" w:hAnsi="宋体" w:eastAsia="宋体" w:cs="宋体"/>
          <w:color w:val="000000"/>
          <w:sz w:val="32"/>
          <w:szCs w:val="32"/>
          <w:lang w:val="en-US" w:eastAsia="zh-CN"/>
        </w:rPr>
        <w:t>全县共计</w:t>
      </w:r>
      <w:r>
        <w:rPr>
          <w:rFonts w:hint="eastAsia" w:ascii="宋体" w:hAnsi="宋体" w:eastAsia="宋体" w:cs="宋体"/>
          <w:color w:val="000000"/>
          <w:sz w:val="32"/>
          <w:szCs w:val="32"/>
        </w:rPr>
        <w:t>治愈</w:t>
      </w:r>
      <w:r>
        <w:rPr>
          <w:rFonts w:hint="eastAsia" w:ascii="宋体" w:hAnsi="宋体" w:eastAsia="宋体" w:cs="宋体"/>
          <w:color w:val="000000"/>
          <w:sz w:val="32"/>
          <w:szCs w:val="32"/>
          <w:lang w:val="en-US" w:eastAsia="zh-CN"/>
        </w:rPr>
        <w:t>包虫病病人</w:t>
      </w:r>
      <w:r>
        <w:rPr>
          <w:rFonts w:hint="eastAsia" w:ascii="宋体" w:hAnsi="宋体" w:eastAsia="宋体" w:cs="宋体"/>
          <w:color w:val="000000"/>
          <w:sz w:val="32"/>
          <w:szCs w:val="32"/>
        </w:rPr>
        <w:t>2</w:t>
      </w:r>
      <w:r>
        <w:rPr>
          <w:rFonts w:hint="eastAsia" w:ascii="宋体" w:hAnsi="宋体" w:eastAsia="宋体" w:cs="宋体"/>
          <w:color w:val="000000"/>
          <w:sz w:val="32"/>
          <w:szCs w:val="32"/>
          <w:lang w:val="en-US" w:eastAsia="zh-CN"/>
        </w:rPr>
        <w:t>7</w:t>
      </w:r>
      <w:r>
        <w:rPr>
          <w:rFonts w:hint="eastAsia" w:ascii="宋体" w:hAnsi="宋体" w:eastAsia="宋体" w:cs="宋体"/>
          <w:color w:val="000000"/>
          <w:sz w:val="32"/>
          <w:szCs w:val="32"/>
        </w:rPr>
        <w:t>例、有效</w:t>
      </w:r>
      <w:r>
        <w:rPr>
          <w:rFonts w:hint="eastAsia" w:ascii="宋体" w:hAnsi="宋体" w:eastAsia="宋体" w:cs="宋体"/>
          <w:color w:val="000000"/>
          <w:sz w:val="32"/>
          <w:szCs w:val="32"/>
          <w:lang w:val="en-US" w:eastAsia="zh-CN"/>
        </w:rPr>
        <w:t>72</w:t>
      </w:r>
      <w:r>
        <w:rPr>
          <w:rFonts w:hint="eastAsia" w:ascii="宋体" w:hAnsi="宋体" w:eastAsia="宋体" w:cs="宋体"/>
          <w:color w:val="000000"/>
          <w:sz w:val="32"/>
          <w:szCs w:val="32"/>
        </w:rPr>
        <w:t>例、中断治疗</w:t>
      </w:r>
      <w:r>
        <w:rPr>
          <w:rFonts w:hint="eastAsia" w:ascii="宋体" w:hAnsi="宋体" w:eastAsia="宋体" w:cs="宋体"/>
          <w:color w:val="000000"/>
          <w:sz w:val="32"/>
          <w:szCs w:val="32"/>
          <w:lang w:val="en-US" w:eastAsia="zh-CN"/>
        </w:rPr>
        <w:t>30</w:t>
      </w:r>
      <w:r>
        <w:rPr>
          <w:rFonts w:hint="eastAsia" w:ascii="宋体" w:hAnsi="宋体" w:eastAsia="宋体" w:cs="宋体"/>
          <w:color w:val="000000"/>
          <w:sz w:val="32"/>
          <w:szCs w:val="32"/>
        </w:rPr>
        <w:t>例、失访</w:t>
      </w:r>
      <w:r>
        <w:rPr>
          <w:rFonts w:hint="eastAsia" w:ascii="宋体" w:hAnsi="宋体" w:eastAsia="宋体" w:cs="宋体"/>
          <w:color w:val="000000"/>
          <w:sz w:val="32"/>
          <w:szCs w:val="32"/>
          <w:lang w:val="en-US" w:eastAsia="zh-CN"/>
        </w:rPr>
        <w:t>39</w:t>
      </w:r>
      <w:r>
        <w:rPr>
          <w:rFonts w:hint="eastAsia" w:ascii="宋体" w:hAnsi="宋体" w:eastAsia="宋体" w:cs="宋体"/>
          <w:color w:val="000000"/>
          <w:sz w:val="32"/>
          <w:szCs w:val="32"/>
        </w:rPr>
        <w:t>例、因其它疾病死亡1</w:t>
      </w:r>
      <w:r>
        <w:rPr>
          <w:rFonts w:hint="eastAsia" w:ascii="宋体" w:hAnsi="宋体" w:eastAsia="宋体" w:cs="宋体"/>
          <w:color w:val="000000"/>
          <w:sz w:val="32"/>
          <w:szCs w:val="32"/>
          <w:lang w:val="en-US" w:eastAsia="zh-CN"/>
        </w:rPr>
        <w:t>5</w:t>
      </w:r>
      <w:r>
        <w:rPr>
          <w:rFonts w:hint="eastAsia" w:ascii="宋体" w:hAnsi="宋体" w:eastAsia="宋体" w:cs="宋体"/>
          <w:color w:val="000000"/>
          <w:sz w:val="32"/>
          <w:szCs w:val="32"/>
        </w:rPr>
        <w:t>例</w:t>
      </w:r>
      <w:r>
        <w:rPr>
          <w:rFonts w:hint="eastAsia" w:ascii="宋体" w:hAnsi="宋体" w:eastAsia="宋体" w:cs="宋体"/>
          <w:color w:val="000000"/>
          <w:sz w:val="32"/>
          <w:szCs w:val="32"/>
          <w:lang w:eastAsia="zh-CN"/>
        </w:rPr>
        <w:t>；</w:t>
      </w:r>
      <w:r>
        <w:rPr>
          <w:rFonts w:hint="eastAsia" w:ascii="宋体" w:hAnsi="宋体" w:eastAsia="宋体" w:cs="宋体"/>
          <w:color w:val="000000"/>
          <w:sz w:val="32"/>
          <w:szCs w:val="32"/>
          <w:lang w:val="en-US" w:eastAsia="zh-CN"/>
        </w:rPr>
        <w:t>2022年，开展</w:t>
      </w:r>
      <w:r>
        <w:rPr>
          <w:rFonts w:hint="eastAsia" w:ascii="宋体" w:hAnsi="宋体" w:eastAsia="宋体" w:cs="宋体"/>
          <w:color w:val="000000"/>
          <w:sz w:val="32"/>
          <w:szCs w:val="32"/>
        </w:rPr>
        <w:t>药物治疗</w:t>
      </w:r>
      <w:r>
        <w:rPr>
          <w:rFonts w:hint="eastAsia" w:ascii="宋体" w:hAnsi="宋体" w:eastAsia="宋体" w:cs="宋体"/>
          <w:color w:val="000000"/>
          <w:sz w:val="32"/>
          <w:szCs w:val="32"/>
          <w:lang w:val="en-US" w:eastAsia="zh-CN"/>
        </w:rPr>
        <w:t>72</w:t>
      </w:r>
      <w:r>
        <w:rPr>
          <w:rFonts w:hint="eastAsia" w:ascii="宋体" w:hAnsi="宋体" w:eastAsia="宋体" w:cs="宋体"/>
          <w:color w:val="000000"/>
          <w:sz w:val="32"/>
          <w:szCs w:val="32"/>
        </w:rPr>
        <w:t>人次</w:t>
      </w:r>
      <w:r>
        <w:rPr>
          <w:rFonts w:hint="eastAsia" w:ascii="宋体" w:hAnsi="宋体" w:eastAsia="宋体" w:cs="宋体"/>
          <w:color w:val="000000"/>
          <w:sz w:val="32"/>
          <w:szCs w:val="32"/>
          <w:lang w:eastAsia="zh-CN"/>
        </w:rPr>
        <w:t>。</w:t>
      </w:r>
    </w:p>
    <w:p w14:paraId="576D94B5">
      <w:pPr>
        <w:keepNext w:val="0"/>
        <w:keepLines w:val="0"/>
        <w:pageBreakBefore w:val="0"/>
        <w:spacing w:line="560" w:lineRule="exact"/>
        <w:ind w:firstLine="640"/>
        <w:rPr>
          <w:rFonts w:hint="eastAsia" w:ascii="宋体" w:hAnsi="宋体" w:eastAsia="宋体" w:cs="宋体"/>
          <w:sz w:val="32"/>
          <w:szCs w:val="32"/>
          <w:lang w:val="en-US" w:eastAsia="zh-CN"/>
        </w:rPr>
      </w:pPr>
      <w:r>
        <w:rPr>
          <w:rFonts w:hint="eastAsia" w:ascii="宋体" w:hAnsi="宋体" w:eastAsia="宋体" w:cs="宋体"/>
          <w:color w:val="000000"/>
          <w:sz w:val="32"/>
          <w:szCs w:val="32"/>
          <w:lang w:val="en-US" w:eastAsia="zh-CN"/>
        </w:rPr>
        <w:t>2022年，县疾控中心已筛查包虫病目标人群617</w:t>
      </w:r>
      <w:r>
        <w:rPr>
          <w:rFonts w:hint="eastAsia" w:ascii="宋体" w:hAnsi="宋体" w:eastAsia="宋体" w:cs="宋体"/>
          <w:color w:val="000000"/>
          <w:sz w:val="32"/>
          <w:szCs w:val="32"/>
        </w:rPr>
        <w:t>人，确诊</w:t>
      </w:r>
      <w:r>
        <w:rPr>
          <w:rFonts w:hint="eastAsia" w:ascii="宋体" w:hAnsi="宋体" w:eastAsia="宋体" w:cs="宋体"/>
          <w:color w:val="000000"/>
          <w:sz w:val="32"/>
          <w:szCs w:val="32"/>
          <w:lang w:val="en-US" w:eastAsia="zh-CN"/>
        </w:rPr>
        <w:t>3</w:t>
      </w:r>
      <w:r>
        <w:rPr>
          <w:rFonts w:hint="eastAsia" w:ascii="宋体" w:hAnsi="宋体" w:eastAsia="宋体" w:cs="宋体"/>
          <w:color w:val="000000"/>
          <w:sz w:val="32"/>
          <w:szCs w:val="32"/>
        </w:rPr>
        <w:t>人</w:t>
      </w:r>
      <w:r>
        <w:rPr>
          <w:rFonts w:hint="eastAsia" w:ascii="宋体" w:hAnsi="宋体" w:eastAsia="宋体" w:cs="宋体"/>
          <w:color w:val="000000"/>
          <w:sz w:val="32"/>
          <w:szCs w:val="32"/>
          <w:lang w:eastAsia="zh-CN"/>
        </w:rPr>
        <w:t>，</w:t>
      </w:r>
      <w:r>
        <w:rPr>
          <w:rFonts w:hint="eastAsia" w:ascii="宋体" w:hAnsi="宋体" w:eastAsia="宋体" w:cs="宋体"/>
          <w:color w:val="000000"/>
          <w:sz w:val="32"/>
          <w:szCs w:val="32"/>
          <w:lang w:val="en-US" w:eastAsia="zh-CN"/>
        </w:rPr>
        <w:t>剩余人群的</w:t>
      </w:r>
      <w:r>
        <w:rPr>
          <w:rFonts w:hint="eastAsia" w:ascii="宋体" w:hAnsi="宋体" w:eastAsia="宋体" w:cs="宋体"/>
          <w:sz w:val="32"/>
          <w:szCs w:val="32"/>
          <w:lang w:val="en-US" w:eastAsia="zh-CN"/>
        </w:rPr>
        <w:t>B超筛查工作正在推进中</w:t>
      </w:r>
      <w:r>
        <w:rPr>
          <w:rFonts w:hint="eastAsia" w:ascii="宋体" w:hAnsi="宋体" w:eastAsia="宋体" w:cs="宋体"/>
          <w:color w:val="000000"/>
          <w:sz w:val="32"/>
          <w:szCs w:val="32"/>
          <w:lang w:eastAsia="zh-CN"/>
        </w:rPr>
        <w:t>；</w:t>
      </w:r>
      <w:r>
        <w:rPr>
          <w:rFonts w:hint="eastAsia" w:ascii="宋体" w:hAnsi="宋体" w:eastAsia="宋体" w:cs="宋体"/>
          <w:color w:val="000000"/>
          <w:sz w:val="32"/>
          <w:szCs w:val="32"/>
          <w:lang w:val="en-US" w:eastAsia="zh-CN"/>
        </w:rPr>
        <w:t>共采集犬粪</w:t>
      </w:r>
      <w:r>
        <w:rPr>
          <w:rFonts w:hint="eastAsia" w:ascii="宋体" w:hAnsi="宋体" w:eastAsia="宋体" w:cs="宋体"/>
          <w:sz w:val="32"/>
          <w:szCs w:val="32"/>
          <w:lang w:val="en-US" w:eastAsia="zh-CN"/>
        </w:rPr>
        <w:t>800</w:t>
      </w:r>
      <w:r>
        <w:rPr>
          <w:rFonts w:hint="eastAsia" w:ascii="宋体" w:hAnsi="宋体" w:eastAsia="宋体" w:cs="宋体"/>
          <w:sz w:val="32"/>
          <w:szCs w:val="32"/>
        </w:rPr>
        <w:t>份</w:t>
      </w:r>
      <w:r>
        <w:rPr>
          <w:rFonts w:hint="eastAsia" w:ascii="宋体" w:hAnsi="宋体" w:eastAsia="宋体" w:cs="宋体"/>
          <w:sz w:val="32"/>
          <w:szCs w:val="32"/>
          <w:lang w:eastAsia="zh-CN"/>
        </w:rPr>
        <w:t>，</w:t>
      </w:r>
      <w:r>
        <w:rPr>
          <w:rFonts w:hint="eastAsia" w:ascii="宋体" w:hAnsi="宋体" w:eastAsia="宋体" w:cs="宋体"/>
          <w:sz w:val="32"/>
          <w:szCs w:val="32"/>
        </w:rPr>
        <w:t>捕捉鼠兔</w:t>
      </w:r>
      <w:r>
        <w:rPr>
          <w:rFonts w:hint="eastAsia" w:ascii="宋体" w:hAnsi="宋体" w:eastAsia="宋体" w:cs="宋体"/>
          <w:sz w:val="32"/>
          <w:szCs w:val="32"/>
          <w:lang w:val="en-US" w:eastAsia="zh-CN"/>
        </w:rPr>
        <w:t>509</w:t>
      </w:r>
      <w:r>
        <w:rPr>
          <w:rFonts w:hint="eastAsia" w:ascii="宋体" w:hAnsi="宋体" w:eastAsia="宋体" w:cs="宋体"/>
          <w:sz w:val="32"/>
          <w:szCs w:val="32"/>
        </w:rPr>
        <w:t>只，发现</w:t>
      </w:r>
      <w:r>
        <w:rPr>
          <w:rFonts w:hint="eastAsia" w:ascii="宋体" w:hAnsi="宋体" w:eastAsia="宋体" w:cs="宋体"/>
          <w:sz w:val="32"/>
          <w:szCs w:val="32"/>
          <w:lang w:val="en-US" w:eastAsia="zh-CN"/>
        </w:rPr>
        <w:t>鼠兔</w:t>
      </w:r>
      <w:r>
        <w:rPr>
          <w:rFonts w:hint="eastAsia" w:ascii="宋体" w:hAnsi="宋体" w:eastAsia="宋体" w:cs="宋体"/>
          <w:sz w:val="32"/>
          <w:szCs w:val="32"/>
        </w:rPr>
        <w:t>疑似病变脏器</w:t>
      </w:r>
      <w:r>
        <w:rPr>
          <w:rFonts w:hint="eastAsia" w:ascii="宋体" w:hAnsi="宋体" w:eastAsia="宋体" w:cs="宋体"/>
          <w:sz w:val="32"/>
          <w:szCs w:val="32"/>
          <w:lang w:val="en-US" w:eastAsia="zh-CN"/>
        </w:rPr>
        <w:t>27</w:t>
      </w:r>
      <w:r>
        <w:rPr>
          <w:rFonts w:hint="eastAsia" w:ascii="宋体" w:hAnsi="宋体" w:eastAsia="宋体" w:cs="宋体"/>
          <w:sz w:val="32"/>
          <w:szCs w:val="32"/>
        </w:rPr>
        <w:t>例</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标本已送省疾控中心检测，结果待反馈。</w:t>
      </w:r>
    </w:p>
    <w:p w14:paraId="0F4888FA">
      <w:pPr>
        <w:keepNext w:val="0"/>
        <w:keepLines w:val="0"/>
        <w:pageBreakBefore w:val="0"/>
        <w:widowControl w:val="0"/>
        <w:spacing w:line="560" w:lineRule="exact"/>
        <w:ind w:firstLine="640"/>
        <w:jc w:val="both"/>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（二）地方病防治</w:t>
      </w:r>
    </w:p>
    <w:p w14:paraId="51D5CDFC">
      <w:pPr>
        <w:keepNext w:val="0"/>
        <w:keepLines w:val="0"/>
        <w:pageBreakBefore w:val="0"/>
        <w:widowControl w:val="0"/>
        <w:numPr>
          <w:ilvl w:val="0"/>
          <w:numId w:val="0"/>
        </w:numPr>
        <w:spacing w:line="560" w:lineRule="exact"/>
        <w:ind w:firstLine="643"/>
        <w:rPr>
          <w:rFonts w:hint="eastAsia" w:ascii="宋体" w:hAnsi="宋体" w:eastAsia="宋体" w:cs="宋体"/>
          <w:b/>
          <w:sz w:val="32"/>
          <w:szCs w:val="32"/>
          <w:lang w:val="en-US" w:eastAsia="zh-CN"/>
        </w:rPr>
      </w:pPr>
      <w:r>
        <w:rPr>
          <w:rFonts w:hint="eastAsia" w:ascii="宋体" w:hAnsi="宋体" w:eastAsia="宋体" w:cs="宋体"/>
          <w:b/>
          <w:sz w:val="32"/>
          <w:szCs w:val="32"/>
          <w:lang w:val="en-US" w:eastAsia="zh-CN"/>
        </w:rPr>
        <w:t>1.饮茶型地氟病监测工作</w:t>
      </w:r>
    </w:p>
    <w:p w14:paraId="1AD426C5">
      <w:pPr>
        <w:keepNext w:val="0"/>
        <w:keepLines w:val="0"/>
        <w:pageBreakBefore w:val="0"/>
        <w:widowControl w:val="0"/>
        <w:tabs>
          <w:tab w:val="left" w:pos="8460"/>
        </w:tabs>
        <w:spacing w:line="560" w:lineRule="exact"/>
        <w:ind w:firstLine="640"/>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2022年，共计筛查8-12岁学生526人，其中正常496人，检查出氟斑牙病例30例，检出率为57%，可疑病例18例，占34.2%；极轻度10例，占19%；轻度1例，占0.19%；中度1例，占0.19%。</w:t>
      </w:r>
    </w:p>
    <w:p w14:paraId="60E0D536">
      <w:pPr>
        <w:keepNext w:val="0"/>
        <w:keepLines w:val="0"/>
        <w:pageBreakBefore w:val="0"/>
        <w:widowControl w:val="0"/>
        <w:spacing w:line="560" w:lineRule="exact"/>
        <w:ind w:firstLine="643"/>
        <w:rPr>
          <w:rFonts w:hint="eastAsia" w:ascii="宋体" w:hAnsi="宋体" w:eastAsia="宋体" w:cs="宋体"/>
          <w:b/>
          <w:bCs/>
          <w:sz w:val="32"/>
          <w:szCs w:val="32"/>
        </w:rPr>
      </w:pPr>
      <w:r>
        <w:rPr>
          <w:rFonts w:hint="eastAsia" w:ascii="宋体" w:hAnsi="宋体" w:eastAsia="宋体" w:cs="宋体"/>
          <w:b/>
          <w:bCs/>
          <w:sz w:val="32"/>
          <w:szCs w:val="32"/>
          <w:lang w:val="en-US" w:eastAsia="zh-CN"/>
        </w:rPr>
        <w:t>2.</w:t>
      </w:r>
      <w:r>
        <w:rPr>
          <w:rFonts w:hint="eastAsia" w:ascii="宋体" w:hAnsi="宋体" w:eastAsia="宋体" w:cs="宋体"/>
          <w:b/>
          <w:bCs/>
          <w:sz w:val="32"/>
          <w:szCs w:val="32"/>
        </w:rPr>
        <w:t>碘缺乏病防治工作</w:t>
      </w:r>
    </w:p>
    <w:p w14:paraId="37B172AF">
      <w:pPr>
        <w:keepNext w:val="0"/>
        <w:keepLines w:val="0"/>
        <w:pageBreakBefore w:val="0"/>
        <w:widowControl w:val="0"/>
        <w:shd w:val="clear" w:color="auto" w:fill="FFFFFF"/>
        <w:spacing w:line="560" w:lineRule="exact"/>
        <w:ind w:firstLine="600"/>
        <w:rPr>
          <w:rFonts w:hint="eastAsia" w:ascii="宋体" w:hAnsi="宋体" w:eastAsia="宋体" w:cs="宋体"/>
          <w:b/>
          <w:sz w:val="32"/>
          <w:szCs w:val="32"/>
          <w:lang w:val="en-US" w:eastAsia="zh-CN"/>
        </w:rPr>
      </w:pPr>
      <w:r>
        <w:rPr>
          <w:rFonts w:hint="eastAsia" w:ascii="宋体" w:hAnsi="宋体" w:eastAsia="宋体" w:cs="宋体"/>
          <w:sz w:val="32"/>
          <w:szCs w:val="32"/>
          <w:lang w:val="en-US" w:eastAsia="zh-CN"/>
        </w:rPr>
        <w:t>2022年</w:t>
      </w:r>
      <w:r>
        <w:rPr>
          <w:rFonts w:hint="eastAsia" w:ascii="宋体" w:hAnsi="宋体" w:eastAsia="宋体" w:cs="宋体"/>
          <w:sz w:val="32"/>
          <w:szCs w:val="32"/>
        </w:rPr>
        <w:t>，</w:t>
      </w:r>
      <w:r>
        <w:rPr>
          <w:rFonts w:hint="eastAsia" w:ascii="宋体" w:hAnsi="宋体" w:eastAsia="宋体" w:cs="宋体"/>
          <w:sz w:val="32"/>
          <w:szCs w:val="32"/>
          <w:lang w:val="en-US" w:eastAsia="zh-CN"/>
        </w:rPr>
        <w:t>共</w:t>
      </w:r>
      <w:r>
        <w:rPr>
          <w:rFonts w:hint="eastAsia" w:ascii="宋体" w:hAnsi="宋体" w:eastAsia="宋体" w:cs="宋体"/>
          <w:sz w:val="32"/>
          <w:szCs w:val="32"/>
        </w:rPr>
        <w:t>采集8-10岁</w:t>
      </w:r>
      <w:r>
        <w:rPr>
          <w:rFonts w:hint="eastAsia" w:ascii="宋体" w:hAnsi="宋体" w:eastAsia="宋体" w:cs="宋体"/>
          <w:sz w:val="32"/>
          <w:szCs w:val="32"/>
          <w:lang w:val="en-US" w:eastAsia="zh-CN"/>
        </w:rPr>
        <w:t>儿童</w:t>
      </w:r>
      <w:r>
        <w:rPr>
          <w:rFonts w:hint="eastAsia" w:ascii="宋体" w:hAnsi="宋体" w:eastAsia="宋体" w:cs="宋体"/>
          <w:sz w:val="32"/>
          <w:szCs w:val="32"/>
        </w:rPr>
        <w:t>尿</w:t>
      </w:r>
      <w:r>
        <w:rPr>
          <w:rFonts w:hint="eastAsia" w:ascii="宋体" w:hAnsi="宋体" w:eastAsia="宋体" w:cs="宋体"/>
          <w:sz w:val="32"/>
          <w:szCs w:val="32"/>
          <w:lang w:val="en-US" w:eastAsia="zh-CN"/>
        </w:rPr>
        <w:t>样</w:t>
      </w:r>
      <w:r>
        <w:rPr>
          <w:rFonts w:hint="eastAsia" w:ascii="宋体" w:hAnsi="宋体" w:eastAsia="宋体" w:cs="宋体"/>
          <w:sz w:val="32"/>
          <w:szCs w:val="32"/>
        </w:rPr>
        <w:t>2</w:t>
      </w:r>
      <w:r>
        <w:rPr>
          <w:rFonts w:hint="eastAsia" w:ascii="宋体" w:hAnsi="宋体" w:eastAsia="宋体" w:cs="宋体"/>
          <w:sz w:val="32"/>
          <w:szCs w:val="32"/>
          <w:lang w:val="en-US" w:eastAsia="zh-CN"/>
        </w:rPr>
        <w:t>00</w:t>
      </w:r>
      <w:r>
        <w:rPr>
          <w:rFonts w:hint="eastAsia" w:ascii="宋体" w:hAnsi="宋体" w:eastAsia="宋体" w:cs="宋体"/>
          <w:sz w:val="32"/>
          <w:szCs w:val="32"/>
        </w:rPr>
        <w:t>份</w:t>
      </w:r>
      <w:r>
        <w:rPr>
          <w:rFonts w:hint="eastAsia" w:ascii="宋体" w:hAnsi="宋体" w:eastAsia="宋体" w:cs="宋体"/>
          <w:sz w:val="32"/>
          <w:szCs w:val="32"/>
          <w:lang w:eastAsia="zh-CN"/>
        </w:rPr>
        <w:t>、</w:t>
      </w:r>
      <w:r>
        <w:rPr>
          <w:rFonts w:hint="eastAsia" w:ascii="宋体" w:hAnsi="宋体" w:eastAsia="宋体" w:cs="宋体"/>
          <w:sz w:val="32"/>
          <w:szCs w:val="32"/>
        </w:rPr>
        <w:t>盐碘2</w:t>
      </w:r>
      <w:r>
        <w:rPr>
          <w:rFonts w:hint="eastAsia" w:ascii="宋体" w:hAnsi="宋体" w:eastAsia="宋体" w:cs="宋体"/>
          <w:sz w:val="32"/>
          <w:szCs w:val="32"/>
          <w:lang w:val="en-US" w:eastAsia="zh-CN"/>
        </w:rPr>
        <w:t>00</w:t>
      </w:r>
      <w:r>
        <w:rPr>
          <w:rFonts w:hint="eastAsia" w:ascii="宋体" w:hAnsi="宋体" w:eastAsia="宋体" w:cs="宋体"/>
          <w:sz w:val="32"/>
          <w:szCs w:val="32"/>
        </w:rPr>
        <w:t>份</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盐碘中位数26.29ug/L，</w:t>
      </w:r>
      <w:r>
        <w:rPr>
          <w:rFonts w:hint="eastAsia" w:ascii="宋体" w:hAnsi="宋体" w:eastAsia="宋体" w:cs="宋体"/>
          <w:sz w:val="32"/>
          <w:szCs w:val="32"/>
        </w:rPr>
        <w:t>孕妇尿碘100份</w:t>
      </w:r>
      <w:r>
        <w:rPr>
          <w:rFonts w:hint="eastAsia" w:ascii="宋体" w:hAnsi="宋体" w:eastAsia="宋体" w:cs="宋体"/>
          <w:sz w:val="32"/>
          <w:szCs w:val="32"/>
          <w:lang w:eastAsia="zh-CN"/>
        </w:rPr>
        <w:t>、</w:t>
      </w:r>
      <w:r>
        <w:rPr>
          <w:rFonts w:hint="eastAsia" w:ascii="宋体" w:hAnsi="宋体" w:eastAsia="宋体" w:cs="宋体"/>
          <w:sz w:val="32"/>
          <w:szCs w:val="32"/>
        </w:rPr>
        <w:t>盐碘100</w:t>
      </w:r>
      <w:r>
        <w:rPr>
          <w:rFonts w:hint="eastAsia" w:ascii="宋体" w:hAnsi="宋体" w:eastAsia="宋体" w:cs="宋体"/>
          <w:sz w:val="32"/>
          <w:szCs w:val="32"/>
          <w:lang w:val="en-US" w:eastAsia="zh-CN"/>
        </w:rPr>
        <w:t>份</w:t>
      </w:r>
      <w:r>
        <w:rPr>
          <w:rFonts w:hint="eastAsia" w:ascii="宋体" w:hAnsi="宋体" w:eastAsia="宋体" w:cs="宋体"/>
          <w:sz w:val="32"/>
          <w:szCs w:val="32"/>
          <w:lang w:eastAsia="zh-CN"/>
        </w:rPr>
        <w:t>，样本已送实验室检测，</w:t>
      </w:r>
      <w:r>
        <w:rPr>
          <w:rFonts w:hint="eastAsia" w:ascii="宋体" w:hAnsi="宋体" w:eastAsia="宋体" w:cs="宋体"/>
          <w:sz w:val="32"/>
          <w:szCs w:val="32"/>
          <w:lang w:val="en-US" w:eastAsia="zh-CN"/>
        </w:rPr>
        <w:t>结果待反馈。</w:t>
      </w:r>
    </w:p>
    <w:p w14:paraId="0D8A59C1">
      <w:pPr>
        <w:keepNext w:val="0"/>
        <w:keepLines w:val="0"/>
        <w:pageBreakBefore w:val="0"/>
        <w:spacing w:line="560" w:lineRule="exact"/>
        <w:ind w:firstLine="643"/>
        <w:rPr>
          <w:rFonts w:hint="eastAsia" w:ascii="宋体" w:hAnsi="宋体" w:eastAsia="宋体" w:cs="宋体"/>
          <w:b/>
          <w:bCs w:val="0"/>
          <w:sz w:val="32"/>
          <w:szCs w:val="32"/>
        </w:rPr>
      </w:pPr>
      <w:r>
        <w:rPr>
          <w:rFonts w:hint="eastAsia" w:ascii="宋体" w:hAnsi="宋体" w:eastAsia="宋体" w:cs="宋体"/>
          <w:b/>
          <w:bCs w:val="0"/>
          <w:sz w:val="32"/>
          <w:szCs w:val="32"/>
          <w:lang w:val="en-US" w:eastAsia="zh-CN"/>
        </w:rPr>
        <w:t>3.</w:t>
      </w:r>
      <w:r>
        <w:rPr>
          <w:rFonts w:hint="eastAsia" w:ascii="宋体" w:hAnsi="宋体" w:eastAsia="宋体" w:cs="宋体"/>
          <w:b/>
          <w:bCs w:val="0"/>
          <w:sz w:val="32"/>
          <w:szCs w:val="32"/>
        </w:rPr>
        <w:t>大骨节病</w:t>
      </w:r>
      <w:r>
        <w:rPr>
          <w:rFonts w:hint="eastAsia" w:ascii="宋体" w:hAnsi="宋体" w:eastAsia="宋体" w:cs="宋体"/>
          <w:b/>
          <w:bCs w:val="0"/>
          <w:sz w:val="32"/>
          <w:szCs w:val="32"/>
          <w:lang w:val="en-US" w:eastAsia="zh-CN"/>
        </w:rPr>
        <w:t>监测工作</w:t>
      </w:r>
    </w:p>
    <w:p w14:paraId="66AD4E63">
      <w:pPr>
        <w:pStyle w:val="187"/>
        <w:keepNext w:val="0"/>
        <w:keepLines w:val="0"/>
        <w:pageBreakBefore w:val="0"/>
        <w:widowControl w:val="0"/>
        <w:spacing w:line="560" w:lineRule="exact"/>
        <w:ind w:firstLine="640"/>
        <w:rPr>
          <w:rFonts w:hint="eastAsia" w:ascii="宋体" w:hAnsi="宋体" w:eastAsia="宋体" w:cs="宋体"/>
          <w:bCs/>
          <w:sz w:val="32"/>
          <w:szCs w:val="32"/>
          <w:lang w:eastAsia="zh-CN"/>
        </w:rPr>
      </w:pPr>
      <w:r>
        <w:rPr>
          <w:rFonts w:hint="eastAsia" w:ascii="宋体" w:hAnsi="宋体" w:eastAsia="宋体" w:cs="宋体"/>
          <w:sz w:val="32"/>
          <w:szCs w:val="32"/>
          <w:lang w:val="en-US" w:eastAsia="zh-CN"/>
        </w:rPr>
        <w:t>截至目前，已完成辖区内所有大骨节病</w:t>
      </w:r>
      <w:r>
        <w:rPr>
          <w:rFonts w:hint="eastAsia" w:ascii="宋体" w:hAnsi="宋体" w:eastAsia="宋体" w:cs="宋体"/>
          <w:bCs/>
          <w:sz w:val="32"/>
          <w:szCs w:val="32"/>
          <w:u w:val="none"/>
          <w:lang w:val="en-US" w:eastAsia="zh-CN"/>
        </w:rPr>
        <w:t>32</w:t>
      </w:r>
      <w:r>
        <w:rPr>
          <w:rFonts w:hint="eastAsia" w:ascii="宋体" w:hAnsi="宋体" w:eastAsia="宋体" w:cs="宋体"/>
          <w:bCs/>
          <w:sz w:val="32"/>
          <w:szCs w:val="32"/>
        </w:rPr>
        <w:t>个</w:t>
      </w:r>
      <w:r>
        <w:rPr>
          <w:rFonts w:hint="eastAsia" w:ascii="宋体" w:hAnsi="宋体" w:eastAsia="宋体" w:cs="宋体"/>
          <w:sz w:val="32"/>
          <w:szCs w:val="32"/>
          <w:lang w:val="en-US" w:eastAsia="zh-CN"/>
        </w:rPr>
        <w:t>病区村</w:t>
      </w:r>
      <w:r>
        <w:rPr>
          <w:rFonts w:hint="eastAsia" w:ascii="宋体" w:hAnsi="宋体" w:eastAsia="宋体" w:cs="宋体"/>
          <w:sz w:val="32"/>
          <w:szCs w:val="32"/>
        </w:rPr>
        <w:t>7-12岁儿童</w:t>
      </w:r>
      <w:r>
        <w:rPr>
          <w:rFonts w:hint="eastAsia" w:ascii="宋体" w:hAnsi="宋体" w:eastAsia="宋体" w:cs="宋体"/>
          <w:sz w:val="32"/>
          <w:szCs w:val="32"/>
          <w:lang w:val="en-US" w:eastAsia="zh-CN"/>
        </w:rPr>
        <w:t>的</w:t>
      </w:r>
      <w:r>
        <w:rPr>
          <w:rFonts w:hint="eastAsia" w:ascii="宋体" w:hAnsi="宋体" w:eastAsia="宋体" w:cs="宋体"/>
          <w:sz w:val="32"/>
          <w:szCs w:val="32"/>
        </w:rPr>
        <w:t>临床检查</w:t>
      </w:r>
      <w:r>
        <w:rPr>
          <w:rFonts w:hint="eastAsia" w:ascii="宋体" w:hAnsi="宋体" w:eastAsia="宋体" w:cs="宋体"/>
          <w:sz w:val="32"/>
          <w:szCs w:val="32"/>
          <w:lang w:val="en-US" w:eastAsia="zh-CN"/>
        </w:rPr>
        <w:t>工作</w:t>
      </w:r>
      <w:r>
        <w:rPr>
          <w:rFonts w:hint="eastAsia" w:ascii="宋体" w:hAnsi="宋体" w:eastAsia="宋体" w:cs="宋体"/>
          <w:sz w:val="32"/>
          <w:szCs w:val="32"/>
          <w:lang w:eastAsia="zh-CN"/>
        </w:rPr>
        <w:t>，</w:t>
      </w:r>
      <w:r>
        <w:rPr>
          <w:rFonts w:hint="eastAsia" w:ascii="宋体" w:hAnsi="宋体" w:eastAsia="宋体" w:cs="宋体"/>
          <w:bCs/>
          <w:sz w:val="32"/>
          <w:szCs w:val="32"/>
          <w:lang w:val="en-US" w:eastAsia="zh-CN"/>
        </w:rPr>
        <w:t>共监测3287</w:t>
      </w:r>
      <w:r>
        <w:rPr>
          <w:rFonts w:hint="eastAsia" w:ascii="宋体" w:hAnsi="宋体" w:eastAsia="宋体" w:cs="宋体"/>
          <w:bCs/>
          <w:sz w:val="32"/>
          <w:szCs w:val="32"/>
        </w:rPr>
        <w:t>人，未发现儿童大骨节病病例</w:t>
      </w:r>
      <w:r>
        <w:rPr>
          <w:rFonts w:hint="eastAsia" w:ascii="宋体" w:hAnsi="宋体" w:eastAsia="宋体" w:cs="宋体"/>
          <w:bCs/>
          <w:sz w:val="32"/>
          <w:szCs w:val="32"/>
          <w:lang w:eastAsia="zh-CN"/>
        </w:rPr>
        <w:t>。</w:t>
      </w:r>
    </w:p>
    <w:p w14:paraId="0532AA41">
      <w:pPr>
        <w:pStyle w:val="189"/>
        <w:keepNext w:val="0"/>
        <w:keepLines w:val="0"/>
        <w:pageBreakBefore w:val="0"/>
        <w:numPr>
          <w:ilvl w:val="0"/>
          <w:numId w:val="0"/>
        </w:numPr>
        <w:shd w:val="clear" w:color="auto" w:fill="FFFFFF"/>
        <w:spacing w:before="0" w:beforeAutospacing="0" w:after="0" w:afterAutospacing="0" w:line="560" w:lineRule="exact"/>
        <w:ind w:firstLine="643"/>
        <w:rPr>
          <w:rFonts w:hint="eastAsia" w:ascii="宋体" w:hAnsi="宋体" w:eastAsia="宋体" w:cs="宋体"/>
          <w:b/>
          <w:bCs/>
          <w:color w:val="000000"/>
          <w:sz w:val="32"/>
          <w:szCs w:val="32"/>
          <w:lang w:val="en-US" w:eastAsia="zh-CN"/>
        </w:rPr>
      </w:pPr>
      <w:r>
        <w:rPr>
          <w:rFonts w:hint="eastAsia" w:ascii="宋体" w:hAnsi="宋体" w:eastAsia="宋体" w:cs="宋体"/>
          <w:b/>
          <w:bCs/>
          <w:color w:val="000000"/>
          <w:sz w:val="32"/>
          <w:szCs w:val="32"/>
          <w:lang w:val="en-US" w:eastAsia="zh-CN"/>
        </w:rPr>
        <w:t>4.鼠疫防治工作</w:t>
      </w:r>
    </w:p>
    <w:p w14:paraId="794BB1C2">
      <w:pPr>
        <w:pStyle w:val="189"/>
        <w:keepNext w:val="0"/>
        <w:keepLines w:val="0"/>
        <w:pageBreakBefore w:val="0"/>
        <w:numPr>
          <w:ilvl w:val="0"/>
          <w:numId w:val="0"/>
        </w:numPr>
        <w:shd w:val="clear" w:color="auto" w:fill="FFFFFF"/>
        <w:spacing w:before="0" w:beforeAutospacing="0" w:after="0" w:afterAutospacing="0" w:line="560" w:lineRule="exact"/>
        <w:ind w:firstLine="640"/>
        <w:rPr>
          <w:rFonts w:hint="eastAsia" w:ascii="宋体" w:hAnsi="宋体" w:eastAsia="宋体" w:cs="宋体"/>
          <w:color w:val="000000"/>
          <w:sz w:val="32"/>
          <w:szCs w:val="32"/>
          <w:lang w:val="en-US" w:eastAsia="zh-CN"/>
        </w:rPr>
      </w:pPr>
      <w:r>
        <w:rPr>
          <w:rFonts w:hint="eastAsia" w:ascii="宋体" w:hAnsi="宋体" w:eastAsia="宋体" w:cs="宋体"/>
          <w:color w:val="000000"/>
          <w:sz w:val="32"/>
          <w:szCs w:val="32"/>
          <w:lang w:val="en-US" w:eastAsia="zh-CN"/>
        </w:rPr>
        <w:t>2022年，共收集自毙动物9只、采集绵羊血清100份，相关检测结果待州疾控中心反馈。</w:t>
      </w:r>
    </w:p>
    <w:p w14:paraId="3904FA1D">
      <w:pPr>
        <w:keepNext w:val="0"/>
        <w:keepLines w:val="0"/>
        <w:pageBreakBefore w:val="0"/>
        <w:widowControl w:val="0"/>
        <w:numPr>
          <w:ilvl w:val="0"/>
          <w:numId w:val="2"/>
        </w:numPr>
        <w:spacing w:line="560" w:lineRule="exact"/>
        <w:ind w:firstLine="643"/>
        <w:jc w:val="both"/>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麻风病防治</w:t>
      </w:r>
    </w:p>
    <w:p w14:paraId="176A65DC">
      <w:pPr>
        <w:keepNext w:val="0"/>
        <w:keepLines w:val="0"/>
        <w:pageBreakBefore w:val="0"/>
        <w:widowControl w:val="0"/>
        <w:numPr>
          <w:ilvl w:val="0"/>
          <w:numId w:val="0"/>
        </w:numPr>
        <w:spacing w:line="560" w:lineRule="exact"/>
        <w:ind w:firstLine="640"/>
        <w:jc w:val="both"/>
        <w:rPr>
          <w:rFonts w:hint="eastAsia" w:ascii="宋体" w:hAnsi="宋体" w:eastAsia="宋体" w:cs="宋体"/>
          <w:color w:val="000000"/>
          <w:lang w:val="en-US" w:eastAsia="zh-CN"/>
        </w:rPr>
      </w:pPr>
      <w:r>
        <w:rPr>
          <w:rFonts w:hint="eastAsia" w:ascii="宋体" w:hAnsi="宋体" w:eastAsia="宋体" w:cs="宋体"/>
          <w:color w:val="000000"/>
          <w:sz w:val="32"/>
          <w:szCs w:val="32"/>
          <w:lang w:val="en-US" w:eastAsia="zh-CN"/>
        </w:rPr>
        <w:t>我县现有麻风存活病例1例，2022年4月15日疾控中心组织工作人员对其进行了</w:t>
      </w:r>
      <w:r>
        <w:rPr>
          <w:rFonts w:hint="eastAsia" w:ascii="宋体" w:hAnsi="宋体" w:eastAsia="宋体" w:cs="宋体"/>
          <w:b w:val="0"/>
          <w:i w:val="0"/>
          <w:caps w:val="0"/>
          <w:color w:val="000000"/>
          <w:spacing w:val="0"/>
          <w:sz w:val="32"/>
          <w:szCs w:val="32"/>
          <w:shd w:val="clear" w:color="auto" w:fill="FFFFFF"/>
          <w:lang w:val="en-US" w:eastAsia="zh-CN"/>
        </w:rPr>
        <w:t>随访</w:t>
      </w:r>
      <w:r>
        <w:rPr>
          <w:rFonts w:hint="eastAsia" w:ascii="宋体" w:hAnsi="宋体" w:eastAsia="宋体" w:cs="宋体"/>
          <w:color w:val="000000"/>
          <w:sz w:val="32"/>
          <w:szCs w:val="32"/>
          <w:lang w:val="en-US" w:eastAsia="zh-CN"/>
        </w:rPr>
        <w:t>慰问，目前，该病例生活尚可自理。</w:t>
      </w:r>
    </w:p>
    <w:p w14:paraId="15F78B39">
      <w:pPr>
        <w:keepNext w:val="0"/>
        <w:keepLines w:val="0"/>
        <w:pageBreakBefore w:val="0"/>
        <w:spacing w:line="560" w:lineRule="exact"/>
        <w:ind w:firstLine="640"/>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（三）基本公卫工作</w:t>
      </w:r>
    </w:p>
    <w:p w14:paraId="4343A719">
      <w:pPr>
        <w:keepNext w:val="0"/>
        <w:keepLines w:val="0"/>
        <w:widowControl/>
        <w:numPr>
          <w:ilvl w:val="0"/>
          <w:numId w:val="0"/>
        </w:numPr>
        <w:suppressLineNumbers w:val="0"/>
        <w:ind w:firstLine="640"/>
        <w:jc w:val="left"/>
        <w:rPr>
          <w:rFonts w:hint="eastAsia" w:ascii="宋体" w:hAnsi="宋体" w:eastAsia="宋体" w:cs="宋体"/>
          <w:sz w:val="32"/>
          <w:szCs w:val="32"/>
        </w:rPr>
      </w:pPr>
      <w:r>
        <w:rPr>
          <w:rFonts w:hint="eastAsia" w:ascii="宋体" w:hAnsi="宋体" w:eastAsia="宋体" w:cs="宋体"/>
          <w:sz w:val="32"/>
          <w:szCs w:val="32"/>
        </w:rPr>
        <w:t>全县常住人口4</w:t>
      </w:r>
      <w:r>
        <w:rPr>
          <w:rFonts w:hint="eastAsia" w:ascii="宋体" w:hAnsi="宋体" w:eastAsia="宋体" w:cs="宋体"/>
          <w:sz w:val="32"/>
          <w:szCs w:val="32"/>
          <w:lang w:val="en-US" w:eastAsia="zh-CN"/>
        </w:rPr>
        <w:t>6700</w:t>
      </w:r>
      <w:r>
        <w:rPr>
          <w:rFonts w:hint="eastAsia" w:ascii="宋体" w:hAnsi="宋体" w:eastAsia="宋体" w:cs="宋体"/>
          <w:sz w:val="32"/>
          <w:szCs w:val="32"/>
        </w:rPr>
        <w:t>人，已建纸质档案4</w:t>
      </w:r>
      <w:r>
        <w:rPr>
          <w:rFonts w:hint="eastAsia" w:ascii="宋体" w:hAnsi="宋体" w:eastAsia="宋体" w:cs="宋体"/>
          <w:sz w:val="32"/>
          <w:szCs w:val="32"/>
          <w:lang w:val="en-US" w:eastAsia="zh-CN"/>
        </w:rPr>
        <w:t>3409</w:t>
      </w:r>
      <w:r>
        <w:rPr>
          <w:rFonts w:hint="eastAsia" w:ascii="宋体" w:hAnsi="宋体" w:eastAsia="宋体" w:cs="宋体"/>
          <w:sz w:val="32"/>
          <w:szCs w:val="32"/>
        </w:rPr>
        <w:t>份，建档率9</w:t>
      </w:r>
      <w:r>
        <w:rPr>
          <w:rFonts w:hint="eastAsia" w:ascii="宋体" w:hAnsi="宋体" w:eastAsia="宋体" w:cs="宋体"/>
          <w:sz w:val="32"/>
          <w:szCs w:val="32"/>
          <w:lang w:val="en-US" w:eastAsia="zh-CN"/>
        </w:rPr>
        <w:t>2.95</w:t>
      </w:r>
      <w:r>
        <w:rPr>
          <w:rFonts w:hint="eastAsia" w:ascii="宋体" w:hAnsi="宋体" w:eastAsia="宋体" w:cs="宋体"/>
          <w:sz w:val="32"/>
          <w:szCs w:val="32"/>
        </w:rPr>
        <w:t>%，电子健康档案4</w:t>
      </w:r>
      <w:r>
        <w:rPr>
          <w:rFonts w:hint="eastAsia" w:ascii="宋体" w:hAnsi="宋体" w:eastAsia="宋体" w:cs="宋体"/>
          <w:sz w:val="32"/>
          <w:szCs w:val="32"/>
          <w:lang w:val="en-US" w:eastAsia="zh-CN"/>
        </w:rPr>
        <w:t>3409</w:t>
      </w:r>
      <w:r>
        <w:rPr>
          <w:rFonts w:hint="eastAsia" w:ascii="宋体" w:hAnsi="宋体" w:eastAsia="宋体" w:cs="宋体"/>
          <w:sz w:val="32"/>
          <w:szCs w:val="32"/>
        </w:rPr>
        <w:t>份，电子建档率9</w:t>
      </w:r>
      <w:r>
        <w:rPr>
          <w:rFonts w:hint="eastAsia" w:ascii="宋体" w:hAnsi="宋体" w:eastAsia="宋体" w:cs="宋体"/>
          <w:sz w:val="32"/>
          <w:szCs w:val="32"/>
          <w:lang w:val="en-US" w:eastAsia="zh-CN"/>
        </w:rPr>
        <w:t>2.95</w:t>
      </w:r>
      <w:r>
        <w:rPr>
          <w:rFonts w:hint="eastAsia" w:ascii="宋体" w:hAnsi="宋体" w:eastAsia="宋体" w:cs="宋体"/>
          <w:sz w:val="32"/>
          <w:szCs w:val="32"/>
        </w:rPr>
        <w:t>%</w:t>
      </w:r>
      <w:r>
        <w:rPr>
          <w:rFonts w:hint="eastAsia" w:ascii="宋体" w:hAnsi="宋体" w:eastAsia="宋体" w:cs="宋体"/>
          <w:sz w:val="32"/>
          <w:szCs w:val="32"/>
          <w:lang w:eastAsia="zh-CN"/>
        </w:rPr>
        <w:t>，清理</w:t>
      </w:r>
      <w:r>
        <w:rPr>
          <w:rFonts w:hint="eastAsia" w:ascii="宋体" w:hAnsi="宋体" w:eastAsia="宋体" w:cs="宋体"/>
          <w:sz w:val="32"/>
          <w:szCs w:val="32"/>
        </w:rPr>
        <w:t>。其中有动态的</w:t>
      </w:r>
      <w:r>
        <w:rPr>
          <w:rFonts w:hint="eastAsia" w:ascii="宋体" w:hAnsi="宋体" w:eastAsia="宋体" w:cs="宋体"/>
          <w:sz w:val="32"/>
          <w:szCs w:val="32"/>
          <w:lang w:val="en-US" w:eastAsia="zh-CN"/>
        </w:rPr>
        <w:t>6251</w:t>
      </w:r>
      <w:r>
        <w:rPr>
          <w:rFonts w:hint="eastAsia" w:ascii="宋体" w:hAnsi="宋体" w:eastAsia="宋体" w:cs="宋体"/>
          <w:sz w:val="32"/>
          <w:szCs w:val="32"/>
        </w:rPr>
        <w:t>份，65岁以上老年人健康档案3</w:t>
      </w:r>
      <w:r>
        <w:rPr>
          <w:rFonts w:hint="eastAsia" w:ascii="宋体" w:hAnsi="宋体" w:eastAsia="宋体" w:cs="宋体"/>
          <w:sz w:val="32"/>
          <w:szCs w:val="32"/>
          <w:lang w:val="en-US" w:eastAsia="zh-CN"/>
        </w:rPr>
        <w:t>163</w:t>
      </w:r>
      <w:r>
        <w:rPr>
          <w:rFonts w:hint="eastAsia" w:ascii="宋体" w:hAnsi="宋体" w:eastAsia="宋体" w:cs="宋体"/>
          <w:sz w:val="32"/>
          <w:szCs w:val="32"/>
        </w:rPr>
        <w:t>份</w:t>
      </w:r>
      <w:r>
        <w:rPr>
          <w:rFonts w:hint="eastAsia" w:ascii="宋体" w:hAnsi="宋体" w:eastAsia="宋体" w:cs="宋体"/>
          <w:sz w:val="32"/>
          <w:szCs w:val="32"/>
          <w:lang w:eastAsia="zh-CN"/>
        </w:rPr>
        <w:t>，体检</w:t>
      </w:r>
      <w:r>
        <w:rPr>
          <w:rFonts w:hint="eastAsia" w:ascii="宋体" w:hAnsi="宋体" w:eastAsia="宋体" w:cs="宋体"/>
          <w:sz w:val="32"/>
          <w:szCs w:val="32"/>
          <w:lang w:val="en-US" w:eastAsia="zh-CN"/>
        </w:rPr>
        <w:t>807人</w:t>
      </w:r>
      <w:r>
        <w:rPr>
          <w:rFonts w:hint="eastAsia" w:ascii="宋体" w:hAnsi="宋体" w:eastAsia="宋体" w:cs="宋体"/>
          <w:sz w:val="32"/>
          <w:szCs w:val="32"/>
        </w:rPr>
        <w:t>；高血压</w:t>
      </w:r>
      <w:r>
        <w:rPr>
          <w:rFonts w:hint="eastAsia" w:ascii="宋体" w:hAnsi="宋体" w:eastAsia="宋体" w:cs="宋体"/>
          <w:sz w:val="32"/>
          <w:szCs w:val="32"/>
          <w:lang w:eastAsia="zh-CN"/>
        </w:rPr>
        <w:t>建档</w:t>
      </w:r>
      <w:r>
        <w:rPr>
          <w:rFonts w:hint="eastAsia" w:ascii="宋体" w:hAnsi="宋体" w:eastAsia="宋体" w:cs="宋体"/>
          <w:sz w:val="32"/>
          <w:szCs w:val="32"/>
          <w:lang w:val="en-US" w:eastAsia="zh-CN"/>
        </w:rPr>
        <w:t>868人，落实</w:t>
      </w:r>
      <w:r>
        <w:rPr>
          <w:rFonts w:hint="eastAsia" w:ascii="宋体" w:hAnsi="宋体" w:eastAsia="宋体" w:cs="宋体"/>
          <w:sz w:val="32"/>
          <w:szCs w:val="32"/>
        </w:rPr>
        <w:t>健康管理</w:t>
      </w:r>
      <w:r>
        <w:rPr>
          <w:rFonts w:hint="eastAsia" w:ascii="宋体" w:hAnsi="宋体" w:eastAsia="宋体" w:cs="宋体"/>
          <w:sz w:val="32"/>
          <w:szCs w:val="32"/>
          <w:lang w:val="en-US" w:eastAsia="zh-CN"/>
        </w:rPr>
        <w:t>533</w:t>
      </w:r>
      <w:r>
        <w:rPr>
          <w:rFonts w:hint="eastAsia" w:ascii="宋体" w:hAnsi="宋体" w:eastAsia="宋体" w:cs="宋体"/>
          <w:sz w:val="32"/>
          <w:szCs w:val="32"/>
        </w:rPr>
        <w:t>人，规范化管理</w:t>
      </w:r>
      <w:r>
        <w:rPr>
          <w:rFonts w:hint="eastAsia" w:ascii="宋体" w:hAnsi="宋体" w:eastAsia="宋体" w:cs="宋体"/>
          <w:sz w:val="32"/>
          <w:szCs w:val="32"/>
          <w:lang w:val="en-US" w:eastAsia="zh-CN"/>
        </w:rPr>
        <w:t>305</w:t>
      </w:r>
      <w:r>
        <w:rPr>
          <w:rFonts w:hint="eastAsia" w:ascii="宋体" w:hAnsi="宋体" w:eastAsia="宋体" w:cs="宋体"/>
          <w:sz w:val="32"/>
          <w:szCs w:val="32"/>
        </w:rPr>
        <w:t>人</w:t>
      </w:r>
      <w:r>
        <w:rPr>
          <w:rFonts w:hint="eastAsia" w:ascii="宋体" w:hAnsi="宋体" w:eastAsia="宋体" w:cs="宋体"/>
          <w:sz w:val="32"/>
          <w:szCs w:val="32"/>
          <w:lang w:eastAsia="zh-CN"/>
        </w:rPr>
        <w:t>，</w:t>
      </w:r>
      <w:r>
        <w:rPr>
          <w:rFonts w:hint="eastAsia" w:ascii="宋体" w:hAnsi="宋体" w:eastAsia="宋体" w:cs="宋体"/>
          <w:sz w:val="32"/>
          <w:szCs w:val="32"/>
        </w:rPr>
        <w:t>规范化管理率为</w:t>
      </w:r>
      <w:r>
        <w:rPr>
          <w:rFonts w:hint="eastAsia" w:ascii="宋体" w:hAnsi="宋体" w:eastAsia="宋体" w:cs="宋体"/>
          <w:sz w:val="32"/>
          <w:szCs w:val="32"/>
          <w:lang w:val="en-US" w:eastAsia="zh-CN"/>
        </w:rPr>
        <w:t>57.2</w:t>
      </w:r>
      <w:r>
        <w:rPr>
          <w:rFonts w:hint="eastAsia" w:ascii="宋体" w:hAnsi="宋体" w:eastAsia="宋体" w:cs="宋体"/>
          <w:sz w:val="32"/>
          <w:szCs w:val="32"/>
        </w:rPr>
        <w:t>%；2型糖尿病</w:t>
      </w:r>
      <w:r>
        <w:rPr>
          <w:rFonts w:hint="eastAsia" w:ascii="宋体" w:hAnsi="宋体" w:eastAsia="宋体" w:cs="宋体"/>
          <w:sz w:val="32"/>
          <w:szCs w:val="32"/>
          <w:lang w:eastAsia="zh-CN"/>
        </w:rPr>
        <w:t>建档</w:t>
      </w:r>
      <w:r>
        <w:rPr>
          <w:rFonts w:hint="eastAsia" w:ascii="宋体" w:hAnsi="宋体" w:eastAsia="宋体" w:cs="宋体"/>
          <w:sz w:val="32"/>
          <w:szCs w:val="32"/>
          <w:lang w:val="en-US" w:eastAsia="zh-CN"/>
        </w:rPr>
        <w:t>178份，落实</w:t>
      </w:r>
      <w:r>
        <w:rPr>
          <w:rFonts w:hint="eastAsia" w:ascii="宋体" w:hAnsi="宋体" w:eastAsia="宋体" w:cs="宋体"/>
          <w:sz w:val="32"/>
          <w:szCs w:val="32"/>
        </w:rPr>
        <w:t>健康管理</w:t>
      </w:r>
      <w:r>
        <w:rPr>
          <w:rFonts w:hint="eastAsia" w:ascii="宋体" w:hAnsi="宋体" w:eastAsia="宋体" w:cs="宋体"/>
          <w:sz w:val="32"/>
          <w:szCs w:val="32"/>
          <w:lang w:val="en-US" w:eastAsia="zh-CN"/>
        </w:rPr>
        <w:t>81</w:t>
      </w:r>
      <w:r>
        <w:rPr>
          <w:rFonts w:hint="eastAsia" w:ascii="宋体" w:hAnsi="宋体" w:eastAsia="宋体" w:cs="宋体"/>
          <w:sz w:val="32"/>
          <w:szCs w:val="32"/>
        </w:rPr>
        <w:t>人，规范化管理率为</w:t>
      </w:r>
      <w:r>
        <w:rPr>
          <w:rFonts w:hint="eastAsia" w:ascii="宋体" w:hAnsi="宋体" w:eastAsia="宋体" w:cs="宋体"/>
          <w:sz w:val="32"/>
          <w:szCs w:val="32"/>
          <w:lang w:val="en-US" w:eastAsia="zh-CN"/>
        </w:rPr>
        <w:t>45.5</w:t>
      </w:r>
      <w:r>
        <w:rPr>
          <w:rFonts w:hint="eastAsia" w:ascii="宋体" w:hAnsi="宋体" w:eastAsia="宋体" w:cs="宋体"/>
          <w:sz w:val="32"/>
          <w:szCs w:val="32"/>
        </w:rPr>
        <w:t>%；严重精神障碍患者</w:t>
      </w:r>
      <w:r>
        <w:rPr>
          <w:rFonts w:hint="eastAsia" w:ascii="宋体" w:hAnsi="宋体" w:eastAsia="宋体" w:cs="宋体"/>
          <w:sz w:val="32"/>
          <w:szCs w:val="32"/>
          <w:lang w:eastAsia="zh-CN"/>
        </w:rPr>
        <w:t>登记在册</w:t>
      </w:r>
      <w:r>
        <w:rPr>
          <w:rFonts w:hint="eastAsia" w:ascii="宋体" w:hAnsi="宋体" w:eastAsia="宋体" w:cs="宋体"/>
          <w:sz w:val="32"/>
          <w:szCs w:val="32"/>
          <w:lang w:val="en-US" w:eastAsia="zh-CN"/>
        </w:rPr>
        <w:t>136人，落实</w:t>
      </w:r>
      <w:r>
        <w:rPr>
          <w:rFonts w:hint="eastAsia" w:ascii="宋体" w:hAnsi="宋体" w:eastAsia="宋体" w:cs="宋体"/>
          <w:sz w:val="32"/>
          <w:szCs w:val="32"/>
        </w:rPr>
        <w:t>健康管理13</w:t>
      </w:r>
      <w:r>
        <w:rPr>
          <w:rFonts w:hint="eastAsia" w:ascii="宋体" w:hAnsi="宋体" w:eastAsia="宋体" w:cs="宋体"/>
          <w:sz w:val="32"/>
          <w:szCs w:val="32"/>
          <w:lang w:val="en-US" w:eastAsia="zh-CN"/>
        </w:rPr>
        <w:t>4</w:t>
      </w:r>
      <w:r>
        <w:rPr>
          <w:rFonts w:hint="eastAsia" w:ascii="宋体" w:hAnsi="宋体" w:eastAsia="宋体" w:cs="宋体"/>
          <w:sz w:val="32"/>
          <w:szCs w:val="32"/>
        </w:rPr>
        <w:t>人，规范化管理1</w:t>
      </w:r>
      <w:r>
        <w:rPr>
          <w:rFonts w:hint="eastAsia" w:ascii="宋体" w:hAnsi="宋体" w:eastAsia="宋体" w:cs="宋体"/>
          <w:sz w:val="32"/>
          <w:szCs w:val="32"/>
          <w:lang w:val="en-US" w:eastAsia="zh-CN"/>
        </w:rPr>
        <w:t>16人，</w:t>
      </w:r>
      <w:r>
        <w:rPr>
          <w:rFonts w:hint="eastAsia" w:ascii="宋体" w:hAnsi="宋体" w:eastAsia="宋体" w:cs="宋体"/>
          <w:sz w:val="32"/>
          <w:szCs w:val="32"/>
        </w:rPr>
        <w:t>规范管理率</w:t>
      </w:r>
      <w:r>
        <w:rPr>
          <w:rFonts w:hint="eastAsia" w:ascii="宋体" w:hAnsi="宋体" w:eastAsia="宋体" w:cs="宋体"/>
          <w:sz w:val="32"/>
          <w:szCs w:val="32"/>
          <w:lang w:val="en-US" w:eastAsia="zh-CN"/>
        </w:rPr>
        <w:t>85.2</w:t>
      </w:r>
      <w:r>
        <w:rPr>
          <w:rFonts w:hint="eastAsia" w:ascii="宋体" w:hAnsi="宋体" w:eastAsia="宋体" w:cs="宋体"/>
          <w:sz w:val="32"/>
          <w:szCs w:val="32"/>
        </w:rPr>
        <w:t>%；共计发放健康教育资料</w:t>
      </w:r>
      <w:r>
        <w:rPr>
          <w:rFonts w:hint="eastAsia" w:ascii="宋体" w:hAnsi="宋体" w:eastAsia="宋体" w:cs="宋体"/>
          <w:sz w:val="32"/>
          <w:szCs w:val="32"/>
          <w:lang w:val="en-US" w:eastAsia="zh-CN"/>
        </w:rPr>
        <w:t>109</w:t>
      </w:r>
      <w:r>
        <w:rPr>
          <w:rFonts w:hint="eastAsia" w:ascii="宋体" w:hAnsi="宋体" w:eastAsia="宋体" w:cs="宋体"/>
          <w:sz w:val="32"/>
          <w:szCs w:val="32"/>
        </w:rPr>
        <w:t>种</w:t>
      </w:r>
      <w:r>
        <w:rPr>
          <w:rFonts w:hint="eastAsia" w:ascii="宋体" w:hAnsi="宋体" w:eastAsia="宋体" w:cs="宋体"/>
          <w:sz w:val="32"/>
          <w:szCs w:val="32"/>
          <w:lang w:val="en-US" w:eastAsia="zh-CN"/>
        </w:rPr>
        <w:t>13892</w:t>
      </w:r>
      <w:r>
        <w:rPr>
          <w:rFonts w:hint="eastAsia" w:ascii="宋体" w:hAnsi="宋体" w:eastAsia="宋体" w:cs="宋体"/>
          <w:sz w:val="32"/>
          <w:szCs w:val="32"/>
        </w:rPr>
        <w:t>份，设置宣传栏</w:t>
      </w:r>
      <w:r>
        <w:rPr>
          <w:rFonts w:hint="eastAsia" w:ascii="宋体" w:hAnsi="宋体" w:eastAsia="宋体" w:cs="宋体"/>
          <w:sz w:val="32"/>
          <w:szCs w:val="32"/>
          <w:lang w:val="en-US" w:eastAsia="zh-CN"/>
        </w:rPr>
        <w:t>48</w:t>
      </w:r>
      <w:r>
        <w:rPr>
          <w:rFonts w:hint="eastAsia" w:ascii="宋体" w:hAnsi="宋体" w:eastAsia="宋体" w:cs="宋体"/>
          <w:sz w:val="32"/>
          <w:szCs w:val="32"/>
        </w:rPr>
        <w:t>个，</w:t>
      </w:r>
      <w:r>
        <w:rPr>
          <w:rFonts w:hint="eastAsia" w:ascii="宋体" w:hAnsi="宋体" w:eastAsia="宋体" w:cs="宋体"/>
          <w:sz w:val="32"/>
          <w:szCs w:val="32"/>
          <w:lang w:eastAsia="zh-CN"/>
        </w:rPr>
        <w:t>更新</w:t>
      </w:r>
      <w:r>
        <w:rPr>
          <w:rFonts w:hint="eastAsia" w:ascii="宋体" w:hAnsi="宋体" w:eastAsia="宋体" w:cs="宋体"/>
          <w:sz w:val="32"/>
          <w:szCs w:val="32"/>
          <w:lang w:val="en-US" w:eastAsia="zh-CN"/>
        </w:rPr>
        <w:t>63次，</w:t>
      </w:r>
      <w:r>
        <w:rPr>
          <w:rFonts w:hint="eastAsia" w:ascii="宋体" w:hAnsi="宋体" w:eastAsia="宋体" w:cs="宋体"/>
          <w:sz w:val="32"/>
          <w:szCs w:val="32"/>
        </w:rPr>
        <w:t>开展咨询活动</w:t>
      </w:r>
      <w:r>
        <w:rPr>
          <w:rFonts w:hint="eastAsia" w:ascii="宋体" w:hAnsi="宋体" w:eastAsia="宋体" w:cs="宋体"/>
          <w:sz w:val="32"/>
          <w:szCs w:val="32"/>
          <w:lang w:val="en-US" w:eastAsia="zh-CN"/>
        </w:rPr>
        <w:t>53</w:t>
      </w:r>
      <w:r>
        <w:rPr>
          <w:rFonts w:hint="eastAsia" w:ascii="宋体" w:hAnsi="宋体" w:eastAsia="宋体" w:cs="宋体"/>
          <w:sz w:val="32"/>
          <w:szCs w:val="32"/>
        </w:rPr>
        <w:t>次，知识讲座</w:t>
      </w:r>
      <w:r>
        <w:rPr>
          <w:rFonts w:hint="eastAsia" w:ascii="宋体" w:hAnsi="宋体" w:eastAsia="宋体" w:cs="宋体"/>
          <w:sz w:val="32"/>
          <w:szCs w:val="32"/>
          <w:lang w:val="en-US" w:eastAsia="zh-CN"/>
        </w:rPr>
        <w:t>33</w:t>
      </w:r>
      <w:r>
        <w:rPr>
          <w:rFonts w:hint="eastAsia" w:ascii="宋体" w:hAnsi="宋体" w:eastAsia="宋体" w:cs="宋体"/>
          <w:sz w:val="32"/>
          <w:szCs w:val="32"/>
        </w:rPr>
        <w:t>次，受益人群达</w:t>
      </w:r>
      <w:r>
        <w:rPr>
          <w:rFonts w:hint="eastAsia" w:ascii="宋体" w:hAnsi="宋体" w:eastAsia="宋体" w:cs="宋体"/>
          <w:sz w:val="32"/>
          <w:szCs w:val="32"/>
          <w:lang w:val="en-US" w:eastAsia="zh-CN"/>
        </w:rPr>
        <w:t>4700余</w:t>
      </w:r>
      <w:r>
        <w:rPr>
          <w:rFonts w:hint="eastAsia" w:ascii="宋体" w:hAnsi="宋体" w:eastAsia="宋体" w:cs="宋体"/>
          <w:sz w:val="32"/>
          <w:szCs w:val="32"/>
        </w:rPr>
        <w:t>人次。</w:t>
      </w:r>
    </w:p>
    <w:p w14:paraId="20306D8C">
      <w:pPr>
        <w:ind w:firstLine="640"/>
        <w:rPr>
          <w:rFonts w:hint="eastAsia" w:ascii="宋体" w:hAnsi="宋体" w:eastAsia="宋体" w:cs="宋体"/>
          <w:bCs/>
          <w:sz w:val="32"/>
          <w:szCs w:val="44"/>
          <w:lang w:val="en-US" w:eastAsia="zh-CN"/>
        </w:rPr>
      </w:pPr>
      <w:r>
        <w:rPr>
          <w:rFonts w:hint="eastAsia" w:ascii="宋体" w:hAnsi="宋体" w:eastAsia="宋体" w:cs="宋体"/>
          <w:bCs/>
          <w:sz w:val="32"/>
          <w:szCs w:val="44"/>
          <w:lang w:val="en-US" w:eastAsia="zh-CN"/>
        </w:rPr>
        <w:t>（四）传染病管理</w:t>
      </w:r>
    </w:p>
    <w:p w14:paraId="3E61BA09">
      <w:pPr>
        <w:widowControl/>
        <w:ind w:firstLine="640"/>
        <w:rPr>
          <w:rFonts w:hint="eastAsia" w:ascii="宋体" w:hAnsi="宋体" w:eastAsia="宋体" w:cs="宋体"/>
          <w:sz w:val="32"/>
          <w:szCs w:val="32"/>
          <w:lang w:val="en-US" w:eastAsia="zh-CN"/>
        </w:rPr>
      </w:pPr>
      <w:r>
        <w:rPr>
          <w:rFonts w:hint="eastAsia" w:ascii="宋体" w:hAnsi="宋体" w:eastAsia="宋体" w:cs="宋体"/>
          <w:color w:val="000000"/>
          <w:sz w:val="32"/>
          <w:szCs w:val="32"/>
        </w:rPr>
        <w:t>1-</w:t>
      </w:r>
      <w:r>
        <w:rPr>
          <w:rFonts w:hint="eastAsia" w:ascii="宋体" w:hAnsi="宋体" w:eastAsia="宋体" w:cs="宋体"/>
          <w:color w:val="000000"/>
          <w:sz w:val="32"/>
          <w:szCs w:val="32"/>
          <w:lang w:val="en-US" w:eastAsia="zh-CN"/>
        </w:rPr>
        <w:t>9</w:t>
      </w:r>
      <w:r>
        <w:rPr>
          <w:rFonts w:hint="eastAsia" w:ascii="宋体" w:hAnsi="宋体" w:eastAsia="宋体" w:cs="宋体"/>
          <w:color w:val="000000"/>
          <w:sz w:val="32"/>
          <w:szCs w:val="32"/>
        </w:rPr>
        <w:t>月，我县境内无甲类法定传染病发生，乙、丙类法定传染病按照现住址统计共报告</w:t>
      </w:r>
      <w:r>
        <w:rPr>
          <w:rFonts w:hint="eastAsia" w:ascii="宋体" w:hAnsi="宋体" w:eastAsia="宋体" w:cs="宋体"/>
          <w:color w:val="000000"/>
          <w:sz w:val="32"/>
          <w:szCs w:val="32"/>
          <w:lang w:val="en-US" w:eastAsia="zh-CN"/>
        </w:rPr>
        <w:t>12</w:t>
      </w:r>
      <w:r>
        <w:rPr>
          <w:rFonts w:hint="eastAsia" w:ascii="宋体" w:hAnsi="宋体" w:eastAsia="宋体" w:cs="宋体"/>
          <w:color w:val="000000"/>
          <w:sz w:val="32"/>
          <w:szCs w:val="32"/>
        </w:rPr>
        <w:t>种</w:t>
      </w:r>
      <w:r>
        <w:rPr>
          <w:rFonts w:hint="eastAsia" w:ascii="宋体" w:hAnsi="宋体" w:eastAsia="宋体" w:cs="宋体"/>
          <w:color w:val="000000"/>
          <w:sz w:val="32"/>
          <w:szCs w:val="32"/>
          <w:lang w:val="en-US" w:eastAsia="zh-CN"/>
        </w:rPr>
        <w:t>316</w:t>
      </w:r>
      <w:r>
        <w:rPr>
          <w:rFonts w:hint="eastAsia" w:ascii="宋体" w:hAnsi="宋体" w:eastAsia="宋体" w:cs="宋体"/>
          <w:color w:val="000000"/>
          <w:sz w:val="32"/>
          <w:szCs w:val="32"/>
        </w:rPr>
        <w:t>例，报告发病率为</w:t>
      </w:r>
      <w:r>
        <w:rPr>
          <w:rFonts w:hint="eastAsia" w:ascii="宋体" w:hAnsi="宋体" w:eastAsia="宋体" w:cs="宋体"/>
          <w:color w:val="000000"/>
          <w:sz w:val="32"/>
          <w:szCs w:val="32"/>
          <w:lang w:val="en-US" w:eastAsia="zh-CN"/>
        </w:rPr>
        <w:t>557.88</w:t>
      </w:r>
      <w:r>
        <w:rPr>
          <w:rFonts w:hint="eastAsia" w:ascii="宋体" w:hAnsi="宋体" w:eastAsia="宋体" w:cs="宋体"/>
          <w:color w:val="000000"/>
          <w:sz w:val="32"/>
          <w:szCs w:val="32"/>
        </w:rPr>
        <w:t>/10万,</w:t>
      </w:r>
      <w:r>
        <w:rPr>
          <w:rFonts w:hint="eastAsia" w:ascii="宋体" w:hAnsi="宋体" w:eastAsia="宋体" w:cs="宋体"/>
          <w:color w:val="000000"/>
          <w:sz w:val="32"/>
          <w:szCs w:val="32"/>
          <w:lang w:eastAsia="zh-CN"/>
        </w:rPr>
        <w:t>无</w:t>
      </w:r>
      <w:r>
        <w:rPr>
          <w:rFonts w:hint="eastAsia" w:ascii="宋体" w:hAnsi="宋体" w:eastAsia="宋体" w:cs="宋体"/>
          <w:color w:val="000000"/>
          <w:sz w:val="32"/>
          <w:szCs w:val="32"/>
        </w:rPr>
        <w:t>死亡</w:t>
      </w:r>
      <w:r>
        <w:rPr>
          <w:rFonts w:hint="eastAsia" w:ascii="宋体" w:hAnsi="宋体" w:eastAsia="宋体" w:cs="宋体"/>
          <w:color w:val="000000"/>
          <w:sz w:val="32"/>
          <w:szCs w:val="32"/>
          <w:lang w:eastAsia="zh-CN"/>
        </w:rPr>
        <w:t>病例。</w:t>
      </w:r>
      <w:r>
        <w:rPr>
          <w:rFonts w:hint="eastAsia" w:ascii="宋体" w:hAnsi="宋体" w:eastAsia="宋体" w:cs="宋体"/>
          <w:color w:val="000000"/>
          <w:sz w:val="32"/>
          <w:szCs w:val="32"/>
        </w:rPr>
        <w:t>乙类传染病报告</w:t>
      </w:r>
      <w:r>
        <w:rPr>
          <w:rFonts w:hint="eastAsia" w:ascii="宋体" w:hAnsi="宋体" w:eastAsia="宋体" w:cs="宋体"/>
          <w:color w:val="000000"/>
          <w:sz w:val="32"/>
          <w:szCs w:val="32"/>
          <w:lang w:val="en-US" w:eastAsia="zh-CN"/>
        </w:rPr>
        <w:t>7</w:t>
      </w:r>
      <w:r>
        <w:rPr>
          <w:rFonts w:hint="eastAsia" w:ascii="宋体" w:hAnsi="宋体" w:eastAsia="宋体" w:cs="宋体"/>
          <w:color w:val="000000"/>
          <w:sz w:val="32"/>
          <w:szCs w:val="32"/>
        </w:rPr>
        <w:t>种</w:t>
      </w:r>
      <w:r>
        <w:rPr>
          <w:rFonts w:hint="eastAsia" w:ascii="宋体" w:hAnsi="宋体" w:eastAsia="宋体" w:cs="宋体"/>
          <w:color w:val="000000"/>
          <w:sz w:val="32"/>
          <w:szCs w:val="32"/>
          <w:lang w:val="en-US" w:eastAsia="zh-CN"/>
        </w:rPr>
        <w:t>229</w:t>
      </w:r>
      <w:r>
        <w:rPr>
          <w:rFonts w:hint="eastAsia" w:ascii="宋体" w:hAnsi="宋体" w:eastAsia="宋体" w:cs="宋体"/>
          <w:color w:val="000000"/>
          <w:sz w:val="32"/>
          <w:szCs w:val="32"/>
        </w:rPr>
        <w:t>例，报</w:t>
      </w:r>
      <w:r>
        <w:rPr>
          <w:rFonts w:hint="eastAsia" w:ascii="宋体" w:hAnsi="宋体" w:eastAsia="宋体" w:cs="宋体"/>
          <w:sz w:val="32"/>
          <w:szCs w:val="32"/>
        </w:rPr>
        <w:t>告发病率为</w:t>
      </w:r>
      <w:r>
        <w:rPr>
          <w:rFonts w:hint="eastAsia" w:ascii="宋体" w:hAnsi="宋体" w:eastAsia="宋体" w:cs="宋体"/>
          <w:sz w:val="32"/>
          <w:szCs w:val="32"/>
          <w:lang w:val="en-US" w:eastAsia="zh-CN"/>
        </w:rPr>
        <w:t>404.29</w:t>
      </w:r>
      <w:r>
        <w:rPr>
          <w:rFonts w:hint="eastAsia" w:ascii="宋体" w:hAnsi="宋体" w:eastAsia="宋体" w:cs="宋体"/>
          <w:sz w:val="32"/>
          <w:szCs w:val="32"/>
        </w:rPr>
        <w:t>/10万，占报告总数的</w:t>
      </w:r>
      <w:r>
        <w:rPr>
          <w:rFonts w:hint="eastAsia" w:ascii="宋体" w:hAnsi="宋体" w:eastAsia="宋体" w:cs="宋体"/>
          <w:sz w:val="32"/>
          <w:szCs w:val="32"/>
          <w:lang w:val="en-US" w:eastAsia="zh-CN"/>
        </w:rPr>
        <w:t>72.47</w:t>
      </w:r>
      <w:r>
        <w:rPr>
          <w:rFonts w:hint="eastAsia" w:ascii="宋体" w:hAnsi="宋体" w:eastAsia="宋体" w:cs="宋体"/>
          <w:sz w:val="32"/>
          <w:szCs w:val="32"/>
        </w:rPr>
        <w:t>%。排在前</w:t>
      </w:r>
      <w:r>
        <w:rPr>
          <w:rFonts w:hint="eastAsia" w:ascii="宋体" w:hAnsi="宋体" w:eastAsia="宋体" w:cs="宋体"/>
          <w:sz w:val="32"/>
          <w:szCs w:val="32"/>
          <w:lang w:eastAsia="zh-CN"/>
        </w:rPr>
        <w:t>七</w:t>
      </w:r>
      <w:r>
        <w:rPr>
          <w:rFonts w:hint="eastAsia" w:ascii="宋体" w:hAnsi="宋体" w:eastAsia="宋体" w:cs="宋体"/>
          <w:sz w:val="32"/>
          <w:szCs w:val="32"/>
        </w:rPr>
        <w:t>位的</w:t>
      </w:r>
      <w:r>
        <w:rPr>
          <w:rFonts w:hint="eastAsia" w:ascii="宋体" w:hAnsi="宋体" w:eastAsia="宋体" w:cs="宋体"/>
          <w:sz w:val="32"/>
          <w:szCs w:val="32"/>
          <w:lang w:val="en-US" w:eastAsia="zh-CN"/>
        </w:rPr>
        <w:t>分别为</w:t>
      </w:r>
      <w:r>
        <w:rPr>
          <w:rFonts w:hint="eastAsia" w:ascii="宋体" w:hAnsi="宋体" w:eastAsia="宋体" w:cs="宋体"/>
          <w:sz w:val="32"/>
          <w:szCs w:val="32"/>
        </w:rPr>
        <w:t>：</w:t>
      </w:r>
      <w:r>
        <w:rPr>
          <w:rFonts w:hint="eastAsia" w:ascii="宋体" w:hAnsi="宋体" w:eastAsia="宋体" w:cs="宋体"/>
          <w:sz w:val="32"/>
          <w:szCs w:val="32"/>
          <w:lang w:eastAsia="zh-CN"/>
        </w:rPr>
        <w:t>肺结核</w:t>
      </w:r>
      <w:r>
        <w:rPr>
          <w:rFonts w:hint="eastAsia" w:ascii="宋体" w:hAnsi="宋体" w:eastAsia="宋体" w:cs="宋体"/>
          <w:sz w:val="32"/>
          <w:szCs w:val="32"/>
          <w:lang w:val="en-US" w:eastAsia="zh-CN"/>
        </w:rPr>
        <w:t>70</w:t>
      </w:r>
      <w:r>
        <w:rPr>
          <w:rFonts w:hint="eastAsia" w:ascii="宋体" w:hAnsi="宋体" w:eastAsia="宋体" w:cs="宋体"/>
          <w:sz w:val="32"/>
          <w:szCs w:val="32"/>
        </w:rPr>
        <w:t>例、</w:t>
      </w:r>
      <w:r>
        <w:rPr>
          <w:rFonts w:hint="eastAsia" w:ascii="宋体" w:hAnsi="宋体" w:eastAsia="宋体" w:cs="宋体"/>
          <w:sz w:val="32"/>
          <w:szCs w:val="32"/>
          <w:lang w:eastAsia="zh-CN"/>
        </w:rPr>
        <w:t>肝炎</w:t>
      </w:r>
      <w:r>
        <w:rPr>
          <w:rFonts w:hint="eastAsia" w:ascii="宋体" w:hAnsi="宋体" w:eastAsia="宋体" w:cs="宋体"/>
          <w:sz w:val="32"/>
          <w:szCs w:val="32"/>
          <w:lang w:val="en-US" w:eastAsia="zh-CN"/>
        </w:rPr>
        <w:t>64</w:t>
      </w:r>
      <w:r>
        <w:rPr>
          <w:rFonts w:hint="eastAsia" w:ascii="宋体" w:hAnsi="宋体" w:eastAsia="宋体" w:cs="宋体"/>
          <w:sz w:val="32"/>
          <w:szCs w:val="32"/>
        </w:rPr>
        <w:t>例、</w:t>
      </w:r>
      <w:r>
        <w:rPr>
          <w:rFonts w:hint="eastAsia" w:ascii="宋体" w:hAnsi="宋体" w:eastAsia="宋体" w:cs="宋体"/>
          <w:sz w:val="32"/>
          <w:szCs w:val="32"/>
          <w:lang w:eastAsia="zh-CN"/>
        </w:rPr>
        <w:t>梅毒</w:t>
      </w:r>
      <w:r>
        <w:rPr>
          <w:rFonts w:hint="eastAsia" w:ascii="宋体" w:hAnsi="宋体" w:eastAsia="宋体" w:cs="宋体"/>
          <w:sz w:val="32"/>
          <w:szCs w:val="32"/>
          <w:lang w:val="en-US" w:eastAsia="zh-CN"/>
        </w:rPr>
        <w:t>64</w:t>
      </w:r>
      <w:r>
        <w:rPr>
          <w:rFonts w:hint="eastAsia" w:ascii="宋体" w:hAnsi="宋体" w:eastAsia="宋体" w:cs="宋体"/>
          <w:sz w:val="32"/>
          <w:szCs w:val="32"/>
        </w:rPr>
        <w:t>例</w:t>
      </w:r>
      <w:r>
        <w:rPr>
          <w:rFonts w:hint="eastAsia" w:ascii="宋体" w:hAnsi="宋体" w:eastAsia="宋体" w:cs="宋体"/>
          <w:sz w:val="32"/>
          <w:szCs w:val="32"/>
          <w:lang w:val="en-US" w:eastAsia="zh-CN"/>
        </w:rPr>
        <w:t>、</w:t>
      </w:r>
      <w:r>
        <w:rPr>
          <w:rFonts w:hint="eastAsia" w:ascii="宋体" w:hAnsi="宋体" w:eastAsia="宋体" w:cs="宋体"/>
          <w:sz w:val="32"/>
          <w:szCs w:val="32"/>
        </w:rPr>
        <w:t>痢疾</w:t>
      </w:r>
      <w:r>
        <w:rPr>
          <w:rFonts w:hint="eastAsia" w:ascii="宋体" w:hAnsi="宋体" w:eastAsia="宋体" w:cs="宋体"/>
          <w:sz w:val="32"/>
          <w:szCs w:val="32"/>
          <w:lang w:val="en-US" w:eastAsia="zh-CN"/>
        </w:rPr>
        <w:t>19</w:t>
      </w:r>
      <w:r>
        <w:rPr>
          <w:rFonts w:hint="eastAsia" w:ascii="宋体" w:hAnsi="宋体" w:eastAsia="宋体" w:cs="宋体"/>
          <w:sz w:val="32"/>
          <w:szCs w:val="32"/>
        </w:rPr>
        <w:t>例、</w:t>
      </w:r>
      <w:r>
        <w:rPr>
          <w:rFonts w:hint="eastAsia" w:ascii="宋体" w:hAnsi="宋体" w:eastAsia="宋体" w:cs="宋体"/>
          <w:sz w:val="32"/>
          <w:szCs w:val="32"/>
          <w:lang w:eastAsia="zh-CN"/>
        </w:rPr>
        <w:t>炭疽</w:t>
      </w:r>
      <w:r>
        <w:rPr>
          <w:rFonts w:hint="eastAsia" w:ascii="宋体" w:hAnsi="宋体" w:eastAsia="宋体" w:cs="宋体"/>
          <w:sz w:val="32"/>
          <w:szCs w:val="32"/>
          <w:lang w:val="en-US" w:eastAsia="zh-CN"/>
        </w:rPr>
        <w:t>8例、淋病2例、艾滋病2例</w:t>
      </w:r>
      <w:r>
        <w:rPr>
          <w:rFonts w:hint="eastAsia" w:ascii="宋体" w:hAnsi="宋体" w:eastAsia="宋体" w:cs="宋体"/>
          <w:sz w:val="32"/>
          <w:szCs w:val="32"/>
        </w:rPr>
        <w:t>。丙类传染病报告</w:t>
      </w:r>
      <w:r>
        <w:rPr>
          <w:rFonts w:hint="eastAsia" w:ascii="宋体" w:hAnsi="宋体" w:eastAsia="宋体" w:cs="宋体"/>
          <w:sz w:val="32"/>
          <w:szCs w:val="32"/>
          <w:lang w:val="en-US" w:eastAsia="zh-CN"/>
        </w:rPr>
        <w:t>5</w:t>
      </w:r>
      <w:r>
        <w:rPr>
          <w:rFonts w:hint="eastAsia" w:ascii="宋体" w:hAnsi="宋体" w:eastAsia="宋体" w:cs="宋体"/>
          <w:sz w:val="32"/>
          <w:szCs w:val="32"/>
        </w:rPr>
        <w:t>种</w:t>
      </w:r>
      <w:r>
        <w:rPr>
          <w:rFonts w:hint="eastAsia" w:ascii="宋体" w:hAnsi="宋体" w:eastAsia="宋体" w:cs="宋体"/>
          <w:sz w:val="32"/>
          <w:szCs w:val="32"/>
          <w:lang w:val="en-US" w:eastAsia="zh-CN"/>
        </w:rPr>
        <w:t>87</w:t>
      </w:r>
      <w:r>
        <w:rPr>
          <w:rFonts w:hint="eastAsia" w:ascii="宋体" w:hAnsi="宋体" w:eastAsia="宋体" w:cs="宋体"/>
          <w:sz w:val="32"/>
          <w:szCs w:val="32"/>
        </w:rPr>
        <w:t>例，报告发病率为</w:t>
      </w:r>
      <w:r>
        <w:rPr>
          <w:rFonts w:hint="eastAsia" w:ascii="宋体" w:hAnsi="宋体" w:eastAsia="宋体" w:cs="宋体"/>
          <w:sz w:val="32"/>
          <w:szCs w:val="32"/>
          <w:lang w:val="en-US" w:eastAsia="zh-CN"/>
        </w:rPr>
        <w:t>153.59</w:t>
      </w:r>
      <w:r>
        <w:rPr>
          <w:rFonts w:hint="eastAsia" w:ascii="宋体" w:hAnsi="宋体" w:eastAsia="宋体" w:cs="宋体"/>
          <w:sz w:val="32"/>
          <w:szCs w:val="32"/>
        </w:rPr>
        <w:t>/10万，占报告总数的</w:t>
      </w:r>
      <w:r>
        <w:rPr>
          <w:rFonts w:hint="eastAsia" w:ascii="宋体" w:hAnsi="宋体" w:eastAsia="宋体" w:cs="宋体"/>
          <w:sz w:val="32"/>
          <w:szCs w:val="32"/>
          <w:lang w:val="en-US" w:eastAsia="zh-CN"/>
        </w:rPr>
        <w:t>27.53</w:t>
      </w:r>
      <w:r>
        <w:rPr>
          <w:rFonts w:hint="eastAsia" w:ascii="宋体" w:hAnsi="宋体" w:eastAsia="宋体" w:cs="宋体"/>
          <w:sz w:val="32"/>
          <w:szCs w:val="32"/>
        </w:rPr>
        <w:t>%。报告发病率与</w:t>
      </w:r>
      <w:r>
        <w:rPr>
          <w:rFonts w:hint="eastAsia" w:ascii="宋体" w:hAnsi="宋体" w:eastAsia="宋体" w:cs="宋体"/>
          <w:sz w:val="32"/>
          <w:szCs w:val="32"/>
          <w:lang w:eastAsia="zh-CN"/>
        </w:rPr>
        <w:t>去年</w:t>
      </w:r>
      <w:r>
        <w:rPr>
          <w:rFonts w:hint="eastAsia" w:ascii="宋体" w:hAnsi="宋体" w:eastAsia="宋体" w:cs="宋体"/>
          <w:sz w:val="32"/>
          <w:szCs w:val="32"/>
        </w:rPr>
        <w:t>同期相比</w:t>
      </w:r>
      <w:r>
        <w:rPr>
          <w:rFonts w:hint="eastAsia" w:ascii="宋体" w:hAnsi="宋体" w:eastAsia="宋体" w:cs="宋体"/>
          <w:sz w:val="32"/>
          <w:szCs w:val="32"/>
          <w:lang w:eastAsia="zh-CN"/>
        </w:rPr>
        <w:t>有所上升</w:t>
      </w:r>
      <w:r>
        <w:rPr>
          <w:rFonts w:hint="eastAsia" w:ascii="宋体" w:hAnsi="宋体" w:eastAsia="宋体" w:cs="宋体"/>
          <w:sz w:val="32"/>
          <w:szCs w:val="32"/>
        </w:rPr>
        <w:t>。</w:t>
      </w:r>
    </w:p>
    <w:p w14:paraId="4996E4C4">
      <w:pPr>
        <w:keepNext w:val="0"/>
        <w:keepLines w:val="0"/>
        <w:pageBreakBefore w:val="0"/>
        <w:widowControl w:val="0"/>
        <w:spacing w:line="560" w:lineRule="exact"/>
        <w:ind w:firstLine="640"/>
        <w:jc w:val="both"/>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（五）免疫规划</w:t>
      </w:r>
    </w:p>
    <w:p w14:paraId="4F0D0000">
      <w:pPr>
        <w:ind w:firstLine="640"/>
        <w:jc w:val="both"/>
        <w:rPr>
          <w:rFonts w:hint="eastAsia" w:ascii="宋体" w:hAnsi="宋体" w:eastAsia="宋体" w:cs="宋体"/>
          <w:color w:val="000000"/>
          <w:sz w:val="32"/>
          <w:szCs w:val="32"/>
        </w:rPr>
      </w:pPr>
      <w:r>
        <w:rPr>
          <w:rFonts w:hint="eastAsia" w:ascii="宋体" w:hAnsi="宋体" w:eastAsia="宋体" w:cs="宋体"/>
          <w:sz w:val="32"/>
          <w:szCs w:val="32"/>
          <w:lang w:val="en-US" w:eastAsia="zh-CN"/>
        </w:rPr>
        <w:t>截至目前，</w:t>
      </w:r>
      <w:r>
        <w:rPr>
          <w:rFonts w:hint="eastAsia" w:ascii="宋体" w:hAnsi="宋体" w:eastAsia="宋体" w:cs="宋体"/>
          <w:sz w:val="32"/>
          <w:szCs w:val="32"/>
        </w:rPr>
        <w:t>全县基础免疫</w:t>
      </w:r>
      <w:r>
        <w:rPr>
          <w:rFonts w:hint="eastAsia" w:ascii="宋体" w:hAnsi="宋体" w:eastAsia="宋体" w:cs="宋体"/>
          <w:sz w:val="32"/>
          <w:szCs w:val="32"/>
          <w:lang w:eastAsia="zh-CN"/>
        </w:rPr>
        <w:t>、</w:t>
      </w:r>
      <w:r>
        <w:rPr>
          <w:rFonts w:hint="eastAsia" w:ascii="宋体" w:hAnsi="宋体" w:eastAsia="宋体" w:cs="宋体"/>
          <w:sz w:val="32"/>
          <w:szCs w:val="32"/>
        </w:rPr>
        <w:t>加强免疫</w:t>
      </w:r>
      <w:r>
        <w:rPr>
          <w:rFonts w:hint="eastAsia" w:ascii="宋体" w:hAnsi="宋体" w:eastAsia="宋体" w:cs="宋体"/>
          <w:sz w:val="32"/>
          <w:szCs w:val="32"/>
          <w:lang w:eastAsia="zh-CN"/>
        </w:rPr>
        <w:t>应种</w:t>
      </w:r>
      <w:r>
        <w:rPr>
          <w:rFonts w:hint="eastAsia" w:ascii="宋体" w:hAnsi="宋体" w:eastAsia="宋体" w:cs="宋体"/>
          <w:sz w:val="32"/>
          <w:szCs w:val="32"/>
          <w:lang w:val="en-US" w:eastAsia="zh-CN"/>
        </w:rPr>
        <w:t>11421</w:t>
      </w:r>
      <w:r>
        <w:rPr>
          <w:rFonts w:hint="eastAsia" w:ascii="宋体" w:hAnsi="宋体" w:eastAsia="宋体" w:cs="宋体"/>
          <w:sz w:val="32"/>
          <w:szCs w:val="32"/>
          <w:lang w:eastAsia="zh-CN"/>
        </w:rPr>
        <w:t>剂次，实际接种</w:t>
      </w:r>
      <w:r>
        <w:rPr>
          <w:rFonts w:hint="eastAsia" w:ascii="宋体" w:hAnsi="宋体" w:eastAsia="宋体" w:cs="宋体"/>
          <w:sz w:val="32"/>
          <w:szCs w:val="32"/>
          <w:lang w:val="en-US" w:eastAsia="zh-CN"/>
        </w:rPr>
        <w:t>11128剂次，适龄儿童免疫规划疫苗累计报告接种率达≥97%；</w:t>
      </w:r>
      <w:r>
        <w:rPr>
          <w:rFonts w:hint="eastAsia" w:ascii="宋体" w:hAnsi="宋体" w:eastAsia="宋体" w:cs="宋体"/>
          <w:color w:val="000000"/>
          <w:sz w:val="32"/>
          <w:szCs w:val="32"/>
        </w:rPr>
        <w:t>补种</w:t>
      </w:r>
      <w:r>
        <w:rPr>
          <w:rFonts w:hint="eastAsia" w:ascii="宋体" w:hAnsi="宋体" w:eastAsia="宋体" w:cs="宋体"/>
          <w:color w:val="000000"/>
          <w:sz w:val="32"/>
          <w:szCs w:val="32"/>
          <w:lang w:val="en-US" w:eastAsia="zh-CN"/>
        </w:rPr>
        <w:t>乙肝疫苗151</w:t>
      </w:r>
      <w:r>
        <w:rPr>
          <w:rFonts w:hint="eastAsia" w:ascii="宋体" w:hAnsi="宋体" w:eastAsia="宋体" w:cs="宋体"/>
          <w:color w:val="000000"/>
          <w:sz w:val="32"/>
          <w:szCs w:val="32"/>
        </w:rPr>
        <w:t>人次，补种率</w:t>
      </w:r>
      <w:r>
        <w:rPr>
          <w:rFonts w:hint="eastAsia" w:ascii="宋体" w:hAnsi="宋体" w:eastAsia="宋体" w:cs="宋体"/>
          <w:color w:val="000000"/>
          <w:sz w:val="32"/>
          <w:szCs w:val="32"/>
          <w:lang w:val="en-US" w:eastAsia="zh-CN"/>
        </w:rPr>
        <w:t>95.67</w:t>
      </w:r>
      <w:r>
        <w:rPr>
          <w:rFonts w:hint="eastAsia" w:ascii="宋体" w:hAnsi="宋体" w:eastAsia="宋体" w:cs="宋体"/>
          <w:color w:val="000000"/>
          <w:sz w:val="32"/>
          <w:szCs w:val="32"/>
        </w:rPr>
        <w:t>%；</w:t>
      </w:r>
      <w:r>
        <w:rPr>
          <w:rFonts w:hint="eastAsia" w:ascii="宋体" w:hAnsi="宋体" w:eastAsia="宋体" w:cs="宋体"/>
          <w:color w:val="000000"/>
          <w:sz w:val="32"/>
          <w:szCs w:val="32"/>
          <w:lang w:val="en-US" w:eastAsia="zh-CN"/>
        </w:rPr>
        <w:t>补</w:t>
      </w:r>
      <w:r>
        <w:rPr>
          <w:rFonts w:hint="eastAsia" w:ascii="宋体" w:hAnsi="宋体" w:eastAsia="宋体" w:cs="宋体"/>
          <w:color w:val="000000"/>
          <w:sz w:val="32"/>
          <w:szCs w:val="32"/>
        </w:rPr>
        <w:t>种</w:t>
      </w:r>
      <w:r>
        <w:rPr>
          <w:rFonts w:hint="eastAsia" w:ascii="宋体" w:hAnsi="宋体" w:eastAsia="宋体" w:cs="宋体"/>
          <w:color w:val="000000"/>
          <w:sz w:val="32"/>
          <w:szCs w:val="32"/>
          <w:lang w:val="en-US" w:eastAsia="zh-CN"/>
        </w:rPr>
        <w:t>麻腮风疫苗298</w:t>
      </w:r>
      <w:r>
        <w:rPr>
          <w:rFonts w:hint="eastAsia" w:ascii="宋体" w:hAnsi="宋体" w:eastAsia="宋体" w:cs="宋体"/>
          <w:color w:val="000000"/>
          <w:sz w:val="32"/>
          <w:szCs w:val="32"/>
        </w:rPr>
        <w:t>人次，补种率9</w:t>
      </w:r>
      <w:r>
        <w:rPr>
          <w:rFonts w:hint="eastAsia" w:ascii="宋体" w:hAnsi="宋体" w:eastAsia="宋体" w:cs="宋体"/>
          <w:color w:val="000000"/>
          <w:sz w:val="32"/>
          <w:szCs w:val="32"/>
          <w:lang w:val="en-US" w:eastAsia="zh-CN"/>
        </w:rPr>
        <w:t>3.13</w:t>
      </w:r>
      <w:r>
        <w:rPr>
          <w:rFonts w:hint="eastAsia" w:ascii="宋体" w:hAnsi="宋体" w:eastAsia="宋体" w:cs="宋体"/>
          <w:color w:val="000000"/>
          <w:sz w:val="32"/>
          <w:szCs w:val="32"/>
        </w:rPr>
        <w:t>%。</w:t>
      </w:r>
    </w:p>
    <w:p w14:paraId="21351178">
      <w:pPr>
        <w:keepNext w:val="0"/>
        <w:keepLines w:val="0"/>
        <w:pageBreakBefore w:val="0"/>
        <w:widowControl w:val="0"/>
        <w:spacing w:line="560" w:lineRule="exact"/>
        <w:ind w:firstLine="640"/>
        <w:jc w:val="both"/>
        <w:rPr>
          <w:rFonts w:hint="eastAsia" w:ascii="宋体" w:hAnsi="宋体" w:eastAsia="宋体" w:cs="宋体"/>
          <w:sz w:val="32"/>
          <w:szCs w:val="32"/>
        </w:rPr>
      </w:pPr>
      <w:r>
        <w:rPr>
          <w:rFonts w:hint="eastAsia" w:ascii="宋体" w:hAnsi="宋体" w:eastAsia="宋体" w:cs="宋体"/>
          <w:sz w:val="32"/>
          <w:szCs w:val="32"/>
          <w:lang w:val="en-US" w:eastAsia="zh-CN"/>
        </w:rPr>
        <w:t>全</w:t>
      </w:r>
      <w:r>
        <w:rPr>
          <w:rFonts w:hint="eastAsia" w:ascii="宋体" w:hAnsi="宋体" w:eastAsia="宋体" w:cs="宋体"/>
          <w:sz w:val="32"/>
          <w:szCs w:val="32"/>
        </w:rPr>
        <w:t>县</w:t>
      </w:r>
      <w:r>
        <w:rPr>
          <w:rFonts w:hint="eastAsia" w:ascii="宋体" w:hAnsi="宋体" w:eastAsia="宋体" w:cs="宋体"/>
          <w:sz w:val="32"/>
          <w:szCs w:val="32"/>
          <w:lang w:val="en-US" w:eastAsia="zh-CN"/>
        </w:rPr>
        <w:t>12个</w:t>
      </w:r>
      <w:r>
        <w:rPr>
          <w:rFonts w:hint="eastAsia" w:ascii="宋体" w:hAnsi="宋体" w:eastAsia="宋体" w:cs="宋体"/>
          <w:sz w:val="32"/>
          <w:szCs w:val="32"/>
        </w:rPr>
        <w:t>预防接种门诊共报告AEFI病例</w:t>
      </w:r>
      <w:r>
        <w:rPr>
          <w:rFonts w:hint="eastAsia" w:ascii="宋体" w:hAnsi="宋体" w:eastAsia="宋体" w:cs="宋体"/>
          <w:sz w:val="32"/>
          <w:szCs w:val="32"/>
          <w:lang w:val="en-US" w:eastAsia="zh-CN"/>
        </w:rPr>
        <w:t>1</w:t>
      </w:r>
      <w:r>
        <w:rPr>
          <w:rFonts w:hint="eastAsia" w:ascii="宋体" w:hAnsi="宋体" w:eastAsia="宋体" w:cs="宋体"/>
          <w:sz w:val="32"/>
          <w:szCs w:val="32"/>
        </w:rPr>
        <w:t>例，</w:t>
      </w:r>
      <w:r>
        <w:rPr>
          <w:rFonts w:hint="eastAsia" w:ascii="宋体" w:hAnsi="宋体" w:eastAsia="宋体" w:cs="宋体"/>
          <w:sz w:val="32"/>
          <w:szCs w:val="32"/>
          <w:lang w:val="en-US" w:eastAsia="zh-CN"/>
        </w:rPr>
        <w:t>为</w:t>
      </w:r>
      <w:r>
        <w:rPr>
          <w:rFonts w:hint="eastAsia" w:ascii="宋体" w:hAnsi="宋体" w:eastAsia="宋体" w:cs="宋体"/>
          <w:sz w:val="32"/>
          <w:szCs w:val="32"/>
          <w:lang w:eastAsia="zh-CN"/>
        </w:rPr>
        <w:t>接种</w:t>
      </w:r>
      <w:r>
        <w:rPr>
          <w:rFonts w:hint="eastAsia" w:ascii="宋体" w:hAnsi="宋体" w:eastAsia="宋体" w:cs="宋体"/>
          <w:sz w:val="32"/>
          <w:szCs w:val="32"/>
          <w:u w:val="none"/>
          <w:lang w:val="en-US" w:eastAsia="zh-CN"/>
        </w:rPr>
        <w:t>A群流脑多糖</w:t>
      </w:r>
      <w:r>
        <w:rPr>
          <w:rFonts w:hint="eastAsia" w:ascii="宋体" w:hAnsi="宋体" w:eastAsia="宋体" w:cs="宋体"/>
          <w:sz w:val="32"/>
          <w:szCs w:val="32"/>
          <w:lang w:eastAsia="zh-CN"/>
        </w:rPr>
        <w:t>疫苗</w:t>
      </w:r>
      <w:r>
        <w:rPr>
          <w:rFonts w:hint="eastAsia" w:ascii="宋体" w:hAnsi="宋体" w:eastAsia="宋体" w:cs="宋体"/>
          <w:sz w:val="32"/>
          <w:szCs w:val="32"/>
        </w:rPr>
        <w:t>引起的一般反应，</w:t>
      </w:r>
      <w:r>
        <w:rPr>
          <w:rFonts w:hint="eastAsia" w:ascii="宋体" w:hAnsi="宋体" w:eastAsia="宋体" w:cs="宋体"/>
          <w:sz w:val="32"/>
          <w:szCs w:val="32"/>
          <w:lang w:val="en-US" w:eastAsia="zh-CN"/>
        </w:rPr>
        <w:t>目前已</w:t>
      </w:r>
      <w:r>
        <w:rPr>
          <w:rFonts w:hint="eastAsia" w:ascii="宋体" w:hAnsi="宋体" w:eastAsia="宋体" w:cs="宋体"/>
          <w:sz w:val="32"/>
          <w:szCs w:val="32"/>
          <w:lang w:eastAsia="zh-CN"/>
        </w:rPr>
        <w:t>治疗</w:t>
      </w:r>
      <w:r>
        <w:rPr>
          <w:rFonts w:hint="eastAsia" w:ascii="宋体" w:hAnsi="宋体" w:eastAsia="宋体" w:cs="宋体"/>
          <w:bCs/>
          <w:sz w:val="32"/>
          <w:szCs w:val="32"/>
          <w:lang w:eastAsia="zh-CN"/>
        </w:rPr>
        <w:t>痊愈。</w:t>
      </w:r>
    </w:p>
    <w:p w14:paraId="48112177">
      <w:pPr>
        <w:keepNext w:val="0"/>
        <w:keepLines w:val="0"/>
        <w:pageBreakBefore w:val="0"/>
        <w:widowControl w:val="0"/>
        <w:spacing w:line="560" w:lineRule="exact"/>
        <w:ind w:firstLine="640"/>
        <w:jc w:val="both"/>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（六）卫生监测</w:t>
      </w:r>
    </w:p>
    <w:p w14:paraId="50054955">
      <w:pPr>
        <w:ind w:firstLine="537"/>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已按上级要求完成了本年度水质监测、医疗机构消毒监测、</w:t>
      </w:r>
      <w:r>
        <w:rPr>
          <w:rFonts w:hint="eastAsia" w:ascii="宋体" w:hAnsi="宋体" w:eastAsia="宋体" w:cs="宋体"/>
          <w:b w:val="0"/>
          <w:bCs w:val="0"/>
          <w:color w:val="000000"/>
          <w:sz w:val="32"/>
          <w:szCs w:val="32"/>
          <w:shd w:val="clear" w:color="auto" w:fill="FFFFFF"/>
          <w:lang w:val="en-US" w:eastAsia="zh-CN"/>
        </w:rPr>
        <w:t>“双随机”监测各项任务，共计采集相关样本250份分批分类送本单位检验科、绵阳市游仙区疾控中心检测，除已报送县卫生执法中队的部分水质检测报告外，其余检测结果待绵阳方面反馈</w:t>
      </w:r>
      <w:r>
        <w:rPr>
          <w:rFonts w:hint="eastAsia" w:ascii="宋体" w:hAnsi="宋体" w:eastAsia="宋体" w:cs="宋体"/>
          <w:b w:val="0"/>
          <w:bCs w:val="0"/>
          <w:sz w:val="32"/>
          <w:szCs w:val="32"/>
          <w:lang w:val="en-US" w:eastAsia="zh-CN"/>
        </w:rPr>
        <w:t>。</w:t>
      </w:r>
    </w:p>
    <w:p w14:paraId="31EE8D51">
      <w:pPr>
        <w:pStyle w:val="189"/>
        <w:shd w:val="clear" w:color="auto" w:fill="FFFFFF"/>
        <w:rPr>
          <w:rFonts w:hint="eastAsia"/>
          <w:sz w:val="32"/>
          <w:szCs w:val="32"/>
        </w:rPr>
      </w:pPr>
      <w:r>
        <w:rPr>
          <w:rFonts w:hint="eastAsia"/>
          <w:sz w:val="32"/>
          <w:szCs w:val="32"/>
        </w:rPr>
        <w:t>二、收入支出预算执行情况分析。</w:t>
      </w:r>
    </w:p>
    <w:p w14:paraId="73FD8ADC">
      <w:pPr>
        <w:pStyle w:val="189"/>
        <w:shd w:val="clear" w:color="auto" w:fill="FFFFFF"/>
        <w:rPr>
          <w:rFonts w:hint="eastAsia" w:ascii="宋体" w:hAnsi="宋体" w:eastAsia="宋体" w:cs="宋体"/>
          <w:sz w:val="32"/>
          <w:szCs w:val="32"/>
          <w:shd w:val="clear" w:color="auto" w:fill="FFFFFF"/>
          <w:lang w:eastAsia="zh-CN"/>
        </w:rPr>
      </w:pPr>
      <w:r>
        <w:rPr>
          <w:rFonts w:hint="eastAsia" w:ascii="宋体" w:hAnsi="宋体" w:eastAsia="宋体" w:cs="宋体"/>
          <w:sz w:val="32"/>
          <w:szCs w:val="32"/>
          <w:shd w:val="clear" w:color="auto" w:fill="FFFFFF"/>
          <w:lang w:eastAsia="zh-CN"/>
        </w:rPr>
        <w:t>本单位本年度总收入为</w:t>
      </w:r>
      <w:r>
        <w:rPr>
          <w:rFonts w:hint="eastAsia" w:ascii="宋体" w:hAnsi="宋体" w:eastAsia="宋体" w:cs="宋体"/>
          <w:sz w:val="32"/>
          <w:szCs w:val="32"/>
          <w:shd w:val="clear" w:color="auto" w:fill="FFFFFF"/>
          <w:lang w:val="en-US"/>
        </w:rPr>
        <w:t>1,0</w:t>
      </w:r>
      <w:r>
        <w:rPr>
          <w:rFonts w:hint="eastAsia" w:ascii="宋体" w:hAnsi="宋体" w:eastAsia="宋体" w:cs="宋体"/>
          <w:sz w:val="32"/>
          <w:szCs w:val="32"/>
          <w:shd w:val="clear" w:color="auto" w:fill="FFFFFF"/>
          <w:lang w:val="en-US" w:eastAsia="zh-CN"/>
        </w:rPr>
        <w:t>20.58</w:t>
      </w:r>
      <w:r>
        <w:rPr>
          <w:rFonts w:hint="eastAsia" w:ascii="宋体" w:hAnsi="宋体" w:eastAsia="宋体" w:cs="宋体"/>
          <w:sz w:val="32"/>
          <w:szCs w:val="32"/>
          <w:shd w:val="clear" w:color="auto" w:fill="FFFFFF"/>
          <w:lang w:eastAsia="zh-CN"/>
        </w:rPr>
        <w:t>万元。其中：一般公共预算财政拨款收入为</w:t>
      </w:r>
      <w:r>
        <w:rPr>
          <w:rFonts w:hint="eastAsia" w:ascii="宋体" w:hAnsi="宋体" w:eastAsia="宋体" w:cs="宋体"/>
          <w:sz w:val="32"/>
          <w:szCs w:val="32"/>
          <w:shd w:val="clear" w:color="auto" w:fill="FFFFFF"/>
          <w:lang w:val="en-US"/>
        </w:rPr>
        <w:t>1,0</w:t>
      </w:r>
      <w:r>
        <w:rPr>
          <w:rFonts w:hint="eastAsia" w:ascii="宋体" w:hAnsi="宋体" w:eastAsia="宋体" w:cs="宋体"/>
          <w:sz w:val="32"/>
          <w:szCs w:val="32"/>
          <w:shd w:val="clear" w:color="auto" w:fill="FFFFFF"/>
          <w:lang w:val="en-US" w:eastAsia="zh-CN"/>
        </w:rPr>
        <w:t>20.58</w:t>
      </w:r>
      <w:r>
        <w:rPr>
          <w:rFonts w:hint="eastAsia" w:ascii="宋体" w:hAnsi="宋体" w:eastAsia="宋体" w:cs="宋体"/>
          <w:sz w:val="32"/>
          <w:szCs w:val="32"/>
          <w:shd w:val="clear" w:color="auto" w:fill="FFFFFF"/>
          <w:lang w:eastAsia="zh-CN"/>
        </w:rPr>
        <w:t>万元，占比</w:t>
      </w:r>
      <w:r>
        <w:rPr>
          <w:rFonts w:hint="eastAsia" w:ascii="宋体" w:hAnsi="宋体" w:eastAsia="宋体" w:cs="宋体"/>
          <w:sz w:val="32"/>
          <w:szCs w:val="32"/>
          <w:shd w:val="clear" w:color="auto" w:fill="FFFFFF"/>
          <w:lang w:val="en-US"/>
        </w:rPr>
        <w:t>100.00%</w:t>
      </w:r>
      <w:r>
        <w:rPr>
          <w:rFonts w:hint="eastAsia" w:ascii="宋体" w:hAnsi="宋体" w:eastAsia="宋体" w:cs="宋体"/>
          <w:sz w:val="32"/>
          <w:szCs w:val="32"/>
          <w:shd w:val="clear" w:color="auto" w:fill="FFFFFF"/>
          <w:lang w:eastAsia="zh-CN"/>
        </w:rPr>
        <w:t>；本年度总支出为</w:t>
      </w:r>
      <w:r>
        <w:rPr>
          <w:rFonts w:hint="eastAsia" w:ascii="宋体" w:hAnsi="宋体" w:eastAsia="宋体" w:cs="宋体"/>
          <w:sz w:val="32"/>
          <w:szCs w:val="32"/>
          <w:shd w:val="clear" w:color="auto" w:fill="FFFFFF"/>
          <w:lang w:val="en-US"/>
        </w:rPr>
        <w:t>1,</w:t>
      </w:r>
      <w:r>
        <w:rPr>
          <w:rFonts w:hint="eastAsia" w:ascii="宋体" w:hAnsi="宋体" w:eastAsia="宋体" w:cs="宋体"/>
          <w:sz w:val="32"/>
          <w:szCs w:val="32"/>
          <w:shd w:val="clear" w:color="auto" w:fill="FFFFFF"/>
          <w:lang w:val="en-US" w:eastAsia="zh-CN"/>
        </w:rPr>
        <w:t>020.58</w:t>
      </w:r>
      <w:r>
        <w:rPr>
          <w:rFonts w:hint="eastAsia" w:ascii="宋体" w:hAnsi="宋体" w:eastAsia="宋体" w:cs="宋体"/>
          <w:sz w:val="32"/>
          <w:szCs w:val="32"/>
          <w:shd w:val="clear" w:color="auto" w:fill="FFFFFF"/>
          <w:lang w:eastAsia="zh-CN"/>
        </w:rPr>
        <w:t>万元。其中：社会保障和就业支出为</w:t>
      </w:r>
      <w:r>
        <w:rPr>
          <w:rFonts w:hint="eastAsia" w:ascii="宋体" w:hAnsi="宋体" w:eastAsia="宋体" w:cs="宋体"/>
          <w:sz w:val="32"/>
          <w:szCs w:val="32"/>
          <w:shd w:val="clear" w:color="auto" w:fill="FFFFFF"/>
          <w:lang w:val="en-US" w:eastAsia="zh-CN"/>
        </w:rPr>
        <w:t>104.16</w:t>
      </w:r>
      <w:r>
        <w:rPr>
          <w:rFonts w:hint="eastAsia" w:ascii="宋体" w:hAnsi="宋体" w:eastAsia="宋体" w:cs="宋体"/>
          <w:sz w:val="32"/>
          <w:szCs w:val="32"/>
          <w:shd w:val="clear" w:color="auto" w:fill="FFFFFF"/>
          <w:lang w:eastAsia="zh-CN"/>
        </w:rPr>
        <w:t>万元，占比</w:t>
      </w:r>
      <w:r>
        <w:rPr>
          <w:rFonts w:hint="eastAsia" w:ascii="宋体" w:hAnsi="宋体" w:eastAsia="宋体" w:cs="宋体"/>
          <w:sz w:val="32"/>
          <w:szCs w:val="32"/>
          <w:shd w:val="clear" w:color="auto" w:fill="FFFFFF"/>
          <w:lang w:val="en-US" w:eastAsia="zh-CN"/>
        </w:rPr>
        <w:t>10.21</w:t>
      </w:r>
      <w:r>
        <w:rPr>
          <w:rFonts w:hint="eastAsia" w:ascii="宋体" w:hAnsi="宋体" w:eastAsia="宋体" w:cs="宋体"/>
          <w:sz w:val="32"/>
          <w:szCs w:val="32"/>
          <w:shd w:val="clear" w:color="auto" w:fill="FFFFFF"/>
          <w:lang w:val="en-US"/>
        </w:rPr>
        <w:t>%</w:t>
      </w:r>
      <w:r>
        <w:rPr>
          <w:rFonts w:hint="eastAsia" w:ascii="宋体" w:hAnsi="宋体" w:eastAsia="宋体" w:cs="宋体"/>
          <w:sz w:val="32"/>
          <w:szCs w:val="32"/>
          <w:shd w:val="clear" w:color="auto" w:fill="FFFFFF"/>
          <w:lang w:eastAsia="zh-CN"/>
        </w:rPr>
        <w:t>；卫生健康支出为</w:t>
      </w:r>
      <w:r>
        <w:rPr>
          <w:rFonts w:hint="eastAsia" w:ascii="宋体" w:hAnsi="宋体" w:eastAsia="宋体" w:cs="宋体"/>
          <w:sz w:val="32"/>
          <w:szCs w:val="32"/>
          <w:shd w:val="clear" w:color="auto" w:fill="FFFFFF"/>
          <w:lang w:val="en-US" w:eastAsia="zh-CN"/>
        </w:rPr>
        <w:t>859.52</w:t>
      </w:r>
      <w:r>
        <w:rPr>
          <w:rFonts w:hint="eastAsia" w:ascii="宋体" w:hAnsi="宋体" w:eastAsia="宋体" w:cs="宋体"/>
          <w:sz w:val="32"/>
          <w:szCs w:val="32"/>
          <w:shd w:val="clear" w:color="auto" w:fill="FFFFFF"/>
          <w:lang w:eastAsia="zh-CN"/>
        </w:rPr>
        <w:t>万元，占比</w:t>
      </w:r>
      <w:r>
        <w:rPr>
          <w:rFonts w:hint="eastAsia" w:ascii="宋体" w:hAnsi="宋体" w:eastAsia="宋体" w:cs="宋体"/>
          <w:sz w:val="32"/>
          <w:szCs w:val="32"/>
          <w:shd w:val="clear" w:color="auto" w:fill="FFFFFF"/>
          <w:lang w:val="en-US" w:eastAsia="zh-CN"/>
        </w:rPr>
        <w:t>84.22</w:t>
      </w:r>
      <w:r>
        <w:rPr>
          <w:rFonts w:hint="eastAsia" w:ascii="宋体" w:hAnsi="宋体" w:eastAsia="宋体" w:cs="宋体"/>
          <w:sz w:val="32"/>
          <w:szCs w:val="32"/>
          <w:shd w:val="clear" w:color="auto" w:fill="FFFFFF"/>
          <w:lang w:val="en-US"/>
        </w:rPr>
        <w:t>%</w:t>
      </w:r>
      <w:r>
        <w:rPr>
          <w:rFonts w:hint="eastAsia" w:ascii="宋体" w:hAnsi="宋体" w:eastAsia="宋体" w:cs="宋体"/>
          <w:sz w:val="32"/>
          <w:szCs w:val="32"/>
          <w:shd w:val="clear" w:color="auto" w:fill="FFFFFF"/>
          <w:lang w:eastAsia="zh-CN"/>
        </w:rPr>
        <w:t>；住房保障支出为</w:t>
      </w:r>
      <w:r>
        <w:rPr>
          <w:rFonts w:hint="eastAsia" w:ascii="宋体" w:hAnsi="宋体" w:eastAsia="宋体" w:cs="宋体"/>
          <w:sz w:val="32"/>
          <w:szCs w:val="32"/>
          <w:shd w:val="clear" w:color="auto" w:fill="FFFFFF"/>
          <w:lang w:val="en-US" w:eastAsia="zh-CN"/>
        </w:rPr>
        <w:t>56.9</w:t>
      </w:r>
      <w:r>
        <w:rPr>
          <w:rFonts w:hint="eastAsia" w:ascii="宋体" w:hAnsi="宋体" w:eastAsia="宋体" w:cs="宋体"/>
          <w:sz w:val="32"/>
          <w:szCs w:val="32"/>
          <w:shd w:val="clear" w:color="auto" w:fill="FFFFFF"/>
          <w:lang w:eastAsia="zh-CN"/>
        </w:rPr>
        <w:t>万元，占比</w:t>
      </w:r>
      <w:r>
        <w:rPr>
          <w:rFonts w:hint="eastAsia" w:ascii="宋体" w:hAnsi="宋体" w:eastAsia="宋体" w:cs="宋体"/>
          <w:sz w:val="32"/>
          <w:szCs w:val="32"/>
          <w:shd w:val="clear" w:color="auto" w:fill="FFFFFF"/>
          <w:lang w:val="en-US" w:eastAsia="zh-CN"/>
        </w:rPr>
        <w:t>5.58</w:t>
      </w:r>
      <w:r>
        <w:rPr>
          <w:rFonts w:hint="eastAsia" w:ascii="宋体" w:hAnsi="宋体" w:eastAsia="宋体" w:cs="宋体"/>
          <w:sz w:val="32"/>
          <w:szCs w:val="32"/>
          <w:shd w:val="clear" w:color="auto" w:fill="FFFFFF"/>
          <w:lang w:val="en-US"/>
        </w:rPr>
        <w:t>%</w:t>
      </w:r>
      <w:r>
        <w:rPr>
          <w:rFonts w:hint="eastAsia" w:ascii="宋体" w:hAnsi="宋体" w:eastAsia="宋体" w:cs="宋体"/>
          <w:sz w:val="32"/>
          <w:szCs w:val="32"/>
          <w:shd w:val="clear" w:color="auto" w:fill="FFFFFF"/>
          <w:lang w:eastAsia="zh-CN"/>
        </w:rPr>
        <w:t>。</w:t>
      </w:r>
    </w:p>
    <w:p w14:paraId="6B770817">
      <w:pPr>
        <w:pStyle w:val="189"/>
        <w:shd w:val="clear" w:color="auto" w:fill="FFFFFF"/>
      </w:pPr>
      <w:r>
        <w:drawing>
          <wp:inline distT="0" distB="0" distL="0" distR="0">
            <wp:extent cx="3857625" cy="2286000"/>
            <wp:effectExtent l="0" t="0" r="0" b="0"/>
            <wp:docPr id="1" name="_x0000_i1026"/>
            <wp:cNvGraphicFramePr/>
            <a:graphic xmlns:a="http://schemas.openxmlformats.org/drawingml/2006/main">
              <a:graphicData uri="http://schemas.openxmlformats.org/drawingml/2006/picture">
                <pic:pic xmlns:pic="http://schemas.openxmlformats.org/drawingml/2006/picture">
                  <pic:nvPicPr>
                    <pic:cNvPr id="1" name="_x0000_i1026"/>
                    <pic:cNvPicPr/>
                  </pic:nvPicPr>
                  <pic:blipFill>
                    <a:blip r:embed="rId4"/>
                    <a:stretch>
                      <a:fillRect/>
                    </a:stretch>
                  </pic:blipFill>
                  <pic:spPr>
                    <a:xfrm>
                      <a:off x="0" y="0"/>
                      <a:ext cx="3857625" cy="2286000"/>
                    </a:xfrm>
                    <a:prstGeom prst="rect">
                      <a:avLst/>
                    </a:prstGeom>
                    <a:noFill/>
                    <a:ln>
                      <a:noFill/>
                    </a:ln>
                  </pic:spPr>
                </pic:pic>
              </a:graphicData>
            </a:graphic>
          </wp:inline>
        </w:drawing>
      </w:r>
    </w:p>
    <w:p w14:paraId="6DF91689">
      <w:pPr>
        <w:pStyle w:val="189"/>
        <w:shd w:val="clear" w:color="auto" w:fill="FFFFFF"/>
        <w:rPr>
          <w:rFonts w:hint="eastAsia"/>
          <w:lang w:eastAsia="zh-CN"/>
        </w:rPr>
      </w:pPr>
      <w:r>
        <w:drawing>
          <wp:inline distT="0" distB="0" distL="0" distR="0">
            <wp:extent cx="5269865" cy="3243580"/>
            <wp:effectExtent l="0" t="0" r="0" b="0"/>
            <wp:docPr id="2" name="_x0000_i1027"/>
            <wp:cNvGraphicFramePr/>
            <a:graphic xmlns:a="http://schemas.openxmlformats.org/drawingml/2006/main">
              <a:graphicData uri="http://schemas.openxmlformats.org/drawingml/2006/picture">
                <pic:pic xmlns:pic="http://schemas.openxmlformats.org/drawingml/2006/picture">
                  <pic:nvPicPr>
                    <pic:cNvPr id="2" name="_x0000_i1027"/>
                    <pic:cNvPicPr/>
                  </pic:nvPicPr>
                  <pic:blipFill>
                    <a:blip r:embed="rId5"/>
                    <a:stretch>
                      <a:fillRect/>
                    </a:stretch>
                  </pic:blipFill>
                  <pic:spPr>
                    <a:xfrm>
                      <a:off x="0" y="0"/>
                      <a:ext cx="5270005" cy="3243771"/>
                    </a:xfrm>
                    <a:prstGeom prst="rect">
                      <a:avLst/>
                    </a:prstGeom>
                    <a:noFill/>
                    <a:ln>
                      <a:noFill/>
                    </a:ln>
                  </pic:spPr>
                </pic:pic>
              </a:graphicData>
            </a:graphic>
          </wp:inline>
        </w:drawing>
      </w:r>
    </w:p>
    <w:p w14:paraId="73C2D77E">
      <w:pPr>
        <w:pStyle w:val="189"/>
        <w:shd w:val="clear" w:color="auto" w:fill="FFFFFF"/>
        <w:rPr>
          <w:rFonts w:hint="eastAsia"/>
          <w:sz w:val="32"/>
          <w:szCs w:val="32"/>
        </w:rPr>
      </w:pPr>
      <w:r>
        <w:rPr>
          <w:rStyle w:val="190"/>
          <w:rFonts w:hint="eastAsia"/>
          <w:sz w:val="32"/>
          <w:szCs w:val="32"/>
        </w:rPr>
        <w:t>（一）收入支出预算安排情况。</w:t>
      </w:r>
    </w:p>
    <w:p w14:paraId="34185E9E">
      <w:pPr>
        <w:pStyle w:val="189"/>
        <w:shd w:val="clear" w:color="auto" w:fill="FFFFFF"/>
        <w:rPr>
          <w:rStyle w:val="190"/>
          <w:rFonts w:hint="eastAsia" w:ascii="宋体" w:hAnsi="宋体" w:eastAsia="宋体" w:cs="宋体"/>
          <w:sz w:val="32"/>
          <w:szCs w:val="32"/>
        </w:rPr>
      </w:pPr>
      <w:r>
        <w:rPr>
          <w:rFonts w:hint="eastAsia" w:ascii="宋体" w:hAnsi="宋体" w:eastAsia="宋体" w:cs="宋体"/>
          <w:sz w:val="32"/>
          <w:szCs w:val="32"/>
        </w:rPr>
        <w:t>本单位本年度收入的年初预算数为653.03万元，上年度收入的年初预算数为633.42万元，差异为19.61万元；</w:t>
      </w:r>
      <w:r>
        <w:rPr>
          <w:rStyle w:val="190"/>
          <w:rFonts w:hint="eastAsia" w:ascii="宋体" w:hAnsi="宋体" w:eastAsia="宋体" w:cs="宋体"/>
          <w:sz w:val="32"/>
          <w:szCs w:val="32"/>
        </w:rPr>
        <w:t>主要原因为</w:t>
      </w:r>
      <w:r>
        <w:rPr>
          <w:rStyle w:val="190"/>
          <w:rFonts w:hint="eastAsia" w:ascii="宋体" w:hAnsi="宋体" w:eastAsia="宋体" w:cs="宋体"/>
          <w:sz w:val="32"/>
          <w:szCs w:val="32"/>
          <w:lang w:eastAsia="zh-CN"/>
        </w:rPr>
        <w:t>工资收入及公用经费增加</w:t>
      </w:r>
      <w:r>
        <w:rPr>
          <w:rFonts w:hint="eastAsia" w:ascii="宋体" w:hAnsi="宋体" w:eastAsia="宋体" w:cs="宋体"/>
          <w:sz w:val="32"/>
          <w:szCs w:val="32"/>
        </w:rPr>
        <w:t>。本年度支出的年初预算数为 653.03万元，上年度支出的年初预算数为1,175.37万元，差异为-522.34万元；</w:t>
      </w:r>
      <w:r>
        <w:rPr>
          <w:rStyle w:val="190"/>
          <w:rFonts w:hint="eastAsia" w:ascii="宋体" w:hAnsi="宋体" w:eastAsia="宋体" w:cs="宋体"/>
          <w:sz w:val="32"/>
          <w:szCs w:val="32"/>
        </w:rPr>
        <w:t>主要原因为原因</w:t>
      </w:r>
      <w:r>
        <w:rPr>
          <w:rStyle w:val="190"/>
          <w:rFonts w:hint="eastAsia" w:ascii="宋体" w:hAnsi="宋体" w:eastAsia="宋体" w:cs="宋体"/>
          <w:sz w:val="32"/>
          <w:szCs w:val="32"/>
          <w:lang w:val="en-US" w:eastAsia="zh-CN"/>
        </w:rPr>
        <w:t>2021年有财政应返还额度</w:t>
      </w:r>
      <w:r>
        <w:rPr>
          <w:rStyle w:val="190"/>
          <w:rFonts w:hint="eastAsia" w:ascii="宋体" w:hAnsi="宋体" w:eastAsia="宋体" w:cs="宋体"/>
          <w:sz w:val="32"/>
          <w:szCs w:val="32"/>
        </w:rPr>
        <w:t>。</w:t>
      </w:r>
    </w:p>
    <w:p w14:paraId="1C8A1E23">
      <w:pPr>
        <w:pStyle w:val="189"/>
        <w:shd w:val="clear" w:color="auto" w:fill="FFFFFF"/>
        <w:rPr>
          <w:rFonts w:hint="eastAsia"/>
          <w:sz w:val="32"/>
          <w:szCs w:val="32"/>
        </w:rPr>
      </w:pPr>
      <w:r>
        <w:drawing>
          <wp:inline distT="0" distB="0" distL="0" distR="0">
            <wp:extent cx="3857625" cy="2286000"/>
            <wp:effectExtent l="0" t="0" r="0" b="0"/>
            <wp:docPr id="3" name="_x0000_i1028"/>
            <wp:cNvGraphicFramePr/>
            <a:graphic xmlns:a="http://schemas.openxmlformats.org/drawingml/2006/main">
              <a:graphicData uri="http://schemas.openxmlformats.org/drawingml/2006/picture">
                <pic:pic xmlns:pic="http://schemas.openxmlformats.org/drawingml/2006/picture">
                  <pic:nvPicPr>
                    <pic:cNvPr id="3" name="_x0000_i1028"/>
                    <pic:cNvPicPr/>
                  </pic:nvPicPr>
                  <pic:blipFill>
                    <a:blip r:embed="rId6"/>
                    <a:stretch>
                      <a:fillRect/>
                    </a:stretch>
                  </pic:blipFill>
                  <pic:spPr>
                    <a:xfrm>
                      <a:off x="0" y="0"/>
                      <a:ext cx="3857625" cy="2286000"/>
                    </a:xfrm>
                    <a:prstGeom prst="rect">
                      <a:avLst/>
                    </a:prstGeom>
                    <a:noFill/>
                    <a:ln>
                      <a:noFill/>
                    </a:ln>
                  </pic:spPr>
                </pic:pic>
              </a:graphicData>
            </a:graphic>
          </wp:inline>
        </w:drawing>
      </w:r>
    </w:p>
    <w:p w14:paraId="70B9671D">
      <w:pPr>
        <w:pStyle w:val="189"/>
        <w:shd w:val="clear" w:color="auto" w:fill="FFFFFF"/>
        <w:rPr>
          <w:rFonts w:hint="eastAsia"/>
          <w:sz w:val="32"/>
          <w:szCs w:val="32"/>
        </w:rPr>
      </w:pPr>
      <w:r>
        <w:rPr>
          <w:rStyle w:val="190"/>
          <w:rFonts w:hint="eastAsia"/>
          <w:sz w:val="32"/>
          <w:szCs w:val="32"/>
        </w:rPr>
        <w:t>（二）收入支出预算执行情况。</w:t>
      </w:r>
    </w:p>
    <w:p w14:paraId="27A23FF5">
      <w:pPr>
        <w:pStyle w:val="189"/>
        <w:shd w:val="clear" w:color="auto" w:fill="FFFFFF"/>
        <w:rPr>
          <w:rStyle w:val="190"/>
          <w:rFonts w:hint="eastAsia"/>
          <w:sz w:val="32"/>
          <w:szCs w:val="32"/>
        </w:rPr>
      </w:pPr>
      <w:r>
        <w:rPr>
          <w:rFonts w:hint="eastAsia"/>
          <w:sz w:val="32"/>
          <w:szCs w:val="32"/>
        </w:rPr>
        <w:t>本单位本年度收入全年预算数为1,020.58万元，收入决算数为1,020.58万元，预算完成度为100.00%，上年度预算完成度为100.00%，</w:t>
      </w:r>
      <w:r>
        <w:rPr>
          <w:rFonts w:hint="eastAsia"/>
          <w:sz w:val="32"/>
          <w:szCs w:val="32"/>
          <w:lang w:eastAsia="zh-CN"/>
        </w:rPr>
        <w:t>无</w:t>
      </w:r>
      <w:r>
        <w:rPr>
          <w:rStyle w:val="190"/>
          <w:rFonts w:hint="eastAsia"/>
          <w:sz w:val="32"/>
          <w:szCs w:val="32"/>
        </w:rPr>
        <w:t>差异</w:t>
      </w:r>
      <w:r>
        <w:rPr>
          <w:rFonts w:hint="eastAsia"/>
          <w:sz w:val="32"/>
          <w:szCs w:val="32"/>
        </w:rPr>
        <w:t>。 本年度支出全年预算数为1,020.58万元，支出决算数为1,020.58万元，预算完成度为100.00%，上年度预算完成度为100.00%，</w:t>
      </w:r>
      <w:r>
        <w:rPr>
          <w:rStyle w:val="190"/>
          <w:rFonts w:hint="eastAsia"/>
          <w:sz w:val="32"/>
          <w:szCs w:val="32"/>
        </w:rPr>
        <w:t>存在差异的主要原因为</w:t>
      </w:r>
      <w:r>
        <w:rPr>
          <w:rStyle w:val="190"/>
          <w:rFonts w:hint="eastAsia"/>
          <w:sz w:val="32"/>
          <w:szCs w:val="32"/>
          <w:lang w:val="en-US" w:eastAsia="zh-CN"/>
        </w:rPr>
        <w:t>2021年度有财政应返还额度</w:t>
      </w:r>
      <w:r>
        <w:rPr>
          <w:rStyle w:val="190"/>
          <w:rFonts w:hint="eastAsia"/>
          <w:sz w:val="32"/>
          <w:szCs w:val="32"/>
        </w:rPr>
        <w:t>。</w:t>
      </w:r>
    </w:p>
    <w:p w14:paraId="6C29514D">
      <w:pPr>
        <w:pStyle w:val="189"/>
        <w:shd w:val="clear" w:color="auto" w:fill="FFFFFF"/>
        <w:rPr>
          <w:rFonts w:hint="eastAsia"/>
          <w:sz w:val="32"/>
          <w:szCs w:val="32"/>
        </w:rPr>
      </w:pPr>
      <w:r>
        <w:drawing>
          <wp:inline distT="0" distB="0" distL="0" distR="0">
            <wp:extent cx="3886200" cy="2276475"/>
            <wp:effectExtent l="0" t="0" r="0" b="0"/>
            <wp:docPr id="4" name="_x0000_i1029"/>
            <wp:cNvGraphicFramePr/>
            <a:graphic xmlns:a="http://schemas.openxmlformats.org/drawingml/2006/main">
              <a:graphicData uri="http://schemas.openxmlformats.org/drawingml/2006/picture">
                <pic:pic xmlns:pic="http://schemas.openxmlformats.org/drawingml/2006/picture">
                  <pic:nvPicPr>
                    <pic:cNvPr id="4" name="_x0000_i1029"/>
                    <pic:cNvPicPr/>
                  </pic:nvPicPr>
                  <pic:blipFill>
                    <a:blip r:embed="rId7"/>
                    <a:stretch>
                      <a:fillRect/>
                    </a:stretch>
                  </pic:blipFill>
                  <pic:spPr>
                    <a:xfrm>
                      <a:off x="0" y="0"/>
                      <a:ext cx="3886200" cy="2276475"/>
                    </a:xfrm>
                    <a:prstGeom prst="rect">
                      <a:avLst/>
                    </a:prstGeom>
                    <a:noFill/>
                    <a:ln>
                      <a:noFill/>
                    </a:ln>
                  </pic:spPr>
                </pic:pic>
              </a:graphicData>
            </a:graphic>
          </wp:inline>
        </w:drawing>
      </w:r>
    </w:p>
    <w:p w14:paraId="3BA6103F">
      <w:pPr>
        <w:pStyle w:val="189"/>
        <w:shd w:val="clear" w:color="auto" w:fill="FFFFFF"/>
        <w:rPr>
          <w:rFonts w:hint="eastAsia"/>
          <w:sz w:val="32"/>
          <w:szCs w:val="32"/>
        </w:rPr>
      </w:pPr>
      <w:r>
        <w:rPr>
          <w:rStyle w:val="190"/>
          <w:rFonts w:hint="eastAsia"/>
          <w:sz w:val="32"/>
          <w:szCs w:val="32"/>
        </w:rPr>
        <w:t>1．收入支出与预算对比分析。</w:t>
      </w:r>
    </w:p>
    <w:p w14:paraId="3CBBE647">
      <w:pPr>
        <w:pStyle w:val="189"/>
        <w:shd w:val="clear" w:color="auto" w:fill="FFFFFF"/>
        <w:rPr>
          <w:rFonts w:hint="eastAsia"/>
          <w:sz w:val="32"/>
          <w:szCs w:val="32"/>
        </w:rPr>
      </w:pPr>
      <w:r>
        <w:rPr>
          <w:rFonts w:hint="eastAsia"/>
          <w:sz w:val="32"/>
          <w:szCs w:val="32"/>
        </w:rPr>
        <w:t>（1）预、决算差异情况，可分收入支出功能科目、分单位、分收入支出具体项目逐项对比。</w:t>
      </w:r>
    </w:p>
    <w:p w14:paraId="53C99039">
      <w:pPr>
        <w:pStyle w:val="189"/>
        <w:shd w:val="clear" w:color="auto" w:fill="FFFFFF"/>
        <w:rPr>
          <w:rFonts w:hint="eastAsia" w:ascii="宋体" w:hAnsi="宋体" w:eastAsia="宋体" w:cs="宋体"/>
          <w:sz w:val="32"/>
          <w:szCs w:val="32"/>
        </w:rPr>
      </w:pPr>
      <w:r>
        <w:rPr>
          <w:rFonts w:hint="eastAsia" w:ascii="宋体" w:hAnsi="宋体" w:eastAsia="宋体" w:cs="宋体"/>
          <w:sz w:val="32"/>
          <w:szCs w:val="32"/>
          <w:shd w:val="clear" w:color="auto" w:fill="FFFFFF"/>
          <w:lang w:eastAsia="zh-CN"/>
        </w:rPr>
        <w:t>本年度年初预算数为</w:t>
      </w:r>
      <w:r>
        <w:rPr>
          <w:rFonts w:hint="eastAsia" w:ascii="宋体" w:hAnsi="宋体" w:eastAsia="宋体" w:cs="宋体"/>
          <w:sz w:val="32"/>
          <w:szCs w:val="32"/>
          <w:shd w:val="clear" w:color="auto" w:fill="FFFFFF"/>
          <w:lang w:val="en-US" w:eastAsia="zh-CN"/>
        </w:rPr>
        <w:t>653.03万元,</w:t>
      </w:r>
      <w:r>
        <w:rPr>
          <w:rFonts w:hint="eastAsia" w:ascii="宋体" w:hAnsi="宋体" w:eastAsia="宋体" w:cs="宋体"/>
          <w:sz w:val="32"/>
          <w:szCs w:val="32"/>
          <w:shd w:val="clear" w:color="auto" w:fill="FFFFFF"/>
          <w:lang w:eastAsia="zh-CN"/>
        </w:rPr>
        <w:t>总支出为</w:t>
      </w:r>
      <w:r>
        <w:rPr>
          <w:rFonts w:hint="eastAsia" w:ascii="宋体" w:hAnsi="宋体" w:eastAsia="宋体" w:cs="宋体"/>
          <w:sz w:val="32"/>
          <w:szCs w:val="32"/>
          <w:shd w:val="clear" w:color="auto" w:fill="FFFFFF"/>
          <w:lang w:val="en-US" w:eastAsia="zh-CN"/>
        </w:rPr>
        <w:t>1020.58</w:t>
      </w:r>
      <w:r>
        <w:rPr>
          <w:rFonts w:hint="eastAsia" w:ascii="宋体" w:hAnsi="宋体" w:eastAsia="宋体" w:cs="宋体"/>
          <w:sz w:val="32"/>
          <w:szCs w:val="32"/>
          <w:shd w:val="clear" w:color="auto" w:fill="FFFFFF"/>
          <w:lang w:eastAsia="zh-CN"/>
        </w:rPr>
        <w:t>万元。其中：社会保障和就业支出年初预算数为</w:t>
      </w:r>
      <w:r>
        <w:rPr>
          <w:rFonts w:hint="eastAsia" w:ascii="宋体" w:hAnsi="宋体" w:eastAsia="宋体" w:cs="宋体"/>
          <w:sz w:val="32"/>
          <w:szCs w:val="32"/>
          <w:shd w:val="clear" w:color="auto" w:fill="FFFFFF"/>
          <w:lang w:val="en-US" w:eastAsia="zh-CN"/>
        </w:rPr>
        <w:t>90.51万元,</w:t>
      </w:r>
      <w:r>
        <w:rPr>
          <w:rFonts w:hint="eastAsia" w:ascii="宋体" w:hAnsi="宋体" w:eastAsia="宋体" w:cs="宋体"/>
          <w:sz w:val="32"/>
          <w:szCs w:val="32"/>
          <w:shd w:val="clear" w:color="auto" w:fill="FFFFFF"/>
          <w:lang w:eastAsia="zh-CN"/>
        </w:rPr>
        <w:t>支出为</w:t>
      </w:r>
      <w:r>
        <w:rPr>
          <w:rFonts w:hint="eastAsia" w:ascii="宋体" w:hAnsi="宋体" w:eastAsia="宋体" w:cs="宋体"/>
          <w:sz w:val="32"/>
          <w:szCs w:val="32"/>
          <w:shd w:val="clear" w:color="auto" w:fill="FFFFFF"/>
          <w:lang w:val="en-US" w:eastAsia="zh-CN"/>
        </w:rPr>
        <w:t>104.16</w:t>
      </w:r>
      <w:r>
        <w:rPr>
          <w:rFonts w:hint="eastAsia" w:ascii="宋体" w:hAnsi="宋体" w:eastAsia="宋体" w:cs="宋体"/>
          <w:sz w:val="32"/>
          <w:szCs w:val="32"/>
          <w:shd w:val="clear" w:color="auto" w:fill="FFFFFF"/>
          <w:lang w:eastAsia="zh-CN"/>
        </w:rPr>
        <w:t>万元，支出占比</w:t>
      </w:r>
      <w:r>
        <w:rPr>
          <w:rFonts w:hint="eastAsia" w:ascii="宋体" w:hAnsi="宋体" w:eastAsia="宋体" w:cs="宋体"/>
          <w:sz w:val="32"/>
          <w:szCs w:val="32"/>
          <w:shd w:val="clear" w:color="auto" w:fill="FFFFFF"/>
          <w:lang w:val="en-US" w:eastAsia="zh-CN"/>
        </w:rPr>
        <w:t>10.21</w:t>
      </w:r>
      <w:r>
        <w:rPr>
          <w:rFonts w:hint="eastAsia" w:ascii="宋体" w:hAnsi="宋体" w:eastAsia="宋体" w:cs="宋体"/>
          <w:sz w:val="32"/>
          <w:szCs w:val="32"/>
          <w:shd w:val="clear" w:color="auto" w:fill="FFFFFF"/>
          <w:lang w:val="en-US"/>
        </w:rPr>
        <w:t>%</w:t>
      </w:r>
      <w:r>
        <w:rPr>
          <w:rFonts w:hint="eastAsia" w:ascii="宋体" w:hAnsi="宋体" w:eastAsia="宋体" w:cs="宋体"/>
          <w:sz w:val="32"/>
          <w:szCs w:val="32"/>
          <w:shd w:val="clear" w:color="auto" w:fill="FFFFFF"/>
          <w:lang w:eastAsia="zh-CN"/>
        </w:rPr>
        <w:t>；卫生健康支出初预算数为</w:t>
      </w:r>
      <w:r>
        <w:rPr>
          <w:rFonts w:hint="eastAsia" w:ascii="宋体" w:hAnsi="宋体" w:eastAsia="宋体" w:cs="宋体"/>
          <w:sz w:val="32"/>
          <w:szCs w:val="32"/>
          <w:shd w:val="clear" w:color="auto" w:fill="FFFFFF"/>
          <w:lang w:val="en-US" w:eastAsia="zh-CN"/>
        </w:rPr>
        <w:t>500.75万元;决算数</w:t>
      </w:r>
      <w:r>
        <w:rPr>
          <w:rFonts w:hint="eastAsia" w:ascii="宋体" w:hAnsi="宋体" w:eastAsia="宋体" w:cs="宋体"/>
          <w:sz w:val="32"/>
          <w:szCs w:val="32"/>
          <w:shd w:val="clear" w:color="auto" w:fill="FFFFFF"/>
          <w:lang w:eastAsia="zh-CN"/>
        </w:rPr>
        <w:t>为</w:t>
      </w:r>
      <w:r>
        <w:rPr>
          <w:rFonts w:hint="eastAsia" w:ascii="宋体" w:hAnsi="宋体" w:eastAsia="宋体" w:cs="宋体"/>
          <w:sz w:val="32"/>
          <w:szCs w:val="32"/>
          <w:shd w:val="clear" w:color="auto" w:fill="FFFFFF"/>
          <w:lang w:val="en-US" w:eastAsia="zh-CN"/>
        </w:rPr>
        <w:t>859.52</w:t>
      </w:r>
      <w:r>
        <w:rPr>
          <w:rFonts w:hint="eastAsia" w:ascii="宋体" w:hAnsi="宋体" w:eastAsia="宋体" w:cs="宋体"/>
          <w:sz w:val="32"/>
          <w:szCs w:val="32"/>
          <w:shd w:val="clear" w:color="auto" w:fill="FFFFFF"/>
          <w:lang w:eastAsia="zh-CN"/>
        </w:rPr>
        <w:t>万元，支出占比</w:t>
      </w:r>
      <w:r>
        <w:rPr>
          <w:rFonts w:hint="eastAsia" w:ascii="宋体" w:hAnsi="宋体" w:eastAsia="宋体" w:cs="宋体"/>
          <w:sz w:val="32"/>
          <w:szCs w:val="32"/>
          <w:shd w:val="clear" w:color="auto" w:fill="FFFFFF"/>
          <w:lang w:val="en-US" w:eastAsia="zh-CN"/>
        </w:rPr>
        <w:t>84.22</w:t>
      </w:r>
      <w:r>
        <w:rPr>
          <w:rFonts w:hint="eastAsia" w:ascii="宋体" w:hAnsi="宋体" w:eastAsia="宋体" w:cs="宋体"/>
          <w:sz w:val="32"/>
          <w:szCs w:val="32"/>
          <w:shd w:val="clear" w:color="auto" w:fill="FFFFFF"/>
          <w:lang w:val="en-US"/>
        </w:rPr>
        <w:t>%</w:t>
      </w:r>
      <w:r>
        <w:rPr>
          <w:rFonts w:hint="eastAsia" w:ascii="宋体" w:hAnsi="宋体" w:eastAsia="宋体" w:cs="宋体"/>
          <w:sz w:val="32"/>
          <w:szCs w:val="32"/>
          <w:shd w:val="clear" w:color="auto" w:fill="FFFFFF"/>
          <w:lang w:eastAsia="zh-CN"/>
        </w:rPr>
        <w:t>；住房保障支出初预算数为</w:t>
      </w:r>
      <w:r>
        <w:rPr>
          <w:rFonts w:hint="eastAsia" w:ascii="宋体" w:hAnsi="宋体" w:eastAsia="宋体" w:cs="宋体"/>
          <w:sz w:val="32"/>
          <w:szCs w:val="32"/>
          <w:shd w:val="clear" w:color="auto" w:fill="FFFFFF"/>
          <w:lang w:val="en-US" w:eastAsia="zh-CN"/>
        </w:rPr>
        <w:t>61.77万元,决算数</w:t>
      </w:r>
      <w:r>
        <w:rPr>
          <w:rFonts w:hint="eastAsia" w:ascii="宋体" w:hAnsi="宋体" w:eastAsia="宋体" w:cs="宋体"/>
          <w:sz w:val="32"/>
          <w:szCs w:val="32"/>
          <w:shd w:val="clear" w:color="auto" w:fill="FFFFFF"/>
          <w:lang w:eastAsia="zh-CN"/>
        </w:rPr>
        <w:t>为</w:t>
      </w:r>
      <w:r>
        <w:rPr>
          <w:rFonts w:hint="eastAsia" w:ascii="宋体" w:hAnsi="宋体" w:eastAsia="宋体" w:cs="宋体"/>
          <w:sz w:val="32"/>
          <w:szCs w:val="32"/>
          <w:shd w:val="clear" w:color="auto" w:fill="FFFFFF"/>
          <w:lang w:val="en-US" w:eastAsia="zh-CN"/>
        </w:rPr>
        <w:t>56.9</w:t>
      </w:r>
      <w:r>
        <w:rPr>
          <w:rFonts w:hint="eastAsia" w:ascii="宋体" w:hAnsi="宋体" w:eastAsia="宋体" w:cs="宋体"/>
          <w:sz w:val="32"/>
          <w:szCs w:val="32"/>
          <w:shd w:val="clear" w:color="auto" w:fill="FFFFFF"/>
          <w:lang w:eastAsia="zh-CN"/>
        </w:rPr>
        <w:t>万元，，占比</w:t>
      </w:r>
      <w:r>
        <w:rPr>
          <w:rFonts w:hint="eastAsia" w:ascii="宋体" w:hAnsi="宋体" w:eastAsia="宋体" w:cs="宋体"/>
          <w:sz w:val="32"/>
          <w:szCs w:val="32"/>
          <w:shd w:val="clear" w:color="auto" w:fill="FFFFFF"/>
          <w:lang w:val="en-US" w:eastAsia="zh-CN"/>
        </w:rPr>
        <w:t>5.57</w:t>
      </w:r>
      <w:r>
        <w:rPr>
          <w:rFonts w:hint="eastAsia" w:ascii="宋体" w:hAnsi="宋体" w:eastAsia="宋体" w:cs="宋体"/>
          <w:sz w:val="32"/>
          <w:szCs w:val="32"/>
          <w:shd w:val="clear" w:color="auto" w:fill="FFFFFF"/>
          <w:lang w:val="en-US"/>
        </w:rPr>
        <w:t>%</w:t>
      </w:r>
      <w:r>
        <w:rPr>
          <w:rFonts w:hint="eastAsia" w:ascii="宋体" w:hAnsi="宋体" w:eastAsia="宋体" w:cs="宋体"/>
          <w:sz w:val="32"/>
          <w:szCs w:val="32"/>
          <w:shd w:val="clear" w:color="auto" w:fill="FFFFFF"/>
          <w:lang w:eastAsia="zh-CN"/>
        </w:rPr>
        <w:t>。</w:t>
      </w:r>
      <w:r>
        <w:rPr>
          <w:rFonts w:hint="eastAsia" w:ascii="宋体" w:hAnsi="宋体" w:eastAsia="宋体" w:cs="宋体"/>
          <w:sz w:val="32"/>
          <w:szCs w:val="32"/>
        </w:rPr>
        <w:t> </w:t>
      </w:r>
    </w:p>
    <w:p w14:paraId="45D99380">
      <w:pPr>
        <w:pStyle w:val="189"/>
        <w:numPr>
          <w:ilvl w:val="0"/>
          <w:numId w:val="3"/>
        </w:numPr>
        <w:shd w:val="clear" w:color="auto" w:fill="FFFFFF"/>
        <w:rPr>
          <w:rFonts w:hint="eastAsia"/>
          <w:sz w:val="32"/>
          <w:szCs w:val="32"/>
        </w:rPr>
      </w:pPr>
      <w:r>
        <w:rPr>
          <w:rFonts w:hint="eastAsia"/>
          <w:sz w:val="32"/>
          <w:szCs w:val="32"/>
        </w:rPr>
        <w:t>差异原因分析。差异较大的应分析到具体收入支出功能科目和具体单位。</w:t>
      </w:r>
    </w:p>
    <w:p w14:paraId="6646FC88">
      <w:pPr>
        <w:pStyle w:val="189"/>
        <w:widowControl/>
        <w:numPr>
          <w:ilvl w:val="0"/>
          <w:numId w:val="0"/>
        </w:numPr>
        <w:shd w:val="clear" w:color="auto" w:fill="FFFFFF"/>
        <w:spacing w:before="100" w:beforeAutospacing="1" w:after="100" w:afterAutospacing="1"/>
        <w:jc w:val="left"/>
        <w:rPr>
          <w:rFonts w:hint="eastAsia"/>
          <w:sz w:val="32"/>
          <w:szCs w:val="32"/>
        </w:rPr>
      </w:pPr>
    </w:p>
    <w:p w14:paraId="702C7824">
      <w:pPr>
        <w:pStyle w:val="189"/>
        <w:widowControl/>
        <w:numPr>
          <w:ilvl w:val="0"/>
          <w:numId w:val="0"/>
        </w:numPr>
        <w:shd w:val="clear" w:color="auto" w:fill="FFFFFF"/>
        <w:spacing w:before="100" w:beforeAutospacing="1" w:after="100" w:afterAutospacing="1"/>
        <w:jc w:val="left"/>
        <w:rPr>
          <w:rFonts w:hint="eastAsia"/>
          <w:sz w:val="32"/>
          <w:szCs w:val="32"/>
        </w:rPr>
      </w:pPr>
    </w:p>
    <w:tbl>
      <w:tblPr>
        <w:tblStyle w:val="30"/>
        <w:tblW w:w="9160" w:type="dxa"/>
        <w:tblInd w:w="-15"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top w:w="0" w:type="dxa"/>
          <w:left w:w="108" w:type="dxa"/>
          <w:bottom w:w="0" w:type="dxa"/>
          <w:right w:w="108" w:type="dxa"/>
        </w:tblCellMar>
      </w:tblPr>
      <w:tblGrid>
        <w:gridCol w:w="1600"/>
        <w:gridCol w:w="1760"/>
        <w:gridCol w:w="1420"/>
        <w:gridCol w:w="1520"/>
        <w:gridCol w:w="3016"/>
      </w:tblGrid>
      <w:tr w14:paraId="7F4C426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285" w:hRule="atLeast"/>
        </w:trPr>
        <w:tc>
          <w:tcPr>
            <w:tcW w:w="1600" w:type="dxa"/>
            <w:noWrap/>
            <w:vAlign w:val="center"/>
          </w:tcPr>
          <w:p w14:paraId="5B1317D2">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功能科目</w:t>
            </w:r>
          </w:p>
        </w:tc>
        <w:tc>
          <w:tcPr>
            <w:tcW w:w="1760" w:type="dxa"/>
            <w:noWrap/>
            <w:vAlign w:val="center"/>
          </w:tcPr>
          <w:p w14:paraId="52D2E595">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年初预算数</w:t>
            </w:r>
          </w:p>
        </w:tc>
        <w:tc>
          <w:tcPr>
            <w:tcW w:w="1420" w:type="dxa"/>
            <w:noWrap/>
            <w:vAlign w:val="center"/>
          </w:tcPr>
          <w:p w14:paraId="6681C95B">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决算数</w:t>
            </w:r>
          </w:p>
        </w:tc>
        <w:tc>
          <w:tcPr>
            <w:tcW w:w="1520" w:type="dxa"/>
            <w:noWrap/>
            <w:vAlign w:val="center"/>
          </w:tcPr>
          <w:p w14:paraId="775F595C">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占支出比例</w:t>
            </w:r>
          </w:p>
        </w:tc>
        <w:tc>
          <w:tcPr>
            <w:tcW w:w="2860" w:type="dxa"/>
            <w:noWrap/>
            <w:vAlign w:val="center"/>
          </w:tcPr>
          <w:p w14:paraId="67C3FF99">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差异原因</w:t>
            </w:r>
          </w:p>
        </w:tc>
      </w:tr>
      <w:tr w14:paraId="311ED8B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285" w:hRule="atLeast"/>
        </w:trPr>
        <w:tc>
          <w:tcPr>
            <w:tcW w:w="1600" w:type="dxa"/>
            <w:noWrap/>
            <w:vAlign w:val="center"/>
          </w:tcPr>
          <w:p w14:paraId="0E9E82F6">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2080505</w:t>
            </w:r>
          </w:p>
        </w:tc>
        <w:tc>
          <w:tcPr>
            <w:tcW w:w="1760" w:type="dxa"/>
            <w:noWrap/>
            <w:vAlign w:val="center"/>
          </w:tcPr>
          <w:p w14:paraId="384C2F74">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60.34</w:t>
            </w:r>
          </w:p>
        </w:tc>
        <w:tc>
          <w:tcPr>
            <w:tcW w:w="1420" w:type="dxa"/>
            <w:noWrap/>
            <w:vAlign w:val="center"/>
          </w:tcPr>
          <w:p w14:paraId="36A37AAC">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69.44</w:t>
            </w:r>
          </w:p>
        </w:tc>
        <w:tc>
          <w:tcPr>
            <w:tcW w:w="1520" w:type="dxa"/>
            <w:noWrap/>
            <w:vAlign w:val="center"/>
          </w:tcPr>
          <w:p w14:paraId="789017C3">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6.80%</w:t>
            </w:r>
          </w:p>
        </w:tc>
        <w:tc>
          <w:tcPr>
            <w:tcW w:w="3016" w:type="dxa"/>
            <w:noWrap/>
            <w:vAlign w:val="center"/>
          </w:tcPr>
          <w:p w14:paraId="3E21A8D7">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基数调整</w:t>
            </w:r>
          </w:p>
        </w:tc>
      </w:tr>
      <w:tr w14:paraId="4B1BDD7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285" w:hRule="atLeast"/>
        </w:trPr>
        <w:tc>
          <w:tcPr>
            <w:tcW w:w="1600" w:type="dxa"/>
            <w:noWrap/>
            <w:vAlign w:val="center"/>
          </w:tcPr>
          <w:p w14:paraId="6C0F814E">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2080506</w:t>
            </w:r>
          </w:p>
        </w:tc>
        <w:tc>
          <w:tcPr>
            <w:tcW w:w="1760" w:type="dxa"/>
            <w:noWrap/>
            <w:vAlign w:val="center"/>
          </w:tcPr>
          <w:p w14:paraId="2FA27A34">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30.17</w:t>
            </w:r>
          </w:p>
        </w:tc>
        <w:tc>
          <w:tcPr>
            <w:tcW w:w="1420" w:type="dxa"/>
            <w:noWrap/>
            <w:vAlign w:val="center"/>
          </w:tcPr>
          <w:p w14:paraId="1F424EE0">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34.72</w:t>
            </w:r>
          </w:p>
        </w:tc>
        <w:tc>
          <w:tcPr>
            <w:tcW w:w="1520" w:type="dxa"/>
            <w:noWrap/>
            <w:vAlign w:val="center"/>
          </w:tcPr>
          <w:p w14:paraId="5A22B3A7">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3.40%</w:t>
            </w:r>
          </w:p>
        </w:tc>
        <w:tc>
          <w:tcPr>
            <w:tcW w:w="3016" w:type="dxa"/>
            <w:noWrap/>
            <w:vAlign w:val="center"/>
          </w:tcPr>
          <w:p w14:paraId="7429094D">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基数调整</w:t>
            </w:r>
          </w:p>
        </w:tc>
      </w:tr>
      <w:tr w14:paraId="340DB8D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285" w:hRule="atLeast"/>
        </w:trPr>
        <w:tc>
          <w:tcPr>
            <w:tcW w:w="1600" w:type="dxa"/>
            <w:noWrap/>
            <w:vAlign w:val="center"/>
          </w:tcPr>
          <w:p w14:paraId="22EC9F28">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2100401</w:t>
            </w:r>
          </w:p>
        </w:tc>
        <w:tc>
          <w:tcPr>
            <w:tcW w:w="1760" w:type="dxa"/>
            <w:noWrap/>
            <w:vAlign w:val="center"/>
          </w:tcPr>
          <w:p w14:paraId="09C96755">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465.26</w:t>
            </w:r>
          </w:p>
        </w:tc>
        <w:tc>
          <w:tcPr>
            <w:tcW w:w="1420" w:type="dxa"/>
            <w:noWrap/>
            <w:vAlign w:val="center"/>
          </w:tcPr>
          <w:p w14:paraId="7796B457">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689.07</w:t>
            </w:r>
          </w:p>
        </w:tc>
        <w:tc>
          <w:tcPr>
            <w:tcW w:w="1520" w:type="dxa"/>
            <w:noWrap/>
            <w:vAlign w:val="center"/>
          </w:tcPr>
          <w:p w14:paraId="21418D4C">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67.52%</w:t>
            </w:r>
          </w:p>
        </w:tc>
        <w:tc>
          <w:tcPr>
            <w:tcW w:w="3016" w:type="dxa"/>
            <w:noWrap/>
            <w:vAlign w:val="center"/>
          </w:tcPr>
          <w:p w14:paraId="3B17E622">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基数调整</w:t>
            </w:r>
          </w:p>
        </w:tc>
      </w:tr>
      <w:tr w14:paraId="021E296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285" w:hRule="atLeast"/>
        </w:trPr>
        <w:tc>
          <w:tcPr>
            <w:tcW w:w="1600" w:type="dxa"/>
            <w:noWrap/>
            <w:vAlign w:val="center"/>
          </w:tcPr>
          <w:p w14:paraId="1469251D">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2100408</w:t>
            </w:r>
          </w:p>
        </w:tc>
        <w:tc>
          <w:tcPr>
            <w:tcW w:w="1760" w:type="dxa"/>
            <w:noWrap/>
            <w:vAlign w:val="center"/>
          </w:tcPr>
          <w:p w14:paraId="5645180B">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0</w:t>
            </w:r>
          </w:p>
        </w:tc>
        <w:tc>
          <w:tcPr>
            <w:tcW w:w="1420" w:type="dxa"/>
            <w:noWrap/>
            <w:vAlign w:val="center"/>
          </w:tcPr>
          <w:p w14:paraId="4FDA866C">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9.53</w:t>
            </w:r>
          </w:p>
        </w:tc>
        <w:tc>
          <w:tcPr>
            <w:tcW w:w="1520" w:type="dxa"/>
            <w:noWrap/>
            <w:vAlign w:val="center"/>
          </w:tcPr>
          <w:p w14:paraId="2DD38D73">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0.90%</w:t>
            </w:r>
          </w:p>
        </w:tc>
        <w:tc>
          <w:tcPr>
            <w:tcW w:w="3016" w:type="dxa"/>
            <w:noWrap/>
            <w:vAlign w:val="center"/>
          </w:tcPr>
          <w:p w14:paraId="34DEA399">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中央,省,州项目未纳入年初预算</w:t>
            </w:r>
          </w:p>
        </w:tc>
      </w:tr>
      <w:tr w14:paraId="36DE785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285" w:hRule="atLeast"/>
        </w:trPr>
        <w:tc>
          <w:tcPr>
            <w:tcW w:w="1600" w:type="dxa"/>
            <w:noWrap/>
            <w:vAlign w:val="center"/>
          </w:tcPr>
          <w:p w14:paraId="65EEAF0A">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2100409</w:t>
            </w:r>
          </w:p>
        </w:tc>
        <w:tc>
          <w:tcPr>
            <w:tcW w:w="1760" w:type="dxa"/>
            <w:noWrap/>
            <w:vAlign w:val="center"/>
          </w:tcPr>
          <w:p w14:paraId="4ED3352C">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0</w:t>
            </w:r>
          </w:p>
        </w:tc>
        <w:tc>
          <w:tcPr>
            <w:tcW w:w="1420" w:type="dxa"/>
            <w:noWrap/>
            <w:vAlign w:val="center"/>
          </w:tcPr>
          <w:p w14:paraId="62A75239">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65.97</w:t>
            </w:r>
          </w:p>
        </w:tc>
        <w:tc>
          <w:tcPr>
            <w:tcW w:w="1520" w:type="dxa"/>
            <w:noWrap/>
            <w:vAlign w:val="center"/>
          </w:tcPr>
          <w:p w14:paraId="5962B3DD">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6.50%</w:t>
            </w:r>
          </w:p>
        </w:tc>
        <w:tc>
          <w:tcPr>
            <w:tcW w:w="3016" w:type="dxa"/>
            <w:noWrap/>
            <w:vAlign w:val="center"/>
          </w:tcPr>
          <w:p w14:paraId="706CDFD9">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中央,省,州项目未纳入年初预算</w:t>
            </w:r>
          </w:p>
        </w:tc>
      </w:tr>
      <w:tr w14:paraId="248A9F7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285" w:hRule="atLeast"/>
        </w:trPr>
        <w:tc>
          <w:tcPr>
            <w:tcW w:w="1600" w:type="dxa"/>
            <w:noWrap/>
            <w:vAlign w:val="center"/>
          </w:tcPr>
          <w:p w14:paraId="1B5023E1">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2100499</w:t>
            </w:r>
          </w:p>
        </w:tc>
        <w:tc>
          <w:tcPr>
            <w:tcW w:w="1760" w:type="dxa"/>
            <w:noWrap/>
            <w:vAlign w:val="center"/>
          </w:tcPr>
          <w:p w14:paraId="6B02DAD9">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0</w:t>
            </w:r>
          </w:p>
        </w:tc>
        <w:tc>
          <w:tcPr>
            <w:tcW w:w="1420" w:type="dxa"/>
            <w:noWrap/>
            <w:vAlign w:val="center"/>
          </w:tcPr>
          <w:p w14:paraId="58FC9A7A">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1</w:t>
            </w:r>
          </w:p>
        </w:tc>
        <w:tc>
          <w:tcPr>
            <w:tcW w:w="1520" w:type="dxa"/>
            <w:noWrap/>
            <w:vAlign w:val="center"/>
          </w:tcPr>
          <w:p w14:paraId="4F4AB653">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0.10%</w:t>
            </w:r>
          </w:p>
        </w:tc>
        <w:tc>
          <w:tcPr>
            <w:tcW w:w="3016" w:type="dxa"/>
            <w:noWrap/>
            <w:vAlign w:val="center"/>
          </w:tcPr>
          <w:p w14:paraId="2CAE721B">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中央,省,州项目未纳入年初预算</w:t>
            </w:r>
          </w:p>
        </w:tc>
      </w:tr>
      <w:tr w14:paraId="2FC4B02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285" w:hRule="atLeast"/>
        </w:trPr>
        <w:tc>
          <w:tcPr>
            <w:tcW w:w="1600" w:type="dxa"/>
            <w:noWrap/>
            <w:vAlign w:val="center"/>
          </w:tcPr>
          <w:p w14:paraId="62B33C48">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2101102</w:t>
            </w:r>
          </w:p>
        </w:tc>
        <w:tc>
          <w:tcPr>
            <w:tcW w:w="1760" w:type="dxa"/>
            <w:noWrap/>
            <w:vAlign w:val="center"/>
          </w:tcPr>
          <w:p w14:paraId="0BEE5F2B">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26.4</w:t>
            </w:r>
          </w:p>
        </w:tc>
        <w:tc>
          <w:tcPr>
            <w:tcW w:w="1420" w:type="dxa"/>
            <w:noWrap/>
            <w:vAlign w:val="center"/>
          </w:tcPr>
          <w:p w14:paraId="58C0FAF8">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37.16</w:t>
            </w:r>
          </w:p>
        </w:tc>
        <w:tc>
          <w:tcPr>
            <w:tcW w:w="1520" w:type="dxa"/>
            <w:noWrap/>
            <w:vAlign w:val="center"/>
          </w:tcPr>
          <w:p w14:paraId="409A6E08">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3.60%</w:t>
            </w:r>
          </w:p>
        </w:tc>
        <w:tc>
          <w:tcPr>
            <w:tcW w:w="3016" w:type="dxa"/>
            <w:noWrap/>
            <w:vAlign w:val="center"/>
          </w:tcPr>
          <w:p w14:paraId="71F6B804">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基数调整</w:t>
            </w:r>
          </w:p>
        </w:tc>
      </w:tr>
      <w:tr w14:paraId="1EDE9F8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285" w:hRule="atLeast"/>
        </w:trPr>
        <w:tc>
          <w:tcPr>
            <w:tcW w:w="1600" w:type="dxa"/>
            <w:noWrap/>
            <w:vAlign w:val="center"/>
          </w:tcPr>
          <w:p w14:paraId="00EF70C8">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2101199</w:t>
            </w:r>
          </w:p>
        </w:tc>
        <w:tc>
          <w:tcPr>
            <w:tcW w:w="1760" w:type="dxa"/>
            <w:noWrap/>
            <w:vAlign w:val="center"/>
          </w:tcPr>
          <w:p w14:paraId="6E77B733">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9.14</w:t>
            </w:r>
          </w:p>
        </w:tc>
        <w:tc>
          <w:tcPr>
            <w:tcW w:w="1420" w:type="dxa"/>
            <w:noWrap/>
            <w:vAlign w:val="center"/>
          </w:tcPr>
          <w:p w14:paraId="553132A6">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8.9</w:t>
            </w:r>
          </w:p>
        </w:tc>
        <w:tc>
          <w:tcPr>
            <w:tcW w:w="1520" w:type="dxa"/>
            <w:noWrap/>
            <w:vAlign w:val="center"/>
          </w:tcPr>
          <w:p w14:paraId="204B81EB">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0.90%</w:t>
            </w:r>
          </w:p>
        </w:tc>
        <w:tc>
          <w:tcPr>
            <w:tcW w:w="3016" w:type="dxa"/>
            <w:noWrap/>
            <w:vAlign w:val="center"/>
          </w:tcPr>
          <w:p w14:paraId="50B86A61">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基数调整</w:t>
            </w:r>
          </w:p>
        </w:tc>
      </w:tr>
      <w:tr w14:paraId="0F93301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285" w:hRule="atLeast"/>
        </w:trPr>
        <w:tc>
          <w:tcPr>
            <w:tcW w:w="1600" w:type="dxa"/>
            <w:noWrap/>
            <w:vAlign w:val="center"/>
          </w:tcPr>
          <w:p w14:paraId="6B6924DC">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2109999</w:t>
            </w:r>
          </w:p>
        </w:tc>
        <w:tc>
          <w:tcPr>
            <w:tcW w:w="1760" w:type="dxa"/>
            <w:noWrap/>
            <w:vAlign w:val="center"/>
          </w:tcPr>
          <w:p w14:paraId="1569F2D0">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0</w:t>
            </w:r>
          </w:p>
        </w:tc>
        <w:tc>
          <w:tcPr>
            <w:tcW w:w="1420" w:type="dxa"/>
            <w:noWrap/>
            <w:vAlign w:val="center"/>
          </w:tcPr>
          <w:p w14:paraId="694AE10B">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47.88</w:t>
            </w:r>
          </w:p>
        </w:tc>
        <w:tc>
          <w:tcPr>
            <w:tcW w:w="1520" w:type="dxa"/>
            <w:noWrap/>
            <w:vAlign w:val="center"/>
          </w:tcPr>
          <w:p w14:paraId="06F57ACF">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5.00%</w:t>
            </w:r>
          </w:p>
        </w:tc>
        <w:tc>
          <w:tcPr>
            <w:tcW w:w="3016" w:type="dxa"/>
            <w:noWrap/>
            <w:vAlign w:val="center"/>
          </w:tcPr>
          <w:p w14:paraId="1FCCD940">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中央,省,州项目未纳入年初预算</w:t>
            </w:r>
          </w:p>
        </w:tc>
      </w:tr>
      <w:tr w14:paraId="674A820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285" w:hRule="atLeast"/>
        </w:trPr>
        <w:tc>
          <w:tcPr>
            <w:tcW w:w="1600" w:type="dxa"/>
            <w:noWrap/>
            <w:vAlign w:val="center"/>
          </w:tcPr>
          <w:p w14:paraId="0C5BA3E3">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2210201</w:t>
            </w:r>
          </w:p>
        </w:tc>
        <w:tc>
          <w:tcPr>
            <w:tcW w:w="1760" w:type="dxa"/>
            <w:noWrap/>
            <w:vAlign w:val="center"/>
          </w:tcPr>
          <w:p w14:paraId="600E742C">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61.76</w:t>
            </w:r>
          </w:p>
        </w:tc>
        <w:tc>
          <w:tcPr>
            <w:tcW w:w="1420" w:type="dxa"/>
            <w:noWrap/>
            <w:vAlign w:val="center"/>
          </w:tcPr>
          <w:p w14:paraId="412BEFBD">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56.9</w:t>
            </w:r>
          </w:p>
        </w:tc>
        <w:tc>
          <w:tcPr>
            <w:tcW w:w="1520" w:type="dxa"/>
            <w:noWrap/>
            <w:vAlign w:val="center"/>
          </w:tcPr>
          <w:p w14:paraId="4179F8EF">
            <w:pPr>
              <w:keepNext w:val="0"/>
              <w:keepLines w:val="0"/>
              <w:widowControl/>
              <w:suppressLineNumbers w:val="0"/>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5.58%</w:t>
            </w:r>
          </w:p>
        </w:tc>
        <w:tc>
          <w:tcPr>
            <w:tcW w:w="3016" w:type="dxa"/>
            <w:noWrap/>
            <w:vAlign w:val="center"/>
          </w:tcPr>
          <w:p w14:paraId="716B1A68">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基数调整</w:t>
            </w:r>
          </w:p>
        </w:tc>
      </w:tr>
    </w:tbl>
    <w:p w14:paraId="480A997F">
      <w:pPr>
        <w:pStyle w:val="189"/>
        <w:shd w:val="clear" w:color="auto" w:fill="FFFFFF"/>
        <w:rPr>
          <w:rFonts w:hint="eastAsia"/>
          <w:sz w:val="32"/>
          <w:szCs w:val="32"/>
        </w:rPr>
      </w:pPr>
    </w:p>
    <w:p w14:paraId="32112AA9">
      <w:pPr>
        <w:pStyle w:val="189"/>
        <w:shd w:val="clear" w:color="auto" w:fill="FFFFFF"/>
        <w:rPr>
          <w:rFonts w:hint="eastAsia"/>
          <w:sz w:val="32"/>
          <w:szCs w:val="32"/>
        </w:rPr>
      </w:pPr>
      <w:r>
        <w:rPr>
          <w:rStyle w:val="190"/>
          <w:rFonts w:hint="eastAsia"/>
          <w:sz w:val="32"/>
          <w:szCs w:val="32"/>
        </w:rPr>
        <w:t>2．收入支出结构分析。</w:t>
      </w:r>
    </w:p>
    <w:p w14:paraId="7EFC9BC0">
      <w:pPr>
        <w:pStyle w:val="189"/>
        <w:shd w:val="clear" w:color="auto" w:fill="FFFFFF"/>
        <w:rPr>
          <w:rFonts w:hint="eastAsia"/>
          <w:sz w:val="32"/>
          <w:szCs w:val="32"/>
        </w:rPr>
      </w:pPr>
      <w:r>
        <w:rPr>
          <w:rFonts w:hint="eastAsia"/>
          <w:sz w:val="32"/>
          <w:szCs w:val="32"/>
        </w:rPr>
        <w:t>（1） 本单位本年度总收入为1,020.58万元。其中：一般公共预算财政拨款收入为1,020.58万元，占比100.00%；政府性基金预算财政拨款收入为0.00万元，占比0.00%；国有资本经营预算财政拨款收入为0.00)万元，占比0.00%；上级补助收入为0.00万元，占比0.00%；事业收入为0.00万元，占比0.00%；经营收入为0.00万元，占比0.00%；附属单位上缴收入为0.00万元，占比0.00%；其他收入为0.00万元，占比0.00%。本年度总支出为1,020.58万元。其中：一般公共服务支出为0.00万元，占比0.00%；外交支出为0.00万元，占比0.00%；国防支出为0.00万元，占比0.00%；公共安全支出为0.00万元，占比0.00%；教育支出为0.00万元，占比0.00%；科学技术支出为0.00万元，占比0.00%；文化旅游体育与传媒支出为0.00万元，占比0.00%；社会保障和就业支出为104.16万元，占比10.21%；卫生健康支出为859.52万元，占比84.22%；节能环保支出为0.00万元，占比0.00%；城乡社区支出为0.00万元，占比0.00%；农林水支出为0.00万元，占比0.00%；交通运输支出为0.00万元，占比0.00%；资源勘探工业信息等支出为0.00万元，占比0.00%；商业服务业等支出为0.00万元，占比0.00%；金融支出为0.00万元，占比0.00%；援助其他地区支出为0.00万元，占比0.00%；自然资源海洋气象等支出为0.00万元，占比0.00%；住房保障支出为56.90万元，占比5.58%；粮油物资储备支出为0.00万元，占比0.00%；国有资本经营预算支出为0.00万元，占比0.00%；灾害防治及应急管理支出为0.00万元，占比0.00%；其他支出为0.00万元，占比0.00%；债务还本支出为0.00万元，占比0.00%；债务付息支出为0.00万元，占比0.00%；抗疫特别国债安排的支出为0.00万元，占比0.00%。</w:t>
      </w:r>
      <w:r>
        <w:rPr>
          <w:rStyle w:val="190"/>
          <w:rFonts w:hint="eastAsia"/>
          <w:sz w:val="32"/>
          <w:szCs w:val="32"/>
        </w:rPr>
        <w:t>（可分别制作饼状图）</w:t>
      </w:r>
      <w:r>
        <w:drawing>
          <wp:inline distT="0" distB="0" distL="0" distR="0">
            <wp:extent cx="3857625" cy="2286000"/>
            <wp:effectExtent l="0" t="0" r="0" b="0"/>
            <wp:docPr id="5" name="_x0000_i1030"/>
            <wp:cNvGraphicFramePr/>
            <a:graphic xmlns:a="http://schemas.openxmlformats.org/drawingml/2006/main">
              <a:graphicData uri="http://schemas.openxmlformats.org/drawingml/2006/picture">
                <pic:pic xmlns:pic="http://schemas.openxmlformats.org/drawingml/2006/picture">
                  <pic:nvPicPr>
                    <pic:cNvPr id="5" name="_x0000_i1030"/>
                    <pic:cNvPicPr/>
                  </pic:nvPicPr>
                  <pic:blipFill>
                    <a:blip r:embed="rId4"/>
                    <a:stretch>
                      <a:fillRect/>
                    </a:stretch>
                  </pic:blipFill>
                  <pic:spPr>
                    <a:xfrm>
                      <a:off x="0" y="0"/>
                      <a:ext cx="3857625" cy="2286000"/>
                    </a:xfrm>
                    <a:prstGeom prst="rect">
                      <a:avLst/>
                    </a:prstGeom>
                    <a:noFill/>
                    <a:ln>
                      <a:noFill/>
                    </a:ln>
                  </pic:spPr>
                </pic:pic>
              </a:graphicData>
            </a:graphic>
          </wp:inline>
        </w:drawing>
      </w:r>
      <w:r>
        <w:drawing>
          <wp:inline distT="0" distB="0" distL="0" distR="0">
            <wp:extent cx="5269865" cy="3243580"/>
            <wp:effectExtent l="0" t="0" r="0" b="0"/>
            <wp:docPr id="6" name="_x0000_i1031"/>
            <wp:cNvGraphicFramePr/>
            <a:graphic xmlns:a="http://schemas.openxmlformats.org/drawingml/2006/main">
              <a:graphicData uri="http://schemas.openxmlformats.org/drawingml/2006/picture">
                <pic:pic xmlns:pic="http://schemas.openxmlformats.org/drawingml/2006/picture">
                  <pic:nvPicPr>
                    <pic:cNvPr id="6" name="_x0000_i1031"/>
                    <pic:cNvPicPr/>
                  </pic:nvPicPr>
                  <pic:blipFill>
                    <a:blip r:embed="rId5"/>
                    <a:stretch>
                      <a:fillRect/>
                    </a:stretch>
                  </pic:blipFill>
                  <pic:spPr>
                    <a:xfrm>
                      <a:off x="0" y="0"/>
                      <a:ext cx="5270005" cy="3243771"/>
                    </a:xfrm>
                    <a:prstGeom prst="rect">
                      <a:avLst/>
                    </a:prstGeom>
                    <a:noFill/>
                    <a:ln>
                      <a:noFill/>
                    </a:ln>
                  </pic:spPr>
                </pic:pic>
              </a:graphicData>
            </a:graphic>
          </wp:inline>
        </w:drawing>
      </w:r>
    </w:p>
    <w:p w14:paraId="2785F778">
      <w:pPr>
        <w:pStyle w:val="189"/>
        <w:shd w:val="clear" w:color="auto" w:fill="FFFFFF"/>
        <w:rPr>
          <w:rFonts w:hint="eastAsia"/>
          <w:sz w:val="32"/>
          <w:szCs w:val="32"/>
        </w:rPr>
      </w:pPr>
      <w:r>
        <w:rPr>
          <w:rFonts w:hint="eastAsia"/>
          <w:sz w:val="32"/>
          <w:szCs w:val="32"/>
        </w:rPr>
        <w:t>（2）本年度一般公共预算财政拨款收入相比上年度增加-2.10万元，</w:t>
      </w:r>
      <w:r>
        <w:rPr>
          <w:rStyle w:val="190"/>
          <w:rFonts w:hint="eastAsia" w:ascii="仿宋_GB2312" w:hAnsi="宋体" w:eastAsia="仿宋_GB2312" w:cs="仿宋_GB2312"/>
          <w:sz w:val="32"/>
          <w:szCs w:val="32"/>
          <w:shd w:val="clear" w:color="auto" w:fill="FFFFFF"/>
          <w:lang w:eastAsia="zh-CN"/>
        </w:rPr>
        <w:t>主要原因为中央、省级项目资金减少</w:t>
      </w:r>
      <w:r>
        <w:rPr>
          <w:rFonts w:hint="eastAsia"/>
          <w:sz w:val="32"/>
          <w:szCs w:val="32"/>
        </w:rPr>
        <w:t>；政府性基金预算财政拨款收入相比上年度增加0.00万元，</w:t>
      </w:r>
      <w:r>
        <w:rPr>
          <w:rStyle w:val="190"/>
          <w:rFonts w:hint="eastAsia"/>
          <w:sz w:val="32"/>
          <w:szCs w:val="32"/>
        </w:rPr>
        <w:t>主要原因为......</w:t>
      </w:r>
      <w:r>
        <w:rPr>
          <w:rFonts w:hint="eastAsia"/>
          <w:sz w:val="32"/>
          <w:szCs w:val="32"/>
        </w:rPr>
        <w:t>；国有资本经营预算财政拨款收入相比上年度增加0.00万元，</w:t>
      </w:r>
      <w:r>
        <w:rPr>
          <w:rStyle w:val="190"/>
          <w:rFonts w:hint="eastAsia"/>
          <w:sz w:val="32"/>
          <w:szCs w:val="32"/>
        </w:rPr>
        <w:t>主要原因为......</w:t>
      </w:r>
      <w:r>
        <w:rPr>
          <w:rFonts w:hint="eastAsia"/>
          <w:sz w:val="32"/>
          <w:szCs w:val="32"/>
        </w:rPr>
        <w:t>；上级补助收入相比上年度增加0.00万元，</w:t>
      </w:r>
      <w:r>
        <w:rPr>
          <w:rStyle w:val="190"/>
          <w:rFonts w:hint="eastAsia"/>
          <w:sz w:val="32"/>
          <w:szCs w:val="32"/>
        </w:rPr>
        <w:t>主要原因为......</w:t>
      </w:r>
      <w:r>
        <w:rPr>
          <w:rFonts w:hint="eastAsia"/>
          <w:sz w:val="32"/>
          <w:szCs w:val="32"/>
        </w:rPr>
        <w:t>；事业收入相比上年度增加0.00万元，</w:t>
      </w:r>
      <w:r>
        <w:rPr>
          <w:rStyle w:val="190"/>
          <w:rFonts w:hint="eastAsia"/>
          <w:sz w:val="32"/>
          <w:szCs w:val="32"/>
        </w:rPr>
        <w:t>主要原因为......</w:t>
      </w:r>
      <w:r>
        <w:rPr>
          <w:rFonts w:hint="eastAsia"/>
          <w:sz w:val="32"/>
          <w:szCs w:val="32"/>
        </w:rPr>
        <w:t>；经营收入相比上年度增加0.00万元，</w:t>
      </w:r>
      <w:r>
        <w:rPr>
          <w:rStyle w:val="190"/>
          <w:rFonts w:hint="eastAsia"/>
          <w:sz w:val="32"/>
          <w:szCs w:val="32"/>
        </w:rPr>
        <w:t>主要原因为......</w:t>
      </w:r>
      <w:r>
        <w:rPr>
          <w:rFonts w:hint="eastAsia"/>
          <w:sz w:val="32"/>
          <w:szCs w:val="32"/>
        </w:rPr>
        <w:t>；附属单位上缴收入相比上年度增加0.00万元，</w:t>
      </w:r>
      <w:r>
        <w:rPr>
          <w:rStyle w:val="190"/>
          <w:rFonts w:hint="eastAsia"/>
          <w:sz w:val="32"/>
          <w:szCs w:val="32"/>
        </w:rPr>
        <w:t>主要原因为......</w:t>
      </w:r>
      <w:r>
        <w:rPr>
          <w:rFonts w:hint="eastAsia"/>
          <w:sz w:val="32"/>
          <w:szCs w:val="32"/>
        </w:rPr>
        <w:t>；其他收入相比上年度增加0.00万元，</w:t>
      </w:r>
      <w:r>
        <w:rPr>
          <w:rStyle w:val="190"/>
          <w:rFonts w:hint="eastAsia"/>
          <w:sz w:val="32"/>
          <w:szCs w:val="32"/>
        </w:rPr>
        <w:t>主要原因为......</w:t>
      </w:r>
      <w:r>
        <w:rPr>
          <w:rFonts w:hint="eastAsia"/>
          <w:sz w:val="32"/>
          <w:szCs w:val="32"/>
        </w:rPr>
        <w:t>。本年度一般公共服务支出相比上年度增加0.00万元，</w:t>
      </w:r>
      <w:r>
        <w:rPr>
          <w:rStyle w:val="190"/>
          <w:rFonts w:hint="eastAsia"/>
          <w:sz w:val="32"/>
          <w:szCs w:val="32"/>
        </w:rPr>
        <w:t>主要原因为......</w:t>
      </w:r>
      <w:r>
        <w:rPr>
          <w:rFonts w:hint="eastAsia"/>
          <w:sz w:val="32"/>
          <w:szCs w:val="32"/>
        </w:rPr>
        <w:t>，外交支出相比上年度增加0.00万元，</w:t>
      </w:r>
      <w:r>
        <w:rPr>
          <w:rStyle w:val="190"/>
          <w:rFonts w:hint="eastAsia"/>
          <w:sz w:val="32"/>
          <w:szCs w:val="32"/>
        </w:rPr>
        <w:t>主要原因为......</w:t>
      </w:r>
      <w:r>
        <w:rPr>
          <w:rFonts w:hint="eastAsia"/>
          <w:sz w:val="32"/>
          <w:szCs w:val="32"/>
        </w:rPr>
        <w:t>；国防支出相比上年度增加0.00万元，</w:t>
      </w:r>
      <w:r>
        <w:rPr>
          <w:rStyle w:val="190"/>
          <w:rFonts w:hint="eastAsia"/>
          <w:sz w:val="32"/>
          <w:szCs w:val="32"/>
        </w:rPr>
        <w:t>主要原因为......</w:t>
      </w:r>
      <w:r>
        <w:rPr>
          <w:rFonts w:hint="eastAsia"/>
          <w:sz w:val="32"/>
          <w:szCs w:val="32"/>
        </w:rPr>
        <w:t>；公共安全支出相比上年度增加0.00万元，</w:t>
      </w:r>
      <w:r>
        <w:rPr>
          <w:rStyle w:val="190"/>
          <w:rFonts w:hint="eastAsia"/>
          <w:sz w:val="32"/>
          <w:szCs w:val="32"/>
        </w:rPr>
        <w:t>主要原因为......</w:t>
      </w:r>
      <w:r>
        <w:rPr>
          <w:rFonts w:hint="eastAsia"/>
          <w:sz w:val="32"/>
          <w:szCs w:val="32"/>
        </w:rPr>
        <w:t>；教育支出相比上年度增加0.00万元，</w:t>
      </w:r>
      <w:r>
        <w:rPr>
          <w:rStyle w:val="190"/>
          <w:rFonts w:hint="eastAsia"/>
          <w:sz w:val="32"/>
          <w:szCs w:val="32"/>
        </w:rPr>
        <w:t>主要原因为......</w:t>
      </w:r>
      <w:r>
        <w:rPr>
          <w:rFonts w:hint="eastAsia"/>
          <w:sz w:val="32"/>
          <w:szCs w:val="32"/>
        </w:rPr>
        <w:t>；科学技术支出相比上年度增加0.00万元，</w:t>
      </w:r>
      <w:r>
        <w:rPr>
          <w:rStyle w:val="190"/>
          <w:rFonts w:hint="eastAsia"/>
          <w:sz w:val="32"/>
          <w:szCs w:val="32"/>
        </w:rPr>
        <w:t>主要原因为......</w:t>
      </w:r>
      <w:r>
        <w:rPr>
          <w:rFonts w:hint="eastAsia"/>
          <w:sz w:val="32"/>
          <w:szCs w:val="32"/>
        </w:rPr>
        <w:t>；文化旅游体育与传媒支出相比上年度增加0.00万元，</w:t>
      </w:r>
      <w:r>
        <w:rPr>
          <w:rStyle w:val="190"/>
          <w:rFonts w:hint="eastAsia"/>
          <w:sz w:val="32"/>
          <w:szCs w:val="32"/>
        </w:rPr>
        <w:t>主要原因为......</w:t>
      </w:r>
      <w:r>
        <w:rPr>
          <w:rFonts w:hint="eastAsia"/>
          <w:sz w:val="32"/>
          <w:szCs w:val="32"/>
        </w:rPr>
        <w:t>；社会保障和就业支出相比上年度增加-11.38万元，</w:t>
      </w:r>
      <w:r>
        <w:rPr>
          <w:rStyle w:val="190"/>
          <w:rFonts w:hint="eastAsia"/>
          <w:sz w:val="32"/>
          <w:szCs w:val="32"/>
        </w:rPr>
        <w:t>主要原因为</w:t>
      </w:r>
      <w:r>
        <w:rPr>
          <w:rStyle w:val="190"/>
          <w:rFonts w:hint="eastAsia"/>
          <w:sz w:val="32"/>
          <w:szCs w:val="32"/>
          <w:lang w:eastAsia="zh-CN"/>
        </w:rPr>
        <w:t>人员减少</w:t>
      </w:r>
      <w:r>
        <w:rPr>
          <w:rStyle w:val="190"/>
          <w:rFonts w:hint="eastAsia"/>
          <w:sz w:val="32"/>
          <w:szCs w:val="32"/>
          <w:lang w:val="en-US" w:eastAsia="zh-CN"/>
        </w:rPr>
        <w:t>,目标奖降低</w:t>
      </w:r>
      <w:r>
        <w:rPr>
          <w:rFonts w:hint="eastAsia"/>
          <w:sz w:val="32"/>
          <w:szCs w:val="32"/>
        </w:rPr>
        <w:t>；卫生健康支出相比上年度增加-379.19万元，</w:t>
      </w:r>
      <w:r>
        <w:rPr>
          <w:rStyle w:val="190"/>
          <w:rFonts w:hint="eastAsia"/>
          <w:sz w:val="32"/>
          <w:szCs w:val="32"/>
        </w:rPr>
        <w:t>主要原因为</w:t>
      </w:r>
      <w:r>
        <w:rPr>
          <w:rStyle w:val="190"/>
          <w:rFonts w:hint="eastAsia"/>
          <w:sz w:val="32"/>
          <w:szCs w:val="32"/>
          <w:lang w:eastAsia="zh-CN"/>
        </w:rPr>
        <w:t>人员减少</w:t>
      </w:r>
      <w:r>
        <w:rPr>
          <w:rStyle w:val="190"/>
          <w:rFonts w:hint="eastAsia"/>
          <w:sz w:val="32"/>
          <w:szCs w:val="32"/>
          <w:lang w:val="en-US" w:eastAsia="zh-CN"/>
        </w:rPr>
        <w:t>,目标奖降低</w:t>
      </w:r>
      <w:r>
        <w:rPr>
          <w:rFonts w:hint="eastAsia"/>
          <w:sz w:val="32"/>
          <w:szCs w:val="32"/>
        </w:rPr>
        <w:t>；节能环保支出相比上年度增加0.00万元，</w:t>
      </w:r>
      <w:r>
        <w:rPr>
          <w:rStyle w:val="190"/>
          <w:rFonts w:hint="eastAsia"/>
          <w:sz w:val="32"/>
          <w:szCs w:val="32"/>
        </w:rPr>
        <w:t>主要原因为......</w:t>
      </w:r>
      <w:r>
        <w:rPr>
          <w:rFonts w:hint="eastAsia"/>
          <w:sz w:val="32"/>
          <w:szCs w:val="32"/>
        </w:rPr>
        <w:t>；城乡社区支出相比上年度增加0.00万元，</w:t>
      </w:r>
      <w:r>
        <w:rPr>
          <w:rStyle w:val="190"/>
          <w:rFonts w:hint="eastAsia"/>
          <w:sz w:val="32"/>
          <w:szCs w:val="32"/>
        </w:rPr>
        <w:t>主要原因为......</w:t>
      </w:r>
      <w:r>
        <w:rPr>
          <w:rFonts w:hint="eastAsia"/>
          <w:sz w:val="32"/>
          <w:szCs w:val="32"/>
        </w:rPr>
        <w:t>；农林水支出相比上年度增加0.00万元，</w:t>
      </w:r>
      <w:r>
        <w:rPr>
          <w:rStyle w:val="190"/>
          <w:rFonts w:hint="eastAsia"/>
          <w:sz w:val="32"/>
          <w:szCs w:val="32"/>
        </w:rPr>
        <w:t>主要原因为......</w:t>
      </w:r>
      <w:r>
        <w:rPr>
          <w:rFonts w:hint="eastAsia"/>
          <w:sz w:val="32"/>
          <w:szCs w:val="32"/>
        </w:rPr>
        <w:t>；交通运输支出相比上年度增加0.00万元，</w:t>
      </w:r>
      <w:r>
        <w:rPr>
          <w:rStyle w:val="190"/>
          <w:rFonts w:hint="eastAsia"/>
          <w:sz w:val="32"/>
          <w:szCs w:val="32"/>
        </w:rPr>
        <w:t>主要原因为......</w:t>
      </w:r>
      <w:r>
        <w:rPr>
          <w:rFonts w:hint="eastAsia"/>
          <w:sz w:val="32"/>
          <w:szCs w:val="32"/>
        </w:rPr>
        <w:t>；资源勘探工业信息等支出相比上年度增加0.00万元，</w:t>
      </w:r>
      <w:r>
        <w:rPr>
          <w:rStyle w:val="190"/>
          <w:rFonts w:hint="eastAsia"/>
          <w:sz w:val="32"/>
          <w:szCs w:val="32"/>
        </w:rPr>
        <w:t>主要原因为......</w:t>
      </w:r>
      <w:r>
        <w:rPr>
          <w:rFonts w:hint="eastAsia"/>
          <w:sz w:val="32"/>
          <w:szCs w:val="32"/>
        </w:rPr>
        <w:t>；商业服务业等支出相比上年度增加0.00万元，</w:t>
      </w:r>
      <w:r>
        <w:rPr>
          <w:rStyle w:val="190"/>
          <w:rFonts w:hint="eastAsia"/>
          <w:sz w:val="32"/>
          <w:szCs w:val="32"/>
        </w:rPr>
        <w:t>主要原因为......</w:t>
      </w:r>
      <w:r>
        <w:rPr>
          <w:rFonts w:hint="eastAsia"/>
          <w:sz w:val="32"/>
          <w:szCs w:val="32"/>
        </w:rPr>
        <w:t>；金融支出相比上年度增加0.00万元，</w:t>
      </w:r>
      <w:r>
        <w:rPr>
          <w:rStyle w:val="190"/>
          <w:rFonts w:hint="eastAsia"/>
          <w:sz w:val="32"/>
          <w:szCs w:val="32"/>
        </w:rPr>
        <w:t>主要原因为......</w:t>
      </w:r>
      <w:r>
        <w:rPr>
          <w:rFonts w:hint="eastAsia"/>
          <w:sz w:val="32"/>
          <w:szCs w:val="32"/>
        </w:rPr>
        <w:t>；援助其他地区支出相比上年度增加0.00万元，</w:t>
      </w:r>
      <w:r>
        <w:rPr>
          <w:rStyle w:val="190"/>
          <w:rFonts w:hint="eastAsia"/>
          <w:sz w:val="32"/>
          <w:szCs w:val="32"/>
        </w:rPr>
        <w:t>主要原因为......</w:t>
      </w:r>
      <w:r>
        <w:rPr>
          <w:rFonts w:hint="eastAsia"/>
          <w:sz w:val="32"/>
          <w:szCs w:val="32"/>
        </w:rPr>
        <w:t>；自然资源海洋气象等支出相比上年度增加0.00万元，</w:t>
      </w:r>
      <w:r>
        <w:rPr>
          <w:rStyle w:val="190"/>
          <w:rFonts w:hint="eastAsia"/>
          <w:sz w:val="32"/>
          <w:szCs w:val="32"/>
        </w:rPr>
        <w:t>主要原因为......</w:t>
      </w:r>
      <w:r>
        <w:rPr>
          <w:rFonts w:hint="eastAsia"/>
          <w:sz w:val="32"/>
          <w:szCs w:val="32"/>
        </w:rPr>
        <w:t>；住房保障支出相比上年度增加-0.24万元，</w:t>
      </w:r>
      <w:r>
        <w:rPr>
          <w:rStyle w:val="190"/>
          <w:rFonts w:hint="eastAsia"/>
          <w:sz w:val="32"/>
          <w:szCs w:val="32"/>
        </w:rPr>
        <w:t>主要原因为</w:t>
      </w:r>
      <w:r>
        <w:rPr>
          <w:rStyle w:val="190"/>
          <w:rFonts w:hint="eastAsia"/>
          <w:sz w:val="32"/>
          <w:szCs w:val="32"/>
          <w:lang w:eastAsia="zh-CN"/>
        </w:rPr>
        <w:t>人员减少</w:t>
      </w:r>
      <w:r>
        <w:rPr>
          <w:rStyle w:val="190"/>
          <w:rFonts w:hint="eastAsia"/>
          <w:sz w:val="32"/>
          <w:szCs w:val="32"/>
          <w:lang w:val="en-US" w:eastAsia="zh-CN"/>
        </w:rPr>
        <w:t>,目标奖降低</w:t>
      </w:r>
      <w:r>
        <w:rPr>
          <w:rFonts w:hint="eastAsia"/>
          <w:sz w:val="32"/>
          <w:szCs w:val="32"/>
        </w:rPr>
        <w:t>；粮油物资储备支出相比上年度增加0.00万元，</w:t>
      </w:r>
      <w:r>
        <w:rPr>
          <w:rStyle w:val="190"/>
          <w:rFonts w:hint="eastAsia"/>
          <w:sz w:val="32"/>
          <w:szCs w:val="32"/>
        </w:rPr>
        <w:t>主要原因为......</w:t>
      </w:r>
      <w:r>
        <w:rPr>
          <w:rFonts w:hint="eastAsia"/>
          <w:sz w:val="32"/>
          <w:szCs w:val="32"/>
        </w:rPr>
        <w:t>；国有资本经营预算支出相比上年度增加0.00万元，</w:t>
      </w:r>
      <w:r>
        <w:rPr>
          <w:rStyle w:val="190"/>
          <w:rFonts w:hint="eastAsia"/>
          <w:sz w:val="32"/>
          <w:szCs w:val="32"/>
        </w:rPr>
        <w:t>主要原因为......</w:t>
      </w:r>
      <w:r>
        <w:rPr>
          <w:rFonts w:hint="eastAsia"/>
          <w:sz w:val="32"/>
          <w:szCs w:val="32"/>
        </w:rPr>
        <w:t>；灾害防治及应急管理支出相比上年度增加0.00万元，</w:t>
      </w:r>
      <w:r>
        <w:rPr>
          <w:rStyle w:val="190"/>
          <w:rFonts w:hint="eastAsia"/>
          <w:sz w:val="32"/>
          <w:szCs w:val="32"/>
        </w:rPr>
        <w:t>主要原因为......</w:t>
      </w:r>
      <w:r>
        <w:rPr>
          <w:rFonts w:hint="eastAsia"/>
          <w:sz w:val="32"/>
          <w:szCs w:val="32"/>
        </w:rPr>
        <w:t>；其他支出相比上年度增加0.00万元，</w:t>
      </w:r>
      <w:r>
        <w:rPr>
          <w:rStyle w:val="190"/>
          <w:rFonts w:hint="eastAsia"/>
          <w:sz w:val="32"/>
          <w:szCs w:val="32"/>
        </w:rPr>
        <w:t>主要原因为......</w:t>
      </w:r>
      <w:r>
        <w:rPr>
          <w:rFonts w:hint="eastAsia"/>
          <w:sz w:val="32"/>
          <w:szCs w:val="32"/>
        </w:rPr>
        <w:t>；债务还本支出相比上年度增加0.00万元，</w:t>
      </w:r>
      <w:r>
        <w:rPr>
          <w:rStyle w:val="190"/>
          <w:rFonts w:hint="eastAsia"/>
          <w:sz w:val="32"/>
          <w:szCs w:val="32"/>
        </w:rPr>
        <w:t>主要原因为......</w:t>
      </w:r>
      <w:r>
        <w:rPr>
          <w:rFonts w:hint="eastAsia"/>
          <w:sz w:val="32"/>
          <w:szCs w:val="32"/>
        </w:rPr>
        <w:t>；债务付息支出相比上年度增加0.00万元，</w:t>
      </w:r>
      <w:r>
        <w:rPr>
          <w:rStyle w:val="190"/>
          <w:rFonts w:hint="eastAsia"/>
          <w:sz w:val="32"/>
          <w:szCs w:val="32"/>
        </w:rPr>
        <w:t>主要原因为......</w:t>
      </w:r>
      <w:r>
        <w:rPr>
          <w:rFonts w:hint="eastAsia"/>
          <w:sz w:val="32"/>
          <w:szCs w:val="32"/>
        </w:rPr>
        <w:t>；抗疫特别国债安排的支出相比上年度增加0.00万元，</w:t>
      </w:r>
      <w:r>
        <w:rPr>
          <w:rStyle w:val="190"/>
          <w:rFonts w:hint="eastAsia"/>
          <w:sz w:val="32"/>
          <w:szCs w:val="32"/>
        </w:rPr>
        <w:t>主要原因为......</w:t>
      </w:r>
      <w:r>
        <w:rPr>
          <w:rFonts w:hint="eastAsia"/>
          <w:sz w:val="32"/>
          <w:szCs w:val="32"/>
        </w:rPr>
        <w:t>。</w:t>
      </w:r>
      <w:r>
        <w:drawing>
          <wp:inline distT="0" distB="0" distL="0" distR="0">
            <wp:extent cx="5269865" cy="3243580"/>
            <wp:effectExtent l="0" t="0" r="0" b="0"/>
            <wp:docPr id="7" name="_x0000_i1032"/>
            <wp:cNvGraphicFramePr/>
            <a:graphic xmlns:a="http://schemas.openxmlformats.org/drawingml/2006/main">
              <a:graphicData uri="http://schemas.openxmlformats.org/drawingml/2006/picture">
                <pic:pic xmlns:pic="http://schemas.openxmlformats.org/drawingml/2006/picture">
                  <pic:nvPicPr>
                    <pic:cNvPr id="7" name="_x0000_i1032"/>
                    <pic:cNvPicPr/>
                  </pic:nvPicPr>
                  <pic:blipFill>
                    <a:blip r:embed="rId8"/>
                    <a:stretch>
                      <a:fillRect/>
                    </a:stretch>
                  </pic:blipFill>
                  <pic:spPr>
                    <a:xfrm>
                      <a:off x="0" y="0"/>
                      <a:ext cx="5270005" cy="3243771"/>
                    </a:xfrm>
                    <a:prstGeom prst="rect">
                      <a:avLst/>
                    </a:prstGeom>
                    <a:noFill/>
                    <a:ln>
                      <a:noFill/>
                    </a:ln>
                  </pic:spPr>
                </pic:pic>
              </a:graphicData>
            </a:graphic>
          </wp:inline>
        </w:drawing>
      </w:r>
    </w:p>
    <w:p w14:paraId="6D8DFD5F">
      <w:pPr>
        <w:pStyle w:val="189"/>
        <w:shd w:val="clear" w:color="auto" w:fill="FFFFFF"/>
        <w:rPr>
          <w:rFonts w:hint="eastAsia"/>
          <w:sz w:val="32"/>
          <w:szCs w:val="32"/>
        </w:rPr>
      </w:pPr>
      <w:r>
        <w:rPr>
          <w:rStyle w:val="190"/>
          <w:rFonts w:hint="eastAsia"/>
          <w:sz w:val="32"/>
          <w:szCs w:val="32"/>
        </w:rPr>
        <w:t>3．支出按经济分类科目分析。</w:t>
      </w:r>
    </w:p>
    <w:p w14:paraId="57B07A75">
      <w:pPr>
        <w:pStyle w:val="189"/>
        <w:shd w:val="clear" w:color="auto" w:fill="FFFFFF"/>
        <w:rPr>
          <w:rFonts w:hint="eastAsia"/>
          <w:sz w:val="32"/>
          <w:szCs w:val="32"/>
        </w:rPr>
      </w:pPr>
      <w:r>
        <w:rPr>
          <w:rFonts w:hint="eastAsia"/>
          <w:sz w:val="32"/>
          <w:szCs w:val="32"/>
        </w:rPr>
        <w:t>（1） “三公”经费支出情况：本单位本年度“三公”经费支出决算数为51.80万元。其中:因公出国（境）费支出决算数为0.00万元，相比上年度增加0.00万元，</w:t>
      </w:r>
      <w:r>
        <w:rPr>
          <w:rStyle w:val="190"/>
          <w:rFonts w:hint="eastAsia"/>
          <w:sz w:val="32"/>
          <w:szCs w:val="32"/>
        </w:rPr>
        <w:t>主要原因为...</w:t>
      </w:r>
      <w:r>
        <w:rPr>
          <w:rFonts w:hint="eastAsia"/>
          <w:sz w:val="32"/>
          <w:szCs w:val="32"/>
        </w:rPr>
        <w:t>公务用车购置及运行维护费支出决算数为51.24万元，相比上年度增加37.61万元，</w:t>
      </w:r>
      <w:r>
        <w:rPr>
          <w:rStyle w:val="190"/>
          <w:rFonts w:hint="eastAsia"/>
          <w:sz w:val="32"/>
          <w:szCs w:val="32"/>
        </w:rPr>
        <w:t>主要原因为</w:t>
      </w:r>
      <w:r>
        <w:rPr>
          <w:rStyle w:val="190"/>
          <w:rFonts w:hint="eastAsia"/>
          <w:sz w:val="32"/>
          <w:szCs w:val="32"/>
          <w:lang w:eastAsia="zh-CN"/>
        </w:rPr>
        <w:t>新采购公务用车一辆</w:t>
      </w:r>
      <w:r>
        <w:rPr>
          <w:rFonts w:hint="eastAsia"/>
          <w:sz w:val="32"/>
          <w:szCs w:val="32"/>
        </w:rPr>
        <w:t>；公务接待费支出决算数为0.56万元，相比上年度增加0.00万元，</w:t>
      </w:r>
      <w:r>
        <w:rPr>
          <w:rStyle w:val="190"/>
          <w:rFonts w:hint="eastAsia"/>
          <w:sz w:val="32"/>
          <w:szCs w:val="32"/>
        </w:rPr>
        <w:t>主要原因为</w:t>
      </w:r>
      <w:r>
        <w:rPr>
          <w:rStyle w:val="190"/>
          <w:rFonts w:hint="eastAsia"/>
          <w:sz w:val="32"/>
          <w:szCs w:val="32"/>
          <w:lang w:eastAsia="zh-CN"/>
        </w:rPr>
        <w:t>严格控制接待次数及人数</w:t>
      </w:r>
      <w:r>
        <w:rPr>
          <w:rStyle w:val="190"/>
          <w:rFonts w:hint="eastAsia"/>
          <w:sz w:val="32"/>
          <w:szCs w:val="32"/>
          <w:lang w:val="en-US" w:eastAsia="zh-CN"/>
        </w:rPr>
        <w:t>,历行节约</w:t>
      </w:r>
      <w:r>
        <w:rPr>
          <w:rFonts w:hint="eastAsia"/>
          <w:sz w:val="32"/>
          <w:szCs w:val="32"/>
        </w:rPr>
        <w:t>。 本年度“三公”经费支出预算数为51.80万元，决算数为51.80万元，预算完成度为100.00%，</w:t>
      </w:r>
      <w:r>
        <w:rPr>
          <w:rStyle w:val="190"/>
          <w:rFonts w:hint="eastAsia"/>
          <w:sz w:val="32"/>
          <w:szCs w:val="32"/>
        </w:rPr>
        <w:t>主要原因为......</w:t>
      </w:r>
      <w:r>
        <w:rPr>
          <w:rFonts w:hint="eastAsia"/>
          <w:sz w:val="32"/>
          <w:szCs w:val="32"/>
        </w:rPr>
        <w:t>。本年度因公出国（境）费人均支出为0.00万元，公务用车购置及运行维护费人均支出为1.46万元，公务接待费人均支出为0.02万元。</w:t>
      </w:r>
      <w:r>
        <w:rPr>
          <w:rStyle w:val="190"/>
          <w:rFonts w:hint="eastAsia"/>
          <w:sz w:val="32"/>
          <w:szCs w:val="32"/>
        </w:rPr>
        <w:t>（可做表、柱图、折线图）</w:t>
      </w:r>
      <w:r>
        <w:drawing>
          <wp:inline distT="0" distB="0" distL="0" distR="0">
            <wp:extent cx="5269865" cy="3243580"/>
            <wp:effectExtent l="0" t="0" r="0" b="0"/>
            <wp:docPr id="8" name="_x0000_i1033"/>
            <wp:cNvGraphicFramePr/>
            <a:graphic xmlns:a="http://schemas.openxmlformats.org/drawingml/2006/main">
              <a:graphicData uri="http://schemas.openxmlformats.org/drawingml/2006/picture">
                <pic:pic xmlns:pic="http://schemas.openxmlformats.org/drawingml/2006/picture">
                  <pic:nvPicPr>
                    <pic:cNvPr id="8" name="_x0000_i1033"/>
                    <pic:cNvPicPr/>
                  </pic:nvPicPr>
                  <pic:blipFill>
                    <a:blip r:embed="rId9"/>
                    <a:stretch>
                      <a:fillRect/>
                    </a:stretch>
                  </pic:blipFill>
                  <pic:spPr>
                    <a:xfrm>
                      <a:off x="0" y="0"/>
                      <a:ext cx="5270005" cy="3243771"/>
                    </a:xfrm>
                    <a:prstGeom prst="rect">
                      <a:avLst/>
                    </a:prstGeom>
                    <a:noFill/>
                    <a:ln>
                      <a:noFill/>
                    </a:ln>
                  </pic:spPr>
                </pic:pic>
              </a:graphicData>
            </a:graphic>
          </wp:inline>
        </w:drawing>
      </w:r>
    </w:p>
    <w:p w14:paraId="3C645198">
      <w:pPr>
        <w:pStyle w:val="189"/>
        <w:shd w:val="clear" w:color="auto" w:fill="FFFFFF"/>
        <w:rPr>
          <w:rFonts w:hint="eastAsia" w:eastAsia="宋体"/>
          <w:sz w:val="32"/>
          <w:szCs w:val="32"/>
          <w:lang w:val="en-US" w:eastAsia="zh-CN"/>
        </w:rPr>
      </w:pPr>
      <w:r>
        <w:rPr>
          <w:rFonts w:hint="eastAsia"/>
          <w:sz w:val="32"/>
          <w:szCs w:val="32"/>
        </w:rPr>
        <w:t>（2） 会议费支出情况：本单位本年度会议费支出决算数为0.00万元，相比上年度增加0.00万元，</w:t>
      </w:r>
      <w:r>
        <w:rPr>
          <w:rStyle w:val="190"/>
          <w:rFonts w:hint="eastAsia"/>
          <w:sz w:val="32"/>
          <w:szCs w:val="32"/>
        </w:rPr>
        <w:t>主要原因为</w:t>
      </w:r>
      <w:r>
        <w:rPr>
          <w:rStyle w:val="190"/>
          <w:rFonts w:hint="eastAsia"/>
          <w:sz w:val="32"/>
          <w:szCs w:val="32"/>
          <w:lang w:eastAsia="zh-CN"/>
        </w:rPr>
        <w:t>受</w:t>
      </w:r>
      <w:r>
        <w:rPr>
          <w:rStyle w:val="190"/>
          <w:rFonts w:hint="eastAsia" w:ascii="仿宋_GB2312" w:hAnsi="宋体" w:eastAsia="仿宋_GB2312" w:cs="仿宋_GB2312"/>
          <w:sz w:val="32"/>
          <w:szCs w:val="32"/>
          <w:shd w:val="clear" w:color="auto" w:fill="FFFFFF"/>
          <w:lang w:eastAsia="zh-CN"/>
        </w:rPr>
        <w:t>新冠疫情影响</w:t>
      </w:r>
      <w:r>
        <w:rPr>
          <w:rFonts w:hint="eastAsia"/>
          <w:sz w:val="32"/>
          <w:szCs w:val="32"/>
        </w:rPr>
        <w:t>；会议费人均支出为0.00万元</w:t>
      </w:r>
      <w:r>
        <w:rPr>
          <w:rFonts w:hint="eastAsia"/>
          <w:sz w:val="32"/>
          <w:szCs w:val="32"/>
          <w:lang w:val="en-US" w:eastAsia="zh-CN"/>
        </w:rPr>
        <w:t>.</w:t>
      </w:r>
    </w:p>
    <w:p w14:paraId="560185FF">
      <w:pPr>
        <w:pStyle w:val="189"/>
        <w:shd w:val="clear" w:color="auto" w:fill="FFFFFF"/>
        <w:rPr>
          <w:rFonts w:hint="eastAsia"/>
          <w:sz w:val="32"/>
          <w:szCs w:val="32"/>
        </w:rPr>
      </w:pPr>
      <w:r>
        <w:rPr>
          <w:rFonts w:hint="eastAsia"/>
          <w:sz w:val="32"/>
          <w:szCs w:val="32"/>
        </w:rPr>
        <w:t>（3） 培训费支出情况：本单位本年度培训费支出决算数为0.00万元，相比上年度增加-3.76万元，</w:t>
      </w:r>
      <w:r>
        <w:rPr>
          <w:rStyle w:val="190"/>
          <w:rFonts w:hint="eastAsia"/>
          <w:sz w:val="32"/>
          <w:szCs w:val="32"/>
        </w:rPr>
        <w:t>主要原因为</w:t>
      </w:r>
      <w:r>
        <w:rPr>
          <w:rStyle w:val="190"/>
          <w:rFonts w:hint="eastAsia"/>
          <w:sz w:val="32"/>
          <w:szCs w:val="32"/>
          <w:lang w:eastAsia="zh-CN"/>
        </w:rPr>
        <w:t>受</w:t>
      </w:r>
      <w:r>
        <w:rPr>
          <w:rStyle w:val="190"/>
          <w:rFonts w:hint="eastAsia" w:ascii="仿宋_GB2312" w:hAnsi="宋体" w:eastAsia="仿宋_GB2312" w:cs="仿宋_GB2312"/>
          <w:sz w:val="32"/>
          <w:szCs w:val="32"/>
          <w:shd w:val="clear" w:color="auto" w:fill="FFFFFF"/>
          <w:lang w:eastAsia="zh-CN"/>
        </w:rPr>
        <w:t>新冠影响</w:t>
      </w:r>
      <w:r>
        <w:rPr>
          <w:rStyle w:val="190"/>
          <w:rFonts w:hint="eastAsia" w:ascii="仿宋_GB2312" w:hAnsi="宋体" w:eastAsia="仿宋_GB2312" w:cs="仿宋_GB2312"/>
          <w:sz w:val="32"/>
          <w:szCs w:val="32"/>
          <w:shd w:val="clear" w:color="auto" w:fill="FFFFFF"/>
          <w:lang w:val="en-US" w:eastAsia="zh-CN"/>
        </w:rPr>
        <w:t>,集中培训改为现场培训和线上培训</w:t>
      </w:r>
      <w:r>
        <w:rPr>
          <w:rFonts w:hint="eastAsia"/>
          <w:sz w:val="32"/>
          <w:szCs w:val="32"/>
        </w:rPr>
        <w:t>；培训费人均支出为0.00万元。</w:t>
      </w:r>
      <w:r>
        <w:drawing>
          <wp:inline distT="0" distB="0" distL="0" distR="0">
            <wp:extent cx="5269865" cy="3243580"/>
            <wp:effectExtent l="0" t="0" r="0" b="0"/>
            <wp:docPr id="9" name="_x0000_i1034"/>
            <wp:cNvGraphicFramePr/>
            <a:graphic xmlns:a="http://schemas.openxmlformats.org/drawingml/2006/main">
              <a:graphicData uri="http://schemas.openxmlformats.org/drawingml/2006/picture">
                <pic:pic xmlns:pic="http://schemas.openxmlformats.org/drawingml/2006/picture">
                  <pic:nvPicPr>
                    <pic:cNvPr id="9" name="_x0000_i1034"/>
                    <pic:cNvPicPr/>
                  </pic:nvPicPr>
                  <pic:blipFill>
                    <a:blip r:embed="rId10"/>
                    <a:stretch>
                      <a:fillRect/>
                    </a:stretch>
                  </pic:blipFill>
                  <pic:spPr>
                    <a:xfrm>
                      <a:off x="0" y="0"/>
                      <a:ext cx="5270005" cy="3243771"/>
                    </a:xfrm>
                    <a:prstGeom prst="rect">
                      <a:avLst/>
                    </a:prstGeom>
                    <a:noFill/>
                    <a:ln>
                      <a:noFill/>
                    </a:ln>
                  </pic:spPr>
                </pic:pic>
              </a:graphicData>
            </a:graphic>
          </wp:inline>
        </w:drawing>
      </w:r>
    </w:p>
    <w:p w14:paraId="65D86EE6">
      <w:pPr>
        <w:pStyle w:val="189"/>
        <w:shd w:val="clear" w:color="auto" w:fill="FFFFFF"/>
        <w:rPr>
          <w:rFonts w:hint="eastAsia"/>
          <w:sz w:val="32"/>
          <w:szCs w:val="32"/>
        </w:rPr>
      </w:pPr>
      <w:r>
        <w:rPr>
          <w:rFonts w:hint="eastAsia"/>
          <w:sz w:val="32"/>
          <w:szCs w:val="32"/>
        </w:rPr>
        <w:t>（4）其他对单位影响较大的支出情况。</w:t>
      </w:r>
    </w:p>
    <w:p w14:paraId="11C781D8">
      <w:pPr>
        <w:pStyle w:val="189"/>
        <w:shd w:val="clear" w:color="auto" w:fill="FFFFFF"/>
        <w:rPr>
          <w:rFonts w:hint="eastAsia"/>
          <w:sz w:val="32"/>
          <w:szCs w:val="32"/>
        </w:rPr>
      </w:pPr>
      <w:r>
        <w:rPr>
          <w:rStyle w:val="190"/>
          <w:rFonts w:hint="eastAsia"/>
          <w:sz w:val="32"/>
          <w:szCs w:val="32"/>
        </w:rPr>
        <w:t>......</w:t>
      </w:r>
    </w:p>
    <w:p w14:paraId="650EEFE2">
      <w:pPr>
        <w:pStyle w:val="189"/>
        <w:shd w:val="clear" w:color="auto" w:fill="FFFFFF"/>
        <w:rPr>
          <w:rFonts w:hint="eastAsia"/>
          <w:sz w:val="32"/>
          <w:szCs w:val="32"/>
        </w:rPr>
      </w:pPr>
      <w:r>
        <w:rPr>
          <w:rFonts w:hint="eastAsia"/>
          <w:sz w:val="32"/>
          <w:szCs w:val="32"/>
        </w:rPr>
        <w:t>（5）重点经济分类支出中存在的问题及改进措施。</w:t>
      </w:r>
    </w:p>
    <w:p w14:paraId="1299C114">
      <w:pPr>
        <w:pStyle w:val="189"/>
        <w:shd w:val="clear" w:color="auto" w:fill="FFFFFF"/>
        <w:rPr>
          <w:rFonts w:hint="eastAsia"/>
          <w:sz w:val="32"/>
          <w:szCs w:val="32"/>
        </w:rPr>
      </w:pPr>
      <w:r>
        <w:rPr>
          <w:rStyle w:val="190"/>
          <w:rFonts w:hint="eastAsia"/>
          <w:sz w:val="32"/>
          <w:szCs w:val="32"/>
        </w:rPr>
        <w:t>......</w:t>
      </w:r>
    </w:p>
    <w:p w14:paraId="6419D97C">
      <w:pPr>
        <w:pStyle w:val="189"/>
        <w:shd w:val="clear" w:color="auto" w:fill="FFFFFF"/>
        <w:rPr>
          <w:rFonts w:hint="eastAsia"/>
          <w:sz w:val="32"/>
          <w:szCs w:val="32"/>
        </w:rPr>
      </w:pPr>
      <w:r>
        <w:rPr>
          <w:rStyle w:val="190"/>
          <w:rFonts w:hint="eastAsia"/>
          <w:sz w:val="32"/>
          <w:szCs w:val="32"/>
        </w:rPr>
        <w:t>4.财政拨款收入、支出分析。</w:t>
      </w:r>
    </w:p>
    <w:p w14:paraId="4368A63F">
      <w:pPr>
        <w:spacing w:line="560" w:lineRule="exact"/>
        <w:ind w:left="0" w:firstLine="640"/>
        <w:rPr>
          <w:rFonts w:hint="eastAsia" w:ascii="仿宋_GB2312" w:hAnsi="仿宋_GB2312" w:eastAsia="仿宋_GB2312" w:cs="仿宋_GB2312"/>
          <w:color w:val="000000"/>
          <w:sz w:val="32"/>
          <w:szCs w:val="32"/>
          <w:lang w:val="en-US"/>
        </w:rPr>
      </w:pPr>
      <w:r>
        <w:rPr>
          <w:rFonts w:hint="eastAsia"/>
          <w:sz w:val="32"/>
          <w:szCs w:val="32"/>
        </w:rPr>
        <w:t>本单位本年度财政拨款收入为1,020.58万元，财政拨款支出为1,020.58万元，其中：基本支出中人员经费支出为810.41万元，公用经费支出为42.66万元</w:t>
      </w:r>
      <w:r>
        <w:rPr>
          <w:rFonts w:hint="eastAsia"/>
          <w:sz w:val="32"/>
          <w:szCs w:val="32"/>
          <w:lang w:val="en-US" w:eastAsia="zh-CN"/>
        </w:rPr>
        <w:t>;项目支出为167.51万元</w:t>
      </w:r>
      <w:r>
        <w:rPr>
          <w:rFonts w:hint="eastAsia"/>
          <w:sz w:val="32"/>
          <w:szCs w:val="32"/>
        </w:rPr>
        <w:t>。</w:t>
      </w:r>
      <w:r>
        <w:rPr>
          <w:rFonts w:hint="eastAsia" w:ascii="仿宋_GB2312" w:hAnsi="仿宋_GB2312" w:eastAsia="仿宋_GB2312" w:cs="仿宋_GB2312"/>
          <w:color w:val="000000"/>
          <w:sz w:val="32"/>
          <w:szCs w:val="32"/>
          <w:lang w:eastAsia="zh-CN"/>
        </w:rPr>
        <w:t>执行率为</w:t>
      </w:r>
      <w:r>
        <w:rPr>
          <w:rFonts w:hint="eastAsia" w:ascii="仿宋_GB2312" w:hAnsi="仿宋_GB2312" w:eastAsia="仿宋_GB2312" w:cs="仿宋_GB2312"/>
          <w:color w:val="000000"/>
          <w:sz w:val="32"/>
          <w:szCs w:val="32"/>
          <w:lang w:val="en-US"/>
        </w:rPr>
        <w:t>100%</w:t>
      </w:r>
      <w:r>
        <w:rPr>
          <w:rFonts w:hint="eastAsia" w:ascii="仿宋_GB2312" w:hAnsi="仿宋_GB2312" w:eastAsia="仿宋_GB2312" w:cs="仿宋_GB2312"/>
          <w:color w:val="000000"/>
          <w:sz w:val="32"/>
          <w:szCs w:val="32"/>
          <w:lang w:eastAsia="zh-CN"/>
        </w:rPr>
        <w:t>。</w:t>
      </w:r>
      <w:r>
        <w:rPr>
          <w:rFonts w:hint="eastAsia"/>
          <w:sz w:val="32"/>
          <w:szCs w:val="32"/>
        </w:rPr>
        <w:t>项目支出中基本建设类项目支出为0.00万元，支出要按照基本支出和项目支出分析具体构成及特点：</w:t>
      </w:r>
      <w:r>
        <w:rPr>
          <w:rFonts w:hint="eastAsia" w:ascii="仿宋_GB2312" w:hAnsi="仿宋_GB2312" w:eastAsia="仿宋_GB2312" w:cs="仿宋_GB2312"/>
          <w:sz w:val="32"/>
          <w:szCs w:val="32"/>
          <w:shd w:val="clear" w:color="auto" w:fill="FFFFFF"/>
          <w:lang w:val="en-US"/>
        </w:rPr>
        <w:t> </w:t>
      </w:r>
      <w:r>
        <w:rPr>
          <w:rFonts w:hint="eastAsia" w:ascii="仿宋_GB2312" w:hAnsi="仿宋_GB2312" w:eastAsia="仿宋_GB2312" w:cs="仿宋_GB2312"/>
          <w:sz w:val="32"/>
          <w:szCs w:val="32"/>
          <w:shd w:val="clear" w:color="auto" w:fill="FFFFFF"/>
          <w:lang w:val="en-US" w:eastAsia="zh-CN"/>
        </w:rPr>
        <w:t xml:space="preserve"> </w:t>
      </w:r>
    </w:p>
    <w:p w14:paraId="7A783E01">
      <w:pPr>
        <w:spacing w:line="560" w:lineRule="exact"/>
        <w:ind w:left="0" w:firstLine="645"/>
        <w:rPr>
          <w:rFonts w:hint="eastAsia" w:ascii="宋体" w:hAnsi="宋体" w:eastAsia="宋体" w:cs="宋体"/>
          <w:color w:val="000000"/>
          <w:sz w:val="32"/>
          <w:szCs w:val="32"/>
          <w:lang w:val="en-US"/>
        </w:rPr>
      </w:pPr>
      <w:r>
        <w:rPr>
          <w:rFonts w:hint="eastAsia" w:ascii="仿宋_GB2312" w:hAnsi="仿宋_GB2312" w:eastAsia="仿宋_GB2312" w:cs="仿宋_GB2312"/>
          <w:color w:val="000000"/>
          <w:sz w:val="32"/>
          <w:szCs w:val="32"/>
          <w:lang w:val="en-US" w:eastAsia="zh-CN"/>
        </w:rPr>
        <w:t>2</w:t>
      </w:r>
      <w:r>
        <w:rPr>
          <w:rFonts w:hint="eastAsia" w:ascii="宋体" w:hAnsi="宋体" w:eastAsia="宋体" w:cs="宋体"/>
          <w:color w:val="000000"/>
          <w:sz w:val="32"/>
          <w:szCs w:val="32"/>
          <w:lang w:val="en-US" w:eastAsia="zh-CN"/>
        </w:rPr>
        <w:t>022年基本支出为853.07万元;其中</w:t>
      </w:r>
      <w:r>
        <w:rPr>
          <w:rFonts w:hint="eastAsia" w:ascii="宋体" w:hAnsi="宋体" w:eastAsia="宋体" w:cs="宋体"/>
          <w:color w:val="000000"/>
          <w:sz w:val="32"/>
          <w:szCs w:val="32"/>
          <w:lang w:eastAsia="zh-CN"/>
        </w:rPr>
        <w:t>人员经费</w:t>
      </w:r>
      <w:r>
        <w:rPr>
          <w:rFonts w:hint="eastAsia" w:ascii="宋体" w:hAnsi="宋体" w:eastAsia="宋体" w:cs="宋体"/>
          <w:color w:val="000000"/>
          <w:sz w:val="32"/>
          <w:szCs w:val="32"/>
          <w:lang w:val="en-US" w:eastAsia="zh-CN"/>
        </w:rPr>
        <w:t>797.5</w:t>
      </w:r>
      <w:r>
        <w:rPr>
          <w:rFonts w:hint="eastAsia" w:ascii="宋体" w:hAnsi="宋体" w:eastAsia="宋体" w:cs="宋体"/>
          <w:color w:val="000000"/>
          <w:sz w:val="32"/>
          <w:szCs w:val="32"/>
          <w:lang w:eastAsia="zh-CN"/>
        </w:rPr>
        <w:t>万元，主要包括：</w:t>
      </w:r>
      <w:r>
        <w:rPr>
          <w:rFonts w:hint="eastAsia" w:ascii="宋体" w:hAnsi="宋体" w:eastAsia="宋体" w:cs="宋体"/>
          <w:color w:val="000000"/>
          <w:sz w:val="32"/>
          <w:szCs w:val="32"/>
          <w:lang w:val="en-US"/>
        </w:rPr>
        <w:t>30101-</w:t>
      </w:r>
      <w:r>
        <w:rPr>
          <w:rFonts w:hint="eastAsia" w:ascii="宋体" w:hAnsi="宋体" w:eastAsia="宋体" w:cs="宋体"/>
          <w:color w:val="000000"/>
          <w:sz w:val="32"/>
          <w:szCs w:val="32"/>
          <w:lang w:eastAsia="zh-CN"/>
        </w:rPr>
        <w:t>基本工资</w:t>
      </w:r>
      <w:r>
        <w:rPr>
          <w:rFonts w:hint="eastAsia" w:ascii="宋体" w:hAnsi="宋体" w:eastAsia="宋体" w:cs="宋体"/>
          <w:color w:val="000000"/>
          <w:sz w:val="32"/>
          <w:szCs w:val="32"/>
          <w:lang w:val="en-US" w:eastAsia="zh-CN"/>
        </w:rPr>
        <w:t>137.63</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30102-</w:t>
      </w:r>
      <w:r>
        <w:rPr>
          <w:rFonts w:hint="eastAsia" w:ascii="宋体" w:hAnsi="宋体" w:eastAsia="宋体" w:cs="宋体"/>
          <w:color w:val="000000"/>
          <w:sz w:val="32"/>
          <w:szCs w:val="32"/>
          <w:lang w:eastAsia="zh-CN"/>
        </w:rPr>
        <w:t>津贴补贴</w:t>
      </w:r>
      <w:r>
        <w:rPr>
          <w:rFonts w:hint="eastAsia" w:ascii="宋体" w:hAnsi="宋体" w:eastAsia="宋体" w:cs="宋体"/>
          <w:color w:val="000000"/>
          <w:sz w:val="32"/>
          <w:szCs w:val="32"/>
          <w:lang w:val="en-US" w:eastAsia="zh-CN"/>
        </w:rPr>
        <w:t>318.87</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30107-</w:t>
      </w:r>
      <w:r>
        <w:rPr>
          <w:rFonts w:hint="eastAsia" w:ascii="宋体" w:hAnsi="宋体" w:eastAsia="宋体" w:cs="宋体"/>
          <w:color w:val="000000"/>
          <w:sz w:val="32"/>
          <w:szCs w:val="32"/>
          <w:lang w:eastAsia="zh-CN"/>
        </w:rPr>
        <w:t>绩效工资</w:t>
      </w:r>
      <w:r>
        <w:rPr>
          <w:rFonts w:hint="eastAsia" w:ascii="宋体" w:hAnsi="宋体" w:eastAsia="宋体" w:cs="宋体"/>
          <w:color w:val="000000"/>
          <w:sz w:val="32"/>
          <w:szCs w:val="32"/>
          <w:lang w:val="en-US"/>
        </w:rPr>
        <w:t>1</w:t>
      </w:r>
      <w:r>
        <w:rPr>
          <w:rFonts w:hint="eastAsia" w:ascii="宋体" w:hAnsi="宋体" w:eastAsia="宋体" w:cs="宋体"/>
          <w:color w:val="000000"/>
          <w:sz w:val="32"/>
          <w:szCs w:val="32"/>
          <w:lang w:val="en-US" w:eastAsia="zh-CN"/>
        </w:rPr>
        <w:t>112.87万元</w:t>
      </w:r>
      <w:r>
        <w:rPr>
          <w:rFonts w:hint="eastAsia" w:ascii="宋体" w:hAnsi="宋体" w:eastAsia="宋体" w:cs="宋体"/>
          <w:color w:val="000000"/>
          <w:sz w:val="32"/>
          <w:szCs w:val="32"/>
          <w:lang w:eastAsia="zh-CN"/>
        </w:rPr>
        <w:t>；奖金支出</w:t>
      </w:r>
      <w:r>
        <w:rPr>
          <w:rFonts w:hint="eastAsia" w:ascii="宋体" w:hAnsi="宋体" w:eastAsia="宋体" w:cs="宋体"/>
          <w:color w:val="000000"/>
          <w:sz w:val="32"/>
          <w:szCs w:val="32"/>
          <w:lang w:val="en-US" w:eastAsia="zh-CN"/>
        </w:rPr>
        <w:t>11.06万元;</w:t>
      </w:r>
      <w:r>
        <w:rPr>
          <w:rFonts w:hint="eastAsia" w:ascii="宋体" w:hAnsi="宋体" w:eastAsia="宋体" w:cs="宋体"/>
          <w:color w:val="000000"/>
          <w:sz w:val="32"/>
          <w:szCs w:val="32"/>
          <w:lang w:val="en-US"/>
        </w:rPr>
        <w:t>30108-</w:t>
      </w:r>
      <w:r>
        <w:rPr>
          <w:rFonts w:hint="eastAsia" w:ascii="宋体" w:hAnsi="宋体" w:eastAsia="宋体" w:cs="宋体"/>
          <w:color w:val="000000"/>
          <w:sz w:val="32"/>
          <w:szCs w:val="32"/>
          <w:lang w:eastAsia="zh-CN"/>
        </w:rPr>
        <w:t>机关事业单位基本养老保险缴费</w:t>
      </w:r>
      <w:r>
        <w:rPr>
          <w:rFonts w:hint="eastAsia" w:ascii="宋体" w:hAnsi="宋体" w:eastAsia="宋体" w:cs="宋体"/>
          <w:color w:val="000000"/>
          <w:sz w:val="32"/>
          <w:szCs w:val="32"/>
          <w:lang w:val="en-US" w:eastAsia="zh-CN"/>
        </w:rPr>
        <w:t>69.44</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30109-</w:t>
      </w:r>
      <w:r>
        <w:rPr>
          <w:rFonts w:hint="eastAsia" w:ascii="宋体" w:hAnsi="宋体" w:eastAsia="宋体" w:cs="宋体"/>
          <w:color w:val="000000"/>
          <w:sz w:val="32"/>
          <w:szCs w:val="32"/>
          <w:lang w:eastAsia="zh-CN"/>
        </w:rPr>
        <w:t>职业年金缴费</w:t>
      </w:r>
      <w:r>
        <w:rPr>
          <w:rFonts w:hint="eastAsia" w:ascii="宋体" w:hAnsi="宋体" w:eastAsia="宋体" w:cs="宋体"/>
          <w:color w:val="000000"/>
          <w:sz w:val="32"/>
          <w:szCs w:val="32"/>
          <w:lang w:val="en-US" w:eastAsia="zh-CN"/>
        </w:rPr>
        <w:t>34.72</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30112-</w:t>
      </w:r>
      <w:r>
        <w:rPr>
          <w:rFonts w:hint="eastAsia" w:ascii="宋体" w:hAnsi="宋体" w:eastAsia="宋体" w:cs="宋体"/>
          <w:color w:val="000000"/>
          <w:sz w:val="32"/>
          <w:szCs w:val="32"/>
          <w:lang w:eastAsia="zh-CN"/>
        </w:rPr>
        <w:t>其他社会保障缴费</w:t>
      </w:r>
      <w:r>
        <w:rPr>
          <w:rFonts w:hint="eastAsia" w:ascii="宋体" w:hAnsi="宋体" w:eastAsia="宋体" w:cs="宋体"/>
          <w:color w:val="000000"/>
          <w:sz w:val="32"/>
          <w:szCs w:val="32"/>
          <w:lang w:val="en-US" w:eastAsia="zh-CN"/>
        </w:rPr>
        <w:t>8.95</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30110-</w:t>
      </w:r>
      <w:r>
        <w:rPr>
          <w:rFonts w:hint="eastAsia" w:ascii="宋体" w:hAnsi="宋体" w:eastAsia="宋体" w:cs="宋体"/>
          <w:color w:val="000000"/>
          <w:sz w:val="32"/>
          <w:szCs w:val="32"/>
          <w:lang w:eastAsia="zh-CN"/>
        </w:rPr>
        <w:t>职工基本医疗保险缴费</w:t>
      </w:r>
      <w:r>
        <w:rPr>
          <w:rFonts w:hint="eastAsia" w:ascii="宋体" w:hAnsi="宋体" w:eastAsia="宋体" w:cs="宋体"/>
          <w:color w:val="000000"/>
          <w:sz w:val="32"/>
          <w:szCs w:val="32"/>
          <w:lang w:val="en-US" w:eastAsia="zh-CN"/>
        </w:rPr>
        <w:t>37.16</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30114-</w:t>
      </w:r>
      <w:r>
        <w:rPr>
          <w:rFonts w:hint="eastAsia" w:ascii="宋体" w:hAnsi="宋体" w:eastAsia="宋体" w:cs="宋体"/>
          <w:color w:val="000000"/>
          <w:sz w:val="32"/>
          <w:szCs w:val="32"/>
          <w:lang w:eastAsia="zh-CN"/>
        </w:rPr>
        <w:t>医疗费补助</w:t>
      </w:r>
      <w:r>
        <w:rPr>
          <w:rFonts w:hint="eastAsia" w:ascii="宋体" w:hAnsi="宋体" w:eastAsia="宋体" w:cs="宋体"/>
          <w:color w:val="000000"/>
          <w:sz w:val="32"/>
          <w:szCs w:val="32"/>
          <w:lang w:val="en-US" w:eastAsia="zh-CN"/>
        </w:rPr>
        <w:t>1</w:t>
      </w:r>
      <w:r>
        <w:rPr>
          <w:rFonts w:hint="eastAsia" w:ascii="宋体" w:hAnsi="宋体" w:eastAsia="宋体" w:cs="宋体"/>
          <w:color w:val="000000"/>
          <w:sz w:val="32"/>
          <w:szCs w:val="32"/>
          <w:lang w:eastAsia="zh-CN"/>
        </w:rPr>
        <w:t>万元；</w:t>
      </w:r>
      <w:r>
        <w:rPr>
          <w:rFonts w:hint="eastAsia" w:ascii="宋体" w:hAnsi="宋体" w:eastAsia="宋体" w:cs="宋体"/>
          <w:sz w:val="32"/>
          <w:szCs w:val="32"/>
          <w:shd w:val="clear" w:color="auto" w:fill="FFFFFF"/>
          <w:lang w:val="en-US"/>
        </w:rPr>
        <w:t>2101199-</w:t>
      </w:r>
      <w:r>
        <w:rPr>
          <w:rFonts w:hint="eastAsia" w:ascii="宋体" w:hAnsi="宋体" w:eastAsia="宋体" w:cs="宋体"/>
          <w:sz w:val="32"/>
          <w:szCs w:val="32"/>
          <w:shd w:val="clear" w:color="auto" w:fill="FFFFFF"/>
          <w:lang w:val="en-US" w:eastAsia="zh-CN"/>
        </w:rPr>
        <w:t>事业单位补充</w:t>
      </w:r>
      <w:r>
        <w:rPr>
          <w:rFonts w:hint="eastAsia" w:ascii="宋体" w:hAnsi="宋体" w:eastAsia="宋体" w:cs="宋体"/>
          <w:sz w:val="32"/>
          <w:szCs w:val="32"/>
          <w:shd w:val="clear" w:color="auto" w:fill="FFFFFF"/>
          <w:lang w:eastAsia="zh-CN"/>
        </w:rPr>
        <w:t>医疗</w:t>
      </w:r>
      <w:r>
        <w:rPr>
          <w:rFonts w:hint="eastAsia" w:ascii="宋体" w:hAnsi="宋体" w:eastAsia="宋体" w:cs="宋体"/>
          <w:sz w:val="32"/>
          <w:szCs w:val="32"/>
          <w:shd w:val="clear" w:color="auto" w:fill="FFFFFF"/>
          <w:lang w:val="en-US" w:eastAsia="zh-CN"/>
        </w:rPr>
        <w:t>8.9</w:t>
      </w:r>
      <w:r>
        <w:rPr>
          <w:rFonts w:hint="eastAsia" w:ascii="宋体" w:hAnsi="宋体" w:eastAsia="宋体" w:cs="宋体"/>
          <w:sz w:val="32"/>
          <w:szCs w:val="32"/>
          <w:shd w:val="clear" w:color="auto" w:fill="FFFFFF"/>
          <w:lang w:eastAsia="zh-CN"/>
        </w:rPr>
        <w:t>万元</w:t>
      </w:r>
      <w:r>
        <w:rPr>
          <w:rFonts w:hint="eastAsia" w:ascii="宋体" w:hAnsi="宋体" w:eastAsia="宋体" w:cs="宋体"/>
          <w:sz w:val="32"/>
          <w:szCs w:val="32"/>
          <w:shd w:val="clear" w:color="auto" w:fill="FFFFFF"/>
          <w:lang w:val="en-US"/>
        </w:rPr>
        <w:t>,</w:t>
      </w:r>
      <w:r>
        <w:rPr>
          <w:rFonts w:hint="eastAsia" w:ascii="宋体" w:hAnsi="宋体" w:eastAsia="宋体" w:cs="宋体"/>
          <w:color w:val="000000"/>
          <w:sz w:val="32"/>
          <w:szCs w:val="32"/>
          <w:lang w:val="en-US"/>
        </w:rPr>
        <w:t>30113-</w:t>
      </w:r>
      <w:r>
        <w:rPr>
          <w:rFonts w:hint="eastAsia" w:ascii="宋体" w:hAnsi="宋体" w:eastAsia="宋体" w:cs="宋体"/>
          <w:color w:val="000000"/>
          <w:sz w:val="32"/>
          <w:szCs w:val="32"/>
          <w:lang w:eastAsia="zh-CN"/>
        </w:rPr>
        <w:t>住房公积金</w:t>
      </w:r>
      <w:r>
        <w:rPr>
          <w:rFonts w:hint="eastAsia" w:ascii="宋体" w:hAnsi="宋体" w:eastAsia="宋体" w:cs="宋体"/>
          <w:color w:val="000000"/>
          <w:sz w:val="32"/>
          <w:szCs w:val="32"/>
          <w:lang w:val="en-US" w:eastAsia="zh-CN"/>
        </w:rPr>
        <w:t>56.9</w:t>
      </w:r>
      <w:r>
        <w:rPr>
          <w:rFonts w:hint="eastAsia" w:ascii="宋体" w:hAnsi="宋体" w:eastAsia="宋体" w:cs="宋体"/>
          <w:color w:val="000000"/>
          <w:sz w:val="32"/>
          <w:szCs w:val="32"/>
          <w:lang w:eastAsia="zh-CN"/>
        </w:rPr>
        <w:t>万元。</w:t>
      </w:r>
    </w:p>
    <w:p w14:paraId="6733E669">
      <w:pPr>
        <w:spacing w:line="560" w:lineRule="exact"/>
        <w:ind w:left="0" w:firstLine="645"/>
        <w:rPr>
          <w:rFonts w:hint="eastAsia" w:ascii="宋体" w:hAnsi="宋体" w:eastAsia="宋体" w:cs="宋体"/>
          <w:color w:val="000000"/>
          <w:sz w:val="32"/>
          <w:szCs w:val="32"/>
          <w:lang w:val="en-US"/>
        </w:rPr>
      </w:pPr>
      <w:r>
        <w:rPr>
          <w:rFonts w:hint="eastAsia" w:ascii="宋体" w:hAnsi="宋体" w:eastAsia="宋体" w:cs="宋体"/>
          <w:color w:val="000000"/>
          <w:sz w:val="32"/>
          <w:szCs w:val="32"/>
          <w:lang w:eastAsia="zh-CN"/>
        </w:rPr>
        <w:t>公用经费</w:t>
      </w:r>
      <w:r>
        <w:rPr>
          <w:rFonts w:hint="eastAsia" w:ascii="宋体" w:hAnsi="宋体" w:eastAsia="宋体" w:cs="宋体"/>
          <w:color w:val="000000"/>
          <w:sz w:val="32"/>
          <w:szCs w:val="32"/>
          <w:lang w:val="en-US"/>
        </w:rPr>
        <w:t>4</w:t>
      </w:r>
      <w:r>
        <w:rPr>
          <w:rFonts w:hint="eastAsia" w:ascii="宋体" w:hAnsi="宋体" w:eastAsia="宋体" w:cs="宋体"/>
          <w:color w:val="000000"/>
          <w:sz w:val="32"/>
          <w:szCs w:val="32"/>
          <w:lang w:val="en-US" w:eastAsia="zh-CN"/>
        </w:rPr>
        <w:t>42.66</w:t>
      </w:r>
      <w:r>
        <w:rPr>
          <w:rFonts w:hint="eastAsia" w:ascii="宋体" w:hAnsi="宋体" w:eastAsia="宋体" w:cs="宋体"/>
          <w:color w:val="000000"/>
          <w:sz w:val="32"/>
          <w:szCs w:val="32"/>
          <w:lang w:eastAsia="zh-CN"/>
        </w:rPr>
        <w:t>万元，主要包括：</w:t>
      </w:r>
      <w:r>
        <w:rPr>
          <w:rFonts w:hint="eastAsia" w:ascii="宋体" w:hAnsi="宋体" w:eastAsia="宋体" w:cs="宋体"/>
          <w:color w:val="000000"/>
          <w:sz w:val="32"/>
          <w:szCs w:val="32"/>
          <w:lang w:val="en-US"/>
        </w:rPr>
        <w:t>30201-</w:t>
      </w:r>
      <w:r>
        <w:rPr>
          <w:rFonts w:hint="eastAsia" w:ascii="宋体" w:hAnsi="宋体" w:eastAsia="宋体" w:cs="宋体"/>
          <w:color w:val="000000"/>
          <w:sz w:val="32"/>
          <w:szCs w:val="32"/>
          <w:lang w:eastAsia="zh-CN"/>
        </w:rPr>
        <w:t>办公费</w:t>
      </w:r>
      <w:r>
        <w:rPr>
          <w:rFonts w:hint="eastAsia" w:ascii="宋体" w:hAnsi="宋体" w:eastAsia="宋体" w:cs="宋体"/>
          <w:color w:val="000000"/>
          <w:sz w:val="32"/>
          <w:szCs w:val="32"/>
          <w:lang w:val="en-US" w:eastAsia="zh-CN"/>
        </w:rPr>
        <w:t>13.17</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30202-</w:t>
      </w:r>
      <w:r>
        <w:rPr>
          <w:rFonts w:hint="eastAsia" w:ascii="宋体" w:hAnsi="宋体" w:eastAsia="宋体" w:cs="宋体"/>
          <w:color w:val="000000"/>
          <w:sz w:val="32"/>
          <w:szCs w:val="32"/>
          <w:lang w:val="en-US" w:eastAsia="zh-CN"/>
        </w:rPr>
        <w:t>手续</w:t>
      </w:r>
      <w:r>
        <w:rPr>
          <w:rFonts w:hint="eastAsia" w:ascii="宋体" w:hAnsi="宋体" w:eastAsia="宋体" w:cs="宋体"/>
          <w:color w:val="000000"/>
          <w:sz w:val="32"/>
          <w:szCs w:val="32"/>
          <w:lang w:eastAsia="zh-CN"/>
        </w:rPr>
        <w:t>费</w:t>
      </w:r>
      <w:r>
        <w:rPr>
          <w:rFonts w:hint="eastAsia" w:ascii="宋体" w:hAnsi="宋体" w:eastAsia="宋体" w:cs="宋体"/>
          <w:color w:val="000000"/>
          <w:sz w:val="32"/>
          <w:szCs w:val="32"/>
          <w:lang w:val="en-US" w:eastAsia="zh-CN"/>
        </w:rPr>
        <w:t>0.1</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30206-</w:t>
      </w:r>
      <w:r>
        <w:rPr>
          <w:rFonts w:hint="eastAsia" w:ascii="宋体" w:hAnsi="宋体" w:eastAsia="宋体" w:cs="宋体"/>
          <w:color w:val="000000"/>
          <w:sz w:val="32"/>
          <w:szCs w:val="32"/>
          <w:lang w:eastAsia="zh-CN"/>
        </w:rPr>
        <w:t>电费</w:t>
      </w:r>
      <w:r>
        <w:rPr>
          <w:rFonts w:hint="eastAsia" w:ascii="宋体" w:hAnsi="宋体" w:eastAsia="宋体" w:cs="宋体"/>
          <w:color w:val="000000"/>
          <w:sz w:val="32"/>
          <w:szCs w:val="32"/>
          <w:lang w:val="en-US" w:eastAsia="zh-CN"/>
        </w:rPr>
        <w:t>3.33</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30207-</w:t>
      </w:r>
      <w:r>
        <w:rPr>
          <w:rFonts w:hint="eastAsia" w:ascii="宋体" w:hAnsi="宋体" w:eastAsia="宋体" w:cs="宋体"/>
          <w:color w:val="000000"/>
          <w:sz w:val="32"/>
          <w:szCs w:val="32"/>
          <w:lang w:eastAsia="zh-CN"/>
        </w:rPr>
        <w:t>邮电费</w:t>
      </w:r>
      <w:r>
        <w:rPr>
          <w:rFonts w:hint="eastAsia" w:ascii="宋体" w:hAnsi="宋体" w:eastAsia="宋体" w:cs="宋体"/>
          <w:color w:val="000000"/>
          <w:sz w:val="32"/>
          <w:szCs w:val="32"/>
          <w:lang w:val="en-US" w:eastAsia="zh-CN"/>
        </w:rPr>
        <w:t>0.3</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30211-</w:t>
      </w:r>
      <w:r>
        <w:rPr>
          <w:rFonts w:hint="eastAsia" w:ascii="宋体" w:hAnsi="宋体" w:eastAsia="宋体" w:cs="宋体"/>
          <w:color w:val="000000"/>
          <w:sz w:val="32"/>
          <w:szCs w:val="32"/>
          <w:lang w:eastAsia="zh-CN"/>
        </w:rPr>
        <w:t>差旅费</w:t>
      </w:r>
      <w:r>
        <w:rPr>
          <w:rFonts w:hint="eastAsia" w:ascii="宋体" w:hAnsi="宋体" w:eastAsia="宋体" w:cs="宋体"/>
          <w:color w:val="000000"/>
          <w:sz w:val="32"/>
          <w:szCs w:val="32"/>
          <w:lang w:val="en-US" w:eastAsia="zh-CN"/>
        </w:rPr>
        <w:t>3.58</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30213-</w:t>
      </w:r>
      <w:r>
        <w:rPr>
          <w:rFonts w:hint="eastAsia" w:ascii="宋体" w:hAnsi="宋体" w:eastAsia="宋体" w:cs="宋体"/>
          <w:color w:val="000000"/>
          <w:sz w:val="32"/>
          <w:szCs w:val="32"/>
          <w:lang w:eastAsia="zh-CN"/>
        </w:rPr>
        <w:t>维修（护）费</w:t>
      </w:r>
      <w:r>
        <w:rPr>
          <w:rFonts w:hint="eastAsia" w:ascii="宋体" w:hAnsi="宋体" w:eastAsia="宋体" w:cs="宋体"/>
          <w:color w:val="000000"/>
          <w:sz w:val="32"/>
          <w:szCs w:val="32"/>
          <w:lang w:val="en-US" w:eastAsia="zh-CN"/>
        </w:rPr>
        <w:t>2.02</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30217-</w:t>
      </w:r>
      <w:r>
        <w:rPr>
          <w:rFonts w:hint="eastAsia" w:ascii="宋体" w:hAnsi="宋体" w:eastAsia="宋体" w:cs="宋体"/>
          <w:color w:val="000000"/>
          <w:sz w:val="32"/>
          <w:szCs w:val="32"/>
          <w:lang w:eastAsia="zh-CN"/>
        </w:rPr>
        <w:t>公务接待费</w:t>
      </w:r>
      <w:r>
        <w:rPr>
          <w:rFonts w:hint="eastAsia" w:ascii="宋体" w:hAnsi="宋体" w:eastAsia="宋体" w:cs="宋体"/>
          <w:color w:val="000000"/>
          <w:sz w:val="32"/>
          <w:szCs w:val="32"/>
          <w:lang w:val="en-US"/>
        </w:rPr>
        <w:t>0.56</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30226-</w:t>
      </w:r>
      <w:r>
        <w:rPr>
          <w:rFonts w:hint="eastAsia" w:ascii="宋体" w:hAnsi="宋体" w:eastAsia="宋体" w:cs="宋体"/>
          <w:color w:val="000000"/>
          <w:sz w:val="32"/>
          <w:szCs w:val="32"/>
          <w:lang w:eastAsia="zh-CN"/>
        </w:rPr>
        <w:t>劳务费</w:t>
      </w:r>
      <w:r>
        <w:rPr>
          <w:rFonts w:hint="eastAsia" w:ascii="宋体" w:hAnsi="宋体" w:eastAsia="宋体" w:cs="宋体"/>
          <w:color w:val="000000"/>
          <w:sz w:val="32"/>
          <w:szCs w:val="32"/>
          <w:lang w:val="en-US" w:eastAsia="zh-CN"/>
        </w:rPr>
        <w:t>6.94</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30214-</w:t>
      </w:r>
      <w:r>
        <w:rPr>
          <w:rFonts w:hint="eastAsia" w:ascii="宋体" w:hAnsi="宋体" w:eastAsia="宋体" w:cs="宋体"/>
          <w:color w:val="000000"/>
          <w:sz w:val="32"/>
          <w:szCs w:val="32"/>
          <w:lang w:val="en-US" w:eastAsia="zh-CN"/>
        </w:rPr>
        <w:t>工会经</w:t>
      </w:r>
      <w:r>
        <w:rPr>
          <w:rFonts w:hint="eastAsia" w:ascii="宋体" w:hAnsi="宋体" w:eastAsia="宋体" w:cs="宋体"/>
          <w:color w:val="000000"/>
          <w:sz w:val="32"/>
          <w:szCs w:val="32"/>
          <w:lang w:eastAsia="zh-CN"/>
        </w:rPr>
        <w:t>费</w:t>
      </w:r>
      <w:r>
        <w:rPr>
          <w:rFonts w:hint="eastAsia" w:ascii="宋体" w:hAnsi="宋体" w:eastAsia="宋体" w:cs="宋体"/>
          <w:color w:val="000000"/>
          <w:sz w:val="32"/>
          <w:szCs w:val="32"/>
          <w:lang w:val="en-US" w:eastAsia="zh-CN"/>
        </w:rPr>
        <w:t>4.53</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30231-</w:t>
      </w:r>
      <w:r>
        <w:rPr>
          <w:rFonts w:hint="eastAsia" w:ascii="宋体" w:hAnsi="宋体" w:eastAsia="宋体" w:cs="宋体"/>
          <w:color w:val="000000"/>
          <w:sz w:val="32"/>
          <w:szCs w:val="32"/>
          <w:lang w:eastAsia="zh-CN"/>
        </w:rPr>
        <w:t>公务用车运行维护费</w:t>
      </w:r>
      <w:r>
        <w:rPr>
          <w:rFonts w:hint="eastAsia" w:ascii="宋体" w:hAnsi="宋体" w:eastAsia="宋体" w:cs="宋体"/>
          <w:color w:val="000000"/>
          <w:sz w:val="32"/>
          <w:szCs w:val="32"/>
          <w:lang w:val="en-US" w:eastAsia="zh-CN"/>
        </w:rPr>
        <w:t>5.09</w:t>
      </w:r>
      <w:r>
        <w:rPr>
          <w:rFonts w:hint="eastAsia" w:ascii="宋体" w:hAnsi="宋体" w:eastAsia="宋体" w:cs="宋体"/>
          <w:color w:val="000000"/>
          <w:sz w:val="32"/>
          <w:szCs w:val="32"/>
          <w:lang w:eastAsia="zh-CN"/>
        </w:rPr>
        <w:t>万元；委托业务费</w:t>
      </w:r>
      <w:r>
        <w:rPr>
          <w:rFonts w:hint="eastAsia" w:ascii="宋体" w:hAnsi="宋体" w:eastAsia="宋体" w:cs="宋体"/>
          <w:color w:val="000000"/>
          <w:sz w:val="32"/>
          <w:szCs w:val="32"/>
          <w:lang w:val="en-US" w:eastAsia="zh-CN"/>
        </w:rPr>
        <w:t>0</w:t>
      </w:r>
      <w:r>
        <w:rPr>
          <w:rFonts w:hint="eastAsia" w:ascii="宋体" w:hAnsi="宋体" w:eastAsia="宋体" w:cs="宋体"/>
          <w:color w:val="000000"/>
          <w:sz w:val="32"/>
          <w:szCs w:val="32"/>
          <w:lang w:eastAsia="zh-CN"/>
        </w:rPr>
        <w:t>万元；取暖费</w:t>
      </w:r>
      <w:r>
        <w:rPr>
          <w:rFonts w:hint="eastAsia" w:ascii="宋体" w:hAnsi="宋体" w:eastAsia="宋体" w:cs="宋体"/>
          <w:color w:val="000000"/>
          <w:sz w:val="32"/>
          <w:szCs w:val="32"/>
          <w:lang w:val="en-US" w:eastAsia="zh-CN"/>
        </w:rPr>
        <w:t>3.05</w:t>
      </w:r>
      <w:r>
        <w:rPr>
          <w:rFonts w:hint="eastAsia" w:ascii="宋体" w:hAnsi="宋体" w:eastAsia="宋体" w:cs="宋体"/>
          <w:color w:val="000000"/>
          <w:sz w:val="32"/>
          <w:szCs w:val="32"/>
          <w:lang w:eastAsia="zh-CN"/>
        </w:rPr>
        <w:t>万元。</w:t>
      </w:r>
    </w:p>
    <w:p w14:paraId="42DEBEF6">
      <w:pPr>
        <w:pStyle w:val="189"/>
        <w:widowControl/>
        <w:shd w:val="clear" w:color="auto" w:fill="FFFFFF"/>
        <w:ind w:firstLine="640"/>
        <w:rPr>
          <w:rFonts w:hint="eastAsia" w:ascii="宋体" w:hAnsi="宋体" w:eastAsia="宋体" w:cs="宋体"/>
          <w:color w:val="000000"/>
          <w:sz w:val="32"/>
          <w:szCs w:val="32"/>
          <w:lang w:eastAsia="zh-CN"/>
        </w:rPr>
      </w:pPr>
      <w:r>
        <w:rPr>
          <w:rFonts w:hint="eastAsia" w:ascii="宋体" w:hAnsi="宋体" w:eastAsia="宋体" w:cs="宋体"/>
          <w:color w:val="000000"/>
          <w:sz w:val="32"/>
          <w:szCs w:val="32"/>
          <w:lang w:eastAsia="zh-CN"/>
        </w:rPr>
        <w:t>对个人和家庭的补助，生活补助</w:t>
      </w:r>
      <w:r>
        <w:rPr>
          <w:rFonts w:hint="eastAsia" w:ascii="宋体" w:hAnsi="宋体" w:eastAsia="宋体" w:cs="宋体"/>
          <w:color w:val="000000"/>
          <w:sz w:val="32"/>
          <w:szCs w:val="32"/>
          <w:lang w:val="en-US" w:eastAsia="zh-CN"/>
        </w:rPr>
        <w:t>12.89</w:t>
      </w:r>
      <w:r>
        <w:rPr>
          <w:rFonts w:hint="eastAsia" w:ascii="宋体" w:hAnsi="宋体" w:eastAsia="宋体" w:cs="宋体"/>
          <w:color w:val="000000"/>
          <w:sz w:val="32"/>
          <w:szCs w:val="32"/>
          <w:lang w:eastAsia="zh-CN"/>
        </w:rPr>
        <w:t>万元，奖励金</w:t>
      </w:r>
      <w:r>
        <w:rPr>
          <w:rFonts w:hint="eastAsia" w:ascii="宋体" w:hAnsi="宋体" w:eastAsia="宋体" w:cs="宋体"/>
          <w:color w:val="000000"/>
          <w:sz w:val="32"/>
          <w:szCs w:val="32"/>
          <w:lang w:val="en-US"/>
        </w:rPr>
        <w:t>0.02</w:t>
      </w:r>
      <w:r>
        <w:rPr>
          <w:rFonts w:hint="eastAsia" w:ascii="宋体" w:hAnsi="宋体" w:eastAsia="宋体" w:cs="宋体"/>
          <w:color w:val="000000"/>
          <w:sz w:val="32"/>
          <w:szCs w:val="32"/>
          <w:lang w:eastAsia="zh-CN"/>
        </w:rPr>
        <w:t>万元。</w:t>
      </w:r>
    </w:p>
    <w:p w14:paraId="01A4CDE1">
      <w:pPr>
        <w:spacing w:line="560" w:lineRule="exact"/>
        <w:ind w:left="0" w:firstLine="640"/>
        <w:rPr>
          <w:rFonts w:hint="eastAsia" w:ascii="宋体" w:hAnsi="宋体" w:eastAsia="宋体" w:cs="宋体"/>
          <w:color w:val="000000"/>
          <w:sz w:val="32"/>
          <w:szCs w:val="32"/>
          <w:lang w:val="en-US"/>
        </w:rPr>
      </w:pPr>
      <w:r>
        <w:rPr>
          <w:rFonts w:hint="eastAsia" w:ascii="宋体" w:hAnsi="宋体" w:eastAsia="宋体" w:cs="宋体"/>
          <w:sz w:val="32"/>
          <w:szCs w:val="32"/>
          <w:shd w:val="clear" w:color="auto" w:fill="FFFFFF"/>
          <w:lang w:val="en-US" w:eastAsia="zh-CN"/>
        </w:rPr>
        <w:t xml:space="preserve"> </w:t>
      </w:r>
      <w:r>
        <w:rPr>
          <w:rFonts w:hint="eastAsia" w:ascii="宋体" w:hAnsi="宋体" w:eastAsia="宋体" w:cs="宋体"/>
          <w:color w:val="000000"/>
          <w:sz w:val="32"/>
          <w:szCs w:val="32"/>
          <w:lang w:val="en-US"/>
        </w:rPr>
        <w:t>202</w:t>
      </w:r>
      <w:r>
        <w:rPr>
          <w:rFonts w:hint="eastAsia" w:ascii="宋体" w:hAnsi="宋体" w:eastAsia="宋体" w:cs="宋体"/>
          <w:color w:val="000000"/>
          <w:sz w:val="32"/>
          <w:szCs w:val="32"/>
          <w:lang w:val="en-US" w:eastAsia="zh-CN"/>
        </w:rPr>
        <w:t>2</w:t>
      </w:r>
      <w:r>
        <w:rPr>
          <w:rFonts w:hint="eastAsia" w:ascii="宋体" w:hAnsi="宋体" w:eastAsia="宋体" w:cs="宋体"/>
          <w:color w:val="000000"/>
          <w:sz w:val="32"/>
          <w:szCs w:val="32"/>
          <w:lang w:eastAsia="zh-CN"/>
        </w:rPr>
        <w:t>年度项目支出预算数为</w:t>
      </w:r>
      <w:r>
        <w:rPr>
          <w:rFonts w:hint="eastAsia" w:ascii="宋体" w:hAnsi="宋体" w:eastAsia="宋体" w:cs="宋体"/>
          <w:color w:val="000000"/>
          <w:sz w:val="32"/>
          <w:szCs w:val="32"/>
          <w:lang w:val="en-US" w:eastAsia="zh-CN"/>
        </w:rPr>
        <w:t>27.26</w:t>
      </w:r>
      <w:r>
        <w:rPr>
          <w:rFonts w:hint="eastAsia" w:ascii="宋体" w:hAnsi="宋体" w:eastAsia="宋体" w:cs="宋体"/>
          <w:color w:val="000000"/>
          <w:sz w:val="32"/>
          <w:szCs w:val="32"/>
          <w:lang w:eastAsia="zh-CN"/>
        </w:rPr>
        <w:t>万元，决算金额</w:t>
      </w:r>
      <w:r>
        <w:rPr>
          <w:rFonts w:hint="eastAsia" w:ascii="宋体" w:hAnsi="宋体" w:eastAsia="宋体" w:cs="宋体"/>
          <w:color w:val="000000"/>
          <w:sz w:val="32"/>
          <w:szCs w:val="32"/>
          <w:lang w:val="en-US" w:eastAsia="zh-CN"/>
        </w:rPr>
        <w:t>167.51</w:t>
      </w:r>
      <w:r>
        <w:rPr>
          <w:rFonts w:hint="eastAsia" w:ascii="宋体" w:hAnsi="宋体" w:eastAsia="宋体" w:cs="宋体"/>
          <w:color w:val="000000"/>
          <w:sz w:val="32"/>
          <w:szCs w:val="32"/>
          <w:lang w:eastAsia="zh-CN"/>
        </w:rPr>
        <w:t>万元，主要原因是中央，省级财政项目资金陆续实施。县级财政专项预算分配及时，中央，省级专项资金分配合规率</w:t>
      </w:r>
      <w:r>
        <w:rPr>
          <w:rFonts w:hint="eastAsia" w:ascii="宋体" w:hAnsi="宋体" w:eastAsia="宋体" w:cs="宋体"/>
          <w:color w:val="000000"/>
          <w:sz w:val="32"/>
          <w:szCs w:val="32"/>
          <w:lang w:val="en-US"/>
        </w:rPr>
        <w:t>100%</w:t>
      </w:r>
      <w:r>
        <w:rPr>
          <w:rFonts w:hint="eastAsia" w:ascii="宋体" w:hAnsi="宋体" w:eastAsia="宋体" w:cs="宋体"/>
          <w:color w:val="000000"/>
          <w:sz w:val="32"/>
          <w:szCs w:val="32"/>
          <w:lang w:eastAsia="zh-CN"/>
        </w:rPr>
        <w:t>；</w:t>
      </w:r>
      <w:r>
        <w:rPr>
          <w:rFonts w:hint="eastAsia" w:ascii="宋体" w:hAnsi="宋体" w:eastAsia="宋体" w:cs="宋体"/>
          <w:color w:val="000000"/>
          <w:sz w:val="32"/>
          <w:szCs w:val="32"/>
          <w:lang w:val="en-US"/>
        </w:rPr>
        <w:t>202</w:t>
      </w:r>
      <w:r>
        <w:rPr>
          <w:rFonts w:hint="eastAsia" w:ascii="宋体" w:hAnsi="宋体" w:eastAsia="宋体" w:cs="宋体"/>
          <w:color w:val="000000"/>
          <w:sz w:val="32"/>
          <w:szCs w:val="32"/>
          <w:lang w:val="en-US" w:eastAsia="zh-CN"/>
        </w:rPr>
        <w:t>2</w:t>
      </w:r>
      <w:r>
        <w:rPr>
          <w:rFonts w:hint="eastAsia" w:ascii="宋体" w:hAnsi="宋体" w:eastAsia="宋体" w:cs="宋体"/>
          <w:color w:val="000000"/>
          <w:sz w:val="32"/>
          <w:szCs w:val="32"/>
          <w:lang w:eastAsia="zh-CN"/>
        </w:rPr>
        <w:t>年底结转结余</w:t>
      </w:r>
      <w:r>
        <w:rPr>
          <w:rFonts w:hint="eastAsia" w:ascii="宋体" w:hAnsi="宋体" w:eastAsia="宋体" w:cs="宋体"/>
          <w:color w:val="000000"/>
          <w:sz w:val="32"/>
          <w:szCs w:val="32"/>
          <w:lang w:val="en-US"/>
        </w:rPr>
        <w:t>0</w:t>
      </w:r>
      <w:r>
        <w:rPr>
          <w:rFonts w:hint="eastAsia" w:ascii="宋体" w:hAnsi="宋体" w:eastAsia="宋体" w:cs="宋体"/>
          <w:color w:val="000000"/>
          <w:sz w:val="32"/>
          <w:szCs w:val="32"/>
          <w:lang w:eastAsia="zh-CN"/>
        </w:rPr>
        <w:t>元。</w:t>
      </w:r>
    </w:p>
    <w:p w14:paraId="043A85D4">
      <w:pPr>
        <w:spacing w:line="560" w:lineRule="exact"/>
        <w:ind w:left="0" w:firstLine="640"/>
        <w:rPr>
          <w:rFonts w:hint="eastAsia" w:ascii="宋体" w:hAnsi="宋体" w:eastAsia="宋体" w:cs="宋体"/>
          <w:b/>
          <w:color w:val="000000"/>
          <w:sz w:val="32"/>
          <w:szCs w:val="32"/>
        </w:rPr>
      </w:pPr>
      <w:r>
        <w:rPr>
          <w:rStyle w:val="190"/>
          <w:rFonts w:hint="eastAsia" w:ascii="宋体" w:hAnsi="宋体" w:eastAsia="宋体" w:cs="宋体"/>
          <w:b w:val="0"/>
          <w:bCs/>
          <w:color w:val="000000"/>
          <w:sz w:val="32"/>
          <w:szCs w:val="32"/>
          <w:lang w:val="en-US"/>
        </w:rPr>
        <w:t>2100401-</w:t>
      </w:r>
      <w:r>
        <w:rPr>
          <w:rStyle w:val="190"/>
          <w:rFonts w:hint="eastAsia" w:ascii="宋体" w:hAnsi="宋体" w:eastAsia="宋体" w:cs="宋体"/>
          <w:b w:val="0"/>
          <w:bCs/>
          <w:color w:val="000000"/>
          <w:sz w:val="32"/>
          <w:szCs w:val="32"/>
          <w:lang w:eastAsia="zh-CN"/>
        </w:rPr>
        <w:t>疾病预防控制机构支出决算为</w:t>
      </w:r>
      <w:r>
        <w:rPr>
          <w:rStyle w:val="190"/>
          <w:rFonts w:hint="eastAsia" w:ascii="宋体" w:hAnsi="宋体" w:eastAsia="宋体" w:cs="宋体"/>
          <w:b w:val="0"/>
          <w:bCs/>
          <w:color w:val="000000"/>
          <w:sz w:val="32"/>
          <w:szCs w:val="32"/>
          <w:lang w:val="en-US" w:eastAsia="zh-CN"/>
        </w:rPr>
        <w:t>43.13</w:t>
      </w:r>
      <w:r>
        <w:rPr>
          <w:rStyle w:val="190"/>
          <w:rFonts w:hint="eastAsia" w:ascii="宋体" w:hAnsi="宋体" w:eastAsia="宋体" w:cs="宋体"/>
          <w:b w:val="0"/>
          <w:bCs/>
          <w:color w:val="000000"/>
          <w:sz w:val="32"/>
          <w:szCs w:val="32"/>
          <w:lang w:eastAsia="zh-CN"/>
        </w:rPr>
        <w:t>万元，完成预算</w:t>
      </w:r>
      <w:r>
        <w:rPr>
          <w:rStyle w:val="190"/>
          <w:rFonts w:hint="eastAsia" w:ascii="宋体" w:hAnsi="宋体" w:eastAsia="宋体" w:cs="宋体"/>
          <w:b w:val="0"/>
          <w:bCs/>
          <w:color w:val="000000"/>
          <w:sz w:val="32"/>
          <w:szCs w:val="32"/>
          <w:lang w:val="en-US"/>
        </w:rPr>
        <w:t>100%</w:t>
      </w:r>
      <w:r>
        <w:rPr>
          <w:rStyle w:val="190"/>
          <w:rFonts w:hint="eastAsia" w:ascii="宋体" w:hAnsi="宋体" w:eastAsia="宋体" w:cs="宋体"/>
          <w:b w:val="0"/>
          <w:bCs/>
          <w:color w:val="000000"/>
          <w:sz w:val="32"/>
          <w:szCs w:val="32"/>
          <w:lang w:eastAsia="zh-CN"/>
        </w:rPr>
        <w:t>，决算数与预算数持平；</w:t>
      </w:r>
      <w:r>
        <w:rPr>
          <w:rStyle w:val="190"/>
          <w:rFonts w:hint="eastAsia" w:ascii="宋体" w:hAnsi="宋体" w:eastAsia="宋体" w:cs="宋体"/>
          <w:b w:val="0"/>
          <w:bCs/>
          <w:color w:val="000000"/>
          <w:sz w:val="32"/>
          <w:szCs w:val="32"/>
          <w:lang w:val="en-US"/>
        </w:rPr>
        <w:t>2</w:t>
      </w:r>
      <w:r>
        <w:rPr>
          <w:rStyle w:val="190"/>
          <w:rFonts w:hint="eastAsia" w:ascii="宋体" w:hAnsi="宋体" w:eastAsia="宋体" w:cs="宋体"/>
          <w:b w:val="0"/>
          <w:bCs/>
          <w:color w:val="000000"/>
          <w:sz w:val="32"/>
          <w:szCs w:val="32"/>
          <w:lang w:eastAsia="zh-CN"/>
        </w:rPr>
        <w:t>、</w:t>
      </w:r>
      <w:r>
        <w:rPr>
          <w:rStyle w:val="190"/>
          <w:rFonts w:hint="eastAsia" w:ascii="宋体" w:hAnsi="宋体" w:eastAsia="宋体" w:cs="宋体"/>
          <w:b w:val="0"/>
          <w:bCs/>
          <w:color w:val="000000"/>
          <w:sz w:val="32"/>
          <w:szCs w:val="32"/>
          <w:lang w:val="en-US"/>
        </w:rPr>
        <w:t>2100408-</w:t>
      </w:r>
      <w:r>
        <w:rPr>
          <w:rStyle w:val="190"/>
          <w:rFonts w:hint="eastAsia" w:ascii="宋体" w:hAnsi="宋体" w:eastAsia="宋体" w:cs="宋体"/>
          <w:b w:val="0"/>
          <w:bCs/>
          <w:color w:val="000000"/>
          <w:sz w:val="32"/>
          <w:szCs w:val="32"/>
          <w:lang w:eastAsia="zh-CN"/>
        </w:rPr>
        <w:t>基本公共卫生服务支出决算数为</w:t>
      </w:r>
      <w:r>
        <w:rPr>
          <w:rStyle w:val="190"/>
          <w:rFonts w:hint="eastAsia" w:ascii="宋体" w:hAnsi="宋体" w:eastAsia="宋体" w:cs="宋体"/>
          <w:b w:val="0"/>
          <w:bCs/>
          <w:color w:val="000000"/>
          <w:sz w:val="32"/>
          <w:szCs w:val="32"/>
          <w:lang w:val="en-US" w:eastAsia="zh-CN"/>
        </w:rPr>
        <w:t>9.53</w:t>
      </w:r>
      <w:r>
        <w:rPr>
          <w:rStyle w:val="190"/>
          <w:rFonts w:hint="eastAsia" w:ascii="宋体" w:hAnsi="宋体" w:eastAsia="宋体" w:cs="宋体"/>
          <w:b w:val="0"/>
          <w:bCs/>
          <w:color w:val="000000"/>
          <w:sz w:val="32"/>
          <w:szCs w:val="32"/>
          <w:lang w:eastAsia="zh-CN"/>
        </w:rPr>
        <w:t>万元。</w:t>
      </w:r>
      <w:r>
        <w:rPr>
          <w:rStyle w:val="190"/>
          <w:rFonts w:hint="eastAsia" w:ascii="宋体" w:hAnsi="宋体" w:eastAsia="宋体" w:cs="宋体"/>
          <w:b w:val="0"/>
          <w:bCs/>
          <w:color w:val="000000"/>
          <w:sz w:val="32"/>
          <w:szCs w:val="32"/>
          <w:lang w:val="en-US"/>
        </w:rPr>
        <w:t>2100409-</w:t>
      </w:r>
      <w:r>
        <w:rPr>
          <w:rStyle w:val="190"/>
          <w:rFonts w:hint="eastAsia" w:ascii="宋体" w:hAnsi="宋体" w:eastAsia="宋体" w:cs="宋体"/>
          <w:b w:val="0"/>
          <w:bCs/>
          <w:color w:val="000000"/>
          <w:sz w:val="32"/>
          <w:szCs w:val="32"/>
          <w:lang w:eastAsia="zh-CN"/>
        </w:rPr>
        <w:t>重大公共卫生专项支出决算为</w:t>
      </w:r>
      <w:r>
        <w:rPr>
          <w:rStyle w:val="190"/>
          <w:rFonts w:hint="eastAsia" w:ascii="宋体" w:hAnsi="宋体" w:eastAsia="宋体" w:cs="宋体"/>
          <w:b w:val="0"/>
          <w:bCs/>
          <w:color w:val="000000"/>
          <w:sz w:val="32"/>
          <w:szCs w:val="32"/>
          <w:lang w:val="en-US" w:eastAsia="zh-CN"/>
        </w:rPr>
        <w:t>65.97</w:t>
      </w:r>
      <w:r>
        <w:rPr>
          <w:rStyle w:val="190"/>
          <w:rFonts w:hint="eastAsia" w:ascii="宋体" w:hAnsi="宋体" w:eastAsia="宋体" w:cs="宋体"/>
          <w:b w:val="0"/>
          <w:bCs/>
          <w:color w:val="000000"/>
          <w:sz w:val="32"/>
          <w:szCs w:val="32"/>
          <w:lang w:eastAsia="zh-CN"/>
        </w:rPr>
        <w:t>万元，</w:t>
      </w:r>
      <w:r>
        <w:rPr>
          <w:rStyle w:val="190"/>
          <w:rFonts w:hint="eastAsia" w:ascii="宋体" w:hAnsi="宋体" w:eastAsia="宋体" w:cs="宋体"/>
          <w:b w:val="0"/>
          <w:bCs/>
          <w:color w:val="000000"/>
          <w:sz w:val="32"/>
          <w:szCs w:val="32"/>
          <w:lang w:val="en-US"/>
        </w:rPr>
        <w:t xml:space="preserve"> 2100499-</w:t>
      </w:r>
      <w:r>
        <w:rPr>
          <w:rStyle w:val="190"/>
          <w:rFonts w:hint="eastAsia" w:ascii="宋体" w:hAnsi="宋体" w:eastAsia="宋体" w:cs="宋体"/>
          <w:b w:val="0"/>
          <w:bCs/>
          <w:color w:val="000000"/>
          <w:sz w:val="32"/>
          <w:szCs w:val="32"/>
          <w:lang w:eastAsia="zh-CN"/>
        </w:rPr>
        <w:t>其它公共卫生支出决算为</w:t>
      </w:r>
      <w:r>
        <w:rPr>
          <w:rStyle w:val="190"/>
          <w:rFonts w:hint="eastAsia" w:ascii="宋体" w:hAnsi="宋体" w:eastAsia="宋体" w:cs="宋体"/>
          <w:b w:val="0"/>
          <w:bCs/>
          <w:color w:val="000000"/>
          <w:sz w:val="32"/>
          <w:szCs w:val="32"/>
          <w:lang w:val="en-US" w:eastAsia="zh-CN"/>
        </w:rPr>
        <w:t>1</w:t>
      </w:r>
      <w:r>
        <w:rPr>
          <w:rStyle w:val="190"/>
          <w:rFonts w:hint="eastAsia" w:ascii="宋体" w:hAnsi="宋体" w:eastAsia="宋体" w:cs="宋体"/>
          <w:b w:val="0"/>
          <w:bCs/>
          <w:color w:val="000000"/>
          <w:sz w:val="32"/>
          <w:szCs w:val="32"/>
          <w:lang w:eastAsia="zh-CN"/>
        </w:rPr>
        <w:t>万元，</w:t>
      </w:r>
      <w:r>
        <w:rPr>
          <w:rStyle w:val="190"/>
          <w:rFonts w:hint="eastAsia" w:ascii="宋体" w:hAnsi="宋体" w:eastAsia="宋体" w:cs="宋体"/>
          <w:b w:val="0"/>
          <w:bCs/>
          <w:color w:val="000000"/>
          <w:sz w:val="32"/>
          <w:szCs w:val="32"/>
          <w:lang w:val="en-US"/>
        </w:rPr>
        <w:t xml:space="preserve"> 2109999-</w:t>
      </w:r>
      <w:r>
        <w:rPr>
          <w:rStyle w:val="190"/>
          <w:rFonts w:hint="eastAsia" w:ascii="宋体" w:hAnsi="宋体" w:eastAsia="宋体" w:cs="宋体"/>
          <w:b w:val="0"/>
          <w:bCs/>
          <w:color w:val="000000"/>
          <w:sz w:val="32"/>
          <w:szCs w:val="32"/>
          <w:lang w:eastAsia="zh-CN"/>
        </w:rPr>
        <w:t>其它卫生健康支出决算为</w:t>
      </w:r>
      <w:r>
        <w:rPr>
          <w:rStyle w:val="190"/>
          <w:rFonts w:hint="eastAsia" w:ascii="宋体" w:hAnsi="宋体" w:eastAsia="宋体" w:cs="宋体"/>
          <w:b w:val="0"/>
          <w:bCs/>
          <w:color w:val="000000"/>
          <w:sz w:val="32"/>
          <w:szCs w:val="32"/>
          <w:lang w:val="en-US" w:eastAsia="zh-CN"/>
        </w:rPr>
        <w:t>47.88</w:t>
      </w:r>
      <w:r>
        <w:rPr>
          <w:rStyle w:val="190"/>
          <w:rFonts w:hint="eastAsia" w:ascii="宋体" w:hAnsi="宋体" w:eastAsia="宋体" w:cs="宋体"/>
          <w:b w:val="0"/>
          <w:bCs/>
          <w:color w:val="000000"/>
          <w:sz w:val="32"/>
          <w:szCs w:val="32"/>
          <w:lang w:eastAsia="zh-CN"/>
        </w:rPr>
        <w:t>万元，完成预算</w:t>
      </w:r>
      <w:r>
        <w:rPr>
          <w:rStyle w:val="190"/>
          <w:rFonts w:hint="eastAsia" w:ascii="宋体" w:hAnsi="宋体" w:eastAsia="宋体" w:cs="宋体"/>
          <w:b w:val="0"/>
          <w:bCs/>
          <w:color w:val="000000"/>
          <w:sz w:val="32"/>
          <w:szCs w:val="32"/>
          <w:lang w:val="en-US"/>
        </w:rPr>
        <w:t>100%</w:t>
      </w:r>
      <w:r>
        <w:rPr>
          <w:rStyle w:val="190"/>
          <w:rFonts w:hint="eastAsia" w:ascii="宋体" w:hAnsi="宋体" w:eastAsia="宋体" w:cs="宋体"/>
          <w:b w:val="0"/>
          <w:bCs/>
          <w:color w:val="000000"/>
          <w:sz w:val="32"/>
          <w:szCs w:val="32"/>
          <w:lang w:eastAsia="zh-CN"/>
        </w:rPr>
        <w:t>；</w:t>
      </w:r>
    </w:p>
    <w:p w14:paraId="05B5D92F">
      <w:pPr>
        <w:pStyle w:val="189"/>
        <w:numPr>
          <w:ilvl w:val="0"/>
          <w:numId w:val="4"/>
        </w:numPr>
        <w:shd w:val="clear" w:color="auto" w:fill="FFFFFF"/>
        <w:rPr>
          <w:rStyle w:val="190"/>
          <w:rFonts w:hint="eastAsia"/>
          <w:sz w:val="32"/>
          <w:szCs w:val="32"/>
        </w:rPr>
      </w:pPr>
      <w:r>
        <w:rPr>
          <w:rStyle w:val="190"/>
          <w:rFonts w:hint="eastAsia"/>
          <w:sz w:val="32"/>
          <w:szCs w:val="32"/>
        </w:rPr>
        <w:t>年末结转和结余情况。</w:t>
      </w:r>
    </w:p>
    <w:p w14:paraId="0FE66F09">
      <w:pPr>
        <w:pStyle w:val="189"/>
        <w:numPr>
          <w:ilvl w:val="0"/>
          <w:numId w:val="0"/>
        </w:numPr>
        <w:shd w:val="clear" w:color="auto" w:fill="FFFFFF"/>
        <w:rPr>
          <w:rFonts w:hint="eastAsia"/>
          <w:sz w:val="44"/>
          <w:szCs w:val="44"/>
        </w:rPr>
      </w:pPr>
      <w:r>
        <w:rPr>
          <w:rFonts w:hint="eastAsia" w:ascii="仿宋_GB2312" w:hAnsi="仿宋_GB2312" w:eastAsia="仿宋_GB2312" w:cs="仿宋_GB2312"/>
          <w:color w:val="000000"/>
          <w:sz w:val="44"/>
          <w:szCs w:val="44"/>
          <w:lang w:val="en-US"/>
        </w:rPr>
        <w:t>202</w:t>
      </w:r>
      <w:r>
        <w:rPr>
          <w:rFonts w:hint="eastAsia" w:ascii="仿宋_GB2312" w:hAnsi="仿宋_GB2312" w:eastAsia="仿宋_GB2312" w:cs="仿宋_GB2312"/>
          <w:color w:val="000000"/>
          <w:sz w:val="44"/>
          <w:szCs w:val="44"/>
          <w:lang w:val="en-US" w:eastAsia="zh-CN"/>
        </w:rPr>
        <w:t>2</w:t>
      </w:r>
      <w:r>
        <w:rPr>
          <w:rFonts w:hint="eastAsia" w:ascii="仿宋_GB2312" w:hAnsi="仿宋_GB2312" w:eastAsia="仿宋_GB2312" w:cs="仿宋_GB2312"/>
          <w:color w:val="000000"/>
          <w:sz w:val="44"/>
          <w:szCs w:val="44"/>
          <w:lang w:eastAsia="zh-CN"/>
        </w:rPr>
        <w:t>年底结转结余</w:t>
      </w:r>
      <w:r>
        <w:rPr>
          <w:rFonts w:hint="eastAsia" w:ascii="仿宋_GB2312" w:hAnsi="仿宋_GB2312" w:eastAsia="仿宋_GB2312" w:cs="仿宋_GB2312"/>
          <w:color w:val="000000"/>
          <w:sz w:val="44"/>
          <w:szCs w:val="44"/>
          <w:lang w:val="en-US"/>
        </w:rPr>
        <w:t>0</w:t>
      </w:r>
      <w:r>
        <w:rPr>
          <w:rFonts w:hint="eastAsia" w:ascii="仿宋_GB2312" w:hAnsi="仿宋_GB2312" w:eastAsia="仿宋_GB2312" w:cs="仿宋_GB2312"/>
          <w:color w:val="000000"/>
          <w:sz w:val="44"/>
          <w:szCs w:val="44"/>
          <w:lang w:eastAsia="zh-CN"/>
        </w:rPr>
        <w:t>元。</w:t>
      </w:r>
    </w:p>
    <w:p w14:paraId="4CBA15DD">
      <w:pPr>
        <w:pStyle w:val="189"/>
        <w:numPr>
          <w:ilvl w:val="0"/>
          <w:numId w:val="0"/>
        </w:numPr>
        <w:shd w:val="clear" w:color="auto" w:fill="FFFFFF"/>
        <w:rPr>
          <w:rFonts w:hint="eastAsia"/>
          <w:sz w:val="32"/>
          <w:szCs w:val="32"/>
        </w:rPr>
      </w:pPr>
      <w:r>
        <w:rPr>
          <w:rFonts w:hint="eastAsia"/>
          <w:sz w:val="32"/>
          <w:szCs w:val="32"/>
        </w:rPr>
        <w:t>1．分资金来源、资金性质结转和结余情况，特别是项目经费结转和结余情况。</w:t>
      </w:r>
    </w:p>
    <w:p w14:paraId="1868986C">
      <w:pPr>
        <w:pStyle w:val="189"/>
        <w:shd w:val="clear" w:color="auto" w:fill="FFFFFF"/>
        <w:rPr>
          <w:rFonts w:hint="eastAsia"/>
          <w:sz w:val="32"/>
          <w:szCs w:val="32"/>
        </w:rPr>
      </w:pPr>
      <w:r>
        <w:rPr>
          <w:rFonts w:hint="eastAsia"/>
          <w:sz w:val="32"/>
          <w:szCs w:val="32"/>
        </w:rPr>
        <w:t>2．结转和结余规模较大的原因分析及消化结转和结余的对策。</w:t>
      </w:r>
    </w:p>
    <w:p w14:paraId="1BCB8E31">
      <w:pPr>
        <w:pStyle w:val="189"/>
        <w:shd w:val="clear" w:color="auto" w:fill="FFFFFF"/>
        <w:rPr>
          <w:rFonts w:hint="eastAsia"/>
          <w:sz w:val="32"/>
          <w:szCs w:val="32"/>
        </w:rPr>
      </w:pPr>
      <w:r>
        <w:rPr>
          <w:rStyle w:val="190"/>
          <w:rFonts w:hint="eastAsia"/>
          <w:sz w:val="32"/>
          <w:szCs w:val="32"/>
        </w:rPr>
        <w:t>（四）与预算支出相关的其他指标分析。</w:t>
      </w:r>
    </w:p>
    <w:p w14:paraId="6B4A3E27">
      <w:pPr>
        <w:pStyle w:val="189"/>
        <w:shd w:val="clear" w:color="auto" w:fill="FFFFFF"/>
        <w:rPr>
          <w:rFonts w:hint="eastAsia" w:ascii="宋体" w:hAnsi="宋体" w:eastAsia="宋体" w:cs="宋体"/>
          <w:sz w:val="32"/>
          <w:szCs w:val="32"/>
        </w:rPr>
      </w:pPr>
      <w:r>
        <w:rPr>
          <w:rFonts w:hint="eastAsia" w:ascii="楷体_GB2312" w:hAnsi="楷体_GB2312" w:eastAsia="楷体_GB2312" w:cs="楷体_GB2312"/>
          <w:sz w:val="32"/>
          <w:szCs w:val="32"/>
        </w:rPr>
        <w:t>对资产、负债信息进行分析，主要分析与上年度对比情况，</w:t>
      </w:r>
      <w:r>
        <w:rPr>
          <w:rFonts w:hint="eastAsia" w:ascii="宋体" w:hAnsi="宋体" w:eastAsia="宋体" w:cs="宋体"/>
          <w:sz w:val="32"/>
          <w:szCs w:val="32"/>
        </w:rPr>
        <w:t>包括增减绝对值与幅度，增减变动主要原因</w:t>
      </w:r>
      <w:r>
        <w:rPr>
          <w:rFonts w:hint="eastAsia" w:ascii="宋体" w:hAnsi="宋体" w:eastAsia="宋体" w:cs="宋体"/>
          <w:sz w:val="32"/>
          <w:szCs w:val="32"/>
          <w:lang w:val="en-US" w:eastAsia="zh-CN"/>
        </w:rPr>
        <w:t>1.</w:t>
      </w:r>
      <w:r>
        <w:rPr>
          <w:rFonts w:hint="eastAsia" w:ascii="宋体" w:hAnsi="宋体" w:eastAsia="宋体" w:cs="宋体"/>
          <w:sz w:val="32"/>
          <w:szCs w:val="32"/>
          <w:lang w:eastAsia="zh-CN"/>
        </w:rPr>
        <w:t>新购公务用车一辆</w:t>
      </w:r>
      <w:r>
        <w:rPr>
          <w:rFonts w:hint="eastAsia" w:ascii="宋体" w:hAnsi="宋体" w:eastAsia="宋体" w:cs="宋体"/>
          <w:sz w:val="32"/>
          <w:szCs w:val="32"/>
          <w:lang w:val="en-US" w:eastAsia="zh-CN"/>
        </w:rPr>
        <w:t>,2.其它应付款减少,原因为退还各公司质保金.</w:t>
      </w:r>
      <w:r>
        <w:rPr>
          <w:rFonts w:hint="eastAsia" w:ascii="宋体" w:hAnsi="宋体" w:eastAsia="宋体" w:cs="宋体"/>
          <w:sz w:val="32"/>
          <w:szCs w:val="32"/>
        </w:rPr>
        <w:t>对预算编制和执行</w:t>
      </w:r>
      <w:r>
        <w:rPr>
          <w:rFonts w:hint="eastAsia" w:ascii="宋体" w:hAnsi="宋体" w:eastAsia="宋体" w:cs="宋体"/>
          <w:sz w:val="32"/>
          <w:szCs w:val="32"/>
          <w:lang w:eastAsia="zh-CN"/>
        </w:rPr>
        <w:t>无影响</w:t>
      </w:r>
      <w:r>
        <w:rPr>
          <w:rFonts w:hint="eastAsia" w:ascii="宋体" w:hAnsi="宋体" w:eastAsia="宋体" w:cs="宋体"/>
          <w:sz w:val="32"/>
          <w:szCs w:val="32"/>
        </w:rPr>
        <w:t>。</w:t>
      </w:r>
    </w:p>
    <w:p w14:paraId="38C1555A">
      <w:pPr>
        <w:pStyle w:val="189"/>
        <w:shd w:val="clear" w:color="auto" w:fill="FFFFFF"/>
        <w:rPr>
          <w:rFonts w:hint="eastAsia" w:ascii="宋体" w:hAnsi="宋体" w:eastAsia="宋体" w:cs="宋体"/>
          <w:sz w:val="32"/>
          <w:szCs w:val="32"/>
          <w:lang w:val="en-US"/>
        </w:rPr>
      </w:pPr>
      <w:r>
        <w:rPr>
          <w:rFonts w:hint="eastAsia" w:ascii="宋体" w:hAnsi="宋体" w:eastAsia="宋体" w:cs="宋体"/>
          <w:sz w:val="32"/>
          <w:szCs w:val="32"/>
          <w:shd w:val="clear" w:color="auto" w:fill="FFFFFF"/>
          <w:lang w:eastAsia="zh-CN"/>
        </w:rPr>
        <w:t>截至</w:t>
      </w:r>
      <w:r>
        <w:rPr>
          <w:rFonts w:hint="eastAsia" w:ascii="宋体" w:hAnsi="宋体" w:eastAsia="宋体" w:cs="宋体"/>
          <w:sz w:val="32"/>
          <w:szCs w:val="32"/>
          <w:shd w:val="clear" w:color="auto" w:fill="FFFFFF"/>
          <w:lang w:val="en-US"/>
        </w:rPr>
        <w:t>202</w:t>
      </w:r>
      <w:r>
        <w:rPr>
          <w:rFonts w:hint="eastAsia" w:ascii="宋体" w:hAnsi="宋体" w:eastAsia="宋体" w:cs="宋体"/>
          <w:sz w:val="32"/>
          <w:szCs w:val="32"/>
          <w:shd w:val="clear" w:color="auto" w:fill="FFFFFF"/>
          <w:lang w:val="en-US" w:eastAsia="zh-CN"/>
        </w:rPr>
        <w:t>2</w:t>
      </w:r>
      <w:r>
        <w:rPr>
          <w:rFonts w:hint="eastAsia" w:ascii="宋体" w:hAnsi="宋体" w:eastAsia="宋体" w:cs="宋体"/>
          <w:sz w:val="32"/>
          <w:szCs w:val="32"/>
          <w:shd w:val="clear" w:color="auto" w:fill="FFFFFF"/>
          <w:lang w:eastAsia="zh-CN"/>
        </w:rPr>
        <w:t>年</w:t>
      </w:r>
      <w:r>
        <w:rPr>
          <w:rFonts w:hint="eastAsia" w:ascii="宋体" w:hAnsi="宋体" w:eastAsia="宋体" w:cs="宋体"/>
          <w:sz w:val="32"/>
          <w:szCs w:val="32"/>
          <w:shd w:val="clear" w:color="auto" w:fill="FFFFFF"/>
          <w:lang w:val="en-US"/>
        </w:rPr>
        <w:t>12</w:t>
      </w:r>
      <w:r>
        <w:rPr>
          <w:rFonts w:hint="eastAsia" w:ascii="宋体" w:hAnsi="宋体" w:eastAsia="宋体" w:cs="宋体"/>
          <w:sz w:val="32"/>
          <w:szCs w:val="32"/>
          <w:shd w:val="clear" w:color="auto" w:fill="FFFFFF"/>
          <w:lang w:eastAsia="zh-CN"/>
        </w:rPr>
        <w:t>月</w:t>
      </w:r>
      <w:r>
        <w:rPr>
          <w:rFonts w:hint="eastAsia" w:ascii="宋体" w:hAnsi="宋体" w:eastAsia="宋体" w:cs="宋体"/>
          <w:sz w:val="32"/>
          <w:szCs w:val="32"/>
          <w:shd w:val="clear" w:color="auto" w:fill="FFFFFF"/>
          <w:lang w:val="en-US"/>
        </w:rPr>
        <w:t>31</w:t>
      </w:r>
      <w:r>
        <w:rPr>
          <w:rFonts w:hint="eastAsia" w:ascii="宋体" w:hAnsi="宋体" w:eastAsia="宋体" w:cs="宋体"/>
          <w:sz w:val="32"/>
          <w:szCs w:val="32"/>
          <w:shd w:val="clear" w:color="auto" w:fill="FFFFFF"/>
          <w:lang w:eastAsia="zh-CN"/>
        </w:rPr>
        <w:t>日，阿坝州红原县疾病预防控制中心共有车辆</w:t>
      </w:r>
      <w:r>
        <w:rPr>
          <w:rFonts w:hint="eastAsia" w:ascii="宋体" w:hAnsi="宋体" w:eastAsia="宋体" w:cs="宋体"/>
          <w:sz w:val="32"/>
          <w:szCs w:val="32"/>
          <w:shd w:val="clear" w:color="auto" w:fill="FFFFFF"/>
          <w:lang w:val="en-US" w:eastAsia="zh-CN"/>
        </w:rPr>
        <w:t>5</w:t>
      </w:r>
      <w:r>
        <w:rPr>
          <w:rFonts w:hint="eastAsia" w:ascii="宋体" w:hAnsi="宋体" w:eastAsia="宋体" w:cs="宋体"/>
          <w:sz w:val="32"/>
          <w:szCs w:val="32"/>
          <w:shd w:val="clear" w:color="auto" w:fill="FFFFFF"/>
          <w:lang w:eastAsia="zh-CN"/>
        </w:rPr>
        <w:t>辆，其中：主要领导干部用车</w:t>
      </w:r>
      <w:r>
        <w:rPr>
          <w:rFonts w:hint="eastAsia" w:ascii="宋体" w:hAnsi="宋体" w:eastAsia="宋体" w:cs="宋体"/>
          <w:sz w:val="32"/>
          <w:szCs w:val="32"/>
          <w:shd w:val="clear" w:color="auto" w:fill="FFFFFF"/>
          <w:lang w:val="en-US"/>
        </w:rPr>
        <w:t xml:space="preserve">0 </w:t>
      </w:r>
      <w:r>
        <w:rPr>
          <w:rFonts w:hint="eastAsia" w:ascii="宋体" w:hAnsi="宋体" w:eastAsia="宋体" w:cs="宋体"/>
          <w:sz w:val="32"/>
          <w:szCs w:val="32"/>
          <w:shd w:val="clear" w:color="auto" w:fill="FFFFFF"/>
          <w:lang w:eastAsia="zh-CN"/>
        </w:rPr>
        <w:t>辆、机要通信用车</w:t>
      </w:r>
      <w:r>
        <w:rPr>
          <w:rFonts w:hint="eastAsia" w:ascii="宋体" w:hAnsi="宋体" w:eastAsia="宋体" w:cs="宋体"/>
          <w:sz w:val="32"/>
          <w:szCs w:val="32"/>
          <w:shd w:val="clear" w:color="auto" w:fill="FFFFFF"/>
          <w:lang w:val="en-US"/>
        </w:rPr>
        <w:t>0</w:t>
      </w:r>
      <w:r>
        <w:rPr>
          <w:rFonts w:hint="eastAsia" w:ascii="宋体" w:hAnsi="宋体" w:eastAsia="宋体" w:cs="宋体"/>
          <w:sz w:val="32"/>
          <w:szCs w:val="32"/>
          <w:shd w:val="clear" w:color="auto" w:fill="FFFFFF"/>
          <w:lang w:eastAsia="zh-CN"/>
        </w:rPr>
        <w:t>辆、应急保障用车</w:t>
      </w:r>
      <w:r>
        <w:rPr>
          <w:rFonts w:hint="eastAsia" w:ascii="宋体" w:hAnsi="宋体" w:eastAsia="宋体" w:cs="宋体"/>
          <w:sz w:val="32"/>
          <w:szCs w:val="32"/>
          <w:shd w:val="clear" w:color="auto" w:fill="FFFFFF"/>
          <w:lang w:val="en-US" w:eastAsia="zh-CN"/>
        </w:rPr>
        <w:t>5</w:t>
      </w:r>
      <w:r>
        <w:rPr>
          <w:rFonts w:hint="eastAsia" w:ascii="宋体" w:hAnsi="宋体" w:eastAsia="宋体" w:cs="宋体"/>
          <w:sz w:val="32"/>
          <w:szCs w:val="32"/>
          <w:shd w:val="clear" w:color="auto" w:fill="FFFFFF"/>
          <w:lang w:eastAsia="zh-CN"/>
        </w:rPr>
        <w:t>辆、执法执勤用车</w:t>
      </w:r>
      <w:r>
        <w:rPr>
          <w:rFonts w:hint="eastAsia" w:ascii="宋体" w:hAnsi="宋体" w:eastAsia="宋体" w:cs="宋体"/>
          <w:sz w:val="32"/>
          <w:szCs w:val="32"/>
          <w:shd w:val="clear" w:color="auto" w:fill="FFFFFF"/>
          <w:lang w:val="en-US"/>
        </w:rPr>
        <w:t xml:space="preserve">0 </w:t>
      </w:r>
      <w:r>
        <w:rPr>
          <w:rFonts w:hint="eastAsia" w:ascii="宋体" w:hAnsi="宋体" w:eastAsia="宋体" w:cs="宋体"/>
          <w:sz w:val="32"/>
          <w:szCs w:val="32"/>
          <w:shd w:val="clear" w:color="auto" w:fill="FFFFFF"/>
          <w:lang w:eastAsia="zh-CN"/>
        </w:rPr>
        <w:t>辆、特种专业技术用车</w:t>
      </w:r>
      <w:r>
        <w:rPr>
          <w:rFonts w:hint="eastAsia" w:ascii="宋体" w:hAnsi="宋体" w:eastAsia="宋体" w:cs="宋体"/>
          <w:sz w:val="32"/>
          <w:szCs w:val="32"/>
          <w:shd w:val="clear" w:color="auto" w:fill="FFFFFF"/>
          <w:lang w:val="en-US" w:eastAsia="zh-CN"/>
        </w:rPr>
        <w:t>0</w:t>
      </w:r>
      <w:r>
        <w:rPr>
          <w:rFonts w:hint="eastAsia" w:ascii="宋体" w:hAnsi="宋体" w:eastAsia="宋体" w:cs="宋体"/>
          <w:sz w:val="32"/>
          <w:szCs w:val="32"/>
          <w:shd w:val="clear" w:color="auto" w:fill="FFFFFF"/>
          <w:lang w:eastAsia="zh-CN"/>
        </w:rPr>
        <w:t>辆、离退休干部用车</w:t>
      </w:r>
      <w:r>
        <w:rPr>
          <w:rFonts w:hint="eastAsia" w:ascii="宋体" w:hAnsi="宋体" w:eastAsia="宋体" w:cs="宋体"/>
          <w:sz w:val="32"/>
          <w:szCs w:val="32"/>
          <w:shd w:val="clear" w:color="auto" w:fill="FFFFFF"/>
          <w:lang w:val="en-US"/>
        </w:rPr>
        <w:t>0</w:t>
      </w:r>
      <w:r>
        <w:rPr>
          <w:rFonts w:hint="eastAsia" w:ascii="宋体" w:hAnsi="宋体" w:eastAsia="宋体" w:cs="宋体"/>
          <w:sz w:val="32"/>
          <w:szCs w:val="32"/>
          <w:shd w:val="clear" w:color="auto" w:fill="FFFFFF"/>
          <w:lang w:eastAsia="zh-CN"/>
        </w:rPr>
        <w:t>辆、其他用车</w:t>
      </w:r>
      <w:r>
        <w:rPr>
          <w:rFonts w:hint="eastAsia" w:ascii="宋体" w:hAnsi="宋体" w:eastAsia="宋体" w:cs="宋体"/>
          <w:sz w:val="32"/>
          <w:szCs w:val="32"/>
          <w:shd w:val="clear" w:color="auto" w:fill="FFFFFF"/>
          <w:lang w:val="en-US"/>
        </w:rPr>
        <w:t xml:space="preserve"> 0</w:t>
      </w:r>
      <w:r>
        <w:rPr>
          <w:rFonts w:hint="eastAsia" w:ascii="宋体" w:hAnsi="宋体" w:eastAsia="宋体" w:cs="宋体"/>
          <w:sz w:val="32"/>
          <w:szCs w:val="32"/>
          <w:shd w:val="clear" w:color="auto" w:fill="FFFFFF"/>
          <w:lang w:eastAsia="zh-CN"/>
        </w:rPr>
        <w:t>辆。主要是用于……。单价</w:t>
      </w:r>
      <w:r>
        <w:rPr>
          <w:rFonts w:hint="eastAsia" w:ascii="宋体" w:hAnsi="宋体" w:eastAsia="宋体" w:cs="宋体"/>
          <w:sz w:val="32"/>
          <w:szCs w:val="32"/>
          <w:shd w:val="clear" w:color="auto" w:fill="FFFFFF"/>
          <w:lang w:val="en-US"/>
        </w:rPr>
        <w:t>50</w:t>
      </w:r>
      <w:r>
        <w:rPr>
          <w:rFonts w:hint="eastAsia" w:ascii="宋体" w:hAnsi="宋体" w:eastAsia="宋体" w:cs="宋体"/>
          <w:sz w:val="32"/>
          <w:szCs w:val="32"/>
          <w:shd w:val="clear" w:color="auto" w:fill="FFFFFF"/>
          <w:lang w:eastAsia="zh-CN"/>
        </w:rPr>
        <w:t>万元以上通用设备</w:t>
      </w:r>
      <w:r>
        <w:rPr>
          <w:rFonts w:hint="eastAsia" w:ascii="宋体" w:hAnsi="宋体" w:eastAsia="宋体" w:cs="宋体"/>
          <w:sz w:val="32"/>
          <w:szCs w:val="32"/>
          <w:shd w:val="clear" w:color="auto" w:fill="FFFFFF"/>
          <w:lang w:val="en-US"/>
        </w:rPr>
        <w:t>0</w:t>
      </w:r>
      <w:r>
        <w:rPr>
          <w:rFonts w:hint="eastAsia" w:ascii="宋体" w:hAnsi="宋体" w:eastAsia="宋体" w:cs="宋体"/>
          <w:sz w:val="32"/>
          <w:szCs w:val="32"/>
          <w:shd w:val="clear" w:color="auto" w:fill="FFFFFF"/>
          <w:lang w:eastAsia="zh-CN"/>
        </w:rPr>
        <w:t>台（套），单价</w:t>
      </w:r>
      <w:r>
        <w:rPr>
          <w:rFonts w:hint="eastAsia" w:ascii="宋体" w:hAnsi="宋体" w:eastAsia="宋体" w:cs="宋体"/>
          <w:sz w:val="32"/>
          <w:szCs w:val="32"/>
          <w:shd w:val="clear" w:color="auto" w:fill="FFFFFF"/>
          <w:lang w:val="en-US"/>
        </w:rPr>
        <w:t>100</w:t>
      </w:r>
      <w:r>
        <w:rPr>
          <w:rFonts w:hint="eastAsia" w:ascii="宋体" w:hAnsi="宋体" w:eastAsia="宋体" w:cs="宋体"/>
          <w:sz w:val="32"/>
          <w:szCs w:val="32"/>
          <w:shd w:val="clear" w:color="auto" w:fill="FFFFFF"/>
          <w:lang w:eastAsia="zh-CN"/>
        </w:rPr>
        <w:t>万元以上专用设备</w:t>
      </w:r>
      <w:r>
        <w:rPr>
          <w:rFonts w:hint="eastAsia" w:ascii="宋体" w:hAnsi="宋体" w:eastAsia="宋体" w:cs="宋体"/>
          <w:sz w:val="32"/>
          <w:szCs w:val="32"/>
          <w:shd w:val="clear" w:color="auto" w:fill="FFFFFF"/>
          <w:lang w:val="en-US"/>
        </w:rPr>
        <w:t>0</w:t>
      </w:r>
      <w:r>
        <w:rPr>
          <w:rFonts w:hint="eastAsia" w:ascii="宋体" w:hAnsi="宋体" w:eastAsia="宋体" w:cs="宋体"/>
          <w:sz w:val="32"/>
          <w:szCs w:val="32"/>
          <w:shd w:val="clear" w:color="auto" w:fill="FFFFFF"/>
          <w:lang w:eastAsia="zh-CN"/>
        </w:rPr>
        <w:t>台（套</w:t>
      </w:r>
      <w:r>
        <w:rPr>
          <w:rFonts w:hint="eastAsia" w:ascii="宋体" w:hAnsi="宋体" w:eastAsia="宋体" w:cs="宋体"/>
          <w:sz w:val="32"/>
          <w:szCs w:val="32"/>
          <w:shd w:val="clear" w:color="auto" w:fill="FFFFFF"/>
          <w:lang w:val="en-US" w:eastAsia="zh-CN"/>
        </w:rPr>
        <w:t>)</w:t>
      </w:r>
    </w:p>
    <w:p w14:paraId="1239D50C">
      <w:pPr>
        <w:pStyle w:val="189"/>
        <w:shd w:val="clear" w:color="auto" w:fill="FFFFFF"/>
        <w:rPr>
          <w:rFonts w:hint="eastAsia" w:ascii="楷体_GB2312" w:hAnsi="楷体_GB2312" w:eastAsia="楷体_GB2312" w:cs="楷体_GB2312"/>
          <w:sz w:val="32"/>
          <w:szCs w:val="32"/>
        </w:rPr>
      </w:pPr>
    </w:p>
    <w:p w14:paraId="1B71EB3E">
      <w:pPr>
        <w:pStyle w:val="189"/>
        <w:shd w:val="clear" w:color="auto" w:fill="FFFFFF"/>
        <w:rPr>
          <w:rFonts w:hint="eastAsia"/>
          <w:sz w:val="32"/>
          <w:szCs w:val="32"/>
        </w:rPr>
      </w:pPr>
    </w:p>
    <w:p w14:paraId="1E0BE50C">
      <w:pPr>
        <w:pStyle w:val="189"/>
        <w:shd w:val="clear" w:color="auto" w:fill="FFFFFF"/>
        <w:rPr>
          <w:rFonts w:hint="eastAsia"/>
          <w:sz w:val="32"/>
          <w:szCs w:val="32"/>
        </w:rPr>
      </w:pPr>
    </w:p>
    <w:p w14:paraId="13E7AA1D">
      <w:pPr>
        <w:pStyle w:val="189"/>
        <w:shd w:val="clear" w:color="auto" w:fill="FFFFFF"/>
        <w:rPr>
          <w:rFonts w:hint="eastAsia"/>
          <w:sz w:val="32"/>
          <w:szCs w:val="32"/>
        </w:rPr>
      </w:pPr>
    </w:p>
    <w:p w14:paraId="03A80A0C">
      <w:pPr>
        <w:pStyle w:val="189"/>
        <w:shd w:val="clear" w:color="auto" w:fill="FFFFFF"/>
        <w:rPr>
          <w:rFonts w:hint="eastAsia"/>
          <w:sz w:val="32"/>
          <w:szCs w:val="32"/>
        </w:rPr>
      </w:pPr>
    </w:p>
    <w:p w14:paraId="1991FA40">
      <w:pPr>
        <w:pStyle w:val="189"/>
        <w:shd w:val="clear" w:color="auto" w:fill="FFFFFF"/>
        <w:rPr>
          <w:rFonts w:hint="eastAsia"/>
          <w:sz w:val="32"/>
          <w:szCs w:val="32"/>
        </w:rPr>
      </w:pPr>
    </w:p>
    <w:p w14:paraId="30DACD9F">
      <w:pPr>
        <w:pStyle w:val="189"/>
        <w:shd w:val="clear" w:color="auto" w:fill="FFFFFF"/>
        <w:rPr>
          <w:rFonts w:hint="eastAsia"/>
          <w:sz w:val="32"/>
          <w:szCs w:val="32"/>
        </w:rPr>
      </w:pPr>
    </w:p>
    <w:p w14:paraId="1E056BF3">
      <w:pPr>
        <w:pStyle w:val="189"/>
        <w:shd w:val="clear" w:color="auto" w:fill="FFFFFF"/>
        <w:rPr>
          <w:rFonts w:hint="eastAsia"/>
          <w:sz w:val="32"/>
          <w:szCs w:val="32"/>
        </w:rPr>
      </w:pPr>
    </w:p>
    <w:tbl>
      <w:tblPr>
        <w:tblStyle w:val="30"/>
        <w:tblW w:w="5400" w:type="dxa"/>
        <w:tblInd w:w="-15"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top w:w="0" w:type="dxa"/>
          <w:left w:w="108" w:type="dxa"/>
          <w:bottom w:w="0" w:type="dxa"/>
          <w:right w:w="108" w:type="dxa"/>
        </w:tblCellMar>
      </w:tblPr>
      <w:tblGrid>
        <w:gridCol w:w="3640"/>
        <w:gridCol w:w="984"/>
        <w:gridCol w:w="1464"/>
        <w:gridCol w:w="984"/>
        <w:gridCol w:w="1465"/>
      </w:tblGrid>
      <w:tr w14:paraId="5CE0896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285" w:hRule="atLeast"/>
        </w:trPr>
        <w:tc>
          <w:tcPr>
            <w:tcW w:w="1180" w:type="dxa"/>
            <w:vMerge w:val="restart"/>
            <w:shd w:val="clear" w:color="auto" w:fill="C0C0C0"/>
            <w:noWrap/>
            <w:vAlign w:val="center"/>
          </w:tcPr>
          <w:p w14:paraId="26CC343B">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项  目</w:t>
            </w:r>
          </w:p>
        </w:tc>
        <w:tc>
          <w:tcPr>
            <w:tcW w:w="2323" w:type="dxa"/>
            <w:gridSpan w:val="2"/>
            <w:shd w:val="clear" w:color="auto" w:fill="C0C0C0"/>
            <w:noWrap/>
            <w:vAlign w:val="center"/>
          </w:tcPr>
          <w:p w14:paraId="5445499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年初数</w:t>
            </w:r>
          </w:p>
        </w:tc>
        <w:tc>
          <w:tcPr>
            <w:tcW w:w="2324" w:type="dxa"/>
            <w:gridSpan w:val="2"/>
            <w:shd w:val="clear" w:color="auto" w:fill="C0C0C0"/>
            <w:noWrap/>
            <w:vAlign w:val="center"/>
          </w:tcPr>
          <w:p w14:paraId="611A2B5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年末数</w:t>
            </w:r>
          </w:p>
        </w:tc>
      </w:tr>
      <w:tr w14:paraId="7D2C8F5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285" w:hRule="atLeast"/>
        </w:trPr>
        <w:tc>
          <w:tcPr>
            <w:tcW w:w="1180" w:type="dxa"/>
            <w:vMerge w:val="continue"/>
            <w:shd w:val="clear" w:color="auto" w:fill="C0C0C0"/>
            <w:noWrap/>
            <w:vAlign w:val="center"/>
          </w:tcPr>
          <w:p w14:paraId="262BABA8">
            <w:pPr>
              <w:jc w:val="center"/>
              <w:rPr>
                <w:rFonts w:hint="eastAsia" w:ascii="宋体" w:hAnsi="宋体" w:eastAsia="宋体" w:cs="宋体"/>
                <w:i w:val="0"/>
                <w:iCs w:val="0"/>
                <w:color w:val="000000"/>
                <w:sz w:val="22"/>
                <w:szCs w:val="22"/>
                <w:u w:val="none"/>
              </w:rPr>
            </w:pPr>
          </w:p>
        </w:tc>
        <w:tc>
          <w:tcPr>
            <w:tcW w:w="936" w:type="dxa"/>
            <w:shd w:val="clear" w:color="auto" w:fill="C0C0C0"/>
            <w:noWrap/>
            <w:vAlign w:val="center"/>
          </w:tcPr>
          <w:p w14:paraId="06262083">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数量</w:t>
            </w:r>
          </w:p>
        </w:tc>
        <w:tc>
          <w:tcPr>
            <w:tcW w:w="1387" w:type="dxa"/>
            <w:shd w:val="clear" w:color="auto" w:fill="C0C0C0"/>
            <w:noWrap/>
            <w:vAlign w:val="center"/>
          </w:tcPr>
          <w:p w14:paraId="546A6C09">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金额</w:t>
            </w:r>
          </w:p>
        </w:tc>
        <w:tc>
          <w:tcPr>
            <w:tcW w:w="936" w:type="dxa"/>
            <w:shd w:val="clear" w:color="auto" w:fill="C0C0C0"/>
            <w:noWrap/>
            <w:vAlign w:val="center"/>
          </w:tcPr>
          <w:p w14:paraId="5985991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数量</w:t>
            </w:r>
          </w:p>
        </w:tc>
        <w:tc>
          <w:tcPr>
            <w:tcW w:w="1388" w:type="dxa"/>
            <w:shd w:val="clear" w:color="auto" w:fill="C0C0C0"/>
            <w:noWrap/>
            <w:vAlign w:val="center"/>
          </w:tcPr>
          <w:p w14:paraId="35C0111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金额</w:t>
            </w:r>
          </w:p>
        </w:tc>
      </w:tr>
      <w:tr w14:paraId="2D6C75F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285" w:hRule="atLeast"/>
        </w:trPr>
        <w:tc>
          <w:tcPr>
            <w:tcW w:w="3782" w:type="dxa"/>
            <w:shd w:val="clear" w:color="auto" w:fill="C0C0C0"/>
            <w:noWrap/>
            <w:vAlign w:val="center"/>
          </w:tcPr>
          <w:p w14:paraId="121F6E02">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栏  次</w:t>
            </w:r>
          </w:p>
        </w:tc>
        <w:tc>
          <w:tcPr>
            <w:tcW w:w="936" w:type="dxa"/>
            <w:shd w:val="clear" w:color="auto" w:fill="C0C0C0"/>
            <w:noWrap/>
            <w:vAlign w:val="center"/>
          </w:tcPr>
          <w:p w14:paraId="0C35B68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387" w:type="dxa"/>
            <w:shd w:val="clear" w:color="auto" w:fill="C0C0C0"/>
            <w:noWrap/>
            <w:vAlign w:val="center"/>
          </w:tcPr>
          <w:p w14:paraId="1E6D3CF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936" w:type="dxa"/>
            <w:shd w:val="clear" w:color="auto" w:fill="C0C0C0"/>
            <w:noWrap/>
            <w:vAlign w:val="center"/>
          </w:tcPr>
          <w:p w14:paraId="72B02565">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w:t>
            </w:r>
          </w:p>
        </w:tc>
        <w:tc>
          <w:tcPr>
            <w:tcW w:w="1388" w:type="dxa"/>
            <w:shd w:val="clear" w:color="auto" w:fill="C0C0C0"/>
            <w:noWrap/>
            <w:vAlign w:val="center"/>
          </w:tcPr>
          <w:p w14:paraId="429EF1D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w:t>
            </w:r>
          </w:p>
        </w:tc>
      </w:tr>
      <w:tr w14:paraId="6A6AA2A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285" w:hRule="atLeast"/>
        </w:trPr>
        <w:tc>
          <w:tcPr>
            <w:tcW w:w="3782" w:type="dxa"/>
            <w:shd w:val="clear" w:color="auto" w:fill="C0C0C0"/>
            <w:noWrap/>
            <w:vAlign w:val="center"/>
          </w:tcPr>
          <w:p w14:paraId="40682EB8">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财务会计补充信息</w:t>
            </w:r>
          </w:p>
        </w:tc>
        <w:tc>
          <w:tcPr>
            <w:tcW w:w="936" w:type="dxa"/>
            <w:shd w:val="clear" w:color="auto" w:fill="FFFFFF"/>
            <w:noWrap/>
            <w:vAlign w:val="center"/>
          </w:tcPr>
          <w:p w14:paraId="3F4E1EF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w:t>
            </w:r>
          </w:p>
        </w:tc>
        <w:tc>
          <w:tcPr>
            <w:tcW w:w="1387" w:type="dxa"/>
            <w:shd w:val="clear" w:color="auto" w:fill="FFFFFF"/>
            <w:noWrap/>
            <w:vAlign w:val="center"/>
          </w:tcPr>
          <w:p w14:paraId="7D021D1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w:t>
            </w:r>
          </w:p>
        </w:tc>
        <w:tc>
          <w:tcPr>
            <w:tcW w:w="936" w:type="dxa"/>
            <w:shd w:val="clear" w:color="auto" w:fill="FFFFFF"/>
            <w:noWrap/>
            <w:vAlign w:val="center"/>
          </w:tcPr>
          <w:p w14:paraId="6054A789">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w:t>
            </w:r>
          </w:p>
        </w:tc>
        <w:tc>
          <w:tcPr>
            <w:tcW w:w="1388" w:type="dxa"/>
            <w:shd w:val="clear" w:color="auto" w:fill="FFFFFF"/>
            <w:noWrap/>
            <w:vAlign w:val="center"/>
          </w:tcPr>
          <w:p w14:paraId="53022FE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w:t>
            </w:r>
          </w:p>
        </w:tc>
      </w:tr>
      <w:tr w14:paraId="71391E0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285" w:hRule="atLeast"/>
        </w:trPr>
        <w:tc>
          <w:tcPr>
            <w:tcW w:w="3782" w:type="dxa"/>
            <w:shd w:val="clear" w:color="auto" w:fill="C0C0C0"/>
            <w:noWrap/>
            <w:vAlign w:val="center"/>
          </w:tcPr>
          <w:p w14:paraId="0B93477C">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一、资产信息</w:t>
            </w:r>
          </w:p>
        </w:tc>
        <w:tc>
          <w:tcPr>
            <w:tcW w:w="936" w:type="dxa"/>
            <w:shd w:val="clear" w:color="auto" w:fill="FFFFFF"/>
            <w:noWrap/>
            <w:vAlign w:val="center"/>
          </w:tcPr>
          <w:p w14:paraId="539D5C8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w:t>
            </w:r>
          </w:p>
        </w:tc>
        <w:tc>
          <w:tcPr>
            <w:tcW w:w="1387" w:type="dxa"/>
            <w:shd w:val="clear" w:color="auto" w:fill="FFFFFF"/>
            <w:noWrap/>
            <w:vAlign w:val="center"/>
          </w:tcPr>
          <w:p w14:paraId="29D46CD9">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w:t>
            </w:r>
          </w:p>
        </w:tc>
        <w:tc>
          <w:tcPr>
            <w:tcW w:w="936" w:type="dxa"/>
            <w:shd w:val="clear" w:color="auto" w:fill="FFFFFF"/>
            <w:noWrap/>
            <w:vAlign w:val="center"/>
          </w:tcPr>
          <w:p w14:paraId="68BB77A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w:t>
            </w:r>
          </w:p>
        </w:tc>
        <w:tc>
          <w:tcPr>
            <w:tcW w:w="1388" w:type="dxa"/>
            <w:shd w:val="clear" w:color="auto" w:fill="FFFFFF"/>
            <w:noWrap/>
            <w:vAlign w:val="center"/>
          </w:tcPr>
          <w:p w14:paraId="4833CB8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w:t>
            </w:r>
          </w:p>
        </w:tc>
      </w:tr>
      <w:tr w14:paraId="516FD0A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285" w:hRule="atLeast"/>
        </w:trPr>
        <w:tc>
          <w:tcPr>
            <w:tcW w:w="3782" w:type="dxa"/>
            <w:shd w:val="clear" w:color="auto" w:fill="C0C0C0"/>
            <w:noWrap/>
            <w:vAlign w:val="center"/>
          </w:tcPr>
          <w:p w14:paraId="6B7942E6">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 xml:space="preserve">  （一）货币资金</w:t>
            </w:r>
          </w:p>
        </w:tc>
        <w:tc>
          <w:tcPr>
            <w:tcW w:w="936" w:type="dxa"/>
            <w:shd w:val="clear" w:color="auto" w:fill="FFFFFF"/>
            <w:noWrap/>
            <w:vAlign w:val="center"/>
          </w:tcPr>
          <w:p w14:paraId="3CADD96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w:t>
            </w:r>
          </w:p>
        </w:tc>
        <w:tc>
          <w:tcPr>
            <w:tcW w:w="1387" w:type="dxa"/>
            <w:shd w:val="clear" w:color="auto" w:fill="FFFFFF"/>
            <w:noWrap/>
            <w:vAlign w:val="center"/>
          </w:tcPr>
          <w:p w14:paraId="2896FD9A">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237,426.15</w:t>
            </w:r>
          </w:p>
        </w:tc>
        <w:tc>
          <w:tcPr>
            <w:tcW w:w="936" w:type="dxa"/>
            <w:shd w:val="clear" w:color="auto" w:fill="FFFFFF"/>
            <w:noWrap/>
            <w:vAlign w:val="center"/>
          </w:tcPr>
          <w:p w14:paraId="1147F628">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w:t>
            </w:r>
          </w:p>
        </w:tc>
        <w:tc>
          <w:tcPr>
            <w:tcW w:w="1388" w:type="dxa"/>
            <w:shd w:val="clear" w:color="auto" w:fill="FFFFFF"/>
            <w:noWrap/>
            <w:vAlign w:val="center"/>
          </w:tcPr>
          <w:p w14:paraId="6B5FD6AF">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25,589.46</w:t>
            </w:r>
          </w:p>
        </w:tc>
      </w:tr>
      <w:tr w14:paraId="7187C63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285" w:hRule="atLeast"/>
        </w:trPr>
        <w:tc>
          <w:tcPr>
            <w:tcW w:w="3782" w:type="dxa"/>
            <w:shd w:val="clear" w:color="auto" w:fill="C0C0C0"/>
            <w:noWrap/>
            <w:vAlign w:val="center"/>
          </w:tcPr>
          <w:p w14:paraId="5FEF6A26">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 xml:space="preserve">        其中：银行存款</w:t>
            </w:r>
          </w:p>
        </w:tc>
        <w:tc>
          <w:tcPr>
            <w:tcW w:w="936" w:type="dxa"/>
            <w:shd w:val="clear" w:color="auto" w:fill="FFFFFF"/>
            <w:noWrap/>
            <w:vAlign w:val="center"/>
          </w:tcPr>
          <w:p w14:paraId="687ADF7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w:t>
            </w:r>
          </w:p>
        </w:tc>
        <w:tc>
          <w:tcPr>
            <w:tcW w:w="1387" w:type="dxa"/>
            <w:shd w:val="clear" w:color="auto" w:fill="FFFFFF"/>
            <w:noWrap/>
            <w:vAlign w:val="center"/>
          </w:tcPr>
          <w:p w14:paraId="2306651E">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237,426.15</w:t>
            </w:r>
          </w:p>
        </w:tc>
        <w:tc>
          <w:tcPr>
            <w:tcW w:w="936" w:type="dxa"/>
            <w:shd w:val="clear" w:color="auto" w:fill="FFFFFF"/>
            <w:noWrap/>
            <w:vAlign w:val="center"/>
          </w:tcPr>
          <w:p w14:paraId="54420A63">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w:t>
            </w:r>
          </w:p>
        </w:tc>
        <w:tc>
          <w:tcPr>
            <w:tcW w:w="1388" w:type="dxa"/>
            <w:shd w:val="clear" w:color="auto" w:fill="FFFFFF"/>
            <w:noWrap/>
            <w:vAlign w:val="center"/>
          </w:tcPr>
          <w:p w14:paraId="505DE6D1">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25,589.46</w:t>
            </w:r>
          </w:p>
        </w:tc>
      </w:tr>
      <w:tr w14:paraId="09975DD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285" w:hRule="atLeast"/>
        </w:trPr>
        <w:tc>
          <w:tcPr>
            <w:tcW w:w="3782" w:type="dxa"/>
            <w:shd w:val="clear" w:color="auto" w:fill="C0C0C0"/>
            <w:noWrap/>
            <w:vAlign w:val="center"/>
          </w:tcPr>
          <w:p w14:paraId="201746EA">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 xml:space="preserve">  （二）财政应返还额度</w:t>
            </w:r>
          </w:p>
        </w:tc>
        <w:tc>
          <w:tcPr>
            <w:tcW w:w="936" w:type="dxa"/>
            <w:shd w:val="clear" w:color="auto" w:fill="FFFFFF"/>
            <w:noWrap/>
            <w:vAlign w:val="center"/>
          </w:tcPr>
          <w:p w14:paraId="7EFE787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w:t>
            </w:r>
          </w:p>
        </w:tc>
        <w:tc>
          <w:tcPr>
            <w:tcW w:w="1387" w:type="dxa"/>
            <w:shd w:val="clear" w:color="auto" w:fill="FFFFFF"/>
            <w:noWrap/>
            <w:vAlign w:val="center"/>
          </w:tcPr>
          <w:p w14:paraId="554A28FF">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　</w:t>
            </w:r>
          </w:p>
        </w:tc>
        <w:tc>
          <w:tcPr>
            <w:tcW w:w="936" w:type="dxa"/>
            <w:shd w:val="clear" w:color="auto" w:fill="FFFFFF"/>
            <w:noWrap/>
            <w:vAlign w:val="center"/>
          </w:tcPr>
          <w:p w14:paraId="1CCEB0C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w:t>
            </w:r>
          </w:p>
        </w:tc>
        <w:tc>
          <w:tcPr>
            <w:tcW w:w="1388" w:type="dxa"/>
            <w:shd w:val="clear" w:color="auto" w:fill="FFFFFF"/>
            <w:noWrap/>
            <w:vAlign w:val="center"/>
          </w:tcPr>
          <w:p w14:paraId="75F3B848">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　</w:t>
            </w:r>
          </w:p>
        </w:tc>
      </w:tr>
      <w:tr w14:paraId="5647F7B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285" w:hRule="atLeast"/>
        </w:trPr>
        <w:tc>
          <w:tcPr>
            <w:tcW w:w="3782" w:type="dxa"/>
            <w:shd w:val="clear" w:color="auto" w:fill="C0C0C0"/>
            <w:noWrap/>
            <w:vAlign w:val="center"/>
          </w:tcPr>
          <w:p w14:paraId="07AB37A9">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 xml:space="preserve">  （三）固定资产原值</w:t>
            </w:r>
          </w:p>
        </w:tc>
        <w:tc>
          <w:tcPr>
            <w:tcW w:w="936" w:type="dxa"/>
            <w:shd w:val="clear" w:color="auto" w:fill="FFFFFF"/>
            <w:noWrap/>
            <w:vAlign w:val="center"/>
          </w:tcPr>
          <w:p w14:paraId="1ECE73D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w:t>
            </w:r>
          </w:p>
        </w:tc>
        <w:tc>
          <w:tcPr>
            <w:tcW w:w="1387" w:type="dxa"/>
            <w:shd w:val="clear" w:color="auto" w:fill="FFFFFF"/>
            <w:noWrap/>
            <w:vAlign w:val="center"/>
          </w:tcPr>
          <w:p w14:paraId="4B25A865">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14,249,581.59</w:t>
            </w:r>
          </w:p>
        </w:tc>
        <w:tc>
          <w:tcPr>
            <w:tcW w:w="936" w:type="dxa"/>
            <w:shd w:val="clear" w:color="auto" w:fill="FFFFFF"/>
            <w:noWrap/>
            <w:vAlign w:val="center"/>
          </w:tcPr>
          <w:p w14:paraId="23B57773">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w:t>
            </w:r>
          </w:p>
        </w:tc>
        <w:tc>
          <w:tcPr>
            <w:tcW w:w="1388" w:type="dxa"/>
            <w:shd w:val="clear" w:color="auto" w:fill="FFFFFF"/>
            <w:noWrap/>
            <w:vAlign w:val="center"/>
          </w:tcPr>
          <w:p w14:paraId="2B166B34">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16,112,290.92</w:t>
            </w:r>
          </w:p>
        </w:tc>
      </w:tr>
      <w:tr w14:paraId="3061D73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285" w:hRule="atLeast"/>
        </w:trPr>
        <w:tc>
          <w:tcPr>
            <w:tcW w:w="3782" w:type="dxa"/>
            <w:shd w:val="clear" w:color="auto" w:fill="C0C0C0"/>
            <w:noWrap/>
            <w:vAlign w:val="center"/>
          </w:tcPr>
          <w:p w14:paraId="56037B2C">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 xml:space="preserve">        其中：房屋（平方米）</w:t>
            </w:r>
          </w:p>
        </w:tc>
        <w:tc>
          <w:tcPr>
            <w:tcW w:w="936" w:type="dxa"/>
            <w:shd w:val="clear" w:color="auto" w:fill="00FF00"/>
            <w:noWrap/>
            <w:vAlign w:val="center"/>
          </w:tcPr>
          <w:p w14:paraId="0A3B598F">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3,645.00</w:t>
            </w:r>
          </w:p>
        </w:tc>
        <w:tc>
          <w:tcPr>
            <w:tcW w:w="1387" w:type="dxa"/>
            <w:shd w:val="clear" w:color="auto" w:fill="00FF00"/>
            <w:noWrap/>
            <w:vAlign w:val="center"/>
          </w:tcPr>
          <w:p w14:paraId="58C97497">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5,155,191.77</w:t>
            </w:r>
          </w:p>
        </w:tc>
        <w:tc>
          <w:tcPr>
            <w:tcW w:w="936" w:type="dxa"/>
            <w:shd w:val="clear" w:color="auto" w:fill="00FF00"/>
            <w:noWrap/>
            <w:vAlign w:val="center"/>
          </w:tcPr>
          <w:p w14:paraId="0A8AE96A">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3,645.00</w:t>
            </w:r>
          </w:p>
        </w:tc>
        <w:tc>
          <w:tcPr>
            <w:tcW w:w="1388" w:type="dxa"/>
            <w:shd w:val="clear" w:color="auto" w:fill="00FF00"/>
            <w:noWrap/>
            <w:vAlign w:val="center"/>
          </w:tcPr>
          <w:p w14:paraId="0DDCBE5D">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5,155,191.77</w:t>
            </w:r>
          </w:p>
        </w:tc>
      </w:tr>
      <w:tr w14:paraId="5ED4396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285" w:hRule="atLeast"/>
        </w:trPr>
        <w:tc>
          <w:tcPr>
            <w:tcW w:w="3782" w:type="dxa"/>
            <w:shd w:val="clear" w:color="auto" w:fill="C0C0C0"/>
            <w:noWrap/>
            <w:vAlign w:val="center"/>
          </w:tcPr>
          <w:p w14:paraId="2C084BDB">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 xml:space="preserve">                1.办公用房</w:t>
            </w:r>
          </w:p>
        </w:tc>
        <w:tc>
          <w:tcPr>
            <w:tcW w:w="936" w:type="dxa"/>
            <w:shd w:val="clear" w:color="auto" w:fill="FFFFFF"/>
            <w:noWrap/>
            <w:vAlign w:val="center"/>
          </w:tcPr>
          <w:p w14:paraId="45A5CE34">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310.00</w:t>
            </w:r>
          </w:p>
        </w:tc>
        <w:tc>
          <w:tcPr>
            <w:tcW w:w="1387" w:type="dxa"/>
            <w:shd w:val="clear" w:color="auto" w:fill="FFFFFF"/>
            <w:noWrap/>
            <w:vAlign w:val="center"/>
          </w:tcPr>
          <w:p w14:paraId="0B3D1B8B">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596,000.00</w:t>
            </w:r>
          </w:p>
        </w:tc>
        <w:tc>
          <w:tcPr>
            <w:tcW w:w="936" w:type="dxa"/>
            <w:shd w:val="clear" w:color="auto" w:fill="FFFFFF"/>
            <w:noWrap/>
            <w:vAlign w:val="center"/>
          </w:tcPr>
          <w:p w14:paraId="3E6D7F81">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310.00</w:t>
            </w:r>
          </w:p>
        </w:tc>
        <w:tc>
          <w:tcPr>
            <w:tcW w:w="1388" w:type="dxa"/>
            <w:shd w:val="clear" w:color="auto" w:fill="FFFFFF"/>
            <w:noWrap/>
            <w:vAlign w:val="center"/>
          </w:tcPr>
          <w:p w14:paraId="7C59279C">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596,000.00</w:t>
            </w:r>
          </w:p>
        </w:tc>
      </w:tr>
      <w:tr w14:paraId="14E83A1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285" w:hRule="atLeast"/>
        </w:trPr>
        <w:tc>
          <w:tcPr>
            <w:tcW w:w="3782" w:type="dxa"/>
            <w:shd w:val="clear" w:color="auto" w:fill="C0C0C0"/>
            <w:noWrap/>
            <w:vAlign w:val="center"/>
          </w:tcPr>
          <w:p w14:paraId="116024C5">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 xml:space="preserve">                2.业务用房</w:t>
            </w:r>
          </w:p>
        </w:tc>
        <w:tc>
          <w:tcPr>
            <w:tcW w:w="936" w:type="dxa"/>
            <w:shd w:val="clear" w:color="auto" w:fill="FFFFFF"/>
            <w:noWrap/>
            <w:vAlign w:val="center"/>
          </w:tcPr>
          <w:p w14:paraId="6B1A4D0F">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2,480.00</w:t>
            </w:r>
          </w:p>
        </w:tc>
        <w:tc>
          <w:tcPr>
            <w:tcW w:w="1387" w:type="dxa"/>
            <w:shd w:val="clear" w:color="auto" w:fill="FFFFFF"/>
            <w:noWrap/>
            <w:vAlign w:val="center"/>
          </w:tcPr>
          <w:p w14:paraId="2EA998C6">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4,345,322.00</w:t>
            </w:r>
          </w:p>
        </w:tc>
        <w:tc>
          <w:tcPr>
            <w:tcW w:w="936" w:type="dxa"/>
            <w:shd w:val="clear" w:color="auto" w:fill="FFFFFF"/>
            <w:noWrap/>
            <w:vAlign w:val="center"/>
          </w:tcPr>
          <w:p w14:paraId="3DC229E1">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2,480.00</w:t>
            </w:r>
          </w:p>
        </w:tc>
        <w:tc>
          <w:tcPr>
            <w:tcW w:w="1388" w:type="dxa"/>
            <w:shd w:val="clear" w:color="auto" w:fill="FFFFFF"/>
            <w:noWrap/>
            <w:vAlign w:val="center"/>
          </w:tcPr>
          <w:p w14:paraId="18557C88">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4,345,322.00</w:t>
            </w:r>
          </w:p>
        </w:tc>
      </w:tr>
      <w:tr w14:paraId="0D4DED5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285" w:hRule="atLeast"/>
        </w:trPr>
        <w:tc>
          <w:tcPr>
            <w:tcW w:w="3782" w:type="dxa"/>
            <w:shd w:val="clear" w:color="auto" w:fill="C0C0C0"/>
            <w:noWrap/>
            <w:vAlign w:val="center"/>
          </w:tcPr>
          <w:p w14:paraId="23FD7F66">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 xml:space="preserve">                3.其他（不含构筑物）</w:t>
            </w:r>
          </w:p>
        </w:tc>
        <w:tc>
          <w:tcPr>
            <w:tcW w:w="936" w:type="dxa"/>
            <w:shd w:val="clear" w:color="auto" w:fill="FFFFFF"/>
            <w:noWrap/>
            <w:vAlign w:val="center"/>
          </w:tcPr>
          <w:p w14:paraId="7DC0D823">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855.00</w:t>
            </w:r>
          </w:p>
        </w:tc>
        <w:tc>
          <w:tcPr>
            <w:tcW w:w="1387" w:type="dxa"/>
            <w:shd w:val="clear" w:color="auto" w:fill="FFFFFF"/>
            <w:noWrap/>
            <w:vAlign w:val="center"/>
          </w:tcPr>
          <w:p w14:paraId="59BBB675">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213,869.77</w:t>
            </w:r>
          </w:p>
        </w:tc>
        <w:tc>
          <w:tcPr>
            <w:tcW w:w="936" w:type="dxa"/>
            <w:shd w:val="clear" w:color="auto" w:fill="FFFFFF"/>
            <w:noWrap/>
            <w:vAlign w:val="center"/>
          </w:tcPr>
          <w:p w14:paraId="5909B95A">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855.00</w:t>
            </w:r>
          </w:p>
        </w:tc>
        <w:tc>
          <w:tcPr>
            <w:tcW w:w="1388" w:type="dxa"/>
            <w:shd w:val="clear" w:color="auto" w:fill="FFFFFF"/>
            <w:noWrap/>
            <w:vAlign w:val="center"/>
          </w:tcPr>
          <w:p w14:paraId="62F7F665">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213,869.77</w:t>
            </w:r>
          </w:p>
        </w:tc>
      </w:tr>
      <w:tr w14:paraId="1A44300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285" w:hRule="atLeast"/>
        </w:trPr>
        <w:tc>
          <w:tcPr>
            <w:tcW w:w="3782" w:type="dxa"/>
            <w:shd w:val="clear" w:color="auto" w:fill="C0C0C0"/>
            <w:noWrap/>
            <w:vAlign w:val="center"/>
          </w:tcPr>
          <w:p w14:paraId="7C2E1737">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 xml:space="preserve">              车辆（台、辆）</w:t>
            </w:r>
          </w:p>
        </w:tc>
        <w:tc>
          <w:tcPr>
            <w:tcW w:w="936" w:type="dxa"/>
            <w:shd w:val="clear" w:color="auto" w:fill="00FF00"/>
            <w:noWrap/>
            <w:vAlign w:val="center"/>
          </w:tcPr>
          <w:p w14:paraId="5D79043E">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6</w:t>
            </w:r>
          </w:p>
        </w:tc>
        <w:tc>
          <w:tcPr>
            <w:tcW w:w="1387" w:type="dxa"/>
            <w:shd w:val="clear" w:color="auto" w:fill="00FF00"/>
            <w:noWrap/>
            <w:vAlign w:val="center"/>
          </w:tcPr>
          <w:p w14:paraId="65AA079D">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909,101.00</w:t>
            </w:r>
          </w:p>
        </w:tc>
        <w:tc>
          <w:tcPr>
            <w:tcW w:w="936" w:type="dxa"/>
            <w:shd w:val="clear" w:color="auto" w:fill="00FF00"/>
            <w:noWrap/>
            <w:vAlign w:val="center"/>
          </w:tcPr>
          <w:p w14:paraId="3CE0C0FE">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p>
        </w:tc>
        <w:tc>
          <w:tcPr>
            <w:tcW w:w="1388" w:type="dxa"/>
            <w:shd w:val="clear" w:color="auto" w:fill="00FF00"/>
            <w:noWrap/>
            <w:vAlign w:val="center"/>
          </w:tcPr>
          <w:p w14:paraId="54DB61DE">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1,300,875.33</w:t>
            </w:r>
          </w:p>
        </w:tc>
      </w:tr>
      <w:tr w14:paraId="42306C1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285" w:hRule="atLeast"/>
        </w:trPr>
        <w:tc>
          <w:tcPr>
            <w:tcW w:w="3782" w:type="dxa"/>
            <w:shd w:val="clear" w:color="auto" w:fill="C0C0C0"/>
            <w:noWrap/>
            <w:vAlign w:val="center"/>
          </w:tcPr>
          <w:p w14:paraId="6919A0A7">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 xml:space="preserve">                1.轿车</w:t>
            </w:r>
          </w:p>
        </w:tc>
        <w:tc>
          <w:tcPr>
            <w:tcW w:w="936" w:type="dxa"/>
            <w:shd w:val="clear" w:color="auto" w:fill="FFFFFF"/>
            <w:noWrap/>
            <w:vAlign w:val="center"/>
          </w:tcPr>
          <w:p w14:paraId="13D7CEE3">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　</w:t>
            </w:r>
          </w:p>
        </w:tc>
        <w:tc>
          <w:tcPr>
            <w:tcW w:w="1387" w:type="dxa"/>
            <w:shd w:val="clear" w:color="auto" w:fill="FFFFFF"/>
            <w:noWrap/>
            <w:vAlign w:val="center"/>
          </w:tcPr>
          <w:p w14:paraId="2049D235">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　</w:t>
            </w:r>
          </w:p>
        </w:tc>
        <w:tc>
          <w:tcPr>
            <w:tcW w:w="936" w:type="dxa"/>
            <w:shd w:val="clear" w:color="auto" w:fill="FFFFFF"/>
            <w:noWrap/>
            <w:vAlign w:val="center"/>
          </w:tcPr>
          <w:p w14:paraId="5CF84F1C">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　</w:t>
            </w:r>
          </w:p>
        </w:tc>
        <w:tc>
          <w:tcPr>
            <w:tcW w:w="1388" w:type="dxa"/>
            <w:shd w:val="clear" w:color="auto" w:fill="FFFFFF"/>
            <w:noWrap/>
            <w:vAlign w:val="center"/>
          </w:tcPr>
          <w:p w14:paraId="6A964905">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　</w:t>
            </w:r>
          </w:p>
        </w:tc>
      </w:tr>
      <w:tr w14:paraId="4A790E4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285" w:hRule="atLeast"/>
        </w:trPr>
        <w:tc>
          <w:tcPr>
            <w:tcW w:w="3782" w:type="dxa"/>
            <w:shd w:val="clear" w:color="auto" w:fill="C0C0C0"/>
            <w:noWrap/>
            <w:vAlign w:val="center"/>
          </w:tcPr>
          <w:p w14:paraId="5CE9701A">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 xml:space="preserve">                2.越野车</w:t>
            </w:r>
          </w:p>
        </w:tc>
        <w:tc>
          <w:tcPr>
            <w:tcW w:w="936" w:type="dxa"/>
            <w:shd w:val="clear" w:color="auto" w:fill="FFFFFF"/>
            <w:noWrap/>
            <w:vAlign w:val="center"/>
          </w:tcPr>
          <w:p w14:paraId="4E3C2EA4">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p>
        </w:tc>
        <w:tc>
          <w:tcPr>
            <w:tcW w:w="1387" w:type="dxa"/>
            <w:shd w:val="clear" w:color="auto" w:fill="FFFFFF"/>
            <w:noWrap/>
            <w:vAlign w:val="center"/>
          </w:tcPr>
          <w:p w14:paraId="61C270EE">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909,100.00</w:t>
            </w:r>
          </w:p>
        </w:tc>
        <w:tc>
          <w:tcPr>
            <w:tcW w:w="936" w:type="dxa"/>
            <w:shd w:val="clear" w:color="auto" w:fill="FFFFFF"/>
            <w:noWrap/>
            <w:vAlign w:val="center"/>
          </w:tcPr>
          <w:p w14:paraId="2D0435FF">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p>
        </w:tc>
        <w:tc>
          <w:tcPr>
            <w:tcW w:w="1388" w:type="dxa"/>
            <w:shd w:val="clear" w:color="auto" w:fill="FFFFFF"/>
            <w:noWrap/>
            <w:vAlign w:val="center"/>
          </w:tcPr>
          <w:p w14:paraId="5B1DA0DA">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1,300,875.33</w:t>
            </w:r>
          </w:p>
        </w:tc>
      </w:tr>
      <w:tr w14:paraId="3CCA0A6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285" w:hRule="atLeast"/>
        </w:trPr>
        <w:tc>
          <w:tcPr>
            <w:tcW w:w="3782" w:type="dxa"/>
            <w:shd w:val="clear" w:color="auto" w:fill="C0C0C0"/>
            <w:noWrap/>
            <w:vAlign w:val="center"/>
          </w:tcPr>
          <w:p w14:paraId="618CB8DA">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 xml:space="preserve">                3.小型载客汽车</w:t>
            </w:r>
          </w:p>
        </w:tc>
        <w:tc>
          <w:tcPr>
            <w:tcW w:w="936" w:type="dxa"/>
            <w:shd w:val="clear" w:color="auto" w:fill="FFFFFF"/>
            <w:noWrap/>
            <w:vAlign w:val="center"/>
          </w:tcPr>
          <w:p w14:paraId="6208B5DE">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　</w:t>
            </w:r>
          </w:p>
        </w:tc>
        <w:tc>
          <w:tcPr>
            <w:tcW w:w="1387" w:type="dxa"/>
            <w:shd w:val="clear" w:color="auto" w:fill="FFFFFF"/>
            <w:noWrap/>
            <w:vAlign w:val="center"/>
          </w:tcPr>
          <w:p w14:paraId="5F111588">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　</w:t>
            </w:r>
          </w:p>
        </w:tc>
        <w:tc>
          <w:tcPr>
            <w:tcW w:w="936" w:type="dxa"/>
            <w:shd w:val="clear" w:color="auto" w:fill="FFFFFF"/>
            <w:noWrap/>
            <w:vAlign w:val="center"/>
          </w:tcPr>
          <w:p w14:paraId="0A3AA809">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　</w:t>
            </w:r>
          </w:p>
        </w:tc>
        <w:tc>
          <w:tcPr>
            <w:tcW w:w="1388" w:type="dxa"/>
            <w:shd w:val="clear" w:color="auto" w:fill="FFFFFF"/>
            <w:noWrap/>
            <w:vAlign w:val="center"/>
          </w:tcPr>
          <w:p w14:paraId="650EADD6">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　</w:t>
            </w:r>
          </w:p>
        </w:tc>
      </w:tr>
      <w:tr w14:paraId="355CD10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285" w:hRule="atLeast"/>
        </w:trPr>
        <w:tc>
          <w:tcPr>
            <w:tcW w:w="3782" w:type="dxa"/>
            <w:shd w:val="clear" w:color="auto" w:fill="C0C0C0"/>
            <w:noWrap/>
            <w:vAlign w:val="center"/>
          </w:tcPr>
          <w:p w14:paraId="0A3004C2">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 xml:space="preserve">                4.大中型载客汽车</w:t>
            </w:r>
          </w:p>
        </w:tc>
        <w:tc>
          <w:tcPr>
            <w:tcW w:w="936" w:type="dxa"/>
            <w:shd w:val="clear" w:color="auto" w:fill="FFFFFF"/>
            <w:noWrap/>
            <w:vAlign w:val="center"/>
          </w:tcPr>
          <w:p w14:paraId="1BE39F6C">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　</w:t>
            </w:r>
          </w:p>
        </w:tc>
        <w:tc>
          <w:tcPr>
            <w:tcW w:w="1387" w:type="dxa"/>
            <w:shd w:val="clear" w:color="auto" w:fill="FFFFFF"/>
            <w:noWrap/>
            <w:vAlign w:val="center"/>
          </w:tcPr>
          <w:p w14:paraId="2B8663A2">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　</w:t>
            </w:r>
          </w:p>
        </w:tc>
        <w:tc>
          <w:tcPr>
            <w:tcW w:w="936" w:type="dxa"/>
            <w:shd w:val="clear" w:color="auto" w:fill="FFFFFF"/>
            <w:noWrap/>
            <w:vAlign w:val="center"/>
          </w:tcPr>
          <w:p w14:paraId="746749E4">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　</w:t>
            </w:r>
          </w:p>
        </w:tc>
        <w:tc>
          <w:tcPr>
            <w:tcW w:w="1388" w:type="dxa"/>
            <w:shd w:val="clear" w:color="auto" w:fill="FFFFFF"/>
            <w:noWrap/>
            <w:vAlign w:val="center"/>
          </w:tcPr>
          <w:p w14:paraId="3F9BF635">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　</w:t>
            </w:r>
          </w:p>
        </w:tc>
      </w:tr>
      <w:tr w14:paraId="7655B97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285" w:hRule="atLeast"/>
        </w:trPr>
        <w:tc>
          <w:tcPr>
            <w:tcW w:w="3782" w:type="dxa"/>
            <w:shd w:val="clear" w:color="auto" w:fill="C0C0C0"/>
            <w:noWrap/>
            <w:vAlign w:val="center"/>
          </w:tcPr>
          <w:p w14:paraId="333988FE">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 xml:space="preserve">                5.其他车型</w:t>
            </w:r>
          </w:p>
        </w:tc>
        <w:tc>
          <w:tcPr>
            <w:tcW w:w="936" w:type="dxa"/>
            <w:shd w:val="clear" w:color="auto" w:fill="FFFFFF"/>
            <w:noWrap/>
            <w:vAlign w:val="center"/>
          </w:tcPr>
          <w:p w14:paraId="3CAB5952">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387" w:type="dxa"/>
            <w:shd w:val="clear" w:color="auto" w:fill="FFFFFF"/>
            <w:noWrap/>
            <w:vAlign w:val="center"/>
          </w:tcPr>
          <w:p w14:paraId="3AB49897">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1.00</w:t>
            </w:r>
          </w:p>
        </w:tc>
        <w:tc>
          <w:tcPr>
            <w:tcW w:w="936" w:type="dxa"/>
            <w:shd w:val="clear" w:color="auto" w:fill="FFFFFF"/>
            <w:noWrap/>
            <w:vAlign w:val="center"/>
          </w:tcPr>
          <w:p w14:paraId="388B4690">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　</w:t>
            </w:r>
          </w:p>
        </w:tc>
        <w:tc>
          <w:tcPr>
            <w:tcW w:w="1388" w:type="dxa"/>
            <w:shd w:val="clear" w:color="auto" w:fill="FFFFFF"/>
            <w:noWrap/>
            <w:vAlign w:val="center"/>
          </w:tcPr>
          <w:p w14:paraId="3F9F445A">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　</w:t>
            </w:r>
          </w:p>
        </w:tc>
      </w:tr>
      <w:tr w14:paraId="1C5967A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285" w:hRule="atLeast"/>
        </w:trPr>
        <w:tc>
          <w:tcPr>
            <w:tcW w:w="3782" w:type="dxa"/>
            <w:shd w:val="clear" w:color="auto" w:fill="C0C0C0"/>
            <w:noWrap/>
            <w:vAlign w:val="center"/>
          </w:tcPr>
          <w:p w14:paraId="5A2C28AD">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 xml:space="preserve">        减：固定资产累计折旧</w:t>
            </w:r>
          </w:p>
        </w:tc>
        <w:tc>
          <w:tcPr>
            <w:tcW w:w="936" w:type="dxa"/>
            <w:shd w:val="clear" w:color="auto" w:fill="FFFFFF"/>
            <w:noWrap/>
            <w:vAlign w:val="center"/>
          </w:tcPr>
          <w:p w14:paraId="5EC40C53">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w:t>
            </w:r>
          </w:p>
        </w:tc>
        <w:tc>
          <w:tcPr>
            <w:tcW w:w="1387" w:type="dxa"/>
            <w:shd w:val="clear" w:color="auto" w:fill="FFFFFF"/>
            <w:noWrap/>
            <w:vAlign w:val="center"/>
          </w:tcPr>
          <w:p w14:paraId="62AB82B1">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5,219,136.77</w:t>
            </w:r>
          </w:p>
        </w:tc>
        <w:tc>
          <w:tcPr>
            <w:tcW w:w="936" w:type="dxa"/>
            <w:shd w:val="clear" w:color="auto" w:fill="FFFFFF"/>
            <w:noWrap/>
            <w:vAlign w:val="center"/>
          </w:tcPr>
          <w:p w14:paraId="5489C2C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w:t>
            </w:r>
          </w:p>
        </w:tc>
        <w:tc>
          <w:tcPr>
            <w:tcW w:w="1388" w:type="dxa"/>
            <w:shd w:val="clear" w:color="auto" w:fill="FFFFFF"/>
            <w:noWrap/>
            <w:vAlign w:val="center"/>
          </w:tcPr>
          <w:p w14:paraId="6B347DDB">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6,946,293.78</w:t>
            </w:r>
          </w:p>
        </w:tc>
      </w:tr>
      <w:tr w14:paraId="019AA6D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285" w:hRule="atLeast"/>
        </w:trPr>
        <w:tc>
          <w:tcPr>
            <w:tcW w:w="3782" w:type="dxa"/>
            <w:shd w:val="clear" w:color="auto" w:fill="C0C0C0"/>
            <w:noWrap/>
            <w:vAlign w:val="center"/>
          </w:tcPr>
          <w:p w14:paraId="61D8852F">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 xml:space="preserve">        固定资产净值</w:t>
            </w:r>
          </w:p>
        </w:tc>
        <w:tc>
          <w:tcPr>
            <w:tcW w:w="936" w:type="dxa"/>
            <w:shd w:val="clear" w:color="auto" w:fill="FFFFFF"/>
            <w:noWrap/>
            <w:vAlign w:val="center"/>
          </w:tcPr>
          <w:p w14:paraId="2C5B3BD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w:t>
            </w:r>
          </w:p>
        </w:tc>
        <w:tc>
          <w:tcPr>
            <w:tcW w:w="1387" w:type="dxa"/>
            <w:shd w:val="clear" w:color="auto" w:fill="00FF00"/>
            <w:noWrap/>
            <w:vAlign w:val="center"/>
          </w:tcPr>
          <w:p w14:paraId="15040F47">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9,030,444.82</w:t>
            </w:r>
          </w:p>
        </w:tc>
        <w:tc>
          <w:tcPr>
            <w:tcW w:w="936" w:type="dxa"/>
            <w:shd w:val="clear" w:color="auto" w:fill="FFFFFF"/>
            <w:noWrap/>
            <w:vAlign w:val="center"/>
          </w:tcPr>
          <w:p w14:paraId="656DD8A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w:t>
            </w:r>
          </w:p>
        </w:tc>
        <w:tc>
          <w:tcPr>
            <w:tcW w:w="1388" w:type="dxa"/>
            <w:shd w:val="clear" w:color="auto" w:fill="00FF00"/>
            <w:noWrap/>
            <w:vAlign w:val="center"/>
          </w:tcPr>
          <w:p w14:paraId="31C2376D">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9,165,997.14</w:t>
            </w:r>
          </w:p>
        </w:tc>
      </w:tr>
      <w:tr w14:paraId="699ADBB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285" w:hRule="atLeast"/>
        </w:trPr>
        <w:tc>
          <w:tcPr>
            <w:tcW w:w="3782" w:type="dxa"/>
            <w:shd w:val="clear" w:color="auto" w:fill="C0C0C0"/>
            <w:noWrap/>
            <w:vAlign w:val="center"/>
          </w:tcPr>
          <w:p w14:paraId="0E6B74D1">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 xml:space="preserve">  （四）在建工程</w:t>
            </w:r>
          </w:p>
        </w:tc>
        <w:tc>
          <w:tcPr>
            <w:tcW w:w="936" w:type="dxa"/>
            <w:shd w:val="clear" w:color="auto" w:fill="FFFFFF"/>
            <w:noWrap/>
            <w:vAlign w:val="center"/>
          </w:tcPr>
          <w:p w14:paraId="4256D2E3">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w:t>
            </w:r>
          </w:p>
        </w:tc>
        <w:tc>
          <w:tcPr>
            <w:tcW w:w="1387" w:type="dxa"/>
            <w:shd w:val="clear" w:color="auto" w:fill="FFFFFF"/>
            <w:noWrap/>
            <w:vAlign w:val="center"/>
          </w:tcPr>
          <w:p w14:paraId="0C751949">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　</w:t>
            </w:r>
          </w:p>
        </w:tc>
        <w:tc>
          <w:tcPr>
            <w:tcW w:w="936" w:type="dxa"/>
            <w:shd w:val="clear" w:color="auto" w:fill="FFFFFF"/>
            <w:noWrap/>
            <w:vAlign w:val="center"/>
          </w:tcPr>
          <w:p w14:paraId="3860FD9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w:t>
            </w:r>
          </w:p>
        </w:tc>
        <w:tc>
          <w:tcPr>
            <w:tcW w:w="1388" w:type="dxa"/>
            <w:shd w:val="clear" w:color="auto" w:fill="FFFFFF"/>
            <w:noWrap/>
            <w:vAlign w:val="center"/>
          </w:tcPr>
          <w:p w14:paraId="101C5EBD">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　</w:t>
            </w:r>
          </w:p>
        </w:tc>
      </w:tr>
      <w:tr w14:paraId="4B35636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285" w:hRule="atLeast"/>
        </w:trPr>
        <w:tc>
          <w:tcPr>
            <w:tcW w:w="3782" w:type="dxa"/>
            <w:shd w:val="clear" w:color="auto" w:fill="C0C0C0"/>
            <w:noWrap/>
            <w:vAlign w:val="center"/>
          </w:tcPr>
          <w:p w14:paraId="3278D17F">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二、负债信息</w:t>
            </w:r>
          </w:p>
        </w:tc>
        <w:tc>
          <w:tcPr>
            <w:tcW w:w="936" w:type="dxa"/>
            <w:shd w:val="clear" w:color="auto" w:fill="FFFFFF"/>
            <w:noWrap/>
            <w:vAlign w:val="center"/>
          </w:tcPr>
          <w:p w14:paraId="12DAB975">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w:t>
            </w:r>
          </w:p>
        </w:tc>
        <w:tc>
          <w:tcPr>
            <w:tcW w:w="1387" w:type="dxa"/>
            <w:shd w:val="clear" w:color="auto" w:fill="FFFFFF"/>
            <w:noWrap/>
            <w:vAlign w:val="center"/>
          </w:tcPr>
          <w:p w14:paraId="2BCCC35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w:t>
            </w:r>
          </w:p>
        </w:tc>
        <w:tc>
          <w:tcPr>
            <w:tcW w:w="936" w:type="dxa"/>
            <w:shd w:val="clear" w:color="auto" w:fill="FFFFFF"/>
            <w:noWrap/>
            <w:vAlign w:val="center"/>
          </w:tcPr>
          <w:p w14:paraId="628B80C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w:t>
            </w:r>
          </w:p>
        </w:tc>
        <w:tc>
          <w:tcPr>
            <w:tcW w:w="1388" w:type="dxa"/>
            <w:shd w:val="clear" w:color="auto" w:fill="FFFFFF"/>
            <w:noWrap/>
            <w:vAlign w:val="center"/>
          </w:tcPr>
          <w:p w14:paraId="26D6370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w:t>
            </w:r>
          </w:p>
        </w:tc>
      </w:tr>
      <w:tr w14:paraId="6CCC092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285" w:hRule="atLeast"/>
        </w:trPr>
        <w:tc>
          <w:tcPr>
            <w:tcW w:w="3782" w:type="dxa"/>
            <w:shd w:val="clear" w:color="auto" w:fill="C0C0C0"/>
            <w:noWrap/>
            <w:vAlign w:val="center"/>
          </w:tcPr>
          <w:p w14:paraId="559D1013">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 xml:space="preserve">  （一）其它应付款</w:t>
            </w:r>
          </w:p>
        </w:tc>
        <w:tc>
          <w:tcPr>
            <w:tcW w:w="936" w:type="dxa"/>
            <w:shd w:val="clear" w:color="auto" w:fill="FFFFFF"/>
            <w:noWrap/>
            <w:vAlign w:val="center"/>
          </w:tcPr>
          <w:p w14:paraId="32AA539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w:t>
            </w:r>
          </w:p>
        </w:tc>
        <w:tc>
          <w:tcPr>
            <w:tcW w:w="1387" w:type="dxa"/>
            <w:shd w:val="clear" w:color="auto" w:fill="FFFFFF"/>
            <w:noWrap/>
            <w:vAlign w:val="center"/>
          </w:tcPr>
          <w:p w14:paraId="50AF38E2">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399,889.11</w:t>
            </w:r>
          </w:p>
        </w:tc>
        <w:tc>
          <w:tcPr>
            <w:tcW w:w="936" w:type="dxa"/>
            <w:shd w:val="clear" w:color="auto" w:fill="FFFFFF"/>
            <w:noWrap/>
            <w:vAlign w:val="center"/>
          </w:tcPr>
          <w:p w14:paraId="7AB1724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w:t>
            </w:r>
          </w:p>
        </w:tc>
        <w:tc>
          <w:tcPr>
            <w:tcW w:w="1388" w:type="dxa"/>
            <w:shd w:val="clear" w:color="auto" w:fill="FFFFFF"/>
            <w:noWrap/>
            <w:vAlign w:val="center"/>
          </w:tcPr>
          <w:p w14:paraId="47E4599E">
            <w:pPr>
              <w:keepNext w:val="0"/>
              <w:keepLines w:val="0"/>
              <w:widowControl/>
              <w:suppressLineNumbers w:val="0"/>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25,536.00</w:t>
            </w:r>
          </w:p>
        </w:tc>
      </w:tr>
    </w:tbl>
    <w:p w14:paraId="1082A1CA">
      <w:pPr>
        <w:pStyle w:val="189"/>
        <w:shd w:val="clear" w:color="auto" w:fill="FFFFFF"/>
        <w:rPr>
          <w:rFonts w:hint="eastAsia"/>
          <w:sz w:val="32"/>
          <w:szCs w:val="32"/>
        </w:rPr>
      </w:pPr>
      <w:r>
        <w:rPr>
          <w:rStyle w:val="190"/>
          <w:rFonts w:hint="eastAsia"/>
          <w:sz w:val="32"/>
          <w:szCs w:val="32"/>
        </w:rPr>
        <w:t>（五）绩效目标完成情况。</w:t>
      </w:r>
    </w:p>
    <w:p w14:paraId="20F26CE6">
      <w:pPr>
        <w:pStyle w:val="189"/>
        <w:shd w:val="clear" w:color="auto" w:fill="FFFFFF"/>
        <w:rPr>
          <w:rFonts w:hint="eastAsia"/>
          <w:sz w:val="32"/>
          <w:szCs w:val="32"/>
        </w:rPr>
      </w:pPr>
      <w:r>
        <w:rPr>
          <w:rFonts w:hint="eastAsia"/>
          <w:sz w:val="32"/>
          <w:szCs w:val="32"/>
        </w:rPr>
        <w:t>1.概述项目绩效目标完成情况。</w:t>
      </w:r>
    </w:p>
    <w:p w14:paraId="0875221E">
      <w:pPr>
        <w:spacing w:line="580" w:lineRule="exact"/>
        <w:ind w:firstLine="640"/>
        <w:rPr>
          <w:rFonts w:hint="eastAsia" w:ascii="宋体" w:hAnsi="宋体" w:eastAsia="宋体" w:cs="宋体"/>
          <w:sz w:val="32"/>
          <w:szCs w:val="32"/>
        </w:rPr>
      </w:pPr>
      <w:r>
        <w:rPr>
          <w:rFonts w:hint="eastAsia" w:ascii="宋体" w:hAnsi="宋体" w:eastAsia="宋体" w:cs="宋体"/>
          <w:sz w:val="32"/>
          <w:szCs w:val="32"/>
        </w:rPr>
        <w:t>根据预算绩效管理要求，本部门（单位）在年初预算编制阶段，组织重大项目开展了预算事前绩效评估，对</w:t>
      </w:r>
      <w:r>
        <w:rPr>
          <w:rFonts w:hint="eastAsia" w:ascii="宋体" w:hAnsi="宋体" w:eastAsia="宋体" w:cs="宋体"/>
          <w:sz w:val="32"/>
          <w:szCs w:val="32"/>
          <w:lang w:val="en-US" w:eastAsia="zh-CN"/>
        </w:rPr>
        <w:t>3</w:t>
      </w:r>
      <w:r>
        <w:rPr>
          <w:rFonts w:hint="eastAsia" w:ascii="宋体" w:hAnsi="宋体" w:eastAsia="宋体" w:cs="宋体"/>
          <w:sz w:val="32"/>
          <w:szCs w:val="32"/>
        </w:rPr>
        <w:t>个项目编制了绩效目标，预算执行过程中，选取</w:t>
      </w:r>
      <w:r>
        <w:rPr>
          <w:rFonts w:hint="eastAsia" w:ascii="宋体" w:hAnsi="宋体" w:eastAsia="宋体" w:cs="宋体"/>
          <w:sz w:val="32"/>
          <w:szCs w:val="32"/>
          <w:lang w:val="en-US" w:eastAsia="zh-CN"/>
        </w:rPr>
        <w:t>3</w:t>
      </w:r>
      <w:r>
        <w:rPr>
          <w:rFonts w:hint="eastAsia" w:ascii="宋体" w:hAnsi="宋体" w:eastAsia="宋体" w:cs="宋体"/>
          <w:sz w:val="32"/>
          <w:szCs w:val="32"/>
        </w:rPr>
        <w:t>个项目开展绩效监控，年终执行完毕后，对</w:t>
      </w:r>
      <w:r>
        <w:rPr>
          <w:rFonts w:hint="eastAsia" w:ascii="宋体" w:hAnsi="宋体" w:eastAsia="宋体" w:cs="宋体"/>
          <w:sz w:val="32"/>
          <w:szCs w:val="32"/>
          <w:lang w:val="en-US" w:eastAsia="zh-CN"/>
        </w:rPr>
        <w:t>3</w:t>
      </w:r>
      <w:r>
        <w:rPr>
          <w:rFonts w:hint="eastAsia" w:ascii="宋体" w:hAnsi="宋体" w:eastAsia="宋体" w:cs="宋体"/>
          <w:sz w:val="32"/>
          <w:szCs w:val="32"/>
        </w:rPr>
        <w:t>个项目开展了绩效目标完成情况梳理填报。</w:t>
      </w:r>
    </w:p>
    <w:p w14:paraId="4B5EC9D5">
      <w:pPr>
        <w:spacing w:line="580" w:lineRule="exact"/>
        <w:ind w:firstLine="640"/>
        <w:rPr>
          <w:rFonts w:hint="eastAsia" w:ascii="宋体" w:hAnsi="宋体" w:eastAsia="宋体" w:cs="宋体"/>
          <w:sz w:val="32"/>
          <w:szCs w:val="32"/>
        </w:rPr>
      </w:pPr>
      <w:r>
        <w:rPr>
          <w:rFonts w:hint="eastAsia" w:ascii="宋体" w:hAnsi="宋体" w:eastAsia="宋体" w:cs="宋体"/>
          <w:sz w:val="32"/>
          <w:szCs w:val="32"/>
        </w:rPr>
        <w:t>本部门按要求对20</w:t>
      </w:r>
      <w:r>
        <w:rPr>
          <w:rFonts w:hint="eastAsia" w:ascii="宋体" w:hAnsi="宋体" w:eastAsia="宋体" w:cs="宋体"/>
          <w:sz w:val="32"/>
          <w:szCs w:val="32"/>
          <w:lang w:val="en-US" w:eastAsia="zh-CN"/>
        </w:rPr>
        <w:t>22</w:t>
      </w:r>
      <w:r>
        <w:rPr>
          <w:rFonts w:hint="eastAsia" w:ascii="宋体" w:hAnsi="宋体" w:eastAsia="宋体" w:cs="宋体"/>
          <w:sz w:val="32"/>
          <w:szCs w:val="32"/>
        </w:rPr>
        <w:t>年部门整体支出开展绩效自评，从评价情况来看整体支出达到预算比例支出完成情况较好。本部门还自行组织了</w:t>
      </w:r>
      <w:r>
        <w:rPr>
          <w:rFonts w:hint="eastAsia" w:ascii="宋体" w:hAnsi="宋体" w:eastAsia="宋体" w:cs="宋体"/>
          <w:sz w:val="32"/>
          <w:szCs w:val="32"/>
          <w:lang w:val="en-US" w:eastAsia="zh-CN"/>
        </w:rPr>
        <w:t>3</w:t>
      </w:r>
      <w:r>
        <w:rPr>
          <w:rFonts w:hint="eastAsia" w:ascii="宋体" w:hAnsi="宋体" w:eastAsia="宋体" w:cs="宋体"/>
          <w:sz w:val="32"/>
          <w:szCs w:val="32"/>
        </w:rPr>
        <w:t>个项目绩效评价，从评价情况来看项目整体绩效目标达到预定目标完成时效达成预期目标。</w:t>
      </w:r>
    </w:p>
    <w:p w14:paraId="75670391">
      <w:pPr>
        <w:numPr>
          <w:ilvl w:val="0"/>
          <w:numId w:val="0"/>
        </w:numPr>
        <w:spacing w:line="580" w:lineRule="exact"/>
        <w:ind w:firstLine="640"/>
        <w:rPr>
          <w:rFonts w:hint="eastAsia" w:ascii="宋体" w:hAnsi="宋体" w:eastAsia="宋体" w:cs="宋体"/>
          <w:sz w:val="32"/>
          <w:szCs w:val="32"/>
        </w:rPr>
      </w:pPr>
      <w:r>
        <w:rPr>
          <w:rFonts w:hint="eastAsia" w:ascii="宋体" w:hAnsi="宋体" w:eastAsia="宋体" w:cs="宋体"/>
          <w:sz w:val="32"/>
          <w:szCs w:val="32"/>
        </w:rPr>
        <w:t>1.项目绩效目标完成情况。</w:t>
      </w:r>
    </w:p>
    <w:p w14:paraId="22500225">
      <w:pPr>
        <w:keepNext w:val="0"/>
        <w:keepLines w:val="0"/>
        <w:pageBreakBefore w:val="0"/>
        <w:widowControl w:val="0"/>
        <w:spacing w:line="560" w:lineRule="exact"/>
        <w:ind w:firstLine="640"/>
        <w:rPr>
          <w:rFonts w:hint="eastAsia" w:ascii="宋体" w:hAnsi="宋体" w:eastAsia="宋体" w:cs="宋体"/>
          <w:color w:val="000000"/>
          <w:sz w:val="32"/>
          <w:szCs w:val="32"/>
        </w:rPr>
      </w:pPr>
      <w:r>
        <w:rPr>
          <w:rFonts w:hint="eastAsia" w:ascii="宋体" w:hAnsi="宋体" w:eastAsia="宋体" w:cs="宋体"/>
          <w:b w:val="0"/>
          <w:bCs w:val="0"/>
          <w:sz w:val="32"/>
          <w:szCs w:val="32"/>
          <w:lang w:val="en-US" w:eastAsia="zh-CN"/>
        </w:rPr>
        <w:t>截至目前，全县医疗机构共完成艾滋病检测10428人次，完成全年检测任务数的18.41%；目前存活艾滋病感染者及病</w:t>
      </w:r>
      <w:r>
        <w:rPr>
          <w:rFonts w:hint="eastAsia" w:ascii="宋体" w:hAnsi="宋体" w:eastAsia="宋体" w:cs="宋体"/>
          <w:color w:val="000000"/>
          <w:sz w:val="32"/>
          <w:szCs w:val="32"/>
        </w:rPr>
        <w:t>人</w:t>
      </w:r>
      <w:r>
        <w:rPr>
          <w:rFonts w:hint="eastAsia" w:ascii="宋体" w:hAnsi="宋体" w:eastAsia="宋体" w:cs="宋体"/>
          <w:color w:val="000000"/>
          <w:sz w:val="32"/>
          <w:szCs w:val="32"/>
          <w:lang w:val="en-US" w:eastAsia="zh-CN"/>
        </w:rPr>
        <w:t>40</w:t>
      </w:r>
      <w:r>
        <w:rPr>
          <w:rFonts w:hint="eastAsia" w:ascii="宋体" w:hAnsi="宋体" w:eastAsia="宋体" w:cs="宋体"/>
          <w:color w:val="000000"/>
          <w:sz w:val="32"/>
          <w:szCs w:val="32"/>
        </w:rPr>
        <w:t>人，完成CD4检测</w:t>
      </w:r>
      <w:r>
        <w:rPr>
          <w:rFonts w:hint="eastAsia" w:ascii="宋体" w:hAnsi="宋体" w:eastAsia="宋体" w:cs="宋体"/>
          <w:color w:val="000000"/>
          <w:sz w:val="32"/>
          <w:szCs w:val="32"/>
          <w:lang w:val="en-US" w:eastAsia="zh-CN"/>
        </w:rPr>
        <w:t>19</w:t>
      </w:r>
      <w:r>
        <w:rPr>
          <w:rFonts w:hint="eastAsia" w:ascii="宋体" w:hAnsi="宋体" w:eastAsia="宋体" w:cs="宋体"/>
          <w:color w:val="000000"/>
          <w:sz w:val="32"/>
          <w:szCs w:val="32"/>
        </w:rPr>
        <w:t>人，完成率为</w:t>
      </w:r>
      <w:r>
        <w:rPr>
          <w:rFonts w:hint="eastAsia" w:ascii="宋体" w:hAnsi="宋体" w:eastAsia="宋体" w:cs="宋体"/>
          <w:color w:val="000000"/>
          <w:sz w:val="32"/>
          <w:szCs w:val="32"/>
          <w:lang w:val="en-US" w:eastAsia="zh-CN"/>
        </w:rPr>
        <w:t>47.5</w:t>
      </w:r>
      <w:r>
        <w:rPr>
          <w:rFonts w:hint="eastAsia" w:ascii="宋体" w:hAnsi="宋体" w:eastAsia="宋体" w:cs="宋体"/>
          <w:color w:val="000000"/>
          <w:sz w:val="32"/>
          <w:szCs w:val="32"/>
        </w:rPr>
        <w:t>%</w:t>
      </w:r>
      <w:r>
        <w:rPr>
          <w:rFonts w:hint="eastAsia" w:ascii="宋体" w:hAnsi="宋体" w:eastAsia="宋体" w:cs="宋体"/>
          <w:color w:val="000000"/>
          <w:sz w:val="32"/>
          <w:szCs w:val="32"/>
          <w:lang w:eastAsia="zh-CN"/>
        </w:rPr>
        <w:t>；</w:t>
      </w:r>
      <w:r>
        <w:rPr>
          <w:rFonts w:hint="eastAsia" w:ascii="宋体" w:hAnsi="宋体" w:eastAsia="宋体" w:cs="宋体"/>
          <w:color w:val="000000"/>
          <w:sz w:val="32"/>
          <w:szCs w:val="32"/>
        </w:rPr>
        <w:t>完成配偶检测</w:t>
      </w:r>
      <w:r>
        <w:rPr>
          <w:rFonts w:hint="eastAsia" w:ascii="宋体" w:hAnsi="宋体" w:eastAsia="宋体" w:cs="宋体"/>
          <w:color w:val="000000"/>
          <w:sz w:val="32"/>
          <w:szCs w:val="32"/>
          <w:lang w:val="en-US" w:eastAsia="zh-CN"/>
        </w:rPr>
        <w:t>9</w:t>
      </w:r>
      <w:r>
        <w:rPr>
          <w:rFonts w:hint="eastAsia" w:ascii="宋体" w:hAnsi="宋体" w:eastAsia="宋体" w:cs="宋体"/>
          <w:color w:val="000000"/>
          <w:sz w:val="32"/>
          <w:szCs w:val="32"/>
        </w:rPr>
        <w:t>人，完成率为</w:t>
      </w:r>
      <w:r>
        <w:rPr>
          <w:rFonts w:hint="eastAsia" w:ascii="宋体" w:hAnsi="宋体" w:eastAsia="宋体" w:cs="宋体"/>
          <w:color w:val="000000"/>
          <w:sz w:val="32"/>
          <w:szCs w:val="32"/>
          <w:lang w:val="en-US" w:eastAsia="zh-CN"/>
        </w:rPr>
        <w:t>100</w:t>
      </w:r>
      <w:r>
        <w:rPr>
          <w:rFonts w:hint="eastAsia" w:ascii="宋体" w:hAnsi="宋体" w:eastAsia="宋体" w:cs="宋体"/>
          <w:color w:val="000000"/>
          <w:sz w:val="32"/>
          <w:szCs w:val="32"/>
        </w:rPr>
        <w:t>%</w:t>
      </w:r>
      <w:r>
        <w:rPr>
          <w:rFonts w:hint="eastAsia" w:ascii="宋体" w:hAnsi="宋体" w:eastAsia="宋体" w:cs="宋体"/>
          <w:color w:val="000000"/>
          <w:sz w:val="32"/>
          <w:szCs w:val="32"/>
          <w:lang w:eastAsia="zh-CN"/>
        </w:rPr>
        <w:t>；</w:t>
      </w:r>
      <w:r>
        <w:rPr>
          <w:rFonts w:hint="eastAsia" w:ascii="宋体" w:hAnsi="宋体" w:eastAsia="宋体" w:cs="宋体"/>
          <w:color w:val="000000"/>
          <w:sz w:val="32"/>
          <w:szCs w:val="32"/>
        </w:rPr>
        <w:t>完成抗病毒治疗</w:t>
      </w:r>
      <w:r>
        <w:rPr>
          <w:rFonts w:hint="eastAsia" w:ascii="宋体" w:hAnsi="宋体" w:eastAsia="宋体" w:cs="宋体"/>
          <w:color w:val="000000"/>
          <w:sz w:val="32"/>
          <w:szCs w:val="32"/>
          <w:lang w:val="en-US" w:eastAsia="zh-CN"/>
        </w:rPr>
        <w:t>40</w:t>
      </w:r>
      <w:r>
        <w:rPr>
          <w:rFonts w:hint="eastAsia" w:ascii="宋体" w:hAnsi="宋体" w:eastAsia="宋体" w:cs="宋体"/>
          <w:color w:val="000000"/>
          <w:sz w:val="32"/>
          <w:szCs w:val="32"/>
        </w:rPr>
        <w:t>人，完成率为</w:t>
      </w:r>
      <w:r>
        <w:rPr>
          <w:rFonts w:hint="eastAsia" w:ascii="宋体" w:hAnsi="宋体" w:eastAsia="宋体" w:cs="宋体"/>
          <w:color w:val="000000"/>
          <w:sz w:val="32"/>
          <w:szCs w:val="32"/>
          <w:lang w:val="en-US" w:eastAsia="zh-CN"/>
        </w:rPr>
        <w:t>100</w:t>
      </w:r>
      <w:r>
        <w:rPr>
          <w:rFonts w:hint="eastAsia" w:ascii="宋体" w:hAnsi="宋体" w:eastAsia="宋体" w:cs="宋体"/>
          <w:color w:val="000000"/>
          <w:sz w:val="32"/>
          <w:szCs w:val="32"/>
        </w:rPr>
        <w:t>%</w:t>
      </w:r>
      <w:r>
        <w:rPr>
          <w:rFonts w:hint="eastAsia" w:ascii="宋体" w:hAnsi="宋体" w:eastAsia="宋体" w:cs="宋体"/>
          <w:color w:val="000000"/>
          <w:sz w:val="32"/>
          <w:szCs w:val="32"/>
          <w:lang w:eastAsia="zh-CN"/>
        </w:rPr>
        <w:t>，抗病毒治疗成功率达到</w:t>
      </w:r>
      <w:r>
        <w:rPr>
          <w:rFonts w:hint="eastAsia" w:ascii="宋体" w:hAnsi="宋体" w:eastAsia="宋体" w:cs="宋体"/>
          <w:color w:val="000000"/>
          <w:sz w:val="32"/>
          <w:szCs w:val="32"/>
          <w:lang w:val="en-US" w:eastAsia="zh-CN"/>
        </w:rPr>
        <w:t>93%；已完成在治感染者及病人病毒载量检测15人；全年完成</w:t>
      </w:r>
      <w:r>
        <w:rPr>
          <w:rFonts w:hint="eastAsia" w:ascii="宋体" w:hAnsi="宋体" w:eastAsia="宋体" w:cs="宋体"/>
          <w:color w:val="000000"/>
          <w:sz w:val="32"/>
          <w:szCs w:val="32"/>
        </w:rPr>
        <w:t>暗娼人群</w:t>
      </w:r>
      <w:r>
        <w:rPr>
          <w:rFonts w:hint="eastAsia" w:ascii="宋体" w:hAnsi="宋体" w:eastAsia="宋体" w:cs="宋体"/>
          <w:color w:val="000000"/>
          <w:sz w:val="32"/>
          <w:szCs w:val="32"/>
          <w:lang w:eastAsia="zh-CN"/>
        </w:rPr>
        <w:t>干预</w:t>
      </w:r>
      <w:r>
        <w:rPr>
          <w:rFonts w:hint="eastAsia" w:ascii="宋体" w:hAnsi="宋体" w:eastAsia="宋体" w:cs="宋体"/>
          <w:color w:val="000000"/>
          <w:sz w:val="32"/>
          <w:szCs w:val="32"/>
          <w:lang w:val="en-US" w:eastAsia="zh-CN"/>
        </w:rPr>
        <w:t>10人次，完成检测10人，发放安全套共计2000余只；</w:t>
      </w:r>
      <w:r>
        <w:rPr>
          <w:rFonts w:hint="eastAsia" w:ascii="宋体" w:hAnsi="宋体" w:eastAsia="宋体" w:cs="宋体"/>
          <w:color w:val="000000"/>
          <w:sz w:val="32"/>
          <w:szCs w:val="32"/>
        </w:rPr>
        <w:t>公共场所安全套推广使用检查覆盖率100%，</w:t>
      </w:r>
      <w:r>
        <w:rPr>
          <w:rFonts w:hint="eastAsia" w:ascii="宋体" w:hAnsi="宋体" w:eastAsia="宋体" w:cs="宋体"/>
          <w:color w:val="000000"/>
          <w:sz w:val="32"/>
          <w:szCs w:val="32"/>
          <w:lang w:eastAsia="zh-CN"/>
        </w:rPr>
        <w:t>县城各大</w:t>
      </w:r>
      <w:r>
        <w:rPr>
          <w:rFonts w:hint="eastAsia" w:ascii="宋体" w:hAnsi="宋体" w:eastAsia="宋体" w:cs="宋体"/>
          <w:color w:val="000000"/>
          <w:sz w:val="32"/>
          <w:szCs w:val="32"/>
        </w:rPr>
        <w:t>宾馆安全套摆放率达100%、其他公共场所达95%，公共场所安全套无偿提供率达95%。</w:t>
      </w:r>
    </w:p>
    <w:p w14:paraId="495E9A6D">
      <w:pPr>
        <w:keepNext w:val="0"/>
        <w:keepLines w:val="0"/>
        <w:pageBreakBefore w:val="0"/>
        <w:widowControl w:val="0"/>
        <w:spacing w:line="560" w:lineRule="exact"/>
        <w:ind w:firstLine="643"/>
        <w:jc w:val="both"/>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2.结核病防治</w:t>
      </w:r>
    </w:p>
    <w:p w14:paraId="0F0062E5">
      <w:pPr>
        <w:spacing w:line="560" w:lineRule="exact"/>
        <w:ind w:firstLine="64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截至目前，全县</w:t>
      </w:r>
      <w:r>
        <w:rPr>
          <w:rFonts w:hint="eastAsia" w:ascii="宋体" w:hAnsi="宋体" w:eastAsia="宋体" w:cs="宋体"/>
          <w:sz w:val="32"/>
          <w:szCs w:val="32"/>
        </w:rPr>
        <w:t>初诊结核病人</w:t>
      </w:r>
      <w:r>
        <w:rPr>
          <w:rFonts w:hint="eastAsia" w:ascii="宋体" w:hAnsi="宋体" w:eastAsia="宋体" w:cs="宋体"/>
          <w:color w:val="000000"/>
          <w:sz w:val="32"/>
          <w:szCs w:val="32"/>
          <w:lang w:val="en-US" w:eastAsia="zh-CN"/>
        </w:rPr>
        <w:t>157</w:t>
      </w:r>
      <w:r>
        <w:rPr>
          <w:rFonts w:hint="eastAsia" w:ascii="宋体" w:hAnsi="宋体" w:eastAsia="宋体" w:cs="宋体"/>
          <w:color w:val="000000"/>
          <w:sz w:val="32"/>
          <w:szCs w:val="32"/>
        </w:rPr>
        <w:t>例，删除重卡</w:t>
      </w:r>
      <w:r>
        <w:rPr>
          <w:rFonts w:hint="eastAsia" w:ascii="宋体" w:hAnsi="宋体" w:eastAsia="宋体" w:cs="宋体"/>
          <w:color w:val="000000"/>
          <w:sz w:val="32"/>
          <w:szCs w:val="32"/>
          <w:lang w:val="en-US" w:eastAsia="zh-CN"/>
        </w:rPr>
        <w:t>31</w:t>
      </w:r>
      <w:r>
        <w:rPr>
          <w:rFonts w:hint="eastAsia" w:ascii="宋体" w:hAnsi="宋体" w:eastAsia="宋体" w:cs="宋体"/>
          <w:color w:val="000000"/>
          <w:sz w:val="32"/>
          <w:szCs w:val="32"/>
        </w:rPr>
        <w:t>例，</w:t>
      </w:r>
      <w:r>
        <w:rPr>
          <w:rFonts w:hint="eastAsia" w:ascii="宋体" w:hAnsi="宋体" w:eastAsia="宋体" w:cs="宋体"/>
          <w:color w:val="000000"/>
          <w:sz w:val="32"/>
          <w:szCs w:val="32"/>
          <w:lang w:val="en-US" w:eastAsia="zh-CN"/>
        </w:rPr>
        <w:t>排查诊断为</w:t>
      </w:r>
      <w:r>
        <w:rPr>
          <w:rFonts w:hint="eastAsia" w:ascii="宋体" w:hAnsi="宋体" w:eastAsia="宋体" w:cs="宋体"/>
          <w:color w:val="000000"/>
          <w:sz w:val="32"/>
          <w:szCs w:val="32"/>
        </w:rPr>
        <w:t>其他疾病</w:t>
      </w:r>
      <w:r>
        <w:rPr>
          <w:rFonts w:hint="eastAsia" w:ascii="宋体" w:hAnsi="宋体" w:eastAsia="宋体" w:cs="宋体"/>
          <w:color w:val="000000"/>
          <w:sz w:val="32"/>
          <w:szCs w:val="32"/>
          <w:lang w:val="en-US" w:eastAsia="zh-CN"/>
        </w:rPr>
        <w:t>34</w:t>
      </w:r>
      <w:r>
        <w:rPr>
          <w:rFonts w:hint="eastAsia" w:ascii="宋体" w:hAnsi="宋体" w:eastAsia="宋体" w:cs="宋体"/>
          <w:color w:val="000000"/>
          <w:sz w:val="32"/>
          <w:szCs w:val="32"/>
        </w:rPr>
        <w:t>例</w:t>
      </w:r>
      <w:r>
        <w:rPr>
          <w:rFonts w:hint="eastAsia" w:ascii="宋体" w:hAnsi="宋体" w:eastAsia="宋体" w:cs="宋体"/>
          <w:color w:val="000000"/>
          <w:sz w:val="32"/>
          <w:szCs w:val="32"/>
          <w:lang w:eastAsia="zh-CN"/>
        </w:rPr>
        <w:t>，</w:t>
      </w:r>
      <w:r>
        <w:rPr>
          <w:rFonts w:hint="eastAsia" w:ascii="宋体" w:hAnsi="宋体" w:eastAsia="宋体" w:cs="宋体"/>
          <w:color w:val="000000"/>
          <w:sz w:val="32"/>
          <w:szCs w:val="32"/>
          <w:lang w:val="en-US" w:eastAsia="zh-CN"/>
        </w:rPr>
        <w:t>临床诊断结核病例92例，已纳入规范管理86例，另6例正在接受住院治疗</w:t>
      </w:r>
      <w:r>
        <w:rPr>
          <w:rFonts w:hint="eastAsia" w:ascii="宋体" w:hAnsi="宋体" w:eastAsia="宋体" w:cs="宋体"/>
          <w:color w:val="000000"/>
          <w:sz w:val="32"/>
          <w:szCs w:val="32"/>
          <w:lang w:eastAsia="zh-CN"/>
        </w:rPr>
        <w:t>；</w:t>
      </w:r>
      <w:r>
        <w:rPr>
          <w:rFonts w:hint="eastAsia" w:ascii="宋体" w:hAnsi="宋体" w:eastAsia="宋体" w:cs="宋体"/>
          <w:color w:val="000000"/>
          <w:sz w:val="32"/>
          <w:szCs w:val="32"/>
          <w:lang w:val="en-US" w:eastAsia="zh-CN"/>
        </w:rPr>
        <w:t>2021年接受规范管理的158例病例中，146例已</w:t>
      </w:r>
      <w:r>
        <w:rPr>
          <w:rFonts w:hint="eastAsia" w:ascii="宋体" w:hAnsi="宋体" w:eastAsia="宋体" w:cs="宋体"/>
          <w:sz w:val="32"/>
          <w:szCs w:val="32"/>
          <w:lang w:val="en-US" w:eastAsia="zh-CN"/>
        </w:rPr>
        <w:t>完成疗程</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另</w:t>
      </w:r>
      <w:r>
        <w:rPr>
          <w:rFonts w:hint="eastAsia" w:ascii="宋体" w:hAnsi="宋体" w:eastAsia="宋体" w:cs="宋体"/>
          <w:color w:val="000000"/>
          <w:sz w:val="32"/>
          <w:szCs w:val="32"/>
          <w:lang w:val="en-US" w:eastAsia="zh-CN"/>
        </w:rPr>
        <w:t>12</w:t>
      </w:r>
      <w:r>
        <w:rPr>
          <w:rFonts w:hint="eastAsia" w:ascii="宋体" w:hAnsi="宋体" w:eastAsia="宋体" w:cs="宋体"/>
          <w:sz w:val="32"/>
          <w:szCs w:val="32"/>
          <w:lang w:val="en-US" w:eastAsia="zh-CN"/>
        </w:rPr>
        <w:t>例病例正在接受规范治疗。</w:t>
      </w:r>
    </w:p>
    <w:p w14:paraId="3FF7A5B4">
      <w:pPr>
        <w:numPr>
          <w:ilvl w:val="0"/>
          <w:numId w:val="0"/>
        </w:numPr>
        <w:ind w:firstLine="640"/>
        <w:rPr>
          <w:rFonts w:hint="eastAsia" w:ascii="宋体" w:hAnsi="宋体" w:eastAsia="宋体" w:cs="宋体"/>
          <w:sz w:val="32"/>
          <w:szCs w:val="32"/>
          <w:lang w:eastAsia="zh-CN"/>
        </w:rPr>
      </w:pPr>
      <w:r>
        <w:rPr>
          <w:rFonts w:hint="eastAsia" w:ascii="宋体" w:hAnsi="宋体" w:eastAsia="宋体" w:cs="宋体"/>
          <w:color w:val="000000"/>
          <w:sz w:val="32"/>
          <w:szCs w:val="32"/>
          <w:lang w:val="en-US" w:eastAsia="zh-CN"/>
        </w:rPr>
        <w:t>2022年累计筛查学校师生</w:t>
      </w:r>
      <w:r>
        <w:rPr>
          <w:rFonts w:hint="eastAsia" w:ascii="宋体" w:hAnsi="宋体" w:eastAsia="宋体" w:cs="宋体"/>
          <w:sz w:val="32"/>
          <w:szCs w:val="32"/>
          <w:lang w:val="en-US" w:eastAsia="zh-CN"/>
        </w:rPr>
        <w:t>5506</w:t>
      </w:r>
      <w:r>
        <w:rPr>
          <w:rFonts w:hint="eastAsia" w:ascii="宋体" w:hAnsi="宋体" w:eastAsia="宋体" w:cs="宋体"/>
          <w:sz w:val="32"/>
          <w:szCs w:val="32"/>
          <w:lang w:eastAsia="zh-CN"/>
        </w:rPr>
        <w:t>人，</w:t>
      </w:r>
      <w:r>
        <w:rPr>
          <w:rFonts w:hint="eastAsia" w:ascii="宋体" w:hAnsi="宋体" w:eastAsia="宋体" w:cs="宋体"/>
          <w:sz w:val="32"/>
          <w:szCs w:val="32"/>
        </w:rPr>
        <w:t>发现结核病疑似患者</w:t>
      </w:r>
      <w:r>
        <w:rPr>
          <w:rFonts w:hint="eastAsia" w:ascii="宋体" w:hAnsi="宋体" w:eastAsia="宋体" w:cs="宋体"/>
          <w:color w:val="000000"/>
          <w:sz w:val="32"/>
          <w:szCs w:val="32"/>
          <w:lang w:val="en-US" w:eastAsia="zh-CN"/>
        </w:rPr>
        <w:t>146</w:t>
      </w:r>
      <w:r>
        <w:rPr>
          <w:rFonts w:hint="eastAsia" w:ascii="宋体" w:hAnsi="宋体" w:eastAsia="宋体" w:cs="宋体"/>
          <w:sz w:val="32"/>
          <w:szCs w:val="32"/>
        </w:rPr>
        <w:t>例</w:t>
      </w:r>
      <w:r>
        <w:rPr>
          <w:rFonts w:hint="eastAsia" w:ascii="宋体" w:hAnsi="宋体" w:eastAsia="宋体" w:cs="宋体"/>
          <w:sz w:val="32"/>
          <w:szCs w:val="32"/>
          <w:lang w:val="en-US" w:eastAsia="zh-CN"/>
        </w:rPr>
        <w:t>。</w:t>
      </w:r>
    </w:p>
    <w:p w14:paraId="7B8EE56E">
      <w:pPr>
        <w:keepNext w:val="0"/>
        <w:keepLines w:val="0"/>
        <w:pageBreakBefore w:val="0"/>
        <w:widowControl w:val="0"/>
        <w:spacing w:line="560" w:lineRule="exact"/>
        <w:ind w:firstLine="643"/>
        <w:jc w:val="both"/>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3.包虫病防治</w:t>
      </w:r>
    </w:p>
    <w:p w14:paraId="6C3591EB">
      <w:pPr>
        <w:keepNext w:val="0"/>
        <w:keepLines w:val="0"/>
        <w:pageBreakBefore w:val="0"/>
        <w:widowControl w:val="0"/>
        <w:spacing w:line="560" w:lineRule="exact"/>
        <w:ind w:firstLine="640"/>
        <w:rPr>
          <w:rFonts w:hint="eastAsia" w:ascii="宋体" w:hAnsi="宋体" w:eastAsia="宋体" w:cs="宋体"/>
          <w:color w:val="000000"/>
          <w:sz w:val="32"/>
          <w:szCs w:val="32"/>
          <w:lang w:eastAsia="zh-CN"/>
        </w:rPr>
      </w:pPr>
      <w:r>
        <w:rPr>
          <w:rFonts w:hint="eastAsia" w:ascii="宋体" w:hAnsi="宋体" w:eastAsia="宋体" w:cs="宋体"/>
          <w:color w:val="000000"/>
          <w:sz w:val="32"/>
          <w:szCs w:val="32"/>
        </w:rPr>
        <w:t>2008年至今</w:t>
      </w:r>
      <w:r>
        <w:rPr>
          <w:rFonts w:hint="eastAsia" w:ascii="宋体" w:hAnsi="宋体" w:eastAsia="宋体" w:cs="宋体"/>
          <w:color w:val="000000"/>
          <w:sz w:val="32"/>
          <w:szCs w:val="32"/>
          <w:lang w:eastAsia="zh-CN"/>
        </w:rPr>
        <w:t>，</w:t>
      </w:r>
      <w:r>
        <w:rPr>
          <w:rFonts w:hint="eastAsia" w:ascii="宋体" w:hAnsi="宋体" w:eastAsia="宋体" w:cs="宋体"/>
          <w:color w:val="000000"/>
          <w:sz w:val="32"/>
          <w:szCs w:val="32"/>
          <w:lang w:val="en-US" w:eastAsia="zh-CN"/>
        </w:rPr>
        <w:t>全县共计</w:t>
      </w:r>
      <w:r>
        <w:rPr>
          <w:rFonts w:hint="eastAsia" w:ascii="宋体" w:hAnsi="宋体" w:eastAsia="宋体" w:cs="宋体"/>
          <w:color w:val="000000"/>
          <w:sz w:val="32"/>
          <w:szCs w:val="32"/>
        </w:rPr>
        <w:t>治愈</w:t>
      </w:r>
      <w:r>
        <w:rPr>
          <w:rFonts w:hint="eastAsia" w:ascii="宋体" w:hAnsi="宋体" w:eastAsia="宋体" w:cs="宋体"/>
          <w:color w:val="000000"/>
          <w:sz w:val="32"/>
          <w:szCs w:val="32"/>
          <w:lang w:val="en-US" w:eastAsia="zh-CN"/>
        </w:rPr>
        <w:t>包虫病病人</w:t>
      </w:r>
      <w:r>
        <w:rPr>
          <w:rFonts w:hint="eastAsia" w:ascii="宋体" w:hAnsi="宋体" w:eastAsia="宋体" w:cs="宋体"/>
          <w:color w:val="000000"/>
          <w:sz w:val="32"/>
          <w:szCs w:val="32"/>
        </w:rPr>
        <w:t>2</w:t>
      </w:r>
      <w:r>
        <w:rPr>
          <w:rFonts w:hint="eastAsia" w:ascii="宋体" w:hAnsi="宋体" w:eastAsia="宋体" w:cs="宋体"/>
          <w:color w:val="000000"/>
          <w:sz w:val="32"/>
          <w:szCs w:val="32"/>
          <w:lang w:val="en-US" w:eastAsia="zh-CN"/>
        </w:rPr>
        <w:t>7</w:t>
      </w:r>
      <w:r>
        <w:rPr>
          <w:rFonts w:hint="eastAsia" w:ascii="宋体" w:hAnsi="宋体" w:eastAsia="宋体" w:cs="宋体"/>
          <w:color w:val="000000"/>
          <w:sz w:val="32"/>
          <w:szCs w:val="32"/>
        </w:rPr>
        <w:t>例、有效</w:t>
      </w:r>
      <w:r>
        <w:rPr>
          <w:rFonts w:hint="eastAsia" w:ascii="宋体" w:hAnsi="宋体" w:eastAsia="宋体" w:cs="宋体"/>
          <w:color w:val="000000"/>
          <w:sz w:val="32"/>
          <w:szCs w:val="32"/>
          <w:lang w:val="en-US" w:eastAsia="zh-CN"/>
        </w:rPr>
        <w:t>72</w:t>
      </w:r>
      <w:r>
        <w:rPr>
          <w:rFonts w:hint="eastAsia" w:ascii="宋体" w:hAnsi="宋体" w:eastAsia="宋体" w:cs="宋体"/>
          <w:color w:val="000000"/>
          <w:sz w:val="32"/>
          <w:szCs w:val="32"/>
        </w:rPr>
        <w:t>例、中断治疗</w:t>
      </w:r>
      <w:r>
        <w:rPr>
          <w:rFonts w:hint="eastAsia" w:ascii="宋体" w:hAnsi="宋体" w:eastAsia="宋体" w:cs="宋体"/>
          <w:color w:val="000000"/>
          <w:sz w:val="32"/>
          <w:szCs w:val="32"/>
          <w:lang w:val="en-US" w:eastAsia="zh-CN"/>
        </w:rPr>
        <w:t>30</w:t>
      </w:r>
      <w:r>
        <w:rPr>
          <w:rFonts w:hint="eastAsia" w:ascii="宋体" w:hAnsi="宋体" w:eastAsia="宋体" w:cs="宋体"/>
          <w:color w:val="000000"/>
          <w:sz w:val="32"/>
          <w:szCs w:val="32"/>
        </w:rPr>
        <w:t>例、失访</w:t>
      </w:r>
      <w:r>
        <w:rPr>
          <w:rFonts w:hint="eastAsia" w:ascii="宋体" w:hAnsi="宋体" w:eastAsia="宋体" w:cs="宋体"/>
          <w:color w:val="000000"/>
          <w:sz w:val="32"/>
          <w:szCs w:val="32"/>
          <w:lang w:val="en-US" w:eastAsia="zh-CN"/>
        </w:rPr>
        <w:t>39</w:t>
      </w:r>
      <w:r>
        <w:rPr>
          <w:rFonts w:hint="eastAsia" w:ascii="宋体" w:hAnsi="宋体" w:eastAsia="宋体" w:cs="宋体"/>
          <w:color w:val="000000"/>
          <w:sz w:val="32"/>
          <w:szCs w:val="32"/>
        </w:rPr>
        <w:t>例、因其它疾病死亡1</w:t>
      </w:r>
      <w:r>
        <w:rPr>
          <w:rFonts w:hint="eastAsia" w:ascii="宋体" w:hAnsi="宋体" w:eastAsia="宋体" w:cs="宋体"/>
          <w:color w:val="000000"/>
          <w:sz w:val="32"/>
          <w:szCs w:val="32"/>
          <w:lang w:val="en-US" w:eastAsia="zh-CN"/>
        </w:rPr>
        <w:t>5</w:t>
      </w:r>
      <w:r>
        <w:rPr>
          <w:rFonts w:hint="eastAsia" w:ascii="宋体" w:hAnsi="宋体" w:eastAsia="宋体" w:cs="宋体"/>
          <w:color w:val="000000"/>
          <w:sz w:val="32"/>
          <w:szCs w:val="32"/>
        </w:rPr>
        <w:t>例</w:t>
      </w:r>
      <w:r>
        <w:rPr>
          <w:rFonts w:hint="eastAsia" w:ascii="宋体" w:hAnsi="宋体" w:eastAsia="宋体" w:cs="宋体"/>
          <w:color w:val="000000"/>
          <w:sz w:val="32"/>
          <w:szCs w:val="32"/>
          <w:lang w:eastAsia="zh-CN"/>
        </w:rPr>
        <w:t>；</w:t>
      </w:r>
      <w:r>
        <w:rPr>
          <w:rFonts w:hint="eastAsia" w:ascii="宋体" w:hAnsi="宋体" w:eastAsia="宋体" w:cs="宋体"/>
          <w:color w:val="000000"/>
          <w:sz w:val="32"/>
          <w:szCs w:val="32"/>
          <w:lang w:val="en-US" w:eastAsia="zh-CN"/>
        </w:rPr>
        <w:t>2022年，开展</w:t>
      </w:r>
      <w:r>
        <w:rPr>
          <w:rFonts w:hint="eastAsia" w:ascii="宋体" w:hAnsi="宋体" w:eastAsia="宋体" w:cs="宋体"/>
          <w:color w:val="000000"/>
          <w:sz w:val="32"/>
          <w:szCs w:val="32"/>
        </w:rPr>
        <w:t>药物治疗</w:t>
      </w:r>
      <w:r>
        <w:rPr>
          <w:rFonts w:hint="eastAsia" w:ascii="宋体" w:hAnsi="宋体" w:eastAsia="宋体" w:cs="宋体"/>
          <w:color w:val="000000"/>
          <w:sz w:val="32"/>
          <w:szCs w:val="32"/>
          <w:lang w:val="en-US" w:eastAsia="zh-CN"/>
        </w:rPr>
        <w:t>72</w:t>
      </w:r>
      <w:r>
        <w:rPr>
          <w:rFonts w:hint="eastAsia" w:ascii="宋体" w:hAnsi="宋体" w:eastAsia="宋体" w:cs="宋体"/>
          <w:color w:val="000000"/>
          <w:sz w:val="32"/>
          <w:szCs w:val="32"/>
        </w:rPr>
        <w:t>人次</w:t>
      </w:r>
      <w:r>
        <w:rPr>
          <w:rFonts w:hint="eastAsia" w:ascii="宋体" w:hAnsi="宋体" w:eastAsia="宋体" w:cs="宋体"/>
          <w:color w:val="000000"/>
          <w:sz w:val="32"/>
          <w:szCs w:val="32"/>
          <w:lang w:eastAsia="zh-CN"/>
        </w:rPr>
        <w:t>。</w:t>
      </w:r>
    </w:p>
    <w:p w14:paraId="5ECBEE45">
      <w:pPr>
        <w:keepNext w:val="0"/>
        <w:keepLines w:val="0"/>
        <w:pageBreakBefore w:val="0"/>
        <w:spacing w:line="560" w:lineRule="exact"/>
        <w:ind w:firstLine="640"/>
        <w:rPr>
          <w:rFonts w:hint="eastAsia" w:ascii="宋体" w:hAnsi="宋体" w:eastAsia="宋体" w:cs="宋体"/>
          <w:sz w:val="32"/>
          <w:szCs w:val="32"/>
          <w:lang w:val="en-US" w:eastAsia="zh-CN"/>
        </w:rPr>
      </w:pPr>
      <w:r>
        <w:rPr>
          <w:rFonts w:hint="eastAsia" w:ascii="宋体" w:hAnsi="宋体" w:eastAsia="宋体" w:cs="宋体"/>
          <w:color w:val="000000"/>
          <w:sz w:val="32"/>
          <w:szCs w:val="32"/>
          <w:lang w:val="en-US" w:eastAsia="zh-CN"/>
        </w:rPr>
        <w:t>2022年，县疾控中心已筛查包虫病目标人群617</w:t>
      </w:r>
      <w:r>
        <w:rPr>
          <w:rFonts w:hint="eastAsia" w:ascii="宋体" w:hAnsi="宋体" w:eastAsia="宋体" w:cs="宋体"/>
          <w:color w:val="000000"/>
          <w:sz w:val="32"/>
          <w:szCs w:val="32"/>
        </w:rPr>
        <w:t>人，确诊</w:t>
      </w:r>
      <w:r>
        <w:rPr>
          <w:rFonts w:hint="eastAsia" w:ascii="宋体" w:hAnsi="宋体" w:eastAsia="宋体" w:cs="宋体"/>
          <w:color w:val="000000"/>
          <w:sz w:val="32"/>
          <w:szCs w:val="32"/>
          <w:lang w:val="en-US" w:eastAsia="zh-CN"/>
        </w:rPr>
        <w:t>3</w:t>
      </w:r>
      <w:r>
        <w:rPr>
          <w:rFonts w:hint="eastAsia" w:ascii="宋体" w:hAnsi="宋体" w:eastAsia="宋体" w:cs="宋体"/>
          <w:color w:val="000000"/>
          <w:sz w:val="32"/>
          <w:szCs w:val="32"/>
        </w:rPr>
        <w:t>人</w:t>
      </w:r>
      <w:r>
        <w:rPr>
          <w:rFonts w:hint="eastAsia" w:ascii="宋体" w:hAnsi="宋体" w:eastAsia="宋体" w:cs="宋体"/>
          <w:color w:val="000000"/>
          <w:sz w:val="32"/>
          <w:szCs w:val="32"/>
          <w:lang w:eastAsia="zh-CN"/>
        </w:rPr>
        <w:t>，</w:t>
      </w:r>
      <w:r>
        <w:rPr>
          <w:rFonts w:hint="eastAsia" w:ascii="宋体" w:hAnsi="宋体" w:eastAsia="宋体" w:cs="宋体"/>
          <w:color w:val="000000"/>
          <w:sz w:val="32"/>
          <w:szCs w:val="32"/>
          <w:lang w:val="en-US" w:eastAsia="zh-CN"/>
        </w:rPr>
        <w:t>剩余人群的</w:t>
      </w:r>
      <w:r>
        <w:rPr>
          <w:rFonts w:hint="eastAsia" w:ascii="宋体" w:hAnsi="宋体" w:eastAsia="宋体" w:cs="宋体"/>
          <w:sz w:val="32"/>
          <w:szCs w:val="32"/>
          <w:lang w:val="en-US" w:eastAsia="zh-CN"/>
        </w:rPr>
        <w:t>B超筛查工作正在推进中</w:t>
      </w:r>
      <w:r>
        <w:rPr>
          <w:rFonts w:hint="eastAsia" w:ascii="宋体" w:hAnsi="宋体" w:eastAsia="宋体" w:cs="宋体"/>
          <w:color w:val="000000"/>
          <w:sz w:val="32"/>
          <w:szCs w:val="32"/>
          <w:lang w:eastAsia="zh-CN"/>
        </w:rPr>
        <w:t>；</w:t>
      </w:r>
      <w:r>
        <w:rPr>
          <w:rFonts w:hint="eastAsia" w:ascii="宋体" w:hAnsi="宋体" w:eastAsia="宋体" w:cs="宋体"/>
          <w:color w:val="000000"/>
          <w:sz w:val="32"/>
          <w:szCs w:val="32"/>
          <w:lang w:val="en-US" w:eastAsia="zh-CN"/>
        </w:rPr>
        <w:t>共采集犬粪</w:t>
      </w:r>
      <w:r>
        <w:rPr>
          <w:rFonts w:hint="eastAsia" w:ascii="宋体" w:hAnsi="宋体" w:eastAsia="宋体" w:cs="宋体"/>
          <w:sz w:val="32"/>
          <w:szCs w:val="32"/>
          <w:lang w:val="en-US" w:eastAsia="zh-CN"/>
        </w:rPr>
        <w:t>800</w:t>
      </w:r>
      <w:r>
        <w:rPr>
          <w:rFonts w:hint="eastAsia" w:ascii="宋体" w:hAnsi="宋体" w:eastAsia="宋体" w:cs="宋体"/>
          <w:sz w:val="32"/>
          <w:szCs w:val="32"/>
        </w:rPr>
        <w:t>份</w:t>
      </w:r>
      <w:r>
        <w:rPr>
          <w:rFonts w:hint="eastAsia" w:ascii="宋体" w:hAnsi="宋体" w:eastAsia="宋体" w:cs="宋体"/>
          <w:sz w:val="32"/>
          <w:szCs w:val="32"/>
          <w:lang w:eastAsia="zh-CN"/>
        </w:rPr>
        <w:t>，</w:t>
      </w:r>
      <w:r>
        <w:rPr>
          <w:rFonts w:hint="eastAsia" w:ascii="宋体" w:hAnsi="宋体" w:eastAsia="宋体" w:cs="宋体"/>
          <w:sz w:val="32"/>
          <w:szCs w:val="32"/>
        </w:rPr>
        <w:t>捕捉鼠兔</w:t>
      </w:r>
      <w:r>
        <w:rPr>
          <w:rFonts w:hint="eastAsia" w:ascii="宋体" w:hAnsi="宋体" w:eastAsia="宋体" w:cs="宋体"/>
          <w:sz w:val="32"/>
          <w:szCs w:val="32"/>
          <w:lang w:val="en-US" w:eastAsia="zh-CN"/>
        </w:rPr>
        <w:t>509</w:t>
      </w:r>
      <w:r>
        <w:rPr>
          <w:rFonts w:hint="eastAsia" w:ascii="宋体" w:hAnsi="宋体" w:eastAsia="宋体" w:cs="宋体"/>
          <w:sz w:val="32"/>
          <w:szCs w:val="32"/>
        </w:rPr>
        <w:t>只，发现</w:t>
      </w:r>
      <w:r>
        <w:rPr>
          <w:rFonts w:hint="eastAsia" w:ascii="宋体" w:hAnsi="宋体" w:eastAsia="宋体" w:cs="宋体"/>
          <w:sz w:val="32"/>
          <w:szCs w:val="32"/>
          <w:lang w:val="en-US" w:eastAsia="zh-CN"/>
        </w:rPr>
        <w:t>鼠兔</w:t>
      </w:r>
      <w:r>
        <w:rPr>
          <w:rFonts w:hint="eastAsia" w:ascii="宋体" w:hAnsi="宋体" w:eastAsia="宋体" w:cs="宋体"/>
          <w:sz w:val="32"/>
          <w:szCs w:val="32"/>
        </w:rPr>
        <w:t>疑似病变脏器</w:t>
      </w:r>
      <w:r>
        <w:rPr>
          <w:rFonts w:hint="eastAsia" w:ascii="宋体" w:hAnsi="宋体" w:eastAsia="宋体" w:cs="宋体"/>
          <w:sz w:val="32"/>
          <w:szCs w:val="32"/>
          <w:lang w:val="en-US" w:eastAsia="zh-CN"/>
        </w:rPr>
        <w:t>27</w:t>
      </w:r>
      <w:r>
        <w:rPr>
          <w:rFonts w:hint="eastAsia" w:ascii="宋体" w:hAnsi="宋体" w:eastAsia="宋体" w:cs="宋体"/>
          <w:sz w:val="32"/>
          <w:szCs w:val="32"/>
        </w:rPr>
        <w:t>例</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标本已送省疾控中心检测，结果待反馈。</w:t>
      </w:r>
    </w:p>
    <w:p w14:paraId="797D64DA">
      <w:pPr>
        <w:pStyle w:val="189"/>
        <w:widowControl/>
        <w:shd w:val="clear" w:color="auto" w:fill="FFFFFF"/>
        <w:rPr>
          <w:rFonts w:hint="eastAsia" w:ascii="宋体" w:hAnsi="宋体" w:eastAsia="宋体" w:cs="宋体"/>
        </w:rPr>
      </w:pPr>
    </w:p>
    <w:tbl>
      <w:tblPr>
        <w:tblStyle w:val="30"/>
        <w:tblW w:w="0" w:type="auto"/>
        <w:jc w:val="center"/>
        <w:tblCellSpacing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390"/>
        <w:gridCol w:w="862"/>
        <w:gridCol w:w="1631"/>
        <w:gridCol w:w="2221"/>
        <w:gridCol w:w="1398"/>
        <w:gridCol w:w="1834"/>
      </w:tblGrid>
      <w:tr w14:paraId="5866F9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blCellSpacing w:w="0" w:type="dxa"/>
          <w:jc w:val="center"/>
        </w:trPr>
        <w:tc>
          <w:tcPr>
            <w:tcW w:w="8336" w:type="dxa"/>
            <w:gridSpan w:val="6"/>
            <w:noWrap w:val="0"/>
            <w:vAlign w:val="center"/>
          </w:tcPr>
          <w:p w14:paraId="4F40B33C">
            <w:pPr>
              <w:pStyle w:val="189"/>
              <w:widowControl/>
            </w:pPr>
            <w:r>
              <w:rPr>
                <w:rStyle w:val="190"/>
                <w:rFonts w:hint="eastAsia" w:ascii="宋体" w:hAnsi="宋体" w:eastAsia="宋体" w:cs="宋体"/>
              </w:rPr>
              <w:t xml:space="preserve">项目绩效目标完成情况表 </w:t>
            </w:r>
            <w:r>
              <w:rPr>
                <w:lang w:val="en-US"/>
              </w:rPr>
              <w:t>(202</w:t>
            </w:r>
            <w:r>
              <w:rPr>
                <w:rFonts w:hint="eastAsia"/>
                <w:lang w:val="en-US" w:eastAsia="zh-CN"/>
              </w:rPr>
              <w:t>2</w:t>
            </w:r>
            <w:r>
              <w:t>年度</w:t>
            </w:r>
            <w:r>
              <w:rPr>
                <w:lang w:val="en-US"/>
              </w:rPr>
              <w:t>)</w:t>
            </w:r>
          </w:p>
        </w:tc>
      </w:tr>
      <w:tr w14:paraId="2C7FE4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blCellSpacing w:w="0" w:type="dxa"/>
          <w:jc w:val="center"/>
        </w:trPr>
        <w:tc>
          <w:tcPr>
            <w:tcW w:w="2883" w:type="dxa"/>
            <w:gridSpan w:val="3"/>
            <w:noWrap w:val="0"/>
            <w:vAlign w:val="center"/>
          </w:tcPr>
          <w:p w14:paraId="3C1F27C3">
            <w:pPr>
              <w:pStyle w:val="189"/>
              <w:widowControl/>
            </w:pPr>
            <w:r>
              <w:t>项目名称</w:t>
            </w:r>
          </w:p>
        </w:tc>
        <w:tc>
          <w:tcPr>
            <w:tcW w:w="5453" w:type="dxa"/>
            <w:gridSpan w:val="3"/>
            <w:noWrap w:val="0"/>
            <w:vAlign w:val="center"/>
          </w:tcPr>
          <w:p w14:paraId="789C71E1">
            <w:pPr>
              <w:widowControl/>
              <w:jc w:val="center"/>
            </w:pPr>
            <w:r>
              <w:rPr>
                <w:rFonts w:hint="eastAsia" w:ascii="宋体" w:hAnsi="宋体" w:cs="宋体"/>
                <w:color w:val="000000"/>
                <w:sz w:val="24"/>
              </w:rPr>
              <w:t>20</w:t>
            </w:r>
            <w:r>
              <w:rPr>
                <w:rFonts w:hint="eastAsia" w:ascii="宋体" w:hAnsi="宋体" w:cs="宋体"/>
                <w:color w:val="000000"/>
                <w:sz w:val="24"/>
                <w:lang w:val="en-US" w:eastAsia="zh-CN"/>
              </w:rPr>
              <w:t>22</w:t>
            </w:r>
            <w:r>
              <w:rPr>
                <w:rFonts w:hint="eastAsia" w:ascii="宋体" w:hAnsi="宋体" w:cs="宋体"/>
                <w:color w:val="000000"/>
                <w:sz w:val="24"/>
              </w:rPr>
              <w:t>年重大</w:t>
            </w:r>
            <w:r>
              <w:rPr>
                <w:rFonts w:hint="eastAsia" w:ascii="宋体" w:hAnsi="宋体" w:cs="宋体"/>
                <w:color w:val="000000"/>
                <w:sz w:val="24"/>
                <w:lang w:eastAsia="zh-CN"/>
              </w:rPr>
              <w:t>、基本</w:t>
            </w:r>
            <w:r>
              <w:rPr>
                <w:rFonts w:hint="eastAsia" w:ascii="宋体" w:hAnsi="宋体" w:cs="宋体"/>
                <w:color w:val="000000"/>
                <w:sz w:val="24"/>
              </w:rPr>
              <w:t>公共卫生服务项目</w:t>
            </w:r>
          </w:p>
        </w:tc>
      </w:tr>
      <w:tr w14:paraId="21430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blCellSpacing w:w="0" w:type="dxa"/>
          <w:jc w:val="center"/>
        </w:trPr>
        <w:tc>
          <w:tcPr>
            <w:tcW w:w="2883" w:type="dxa"/>
            <w:gridSpan w:val="3"/>
            <w:noWrap w:val="0"/>
            <w:vAlign w:val="center"/>
          </w:tcPr>
          <w:p w14:paraId="6B718E67">
            <w:pPr>
              <w:pStyle w:val="189"/>
              <w:widowControl/>
            </w:pPr>
            <w:r>
              <w:t>预算单位</w:t>
            </w:r>
          </w:p>
        </w:tc>
        <w:tc>
          <w:tcPr>
            <w:tcW w:w="5453" w:type="dxa"/>
            <w:gridSpan w:val="3"/>
            <w:noWrap w:val="0"/>
            <w:vAlign w:val="center"/>
          </w:tcPr>
          <w:p w14:paraId="03FCE8AD">
            <w:pPr>
              <w:widowControl/>
              <w:jc w:val="center"/>
            </w:pPr>
            <w:r>
              <w:rPr>
                <w:rFonts w:hint="eastAsia" w:ascii="宋体" w:hAnsi="宋体" w:cs="宋体"/>
                <w:color w:val="000000"/>
                <w:sz w:val="24"/>
              </w:rPr>
              <w:t>红原县疾病预防控制中心</w:t>
            </w:r>
          </w:p>
        </w:tc>
      </w:tr>
      <w:tr w14:paraId="113D4D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blCellSpacing w:w="0" w:type="dxa"/>
          <w:jc w:val="center"/>
        </w:trPr>
        <w:tc>
          <w:tcPr>
            <w:tcW w:w="390" w:type="dxa"/>
            <w:noWrap w:val="0"/>
            <w:vAlign w:val="center"/>
          </w:tcPr>
          <w:p w14:paraId="5F4E8B05">
            <w:pPr>
              <w:pStyle w:val="189"/>
              <w:widowControl/>
            </w:pPr>
            <w:r>
              <w:t>预算执行情况</w:t>
            </w:r>
            <w:r>
              <w:rPr>
                <w:lang w:val="en-US"/>
              </w:rPr>
              <w:t>(</w:t>
            </w:r>
            <w:r>
              <w:t>万元</w:t>
            </w:r>
            <w:r>
              <w:rPr>
                <w:lang w:val="en-US"/>
              </w:rPr>
              <w:t>)</w:t>
            </w:r>
          </w:p>
        </w:tc>
        <w:tc>
          <w:tcPr>
            <w:tcW w:w="2493" w:type="dxa"/>
            <w:gridSpan w:val="2"/>
            <w:noWrap w:val="0"/>
            <w:vAlign w:val="center"/>
          </w:tcPr>
          <w:p w14:paraId="1EA23005">
            <w:pPr>
              <w:pStyle w:val="189"/>
              <w:widowControl/>
              <w:rPr>
                <w:rFonts w:eastAsia="宋体"/>
                <w:lang w:val="en-US" w:eastAsia="zh-CN"/>
              </w:rPr>
            </w:pPr>
            <w:r>
              <w:t>预算数</w:t>
            </w:r>
            <w:r>
              <w:rPr>
                <w:lang w:val="en-US"/>
              </w:rPr>
              <w:t>:</w:t>
            </w:r>
            <w:r>
              <w:rPr>
                <w:rFonts w:hint="eastAsia"/>
                <w:lang w:val="en-US" w:eastAsia="zh-CN"/>
              </w:rPr>
              <w:t>167.51</w:t>
            </w:r>
          </w:p>
        </w:tc>
        <w:tc>
          <w:tcPr>
            <w:tcW w:w="2221" w:type="dxa"/>
            <w:noWrap w:val="0"/>
            <w:vAlign w:val="center"/>
          </w:tcPr>
          <w:p w14:paraId="6D4B29BD">
            <w:pPr>
              <w:keepNext w:val="0"/>
              <w:keepLines w:val="0"/>
              <w:widowControl/>
              <w:suppressLineNumbers w:val="0"/>
              <w:spacing w:before="0" w:beforeAutospacing="0" w:after="0" w:afterAutospacing="0"/>
              <w:ind w:left="0" w:right="0"/>
              <w:jc w:val="left"/>
            </w:pPr>
            <w:r>
              <w:rPr>
                <w:rFonts w:hint="eastAsia" w:ascii="宋体" w:hAnsi="宋体" w:eastAsia="宋体" w:cs="宋体"/>
                <w:sz w:val="24"/>
                <w:szCs w:val="24"/>
                <w:lang w:val="en-US" w:eastAsia="zh-CN" w:bidi="ar"/>
              </w:rPr>
              <w:t> </w:t>
            </w:r>
          </w:p>
        </w:tc>
        <w:tc>
          <w:tcPr>
            <w:tcW w:w="1398" w:type="dxa"/>
            <w:noWrap w:val="0"/>
            <w:vAlign w:val="center"/>
          </w:tcPr>
          <w:p w14:paraId="4044BC8A">
            <w:pPr>
              <w:pStyle w:val="189"/>
              <w:widowControl/>
            </w:pPr>
            <w:r>
              <w:t>执行数</w:t>
            </w:r>
            <w:r>
              <w:rPr>
                <w:lang w:val="en-US"/>
              </w:rPr>
              <w:t>:</w:t>
            </w:r>
          </w:p>
        </w:tc>
        <w:tc>
          <w:tcPr>
            <w:tcW w:w="1834" w:type="dxa"/>
            <w:noWrap w:val="0"/>
            <w:vAlign w:val="center"/>
          </w:tcPr>
          <w:p w14:paraId="00472376">
            <w:pPr>
              <w:keepNext w:val="0"/>
              <w:keepLines w:val="0"/>
              <w:widowControl/>
              <w:suppressLineNumbers w:val="0"/>
              <w:spacing w:before="0" w:beforeAutospacing="0" w:after="0" w:afterAutospacing="0"/>
              <w:ind w:left="0" w:right="0"/>
              <w:jc w:val="left"/>
              <w:rPr>
                <w:lang w:val="en-US"/>
              </w:rPr>
            </w:pPr>
            <w:r>
              <w:rPr>
                <w:rFonts w:hint="eastAsia" w:ascii="宋体" w:hAnsi="宋体" w:eastAsia="宋体" w:cs="宋体"/>
                <w:sz w:val="24"/>
                <w:szCs w:val="24"/>
                <w:lang w:val="en-US" w:eastAsia="zh-CN" w:bidi="ar"/>
              </w:rPr>
              <w:t> 167.51</w:t>
            </w:r>
          </w:p>
        </w:tc>
      </w:tr>
      <w:tr w14:paraId="0573F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blCellSpacing w:w="0" w:type="dxa"/>
          <w:jc w:val="center"/>
        </w:trPr>
        <w:tc>
          <w:tcPr>
            <w:tcW w:w="390" w:type="dxa"/>
            <w:noWrap w:val="0"/>
            <w:vAlign w:val="center"/>
          </w:tcPr>
          <w:p w14:paraId="7EC5D96A">
            <w:pPr>
              <w:keepNext w:val="0"/>
              <w:keepLines w:val="0"/>
              <w:widowControl/>
              <w:suppressLineNumbers w:val="0"/>
              <w:spacing w:before="0" w:beforeAutospacing="0" w:after="0" w:afterAutospacing="0"/>
              <w:ind w:left="0" w:right="0"/>
              <w:jc w:val="left"/>
            </w:pPr>
            <w:r>
              <w:rPr>
                <w:rFonts w:hint="eastAsia" w:ascii="宋体" w:hAnsi="宋体" w:eastAsia="宋体" w:cs="宋体"/>
                <w:sz w:val="24"/>
                <w:szCs w:val="24"/>
                <w:lang w:val="en-US" w:eastAsia="zh-CN" w:bidi="ar"/>
              </w:rPr>
              <w:t> </w:t>
            </w:r>
          </w:p>
        </w:tc>
        <w:tc>
          <w:tcPr>
            <w:tcW w:w="2493" w:type="dxa"/>
            <w:gridSpan w:val="2"/>
            <w:noWrap w:val="0"/>
            <w:vAlign w:val="center"/>
          </w:tcPr>
          <w:p w14:paraId="67402C18">
            <w:pPr>
              <w:pStyle w:val="189"/>
              <w:widowControl/>
            </w:pPr>
            <w:r>
              <w:t>其中</w:t>
            </w:r>
            <w:r>
              <w:rPr>
                <w:lang w:val="en-US"/>
              </w:rPr>
              <w:t>-</w:t>
            </w:r>
            <w:r>
              <w:t>财政拨款</w:t>
            </w:r>
            <w:r>
              <w:rPr>
                <w:lang w:val="en-US"/>
              </w:rPr>
              <w:t>:</w:t>
            </w:r>
          </w:p>
        </w:tc>
        <w:tc>
          <w:tcPr>
            <w:tcW w:w="2221" w:type="dxa"/>
            <w:noWrap w:val="0"/>
            <w:vAlign w:val="center"/>
          </w:tcPr>
          <w:p w14:paraId="5923565A">
            <w:pPr>
              <w:keepNext w:val="0"/>
              <w:keepLines w:val="0"/>
              <w:widowControl/>
              <w:suppressLineNumbers w:val="0"/>
              <w:spacing w:before="0" w:beforeAutospacing="0" w:after="0" w:afterAutospacing="0"/>
              <w:ind w:left="0" w:right="0"/>
              <w:jc w:val="left"/>
              <w:rPr>
                <w:lang w:val="en-US"/>
              </w:rPr>
            </w:pPr>
            <w:r>
              <w:rPr>
                <w:rFonts w:hint="eastAsia" w:ascii="宋体" w:hAnsi="宋体" w:eastAsia="宋体" w:cs="宋体"/>
                <w:sz w:val="24"/>
                <w:szCs w:val="24"/>
                <w:lang w:val="en-US" w:eastAsia="zh-CN" w:bidi="ar"/>
              </w:rPr>
              <w:t>167.51</w:t>
            </w:r>
          </w:p>
        </w:tc>
        <w:tc>
          <w:tcPr>
            <w:tcW w:w="1398" w:type="dxa"/>
            <w:noWrap w:val="0"/>
            <w:vAlign w:val="center"/>
          </w:tcPr>
          <w:p w14:paraId="697D5199">
            <w:pPr>
              <w:pStyle w:val="189"/>
              <w:widowControl/>
            </w:pPr>
            <w:r>
              <w:t>其中</w:t>
            </w:r>
            <w:r>
              <w:rPr>
                <w:lang w:val="en-US"/>
              </w:rPr>
              <w:t>-</w:t>
            </w:r>
            <w:r>
              <w:t>财政拨款</w:t>
            </w:r>
            <w:r>
              <w:rPr>
                <w:lang w:val="en-US"/>
              </w:rPr>
              <w:t>:</w:t>
            </w:r>
          </w:p>
        </w:tc>
        <w:tc>
          <w:tcPr>
            <w:tcW w:w="1834" w:type="dxa"/>
            <w:noWrap w:val="0"/>
            <w:vAlign w:val="center"/>
          </w:tcPr>
          <w:p w14:paraId="63260765">
            <w:pPr>
              <w:keepNext w:val="0"/>
              <w:keepLines w:val="0"/>
              <w:widowControl/>
              <w:suppressLineNumbers w:val="0"/>
              <w:spacing w:before="0" w:beforeAutospacing="0" w:after="0" w:afterAutospacing="0"/>
              <w:ind w:left="0" w:right="0"/>
              <w:jc w:val="left"/>
              <w:rPr>
                <w:lang w:val="en-US"/>
              </w:rPr>
            </w:pPr>
            <w:r>
              <w:rPr>
                <w:rFonts w:hint="eastAsia" w:ascii="宋体" w:hAnsi="宋体" w:eastAsia="宋体" w:cs="宋体"/>
                <w:sz w:val="24"/>
                <w:szCs w:val="24"/>
                <w:lang w:val="en-US" w:eastAsia="zh-CN" w:bidi="ar"/>
              </w:rPr>
              <w:t> 167.51</w:t>
            </w:r>
          </w:p>
        </w:tc>
      </w:tr>
      <w:tr w14:paraId="5CFE3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blCellSpacing w:w="0" w:type="dxa"/>
          <w:jc w:val="center"/>
        </w:trPr>
        <w:tc>
          <w:tcPr>
            <w:tcW w:w="390" w:type="dxa"/>
            <w:noWrap w:val="0"/>
            <w:vAlign w:val="center"/>
          </w:tcPr>
          <w:p w14:paraId="0206A29E">
            <w:pPr>
              <w:keepNext w:val="0"/>
              <w:keepLines w:val="0"/>
              <w:widowControl/>
              <w:suppressLineNumbers w:val="0"/>
              <w:spacing w:before="0" w:beforeAutospacing="0" w:after="0" w:afterAutospacing="0"/>
              <w:ind w:left="0" w:right="0"/>
              <w:jc w:val="left"/>
            </w:pPr>
            <w:r>
              <w:rPr>
                <w:rFonts w:hint="eastAsia" w:ascii="宋体" w:hAnsi="宋体" w:eastAsia="宋体" w:cs="宋体"/>
                <w:sz w:val="24"/>
                <w:szCs w:val="24"/>
                <w:lang w:val="en-US" w:eastAsia="zh-CN" w:bidi="ar"/>
              </w:rPr>
              <w:t> </w:t>
            </w:r>
          </w:p>
        </w:tc>
        <w:tc>
          <w:tcPr>
            <w:tcW w:w="2493" w:type="dxa"/>
            <w:gridSpan w:val="2"/>
            <w:noWrap w:val="0"/>
            <w:vAlign w:val="center"/>
          </w:tcPr>
          <w:p w14:paraId="7D2E31DF">
            <w:pPr>
              <w:pStyle w:val="189"/>
              <w:widowControl/>
            </w:pPr>
            <w:r>
              <w:t>其它资金</w:t>
            </w:r>
            <w:r>
              <w:rPr>
                <w:lang w:val="en-US"/>
              </w:rPr>
              <w:t>:</w:t>
            </w:r>
          </w:p>
        </w:tc>
        <w:tc>
          <w:tcPr>
            <w:tcW w:w="2221" w:type="dxa"/>
            <w:noWrap w:val="0"/>
            <w:vAlign w:val="center"/>
          </w:tcPr>
          <w:p w14:paraId="2D1915DD">
            <w:pPr>
              <w:keepNext w:val="0"/>
              <w:keepLines w:val="0"/>
              <w:widowControl/>
              <w:suppressLineNumbers w:val="0"/>
              <w:spacing w:before="0" w:beforeAutospacing="0" w:after="0" w:afterAutospacing="0"/>
              <w:ind w:left="0" w:right="0"/>
              <w:jc w:val="left"/>
            </w:pPr>
            <w:r>
              <w:rPr>
                <w:rFonts w:hint="eastAsia" w:ascii="宋体" w:hAnsi="宋体" w:eastAsia="宋体" w:cs="宋体"/>
                <w:sz w:val="24"/>
                <w:szCs w:val="24"/>
                <w:lang w:val="en-US" w:eastAsia="zh-CN" w:bidi="ar"/>
              </w:rPr>
              <w:t> </w:t>
            </w:r>
          </w:p>
        </w:tc>
        <w:tc>
          <w:tcPr>
            <w:tcW w:w="1398" w:type="dxa"/>
            <w:noWrap w:val="0"/>
            <w:vAlign w:val="center"/>
          </w:tcPr>
          <w:p w14:paraId="4337D44A">
            <w:pPr>
              <w:pStyle w:val="189"/>
              <w:widowControl/>
            </w:pPr>
            <w:r>
              <w:t>其它资金</w:t>
            </w:r>
            <w:r>
              <w:rPr>
                <w:lang w:val="en-US"/>
              </w:rPr>
              <w:t>:</w:t>
            </w:r>
          </w:p>
        </w:tc>
        <w:tc>
          <w:tcPr>
            <w:tcW w:w="1834" w:type="dxa"/>
            <w:noWrap w:val="0"/>
            <w:vAlign w:val="center"/>
          </w:tcPr>
          <w:p w14:paraId="116E2176">
            <w:pPr>
              <w:keepNext w:val="0"/>
              <w:keepLines w:val="0"/>
              <w:widowControl/>
              <w:suppressLineNumbers w:val="0"/>
              <w:spacing w:before="0" w:beforeAutospacing="0" w:after="0" w:afterAutospacing="0"/>
              <w:ind w:left="0" w:right="0"/>
              <w:jc w:val="left"/>
            </w:pPr>
            <w:r>
              <w:rPr>
                <w:rFonts w:hint="eastAsia" w:ascii="宋体" w:hAnsi="宋体" w:eastAsia="宋体" w:cs="宋体"/>
                <w:sz w:val="24"/>
                <w:szCs w:val="24"/>
                <w:lang w:val="en-US" w:eastAsia="zh-CN" w:bidi="ar"/>
              </w:rPr>
              <w:t> </w:t>
            </w:r>
          </w:p>
        </w:tc>
      </w:tr>
      <w:tr w14:paraId="6BEF79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blCellSpacing w:w="0" w:type="dxa"/>
          <w:jc w:val="center"/>
        </w:trPr>
        <w:tc>
          <w:tcPr>
            <w:tcW w:w="390" w:type="dxa"/>
            <w:noWrap w:val="0"/>
            <w:vAlign w:val="center"/>
          </w:tcPr>
          <w:p w14:paraId="4F69C06D">
            <w:pPr>
              <w:pStyle w:val="189"/>
              <w:widowControl/>
            </w:pPr>
            <w:r>
              <w:t>年度目标完成情况</w:t>
            </w:r>
          </w:p>
        </w:tc>
        <w:tc>
          <w:tcPr>
            <w:tcW w:w="4714" w:type="dxa"/>
            <w:gridSpan w:val="3"/>
            <w:noWrap w:val="0"/>
            <w:vAlign w:val="center"/>
          </w:tcPr>
          <w:p w14:paraId="44640EB2">
            <w:pPr>
              <w:spacing w:line="560" w:lineRule="exact"/>
              <w:ind w:firstLine="413"/>
              <w:rPr>
                <w:rFonts w:ascii="仿宋_GB2312" w:hAnsi="仿宋" w:eastAsia="仿宋_GB2312"/>
                <w:color w:val="000000"/>
                <w:szCs w:val="21"/>
              </w:rPr>
            </w:pPr>
            <w:r>
              <w:rPr>
                <w:rFonts w:hint="eastAsia" w:ascii="仿宋_GB2312" w:hAnsi="仿宋" w:eastAsia="仿宋_GB2312"/>
                <w:b/>
                <w:color w:val="000000"/>
                <w:szCs w:val="21"/>
              </w:rPr>
              <w:t>一是</w:t>
            </w:r>
            <w:r>
              <w:rPr>
                <w:rFonts w:hint="eastAsia" w:ascii="仿宋_GB2312" w:hAnsi="仿宋" w:eastAsia="仿宋_GB2312"/>
                <w:color w:val="000000"/>
                <w:szCs w:val="21"/>
              </w:rPr>
              <w:t>逐步建立覆盖全县的疾控体系网络。</w:t>
            </w:r>
            <w:r>
              <w:rPr>
                <w:rFonts w:hint="eastAsia" w:ascii="仿宋_GB2312" w:hAnsi="仿宋" w:eastAsia="仿宋_GB2312"/>
                <w:b/>
                <w:color w:val="000000"/>
                <w:szCs w:val="21"/>
              </w:rPr>
              <w:t>二是</w:t>
            </w:r>
            <w:r>
              <w:rPr>
                <w:rFonts w:hint="eastAsia" w:ascii="仿宋_GB2312" w:hAnsi="仿宋" w:eastAsia="仿宋_GB2312"/>
                <w:color w:val="000000"/>
                <w:szCs w:val="21"/>
              </w:rPr>
              <w:t>进一步加强免疫规划工作力度，全面提升预防接种覆盖率，加强传染病管理。抓好艾滋病、结核病等重大传染病防控工作,三是</w:t>
            </w:r>
            <w:r>
              <w:rPr>
                <w:rFonts w:hint="eastAsia" w:ascii="宋体" w:hAnsi="宋体" w:cs="宋体"/>
                <w:color w:val="000000"/>
                <w:szCs w:val="21"/>
              </w:rPr>
              <w:t>提高公共卫生服务水平.</w:t>
            </w:r>
          </w:p>
          <w:p w14:paraId="24E2BE7B">
            <w:pPr>
              <w:widowControl/>
              <w:jc w:val="center"/>
              <w:rPr>
                <w:rFonts w:ascii="宋体" w:hAnsi="宋体" w:eastAsia="宋体" w:cs="宋体"/>
                <w:color w:val="000000"/>
                <w:sz w:val="24"/>
                <w:szCs w:val="24"/>
                <w:lang w:val="en-US" w:eastAsia="zh-CN" w:bidi="ar-SA"/>
              </w:rPr>
            </w:pPr>
          </w:p>
        </w:tc>
        <w:tc>
          <w:tcPr>
            <w:tcW w:w="3232" w:type="dxa"/>
            <w:gridSpan w:val="2"/>
            <w:noWrap w:val="0"/>
            <w:vAlign w:val="center"/>
          </w:tcPr>
          <w:p w14:paraId="451EDD62">
            <w:pPr>
              <w:spacing w:line="560" w:lineRule="exact"/>
              <w:ind w:firstLine="420"/>
              <w:rPr>
                <w:rFonts w:ascii="仿宋_GB2312" w:hAnsi="仿宋_GB2312" w:eastAsia="仿宋_GB2312" w:cs="仿宋_GB2312"/>
                <w:szCs w:val="21"/>
              </w:rPr>
            </w:pPr>
            <w:r>
              <w:rPr>
                <w:rFonts w:hint="eastAsia" w:ascii="仿宋_GB2312" w:hAnsi="仿宋_GB2312" w:eastAsia="仿宋_GB2312" w:cs="仿宋_GB2312"/>
                <w:szCs w:val="21"/>
              </w:rPr>
              <w:t>1.成立了基本公共卫生服务均等化指导中心，并将办公地点建在卫计局，具体负责全县疾控工作的统一管理和业务指导，及时协调解决工作中遇到的困难和问题，推进全县疾控工作规范有序实施。</w:t>
            </w:r>
          </w:p>
          <w:p w14:paraId="0F45CEC2">
            <w:pPr>
              <w:spacing w:line="560" w:lineRule="exact"/>
              <w:ind w:firstLine="640"/>
              <w:rPr>
                <w:rFonts w:ascii="仿宋_GB2312" w:hAnsi="仿宋_GB2312" w:eastAsia="仿宋_GB2312" w:cs="仿宋_GB2312"/>
                <w:szCs w:val="21"/>
              </w:rPr>
            </w:pPr>
            <w:r>
              <w:rPr>
                <w:rFonts w:hint="eastAsia" w:ascii="仿宋_GB2312" w:hAnsi="仿宋_GB2312" w:eastAsia="仿宋_GB2312" w:cs="仿宋_GB2312"/>
                <w:szCs w:val="21"/>
              </w:rPr>
              <w:t>2.在全县1</w:t>
            </w:r>
            <w:r>
              <w:rPr>
                <w:rFonts w:hint="eastAsia" w:ascii="仿宋_GB2312" w:hAnsi="仿宋_GB2312" w:eastAsia="仿宋_GB2312" w:cs="仿宋_GB2312"/>
                <w:szCs w:val="21"/>
                <w:lang w:val="en-US" w:eastAsia="zh-CN"/>
              </w:rPr>
              <w:t>0</w:t>
            </w:r>
            <w:r>
              <w:rPr>
                <w:rFonts w:hint="eastAsia" w:ascii="仿宋_GB2312" w:hAnsi="仿宋_GB2312" w:eastAsia="仿宋_GB2312" w:cs="仿宋_GB2312"/>
                <w:szCs w:val="21"/>
              </w:rPr>
              <w:t>个乡镇卫生院建立了规范化预防接种门诊，并投入15万元建立儿童免疫规划信息化建设系统，有效保障全县免疫规划工作的开展。</w:t>
            </w:r>
          </w:p>
          <w:p w14:paraId="129619E9">
            <w:pPr>
              <w:ind w:firstLine="420"/>
              <w:rPr>
                <w:rFonts w:ascii="仿宋_GB2312" w:hAnsi="仿宋_GB2312" w:eastAsia="仿宋_GB2312" w:cs="仿宋_GB2312"/>
                <w:szCs w:val="21"/>
              </w:rPr>
            </w:pPr>
            <w:r>
              <w:rPr>
                <w:rFonts w:hint="eastAsia" w:ascii="仿宋_GB2312" w:hAnsi="仿宋_GB2312" w:eastAsia="仿宋_GB2312" w:cs="仿宋_GB2312"/>
                <w:szCs w:val="21"/>
              </w:rPr>
              <w:t>3.完善各项规章制度，保证了疾控工作有条不紊进行。</w:t>
            </w:r>
          </w:p>
          <w:p w14:paraId="26EC02E1">
            <w:pPr>
              <w:ind w:firstLine="420"/>
              <w:rPr>
                <w:rFonts w:ascii="仿宋_GB2312" w:hAnsi="仿宋_GB2312" w:eastAsia="仿宋_GB2312" w:cs="仿宋_GB2312"/>
                <w:szCs w:val="21"/>
              </w:rPr>
            </w:pPr>
            <w:r>
              <w:rPr>
                <w:rFonts w:hint="eastAsia" w:ascii="仿宋_GB2312" w:hAnsi="仿宋_GB2312" w:eastAsia="仿宋_GB2312" w:cs="仿宋_GB2312"/>
                <w:szCs w:val="21"/>
              </w:rPr>
              <w:t>4.组建疾控指导团队，强化业务指导和技术支撑。为全面履行公共卫生专业机构职能，充分发挥公共卫生专业机构对基层医疗卫生机构的业务指导和技术支撑作用，全面推进公共卫生专业机构工作“重心下沉、关口前移”。</w:t>
            </w:r>
          </w:p>
          <w:p w14:paraId="21799CC4">
            <w:pPr>
              <w:ind w:firstLine="420"/>
              <w:rPr>
                <w:rFonts w:ascii="仿宋_GB2312" w:hAnsi="仿宋_GB2312" w:eastAsia="仿宋_GB2312" w:cs="仿宋_GB2312"/>
                <w:szCs w:val="21"/>
              </w:rPr>
            </w:pPr>
            <w:r>
              <w:rPr>
                <w:rFonts w:hint="eastAsia" w:ascii="仿宋_GB2312" w:hAnsi="仿宋_GB2312" w:eastAsia="仿宋_GB2312" w:cs="仿宋_GB2312"/>
                <w:szCs w:val="21"/>
              </w:rPr>
              <w:t>5.抓专业知识培训是提高人员业务能力的有效途径。 选派年轻同志到省、绵阳市、州疾控进修以提高业务知识水平。</w:t>
            </w:r>
          </w:p>
          <w:p w14:paraId="53C626AD">
            <w:pPr>
              <w:widowControl/>
              <w:jc w:val="center"/>
              <w:rPr>
                <w:rFonts w:ascii="宋体" w:hAnsi="宋体" w:eastAsia="宋体" w:cs="宋体"/>
                <w:color w:val="000000"/>
                <w:sz w:val="24"/>
                <w:szCs w:val="24"/>
                <w:lang w:val="en-US" w:eastAsia="zh-CN" w:bidi="ar-SA"/>
              </w:rPr>
            </w:pPr>
          </w:p>
        </w:tc>
      </w:tr>
      <w:tr w14:paraId="46164F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blCellSpacing w:w="0" w:type="dxa"/>
          <w:jc w:val="center"/>
        </w:trPr>
        <w:tc>
          <w:tcPr>
            <w:tcW w:w="390" w:type="dxa"/>
            <w:noWrap w:val="0"/>
            <w:vAlign w:val="center"/>
          </w:tcPr>
          <w:p w14:paraId="0795E1C7">
            <w:pPr>
              <w:keepNext w:val="0"/>
              <w:keepLines w:val="0"/>
              <w:widowControl/>
              <w:suppressLineNumbers w:val="0"/>
              <w:spacing w:before="0" w:beforeAutospacing="0" w:after="0" w:afterAutospacing="0"/>
              <w:ind w:left="0" w:right="0"/>
              <w:jc w:val="left"/>
            </w:pPr>
            <w:r>
              <w:rPr>
                <w:rFonts w:hint="eastAsia" w:ascii="宋体" w:hAnsi="宋体" w:eastAsia="宋体" w:cs="宋体"/>
                <w:sz w:val="24"/>
                <w:szCs w:val="24"/>
                <w:lang w:val="en-US" w:eastAsia="zh-CN" w:bidi="ar"/>
              </w:rPr>
              <w:t> </w:t>
            </w:r>
          </w:p>
        </w:tc>
        <w:tc>
          <w:tcPr>
            <w:tcW w:w="4714" w:type="dxa"/>
            <w:gridSpan w:val="3"/>
            <w:noWrap w:val="0"/>
            <w:vAlign w:val="center"/>
          </w:tcPr>
          <w:p w14:paraId="380E7EFD">
            <w:pPr>
              <w:keepNext w:val="0"/>
              <w:keepLines w:val="0"/>
              <w:widowControl/>
              <w:suppressLineNumbers w:val="0"/>
              <w:spacing w:before="0" w:beforeAutospacing="0" w:after="0" w:afterAutospacing="0"/>
              <w:ind w:left="0" w:right="0"/>
              <w:jc w:val="left"/>
            </w:pPr>
            <w:r>
              <w:rPr>
                <w:rFonts w:hint="eastAsia" w:ascii="宋体" w:hAnsi="宋体" w:eastAsia="宋体" w:cs="宋体"/>
                <w:sz w:val="24"/>
                <w:szCs w:val="24"/>
                <w:lang w:val="en-US" w:eastAsia="zh-CN" w:bidi="ar"/>
              </w:rPr>
              <w:t> </w:t>
            </w:r>
          </w:p>
        </w:tc>
        <w:tc>
          <w:tcPr>
            <w:tcW w:w="3232" w:type="dxa"/>
            <w:gridSpan w:val="2"/>
            <w:noWrap w:val="0"/>
            <w:vAlign w:val="center"/>
          </w:tcPr>
          <w:p w14:paraId="3843EF6E">
            <w:pPr>
              <w:keepNext w:val="0"/>
              <w:keepLines w:val="0"/>
              <w:widowControl/>
              <w:suppressLineNumbers w:val="0"/>
              <w:spacing w:before="0" w:beforeAutospacing="0" w:after="0" w:afterAutospacing="0"/>
              <w:ind w:left="0" w:right="0"/>
              <w:jc w:val="left"/>
            </w:pPr>
            <w:r>
              <w:rPr>
                <w:rFonts w:hint="eastAsia" w:ascii="宋体" w:hAnsi="宋体" w:eastAsia="宋体" w:cs="宋体"/>
                <w:sz w:val="24"/>
                <w:szCs w:val="24"/>
                <w:lang w:val="en-US" w:eastAsia="zh-CN" w:bidi="ar"/>
              </w:rPr>
              <w:t> </w:t>
            </w:r>
          </w:p>
        </w:tc>
      </w:tr>
      <w:tr w14:paraId="1C0B70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blCellSpacing w:w="0" w:type="dxa"/>
          <w:jc w:val="center"/>
        </w:trPr>
        <w:tc>
          <w:tcPr>
            <w:tcW w:w="390" w:type="dxa"/>
            <w:vMerge w:val="restart"/>
            <w:noWrap w:val="0"/>
            <w:vAlign w:val="center"/>
          </w:tcPr>
          <w:p w14:paraId="3258F96D">
            <w:pPr>
              <w:widowControl/>
              <w:jc w:val="center"/>
            </w:pPr>
            <w:r>
              <w:rPr>
                <w:rFonts w:hint="eastAsia" w:ascii="宋体" w:hAnsi="宋体" w:cs="宋体"/>
                <w:color w:val="000000"/>
                <w:sz w:val="24"/>
              </w:rPr>
              <w:t>绩效指标完成情况</w:t>
            </w:r>
          </w:p>
        </w:tc>
        <w:tc>
          <w:tcPr>
            <w:tcW w:w="862" w:type="dxa"/>
            <w:noWrap w:val="0"/>
            <w:vAlign w:val="center"/>
          </w:tcPr>
          <w:p w14:paraId="586BD263">
            <w:pPr>
              <w:widowControl/>
              <w:jc w:val="center"/>
              <w:rPr>
                <w:rFonts w:ascii="宋体" w:hAnsi="宋体" w:eastAsia="宋体" w:cs="宋体"/>
                <w:color w:val="000000"/>
                <w:sz w:val="24"/>
                <w:szCs w:val="24"/>
                <w:lang w:val="en-US" w:eastAsia="zh-CN" w:bidi="ar-SA"/>
              </w:rPr>
            </w:pPr>
            <w:r>
              <w:rPr>
                <w:rFonts w:hint="eastAsia" w:ascii="宋体" w:hAnsi="宋体" w:cs="宋体"/>
                <w:color w:val="000000"/>
                <w:sz w:val="24"/>
              </w:rPr>
              <w:t>一级指标</w:t>
            </w:r>
          </w:p>
        </w:tc>
        <w:tc>
          <w:tcPr>
            <w:tcW w:w="1631" w:type="dxa"/>
            <w:noWrap w:val="0"/>
            <w:vAlign w:val="center"/>
          </w:tcPr>
          <w:p w14:paraId="06689DE5">
            <w:pPr>
              <w:widowControl/>
              <w:jc w:val="center"/>
              <w:rPr>
                <w:rFonts w:ascii="宋体" w:hAnsi="宋体" w:eastAsia="宋体" w:cs="宋体"/>
                <w:color w:val="000000"/>
                <w:sz w:val="24"/>
                <w:szCs w:val="24"/>
                <w:lang w:val="en-US" w:eastAsia="zh-CN" w:bidi="ar-SA"/>
              </w:rPr>
            </w:pPr>
            <w:r>
              <w:rPr>
                <w:rFonts w:hint="eastAsia" w:ascii="宋体" w:hAnsi="宋体" w:cs="宋体"/>
                <w:color w:val="000000"/>
                <w:sz w:val="24"/>
              </w:rPr>
              <w:t>二级指标</w:t>
            </w:r>
          </w:p>
        </w:tc>
        <w:tc>
          <w:tcPr>
            <w:tcW w:w="2221" w:type="dxa"/>
            <w:noWrap w:val="0"/>
            <w:vAlign w:val="center"/>
          </w:tcPr>
          <w:p w14:paraId="30998EFF">
            <w:pPr>
              <w:widowControl/>
              <w:jc w:val="center"/>
              <w:rPr>
                <w:rFonts w:ascii="宋体" w:hAnsi="宋体" w:eastAsia="宋体" w:cs="宋体"/>
                <w:color w:val="000000"/>
                <w:sz w:val="24"/>
                <w:szCs w:val="24"/>
                <w:lang w:val="en-US" w:eastAsia="zh-CN" w:bidi="ar-SA"/>
              </w:rPr>
            </w:pPr>
            <w:r>
              <w:rPr>
                <w:rFonts w:hint="eastAsia" w:ascii="宋体" w:hAnsi="宋体" w:cs="宋体"/>
                <w:color w:val="000000"/>
                <w:sz w:val="24"/>
              </w:rPr>
              <w:t>三级指标</w:t>
            </w:r>
          </w:p>
        </w:tc>
        <w:tc>
          <w:tcPr>
            <w:tcW w:w="1398" w:type="dxa"/>
            <w:noWrap w:val="0"/>
            <w:vAlign w:val="center"/>
          </w:tcPr>
          <w:p w14:paraId="720911DD">
            <w:pPr>
              <w:widowControl/>
              <w:jc w:val="center"/>
              <w:rPr>
                <w:rFonts w:ascii="宋体" w:hAnsi="宋体" w:eastAsia="宋体" w:cs="宋体"/>
                <w:color w:val="000000"/>
                <w:sz w:val="24"/>
                <w:szCs w:val="24"/>
                <w:lang w:val="en-US" w:eastAsia="zh-CN" w:bidi="ar-SA"/>
              </w:rPr>
            </w:pPr>
            <w:r>
              <w:rPr>
                <w:rFonts w:hint="eastAsia" w:ascii="宋体" w:hAnsi="宋体" w:cs="宋体"/>
                <w:color w:val="000000"/>
                <w:sz w:val="24"/>
              </w:rPr>
              <w:t>预期指标值(包含数字及文字描述)</w:t>
            </w:r>
          </w:p>
        </w:tc>
        <w:tc>
          <w:tcPr>
            <w:tcW w:w="1834" w:type="dxa"/>
            <w:noWrap w:val="0"/>
            <w:vAlign w:val="center"/>
          </w:tcPr>
          <w:p w14:paraId="3DF785C1">
            <w:pPr>
              <w:widowControl/>
              <w:jc w:val="center"/>
              <w:rPr>
                <w:rFonts w:ascii="宋体" w:hAnsi="宋体" w:eastAsia="宋体" w:cs="宋体"/>
                <w:color w:val="000000"/>
                <w:sz w:val="24"/>
                <w:szCs w:val="24"/>
                <w:lang w:val="en-US" w:eastAsia="zh-CN" w:bidi="ar-SA"/>
              </w:rPr>
            </w:pPr>
            <w:r>
              <w:rPr>
                <w:rFonts w:hint="eastAsia" w:ascii="宋体" w:hAnsi="宋体" w:cs="宋体"/>
                <w:color w:val="000000"/>
                <w:sz w:val="24"/>
              </w:rPr>
              <w:t>实际完成指标值(包含数字及文字描述)</w:t>
            </w:r>
          </w:p>
        </w:tc>
      </w:tr>
      <w:tr w14:paraId="134800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2" w:hRule="atLeast"/>
          <w:tblCellSpacing w:w="0" w:type="dxa"/>
          <w:jc w:val="center"/>
        </w:trPr>
        <w:tc>
          <w:tcPr>
            <w:tcW w:w="390" w:type="dxa"/>
            <w:vMerge w:val="continue"/>
            <w:noWrap w:val="0"/>
            <w:vAlign w:val="center"/>
          </w:tcPr>
          <w:p w14:paraId="7BEA8B1E">
            <w:pPr>
              <w:widowControl/>
              <w:jc w:val="left"/>
            </w:pPr>
          </w:p>
        </w:tc>
        <w:tc>
          <w:tcPr>
            <w:tcW w:w="862" w:type="dxa"/>
            <w:vMerge w:val="restart"/>
            <w:noWrap w:val="0"/>
            <w:vAlign w:val="center"/>
          </w:tcPr>
          <w:p w14:paraId="74670F12">
            <w:pPr>
              <w:widowControl/>
              <w:jc w:val="center"/>
              <w:rPr>
                <w:rFonts w:ascii="宋体" w:hAnsi="宋体" w:cs="宋体"/>
                <w:color w:val="000000"/>
                <w:sz w:val="32"/>
                <w:szCs w:val="32"/>
              </w:rPr>
            </w:pPr>
            <w:r>
              <w:rPr>
                <w:rFonts w:hint="eastAsia" w:ascii="宋体" w:hAnsi="宋体" w:cs="宋体"/>
                <w:color w:val="000000"/>
                <w:sz w:val="32"/>
                <w:szCs w:val="32"/>
              </w:rPr>
              <w:t>项</w:t>
            </w:r>
          </w:p>
          <w:p w14:paraId="67148CB6">
            <w:pPr>
              <w:widowControl/>
              <w:jc w:val="center"/>
              <w:rPr>
                <w:rFonts w:ascii="宋体" w:hAnsi="宋体" w:cs="宋体"/>
                <w:color w:val="000000"/>
                <w:sz w:val="32"/>
                <w:szCs w:val="32"/>
              </w:rPr>
            </w:pPr>
            <w:r>
              <w:rPr>
                <w:rFonts w:hint="eastAsia" w:ascii="宋体" w:hAnsi="宋体" w:cs="宋体"/>
                <w:color w:val="000000"/>
                <w:sz w:val="32"/>
                <w:szCs w:val="32"/>
              </w:rPr>
              <w:t>目</w:t>
            </w:r>
          </w:p>
          <w:p w14:paraId="627660A0">
            <w:pPr>
              <w:widowControl/>
              <w:jc w:val="center"/>
              <w:rPr>
                <w:rFonts w:ascii="宋体" w:hAnsi="宋体" w:cs="宋体"/>
                <w:color w:val="000000"/>
                <w:sz w:val="32"/>
                <w:szCs w:val="32"/>
              </w:rPr>
            </w:pPr>
            <w:r>
              <w:rPr>
                <w:rFonts w:hint="eastAsia" w:ascii="宋体" w:hAnsi="宋体" w:cs="宋体"/>
                <w:color w:val="000000"/>
                <w:sz w:val="32"/>
                <w:szCs w:val="32"/>
              </w:rPr>
              <w:t>完</w:t>
            </w:r>
          </w:p>
          <w:p w14:paraId="0F87A24A">
            <w:pPr>
              <w:widowControl/>
              <w:jc w:val="center"/>
              <w:rPr>
                <w:rFonts w:ascii="宋体" w:hAnsi="宋体" w:cs="宋体"/>
                <w:color w:val="000000"/>
                <w:sz w:val="32"/>
                <w:szCs w:val="32"/>
              </w:rPr>
            </w:pPr>
            <w:r>
              <w:rPr>
                <w:rFonts w:hint="eastAsia" w:ascii="宋体" w:hAnsi="宋体" w:cs="宋体"/>
                <w:color w:val="000000"/>
                <w:sz w:val="32"/>
                <w:szCs w:val="32"/>
              </w:rPr>
              <w:t>成</w:t>
            </w:r>
          </w:p>
          <w:p w14:paraId="5857835D">
            <w:pPr>
              <w:widowControl/>
              <w:jc w:val="center"/>
              <w:rPr>
                <w:rFonts w:ascii="宋体" w:hAnsi="宋体" w:cs="宋体"/>
                <w:color w:val="000000"/>
                <w:sz w:val="32"/>
                <w:szCs w:val="32"/>
              </w:rPr>
            </w:pPr>
            <w:r>
              <w:rPr>
                <w:rFonts w:hint="eastAsia" w:ascii="宋体" w:hAnsi="宋体" w:cs="宋体"/>
                <w:color w:val="000000"/>
                <w:sz w:val="32"/>
                <w:szCs w:val="32"/>
              </w:rPr>
              <w:t>指</w:t>
            </w:r>
          </w:p>
          <w:p w14:paraId="3485F35A">
            <w:pPr>
              <w:widowControl/>
              <w:jc w:val="center"/>
              <w:rPr>
                <w:rFonts w:ascii="宋体" w:hAnsi="宋体" w:cs="宋体"/>
                <w:color w:val="000000"/>
                <w:sz w:val="32"/>
                <w:szCs w:val="32"/>
              </w:rPr>
            </w:pPr>
            <w:r>
              <w:rPr>
                <w:rFonts w:hint="eastAsia" w:ascii="宋体" w:hAnsi="宋体" w:cs="宋体"/>
                <w:color w:val="000000"/>
                <w:sz w:val="32"/>
                <w:szCs w:val="32"/>
              </w:rPr>
              <w:t>标</w:t>
            </w:r>
          </w:p>
          <w:p w14:paraId="14970011">
            <w:pPr>
              <w:widowControl/>
              <w:jc w:val="center"/>
              <w:rPr>
                <w:rFonts w:ascii="宋体" w:hAnsi="宋体" w:cs="宋体"/>
                <w:color w:val="000000"/>
                <w:sz w:val="18"/>
                <w:szCs w:val="18"/>
              </w:rPr>
            </w:pPr>
          </w:p>
          <w:p w14:paraId="62C1DCE7">
            <w:pPr>
              <w:widowControl/>
              <w:jc w:val="center"/>
              <w:rPr>
                <w:rFonts w:ascii="宋体" w:hAnsi="宋体" w:cs="宋体"/>
                <w:color w:val="000000"/>
                <w:sz w:val="18"/>
                <w:szCs w:val="18"/>
              </w:rPr>
            </w:pPr>
          </w:p>
          <w:p w14:paraId="37C9E988">
            <w:pPr>
              <w:widowControl/>
              <w:jc w:val="center"/>
            </w:pPr>
          </w:p>
        </w:tc>
        <w:tc>
          <w:tcPr>
            <w:tcW w:w="1631" w:type="dxa"/>
            <w:vMerge w:val="restart"/>
            <w:noWrap w:val="0"/>
            <w:vAlign w:val="center"/>
          </w:tcPr>
          <w:p w14:paraId="33AFD0A2">
            <w:pPr>
              <w:widowControl/>
              <w:jc w:val="center"/>
              <w:rPr>
                <w:rFonts w:ascii="宋体" w:hAnsi="宋体" w:cs="宋体"/>
                <w:color w:val="000000"/>
                <w:sz w:val="28"/>
                <w:szCs w:val="28"/>
              </w:rPr>
            </w:pPr>
            <w:r>
              <w:rPr>
                <w:rFonts w:hint="eastAsia" w:ascii="宋体" w:hAnsi="宋体" w:cs="宋体"/>
                <w:color w:val="000000"/>
                <w:sz w:val="28"/>
                <w:szCs w:val="28"/>
              </w:rPr>
              <w:t>数</w:t>
            </w:r>
          </w:p>
          <w:p w14:paraId="4CA0D42C">
            <w:pPr>
              <w:widowControl/>
              <w:jc w:val="center"/>
              <w:rPr>
                <w:rFonts w:ascii="宋体" w:hAnsi="宋体" w:cs="宋体"/>
                <w:color w:val="000000"/>
                <w:sz w:val="28"/>
                <w:szCs w:val="28"/>
              </w:rPr>
            </w:pPr>
            <w:r>
              <w:rPr>
                <w:rFonts w:hint="eastAsia" w:ascii="宋体" w:hAnsi="宋体" w:cs="宋体"/>
                <w:color w:val="000000"/>
                <w:sz w:val="28"/>
                <w:szCs w:val="28"/>
              </w:rPr>
              <w:t>量</w:t>
            </w:r>
          </w:p>
          <w:p w14:paraId="39D933BF">
            <w:pPr>
              <w:widowControl/>
              <w:jc w:val="center"/>
              <w:rPr>
                <w:rFonts w:ascii="宋体" w:hAnsi="宋体" w:cs="宋体"/>
                <w:color w:val="000000"/>
                <w:sz w:val="28"/>
                <w:szCs w:val="28"/>
              </w:rPr>
            </w:pPr>
            <w:r>
              <w:rPr>
                <w:rFonts w:hint="eastAsia" w:ascii="宋体" w:hAnsi="宋体" w:cs="宋体"/>
                <w:color w:val="000000"/>
                <w:sz w:val="28"/>
                <w:szCs w:val="28"/>
              </w:rPr>
              <w:t>指</w:t>
            </w:r>
          </w:p>
          <w:p w14:paraId="25E94CD8">
            <w:pPr>
              <w:widowControl/>
              <w:jc w:val="center"/>
            </w:pPr>
            <w:r>
              <w:rPr>
                <w:rFonts w:hint="eastAsia" w:ascii="宋体" w:hAnsi="宋体" w:cs="宋体"/>
                <w:color w:val="000000"/>
                <w:sz w:val="28"/>
                <w:szCs w:val="28"/>
              </w:rPr>
              <w:t>标</w:t>
            </w:r>
          </w:p>
        </w:tc>
        <w:tc>
          <w:tcPr>
            <w:tcW w:w="2221" w:type="dxa"/>
            <w:noWrap w:val="0"/>
            <w:vAlign w:val="bottom"/>
          </w:tcPr>
          <w:p w14:paraId="75DB279B">
            <w:pPr>
              <w:widowControl/>
              <w:jc w:val="left"/>
              <w:rPr>
                <w:rFonts w:ascii="宋体" w:hAnsi="宋体" w:eastAsia="宋体" w:cs="宋体"/>
                <w:color w:val="000000"/>
                <w:sz w:val="15"/>
                <w:szCs w:val="15"/>
                <w:lang w:val="en-US" w:eastAsia="zh-CN" w:bidi="ar-SA"/>
              </w:rPr>
            </w:pPr>
            <w:r>
              <w:rPr>
                <w:rFonts w:hint="eastAsia" w:ascii="宋体" w:hAnsi="宋体" w:cs="宋体"/>
                <w:color w:val="000000"/>
                <w:sz w:val="15"/>
                <w:szCs w:val="15"/>
              </w:rPr>
              <w:t xml:space="preserve"> 报告发现的结核病患者（包括耐多药结核患者）管理率（≥**%）</w:t>
            </w:r>
          </w:p>
        </w:tc>
        <w:tc>
          <w:tcPr>
            <w:tcW w:w="1398" w:type="dxa"/>
            <w:noWrap w:val="0"/>
            <w:vAlign w:val="center"/>
          </w:tcPr>
          <w:p w14:paraId="24068D71">
            <w:pPr>
              <w:widowControl/>
              <w:jc w:val="center"/>
              <w:rPr>
                <w:rFonts w:ascii="宋体" w:hAnsi="宋体" w:eastAsia="宋体" w:cs="宋体"/>
                <w:color w:val="000000"/>
                <w:sz w:val="15"/>
                <w:szCs w:val="15"/>
                <w:lang w:val="en-US" w:eastAsia="zh-CN" w:bidi="ar-SA"/>
              </w:rPr>
            </w:pPr>
          </w:p>
        </w:tc>
        <w:tc>
          <w:tcPr>
            <w:tcW w:w="1834" w:type="dxa"/>
            <w:noWrap w:val="0"/>
            <w:vAlign w:val="center"/>
          </w:tcPr>
          <w:p w14:paraId="32EACF8D">
            <w:pPr>
              <w:widowControl/>
              <w:jc w:val="center"/>
              <w:rPr>
                <w:rFonts w:ascii="宋体" w:hAnsi="宋体" w:eastAsia="宋体" w:cs="宋体"/>
                <w:color w:val="000000"/>
                <w:sz w:val="24"/>
                <w:szCs w:val="24"/>
                <w:lang w:val="en-US" w:eastAsia="zh-CN" w:bidi="ar-SA"/>
              </w:rPr>
            </w:pPr>
            <w:r>
              <w:rPr>
                <w:rFonts w:hint="eastAsia" w:ascii="宋体" w:hAnsi="宋体" w:cs="宋体"/>
                <w:color w:val="000000"/>
                <w:sz w:val="24"/>
              </w:rPr>
              <w:t>≥9</w:t>
            </w:r>
            <w:r>
              <w:rPr>
                <w:rFonts w:hint="eastAsia" w:ascii="宋体" w:hAnsi="宋体" w:cs="宋体"/>
                <w:color w:val="000000"/>
                <w:sz w:val="24"/>
                <w:lang w:val="en-US" w:eastAsia="zh-CN"/>
              </w:rPr>
              <w:t>2</w:t>
            </w:r>
            <w:r>
              <w:rPr>
                <w:rFonts w:hint="eastAsia" w:ascii="宋体" w:hAnsi="宋体" w:cs="宋体"/>
                <w:color w:val="000000"/>
                <w:sz w:val="24"/>
              </w:rPr>
              <w:t>％</w:t>
            </w:r>
          </w:p>
        </w:tc>
      </w:tr>
      <w:tr w14:paraId="372FA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blCellSpacing w:w="0" w:type="dxa"/>
          <w:jc w:val="center"/>
        </w:trPr>
        <w:tc>
          <w:tcPr>
            <w:tcW w:w="390" w:type="dxa"/>
            <w:vMerge w:val="continue"/>
            <w:noWrap w:val="0"/>
            <w:vAlign w:val="center"/>
          </w:tcPr>
          <w:p w14:paraId="1637056C">
            <w:pPr>
              <w:widowControl/>
              <w:jc w:val="left"/>
            </w:pPr>
          </w:p>
        </w:tc>
        <w:tc>
          <w:tcPr>
            <w:tcW w:w="862" w:type="dxa"/>
            <w:vMerge w:val="continue"/>
            <w:noWrap w:val="0"/>
            <w:vAlign w:val="center"/>
          </w:tcPr>
          <w:p w14:paraId="69C6EED2">
            <w:pPr>
              <w:widowControl/>
              <w:jc w:val="center"/>
            </w:pPr>
          </w:p>
        </w:tc>
        <w:tc>
          <w:tcPr>
            <w:tcW w:w="1631" w:type="dxa"/>
            <w:vMerge w:val="continue"/>
            <w:noWrap w:val="0"/>
            <w:vAlign w:val="center"/>
          </w:tcPr>
          <w:p w14:paraId="2469B0E0">
            <w:pPr>
              <w:widowControl/>
              <w:jc w:val="center"/>
            </w:pPr>
          </w:p>
        </w:tc>
        <w:tc>
          <w:tcPr>
            <w:tcW w:w="2221" w:type="dxa"/>
            <w:noWrap w:val="0"/>
            <w:vAlign w:val="bottom"/>
          </w:tcPr>
          <w:p w14:paraId="6D896E99">
            <w:pPr>
              <w:widowControl/>
              <w:jc w:val="left"/>
              <w:rPr>
                <w:rFonts w:ascii="宋体" w:hAnsi="宋体" w:eastAsia="宋体" w:cs="宋体"/>
                <w:color w:val="000000"/>
                <w:sz w:val="15"/>
                <w:szCs w:val="15"/>
                <w:lang w:val="en-US" w:eastAsia="zh-CN" w:bidi="ar-SA"/>
              </w:rPr>
            </w:pPr>
            <w:r>
              <w:rPr>
                <w:rFonts w:hint="eastAsia" w:ascii="宋体" w:hAnsi="宋体" w:cs="宋体"/>
                <w:color w:val="000000"/>
                <w:sz w:val="15"/>
                <w:szCs w:val="15"/>
              </w:rPr>
              <w:t xml:space="preserve"> 65岁以上老年人健康管理率（≥**%）</w:t>
            </w:r>
          </w:p>
        </w:tc>
        <w:tc>
          <w:tcPr>
            <w:tcW w:w="1398" w:type="dxa"/>
            <w:noWrap w:val="0"/>
            <w:vAlign w:val="center"/>
          </w:tcPr>
          <w:p w14:paraId="1671CD56">
            <w:pPr>
              <w:widowControl/>
              <w:jc w:val="center"/>
              <w:rPr>
                <w:rFonts w:ascii="宋体" w:hAnsi="宋体" w:eastAsia="宋体" w:cs="宋体"/>
                <w:color w:val="000000"/>
                <w:sz w:val="24"/>
                <w:szCs w:val="24"/>
                <w:lang w:val="en-US" w:eastAsia="zh-CN" w:bidi="ar-SA"/>
              </w:rPr>
            </w:pPr>
          </w:p>
        </w:tc>
        <w:tc>
          <w:tcPr>
            <w:tcW w:w="1834" w:type="dxa"/>
            <w:noWrap w:val="0"/>
            <w:vAlign w:val="center"/>
          </w:tcPr>
          <w:p w14:paraId="5972ACE1">
            <w:pPr>
              <w:widowControl/>
              <w:jc w:val="center"/>
              <w:rPr>
                <w:rFonts w:ascii="宋体" w:hAnsi="宋体" w:eastAsia="宋体" w:cs="宋体"/>
                <w:color w:val="000000"/>
                <w:sz w:val="24"/>
                <w:szCs w:val="24"/>
                <w:lang w:val="en-US" w:eastAsia="zh-CN" w:bidi="ar-SA"/>
              </w:rPr>
            </w:pPr>
            <w:r>
              <w:rPr>
                <w:rFonts w:hint="eastAsia" w:ascii="宋体" w:hAnsi="宋体" w:cs="宋体"/>
                <w:color w:val="000000"/>
                <w:sz w:val="24"/>
              </w:rPr>
              <w:t>≥</w:t>
            </w:r>
            <w:r>
              <w:rPr>
                <w:rFonts w:hint="eastAsia" w:ascii="宋体" w:hAnsi="宋体" w:cs="宋体"/>
                <w:color w:val="000000"/>
                <w:sz w:val="24"/>
                <w:lang w:val="en-US" w:eastAsia="zh-CN"/>
              </w:rPr>
              <w:t>8.7</w:t>
            </w:r>
            <w:r>
              <w:rPr>
                <w:rFonts w:hint="eastAsia" w:ascii="宋体" w:hAnsi="宋体" w:cs="宋体"/>
                <w:color w:val="000000"/>
                <w:sz w:val="24"/>
              </w:rPr>
              <w:t>％</w:t>
            </w:r>
          </w:p>
        </w:tc>
      </w:tr>
      <w:tr w14:paraId="516F6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blCellSpacing w:w="0" w:type="dxa"/>
          <w:jc w:val="center"/>
        </w:trPr>
        <w:tc>
          <w:tcPr>
            <w:tcW w:w="390" w:type="dxa"/>
            <w:vMerge w:val="continue"/>
            <w:noWrap w:val="0"/>
            <w:vAlign w:val="center"/>
          </w:tcPr>
          <w:p w14:paraId="7572F642">
            <w:pPr>
              <w:widowControl/>
              <w:jc w:val="left"/>
            </w:pPr>
          </w:p>
        </w:tc>
        <w:tc>
          <w:tcPr>
            <w:tcW w:w="862" w:type="dxa"/>
            <w:vMerge w:val="continue"/>
            <w:noWrap w:val="0"/>
            <w:vAlign w:val="center"/>
          </w:tcPr>
          <w:p w14:paraId="34887F3D">
            <w:pPr>
              <w:widowControl/>
              <w:jc w:val="center"/>
            </w:pPr>
          </w:p>
        </w:tc>
        <w:tc>
          <w:tcPr>
            <w:tcW w:w="1631" w:type="dxa"/>
            <w:vMerge w:val="continue"/>
            <w:noWrap w:val="0"/>
            <w:vAlign w:val="center"/>
          </w:tcPr>
          <w:p w14:paraId="22786D2D">
            <w:pPr>
              <w:widowControl/>
              <w:jc w:val="center"/>
            </w:pPr>
          </w:p>
        </w:tc>
        <w:tc>
          <w:tcPr>
            <w:tcW w:w="2221" w:type="dxa"/>
            <w:noWrap w:val="0"/>
            <w:vAlign w:val="bottom"/>
          </w:tcPr>
          <w:p w14:paraId="3DB48142">
            <w:pPr>
              <w:widowControl/>
              <w:jc w:val="left"/>
              <w:rPr>
                <w:rFonts w:ascii="宋体" w:hAnsi="宋体" w:eastAsia="宋体" w:cs="宋体"/>
                <w:color w:val="000000"/>
                <w:sz w:val="15"/>
                <w:szCs w:val="15"/>
                <w:lang w:val="en-US" w:eastAsia="zh-CN" w:bidi="ar-SA"/>
              </w:rPr>
            </w:pPr>
            <w:r>
              <w:rPr>
                <w:rFonts w:hint="eastAsia" w:ascii="宋体" w:hAnsi="宋体" w:cs="宋体"/>
                <w:color w:val="000000"/>
                <w:sz w:val="15"/>
                <w:szCs w:val="15"/>
              </w:rPr>
              <w:t xml:space="preserve"> 艾滋病感染者/病人随访检测比例（≥**%）</w:t>
            </w:r>
          </w:p>
        </w:tc>
        <w:tc>
          <w:tcPr>
            <w:tcW w:w="1398" w:type="dxa"/>
            <w:noWrap w:val="0"/>
            <w:vAlign w:val="center"/>
          </w:tcPr>
          <w:p w14:paraId="414D56C2">
            <w:pPr>
              <w:widowControl/>
              <w:jc w:val="center"/>
              <w:rPr>
                <w:rFonts w:ascii="宋体" w:hAnsi="宋体" w:eastAsia="宋体" w:cs="宋体"/>
                <w:color w:val="000000"/>
                <w:sz w:val="24"/>
                <w:szCs w:val="24"/>
                <w:lang w:val="en-US" w:eastAsia="zh-CN" w:bidi="ar-SA"/>
              </w:rPr>
            </w:pPr>
          </w:p>
        </w:tc>
        <w:tc>
          <w:tcPr>
            <w:tcW w:w="1834" w:type="dxa"/>
            <w:noWrap w:val="0"/>
            <w:vAlign w:val="center"/>
          </w:tcPr>
          <w:p w14:paraId="3C0859A8">
            <w:pPr>
              <w:widowControl/>
              <w:jc w:val="center"/>
              <w:rPr>
                <w:rFonts w:ascii="宋体" w:hAnsi="宋体" w:eastAsia="宋体" w:cs="宋体"/>
                <w:color w:val="000000"/>
                <w:sz w:val="24"/>
                <w:szCs w:val="24"/>
                <w:lang w:val="en-US" w:eastAsia="zh-CN" w:bidi="ar-SA"/>
              </w:rPr>
            </w:pPr>
            <w:r>
              <w:rPr>
                <w:rFonts w:hint="eastAsia" w:ascii="宋体" w:hAnsi="宋体" w:cs="宋体"/>
                <w:color w:val="000000"/>
                <w:sz w:val="24"/>
              </w:rPr>
              <w:t>≥100％</w:t>
            </w:r>
          </w:p>
        </w:tc>
      </w:tr>
      <w:tr w14:paraId="59D37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blCellSpacing w:w="0" w:type="dxa"/>
          <w:jc w:val="center"/>
        </w:trPr>
        <w:tc>
          <w:tcPr>
            <w:tcW w:w="390" w:type="dxa"/>
            <w:vMerge w:val="continue"/>
            <w:noWrap w:val="0"/>
            <w:vAlign w:val="center"/>
          </w:tcPr>
          <w:p w14:paraId="1CC54B78">
            <w:pPr>
              <w:widowControl/>
              <w:jc w:val="left"/>
            </w:pPr>
          </w:p>
        </w:tc>
        <w:tc>
          <w:tcPr>
            <w:tcW w:w="862" w:type="dxa"/>
            <w:vMerge w:val="continue"/>
            <w:noWrap w:val="0"/>
            <w:vAlign w:val="center"/>
          </w:tcPr>
          <w:p w14:paraId="45B46C58">
            <w:pPr>
              <w:widowControl/>
              <w:jc w:val="center"/>
            </w:pPr>
          </w:p>
        </w:tc>
        <w:tc>
          <w:tcPr>
            <w:tcW w:w="1631" w:type="dxa"/>
            <w:vMerge w:val="continue"/>
            <w:noWrap w:val="0"/>
            <w:vAlign w:val="center"/>
          </w:tcPr>
          <w:p w14:paraId="028E6DE5">
            <w:pPr>
              <w:widowControl/>
              <w:jc w:val="center"/>
            </w:pPr>
          </w:p>
        </w:tc>
        <w:tc>
          <w:tcPr>
            <w:tcW w:w="2221" w:type="dxa"/>
            <w:noWrap w:val="0"/>
            <w:vAlign w:val="bottom"/>
          </w:tcPr>
          <w:p w14:paraId="39DDC1F8">
            <w:pPr>
              <w:widowControl/>
              <w:jc w:val="left"/>
              <w:rPr>
                <w:rFonts w:ascii="宋体" w:hAnsi="宋体" w:eastAsia="宋体" w:cs="宋体"/>
                <w:color w:val="000000"/>
                <w:sz w:val="15"/>
                <w:szCs w:val="15"/>
                <w:lang w:val="en-US" w:eastAsia="zh-CN" w:bidi="ar-SA"/>
              </w:rPr>
            </w:pPr>
            <w:r>
              <w:rPr>
                <w:rFonts w:hint="eastAsia" w:ascii="宋体" w:hAnsi="宋体" w:cs="宋体"/>
                <w:color w:val="000000"/>
                <w:sz w:val="15"/>
                <w:szCs w:val="15"/>
              </w:rPr>
              <w:t xml:space="preserve"> 艾滋病抗病毒治疗人数（≥**万人）</w:t>
            </w:r>
          </w:p>
        </w:tc>
        <w:tc>
          <w:tcPr>
            <w:tcW w:w="1398" w:type="dxa"/>
            <w:noWrap w:val="0"/>
            <w:vAlign w:val="center"/>
          </w:tcPr>
          <w:p w14:paraId="6F4F8199">
            <w:pPr>
              <w:widowControl/>
              <w:jc w:val="center"/>
              <w:rPr>
                <w:rFonts w:ascii="宋体" w:hAnsi="宋体" w:eastAsia="宋体" w:cs="宋体"/>
                <w:color w:val="000000"/>
                <w:sz w:val="24"/>
                <w:szCs w:val="24"/>
                <w:lang w:val="en-US" w:eastAsia="zh-CN" w:bidi="ar-SA"/>
              </w:rPr>
            </w:pPr>
          </w:p>
        </w:tc>
        <w:tc>
          <w:tcPr>
            <w:tcW w:w="1834" w:type="dxa"/>
            <w:noWrap w:val="0"/>
            <w:vAlign w:val="center"/>
          </w:tcPr>
          <w:p w14:paraId="3F0F08FF">
            <w:pPr>
              <w:widowControl/>
              <w:jc w:val="center"/>
              <w:rPr>
                <w:rFonts w:ascii="宋体" w:hAnsi="宋体" w:eastAsia="宋体" w:cs="宋体"/>
                <w:color w:val="000000"/>
                <w:sz w:val="24"/>
                <w:szCs w:val="24"/>
                <w:lang w:val="en-US" w:eastAsia="zh-CN" w:bidi="ar-SA"/>
              </w:rPr>
            </w:pPr>
            <w:r>
              <w:rPr>
                <w:rFonts w:hint="eastAsia" w:ascii="宋体" w:hAnsi="宋体" w:cs="宋体"/>
                <w:color w:val="000000"/>
                <w:sz w:val="24"/>
              </w:rPr>
              <w:t>0.00</w:t>
            </w:r>
            <w:r>
              <w:rPr>
                <w:rFonts w:hint="eastAsia" w:ascii="宋体" w:hAnsi="宋体" w:cs="宋体"/>
                <w:color w:val="000000"/>
                <w:sz w:val="24"/>
                <w:lang w:val="en-US" w:eastAsia="zh-CN"/>
              </w:rPr>
              <w:t>33</w:t>
            </w:r>
          </w:p>
        </w:tc>
      </w:tr>
      <w:tr w14:paraId="46FB30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blCellSpacing w:w="0" w:type="dxa"/>
          <w:jc w:val="center"/>
        </w:trPr>
        <w:tc>
          <w:tcPr>
            <w:tcW w:w="390" w:type="dxa"/>
            <w:vMerge w:val="continue"/>
            <w:noWrap w:val="0"/>
            <w:vAlign w:val="center"/>
          </w:tcPr>
          <w:p w14:paraId="31C5C866">
            <w:pPr>
              <w:widowControl/>
              <w:jc w:val="left"/>
            </w:pPr>
          </w:p>
        </w:tc>
        <w:tc>
          <w:tcPr>
            <w:tcW w:w="862" w:type="dxa"/>
            <w:vMerge w:val="continue"/>
            <w:noWrap w:val="0"/>
            <w:vAlign w:val="center"/>
          </w:tcPr>
          <w:p w14:paraId="14FB85EE">
            <w:pPr>
              <w:widowControl/>
              <w:jc w:val="center"/>
            </w:pPr>
          </w:p>
        </w:tc>
        <w:tc>
          <w:tcPr>
            <w:tcW w:w="1631" w:type="dxa"/>
            <w:vMerge w:val="continue"/>
            <w:noWrap w:val="0"/>
            <w:vAlign w:val="center"/>
          </w:tcPr>
          <w:p w14:paraId="0FA45DEE">
            <w:pPr>
              <w:widowControl/>
              <w:jc w:val="center"/>
            </w:pPr>
          </w:p>
        </w:tc>
        <w:tc>
          <w:tcPr>
            <w:tcW w:w="2221" w:type="dxa"/>
            <w:noWrap w:val="0"/>
            <w:vAlign w:val="bottom"/>
          </w:tcPr>
          <w:p w14:paraId="604F023F">
            <w:pPr>
              <w:widowControl/>
              <w:jc w:val="left"/>
              <w:rPr>
                <w:rFonts w:ascii="宋体" w:hAnsi="宋体" w:eastAsia="宋体" w:cs="宋体"/>
                <w:color w:val="000000"/>
                <w:sz w:val="15"/>
                <w:szCs w:val="15"/>
                <w:lang w:val="en-US" w:eastAsia="zh-CN" w:bidi="ar-SA"/>
              </w:rPr>
            </w:pPr>
            <w:r>
              <w:rPr>
                <w:rFonts w:hint="eastAsia" w:ascii="宋体" w:hAnsi="宋体" w:cs="宋体"/>
                <w:color w:val="000000"/>
                <w:sz w:val="15"/>
                <w:szCs w:val="15"/>
              </w:rPr>
              <w:t xml:space="preserve"> 筛查肺结核可疑患者人数（＞**万人）</w:t>
            </w:r>
          </w:p>
        </w:tc>
        <w:tc>
          <w:tcPr>
            <w:tcW w:w="1398" w:type="dxa"/>
            <w:noWrap w:val="0"/>
            <w:vAlign w:val="center"/>
          </w:tcPr>
          <w:p w14:paraId="30E96506">
            <w:pPr>
              <w:widowControl/>
              <w:jc w:val="center"/>
              <w:rPr>
                <w:rFonts w:ascii="宋体" w:hAnsi="宋体" w:eastAsia="宋体" w:cs="宋体"/>
                <w:color w:val="000000"/>
                <w:sz w:val="24"/>
                <w:szCs w:val="24"/>
                <w:lang w:val="en-US" w:eastAsia="zh-CN" w:bidi="ar-SA"/>
              </w:rPr>
            </w:pPr>
          </w:p>
        </w:tc>
        <w:tc>
          <w:tcPr>
            <w:tcW w:w="1834" w:type="dxa"/>
            <w:noWrap w:val="0"/>
            <w:vAlign w:val="center"/>
          </w:tcPr>
          <w:p w14:paraId="2EFA9401">
            <w:pPr>
              <w:widowControl/>
              <w:jc w:val="center"/>
              <w:rPr>
                <w:rFonts w:ascii="宋体" w:hAnsi="宋体" w:eastAsia="宋体" w:cs="宋体"/>
                <w:color w:val="000000"/>
                <w:sz w:val="24"/>
                <w:szCs w:val="24"/>
                <w:lang w:val="en-US" w:eastAsia="zh-CN" w:bidi="ar-SA"/>
              </w:rPr>
            </w:pPr>
            <w:r>
              <w:rPr>
                <w:rFonts w:hint="eastAsia" w:ascii="宋体" w:hAnsi="宋体" w:cs="宋体"/>
                <w:color w:val="000000"/>
                <w:sz w:val="24"/>
              </w:rPr>
              <w:t>0.002</w:t>
            </w:r>
          </w:p>
        </w:tc>
      </w:tr>
      <w:tr w14:paraId="42089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blCellSpacing w:w="0" w:type="dxa"/>
          <w:jc w:val="center"/>
        </w:trPr>
        <w:tc>
          <w:tcPr>
            <w:tcW w:w="390" w:type="dxa"/>
            <w:vMerge w:val="continue"/>
            <w:noWrap w:val="0"/>
            <w:vAlign w:val="center"/>
          </w:tcPr>
          <w:p w14:paraId="34AA8397">
            <w:pPr>
              <w:widowControl/>
              <w:jc w:val="left"/>
            </w:pPr>
          </w:p>
        </w:tc>
        <w:tc>
          <w:tcPr>
            <w:tcW w:w="862" w:type="dxa"/>
            <w:vMerge w:val="continue"/>
            <w:noWrap w:val="0"/>
            <w:vAlign w:val="center"/>
          </w:tcPr>
          <w:p w14:paraId="7A0DA317">
            <w:pPr>
              <w:widowControl/>
              <w:jc w:val="center"/>
            </w:pPr>
          </w:p>
        </w:tc>
        <w:tc>
          <w:tcPr>
            <w:tcW w:w="1631" w:type="dxa"/>
            <w:vMerge w:val="continue"/>
            <w:noWrap w:val="0"/>
            <w:vAlign w:val="center"/>
          </w:tcPr>
          <w:p w14:paraId="55655163">
            <w:pPr>
              <w:widowControl/>
              <w:jc w:val="center"/>
            </w:pPr>
          </w:p>
        </w:tc>
        <w:tc>
          <w:tcPr>
            <w:tcW w:w="2221" w:type="dxa"/>
            <w:noWrap w:val="0"/>
            <w:vAlign w:val="bottom"/>
          </w:tcPr>
          <w:p w14:paraId="6DB9C148">
            <w:pPr>
              <w:widowControl/>
              <w:jc w:val="left"/>
              <w:rPr>
                <w:rFonts w:ascii="宋体" w:hAnsi="宋体" w:eastAsia="宋体" w:cs="宋体"/>
                <w:color w:val="000000"/>
                <w:sz w:val="15"/>
                <w:szCs w:val="15"/>
                <w:lang w:val="en-US" w:eastAsia="zh-CN" w:bidi="ar-SA"/>
              </w:rPr>
            </w:pPr>
            <w:r>
              <w:rPr>
                <w:rFonts w:hint="eastAsia" w:ascii="宋体" w:hAnsi="宋体" w:cs="宋体"/>
                <w:color w:val="000000"/>
                <w:sz w:val="15"/>
                <w:szCs w:val="15"/>
              </w:rPr>
              <w:t xml:space="preserve"> 发现并治疗活动性肺结核患者人数（＞**万人）</w:t>
            </w:r>
          </w:p>
        </w:tc>
        <w:tc>
          <w:tcPr>
            <w:tcW w:w="1398" w:type="dxa"/>
            <w:noWrap w:val="0"/>
            <w:vAlign w:val="center"/>
          </w:tcPr>
          <w:p w14:paraId="167969FB">
            <w:pPr>
              <w:widowControl/>
              <w:jc w:val="center"/>
              <w:rPr>
                <w:rFonts w:ascii="宋体" w:hAnsi="宋体" w:eastAsia="宋体" w:cs="宋体"/>
                <w:color w:val="000000"/>
                <w:sz w:val="24"/>
                <w:szCs w:val="24"/>
                <w:lang w:val="en-US" w:eastAsia="zh-CN" w:bidi="ar-SA"/>
              </w:rPr>
            </w:pPr>
          </w:p>
        </w:tc>
        <w:tc>
          <w:tcPr>
            <w:tcW w:w="1834" w:type="dxa"/>
            <w:noWrap w:val="0"/>
            <w:vAlign w:val="center"/>
          </w:tcPr>
          <w:p w14:paraId="77810A97">
            <w:pPr>
              <w:widowControl/>
              <w:jc w:val="center"/>
              <w:rPr>
                <w:rFonts w:ascii="宋体" w:hAnsi="宋体" w:eastAsia="宋体" w:cs="宋体"/>
                <w:color w:val="000000"/>
                <w:sz w:val="24"/>
                <w:szCs w:val="24"/>
                <w:lang w:val="en-US" w:eastAsia="zh-CN" w:bidi="ar-SA"/>
              </w:rPr>
            </w:pPr>
            <w:r>
              <w:rPr>
                <w:rFonts w:hint="eastAsia" w:ascii="宋体" w:hAnsi="宋体" w:cs="宋体"/>
                <w:color w:val="000000"/>
                <w:sz w:val="24"/>
              </w:rPr>
              <w:t>0.009</w:t>
            </w:r>
          </w:p>
        </w:tc>
      </w:tr>
      <w:tr w14:paraId="140B2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blCellSpacing w:w="0" w:type="dxa"/>
          <w:jc w:val="center"/>
        </w:trPr>
        <w:tc>
          <w:tcPr>
            <w:tcW w:w="390" w:type="dxa"/>
            <w:vMerge w:val="continue"/>
            <w:noWrap w:val="0"/>
            <w:vAlign w:val="center"/>
          </w:tcPr>
          <w:p w14:paraId="5B9168E7">
            <w:pPr>
              <w:widowControl/>
              <w:jc w:val="left"/>
            </w:pPr>
          </w:p>
        </w:tc>
        <w:tc>
          <w:tcPr>
            <w:tcW w:w="862" w:type="dxa"/>
            <w:vMerge w:val="continue"/>
            <w:noWrap w:val="0"/>
            <w:vAlign w:val="center"/>
          </w:tcPr>
          <w:p w14:paraId="6A433682">
            <w:pPr>
              <w:widowControl/>
              <w:jc w:val="center"/>
            </w:pPr>
          </w:p>
        </w:tc>
        <w:tc>
          <w:tcPr>
            <w:tcW w:w="1631" w:type="dxa"/>
            <w:vMerge w:val="continue"/>
            <w:noWrap w:val="0"/>
            <w:vAlign w:val="center"/>
          </w:tcPr>
          <w:p w14:paraId="2CD416C0">
            <w:pPr>
              <w:widowControl/>
              <w:jc w:val="center"/>
            </w:pPr>
          </w:p>
        </w:tc>
        <w:tc>
          <w:tcPr>
            <w:tcW w:w="2221" w:type="dxa"/>
            <w:noWrap w:val="0"/>
            <w:vAlign w:val="bottom"/>
          </w:tcPr>
          <w:p w14:paraId="28CDB9B0">
            <w:pPr>
              <w:widowControl/>
              <w:jc w:val="left"/>
              <w:rPr>
                <w:rFonts w:ascii="宋体" w:hAnsi="宋体" w:eastAsia="宋体" w:cs="宋体"/>
                <w:color w:val="000000"/>
                <w:sz w:val="24"/>
                <w:szCs w:val="24"/>
                <w:lang w:val="en-US" w:eastAsia="zh-CN" w:bidi="ar-SA"/>
              </w:rPr>
            </w:pPr>
            <w:r>
              <w:rPr>
                <w:rFonts w:hint="eastAsia" w:ascii="宋体" w:hAnsi="宋体" w:cs="宋体"/>
                <w:color w:val="000000"/>
                <w:sz w:val="15"/>
                <w:szCs w:val="15"/>
              </w:rPr>
              <w:t xml:space="preserve"> 包虫病免费药物治疗（**万人）</w:t>
            </w:r>
          </w:p>
        </w:tc>
        <w:tc>
          <w:tcPr>
            <w:tcW w:w="1398" w:type="dxa"/>
            <w:noWrap w:val="0"/>
            <w:vAlign w:val="center"/>
          </w:tcPr>
          <w:p w14:paraId="1C63C46D">
            <w:pPr>
              <w:widowControl/>
              <w:jc w:val="center"/>
              <w:rPr>
                <w:rFonts w:ascii="宋体" w:hAnsi="宋体" w:eastAsia="宋体" w:cs="宋体"/>
                <w:color w:val="000000"/>
                <w:sz w:val="24"/>
                <w:szCs w:val="24"/>
                <w:lang w:val="en-US" w:eastAsia="zh-CN" w:bidi="ar-SA"/>
              </w:rPr>
            </w:pPr>
          </w:p>
        </w:tc>
        <w:tc>
          <w:tcPr>
            <w:tcW w:w="1834" w:type="dxa"/>
            <w:noWrap w:val="0"/>
            <w:vAlign w:val="center"/>
          </w:tcPr>
          <w:p w14:paraId="6CAD1AB1">
            <w:pPr>
              <w:widowControl/>
              <w:jc w:val="center"/>
              <w:rPr>
                <w:rFonts w:hint="eastAsia" w:ascii="宋体" w:hAnsi="宋体" w:eastAsia="宋体" w:cs="宋体"/>
                <w:color w:val="000000"/>
                <w:sz w:val="24"/>
                <w:szCs w:val="24"/>
                <w:lang w:val="en-US" w:eastAsia="zh-CN" w:bidi="ar-SA"/>
              </w:rPr>
            </w:pPr>
            <w:r>
              <w:rPr>
                <w:rFonts w:hint="eastAsia" w:ascii="宋体" w:hAnsi="宋体" w:cs="宋体"/>
                <w:color w:val="000000"/>
                <w:sz w:val="24"/>
              </w:rPr>
              <w:t>=0.012</w:t>
            </w:r>
            <w:r>
              <w:rPr>
                <w:rFonts w:hint="eastAsia" w:ascii="宋体" w:hAnsi="宋体" w:cs="宋体"/>
                <w:color w:val="000000"/>
                <w:sz w:val="24"/>
                <w:lang w:val="en-US" w:eastAsia="zh-CN"/>
              </w:rPr>
              <w:t>8</w:t>
            </w:r>
          </w:p>
        </w:tc>
      </w:tr>
      <w:tr w14:paraId="58198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blCellSpacing w:w="0" w:type="dxa"/>
          <w:jc w:val="center"/>
        </w:trPr>
        <w:tc>
          <w:tcPr>
            <w:tcW w:w="390" w:type="dxa"/>
            <w:vMerge w:val="continue"/>
            <w:noWrap w:val="0"/>
            <w:vAlign w:val="center"/>
          </w:tcPr>
          <w:p w14:paraId="65B64D71">
            <w:pPr>
              <w:widowControl/>
              <w:jc w:val="left"/>
            </w:pPr>
          </w:p>
        </w:tc>
        <w:tc>
          <w:tcPr>
            <w:tcW w:w="862" w:type="dxa"/>
            <w:vMerge w:val="continue"/>
            <w:noWrap w:val="0"/>
            <w:vAlign w:val="center"/>
          </w:tcPr>
          <w:p w14:paraId="2094A947">
            <w:pPr>
              <w:widowControl/>
              <w:jc w:val="center"/>
            </w:pPr>
          </w:p>
        </w:tc>
        <w:tc>
          <w:tcPr>
            <w:tcW w:w="1631" w:type="dxa"/>
            <w:vMerge w:val="continue"/>
            <w:noWrap w:val="0"/>
            <w:vAlign w:val="center"/>
          </w:tcPr>
          <w:p w14:paraId="24B4629F">
            <w:pPr>
              <w:widowControl/>
              <w:jc w:val="center"/>
            </w:pPr>
          </w:p>
        </w:tc>
        <w:tc>
          <w:tcPr>
            <w:tcW w:w="2221" w:type="dxa"/>
            <w:noWrap w:val="0"/>
            <w:vAlign w:val="bottom"/>
          </w:tcPr>
          <w:p w14:paraId="53E6BBA0">
            <w:pPr>
              <w:widowControl/>
              <w:jc w:val="left"/>
              <w:rPr>
                <w:rFonts w:ascii="宋体" w:hAnsi="宋体" w:eastAsia="宋体" w:cs="宋体"/>
                <w:color w:val="000000"/>
                <w:sz w:val="15"/>
                <w:szCs w:val="15"/>
                <w:lang w:val="en-US" w:eastAsia="zh-CN" w:bidi="ar-SA"/>
              </w:rPr>
            </w:pPr>
            <w:r>
              <w:rPr>
                <w:rFonts w:hint="eastAsia" w:ascii="宋体" w:hAnsi="宋体" w:cs="宋体"/>
                <w:color w:val="000000"/>
                <w:sz w:val="15"/>
                <w:szCs w:val="15"/>
              </w:rPr>
              <w:t xml:space="preserve"> 严重精神障碍患者筛查诊断（**人）</w:t>
            </w:r>
          </w:p>
        </w:tc>
        <w:tc>
          <w:tcPr>
            <w:tcW w:w="1398" w:type="dxa"/>
            <w:noWrap w:val="0"/>
            <w:vAlign w:val="center"/>
          </w:tcPr>
          <w:p w14:paraId="1AD347AE">
            <w:pPr>
              <w:widowControl/>
              <w:jc w:val="center"/>
              <w:rPr>
                <w:rFonts w:ascii="宋体" w:hAnsi="宋体" w:eastAsia="宋体" w:cs="宋体"/>
                <w:color w:val="000000"/>
                <w:sz w:val="24"/>
                <w:szCs w:val="24"/>
                <w:lang w:val="en-US" w:eastAsia="zh-CN" w:bidi="ar-SA"/>
              </w:rPr>
            </w:pPr>
          </w:p>
        </w:tc>
        <w:tc>
          <w:tcPr>
            <w:tcW w:w="1834" w:type="dxa"/>
            <w:noWrap w:val="0"/>
            <w:vAlign w:val="center"/>
          </w:tcPr>
          <w:p w14:paraId="7FCA95BF">
            <w:pPr>
              <w:widowControl/>
              <w:jc w:val="center"/>
              <w:rPr>
                <w:rFonts w:ascii="宋体" w:hAnsi="宋体" w:eastAsia="宋体" w:cs="宋体"/>
                <w:color w:val="000000"/>
                <w:sz w:val="24"/>
                <w:szCs w:val="24"/>
                <w:lang w:val="en-US" w:eastAsia="zh-CN" w:bidi="ar-SA"/>
              </w:rPr>
            </w:pPr>
            <w:r>
              <w:rPr>
                <w:rFonts w:hint="eastAsia" w:ascii="宋体" w:hAnsi="宋体" w:cs="宋体"/>
                <w:color w:val="000000"/>
                <w:sz w:val="24"/>
                <w:lang w:val="en-US" w:eastAsia="zh-CN"/>
              </w:rPr>
              <w:t>91</w:t>
            </w:r>
          </w:p>
        </w:tc>
      </w:tr>
      <w:tr w14:paraId="437C5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blCellSpacing w:w="0" w:type="dxa"/>
          <w:jc w:val="center"/>
        </w:trPr>
        <w:tc>
          <w:tcPr>
            <w:tcW w:w="390" w:type="dxa"/>
            <w:vMerge w:val="continue"/>
            <w:noWrap w:val="0"/>
            <w:vAlign w:val="center"/>
          </w:tcPr>
          <w:p w14:paraId="43330497">
            <w:pPr>
              <w:widowControl/>
              <w:jc w:val="left"/>
            </w:pPr>
          </w:p>
        </w:tc>
        <w:tc>
          <w:tcPr>
            <w:tcW w:w="862" w:type="dxa"/>
            <w:vMerge w:val="continue"/>
            <w:noWrap w:val="0"/>
            <w:vAlign w:val="center"/>
          </w:tcPr>
          <w:p w14:paraId="1F25F009">
            <w:pPr>
              <w:widowControl/>
              <w:jc w:val="center"/>
            </w:pPr>
          </w:p>
        </w:tc>
        <w:tc>
          <w:tcPr>
            <w:tcW w:w="1631" w:type="dxa"/>
            <w:vMerge w:val="continue"/>
            <w:noWrap w:val="0"/>
            <w:vAlign w:val="center"/>
          </w:tcPr>
          <w:p w14:paraId="49B61CC8">
            <w:pPr>
              <w:widowControl/>
              <w:jc w:val="center"/>
            </w:pPr>
          </w:p>
        </w:tc>
        <w:tc>
          <w:tcPr>
            <w:tcW w:w="2221" w:type="dxa"/>
            <w:noWrap w:val="0"/>
            <w:vAlign w:val="bottom"/>
          </w:tcPr>
          <w:p w14:paraId="7D6DFAA3">
            <w:pPr>
              <w:widowControl/>
              <w:jc w:val="left"/>
              <w:rPr>
                <w:rFonts w:ascii="宋体" w:hAnsi="宋体" w:eastAsia="宋体" w:cs="宋体"/>
                <w:color w:val="000000"/>
                <w:sz w:val="15"/>
                <w:szCs w:val="15"/>
                <w:lang w:val="en-US" w:eastAsia="zh-CN" w:bidi="ar-SA"/>
              </w:rPr>
            </w:pPr>
            <w:r>
              <w:rPr>
                <w:rFonts w:hint="eastAsia" w:ascii="宋体" w:hAnsi="宋体" w:cs="宋体"/>
                <w:color w:val="000000"/>
                <w:sz w:val="15"/>
                <w:szCs w:val="15"/>
              </w:rPr>
              <w:t xml:space="preserve"> 心血管病高危人群早筛查人数（**人）</w:t>
            </w:r>
          </w:p>
        </w:tc>
        <w:tc>
          <w:tcPr>
            <w:tcW w:w="1398" w:type="dxa"/>
            <w:noWrap w:val="0"/>
            <w:vAlign w:val="center"/>
          </w:tcPr>
          <w:p w14:paraId="0EC2171D">
            <w:pPr>
              <w:widowControl/>
              <w:jc w:val="center"/>
              <w:rPr>
                <w:rFonts w:ascii="宋体" w:hAnsi="宋体" w:eastAsia="宋体" w:cs="宋体"/>
                <w:color w:val="000000"/>
                <w:sz w:val="24"/>
                <w:szCs w:val="24"/>
                <w:lang w:val="en-US" w:eastAsia="zh-CN" w:bidi="ar-SA"/>
              </w:rPr>
            </w:pPr>
          </w:p>
        </w:tc>
        <w:tc>
          <w:tcPr>
            <w:tcW w:w="1834" w:type="dxa"/>
            <w:noWrap w:val="0"/>
            <w:vAlign w:val="center"/>
          </w:tcPr>
          <w:p w14:paraId="75500238">
            <w:pPr>
              <w:widowControl/>
              <w:jc w:val="center"/>
              <w:rPr>
                <w:rFonts w:ascii="宋体" w:hAnsi="宋体" w:eastAsia="宋体" w:cs="宋体"/>
                <w:color w:val="000000"/>
                <w:sz w:val="24"/>
                <w:szCs w:val="24"/>
                <w:lang w:val="en-US" w:eastAsia="zh-CN" w:bidi="ar-SA"/>
              </w:rPr>
            </w:pPr>
            <w:r>
              <w:rPr>
                <w:rFonts w:hint="eastAsia" w:ascii="宋体" w:hAnsi="宋体" w:cs="宋体"/>
                <w:color w:val="000000"/>
                <w:sz w:val="24"/>
              </w:rPr>
              <w:t>0</w:t>
            </w:r>
          </w:p>
        </w:tc>
      </w:tr>
      <w:tr w14:paraId="2A7AC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blCellSpacing w:w="0" w:type="dxa"/>
          <w:jc w:val="center"/>
        </w:trPr>
        <w:tc>
          <w:tcPr>
            <w:tcW w:w="390" w:type="dxa"/>
            <w:vMerge w:val="continue"/>
            <w:noWrap w:val="0"/>
            <w:vAlign w:val="center"/>
          </w:tcPr>
          <w:p w14:paraId="4D44B621">
            <w:pPr>
              <w:widowControl/>
              <w:jc w:val="left"/>
            </w:pPr>
          </w:p>
        </w:tc>
        <w:tc>
          <w:tcPr>
            <w:tcW w:w="862" w:type="dxa"/>
            <w:vMerge w:val="continue"/>
            <w:noWrap w:val="0"/>
            <w:vAlign w:val="center"/>
          </w:tcPr>
          <w:p w14:paraId="7F26198A">
            <w:pPr>
              <w:widowControl/>
              <w:jc w:val="center"/>
            </w:pPr>
          </w:p>
        </w:tc>
        <w:tc>
          <w:tcPr>
            <w:tcW w:w="1631" w:type="dxa"/>
            <w:vMerge w:val="continue"/>
            <w:noWrap w:val="0"/>
            <w:vAlign w:val="center"/>
          </w:tcPr>
          <w:p w14:paraId="694A9730">
            <w:pPr>
              <w:widowControl/>
              <w:jc w:val="center"/>
            </w:pPr>
          </w:p>
        </w:tc>
        <w:tc>
          <w:tcPr>
            <w:tcW w:w="2221" w:type="dxa"/>
            <w:noWrap w:val="0"/>
            <w:vAlign w:val="bottom"/>
          </w:tcPr>
          <w:p w14:paraId="5796B139">
            <w:pPr>
              <w:widowControl/>
              <w:jc w:val="left"/>
              <w:rPr>
                <w:rFonts w:ascii="宋体" w:hAnsi="宋体" w:eastAsia="宋体" w:cs="宋体"/>
                <w:color w:val="000000"/>
                <w:sz w:val="15"/>
                <w:szCs w:val="15"/>
                <w:lang w:val="en-US" w:eastAsia="zh-CN" w:bidi="ar-SA"/>
              </w:rPr>
            </w:pPr>
            <w:r>
              <w:rPr>
                <w:rFonts w:hint="eastAsia" w:ascii="宋体" w:hAnsi="宋体" w:cs="宋体"/>
                <w:color w:val="000000"/>
                <w:sz w:val="15"/>
                <w:szCs w:val="15"/>
              </w:rPr>
              <w:t xml:space="preserve">        肿瘤登记数（**人）</w:t>
            </w:r>
          </w:p>
        </w:tc>
        <w:tc>
          <w:tcPr>
            <w:tcW w:w="1398" w:type="dxa"/>
            <w:noWrap w:val="0"/>
            <w:vAlign w:val="center"/>
          </w:tcPr>
          <w:p w14:paraId="16405D10">
            <w:pPr>
              <w:widowControl/>
              <w:jc w:val="center"/>
              <w:rPr>
                <w:rFonts w:ascii="宋体" w:hAnsi="宋体" w:eastAsia="宋体" w:cs="宋体"/>
                <w:color w:val="000000"/>
                <w:sz w:val="24"/>
                <w:szCs w:val="24"/>
                <w:lang w:val="en-US" w:eastAsia="zh-CN" w:bidi="ar-SA"/>
              </w:rPr>
            </w:pPr>
          </w:p>
        </w:tc>
        <w:tc>
          <w:tcPr>
            <w:tcW w:w="1834" w:type="dxa"/>
            <w:noWrap w:val="0"/>
            <w:vAlign w:val="center"/>
          </w:tcPr>
          <w:p w14:paraId="65989D88">
            <w:pPr>
              <w:widowControl/>
              <w:jc w:val="center"/>
              <w:rPr>
                <w:rFonts w:hint="eastAsia" w:ascii="宋体" w:hAnsi="宋体" w:eastAsia="宋体" w:cs="宋体"/>
                <w:color w:val="000000"/>
                <w:sz w:val="24"/>
                <w:szCs w:val="24"/>
                <w:lang w:val="en-US" w:eastAsia="zh-CN" w:bidi="ar-SA"/>
              </w:rPr>
            </w:pPr>
            <w:r>
              <w:rPr>
                <w:rFonts w:hint="eastAsia" w:ascii="宋体" w:hAnsi="宋体" w:cs="宋体"/>
                <w:color w:val="000000"/>
                <w:sz w:val="24"/>
              </w:rPr>
              <w:t>1</w:t>
            </w:r>
            <w:r>
              <w:rPr>
                <w:rFonts w:hint="eastAsia" w:ascii="宋体" w:hAnsi="宋体" w:cs="宋体"/>
                <w:color w:val="000000"/>
                <w:sz w:val="24"/>
                <w:lang w:val="en-US" w:eastAsia="zh-CN"/>
              </w:rPr>
              <w:t>0</w:t>
            </w:r>
          </w:p>
        </w:tc>
      </w:tr>
      <w:tr w14:paraId="57DD9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8" w:hRule="atLeast"/>
          <w:tblCellSpacing w:w="0" w:type="dxa"/>
          <w:jc w:val="center"/>
        </w:trPr>
        <w:tc>
          <w:tcPr>
            <w:tcW w:w="390" w:type="dxa"/>
            <w:vMerge w:val="continue"/>
            <w:noWrap w:val="0"/>
            <w:vAlign w:val="center"/>
          </w:tcPr>
          <w:p w14:paraId="1DD12F93">
            <w:pPr>
              <w:widowControl/>
              <w:jc w:val="left"/>
            </w:pPr>
          </w:p>
        </w:tc>
        <w:tc>
          <w:tcPr>
            <w:tcW w:w="862" w:type="dxa"/>
            <w:vMerge w:val="continue"/>
            <w:noWrap w:val="0"/>
            <w:vAlign w:val="center"/>
          </w:tcPr>
          <w:p w14:paraId="2F9C82E7">
            <w:pPr>
              <w:widowControl/>
              <w:jc w:val="center"/>
            </w:pPr>
          </w:p>
        </w:tc>
        <w:tc>
          <w:tcPr>
            <w:tcW w:w="1631" w:type="dxa"/>
            <w:vMerge w:val="continue"/>
            <w:noWrap w:val="0"/>
            <w:vAlign w:val="center"/>
          </w:tcPr>
          <w:p w14:paraId="402F15C9">
            <w:pPr>
              <w:widowControl/>
              <w:jc w:val="center"/>
            </w:pPr>
          </w:p>
        </w:tc>
        <w:tc>
          <w:tcPr>
            <w:tcW w:w="2221" w:type="dxa"/>
            <w:noWrap w:val="0"/>
            <w:vAlign w:val="bottom"/>
          </w:tcPr>
          <w:p w14:paraId="2776EC8A">
            <w:pPr>
              <w:widowControl/>
              <w:jc w:val="left"/>
              <w:rPr>
                <w:rFonts w:ascii="宋体" w:hAnsi="宋体" w:eastAsia="宋体" w:cs="宋体"/>
                <w:color w:val="000000"/>
                <w:sz w:val="15"/>
                <w:szCs w:val="15"/>
                <w:lang w:val="en-US" w:eastAsia="zh-CN" w:bidi="ar-SA"/>
              </w:rPr>
            </w:pPr>
            <w:r>
              <w:rPr>
                <w:rFonts w:hint="eastAsia" w:ascii="宋体" w:hAnsi="宋体" w:cs="宋体"/>
                <w:color w:val="000000"/>
                <w:sz w:val="15"/>
                <w:szCs w:val="15"/>
              </w:rPr>
              <w:t xml:space="preserve">        死因监测数（**人）</w:t>
            </w:r>
          </w:p>
        </w:tc>
        <w:tc>
          <w:tcPr>
            <w:tcW w:w="1398" w:type="dxa"/>
            <w:noWrap w:val="0"/>
            <w:vAlign w:val="center"/>
          </w:tcPr>
          <w:p w14:paraId="74C6B80B">
            <w:pPr>
              <w:widowControl/>
              <w:jc w:val="center"/>
              <w:rPr>
                <w:rFonts w:ascii="宋体" w:hAnsi="宋体" w:eastAsia="宋体" w:cs="宋体"/>
                <w:color w:val="000000"/>
                <w:sz w:val="24"/>
                <w:szCs w:val="24"/>
                <w:lang w:val="en-US" w:eastAsia="zh-CN" w:bidi="ar-SA"/>
              </w:rPr>
            </w:pPr>
          </w:p>
        </w:tc>
        <w:tc>
          <w:tcPr>
            <w:tcW w:w="1834" w:type="dxa"/>
            <w:noWrap w:val="0"/>
            <w:vAlign w:val="center"/>
          </w:tcPr>
          <w:p w14:paraId="7DB4D439">
            <w:pPr>
              <w:widowControl/>
              <w:jc w:val="center"/>
              <w:rPr>
                <w:rFonts w:ascii="宋体" w:hAnsi="宋体" w:eastAsia="宋体" w:cs="宋体"/>
                <w:color w:val="000000"/>
                <w:sz w:val="24"/>
                <w:szCs w:val="24"/>
                <w:lang w:val="en-US" w:eastAsia="zh-CN" w:bidi="ar-SA"/>
              </w:rPr>
            </w:pPr>
            <w:r>
              <w:rPr>
                <w:rFonts w:hint="eastAsia" w:ascii="宋体" w:hAnsi="宋体" w:cs="宋体"/>
                <w:color w:val="000000"/>
                <w:sz w:val="24"/>
              </w:rPr>
              <w:t>1</w:t>
            </w:r>
            <w:r>
              <w:rPr>
                <w:rFonts w:hint="eastAsia" w:ascii="宋体" w:hAnsi="宋体" w:cs="宋体"/>
                <w:color w:val="000000"/>
                <w:sz w:val="24"/>
                <w:lang w:val="en-US" w:eastAsia="zh-CN"/>
              </w:rPr>
              <w:t>96</w:t>
            </w:r>
          </w:p>
        </w:tc>
      </w:tr>
      <w:tr w14:paraId="48E0D8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2" w:hRule="atLeast"/>
          <w:tblCellSpacing w:w="0" w:type="dxa"/>
          <w:jc w:val="center"/>
        </w:trPr>
        <w:tc>
          <w:tcPr>
            <w:tcW w:w="390" w:type="dxa"/>
            <w:vMerge w:val="continue"/>
            <w:noWrap w:val="0"/>
            <w:vAlign w:val="center"/>
          </w:tcPr>
          <w:p w14:paraId="420C3624">
            <w:pPr>
              <w:widowControl/>
              <w:jc w:val="left"/>
            </w:pPr>
          </w:p>
        </w:tc>
        <w:tc>
          <w:tcPr>
            <w:tcW w:w="862" w:type="dxa"/>
            <w:vMerge w:val="continue"/>
            <w:noWrap w:val="0"/>
            <w:vAlign w:val="center"/>
          </w:tcPr>
          <w:p w14:paraId="27293E31">
            <w:pPr>
              <w:widowControl/>
              <w:jc w:val="center"/>
            </w:pPr>
          </w:p>
        </w:tc>
        <w:tc>
          <w:tcPr>
            <w:tcW w:w="1631" w:type="dxa"/>
            <w:vMerge w:val="restart"/>
            <w:noWrap w:val="0"/>
            <w:vAlign w:val="center"/>
          </w:tcPr>
          <w:p w14:paraId="39436030">
            <w:pPr>
              <w:widowControl/>
              <w:jc w:val="center"/>
              <w:rPr>
                <w:rFonts w:ascii="宋体" w:hAnsi="宋体" w:cs="宋体"/>
                <w:color w:val="000000"/>
                <w:sz w:val="28"/>
                <w:szCs w:val="28"/>
              </w:rPr>
            </w:pPr>
            <w:r>
              <w:rPr>
                <w:rFonts w:hint="eastAsia" w:ascii="宋体" w:hAnsi="宋体" w:cs="宋体"/>
                <w:color w:val="000000"/>
                <w:sz w:val="28"/>
                <w:szCs w:val="28"/>
              </w:rPr>
              <w:t>质</w:t>
            </w:r>
          </w:p>
          <w:p w14:paraId="1D5F489F">
            <w:pPr>
              <w:widowControl/>
              <w:jc w:val="center"/>
              <w:rPr>
                <w:rFonts w:ascii="宋体" w:hAnsi="宋体" w:cs="宋体"/>
                <w:color w:val="000000"/>
                <w:sz w:val="28"/>
                <w:szCs w:val="28"/>
              </w:rPr>
            </w:pPr>
            <w:r>
              <w:rPr>
                <w:rFonts w:hint="eastAsia" w:ascii="宋体" w:hAnsi="宋体" w:cs="宋体"/>
                <w:color w:val="000000"/>
                <w:sz w:val="28"/>
                <w:szCs w:val="28"/>
              </w:rPr>
              <w:t>量</w:t>
            </w:r>
          </w:p>
          <w:p w14:paraId="537505D1">
            <w:pPr>
              <w:widowControl/>
              <w:jc w:val="center"/>
              <w:rPr>
                <w:rFonts w:ascii="宋体" w:hAnsi="宋体" w:cs="宋体"/>
                <w:color w:val="000000"/>
                <w:sz w:val="28"/>
                <w:szCs w:val="28"/>
              </w:rPr>
            </w:pPr>
            <w:r>
              <w:rPr>
                <w:rFonts w:hint="eastAsia" w:ascii="宋体" w:hAnsi="宋体" w:cs="宋体"/>
                <w:color w:val="000000"/>
                <w:sz w:val="28"/>
                <w:szCs w:val="28"/>
              </w:rPr>
              <w:t>指</w:t>
            </w:r>
          </w:p>
          <w:p w14:paraId="3846FB5E">
            <w:pPr>
              <w:widowControl/>
              <w:jc w:val="center"/>
              <w:rPr>
                <w:rFonts w:ascii="宋体" w:hAnsi="宋体" w:eastAsia="宋体" w:cs="宋体"/>
                <w:color w:val="000000"/>
                <w:sz w:val="24"/>
                <w:szCs w:val="24"/>
                <w:lang w:val="en-US" w:eastAsia="zh-CN" w:bidi="ar-SA"/>
              </w:rPr>
            </w:pPr>
            <w:r>
              <w:rPr>
                <w:rFonts w:hint="eastAsia" w:ascii="宋体" w:hAnsi="宋体" w:cs="宋体"/>
                <w:color w:val="000000"/>
                <w:sz w:val="28"/>
                <w:szCs w:val="28"/>
              </w:rPr>
              <w:t>标</w:t>
            </w:r>
          </w:p>
        </w:tc>
        <w:tc>
          <w:tcPr>
            <w:tcW w:w="2221" w:type="dxa"/>
            <w:noWrap w:val="0"/>
            <w:vAlign w:val="bottom"/>
          </w:tcPr>
          <w:p w14:paraId="7BF76F09">
            <w:pPr>
              <w:widowControl/>
              <w:jc w:val="left"/>
              <w:rPr>
                <w:rFonts w:ascii="宋体" w:hAnsi="宋体" w:eastAsia="宋体" w:cs="宋体"/>
                <w:color w:val="000000"/>
                <w:sz w:val="15"/>
                <w:szCs w:val="15"/>
                <w:lang w:val="en-US" w:eastAsia="zh-CN" w:bidi="ar-SA"/>
              </w:rPr>
            </w:pPr>
            <w:r>
              <w:rPr>
                <w:rFonts w:hint="eastAsia" w:ascii="宋体" w:hAnsi="宋体" w:cs="宋体"/>
                <w:color w:val="000000"/>
                <w:sz w:val="15"/>
                <w:szCs w:val="15"/>
              </w:rPr>
              <w:t xml:space="preserve"> 居民健康档案电子建档率（≥**%）</w:t>
            </w:r>
          </w:p>
        </w:tc>
        <w:tc>
          <w:tcPr>
            <w:tcW w:w="1398" w:type="dxa"/>
            <w:noWrap w:val="0"/>
            <w:vAlign w:val="center"/>
          </w:tcPr>
          <w:p w14:paraId="4798C179">
            <w:pPr>
              <w:widowControl/>
              <w:jc w:val="center"/>
              <w:rPr>
                <w:rFonts w:ascii="宋体" w:hAnsi="宋体" w:eastAsia="宋体" w:cs="宋体"/>
                <w:color w:val="000000"/>
                <w:sz w:val="24"/>
                <w:szCs w:val="24"/>
                <w:lang w:val="en-US" w:eastAsia="zh-CN" w:bidi="ar-SA"/>
              </w:rPr>
            </w:pPr>
          </w:p>
        </w:tc>
        <w:tc>
          <w:tcPr>
            <w:tcW w:w="1834" w:type="dxa"/>
            <w:noWrap w:val="0"/>
            <w:vAlign w:val="center"/>
          </w:tcPr>
          <w:p w14:paraId="35BE9304">
            <w:pPr>
              <w:widowControl/>
              <w:jc w:val="center"/>
              <w:rPr>
                <w:rFonts w:ascii="宋体" w:hAnsi="宋体" w:eastAsia="宋体" w:cs="宋体"/>
                <w:color w:val="000000"/>
                <w:sz w:val="24"/>
                <w:szCs w:val="24"/>
                <w:lang w:val="en-US" w:eastAsia="zh-CN" w:bidi="ar-SA"/>
              </w:rPr>
            </w:pPr>
            <w:r>
              <w:rPr>
                <w:rFonts w:hint="eastAsia" w:ascii="宋体" w:hAnsi="宋体" w:cs="宋体"/>
                <w:color w:val="000000"/>
                <w:sz w:val="24"/>
              </w:rPr>
              <w:t>≥90.</w:t>
            </w:r>
            <w:r>
              <w:rPr>
                <w:rFonts w:hint="eastAsia" w:ascii="宋体" w:hAnsi="宋体" w:cs="宋体"/>
                <w:color w:val="000000"/>
                <w:sz w:val="24"/>
                <w:lang w:val="en-US" w:eastAsia="zh-CN"/>
              </w:rPr>
              <w:t>73</w:t>
            </w:r>
            <w:r>
              <w:rPr>
                <w:rFonts w:hint="eastAsia" w:ascii="宋体" w:hAnsi="宋体" w:cs="宋体"/>
                <w:color w:val="000000"/>
                <w:sz w:val="24"/>
              </w:rPr>
              <w:t>％</w:t>
            </w:r>
          </w:p>
        </w:tc>
      </w:tr>
      <w:tr w14:paraId="547D0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blCellSpacing w:w="0" w:type="dxa"/>
          <w:jc w:val="center"/>
        </w:trPr>
        <w:tc>
          <w:tcPr>
            <w:tcW w:w="390" w:type="dxa"/>
            <w:vMerge w:val="continue"/>
            <w:noWrap w:val="0"/>
            <w:vAlign w:val="center"/>
          </w:tcPr>
          <w:p w14:paraId="0CC4FC61">
            <w:pPr>
              <w:widowControl/>
              <w:jc w:val="left"/>
            </w:pPr>
          </w:p>
        </w:tc>
        <w:tc>
          <w:tcPr>
            <w:tcW w:w="862" w:type="dxa"/>
            <w:vMerge w:val="continue"/>
            <w:noWrap w:val="0"/>
            <w:vAlign w:val="center"/>
          </w:tcPr>
          <w:p w14:paraId="34AC085F">
            <w:pPr>
              <w:widowControl/>
              <w:jc w:val="center"/>
            </w:pPr>
          </w:p>
        </w:tc>
        <w:tc>
          <w:tcPr>
            <w:tcW w:w="1631" w:type="dxa"/>
            <w:vMerge w:val="continue"/>
            <w:noWrap w:val="0"/>
            <w:vAlign w:val="center"/>
          </w:tcPr>
          <w:p w14:paraId="5306DBB2">
            <w:pPr>
              <w:widowControl/>
              <w:jc w:val="center"/>
            </w:pPr>
          </w:p>
        </w:tc>
        <w:tc>
          <w:tcPr>
            <w:tcW w:w="2221" w:type="dxa"/>
            <w:noWrap w:val="0"/>
            <w:vAlign w:val="bottom"/>
          </w:tcPr>
          <w:p w14:paraId="2CEE08F6">
            <w:pPr>
              <w:widowControl/>
              <w:jc w:val="left"/>
              <w:rPr>
                <w:rFonts w:ascii="宋体" w:hAnsi="宋体" w:eastAsia="宋体" w:cs="宋体"/>
                <w:color w:val="000000"/>
                <w:sz w:val="15"/>
                <w:szCs w:val="15"/>
                <w:lang w:val="en-US" w:eastAsia="zh-CN" w:bidi="ar-SA"/>
              </w:rPr>
            </w:pPr>
            <w:r>
              <w:rPr>
                <w:rFonts w:hint="eastAsia" w:ascii="宋体" w:hAnsi="宋体" w:cs="宋体"/>
                <w:color w:val="000000"/>
                <w:sz w:val="15"/>
                <w:szCs w:val="15"/>
              </w:rPr>
              <w:t xml:space="preserve"> 高血压患者规范管理率（≥**%）</w:t>
            </w:r>
          </w:p>
        </w:tc>
        <w:tc>
          <w:tcPr>
            <w:tcW w:w="1398" w:type="dxa"/>
            <w:noWrap w:val="0"/>
            <w:vAlign w:val="center"/>
          </w:tcPr>
          <w:p w14:paraId="55C4C002">
            <w:pPr>
              <w:widowControl/>
              <w:jc w:val="center"/>
              <w:rPr>
                <w:rFonts w:ascii="宋体" w:hAnsi="宋体" w:eastAsia="宋体" w:cs="宋体"/>
                <w:color w:val="000000"/>
                <w:sz w:val="24"/>
                <w:szCs w:val="24"/>
                <w:lang w:val="en-US" w:eastAsia="zh-CN" w:bidi="ar-SA"/>
              </w:rPr>
            </w:pPr>
          </w:p>
        </w:tc>
        <w:tc>
          <w:tcPr>
            <w:tcW w:w="1834" w:type="dxa"/>
            <w:noWrap w:val="0"/>
            <w:vAlign w:val="center"/>
          </w:tcPr>
          <w:p w14:paraId="63E14F30">
            <w:pPr>
              <w:widowControl/>
              <w:jc w:val="center"/>
              <w:rPr>
                <w:rFonts w:ascii="宋体" w:hAnsi="宋体" w:eastAsia="宋体" w:cs="宋体"/>
                <w:color w:val="000000"/>
                <w:sz w:val="24"/>
                <w:szCs w:val="24"/>
                <w:lang w:val="en-US" w:eastAsia="zh-CN" w:bidi="ar-SA"/>
              </w:rPr>
            </w:pPr>
            <w:r>
              <w:rPr>
                <w:rFonts w:hint="eastAsia" w:ascii="宋体" w:hAnsi="宋体" w:cs="宋体"/>
                <w:color w:val="000000"/>
                <w:sz w:val="24"/>
              </w:rPr>
              <w:t>≥9</w:t>
            </w:r>
            <w:r>
              <w:rPr>
                <w:rFonts w:hint="eastAsia" w:ascii="宋体" w:hAnsi="宋体" w:cs="宋体"/>
                <w:color w:val="000000"/>
                <w:sz w:val="24"/>
                <w:lang w:val="en-US" w:eastAsia="zh-CN"/>
              </w:rPr>
              <w:t>3.42</w:t>
            </w:r>
            <w:r>
              <w:rPr>
                <w:rFonts w:hint="eastAsia" w:ascii="宋体" w:hAnsi="宋体" w:cs="宋体"/>
                <w:color w:val="000000"/>
                <w:sz w:val="24"/>
              </w:rPr>
              <w:t>％</w:t>
            </w:r>
          </w:p>
        </w:tc>
      </w:tr>
      <w:tr w14:paraId="740DBE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blCellSpacing w:w="0" w:type="dxa"/>
          <w:jc w:val="center"/>
        </w:trPr>
        <w:tc>
          <w:tcPr>
            <w:tcW w:w="390" w:type="dxa"/>
            <w:vMerge w:val="continue"/>
            <w:noWrap w:val="0"/>
            <w:vAlign w:val="center"/>
          </w:tcPr>
          <w:p w14:paraId="7FF5C9B3">
            <w:pPr>
              <w:widowControl/>
              <w:jc w:val="left"/>
            </w:pPr>
          </w:p>
        </w:tc>
        <w:tc>
          <w:tcPr>
            <w:tcW w:w="862" w:type="dxa"/>
            <w:vMerge w:val="continue"/>
            <w:noWrap w:val="0"/>
            <w:vAlign w:val="center"/>
          </w:tcPr>
          <w:p w14:paraId="01EA6A84">
            <w:pPr>
              <w:widowControl/>
              <w:jc w:val="center"/>
            </w:pPr>
          </w:p>
        </w:tc>
        <w:tc>
          <w:tcPr>
            <w:tcW w:w="1631" w:type="dxa"/>
            <w:vMerge w:val="continue"/>
            <w:noWrap w:val="0"/>
            <w:vAlign w:val="center"/>
          </w:tcPr>
          <w:p w14:paraId="0C496EDE">
            <w:pPr>
              <w:widowControl/>
              <w:jc w:val="center"/>
            </w:pPr>
          </w:p>
        </w:tc>
        <w:tc>
          <w:tcPr>
            <w:tcW w:w="2221" w:type="dxa"/>
            <w:noWrap w:val="0"/>
            <w:vAlign w:val="bottom"/>
          </w:tcPr>
          <w:p w14:paraId="0AC2974F">
            <w:pPr>
              <w:widowControl/>
              <w:jc w:val="left"/>
              <w:rPr>
                <w:rFonts w:ascii="宋体" w:hAnsi="宋体" w:eastAsia="宋体" w:cs="宋体"/>
                <w:color w:val="000000"/>
                <w:sz w:val="15"/>
                <w:szCs w:val="15"/>
                <w:lang w:val="en-US" w:eastAsia="zh-CN" w:bidi="ar-SA"/>
              </w:rPr>
            </w:pPr>
            <w:r>
              <w:rPr>
                <w:rFonts w:hint="eastAsia" w:ascii="宋体" w:hAnsi="宋体" w:cs="宋体"/>
                <w:color w:val="000000"/>
                <w:sz w:val="15"/>
                <w:szCs w:val="15"/>
              </w:rPr>
              <w:t xml:space="preserve"> 糖尿病患者规范管理率（≥**%）</w:t>
            </w:r>
          </w:p>
        </w:tc>
        <w:tc>
          <w:tcPr>
            <w:tcW w:w="1398" w:type="dxa"/>
            <w:noWrap w:val="0"/>
            <w:vAlign w:val="center"/>
          </w:tcPr>
          <w:p w14:paraId="0F280428">
            <w:pPr>
              <w:widowControl/>
              <w:jc w:val="center"/>
              <w:rPr>
                <w:rFonts w:ascii="宋体" w:hAnsi="宋体" w:eastAsia="宋体" w:cs="宋体"/>
                <w:color w:val="000000"/>
                <w:sz w:val="24"/>
                <w:szCs w:val="24"/>
                <w:lang w:val="en-US" w:eastAsia="zh-CN" w:bidi="ar-SA"/>
              </w:rPr>
            </w:pPr>
          </w:p>
        </w:tc>
        <w:tc>
          <w:tcPr>
            <w:tcW w:w="1834" w:type="dxa"/>
            <w:noWrap w:val="0"/>
            <w:vAlign w:val="center"/>
          </w:tcPr>
          <w:p w14:paraId="0B405FC6">
            <w:pPr>
              <w:widowControl/>
              <w:jc w:val="center"/>
              <w:rPr>
                <w:rFonts w:ascii="宋体" w:hAnsi="宋体" w:eastAsia="宋体" w:cs="宋体"/>
                <w:color w:val="000000"/>
                <w:sz w:val="24"/>
                <w:szCs w:val="24"/>
                <w:lang w:val="en-US" w:eastAsia="zh-CN" w:bidi="ar-SA"/>
              </w:rPr>
            </w:pPr>
            <w:r>
              <w:rPr>
                <w:rFonts w:hint="eastAsia" w:ascii="宋体" w:hAnsi="宋体" w:cs="宋体"/>
                <w:color w:val="000000"/>
                <w:sz w:val="24"/>
              </w:rPr>
              <w:t>≥9</w:t>
            </w:r>
            <w:r>
              <w:rPr>
                <w:rFonts w:hint="eastAsia" w:ascii="宋体" w:hAnsi="宋体" w:cs="宋体"/>
                <w:color w:val="000000"/>
                <w:sz w:val="24"/>
                <w:lang w:val="en-US" w:eastAsia="zh-CN"/>
              </w:rPr>
              <w:t>4.21</w:t>
            </w:r>
            <w:r>
              <w:rPr>
                <w:rFonts w:hint="eastAsia" w:ascii="宋体" w:hAnsi="宋体" w:cs="宋体"/>
                <w:color w:val="000000"/>
                <w:sz w:val="24"/>
              </w:rPr>
              <w:t>％</w:t>
            </w:r>
          </w:p>
        </w:tc>
      </w:tr>
      <w:tr w14:paraId="33F177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blCellSpacing w:w="0" w:type="dxa"/>
          <w:jc w:val="center"/>
        </w:trPr>
        <w:tc>
          <w:tcPr>
            <w:tcW w:w="390" w:type="dxa"/>
            <w:vMerge w:val="continue"/>
            <w:noWrap w:val="0"/>
            <w:vAlign w:val="center"/>
          </w:tcPr>
          <w:p w14:paraId="0EE1946D">
            <w:pPr>
              <w:widowControl/>
              <w:jc w:val="left"/>
            </w:pPr>
          </w:p>
        </w:tc>
        <w:tc>
          <w:tcPr>
            <w:tcW w:w="862" w:type="dxa"/>
            <w:vMerge w:val="continue"/>
            <w:noWrap w:val="0"/>
            <w:vAlign w:val="center"/>
          </w:tcPr>
          <w:p w14:paraId="721C088A">
            <w:pPr>
              <w:widowControl/>
              <w:jc w:val="center"/>
            </w:pPr>
          </w:p>
        </w:tc>
        <w:tc>
          <w:tcPr>
            <w:tcW w:w="1631" w:type="dxa"/>
            <w:vMerge w:val="continue"/>
            <w:noWrap w:val="0"/>
            <w:vAlign w:val="center"/>
          </w:tcPr>
          <w:p w14:paraId="6B051830">
            <w:pPr>
              <w:widowControl/>
              <w:jc w:val="center"/>
            </w:pPr>
          </w:p>
        </w:tc>
        <w:tc>
          <w:tcPr>
            <w:tcW w:w="2221" w:type="dxa"/>
            <w:noWrap w:val="0"/>
            <w:vAlign w:val="bottom"/>
          </w:tcPr>
          <w:p w14:paraId="0A637337">
            <w:pPr>
              <w:widowControl/>
              <w:jc w:val="left"/>
              <w:rPr>
                <w:rFonts w:ascii="宋体" w:hAnsi="宋体" w:eastAsia="宋体" w:cs="宋体"/>
                <w:color w:val="000000"/>
                <w:sz w:val="15"/>
                <w:szCs w:val="15"/>
                <w:lang w:val="en-US" w:eastAsia="zh-CN" w:bidi="ar-SA"/>
              </w:rPr>
            </w:pPr>
            <w:r>
              <w:rPr>
                <w:rFonts w:hint="eastAsia" w:ascii="宋体" w:hAnsi="宋体" w:cs="宋体"/>
                <w:color w:val="000000"/>
                <w:sz w:val="15"/>
                <w:szCs w:val="15"/>
              </w:rPr>
              <w:t>艾滋病高危人群月均干预覆盖比例（暗娼、男男性行为）（≥**%）</w:t>
            </w:r>
          </w:p>
        </w:tc>
        <w:tc>
          <w:tcPr>
            <w:tcW w:w="1398" w:type="dxa"/>
            <w:noWrap w:val="0"/>
            <w:vAlign w:val="center"/>
          </w:tcPr>
          <w:p w14:paraId="37E8E1B3">
            <w:pPr>
              <w:widowControl/>
              <w:jc w:val="center"/>
              <w:rPr>
                <w:rFonts w:ascii="宋体" w:hAnsi="宋体" w:eastAsia="宋体" w:cs="宋体"/>
                <w:color w:val="000000"/>
                <w:sz w:val="24"/>
                <w:szCs w:val="24"/>
                <w:lang w:val="en-US" w:eastAsia="zh-CN" w:bidi="ar-SA"/>
              </w:rPr>
            </w:pPr>
          </w:p>
        </w:tc>
        <w:tc>
          <w:tcPr>
            <w:tcW w:w="1834" w:type="dxa"/>
            <w:noWrap w:val="0"/>
            <w:vAlign w:val="center"/>
          </w:tcPr>
          <w:p w14:paraId="299EE410">
            <w:pPr>
              <w:widowControl/>
              <w:jc w:val="center"/>
              <w:rPr>
                <w:rFonts w:ascii="宋体" w:hAnsi="宋体" w:eastAsia="宋体" w:cs="宋体"/>
                <w:color w:val="000000"/>
                <w:sz w:val="24"/>
                <w:szCs w:val="24"/>
                <w:lang w:val="en-US" w:eastAsia="zh-CN" w:bidi="ar-SA"/>
              </w:rPr>
            </w:pPr>
            <w:r>
              <w:rPr>
                <w:rFonts w:hint="eastAsia" w:ascii="宋体" w:hAnsi="宋体" w:cs="宋体"/>
                <w:color w:val="000000"/>
                <w:sz w:val="24"/>
              </w:rPr>
              <w:t>≥</w:t>
            </w:r>
            <w:r>
              <w:rPr>
                <w:rFonts w:hint="eastAsia" w:ascii="宋体" w:hAnsi="宋体" w:cs="宋体"/>
                <w:color w:val="000000"/>
                <w:sz w:val="24"/>
                <w:lang w:val="en-US" w:eastAsia="zh-CN"/>
              </w:rPr>
              <w:t>90</w:t>
            </w:r>
            <w:r>
              <w:rPr>
                <w:rFonts w:hint="eastAsia" w:ascii="宋体" w:hAnsi="宋体" w:cs="宋体"/>
                <w:color w:val="000000"/>
                <w:sz w:val="24"/>
              </w:rPr>
              <w:t>％</w:t>
            </w:r>
          </w:p>
        </w:tc>
      </w:tr>
      <w:tr w14:paraId="16434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blCellSpacing w:w="0" w:type="dxa"/>
          <w:jc w:val="center"/>
        </w:trPr>
        <w:tc>
          <w:tcPr>
            <w:tcW w:w="390" w:type="dxa"/>
            <w:vMerge w:val="continue"/>
            <w:noWrap w:val="0"/>
            <w:vAlign w:val="center"/>
          </w:tcPr>
          <w:p w14:paraId="0E2729E0">
            <w:pPr>
              <w:widowControl/>
              <w:jc w:val="left"/>
            </w:pPr>
          </w:p>
        </w:tc>
        <w:tc>
          <w:tcPr>
            <w:tcW w:w="862" w:type="dxa"/>
            <w:vMerge w:val="continue"/>
            <w:noWrap w:val="0"/>
            <w:vAlign w:val="center"/>
          </w:tcPr>
          <w:p w14:paraId="6F198A2F">
            <w:pPr>
              <w:widowControl/>
              <w:jc w:val="center"/>
            </w:pPr>
          </w:p>
        </w:tc>
        <w:tc>
          <w:tcPr>
            <w:tcW w:w="1631" w:type="dxa"/>
            <w:vMerge w:val="continue"/>
            <w:noWrap w:val="0"/>
            <w:vAlign w:val="center"/>
          </w:tcPr>
          <w:p w14:paraId="7B8ADA33">
            <w:pPr>
              <w:widowControl/>
              <w:jc w:val="center"/>
            </w:pPr>
          </w:p>
        </w:tc>
        <w:tc>
          <w:tcPr>
            <w:tcW w:w="2221" w:type="dxa"/>
            <w:noWrap w:val="0"/>
            <w:vAlign w:val="bottom"/>
          </w:tcPr>
          <w:p w14:paraId="6E94F4B0">
            <w:pPr>
              <w:widowControl/>
              <w:jc w:val="left"/>
              <w:rPr>
                <w:rFonts w:ascii="宋体" w:hAnsi="宋体" w:eastAsia="宋体" w:cs="宋体"/>
                <w:color w:val="000000"/>
                <w:sz w:val="15"/>
                <w:szCs w:val="15"/>
                <w:lang w:val="en-US" w:eastAsia="zh-CN" w:bidi="ar-SA"/>
              </w:rPr>
            </w:pPr>
            <w:r>
              <w:rPr>
                <w:rFonts w:hint="eastAsia" w:ascii="宋体" w:hAnsi="宋体" w:cs="宋体"/>
                <w:color w:val="000000"/>
                <w:sz w:val="15"/>
                <w:szCs w:val="15"/>
              </w:rPr>
              <w:t>新涂阳患者治愈率（≥**%）</w:t>
            </w:r>
          </w:p>
        </w:tc>
        <w:tc>
          <w:tcPr>
            <w:tcW w:w="1398" w:type="dxa"/>
            <w:noWrap w:val="0"/>
            <w:vAlign w:val="center"/>
          </w:tcPr>
          <w:p w14:paraId="63684CB1">
            <w:pPr>
              <w:widowControl/>
              <w:jc w:val="center"/>
              <w:rPr>
                <w:rFonts w:ascii="宋体" w:hAnsi="宋体" w:eastAsia="宋体" w:cs="宋体"/>
                <w:color w:val="000000"/>
                <w:sz w:val="24"/>
                <w:szCs w:val="24"/>
                <w:lang w:val="en-US" w:eastAsia="zh-CN" w:bidi="ar-SA"/>
              </w:rPr>
            </w:pPr>
          </w:p>
        </w:tc>
        <w:tc>
          <w:tcPr>
            <w:tcW w:w="1834" w:type="dxa"/>
            <w:noWrap w:val="0"/>
            <w:vAlign w:val="center"/>
          </w:tcPr>
          <w:p w14:paraId="1307E23F">
            <w:pPr>
              <w:widowControl/>
              <w:jc w:val="center"/>
              <w:rPr>
                <w:rFonts w:ascii="宋体" w:hAnsi="宋体" w:eastAsia="宋体" w:cs="宋体"/>
                <w:color w:val="000000"/>
                <w:sz w:val="24"/>
                <w:szCs w:val="24"/>
                <w:lang w:val="en-US" w:eastAsia="zh-CN" w:bidi="ar-SA"/>
              </w:rPr>
            </w:pPr>
            <w:r>
              <w:rPr>
                <w:rFonts w:hint="eastAsia" w:ascii="宋体" w:hAnsi="宋体" w:cs="宋体"/>
                <w:color w:val="000000"/>
                <w:sz w:val="24"/>
              </w:rPr>
              <w:t>≥9</w:t>
            </w:r>
            <w:r>
              <w:rPr>
                <w:rFonts w:hint="eastAsia" w:ascii="宋体" w:hAnsi="宋体" w:cs="宋体"/>
                <w:color w:val="000000"/>
                <w:sz w:val="24"/>
                <w:lang w:val="en-US" w:eastAsia="zh-CN"/>
              </w:rPr>
              <w:t>4</w:t>
            </w:r>
            <w:r>
              <w:rPr>
                <w:rFonts w:hint="eastAsia" w:ascii="宋体" w:hAnsi="宋体" w:cs="宋体"/>
                <w:color w:val="000000"/>
                <w:sz w:val="24"/>
              </w:rPr>
              <w:t>％</w:t>
            </w:r>
          </w:p>
        </w:tc>
      </w:tr>
      <w:tr w14:paraId="067090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blCellSpacing w:w="0" w:type="dxa"/>
          <w:jc w:val="center"/>
        </w:trPr>
        <w:tc>
          <w:tcPr>
            <w:tcW w:w="390" w:type="dxa"/>
            <w:vMerge w:val="continue"/>
            <w:noWrap w:val="0"/>
            <w:vAlign w:val="center"/>
          </w:tcPr>
          <w:p w14:paraId="052600CB">
            <w:pPr>
              <w:widowControl/>
              <w:jc w:val="left"/>
            </w:pPr>
          </w:p>
        </w:tc>
        <w:tc>
          <w:tcPr>
            <w:tcW w:w="862" w:type="dxa"/>
            <w:vMerge w:val="continue"/>
            <w:noWrap w:val="0"/>
            <w:vAlign w:val="center"/>
          </w:tcPr>
          <w:p w14:paraId="1F2A39C1">
            <w:pPr>
              <w:widowControl/>
              <w:jc w:val="center"/>
            </w:pPr>
          </w:p>
        </w:tc>
        <w:tc>
          <w:tcPr>
            <w:tcW w:w="1631" w:type="dxa"/>
            <w:vMerge w:val="continue"/>
            <w:noWrap w:val="0"/>
            <w:vAlign w:val="center"/>
          </w:tcPr>
          <w:p w14:paraId="71681081">
            <w:pPr>
              <w:widowControl/>
              <w:jc w:val="center"/>
            </w:pPr>
          </w:p>
        </w:tc>
        <w:tc>
          <w:tcPr>
            <w:tcW w:w="2221" w:type="dxa"/>
            <w:noWrap w:val="0"/>
            <w:vAlign w:val="bottom"/>
          </w:tcPr>
          <w:p w14:paraId="3B360828">
            <w:pPr>
              <w:widowControl/>
              <w:jc w:val="left"/>
              <w:rPr>
                <w:rFonts w:ascii="宋体" w:hAnsi="宋体" w:eastAsia="宋体" w:cs="宋体"/>
                <w:color w:val="000000"/>
                <w:sz w:val="15"/>
                <w:szCs w:val="15"/>
                <w:lang w:val="en-US" w:eastAsia="zh-CN" w:bidi="ar-SA"/>
              </w:rPr>
            </w:pPr>
            <w:r>
              <w:rPr>
                <w:rFonts w:hint="eastAsia" w:ascii="宋体" w:hAnsi="宋体" w:cs="宋体"/>
                <w:color w:val="000000"/>
                <w:sz w:val="15"/>
                <w:szCs w:val="15"/>
              </w:rPr>
              <w:t xml:space="preserve"> 肺结核患者全程管理率（≥**%）</w:t>
            </w:r>
          </w:p>
        </w:tc>
        <w:tc>
          <w:tcPr>
            <w:tcW w:w="1398" w:type="dxa"/>
            <w:noWrap w:val="0"/>
            <w:vAlign w:val="center"/>
          </w:tcPr>
          <w:p w14:paraId="130D9A52">
            <w:pPr>
              <w:widowControl/>
              <w:jc w:val="center"/>
              <w:rPr>
                <w:rFonts w:ascii="宋体" w:hAnsi="宋体" w:eastAsia="宋体" w:cs="宋体"/>
                <w:color w:val="000000"/>
                <w:sz w:val="24"/>
                <w:szCs w:val="24"/>
                <w:lang w:val="en-US" w:eastAsia="zh-CN" w:bidi="ar-SA"/>
              </w:rPr>
            </w:pPr>
          </w:p>
        </w:tc>
        <w:tc>
          <w:tcPr>
            <w:tcW w:w="1834" w:type="dxa"/>
            <w:noWrap w:val="0"/>
            <w:vAlign w:val="center"/>
          </w:tcPr>
          <w:p w14:paraId="25330BEF">
            <w:pPr>
              <w:widowControl/>
              <w:jc w:val="center"/>
              <w:rPr>
                <w:rFonts w:ascii="宋体" w:hAnsi="宋体" w:eastAsia="宋体" w:cs="宋体"/>
                <w:color w:val="000000"/>
                <w:sz w:val="24"/>
                <w:szCs w:val="24"/>
                <w:lang w:val="en-US" w:eastAsia="zh-CN" w:bidi="ar-SA"/>
              </w:rPr>
            </w:pPr>
            <w:r>
              <w:rPr>
                <w:rFonts w:hint="eastAsia" w:ascii="宋体" w:hAnsi="宋体" w:cs="宋体"/>
                <w:color w:val="000000"/>
                <w:sz w:val="24"/>
              </w:rPr>
              <w:t>≥9</w:t>
            </w:r>
            <w:r>
              <w:rPr>
                <w:rFonts w:hint="eastAsia" w:ascii="宋体" w:hAnsi="宋体" w:cs="宋体"/>
                <w:color w:val="000000"/>
                <w:sz w:val="24"/>
                <w:lang w:val="en-US" w:eastAsia="zh-CN"/>
              </w:rPr>
              <w:t>7</w:t>
            </w:r>
            <w:r>
              <w:rPr>
                <w:rFonts w:hint="eastAsia" w:ascii="宋体" w:hAnsi="宋体" w:cs="宋体"/>
                <w:color w:val="000000"/>
                <w:sz w:val="24"/>
              </w:rPr>
              <w:t>％</w:t>
            </w:r>
          </w:p>
        </w:tc>
      </w:tr>
      <w:tr w14:paraId="4516C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blCellSpacing w:w="0" w:type="dxa"/>
          <w:jc w:val="center"/>
        </w:trPr>
        <w:tc>
          <w:tcPr>
            <w:tcW w:w="390" w:type="dxa"/>
            <w:vMerge w:val="continue"/>
            <w:noWrap w:val="0"/>
            <w:vAlign w:val="center"/>
          </w:tcPr>
          <w:p w14:paraId="62B2F903">
            <w:pPr>
              <w:widowControl/>
              <w:jc w:val="left"/>
            </w:pPr>
          </w:p>
        </w:tc>
        <w:tc>
          <w:tcPr>
            <w:tcW w:w="862" w:type="dxa"/>
            <w:vMerge w:val="continue"/>
            <w:noWrap w:val="0"/>
            <w:vAlign w:val="center"/>
          </w:tcPr>
          <w:p w14:paraId="765BF117">
            <w:pPr>
              <w:widowControl/>
              <w:jc w:val="center"/>
            </w:pPr>
          </w:p>
        </w:tc>
        <w:tc>
          <w:tcPr>
            <w:tcW w:w="1631" w:type="dxa"/>
            <w:vMerge w:val="continue"/>
            <w:noWrap w:val="0"/>
            <w:vAlign w:val="center"/>
          </w:tcPr>
          <w:p w14:paraId="54BA12C3">
            <w:pPr>
              <w:widowControl/>
              <w:jc w:val="center"/>
            </w:pPr>
          </w:p>
        </w:tc>
        <w:tc>
          <w:tcPr>
            <w:tcW w:w="2221" w:type="dxa"/>
            <w:noWrap w:val="0"/>
            <w:vAlign w:val="bottom"/>
          </w:tcPr>
          <w:p w14:paraId="1D9915AB">
            <w:pPr>
              <w:widowControl/>
              <w:jc w:val="left"/>
              <w:rPr>
                <w:rFonts w:ascii="宋体" w:hAnsi="宋体" w:eastAsia="宋体" w:cs="宋体"/>
                <w:color w:val="000000"/>
                <w:sz w:val="15"/>
                <w:szCs w:val="15"/>
                <w:lang w:val="en-US" w:eastAsia="zh-CN" w:bidi="ar-SA"/>
              </w:rPr>
            </w:pPr>
            <w:r>
              <w:rPr>
                <w:rFonts w:hint="eastAsia" w:ascii="宋体" w:hAnsi="宋体" w:cs="宋体"/>
                <w:color w:val="000000"/>
                <w:sz w:val="15"/>
                <w:szCs w:val="15"/>
              </w:rPr>
              <w:t>包虫病病人登记管理率（≥**%）</w:t>
            </w:r>
          </w:p>
        </w:tc>
        <w:tc>
          <w:tcPr>
            <w:tcW w:w="1398" w:type="dxa"/>
            <w:noWrap w:val="0"/>
            <w:vAlign w:val="center"/>
          </w:tcPr>
          <w:p w14:paraId="39567085">
            <w:pPr>
              <w:widowControl/>
              <w:jc w:val="center"/>
              <w:rPr>
                <w:rFonts w:ascii="宋体" w:hAnsi="宋体" w:eastAsia="宋体" w:cs="宋体"/>
                <w:color w:val="000000"/>
                <w:sz w:val="24"/>
                <w:szCs w:val="24"/>
                <w:lang w:val="en-US" w:eastAsia="zh-CN" w:bidi="ar-SA"/>
              </w:rPr>
            </w:pPr>
          </w:p>
        </w:tc>
        <w:tc>
          <w:tcPr>
            <w:tcW w:w="1834" w:type="dxa"/>
            <w:noWrap w:val="0"/>
            <w:vAlign w:val="center"/>
          </w:tcPr>
          <w:p w14:paraId="0B7A61ED">
            <w:pPr>
              <w:widowControl/>
              <w:jc w:val="center"/>
              <w:rPr>
                <w:rFonts w:ascii="宋体" w:hAnsi="宋体" w:eastAsia="宋体" w:cs="宋体"/>
                <w:color w:val="000000"/>
                <w:sz w:val="24"/>
                <w:szCs w:val="24"/>
                <w:lang w:val="en-US" w:eastAsia="zh-CN" w:bidi="ar-SA"/>
              </w:rPr>
            </w:pPr>
            <w:r>
              <w:rPr>
                <w:rFonts w:hint="eastAsia" w:ascii="宋体" w:hAnsi="宋体" w:cs="宋体"/>
                <w:color w:val="000000"/>
                <w:sz w:val="24"/>
              </w:rPr>
              <w:t>≥9</w:t>
            </w:r>
            <w:r>
              <w:rPr>
                <w:rFonts w:hint="eastAsia" w:ascii="宋体" w:hAnsi="宋体" w:cs="宋体"/>
                <w:color w:val="000000"/>
                <w:sz w:val="24"/>
                <w:lang w:val="en-US" w:eastAsia="zh-CN"/>
              </w:rPr>
              <w:t>8</w:t>
            </w:r>
            <w:r>
              <w:rPr>
                <w:rFonts w:hint="eastAsia" w:ascii="宋体" w:hAnsi="宋体" w:cs="宋体"/>
                <w:color w:val="000000"/>
                <w:sz w:val="24"/>
              </w:rPr>
              <w:t>％</w:t>
            </w:r>
          </w:p>
        </w:tc>
      </w:tr>
      <w:tr w14:paraId="4C632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blCellSpacing w:w="0" w:type="dxa"/>
          <w:jc w:val="center"/>
        </w:trPr>
        <w:tc>
          <w:tcPr>
            <w:tcW w:w="390" w:type="dxa"/>
            <w:vMerge w:val="continue"/>
            <w:noWrap w:val="0"/>
            <w:vAlign w:val="center"/>
          </w:tcPr>
          <w:p w14:paraId="5904787C">
            <w:pPr>
              <w:widowControl/>
              <w:jc w:val="left"/>
            </w:pPr>
          </w:p>
        </w:tc>
        <w:tc>
          <w:tcPr>
            <w:tcW w:w="862" w:type="dxa"/>
            <w:vMerge w:val="continue"/>
            <w:noWrap w:val="0"/>
            <w:vAlign w:val="center"/>
          </w:tcPr>
          <w:p w14:paraId="233F4681">
            <w:pPr>
              <w:widowControl/>
              <w:jc w:val="center"/>
            </w:pPr>
          </w:p>
        </w:tc>
        <w:tc>
          <w:tcPr>
            <w:tcW w:w="1631" w:type="dxa"/>
            <w:vMerge w:val="continue"/>
            <w:noWrap w:val="0"/>
            <w:vAlign w:val="center"/>
          </w:tcPr>
          <w:p w14:paraId="72448423">
            <w:pPr>
              <w:widowControl/>
              <w:jc w:val="center"/>
            </w:pPr>
          </w:p>
        </w:tc>
        <w:tc>
          <w:tcPr>
            <w:tcW w:w="2221" w:type="dxa"/>
            <w:noWrap w:val="0"/>
            <w:vAlign w:val="bottom"/>
          </w:tcPr>
          <w:p w14:paraId="44A7872E">
            <w:pPr>
              <w:widowControl/>
              <w:jc w:val="left"/>
              <w:rPr>
                <w:rFonts w:ascii="宋体" w:hAnsi="宋体" w:eastAsia="宋体" w:cs="宋体"/>
                <w:color w:val="000000"/>
                <w:sz w:val="15"/>
                <w:szCs w:val="15"/>
                <w:lang w:val="en-US" w:eastAsia="zh-CN" w:bidi="ar-SA"/>
              </w:rPr>
            </w:pPr>
            <w:r>
              <w:rPr>
                <w:rFonts w:hint="eastAsia" w:ascii="宋体" w:hAnsi="宋体" w:cs="宋体"/>
                <w:color w:val="000000"/>
                <w:sz w:val="15"/>
                <w:szCs w:val="15"/>
              </w:rPr>
              <w:t>严重精神障碍患者检出率（≥**％）</w:t>
            </w:r>
          </w:p>
        </w:tc>
        <w:tc>
          <w:tcPr>
            <w:tcW w:w="1398" w:type="dxa"/>
            <w:noWrap w:val="0"/>
            <w:vAlign w:val="center"/>
          </w:tcPr>
          <w:p w14:paraId="3B6C3207">
            <w:pPr>
              <w:widowControl/>
              <w:jc w:val="center"/>
              <w:rPr>
                <w:rFonts w:ascii="宋体" w:hAnsi="宋体" w:eastAsia="宋体" w:cs="宋体"/>
                <w:color w:val="000000"/>
                <w:sz w:val="24"/>
                <w:szCs w:val="24"/>
                <w:lang w:val="en-US" w:eastAsia="zh-CN" w:bidi="ar-SA"/>
              </w:rPr>
            </w:pPr>
          </w:p>
        </w:tc>
        <w:tc>
          <w:tcPr>
            <w:tcW w:w="1834" w:type="dxa"/>
            <w:noWrap w:val="0"/>
            <w:vAlign w:val="center"/>
          </w:tcPr>
          <w:p w14:paraId="58199BCE">
            <w:pPr>
              <w:widowControl/>
              <w:jc w:val="center"/>
              <w:rPr>
                <w:rFonts w:ascii="宋体" w:hAnsi="宋体" w:eastAsia="宋体" w:cs="宋体"/>
                <w:color w:val="000000"/>
                <w:sz w:val="24"/>
                <w:szCs w:val="24"/>
                <w:lang w:val="en-US" w:eastAsia="zh-CN" w:bidi="ar-SA"/>
              </w:rPr>
            </w:pPr>
            <w:r>
              <w:rPr>
                <w:rFonts w:hint="eastAsia" w:ascii="宋体" w:hAnsi="宋体" w:cs="宋体"/>
                <w:color w:val="000000"/>
                <w:sz w:val="24"/>
              </w:rPr>
              <w:t>≥0.1</w:t>
            </w:r>
            <w:r>
              <w:rPr>
                <w:rFonts w:hint="eastAsia" w:ascii="宋体" w:hAnsi="宋体" w:cs="宋体"/>
                <w:color w:val="000000"/>
                <w:sz w:val="24"/>
                <w:lang w:val="en-US" w:eastAsia="zh-CN"/>
              </w:rPr>
              <w:t>8</w:t>
            </w:r>
            <w:r>
              <w:rPr>
                <w:rFonts w:hint="eastAsia" w:ascii="宋体" w:hAnsi="宋体" w:cs="宋体"/>
                <w:color w:val="000000"/>
                <w:sz w:val="24"/>
              </w:rPr>
              <w:t>％</w:t>
            </w:r>
          </w:p>
        </w:tc>
      </w:tr>
      <w:tr w14:paraId="5D1CA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blCellSpacing w:w="0" w:type="dxa"/>
          <w:jc w:val="center"/>
        </w:trPr>
        <w:tc>
          <w:tcPr>
            <w:tcW w:w="390" w:type="dxa"/>
            <w:vMerge w:val="continue"/>
            <w:noWrap w:val="0"/>
            <w:vAlign w:val="center"/>
          </w:tcPr>
          <w:p w14:paraId="21036F8D">
            <w:pPr>
              <w:widowControl/>
              <w:jc w:val="left"/>
            </w:pPr>
          </w:p>
        </w:tc>
        <w:tc>
          <w:tcPr>
            <w:tcW w:w="862" w:type="dxa"/>
            <w:vMerge w:val="continue"/>
            <w:noWrap w:val="0"/>
            <w:vAlign w:val="center"/>
          </w:tcPr>
          <w:p w14:paraId="30A7F2C7">
            <w:pPr>
              <w:widowControl/>
              <w:jc w:val="center"/>
            </w:pPr>
          </w:p>
        </w:tc>
        <w:tc>
          <w:tcPr>
            <w:tcW w:w="1631" w:type="dxa"/>
            <w:vMerge w:val="continue"/>
            <w:noWrap w:val="0"/>
            <w:vAlign w:val="center"/>
          </w:tcPr>
          <w:p w14:paraId="15F40DDE">
            <w:pPr>
              <w:widowControl/>
              <w:jc w:val="center"/>
            </w:pPr>
          </w:p>
        </w:tc>
        <w:tc>
          <w:tcPr>
            <w:tcW w:w="2221" w:type="dxa"/>
            <w:noWrap w:val="0"/>
            <w:vAlign w:val="bottom"/>
          </w:tcPr>
          <w:p w14:paraId="13469351">
            <w:pPr>
              <w:widowControl/>
              <w:jc w:val="left"/>
              <w:rPr>
                <w:rFonts w:ascii="宋体" w:hAnsi="宋体" w:eastAsia="宋体" w:cs="宋体"/>
                <w:color w:val="000000"/>
                <w:sz w:val="15"/>
                <w:szCs w:val="15"/>
                <w:lang w:val="en-US" w:eastAsia="zh-CN" w:bidi="ar-SA"/>
              </w:rPr>
            </w:pPr>
            <w:r>
              <w:rPr>
                <w:rFonts w:hint="eastAsia" w:ascii="宋体" w:hAnsi="宋体" w:cs="宋体"/>
                <w:color w:val="000000"/>
                <w:sz w:val="15"/>
                <w:szCs w:val="15"/>
              </w:rPr>
              <w:t>严重精神障碍患者管理率（≥**%）</w:t>
            </w:r>
          </w:p>
        </w:tc>
        <w:tc>
          <w:tcPr>
            <w:tcW w:w="1398" w:type="dxa"/>
            <w:noWrap w:val="0"/>
            <w:vAlign w:val="center"/>
          </w:tcPr>
          <w:p w14:paraId="73A0376E">
            <w:pPr>
              <w:widowControl/>
              <w:jc w:val="center"/>
              <w:rPr>
                <w:rFonts w:ascii="宋体" w:hAnsi="宋体" w:eastAsia="宋体" w:cs="宋体"/>
                <w:color w:val="000000"/>
                <w:sz w:val="24"/>
                <w:szCs w:val="24"/>
                <w:lang w:val="en-US" w:eastAsia="zh-CN" w:bidi="ar-SA"/>
              </w:rPr>
            </w:pPr>
          </w:p>
        </w:tc>
        <w:tc>
          <w:tcPr>
            <w:tcW w:w="1834" w:type="dxa"/>
            <w:noWrap w:val="0"/>
            <w:vAlign w:val="center"/>
          </w:tcPr>
          <w:p w14:paraId="3B4B777C">
            <w:pPr>
              <w:widowControl/>
              <w:jc w:val="center"/>
              <w:rPr>
                <w:rFonts w:ascii="宋体" w:hAnsi="宋体" w:eastAsia="宋体" w:cs="宋体"/>
                <w:color w:val="000000"/>
                <w:sz w:val="24"/>
                <w:szCs w:val="24"/>
                <w:lang w:val="en-US" w:eastAsia="zh-CN" w:bidi="ar-SA"/>
              </w:rPr>
            </w:pPr>
            <w:r>
              <w:rPr>
                <w:rFonts w:hint="eastAsia" w:ascii="宋体" w:hAnsi="宋体" w:cs="宋体"/>
                <w:color w:val="000000"/>
                <w:sz w:val="24"/>
              </w:rPr>
              <w:t>≥9</w:t>
            </w:r>
            <w:r>
              <w:rPr>
                <w:rFonts w:hint="eastAsia" w:ascii="宋体" w:hAnsi="宋体" w:cs="宋体"/>
                <w:color w:val="000000"/>
                <w:sz w:val="24"/>
                <w:lang w:val="en-US" w:eastAsia="zh-CN"/>
              </w:rPr>
              <w:t>5.6</w:t>
            </w:r>
            <w:r>
              <w:rPr>
                <w:rFonts w:hint="eastAsia" w:ascii="宋体" w:hAnsi="宋体" w:cs="宋体"/>
                <w:color w:val="000000"/>
                <w:sz w:val="24"/>
              </w:rPr>
              <w:t>％</w:t>
            </w:r>
          </w:p>
        </w:tc>
      </w:tr>
      <w:tr w14:paraId="75A25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blCellSpacing w:w="0" w:type="dxa"/>
          <w:jc w:val="center"/>
        </w:trPr>
        <w:tc>
          <w:tcPr>
            <w:tcW w:w="390" w:type="dxa"/>
            <w:vMerge w:val="continue"/>
            <w:noWrap w:val="0"/>
            <w:vAlign w:val="center"/>
          </w:tcPr>
          <w:p w14:paraId="5A424E5B">
            <w:pPr>
              <w:widowControl/>
              <w:jc w:val="left"/>
            </w:pPr>
          </w:p>
        </w:tc>
        <w:tc>
          <w:tcPr>
            <w:tcW w:w="862" w:type="dxa"/>
            <w:vMerge w:val="continue"/>
            <w:noWrap w:val="0"/>
            <w:vAlign w:val="center"/>
          </w:tcPr>
          <w:p w14:paraId="5263C3E6">
            <w:pPr>
              <w:widowControl/>
              <w:jc w:val="center"/>
            </w:pPr>
          </w:p>
        </w:tc>
        <w:tc>
          <w:tcPr>
            <w:tcW w:w="1631" w:type="dxa"/>
            <w:vMerge w:val="continue"/>
            <w:noWrap w:val="0"/>
            <w:vAlign w:val="center"/>
          </w:tcPr>
          <w:p w14:paraId="12B79AF0">
            <w:pPr>
              <w:widowControl/>
              <w:jc w:val="center"/>
            </w:pPr>
          </w:p>
        </w:tc>
        <w:tc>
          <w:tcPr>
            <w:tcW w:w="2221" w:type="dxa"/>
            <w:noWrap w:val="0"/>
            <w:vAlign w:val="bottom"/>
          </w:tcPr>
          <w:p w14:paraId="29C33B32">
            <w:pPr>
              <w:widowControl/>
              <w:jc w:val="left"/>
              <w:rPr>
                <w:rFonts w:ascii="宋体" w:hAnsi="宋体" w:eastAsia="宋体" w:cs="宋体"/>
                <w:color w:val="000000"/>
                <w:sz w:val="15"/>
                <w:szCs w:val="15"/>
                <w:lang w:val="en-US" w:eastAsia="zh-CN" w:bidi="ar-SA"/>
              </w:rPr>
            </w:pPr>
            <w:r>
              <w:rPr>
                <w:rFonts w:hint="eastAsia" w:ascii="宋体" w:hAnsi="宋体" w:cs="宋体"/>
                <w:color w:val="000000"/>
                <w:sz w:val="15"/>
                <w:szCs w:val="15"/>
              </w:rPr>
              <w:t xml:space="preserve"> 全民健康生活方式行动覆盖率（**%）</w:t>
            </w:r>
          </w:p>
        </w:tc>
        <w:tc>
          <w:tcPr>
            <w:tcW w:w="1398" w:type="dxa"/>
            <w:noWrap w:val="0"/>
            <w:vAlign w:val="center"/>
          </w:tcPr>
          <w:p w14:paraId="081BCE3E">
            <w:pPr>
              <w:widowControl/>
              <w:jc w:val="center"/>
              <w:rPr>
                <w:rFonts w:ascii="宋体" w:hAnsi="宋体" w:eastAsia="宋体" w:cs="宋体"/>
                <w:color w:val="000000"/>
                <w:sz w:val="24"/>
                <w:szCs w:val="24"/>
                <w:lang w:val="en-US" w:eastAsia="zh-CN" w:bidi="ar-SA"/>
              </w:rPr>
            </w:pPr>
          </w:p>
        </w:tc>
        <w:tc>
          <w:tcPr>
            <w:tcW w:w="1834" w:type="dxa"/>
            <w:noWrap w:val="0"/>
            <w:vAlign w:val="center"/>
          </w:tcPr>
          <w:p w14:paraId="5705B2CE">
            <w:pPr>
              <w:widowControl/>
              <w:jc w:val="center"/>
              <w:rPr>
                <w:rFonts w:ascii="宋体" w:hAnsi="宋体" w:eastAsia="宋体" w:cs="宋体"/>
                <w:color w:val="000000"/>
                <w:sz w:val="24"/>
                <w:szCs w:val="24"/>
                <w:lang w:val="en-US" w:eastAsia="zh-CN" w:bidi="ar-SA"/>
              </w:rPr>
            </w:pPr>
            <w:r>
              <w:rPr>
                <w:rFonts w:hint="eastAsia" w:ascii="宋体" w:hAnsi="宋体" w:cs="宋体"/>
                <w:color w:val="000000"/>
                <w:sz w:val="24"/>
              </w:rPr>
              <w:t>100％</w:t>
            </w:r>
          </w:p>
        </w:tc>
      </w:tr>
      <w:tr w14:paraId="4AC7C5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5" w:hRule="atLeast"/>
          <w:tblCellSpacing w:w="0" w:type="dxa"/>
          <w:jc w:val="center"/>
        </w:trPr>
        <w:tc>
          <w:tcPr>
            <w:tcW w:w="390" w:type="dxa"/>
            <w:vMerge w:val="continue"/>
            <w:noWrap w:val="0"/>
            <w:vAlign w:val="center"/>
          </w:tcPr>
          <w:p w14:paraId="63932CA9">
            <w:pPr>
              <w:widowControl/>
              <w:jc w:val="left"/>
            </w:pPr>
          </w:p>
        </w:tc>
        <w:tc>
          <w:tcPr>
            <w:tcW w:w="862" w:type="dxa"/>
            <w:vMerge w:val="restart"/>
            <w:noWrap w:val="0"/>
            <w:vAlign w:val="center"/>
          </w:tcPr>
          <w:p w14:paraId="13DBA760">
            <w:pPr>
              <w:widowControl/>
              <w:jc w:val="center"/>
              <w:rPr>
                <w:rFonts w:ascii="宋体" w:hAnsi="宋体" w:eastAsia="宋体" w:cs="宋体"/>
                <w:color w:val="000000"/>
                <w:sz w:val="24"/>
                <w:szCs w:val="24"/>
                <w:lang w:val="en-US" w:eastAsia="zh-CN" w:bidi="ar-SA"/>
              </w:rPr>
            </w:pPr>
            <w:r>
              <w:rPr>
                <w:rFonts w:hint="eastAsia" w:ascii="宋体" w:hAnsi="宋体" w:cs="宋体"/>
                <w:color w:val="000000"/>
                <w:sz w:val="24"/>
              </w:rPr>
              <w:t>效益指标</w:t>
            </w:r>
          </w:p>
        </w:tc>
        <w:tc>
          <w:tcPr>
            <w:tcW w:w="1631" w:type="dxa"/>
            <w:vMerge w:val="restart"/>
            <w:noWrap w:val="0"/>
            <w:vAlign w:val="bottom"/>
          </w:tcPr>
          <w:p w14:paraId="462AF084">
            <w:pPr>
              <w:widowControl/>
              <w:jc w:val="center"/>
              <w:rPr>
                <w:rFonts w:ascii="宋体" w:hAnsi="宋体" w:cs="宋体"/>
                <w:color w:val="000000"/>
                <w:sz w:val="28"/>
                <w:szCs w:val="28"/>
              </w:rPr>
            </w:pPr>
            <w:r>
              <w:rPr>
                <w:rFonts w:hint="eastAsia" w:ascii="宋体" w:hAnsi="宋体" w:cs="宋体"/>
                <w:color w:val="000000"/>
                <w:sz w:val="28"/>
                <w:szCs w:val="28"/>
              </w:rPr>
              <w:t>社会</w:t>
            </w:r>
          </w:p>
          <w:p w14:paraId="74B22721">
            <w:pPr>
              <w:widowControl/>
              <w:jc w:val="center"/>
              <w:rPr>
                <w:rFonts w:ascii="宋体" w:hAnsi="宋体" w:cs="宋体"/>
                <w:color w:val="000000"/>
                <w:sz w:val="28"/>
                <w:szCs w:val="28"/>
              </w:rPr>
            </w:pPr>
            <w:r>
              <w:rPr>
                <w:rFonts w:hint="eastAsia" w:ascii="宋体" w:hAnsi="宋体" w:cs="宋体"/>
                <w:color w:val="000000"/>
                <w:sz w:val="28"/>
                <w:szCs w:val="28"/>
              </w:rPr>
              <w:t>效益</w:t>
            </w:r>
          </w:p>
          <w:p w14:paraId="24C2A5F6">
            <w:pPr>
              <w:widowControl/>
              <w:jc w:val="center"/>
              <w:rPr>
                <w:rFonts w:ascii="宋体" w:hAnsi="宋体" w:eastAsia="宋体" w:cs="宋体"/>
                <w:color w:val="000000"/>
                <w:sz w:val="24"/>
                <w:szCs w:val="24"/>
                <w:lang w:val="en-US" w:eastAsia="zh-CN" w:bidi="ar-SA"/>
              </w:rPr>
            </w:pPr>
            <w:r>
              <w:rPr>
                <w:rFonts w:hint="eastAsia" w:ascii="宋体" w:hAnsi="宋体" w:cs="宋体"/>
                <w:color w:val="000000"/>
                <w:sz w:val="28"/>
                <w:szCs w:val="28"/>
              </w:rPr>
              <w:t>指标</w:t>
            </w:r>
          </w:p>
        </w:tc>
        <w:tc>
          <w:tcPr>
            <w:tcW w:w="2221" w:type="dxa"/>
            <w:noWrap w:val="0"/>
            <w:vAlign w:val="bottom"/>
          </w:tcPr>
          <w:p w14:paraId="22328FB0">
            <w:pPr>
              <w:widowControl/>
              <w:jc w:val="left"/>
              <w:rPr>
                <w:rFonts w:ascii="宋体" w:hAnsi="宋体" w:eastAsia="宋体" w:cs="宋体"/>
                <w:color w:val="000000"/>
                <w:sz w:val="15"/>
                <w:szCs w:val="15"/>
                <w:lang w:val="en-US" w:eastAsia="zh-CN" w:bidi="ar-SA"/>
              </w:rPr>
            </w:pPr>
            <w:r>
              <w:rPr>
                <w:rFonts w:hint="eastAsia" w:ascii="宋体" w:hAnsi="宋体" w:cs="宋体"/>
                <w:color w:val="000000"/>
                <w:sz w:val="15"/>
                <w:szCs w:val="15"/>
              </w:rPr>
              <w:t>居民健康保健意识和健康知识知晓率</w:t>
            </w:r>
          </w:p>
        </w:tc>
        <w:tc>
          <w:tcPr>
            <w:tcW w:w="1398" w:type="dxa"/>
            <w:noWrap w:val="0"/>
            <w:vAlign w:val="center"/>
          </w:tcPr>
          <w:p w14:paraId="26A48353">
            <w:pPr>
              <w:widowControl/>
              <w:jc w:val="center"/>
              <w:rPr>
                <w:rFonts w:ascii="宋体" w:hAnsi="宋体" w:eastAsia="宋体" w:cs="宋体"/>
                <w:color w:val="000000"/>
                <w:sz w:val="24"/>
                <w:szCs w:val="24"/>
                <w:lang w:val="en-US" w:eastAsia="zh-CN" w:bidi="ar-SA"/>
              </w:rPr>
            </w:pPr>
          </w:p>
        </w:tc>
        <w:tc>
          <w:tcPr>
            <w:tcW w:w="1834" w:type="dxa"/>
            <w:noWrap w:val="0"/>
            <w:vAlign w:val="center"/>
          </w:tcPr>
          <w:p w14:paraId="3AE7C0B3">
            <w:pPr>
              <w:widowControl/>
              <w:jc w:val="center"/>
              <w:rPr>
                <w:rFonts w:ascii="宋体" w:hAnsi="宋体" w:eastAsia="宋体" w:cs="宋体"/>
                <w:color w:val="000000"/>
                <w:sz w:val="24"/>
                <w:szCs w:val="24"/>
                <w:lang w:val="en-US" w:eastAsia="zh-CN" w:bidi="ar-SA"/>
              </w:rPr>
            </w:pPr>
            <w:r>
              <w:rPr>
                <w:rFonts w:hint="eastAsia" w:ascii="宋体" w:hAnsi="宋体" w:cs="宋体"/>
                <w:color w:val="000000"/>
                <w:sz w:val="24"/>
              </w:rPr>
              <w:t>=</w:t>
            </w:r>
            <w:r>
              <w:rPr>
                <w:rFonts w:hint="eastAsia" w:ascii="宋体" w:hAnsi="宋体" w:cs="宋体"/>
                <w:color w:val="000000"/>
                <w:sz w:val="24"/>
                <w:lang w:val="en-US" w:eastAsia="zh-CN"/>
              </w:rPr>
              <w:t>70.3</w:t>
            </w:r>
            <w:r>
              <w:rPr>
                <w:rFonts w:hint="eastAsia" w:ascii="宋体" w:hAnsi="宋体" w:cs="宋体"/>
                <w:color w:val="000000"/>
                <w:sz w:val="24"/>
              </w:rPr>
              <w:t>％</w:t>
            </w:r>
          </w:p>
        </w:tc>
      </w:tr>
      <w:tr w14:paraId="72A5F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blCellSpacing w:w="0" w:type="dxa"/>
          <w:jc w:val="center"/>
        </w:trPr>
        <w:tc>
          <w:tcPr>
            <w:tcW w:w="390" w:type="dxa"/>
            <w:vMerge w:val="continue"/>
            <w:noWrap w:val="0"/>
            <w:vAlign w:val="center"/>
          </w:tcPr>
          <w:p w14:paraId="14663941">
            <w:pPr>
              <w:widowControl/>
              <w:jc w:val="left"/>
            </w:pPr>
          </w:p>
        </w:tc>
        <w:tc>
          <w:tcPr>
            <w:tcW w:w="862" w:type="dxa"/>
            <w:vMerge w:val="continue"/>
            <w:noWrap w:val="0"/>
            <w:vAlign w:val="center"/>
          </w:tcPr>
          <w:p w14:paraId="129C902E">
            <w:pPr>
              <w:widowControl/>
              <w:jc w:val="center"/>
            </w:pPr>
          </w:p>
        </w:tc>
        <w:tc>
          <w:tcPr>
            <w:tcW w:w="1631" w:type="dxa"/>
            <w:vMerge w:val="continue"/>
            <w:noWrap w:val="0"/>
            <w:vAlign w:val="bottom"/>
          </w:tcPr>
          <w:p w14:paraId="082DE717">
            <w:pPr>
              <w:widowControl/>
              <w:jc w:val="left"/>
            </w:pPr>
          </w:p>
        </w:tc>
        <w:tc>
          <w:tcPr>
            <w:tcW w:w="2221" w:type="dxa"/>
            <w:noWrap w:val="0"/>
            <w:vAlign w:val="bottom"/>
          </w:tcPr>
          <w:p w14:paraId="26745E81">
            <w:pPr>
              <w:widowControl/>
              <w:jc w:val="left"/>
              <w:rPr>
                <w:rFonts w:ascii="宋体" w:hAnsi="宋体" w:eastAsia="宋体" w:cs="宋体"/>
                <w:color w:val="000000"/>
                <w:sz w:val="15"/>
                <w:szCs w:val="15"/>
                <w:lang w:val="en-US" w:eastAsia="zh-CN" w:bidi="ar-SA"/>
              </w:rPr>
            </w:pPr>
            <w:r>
              <w:rPr>
                <w:rFonts w:hint="eastAsia" w:ascii="宋体" w:hAnsi="宋体" w:cs="宋体"/>
                <w:color w:val="000000"/>
                <w:sz w:val="15"/>
                <w:szCs w:val="15"/>
              </w:rPr>
              <w:t>重点人群艾滋病知识知晓率（≥**%）</w:t>
            </w:r>
          </w:p>
        </w:tc>
        <w:tc>
          <w:tcPr>
            <w:tcW w:w="1398" w:type="dxa"/>
            <w:noWrap w:val="0"/>
            <w:vAlign w:val="center"/>
          </w:tcPr>
          <w:p w14:paraId="79F2CBCA">
            <w:pPr>
              <w:widowControl/>
              <w:jc w:val="center"/>
              <w:rPr>
                <w:rFonts w:ascii="宋体" w:hAnsi="宋体" w:eastAsia="宋体" w:cs="宋体"/>
                <w:color w:val="000000"/>
                <w:sz w:val="24"/>
                <w:szCs w:val="24"/>
                <w:lang w:val="en-US" w:eastAsia="zh-CN" w:bidi="ar-SA"/>
              </w:rPr>
            </w:pPr>
          </w:p>
        </w:tc>
        <w:tc>
          <w:tcPr>
            <w:tcW w:w="1834" w:type="dxa"/>
            <w:noWrap w:val="0"/>
            <w:vAlign w:val="center"/>
          </w:tcPr>
          <w:p w14:paraId="28B098C8">
            <w:pPr>
              <w:widowControl/>
              <w:jc w:val="center"/>
              <w:rPr>
                <w:rFonts w:ascii="宋体" w:hAnsi="宋体" w:eastAsia="宋体" w:cs="宋体"/>
                <w:color w:val="000000"/>
                <w:sz w:val="24"/>
                <w:szCs w:val="24"/>
                <w:lang w:val="en-US" w:eastAsia="zh-CN" w:bidi="ar-SA"/>
              </w:rPr>
            </w:pPr>
            <w:r>
              <w:rPr>
                <w:rFonts w:hint="eastAsia" w:ascii="宋体" w:hAnsi="宋体" w:cs="宋体"/>
                <w:color w:val="000000"/>
                <w:sz w:val="24"/>
              </w:rPr>
              <w:t>≥90％</w:t>
            </w:r>
          </w:p>
        </w:tc>
      </w:tr>
      <w:tr w14:paraId="3CF6C1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6" w:hRule="atLeast"/>
          <w:tblCellSpacing w:w="0" w:type="dxa"/>
          <w:jc w:val="center"/>
        </w:trPr>
        <w:tc>
          <w:tcPr>
            <w:tcW w:w="390" w:type="dxa"/>
            <w:vMerge w:val="continue"/>
            <w:noWrap w:val="0"/>
            <w:vAlign w:val="center"/>
          </w:tcPr>
          <w:p w14:paraId="5A752C0F">
            <w:pPr>
              <w:widowControl/>
              <w:jc w:val="left"/>
            </w:pPr>
          </w:p>
        </w:tc>
        <w:tc>
          <w:tcPr>
            <w:tcW w:w="862" w:type="dxa"/>
            <w:vMerge w:val="continue"/>
            <w:noWrap w:val="0"/>
            <w:vAlign w:val="center"/>
          </w:tcPr>
          <w:p w14:paraId="636BDBD6">
            <w:pPr>
              <w:widowControl/>
              <w:jc w:val="center"/>
            </w:pPr>
          </w:p>
        </w:tc>
        <w:tc>
          <w:tcPr>
            <w:tcW w:w="1631" w:type="dxa"/>
            <w:vMerge w:val="continue"/>
            <w:noWrap w:val="0"/>
            <w:vAlign w:val="bottom"/>
          </w:tcPr>
          <w:p w14:paraId="6CD0BC08">
            <w:pPr>
              <w:widowControl/>
              <w:jc w:val="left"/>
            </w:pPr>
          </w:p>
        </w:tc>
        <w:tc>
          <w:tcPr>
            <w:tcW w:w="2221" w:type="dxa"/>
            <w:noWrap w:val="0"/>
            <w:vAlign w:val="bottom"/>
          </w:tcPr>
          <w:p w14:paraId="1322C287">
            <w:pPr>
              <w:widowControl/>
              <w:jc w:val="left"/>
              <w:rPr>
                <w:rFonts w:ascii="宋体" w:hAnsi="宋体" w:eastAsia="宋体" w:cs="宋体"/>
                <w:color w:val="000000"/>
                <w:sz w:val="15"/>
                <w:szCs w:val="15"/>
                <w:lang w:val="en-US" w:eastAsia="zh-CN" w:bidi="ar-SA"/>
              </w:rPr>
            </w:pPr>
            <w:r>
              <w:rPr>
                <w:rFonts w:hint="eastAsia" w:ascii="宋体" w:hAnsi="宋体" w:cs="宋体"/>
                <w:color w:val="000000"/>
                <w:sz w:val="15"/>
                <w:szCs w:val="15"/>
              </w:rPr>
              <w:t>疫情报告处置</w:t>
            </w:r>
          </w:p>
        </w:tc>
        <w:tc>
          <w:tcPr>
            <w:tcW w:w="1398" w:type="dxa"/>
            <w:noWrap w:val="0"/>
            <w:vAlign w:val="center"/>
          </w:tcPr>
          <w:p w14:paraId="6DABA694">
            <w:pPr>
              <w:widowControl/>
              <w:jc w:val="center"/>
              <w:rPr>
                <w:rFonts w:ascii="宋体" w:hAnsi="宋体" w:eastAsia="宋体" w:cs="宋体"/>
                <w:color w:val="000000"/>
                <w:sz w:val="24"/>
                <w:szCs w:val="24"/>
                <w:lang w:val="en-US" w:eastAsia="zh-CN" w:bidi="ar-SA"/>
              </w:rPr>
            </w:pPr>
          </w:p>
        </w:tc>
        <w:tc>
          <w:tcPr>
            <w:tcW w:w="1834" w:type="dxa"/>
            <w:noWrap w:val="0"/>
            <w:vAlign w:val="center"/>
          </w:tcPr>
          <w:p w14:paraId="192427B2">
            <w:pPr>
              <w:widowControl/>
              <w:jc w:val="center"/>
              <w:rPr>
                <w:rFonts w:ascii="宋体" w:hAnsi="宋体" w:eastAsia="宋体" w:cs="宋体"/>
                <w:color w:val="000000"/>
                <w:sz w:val="24"/>
                <w:szCs w:val="24"/>
                <w:lang w:val="en-US" w:eastAsia="zh-CN" w:bidi="ar-SA"/>
              </w:rPr>
            </w:pPr>
            <w:r>
              <w:rPr>
                <w:rFonts w:hint="eastAsia" w:ascii="宋体" w:hAnsi="宋体" w:cs="宋体"/>
                <w:color w:val="000000"/>
                <w:sz w:val="24"/>
              </w:rPr>
              <w:t>100％</w:t>
            </w:r>
          </w:p>
        </w:tc>
      </w:tr>
      <w:tr w14:paraId="6606DB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blCellSpacing w:w="0" w:type="dxa"/>
          <w:jc w:val="center"/>
        </w:trPr>
        <w:tc>
          <w:tcPr>
            <w:tcW w:w="390" w:type="dxa"/>
            <w:vMerge w:val="continue"/>
            <w:noWrap w:val="0"/>
            <w:vAlign w:val="center"/>
          </w:tcPr>
          <w:p w14:paraId="0B39C530">
            <w:pPr>
              <w:widowControl/>
              <w:jc w:val="left"/>
            </w:pPr>
          </w:p>
        </w:tc>
        <w:tc>
          <w:tcPr>
            <w:tcW w:w="862" w:type="dxa"/>
            <w:noWrap w:val="0"/>
            <w:vAlign w:val="center"/>
          </w:tcPr>
          <w:p w14:paraId="4736D0DD">
            <w:pPr>
              <w:widowControl/>
              <w:jc w:val="center"/>
              <w:rPr>
                <w:rFonts w:ascii="宋体" w:hAnsi="宋体" w:cs="宋体"/>
                <w:color w:val="000000"/>
                <w:sz w:val="24"/>
              </w:rPr>
            </w:pPr>
            <w:r>
              <w:rPr>
                <w:rFonts w:hint="eastAsia" w:ascii="宋体" w:hAnsi="宋体" w:cs="宋体"/>
                <w:color w:val="000000"/>
                <w:sz w:val="24"/>
              </w:rPr>
              <w:t>满意度</w:t>
            </w:r>
          </w:p>
          <w:p w14:paraId="6966C857">
            <w:pPr>
              <w:widowControl/>
              <w:jc w:val="center"/>
              <w:rPr>
                <w:rFonts w:ascii="宋体" w:hAnsi="宋体" w:eastAsia="宋体" w:cs="宋体"/>
                <w:color w:val="000000"/>
                <w:sz w:val="24"/>
                <w:szCs w:val="24"/>
                <w:lang w:val="en-US" w:eastAsia="zh-CN" w:bidi="ar-SA"/>
              </w:rPr>
            </w:pPr>
            <w:r>
              <w:rPr>
                <w:rFonts w:hint="eastAsia" w:ascii="宋体" w:hAnsi="宋体" w:cs="宋体"/>
                <w:color w:val="000000"/>
                <w:sz w:val="24"/>
              </w:rPr>
              <w:t>指标</w:t>
            </w:r>
          </w:p>
        </w:tc>
        <w:tc>
          <w:tcPr>
            <w:tcW w:w="1631" w:type="dxa"/>
            <w:noWrap w:val="0"/>
            <w:vAlign w:val="bottom"/>
          </w:tcPr>
          <w:p w14:paraId="7AD70FE1">
            <w:pPr>
              <w:widowControl/>
              <w:jc w:val="left"/>
              <w:rPr>
                <w:rFonts w:ascii="宋体" w:hAnsi="宋体" w:eastAsia="宋体" w:cs="宋体"/>
                <w:color w:val="000000"/>
                <w:sz w:val="24"/>
                <w:szCs w:val="24"/>
                <w:lang w:val="en-US" w:eastAsia="zh-CN" w:bidi="ar-SA"/>
              </w:rPr>
            </w:pPr>
            <w:r>
              <w:rPr>
                <w:rFonts w:hint="eastAsia" w:ascii="宋体" w:hAnsi="宋体" w:cs="宋体"/>
                <w:color w:val="000000"/>
                <w:sz w:val="22"/>
                <w:szCs w:val="22"/>
              </w:rPr>
              <w:t>服务对象满意度指标</w:t>
            </w:r>
          </w:p>
        </w:tc>
        <w:tc>
          <w:tcPr>
            <w:tcW w:w="2221" w:type="dxa"/>
            <w:noWrap w:val="0"/>
            <w:vAlign w:val="center"/>
          </w:tcPr>
          <w:p w14:paraId="33A3331C">
            <w:pPr>
              <w:widowControl/>
              <w:jc w:val="center"/>
              <w:rPr>
                <w:rFonts w:ascii="宋体" w:hAnsi="宋体" w:eastAsia="宋体" w:cs="宋体"/>
                <w:color w:val="000000"/>
                <w:sz w:val="24"/>
                <w:szCs w:val="24"/>
                <w:lang w:val="en-US" w:eastAsia="zh-CN" w:bidi="ar-SA"/>
              </w:rPr>
            </w:pPr>
            <w:r>
              <w:rPr>
                <w:rFonts w:hint="eastAsia" w:ascii="宋体" w:hAnsi="宋体" w:cs="宋体"/>
                <w:color w:val="000000"/>
                <w:sz w:val="22"/>
                <w:szCs w:val="22"/>
              </w:rPr>
              <w:t>群众满意度</w:t>
            </w:r>
          </w:p>
        </w:tc>
        <w:tc>
          <w:tcPr>
            <w:tcW w:w="1398" w:type="dxa"/>
            <w:noWrap w:val="0"/>
            <w:vAlign w:val="center"/>
          </w:tcPr>
          <w:p w14:paraId="5D905EF0">
            <w:pPr>
              <w:widowControl/>
              <w:jc w:val="center"/>
              <w:rPr>
                <w:rFonts w:ascii="宋体" w:hAnsi="宋体" w:eastAsia="宋体" w:cs="宋体"/>
                <w:color w:val="000000"/>
                <w:sz w:val="24"/>
                <w:szCs w:val="24"/>
                <w:lang w:val="en-US" w:eastAsia="zh-CN" w:bidi="ar-SA"/>
              </w:rPr>
            </w:pPr>
          </w:p>
        </w:tc>
        <w:tc>
          <w:tcPr>
            <w:tcW w:w="1834" w:type="dxa"/>
            <w:noWrap w:val="0"/>
            <w:vAlign w:val="center"/>
          </w:tcPr>
          <w:p w14:paraId="6433CE2A">
            <w:pPr>
              <w:widowControl/>
              <w:jc w:val="center"/>
              <w:rPr>
                <w:rFonts w:ascii="宋体" w:hAnsi="宋体" w:eastAsia="宋体" w:cs="宋体"/>
                <w:color w:val="000000"/>
                <w:sz w:val="24"/>
                <w:szCs w:val="24"/>
                <w:lang w:val="en-US" w:eastAsia="zh-CN" w:bidi="ar-SA"/>
              </w:rPr>
            </w:pPr>
            <w:r>
              <w:rPr>
                <w:rFonts w:hint="eastAsia" w:ascii="宋体" w:hAnsi="宋体" w:cs="宋体"/>
                <w:color w:val="000000"/>
                <w:sz w:val="24"/>
              </w:rPr>
              <w:t>≥9</w:t>
            </w:r>
            <w:r>
              <w:rPr>
                <w:rFonts w:hint="eastAsia" w:ascii="宋体" w:hAnsi="宋体" w:cs="宋体"/>
                <w:color w:val="000000"/>
                <w:sz w:val="24"/>
                <w:lang w:val="en-US" w:eastAsia="zh-CN"/>
              </w:rPr>
              <w:t>7</w:t>
            </w:r>
            <w:r>
              <w:rPr>
                <w:rFonts w:hint="eastAsia" w:ascii="宋体" w:hAnsi="宋体" w:cs="宋体"/>
                <w:color w:val="000000"/>
                <w:sz w:val="24"/>
              </w:rPr>
              <w:t>％</w:t>
            </w:r>
          </w:p>
        </w:tc>
      </w:tr>
    </w:tbl>
    <w:p w14:paraId="38BFB3DE">
      <w:pPr>
        <w:keepNext w:val="0"/>
        <w:keepLines w:val="0"/>
        <w:widowControl/>
        <w:suppressLineNumbers w:val="0"/>
        <w:shd w:val="clear" w:color="auto" w:fill="FFFFFF"/>
        <w:spacing w:before="0" w:beforeAutospacing="0" w:after="0" w:afterAutospacing="0"/>
        <w:ind w:left="0" w:right="0"/>
        <w:jc w:val="left"/>
      </w:pPr>
      <w:r>
        <w:rPr>
          <w:rFonts w:hint="eastAsia" w:ascii="宋体" w:hAnsi="宋体" w:eastAsia="宋体" w:cs="宋体"/>
          <w:sz w:val="24"/>
          <w:szCs w:val="24"/>
          <w:shd w:val="clear" w:color="auto" w:fill="FFFFFF"/>
          <w:lang w:val="en-US" w:eastAsia="zh-CN" w:bidi="ar"/>
        </w:rPr>
        <w:t> </w:t>
      </w:r>
    </w:p>
    <w:p w14:paraId="617C9FA4">
      <w:pPr>
        <w:pStyle w:val="189"/>
        <w:widowControl/>
        <w:shd w:val="clear" w:color="auto" w:fill="FFFFFF"/>
      </w:pPr>
      <w:r>
        <w:rPr>
          <w:shd w:val="clear" w:color="auto" w:fill="FFFFFF"/>
          <w:lang w:val="en-US"/>
        </w:rPr>
        <w:t> </w:t>
      </w:r>
    </w:p>
    <w:p w14:paraId="74A5D036">
      <w:pPr>
        <w:numPr>
          <w:ilvl w:val="0"/>
          <w:numId w:val="1"/>
        </w:numPr>
        <w:spacing w:line="560" w:lineRule="exact"/>
        <w:ind w:left="0" w:firstLine="0"/>
        <w:jc w:val="center"/>
        <w:rPr>
          <w:rFonts w:hint="eastAsia"/>
          <w:sz w:val="32"/>
          <w:szCs w:val="32"/>
        </w:rPr>
      </w:pPr>
      <w:r>
        <w:rPr>
          <w:rFonts w:hint="eastAsia"/>
          <w:sz w:val="32"/>
          <w:szCs w:val="32"/>
        </w:rPr>
        <w:t>概述本单位整体支出绩效目标实现情况（如有）</w:t>
      </w:r>
    </w:p>
    <w:p w14:paraId="024C2244">
      <w:pPr>
        <w:numPr>
          <w:ilvl w:val="0"/>
          <w:numId w:val="0"/>
        </w:numPr>
        <w:spacing w:line="560" w:lineRule="exact"/>
        <w:ind w:firstLine="1320"/>
        <w:jc w:val="both"/>
        <w:rPr>
          <w:rFonts w:hint="eastAsia" w:ascii="方正小标宋简体" w:hAnsi="方正小标宋简体" w:eastAsia="方正小标宋简体" w:cs="方正小标宋简体"/>
          <w:sz w:val="44"/>
          <w:szCs w:val="44"/>
          <w:lang w:val="en-US"/>
        </w:rPr>
      </w:pPr>
      <w:r>
        <w:rPr>
          <w:rFonts w:hint="eastAsia" w:ascii="方正小标宋简体" w:hAnsi="方正小标宋简体" w:eastAsia="方正小标宋简体" w:cs="方正小标宋简体"/>
          <w:sz w:val="44"/>
          <w:szCs w:val="44"/>
          <w:lang w:eastAsia="zh-CN"/>
        </w:rPr>
        <w:t>红原县疾病预防控制中心</w:t>
      </w:r>
    </w:p>
    <w:p w14:paraId="5A1770C8">
      <w:pPr>
        <w:spacing w:line="560" w:lineRule="exact"/>
        <w:jc w:val="center"/>
        <w:rPr>
          <w:rFonts w:hint="eastAsia" w:ascii="方正小标宋简体" w:hAnsi="方正小标宋简体" w:eastAsia="方正小标宋简体" w:cs="方正小标宋简体"/>
          <w:sz w:val="44"/>
          <w:szCs w:val="44"/>
          <w:lang w:val="en-US"/>
        </w:rPr>
      </w:pPr>
      <w:r>
        <w:rPr>
          <w:rFonts w:hint="eastAsia" w:ascii="方正小标宋简体" w:hAnsi="方正小标宋简体" w:eastAsia="方正小标宋简体" w:cs="方正小标宋简体"/>
          <w:sz w:val="44"/>
          <w:szCs w:val="44"/>
          <w:lang w:eastAsia="zh-CN"/>
        </w:rPr>
        <w:t>整体支出绩效报告</w:t>
      </w:r>
    </w:p>
    <w:p w14:paraId="74A6B45F">
      <w:pPr>
        <w:spacing w:line="560" w:lineRule="exact"/>
        <w:ind w:left="0" w:firstLine="720"/>
        <w:rPr>
          <w:rFonts w:hint="eastAsia" w:ascii="黑体" w:hAnsi="宋体" w:eastAsia="黑体" w:cs="黑体"/>
          <w:color w:val="000000"/>
          <w:lang w:val="zh-CN" w:eastAsia="zh-CN"/>
        </w:rPr>
      </w:pPr>
      <w:r>
        <w:rPr>
          <w:rFonts w:hint="eastAsia" w:ascii="黑体" w:hAnsi="宋体" w:eastAsia="黑体" w:cs="黑体"/>
          <w:color w:val="000000"/>
          <w:sz w:val="32"/>
          <w:szCs w:val="24"/>
          <w:lang w:eastAsia="zh-CN"/>
        </w:rPr>
        <w:t>一、</w:t>
      </w:r>
      <w:r>
        <w:rPr>
          <w:rFonts w:hint="eastAsia" w:ascii="黑体" w:hAnsi="宋体" w:eastAsia="黑体" w:cs="黑体"/>
          <w:color w:val="000000"/>
          <w:sz w:val="32"/>
          <w:szCs w:val="24"/>
          <w:lang w:val="zh-CN" w:eastAsia="zh-CN"/>
        </w:rPr>
        <w:t>部门（单位）概况</w:t>
      </w:r>
    </w:p>
    <w:p w14:paraId="5ED492BC">
      <w:pPr>
        <w:spacing w:line="560" w:lineRule="exact"/>
        <w:ind w:left="0" w:firstLine="640"/>
        <w:rPr>
          <w:rFonts w:hint="eastAsia" w:ascii="仿宋_GB2312" w:hAnsi="仿宋_GB2312" w:eastAsia="仿宋_GB2312" w:cs="仿宋_GB2312"/>
          <w:color w:val="000000"/>
          <w:sz w:val="32"/>
          <w:szCs w:val="24"/>
          <w:lang w:val="zh-CN" w:eastAsia="zh-CN"/>
        </w:rPr>
      </w:pPr>
      <w:r>
        <w:rPr>
          <w:rFonts w:hint="eastAsia" w:ascii="方正楷体_GBK" w:hAnsi="方正楷体_GBK" w:eastAsia="方正楷体_GBK" w:cs="方正楷体_GBK"/>
          <w:b/>
          <w:bCs/>
          <w:color w:val="000000"/>
          <w:sz w:val="32"/>
          <w:szCs w:val="24"/>
          <w:lang w:val="zh-CN" w:eastAsia="zh-CN"/>
        </w:rPr>
        <w:t>（一）机构组成</w:t>
      </w:r>
      <w:r>
        <w:rPr>
          <w:rFonts w:hint="eastAsia" w:ascii="仿宋_GB2312" w:hAnsi="仿宋_GB2312" w:eastAsia="仿宋_GB2312" w:cs="仿宋_GB2312"/>
          <w:color w:val="000000"/>
          <w:sz w:val="32"/>
          <w:szCs w:val="24"/>
          <w:lang w:val="zh-CN" w:eastAsia="zh-CN"/>
        </w:rPr>
        <w:t>。</w:t>
      </w:r>
    </w:p>
    <w:p w14:paraId="75C6A274">
      <w:pPr>
        <w:spacing w:line="560" w:lineRule="exact"/>
        <w:ind w:left="0" w:firstLine="600"/>
        <w:rPr>
          <w:rFonts w:hint="eastAsia" w:ascii="宋体" w:hAnsi="宋体" w:eastAsia="宋体" w:cs="宋体"/>
          <w:bCs/>
          <w:sz w:val="30"/>
          <w:szCs w:val="30"/>
          <w:lang w:val="en-US"/>
        </w:rPr>
      </w:pPr>
      <w:r>
        <w:rPr>
          <w:rFonts w:hint="eastAsia" w:ascii="宋体" w:hAnsi="宋体" w:eastAsia="宋体" w:cs="宋体"/>
          <w:bCs/>
          <w:sz w:val="30"/>
          <w:szCs w:val="30"/>
          <w:lang w:eastAsia="zh-CN"/>
        </w:rPr>
        <w:t>我单位为红原县卫生健康局下属二级预算单位，属全额拨款公益一类事业单位，下设办公室、监测科、传管科、健教科、财务科、结艾科、地方病防治科、检验科、公卫科，包虫病防治办公室共</w:t>
      </w:r>
      <w:r>
        <w:rPr>
          <w:rFonts w:hint="eastAsia" w:ascii="宋体" w:hAnsi="宋体" w:eastAsia="宋体" w:cs="宋体"/>
          <w:bCs/>
          <w:sz w:val="30"/>
          <w:szCs w:val="30"/>
          <w:lang w:val="en-US"/>
        </w:rPr>
        <w:t>10</w:t>
      </w:r>
      <w:r>
        <w:rPr>
          <w:rFonts w:hint="eastAsia" w:ascii="宋体" w:hAnsi="宋体" w:eastAsia="宋体" w:cs="宋体"/>
          <w:bCs/>
          <w:sz w:val="30"/>
          <w:szCs w:val="30"/>
          <w:lang w:eastAsia="zh-CN"/>
        </w:rPr>
        <w:t>个科室。</w:t>
      </w:r>
    </w:p>
    <w:p w14:paraId="11D8E6A6">
      <w:pPr>
        <w:keepNext w:val="0"/>
        <w:keepLines w:val="0"/>
        <w:widowControl w:val="0"/>
        <w:numPr>
          <w:ilvl w:val="0"/>
          <w:numId w:val="5"/>
        </w:numPr>
        <w:suppressLineNumbers w:val="0"/>
        <w:spacing w:line="560" w:lineRule="exact"/>
        <w:ind w:left="0" w:firstLine="630"/>
        <w:jc w:val="both"/>
        <w:rPr>
          <w:rFonts w:hint="eastAsia" w:ascii="宋体" w:hAnsi="宋体" w:eastAsia="宋体" w:cs="宋体"/>
          <w:b/>
          <w:bCs/>
          <w:color w:val="000000"/>
          <w:sz w:val="32"/>
          <w:szCs w:val="24"/>
          <w:lang w:val="zh-CN" w:eastAsia="zh-CN"/>
        </w:rPr>
      </w:pPr>
      <w:r>
        <w:rPr>
          <w:rFonts w:hint="eastAsia" w:ascii="宋体" w:hAnsi="宋体" w:eastAsia="宋体" w:cs="宋体"/>
          <w:b/>
          <w:bCs/>
          <w:color w:val="000000"/>
          <w:sz w:val="32"/>
          <w:szCs w:val="24"/>
          <w:lang w:val="zh-CN" w:eastAsia="zh-CN"/>
        </w:rPr>
        <w:t>机构职能。</w:t>
      </w:r>
    </w:p>
    <w:p w14:paraId="41F75B30">
      <w:pPr>
        <w:spacing w:line="560" w:lineRule="exact"/>
        <w:ind w:left="0" w:firstLine="640"/>
        <w:rPr>
          <w:rFonts w:hint="eastAsia" w:ascii="宋体" w:hAnsi="宋体" w:eastAsia="宋体" w:cs="宋体"/>
          <w:b/>
          <w:bCs w:val="0"/>
          <w:sz w:val="32"/>
          <w:szCs w:val="32"/>
          <w:lang w:val="en-US"/>
        </w:rPr>
      </w:pPr>
      <w:r>
        <w:rPr>
          <w:rFonts w:hint="eastAsia" w:ascii="宋体" w:hAnsi="宋体" w:eastAsia="宋体" w:cs="宋体"/>
          <w:sz w:val="32"/>
          <w:szCs w:val="32"/>
          <w:lang w:eastAsia="zh-CN"/>
        </w:rPr>
        <w:t>全面履行政府赋予的卫生防病职能</w:t>
      </w:r>
      <w:r>
        <w:rPr>
          <w:rFonts w:hint="eastAsia" w:ascii="宋体" w:hAnsi="宋体" w:eastAsia="宋体" w:cs="宋体"/>
          <w:sz w:val="32"/>
          <w:szCs w:val="32"/>
          <w:lang w:val="en-US"/>
        </w:rPr>
        <w:t xml:space="preserve">, </w:t>
      </w:r>
      <w:r>
        <w:rPr>
          <w:rFonts w:hint="eastAsia" w:ascii="宋体" w:hAnsi="宋体" w:eastAsia="宋体" w:cs="宋体"/>
          <w:sz w:val="32"/>
          <w:szCs w:val="32"/>
          <w:lang w:eastAsia="zh-CN"/>
        </w:rPr>
        <w:t>做好传染病等突发公共卫生事件应急、监测、报告与管理；信息与网络管理；加强疾病及健康相关因素监测和分析评估能力的储备及应用；完成国家、省、州下达的重大疾病预防控制指令性任务；实施疾病预防控制规划、方案，组织开展辖区内疾病爆发调查处理和报告；负责全县慢性传染病、慢性非传染性疾病的流行病学调查、监测，营养健康，健康教育与健康促进，实施儿童计划免疫及预防性生物制品管理；推行重大公共卫生服务项目，免费为艾滋病患者提供“四免一关怀”服务；制定我县结核病预防控制规划并组织实施；负责本辖区内大骨节病、包虫病、地氟病、碘缺乏病的综合防治和研究；提供消毒、杀虫、灭蝇等相关技术性服务；对食品卫生、公共场所、工矿企业、学校及生产经营单位的卫生具有监测职能和卫生学评价职能；为社会人群提供预防性疫苗接种等工作。</w:t>
      </w:r>
    </w:p>
    <w:p w14:paraId="6224993B">
      <w:pPr>
        <w:keepNext w:val="0"/>
        <w:keepLines w:val="0"/>
        <w:widowControl w:val="0"/>
        <w:numPr>
          <w:ilvl w:val="0"/>
          <w:numId w:val="5"/>
        </w:numPr>
        <w:suppressLineNumbers w:val="0"/>
        <w:spacing w:line="560" w:lineRule="exact"/>
        <w:ind w:left="0" w:firstLine="630"/>
        <w:rPr>
          <w:rFonts w:hint="eastAsia" w:ascii="宋体" w:hAnsi="宋体" w:eastAsia="宋体" w:cs="宋体"/>
          <w:color w:val="000000"/>
          <w:sz w:val="32"/>
          <w:szCs w:val="32"/>
          <w:lang w:val="zh-CN" w:eastAsia="zh-CN"/>
        </w:rPr>
      </w:pPr>
      <w:r>
        <w:rPr>
          <w:rFonts w:hint="eastAsia" w:ascii="宋体" w:hAnsi="宋体" w:eastAsia="宋体" w:cs="宋体"/>
          <w:b/>
          <w:bCs/>
          <w:color w:val="000000"/>
          <w:sz w:val="32"/>
          <w:szCs w:val="32"/>
          <w:lang w:val="zh-CN" w:eastAsia="zh-CN"/>
        </w:rPr>
        <w:t>人员概况</w:t>
      </w:r>
      <w:r>
        <w:rPr>
          <w:rFonts w:hint="eastAsia" w:ascii="宋体" w:hAnsi="宋体" w:eastAsia="宋体" w:cs="宋体"/>
          <w:color w:val="000000"/>
          <w:sz w:val="32"/>
          <w:szCs w:val="32"/>
          <w:lang w:val="zh-CN" w:eastAsia="zh-CN"/>
        </w:rPr>
        <w:t>。</w:t>
      </w:r>
    </w:p>
    <w:p w14:paraId="3815AD7A">
      <w:pPr>
        <w:spacing w:line="560" w:lineRule="exact"/>
        <w:ind w:left="0" w:firstLine="640"/>
        <w:rPr>
          <w:rFonts w:hint="eastAsia" w:ascii="宋体" w:hAnsi="宋体" w:eastAsia="宋体" w:cs="宋体"/>
          <w:bCs/>
          <w:sz w:val="32"/>
          <w:szCs w:val="32"/>
          <w:lang w:val="en-US"/>
        </w:rPr>
      </w:pPr>
      <w:r>
        <w:rPr>
          <w:rFonts w:hint="eastAsia" w:ascii="宋体" w:hAnsi="宋体" w:eastAsia="宋体" w:cs="宋体"/>
          <w:sz w:val="32"/>
          <w:szCs w:val="32"/>
          <w:lang w:eastAsia="zh-CN"/>
        </w:rPr>
        <w:t>我单位截止</w:t>
      </w:r>
      <w:r>
        <w:rPr>
          <w:rFonts w:hint="eastAsia" w:ascii="宋体" w:hAnsi="宋体" w:eastAsia="宋体" w:cs="宋体"/>
          <w:sz w:val="32"/>
          <w:szCs w:val="32"/>
          <w:lang w:val="en-US"/>
        </w:rPr>
        <w:t>202</w:t>
      </w:r>
      <w:r>
        <w:rPr>
          <w:rFonts w:hint="eastAsia" w:ascii="宋体" w:hAnsi="宋体" w:eastAsia="宋体" w:cs="宋体"/>
          <w:sz w:val="32"/>
          <w:szCs w:val="32"/>
          <w:lang w:val="en-US" w:eastAsia="zh-CN"/>
        </w:rPr>
        <w:t>2</w:t>
      </w:r>
      <w:r>
        <w:rPr>
          <w:rFonts w:hint="eastAsia" w:ascii="宋体" w:hAnsi="宋体" w:eastAsia="宋体" w:cs="宋体"/>
          <w:sz w:val="32"/>
          <w:szCs w:val="32"/>
          <w:lang w:eastAsia="zh-CN"/>
        </w:rPr>
        <w:t>年底我单位共有编制</w:t>
      </w:r>
      <w:r>
        <w:rPr>
          <w:rFonts w:hint="eastAsia" w:ascii="宋体" w:hAnsi="宋体" w:eastAsia="宋体" w:cs="宋体"/>
          <w:sz w:val="32"/>
          <w:szCs w:val="32"/>
          <w:lang w:val="en-US"/>
        </w:rPr>
        <w:t>39</w:t>
      </w:r>
      <w:r>
        <w:rPr>
          <w:rFonts w:hint="eastAsia" w:ascii="宋体" w:hAnsi="宋体" w:eastAsia="宋体" w:cs="宋体"/>
          <w:sz w:val="32"/>
          <w:szCs w:val="32"/>
          <w:lang w:eastAsia="zh-CN"/>
        </w:rPr>
        <w:t>个，其中事业编制</w:t>
      </w:r>
      <w:r>
        <w:rPr>
          <w:rFonts w:hint="eastAsia" w:ascii="宋体" w:hAnsi="宋体" w:eastAsia="宋体" w:cs="宋体"/>
          <w:sz w:val="32"/>
          <w:szCs w:val="32"/>
          <w:lang w:val="en-US"/>
        </w:rPr>
        <w:t>39</w:t>
      </w:r>
      <w:r>
        <w:rPr>
          <w:rFonts w:hint="eastAsia" w:ascii="宋体" w:hAnsi="宋体" w:eastAsia="宋体" w:cs="宋体"/>
          <w:sz w:val="32"/>
          <w:szCs w:val="32"/>
          <w:lang w:eastAsia="zh-CN"/>
        </w:rPr>
        <w:t>个，在职</w:t>
      </w:r>
      <w:r>
        <w:rPr>
          <w:rFonts w:hint="eastAsia" w:ascii="宋体" w:hAnsi="宋体" w:eastAsia="宋体" w:cs="宋体"/>
          <w:sz w:val="32"/>
          <w:szCs w:val="32"/>
          <w:lang w:val="en-US"/>
        </w:rPr>
        <w:t>3</w:t>
      </w:r>
      <w:r>
        <w:rPr>
          <w:rFonts w:hint="eastAsia" w:ascii="宋体" w:hAnsi="宋体" w:eastAsia="宋体" w:cs="宋体"/>
          <w:sz w:val="32"/>
          <w:szCs w:val="32"/>
          <w:lang w:val="en-US" w:eastAsia="zh-CN"/>
        </w:rPr>
        <w:t>5</w:t>
      </w:r>
      <w:r>
        <w:rPr>
          <w:rFonts w:hint="eastAsia" w:ascii="宋体" w:hAnsi="宋体" w:eastAsia="宋体" w:cs="宋体"/>
          <w:sz w:val="32"/>
          <w:szCs w:val="32"/>
          <w:lang w:eastAsia="zh-CN"/>
        </w:rPr>
        <w:t>人，事业编制</w:t>
      </w:r>
      <w:r>
        <w:rPr>
          <w:rFonts w:hint="eastAsia" w:ascii="宋体" w:hAnsi="宋体" w:eastAsia="宋体" w:cs="宋体"/>
          <w:sz w:val="32"/>
          <w:szCs w:val="32"/>
          <w:lang w:val="en-US"/>
        </w:rPr>
        <w:t>3</w:t>
      </w:r>
      <w:r>
        <w:rPr>
          <w:rFonts w:hint="eastAsia" w:ascii="宋体" w:hAnsi="宋体" w:eastAsia="宋体" w:cs="宋体"/>
          <w:sz w:val="32"/>
          <w:szCs w:val="32"/>
          <w:lang w:val="en-US" w:eastAsia="zh-CN"/>
        </w:rPr>
        <w:t>5</w:t>
      </w:r>
      <w:r>
        <w:rPr>
          <w:rFonts w:hint="eastAsia" w:ascii="宋体" w:hAnsi="宋体" w:eastAsia="宋体" w:cs="宋体"/>
          <w:sz w:val="32"/>
          <w:szCs w:val="32"/>
          <w:lang w:eastAsia="zh-CN"/>
        </w:rPr>
        <w:t>人</w:t>
      </w:r>
      <w:r>
        <w:rPr>
          <w:rFonts w:hint="eastAsia" w:ascii="宋体" w:hAnsi="宋体" w:eastAsia="宋体" w:cs="宋体"/>
          <w:sz w:val="32"/>
          <w:szCs w:val="32"/>
          <w:lang w:val="en-US"/>
        </w:rPr>
        <w:t>,</w:t>
      </w:r>
      <w:r>
        <w:rPr>
          <w:rFonts w:hint="eastAsia" w:ascii="宋体" w:hAnsi="宋体" w:eastAsia="宋体" w:cs="宋体"/>
          <w:sz w:val="32"/>
          <w:szCs w:val="32"/>
          <w:lang w:eastAsia="zh-CN"/>
        </w:rPr>
        <w:t>其中专业技术人员</w:t>
      </w:r>
      <w:r>
        <w:rPr>
          <w:rFonts w:hint="eastAsia" w:ascii="宋体" w:hAnsi="宋体" w:eastAsia="宋体" w:cs="宋体"/>
          <w:sz w:val="32"/>
          <w:szCs w:val="32"/>
          <w:lang w:val="en-US"/>
        </w:rPr>
        <w:t>3</w:t>
      </w:r>
      <w:r>
        <w:rPr>
          <w:rFonts w:hint="eastAsia" w:ascii="宋体" w:hAnsi="宋体" w:eastAsia="宋体" w:cs="宋体"/>
          <w:sz w:val="32"/>
          <w:szCs w:val="32"/>
          <w:lang w:val="en-US" w:eastAsia="zh-CN"/>
        </w:rPr>
        <w:t>1</w:t>
      </w:r>
      <w:r>
        <w:rPr>
          <w:rFonts w:hint="eastAsia" w:ascii="宋体" w:hAnsi="宋体" w:eastAsia="宋体" w:cs="宋体"/>
          <w:sz w:val="32"/>
          <w:szCs w:val="32"/>
          <w:lang w:eastAsia="zh-CN"/>
        </w:rPr>
        <w:t>人，管理人员</w:t>
      </w:r>
      <w:r>
        <w:rPr>
          <w:rFonts w:hint="eastAsia" w:ascii="宋体" w:hAnsi="宋体" w:eastAsia="宋体" w:cs="宋体"/>
          <w:sz w:val="32"/>
          <w:szCs w:val="32"/>
          <w:lang w:val="en-US"/>
        </w:rPr>
        <w:t>1</w:t>
      </w:r>
      <w:r>
        <w:rPr>
          <w:rFonts w:hint="eastAsia" w:ascii="宋体" w:hAnsi="宋体" w:eastAsia="宋体" w:cs="宋体"/>
          <w:sz w:val="32"/>
          <w:szCs w:val="32"/>
          <w:lang w:eastAsia="zh-CN"/>
        </w:rPr>
        <w:t>人，工勤</w:t>
      </w:r>
      <w:r>
        <w:rPr>
          <w:rFonts w:hint="eastAsia" w:ascii="宋体" w:hAnsi="宋体" w:eastAsia="宋体" w:cs="宋体"/>
          <w:sz w:val="32"/>
          <w:szCs w:val="32"/>
          <w:lang w:val="en-US"/>
        </w:rPr>
        <w:t>3</w:t>
      </w:r>
      <w:r>
        <w:rPr>
          <w:rFonts w:hint="eastAsia" w:ascii="宋体" w:hAnsi="宋体" w:eastAsia="宋体" w:cs="宋体"/>
          <w:sz w:val="32"/>
          <w:szCs w:val="32"/>
          <w:lang w:eastAsia="zh-CN"/>
        </w:rPr>
        <w:t>人；退休</w:t>
      </w:r>
      <w:r>
        <w:rPr>
          <w:rFonts w:hint="eastAsia" w:ascii="宋体" w:hAnsi="宋体" w:eastAsia="宋体" w:cs="宋体"/>
          <w:sz w:val="32"/>
          <w:szCs w:val="32"/>
          <w:lang w:val="en-US"/>
        </w:rPr>
        <w:t>1</w:t>
      </w:r>
      <w:r>
        <w:rPr>
          <w:rFonts w:hint="eastAsia" w:ascii="宋体" w:hAnsi="宋体" w:eastAsia="宋体" w:cs="宋体"/>
          <w:sz w:val="32"/>
          <w:szCs w:val="32"/>
          <w:lang w:val="en-US" w:eastAsia="zh-CN"/>
        </w:rPr>
        <w:t>3</w:t>
      </w:r>
      <w:r>
        <w:rPr>
          <w:rFonts w:hint="eastAsia" w:ascii="宋体" w:hAnsi="宋体" w:eastAsia="宋体" w:cs="宋体"/>
          <w:sz w:val="32"/>
          <w:szCs w:val="32"/>
          <w:lang w:eastAsia="zh-CN"/>
        </w:rPr>
        <w:t>人。</w:t>
      </w:r>
    </w:p>
    <w:p w14:paraId="274C62F7">
      <w:pPr>
        <w:spacing w:line="560" w:lineRule="exact"/>
        <w:ind w:left="0" w:firstLine="720"/>
        <w:rPr>
          <w:rFonts w:hint="eastAsia" w:ascii="宋体" w:hAnsi="宋体" w:eastAsia="宋体" w:cs="宋体"/>
          <w:color w:val="000000"/>
          <w:sz w:val="32"/>
          <w:szCs w:val="32"/>
          <w:lang w:val="en-US"/>
        </w:rPr>
      </w:pPr>
      <w:r>
        <w:rPr>
          <w:rFonts w:hint="eastAsia" w:ascii="宋体" w:hAnsi="宋体" w:eastAsia="宋体" w:cs="宋体"/>
          <w:color w:val="000000"/>
          <w:sz w:val="32"/>
          <w:szCs w:val="32"/>
          <w:lang w:eastAsia="zh-CN"/>
        </w:rPr>
        <w:t>二、部门财政资金收支情况</w:t>
      </w:r>
    </w:p>
    <w:p w14:paraId="14B7416D">
      <w:pPr>
        <w:spacing w:line="560" w:lineRule="exact"/>
        <w:ind w:left="0" w:firstLine="720"/>
        <w:rPr>
          <w:rFonts w:hint="eastAsia" w:ascii="宋体" w:hAnsi="宋体" w:eastAsia="宋体" w:cs="宋体"/>
          <w:color w:val="000000"/>
          <w:sz w:val="32"/>
          <w:szCs w:val="32"/>
          <w:lang w:val="zh-CN" w:eastAsia="zh-CN"/>
        </w:rPr>
      </w:pPr>
      <w:r>
        <w:rPr>
          <w:rFonts w:hint="eastAsia" w:ascii="宋体" w:hAnsi="宋体" w:eastAsia="宋体" w:cs="宋体"/>
          <w:color w:val="000000"/>
          <w:sz w:val="32"/>
          <w:szCs w:val="32"/>
          <w:lang w:val="zh-CN" w:eastAsia="zh-CN"/>
        </w:rPr>
        <w:t>（一）部门财政资金收入情况。</w:t>
      </w:r>
    </w:p>
    <w:p w14:paraId="058E87AF">
      <w:pPr>
        <w:spacing w:line="560" w:lineRule="exact"/>
        <w:ind w:left="0" w:firstLine="640"/>
        <w:rPr>
          <w:rFonts w:hint="eastAsia" w:ascii="宋体" w:hAnsi="宋体" w:eastAsia="宋体" w:cs="宋体"/>
          <w:color w:val="000000"/>
          <w:sz w:val="32"/>
          <w:szCs w:val="32"/>
          <w:lang w:val="en-US"/>
        </w:rPr>
      </w:pPr>
      <w:r>
        <w:rPr>
          <w:rFonts w:hint="eastAsia" w:ascii="宋体" w:hAnsi="宋体" w:eastAsia="宋体" w:cs="宋体"/>
          <w:color w:val="000000"/>
          <w:sz w:val="32"/>
          <w:szCs w:val="32"/>
          <w:lang w:val="en-US"/>
        </w:rPr>
        <w:t>202</w:t>
      </w:r>
      <w:r>
        <w:rPr>
          <w:rFonts w:hint="eastAsia" w:ascii="宋体" w:hAnsi="宋体" w:eastAsia="宋体" w:cs="宋体"/>
          <w:color w:val="000000"/>
          <w:sz w:val="32"/>
          <w:szCs w:val="32"/>
          <w:lang w:val="en-US" w:eastAsia="zh-CN"/>
        </w:rPr>
        <w:t>2</w:t>
      </w:r>
      <w:r>
        <w:rPr>
          <w:rFonts w:hint="eastAsia" w:ascii="宋体" w:hAnsi="宋体" w:eastAsia="宋体" w:cs="宋体"/>
          <w:color w:val="000000"/>
          <w:sz w:val="32"/>
          <w:szCs w:val="32"/>
          <w:lang w:eastAsia="zh-CN"/>
        </w:rPr>
        <w:t>年度总收入</w:t>
      </w:r>
      <w:r>
        <w:rPr>
          <w:rFonts w:hint="eastAsia" w:ascii="宋体" w:hAnsi="宋体" w:eastAsia="宋体" w:cs="宋体"/>
          <w:color w:val="000000"/>
          <w:sz w:val="32"/>
          <w:szCs w:val="32"/>
          <w:lang w:val="en-US"/>
        </w:rPr>
        <w:t>:</w:t>
      </w:r>
      <w:r>
        <w:rPr>
          <w:rFonts w:hint="eastAsia" w:ascii="宋体" w:hAnsi="宋体" w:eastAsia="宋体" w:cs="宋体"/>
          <w:color w:val="000000"/>
          <w:sz w:val="32"/>
          <w:szCs w:val="32"/>
          <w:lang w:val="en-US" w:eastAsia="zh-CN"/>
        </w:rPr>
        <w:t>1020.58</w:t>
      </w:r>
      <w:r>
        <w:rPr>
          <w:rFonts w:hint="eastAsia" w:ascii="宋体" w:hAnsi="宋体" w:eastAsia="宋体" w:cs="宋体"/>
          <w:color w:val="000000"/>
          <w:sz w:val="32"/>
          <w:szCs w:val="32"/>
          <w:lang w:eastAsia="zh-CN"/>
        </w:rPr>
        <w:t>万元，其中财政拨款收入总计：</w:t>
      </w:r>
      <w:r>
        <w:rPr>
          <w:rFonts w:hint="eastAsia" w:ascii="宋体" w:hAnsi="宋体" w:eastAsia="宋体" w:cs="宋体"/>
          <w:color w:val="000000"/>
          <w:sz w:val="32"/>
          <w:szCs w:val="32"/>
          <w:lang w:val="en-US" w:eastAsia="zh-CN"/>
        </w:rPr>
        <w:t>1020.58</w:t>
      </w:r>
      <w:r>
        <w:rPr>
          <w:rFonts w:hint="eastAsia" w:ascii="宋体" w:hAnsi="宋体" w:eastAsia="宋体" w:cs="宋体"/>
          <w:color w:val="000000"/>
          <w:sz w:val="32"/>
          <w:szCs w:val="32"/>
          <w:lang w:eastAsia="zh-CN"/>
        </w:rPr>
        <w:t>万元，占总收入</w:t>
      </w:r>
      <w:r>
        <w:rPr>
          <w:rFonts w:hint="eastAsia" w:ascii="宋体" w:hAnsi="宋体" w:eastAsia="宋体" w:cs="宋体"/>
          <w:color w:val="000000"/>
          <w:sz w:val="32"/>
          <w:szCs w:val="32"/>
          <w:lang w:val="en-US"/>
        </w:rPr>
        <w:t>100%</w:t>
      </w:r>
      <w:r>
        <w:rPr>
          <w:rFonts w:hint="eastAsia" w:ascii="宋体" w:hAnsi="宋体" w:eastAsia="宋体" w:cs="宋体"/>
          <w:color w:val="000000"/>
          <w:sz w:val="32"/>
          <w:szCs w:val="32"/>
          <w:lang w:eastAsia="zh-CN"/>
        </w:rPr>
        <w:t>，与</w:t>
      </w:r>
      <w:r>
        <w:rPr>
          <w:rFonts w:hint="eastAsia" w:ascii="宋体" w:hAnsi="宋体" w:eastAsia="宋体" w:cs="宋体"/>
          <w:color w:val="000000"/>
          <w:sz w:val="32"/>
          <w:szCs w:val="32"/>
          <w:lang w:val="en-US"/>
        </w:rPr>
        <w:t>202</w:t>
      </w:r>
      <w:r>
        <w:rPr>
          <w:rFonts w:hint="eastAsia" w:ascii="宋体" w:hAnsi="宋体" w:eastAsia="宋体" w:cs="宋体"/>
          <w:color w:val="000000"/>
          <w:sz w:val="32"/>
          <w:szCs w:val="32"/>
          <w:lang w:val="en-US" w:eastAsia="zh-CN"/>
        </w:rPr>
        <w:t>1</w:t>
      </w:r>
      <w:r>
        <w:rPr>
          <w:rFonts w:hint="eastAsia" w:ascii="宋体" w:hAnsi="宋体" w:eastAsia="宋体" w:cs="宋体"/>
          <w:color w:val="000000"/>
          <w:sz w:val="32"/>
          <w:szCs w:val="32"/>
          <w:lang w:eastAsia="zh-CN"/>
        </w:rPr>
        <w:t>年相比较，增加</w:t>
      </w:r>
      <w:r>
        <w:rPr>
          <w:rFonts w:hint="eastAsia" w:ascii="宋体" w:hAnsi="宋体" w:eastAsia="宋体" w:cs="宋体"/>
          <w:color w:val="000000"/>
          <w:sz w:val="32"/>
          <w:szCs w:val="32"/>
          <w:lang w:val="en-US" w:eastAsia="zh-CN"/>
        </w:rPr>
        <w:t>390.8</w:t>
      </w:r>
      <w:r>
        <w:rPr>
          <w:rFonts w:hint="eastAsia" w:ascii="宋体" w:hAnsi="宋体" w:eastAsia="宋体" w:cs="宋体"/>
          <w:color w:val="000000"/>
          <w:sz w:val="32"/>
          <w:szCs w:val="32"/>
          <w:lang w:eastAsia="zh-CN"/>
        </w:rPr>
        <w:t>万元，增长</w:t>
      </w:r>
      <w:r>
        <w:rPr>
          <w:rFonts w:hint="eastAsia" w:ascii="宋体" w:hAnsi="宋体" w:eastAsia="宋体" w:cs="宋体"/>
          <w:color w:val="000000"/>
          <w:sz w:val="32"/>
          <w:szCs w:val="32"/>
          <w:lang w:val="en-US" w:eastAsia="zh-CN"/>
        </w:rPr>
        <w:t>-27.7</w:t>
      </w:r>
      <w:r>
        <w:rPr>
          <w:rFonts w:hint="eastAsia" w:ascii="宋体" w:hAnsi="宋体" w:eastAsia="宋体" w:cs="宋体"/>
          <w:color w:val="000000"/>
          <w:sz w:val="32"/>
          <w:szCs w:val="32"/>
          <w:lang w:val="en-US"/>
        </w:rPr>
        <w:t>%</w:t>
      </w:r>
      <w:r>
        <w:rPr>
          <w:rFonts w:hint="eastAsia" w:ascii="宋体" w:hAnsi="宋体" w:eastAsia="宋体" w:cs="宋体"/>
          <w:color w:val="000000"/>
          <w:sz w:val="32"/>
          <w:szCs w:val="32"/>
          <w:lang w:eastAsia="zh-CN"/>
        </w:rPr>
        <w:t>；主要原因是人员调整，目标奖减少</w:t>
      </w:r>
      <w:r>
        <w:rPr>
          <w:rFonts w:hint="eastAsia" w:ascii="宋体" w:hAnsi="宋体" w:eastAsia="宋体" w:cs="宋体"/>
          <w:color w:val="000000"/>
          <w:sz w:val="32"/>
          <w:szCs w:val="32"/>
          <w:lang w:val="en-US" w:eastAsia="zh-CN"/>
        </w:rPr>
        <w:t>,中央,省级项目资金减少</w:t>
      </w:r>
      <w:r>
        <w:rPr>
          <w:rFonts w:hint="eastAsia" w:ascii="宋体" w:hAnsi="宋体" w:eastAsia="宋体" w:cs="宋体"/>
          <w:color w:val="000000"/>
          <w:sz w:val="32"/>
          <w:szCs w:val="32"/>
          <w:lang w:eastAsia="zh-CN"/>
        </w:rPr>
        <w:t>。</w:t>
      </w:r>
    </w:p>
    <w:p w14:paraId="71759254">
      <w:pPr>
        <w:spacing w:line="560" w:lineRule="exact"/>
        <w:ind w:left="0" w:firstLine="640"/>
        <w:rPr>
          <w:rFonts w:hint="eastAsia" w:ascii="宋体" w:hAnsi="宋体" w:eastAsia="宋体" w:cs="宋体"/>
          <w:color w:val="000000"/>
          <w:sz w:val="32"/>
          <w:szCs w:val="32"/>
          <w:lang w:val="zh-CN" w:eastAsia="zh-CN"/>
        </w:rPr>
      </w:pPr>
      <w:r>
        <w:rPr>
          <w:rFonts w:hint="eastAsia" w:ascii="宋体" w:hAnsi="宋体" w:eastAsia="宋体" w:cs="宋体"/>
          <w:color w:val="000000"/>
          <w:sz w:val="32"/>
          <w:szCs w:val="32"/>
          <w:lang w:eastAsia="zh-CN"/>
        </w:rPr>
        <w:t>（二）</w:t>
      </w:r>
      <w:r>
        <w:rPr>
          <w:rFonts w:hint="eastAsia" w:ascii="宋体" w:hAnsi="宋体" w:eastAsia="宋体" w:cs="宋体"/>
          <w:color w:val="000000"/>
          <w:sz w:val="32"/>
          <w:szCs w:val="32"/>
          <w:lang w:val="zh-CN" w:eastAsia="zh-CN"/>
        </w:rPr>
        <w:t>部门财政资金支出情况。</w:t>
      </w:r>
    </w:p>
    <w:p w14:paraId="67D2089A">
      <w:pPr>
        <w:spacing w:line="560" w:lineRule="exact"/>
        <w:ind w:left="0" w:firstLine="640"/>
        <w:rPr>
          <w:rFonts w:hint="eastAsia" w:ascii="宋体" w:hAnsi="宋体" w:eastAsia="宋体" w:cs="宋体"/>
          <w:color w:val="000000"/>
          <w:sz w:val="32"/>
          <w:szCs w:val="32"/>
          <w:lang w:val="en-US"/>
        </w:rPr>
      </w:pPr>
      <w:r>
        <w:rPr>
          <w:rFonts w:hint="eastAsia" w:ascii="宋体" w:hAnsi="宋体" w:eastAsia="宋体" w:cs="宋体"/>
          <w:color w:val="000000"/>
          <w:sz w:val="32"/>
          <w:szCs w:val="32"/>
          <w:lang w:val="en-US"/>
        </w:rPr>
        <w:t>202</w:t>
      </w:r>
      <w:r>
        <w:rPr>
          <w:rFonts w:hint="eastAsia" w:ascii="宋体" w:hAnsi="宋体" w:eastAsia="宋体" w:cs="宋体"/>
          <w:color w:val="000000"/>
          <w:sz w:val="32"/>
          <w:szCs w:val="32"/>
          <w:lang w:val="en-US" w:eastAsia="zh-CN"/>
        </w:rPr>
        <w:t>2</w:t>
      </w:r>
      <w:r>
        <w:rPr>
          <w:rFonts w:hint="eastAsia" w:ascii="宋体" w:hAnsi="宋体" w:eastAsia="宋体" w:cs="宋体"/>
          <w:color w:val="000000"/>
          <w:sz w:val="32"/>
          <w:szCs w:val="32"/>
          <w:lang w:eastAsia="zh-CN"/>
        </w:rPr>
        <w:t>年度财政拨款支出总计：</w:t>
      </w:r>
      <w:r>
        <w:rPr>
          <w:rFonts w:hint="eastAsia" w:ascii="宋体" w:hAnsi="宋体" w:eastAsia="宋体" w:cs="宋体"/>
          <w:color w:val="000000"/>
          <w:sz w:val="32"/>
          <w:szCs w:val="32"/>
          <w:lang w:val="en-US" w:eastAsia="zh-CN"/>
        </w:rPr>
        <w:t>1020.58</w:t>
      </w:r>
      <w:r>
        <w:rPr>
          <w:rFonts w:hint="eastAsia" w:ascii="宋体" w:hAnsi="宋体" w:eastAsia="宋体" w:cs="宋体"/>
          <w:color w:val="000000"/>
          <w:sz w:val="32"/>
          <w:szCs w:val="32"/>
          <w:lang w:eastAsia="zh-CN"/>
        </w:rPr>
        <w:t>万元，其中基本支出</w:t>
      </w:r>
      <w:r>
        <w:rPr>
          <w:rFonts w:hint="eastAsia" w:ascii="宋体" w:hAnsi="宋体" w:eastAsia="宋体" w:cs="宋体"/>
          <w:color w:val="000000"/>
          <w:sz w:val="32"/>
          <w:szCs w:val="32"/>
          <w:lang w:val="en-US" w:eastAsia="zh-CN"/>
        </w:rPr>
        <w:t>853.07</w:t>
      </w:r>
      <w:r>
        <w:rPr>
          <w:rFonts w:hint="eastAsia" w:ascii="宋体" w:hAnsi="宋体" w:eastAsia="宋体" w:cs="宋体"/>
          <w:color w:val="000000"/>
          <w:sz w:val="32"/>
          <w:szCs w:val="32"/>
          <w:lang w:eastAsia="zh-CN"/>
        </w:rPr>
        <w:t>万元，占比</w:t>
      </w:r>
      <w:r>
        <w:rPr>
          <w:rFonts w:hint="eastAsia" w:ascii="宋体" w:hAnsi="宋体" w:eastAsia="宋体" w:cs="宋体"/>
          <w:color w:val="000000"/>
          <w:sz w:val="32"/>
          <w:szCs w:val="32"/>
          <w:lang w:val="en-US" w:eastAsia="zh-CN"/>
        </w:rPr>
        <w:t>83.59</w:t>
      </w:r>
      <w:r>
        <w:rPr>
          <w:rFonts w:hint="eastAsia" w:ascii="宋体" w:hAnsi="宋体" w:eastAsia="宋体" w:cs="宋体"/>
          <w:color w:val="000000"/>
          <w:sz w:val="32"/>
          <w:szCs w:val="32"/>
          <w:lang w:val="en-US"/>
        </w:rPr>
        <w:t>%</w:t>
      </w:r>
      <w:r>
        <w:rPr>
          <w:rFonts w:hint="eastAsia" w:ascii="宋体" w:hAnsi="宋体" w:eastAsia="宋体" w:cs="宋体"/>
          <w:color w:val="000000"/>
          <w:sz w:val="32"/>
          <w:szCs w:val="32"/>
          <w:lang w:eastAsia="zh-CN"/>
        </w:rPr>
        <w:t>，主要用于人员经费和日常公用经费；项目支出</w:t>
      </w:r>
      <w:r>
        <w:rPr>
          <w:rFonts w:hint="eastAsia" w:ascii="宋体" w:hAnsi="宋体" w:eastAsia="宋体" w:cs="宋体"/>
          <w:color w:val="000000"/>
          <w:sz w:val="32"/>
          <w:szCs w:val="32"/>
          <w:lang w:val="en-US" w:eastAsia="zh-CN"/>
        </w:rPr>
        <w:t>167.51</w:t>
      </w:r>
      <w:r>
        <w:rPr>
          <w:rFonts w:hint="eastAsia" w:ascii="宋体" w:hAnsi="宋体" w:eastAsia="宋体" w:cs="宋体"/>
          <w:color w:val="000000"/>
          <w:sz w:val="32"/>
          <w:szCs w:val="32"/>
          <w:lang w:eastAsia="zh-CN"/>
        </w:rPr>
        <w:t>元，占比</w:t>
      </w:r>
      <w:r>
        <w:rPr>
          <w:rFonts w:hint="eastAsia" w:ascii="宋体" w:hAnsi="宋体" w:eastAsia="宋体" w:cs="宋体"/>
          <w:color w:val="000000"/>
          <w:sz w:val="32"/>
          <w:szCs w:val="32"/>
          <w:lang w:val="en-US" w:eastAsia="zh-CN"/>
        </w:rPr>
        <w:t>16.41</w:t>
      </w:r>
      <w:r>
        <w:rPr>
          <w:rFonts w:hint="eastAsia" w:ascii="宋体" w:hAnsi="宋体" w:eastAsia="宋体" w:cs="宋体"/>
          <w:color w:val="000000"/>
          <w:sz w:val="32"/>
          <w:szCs w:val="32"/>
          <w:lang w:val="en-US"/>
        </w:rPr>
        <w:t>%</w:t>
      </w:r>
      <w:r>
        <w:rPr>
          <w:rFonts w:hint="eastAsia" w:ascii="宋体" w:hAnsi="宋体" w:eastAsia="宋体" w:cs="宋体"/>
          <w:color w:val="000000"/>
          <w:sz w:val="32"/>
          <w:szCs w:val="32"/>
          <w:lang w:eastAsia="zh-CN"/>
        </w:rPr>
        <w:t>；年末项目结转结余</w:t>
      </w:r>
      <w:r>
        <w:rPr>
          <w:rFonts w:hint="eastAsia" w:ascii="宋体" w:hAnsi="宋体" w:eastAsia="宋体" w:cs="宋体"/>
          <w:color w:val="000000"/>
          <w:sz w:val="32"/>
          <w:szCs w:val="32"/>
          <w:lang w:val="en-US"/>
        </w:rPr>
        <w:t>0</w:t>
      </w:r>
      <w:r>
        <w:rPr>
          <w:rFonts w:hint="eastAsia" w:ascii="宋体" w:hAnsi="宋体" w:eastAsia="宋体" w:cs="宋体"/>
          <w:color w:val="000000"/>
          <w:sz w:val="32"/>
          <w:szCs w:val="32"/>
          <w:lang w:eastAsia="zh-CN"/>
        </w:rPr>
        <w:t>元。</w:t>
      </w:r>
    </w:p>
    <w:p w14:paraId="0C2F3A1E">
      <w:pPr>
        <w:spacing w:line="560" w:lineRule="exact"/>
        <w:ind w:left="0" w:firstLine="720"/>
        <w:rPr>
          <w:rFonts w:hint="eastAsia" w:ascii="宋体" w:hAnsi="宋体" w:eastAsia="宋体" w:cs="宋体"/>
          <w:color w:val="000000"/>
          <w:sz w:val="32"/>
          <w:szCs w:val="32"/>
          <w:lang w:val="en-US"/>
        </w:rPr>
      </w:pPr>
      <w:r>
        <w:rPr>
          <w:rFonts w:hint="eastAsia" w:ascii="宋体" w:hAnsi="宋体" w:eastAsia="宋体" w:cs="宋体"/>
          <w:color w:val="000000"/>
          <w:sz w:val="32"/>
          <w:szCs w:val="32"/>
          <w:lang w:eastAsia="zh-CN"/>
        </w:rPr>
        <w:t>三、部门财政支出管理情况</w:t>
      </w:r>
    </w:p>
    <w:p w14:paraId="35E73F95">
      <w:pPr>
        <w:spacing w:line="560" w:lineRule="exact"/>
        <w:ind w:left="0" w:firstLine="720"/>
        <w:rPr>
          <w:rFonts w:hint="eastAsia" w:ascii="宋体" w:hAnsi="宋体" w:eastAsia="宋体" w:cs="宋体"/>
          <w:color w:val="000000"/>
          <w:sz w:val="32"/>
          <w:szCs w:val="32"/>
          <w:lang w:val="zh-CN" w:eastAsia="zh-CN"/>
        </w:rPr>
      </w:pPr>
      <w:r>
        <w:rPr>
          <w:rFonts w:hint="eastAsia" w:ascii="宋体" w:hAnsi="宋体" w:eastAsia="宋体" w:cs="宋体"/>
          <w:color w:val="000000"/>
          <w:sz w:val="32"/>
          <w:szCs w:val="32"/>
          <w:lang w:val="zh-CN" w:eastAsia="zh-CN"/>
        </w:rPr>
        <w:t>（一）预算编制情况。</w:t>
      </w:r>
    </w:p>
    <w:p w14:paraId="3FFBBC24">
      <w:pPr>
        <w:pStyle w:val="189"/>
        <w:shd w:val="clear" w:color="auto" w:fill="FFFFFF"/>
        <w:spacing w:before="0" w:beforeAutospacing="0" w:after="0" w:afterAutospacing="0" w:line="560" w:lineRule="exact"/>
        <w:ind w:left="0" w:right="0" w:firstLine="640"/>
        <w:rPr>
          <w:rFonts w:hint="eastAsia" w:ascii="宋体" w:hAnsi="宋体" w:eastAsia="宋体" w:cs="宋体"/>
          <w:color w:val="000000"/>
          <w:sz w:val="32"/>
          <w:szCs w:val="32"/>
          <w:shd w:val="clear" w:color="auto" w:fill="FFFFFF"/>
          <w:lang w:val="en-US"/>
        </w:rPr>
      </w:pPr>
      <w:r>
        <w:rPr>
          <w:rFonts w:hint="eastAsia" w:ascii="宋体" w:hAnsi="宋体" w:eastAsia="宋体" w:cs="宋体"/>
          <w:color w:val="000000"/>
          <w:sz w:val="32"/>
          <w:szCs w:val="32"/>
          <w:shd w:val="clear" w:color="auto" w:fill="FFFFFF"/>
          <w:lang w:eastAsia="zh-CN"/>
        </w:rPr>
        <w:t>根据《中华人民共和国预算法》及红原县财政局印发的《关于下达</w:t>
      </w:r>
      <w:r>
        <w:rPr>
          <w:rFonts w:hint="eastAsia" w:ascii="宋体" w:hAnsi="宋体" w:eastAsia="宋体" w:cs="宋体"/>
          <w:color w:val="000000"/>
          <w:sz w:val="32"/>
          <w:szCs w:val="32"/>
          <w:shd w:val="clear" w:color="auto" w:fill="FFFFFF"/>
          <w:lang w:val="en-US"/>
        </w:rPr>
        <w:t>202</w:t>
      </w:r>
      <w:r>
        <w:rPr>
          <w:rFonts w:hint="eastAsia" w:ascii="宋体" w:hAnsi="宋体" w:eastAsia="宋体" w:cs="宋体"/>
          <w:color w:val="000000"/>
          <w:sz w:val="32"/>
          <w:szCs w:val="32"/>
          <w:shd w:val="clear" w:color="auto" w:fill="FFFFFF"/>
          <w:lang w:val="en-US" w:eastAsia="zh-CN"/>
        </w:rPr>
        <w:t>2</w:t>
      </w:r>
      <w:r>
        <w:rPr>
          <w:rFonts w:hint="eastAsia" w:ascii="宋体" w:hAnsi="宋体" w:eastAsia="宋体" w:cs="宋体"/>
          <w:color w:val="000000"/>
          <w:sz w:val="32"/>
          <w:szCs w:val="32"/>
          <w:shd w:val="clear" w:color="auto" w:fill="FFFFFF"/>
          <w:lang w:eastAsia="zh-CN"/>
        </w:rPr>
        <w:t>年部门预算的通知》要求，结合本单位实际，按照增收节支、厉行节约、绩效优化的原则，严控“三公”经费管理，从严从紧编制预算。细化支出预算编制，推进预算信息公开，深化预算绩效管理，提高资金使用效益。</w:t>
      </w:r>
    </w:p>
    <w:p w14:paraId="2260EE61">
      <w:pPr>
        <w:pStyle w:val="189"/>
        <w:shd w:val="clear" w:color="auto" w:fill="FFFFFF"/>
        <w:spacing w:before="0" w:beforeAutospacing="0" w:after="0" w:afterAutospacing="0" w:line="560" w:lineRule="exact"/>
        <w:ind w:left="0" w:right="0" w:firstLine="640"/>
        <w:rPr>
          <w:rFonts w:hint="eastAsia" w:ascii="宋体" w:hAnsi="宋体" w:eastAsia="宋体" w:cs="宋体"/>
          <w:color w:val="000000"/>
          <w:sz w:val="32"/>
          <w:szCs w:val="32"/>
          <w:shd w:val="clear" w:color="auto" w:fill="FFFFFF"/>
          <w:lang w:val="en-US"/>
        </w:rPr>
      </w:pPr>
      <w:r>
        <w:rPr>
          <w:rFonts w:hint="eastAsia" w:ascii="宋体" w:hAnsi="宋体" w:eastAsia="宋体" w:cs="宋体"/>
          <w:sz w:val="32"/>
          <w:szCs w:val="32"/>
          <w:shd w:val="clear" w:color="auto" w:fill="FFFFFF"/>
          <w:lang w:val="en-US"/>
        </w:rPr>
        <w:t>202</w:t>
      </w:r>
      <w:r>
        <w:rPr>
          <w:rFonts w:hint="eastAsia" w:ascii="宋体" w:hAnsi="宋体" w:eastAsia="宋体" w:cs="宋体"/>
          <w:sz w:val="32"/>
          <w:szCs w:val="32"/>
          <w:shd w:val="clear" w:color="auto" w:fill="FFFFFF"/>
          <w:lang w:val="en-US" w:eastAsia="zh-CN"/>
        </w:rPr>
        <w:t>2</w:t>
      </w:r>
      <w:r>
        <w:rPr>
          <w:rFonts w:hint="eastAsia" w:ascii="宋体" w:hAnsi="宋体" w:eastAsia="宋体" w:cs="宋体"/>
          <w:sz w:val="32"/>
          <w:szCs w:val="32"/>
          <w:shd w:val="clear" w:color="auto" w:fill="FFFFFF"/>
          <w:lang w:eastAsia="zh-CN"/>
        </w:rPr>
        <w:t>年预算人员支出对照</w:t>
      </w:r>
      <w:r>
        <w:rPr>
          <w:rFonts w:hint="eastAsia" w:ascii="宋体" w:hAnsi="宋体" w:eastAsia="宋体" w:cs="宋体"/>
          <w:sz w:val="32"/>
          <w:szCs w:val="32"/>
          <w:shd w:val="clear" w:color="auto" w:fill="FFFFFF"/>
          <w:lang w:val="en-US"/>
        </w:rPr>
        <w:t>202</w:t>
      </w:r>
      <w:r>
        <w:rPr>
          <w:rFonts w:hint="eastAsia" w:ascii="宋体" w:hAnsi="宋体" w:eastAsia="宋体" w:cs="宋体"/>
          <w:sz w:val="32"/>
          <w:szCs w:val="32"/>
          <w:shd w:val="clear" w:color="auto" w:fill="FFFFFF"/>
          <w:lang w:val="en-US" w:eastAsia="zh-CN"/>
        </w:rPr>
        <w:t>1</w:t>
      </w:r>
      <w:r>
        <w:rPr>
          <w:rFonts w:hint="eastAsia" w:ascii="宋体" w:hAnsi="宋体" w:eastAsia="宋体" w:cs="宋体"/>
          <w:sz w:val="32"/>
          <w:szCs w:val="32"/>
          <w:shd w:val="clear" w:color="auto" w:fill="FFFFFF"/>
          <w:lang w:eastAsia="zh-CN"/>
        </w:rPr>
        <w:t>年</w:t>
      </w:r>
      <w:r>
        <w:rPr>
          <w:rFonts w:hint="eastAsia" w:ascii="宋体" w:hAnsi="宋体" w:eastAsia="宋体" w:cs="宋体"/>
          <w:sz w:val="32"/>
          <w:szCs w:val="32"/>
          <w:shd w:val="clear" w:color="auto" w:fill="FFFFFF"/>
          <w:lang w:val="en-US"/>
        </w:rPr>
        <w:t>11</w:t>
      </w:r>
      <w:r>
        <w:rPr>
          <w:rFonts w:hint="eastAsia" w:ascii="宋体" w:hAnsi="宋体" w:eastAsia="宋体" w:cs="宋体"/>
          <w:sz w:val="32"/>
          <w:szCs w:val="32"/>
          <w:shd w:val="clear" w:color="auto" w:fill="FFFFFF"/>
          <w:lang w:eastAsia="zh-CN"/>
        </w:rPr>
        <w:t>月份人员及工资信息编制，日常公用支出按照“经费包干、明细编报”的原则进行编制，重点做好“三公”经费、会议费、培训费等预算编制。</w:t>
      </w:r>
    </w:p>
    <w:p w14:paraId="093BB78D">
      <w:pPr>
        <w:spacing w:line="560" w:lineRule="exact"/>
        <w:ind w:left="0" w:firstLine="720"/>
        <w:rPr>
          <w:rFonts w:hint="eastAsia" w:ascii="宋体" w:hAnsi="宋体" w:eastAsia="宋体" w:cs="宋体"/>
          <w:color w:val="000000"/>
          <w:sz w:val="32"/>
          <w:szCs w:val="32"/>
          <w:lang w:val="en-US"/>
        </w:rPr>
      </w:pPr>
      <w:r>
        <w:rPr>
          <w:rFonts w:hint="eastAsia" w:ascii="宋体" w:hAnsi="宋体" w:eastAsia="宋体" w:cs="宋体"/>
          <w:color w:val="000000"/>
          <w:sz w:val="32"/>
          <w:szCs w:val="32"/>
          <w:lang w:val="en-US"/>
        </w:rPr>
        <w:t>202</w:t>
      </w:r>
      <w:r>
        <w:rPr>
          <w:rFonts w:hint="eastAsia" w:ascii="宋体" w:hAnsi="宋体" w:eastAsia="宋体" w:cs="宋体"/>
          <w:color w:val="000000"/>
          <w:sz w:val="32"/>
          <w:szCs w:val="32"/>
          <w:lang w:val="en-US" w:eastAsia="zh-CN"/>
        </w:rPr>
        <w:t>2</w:t>
      </w:r>
      <w:r>
        <w:rPr>
          <w:rFonts w:hint="eastAsia" w:ascii="宋体" w:hAnsi="宋体" w:eastAsia="宋体" w:cs="宋体"/>
          <w:color w:val="000000"/>
          <w:sz w:val="32"/>
          <w:szCs w:val="32"/>
          <w:lang w:eastAsia="zh-CN"/>
        </w:rPr>
        <w:t>年度收入预算合计</w:t>
      </w:r>
      <w:r>
        <w:rPr>
          <w:rFonts w:hint="eastAsia" w:ascii="宋体" w:hAnsi="宋体" w:eastAsia="宋体" w:cs="宋体"/>
          <w:color w:val="000000"/>
          <w:sz w:val="32"/>
          <w:szCs w:val="32"/>
          <w:lang w:val="en-US"/>
        </w:rPr>
        <w:t>10</w:t>
      </w:r>
      <w:r>
        <w:rPr>
          <w:rFonts w:hint="eastAsia" w:ascii="宋体" w:hAnsi="宋体" w:eastAsia="宋体" w:cs="宋体"/>
          <w:color w:val="000000"/>
          <w:sz w:val="32"/>
          <w:szCs w:val="32"/>
          <w:lang w:val="en-US" w:eastAsia="zh-CN"/>
        </w:rPr>
        <w:t>20.58</w:t>
      </w:r>
      <w:r>
        <w:rPr>
          <w:rFonts w:hint="eastAsia" w:ascii="宋体" w:hAnsi="宋体" w:eastAsia="宋体" w:cs="宋体"/>
          <w:color w:val="000000"/>
          <w:sz w:val="32"/>
          <w:szCs w:val="32"/>
          <w:lang w:eastAsia="zh-CN"/>
        </w:rPr>
        <w:t>万元，均为财政补助收入；支出预算合计</w:t>
      </w:r>
      <w:r>
        <w:rPr>
          <w:rFonts w:hint="eastAsia" w:ascii="宋体" w:hAnsi="宋体" w:eastAsia="宋体" w:cs="宋体"/>
          <w:color w:val="000000"/>
          <w:sz w:val="32"/>
          <w:szCs w:val="32"/>
          <w:lang w:val="en-US"/>
        </w:rPr>
        <w:t>1</w:t>
      </w:r>
      <w:r>
        <w:rPr>
          <w:rFonts w:hint="eastAsia" w:ascii="宋体" w:hAnsi="宋体" w:eastAsia="宋体" w:cs="宋体"/>
          <w:color w:val="000000"/>
          <w:sz w:val="32"/>
          <w:szCs w:val="32"/>
          <w:lang w:val="en-US" w:eastAsia="zh-CN"/>
        </w:rPr>
        <w:t>020.58</w:t>
      </w:r>
      <w:r>
        <w:rPr>
          <w:rFonts w:hint="eastAsia" w:ascii="宋体" w:hAnsi="宋体" w:eastAsia="宋体" w:cs="宋体"/>
          <w:color w:val="000000"/>
          <w:sz w:val="32"/>
          <w:szCs w:val="32"/>
          <w:lang w:eastAsia="zh-CN"/>
        </w:rPr>
        <w:t>万元，其中基本支出预算</w:t>
      </w:r>
      <w:r>
        <w:rPr>
          <w:rFonts w:hint="eastAsia" w:ascii="宋体" w:hAnsi="宋体" w:eastAsia="宋体" w:cs="宋体"/>
          <w:color w:val="000000"/>
          <w:sz w:val="32"/>
          <w:szCs w:val="32"/>
          <w:lang w:val="en-US" w:eastAsia="zh-CN"/>
        </w:rPr>
        <w:t>853.07</w:t>
      </w:r>
      <w:r>
        <w:rPr>
          <w:rFonts w:hint="eastAsia" w:ascii="宋体" w:hAnsi="宋体" w:eastAsia="宋体" w:cs="宋体"/>
          <w:color w:val="000000"/>
          <w:sz w:val="32"/>
          <w:szCs w:val="32"/>
          <w:lang w:eastAsia="zh-CN"/>
        </w:rPr>
        <w:t>万元，人员经费支出</w:t>
      </w:r>
      <w:r>
        <w:rPr>
          <w:rFonts w:hint="eastAsia" w:ascii="宋体" w:hAnsi="宋体" w:eastAsia="宋体" w:cs="宋体"/>
          <w:color w:val="000000"/>
          <w:sz w:val="32"/>
          <w:szCs w:val="32"/>
          <w:lang w:val="en-US" w:eastAsia="zh-CN"/>
        </w:rPr>
        <w:t>797.5</w:t>
      </w:r>
      <w:r>
        <w:rPr>
          <w:rFonts w:hint="eastAsia" w:ascii="宋体" w:hAnsi="宋体" w:eastAsia="宋体" w:cs="宋体"/>
          <w:color w:val="000000"/>
          <w:sz w:val="32"/>
          <w:szCs w:val="32"/>
          <w:lang w:eastAsia="zh-CN"/>
        </w:rPr>
        <w:t>万元；日常公用经费支出预算</w:t>
      </w:r>
      <w:r>
        <w:rPr>
          <w:rFonts w:hint="eastAsia" w:ascii="宋体" w:hAnsi="宋体" w:eastAsia="宋体" w:cs="宋体"/>
          <w:color w:val="000000"/>
          <w:sz w:val="32"/>
          <w:szCs w:val="32"/>
          <w:lang w:val="en-US" w:eastAsia="zh-CN"/>
        </w:rPr>
        <w:t>42.66</w:t>
      </w:r>
      <w:r>
        <w:rPr>
          <w:rFonts w:hint="eastAsia" w:ascii="宋体" w:hAnsi="宋体" w:eastAsia="宋体" w:cs="宋体"/>
          <w:color w:val="000000"/>
          <w:sz w:val="32"/>
          <w:szCs w:val="32"/>
          <w:lang w:eastAsia="zh-CN"/>
        </w:rPr>
        <w:t>万元；项目支出预算</w:t>
      </w:r>
      <w:r>
        <w:rPr>
          <w:rFonts w:hint="eastAsia" w:ascii="宋体" w:hAnsi="宋体" w:eastAsia="宋体" w:cs="宋体"/>
          <w:color w:val="000000"/>
          <w:sz w:val="32"/>
          <w:szCs w:val="32"/>
          <w:lang w:val="en-US" w:eastAsia="zh-CN"/>
        </w:rPr>
        <w:t>167.51</w:t>
      </w:r>
      <w:r>
        <w:rPr>
          <w:rFonts w:hint="eastAsia" w:ascii="宋体" w:hAnsi="宋体" w:eastAsia="宋体" w:cs="宋体"/>
          <w:color w:val="000000"/>
          <w:sz w:val="32"/>
          <w:szCs w:val="32"/>
          <w:lang w:eastAsia="zh-CN"/>
        </w:rPr>
        <w:t>万元。年初项目结转结余支出</w:t>
      </w:r>
      <w:r>
        <w:rPr>
          <w:rFonts w:hint="eastAsia" w:ascii="宋体" w:hAnsi="宋体" w:eastAsia="宋体" w:cs="宋体"/>
          <w:color w:val="000000"/>
          <w:sz w:val="32"/>
          <w:szCs w:val="32"/>
          <w:lang w:val="en-US" w:eastAsia="zh-CN"/>
        </w:rPr>
        <w:t>0</w:t>
      </w:r>
      <w:r>
        <w:rPr>
          <w:rFonts w:hint="eastAsia" w:ascii="宋体" w:hAnsi="宋体" w:eastAsia="宋体" w:cs="宋体"/>
          <w:color w:val="000000"/>
          <w:sz w:val="32"/>
          <w:szCs w:val="32"/>
          <w:lang w:eastAsia="zh-CN"/>
        </w:rPr>
        <w:t>万元。</w:t>
      </w:r>
    </w:p>
    <w:p w14:paraId="65FA0D1E">
      <w:pPr>
        <w:spacing w:line="560" w:lineRule="exact"/>
        <w:ind w:left="0" w:firstLine="720"/>
        <w:rPr>
          <w:rFonts w:hint="eastAsia" w:ascii="宋体" w:hAnsi="宋体" w:eastAsia="宋体" w:cs="宋体"/>
          <w:color w:val="000000"/>
          <w:sz w:val="32"/>
          <w:szCs w:val="32"/>
          <w:lang w:val="zh-CN" w:eastAsia="zh-CN"/>
        </w:rPr>
      </w:pPr>
      <w:r>
        <w:rPr>
          <w:rFonts w:hint="eastAsia" w:ascii="宋体" w:hAnsi="宋体" w:eastAsia="宋体" w:cs="宋体"/>
          <w:color w:val="000000"/>
          <w:sz w:val="32"/>
          <w:szCs w:val="32"/>
          <w:lang w:val="zh-CN" w:eastAsia="zh-CN"/>
        </w:rPr>
        <w:t>（二）执行管理情况。</w:t>
      </w:r>
      <w:r>
        <w:rPr>
          <w:rFonts w:hint="eastAsia" w:ascii="宋体" w:hAnsi="宋体" w:eastAsia="宋体" w:cs="宋体"/>
          <w:color w:val="000000"/>
          <w:sz w:val="32"/>
          <w:szCs w:val="32"/>
          <w:lang w:val="zh-CN" w:eastAsia="zh-CN"/>
        </w:rPr>
        <w:tab/>
      </w:r>
    </w:p>
    <w:p w14:paraId="1EB5D73D">
      <w:pPr>
        <w:spacing w:line="560" w:lineRule="exact"/>
        <w:ind w:left="0" w:firstLine="602"/>
        <w:rPr>
          <w:rFonts w:hint="eastAsia" w:ascii="宋体" w:hAnsi="宋体" w:eastAsia="宋体" w:cs="宋体"/>
          <w:b/>
          <w:bCs/>
          <w:color w:val="000000"/>
          <w:sz w:val="30"/>
          <w:szCs w:val="30"/>
          <w:lang w:val="en-US"/>
        </w:rPr>
      </w:pPr>
      <w:r>
        <w:rPr>
          <w:rFonts w:hint="eastAsia" w:ascii="宋体" w:hAnsi="宋体" w:eastAsia="宋体" w:cs="宋体"/>
          <w:b/>
          <w:bCs/>
          <w:color w:val="000000"/>
          <w:sz w:val="30"/>
          <w:szCs w:val="30"/>
          <w:lang w:val="en-US"/>
        </w:rPr>
        <w:t>1.</w:t>
      </w:r>
      <w:r>
        <w:rPr>
          <w:rFonts w:hint="eastAsia" w:ascii="宋体" w:hAnsi="宋体" w:eastAsia="宋体" w:cs="宋体"/>
          <w:b/>
          <w:bCs/>
          <w:color w:val="000000"/>
          <w:sz w:val="30"/>
          <w:szCs w:val="30"/>
          <w:lang w:eastAsia="zh-CN"/>
        </w:rPr>
        <w:t>本年度基本支出预算执行情况</w:t>
      </w:r>
    </w:p>
    <w:p w14:paraId="39DFB9E7">
      <w:pPr>
        <w:spacing w:line="560" w:lineRule="exact"/>
        <w:ind w:left="0" w:firstLine="600"/>
        <w:rPr>
          <w:rFonts w:hint="eastAsia" w:ascii="宋体" w:hAnsi="宋体" w:eastAsia="宋体" w:cs="宋体"/>
          <w:color w:val="000000"/>
          <w:sz w:val="32"/>
          <w:szCs w:val="32"/>
          <w:lang w:val="en-US"/>
        </w:rPr>
      </w:pPr>
      <w:r>
        <w:rPr>
          <w:rFonts w:hint="eastAsia" w:ascii="宋体" w:hAnsi="宋体" w:eastAsia="宋体" w:cs="宋体"/>
          <w:color w:val="000000"/>
          <w:sz w:val="30"/>
          <w:szCs w:val="30"/>
          <w:lang w:val="en-US"/>
        </w:rPr>
        <w:t>202</w:t>
      </w:r>
      <w:r>
        <w:rPr>
          <w:rFonts w:hint="eastAsia" w:ascii="宋体" w:hAnsi="宋体" w:eastAsia="宋体" w:cs="宋体"/>
          <w:color w:val="000000"/>
          <w:sz w:val="30"/>
          <w:szCs w:val="30"/>
          <w:lang w:val="en-US" w:eastAsia="zh-CN"/>
        </w:rPr>
        <w:t>2</w:t>
      </w:r>
      <w:r>
        <w:rPr>
          <w:rFonts w:hint="eastAsia" w:ascii="宋体" w:hAnsi="宋体" w:eastAsia="宋体" w:cs="宋体"/>
          <w:color w:val="000000"/>
          <w:sz w:val="30"/>
          <w:szCs w:val="30"/>
          <w:lang w:eastAsia="zh-CN"/>
        </w:rPr>
        <w:t>年度</w:t>
      </w:r>
      <w:r>
        <w:rPr>
          <w:rFonts w:hint="eastAsia" w:ascii="宋体" w:hAnsi="宋体" w:eastAsia="宋体" w:cs="宋体"/>
          <w:color w:val="000000"/>
          <w:sz w:val="32"/>
          <w:szCs w:val="32"/>
          <w:lang w:eastAsia="zh-CN"/>
        </w:rPr>
        <w:t>基本支出预算</w:t>
      </w:r>
      <w:r>
        <w:rPr>
          <w:rFonts w:hint="eastAsia" w:ascii="宋体" w:hAnsi="宋体" w:eastAsia="宋体" w:cs="宋体"/>
          <w:color w:val="000000"/>
          <w:sz w:val="32"/>
          <w:szCs w:val="32"/>
          <w:lang w:val="en-US" w:eastAsia="zh-CN"/>
        </w:rPr>
        <w:t>853.07</w:t>
      </w:r>
      <w:r>
        <w:rPr>
          <w:rFonts w:hint="eastAsia" w:ascii="宋体" w:hAnsi="宋体" w:eastAsia="宋体" w:cs="宋体"/>
          <w:color w:val="000000"/>
          <w:sz w:val="32"/>
          <w:szCs w:val="32"/>
          <w:lang w:eastAsia="zh-CN"/>
        </w:rPr>
        <w:t>万元，决算金额</w:t>
      </w:r>
      <w:r>
        <w:rPr>
          <w:rFonts w:hint="eastAsia" w:ascii="宋体" w:hAnsi="宋体" w:eastAsia="宋体" w:cs="宋体"/>
          <w:color w:val="000000"/>
          <w:sz w:val="32"/>
          <w:szCs w:val="32"/>
          <w:lang w:val="en-US"/>
        </w:rPr>
        <w:t>8</w:t>
      </w:r>
      <w:r>
        <w:rPr>
          <w:rFonts w:hint="eastAsia" w:ascii="宋体" w:hAnsi="宋体" w:eastAsia="宋体" w:cs="宋体"/>
          <w:color w:val="000000"/>
          <w:sz w:val="32"/>
          <w:szCs w:val="32"/>
          <w:lang w:val="en-US" w:eastAsia="zh-CN"/>
        </w:rPr>
        <w:t>53.07</w:t>
      </w:r>
      <w:r>
        <w:rPr>
          <w:rFonts w:hint="eastAsia" w:ascii="宋体" w:hAnsi="宋体" w:eastAsia="宋体" w:cs="宋体"/>
          <w:color w:val="000000"/>
          <w:sz w:val="32"/>
          <w:szCs w:val="32"/>
          <w:lang w:eastAsia="zh-CN"/>
        </w:rPr>
        <w:t>万元，其中人员经费</w:t>
      </w:r>
      <w:r>
        <w:rPr>
          <w:rFonts w:hint="eastAsia" w:ascii="宋体" w:hAnsi="宋体" w:eastAsia="宋体" w:cs="宋体"/>
          <w:color w:val="000000"/>
          <w:sz w:val="32"/>
          <w:szCs w:val="32"/>
          <w:lang w:val="en-US" w:eastAsia="zh-CN"/>
        </w:rPr>
        <w:t>797.5</w:t>
      </w:r>
      <w:r>
        <w:rPr>
          <w:rFonts w:hint="eastAsia" w:ascii="宋体" w:hAnsi="宋体" w:eastAsia="宋体" w:cs="宋体"/>
          <w:color w:val="000000"/>
          <w:sz w:val="32"/>
          <w:szCs w:val="32"/>
          <w:lang w:eastAsia="zh-CN"/>
        </w:rPr>
        <w:t>万元，日常公用经费</w:t>
      </w:r>
      <w:r>
        <w:rPr>
          <w:rFonts w:hint="eastAsia" w:ascii="宋体" w:hAnsi="宋体" w:eastAsia="宋体" w:cs="宋体"/>
          <w:color w:val="000000"/>
          <w:sz w:val="32"/>
          <w:szCs w:val="32"/>
          <w:lang w:val="en-US" w:eastAsia="zh-CN"/>
        </w:rPr>
        <w:t>42.66</w:t>
      </w:r>
      <w:r>
        <w:rPr>
          <w:rFonts w:hint="eastAsia" w:ascii="宋体" w:hAnsi="宋体" w:eastAsia="宋体" w:cs="宋体"/>
          <w:color w:val="000000"/>
          <w:sz w:val="32"/>
          <w:szCs w:val="32"/>
          <w:lang w:eastAsia="zh-CN"/>
        </w:rPr>
        <w:t>万元，对家庭人员的补助</w:t>
      </w:r>
      <w:r>
        <w:rPr>
          <w:rFonts w:hint="eastAsia" w:ascii="宋体" w:hAnsi="宋体" w:eastAsia="宋体" w:cs="宋体"/>
          <w:color w:val="000000"/>
          <w:sz w:val="32"/>
          <w:szCs w:val="32"/>
          <w:lang w:val="en-US" w:eastAsia="zh-CN"/>
        </w:rPr>
        <w:t>12.91万元;</w:t>
      </w:r>
      <w:r>
        <w:rPr>
          <w:rFonts w:hint="eastAsia" w:ascii="宋体" w:hAnsi="宋体" w:eastAsia="宋体" w:cs="宋体"/>
          <w:color w:val="000000"/>
          <w:sz w:val="32"/>
          <w:szCs w:val="32"/>
          <w:lang w:eastAsia="zh-CN"/>
        </w:rPr>
        <w:t>执行率为</w:t>
      </w:r>
      <w:r>
        <w:rPr>
          <w:rFonts w:hint="eastAsia" w:ascii="宋体" w:hAnsi="宋体" w:eastAsia="宋体" w:cs="宋体"/>
          <w:color w:val="000000"/>
          <w:sz w:val="32"/>
          <w:szCs w:val="32"/>
          <w:lang w:val="en-US"/>
        </w:rPr>
        <w:t>100%</w:t>
      </w:r>
      <w:r>
        <w:rPr>
          <w:rFonts w:hint="eastAsia" w:ascii="宋体" w:hAnsi="宋体" w:eastAsia="宋体" w:cs="宋体"/>
          <w:color w:val="000000"/>
          <w:sz w:val="32"/>
          <w:szCs w:val="32"/>
          <w:lang w:eastAsia="zh-CN"/>
        </w:rPr>
        <w:t>。</w:t>
      </w:r>
    </w:p>
    <w:p w14:paraId="7C77C8FB">
      <w:pPr>
        <w:spacing w:line="560" w:lineRule="exact"/>
        <w:ind w:left="0" w:firstLine="645"/>
        <w:rPr>
          <w:rFonts w:hint="eastAsia" w:ascii="宋体" w:hAnsi="宋体" w:eastAsia="宋体" w:cs="宋体"/>
          <w:color w:val="000000"/>
          <w:sz w:val="32"/>
          <w:szCs w:val="32"/>
          <w:lang w:val="en-US"/>
        </w:rPr>
      </w:pPr>
      <w:r>
        <w:rPr>
          <w:rFonts w:hint="eastAsia" w:ascii="宋体" w:hAnsi="宋体" w:eastAsia="宋体" w:cs="宋体"/>
          <w:color w:val="000000"/>
          <w:sz w:val="32"/>
          <w:szCs w:val="32"/>
          <w:lang w:val="en-US" w:eastAsia="zh-CN"/>
        </w:rPr>
        <w:t>022年基本支出为853.07万元;其中</w:t>
      </w:r>
      <w:r>
        <w:rPr>
          <w:rFonts w:hint="eastAsia" w:ascii="宋体" w:hAnsi="宋体" w:eastAsia="宋体" w:cs="宋体"/>
          <w:color w:val="000000"/>
          <w:sz w:val="32"/>
          <w:szCs w:val="32"/>
          <w:lang w:eastAsia="zh-CN"/>
        </w:rPr>
        <w:t>人员经费</w:t>
      </w:r>
      <w:r>
        <w:rPr>
          <w:rFonts w:hint="eastAsia" w:ascii="宋体" w:hAnsi="宋体" w:eastAsia="宋体" w:cs="宋体"/>
          <w:color w:val="000000"/>
          <w:sz w:val="32"/>
          <w:szCs w:val="32"/>
          <w:lang w:val="en-US" w:eastAsia="zh-CN"/>
        </w:rPr>
        <w:t>797.5</w:t>
      </w:r>
      <w:r>
        <w:rPr>
          <w:rFonts w:hint="eastAsia" w:ascii="宋体" w:hAnsi="宋体" w:eastAsia="宋体" w:cs="宋体"/>
          <w:color w:val="000000"/>
          <w:sz w:val="32"/>
          <w:szCs w:val="32"/>
          <w:lang w:eastAsia="zh-CN"/>
        </w:rPr>
        <w:t>万元，主要包括：</w:t>
      </w:r>
      <w:r>
        <w:rPr>
          <w:rFonts w:hint="eastAsia" w:ascii="宋体" w:hAnsi="宋体" w:eastAsia="宋体" w:cs="宋体"/>
          <w:color w:val="000000"/>
          <w:sz w:val="32"/>
          <w:szCs w:val="32"/>
          <w:lang w:val="en-US"/>
        </w:rPr>
        <w:t>30101-</w:t>
      </w:r>
      <w:r>
        <w:rPr>
          <w:rFonts w:hint="eastAsia" w:ascii="宋体" w:hAnsi="宋体" w:eastAsia="宋体" w:cs="宋体"/>
          <w:color w:val="000000"/>
          <w:sz w:val="32"/>
          <w:szCs w:val="32"/>
          <w:lang w:eastAsia="zh-CN"/>
        </w:rPr>
        <w:t>基本工资</w:t>
      </w:r>
      <w:r>
        <w:rPr>
          <w:rFonts w:hint="eastAsia" w:ascii="宋体" w:hAnsi="宋体" w:eastAsia="宋体" w:cs="宋体"/>
          <w:color w:val="000000"/>
          <w:sz w:val="32"/>
          <w:szCs w:val="32"/>
          <w:lang w:val="en-US" w:eastAsia="zh-CN"/>
        </w:rPr>
        <w:t>137.63</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30102-</w:t>
      </w:r>
      <w:r>
        <w:rPr>
          <w:rFonts w:hint="eastAsia" w:ascii="宋体" w:hAnsi="宋体" w:eastAsia="宋体" w:cs="宋体"/>
          <w:color w:val="000000"/>
          <w:sz w:val="32"/>
          <w:szCs w:val="32"/>
          <w:lang w:eastAsia="zh-CN"/>
        </w:rPr>
        <w:t>津贴补贴</w:t>
      </w:r>
      <w:r>
        <w:rPr>
          <w:rFonts w:hint="eastAsia" w:ascii="宋体" w:hAnsi="宋体" w:eastAsia="宋体" w:cs="宋体"/>
          <w:color w:val="000000"/>
          <w:sz w:val="32"/>
          <w:szCs w:val="32"/>
          <w:lang w:val="en-US" w:eastAsia="zh-CN"/>
        </w:rPr>
        <w:t>318.87</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30107-</w:t>
      </w:r>
      <w:r>
        <w:rPr>
          <w:rFonts w:hint="eastAsia" w:ascii="宋体" w:hAnsi="宋体" w:eastAsia="宋体" w:cs="宋体"/>
          <w:color w:val="000000"/>
          <w:sz w:val="32"/>
          <w:szCs w:val="32"/>
          <w:lang w:eastAsia="zh-CN"/>
        </w:rPr>
        <w:t>绩效工资</w:t>
      </w:r>
      <w:r>
        <w:rPr>
          <w:rFonts w:hint="eastAsia" w:ascii="宋体" w:hAnsi="宋体" w:eastAsia="宋体" w:cs="宋体"/>
          <w:color w:val="000000"/>
          <w:sz w:val="32"/>
          <w:szCs w:val="32"/>
          <w:lang w:val="en-US"/>
        </w:rPr>
        <w:t>1</w:t>
      </w:r>
      <w:r>
        <w:rPr>
          <w:rFonts w:hint="eastAsia" w:ascii="宋体" w:hAnsi="宋体" w:eastAsia="宋体" w:cs="宋体"/>
          <w:color w:val="000000"/>
          <w:sz w:val="32"/>
          <w:szCs w:val="32"/>
          <w:lang w:val="en-US" w:eastAsia="zh-CN"/>
        </w:rPr>
        <w:t>112.87万元</w:t>
      </w:r>
      <w:r>
        <w:rPr>
          <w:rFonts w:hint="eastAsia" w:ascii="宋体" w:hAnsi="宋体" w:eastAsia="宋体" w:cs="宋体"/>
          <w:color w:val="000000"/>
          <w:sz w:val="32"/>
          <w:szCs w:val="32"/>
          <w:lang w:eastAsia="zh-CN"/>
        </w:rPr>
        <w:t>；奖金支出</w:t>
      </w:r>
      <w:r>
        <w:rPr>
          <w:rFonts w:hint="eastAsia" w:ascii="宋体" w:hAnsi="宋体" w:eastAsia="宋体" w:cs="宋体"/>
          <w:color w:val="000000"/>
          <w:sz w:val="32"/>
          <w:szCs w:val="32"/>
          <w:lang w:val="en-US" w:eastAsia="zh-CN"/>
        </w:rPr>
        <w:t>11.06万元;</w:t>
      </w:r>
      <w:r>
        <w:rPr>
          <w:rFonts w:hint="eastAsia" w:ascii="宋体" w:hAnsi="宋体" w:eastAsia="宋体" w:cs="宋体"/>
          <w:color w:val="000000"/>
          <w:sz w:val="32"/>
          <w:szCs w:val="32"/>
          <w:lang w:val="en-US"/>
        </w:rPr>
        <w:t>30108-</w:t>
      </w:r>
      <w:r>
        <w:rPr>
          <w:rFonts w:hint="eastAsia" w:ascii="宋体" w:hAnsi="宋体" w:eastAsia="宋体" w:cs="宋体"/>
          <w:color w:val="000000"/>
          <w:sz w:val="32"/>
          <w:szCs w:val="32"/>
          <w:lang w:eastAsia="zh-CN"/>
        </w:rPr>
        <w:t>机关事业单位基本养老保险缴费</w:t>
      </w:r>
      <w:r>
        <w:rPr>
          <w:rFonts w:hint="eastAsia" w:ascii="宋体" w:hAnsi="宋体" w:eastAsia="宋体" w:cs="宋体"/>
          <w:color w:val="000000"/>
          <w:sz w:val="32"/>
          <w:szCs w:val="32"/>
          <w:lang w:val="en-US" w:eastAsia="zh-CN"/>
        </w:rPr>
        <w:t>69.44</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30109-</w:t>
      </w:r>
      <w:r>
        <w:rPr>
          <w:rFonts w:hint="eastAsia" w:ascii="宋体" w:hAnsi="宋体" w:eastAsia="宋体" w:cs="宋体"/>
          <w:color w:val="000000"/>
          <w:sz w:val="32"/>
          <w:szCs w:val="32"/>
          <w:lang w:eastAsia="zh-CN"/>
        </w:rPr>
        <w:t>职业年金缴费</w:t>
      </w:r>
      <w:r>
        <w:rPr>
          <w:rFonts w:hint="eastAsia" w:ascii="宋体" w:hAnsi="宋体" w:eastAsia="宋体" w:cs="宋体"/>
          <w:color w:val="000000"/>
          <w:sz w:val="32"/>
          <w:szCs w:val="32"/>
          <w:lang w:val="en-US" w:eastAsia="zh-CN"/>
        </w:rPr>
        <w:t>34.72</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30112-</w:t>
      </w:r>
      <w:r>
        <w:rPr>
          <w:rFonts w:hint="eastAsia" w:ascii="宋体" w:hAnsi="宋体" w:eastAsia="宋体" w:cs="宋体"/>
          <w:color w:val="000000"/>
          <w:sz w:val="32"/>
          <w:szCs w:val="32"/>
          <w:lang w:eastAsia="zh-CN"/>
        </w:rPr>
        <w:t>其他社会保障缴费</w:t>
      </w:r>
      <w:r>
        <w:rPr>
          <w:rFonts w:hint="eastAsia" w:ascii="宋体" w:hAnsi="宋体" w:eastAsia="宋体" w:cs="宋体"/>
          <w:color w:val="000000"/>
          <w:sz w:val="32"/>
          <w:szCs w:val="32"/>
          <w:lang w:val="en-US" w:eastAsia="zh-CN"/>
        </w:rPr>
        <w:t>8.95</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30110-</w:t>
      </w:r>
      <w:r>
        <w:rPr>
          <w:rFonts w:hint="eastAsia" w:ascii="宋体" w:hAnsi="宋体" w:eastAsia="宋体" w:cs="宋体"/>
          <w:color w:val="000000"/>
          <w:sz w:val="32"/>
          <w:szCs w:val="32"/>
          <w:lang w:eastAsia="zh-CN"/>
        </w:rPr>
        <w:t>职工基本医疗保险缴费</w:t>
      </w:r>
      <w:r>
        <w:rPr>
          <w:rFonts w:hint="eastAsia" w:ascii="宋体" w:hAnsi="宋体" w:eastAsia="宋体" w:cs="宋体"/>
          <w:color w:val="000000"/>
          <w:sz w:val="32"/>
          <w:szCs w:val="32"/>
          <w:lang w:val="en-US" w:eastAsia="zh-CN"/>
        </w:rPr>
        <w:t>37.16</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30114-</w:t>
      </w:r>
      <w:r>
        <w:rPr>
          <w:rFonts w:hint="eastAsia" w:ascii="宋体" w:hAnsi="宋体" w:eastAsia="宋体" w:cs="宋体"/>
          <w:color w:val="000000"/>
          <w:sz w:val="32"/>
          <w:szCs w:val="32"/>
          <w:lang w:eastAsia="zh-CN"/>
        </w:rPr>
        <w:t>医疗费补助</w:t>
      </w:r>
      <w:r>
        <w:rPr>
          <w:rFonts w:hint="eastAsia" w:ascii="宋体" w:hAnsi="宋体" w:eastAsia="宋体" w:cs="宋体"/>
          <w:color w:val="000000"/>
          <w:sz w:val="32"/>
          <w:szCs w:val="32"/>
          <w:lang w:val="en-US" w:eastAsia="zh-CN"/>
        </w:rPr>
        <w:t>1</w:t>
      </w:r>
      <w:r>
        <w:rPr>
          <w:rFonts w:hint="eastAsia" w:ascii="宋体" w:hAnsi="宋体" w:eastAsia="宋体" w:cs="宋体"/>
          <w:color w:val="000000"/>
          <w:sz w:val="32"/>
          <w:szCs w:val="32"/>
          <w:lang w:eastAsia="zh-CN"/>
        </w:rPr>
        <w:t>万元；</w:t>
      </w:r>
      <w:r>
        <w:rPr>
          <w:rFonts w:hint="eastAsia" w:ascii="宋体" w:hAnsi="宋体" w:eastAsia="宋体" w:cs="宋体"/>
          <w:sz w:val="32"/>
          <w:szCs w:val="32"/>
          <w:shd w:val="clear" w:color="auto" w:fill="FFFFFF"/>
          <w:lang w:val="en-US"/>
        </w:rPr>
        <w:t>2101199-</w:t>
      </w:r>
      <w:r>
        <w:rPr>
          <w:rFonts w:hint="eastAsia" w:ascii="宋体" w:hAnsi="宋体" w:eastAsia="宋体" w:cs="宋体"/>
          <w:sz w:val="32"/>
          <w:szCs w:val="32"/>
          <w:shd w:val="clear" w:color="auto" w:fill="FFFFFF"/>
          <w:lang w:val="en-US" w:eastAsia="zh-CN"/>
        </w:rPr>
        <w:t>事业单位补充</w:t>
      </w:r>
      <w:r>
        <w:rPr>
          <w:rFonts w:hint="eastAsia" w:ascii="宋体" w:hAnsi="宋体" w:eastAsia="宋体" w:cs="宋体"/>
          <w:sz w:val="32"/>
          <w:szCs w:val="32"/>
          <w:shd w:val="clear" w:color="auto" w:fill="FFFFFF"/>
          <w:lang w:eastAsia="zh-CN"/>
        </w:rPr>
        <w:t>医疗</w:t>
      </w:r>
      <w:r>
        <w:rPr>
          <w:rFonts w:hint="eastAsia" w:ascii="宋体" w:hAnsi="宋体" w:eastAsia="宋体" w:cs="宋体"/>
          <w:sz w:val="32"/>
          <w:szCs w:val="32"/>
          <w:shd w:val="clear" w:color="auto" w:fill="FFFFFF"/>
          <w:lang w:val="en-US" w:eastAsia="zh-CN"/>
        </w:rPr>
        <w:t>8.9</w:t>
      </w:r>
      <w:r>
        <w:rPr>
          <w:rFonts w:hint="eastAsia" w:ascii="宋体" w:hAnsi="宋体" w:eastAsia="宋体" w:cs="宋体"/>
          <w:sz w:val="32"/>
          <w:szCs w:val="32"/>
          <w:shd w:val="clear" w:color="auto" w:fill="FFFFFF"/>
          <w:lang w:eastAsia="zh-CN"/>
        </w:rPr>
        <w:t>万元</w:t>
      </w:r>
      <w:r>
        <w:rPr>
          <w:rFonts w:hint="eastAsia" w:ascii="宋体" w:hAnsi="宋体" w:eastAsia="宋体" w:cs="宋体"/>
          <w:sz w:val="32"/>
          <w:szCs w:val="32"/>
          <w:shd w:val="clear" w:color="auto" w:fill="FFFFFF"/>
          <w:lang w:val="en-US"/>
        </w:rPr>
        <w:t>,</w:t>
      </w:r>
      <w:r>
        <w:rPr>
          <w:rFonts w:hint="eastAsia" w:ascii="宋体" w:hAnsi="宋体" w:eastAsia="宋体" w:cs="宋体"/>
          <w:color w:val="000000"/>
          <w:sz w:val="32"/>
          <w:szCs w:val="32"/>
          <w:lang w:val="en-US"/>
        </w:rPr>
        <w:t>30113-</w:t>
      </w:r>
      <w:r>
        <w:rPr>
          <w:rFonts w:hint="eastAsia" w:ascii="宋体" w:hAnsi="宋体" w:eastAsia="宋体" w:cs="宋体"/>
          <w:color w:val="000000"/>
          <w:sz w:val="32"/>
          <w:szCs w:val="32"/>
          <w:lang w:eastAsia="zh-CN"/>
        </w:rPr>
        <w:t>住房公积金</w:t>
      </w:r>
      <w:r>
        <w:rPr>
          <w:rFonts w:hint="eastAsia" w:ascii="宋体" w:hAnsi="宋体" w:eastAsia="宋体" w:cs="宋体"/>
          <w:color w:val="000000"/>
          <w:sz w:val="32"/>
          <w:szCs w:val="32"/>
          <w:lang w:val="en-US" w:eastAsia="zh-CN"/>
        </w:rPr>
        <w:t>56.9</w:t>
      </w:r>
      <w:r>
        <w:rPr>
          <w:rFonts w:hint="eastAsia" w:ascii="宋体" w:hAnsi="宋体" w:eastAsia="宋体" w:cs="宋体"/>
          <w:color w:val="000000"/>
          <w:sz w:val="32"/>
          <w:szCs w:val="32"/>
          <w:lang w:eastAsia="zh-CN"/>
        </w:rPr>
        <w:t>万元。</w:t>
      </w:r>
    </w:p>
    <w:p w14:paraId="7962618C">
      <w:pPr>
        <w:spacing w:line="560" w:lineRule="exact"/>
        <w:ind w:left="0" w:firstLine="645"/>
        <w:rPr>
          <w:rFonts w:hint="eastAsia" w:ascii="宋体" w:hAnsi="宋体" w:eastAsia="宋体" w:cs="宋体"/>
          <w:color w:val="000000"/>
          <w:sz w:val="32"/>
          <w:szCs w:val="32"/>
          <w:lang w:val="en-US"/>
        </w:rPr>
      </w:pPr>
      <w:r>
        <w:rPr>
          <w:rFonts w:hint="eastAsia" w:ascii="宋体" w:hAnsi="宋体" w:eastAsia="宋体" w:cs="宋体"/>
          <w:color w:val="000000"/>
          <w:sz w:val="32"/>
          <w:szCs w:val="32"/>
          <w:lang w:eastAsia="zh-CN"/>
        </w:rPr>
        <w:t>公用经费</w:t>
      </w:r>
      <w:r>
        <w:rPr>
          <w:rFonts w:hint="eastAsia" w:ascii="宋体" w:hAnsi="宋体" w:eastAsia="宋体" w:cs="宋体"/>
          <w:color w:val="000000"/>
          <w:sz w:val="32"/>
          <w:szCs w:val="32"/>
          <w:lang w:val="en-US"/>
        </w:rPr>
        <w:t>4</w:t>
      </w:r>
      <w:r>
        <w:rPr>
          <w:rFonts w:hint="eastAsia" w:ascii="宋体" w:hAnsi="宋体" w:eastAsia="宋体" w:cs="宋体"/>
          <w:color w:val="000000"/>
          <w:sz w:val="32"/>
          <w:szCs w:val="32"/>
          <w:lang w:val="en-US" w:eastAsia="zh-CN"/>
        </w:rPr>
        <w:t>42.66</w:t>
      </w:r>
      <w:r>
        <w:rPr>
          <w:rFonts w:hint="eastAsia" w:ascii="宋体" w:hAnsi="宋体" w:eastAsia="宋体" w:cs="宋体"/>
          <w:color w:val="000000"/>
          <w:sz w:val="32"/>
          <w:szCs w:val="32"/>
          <w:lang w:eastAsia="zh-CN"/>
        </w:rPr>
        <w:t>万元，主要包括：</w:t>
      </w:r>
      <w:r>
        <w:rPr>
          <w:rFonts w:hint="eastAsia" w:ascii="宋体" w:hAnsi="宋体" w:eastAsia="宋体" w:cs="宋体"/>
          <w:color w:val="000000"/>
          <w:sz w:val="32"/>
          <w:szCs w:val="32"/>
          <w:lang w:val="en-US"/>
        </w:rPr>
        <w:t>30201-</w:t>
      </w:r>
      <w:r>
        <w:rPr>
          <w:rFonts w:hint="eastAsia" w:ascii="宋体" w:hAnsi="宋体" w:eastAsia="宋体" w:cs="宋体"/>
          <w:color w:val="000000"/>
          <w:sz w:val="32"/>
          <w:szCs w:val="32"/>
          <w:lang w:eastAsia="zh-CN"/>
        </w:rPr>
        <w:t>办公费</w:t>
      </w:r>
      <w:r>
        <w:rPr>
          <w:rFonts w:hint="eastAsia" w:ascii="宋体" w:hAnsi="宋体" w:eastAsia="宋体" w:cs="宋体"/>
          <w:color w:val="000000"/>
          <w:sz w:val="32"/>
          <w:szCs w:val="32"/>
          <w:lang w:val="en-US" w:eastAsia="zh-CN"/>
        </w:rPr>
        <w:t>13.17</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30202-</w:t>
      </w:r>
      <w:r>
        <w:rPr>
          <w:rFonts w:hint="eastAsia" w:ascii="宋体" w:hAnsi="宋体" w:eastAsia="宋体" w:cs="宋体"/>
          <w:color w:val="000000"/>
          <w:sz w:val="32"/>
          <w:szCs w:val="32"/>
          <w:lang w:val="en-US" w:eastAsia="zh-CN"/>
        </w:rPr>
        <w:t>手续</w:t>
      </w:r>
      <w:r>
        <w:rPr>
          <w:rFonts w:hint="eastAsia" w:ascii="宋体" w:hAnsi="宋体" w:eastAsia="宋体" w:cs="宋体"/>
          <w:color w:val="000000"/>
          <w:sz w:val="32"/>
          <w:szCs w:val="32"/>
          <w:lang w:eastAsia="zh-CN"/>
        </w:rPr>
        <w:t>费</w:t>
      </w:r>
      <w:r>
        <w:rPr>
          <w:rFonts w:hint="eastAsia" w:ascii="宋体" w:hAnsi="宋体" w:eastAsia="宋体" w:cs="宋体"/>
          <w:color w:val="000000"/>
          <w:sz w:val="32"/>
          <w:szCs w:val="32"/>
          <w:lang w:val="en-US" w:eastAsia="zh-CN"/>
        </w:rPr>
        <w:t>0.1</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30206-</w:t>
      </w:r>
      <w:r>
        <w:rPr>
          <w:rFonts w:hint="eastAsia" w:ascii="宋体" w:hAnsi="宋体" w:eastAsia="宋体" w:cs="宋体"/>
          <w:color w:val="000000"/>
          <w:sz w:val="32"/>
          <w:szCs w:val="32"/>
          <w:lang w:eastAsia="zh-CN"/>
        </w:rPr>
        <w:t>电费</w:t>
      </w:r>
      <w:r>
        <w:rPr>
          <w:rFonts w:hint="eastAsia" w:ascii="宋体" w:hAnsi="宋体" w:eastAsia="宋体" w:cs="宋体"/>
          <w:color w:val="000000"/>
          <w:sz w:val="32"/>
          <w:szCs w:val="32"/>
          <w:lang w:val="en-US" w:eastAsia="zh-CN"/>
        </w:rPr>
        <w:t>3.33</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30207-</w:t>
      </w:r>
      <w:r>
        <w:rPr>
          <w:rFonts w:hint="eastAsia" w:ascii="宋体" w:hAnsi="宋体" w:eastAsia="宋体" w:cs="宋体"/>
          <w:color w:val="000000"/>
          <w:sz w:val="32"/>
          <w:szCs w:val="32"/>
          <w:lang w:eastAsia="zh-CN"/>
        </w:rPr>
        <w:t>邮电费</w:t>
      </w:r>
      <w:r>
        <w:rPr>
          <w:rFonts w:hint="eastAsia" w:ascii="宋体" w:hAnsi="宋体" w:eastAsia="宋体" w:cs="宋体"/>
          <w:color w:val="000000"/>
          <w:sz w:val="32"/>
          <w:szCs w:val="32"/>
          <w:lang w:val="en-US" w:eastAsia="zh-CN"/>
        </w:rPr>
        <w:t>0.3</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30211-</w:t>
      </w:r>
      <w:r>
        <w:rPr>
          <w:rFonts w:hint="eastAsia" w:ascii="宋体" w:hAnsi="宋体" w:eastAsia="宋体" w:cs="宋体"/>
          <w:color w:val="000000"/>
          <w:sz w:val="32"/>
          <w:szCs w:val="32"/>
          <w:lang w:eastAsia="zh-CN"/>
        </w:rPr>
        <w:t>差旅费</w:t>
      </w:r>
      <w:r>
        <w:rPr>
          <w:rFonts w:hint="eastAsia" w:ascii="宋体" w:hAnsi="宋体" w:eastAsia="宋体" w:cs="宋体"/>
          <w:color w:val="000000"/>
          <w:sz w:val="32"/>
          <w:szCs w:val="32"/>
          <w:lang w:val="en-US" w:eastAsia="zh-CN"/>
        </w:rPr>
        <w:t>3.58</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30213-</w:t>
      </w:r>
      <w:r>
        <w:rPr>
          <w:rFonts w:hint="eastAsia" w:ascii="宋体" w:hAnsi="宋体" w:eastAsia="宋体" w:cs="宋体"/>
          <w:color w:val="000000"/>
          <w:sz w:val="32"/>
          <w:szCs w:val="32"/>
          <w:lang w:eastAsia="zh-CN"/>
        </w:rPr>
        <w:t>维修（护）费</w:t>
      </w:r>
      <w:r>
        <w:rPr>
          <w:rFonts w:hint="eastAsia" w:ascii="宋体" w:hAnsi="宋体" w:eastAsia="宋体" w:cs="宋体"/>
          <w:color w:val="000000"/>
          <w:sz w:val="32"/>
          <w:szCs w:val="32"/>
          <w:lang w:val="en-US" w:eastAsia="zh-CN"/>
        </w:rPr>
        <w:t>2.02</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30217-</w:t>
      </w:r>
      <w:r>
        <w:rPr>
          <w:rFonts w:hint="eastAsia" w:ascii="宋体" w:hAnsi="宋体" w:eastAsia="宋体" w:cs="宋体"/>
          <w:color w:val="000000"/>
          <w:sz w:val="32"/>
          <w:szCs w:val="32"/>
          <w:lang w:eastAsia="zh-CN"/>
        </w:rPr>
        <w:t>公务接待费</w:t>
      </w:r>
      <w:r>
        <w:rPr>
          <w:rFonts w:hint="eastAsia" w:ascii="宋体" w:hAnsi="宋体" w:eastAsia="宋体" w:cs="宋体"/>
          <w:color w:val="000000"/>
          <w:sz w:val="32"/>
          <w:szCs w:val="32"/>
          <w:lang w:val="en-US"/>
        </w:rPr>
        <w:t>0.56</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30226-</w:t>
      </w:r>
      <w:r>
        <w:rPr>
          <w:rFonts w:hint="eastAsia" w:ascii="宋体" w:hAnsi="宋体" w:eastAsia="宋体" w:cs="宋体"/>
          <w:color w:val="000000"/>
          <w:sz w:val="32"/>
          <w:szCs w:val="32"/>
          <w:lang w:eastAsia="zh-CN"/>
        </w:rPr>
        <w:t>劳务费</w:t>
      </w:r>
      <w:r>
        <w:rPr>
          <w:rFonts w:hint="eastAsia" w:ascii="宋体" w:hAnsi="宋体" w:eastAsia="宋体" w:cs="宋体"/>
          <w:color w:val="000000"/>
          <w:sz w:val="32"/>
          <w:szCs w:val="32"/>
          <w:lang w:val="en-US" w:eastAsia="zh-CN"/>
        </w:rPr>
        <w:t>6.94</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30214-</w:t>
      </w:r>
      <w:r>
        <w:rPr>
          <w:rFonts w:hint="eastAsia" w:ascii="宋体" w:hAnsi="宋体" w:eastAsia="宋体" w:cs="宋体"/>
          <w:color w:val="000000"/>
          <w:sz w:val="32"/>
          <w:szCs w:val="32"/>
          <w:lang w:val="en-US" w:eastAsia="zh-CN"/>
        </w:rPr>
        <w:t>工会经</w:t>
      </w:r>
      <w:r>
        <w:rPr>
          <w:rFonts w:hint="eastAsia" w:ascii="宋体" w:hAnsi="宋体" w:eastAsia="宋体" w:cs="宋体"/>
          <w:color w:val="000000"/>
          <w:sz w:val="32"/>
          <w:szCs w:val="32"/>
          <w:lang w:eastAsia="zh-CN"/>
        </w:rPr>
        <w:t>费</w:t>
      </w:r>
      <w:r>
        <w:rPr>
          <w:rFonts w:hint="eastAsia" w:ascii="宋体" w:hAnsi="宋体" w:eastAsia="宋体" w:cs="宋体"/>
          <w:color w:val="000000"/>
          <w:sz w:val="32"/>
          <w:szCs w:val="32"/>
          <w:lang w:val="en-US" w:eastAsia="zh-CN"/>
        </w:rPr>
        <w:t>4.53</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30231-</w:t>
      </w:r>
      <w:r>
        <w:rPr>
          <w:rFonts w:hint="eastAsia" w:ascii="宋体" w:hAnsi="宋体" w:eastAsia="宋体" w:cs="宋体"/>
          <w:color w:val="000000"/>
          <w:sz w:val="32"/>
          <w:szCs w:val="32"/>
          <w:lang w:eastAsia="zh-CN"/>
        </w:rPr>
        <w:t>公务用车运行维护费</w:t>
      </w:r>
      <w:r>
        <w:rPr>
          <w:rFonts w:hint="eastAsia" w:ascii="宋体" w:hAnsi="宋体" w:eastAsia="宋体" w:cs="宋体"/>
          <w:color w:val="000000"/>
          <w:sz w:val="32"/>
          <w:szCs w:val="32"/>
          <w:lang w:val="en-US" w:eastAsia="zh-CN"/>
        </w:rPr>
        <w:t>5.09</w:t>
      </w:r>
      <w:r>
        <w:rPr>
          <w:rFonts w:hint="eastAsia" w:ascii="宋体" w:hAnsi="宋体" w:eastAsia="宋体" w:cs="宋体"/>
          <w:color w:val="000000"/>
          <w:sz w:val="32"/>
          <w:szCs w:val="32"/>
          <w:lang w:eastAsia="zh-CN"/>
        </w:rPr>
        <w:t>万元；委托业务费</w:t>
      </w:r>
      <w:r>
        <w:rPr>
          <w:rFonts w:hint="eastAsia" w:ascii="宋体" w:hAnsi="宋体" w:eastAsia="宋体" w:cs="宋体"/>
          <w:color w:val="000000"/>
          <w:sz w:val="32"/>
          <w:szCs w:val="32"/>
          <w:lang w:val="en-US" w:eastAsia="zh-CN"/>
        </w:rPr>
        <w:t>0</w:t>
      </w:r>
      <w:r>
        <w:rPr>
          <w:rFonts w:hint="eastAsia" w:ascii="宋体" w:hAnsi="宋体" w:eastAsia="宋体" w:cs="宋体"/>
          <w:color w:val="000000"/>
          <w:sz w:val="32"/>
          <w:szCs w:val="32"/>
          <w:lang w:eastAsia="zh-CN"/>
        </w:rPr>
        <w:t>万元；取暖费</w:t>
      </w:r>
      <w:r>
        <w:rPr>
          <w:rFonts w:hint="eastAsia" w:ascii="宋体" w:hAnsi="宋体" w:eastAsia="宋体" w:cs="宋体"/>
          <w:color w:val="000000"/>
          <w:sz w:val="32"/>
          <w:szCs w:val="32"/>
          <w:lang w:val="en-US" w:eastAsia="zh-CN"/>
        </w:rPr>
        <w:t>3.05</w:t>
      </w:r>
      <w:r>
        <w:rPr>
          <w:rFonts w:hint="eastAsia" w:ascii="宋体" w:hAnsi="宋体" w:eastAsia="宋体" w:cs="宋体"/>
          <w:color w:val="000000"/>
          <w:sz w:val="32"/>
          <w:szCs w:val="32"/>
          <w:lang w:eastAsia="zh-CN"/>
        </w:rPr>
        <w:t>万元。</w:t>
      </w:r>
    </w:p>
    <w:p w14:paraId="7CB47F96">
      <w:pPr>
        <w:pStyle w:val="189"/>
        <w:widowControl/>
        <w:shd w:val="clear" w:color="auto" w:fill="FFFFFF"/>
        <w:ind w:firstLine="640"/>
        <w:rPr>
          <w:rFonts w:hint="eastAsia" w:ascii="宋体" w:hAnsi="宋体" w:eastAsia="宋体" w:cs="宋体"/>
          <w:color w:val="000000"/>
          <w:sz w:val="32"/>
          <w:szCs w:val="32"/>
          <w:lang w:eastAsia="zh-CN"/>
        </w:rPr>
      </w:pPr>
      <w:r>
        <w:rPr>
          <w:rFonts w:hint="eastAsia" w:ascii="宋体" w:hAnsi="宋体" w:eastAsia="宋体" w:cs="宋体"/>
          <w:color w:val="000000"/>
          <w:sz w:val="32"/>
          <w:szCs w:val="32"/>
          <w:lang w:eastAsia="zh-CN"/>
        </w:rPr>
        <w:t>对个人和家庭的补助，生活补助</w:t>
      </w:r>
      <w:r>
        <w:rPr>
          <w:rFonts w:hint="eastAsia" w:ascii="宋体" w:hAnsi="宋体" w:eastAsia="宋体" w:cs="宋体"/>
          <w:color w:val="000000"/>
          <w:sz w:val="32"/>
          <w:szCs w:val="32"/>
          <w:lang w:val="en-US" w:eastAsia="zh-CN"/>
        </w:rPr>
        <w:t>12.89</w:t>
      </w:r>
      <w:r>
        <w:rPr>
          <w:rFonts w:hint="eastAsia" w:ascii="宋体" w:hAnsi="宋体" w:eastAsia="宋体" w:cs="宋体"/>
          <w:color w:val="000000"/>
          <w:sz w:val="32"/>
          <w:szCs w:val="32"/>
          <w:lang w:eastAsia="zh-CN"/>
        </w:rPr>
        <w:t>万元，奖励金</w:t>
      </w:r>
      <w:r>
        <w:rPr>
          <w:rFonts w:hint="eastAsia" w:ascii="宋体" w:hAnsi="宋体" w:eastAsia="宋体" w:cs="宋体"/>
          <w:color w:val="000000"/>
          <w:sz w:val="32"/>
          <w:szCs w:val="32"/>
          <w:lang w:val="en-US"/>
        </w:rPr>
        <w:t>0.02</w:t>
      </w:r>
      <w:r>
        <w:rPr>
          <w:rFonts w:hint="eastAsia" w:ascii="宋体" w:hAnsi="宋体" w:eastAsia="宋体" w:cs="宋体"/>
          <w:color w:val="000000"/>
          <w:sz w:val="32"/>
          <w:szCs w:val="32"/>
          <w:lang w:eastAsia="zh-CN"/>
        </w:rPr>
        <w:t>万元。</w:t>
      </w:r>
    </w:p>
    <w:p w14:paraId="5FB3F540">
      <w:pPr>
        <w:spacing w:line="560" w:lineRule="exact"/>
        <w:ind w:left="0" w:firstLine="643"/>
        <w:rPr>
          <w:rFonts w:hint="eastAsia" w:ascii="宋体" w:hAnsi="宋体" w:eastAsia="宋体" w:cs="宋体"/>
          <w:b/>
          <w:bCs/>
          <w:color w:val="000000"/>
          <w:sz w:val="32"/>
          <w:szCs w:val="32"/>
          <w:lang w:val="en-US"/>
        </w:rPr>
      </w:pPr>
      <w:r>
        <w:rPr>
          <w:rFonts w:hint="eastAsia" w:ascii="宋体" w:hAnsi="宋体" w:eastAsia="宋体" w:cs="宋体"/>
          <w:b/>
          <w:bCs/>
          <w:color w:val="000000"/>
          <w:sz w:val="32"/>
          <w:szCs w:val="32"/>
          <w:lang w:val="en-US"/>
        </w:rPr>
        <w:t>2.</w:t>
      </w:r>
      <w:r>
        <w:rPr>
          <w:rFonts w:hint="eastAsia" w:ascii="宋体" w:hAnsi="宋体" w:eastAsia="宋体" w:cs="宋体"/>
          <w:b/>
          <w:bCs/>
          <w:color w:val="000000"/>
          <w:sz w:val="32"/>
          <w:szCs w:val="32"/>
          <w:lang w:eastAsia="zh-CN"/>
        </w:rPr>
        <w:t>项目预算执行情况</w:t>
      </w:r>
    </w:p>
    <w:p w14:paraId="0C434B64">
      <w:pPr>
        <w:spacing w:line="560" w:lineRule="exact"/>
        <w:ind w:left="0" w:firstLine="640"/>
        <w:rPr>
          <w:rFonts w:hint="eastAsia" w:ascii="宋体" w:hAnsi="宋体" w:eastAsia="宋体" w:cs="宋体"/>
          <w:color w:val="000000"/>
          <w:sz w:val="32"/>
          <w:szCs w:val="32"/>
          <w:lang w:val="en-US"/>
        </w:rPr>
      </w:pPr>
      <w:r>
        <w:rPr>
          <w:rFonts w:hint="eastAsia" w:ascii="宋体" w:hAnsi="宋体" w:eastAsia="宋体" w:cs="宋体"/>
          <w:color w:val="000000"/>
          <w:sz w:val="32"/>
          <w:szCs w:val="32"/>
          <w:lang w:val="en-US"/>
        </w:rPr>
        <w:t>202</w:t>
      </w:r>
      <w:r>
        <w:rPr>
          <w:rFonts w:hint="eastAsia" w:ascii="宋体" w:hAnsi="宋体" w:eastAsia="宋体" w:cs="宋体"/>
          <w:color w:val="000000"/>
          <w:sz w:val="32"/>
          <w:szCs w:val="32"/>
          <w:lang w:val="en-US" w:eastAsia="zh-CN"/>
        </w:rPr>
        <w:t>2</w:t>
      </w:r>
      <w:r>
        <w:rPr>
          <w:rFonts w:hint="eastAsia" w:ascii="宋体" w:hAnsi="宋体" w:eastAsia="宋体" w:cs="宋体"/>
          <w:color w:val="000000"/>
          <w:sz w:val="32"/>
          <w:szCs w:val="32"/>
          <w:lang w:eastAsia="zh-CN"/>
        </w:rPr>
        <w:t>年度项目支出预算数为</w:t>
      </w:r>
      <w:r>
        <w:rPr>
          <w:rFonts w:hint="eastAsia" w:ascii="宋体" w:hAnsi="宋体" w:eastAsia="宋体" w:cs="宋体"/>
          <w:color w:val="000000"/>
          <w:sz w:val="32"/>
          <w:szCs w:val="32"/>
          <w:lang w:val="en-US" w:eastAsia="zh-CN"/>
        </w:rPr>
        <w:t>27.26</w:t>
      </w:r>
      <w:r>
        <w:rPr>
          <w:rFonts w:hint="eastAsia" w:ascii="宋体" w:hAnsi="宋体" w:eastAsia="宋体" w:cs="宋体"/>
          <w:color w:val="000000"/>
          <w:sz w:val="32"/>
          <w:szCs w:val="32"/>
          <w:lang w:eastAsia="zh-CN"/>
        </w:rPr>
        <w:t>万元，决算金额</w:t>
      </w:r>
      <w:r>
        <w:rPr>
          <w:rFonts w:hint="eastAsia" w:ascii="宋体" w:hAnsi="宋体" w:eastAsia="宋体" w:cs="宋体"/>
          <w:color w:val="000000"/>
          <w:sz w:val="32"/>
          <w:szCs w:val="32"/>
          <w:lang w:val="en-US" w:eastAsia="zh-CN"/>
        </w:rPr>
        <w:t>167.51</w:t>
      </w:r>
      <w:r>
        <w:rPr>
          <w:rFonts w:hint="eastAsia" w:ascii="宋体" w:hAnsi="宋体" w:eastAsia="宋体" w:cs="宋体"/>
          <w:color w:val="000000"/>
          <w:sz w:val="32"/>
          <w:szCs w:val="32"/>
          <w:lang w:eastAsia="zh-CN"/>
        </w:rPr>
        <w:t>万元，主要原因是中央，省级财政项目资金陆续实施。县级财政专项预算分配及时，中央，省级专项资金分配合规率</w:t>
      </w:r>
      <w:r>
        <w:rPr>
          <w:rFonts w:hint="eastAsia" w:ascii="宋体" w:hAnsi="宋体" w:eastAsia="宋体" w:cs="宋体"/>
          <w:color w:val="000000"/>
          <w:sz w:val="32"/>
          <w:szCs w:val="32"/>
          <w:lang w:val="en-US"/>
        </w:rPr>
        <w:t>100%</w:t>
      </w:r>
      <w:r>
        <w:rPr>
          <w:rFonts w:hint="eastAsia" w:ascii="宋体" w:hAnsi="宋体" w:eastAsia="宋体" w:cs="宋体"/>
          <w:color w:val="000000"/>
          <w:sz w:val="32"/>
          <w:szCs w:val="32"/>
          <w:lang w:eastAsia="zh-CN"/>
        </w:rPr>
        <w:t>；</w:t>
      </w:r>
      <w:r>
        <w:rPr>
          <w:rFonts w:hint="eastAsia" w:ascii="宋体" w:hAnsi="宋体" w:eastAsia="宋体" w:cs="宋体"/>
          <w:color w:val="000000"/>
          <w:sz w:val="32"/>
          <w:szCs w:val="32"/>
          <w:lang w:val="en-US"/>
        </w:rPr>
        <w:t>202</w:t>
      </w:r>
      <w:r>
        <w:rPr>
          <w:rFonts w:hint="eastAsia" w:ascii="宋体" w:hAnsi="宋体" w:eastAsia="宋体" w:cs="宋体"/>
          <w:color w:val="000000"/>
          <w:sz w:val="32"/>
          <w:szCs w:val="32"/>
          <w:lang w:val="en-US" w:eastAsia="zh-CN"/>
        </w:rPr>
        <w:t>2</w:t>
      </w:r>
      <w:r>
        <w:rPr>
          <w:rFonts w:hint="eastAsia" w:ascii="宋体" w:hAnsi="宋体" w:eastAsia="宋体" w:cs="宋体"/>
          <w:color w:val="000000"/>
          <w:sz w:val="32"/>
          <w:szCs w:val="32"/>
          <w:lang w:eastAsia="zh-CN"/>
        </w:rPr>
        <w:t>年底结转结余</w:t>
      </w:r>
      <w:r>
        <w:rPr>
          <w:rFonts w:hint="eastAsia" w:ascii="宋体" w:hAnsi="宋体" w:eastAsia="宋体" w:cs="宋体"/>
          <w:color w:val="000000"/>
          <w:sz w:val="32"/>
          <w:szCs w:val="32"/>
          <w:lang w:val="en-US"/>
        </w:rPr>
        <w:t>0</w:t>
      </w:r>
      <w:r>
        <w:rPr>
          <w:rFonts w:hint="eastAsia" w:ascii="宋体" w:hAnsi="宋体" w:eastAsia="宋体" w:cs="宋体"/>
          <w:color w:val="000000"/>
          <w:sz w:val="32"/>
          <w:szCs w:val="32"/>
          <w:lang w:eastAsia="zh-CN"/>
        </w:rPr>
        <w:t>元。</w:t>
      </w:r>
    </w:p>
    <w:p w14:paraId="19CA2BCD">
      <w:pPr>
        <w:spacing w:line="560" w:lineRule="exact"/>
        <w:ind w:left="0" w:firstLine="640"/>
        <w:rPr>
          <w:rFonts w:hint="eastAsia" w:ascii="宋体" w:hAnsi="宋体" w:eastAsia="宋体" w:cs="宋体"/>
          <w:b/>
          <w:color w:val="000000"/>
          <w:sz w:val="32"/>
          <w:szCs w:val="32"/>
        </w:rPr>
      </w:pPr>
      <w:r>
        <w:rPr>
          <w:rStyle w:val="190"/>
          <w:rFonts w:hint="eastAsia" w:ascii="宋体" w:hAnsi="宋体" w:eastAsia="宋体" w:cs="宋体"/>
          <w:b w:val="0"/>
          <w:bCs/>
          <w:color w:val="000000"/>
          <w:sz w:val="32"/>
          <w:szCs w:val="32"/>
          <w:lang w:val="en-US"/>
        </w:rPr>
        <w:t>2100401-</w:t>
      </w:r>
      <w:r>
        <w:rPr>
          <w:rStyle w:val="190"/>
          <w:rFonts w:hint="eastAsia" w:ascii="宋体" w:hAnsi="宋体" w:eastAsia="宋体" w:cs="宋体"/>
          <w:b w:val="0"/>
          <w:bCs/>
          <w:color w:val="000000"/>
          <w:sz w:val="32"/>
          <w:szCs w:val="32"/>
          <w:lang w:eastAsia="zh-CN"/>
        </w:rPr>
        <w:t>疾病预防控制机构支出决算为</w:t>
      </w:r>
      <w:r>
        <w:rPr>
          <w:rStyle w:val="190"/>
          <w:rFonts w:hint="eastAsia" w:ascii="宋体" w:hAnsi="宋体" w:eastAsia="宋体" w:cs="宋体"/>
          <w:b w:val="0"/>
          <w:bCs/>
          <w:color w:val="000000"/>
          <w:sz w:val="32"/>
          <w:szCs w:val="32"/>
          <w:lang w:val="en-US" w:eastAsia="zh-CN"/>
        </w:rPr>
        <w:t>43.13</w:t>
      </w:r>
      <w:r>
        <w:rPr>
          <w:rStyle w:val="190"/>
          <w:rFonts w:hint="eastAsia" w:ascii="宋体" w:hAnsi="宋体" w:eastAsia="宋体" w:cs="宋体"/>
          <w:b w:val="0"/>
          <w:bCs/>
          <w:color w:val="000000"/>
          <w:sz w:val="32"/>
          <w:szCs w:val="32"/>
          <w:lang w:eastAsia="zh-CN"/>
        </w:rPr>
        <w:t>万元，完成预算</w:t>
      </w:r>
      <w:r>
        <w:rPr>
          <w:rStyle w:val="190"/>
          <w:rFonts w:hint="eastAsia" w:ascii="宋体" w:hAnsi="宋体" w:eastAsia="宋体" w:cs="宋体"/>
          <w:b w:val="0"/>
          <w:bCs/>
          <w:color w:val="000000"/>
          <w:sz w:val="32"/>
          <w:szCs w:val="32"/>
          <w:lang w:val="en-US"/>
        </w:rPr>
        <w:t>100%</w:t>
      </w:r>
      <w:r>
        <w:rPr>
          <w:rStyle w:val="190"/>
          <w:rFonts w:hint="eastAsia" w:ascii="宋体" w:hAnsi="宋体" w:eastAsia="宋体" w:cs="宋体"/>
          <w:b w:val="0"/>
          <w:bCs/>
          <w:color w:val="000000"/>
          <w:sz w:val="32"/>
          <w:szCs w:val="32"/>
          <w:lang w:eastAsia="zh-CN"/>
        </w:rPr>
        <w:t>，决算数与预算数持平；</w:t>
      </w:r>
      <w:r>
        <w:rPr>
          <w:rStyle w:val="190"/>
          <w:rFonts w:hint="eastAsia" w:ascii="宋体" w:hAnsi="宋体" w:eastAsia="宋体" w:cs="宋体"/>
          <w:b w:val="0"/>
          <w:bCs/>
          <w:color w:val="000000"/>
          <w:sz w:val="32"/>
          <w:szCs w:val="32"/>
          <w:lang w:val="en-US"/>
        </w:rPr>
        <w:t>2</w:t>
      </w:r>
      <w:r>
        <w:rPr>
          <w:rStyle w:val="190"/>
          <w:rFonts w:hint="eastAsia" w:ascii="宋体" w:hAnsi="宋体" w:eastAsia="宋体" w:cs="宋体"/>
          <w:b w:val="0"/>
          <w:bCs/>
          <w:color w:val="000000"/>
          <w:sz w:val="32"/>
          <w:szCs w:val="32"/>
          <w:lang w:eastAsia="zh-CN"/>
        </w:rPr>
        <w:t>、</w:t>
      </w:r>
      <w:r>
        <w:rPr>
          <w:rStyle w:val="190"/>
          <w:rFonts w:hint="eastAsia" w:ascii="宋体" w:hAnsi="宋体" w:eastAsia="宋体" w:cs="宋体"/>
          <w:b w:val="0"/>
          <w:bCs/>
          <w:color w:val="000000"/>
          <w:sz w:val="32"/>
          <w:szCs w:val="32"/>
          <w:lang w:val="en-US"/>
        </w:rPr>
        <w:t>2100408-</w:t>
      </w:r>
      <w:r>
        <w:rPr>
          <w:rStyle w:val="190"/>
          <w:rFonts w:hint="eastAsia" w:ascii="宋体" w:hAnsi="宋体" w:eastAsia="宋体" w:cs="宋体"/>
          <w:b w:val="0"/>
          <w:bCs/>
          <w:color w:val="000000"/>
          <w:sz w:val="32"/>
          <w:szCs w:val="32"/>
          <w:lang w:eastAsia="zh-CN"/>
        </w:rPr>
        <w:t>基本公共卫生服务支出决算数为</w:t>
      </w:r>
      <w:r>
        <w:rPr>
          <w:rStyle w:val="190"/>
          <w:rFonts w:hint="eastAsia" w:ascii="宋体" w:hAnsi="宋体" w:eastAsia="宋体" w:cs="宋体"/>
          <w:b w:val="0"/>
          <w:bCs/>
          <w:color w:val="000000"/>
          <w:sz w:val="32"/>
          <w:szCs w:val="32"/>
          <w:lang w:val="en-US" w:eastAsia="zh-CN"/>
        </w:rPr>
        <w:t>9.53</w:t>
      </w:r>
      <w:r>
        <w:rPr>
          <w:rStyle w:val="190"/>
          <w:rFonts w:hint="eastAsia" w:ascii="宋体" w:hAnsi="宋体" w:eastAsia="宋体" w:cs="宋体"/>
          <w:b w:val="0"/>
          <w:bCs/>
          <w:color w:val="000000"/>
          <w:sz w:val="32"/>
          <w:szCs w:val="32"/>
          <w:lang w:eastAsia="zh-CN"/>
        </w:rPr>
        <w:t>万元。</w:t>
      </w:r>
      <w:r>
        <w:rPr>
          <w:rStyle w:val="190"/>
          <w:rFonts w:hint="eastAsia" w:ascii="宋体" w:hAnsi="宋体" w:eastAsia="宋体" w:cs="宋体"/>
          <w:b w:val="0"/>
          <w:bCs/>
          <w:color w:val="000000"/>
          <w:sz w:val="32"/>
          <w:szCs w:val="32"/>
          <w:lang w:val="en-US"/>
        </w:rPr>
        <w:t>2100409-</w:t>
      </w:r>
      <w:r>
        <w:rPr>
          <w:rStyle w:val="190"/>
          <w:rFonts w:hint="eastAsia" w:ascii="宋体" w:hAnsi="宋体" w:eastAsia="宋体" w:cs="宋体"/>
          <w:b w:val="0"/>
          <w:bCs/>
          <w:color w:val="000000"/>
          <w:sz w:val="32"/>
          <w:szCs w:val="32"/>
          <w:lang w:eastAsia="zh-CN"/>
        </w:rPr>
        <w:t>重大公共卫生专项支出决算为</w:t>
      </w:r>
      <w:r>
        <w:rPr>
          <w:rStyle w:val="190"/>
          <w:rFonts w:hint="eastAsia" w:ascii="宋体" w:hAnsi="宋体" w:eastAsia="宋体" w:cs="宋体"/>
          <w:b w:val="0"/>
          <w:bCs/>
          <w:color w:val="000000"/>
          <w:sz w:val="32"/>
          <w:szCs w:val="32"/>
          <w:lang w:val="en-US" w:eastAsia="zh-CN"/>
        </w:rPr>
        <w:t>65.97</w:t>
      </w:r>
      <w:r>
        <w:rPr>
          <w:rStyle w:val="190"/>
          <w:rFonts w:hint="eastAsia" w:ascii="宋体" w:hAnsi="宋体" w:eastAsia="宋体" w:cs="宋体"/>
          <w:b w:val="0"/>
          <w:bCs/>
          <w:color w:val="000000"/>
          <w:sz w:val="32"/>
          <w:szCs w:val="32"/>
          <w:lang w:eastAsia="zh-CN"/>
        </w:rPr>
        <w:t>万元，</w:t>
      </w:r>
      <w:r>
        <w:rPr>
          <w:rStyle w:val="190"/>
          <w:rFonts w:hint="eastAsia" w:ascii="宋体" w:hAnsi="宋体" w:eastAsia="宋体" w:cs="宋体"/>
          <w:b w:val="0"/>
          <w:bCs/>
          <w:color w:val="000000"/>
          <w:sz w:val="32"/>
          <w:szCs w:val="32"/>
          <w:lang w:val="en-US"/>
        </w:rPr>
        <w:t xml:space="preserve"> 2100499-</w:t>
      </w:r>
      <w:r>
        <w:rPr>
          <w:rStyle w:val="190"/>
          <w:rFonts w:hint="eastAsia" w:ascii="宋体" w:hAnsi="宋体" w:eastAsia="宋体" w:cs="宋体"/>
          <w:b w:val="0"/>
          <w:bCs/>
          <w:color w:val="000000"/>
          <w:sz w:val="32"/>
          <w:szCs w:val="32"/>
          <w:lang w:eastAsia="zh-CN"/>
        </w:rPr>
        <w:t>其它公共卫生支出决算为</w:t>
      </w:r>
      <w:r>
        <w:rPr>
          <w:rStyle w:val="190"/>
          <w:rFonts w:hint="eastAsia" w:ascii="宋体" w:hAnsi="宋体" w:eastAsia="宋体" w:cs="宋体"/>
          <w:b w:val="0"/>
          <w:bCs/>
          <w:color w:val="000000"/>
          <w:sz w:val="32"/>
          <w:szCs w:val="32"/>
          <w:lang w:val="en-US" w:eastAsia="zh-CN"/>
        </w:rPr>
        <w:t>1</w:t>
      </w:r>
      <w:r>
        <w:rPr>
          <w:rStyle w:val="190"/>
          <w:rFonts w:hint="eastAsia" w:ascii="宋体" w:hAnsi="宋体" w:eastAsia="宋体" w:cs="宋体"/>
          <w:b w:val="0"/>
          <w:bCs/>
          <w:color w:val="000000"/>
          <w:sz w:val="32"/>
          <w:szCs w:val="32"/>
          <w:lang w:eastAsia="zh-CN"/>
        </w:rPr>
        <w:t>万元，</w:t>
      </w:r>
      <w:r>
        <w:rPr>
          <w:rStyle w:val="190"/>
          <w:rFonts w:hint="eastAsia" w:ascii="宋体" w:hAnsi="宋体" w:eastAsia="宋体" w:cs="宋体"/>
          <w:b w:val="0"/>
          <w:bCs/>
          <w:color w:val="000000"/>
          <w:sz w:val="32"/>
          <w:szCs w:val="32"/>
          <w:lang w:val="en-US"/>
        </w:rPr>
        <w:t xml:space="preserve"> 2109999-</w:t>
      </w:r>
      <w:r>
        <w:rPr>
          <w:rStyle w:val="190"/>
          <w:rFonts w:hint="eastAsia" w:ascii="宋体" w:hAnsi="宋体" w:eastAsia="宋体" w:cs="宋体"/>
          <w:b w:val="0"/>
          <w:bCs/>
          <w:color w:val="000000"/>
          <w:sz w:val="32"/>
          <w:szCs w:val="32"/>
          <w:lang w:eastAsia="zh-CN"/>
        </w:rPr>
        <w:t>其它卫生健康支出决算为</w:t>
      </w:r>
      <w:r>
        <w:rPr>
          <w:rStyle w:val="190"/>
          <w:rFonts w:hint="eastAsia" w:ascii="宋体" w:hAnsi="宋体" w:eastAsia="宋体" w:cs="宋体"/>
          <w:b w:val="0"/>
          <w:bCs/>
          <w:color w:val="000000"/>
          <w:sz w:val="32"/>
          <w:szCs w:val="32"/>
          <w:lang w:val="en-US" w:eastAsia="zh-CN"/>
        </w:rPr>
        <w:t>47.88</w:t>
      </w:r>
      <w:r>
        <w:rPr>
          <w:rStyle w:val="190"/>
          <w:rFonts w:hint="eastAsia" w:ascii="宋体" w:hAnsi="宋体" w:eastAsia="宋体" w:cs="宋体"/>
          <w:b w:val="0"/>
          <w:bCs/>
          <w:color w:val="000000"/>
          <w:sz w:val="32"/>
          <w:szCs w:val="32"/>
          <w:lang w:eastAsia="zh-CN"/>
        </w:rPr>
        <w:t>万元，完成预算</w:t>
      </w:r>
      <w:r>
        <w:rPr>
          <w:rStyle w:val="190"/>
          <w:rFonts w:hint="eastAsia" w:ascii="宋体" w:hAnsi="宋体" w:eastAsia="宋体" w:cs="宋体"/>
          <w:b w:val="0"/>
          <w:bCs/>
          <w:color w:val="000000"/>
          <w:sz w:val="32"/>
          <w:szCs w:val="32"/>
          <w:lang w:val="en-US"/>
        </w:rPr>
        <w:t>100%</w:t>
      </w:r>
      <w:r>
        <w:rPr>
          <w:rStyle w:val="190"/>
          <w:rFonts w:hint="eastAsia" w:ascii="宋体" w:hAnsi="宋体" w:eastAsia="宋体" w:cs="宋体"/>
          <w:b w:val="0"/>
          <w:bCs/>
          <w:color w:val="000000"/>
          <w:sz w:val="32"/>
          <w:szCs w:val="32"/>
          <w:lang w:eastAsia="zh-CN"/>
        </w:rPr>
        <w:t>；</w:t>
      </w:r>
    </w:p>
    <w:p w14:paraId="15BFFCC6">
      <w:pPr>
        <w:spacing w:line="560" w:lineRule="exact"/>
        <w:ind w:left="0" w:firstLine="720"/>
        <w:rPr>
          <w:rFonts w:hint="eastAsia" w:ascii="宋体" w:hAnsi="宋体" w:eastAsia="宋体" w:cs="宋体"/>
          <w:b/>
          <w:bCs/>
          <w:color w:val="000000"/>
          <w:sz w:val="32"/>
          <w:szCs w:val="32"/>
          <w:lang w:val="zh-CN" w:eastAsia="zh-CN"/>
        </w:rPr>
      </w:pPr>
      <w:r>
        <w:rPr>
          <w:rFonts w:hint="eastAsia" w:ascii="宋体" w:hAnsi="宋体" w:eastAsia="宋体" w:cs="宋体"/>
          <w:b/>
          <w:bCs/>
          <w:sz w:val="32"/>
          <w:szCs w:val="32"/>
          <w:lang w:val="zh-CN" w:eastAsia="zh-CN"/>
        </w:rPr>
        <w:t>3.综合管理情况。</w:t>
      </w:r>
      <w:r>
        <w:rPr>
          <w:rFonts w:hint="eastAsia" w:ascii="宋体" w:hAnsi="宋体" w:eastAsia="宋体" w:cs="宋体"/>
          <w:sz w:val="32"/>
          <w:szCs w:val="32"/>
          <w:lang w:eastAsia="zh-CN"/>
        </w:rPr>
        <w:t>我单位建立了整体支出管理方面的内控制度，并不断进行完善和修订，制定了《财务管理制度》、《预算管理制度》、《国有资产管理制度》、《政府采购管理制度》等财务相关制度；对预算资金的收支管理、资产管理、资产采购、差旅费报销等开支标准严格按照规定执行，对各项预算支出进行了有效管控，严肃财经纪律，严格审核审批程序，及时进行信息公开，依法接受财政监督。</w:t>
      </w:r>
      <w:r>
        <w:rPr>
          <w:rFonts w:hint="eastAsia" w:ascii="宋体" w:hAnsi="宋体" w:eastAsia="宋体" w:cs="宋体"/>
          <w:sz w:val="32"/>
          <w:szCs w:val="32"/>
          <w:shd w:val="clear" w:color="auto" w:fill="FFFFFF"/>
          <w:lang w:eastAsia="zh-CN"/>
        </w:rPr>
        <w:t>对照年初的预算，通过编制部门决算报表，全面、真实、准确的反映了红原县疾病预防控制中心</w:t>
      </w:r>
      <w:r>
        <w:rPr>
          <w:rFonts w:hint="eastAsia" w:ascii="宋体" w:hAnsi="宋体" w:eastAsia="宋体" w:cs="宋体"/>
          <w:sz w:val="32"/>
          <w:szCs w:val="32"/>
          <w:shd w:val="clear" w:color="auto" w:fill="FFFFFF"/>
          <w:lang w:val="en-US"/>
        </w:rPr>
        <w:t>202</w:t>
      </w:r>
      <w:r>
        <w:rPr>
          <w:rFonts w:hint="eastAsia" w:ascii="宋体" w:hAnsi="宋体" w:eastAsia="宋体" w:cs="宋体"/>
          <w:sz w:val="32"/>
          <w:szCs w:val="32"/>
          <w:shd w:val="clear" w:color="auto" w:fill="FFFFFF"/>
          <w:lang w:val="en-US" w:eastAsia="zh-CN"/>
        </w:rPr>
        <w:t>2</w:t>
      </w:r>
      <w:r>
        <w:rPr>
          <w:rFonts w:hint="eastAsia" w:ascii="宋体" w:hAnsi="宋体" w:eastAsia="宋体" w:cs="宋体"/>
          <w:sz w:val="32"/>
          <w:szCs w:val="32"/>
          <w:shd w:val="clear" w:color="auto" w:fill="FFFFFF"/>
          <w:lang w:eastAsia="zh-CN"/>
        </w:rPr>
        <w:t>年度财政资金的使用情况。</w:t>
      </w:r>
    </w:p>
    <w:p w14:paraId="340769C1">
      <w:pPr>
        <w:spacing w:line="560" w:lineRule="exact"/>
        <w:ind w:left="0" w:firstLine="720"/>
        <w:rPr>
          <w:rFonts w:hint="eastAsia" w:ascii="宋体" w:hAnsi="宋体" w:eastAsia="宋体" w:cs="宋体"/>
          <w:color w:val="000000"/>
          <w:sz w:val="32"/>
          <w:szCs w:val="32"/>
          <w:lang w:eastAsia="zh-CN"/>
        </w:rPr>
      </w:pPr>
      <w:r>
        <w:rPr>
          <w:rFonts w:hint="eastAsia" w:ascii="宋体" w:hAnsi="宋体" w:eastAsia="宋体" w:cs="宋体"/>
          <w:b/>
          <w:bCs/>
          <w:color w:val="000000"/>
          <w:sz w:val="32"/>
          <w:szCs w:val="32"/>
          <w:lang w:val="zh-CN" w:eastAsia="zh-CN"/>
        </w:rPr>
        <w:t>4.整体绩效。</w:t>
      </w:r>
      <w:r>
        <w:rPr>
          <w:rFonts w:hint="eastAsia" w:ascii="宋体" w:hAnsi="宋体" w:eastAsia="宋体" w:cs="宋体"/>
          <w:color w:val="000000"/>
          <w:sz w:val="32"/>
          <w:szCs w:val="32"/>
          <w:lang w:val="en-US"/>
        </w:rPr>
        <w:t>202</w:t>
      </w:r>
      <w:r>
        <w:rPr>
          <w:rFonts w:hint="eastAsia" w:ascii="宋体" w:hAnsi="宋体" w:eastAsia="宋体" w:cs="宋体"/>
          <w:color w:val="000000"/>
          <w:sz w:val="32"/>
          <w:szCs w:val="32"/>
          <w:lang w:val="en-US" w:eastAsia="zh-CN"/>
        </w:rPr>
        <w:t>2</w:t>
      </w:r>
      <w:r>
        <w:rPr>
          <w:rFonts w:hint="eastAsia" w:ascii="宋体" w:hAnsi="宋体" w:eastAsia="宋体" w:cs="宋体"/>
          <w:color w:val="000000"/>
          <w:sz w:val="32"/>
          <w:szCs w:val="32"/>
          <w:lang w:eastAsia="zh-CN"/>
        </w:rPr>
        <w:t>年度预算支出</w:t>
      </w:r>
      <w:r>
        <w:rPr>
          <w:rFonts w:hint="eastAsia" w:ascii="宋体" w:hAnsi="宋体" w:eastAsia="宋体" w:cs="宋体"/>
          <w:color w:val="000000"/>
          <w:sz w:val="32"/>
          <w:szCs w:val="32"/>
          <w:lang w:val="en-US" w:eastAsia="zh-CN"/>
        </w:rPr>
        <w:t>1020.58</w:t>
      </w:r>
      <w:r>
        <w:rPr>
          <w:rFonts w:hint="eastAsia" w:ascii="宋体" w:hAnsi="宋体" w:eastAsia="宋体" w:cs="宋体"/>
          <w:color w:val="000000"/>
          <w:sz w:val="32"/>
          <w:szCs w:val="32"/>
          <w:lang w:eastAsia="zh-CN"/>
        </w:rPr>
        <w:t>万元，其中基本支出</w:t>
      </w:r>
      <w:r>
        <w:rPr>
          <w:rFonts w:hint="eastAsia" w:ascii="宋体" w:hAnsi="宋体" w:eastAsia="宋体" w:cs="宋体"/>
          <w:color w:val="000000"/>
          <w:sz w:val="32"/>
          <w:szCs w:val="32"/>
          <w:lang w:val="en-US" w:eastAsia="zh-CN"/>
        </w:rPr>
        <w:t>853.07</w:t>
      </w:r>
      <w:r>
        <w:rPr>
          <w:rFonts w:hint="eastAsia" w:ascii="宋体" w:hAnsi="宋体" w:eastAsia="宋体" w:cs="宋体"/>
          <w:color w:val="000000"/>
          <w:sz w:val="32"/>
          <w:szCs w:val="32"/>
          <w:lang w:eastAsia="zh-CN"/>
        </w:rPr>
        <w:t>万元，主要用于人员经费和日常公用经费；项目支出</w:t>
      </w:r>
      <w:r>
        <w:rPr>
          <w:rFonts w:hint="eastAsia" w:ascii="宋体" w:hAnsi="宋体" w:eastAsia="宋体" w:cs="宋体"/>
          <w:color w:val="000000"/>
          <w:sz w:val="32"/>
          <w:szCs w:val="32"/>
          <w:lang w:val="en-US" w:eastAsia="zh-CN"/>
        </w:rPr>
        <w:t>167.51</w:t>
      </w:r>
      <w:r>
        <w:rPr>
          <w:rFonts w:hint="eastAsia" w:ascii="宋体" w:hAnsi="宋体" w:eastAsia="宋体" w:cs="宋体"/>
          <w:color w:val="000000"/>
          <w:sz w:val="32"/>
          <w:szCs w:val="32"/>
          <w:lang w:eastAsia="zh-CN"/>
        </w:rPr>
        <w:t>万元，主要用于各种传染病及地方病的筛查，宣传等项目工作；</w:t>
      </w:r>
      <w:r>
        <w:rPr>
          <w:rFonts w:hint="eastAsia" w:ascii="宋体" w:hAnsi="宋体" w:eastAsia="宋体" w:cs="宋体"/>
          <w:color w:val="000000"/>
          <w:sz w:val="32"/>
          <w:szCs w:val="32"/>
          <w:shd w:val="clear" w:color="auto" w:fill="FFFFFF"/>
          <w:lang w:eastAsia="zh-CN"/>
        </w:rPr>
        <w:t>我单位严格执行《预算法》和各项财经纪律，机关制度健全，财务管理规范，预算编制合理</w:t>
      </w:r>
      <w:r>
        <w:rPr>
          <w:rFonts w:hint="eastAsia" w:ascii="宋体" w:hAnsi="宋体" w:eastAsia="宋体" w:cs="宋体"/>
          <w:color w:val="000000"/>
          <w:sz w:val="32"/>
          <w:szCs w:val="32"/>
          <w:shd w:val="clear" w:color="auto" w:fill="FFFFFF"/>
          <w:lang w:val="en-US"/>
        </w:rPr>
        <w:t>;</w:t>
      </w:r>
      <w:r>
        <w:rPr>
          <w:rFonts w:hint="eastAsia" w:ascii="宋体" w:hAnsi="宋体" w:eastAsia="宋体" w:cs="宋体"/>
          <w:color w:val="000000"/>
          <w:sz w:val="32"/>
          <w:szCs w:val="32"/>
          <w:shd w:val="clear" w:color="auto" w:fill="FFFFFF"/>
          <w:lang w:eastAsia="zh-CN"/>
        </w:rPr>
        <w:t>二是资金监管到位。经费开支按用途使用合理，做到专帐专管</w:t>
      </w:r>
      <w:r>
        <w:rPr>
          <w:rFonts w:hint="eastAsia" w:ascii="宋体" w:hAnsi="宋体" w:eastAsia="宋体" w:cs="宋体"/>
          <w:color w:val="000000"/>
          <w:sz w:val="32"/>
          <w:szCs w:val="32"/>
          <w:shd w:val="clear" w:color="auto" w:fill="FFFFFF"/>
          <w:lang w:val="en-US"/>
        </w:rPr>
        <w:t>,</w:t>
      </w:r>
      <w:r>
        <w:rPr>
          <w:rFonts w:hint="eastAsia" w:ascii="宋体" w:hAnsi="宋体" w:eastAsia="宋体" w:cs="宋体"/>
          <w:color w:val="000000"/>
          <w:sz w:val="32"/>
          <w:szCs w:val="32"/>
          <w:shd w:val="clear" w:color="auto" w:fill="FFFFFF"/>
          <w:lang w:eastAsia="zh-CN"/>
        </w:rPr>
        <w:t>专款专用；三是人员配备和</w:t>
      </w:r>
      <w:r>
        <w:rPr>
          <w:rFonts w:hint="eastAsia" w:ascii="宋体" w:hAnsi="宋体" w:cs="宋体"/>
          <w:color w:val="000000"/>
          <w:sz w:val="32"/>
          <w:szCs w:val="32"/>
          <w:shd w:val="clear" w:color="auto" w:fill="FFFFFF"/>
          <w:lang w:eastAsia="zh-CN"/>
        </w:rPr>
        <w:t>账务</w:t>
      </w:r>
      <w:r>
        <w:rPr>
          <w:rFonts w:hint="eastAsia" w:ascii="宋体" w:hAnsi="宋体" w:eastAsia="宋体" w:cs="宋体"/>
          <w:color w:val="000000"/>
          <w:sz w:val="32"/>
          <w:szCs w:val="32"/>
          <w:shd w:val="clear" w:color="auto" w:fill="FFFFFF"/>
          <w:lang w:eastAsia="zh-CN"/>
        </w:rPr>
        <w:t>核算到位。财务人员</w:t>
      </w:r>
      <w:r>
        <w:rPr>
          <w:rFonts w:hint="eastAsia" w:ascii="宋体" w:hAnsi="宋体" w:cs="宋体"/>
          <w:color w:val="000000"/>
          <w:sz w:val="32"/>
          <w:szCs w:val="32"/>
          <w:shd w:val="clear" w:color="auto" w:fill="FFFFFF"/>
          <w:lang w:eastAsia="zh-CN"/>
        </w:rPr>
        <w:t>账务</w:t>
      </w:r>
      <w:r>
        <w:rPr>
          <w:rFonts w:hint="eastAsia" w:ascii="宋体" w:hAnsi="宋体" w:eastAsia="宋体" w:cs="宋体"/>
          <w:color w:val="000000"/>
          <w:sz w:val="32"/>
          <w:szCs w:val="32"/>
          <w:shd w:val="clear" w:color="auto" w:fill="FFFFFF"/>
          <w:lang w:eastAsia="zh-CN"/>
        </w:rPr>
        <w:t>核算及时规范。</w:t>
      </w:r>
      <w:r>
        <w:rPr>
          <w:rFonts w:hint="eastAsia" w:ascii="宋体" w:hAnsi="宋体" w:eastAsia="宋体" w:cs="宋体"/>
          <w:color w:val="000000"/>
          <w:sz w:val="32"/>
          <w:szCs w:val="32"/>
          <w:lang w:eastAsia="zh-CN"/>
        </w:rPr>
        <w:t>我单位在财务上进行合理安排和运用，以“认真、严谨、细致”的精神，做好一切财务工作，圆满完成了各项工作任务，产生了良好的社会效益，得到广大老百姓的一致好评。</w:t>
      </w:r>
    </w:p>
    <w:p w14:paraId="348927D2">
      <w:pPr>
        <w:spacing w:line="560" w:lineRule="exact"/>
        <w:ind w:left="0" w:firstLine="720"/>
        <w:rPr>
          <w:rFonts w:hint="eastAsia" w:ascii="宋体" w:hAnsi="宋体" w:eastAsia="宋体" w:cs="宋体"/>
          <w:color w:val="000000"/>
          <w:lang w:val="en-US"/>
        </w:rPr>
      </w:pPr>
      <w:r>
        <w:rPr>
          <w:rFonts w:hint="eastAsia" w:ascii="宋体" w:hAnsi="宋体" w:eastAsia="宋体" w:cs="宋体"/>
          <w:color w:val="000000"/>
          <w:sz w:val="32"/>
          <w:szCs w:val="24"/>
          <w:lang w:eastAsia="zh-CN"/>
        </w:rPr>
        <w:t>四、评价结论及建议</w:t>
      </w:r>
    </w:p>
    <w:p w14:paraId="0B661C84">
      <w:pPr>
        <w:spacing w:line="560" w:lineRule="exact"/>
        <w:ind w:left="0" w:firstLine="643"/>
        <w:rPr>
          <w:rFonts w:hint="eastAsia" w:ascii="宋体" w:hAnsi="宋体" w:eastAsia="宋体" w:cs="宋体"/>
          <w:b/>
          <w:bCs/>
          <w:color w:val="000000"/>
          <w:sz w:val="32"/>
          <w:szCs w:val="24"/>
          <w:lang w:val="zh-CN" w:eastAsia="zh-CN"/>
        </w:rPr>
      </w:pPr>
      <w:r>
        <w:rPr>
          <w:rFonts w:hint="eastAsia" w:ascii="宋体" w:hAnsi="宋体" w:eastAsia="宋体" w:cs="宋体"/>
          <w:b/>
          <w:bCs/>
          <w:color w:val="000000"/>
          <w:sz w:val="32"/>
          <w:szCs w:val="24"/>
          <w:lang w:val="zh-CN" w:eastAsia="zh-CN"/>
        </w:rPr>
        <w:t>（一）评价结论。</w:t>
      </w:r>
    </w:p>
    <w:p w14:paraId="3E1C746F">
      <w:pPr>
        <w:spacing w:line="560" w:lineRule="exact"/>
        <w:ind w:left="0" w:firstLine="600"/>
        <w:rPr>
          <w:rFonts w:hint="eastAsia" w:ascii="宋体" w:hAnsi="宋体" w:eastAsia="宋体" w:cs="宋体"/>
          <w:color w:val="000000"/>
          <w:sz w:val="30"/>
          <w:szCs w:val="30"/>
          <w:lang w:val="en-US"/>
        </w:rPr>
      </w:pPr>
      <w:r>
        <w:rPr>
          <w:rFonts w:hint="eastAsia" w:ascii="宋体" w:hAnsi="宋体" w:eastAsia="宋体" w:cs="宋体"/>
          <w:color w:val="000000"/>
          <w:sz w:val="30"/>
          <w:szCs w:val="30"/>
          <w:lang w:val="en-US"/>
        </w:rPr>
        <w:t>202</w:t>
      </w:r>
      <w:r>
        <w:rPr>
          <w:rFonts w:hint="eastAsia" w:ascii="宋体" w:hAnsi="宋体" w:eastAsia="宋体" w:cs="宋体"/>
          <w:color w:val="000000"/>
          <w:sz w:val="30"/>
          <w:szCs w:val="30"/>
          <w:lang w:val="en-US" w:eastAsia="zh-CN"/>
        </w:rPr>
        <w:t>2</w:t>
      </w:r>
      <w:r>
        <w:rPr>
          <w:rFonts w:hint="eastAsia" w:ascii="宋体" w:hAnsi="宋体" w:eastAsia="宋体" w:cs="宋体"/>
          <w:color w:val="000000"/>
          <w:sz w:val="30"/>
          <w:szCs w:val="30"/>
          <w:lang w:eastAsia="zh-CN"/>
        </w:rPr>
        <w:t>年度我单位财政供养人员控制在预算编制内，编制内在职人员控制率</w:t>
      </w:r>
      <w:r>
        <w:rPr>
          <w:rFonts w:hint="eastAsia" w:ascii="宋体" w:hAnsi="宋体" w:eastAsia="宋体" w:cs="宋体"/>
          <w:color w:val="000000"/>
          <w:sz w:val="30"/>
          <w:szCs w:val="30"/>
          <w:lang w:val="en-US"/>
        </w:rPr>
        <w:t>100%</w:t>
      </w:r>
      <w:r>
        <w:rPr>
          <w:rFonts w:hint="eastAsia" w:ascii="宋体" w:hAnsi="宋体" w:eastAsia="宋体" w:cs="宋体"/>
          <w:color w:val="000000"/>
          <w:sz w:val="30"/>
          <w:szCs w:val="30"/>
          <w:lang w:eastAsia="zh-CN"/>
        </w:rPr>
        <w:t>；日常公用经费年初预算</w:t>
      </w:r>
      <w:r>
        <w:rPr>
          <w:rFonts w:hint="eastAsia" w:ascii="宋体" w:hAnsi="宋体" w:eastAsia="宋体" w:cs="宋体"/>
          <w:color w:val="000000"/>
          <w:sz w:val="30"/>
          <w:szCs w:val="30"/>
          <w:lang w:val="en-US" w:eastAsia="zh-CN"/>
        </w:rPr>
        <w:t>42.66</w:t>
      </w:r>
      <w:r>
        <w:rPr>
          <w:rFonts w:hint="eastAsia" w:ascii="宋体" w:hAnsi="宋体" w:eastAsia="宋体" w:cs="宋体"/>
          <w:color w:val="000000"/>
          <w:sz w:val="30"/>
          <w:szCs w:val="30"/>
          <w:lang w:eastAsia="zh-CN"/>
        </w:rPr>
        <w:t>万元，决算金额</w:t>
      </w:r>
      <w:r>
        <w:rPr>
          <w:rFonts w:hint="eastAsia" w:ascii="宋体" w:hAnsi="宋体" w:eastAsia="宋体" w:cs="宋体"/>
          <w:color w:val="000000"/>
          <w:sz w:val="30"/>
          <w:szCs w:val="30"/>
          <w:lang w:val="en-US" w:eastAsia="zh-CN"/>
        </w:rPr>
        <w:t>42.66</w:t>
      </w:r>
      <w:r>
        <w:rPr>
          <w:rFonts w:hint="eastAsia" w:ascii="宋体" w:hAnsi="宋体" w:eastAsia="宋体" w:cs="宋体"/>
          <w:color w:val="000000"/>
          <w:sz w:val="30"/>
          <w:szCs w:val="30"/>
          <w:lang w:eastAsia="zh-CN"/>
        </w:rPr>
        <w:t>万元，预算完成率</w:t>
      </w:r>
      <w:r>
        <w:rPr>
          <w:rFonts w:hint="eastAsia" w:ascii="宋体" w:hAnsi="宋体" w:eastAsia="宋体" w:cs="宋体"/>
          <w:color w:val="000000"/>
          <w:sz w:val="30"/>
          <w:szCs w:val="30"/>
          <w:lang w:val="en-US"/>
        </w:rPr>
        <w:t>100%</w:t>
      </w:r>
      <w:r>
        <w:rPr>
          <w:rFonts w:hint="eastAsia" w:ascii="宋体" w:hAnsi="宋体" w:eastAsia="宋体" w:cs="宋体"/>
          <w:color w:val="000000"/>
          <w:sz w:val="30"/>
          <w:szCs w:val="30"/>
          <w:lang w:eastAsia="zh-CN"/>
        </w:rPr>
        <w:t>，主要是践行厉行节约；预算管理工作较上年有所进步，执行制度总体有效，资金管理工作有待加强，建立了资产管理制度，总体执行较好。</w:t>
      </w:r>
    </w:p>
    <w:p w14:paraId="703CC182">
      <w:pPr>
        <w:spacing w:line="560" w:lineRule="exact"/>
        <w:ind w:left="0" w:firstLine="602"/>
        <w:rPr>
          <w:rFonts w:hint="eastAsia" w:ascii="宋体" w:hAnsi="宋体" w:eastAsia="宋体" w:cs="宋体"/>
          <w:b/>
          <w:bCs/>
          <w:color w:val="000000"/>
          <w:sz w:val="32"/>
          <w:szCs w:val="24"/>
          <w:lang w:val="zh-CN" w:eastAsia="zh-CN"/>
        </w:rPr>
      </w:pPr>
      <w:r>
        <w:rPr>
          <w:rFonts w:hint="eastAsia" w:ascii="宋体" w:hAnsi="宋体" w:eastAsia="宋体" w:cs="宋体"/>
          <w:b/>
          <w:bCs/>
          <w:color w:val="000000"/>
          <w:sz w:val="30"/>
          <w:szCs w:val="30"/>
          <w:lang w:eastAsia="zh-CN"/>
        </w:rPr>
        <w:t>（二）</w:t>
      </w:r>
      <w:r>
        <w:rPr>
          <w:rFonts w:hint="eastAsia" w:ascii="宋体" w:hAnsi="宋体" w:eastAsia="宋体" w:cs="宋体"/>
          <w:b/>
          <w:bCs/>
          <w:color w:val="000000"/>
          <w:sz w:val="32"/>
          <w:szCs w:val="24"/>
          <w:lang w:val="zh-CN" w:eastAsia="zh-CN"/>
        </w:rPr>
        <w:t>存在问题。</w:t>
      </w:r>
    </w:p>
    <w:p w14:paraId="42A327D9">
      <w:pPr>
        <w:spacing w:line="560" w:lineRule="exact"/>
        <w:ind w:left="420" w:firstLine="300"/>
        <w:rPr>
          <w:rFonts w:hint="eastAsia" w:ascii="宋体" w:hAnsi="宋体" w:eastAsia="宋体" w:cs="宋体"/>
          <w:color w:val="000000"/>
          <w:sz w:val="32"/>
          <w:szCs w:val="32"/>
          <w:lang w:val="en-US"/>
        </w:rPr>
      </w:pPr>
      <w:r>
        <w:rPr>
          <w:rFonts w:hint="eastAsia" w:ascii="宋体" w:hAnsi="宋体" w:eastAsia="宋体" w:cs="宋体"/>
          <w:color w:val="000000"/>
          <w:sz w:val="30"/>
          <w:szCs w:val="30"/>
          <w:lang w:val="en-US"/>
        </w:rPr>
        <w:t>1</w:t>
      </w:r>
      <w:r>
        <w:rPr>
          <w:rFonts w:hint="eastAsia" w:ascii="宋体" w:hAnsi="宋体" w:eastAsia="宋体" w:cs="宋体"/>
          <w:color w:val="000000"/>
          <w:sz w:val="30"/>
          <w:szCs w:val="30"/>
          <w:lang w:eastAsia="zh-CN"/>
        </w:rPr>
        <w:t>、</w:t>
      </w:r>
      <w:r>
        <w:rPr>
          <w:rFonts w:hint="eastAsia" w:ascii="宋体" w:hAnsi="宋体" w:eastAsia="宋体" w:cs="宋体"/>
          <w:color w:val="000000"/>
          <w:sz w:val="32"/>
          <w:szCs w:val="32"/>
          <w:lang w:val="zh-CN" w:eastAsia="zh-CN"/>
        </w:rPr>
        <w:t>在实际经费列支中，未严格按照预算科目进行列支</w:t>
      </w:r>
      <w:r>
        <w:rPr>
          <w:rFonts w:hint="eastAsia" w:ascii="宋体" w:hAnsi="宋体" w:eastAsia="宋体" w:cs="宋体"/>
          <w:color w:val="000000"/>
          <w:sz w:val="32"/>
          <w:szCs w:val="32"/>
          <w:lang w:val="en-US"/>
        </w:rPr>
        <w:t>,</w:t>
      </w:r>
      <w:r>
        <w:rPr>
          <w:rFonts w:hint="eastAsia" w:ascii="宋体" w:hAnsi="宋体" w:eastAsia="宋体" w:cs="宋体"/>
          <w:color w:val="000000"/>
          <w:sz w:val="32"/>
          <w:szCs w:val="32"/>
          <w:lang w:eastAsia="zh-CN"/>
        </w:rPr>
        <w:t>要进一步规范资金的使用。</w:t>
      </w:r>
    </w:p>
    <w:p w14:paraId="137811CE">
      <w:pPr>
        <w:spacing w:line="560" w:lineRule="exact"/>
        <w:ind w:left="0" w:firstLine="800"/>
        <w:rPr>
          <w:rFonts w:hint="eastAsia" w:ascii="宋体" w:hAnsi="宋体" w:eastAsia="宋体" w:cs="宋体"/>
          <w:color w:val="000000"/>
          <w:sz w:val="32"/>
          <w:szCs w:val="32"/>
          <w:lang w:val="en-US"/>
        </w:rPr>
      </w:pPr>
      <w:r>
        <w:rPr>
          <w:rFonts w:hint="eastAsia" w:ascii="宋体" w:hAnsi="宋体" w:eastAsia="宋体" w:cs="宋体"/>
          <w:color w:val="000000"/>
          <w:sz w:val="32"/>
          <w:szCs w:val="32"/>
          <w:lang w:val="en-US"/>
        </w:rPr>
        <w:t>2</w:t>
      </w:r>
      <w:r>
        <w:rPr>
          <w:rFonts w:hint="eastAsia" w:ascii="宋体" w:hAnsi="宋体" w:eastAsia="宋体" w:cs="宋体"/>
          <w:color w:val="000000"/>
          <w:sz w:val="32"/>
          <w:szCs w:val="32"/>
          <w:lang w:eastAsia="zh-CN"/>
        </w:rPr>
        <w:t>、</w:t>
      </w:r>
      <w:r>
        <w:rPr>
          <w:rFonts w:hint="eastAsia" w:ascii="宋体" w:hAnsi="宋体" w:eastAsia="宋体" w:cs="宋体"/>
          <w:color w:val="000000"/>
          <w:sz w:val="32"/>
          <w:szCs w:val="32"/>
          <w:lang w:val="zh-CN" w:eastAsia="zh-CN"/>
        </w:rPr>
        <w:t>会计核算欠规范</w:t>
      </w:r>
      <w:r>
        <w:rPr>
          <w:rFonts w:hint="eastAsia" w:ascii="宋体" w:hAnsi="宋体" w:eastAsia="宋体" w:cs="宋体"/>
          <w:color w:val="000000"/>
          <w:sz w:val="32"/>
          <w:szCs w:val="32"/>
          <w:lang w:val="en-US"/>
        </w:rPr>
        <w:t>,</w:t>
      </w:r>
      <w:r>
        <w:rPr>
          <w:rFonts w:hint="eastAsia" w:ascii="宋体" w:hAnsi="宋体" w:eastAsia="宋体" w:cs="宋体"/>
          <w:color w:val="000000"/>
          <w:sz w:val="32"/>
          <w:szCs w:val="32"/>
          <w:lang w:eastAsia="zh-CN"/>
        </w:rPr>
        <w:t>缺少项目资金使用效益评估。</w:t>
      </w:r>
    </w:p>
    <w:p w14:paraId="543E685E">
      <w:pPr>
        <w:spacing w:line="560" w:lineRule="exact"/>
        <w:ind w:left="0" w:firstLine="482"/>
        <w:rPr>
          <w:rFonts w:hint="eastAsia" w:ascii="宋体" w:hAnsi="宋体" w:eastAsia="宋体" w:cs="宋体"/>
          <w:b/>
          <w:bCs/>
          <w:color w:val="000000"/>
          <w:sz w:val="32"/>
          <w:szCs w:val="32"/>
          <w:shd w:val="clear" w:color="auto" w:fill="FFFFFF"/>
          <w:lang w:val="en-US"/>
        </w:rPr>
      </w:pPr>
      <w:r>
        <w:rPr>
          <w:rFonts w:hint="eastAsia" w:ascii="宋体" w:hAnsi="宋体" w:eastAsia="宋体" w:cs="宋体"/>
          <w:b/>
          <w:bCs/>
          <w:color w:val="000000"/>
          <w:sz w:val="32"/>
          <w:szCs w:val="32"/>
          <w:lang w:val="zh-CN" w:eastAsia="zh-CN"/>
        </w:rPr>
        <w:t>（三）改进建议。</w:t>
      </w:r>
    </w:p>
    <w:p w14:paraId="68BE437F">
      <w:pPr>
        <w:spacing w:line="560" w:lineRule="exact"/>
        <w:ind w:left="0" w:firstLine="480"/>
        <w:rPr>
          <w:rFonts w:hint="eastAsia" w:ascii="宋体" w:hAnsi="宋体" w:eastAsia="宋体" w:cs="宋体"/>
          <w:color w:val="000000"/>
          <w:sz w:val="32"/>
          <w:szCs w:val="32"/>
          <w:shd w:val="clear" w:color="auto" w:fill="FFFFFF"/>
          <w:lang w:val="en-US"/>
        </w:rPr>
      </w:pPr>
      <w:r>
        <w:rPr>
          <w:rFonts w:hint="eastAsia" w:ascii="宋体" w:hAnsi="宋体" w:eastAsia="宋体" w:cs="宋体"/>
          <w:color w:val="000000"/>
          <w:sz w:val="32"/>
          <w:szCs w:val="32"/>
          <w:lang w:eastAsia="zh-CN"/>
        </w:rPr>
        <w:t>一是进一步加强预算编制工作；二</w:t>
      </w:r>
      <w:r>
        <w:rPr>
          <w:rFonts w:hint="eastAsia" w:ascii="宋体" w:hAnsi="宋体" w:eastAsia="宋体" w:cs="宋体"/>
          <w:color w:val="000000"/>
          <w:sz w:val="32"/>
          <w:szCs w:val="32"/>
          <w:lang w:val="zh-CN" w:eastAsia="zh-CN"/>
        </w:rPr>
        <w:t>规范账务处理，提高财务信息质量，</w:t>
      </w:r>
      <w:r>
        <w:rPr>
          <w:rFonts w:hint="eastAsia" w:ascii="宋体" w:hAnsi="宋体" w:eastAsia="宋体" w:cs="宋体"/>
          <w:color w:val="000000"/>
          <w:sz w:val="32"/>
          <w:szCs w:val="32"/>
          <w:lang w:eastAsia="zh-CN"/>
        </w:rPr>
        <w:t>不断完善各项规章制度；三是加大对财务人员的培训，多提供对财务的学习机会。</w:t>
      </w:r>
      <w:r>
        <w:rPr>
          <w:rFonts w:hint="eastAsia" w:ascii="宋体" w:hAnsi="宋体" w:eastAsia="宋体" w:cs="宋体"/>
          <w:color w:val="000000"/>
          <w:sz w:val="32"/>
          <w:szCs w:val="32"/>
          <w:shd w:val="clear" w:color="auto" w:fill="FFFFFF"/>
          <w:lang w:eastAsia="zh-CN"/>
        </w:rPr>
        <w:t>建立长效机制，严格财务管理，加强财务监督，坚持厉行节约，严格杜绝现金交易，加强事业单位会计制度的学习。</w:t>
      </w:r>
    </w:p>
    <w:p w14:paraId="3F40EBE7">
      <w:pPr>
        <w:pStyle w:val="2"/>
        <w:rPr>
          <w:rFonts w:hint="eastAsia" w:ascii="宋体" w:hAnsi="宋体" w:eastAsia="宋体" w:cs="宋体"/>
          <w:lang w:val="zh-CN" w:eastAsia="zh-CN"/>
        </w:rPr>
      </w:pPr>
    </w:p>
    <w:p w14:paraId="3082E452">
      <w:pPr>
        <w:pStyle w:val="189"/>
        <w:shd w:val="clear" w:color="auto" w:fill="FFFFFF"/>
        <w:rPr>
          <w:rFonts w:hint="eastAsia" w:ascii="宋体" w:hAnsi="宋体" w:eastAsia="宋体" w:cs="宋体"/>
          <w:sz w:val="32"/>
          <w:szCs w:val="32"/>
        </w:rPr>
      </w:pPr>
    </w:p>
    <w:p w14:paraId="113D3FCB">
      <w:pPr>
        <w:pStyle w:val="189"/>
        <w:shd w:val="clear" w:color="auto" w:fill="FFFFFF"/>
        <w:rPr>
          <w:rFonts w:hint="eastAsia" w:ascii="宋体" w:hAnsi="宋体" w:eastAsia="宋体" w:cs="宋体"/>
          <w:sz w:val="32"/>
          <w:szCs w:val="32"/>
        </w:rPr>
      </w:pPr>
      <w:r>
        <w:rPr>
          <w:rStyle w:val="190"/>
          <w:rFonts w:hint="eastAsia" w:ascii="宋体" w:hAnsi="宋体" w:eastAsia="宋体" w:cs="宋体"/>
          <w:sz w:val="32"/>
          <w:szCs w:val="32"/>
        </w:rPr>
        <w:t>（六）当年预算执行及绩效管理中存在问题、原因及改进措施。</w:t>
      </w:r>
    </w:p>
    <w:p w14:paraId="7ED69192">
      <w:pPr>
        <w:pStyle w:val="189"/>
        <w:shd w:val="clear" w:color="auto" w:fill="FFFFFF"/>
        <w:rPr>
          <w:rFonts w:hint="eastAsia" w:ascii="宋体" w:hAnsi="宋体" w:eastAsia="宋体" w:cs="宋体"/>
          <w:sz w:val="32"/>
          <w:szCs w:val="32"/>
        </w:rPr>
      </w:pPr>
      <w:r>
        <w:rPr>
          <w:rFonts w:hint="eastAsia" w:ascii="宋体" w:hAnsi="宋体" w:eastAsia="宋体" w:cs="宋体"/>
          <w:sz w:val="32"/>
          <w:szCs w:val="32"/>
        </w:rPr>
        <w:t>三、本年度部门决算等财务工作开展情况</w:t>
      </w:r>
    </w:p>
    <w:p w14:paraId="638B977A">
      <w:pPr>
        <w:spacing w:line="560" w:lineRule="exact"/>
        <w:ind w:left="0" w:firstLine="640"/>
        <w:rPr>
          <w:rFonts w:hint="eastAsia" w:ascii="宋体" w:hAnsi="宋体" w:eastAsia="宋体" w:cs="宋体"/>
          <w:sz w:val="32"/>
          <w:szCs w:val="32"/>
          <w:shd w:val="clear" w:color="auto" w:fill="FFFFFF"/>
          <w:lang w:val="en-US"/>
        </w:rPr>
      </w:pPr>
      <w:r>
        <w:rPr>
          <w:rFonts w:hint="eastAsia" w:ascii="宋体" w:hAnsi="宋体" w:eastAsia="宋体" w:cs="宋体"/>
          <w:sz w:val="32"/>
          <w:szCs w:val="32"/>
        </w:rPr>
        <w:t>（一）本单位财务管理、绩效管理、决算组织、编报、审核情况</w:t>
      </w:r>
      <w:r>
        <w:rPr>
          <w:rFonts w:hint="eastAsia" w:ascii="宋体" w:hAnsi="宋体" w:eastAsia="宋体" w:cs="宋体"/>
          <w:sz w:val="32"/>
          <w:szCs w:val="32"/>
          <w:shd w:val="clear" w:color="auto" w:fill="FFFFFF"/>
          <w:lang w:eastAsia="zh-CN"/>
        </w:rPr>
        <w:t>本单位在收到县财政局关于开展部门决算工作通知后，于</w:t>
      </w:r>
      <w:r>
        <w:rPr>
          <w:rFonts w:hint="eastAsia" w:ascii="宋体" w:hAnsi="宋体" w:eastAsia="宋体" w:cs="宋体"/>
          <w:sz w:val="32"/>
          <w:szCs w:val="32"/>
          <w:shd w:val="clear" w:color="auto" w:fill="FFFFFF"/>
          <w:lang w:val="en-US"/>
        </w:rPr>
        <w:t>202</w:t>
      </w:r>
      <w:r>
        <w:rPr>
          <w:rFonts w:hint="eastAsia" w:ascii="宋体" w:hAnsi="宋体" w:eastAsia="宋体" w:cs="宋体"/>
          <w:sz w:val="32"/>
          <w:szCs w:val="32"/>
          <w:shd w:val="clear" w:color="auto" w:fill="FFFFFF"/>
          <w:lang w:val="en-US" w:eastAsia="zh-CN"/>
        </w:rPr>
        <w:t>3</w:t>
      </w:r>
      <w:r>
        <w:rPr>
          <w:rFonts w:hint="eastAsia" w:ascii="宋体" w:hAnsi="宋体" w:eastAsia="宋体" w:cs="宋体"/>
          <w:sz w:val="32"/>
          <w:szCs w:val="32"/>
          <w:shd w:val="clear" w:color="auto" w:fill="FFFFFF"/>
          <w:lang w:eastAsia="zh-CN"/>
        </w:rPr>
        <w:t>年</w:t>
      </w:r>
      <w:r>
        <w:rPr>
          <w:rFonts w:hint="eastAsia" w:ascii="宋体" w:hAnsi="宋体" w:eastAsia="宋体" w:cs="宋体"/>
          <w:sz w:val="32"/>
          <w:szCs w:val="32"/>
          <w:shd w:val="clear" w:color="auto" w:fill="FFFFFF"/>
          <w:lang w:val="en-US"/>
        </w:rPr>
        <w:t>1</w:t>
      </w:r>
      <w:r>
        <w:rPr>
          <w:rFonts w:hint="eastAsia" w:ascii="宋体" w:hAnsi="宋体" w:eastAsia="宋体" w:cs="宋体"/>
          <w:sz w:val="32"/>
          <w:szCs w:val="32"/>
          <w:shd w:val="clear" w:color="auto" w:fill="FFFFFF"/>
          <w:lang w:eastAsia="zh-CN"/>
        </w:rPr>
        <w:t>月</w:t>
      </w:r>
      <w:r>
        <w:rPr>
          <w:rFonts w:hint="eastAsia" w:ascii="宋体" w:hAnsi="宋体" w:eastAsia="宋体" w:cs="宋体"/>
          <w:sz w:val="32"/>
          <w:szCs w:val="32"/>
          <w:shd w:val="clear" w:color="auto" w:fill="FFFFFF"/>
          <w:lang w:val="en-US"/>
        </w:rPr>
        <w:t>5</w:t>
      </w:r>
      <w:r>
        <w:rPr>
          <w:rFonts w:hint="eastAsia" w:ascii="宋体" w:hAnsi="宋体" w:eastAsia="宋体" w:cs="宋体"/>
          <w:sz w:val="32"/>
          <w:szCs w:val="32"/>
          <w:shd w:val="clear" w:color="auto" w:fill="FFFFFF"/>
          <w:lang w:eastAsia="zh-CN"/>
        </w:rPr>
        <w:t>日起开始启动部门决算相关工作，本单位高度重视部门决算的重要性，统筹安排，精心组织，认真做好决算编审各环节的工作，以保质保量完成</w:t>
      </w:r>
      <w:r>
        <w:rPr>
          <w:rFonts w:hint="eastAsia" w:ascii="宋体" w:hAnsi="宋体" w:eastAsia="宋体" w:cs="宋体"/>
          <w:sz w:val="32"/>
          <w:szCs w:val="32"/>
          <w:shd w:val="clear" w:color="auto" w:fill="FFFFFF"/>
          <w:lang w:val="en-US"/>
        </w:rPr>
        <w:t>2021</w:t>
      </w:r>
      <w:r>
        <w:rPr>
          <w:rFonts w:hint="eastAsia" w:ascii="宋体" w:hAnsi="宋体" w:eastAsia="宋体" w:cs="宋体"/>
          <w:sz w:val="32"/>
          <w:szCs w:val="32"/>
          <w:shd w:val="clear" w:color="auto" w:fill="FFFFFF"/>
          <w:lang w:eastAsia="zh-CN"/>
        </w:rPr>
        <w:t>年度部门决算编审工作。本单位在决算工作开展前期，已明确部门决算工作各岗位人员相关责任，制定部门决算汇审工作规程及绩效考核方案，在中心领导下，由财务科负责组织部门决算相关工作，由财务科科长做好全体财务决算参与人员动员及相关业务指导和培训，由主办会计负责最后的汇编、审核及上报工作。本单位在部门决算编审工作中，按照“真实、合规、准确、完整、及时”的要求，正确理解和掌握部门决算报表的口径及有关指标，做到数据真实、编报合规、计算准确、内容完整、账实相符、账表相符、表表相符。在全体人员的努力下，部门决算相关工作于</w:t>
      </w:r>
      <w:r>
        <w:rPr>
          <w:rFonts w:hint="eastAsia" w:ascii="宋体" w:hAnsi="宋体" w:eastAsia="宋体" w:cs="宋体"/>
          <w:sz w:val="32"/>
          <w:szCs w:val="32"/>
          <w:shd w:val="clear" w:color="auto" w:fill="FFFFFF"/>
          <w:lang w:val="en-US"/>
        </w:rPr>
        <w:t>202</w:t>
      </w:r>
      <w:r>
        <w:rPr>
          <w:rFonts w:hint="eastAsia" w:ascii="宋体" w:hAnsi="宋体" w:eastAsia="宋体" w:cs="宋体"/>
          <w:sz w:val="32"/>
          <w:szCs w:val="32"/>
          <w:shd w:val="clear" w:color="auto" w:fill="FFFFFF"/>
          <w:lang w:val="en-US" w:eastAsia="zh-CN"/>
        </w:rPr>
        <w:t>3</w:t>
      </w:r>
      <w:r>
        <w:rPr>
          <w:rFonts w:hint="eastAsia" w:ascii="宋体" w:hAnsi="宋体" w:eastAsia="宋体" w:cs="宋体"/>
          <w:sz w:val="32"/>
          <w:szCs w:val="32"/>
          <w:shd w:val="clear" w:color="auto" w:fill="FFFFFF"/>
          <w:lang w:eastAsia="zh-CN"/>
        </w:rPr>
        <w:t>年</w:t>
      </w:r>
      <w:r>
        <w:rPr>
          <w:rFonts w:hint="eastAsia" w:ascii="宋体" w:hAnsi="宋体" w:eastAsia="宋体" w:cs="宋体"/>
          <w:sz w:val="32"/>
          <w:szCs w:val="32"/>
          <w:shd w:val="clear" w:color="auto" w:fill="FFFFFF"/>
          <w:lang w:val="en-US"/>
        </w:rPr>
        <w:t>1</w:t>
      </w:r>
      <w:r>
        <w:rPr>
          <w:rFonts w:hint="eastAsia" w:ascii="宋体" w:hAnsi="宋体" w:eastAsia="宋体" w:cs="宋体"/>
          <w:sz w:val="32"/>
          <w:szCs w:val="32"/>
          <w:shd w:val="clear" w:color="auto" w:fill="FFFFFF"/>
          <w:lang w:eastAsia="zh-CN"/>
        </w:rPr>
        <w:t>月</w:t>
      </w:r>
      <w:r>
        <w:rPr>
          <w:rFonts w:hint="eastAsia" w:ascii="宋体" w:hAnsi="宋体" w:eastAsia="宋体" w:cs="宋体"/>
          <w:sz w:val="32"/>
          <w:szCs w:val="32"/>
          <w:shd w:val="clear" w:color="auto" w:fill="FFFFFF"/>
          <w:lang w:val="en-US"/>
        </w:rPr>
        <w:t>12</w:t>
      </w:r>
      <w:r>
        <w:rPr>
          <w:rFonts w:hint="eastAsia" w:ascii="宋体" w:hAnsi="宋体" w:eastAsia="宋体" w:cs="宋体"/>
          <w:sz w:val="32"/>
          <w:szCs w:val="32"/>
          <w:shd w:val="clear" w:color="auto" w:fill="FFFFFF"/>
          <w:lang w:eastAsia="zh-CN"/>
        </w:rPr>
        <w:t>日顺利结束。</w:t>
      </w:r>
    </w:p>
    <w:p w14:paraId="40E2F095">
      <w:pPr>
        <w:pStyle w:val="189"/>
        <w:shd w:val="clear" w:color="auto" w:fill="FFFFFF"/>
        <w:rPr>
          <w:rFonts w:hint="eastAsia" w:ascii="宋体" w:hAnsi="宋体" w:eastAsia="宋体" w:cs="宋体"/>
          <w:sz w:val="32"/>
          <w:szCs w:val="32"/>
        </w:rPr>
      </w:pPr>
      <w:r>
        <w:rPr>
          <w:rFonts w:hint="eastAsia" w:ascii="宋体" w:hAnsi="宋体" w:eastAsia="宋体" w:cs="宋体"/>
          <w:sz w:val="32"/>
          <w:szCs w:val="32"/>
        </w:rPr>
        <w:t>（二）本单位决算及绩效信息公开工作开展情况。</w:t>
      </w:r>
    </w:p>
    <w:p w14:paraId="6710A6BA">
      <w:pPr>
        <w:spacing w:line="560" w:lineRule="exact"/>
        <w:ind w:left="0" w:firstLine="640"/>
        <w:rPr>
          <w:rFonts w:hint="eastAsia" w:ascii="宋体" w:hAnsi="宋体" w:eastAsia="宋体" w:cs="宋体"/>
          <w:sz w:val="32"/>
          <w:szCs w:val="32"/>
          <w:shd w:val="clear" w:color="auto" w:fill="FFFFFF"/>
          <w:lang w:val="en-US"/>
        </w:rPr>
      </w:pPr>
      <w:r>
        <w:rPr>
          <w:rFonts w:hint="eastAsia" w:ascii="宋体" w:hAnsi="宋体" w:eastAsia="宋体" w:cs="宋体"/>
          <w:sz w:val="32"/>
          <w:szCs w:val="32"/>
          <w:shd w:val="clear" w:color="auto" w:fill="FFFFFF"/>
          <w:lang w:eastAsia="zh-CN"/>
        </w:rPr>
        <w:t>为推动部门职能转变，规范权力运行，本单位贯彻落实国务院关于三公经费公开重要指示精神，按照建立公开、透明、规范、完整的预算制度，以及深化细化预算决算公开和‘三公’经费公开的相关要求，我单位已将预决算报主管部门审批，并在政务公开网站上公开。</w:t>
      </w:r>
    </w:p>
    <w:p w14:paraId="65F6F458">
      <w:pPr>
        <w:pStyle w:val="189"/>
        <w:shd w:val="clear" w:color="auto" w:fill="FFFFFF"/>
        <w:rPr>
          <w:rFonts w:hint="eastAsia" w:ascii="宋体" w:hAnsi="宋体" w:eastAsia="宋体" w:cs="宋体"/>
          <w:sz w:val="32"/>
          <w:szCs w:val="32"/>
        </w:rPr>
      </w:pPr>
      <w:r>
        <w:rPr>
          <w:rFonts w:hint="eastAsia" w:ascii="宋体" w:hAnsi="宋体" w:eastAsia="宋体" w:cs="宋体"/>
          <w:sz w:val="32"/>
          <w:szCs w:val="32"/>
        </w:rPr>
        <w:t>（三）对单位决算管理及报表设计的意见建议。</w:t>
      </w:r>
    </w:p>
    <w:p w14:paraId="49BEAE7F">
      <w:pPr>
        <w:pStyle w:val="192"/>
        <w:shd w:val="clear" w:color="auto" w:fill="FFFFFF"/>
        <w:spacing w:line="560" w:lineRule="exact"/>
        <w:rPr>
          <w:rFonts w:hint="eastAsia" w:ascii="宋体" w:hAnsi="宋体" w:eastAsia="宋体" w:cs="宋体"/>
          <w:sz w:val="32"/>
          <w:szCs w:val="32"/>
          <w:shd w:val="clear" w:color="auto" w:fill="FFFFFF"/>
          <w:lang w:val="en-US"/>
        </w:rPr>
      </w:pPr>
      <w:r>
        <w:rPr>
          <w:rFonts w:hint="eastAsia" w:ascii="宋体" w:hAnsi="宋体" w:eastAsia="宋体" w:cs="宋体"/>
          <w:sz w:val="32"/>
          <w:szCs w:val="32"/>
          <w:shd w:val="clear" w:color="auto" w:fill="FFFFFF"/>
          <w:lang w:eastAsia="zh-CN"/>
        </w:rPr>
        <w:t>无意见</w:t>
      </w:r>
    </w:p>
    <w:p w14:paraId="13F77304">
      <w:pPr>
        <w:pStyle w:val="189"/>
        <w:shd w:val="clear" w:color="auto" w:fill="FFFFFF"/>
        <w:rPr>
          <w:rFonts w:hint="eastAsia" w:ascii="宋体" w:hAnsi="宋体" w:eastAsia="宋体" w:cs="宋体"/>
          <w:sz w:val="32"/>
          <w:szCs w:val="32"/>
        </w:rPr>
      </w:pPr>
      <w:r>
        <w:rPr>
          <w:rFonts w:hint="eastAsia" w:ascii="宋体" w:hAnsi="宋体" w:eastAsia="宋体" w:cs="宋体"/>
          <w:sz w:val="32"/>
          <w:szCs w:val="32"/>
        </w:rPr>
        <w:t>（四）对加强部门决算数据分析利用工作的建议。</w:t>
      </w:r>
    </w:p>
    <w:p w14:paraId="539010EB">
      <w:pPr>
        <w:pStyle w:val="192"/>
        <w:shd w:val="clear" w:color="auto" w:fill="FFFFFF"/>
        <w:spacing w:line="560" w:lineRule="exact"/>
        <w:rPr>
          <w:rFonts w:hint="eastAsia" w:ascii="宋体" w:hAnsi="宋体" w:eastAsia="宋体" w:cs="宋体"/>
          <w:sz w:val="32"/>
          <w:szCs w:val="32"/>
          <w:shd w:val="clear" w:color="auto" w:fill="FFFFFF"/>
          <w:lang w:val="en-US"/>
        </w:rPr>
      </w:pPr>
      <w:r>
        <w:rPr>
          <w:rFonts w:hint="eastAsia" w:ascii="宋体" w:hAnsi="宋体" w:eastAsia="宋体" w:cs="宋体"/>
          <w:sz w:val="32"/>
          <w:szCs w:val="32"/>
          <w:shd w:val="clear" w:color="auto" w:fill="FFFFFF"/>
          <w:lang w:eastAsia="zh-CN"/>
        </w:rPr>
        <w:t>无意见</w:t>
      </w:r>
    </w:p>
    <w:p w14:paraId="065675BC">
      <w:pPr>
        <w:pStyle w:val="189"/>
        <w:shd w:val="clear" w:color="auto" w:fill="FFFFFF"/>
        <w:rPr>
          <w:rFonts w:hint="eastAsia" w:ascii="宋体" w:hAnsi="宋体" w:eastAsia="宋体" w:cs="宋体"/>
          <w:sz w:val="32"/>
          <w:szCs w:val="32"/>
        </w:rPr>
      </w:pPr>
      <w:r>
        <w:rPr>
          <w:rFonts w:hint="eastAsia" w:ascii="宋体" w:hAnsi="宋体" w:eastAsia="宋体" w:cs="宋体"/>
          <w:sz w:val="32"/>
          <w:szCs w:val="32"/>
        </w:rPr>
        <w:t>注：收入支出预算执行情况分析可参考部门决算分析评价表（见软件查询模板）及行政事业单位财务分析指标（附后）。</w:t>
      </w:r>
    </w:p>
    <w:p w14:paraId="7CA4D729">
      <w:pPr>
        <w:pStyle w:val="189"/>
        <w:shd w:val="clear" w:color="auto" w:fill="FFFFFF"/>
        <w:rPr>
          <w:rFonts w:hint="eastAsia" w:ascii="宋体" w:hAnsi="宋体" w:eastAsia="宋体" w:cs="宋体"/>
          <w:sz w:val="32"/>
          <w:szCs w:val="32"/>
        </w:rPr>
      </w:pPr>
      <w:r>
        <w:rPr>
          <w:rFonts w:hint="eastAsia" w:ascii="宋体" w:hAnsi="宋体" w:eastAsia="宋体" w:cs="宋体"/>
          <w:sz w:val="32"/>
          <w:szCs w:val="32"/>
        </w:rPr>
        <w:br w:type="textWrapping" w:clear="all"/>
      </w:r>
      <w:r>
        <w:rPr>
          <w:rFonts w:hint="eastAsia" w:ascii="宋体" w:hAnsi="宋体" w:eastAsia="宋体" w:cs="宋体"/>
          <w:sz w:val="32"/>
          <w:szCs w:val="32"/>
        </w:rPr>
        <w:t>附：</w:t>
      </w:r>
    </w:p>
    <w:p w14:paraId="2CFEA136">
      <w:pPr>
        <w:pStyle w:val="189"/>
        <w:shd w:val="clear" w:color="auto" w:fill="FFFFFF"/>
        <w:jc w:val="center"/>
        <w:rPr>
          <w:rFonts w:hint="eastAsia" w:ascii="宋体" w:hAnsi="宋体" w:eastAsia="宋体" w:cs="宋体"/>
          <w:sz w:val="32"/>
          <w:szCs w:val="32"/>
        </w:rPr>
      </w:pPr>
      <w:r>
        <w:rPr>
          <w:rFonts w:hint="eastAsia" w:ascii="宋体" w:hAnsi="宋体" w:eastAsia="宋体" w:cs="宋体"/>
          <w:sz w:val="32"/>
          <w:szCs w:val="32"/>
        </w:rPr>
        <w:t> </w:t>
      </w:r>
    </w:p>
    <w:p w14:paraId="0A753E4F">
      <w:pPr>
        <w:pStyle w:val="189"/>
        <w:shd w:val="clear" w:color="auto" w:fill="FFFFFF"/>
        <w:jc w:val="center"/>
        <w:rPr>
          <w:rFonts w:hint="eastAsia" w:ascii="宋体" w:hAnsi="宋体" w:eastAsia="宋体" w:cs="宋体"/>
          <w:sz w:val="32"/>
          <w:szCs w:val="32"/>
        </w:rPr>
      </w:pPr>
      <w:r>
        <w:rPr>
          <w:rFonts w:hint="eastAsia" w:ascii="宋体" w:hAnsi="宋体" w:eastAsia="宋体" w:cs="宋体"/>
          <w:sz w:val="32"/>
          <w:szCs w:val="32"/>
        </w:rPr>
        <w:t>行政事业单位财务分析指标</w:t>
      </w:r>
    </w:p>
    <w:p w14:paraId="2CD6C507">
      <w:pPr>
        <w:pStyle w:val="189"/>
        <w:shd w:val="clear" w:color="auto" w:fill="FFFFFF"/>
        <w:rPr>
          <w:rFonts w:hint="eastAsia" w:ascii="宋体" w:hAnsi="宋体" w:eastAsia="宋体" w:cs="宋体"/>
          <w:sz w:val="32"/>
          <w:szCs w:val="32"/>
        </w:rPr>
      </w:pPr>
      <w:r>
        <w:rPr>
          <w:rFonts w:hint="eastAsia" w:ascii="宋体" w:hAnsi="宋体" w:eastAsia="宋体" w:cs="宋体"/>
          <w:sz w:val="32"/>
          <w:szCs w:val="32"/>
        </w:rPr>
        <w:t> </w:t>
      </w:r>
    </w:p>
    <w:p w14:paraId="152825D8">
      <w:pPr>
        <w:pStyle w:val="189"/>
        <w:shd w:val="clear" w:color="auto" w:fill="FFFFFF"/>
        <w:rPr>
          <w:rFonts w:hint="eastAsia" w:ascii="宋体" w:hAnsi="宋体" w:eastAsia="宋体" w:cs="宋体"/>
          <w:sz w:val="32"/>
          <w:szCs w:val="32"/>
        </w:rPr>
      </w:pPr>
      <w:r>
        <w:rPr>
          <w:rFonts w:hint="eastAsia" w:ascii="宋体" w:hAnsi="宋体" w:eastAsia="宋体" w:cs="宋体"/>
          <w:sz w:val="32"/>
          <w:szCs w:val="32"/>
        </w:rPr>
        <w:t>一、行政单位财务分析指标</w:t>
      </w:r>
    </w:p>
    <w:p w14:paraId="462777AF">
      <w:pPr>
        <w:pStyle w:val="189"/>
        <w:shd w:val="clear" w:color="auto" w:fill="FFFFFF"/>
        <w:rPr>
          <w:rFonts w:hint="eastAsia" w:ascii="宋体" w:hAnsi="宋体" w:eastAsia="宋体" w:cs="宋体"/>
          <w:sz w:val="32"/>
          <w:szCs w:val="32"/>
        </w:rPr>
      </w:pPr>
      <w:r>
        <w:rPr>
          <w:rFonts w:hint="eastAsia" w:ascii="宋体" w:hAnsi="宋体" w:eastAsia="宋体" w:cs="宋体"/>
          <w:sz w:val="32"/>
          <w:szCs w:val="32"/>
        </w:rPr>
        <w:t>1.支出增长率，衡量行政单位支出的增长水平。计算公式为：</w:t>
      </w:r>
    </w:p>
    <w:p w14:paraId="209EF588">
      <w:pPr>
        <w:pStyle w:val="189"/>
        <w:shd w:val="clear" w:color="auto" w:fill="FFFFFF"/>
        <w:rPr>
          <w:rFonts w:hint="eastAsia" w:ascii="宋体" w:hAnsi="宋体" w:eastAsia="宋体" w:cs="宋体"/>
          <w:sz w:val="32"/>
          <w:szCs w:val="32"/>
        </w:rPr>
      </w:pPr>
      <w:r>
        <w:rPr>
          <w:rFonts w:hint="eastAsia" w:ascii="宋体" w:hAnsi="宋体" w:eastAsia="宋体" w:cs="宋体"/>
          <w:sz w:val="32"/>
          <w:szCs w:val="32"/>
        </w:rPr>
        <w:t>支出增长率＝(本期支出总额÷上期支出总额-1)×100%=-27.69%</w:t>
      </w:r>
    </w:p>
    <w:p w14:paraId="6E5BCB5E">
      <w:pPr>
        <w:pStyle w:val="189"/>
        <w:shd w:val="clear" w:color="auto" w:fill="FFFFFF"/>
        <w:rPr>
          <w:rFonts w:hint="eastAsia" w:ascii="宋体" w:hAnsi="宋体" w:eastAsia="宋体" w:cs="宋体"/>
          <w:sz w:val="32"/>
          <w:szCs w:val="32"/>
        </w:rPr>
      </w:pPr>
      <w:r>
        <w:rPr>
          <w:rFonts w:hint="eastAsia" w:ascii="宋体" w:hAnsi="宋体" w:eastAsia="宋体" w:cs="宋体"/>
          <w:sz w:val="32"/>
          <w:szCs w:val="32"/>
        </w:rPr>
        <w:t>2.当年预算支出完成率，衡量行政单位当年支出总预算及分项预算完成的程度。计算公式为：</w:t>
      </w:r>
    </w:p>
    <w:p w14:paraId="490EFE07">
      <w:pPr>
        <w:pStyle w:val="189"/>
        <w:shd w:val="clear" w:color="auto" w:fill="FFFFFF"/>
        <w:rPr>
          <w:rFonts w:hint="eastAsia" w:ascii="宋体" w:hAnsi="宋体" w:eastAsia="宋体" w:cs="宋体"/>
          <w:sz w:val="32"/>
          <w:szCs w:val="32"/>
        </w:rPr>
      </w:pPr>
      <w:r>
        <w:rPr>
          <w:rFonts w:hint="eastAsia" w:ascii="宋体" w:hAnsi="宋体" w:eastAsia="宋体" w:cs="宋体"/>
          <w:sz w:val="32"/>
          <w:szCs w:val="32"/>
        </w:rPr>
        <w:t>当年预算支出完成率＝年终执行数÷调整预算数×100%=100.00%</w:t>
      </w:r>
    </w:p>
    <w:p w14:paraId="5F8592B0">
      <w:pPr>
        <w:pStyle w:val="189"/>
        <w:shd w:val="clear" w:color="auto" w:fill="FFFFFF"/>
        <w:rPr>
          <w:rFonts w:hint="eastAsia" w:ascii="宋体" w:hAnsi="宋体" w:eastAsia="宋体" w:cs="宋体"/>
          <w:sz w:val="32"/>
          <w:szCs w:val="32"/>
        </w:rPr>
      </w:pPr>
      <w:r>
        <w:rPr>
          <w:rFonts w:hint="eastAsia" w:ascii="宋体" w:hAnsi="宋体" w:eastAsia="宋体" w:cs="宋体"/>
          <w:sz w:val="32"/>
          <w:szCs w:val="32"/>
        </w:rPr>
        <w:t>3.人均开支，衡量行政单位人均年消耗经费水平。计算公式为：</w:t>
      </w:r>
    </w:p>
    <w:p w14:paraId="1F5CB415">
      <w:pPr>
        <w:pStyle w:val="189"/>
        <w:shd w:val="clear" w:color="auto" w:fill="FFFFFF"/>
        <w:rPr>
          <w:rFonts w:hint="eastAsia" w:ascii="宋体" w:hAnsi="宋体" w:eastAsia="宋体" w:cs="宋体"/>
          <w:sz w:val="32"/>
          <w:szCs w:val="32"/>
        </w:rPr>
      </w:pPr>
      <w:r>
        <w:rPr>
          <w:rFonts w:hint="eastAsia" w:ascii="宋体" w:hAnsi="宋体" w:eastAsia="宋体" w:cs="宋体"/>
          <w:sz w:val="32"/>
          <w:szCs w:val="32"/>
        </w:rPr>
        <w:t>人均开支＝本期支出数÷本期平均在职人员数=24.37</w:t>
      </w:r>
    </w:p>
    <w:p w14:paraId="60DE4DAB">
      <w:pPr>
        <w:pStyle w:val="189"/>
        <w:shd w:val="clear" w:color="auto" w:fill="FFFFFF"/>
        <w:rPr>
          <w:rFonts w:hint="eastAsia" w:ascii="宋体" w:hAnsi="宋体" w:eastAsia="宋体" w:cs="宋体"/>
          <w:sz w:val="32"/>
          <w:szCs w:val="32"/>
        </w:rPr>
      </w:pPr>
      <w:r>
        <w:rPr>
          <w:rFonts w:hint="eastAsia" w:ascii="宋体" w:hAnsi="宋体" w:eastAsia="宋体" w:cs="宋体"/>
          <w:sz w:val="32"/>
          <w:szCs w:val="32"/>
        </w:rPr>
        <w:t>4.项目支出占总支出的比率，衡量行政单位的支出结构。计算公式为：</w:t>
      </w:r>
    </w:p>
    <w:p w14:paraId="23154078">
      <w:pPr>
        <w:pStyle w:val="189"/>
        <w:shd w:val="clear" w:color="auto" w:fill="FFFFFF"/>
        <w:rPr>
          <w:rFonts w:hint="eastAsia" w:ascii="宋体" w:hAnsi="宋体" w:eastAsia="宋体" w:cs="宋体"/>
          <w:sz w:val="32"/>
          <w:szCs w:val="32"/>
        </w:rPr>
      </w:pPr>
      <w:r>
        <w:rPr>
          <w:rFonts w:hint="eastAsia" w:ascii="宋体" w:hAnsi="宋体" w:eastAsia="宋体" w:cs="宋体"/>
          <w:sz w:val="32"/>
          <w:szCs w:val="32"/>
        </w:rPr>
        <w:t>项目支出比率=本期项目支出数÷本期支出总数×100%=16.41%</w:t>
      </w:r>
    </w:p>
    <w:p w14:paraId="4251B6A1">
      <w:pPr>
        <w:pStyle w:val="189"/>
        <w:shd w:val="clear" w:color="auto" w:fill="FFFFFF"/>
        <w:rPr>
          <w:rFonts w:hint="eastAsia" w:ascii="宋体" w:hAnsi="宋体" w:eastAsia="宋体" w:cs="宋体"/>
          <w:sz w:val="32"/>
          <w:szCs w:val="32"/>
        </w:rPr>
      </w:pPr>
      <w:r>
        <w:rPr>
          <w:rFonts w:hint="eastAsia" w:ascii="宋体" w:hAnsi="宋体" w:eastAsia="宋体" w:cs="宋体"/>
          <w:sz w:val="32"/>
          <w:szCs w:val="32"/>
        </w:rPr>
        <w:t>5.人员支出、公用支出占总支出的比率，衡量行政单位的支出结构。计算公式为：</w:t>
      </w:r>
    </w:p>
    <w:p w14:paraId="12AB36F1">
      <w:pPr>
        <w:pStyle w:val="189"/>
        <w:shd w:val="clear" w:color="auto" w:fill="FFFFFF"/>
        <w:rPr>
          <w:rFonts w:hint="eastAsia" w:ascii="宋体" w:hAnsi="宋体" w:eastAsia="宋体" w:cs="宋体"/>
          <w:sz w:val="32"/>
          <w:szCs w:val="32"/>
        </w:rPr>
      </w:pPr>
      <w:r>
        <w:rPr>
          <w:rFonts w:hint="eastAsia" w:ascii="宋体" w:hAnsi="宋体" w:eastAsia="宋体" w:cs="宋体"/>
          <w:sz w:val="32"/>
          <w:szCs w:val="32"/>
        </w:rPr>
        <w:t>人员支出比率=本期人员支出数÷本期支出总数×100%=79.41%</w:t>
      </w:r>
    </w:p>
    <w:p w14:paraId="5863BDBC">
      <w:pPr>
        <w:pStyle w:val="189"/>
        <w:shd w:val="clear" w:color="auto" w:fill="FFFFFF"/>
        <w:rPr>
          <w:rFonts w:hint="eastAsia" w:ascii="宋体" w:hAnsi="宋体" w:eastAsia="宋体" w:cs="宋体"/>
          <w:sz w:val="32"/>
          <w:szCs w:val="32"/>
        </w:rPr>
      </w:pPr>
      <w:r>
        <w:rPr>
          <w:rFonts w:hint="eastAsia" w:ascii="宋体" w:hAnsi="宋体" w:eastAsia="宋体" w:cs="宋体"/>
          <w:sz w:val="32"/>
          <w:szCs w:val="32"/>
        </w:rPr>
        <w:t>公用支出比率=本期公用支出数÷本期支出总数×100%=4.18%</w:t>
      </w:r>
    </w:p>
    <w:p w14:paraId="332A4B44">
      <w:pPr>
        <w:pStyle w:val="189"/>
        <w:shd w:val="clear" w:color="auto" w:fill="FFFFFF"/>
        <w:rPr>
          <w:rFonts w:hint="eastAsia" w:ascii="宋体" w:hAnsi="宋体" w:eastAsia="宋体" w:cs="宋体"/>
          <w:sz w:val="32"/>
          <w:szCs w:val="32"/>
        </w:rPr>
      </w:pPr>
      <w:r>
        <w:rPr>
          <w:rFonts w:hint="eastAsia" w:ascii="宋体" w:hAnsi="宋体" w:eastAsia="宋体" w:cs="宋体"/>
          <w:sz w:val="32"/>
          <w:szCs w:val="32"/>
        </w:rPr>
        <w:t>6.人均办公使用面积，衡量行政单位办公用房配备情况。计算公式为：</w:t>
      </w:r>
    </w:p>
    <w:p w14:paraId="3B95DA63">
      <w:pPr>
        <w:pStyle w:val="189"/>
        <w:shd w:val="clear" w:color="auto" w:fill="FFFFFF"/>
        <w:rPr>
          <w:rFonts w:hint="eastAsia" w:ascii="宋体" w:hAnsi="宋体" w:eastAsia="宋体" w:cs="宋体"/>
          <w:sz w:val="32"/>
          <w:szCs w:val="32"/>
        </w:rPr>
      </w:pPr>
      <w:r>
        <w:rPr>
          <w:rFonts w:hint="eastAsia" w:ascii="宋体" w:hAnsi="宋体" w:eastAsia="宋体" w:cs="宋体"/>
          <w:sz w:val="32"/>
          <w:szCs w:val="32"/>
        </w:rPr>
        <w:t>人均办公使用面积=本期末单位办公用房使用面积÷本期末在职人员数=8.86</w:t>
      </w:r>
    </w:p>
    <w:p w14:paraId="05CDF569">
      <w:pPr>
        <w:pStyle w:val="189"/>
        <w:shd w:val="clear" w:color="auto" w:fill="FFFFFF"/>
        <w:rPr>
          <w:rFonts w:hint="eastAsia" w:ascii="宋体" w:hAnsi="宋体" w:eastAsia="宋体" w:cs="宋体"/>
          <w:sz w:val="32"/>
          <w:szCs w:val="32"/>
        </w:rPr>
      </w:pPr>
      <w:r>
        <w:rPr>
          <w:rFonts w:hint="eastAsia" w:ascii="宋体" w:hAnsi="宋体" w:eastAsia="宋体" w:cs="宋体"/>
          <w:sz w:val="32"/>
          <w:szCs w:val="32"/>
        </w:rPr>
        <w:t>7.人车比例，衡量行政单位公务用车配备情况。计算公式为：</w:t>
      </w:r>
    </w:p>
    <w:p w14:paraId="3685717E">
      <w:pPr>
        <w:pStyle w:val="189"/>
        <w:shd w:val="clear" w:color="auto" w:fill="FFFFFF"/>
        <w:rPr>
          <w:rFonts w:hint="eastAsia" w:ascii="宋体" w:hAnsi="宋体" w:eastAsia="宋体" w:cs="宋体"/>
          <w:sz w:val="32"/>
          <w:szCs w:val="32"/>
        </w:rPr>
      </w:pPr>
      <w:r>
        <w:rPr>
          <w:rFonts w:hint="eastAsia" w:ascii="宋体" w:hAnsi="宋体" w:eastAsia="宋体" w:cs="宋体"/>
          <w:sz w:val="32"/>
          <w:szCs w:val="32"/>
        </w:rPr>
        <w:t>人车比例=本期末在职人员数÷本期末公务用车实有数=7.00</w:t>
      </w:r>
    </w:p>
    <w:p w14:paraId="17943F49">
      <w:pPr>
        <w:pStyle w:val="189"/>
        <w:shd w:val="clear" w:color="auto" w:fill="FFFFFF"/>
        <w:rPr>
          <w:rFonts w:hint="eastAsia" w:ascii="宋体" w:hAnsi="宋体" w:eastAsia="宋体" w:cs="宋体"/>
          <w:sz w:val="32"/>
          <w:szCs w:val="32"/>
        </w:rPr>
      </w:pPr>
      <w:r>
        <w:rPr>
          <w:rFonts w:hint="eastAsia" w:ascii="宋体" w:hAnsi="宋体" w:eastAsia="宋体" w:cs="宋体"/>
          <w:sz w:val="32"/>
          <w:szCs w:val="32"/>
        </w:rPr>
        <w:t> </w:t>
      </w:r>
    </w:p>
    <w:p w14:paraId="1599D729">
      <w:pPr>
        <w:pStyle w:val="189"/>
        <w:shd w:val="clear" w:color="auto" w:fill="FFFFFF"/>
        <w:rPr>
          <w:rFonts w:hint="eastAsia" w:ascii="宋体" w:hAnsi="宋体" w:eastAsia="宋体" w:cs="宋体"/>
          <w:sz w:val="32"/>
          <w:szCs w:val="32"/>
        </w:rPr>
      </w:pPr>
      <w:r>
        <w:rPr>
          <w:rFonts w:hint="eastAsia" w:ascii="宋体" w:hAnsi="宋体" w:eastAsia="宋体" w:cs="宋体"/>
          <w:sz w:val="32"/>
          <w:szCs w:val="32"/>
        </w:rPr>
        <w:t>二、事业单位财务分析指标</w:t>
      </w:r>
    </w:p>
    <w:p w14:paraId="61F2F0A6">
      <w:pPr>
        <w:pStyle w:val="189"/>
        <w:shd w:val="clear" w:color="auto" w:fill="FFFFFF"/>
        <w:rPr>
          <w:rFonts w:hint="eastAsia" w:ascii="宋体" w:hAnsi="宋体" w:eastAsia="宋体" w:cs="宋体"/>
          <w:sz w:val="32"/>
          <w:szCs w:val="32"/>
        </w:rPr>
      </w:pPr>
      <w:r>
        <w:rPr>
          <w:rFonts w:hint="eastAsia" w:ascii="宋体" w:hAnsi="宋体" w:eastAsia="宋体" w:cs="宋体"/>
          <w:sz w:val="32"/>
          <w:szCs w:val="32"/>
        </w:rPr>
        <w:t>1.预算收入和支出完成率，衡量事业单位收入和支出总预算及分项预算完成的程度。计算公式为：</w:t>
      </w:r>
    </w:p>
    <w:p w14:paraId="54DA5AE0">
      <w:pPr>
        <w:pStyle w:val="189"/>
        <w:shd w:val="clear" w:color="auto" w:fill="FFFFFF"/>
        <w:rPr>
          <w:rFonts w:hint="eastAsia" w:ascii="宋体" w:hAnsi="宋体" w:eastAsia="宋体" w:cs="宋体"/>
          <w:sz w:val="32"/>
          <w:szCs w:val="32"/>
        </w:rPr>
      </w:pPr>
      <w:r>
        <w:rPr>
          <w:rFonts w:hint="eastAsia" w:ascii="宋体" w:hAnsi="宋体" w:eastAsia="宋体" w:cs="宋体"/>
          <w:sz w:val="32"/>
          <w:szCs w:val="32"/>
        </w:rPr>
        <w:t>预算收入完成率＝年终执行数÷调整预算数×100%=100.00%</w:t>
      </w:r>
    </w:p>
    <w:p w14:paraId="2C41DE77">
      <w:pPr>
        <w:pStyle w:val="189"/>
        <w:shd w:val="clear" w:color="auto" w:fill="FFFFFF"/>
        <w:rPr>
          <w:rFonts w:hint="eastAsia" w:ascii="宋体" w:hAnsi="宋体" w:eastAsia="宋体" w:cs="宋体"/>
          <w:sz w:val="32"/>
          <w:szCs w:val="32"/>
        </w:rPr>
      </w:pPr>
      <w:r>
        <w:rPr>
          <w:rFonts w:hint="eastAsia" w:ascii="宋体" w:hAnsi="宋体" w:eastAsia="宋体" w:cs="宋体"/>
          <w:sz w:val="32"/>
          <w:szCs w:val="32"/>
        </w:rPr>
        <w:t>预算支出完成率＝年终执行数÷调整预算数×100%=100.00%</w:t>
      </w:r>
    </w:p>
    <w:p w14:paraId="2E28590B">
      <w:pPr>
        <w:pStyle w:val="189"/>
        <w:shd w:val="clear" w:color="auto" w:fill="FFFFFF"/>
        <w:rPr>
          <w:rFonts w:hint="eastAsia" w:ascii="宋体" w:hAnsi="宋体" w:eastAsia="宋体" w:cs="宋体"/>
          <w:sz w:val="32"/>
          <w:szCs w:val="32"/>
        </w:rPr>
      </w:pPr>
      <w:r>
        <w:rPr>
          <w:rFonts w:hint="eastAsia" w:ascii="宋体" w:hAnsi="宋体" w:eastAsia="宋体" w:cs="宋体"/>
          <w:sz w:val="32"/>
          <w:szCs w:val="32"/>
        </w:rPr>
        <w:t>2.人员支出、公用支出占事业支出的比率，衡量事业单位事业支出结构。计算公式为：</w:t>
      </w:r>
    </w:p>
    <w:p w14:paraId="38989253">
      <w:pPr>
        <w:pStyle w:val="189"/>
        <w:shd w:val="clear" w:color="auto" w:fill="FFFFFF"/>
        <w:rPr>
          <w:rFonts w:hint="eastAsia" w:ascii="宋体" w:hAnsi="宋体" w:eastAsia="宋体" w:cs="宋体"/>
          <w:sz w:val="32"/>
          <w:szCs w:val="32"/>
        </w:rPr>
      </w:pPr>
      <w:r>
        <w:rPr>
          <w:rFonts w:hint="eastAsia" w:ascii="宋体" w:hAnsi="宋体" w:eastAsia="宋体" w:cs="宋体"/>
          <w:sz w:val="32"/>
          <w:szCs w:val="32"/>
        </w:rPr>
        <w:t>人员支出比率＝人员支出÷事业支出×100%=79.41%</w:t>
      </w:r>
    </w:p>
    <w:p w14:paraId="2AEDE9D0">
      <w:pPr>
        <w:pStyle w:val="189"/>
        <w:shd w:val="clear" w:color="auto" w:fill="FFFFFF"/>
        <w:rPr>
          <w:rFonts w:hint="eastAsia" w:ascii="宋体" w:hAnsi="宋体" w:eastAsia="宋体" w:cs="宋体"/>
          <w:sz w:val="32"/>
          <w:szCs w:val="32"/>
        </w:rPr>
      </w:pPr>
      <w:r>
        <w:rPr>
          <w:rFonts w:hint="eastAsia" w:ascii="宋体" w:hAnsi="宋体" w:eastAsia="宋体" w:cs="宋体"/>
          <w:sz w:val="32"/>
          <w:szCs w:val="32"/>
        </w:rPr>
        <w:t>公用支出比率＝公用支出÷事业支出×100%=4.18%</w:t>
      </w:r>
    </w:p>
    <w:p w14:paraId="4459B2E2">
      <w:pPr>
        <w:pStyle w:val="189"/>
        <w:shd w:val="clear" w:color="auto" w:fill="FFFFFF"/>
        <w:rPr>
          <w:rFonts w:hint="eastAsia" w:ascii="宋体" w:hAnsi="宋体" w:eastAsia="宋体" w:cs="宋体"/>
          <w:sz w:val="32"/>
          <w:szCs w:val="32"/>
        </w:rPr>
      </w:pPr>
      <w:r>
        <w:rPr>
          <w:rFonts w:hint="eastAsia" w:ascii="宋体" w:hAnsi="宋体" w:eastAsia="宋体" w:cs="宋体"/>
          <w:sz w:val="32"/>
          <w:szCs w:val="32"/>
        </w:rPr>
        <w:t>3.人均基本支出，衡量事业单位按照实际在编人数平均的基本支出水平。计算公式为：</w:t>
      </w:r>
    </w:p>
    <w:p w14:paraId="1C1C5997">
      <w:pPr>
        <w:pStyle w:val="189"/>
        <w:shd w:val="clear" w:color="auto" w:fill="FFFFFF"/>
        <w:rPr>
          <w:rFonts w:hint="eastAsia" w:ascii="宋体" w:hAnsi="宋体" w:eastAsia="宋体" w:cs="宋体"/>
          <w:sz w:val="32"/>
          <w:szCs w:val="32"/>
        </w:rPr>
      </w:pPr>
      <w:r>
        <w:rPr>
          <w:rFonts w:hint="eastAsia" w:ascii="宋体" w:hAnsi="宋体" w:eastAsia="宋体" w:cs="宋体"/>
          <w:sz w:val="32"/>
          <w:szCs w:val="32"/>
        </w:rPr>
        <w:t>人均基本支出＝（基本支出-离退休人员支出）÷实际在编人数=231,546.27</w:t>
      </w:r>
    </w:p>
    <w:p w14:paraId="39C35EA2">
      <w:pPr>
        <w:pStyle w:val="189"/>
        <w:shd w:val="clear" w:color="auto" w:fill="FFFFFF"/>
        <w:rPr>
          <w:rFonts w:hint="eastAsia" w:ascii="宋体" w:hAnsi="宋体" w:eastAsia="宋体" w:cs="宋体"/>
          <w:sz w:val="32"/>
          <w:szCs w:val="32"/>
        </w:rPr>
      </w:pPr>
      <w:r>
        <w:rPr>
          <w:rFonts w:hint="eastAsia" w:ascii="宋体" w:hAnsi="宋体" w:eastAsia="宋体" w:cs="宋体"/>
          <w:sz w:val="32"/>
          <w:szCs w:val="32"/>
        </w:rPr>
        <w:t> </w:t>
      </w:r>
    </w:p>
    <w:p w14:paraId="69F1156C">
      <w:pPr>
        <w:pStyle w:val="189"/>
        <w:shd w:val="clear" w:color="auto" w:fill="FFFFFF"/>
        <w:rPr>
          <w:rFonts w:hint="eastAsia" w:ascii="宋体" w:hAnsi="宋体" w:eastAsia="宋体" w:cs="宋体"/>
          <w:sz w:val="32"/>
          <w:szCs w:val="32"/>
        </w:rPr>
      </w:pPr>
      <w:r>
        <w:rPr>
          <w:rFonts w:hint="eastAsia" w:ascii="宋体" w:hAnsi="宋体" w:eastAsia="宋体" w:cs="宋体"/>
          <w:sz w:val="32"/>
          <w:szCs w:val="32"/>
        </w:rPr>
        <w:t>此外，行业事业单位还可根据相关财务制度规定和分析需要增加相关分析指标，如：</w:t>
      </w:r>
    </w:p>
    <w:p w14:paraId="677520F4">
      <w:pPr>
        <w:pStyle w:val="189"/>
        <w:shd w:val="clear" w:color="auto" w:fill="FFFFFF"/>
        <w:rPr>
          <w:rFonts w:hint="eastAsia" w:ascii="宋体" w:hAnsi="宋体" w:eastAsia="宋体" w:cs="宋体"/>
          <w:sz w:val="32"/>
          <w:szCs w:val="32"/>
        </w:rPr>
      </w:pPr>
      <w:r>
        <w:rPr>
          <w:rFonts w:hint="eastAsia" w:ascii="宋体" w:hAnsi="宋体" w:eastAsia="宋体" w:cs="宋体"/>
          <w:sz w:val="32"/>
          <w:szCs w:val="32"/>
        </w:rPr>
        <w:t>1.财政拨款依存度, 衡量部门（单位）对财政拨款的依赖程度。</w:t>
      </w:r>
    </w:p>
    <w:p w14:paraId="511399FA">
      <w:pPr>
        <w:pStyle w:val="189"/>
        <w:shd w:val="clear" w:color="auto" w:fill="FFFFFF"/>
        <w:rPr>
          <w:rFonts w:hint="eastAsia" w:ascii="宋体" w:hAnsi="宋体" w:eastAsia="宋体" w:cs="宋体"/>
          <w:sz w:val="32"/>
          <w:szCs w:val="32"/>
        </w:rPr>
      </w:pPr>
      <w:r>
        <w:rPr>
          <w:rFonts w:hint="eastAsia" w:ascii="宋体" w:hAnsi="宋体" w:eastAsia="宋体" w:cs="宋体"/>
          <w:sz w:val="32"/>
          <w:szCs w:val="32"/>
        </w:rPr>
        <w:t>财政拨款依存度＝财政拨款收入÷收入总额×100%=100.00%</w:t>
      </w:r>
    </w:p>
    <w:p w14:paraId="7A6B42D6">
      <w:pPr>
        <w:pStyle w:val="189"/>
        <w:shd w:val="clear" w:color="auto" w:fill="FFFFFF"/>
        <w:rPr>
          <w:rFonts w:hint="eastAsia" w:ascii="宋体" w:hAnsi="宋体" w:eastAsia="宋体" w:cs="宋体"/>
          <w:sz w:val="32"/>
          <w:szCs w:val="32"/>
        </w:rPr>
      </w:pPr>
      <w:r>
        <w:rPr>
          <w:rFonts w:hint="eastAsia" w:ascii="宋体" w:hAnsi="宋体" w:eastAsia="宋体" w:cs="宋体"/>
          <w:sz w:val="32"/>
          <w:szCs w:val="32"/>
        </w:rPr>
        <w:t> </w:t>
      </w:r>
    </w:p>
    <w:sectPr>
      <w:pgSz w:w="11906" w:h="16838" w:orient="landscape"/>
      <w:pgMar w:top="1440" w:right="1800" w:bottom="1440" w:left="1800" w:header="851" w:footer="992" w:gutter="0"/>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B0604020202020204"/>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Courier New">
    <w:panose1 w:val="02070309020205020404"/>
    <w:charset w:val="00"/>
    <w:family w:val="auto"/>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Symbol">
    <w:panose1 w:val="05050102010706020507"/>
    <w:charset w:val="00"/>
    <w:family w:val="auto"/>
    <w:pitch w:val="default"/>
    <w:sig w:usb0="00000000" w:usb1="00000000" w:usb2="00000000" w:usb3="00000000" w:csb0="8000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2"/>
      <w:numFmt w:val="chineseCounting"/>
      <w:suff w:val="nothing"/>
      <w:lvlText w:val="（%1）"/>
      <w:lvlJc w:val="left"/>
      <w:pPr>
        <w:ind w:left="0" w:firstLine="0"/>
      </w:pPr>
      <w:rPr>
        <w:rFonts w:cs="Times New Roman"/>
      </w:rPr>
    </w:lvl>
    <w:lvl w:ilvl="1" w:tentative="0">
      <w:start w:val="1"/>
      <w:numFmt w:val="decimal"/>
      <w:suff w:val="space"/>
      <w:lvlText w:val="%2."/>
      <w:lvlJc w:val="left"/>
      <w:pPr>
        <w:tabs>
          <w:tab w:val="left" w:pos="1440"/>
        </w:tabs>
        <w:ind w:left="1440" w:hanging="360"/>
      </w:pPr>
    </w:lvl>
    <w:lvl w:ilvl="2" w:tentative="0">
      <w:start w:val="1"/>
      <w:numFmt w:val="decimal"/>
      <w:suff w:val="space"/>
      <w:lvlText w:val="%3."/>
      <w:lvlJc w:val="left"/>
      <w:pPr>
        <w:tabs>
          <w:tab w:val="left" w:pos="2160"/>
        </w:tabs>
        <w:ind w:left="2160" w:hanging="360"/>
      </w:pPr>
    </w:lvl>
    <w:lvl w:ilvl="3" w:tentative="0">
      <w:start w:val="1"/>
      <w:numFmt w:val="decimal"/>
      <w:suff w:val="space"/>
      <w:lvlText w:val="%4."/>
      <w:lvlJc w:val="left"/>
      <w:pPr>
        <w:tabs>
          <w:tab w:val="left" w:pos="2880"/>
        </w:tabs>
        <w:ind w:left="2880" w:hanging="360"/>
      </w:pPr>
    </w:lvl>
    <w:lvl w:ilvl="4" w:tentative="0">
      <w:start w:val="1"/>
      <w:numFmt w:val="decimal"/>
      <w:suff w:val="space"/>
      <w:lvlText w:val="%5."/>
      <w:lvlJc w:val="left"/>
      <w:pPr>
        <w:tabs>
          <w:tab w:val="left" w:pos="3600"/>
        </w:tabs>
        <w:ind w:left="3600" w:hanging="360"/>
      </w:pPr>
    </w:lvl>
    <w:lvl w:ilvl="5" w:tentative="0">
      <w:start w:val="1"/>
      <w:numFmt w:val="decimal"/>
      <w:suff w:val="space"/>
      <w:lvlText w:val="%6."/>
      <w:lvlJc w:val="left"/>
      <w:pPr>
        <w:tabs>
          <w:tab w:val="left" w:pos="4320"/>
        </w:tabs>
        <w:ind w:left="4320" w:hanging="360"/>
      </w:pPr>
    </w:lvl>
    <w:lvl w:ilvl="6" w:tentative="0">
      <w:start w:val="1"/>
      <w:numFmt w:val="decimal"/>
      <w:suff w:val="space"/>
      <w:lvlText w:val="%7."/>
      <w:lvlJc w:val="left"/>
      <w:pPr>
        <w:tabs>
          <w:tab w:val="left" w:pos="5040"/>
        </w:tabs>
        <w:ind w:left="5040" w:hanging="360"/>
      </w:pPr>
    </w:lvl>
    <w:lvl w:ilvl="7" w:tentative="0">
      <w:start w:val="1"/>
      <w:numFmt w:val="decimal"/>
      <w:suff w:val="space"/>
      <w:lvlText w:val="%8."/>
      <w:lvlJc w:val="left"/>
      <w:pPr>
        <w:tabs>
          <w:tab w:val="left" w:pos="5760"/>
        </w:tabs>
        <w:ind w:left="5760" w:hanging="360"/>
      </w:pPr>
    </w:lvl>
    <w:lvl w:ilvl="8" w:tentative="0">
      <w:start w:val="1"/>
      <w:numFmt w:val="decimal"/>
      <w:suff w:val="space"/>
      <w:lvlText w:val="%9."/>
      <w:lvlJc w:val="left"/>
      <w:pPr>
        <w:tabs>
          <w:tab w:val="left" w:pos="6480"/>
        </w:tabs>
        <w:ind w:left="6480" w:hanging="360"/>
      </w:pPr>
    </w:lvl>
  </w:abstractNum>
  <w:abstractNum w:abstractNumId="1">
    <w:nsid w:val="BF205925"/>
    <w:multiLevelType w:val="multilevel"/>
    <w:tmpl w:val="BF205925"/>
    <w:lvl w:ilvl="0" w:tentative="0">
      <w:start w:val="3"/>
      <w:numFmt w:val="chineseCounting"/>
      <w:suff w:val="nothing"/>
      <w:lvlText w:val="（%1）"/>
      <w:lvlJc w:val="left"/>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2">
    <w:nsid w:val="CF092B84"/>
    <w:multiLevelType w:val="multilevel"/>
    <w:tmpl w:val="CF092B84"/>
    <w:lvl w:ilvl="0" w:tentative="0">
      <w:start w:val="5"/>
      <w:numFmt w:val="decimal"/>
      <w:suff w:val="space"/>
      <w:lvlText w:val="%1."/>
      <w:lvlJc w:val="left"/>
      <w:pPr>
        <w:tabs>
          <w:tab w:val="left" w:pos="312"/>
        </w:tabs>
      </w:p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3">
    <w:nsid w:val="0053208E"/>
    <w:multiLevelType w:val="multilevel"/>
    <w:tmpl w:val="0053208E"/>
    <w:lvl w:ilvl="0" w:tentative="0">
      <w:start w:val="2"/>
      <w:numFmt w:val="decimal"/>
      <w:suff w:val="nothing"/>
      <w:lvlText w:val="%1．"/>
      <w:lvlJc w:val="left"/>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4">
    <w:nsid w:val="59ADCABA"/>
    <w:multiLevelType w:val="multilevel"/>
    <w:tmpl w:val="59ADCABA"/>
    <w:lvl w:ilvl="0" w:tentative="0">
      <w:start w:val="2"/>
      <w:numFmt w:val="decimal"/>
      <w:suff w:val="nothing"/>
      <w:lvlText w:val="（%1）"/>
      <w:lvlJc w:val="left"/>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characterSpacingControl w:val="doNotCompress"/>
  <w:compat>
    <w:balanceSingleByteDoubleByteWidth/>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AC0CD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semiHidden="0"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90"/>
    <w:uiPriority w:val="0"/>
    <w:pPr>
      <w:widowControl w:val="0"/>
      <w:jc w:val="both"/>
    </w:pPr>
    <w:rPr>
      <w:rFonts w:hint="default" w:ascii="Times New Roman" w:hAnsi="Times New Roman" w:eastAsia="宋体" w:cs="Times New Roman"/>
      <w:sz w:val="21"/>
      <w:szCs w:val="24"/>
      <w:lang w:val="en-US" w:eastAsia="zh-CN" w:bidi="ar-SA"/>
    </w:rPr>
  </w:style>
  <w:style w:type="paragraph" w:styleId="4">
    <w:name w:val="heading 1"/>
    <w:basedOn w:val="1"/>
    <w:next w:val="1"/>
    <w:link w:val="36"/>
    <w:qFormat/>
    <w:uiPriority w:val="9"/>
    <w:pPr>
      <w:keepNext/>
      <w:keepLines/>
      <w:spacing w:before="480" w:after="200"/>
      <w:outlineLvl w:val="0"/>
    </w:pPr>
    <w:rPr>
      <w:rFonts w:ascii="等线" w:hAnsi="等线" w:eastAsia="等线" w:cs="等线"/>
      <w:sz w:val="40"/>
      <w:szCs w:val="40"/>
    </w:rPr>
  </w:style>
  <w:style w:type="paragraph" w:styleId="5">
    <w:name w:val="heading 2"/>
    <w:basedOn w:val="1"/>
    <w:next w:val="1"/>
    <w:link w:val="37"/>
    <w:unhideWhenUsed/>
    <w:qFormat/>
    <w:uiPriority w:val="9"/>
    <w:pPr>
      <w:keepNext/>
      <w:keepLines/>
      <w:spacing w:before="360" w:after="200"/>
      <w:outlineLvl w:val="1"/>
    </w:pPr>
    <w:rPr>
      <w:rFonts w:ascii="等线" w:hAnsi="等线" w:eastAsia="等线" w:cs="等线"/>
      <w:sz w:val="34"/>
    </w:rPr>
  </w:style>
  <w:style w:type="paragraph" w:styleId="6">
    <w:name w:val="heading 3"/>
    <w:basedOn w:val="1"/>
    <w:next w:val="1"/>
    <w:link w:val="38"/>
    <w:unhideWhenUsed/>
    <w:qFormat/>
    <w:uiPriority w:val="9"/>
    <w:pPr>
      <w:keepNext/>
      <w:keepLines/>
      <w:spacing w:before="320" w:after="200"/>
      <w:outlineLvl w:val="2"/>
    </w:pPr>
    <w:rPr>
      <w:rFonts w:ascii="等线" w:hAnsi="等线" w:eastAsia="等线" w:cs="等线"/>
      <w:sz w:val="30"/>
      <w:szCs w:val="30"/>
    </w:rPr>
  </w:style>
  <w:style w:type="paragraph" w:styleId="7">
    <w:name w:val="heading 4"/>
    <w:basedOn w:val="1"/>
    <w:next w:val="1"/>
    <w:link w:val="39"/>
    <w:unhideWhenUsed/>
    <w:qFormat/>
    <w:uiPriority w:val="9"/>
    <w:pPr>
      <w:keepNext/>
      <w:keepLines/>
      <w:spacing w:before="320" w:after="200"/>
      <w:outlineLvl w:val="3"/>
    </w:pPr>
    <w:rPr>
      <w:rFonts w:ascii="等线" w:hAnsi="等线" w:eastAsia="等线" w:cs="等线"/>
      <w:b/>
      <w:bCs/>
      <w:sz w:val="26"/>
      <w:szCs w:val="26"/>
    </w:rPr>
  </w:style>
  <w:style w:type="paragraph" w:styleId="8">
    <w:name w:val="heading 5"/>
    <w:basedOn w:val="1"/>
    <w:next w:val="1"/>
    <w:link w:val="40"/>
    <w:unhideWhenUsed/>
    <w:qFormat/>
    <w:uiPriority w:val="9"/>
    <w:pPr>
      <w:keepNext/>
      <w:keepLines/>
      <w:spacing w:before="320" w:after="200"/>
      <w:outlineLvl w:val="4"/>
    </w:pPr>
    <w:rPr>
      <w:rFonts w:ascii="等线" w:hAnsi="等线" w:eastAsia="等线" w:cs="等线"/>
      <w:b/>
      <w:bCs/>
      <w:sz w:val="24"/>
      <w:szCs w:val="24"/>
    </w:rPr>
  </w:style>
  <w:style w:type="paragraph" w:styleId="9">
    <w:name w:val="heading 6"/>
    <w:basedOn w:val="1"/>
    <w:next w:val="1"/>
    <w:link w:val="41"/>
    <w:unhideWhenUsed/>
    <w:qFormat/>
    <w:uiPriority w:val="9"/>
    <w:pPr>
      <w:keepNext/>
      <w:keepLines/>
      <w:spacing w:before="320" w:after="200"/>
      <w:outlineLvl w:val="5"/>
    </w:pPr>
    <w:rPr>
      <w:rFonts w:ascii="等线" w:hAnsi="等线" w:eastAsia="等线" w:cs="等线"/>
      <w:b/>
      <w:bCs/>
      <w:sz w:val="22"/>
      <w:szCs w:val="22"/>
    </w:rPr>
  </w:style>
  <w:style w:type="paragraph" w:styleId="10">
    <w:name w:val="heading 7"/>
    <w:basedOn w:val="1"/>
    <w:next w:val="1"/>
    <w:link w:val="42"/>
    <w:unhideWhenUsed/>
    <w:qFormat/>
    <w:uiPriority w:val="9"/>
    <w:pPr>
      <w:keepNext/>
      <w:keepLines/>
      <w:spacing w:before="320" w:after="200"/>
      <w:outlineLvl w:val="6"/>
    </w:pPr>
    <w:rPr>
      <w:rFonts w:ascii="等线" w:hAnsi="等线" w:eastAsia="等线" w:cs="等线"/>
      <w:b/>
      <w:bCs/>
      <w:i/>
      <w:iCs/>
      <w:sz w:val="22"/>
      <w:szCs w:val="22"/>
    </w:rPr>
  </w:style>
  <w:style w:type="paragraph" w:styleId="11">
    <w:name w:val="heading 8"/>
    <w:basedOn w:val="1"/>
    <w:next w:val="1"/>
    <w:link w:val="43"/>
    <w:unhideWhenUsed/>
    <w:qFormat/>
    <w:uiPriority w:val="9"/>
    <w:pPr>
      <w:keepNext/>
      <w:keepLines/>
      <w:spacing w:before="320" w:after="200"/>
      <w:outlineLvl w:val="7"/>
    </w:pPr>
    <w:rPr>
      <w:rFonts w:ascii="等线" w:hAnsi="等线" w:eastAsia="等线" w:cs="等线"/>
      <w:i/>
      <w:iCs/>
      <w:sz w:val="22"/>
      <w:szCs w:val="22"/>
    </w:rPr>
  </w:style>
  <w:style w:type="paragraph" w:styleId="12">
    <w:name w:val="heading 9"/>
    <w:basedOn w:val="1"/>
    <w:next w:val="1"/>
    <w:link w:val="44"/>
    <w:unhideWhenUsed/>
    <w:qFormat/>
    <w:uiPriority w:val="9"/>
    <w:pPr>
      <w:keepNext/>
      <w:keepLines/>
      <w:spacing w:before="320" w:after="200"/>
      <w:outlineLvl w:val="8"/>
    </w:pPr>
    <w:rPr>
      <w:rFonts w:ascii="等线" w:hAnsi="等线" w:eastAsia="等线" w:cs="等线"/>
      <w:i/>
      <w:iCs/>
      <w:sz w:val="21"/>
      <w:szCs w:val="21"/>
    </w:rPr>
  </w:style>
  <w:style w:type="character" w:default="1" w:styleId="32">
    <w:name w:val="Default Paragraph Font"/>
    <w:semiHidden/>
    <w:unhideWhenUsed/>
    <w:uiPriority w:val="1"/>
  </w:style>
  <w:style w:type="table" w:default="1" w:styleId="30">
    <w:name w:val="Normal Table"/>
    <w:semiHidden/>
    <w:unhideWhenUsed/>
    <w:qFormat/>
    <w:uiPriority w:val="99"/>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paragraph" w:customStyle="1" w:styleId="2">
    <w:name w:val="正文首行缩进 21"/>
    <w:basedOn w:val="3"/>
    <w:qFormat/>
    <w:uiPriority w:val="0"/>
    <w:pPr>
      <w:ind w:firstLine="420"/>
    </w:pPr>
  </w:style>
  <w:style w:type="paragraph" w:customStyle="1" w:styleId="3">
    <w:name w:val="正文文本缩进1"/>
    <w:basedOn w:val="1"/>
    <w:next w:val="2"/>
    <w:unhideWhenUsed/>
    <w:qFormat/>
    <w:uiPriority w:val="99"/>
    <w:pPr>
      <w:spacing w:after="120"/>
      <w:ind w:left="420"/>
    </w:pPr>
  </w:style>
  <w:style w:type="paragraph" w:styleId="13">
    <w:name w:val="toc 7"/>
    <w:basedOn w:val="1"/>
    <w:next w:val="1"/>
    <w:unhideWhenUsed/>
    <w:uiPriority w:val="39"/>
    <w:pPr>
      <w:spacing w:after="57"/>
      <w:ind w:left="1701" w:right="0" w:firstLine="0"/>
    </w:pPr>
  </w:style>
  <w:style w:type="paragraph" w:styleId="14">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5">
    <w:name w:val="toc 5"/>
    <w:basedOn w:val="1"/>
    <w:next w:val="1"/>
    <w:unhideWhenUsed/>
    <w:uiPriority w:val="39"/>
    <w:pPr>
      <w:spacing w:after="57"/>
      <w:ind w:left="1134" w:right="0" w:firstLine="0"/>
    </w:pPr>
  </w:style>
  <w:style w:type="paragraph" w:styleId="16">
    <w:name w:val="toc 3"/>
    <w:basedOn w:val="1"/>
    <w:next w:val="1"/>
    <w:unhideWhenUsed/>
    <w:uiPriority w:val="39"/>
    <w:pPr>
      <w:spacing w:after="57"/>
      <w:ind w:left="567" w:right="0" w:firstLine="0"/>
    </w:pPr>
  </w:style>
  <w:style w:type="paragraph" w:styleId="17">
    <w:name w:val="toc 8"/>
    <w:basedOn w:val="1"/>
    <w:next w:val="1"/>
    <w:unhideWhenUsed/>
    <w:uiPriority w:val="39"/>
    <w:pPr>
      <w:spacing w:after="57"/>
      <w:ind w:left="1984" w:right="0" w:firstLine="0"/>
    </w:pPr>
  </w:style>
  <w:style w:type="paragraph" w:styleId="18">
    <w:name w:val="endnote text"/>
    <w:basedOn w:val="1"/>
    <w:link w:val="182"/>
    <w:semiHidden/>
    <w:unhideWhenUsed/>
    <w:uiPriority w:val="99"/>
    <w:pPr>
      <w:spacing w:after="0" w:line="240" w:lineRule="auto"/>
    </w:pPr>
    <w:rPr>
      <w:sz w:val="20"/>
    </w:rPr>
  </w:style>
  <w:style w:type="paragraph" w:styleId="19">
    <w:name w:val="footer"/>
    <w:basedOn w:val="1"/>
    <w:link w:val="55"/>
    <w:unhideWhenUsed/>
    <w:uiPriority w:val="99"/>
    <w:pPr>
      <w:tabs>
        <w:tab w:val="center" w:pos="7143"/>
        <w:tab w:val="right" w:pos="14287"/>
      </w:tabs>
      <w:spacing w:after="0" w:line="240" w:lineRule="auto"/>
    </w:pPr>
  </w:style>
  <w:style w:type="paragraph" w:styleId="20">
    <w:name w:val="header"/>
    <w:basedOn w:val="1"/>
    <w:link w:val="53"/>
    <w:unhideWhenUsed/>
    <w:uiPriority w:val="99"/>
    <w:pPr>
      <w:tabs>
        <w:tab w:val="center" w:pos="7143"/>
        <w:tab w:val="right" w:pos="14287"/>
      </w:tabs>
      <w:spacing w:after="0" w:line="240" w:lineRule="auto"/>
    </w:pPr>
  </w:style>
  <w:style w:type="paragraph" w:styleId="21">
    <w:name w:val="toc 1"/>
    <w:basedOn w:val="1"/>
    <w:next w:val="1"/>
    <w:unhideWhenUsed/>
    <w:uiPriority w:val="39"/>
    <w:pPr>
      <w:spacing w:after="57"/>
      <w:ind w:left="0" w:right="0" w:firstLine="0"/>
    </w:pPr>
  </w:style>
  <w:style w:type="paragraph" w:styleId="22">
    <w:name w:val="toc 4"/>
    <w:basedOn w:val="1"/>
    <w:next w:val="1"/>
    <w:unhideWhenUsed/>
    <w:uiPriority w:val="39"/>
    <w:pPr>
      <w:spacing w:after="57"/>
      <w:ind w:left="850" w:right="0" w:firstLine="0"/>
    </w:pPr>
  </w:style>
  <w:style w:type="paragraph" w:styleId="23">
    <w:name w:val="Subtitle"/>
    <w:basedOn w:val="1"/>
    <w:next w:val="1"/>
    <w:link w:val="48"/>
    <w:qFormat/>
    <w:uiPriority w:val="11"/>
    <w:pPr>
      <w:spacing w:before="200" w:after="200"/>
    </w:pPr>
    <w:rPr>
      <w:sz w:val="24"/>
      <w:szCs w:val="24"/>
    </w:rPr>
  </w:style>
  <w:style w:type="paragraph" w:styleId="24">
    <w:name w:val="footnote text"/>
    <w:basedOn w:val="1"/>
    <w:link w:val="181"/>
    <w:semiHidden/>
    <w:unhideWhenUsed/>
    <w:uiPriority w:val="99"/>
    <w:pPr>
      <w:spacing w:after="40" w:line="240" w:lineRule="auto"/>
    </w:pPr>
    <w:rPr>
      <w:sz w:val="18"/>
    </w:rPr>
  </w:style>
  <w:style w:type="paragraph" w:styleId="25">
    <w:name w:val="toc 6"/>
    <w:basedOn w:val="1"/>
    <w:next w:val="1"/>
    <w:unhideWhenUsed/>
    <w:uiPriority w:val="39"/>
    <w:pPr>
      <w:spacing w:after="57"/>
      <w:ind w:left="1417" w:right="0" w:firstLine="0"/>
    </w:pPr>
  </w:style>
  <w:style w:type="paragraph" w:styleId="26">
    <w:name w:val="table of figures"/>
    <w:basedOn w:val="1"/>
    <w:next w:val="1"/>
    <w:unhideWhenUsed/>
    <w:uiPriority w:val="99"/>
    <w:pPr>
      <w:spacing w:after="0" w:afterAutospacing="0"/>
    </w:pPr>
  </w:style>
  <w:style w:type="paragraph" w:styleId="27">
    <w:name w:val="toc 2"/>
    <w:basedOn w:val="1"/>
    <w:next w:val="1"/>
    <w:unhideWhenUsed/>
    <w:uiPriority w:val="39"/>
    <w:pPr>
      <w:spacing w:after="57"/>
      <w:ind w:left="283" w:right="0" w:firstLine="0"/>
    </w:pPr>
  </w:style>
  <w:style w:type="paragraph" w:styleId="28">
    <w:name w:val="toc 9"/>
    <w:basedOn w:val="1"/>
    <w:next w:val="1"/>
    <w:unhideWhenUsed/>
    <w:uiPriority w:val="39"/>
    <w:pPr>
      <w:spacing w:after="57"/>
      <w:ind w:left="2268" w:right="0" w:firstLine="0"/>
    </w:pPr>
  </w:style>
  <w:style w:type="paragraph" w:styleId="29">
    <w:name w:val="Title"/>
    <w:basedOn w:val="1"/>
    <w:next w:val="1"/>
    <w:link w:val="47"/>
    <w:qFormat/>
    <w:uiPriority w:val="10"/>
    <w:pPr>
      <w:spacing w:before="300" w:after="200"/>
      <w:contextualSpacing/>
    </w:pPr>
    <w:rPr>
      <w:sz w:val="48"/>
      <w:szCs w:val="48"/>
    </w:rPr>
  </w:style>
  <w:style w:type="table" w:styleId="31">
    <w:name w:val="Table Grid"/>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character" w:styleId="33">
    <w:name w:val="endnote reference"/>
    <w:semiHidden/>
    <w:unhideWhenUsed/>
    <w:uiPriority w:val="99"/>
    <w:rPr>
      <w:vertAlign w:val="superscript"/>
    </w:rPr>
  </w:style>
  <w:style w:type="character" w:styleId="34">
    <w:name w:val="Hyperlink"/>
    <w:unhideWhenUsed/>
    <w:uiPriority w:val="99"/>
    <w:rPr>
      <w:color w:val="0000FF" w:themeColor="hyperlink"/>
      <w:u w:val="single"/>
      <w14:textFill>
        <w14:solidFill>
          <w14:schemeClr w14:val="hlink"/>
        </w14:solidFill>
      </w14:textFill>
    </w:rPr>
  </w:style>
  <w:style w:type="character" w:styleId="35">
    <w:name w:val="footnote reference"/>
    <w:unhideWhenUsed/>
    <w:uiPriority w:val="99"/>
    <w:rPr>
      <w:vertAlign w:val="superscript"/>
    </w:rPr>
  </w:style>
  <w:style w:type="character" w:customStyle="1" w:styleId="36">
    <w:name w:val="Heading 1 Char"/>
    <w:link w:val="4"/>
    <w:qFormat/>
    <w:uiPriority w:val="9"/>
    <w:rPr>
      <w:rFonts w:ascii="等线" w:hAnsi="等线" w:eastAsia="等线" w:cs="等线"/>
      <w:sz w:val="40"/>
      <w:szCs w:val="40"/>
    </w:rPr>
  </w:style>
  <w:style w:type="character" w:customStyle="1" w:styleId="37">
    <w:name w:val="Heading 2 Char"/>
    <w:link w:val="5"/>
    <w:uiPriority w:val="9"/>
    <w:rPr>
      <w:rFonts w:ascii="等线" w:hAnsi="等线" w:eastAsia="等线" w:cs="等线"/>
      <w:sz w:val="34"/>
    </w:rPr>
  </w:style>
  <w:style w:type="character" w:customStyle="1" w:styleId="38">
    <w:name w:val="Heading 3 Char"/>
    <w:link w:val="6"/>
    <w:uiPriority w:val="9"/>
    <w:rPr>
      <w:rFonts w:ascii="等线" w:hAnsi="等线" w:eastAsia="等线" w:cs="等线"/>
      <w:sz w:val="30"/>
      <w:szCs w:val="30"/>
    </w:rPr>
  </w:style>
  <w:style w:type="character" w:customStyle="1" w:styleId="39">
    <w:name w:val="Heading 4 Char"/>
    <w:link w:val="7"/>
    <w:qFormat/>
    <w:uiPriority w:val="9"/>
    <w:rPr>
      <w:rFonts w:ascii="等线" w:hAnsi="等线" w:eastAsia="等线" w:cs="等线"/>
      <w:b/>
      <w:bCs/>
      <w:sz w:val="26"/>
      <w:szCs w:val="26"/>
    </w:rPr>
  </w:style>
  <w:style w:type="character" w:customStyle="1" w:styleId="40">
    <w:name w:val="Heading 5 Char"/>
    <w:link w:val="8"/>
    <w:uiPriority w:val="9"/>
    <w:rPr>
      <w:rFonts w:ascii="等线" w:hAnsi="等线" w:eastAsia="等线" w:cs="等线"/>
      <w:b/>
      <w:bCs/>
      <w:sz w:val="24"/>
      <w:szCs w:val="24"/>
    </w:rPr>
  </w:style>
  <w:style w:type="character" w:customStyle="1" w:styleId="41">
    <w:name w:val="Heading 6 Char"/>
    <w:link w:val="9"/>
    <w:uiPriority w:val="9"/>
    <w:rPr>
      <w:rFonts w:ascii="等线" w:hAnsi="等线" w:eastAsia="等线" w:cs="等线"/>
      <w:b/>
      <w:bCs/>
      <w:sz w:val="22"/>
      <w:szCs w:val="22"/>
    </w:rPr>
  </w:style>
  <w:style w:type="character" w:customStyle="1" w:styleId="42">
    <w:name w:val="Heading 7 Char"/>
    <w:link w:val="10"/>
    <w:qFormat/>
    <w:uiPriority w:val="9"/>
    <w:rPr>
      <w:rFonts w:ascii="等线" w:hAnsi="等线" w:eastAsia="等线" w:cs="等线"/>
      <w:b/>
      <w:bCs/>
      <w:i/>
      <w:iCs/>
      <w:sz w:val="22"/>
      <w:szCs w:val="22"/>
    </w:rPr>
  </w:style>
  <w:style w:type="character" w:customStyle="1" w:styleId="43">
    <w:name w:val="Heading 8 Char"/>
    <w:link w:val="11"/>
    <w:uiPriority w:val="9"/>
    <w:rPr>
      <w:rFonts w:ascii="等线" w:hAnsi="等线" w:eastAsia="等线" w:cs="等线"/>
      <w:i/>
      <w:iCs/>
      <w:sz w:val="22"/>
      <w:szCs w:val="22"/>
    </w:rPr>
  </w:style>
  <w:style w:type="character" w:customStyle="1" w:styleId="44">
    <w:name w:val="Heading 9 Char"/>
    <w:link w:val="12"/>
    <w:uiPriority w:val="9"/>
    <w:rPr>
      <w:rFonts w:ascii="等线" w:hAnsi="等线" w:eastAsia="等线" w:cs="等线"/>
      <w:i/>
      <w:iCs/>
      <w:sz w:val="21"/>
      <w:szCs w:val="21"/>
    </w:rPr>
  </w:style>
  <w:style w:type="paragraph" w:styleId="45">
    <w:name w:val="List Paragraph"/>
    <w:basedOn w:val="1"/>
    <w:qFormat/>
    <w:uiPriority w:val="34"/>
    <w:pPr>
      <w:ind w:left="720"/>
      <w:contextualSpacing/>
    </w:pPr>
  </w:style>
  <w:style w:type="paragraph" w:styleId="46">
    <w:name w:val="No Spacing"/>
    <w:qFormat/>
    <w:uiPriority w:val="1"/>
    <w:pPr>
      <w:spacing w:before="0" w:after="0" w:line="240" w:lineRule="auto"/>
    </w:pPr>
    <w:rPr>
      <w:rFonts w:hint="default" w:ascii="Times New Roman" w:hAnsi="Times New Roman" w:eastAsia="宋体" w:cs="Times New Roman"/>
    </w:rPr>
  </w:style>
  <w:style w:type="character" w:customStyle="1" w:styleId="47">
    <w:name w:val="Title Char"/>
    <w:link w:val="29"/>
    <w:uiPriority w:val="10"/>
    <w:rPr>
      <w:sz w:val="48"/>
      <w:szCs w:val="48"/>
    </w:rPr>
  </w:style>
  <w:style w:type="character" w:customStyle="1" w:styleId="48">
    <w:name w:val="Subtitle Char"/>
    <w:link w:val="23"/>
    <w:qFormat/>
    <w:uiPriority w:val="11"/>
    <w:rPr>
      <w:sz w:val="24"/>
      <w:szCs w:val="24"/>
    </w:rPr>
  </w:style>
  <w:style w:type="paragraph" w:styleId="49">
    <w:name w:val="Quote"/>
    <w:basedOn w:val="1"/>
    <w:next w:val="1"/>
    <w:link w:val="50"/>
    <w:qFormat/>
    <w:uiPriority w:val="29"/>
    <w:pPr>
      <w:ind w:left="720" w:right="720"/>
    </w:pPr>
    <w:rPr>
      <w:i/>
    </w:rPr>
  </w:style>
  <w:style w:type="character" w:customStyle="1" w:styleId="50">
    <w:name w:val="Quote Char"/>
    <w:link w:val="49"/>
    <w:uiPriority w:val="29"/>
    <w:rPr>
      <w:i/>
    </w:rPr>
  </w:style>
  <w:style w:type="paragraph" w:styleId="51">
    <w:name w:val="Intense Quote"/>
    <w:basedOn w:val="1"/>
    <w:next w:val="1"/>
    <w:link w:val="52"/>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2">
    <w:name w:val="Intense Quote Char"/>
    <w:link w:val="51"/>
    <w:uiPriority w:val="30"/>
    <w:rPr>
      <w:i/>
    </w:rPr>
  </w:style>
  <w:style w:type="character" w:customStyle="1" w:styleId="53">
    <w:name w:val="Header Char"/>
    <w:link w:val="20"/>
    <w:uiPriority w:val="99"/>
  </w:style>
  <w:style w:type="character" w:customStyle="1" w:styleId="54">
    <w:name w:val="Footer Char"/>
    <w:link w:val="19"/>
    <w:uiPriority w:val="99"/>
  </w:style>
  <w:style w:type="character" w:customStyle="1" w:styleId="55">
    <w:name w:val="Caption Char"/>
    <w:link w:val="19"/>
    <w:uiPriority w:val="99"/>
  </w:style>
  <w:style w:type="table" w:customStyle="1" w:styleId="56">
    <w:name w:val="Table Grid Ligh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7">
    <w:name w:val="Plain Table 1"/>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shd w:val="clear" w:color="F1F1F1" w:themeColor="text1" w:themeTint="0D" w:fill="F1F1F1" w:themeFill="text1" w:themeFillTint="0D"/>
      </w:tcPr>
    </w:tblStylePr>
    <w:tblStylePr w:type="band2Vert">
      <w:tblPr/>
    </w:tblStylePr>
    <w:tblStylePr w:type="band1Horz">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8">
    <w:name w:val="Plain Table 2"/>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blPr/>
      <w:tcPr>
        <w:tcBorders>
          <w:top w:val="single" w:color="000000" w:themeColor="text1" w:sz="4" w:space="0"/>
          <w:bottom w:val="single" w:color="000000" w:themeColor="text1" w:sz="4" w:space="0"/>
        </w:tcBorders>
      </w:tc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9">
    <w:name w:val="Plain Table 3"/>
    <w:uiPriority w:val="99"/>
    <w:pPr>
      <w:spacing w:after="0" w:line="240" w:lineRule="auto"/>
    </w:pPr>
    <w:tblPr/>
    <w:tblStylePr w:type="firstRow">
      <w:rPr>
        <w:b/>
        <w:caps/>
        <w:color w:val="404040"/>
      </w:rPr>
      <w:tblPr/>
      <w:tcPr>
        <w:tcBorders>
          <w:top w:val="nil"/>
          <w:left w:val="nil"/>
          <w:bottom w:val="single" w:color="404040" w:sz="4" w:space="0"/>
          <w:right w:val="nil"/>
        </w:tcBorders>
      </w:tcPr>
    </w:tblStylePr>
    <w:tblStylePr w:type="lastRow">
      <w:rPr>
        <w:b/>
        <w:caps/>
        <w:color w:val="404040"/>
      </w:rPr>
      <w:tblPr/>
    </w:tblStylePr>
    <w:tblStylePr w:type="firstCol">
      <w:rPr>
        <w:b/>
        <w:caps/>
        <w:color w:val="404040"/>
      </w:rPr>
      <w:tblPr/>
      <w:tcPr>
        <w:tcBorders>
          <w:top w:val="nil"/>
          <w:left w:val="nil"/>
          <w:bottom w:val="nil"/>
          <w:right w:val="single" w:color="404040" w:sz="4" w:space="0"/>
        </w:tcBorders>
      </w:tcPr>
    </w:tblStylePr>
    <w:tblStylePr w:type="lastCol">
      <w:rPr>
        <w:b/>
        <w:caps/>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0">
    <w:name w:val="Plain Table 4"/>
    <w:uiPriority w:val="99"/>
    <w:pPr>
      <w:spacing w:after="0" w:line="240" w:lineRule="auto"/>
    </w:pPr>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1">
    <w:name w:val="Plain Table 5"/>
    <w:uiPriority w:val="99"/>
    <w:pPr>
      <w:spacing w:after="0" w:line="240" w:lineRule="auto"/>
    </w:pPr>
    <w:tblPr/>
    <w:tblStylePr w:type="firstRow">
      <w:rPr>
        <w:i/>
        <w:color w:val="404040"/>
      </w:rPr>
      <w:tblPr/>
      <w:tcPr>
        <w:tcBorders>
          <w:left w:val="nil"/>
          <w:bottom w:val="single" w:color="404040" w:sz="4" w:space="0"/>
          <w:right w:val="nil"/>
        </w:tcBorders>
        <w:shd w:val="clear" w:color="FFFFFF" w:fill="auto"/>
      </w:tcPr>
    </w:tblStylePr>
    <w:tblStylePr w:type="lastRow">
      <w:rPr>
        <w:i/>
        <w:color w:val="404040"/>
      </w:rPr>
      <w:tblPr/>
      <w:tcPr>
        <w:tcBorders>
          <w:top w:val="single" w:color="404040" w:sz="4" w:space="0"/>
          <w:left w:val="nil"/>
          <w:right w:val="nil"/>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2">
    <w:name w:val="Grid Table 1 Ligh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blPr/>
      <w:tcPr>
        <w:tcBorders>
          <w:bottom w:val="single" w:color="696969" w:themeColor="tex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3">
    <w:name w:val="Grid Table 1 Light - Accent 1"/>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blPr/>
      <w:tcPr>
        <w:tcBorders>
          <w:bottom w:val="single" w:color="98B5D8" w:themeColor="accen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4">
    <w:name w:val="Grid Table 1 Light - Accent 2"/>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blPr/>
      <w:tcPr>
        <w:tcBorders>
          <w:bottom w:val="single" w:color="DA9896" w:themeColor="accent2"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5">
    <w:name w:val="Grid Table 1 Light - Accent 3"/>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blPr/>
      <w:tcPr>
        <w:tcBorders>
          <w:bottom w:val="single" w:color="C4D79E" w:themeColor="accent3"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6">
    <w:name w:val="Grid Table 1 Light - Accent 4"/>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blPr/>
      <w:tcPr>
        <w:tcBorders>
          <w:bottom w:val="single" w:color="B4A4C8" w:themeColor="accent4"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7">
    <w:name w:val="Grid Table 1 Light - Accent 5"/>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blPr/>
      <w:tcPr>
        <w:tcBorders>
          <w:bottom w:val="single" w:color="95CEDD" w:themeColor="accent5"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8">
    <w:name w:val="Grid Table 1 Light - Accent 6"/>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blPr/>
      <w:tcPr>
        <w:tcBorders>
          <w:bottom w:val="single" w:color="FAC192" w:themeColor="accent6"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9">
    <w:name w:val="Grid Table 2"/>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single" w:color="696969" w:themeColor="text1" w:themeTint="95" w:sz="12" w:space="0"/>
          <w:right w:val="nil"/>
        </w:tcBorders>
        <w:shd w:val="clear" w:color="FFFFFF" w:fill="auto"/>
      </w:tcPr>
    </w:tblStylePr>
    <w:tblStylePr w:type="lastRow">
      <w:rPr>
        <w:b/>
        <w:color w:val="404040"/>
      </w:rPr>
      <w:tblPr/>
      <w:tcPr>
        <w:tcBorders>
          <w:top w:val="single" w:color="696969" w:themeColor="text1" w:themeTint="9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0">
    <w:name w:val="Grid Table 2 - Accent 1"/>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blPr/>
      <w:tcPr>
        <w:tcBorders>
          <w:top w:val="nil"/>
          <w:left w:val="nil"/>
          <w:bottom w:val="single" w:color="5D8BC2" w:themeColor="accent1" w:themeTint="EA" w:sz="12" w:space="0"/>
          <w:right w:val="nil"/>
        </w:tcBorders>
        <w:shd w:val="clear" w:color="FFFFFF" w:fill="auto"/>
      </w:tcPr>
    </w:tblStylePr>
    <w:tblStylePr w:type="lastRow">
      <w:rPr>
        <w:b/>
        <w:color w:val="404040"/>
      </w:rPr>
      <w:tblPr/>
      <w:tcPr>
        <w:tcBorders>
          <w:top w:val="single" w:color="5D8BC2" w:themeColor="accent1" w:themeTint="E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BE5F1" w:themeColor="accent1" w:themeTint="34" w:fill="DBE5F1" w:themeFill="accent1" w:themeFillTint="34"/>
      </w:tcPr>
    </w:tblStylePr>
    <w:tblStylePr w:type="band2Vert">
      <w:tblPr/>
    </w:tblStylePr>
    <w:tblStylePr w:type="band1Horz">
      <w:rPr>
        <w:rFonts w:ascii="Arial" w:hAnsi="Arial"/>
        <w:color w:val="404040"/>
        <w:sz w:val="22"/>
      </w:rPr>
      <w:tblPr/>
      <w:tcPr>
        <w:shd w:val="clear" w:color="DBE5F1" w:themeColor="accent1" w:themeTint="34" w:fill="DBE5F1"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1">
    <w:name w:val="Grid Table 2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blPr/>
      <w:tcPr>
        <w:tcBorders>
          <w:top w:val="nil"/>
          <w:left w:val="nil"/>
          <w:bottom w:val="single" w:color="D99795" w:themeColor="accent2" w:themeTint="97" w:sz="12" w:space="0"/>
          <w:right w:val="nil"/>
        </w:tcBorders>
        <w:shd w:val="clear" w:color="FFFFFF" w:fill="auto"/>
      </w:tcPr>
    </w:tblStylePr>
    <w:tblStylePr w:type="lastRow">
      <w:rPr>
        <w:b/>
        <w:color w:val="404040"/>
      </w:rPr>
      <w:tblPr/>
      <w:tcPr>
        <w:tcBorders>
          <w:top w:val="single" w:color="D99795" w:themeColor="accent2" w:themeTint="97"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2">
    <w:name w:val="Grid Table 2 - Accent 3"/>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blPr/>
      <w:tcPr>
        <w:tcBorders>
          <w:top w:val="nil"/>
          <w:left w:val="nil"/>
          <w:bottom w:val="single" w:color="9BBB59" w:themeColor="accent3" w:themeTint="FE" w:sz="12" w:space="0"/>
          <w:right w:val="nil"/>
        </w:tcBorders>
        <w:shd w:val="clear" w:color="FFFFFF" w:fill="auto"/>
      </w:tcPr>
    </w:tblStylePr>
    <w:tblStylePr w:type="lastRow">
      <w:rPr>
        <w:b/>
        <w:color w:val="404040"/>
      </w:rPr>
      <w:tblPr/>
      <w:tcPr>
        <w:tcBorders>
          <w:top w:val="single" w:color="9BBB59" w:themeColor="accent3" w:themeTint="FE"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3">
    <w:name w:val="Grid Table 2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il"/>
          <w:left w:val="nil"/>
          <w:bottom w:val="single" w:color="B2A1C6" w:themeColor="accent4" w:themeTint="9A" w:sz="12" w:space="0"/>
          <w:right w:val="nil"/>
        </w:tcBorders>
        <w:shd w:val="clear" w:color="FFFFFF" w:fill="auto"/>
      </w:tcPr>
    </w:tblStylePr>
    <w:tblStylePr w:type="lastRow">
      <w:rPr>
        <w:b/>
        <w:color w:val="404040"/>
      </w:rPr>
      <w:tblPr/>
      <w:tcPr>
        <w:tcBorders>
          <w:top w:val="single" w:color="B2A1C6" w:themeColor="accent4" w:themeTint="9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4">
    <w:name w:val="Grid Table 2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il"/>
          <w:left w:val="nil"/>
          <w:bottom w:val="single" w:color="4BACC6" w:themeColor="accent5" w:sz="12" w:space="0"/>
          <w:right w:val="nil"/>
        </w:tcBorders>
        <w:shd w:val="clear" w:color="FFFFFF" w:fill="auto"/>
      </w:tcPr>
    </w:tblStylePr>
    <w:tblStylePr w:type="lastRow">
      <w:rPr>
        <w:b/>
        <w:color w:val="404040"/>
      </w:rPr>
      <w:tblPr/>
      <w:tcPr>
        <w:tcBorders>
          <w:top w:val="single" w:color="4BACC6" w:themeColor="accent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5">
    <w:name w:val="Grid Table 2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il"/>
          <w:left w:val="nil"/>
          <w:bottom w:val="single" w:color="F79646" w:themeColor="accent6" w:sz="12" w:space="0"/>
          <w:right w:val="nil"/>
        </w:tcBorders>
        <w:shd w:val="clear" w:color="FFFFFF" w:fill="auto"/>
      </w:tcPr>
    </w:tblStylePr>
    <w:tblStylePr w:type="lastRow">
      <w:rPr>
        <w:b/>
        <w:color w:val="404040"/>
      </w:rPr>
      <w:tblPr/>
      <w:tcPr>
        <w:tcBorders>
          <w:top w:val="single" w:color="F79646" w:themeColor="accent6"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6">
    <w:name w:val="Grid Table 3"/>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7">
    <w:name w:val="Grid Table 3 - Accent 1"/>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BE5F1" w:themeColor="accent1" w:themeTint="34" w:fill="DBE5F1" w:themeFill="accent1" w:themeFillTint="34"/>
      </w:tcPr>
    </w:tblStylePr>
    <w:tblStylePr w:type="band2Vert">
      <w:tblPr/>
    </w:tblStylePr>
    <w:tblStylePr w:type="band1Horz">
      <w:rPr>
        <w:rFonts w:ascii="Arial" w:hAnsi="Arial"/>
        <w:color w:val="404040"/>
        <w:sz w:val="22"/>
      </w:rPr>
      <w:tblPr/>
      <w:tcPr>
        <w:shd w:val="clear" w:color="DBE5F1" w:themeColor="accent1" w:themeTint="34" w:fill="DBE5F1"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8">
    <w:name w:val="Grid Table 3 - Accent 2"/>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9">
    <w:name w:val="Grid Table 3 - Accent 3"/>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0">
    <w:name w:val="Grid Table 3 - Accent 4"/>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1">
    <w:name w:val="Grid Table 3 - Accent 5"/>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2">
    <w:name w:val="Grid Table 3 - Accent 6"/>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3">
    <w:name w:val="Grid Table 4"/>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4">
    <w:name w:val="Grid Table 4 - Accent 1"/>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bl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blPr/>
      <w:tcPr>
        <w:tcBorders>
          <w:top w:val="single" w:color="5D8BC2" w:themeColor="accent1" w:themeTint="E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CE6F2" w:themeColor="accent1" w:themeTint="32" w:fill="DCE6F2" w:themeFill="accent1" w:themeFillTint="32"/>
      </w:tcPr>
    </w:tblStylePr>
    <w:tblStylePr w:type="band2Vert">
      <w:tblPr/>
    </w:tblStylePr>
    <w:tblStylePr w:type="band1Horz">
      <w:rPr>
        <w:rFonts w:ascii="Arial" w:hAnsi="Arial"/>
        <w:color w:val="404040"/>
        <w:sz w:val="22"/>
      </w:rPr>
      <w:tblPr/>
      <w:tcPr>
        <w:shd w:val="clear" w:color="DCE6F2" w:themeColor="accent1" w:themeTint="32" w:fill="DCE6F2" w:themeFill="accent1"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5">
    <w:name w:val="Grid Table 4 - Accent 2"/>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bl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blPr/>
      <w:tcPr>
        <w:tcBorders>
          <w:top w:val="single" w:color="D99795" w:themeColor="accent2" w:themeTint="97"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6">
    <w:name w:val="Grid Table 4 - Accent 3"/>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bl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blPr/>
      <w:tcPr>
        <w:tcBorders>
          <w:top w:val="single" w:color="9BBB59" w:themeColor="accent3" w:themeTint="FE"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7">
    <w:name w:val="Grid Table 4 - Accent 4"/>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bl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blPr/>
      <w:tcPr>
        <w:tcBorders>
          <w:top w:val="single" w:color="B2A1C6" w:themeColor="accent4" w:themeTint="9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8">
    <w:name w:val="Grid Table 4 - Accent 5"/>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blPr/>
      <w:tcPr>
        <w:tcBorders>
          <w:top w:val="single" w:color="4BACC6" w:themeColor="accent5"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9">
    <w:name w:val="Grid Table 4 - Accent 6"/>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blPr/>
      <w:tcPr>
        <w:tcBorders>
          <w:top w:val="single" w:color="F79646" w:themeColor="accent6"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0">
    <w:name w:val="Grid Table 5 Dark"/>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98989" w:themeColor="text1" w:themeTint="75" w:fill="898989" w:themeFill="text1" w:themeFillTint="75"/>
      </w:tcPr>
    </w:tblStylePr>
    <w:tblStylePr w:type="band2Vert">
      <w:tblPr/>
    </w:tblStylePr>
    <w:tblStylePr w:type="band1Horz">
      <w:tblPr/>
      <w:tcPr>
        <w:shd w:val="clear" w:color="898989" w:themeColor="text1" w:themeTint="75" w:fill="898989" w:themeFill="tex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1">
    <w:name w:val="Grid Table 5 Dark- Accent 1"/>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5E0" w:themeColor="accent1" w:themeTint="75" w:fill="AEC5E0" w:themeFill="accent1" w:themeFillTint="75"/>
      </w:tcPr>
    </w:tblStylePr>
    <w:tblStylePr w:type="band2Vert">
      <w:tblPr/>
    </w:tblStylePr>
    <w:tblStylePr w:type="band1Horz">
      <w:tblPr/>
      <w:tcPr>
        <w:shd w:val="clear" w:color="AEC5E0" w:themeColor="accent1" w:themeTint="75" w:fill="AEC5E0" w:themeFill="accen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2">
    <w:name w:val="Grid Table 5 Dark - Accent 2"/>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2Vert">
      <w:tblPr/>
    </w:tblStylePr>
    <w:tblStylePr w:type="band1Horz">
      <w:tblPr/>
      <w:tcPr>
        <w:shd w:val="clear" w:color="E2AEAD" w:themeColor="accent2" w:themeTint="75" w:fill="E2AEAD" w:themeFill="accent2"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3">
    <w:name w:val="Grid Table 5 Dark - Accent 3"/>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1DFB2" w:themeColor="accent3" w:themeTint="75" w:fill="D1DFB2" w:themeFill="accent3" w:themeFillTint="75"/>
      </w:tcPr>
    </w:tblStylePr>
    <w:tblStylePr w:type="band2Vert">
      <w:tblPr/>
    </w:tblStylePr>
    <w:tblStylePr w:type="band1Horz">
      <w:tblPr/>
      <w:tcPr>
        <w:shd w:val="clear" w:color="D1DFB2" w:themeColor="accent3" w:themeTint="75" w:fill="D1DFB2" w:themeFill="accent3"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4">
    <w:name w:val="Grid Table 5 Dark- Accent 4"/>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2Vert">
      <w:tblPr/>
    </w:tblStylePr>
    <w:tblStylePr w:type="band1Horz">
      <w:tblPr/>
      <w:tcPr>
        <w:shd w:val="clear" w:color="C4B7D4" w:themeColor="accent4" w:themeTint="75" w:fill="C4B7D4" w:themeFill="accent4"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5">
    <w:name w:val="Grid Table 5 Dark - Accent 5"/>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2Vert">
      <w:tblPr/>
    </w:tblStylePr>
    <w:tblStylePr w:type="band1Horz">
      <w:tblPr/>
      <w:tcPr>
        <w:shd w:val="clear" w:color="ACD8E4" w:themeColor="accent5" w:themeTint="75" w:fill="ACD8E4" w:themeFill="accent5"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6">
    <w:name w:val="Grid Table 5 Dark - Accent 6"/>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2Vert">
      <w:tblPr/>
    </w:tblStylePr>
    <w:tblStylePr w:type="band1Horz">
      <w:tblPr/>
      <w:tcPr>
        <w:shd w:val="clear" w:color="FBCEAA" w:themeColor="accent6" w:themeTint="75" w:fill="FBCEAA" w:themeFill="accent6"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7">
    <w:name w:val="Grid Table 6 Colorful"/>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bl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Pr/>
    </w:tblStylePr>
    <w:tblStylePr w:type="firstCol">
      <w:rPr>
        <w:b/>
        <w:color w:val="808080" w:themeColor="text1" w:themeTint="80"/>
        <w14:textFill>
          <w14:solidFill>
            <w14:schemeClr w14:val="tx1">
              <w14:lumMod w14:val="50000"/>
              <w14:lumOff w14:val="50000"/>
            </w14:schemeClr>
          </w14:solidFill>
        </w14:textFill>
      </w:rPr>
      <w:tblPr/>
    </w:tblStylePr>
    <w:tblStylePr w:type="lastCol">
      <w:rPr>
        <w:b/>
        <w:color w:val="808080" w:themeColor="text1" w:themeTint="80"/>
        <w14:textFill>
          <w14:solidFill>
            <w14:schemeClr w14:val="tx1">
              <w14:lumMod w14:val="50000"/>
              <w14:lumOff w14:val="50000"/>
            </w14:schemeClr>
          </w14:solidFill>
        </w14:textFill>
      </w:rPr>
      <w:tblPr/>
    </w:tblStylePr>
    <w:tblStylePr w:type="band1Vert">
      <w:tblPr/>
      <w:tcPr>
        <w:shd w:val="clear" w:color="CACACA" w:themeColor="text1" w:themeTint="34" w:fill="CACACA" w:themeFill="text1" w:themeFillTint="34"/>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98">
    <w:name w:val="Grid Table 6 Colorful - Accent 1"/>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bl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Pr/>
    </w:tblStylePr>
    <w:tblStylePr w:type="firstCol">
      <w:rPr>
        <w:b/>
        <w:color w:val="A7C0DE" w:themeColor="accent1" w:themeTint="80"/>
        <w14:textFill>
          <w14:solidFill>
            <w14:schemeClr w14:val="accent1">
              <w14:lumMod w14:val="50000"/>
              <w14:lumOff w14:val="50000"/>
            </w14:schemeClr>
          </w14:solidFill>
        </w14:textFill>
      </w:rPr>
      <w:tblPr/>
    </w:tblStylePr>
    <w:tblStylePr w:type="lastCol">
      <w:rPr>
        <w:b/>
        <w:color w:val="A7C0DE" w:themeColor="accent1" w:themeTint="80"/>
        <w14:textFill>
          <w14:solidFill>
            <w14:schemeClr w14:val="accent1">
              <w14:lumMod w14:val="50000"/>
              <w14:lumOff w14:val="50000"/>
            </w14:schemeClr>
          </w14:solidFill>
        </w14:textFill>
      </w:rPr>
      <w:tblPr/>
    </w:tblStylePr>
    <w:tblStylePr w:type="band1Vert">
      <w:tblPr/>
      <w:tcPr>
        <w:shd w:val="clear" w:color="DBE5F1" w:themeColor="accent1" w:themeTint="34" w:fill="DBE5F1" w:themeFill="accent1" w:themeFillTint="34"/>
      </w:tcPr>
    </w:tblStylePr>
    <w:tblStylePr w:type="band2Vert">
      <w:tbl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bl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99">
    <w:name w:val="Grid Table 6 Colorful - Accent 2"/>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bl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Pr/>
    </w:tblStylePr>
    <w:tblStylePr w:type="firstCol">
      <w:rPr>
        <w:b/>
        <w:color w:val="DA9896" w:themeColor="accent2" w:themeTint="96"/>
        <w14:textFill>
          <w14:solidFill>
            <w14:schemeClr w14:val="accent2">
              <w14:lumMod w14:val="59000"/>
              <w14:lumOff w14:val="41000"/>
            </w14:schemeClr>
          </w14:solidFill>
        </w14:textFill>
      </w:rPr>
      <w:tblPr/>
    </w:tblStylePr>
    <w:tblStylePr w:type="lastCol">
      <w:rPr>
        <w:b/>
        <w:color w:val="DA9896" w:themeColor="accent2" w:themeTint="96"/>
        <w14:textFill>
          <w14:solidFill>
            <w14:schemeClr w14:val="accent2">
              <w14:lumMod w14:val="59000"/>
              <w14:lumOff w14:val="41000"/>
            </w14:schemeClr>
          </w14:solidFill>
        </w14:textFill>
      </w:rPr>
      <w:tblPr/>
    </w:tblStylePr>
    <w:tblStylePr w:type="band1Vert">
      <w:tblPr/>
      <w:tcPr>
        <w:shd w:val="clear" w:color="F2DCDC" w:themeColor="accent2" w:themeTint="32" w:fill="F2DCDC" w:themeFill="accent2" w:themeFillTint="32"/>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0">
    <w:name w:val="Grid Table 6 Colorful - Accent 3"/>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bl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Pr/>
    </w:tblStylePr>
    <w:tblStylePr w:type="firstCol">
      <w:rPr>
        <w:b/>
        <w:color w:val="9BBB59" w:themeColor="accent3" w:themeTint="FF"/>
        <w14:textFill>
          <w14:solidFill>
            <w14:schemeClr w14:val="accent3">
              <w14:lumMod w14:val="100000"/>
              <w14:lumOff w14:val="0"/>
            </w14:schemeClr>
          </w14:solidFill>
        </w14:textFill>
      </w:rPr>
      <w:tblPr/>
    </w:tblStylePr>
    <w:tblStylePr w:type="lastCol">
      <w:rPr>
        <w:b/>
        <w:color w:val="9BBB59" w:themeColor="accent3" w:themeTint="FF"/>
        <w14:textFill>
          <w14:solidFill>
            <w14:schemeClr w14:val="accent3">
              <w14:lumMod w14:val="100000"/>
              <w14:lumOff w14:val="0"/>
            </w14:schemeClr>
          </w14:solidFill>
        </w14:textFill>
      </w:rPr>
      <w:tblPr/>
    </w:tblStylePr>
    <w:tblStylePr w:type="band1Vert">
      <w:tblPr/>
      <w:tcPr>
        <w:shd w:val="clear" w:color="EAF1DD" w:themeColor="accent3" w:themeTint="34" w:fill="EAF1DD" w:themeFill="accent3" w:themeFillTint="34"/>
      </w:tcPr>
    </w:tblStylePr>
    <w:tblStylePr w:type="band2Vert">
      <w:tblPr/>
    </w:tblStylePr>
    <w:tblStylePr w:type="band1Horz">
      <w:rPr>
        <w:rFonts w:ascii="Arial" w:hAnsi="Arial"/>
        <w:color w:val="9BBB59" w:themeColor="accent3" w:themeTint="FF"/>
        <w:sz w:val="22"/>
        <w14:textFill>
          <w14:solidFill>
            <w14:schemeClr w14:val="accent3">
              <w14:lumMod w14:val="100000"/>
              <w14:lumOff w14:val="0"/>
            </w14:schemeClr>
          </w14:solidFill>
        </w14:textFill>
      </w:rPr>
      <w:tbl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1">
    <w:name w:val="Grid Table 6 Colorful - Accent 4"/>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bl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Pr/>
    </w:tblStylePr>
    <w:tblStylePr w:type="firstCol">
      <w:rPr>
        <w:b/>
        <w:color w:val="B3A2C7" w:themeColor="accent4" w:themeTint="99"/>
        <w14:textFill>
          <w14:solidFill>
            <w14:schemeClr w14:val="accent4">
              <w14:lumMod w14:val="60000"/>
              <w14:lumOff w14:val="40000"/>
            </w14:schemeClr>
          </w14:solidFill>
        </w14:textFill>
      </w:rPr>
      <w:tblPr/>
    </w:tblStylePr>
    <w:tblStylePr w:type="lastCol">
      <w:rPr>
        <w:b/>
        <w:color w:val="B3A2C7" w:themeColor="accent4" w:themeTint="99"/>
        <w14:textFill>
          <w14:solidFill>
            <w14:schemeClr w14:val="accent4">
              <w14:lumMod w14:val="60000"/>
              <w14:lumOff w14:val="40000"/>
            </w14:schemeClr>
          </w14:solidFill>
        </w14:textFill>
      </w:rPr>
      <w:tblPr/>
    </w:tblStylePr>
    <w:tblStylePr w:type="band1Vert">
      <w:tblPr/>
      <w:tcPr>
        <w:shd w:val="clear" w:color="E5DFEC" w:themeColor="accent4" w:themeTint="34" w:fill="E5DFEC" w:themeFill="accent4" w:themeFillTint="34"/>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2">
    <w:name w:val="Grid Table 6 Colorful - Accent 5"/>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blPr/>
      <w:tcPr>
        <w:tcBorders>
          <w:bottom w:val="single" w:color="4BACC6" w:themeColor="accent5" w:sz="12" w:space="0"/>
        </w:tcBorders>
      </w:tcPr>
    </w:tblStylePr>
    <w:tblStylePr w:type="lastRow">
      <w:rPr>
        <w:b/>
        <w:color w:val="266778" w:themeColor="accent5" w:themeShade="94"/>
      </w:rPr>
      <w:tblPr/>
    </w:tblStylePr>
    <w:tblStylePr w:type="firstCol">
      <w:rPr>
        <w:b/>
        <w:color w:val="266778" w:themeColor="accent5" w:themeShade="94"/>
      </w:rPr>
      <w:tblPr/>
    </w:tblStylePr>
    <w:tblStylePr w:type="lastCol">
      <w:rPr>
        <w:b/>
        <w:color w:val="266778" w:themeColor="accent5" w:themeShade="94"/>
      </w:rPr>
      <w:tblPr/>
    </w:tblStylePr>
    <w:tblStylePr w:type="band1Vert">
      <w:tblPr/>
      <w:tcPr>
        <w:shd w:val="clear" w:color="DAEEF3" w:themeColor="accent5" w:themeTint="34" w:fill="DAEEF3" w:themeFill="accent5" w:themeFillTint="34"/>
      </w:tcPr>
    </w:tblStylePr>
    <w:tblStylePr w:type="band2Vert">
      <w:tblPr/>
    </w:tblStylePr>
    <w:tblStylePr w:type="band1Horz">
      <w:rPr>
        <w:rFonts w:ascii="Arial" w:hAnsi="Arial"/>
        <w:color w:val="266778" w:themeColor="accent5" w:themeShade="94"/>
        <w:sz w:val="22"/>
      </w:rPr>
      <w:tblPr/>
      <w:tcPr>
        <w:shd w:val="clear" w:color="DAEEF3" w:themeColor="accent5" w:themeTint="34" w:fill="DAEEF3" w:themeFill="accent5" w:themeFillTint="34"/>
      </w:tcPr>
    </w:tblStylePr>
    <w:tblStylePr w:type="band2Horz">
      <w:rPr>
        <w:rFonts w:ascii="Arial" w:hAnsi="Arial"/>
        <w:color w:val="266778"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03">
    <w:name w:val="Grid Table 6 Colorful - Accent 6"/>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blPr/>
      <w:tcPr>
        <w:tcBorders>
          <w:bottom w:val="single" w:color="F79646" w:themeColor="accent6" w:sz="12" w:space="0"/>
        </w:tcBorders>
      </w:tcPr>
    </w:tblStylePr>
    <w:tblStylePr w:type="lastRow">
      <w:rPr>
        <w:b/>
        <w:color w:val="266778" w:themeColor="accent5" w:themeShade="94"/>
      </w:rPr>
      <w:tblPr/>
    </w:tblStylePr>
    <w:tblStylePr w:type="firstCol">
      <w:rPr>
        <w:b/>
        <w:color w:val="266778" w:themeColor="accent5" w:themeShade="94"/>
      </w:rPr>
      <w:tblPr/>
    </w:tblStylePr>
    <w:tblStylePr w:type="lastCol">
      <w:rPr>
        <w:b/>
        <w:color w:val="266778" w:themeColor="accent5" w:themeShade="94"/>
      </w:rPr>
      <w:tblPr/>
    </w:tblStylePr>
    <w:tblStylePr w:type="band1Vert">
      <w:tblPr/>
      <w:tcPr>
        <w:shd w:val="clear" w:color="FDE9D9" w:themeColor="accent6" w:themeTint="34" w:fill="FDE9D9" w:themeFill="accent6" w:themeFillTint="34"/>
      </w:tcPr>
    </w:tblStylePr>
    <w:tblStylePr w:type="band2Vert">
      <w:tblPr/>
    </w:tblStylePr>
    <w:tblStylePr w:type="band1Horz">
      <w:rPr>
        <w:rFonts w:ascii="Arial" w:hAnsi="Arial"/>
        <w:color w:val="266778" w:themeColor="accent5" w:themeShade="94"/>
        <w:sz w:val="22"/>
      </w:rPr>
      <w:tblPr/>
      <w:tcPr>
        <w:shd w:val="clear" w:color="FDE9D9" w:themeColor="accent6" w:themeTint="34" w:fill="FDE9D9" w:themeFill="accent6" w:themeFillTint="34"/>
      </w:tcPr>
    </w:tblStylePr>
    <w:tblStylePr w:type="band2Horz">
      <w:rPr>
        <w:rFonts w:ascii="Arial" w:hAnsi="Arial"/>
        <w:color w:val="266778"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04">
    <w:name w:val="Grid Table 7 Colorful"/>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color="7E7E7E" w:themeColor="text1" w:themeTint="80" w:sz="4" w:space="0"/>
          <w:bottom w:val="nil"/>
          <w:right w:val="nil"/>
        </w:tcBorders>
        <w:shd w:val="clear" w:color="FFFFFF" w:fill="auto"/>
      </w:tcPr>
    </w:tblStylePr>
    <w:tblStylePr w:type="band1Vert">
      <w:tblPr/>
      <w:tcPr>
        <w:shd w:val="clear" w:color="F1F1F1" w:themeColor="text1" w:themeTint="0D" w:fill="F1F1F1" w:themeFill="text1" w:themeFillTint="0D"/>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5">
    <w:name w:val="Grid Table 7 Colorful - Accent 1"/>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bl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bl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bl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blPr/>
      <w:tcPr>
        <w:tcBorders>
          <w:top w:val="nil"/>
          <w:left w:val="single" w:color="A6BFDD" w:themeColor="accent1" w:themeTint="80" w:sz="4" w:space="0"/>
          <w:bottom w:val="nil"/>
          <w:right w:val="nil"/>
        </w:tcBorders>
        <w:shd w:val="clear" w:color="FFFFFF" w:fill="auto"/>
      </w:tcPr>
    </w:tblStylePr>
    <w:tblStylePr w:type="band1Vert">
      <w:tblPr/>
      <w:tcPr>
        <w:shd w:val="clear" w:color="DBE5F1" w:themeColor="accent1" w:themeTint="34" w:fill="DBE5F1" w:themeFill="accent1" w:themeFillTint="34"/>
      </w:tcPr>
    </w:tblStylePr>
    <w:tblStylePr w:type="band2Vert">
      <w:tbl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bl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6">
    <w:name w:val="Grid Table 7 Colorful - Accent 2"/>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bl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bl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single" w:color="D99795" w:themeColor="accent2" w:themeTint="97" w:sz="4" w:space="0"/>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7">
    <w:name w:val="Grid Table 7 Colorful - Accent 3"/>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bl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bl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bl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blPr/>
      <w:tcPr>
        <w:tcBorders>
          <w:top w:val="nil"/>
          <w:left w:val="single" w:color="9BBB59" w:themeColor="accent3" w:themeTint="FE" w:sz="4" w:space="0"/>
          <w:bottom w:val="nil"/>
          <w:right w:val="nil"/>
        </w:tcBorders>
        <w:shd w:val="clear" w:color="FFFFFF" w:fill="auto"/>
      </w:tcPr>
    </w:tblStylePr>
    <w:tblStylePr w:type="band1Vert">
      <w:tblPr/>
      <w:tcPr>
        <w:shd w:val="clear" w:color="EAF1DD" w:themeColor="accent3" w:themeTint="34" w:fill="EAF1DD" w:themeFill="accent3" w:themeFillTint="34"/>
      </w:tcPr>
    </w:tblStylePr>
    <w:tblStylePr w:type="band2Vert">
      <w:tblPr/>
    </w:tblStylePr>
    <w:tblStylePr w:type="band1Horz">
      <w:rPr>
        <w:rFonts w:ascii="Arial" w:hAnsi="Arial"/>
        <w:color w:val="9BBB59" w:themeColor="accent3" w:themeTint="FF"/>
        <w:sz w:val="22"/>
        <w14:textFill>
          <w14:solidFill>
            <w14:schemeClr w14:val="accent3">
              <w14:lumMod w14:val="100000"/>
              <w14:lumOff w14:val="0"/>
            </w14:schemeClr>
          </w14:solidFill>
        </w14:textFill>
      </w:rPr>
      <w:tbl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8">
    <w:name w:val="Grid Table 7 Colorful - Accent 4"/>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bl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bl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single" w:color="B2A1C6" w:themeColor="accent4" w:themeTint="9A" w:sz="4" w:space="0"/>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9">
    <w:name w:val="Grid Table 7 Colorful - Accent 5"/>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bl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bl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bl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blPr/>
      <w:tcPr>
        <w:tcBorders>
          <w:top w:val="nil"/>
          <w:left w:val="single" w:color="99D0DE" w:themeColor="accent5" w:themeTint="90" w:sz="4" w:space="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2Vert">
      <w:tblPr/>
    </w:tblStylePr>
    <w:tblStylePr w:type="band1Horz">
      <w:rPr>
        <w:rFonts w:ascii="Arial" w:hAnsi="Arial"/>
        <w:color w:val="266778" w:themeColor="accent5" w:themeShade="94"/>
        <w:sz w:val="22"/>
      </w:rPr>
      <w:tblPr/>
      <w:tcPr>
        <w:shd w:val="clear" w:color="DAEEF3" w:themeColor="accent5" w:themeTint="34" w:fill="DAEEF3" w:themeFill="accent5" w:themeFillTint="34"/>
      </w:tcPr>
    </w:tblStylePr>
    <w:tblStylePr w:type="band2Horz">
      <w:rPr>
        <w:rFonts w:ascii="Arial" w:hAnsi="Arial"/>
        <w:color w:val="266778"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10">
    <w:name w:val="Grid Table 7 Colorful - Accent 6"/>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bl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bl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bl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blPr/>
      <w:tcPr>
        <w:tcBorders>
          <w:top w:val="nil"/>
          <w:left w:val="single" w:color="FAC396" w:themeColor="accent6" w:themeTint="90" w:sz="4" w:space="0"/>
          <w:bottom w:val="nil"/>
          <w:right w:val="nil"/>
        </w:tcBorders>
        <w:shd w:val="clear" w:color="FFFFFF" w:fill="auto"/>
      </w:tcPr>
    </w:tblStylePr>
    <w:tblStylePr w:type="band1Vert">
      <w:tblPr/>
      <w:tcPr>
        <w:shd w:val="clear" w:color="FDE9D9" w:themeColor="accent6" w:themeTint="34" w:fill="FDE9D9" w:themeFill="accent6" w:themeFillTint="34"/>
      </w:tcPr>
    </w:tblStylePr>
    <w:tblStylePr w:type="band2Vert">
      <w:tblPr/>
    </w:tblStylePr>
    <w:tblStylePr w:type="band1Horz">
      <w:rPr>
        <w:rFonts w:ascii="Arial" w:hAnsi="Arial"/>
        <w:color w:val="B05408" w:themeColor="accent6" w:themeShade="94"/>
        <w:sz w:val="22"/>
      </w:rPr>
      <w:tblPr/>
      <w:tcPr>
        <w:shd w:val="clear" w:color="FDE9D9" w:themeColor="accent6" w:themeTint="34" w:fill="FDE9D9" w:themeFill="accent6" w:themeFillTint="34"/>
      </w:tcPr>
    </w:tblStylePr>
    <w:tblStylePr w:type="band2Horz">
      <w:rPr>
        <w:rFonts w:ascii="Arial" w:hAnsi="Arial"/>
        <w:color w:val="B05408" w:themeColor="accent6" w:themeShade="94"/>
        <w:sz w:val="22"/>
      </w:rPr>
      <w:tblPr/>
    </w:tblStylePr>
    <w:tblStylePr w:type="neCell">
      <w:tblPr/>
    </w:tblStylePr>
    <w:tblStylePr w:type="nwCell">
      <w:tblPr/>
    </w:tblStylePr>
    <w:tblStylePr w:type="seCell">
      <w:tblPr/>
    </w:tblStylePr>
    <w:tblStylePr w:type="swCell">
      <w:tblPr/>
    </w:tblStylePr>
  </w:style>
  <w:style w:type="table" w:customStyle="1" w:styleId="111">
    <w:name w:val="List Table 1 Light"/>
    <w:uiPriority w:val="99"/>
    <w:pPr>
      <w:spacing w:after="0" w:line="240" w:lineRule="auto"/>
    </w:pPr>
    <w:tblPr/>
    <w:tblStylePr w:type="firstRow">
      <w:rPr>
        <w:b/>
        <w:color w:val="404040"/>
      </w:rPr>
      <w:tblPr/>
      <w:tcPr>
        <w:tcBorders>
          <w:top w:val="nil"/>
          <w:left w:val="nil"/>
          <w:bottom w:val="single" w:color="000000" w:themeColor="text1" w:sz="4" w:space="0"/>
          <w:right w:val="nil"/>
        </w:tcBorders>
      </w:tcPr>
    </w:tblStylePr>
    <w:tblStylePr w:type="lastRow">
      <w:rPr>
        <w:b/>
        <w:color w:val="404040"/>
      </w:rPr>
      <w:tblPr/>
      <w:tcPr>
        <w:tcBorders>
          <w:top w:val="single" w:color="000000" w:themeColor="tex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BEBEBE" w:themeColor="text1" w:themeTint="40" w:fill="BEBEBE" w:themeFill="text1" w:themeFillTint="40"/>
      </w:tcPr>
    </w:tblStylePr>
    <w:tblStylePr w:type="band2Vert">
      <w:tblPr/>
    </w:tblStylePr>
    <w:tblStylePr w:type="band1Horz">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2">
    <w:name w:val="List Table 1 Light - Accent 1"/>
    <w:uiPriority w:val="99"/>
    <w:pPr>
      <w:spacing w:after="0" w:line="240" w:lineRule="auto"/>
    </w:pPr>
    <w:tblPr/>
    <w:tblStylePr w:type="firstRow">
      <w:rPr>
        <w:b/>
        <w:color w:val="404040"/>
      </w:rPr>
      <w:tblPr/>
      <w:tcPr>
        <w:tcBorders>
          <w:top w:val="nil"/>
          <w:left w:val="nil"/>
          <w:bottom w:val="single" w:color="4F81BD" w:themeColor="accent1" w:sz="4" w:space="0"/>
          <w:right w:val="nil"/>
        </w:tcBorders>
      </w:tcPr>
    </w:tblStylePr>
    <w:tblStylePr w:type="lastRow">
      <w:rPr>
        <w:b/>
        <w:color w:val="404040"/>
      </w:rPr>
      <w:tblPr/>
      <w:tcPr>
        <w:tcBorders>
          <w:top w:val="single" w:color="4F81BD" w:themeColor="accen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2DFEE" w:themeColor="accent1" w:themeTint="40" w:fill="D2DFEE" w:themeFill="accent1" w:themeFillTint="40"/>
      </w:tcPr>
    </w:tblStylePr>
    <w:tblStylePr w:type="band2Vert">
      <w:tblPr/>
    </w:tblStylePr>
    <w:tblStylePr w:type="band1Horz">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3">
    <w:name w:val="List Table 1 Light - Accent 2"/>
    <w:uiPriority w:val="99"/>
    <w:pPr>
      <w:spacing w:after="0" w:line="240" w:lineRule="auto"/>
    </w:pPr>
    <w:tblPr/>
    <w:tblStylePr w:type="firstRow">
      <w:rPr>
        <w:b/>
        <w:color w:val="404040"/>
      </w:rPr>
      <w:tblPr/>
      <w:tcPr>
        <w:tcBorders>
          <w:top w:val="nil"/>
          <w:left w:val="nil"/>
          <w:bottom w:val="single" w:color="C0504D" w:themeColor="accent2" w:sz="4" w:space="0"/>
          <w:right w:val="nil"/>
        </w:tcBorders>
      </w:tcPr>
    </w:tblStylePr>
    <w:tblStylePr w:type="lastRow">
      <w:rPr>
        <w:b/>
        <w:color w:val="404040"/>
      </w:rPr>
      <w:tblPr/>
      <w:tcPr>
        <w:tcBorders>
          <w:top w:val="single" w:color="C0504D" w:themeColor="accent2"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FD3D2" w:themeColor="accent2" w:themeTint="40" w:fill="EFD3D2" w:themeFill="accent2" w:themeFillTint="40"/>
      </w:tcPr>
    </w:tblStylePr>
    <w:tblStylePr w:type="band2Vert">
      <w:tblPr/>
    </w:tblStylePr>
    <w:tblStylePr w:type="band1Horz">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4">
    <w:name w:val="List Table 1 Light - Accent 3"/>
    <w:uiPriority w:val="99"/>
    <w:pPr>
      <w:spacing w:after="0" w:line="240" w:lineRule="auto"/>
    </w:pPr>
    <w:tblPr/>
    <w:tblStylePr w:type="firstRow">
      <w:rPr>
        <w:b/>
        <w:color w:val="404040"/>
      </w:rPr>
      <w:tblPr/>
      <w:tcPr>
        <w:tcBorders>
          <w:top w:val="nil"/>
          <w:left w:val="nil"/>
          <w:bottom w:val="single" w:color="9BBB59" w:themeColor="accent3" w:sz="4" w:space="0"/>
          <w:right w:val="nil"/>
        </w:tcBorders>
      </w:tcPr>
    </w:tblStylePr>
    <w:tblStylePr w:type="lastRow">
      <w:rPr>
        <w:b/>
        <w:color w:val="404040"/>
      </w:rPr>
      <w:tblPr/>
      <w:tcPr>
        <w:tcBorders>
          <w:top w:val="single" w:color="9BBB59" w:themeColor="accent3"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5EDD5" w:themeColor="accent3" w:themeTint="40" w:fill="E5EDD5" w:themeFill="accent3" w:themeFillTint="40"/>
      </w:tcPr>
    </w:tblStylePr>
    <w:tblStylePr w:type="band2Vert">
      <w:tblPr/>
    </w:tblStylePr>
    <w:tblStylePr w:type="band1Horz">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5">
    <w:name w:val="List Table 1 Light - Accent 4"/>
    <w:uiPriority w:val="99"/>
    <w:pPr>
      <w:spacing w:after="0" w:line="240" w:lineRule="auto"/>
    </w:pPr>
    <w:tblPr/>
    <w:tblStylePr w:type="firstRow">
      <w:rPr>
        <w:b/>
        <w:color w:val="404040"/>
      </w:rPr>
      <w:tblPr/>
      <w:tcPr>
        <w:tcBorders>
          <w:top w:val="nil"/>
          <w:left w:val="nil"/>
          <w:bottom w:val="single" w:color="8064A2" w:themeColor="accent4" w:sz="4" w:space="0"/>
          <w:right w:val="nil"/>
        </w:tcBorders>
      </w:tcPr>
    </w:tblStylePr>
    <w:tblStylePr w:type="lastRow">
      <w:rPr>
        <w:b/>
        <w:color w:val="404040"/>
      </w:rPr>
      <w:tblPr/>
      <w:tcPr>
        <w:tcBorders>
          <w:top w:val="single" w:color="8064A2" w:themeColor="accent4"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FD8E7" w:themeColor="accent4" w:themeTint="40" w:fill="DFD8E7" w:themeFill="accent4" w:themeFillTint="40"/>
      </w:tcPr>
    </w:tblStylePr>
    <w:tblStylePr w:type="band2Vert">
      <w:tblPr/>
    </w:tblStylePr>
    <w:tblStylePr w:type="band1Horz">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6">
    <w:name w:val="List Table 1 Light - Accent 5"/>
    <w:uiPriority w:val="99"/>
    <w:pPr>
      <w:spacing w:after="0" w:line="240" w:lineRule="auto"/>
    </w:pPr>
    <w:tblPr/>
    <w:tblStylePr w:type="firstRow">
      <w:rPr>
        <w:b/>
        <w:color w:val="404040"/>
      </w:rPr>
      <w:tblPr/>
      <w:tcPr>
        <w:tcBorders>
          <w:top w:val="nil"/>
          <w:left w:val="nil"/>
          <w:bottom w:val="single" w:color="4BACC6" w:themeColor="accent5" w:sz="4" w:space="0"/>
          <w:right w:val="nil"/>
        </w:tcBorders>
      </w:tcPr>
    </w:tblStylePr>
    <w:tblStylePr w:type="lastRow">
      <w:rPr>
        <w:b/>
        <w:color w:val="404040"/>
      </w:rPr>
      <w:tblPr/>
      <w:tcPr>
        <w:tcBorders>
          <w:top w:val="single" w:color="4BACC6" w:themeColor="accent5"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1EAF0" w:themeColor="accent5" w:themeTint="40" w:fill="D1EAF0" w:themeFill="accent5" w:themeFillTint="40"/>
      </w:tcPr>
    </w:tblStylePr>
    <w:tblStylePr w:type="band2Vert">
      <w:tblPr/>
    </w:tblStylePr>
    <w:tblStylePr w:type="band1Horz">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7">
    <w:name w:val="List Table 1 Light - Accent 6"/>
    <w:uiPriority w:val="99"/>
    <w:pPr>
      <w:spacing w:after="0" w:line="240" w:lineRule="auto"/>
    </w:pPr>
    <w:tblPr/>
    <w:tblStylePr w:type="firstRow">
      <w:rPr>
        <w:b/>
        <w:color w:val="404040"/>
      </w:rPr>
      <w:tblPr/>
      <w:tcPr>
        <w:tcBorders>
          <w:top w:val="nil"/>
          <w:left w:val="nil"/>
          <w:bottom w:val="single" w:color="F79646" w:themeColor="accent6" w:sz="4" w:space="0"/>
          <w:right w:val="nil"/>
        </w:tcBorders>
      </w:tcPr>
    </w:tblStylePr>
    <w:tblStylePr w:type="lastRow">
      <w:rPr>
        <w:b/>
        <w:color w:val="404040"/>
      </w:rPr>
      <w:tblPr/>
      <w:tcPr>
        <w:tcBorders>
          <w:top w:val="single" w:color="F79646" w:themeColor="accent6"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FCE4D0" w:themeColor="accent6" w:themeTint="40" w:fill="FCE4D0" w:themeFill="accent6" w:themeFillTint="40"/>
      </w:tcPr>
    </w:tblStylePr>
    <w:tblStylePr w:type="band2Vert">
      <w:tblPr/>
    </w:tblStylePr>
    <w:tblStylePr w:type="band1Horz">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8">
    <w:name w:val="List Table 2"/>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9">
    <w:name w:val="List Table 2 - Accent 1"/>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bl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bl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2DFEE" w:themeColor="accent1" w:themeTint="40" w:fill="D2DFEE" w:themeFill="accent1" w:themeFillTint="40"/>
      </w:tcPr>
    </w:tblStylePr>
    <w:tblStylePr w:type="band2Vert">
      <w:tblPr/>
    </w:tblStylePr>
    <w:tblStylePr w:type="band1Horz">
      <w:rPr>
        <w:rFonts w:ascii="Arial" w:hAnsi="Arial"/>
        <w:color w:val="404040"/>
        <w:sz w:val="22"/>
      </w:rPr>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0">
    <w:name w:val="List Table 2 - Accent 2"/>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bl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bl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FD3D2" w:themeColor="accent2" w:themeTint="40" w:fill="EFD3D2" w:themeFill="accent2" w:themeFillTint="40"/>
      </w:tcPr>
    </w:tblStylePr>
    <w:tblStylePr w:type="band2Vert">
      <w:tblPr/>
    </w:tblStylePr>
    <w:tblStylePr w:type="band1Horz">
      <w:rPr>
        <w:rFonts w:ascii="Arial" w:hAnsi="Arial"/>
        <w:color w:val="404040"/>
        <w:sz w:val="22"/>
      </w:rPr>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1">
    <w:name w:val="List Table 2 - Accent 3"/>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bl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bl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5EDD5" w:themeColor="accent3" w:themeTint="40" w:fill="E5EDD5" w:themeFill="accent3" w:themeFillTint="40"/>
      </w:tcPr>
    </w:tblStylePr>
    <w:tblStylePr w:type="band2Vert">
      <w:tblPr/>
    </w:tblStylePr>
    <w:tblStylePr w:type="band1Horz">
      <w:rPr>
        <w:rFonts w:ascii="Arial" w:hAnsi="Arial"/>
        <w:color w:val="404040"/>
        <w:sz w:val="22"/>
      </w:rPr>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2">
    <w:name w:val="List Table 2 - Accent 4"/>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bl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bl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FD8E7" w:themeColor="accent4" w:themeTint="40" w:fill="DFD8E7" w:themeFill="accent4" w:themeFillTint="40"/>
      </w:tcPr>
    </w:tblStylePr>
    <w:tblStylePr w:type="band2Vert">
      <w:tblPr/>
    </w:tblStylePr>
    <w:tblStylePr w:type="band1Horz">
      <w:rPr>
        <w:rFonts w:ascii="Arial" w:hAnsi="Arial"/>
        <w:color w:val="404040"/>
        <w:sz w:val="22"/>
      </w:rPr>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3">
    <w:name w:val="List Table 2 - Accent 5"/>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bl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bl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1EAF0" w:themeColor="accent5" w:themeTint="40" w:fill="D1EAF0" w:themeFill="accent5" w:themeFillTint="40"/>
      </w:tcPr>
    </w:tblStylePr>
    <w:tblStylePr w:type="band2Vert">
      <w:tblPr/>
    </w:tblStylePr>
    <w:tblStylePr w:type="band1Horz">
      <w:rPr>
        <w:rFonts w:ascii="Arial" w:hAnsi="Arial"/>
        <w:color w:val="404040"/>
        <w:sz w:val="22"/>
      </w:rPr>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4">
    <w:name w:val="List Table 2 - Accent 6"/>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bl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bl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FCE4D0" w:themeColor="accent6" w:themeTint="40" w:fill="FCE4D0" w:themeFill="accent6" w:themeFillTint="40"/>
      </w:tcPr>
    </w:tblStylePr>
    <w:tblStylePr w:type="band2Vert">
      <w:tblPr/>
    </w:tblStylePr>
    <w:tblStylePr w:type="band1Horz">
      <w:rPr>
        <w:rFonts w:ascii="Arial" w:hAnsi="Arial"/>
        <w:color w:val="404040"/>
        <w:sz w:val="22"/>
      </w:rPr>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5">
    <w:name w:val="List Table 3"/>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000000" w:themeColor="text1" w:sz="4" w:space="0"/>
          <w:right w:val="single" w:color="000000" w:themeColor="text1" w:sz="4" w:space="0"/>
        </w:tcBorders>
      </w:tcPr>
    </w:tblStylePr>
    <w:tblStylePr w:type="band2Vert">
      <w:tblPr/>
    </w:tblStylePr>
    <w:tblStylePr w:type="band1Horz">
      <w:rPr>
        <w:rFonts w:ascii="Arial" w:hAnsi="Arial"/>
        <w:color w:val="404040"/>
        <w:sz w:val="22"/>
      </w:rPr>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6">
    <w:name w:val="List Table 3 - Accent 1"/>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4F81BD" w:themeColor="accent1" w:sz="4" w:space="0"/>
          <w:right w:val="single" w:color="4F81BD" w:themeColor="accent1" w:sz="4" w:space="0"/>
        </w:tcBorders>
      </w:tcPr>
    </w:tblStylePr>
    <w:tblStylePr w:type="band2Vert">
      <w:tblPr/>
    </w:tblStylePr>
    <w:tblStylePr w:type="band1Horz">
      <w:rPr>
        <w:rFonts w:ascii="Arial" w:hAnsi="Arial"/>
        <w:color w:val="404040"/>
        <w:sz w:val="22"/>
      </w:rPr>
      <w:tblPr/>
      <w:tcPr>
        <w:tcBorders>
          <w:top w:val="single" w:color="4F81BD" w:themeColor="accent1" w:sz="4" w:space="0"/>
          <w:bottom w:val="single" w:color="4F81BD" w:themeColor="accen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7">
    <w:name w:val="List Table 3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blPr/>
      <w:tcPr>
        <w:shd w:val="clear" w:color="D99795" w:themeColor="accent2" w:themeTint="97" w:fill="D99795"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D99795" w:themeColor="accent2" w:themeTint="97" w:sz="4" w:space="0"/>
          <w:right w:val="single" w:color="D99795" w:themeColor="accent2" w:themeTint="97" w:sz="4" w:space="0"/>
        </w:tcBorders>
      </w:tcPr>
    </w:tblStylePr>
    <w:tblStylePr w:type="band2Vert">
      <w:tblPr/>
    </w:tblStylePr>
    <w:tblStylePr w:type="band1Horz">
      <w:rPr>
        <w:rFonts w:ascii="Arial" w:hAnsi="Arial"/>
        <w:color w:val="404040"/>
        <w:sz w:val="22"/>
      </w:rPr>
      <w:tblPr/>
      <w:tcPr>
        <w:tcBorders>
          <w:top w:val="single" w:color="D99795" w:themeColor="accent2" w:themeTint="97" w:sz="4" w:space="0"/>
          <w:bottom w:val="single" w:color="D99795" w:themeColor="accent2" w:themeTint="9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8">
    <w:name w:val="List Table 3 - Accent 3"/>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blPr/>
      <w:tcPr>
        <w:shd w:val="clear" w:color="C3D69C" w:themeColor="accent3" w:themeTint="98" w:fill="C3D69C"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C3D69C" w:themeColor="accent3" w:themeTint="98" w:sz="4" w:space="0"/>
          <w:right w:val="single" w:color="C3D69C" w:themeColor="accent3" w:themeTint="98" w:sz="4" w:space="0"/>
        </w:tcBorders>
      </w:tcPr>
    </w:tblStylePr>
    <w:tblStylePr w:type="band2Vert">
      <w:tblPr/>
    </w:tblStylePr>
    <w:tblStylePr w:type="band1Horz">
      <w:rPr>
        <w:rFonts w:ascii="Arial" w:hAnsi="Arial"/>
        <w:color w:val="404040"/>
        <w:sz w:val="22"/>
      </w:rPr>
      <w:tblPr/>
      <w:tcPr>
        <w:tcBorders>
          <w:top w:val="single" w:color="C3D69C" w:themeColor="accent3" w:themeTint="98" w:sz="4" w:space="0"/>
          <w:bottom w:val="single" w:color="C3D69C" w:themeColor="accent3"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9">
    <w:name w:val="List Table 3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B2A1C6" w:themeColor="accent4" w:themeTint="9A" w:sz="4" w:space="0"/>
          <w:right w:val="single" w:color="B2A1C6" w:themeColor="accent4" w:themeTint="9A" w:sz="4" w:space="0"/>
        </w:tcBorders>
      </w:tcPr>
    </w:tblStylePr>
    <w:tblStylePr w:type="band2Vert">
      <w:tblPr/>
    </w:tblStylePr>
    <w:tblStylePr w:type="band1Horz">
      <w:rPr>
        <w:rFonts w:ascii="Arial" w:hAnsi="Arial"/>
        <w:color w:val="404040"/>
        <w:sz w:val="22"/>
      </w:rPr>
      <w:tblPr/>
      <w:tcPr>
        <w:tcBorders>
          <w:top w:val="single" w:color="B2A1C6" w:themeColor="accent4" w:themeTint="9A" w:sz="4" w:space="0"/>
          <w:bottom w:val="single" w:color="B2A1C6" w:themeColor="accent4"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0">
    <w:name w:val="List Table 3 - Accent 5"/>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92CCDC" w:themeColor="accent5" w:themeTint="9A" w:sz="4" w:space="0"/>
          <w:right w:val="single" w:color="92CCDC" w:themeColor="accent5" w:themeTint="9A" w:sz="4" w:space="0"/>
        </w:tcBorders>
      </w:tcPr>
    </w:tblStylePr>
    <w:tblStylePr w:type="band2Vert">
      <w:tblPr/>
    </w:tblStylePr>
    <w:tblStylePr w:type="band1Horz">
      <w:rPr>
        <w:rFonts w:ascii="Arial" w:hAnsi="Arial"/>
        <w:color w:val="404040"/>
        <w:sz w:val="22"/>
      </w:rPr>
      <w:tblPr/>
      <w:tcPr>
        <w:tcBorders>
          <w:top w:val="single" w:color="92CCDC" w:themeColor="accent5" w:themeTint="9A" w:sz="4" w:space="0"/>
          <w:bottom w:val="single" w:color="92CCDC" w:themeColor="accent5"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1">
    <w:name w:val="List Table 3 - Accent 6"/>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FAC090" w:themeColor="accent6" w:themeTint="98" w:sz="4" w:space="0"/>
          <w:right w:val="single" w:color="FAC090" w:themeColor="accent6" w:themeTint="98" w:sz="4" w:space="0"/>
        </w:tcBorders>
      </w:tcPr>
    </w:tblStylePr>
    <w:tblStylePr w:type="band2Vert">
      <w:tblPr/>
    </w:tblStylePr>
    <w:tblStylePr w:type="band1Horz">
      <w:rPr>
        <w:rFonts w:ascii="Arial" w:hAnsi="Arial"/>
        <w:color w:val="404040"/>
        <w:sz w:val="22"/>
      </w:rPr>
      <w:tblPr/>
      <w:tcPr>
        <w:tcBorders>
          <w:top w:val="single" w:color="FAC090" w:themeColor="accent6" w:themeTint="98" w:sz="4" w:space="0"/>
          <w:bottom w:val="single" w:color="FAC090" w:themeColor="accent6"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2">
    <w:name w:val="List Table 4"/>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3">
    <w:name w:val="List Table 4 - Accent 1"/>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2DFEE" w:themeColor="accent1" w:themeTint="40" w:fill="D2DFEE" w:themeFill="accent1" w:themeFillTint="40"/>
      </w:tcPr>
    </w:tblStylePr>
    <w:tblStylePr w:type="band2Vert">
      <w:tblPr/>
    </w:tblStylePr>
    <w:tblStylePr w:type="band1Horz">
      <w:rPr>
        <w:rFonts w:ascii="Arial" w:hAnsi="Arial"/>
        <w:color w:val="404040"/>
        <w:sz w:val="22"/>
      </w:rPr>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4">
    <w:name w:val="List Table 4 - Accent 2"/>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FD3D2" w:themeColor="accent2" w:themeTint="40" w:fill="EFD3D2" w:themeFill="accent2" w:themeFillTint="40"/>
      </w:tcPr>
    </w:tblStylePr>
    <w:tblStylePr w:type="band2Vert">
      <w:tblPr/>
    </w:tblStylePr>
    <w:tblStylePr w:type="band1Horz">
      <w:rPr>
        <w:rFonts w:ascii="Arial" w:hAnsi="Arial"/>
        <w:color w:val="404040"/>
        <w:sz w:val="22"/>
      </w:rPr>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5">
    <w:name w:val="List Table 4 - Accent 3"/>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EDD5" w:themeColor="accent3" w:themeTint="40" w:fill="E5EDD5" w:themeFill="accent3" w:themeFillTint="40"/>
      </w:tcPr>
    </w:tblStylePr>
    <w:tblStylePr w:type="band2Vert">
      <w:tblPr/>
    </w:tblStylePr>
    <w:tblStylePr w:type="band1Horz">
      <w:rPr>
        <w:rFonts w:ascii="Arial" w:hAnsi="Arial"/>
        <w:color w:val="404040"/>
        <w:sz w:val="22"/>
      </w:rPr>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6">
    <w:name w:val="List Table 4 - Accent 4"/>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FD8E7" w:themeColor="accent4" w:themeTint="40" w:fill="DFD8E7" w:themeFill="accent4" w:themeFillTint="40"/>
      </w:tcPr>
    </w:tblStylePr>
    <w:tblStylePr w:type="band2Vert">
      <w:tblPr/>
    </w:tblStylePr>
    <w:tblStylePr w:type="band1Horz">
      <w:rPr>
        <w:rFonts w:ascii="Arial" w:hAnsi="Arial"/>
        <w:color w:val="404040"/>
        <w:sz w:val="22"/>
      </w:rPr>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7">
    <w:name w:val="List Table 4 - Accent 5"/>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1EAF0" w:themeColor="accent5" w:themeTint="40" w:fill="D1EAF0" w:themeFill="accent5" w:themeFillTint="40"/>
      </w:tcPr>
    </w:tblStylePr>
    <w:tblStylePr w:type="band2Vert">
      <w:tblPr/>
    </w:tblStylePr>
    <w:tblStylePr w:type="band1Horz">
      <w:rPr>
        <w:rFonts w:ascii="Arial" w:hAnsi="Arial"/>
        <w:color w:val="404040"/>
        <w:sz w:val="22"/>
      </w:rPr>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8">
    <w:name w:val="List Table 4 - Accent 6"/>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CE4D0" w:themeColor="accent6" w:themeTint="40" w:fill="FCE4D0" w:themeFill="accent6" w:themeFillTint="40"/>
      </w:tcPr>
    </w:tblStylePr>
    <w:tblStylePr w:type="band2Vert">
      <w:tblPr/>
    </w:tblStylePr>
    <w:tblStylePr w:type="band1Horz">
      <w:rPr>
        <w:rFonts w:ascii="Arial" w:hAnsi="Arial"/>
        <w:color w:val="404040"/>
        <w:sz w:val="22"/>
      </w:rPr>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9">
    <w:name w:val="List Table 5 Dark"/>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bl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7E7E7E" w:themeColor="text1" w:themeTint="80" w:sz="32" w:space="0"/>
          <w:right w:val="single" w:color="FFFFFF" w:themeColor="light1" w:sz="4" w:space="0"/>
        </w:tcBorders>
      </w:tcPr>
    </w:tblStylePr>
    <w:tblStylePr w:type="lastCol">
      <w:tblPr/>
      <w:tcPr>
        <w:tcBorders>
          <w:left w:val="single" w:color="FFFFFF" w:themeColor="light1" w:sz="4" w:space="0"/>
          <w:right w:val="single" w:color="7E7E7E" w:themeColor="text1" w:themeTint="80" w:sz="32" w:space="0"/>
        </w:tcBorders>
      </w:tcPr>
    </w:tblStylePr>
    <w:tblStylePr w:type="band1Vert">
      <w:tblPr/>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Pr/>
    </w:tblStylePr>
    <w:tblStylePr w:type="nwCell">
      <w:tblPr/>
    </w:tblStylePr>
    <w:tblStylePr w:type="seCell">
      <w:tblPr/>
    </w:tblStylePr>
    <w:tblStylePr w:type="swCell">
      <w:tblPr/>
    </w:tblStylePr>
  </w:style>
  <w:style w:type="table" w:customStyle="1" w:styleId="140">
    <w:name w:val="List Table 5 Dark - Accent 1"/>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bl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themeColor="accent1"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themeColor="accent1" w:fill="4F81BD" w:themeFill="accent1"/>
      </w:tcPr>
    </w:tblStylePr>
    <w:tblStylePr w:type="band2Horz">
      <w:tblPr/>
      <w:tcPr>
        <w:tcBorders>
          <w:top w:val="single" w:color="FFFFFF" w:themeColor="light1" w:sz="4" w:space="0"/>
          <w:bottom w:val="single" w:color="FFFFFF" w:themeColor="light1" w:sz="4" w:space="0"/>
        </w:tcBorders>
        <w:shd w:val="clear" w:color="4F81BD" w:themeColor="accent1" w:fill="4F81BD" w:themeFill="accent1"/>
      </w:tcPr>
    </w:tblStylePr>
    <w:tblStylePr w:type="neCell">
      <w:tblPr/>
    </w:tblStylePr>
    <w:tblStylePr w:type="nwCell">
      <w:tblPr/>
    </w:tblStylePr>
    <w:tblStylePr w:type="seCell">
      <w:tblPr/>
    </w:tblStylePr>
    <w:tblStylePr w:type="swCell">
      <w:tblPr/>
    </w:tblStylePr>
  </w:style>
  <w:style w:type="table" w:customStyle="1" w:styleId="141">
    <w:name w:val="List Table 5 Dark - Accent 2"/>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bl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D99795" w:themeColor="accent2" w:themeTint="97" w:sz="32" w:space="0"/>
          <w:right w:val="single" w:color="FFFFFF" w:themeColor="light1" w:sz="4" w:space="0"/>
        </w:tcBorders>
      </w:tcPr>
    </w:tblStylePr>
    <w:tblStylePr w:type="lastCol">
      <w:tblPr/>
      <w:tcPr>
        <w:tcBorders>
          <w:left w:val="single" w:color="FFFFFF" w:themeColor="light1" w:sz="4" w:space="0"/>
          <w:right w:val="single" w:color="D99795" w:themeColor="accent2" w:themeTint="97" w:sz="32" w:space="0"/>
        </w:tcBorders>
      </w:tcPr>
    </w:tblStylePr>
    <w:tblStylePr w:type="band1Vert">
      <w:tblPr/>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blPr/>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Pr/>
    </w:tblStylePr>
    <w:tblStylePr w:type="nwCell">
      <w:tblPr/>
    </w:tblStylePr>
    <w:tblStylePr w:type="seCell">
      <w:tblPr/>
    </w:tblStylePr>
    <w:tblStylePr w:type="swCell">
      <w:tblPr/>
    </w:tblStylePr>
  </w:style>
  <w:style w:type="table" w:customStyle="1" w:styleId="142">
    <w:name w:val="List Table 5 Dark - Accent 3"/>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bl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C3D69C" w:themeColor="accent3" w:themeTint="98" w:sz="32" w:space="0"/>
          <w:right w:val="single" w:color="FFFFFF" w:themeColor="light1" w:sz="4" w:space="0"/>
        </w:tcBorders>
      </w:tcPr>
    </w:tblStylePr>
    <w:tblStylePr w:type="lastCol">
      <w:tblPr/>
      <w:tcPr>
        <w:tcBorders>
          <w:left w:val="single" w:color="FFFFFF" w:themeColor="light1" w:sz="4" w:space="0"/>
          <w:right w:val="single" w:color="C3D69C" w:themeColor="accent3" w:themeTint="98" w:sz="32" w:space="0"/>
        </w:tcBorders>
      </w:tcPr>
    </w:tblStylePr>
    <w:tblStylePr w:type="band1Vert">
      <w:tblPr/>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blPr/>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Pr/>
    </w:tblStylePr>
    <w:tblStylePr w:type="nwCell">
      <w:tblPr/>
    </w:tblStylePr>
    <w:tblStylePr w:type="seCell">
      <w:tblPr/>
    </w:tblStylePr>
    <w:tblStylePr w:type="swCell">
      <w:tblPr/>
    </w:tblStylePr>
  </w:style>
  <w:style w:type="table" w:customStyle="1" w:styleId="143">
    <w:name w:val="List Table 5 Dark - Accent 4"/>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bl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B2A1C6" w:themeColor="accent4" w:themeTint="9A" w:sz="32" w:space="0"/>
          <w:right w:val="single" w:color="FFFFFF" w:themeColor="light1" w:sz="4" w:space="0"/>
        </w:tcBorders>
      </w:tcPr>
    </w:tblStylePr>
    <w:tblStylePr w:type="lastCol">
      <w:tblPr/>
      <w:tcPr>
        <w:tcBorders>
          <w:left w:val="single" w:color="FFFFFF" w:themeColor="light1" w:sz="4" w:space="0"/>
          <w:right w:val="single" w:color="B2A1C6" w:themeColor="accent4" w:themeTint="9A" w:sz="32" w:space="0"/>
        </w:tcBorders>
      </w:tcPr>
    </w:tblStylePr>
    <w:tblStylePr w:type="band1Vert">
      <w:tblPr/>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Pr/>
    </w:tblStylePr>
    <w:tblStylePr w:type="nwCell">
      <w:tblPr/>
    </w:tblStylePr>
    <w:tblStylePr w:type="seCell">
      <w:tblPr/>
    </w:tblStylePr>
    <w:tblStylePr w:type="swCell">
      <w:tblPr/>
    </w:tblStylePr>
  </w:style>
  <w:style w:type="table" w:customStyle="1" w:styleId="144">
    <w:name w:val="List Table 5 Dark - Accent 5"/>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bl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92CCDC" w:themeColor="accent5" w:themeTint="9A" w:sz="32" w:space="0"/>
          <w:right w:val="single" w:color="FFFFFF" w:themeColor="light1" w:sz="4" w:space="0"/>
        </w:tcBorders>
      </w:tcPr>
    </w:tblStylePr>
    <w:tblStylePr w:type="lastCol">
      <w:tblPr/>
      <w:tcPr>
        <w:tcBorders>
          <w:left w:val="single" w:color="FFFFFF" w:themeColor="light1" w:sz="4" w:space="0"/>
          <w:right w:val="single" w:color="92CCDC" w:themeColor="accent5" w:themeTint="9A" w:sz="32" w:space="0"/>
        </w:tcBorders>
      </w:tcPr>
    </w:tblStylePr>
    <w:tblStylePr w:type="band1Vert">
      <w:tblPr/>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Pr/>
    </w:tblStylePr>
    <w:tblStylePr w:type="nwCell">
      <w:tblPr/>
    </w:tblStylePr>
    <w:tblStylePr w:type="seCell">
      <w:tblPr/>
    </w:tblStylePr>
    <w:tblStylePr w:type="swCell">
      <w:tblPr/>
    </w:tblStylePr>
  </w:style>
  <w:style w:type="table" w:customStyle="1" w:styleId="145">
    <w:name w:val="List Table 5 Dark - Accent 6"/>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bl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FAC090" w:themeColor="accent6" w:themeTint="98" w:sz="32" w:space="0"/>
          <w:right w:val="single" w:color="FFFFFF" w:themeColor="light1" w:sz="4" w:space="0"/>
        </w:tcBorders>
      </w:tcPr>
    </w:tblStylePr>
    <w:tblStylePr w:type="lastCol">
      <w:tblPr/>
      <w:tcPr>
        <w:tcBorders>
          <w:left w:val="single" w:color="FFFFFF" w:themeColor="light1" w:sz="4" w:space="0"/>
          <w:right w:val="single" w:color="FAC090" w:themeColor="accent6" w:themeTint="98" w:sz="32" w:space="0"/>
        </w:tcBorders>
      </w:tcPr>
    </w:tblStylePr>
    <w:tblStylePr w:type="band1Vert">
      <w:tblPr/>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Pr/>
    </w:tblStylePr>
    <w:tblStylePr w:type="nwCell">
      <w:tblPr/>
    </w:tblStylePr>
    <w:tblStylePr w:type="seCell">
      <w:tblPr/>
    </w:tblStylePr>
    <w:tblStylePr w:type="swCell">
      <w:tblPr/>
    </w:tblStylePr>
  </w:style>
  <w:style w:type="table" w:customStyle="1" w:styleId="146">
    <w:name w:val="List Table 6 Colorful"/>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blPr/>
      <w:tcPr>
        <w:tcBorders>
          <w:bottom w:val="single" w:color="7E7E7E" w:themeColor="text1" w:themeTint="80" w:sz="4" w:space="0"/>
        </w:tcBorders>
      </w:tcPr>
    </w:tblStylePr>
    <w:tblStylePr w:type="lastRow">
      <w:rPr>
        <w:b/>
        <w:color w:val="000000" w:themeColor="text1"/>
        <w14:textFill>
          <w14:solidFill>
            <w14:schemeClr w14:val="tx1"/>
          </w14:solidFill>
        </w14:textFill>
      </w:rPr>
      <w:tblPr/>
      <w:tcPr>
        <w:tcBorders>
          <w:top w:val="single" w:color="7E7E7E" w:themeColor="text1" w:themeTint="80" w:sz="4" w:space="0"/>
        </w:tcBorders>
      </w:tcPr>
    </w:tblStylePr>
    <w:tblStylePr w:type="firstCol">
      <w:rPr>
        <w:b/>
        <w:color w:val="000000" w:themeColor="text1"/>
        <w14:textFill>
          <w14:solidFill>
            <w14:schemeClr w14:val="tx1"/>
          </w14:solidFill>
        </w14:textFill>
      </w:rPr>
      <w:tblPr/>
    </w:tblStylePr>
    <w:tblStylePr w:type="lastCol">
      <w:rPr>
        <w:b/>
        <w:color w:val="000000" w:themeColor="text1"/>
        <w14:textFill>
          <w14:solidFill>
            <w14:schemeClr w14:val="tx1"/>
          </w14:solidFill>
        </w14:textFill>
      </w:rPr>
      <w:tbl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000000" w:themeColor="text1"/>
        <w:sz w:val="22"/>
        <w14:textFill>
          <w14:solidFill>
            <w14:schemeClr w14:val="tx1"/>
          </w14:solidFill>
        </w14:textFill>
      </w:rPr>
      <w:tbl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Pr/>
    </w:tblStylePr>
    <w:tblStylePr w:type="neCell">
      <w:tblPr/>
    </w:tblStylePr>
    <w:tblStylePr w:type="nwCell">
      <w:tblPr/>
    </w:tblStylePr>
    <w:tblStylePr w:type="seCell">
      <w:tblPr/>
    </w:tblStylePr>
    <w:tblStylePr w:type="swCell">
      <w:tblPr/>
    </w:tblStylePr>
  </w:style>
  <w:style w:type="table" w:customStyle="1" w:styleId="147">
    <w:name w:val="List Table 6 Colorful - Accent 1"/>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blPr/>
      <w:tcPr>
        <w:tcBorders>
          <w:bottom w:val="single" w:color="4F81BD" w:themeColor="accent1" w:sz="4" w:space="0"/>
        </w:tcBorders>
      </w:tcPr>
    </w:tblStylePr>
    <w:tblStylePr w:type="lastRow">
      <w:rPr>
        <w:b/>
        <w:color w:val="2A4B71" w:themeColor="accent1" w:themeShade="94"/>
      </w:rPr>
      <w:tblPr/>
      <w:tcPr>
        <w:tcBorders>
          <w:top w:val="single" w:color="4F81BD" w:themeColor="accent1" w:sz="4" w:space="0"/>
        </w:tcBorders>
      </w:tcPr>
    </w:tblStylePr>
    <w:tblStylePr w:type="firstCol">
      <w:rPr>
        <w:b/>
        <w:color w:val="2A4B71" w:themeColor="accent1" w:themeShade="94"/>
      </w:rPr>
      <w:tblPr/>
    </w:tblStylePr>
    <w:tblStylePr w:type="lastCol">
      <w:rPr>
        <w:b/>
        <w:color w:val="2A4B71" w:themeColor="accent1" w:themeShade="94"/>
      </w:rPr>
      <w:tblPr/>
    </w:tblStylePr>
    <w:tblStylePr w:type="band1Vert">
      <w:tblPr/>
      <w:tcPr>
        <w:shd w:val="clear" w:color="D2DFEE" w:themeColor="accent1" w:themeTint="40" w:fill="D2DFEE" w:themeFill="accent1" w:themeFillTint="40"/>
      </w:tcPr>
    </w:tblStylePr>
    <w:tblStylePr w:type="band2Vert">
      <w:tblPr/>
    </w:tblStylePr>
    <w:tblStylePr w:type="band1Horz">
      <w:rPr>
        <w:rFonts w:ascii="Arial" w:hAnsi="Arial"/>
        <w:color w:val="2A4B71" w:themeColor="accent1" w:themeShade="94"/>
        <w:sz w:val="22"/>
      </w:rPr>
      <w:tblPr/>
      <w:tcPr>
        <w:shd w:val="clear" w:color="D2DFEE" w:themeColor="accent1" w:themeTint="40" w:fill="D2DFEE" w:themeFill="accent1" w:themeFillTint="40"/>
      </w:tcPr>
    </w:tblStylePr>
    <w:tblStylePr w:type="band2Horz">
      <w:rPr>
        <w:rFonts w:ascii="Arial" w:hAnsi="Arial"/>
        <w:color w:val="2A4B71" w:themeColor="accent1" w:themeShade="94"/>
        <w:sz w:val="22"/>
      </w:rPr>
      <w:tblPr/>
    </w:tblStylePr>
    <w:tblStylePr w:type="neCell">
      <w:tblPr/>
    </w:tblStylePr>
    <w:tblStylePr w:type="nwCell">
      <w:tblPr/>
    </w:tblStylePr>
    <w:tblStylePr w:type="seCell">
      <w:tblPr/>
    </w:tblStylePr>
    <w:tblStylePr w:type="swCell">
      <w:tblPr/>
    </w:tblStylePr>
  </w:style>
  <w:style w:type="table" w:customStyle="1" w:styleId="148">
    <w:name w:val="List Table 6 Colorful - Accent 2"/>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bl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bl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Pr/>
    </w:tblStylePr>
    <w:tblStylePr w:type="lastCol">
      <w:rPr>
        <w:b/>
        <w:color w:val="DA9896" w:themeColor="accent2" w:themeTint="96"/>
        <w14:textFill>
          <w14:solidFill>
            <w14:schemeClr w14:val="accent2">
              <w14:lumMod w14:val="59000"/>
              <w14:lumOff w14:val="41000"/>
            </w14:schemeClr>
          </w14:solidFill>
        </w14:textFill>
      </w:rPr>
      <w:tblPr/>
    </w:tblStylePr>
    <w:tblStylePr w:type="band1Vert">
      <w:tblPr/>
      <w:tcPr>
        <w:shd w:val="clear" w:color="EFD3D2" w:themeColor="accent2" w:themeTint="40" w:fill="EFD3D2" w:themeFill="accent2" w:themeFillTint="40"/>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49">
    <w:name w:val="List Table 6 Colorful - Accent 3"/>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bl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bl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Pr/>
    </w:tblStylePr>
    <w:tblStylePr w:type="lastCol">
      <w:rPr>
        <w:b/>
        <w:color w:val="C3D69B" w:themeColor="accent3" w:themeTint="99"/>
        <w14:textFill>
          <w14:solidFill>
            <w14:schemeClr w14:val="accent3">
              <w14:lumMod w14:val="60000"/>
              <w14:lumOff w14:val="40000"/>
            </w14:schemeClr>
          </w14:solidFill>
        </w14:textFill>
      </w:rPr>
      <w:tblPr/>
    </w:tblStylePr>
    <w:tblStylePr w:type="band1Vert">
      <w:tblPr/>
      <w:tcPr>
        <w:shd w:val="clear" w:color="E5EDD5" w:themeColor="accent3" w:themeTint="40" w:fill="E5EDD5" w:themeFill="accent3" w:themeFillTint="40"/>
      </w:tcPr>
    </w:tblStylePr>
    <w:tblStylePr w:type="band2Vert">
      <w:tbl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bl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0">
    <w:name w:val="List Table 6 Colorful - Accent 4"/>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bl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bl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Pr/>
    </w:tblStylePr>
    <w:tblStylePr w:type="lastCol">
      <w:rPr>
        <w:b/>
        <w:color w:val="B3A2C7" w:themeColor="accent4" w:themeTint="99"/>
        <w14:textFill>
          <w14:solidFill>
            <w14:schemeClr w14:val="accent4">
              <w14:lumMod w14:val="60000"/>
              <w14:lumOff w14:val="40000"/>
            </w14:schemeClr>
          </w14:solidFill>
        </w14:textFill>
      </w:rPr>
      <w:tblPr/>
    </w:tblStylePr>
    <w:tblStylePr w:type="band1Vert">
      <w:tblPr/>
      <w:tcPr>
        <w:shd w:val="clear" w:color="DFD8E7" w:themeColor="accent4" w:themeTint="40" w:fill="DFD8E7" w:themeFill="accent4" w:themeFillTint="40"/>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1">
    <w:name w:val="List Table 6 Colorful - Accent 5"/>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bl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bl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Pr/>
    </w:tblStylePr>
    <w:tblStylePr w:type="lastCol">
      <w:rPr>
        <w:b/>
        <w:color w:val="93CDDD" w:themeColor="accent5" w:themeTint="99"/>
        <w14:textFill>
          <w14:solidFill>
            <w14:schemeClr w14:val="accent5">
              <w14:lumMod w14:val="60000"/>
              <w14:lumOff w14:val="40000"/>
            </w14:schemeClr>
          </w14:solidFill>
        </w14:textFill>
      </w:rPr>
      <w:tblPr/>
    </w:tblStylePr>
    <w:tblStylePr w:type="band1Vert">
      <w:tblPr/>
      <w:tcPr>
        <w:shd w:val="clear" w:color="D1EAF0" w:themeColor="accent5" w:themeTint="40" w:fill="D1EAF0" w:themeFill="accent5" w:themeFillTint="40"/>
      </w:tcPr>
    </w:tblStylePr>
    <w:tblStylePr w:type="band2Vert">
      <w:tbl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bl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2">
    <w:name w:val="List Table 6 Colorful - Accent 6"/>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bl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bl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Pr/>
    </w:tblStylePr>
    <w:tblStylePr w:type="lastCol">
      <w:rPr>
        <w:b/>
        <w:color w:val="FAC090" w:themeColor="accent6" w:themeTint="99"/>
        <w14:textFill>
          <w14:solidFill>
            <w14:schemeClr w14:val="accent6">
              <w14:lumMod w14:val="60000"/>
              <w14:lumOff w14:val="40000"/>
            </w14:schemeClr>
          </w14:solidFill>
        </w14:textFill>
      </w:rPr>
      <w:tblPr/>
    </w:tblStylePr>
    <w:tblStylePr w:type="band1Vert">
      <w:tblPr/>
      <w:tcPr>
        <w:shd w:val="clear" w:color="FCE4D0" w:themeColor="accent6" w:themeTint="40" w:fill="FCE4D0" w:themeFill="accent6" w:themeFillTint="40"/>
      </w:tcPr>
    </w:tblStylePr>
    <w:tblStylePr w:type="band2Vert">
      <w:tbl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bl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3">
    <w:name w:val="List Table 7 Colorful"/>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color="7E7E7E" w:themeColor="text1" w:themeTint="80" w:sz="4" w:space="0"/>
          <w:bottom w:val="nil"/>
          <w:right w:val="nil"/>
        </w:tcBorders>
        <w:shd w:val="clear" w:color="FFFFFF" w:fill="auto"/>
      </w:tc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4">
    <w:name w:val="List Table 7 Colorful - Accent 1"/>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bl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bl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bl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blPr/>
      <w:tcPr>
        <w:tcBorders>
          <w:top w:val="nil"/>
          <w:left w:val="single" w:color="4F81BD" w:themeColor="accent1" w:sz="4" w:space="0"/>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2Vert">
      <w:tblPr/>
    </w:tblStylePr>
    <w:tblStylePr w:type="band1Horz">
      <w:rPr>
        <w:rFonts w:ascii="Arial" w:hAnsi="Arial"/>
        <w:color w:val="2A4B71" w:themeColor="accent1" w:themeShade="94"/>
        <w:sz w:val="22"/>
      </w:rPr>
      <w:tblPr/>
      <w:tcPr>
        <w:shd w:val="clear" w:color="D2DFEE" w:themeColor="accent1" w:themeTint="40" w:fill="D2DFEE" w:themeFill="accent1" w:themeFillTint="40"/>
      </w:tcPr>
    </w:tblStylePr>
    <w:tblStylePr w:type="band2Horz">
      <w:rPr>
        <w:rFonts w:ascii="Arial" w:hAnsi="Arial"/>
        <w:color w:val="2A4B71" w:themeColor="accent1" w:themeShade="94"/>
        <w:sz w:val="22"/>
      </w:rPr>
      <w:tblPr/>
    </w:tblStylePr>
    <w:tblStylePr w:type="neCell">
      <w:tblPr/>
    </w:tblStylePr>
    <w:tblStylePr w:type="nwCell">
      <w:tblPr/>
    </w:tblStylePr>
    <w:tblStylePr w:type="seCell">
      <w:tblPr/>
    </w:tblStylePr>
    <w:tblStylePr w:type="swCell">
      <w:tblPr/>
    </w:tblStylePr>
  </w:style>
  <w:style w:type="table" w:customStyle="1" w:styleId="155">
    <w:name w:val="List Table 7 Colorful - Accent 2"/>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bl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single" w:color="D99795" w:themeColor="accent2" w:themeTint="97" w:sz="4" w:space="0"/>
          <w:bottom w:val="nil"/>
          <w:right w:val="nil"/>
        </w:tcBorders>
        <w:shd w:val="clear" w:color="FFFFFF" w:fill="auto"/>
      </w:tcPr>
    </w:tblStylePr>
    <w:tblStylePr w:type="band1Vert">
      <w:tblPr/>
      <w:tcPr>
        <w:shd w:val="clear" w:color="EFD3D2" w:themeColor="accent2" w:themeTint="40" w:fill="EFD3D2" w:themeFill="accent2" w:themeFillTint="40"/>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6">
    <w:name w:val="List Table 7 Colorful - Accent 3"/>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bl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bl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bl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blPr/>
      <w:tcPr>
        <w:tcBorders>
          <w:top w:val="nil"/>
          <w:left w:val="single" w:color="C3D69C" w:themeColor="accent3" w:themeTint="98" w:sz="4" w:space="0"/>
          <w:bottom w:val="nil"/>
          <w:right w:val="nil"/>
        </w:tcBorders>
        <w:shd w:val="clear" w:color="FFFFFF" w:fill="auto"/>
      </w:tcPr>
    </w:tblStylePr>
    <w:tblStylePr w:type="band1Vert">
      <w:tblPr/>
      <w:tcPr>
        <w:shd w:val="clear" w:color="E5EDD5" w:themeColor="accent3" w:themeTint="40" w:fill="E5EDD5" w:themeFill="accent3" w:themeFillTint="40"/>
      </w:tcPr>
    </w:tblStylePr>
    <w:tblStylePr w:type="band2Vert">
      <w:tbl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bl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7">
    <w:name w:val="List Table 7 Colorful - Accent 4"/>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bl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single" w:color="B2A1C6" w:themeColor="accent4" w:themeTint="9A" w:sz="4" w:space="0"/>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8">
    <w:name w:val="List Table 7 Colorful - Accent 5"/>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bl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bl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bl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blPr/>
      <w:tcPr>
        <w:tcBorders>
          <w:top w:val="nil"/>
          <w:left w:val="single" w:color="92CCDC" w:themeColor="accent5" w:themeTint="9A" w:sz="4" w:space="0"/>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2Vert">
      <w:tbl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bl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9">
    <w:name w:val="List Table 7 Colorful - Accent 6"/>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bl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bl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bl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blPr/>
      <w:tcPr>
        <w:tcBorders>
          <w:top w:val="nil"/>
          <w:left w:val="single" w:color="FAC090" w:themeColor="accent6" w:themeTint="98" w:sz="4" w:space="0"/>
          <w:bottom w:val="nil"/>
          <w:right w:val="nil"/>
        </w:tcBorders>
        <w:shd w:val="clear" w:color="FFFFFF" w:fill="auto"/>
      </w:tcPr>
    </w:tblStylePr>
    <w:tblStylePr w:type="band1Vert">
      <w:tblPr/>
      <w:tcPr>
        <w:shd w:val="clear" w:color="FCE4D0" w:themeColor="accent6" w:themeTint="40" w:fill="FCE4D0" w:themeFill="accent6" w:themeFillTint="40"/>
      </w:tcPr>
    </w:tblStylePr>
    <w:tblStylePr w:type="band2Vert">
      <w:tbl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bl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60">
    <w:name w:val="Lined - Accent"/>
    <w:uiPriority w:val="99"/>
    <w:pPr>
      <w:spacing w:after="0" w:line="240" w:lineRule="auto"/>
    </w:pPr>
    <w:rPr>
      <w:color w:val="404040"/>
    </w:rPr>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61">
    <w:name w:val="Lined - Accent 1"/>
    <w:uiPriority w:val="99"/>
    <w:pPr>
      <w:spacing w:after="0" w:line="240" w:lineRule="auto"/>
    </w:pPr>
    <w:rPr>
      <w:color w:val="404040"/>
    </w:rPr>
    <w:tblPr/>
    <w:tblStylePr w:type="firstRow">
      <w:rPr>
        <w:rFonts w:ascii="Arial" w:hAnsi="Arial"/>
        <w:color w:val="F2F2F2"/>
        <w:sz w:val="22"/>
      </w:rPr>
      <w:tblPr/>
      <w:tcPr>
        <w:shd w:val="clear" w:color="5D8BC2" w:themeColor="accent1" w:themeTint="EA" w:fill="5D8BC2" w:themeFill="accent1" w:themeFillTint="EA"/>
      </w:tcPr>
    </w:tblStylePr>
    <w:tblStylePr w:type="lastRow">
      <w:rPr>
        <w:rFonts w:ascii="Arial" w:hAnsi="Arial"/>
        <w:color w:val="F2F2F2"/>
        <w:sz w:val="22"/>
      </w:rPr>
      <w:tblPr/>
      <w:tcPr>
        <w:shd w:val="clear" w:color="5D8BC2" w:themeColor="accent1" w:themeTint="EA" w:fill="5D8BC2" w:themeFill="accent1" w:themeFillTint="EA"/>
      </w:tcPr>
    </w:tblStylePr>
    <w:tblStylePr w:type="firstCol">
      <w:rPr>
        <w:rFonts w:ascii="Arial" w:hAnsi="Arial"/>
        <w:color w:val="F2F2F2"/>
        <w:sz w:val="22"/>
      </w:rPr>
      <w:tblPr/>
      <w:tcPr>
        <w:shd w:val="clear" w:color="5D8BC2" w:themeColor="accent1" w:themeTint="EA" w:fill="5D8BC2" w:themeFill="accent1" w:themeFillTint="EA"/>
      </w:tcPr>
    </w:tblStylePr>
    <w:tblStylePr w:type="lastCol">
      <w:rPr>
        <w:rFonts w:ascii="Arial" w:hAnsi="Arial"/>
        <w:color w:val="F2F2F2"/>
        <w:sz w:val="22"/>
      </w:rPr>
      <w:tblPr/>
      <w:tcPr>
        <w:shd w:val="clear" w:color="5D8BC2" w:themeColor="accent1" w:themeTint="EA" w:fill="5D8BC2"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7D7EA" w:themeColor="accent1" w:themeTint="50" w:fill="C7D7EA" w:themeFill="accent1" w:themeFillTint="50"/>
      </w:tcPr>
    </w:tblStylePr>
    <w:tblStylePr w:type="neCell">
      <w:tblPr/>
    </w:tblStylePr>
    <w:tblStylePr w:type="nwCell">
      <w:tblPr/>
    </w:tblStylePr>
    <w:tblStylePr w:type="seCell">
      <w:tblPr/>
    </w:tblStylePr>
    <w:tblStylePr w:type="swCell">
      <w:tblPr/>
    </w:tblStylePr>
  </w:style>
  <w:style w:type="table" w:customStyle="1" w:styleId="162">
    <w:name w:val="Lined - Accent 2"/>
    <w:uiPriority w:val="99"/>
    <w:pPr>
      <w:spacing w:after="0" w:line="240" w:lineRule="auto"/>
    </w:pPr>
    <w:rPr>
      <w:color w:val="404040"/>
    </w:rPr>
    <w:tblPr/>
    <w:tblStylePr w:type="firstRow">
      <w:rPr>
        <w:rFonts w:ascii="Arial" w:hAnsi="Arial"/>
        <w:color w:val="F2F2F2"/>
        <w:sz w:val="22"/>
      </w:rPr>
      <w:tblPr/>
      <w:tcPr>
        <w:shd w:val="clear" w:color="D99795" w:themeColor="accent2" w:themeTint="97" w:fill="D99795" w:themeFill="accent2" w:themeFillTint="97"/>
      </w:tcPr>
    </w:tblStylePr>
    <w:tblStylePr w:type="lastRow">
      <w:rPr>
        <w:rFonts w:ascii="Arial" w:hAnsi="Arial"/>
        <w:color w:val="F2F2F2"/>
        <w:sz w:val="22"/>
      </w:rPr>
      <w:tblPr/>
      <w:tcPr>
        <w:shd w:val="clear" w:color="D99795" w:themeColor="accent2" w:themeTint="97" w:fill="D99795" w:themeFill="accent2" w:themeFillTint="97"/>
      </w:tcPr>
    </w:tblStylePr>
    <w:tblStylePr w:type="firstCol">
      <w:rPr>
        <w:rFonts w:ascii="Arial" w:hAnsi="Arial"/>
        <w:color w:val="F2F2F2"/>
        <w:sz w:val="22"/>
      </w:rPr>
      <w:tblPr/>
      <w:tcPr>
        <w:shd w:val="clear" w:color="D99795" w:themeColor="accent2" w:themeTint="97" w:fill="D99795" w:themeFill="accent2" w:themeFillTint="97"/>
      </w:tcPr>
    </w:tblStylePr>
    <w:tblStylePr w:type="lastCol">
      <w:rPr>
        <w:rFonts w:ascii="Arial" w:hAnsi="Arial"/>
        <w:color w:val="F2F2F2"/>
        <w:sz w:val="22"/>
      </w:rPr>
      <w:tblPr/>
      <w:tcPr>
        <w:shd w:val="clear" w:color="D99795" w:themeColor="accent2" w:themeTint="97" w:fill="D9979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2DCDC" w:themeColor="accent2" w:themeTint="32" w:fill="F2DCDC" w:themeFill="accent2" w:themeFillTint="32"/>
      </w:tcPr>
    </w:tblStylePr>
    <w:tblStylePr w:type="neCell">
      <w:tblPr/>
    </w:tblStylePr>
    <w:tblStylePr w:type="nwCell">
      <w:tblPr/>
    </w:tblStylePr>
    <w:tblStylePr w:type="seCell">
      <w:tblPr/>
    </w:tblStylePr>
    <w:tblStylePr w:type="swCell">
      <w:tblPr/>
    </w:tblStylePr>
  </w:style>
  <w:style w:type="table" w:customStyle="1" w:styleId="163">
    <w:name w:val="Lined - Accent 3"/>
    <w:uiPriority w:val="99"/>
    <w:pPr>
      <w:spacing w:after="0" w:line="240" w:lineRule="auto"/>
    </w:pPr>
    <w:rPr>
      <w:color w:val="404040"/>
    </w:rPr>
    <w:tblPr/>
    <w:tblStylePr w:type="firstRow">
      <w:rPr>
        <w:rFonts w:ascii="Arial" w:hAnsi="Arial"/>
        <w:color w:val="F2F2F2"/>
        <w:sz w:val="22"/>
      </w:rPr>
      <w:tblPr/>
      <w:tcPr>
        <w:shd w:val="clear" w:color="9BBB59" w:themeColor="accent3" w:themeTint="FE" w:fill="9BBB59" w:themeFill="accent3" w:themeFillTint="FE"/>
      </w:tcPr>
    </w:tblStylePr>
    <w:tblStylePr w:type="lastRow">
      <w:rPr>
        <w:rFonts w:ascii="Arial" w:hAnsi="Arial"/>
        <w:color w:val="F2F2F2"/>
        <w:sz w:val="22"/>
      </w:rPr>
      <w:tblPr/>
      <w:tcPr>
        <w:shd w:val="clear" w:color="9BBB59" w:themeColor="accent3" w:themeTint="FE" w:fill="9BBB59" w:themeFill="accent3" w:themeFillTint="FE"/>
      </w:tcPr>
    </w:tblStylePr>
    <w:tblStylePr w:type="firstCol">
      <w:rPr>
        <w:rFonts w:ascii="Arial" w:hAnsi="Arial"/>
        <w:color w:val="F2F2F2"/>
        <w:sz w:val="22"/>
      </w:rPr>
      <w:tblPr/>
      <w:tcPr>
        <w:shd w:val="clear" w:color="9BBB59" w:themeColor="accent3" w:themeTint="FE" w:fill="9BBB59" w:themeFill="accent3" w:themeFillTint="FE"/>
      </w:tcPr>
    </w:tblStylePr>
    <w:tblStylePr w:type="lastCol">
      <w:rPr>
        <w:rFonts w:ascii="Arial" w:hAnsi="Arial"/>
        <w:color w:val="F2F2F2"/>
        <w:sz w:val="22"/>
      </w:rPr>
      <w:tblPr/>
      <w:tcPr>
        <w:shd w:val="clear" w:color="9BBB59" w:themeColor="accent3" w:themeTint="FE" w:fill="9BBB59"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AF1DD" w:themeColor="accent3" w:themeTint="34" w:fill="EAF1DD"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AF1DD" w:themeColor="accent3" w:themeTint="34" w:fill="EAF1DD" w:themeFill="accent3" w:themeFillTint="34"/>
      </w:tcPr>
    </w:tblStylePr>
    <w:tblStylePr w:type="neCell">
      <w:tblPr/>
    </w:tblStylePr>
    <w:tblStylePr w:type="nwCell">
      <w:tblPr/>
    </w:tblStylePr>
    <w:tblStylePr w:type="seCell">
      <w:tblPr/>
    </w:tblStylePr>
    <w:tblStylePr w:type="swCell">
      <w:tblPr/>
    </w:tblStylePr>
  </w:style>
  <w:style w:type="table" w:customStyle="1" w:styleId="164">
    <w:name w:val="Lined - Accent 4"/>
    <w:uiPriority w:val="99"/>
    <w:pPr>
      <w:spacing w:after="0" w:line="240" w:lineRule="auto"/>
    </w:pPr>
    <w:rPr>
      <w:color w:val="404040"/>
    </w:rP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5DFEC" w:themeColor="accent4" w:themeTint="34" w:fill="E5DFEC" w:themeFill="accent4" w:themeFillTint="34"/>
      </w:tcPr>
    </w:tblStylePr>
    <w:tblStylePr w:type="neCell">
      <w:tblPr/>
    </w:tblStylePr>
    <w:tblStylePr w:type="nwCell">
      <w:tblPr/>
    </w:tblStylePr>
    <w:tblStylePr w:type="seCell">
      <w:tblPr/>
    </w:tblStylePr>
    <w:tblStylePr w:type="swCell">
      <w:tblPr/>
    </w:tblStylePr>
  </w:style>
  <w:style w:type="table" w:customStyle="1" w:styleId="165">
    <w:name w:val="Lined - Accent 5"/>
    <w:uiPriority w:val="99"/>
    <w:pPr>
      <w:spacing w:after="0" w:line="240" w:lineRule="auto"/>
    </w:pPr>
    <w:rPr>
      <w:color w:val="404040"/>
    </w:rP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AEEF3" w:themeColor="accent5" w:themeTint="34" w:fill="DAEEF3" w:themeFill="accent5" w:themeFillTint="34"/>
      </w:tcPr>
    </w:tblStylePr>
    <w:tblStylePr w:type="neCell">
      <w:tblPr/>
    </w:tblStylePr>
    <w:tblStylePr w:type="nwCell">
      <w:tblPr/>
    </w:tblStylePr>
    <w:tblStylePr w:type="seCell">
      <w:tblPr/>
    </w:tblStylePr>
    <w:tblStylePr w:type="swCell">
      <w:tblPr/>
    </w:tblStylePr>
  </w:style>
  <w:style w:type="table" w:customStyle="1" w:styleId="166">
    <w:name w:val="Lined - Accent 6"/>
    <w:uiPriority w:val="99"/>
    <w:pPr>
      <w:spacing w:after="0" w:line="240" w:lineRule="auto"/>
    </w:pPr>
    <w:rPr>
      <w:color w:val="404040"/>
    </w:rP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FDE9D9" w:themeColor="accent6" w:themeTint="34" w:fill="FDE9D9"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DE9D9" w:themeColor="accent6" w:themeTint="34" w:fill="FDE9D9" w:themeFill="accent6" w:themeFillTint="34"/>
      </w:tcPr>
    </w:tblStylePr>
    <w:tblStylePr w:type="neCell">
      <w:tblPr/>
    </w:tblStylePr>
    <w:tblStylePr w:type="nwCell">
      <w:tblPr/>
    </w:tblStylePr>
    <w:tblStylePr w:type="seCell">
      <w:tblPr/>
    </w:tblStylePr>
    <w:tblStylePr w:type="swCell">
      <w:tblPr/>
    </w:tblStylePr>
  </w:style>
  <w:style w:type="table" w:customStyle="1" w:styleId="167">
    <w:name w:val="Bordered &amp; Lined - Accen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68">
    <w:name w:val="Bordered &amp; Lined - Accent 1"/>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blPr/>
      <w:tcPr>
        <w:shd w:val="clear" w:color="5D8BC2" w:themeColor="accent1" w:themeTint="EA" w:fill="5D8BC2" w:themeFill="accent1" w:themeFillTint="EA"/>
      </w:tcPr>
    </w:tblStylePr>
    <w:tblStylePr w:type="lastRow">
      <w:rPr>
        <w:rFonts w:ascii="Arial" w:hAnsi="Arial"/>
        <w:color w:val="F2F2F2"/>
        <w:sz w:val="22"/>
      </w:rPr>
      <w:tblPr/>
      <w:tcPr>
        <w:shd w:val="clear" w:color="5D8BC2" w:themeColor="accent1" w:themeTint="EA" w:fill="5D8BC2" w:themeFill="accent1" w:themeFillTint="EA"/>
      </w:tcPr>
    </w:tblStylePr>
    <w:tblStylePr w:type="firstCol">
      <w:rPr>
        <w:rFonts w:ascii="Arial" w:hAnsi="Arial"/>
        <w:color w:val="F2F2F2"/>
        <w:sz w:val="22"/>
      </w:rPr>
      <w:tblPr/>
      <w:tcPr>
        <w:shd w:val="clear" w:color="5D8BC2" w:themeColor="accent1" w:themeTint="EA" w:fill="5D8BC2" w:themeFill="accent1" w:themeFillTint="EA"/>
      </w:tcPr>
    </w:tblStylePr>
    <w:tblStylePr w:type="lastCol">
      <w:rPr>
        <w:rFonts w:ascii="Arial" w:hAnsi="Arial"/>
        <w:color w:val="F2F2F2"/>
        <w:sz w:val="22"/>
      </w:rPr>
      <w:tblPr/>
      <w:tcPr>
        <w:shd w:val="clear" w:color="5D8BC2" w:themeColor="accent1" w:themeTint="EA" w:fill="5D8BC2"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7D7EA" w:themeColor="accent1" w:themeTint="50" w:fill="C7D7EA" w:themeFill="accent1" w:themeFillTint="50"/>
      </w:tcPr>
    </w:tblStylePr>
    <w:tblStylePr w:type="neCell">
      <w:tblPr/>
    </w:tblStylePr>
    <w:tblStylePr w:type="nwCell">
      <w:tblPr/>
    </w:tblStylePr>
    <w:tblStylePr w:type="seCell">
      <w:tblPr/>
    </w:tblStylePr>
    <w:tblStylePr w:type="swCell">
      <w:tblPr/>
    </w:tblStylePr>
  </w:style>
  <w:style w:type="table" w:customStyle="1" w:styleId="169">
    <w:name w:val="Bordered &amp; Lined - Accent 2"/>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blPr/>
      <w:tcPr>
        <w:shd w:val="clear" w:color="D99795" w:themeColor="accent2" w:themeTint="97" w:fill="D99795" w:themeFill="accent2" w:themeFillTint="97"/>
      </w:tcPr>
    </w:tblStylePr>
    <w:tblStylePr w:type="lastRow">
      <w:rPr>
        <w:rFonts w:ascii="Arial" w:hAnsi="Arial"/>
        <w:color w:val="F2F2F2"/>
        <w:sz w:val="22"/>
      </w:rPr>
      <w:tblPr/>
      <w:tcPr>
        <w:shd w:val="clear" w:color="D99795" w:themeColor="accent2" w:themeTint="97" w:fill="D99795" w:themeFill="accent2" w:themeFillTint="97"/>
      </w:tcPr>
    </w:tblStylePr>
    <w:tblStylePr w:type="firstCol">
      <w:rPr>
        <w:rFonts w:ascii="Arial" w:hAnsi="Arial"/>
        <w:color w:val="F2F2F2"/>
        <w:sz w:val="22"/>
      </w:rPr>
      <w:tblPr/>
      <w:tcPr>
        <w:shd w:val="clear" w:color="D99795" w:themeColor="accent2" w:themeTint="97" w:fill="D99795" w:themeFill="accent2" w:themeFillTint="97"/>
      </w:tcPr>
    </w:tblStylePr>
    <w:tblStylePr w:type="lastCol">
      <w:rPr>
        <w:rFonts w:ascii="Arial" w:hAnsi="Arial"/>
        <w:color w:val="F2F2F2"/>
        <w:sz w:val="22"/>
      </w:rPr>
      <w:tblPr/>
      <w:tcPr>
        <w:shd w:val="clear" w:color="D99795" w:themeColor="accent2" w:themeTint="97" w:fill="D9979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2DCDC" w:themeColor="accent2" w:themeTint="32" w:fill="F2DCDC" w:themeFill="accent2" w:themeFillTint="32"/>
      </w:tcPr>
    </w:tblStylePr>
    <w:tblStylePr w:type="neCell">
      <w:tblPr/>
    </w:tblStylePr>
    <w:tblStylePr w:type="nwCell">
      <w:tblPr/>
    </w:tblStylePr>
    <w:tblStylePr w:type="seCell">
      <w:tblPr/>
    </w:tblStylePr>
    <w:tblStylePr w:type="swCell">
      <w:tblPr/>
    </w:tblStylePr>
  </w:style>
  <w:style w:type="table" w:customStyle="1" w:styleId="170">
    <w:name w:val="Bordered &amp; Lined - Accent 3"/>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blPr/>
      <w:tcPr>
        <w:shd w:val="clear" w:color="9BBB59" w:themeColor="accent3" w:themeTint="FE" w:fill="9BBB59" w:themeFill="accent3" w:themeFillTint="FE"/>
      </w:tcPr>
    </w:tblStylePr>
    <w:tblStylePr w:type="lastRow">
      <w:rPr>
        <w:rFonts w:ascii="Arial" w:hAnsi="Arial"/>
        <w:color w:val="F2F2F2"/>
        <w:sz w:val="22"/>
      </w:rPr>
      <w:tblPr/>
      <w:tcPr>
        <w:shd w:val="clear" w:color="9BBB59" w:themeColor="accent3" w:themeTint="FE" w:fill="9BBB59" w:themeFill="accent3" w:themeFillTint="FE"/>
      </w:tcPr>
    </w:tblStylePr>
    <w:tblStylePr w:type="firstCol">
      <w:rPr>
        <w:rFonts w:ascii="Arial" w:hAnsi="Arial"/>
        <w:color w:val="F2F2F2"/>
        <w:sz w:val="22"/>
      </w:rPr>
      <w:tblPr/>
      <w:tcPr>
        <w:shd w:val="clear" w:color="9BBB59" w:themeColor="accent3" w:themeTint="FE" w:fill="9BBB59" w:themeFill="accent3" w:themeFillTint="FE"/>
      </w:tcPr>
    </w:tblStylePr>
    <w:tblStylePr w:type="lastCol">
      <w:rPr>
        <w:rFonts w:ascii="Arial" w:hAnsi="Arial"/>
        <w:color w:val="F2F2F2"/>
        <w:sz w:val="22"/>
      </w:rPr>
      <w:tblPr/>
      <w:tcPr>
        <w:shd w:val="clear" w:color="9BBB59" w:themeColor="accent3" w:themeTint="FE" w:fill="9BBB59"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AF1DD" w:themeColor="accent3" w:themeTint="34" w:fill="EAF1DD"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AF1DD" w:themeColor="accent3" w:themeTint="34" w:fill="EAF1DD" w:themeFill="accent3" w:themeFillTint="34"/>
      </w:tcPr>
    </w:tblStylePr>
    <w:tblStylePr w:type="neCell">
      <w:tblPr/>
    </w:tblStylePr>
    <w:tblStylePr w:type="nwCell">
      <w:tblPr/>
    </w:tblStylePr>
    <w:tblStylePr w:type="seCell">
      <w:tblPr/>
    </w:tblStylePr>
    <w:tblStylePr w:type="swCell">
      <w:tblPr/>
    </w:tblStylePr>
  </w:style>
  <w:style w:type="table" w:customStyle="1" w:styleId="171">
    <w:name w:val="Bordered &amp; Lined - Accent 4"/>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5DFEC" w:themeColor="accent4" w:themeTint="34" w:fill="E5DFEC" w:themeFill="accent4" w:themeFillTint="34"/>
      </w:tcPr>
    </w:tblStylePr>
    <w:tblStylePr w:type="neCell">
      <w:tblPr/>
    </w:tblStylePr>
    <w:tblStylePr w:type="nwCell">
      <w:tblPr/>
    </w:tblStylePr>
    <w:tblStylePr w:type="seCell">
      <w:tblPr/>
    </w:tblStylePr>
    <w:tblStylePr w:type="swCell">
      <w:tblPr/>
    </w:tblStylePr>
  </w:style>
  <w:style w:type="table" w:customStyle="1" w:styleId="172">
    <w:name w:val="Bordered &amp; Lined - Accent 5"/>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AEEF3" w:themeColor="accent5" w:themeTint="34" w:fill="DAEEF3" w:themeFill="accent5" w:themeFillTint="34"/>
      </w:tcPr>
    </w:tblStylePr>
    <w:tblStylePr w:type="neCell">
      <w:tblPr/>
    </w:tblStylePr>
    <w:tblStylePr w:type="nwCell">
      <w:tblPr/>
    </w:tblStylePr>
    <w:tblStylePr w:type="seCell">
      <w:tblPr/>
    </w:tblStylePr>
    <w:tblStylePr w:type="swCell">
      <w:tblPr/>
    </w:tblStylePr>
  </w:style>
  <w:style w:type="table" w:customStyle="1" w:styleId="173">
    <w:name w:val="Bordered &amp; Lined - Accent 6"/>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FDE9D9" w:themeColor="accent6" w:themeTint="34" w:fill="FDE9D9"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DE9D9" w:themeColor="accent6" w:themeTint="34" w:fill="FDE9D9" w:themeFill="accent6" w:themeFillTint="34"/>
      </w:tcPr>
    </w:tblStylePr>
    <w:tblStylePr w:type="neCell">
      <w:tblPr/>
    </w:tblStylePr>
    <w:tblStylePr w:type="nwCell">
      <w:tblPr/>
    </w:tblStylePr>
    <w:tblStylePr w:type="seCell">
      <w:tblPr/>
    </w:tblStylePr>
    <w:tblStylePr w:type="swCell">
      <w:tblPr/>
    </w:tblStylePr>
  </w:style>
  <w:style w:type="table" w:customStyle="1" w:styleId="174">
    <w:name w:val="Bordered"/>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blPr/>
      <w:tcPr>
        <w:tcBorders>
          <w:bottom w:val="single" w:color="7E7E7E" w:themeColor="text1" w:themeTint="80" w:sz="12" w:space="0"/>
        </w:tcBorders>
      </w:tcPr>
    </w:tblStylePr>
    <w:tblStylePr w:type="lastRow">
      <w:rPr>
        <w:rFonts w:ascii="Arial" w:hAnsi="Arial"/>
        <w:color w:val="404040"/>
        <w:sz w:val="22"/>
      </w:rPr>
      <w:tblPr/>
      <w:tcPr>
        <w:tcBorders>
          <w:top w:val="single" w:color="7E7E7E" w:themeColor="text1" w:themeTint="80"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7E7E7E" w:themeColor="text1" w:themeTint="80"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5">
    <w:name w:val="Bordered - Accent 1"/>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blPr/>
      <w:tcPr>
        <w:tcBorders>
          <w:bottom w:val="single" w:color="4F81BD" w:themeColor="accent1" w:sz="12" w:space="0"/>
        </w:tcBorders>
      </w:tcPr>
    </w:tblStylePr>
    <w:tblStylePr w:type="lastRow">
      <w:rPr>
        <w:rFonts w:ascii="Arial" w:hAnsi="Arial"/>
        <w:color w:val="404040"/>
        <w:sz w:val="22"/>
      </w:rPr>
      <w:tblPr/>
      <w:tcPr>
        <w:tcBorders>
          <w:top w:val="single" w:color="4F81BD" w:themeColor="accent1"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4F81BD" w:themeColor="accent1"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6">
    <w:name w:val="Bordered - Accent 2"/>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blPr/>
      <w:tcPr>
        <w:tcBorders>
          <w:bottom w:val="single" w:color="D99795" w:themeColor="accent2" w:themeTint="97" w:sz="12" w:space="0"/>
        </w:tcBorders>
      </w:tcPr>
    </w:tblStylePr>
    <w:tblStylePr w:type="lastRow">
      <w:rPr>
        <w:rFonts w:ascii="Arial" w:hAnsi="Arial"/>
        <w:color w:val="404040"/>
        <w:sz w:val="22"/>
      </w:rPr>
      <w:tblPr/>
      <w:tcPr>
        <w:tcBorders>
          <w:top w:val="single" w:color="D99795" w:themeColor="accent2" w:themeTint="97"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D99795" w:themeColor="accent2" w:themeTint="97"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7">
    <w:name w:val="Bordered - Accent 3"/>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blPr/>
      <w:tcPr>
        <w:tcBorders>
          <w:bottom w:val="single" w:color="C3D69C" w:themeColor="accent3" w:themeTint="98" w:sz="12" w:space="0"/>
        </w:tcBorders>
      </w:tcPr>
    </w:tblStylePr>
    <w:tblStylePr w:type="lastRow">
      <w:rPr>
        <w:rFonts w:ascii="Arial" w:hAnsi="Arial"/>
        <w:color w:val="404040"/>
        <w:sz w:val="22"/>
      </w:rPr>
      <w:tblPr/>
      <w:tcPr>
        <w:tcBorders>
          <w:top w:val="single" w:color="C3D69C" w:themeColor="accent3"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C3D69C" w:themeColor="accent3"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8">
    <w:name w:val="Bordered - Accent 4"/>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blPr/>
      <w:tcPr>
        <w:tcBorders>
          <w:bottom w:val="single" w:color="B2A1C6" w:themeColor="accent4" w:themeTint="9A" w:sz="12" w:space="0"/>
        </w:tcBorders>
      </w:tcPr>
    </w:tblStylePr>
    <w:tblStylePr w:type="lastRow">
      <w:rPr>
        <w:rFonts w:ascii="Arial" w:hAnsi="Arial"/>
        <w:color w:val="404040"/>
        <w:sz w:val="22"/>
      </w:rPr>
      <w:tblPr/>
      <w:tcPr>
        <w:tcBorders>
          <w:top w:val="single" w:color="B2A1C6" w:themeColor="accent4"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B2A1C6" w:themeColor="accent4"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9">
    <w:name w:val="Bordered - Accent 5"/>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blPr/>
      <w:tcPr>
        <w:tcBorders>
          <w:bottom w:val="single" w:color="92CCDC" w:themeColor="accent5" w:themeTint="9A" w:sz="12" w:space="0"/>
        </w:tcBorders>
      </w:tcPr>
    </w:tblStylePr>
    <w:tblStylePr w:type="lastRow">
      <w:rPr>
        <w:rFonts w:ascii="Arial" w:hAnsi="Arial"/>
        <w:color w:val="404040"/>
        <w:sz w:val="22"/>
      </w:rPr>
      <w:tblPr/>
      <w:tcPr>
        <w:tcBorders>
          <w:top w:val="single" w:color="92CCDC" w:themeColor="accent5"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92CCDC" w:themeColor="accent5"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0">
    <w:name w:val="Bordered - Accent 6"/>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blPr/>
      <w:tcPr>
        <w:tcBorders>
          <w:bottom w:val="single" w:color="FAC090" w:themeColor="accent6" w:themeTint="98" w:sz="12" w:space="0"/>
        </w:tcBorders>
      </w:tcPr>
    </w:tblStylePr>
    <w:tblStylePr w:type="lastRow">
      <w:rPr>
        <w:rFonts w:ascii="Arial" w:hAnsi="Arial"/>
        <w:color w:val="404040"/>
        <w:sz w:val="22"/>
      </w:rPr>
      <w:tblPr/>
      <w:tcPr>
        <w:tcBorders>
          <w:top w:val="single" w:color="FAC090" w:themeColor="accent6"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FAC090" w:themeColor="accent6"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character" w:customStyle="1" w:styleId="181">
    <w:name w:val="Footnote Text Char"/>
    <w:link w:val="24"/>
    <w:uiPriority w:val="99"/>
    <w:rPr>
      <w:sz w:val="18"/>
    </w:rPr>
  </w:style>
  <w:style w:type="character" w:customStyle="1" w:styleId="182">
    <w:name w:val="Endnote Text Char"/>
    <w:link w:val="18"/>
    <w:uiPriority w:val="99"/>
    <w:rPr>
      <w:sz w:val="20"/>
    </w:rPr>
  </w:style>
  <w:style w:type="paragraph" w:customStyle="1" w:styleId="183">
    <w:name w:val="TOC Heading"/>
    <w:unhideWhenUsed/>
    <w:uiPriority w:val="39"/>
    <w:rPr>
      <w:rFonts w:hint="default" w:ascii="Times New Roman" w:hAnsi="Times New Roman" w:eastAsia="宋体" w:cs="Times New Roman"/>
    </w:rPr>
  </w:style>
  <w:style w:type="character" w:customStyle="1" w:styleId="184">
    <w:name w:val="默认段落字体1"/>
    <w:link w:val="1"/>
    <w:semiHidden/>
    <w:uiPriority w:val="0"/>
  </w:style>
  <w:style w:type="table" w:customStyle="1" w:styleId="185">
    <w:name w:val="普通表格1"/>
    <w:semiHidden/>
    <w:uiPriority w:val="0"/>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paragraph" w:customStyle="1" w:styleId="186">
    <w:name w:val="页脚1"/>
    <w:basedOn w:val="1"/>
    <w:next w:val="1"/>
    <w:qFormat/>
    <w:uiPriority w:val="0"/>
    <w:pPr>
      <w:tabs>
        <w:tab w:val="center" w:pos="4153"/>
        <w:tab w:val="right" w:pos="8306"/>
      </w:tabs>
      <w:jc w:val="left"/>
    </w:pPr>
    <w:rPr>
      <w:sz w:val="18"/>
    </w:rPr>
  </w:style>
  <w:style w:type="paragraph" w:customStyle="1" w:styleId="187">
    <w:name w:val="正文文本缩进 31"/>
    <w:basedOn w:val="1"/>
    <w:qFormat/>
    <w:uiPriority w:val="0"/>
    <w:pPr>
      <w:ind w:firstLine="640"/>
    </w:pPr>
    <w:rPr>
      <w:rFonts w:ascii="仿宋_GB2312" w:eastAsia="仿宋_GB2312"/>
      <w:sz w:val="32"/>
    </w:rPr>
  </w:style>
  <w:style w:type="paragraph" w:customStyle="1" w:styleId="188">
    <w:name w:val="图表目录1"/>
    <w:basedOn w:val="1"/>
    <w:next w:val="1"/>
    <w:semiHidden/>
    <w:qFormat/>
    <w:uiPriority w:val="99"/>
    <w:pPr>
      <w:ind w:left="200" w:hanging="200"/>
    </w:pPr>
  </w:style>
  <w:style w:type="paragraph" w:customStyle="1" w:styleId="189">
    <w:name w:val="普通(网站)1"/>
    <w:basedOn w:val="1"/>
    <w:uiPriority w:val="0"/>
    <w:pPr>
      <w:widowControl/>
      <w:spacing w:before="100" w:beforeAutospacing="1" w:after="100" w:afterAutospacing="1"/>
      <w:jc w:val="left"/>
    </w:pPr>
    <w:rPr>
      <w:rFonts w:ascii="宋体" w:hAnsi="宋体" w:cs="宋体"/>
      <w:sz w:val="24"/>
    </w:rPr>
  </w:style>
  <w:style w:type="character" w:customStyle="1" w:styleId="190">
    <w:name w:val="要点1"/>
    <w:basedOn w:val="184"/>
    <w:link w:val="1"/>
    <w:uiPriority w:val="0"/>
    <w:rPr>
      <w:b/>
      <w:bCs/>
    </w:rPr>
  </w:style>
  <w:style w:type="paragraph" w:customStyle="1" w:styleId="191">
    <w:name w:val="列出段落1"/>
    <w:basedOn w:val="1"/>
    <w:qFormat/>
    <w:uiPriority w:val="34"/>
    <w:pPr>
      <w:ind w:firstLine="420"/>
    </w:pPr>
  </w:style>
  <w:style w:type="paragraph" w:customStyle="1" w:styleId="192">
    <w:name w:val="普通(网站) Char"/>
    <w:basedOn w:val="1"/>
    <w:qFormat/>
    <w:uiPriority w:val="0"/>
    <w:pPr>
      <w:keepNext w:val="0"/>
      <w:keepLines w:val="0"/>
      <w:widowControl/>
      <w:suppressLineNumbers w:val="0"/>
      <w:spacing w:before="100" w:beforeAutospacing="1" w:after="100" w:afterAutospacing="1"/>
      <w:ind w:left="0" w:right="0"/>
      <w:jc w:val="left"/>
    </w:pPr>
    <w:rPr>
      <w:rFonts w:hint="eastAsia" w:ascii="宋体" w:hAnsi="宋体" w:eastAsia="宋体" w:cs="宋体"/>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emf"/><Relationship Id="rId8" Type="http://schemas.openxmlformats.org/officeDocument/2006/relationships/image" Target="media/image5.emf"/><Relationship Id="rId7" Type="http://schemas.openxmlformats.org/officeDocument/2006/relationships/image" Target="media/image4.emf"/><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emf"/><Relationship Id="rId1" Type="http://schemas.openxmlformats.org/officeDocument/2006/relationships/styles" Target="style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Template>
  <Company>Microsof</Company>
  <Pages>35</Pages>
  <Words>5075</Words>
  <Characters>5814</Characters>
  <TotalTime>0</TotalTime>
  <ScaleCrop>false</ScaleCrop>
  <LinksUpToDate>false</LinksUpToDate>
  <CharactersWithSpaces>6041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2023-01-14T02:15:00Z</dcterms:created>
  <dc:creator>Us</dc:creator>
  <cp:lastModifiedBy>Administrator</cp:lastModifiedBy>
  <dcterms:modified xsi:type="dcterms:W3CDTF">2025-05-15T01:35:14Z</dcterms:modified>
  <dc:title>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eyJoZGlkIjoiYTZlYTVjODcyNTU1MzBiMDcyYjhmOGIxMTczZjVhMTEifQ==</vt:lpwstr>
  </property>
  <property fmtid="{D5CDD505-2E9C-101B-9397-08002B2CF9AE}" pid="3" name="KSOProductBuildVer">
    <vt:lpwstr>2052-12.1.0.21171</vt:lpwstr>
  </property>
  <property fmtid="{D5CDD505-2E9C-101B-9397-08002B2CF9AE}" pid="4" name="ICV">
    <vt:lpwstr>A6458A8E0AFE4242993F282C9B4340C8_12</vt:lpwstr>
  </property>
</Properties>
</file>