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A0129">
      <w:pPr>
        <w:pStyle w:val="4"/>
        <w:shd w:val="clear" w:color="auto" w:fill="FFFFFF"/>
        <w:snapToGrid w:val="0"/>
        <w:jc w:val="center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阿坝州红原县查尔玛乡人民政府(本级)2022年度部门决算报表填报说明</w:t>
      </w:r>
    </w:p>
    <w:p w14:paraId="44717A8D">
      <w:pPr>
        <w:pStyle w:val="4"/>
        <w:shd w:val="clear" w:color="auto" w:fill="FFFFFF"/>
        <w:snapToGrid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 w14:paraId="00FAFE2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 </w:t>
      </w:r>
      <w:bookmarkStart w:id="1" w:name="_GoBack"/>
      <w:bookmarkEnd w:id="1"/>
    </w:p>
    <w:p w14:paraId="1F77A24C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一、决算信息来源说明</w:t>
      </w:r>
    </w:p>
    <w:p w14:paraId="167206F9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 w14:paraId="5389A22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（一）本套决算主表数据主要依据本单位会计账簿总账及明细账数据填列，预算数据依据本单位预、决算批复文件及预算调整文件填列。</w:t>
      </w:r>
    </w:p>
    <w:p w14:paraId="5184A310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（二）本套决算附表数据主要依据本单位会计账簿、资产、人事台账及相关资料填列。</w:t>
      </w:r>
    </w:p>
    <w:p w14:paraId="5E33F72E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二、决算编制基本情况</w:t>
      </w:r>
    </w:p>
    <w:p w14:paraId="59A964E6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本单位为二级预算单位，所属乡级预算单位，单位类型为行政单位，决算编报小类为单户表，按照政府会计准则制度填报决算数据。</w:t>
      </w:r>
    </w:p>
    <w:p w14:paraId="22E5B580">
      <w:pPr>
        <w:pStyle w:val="4"/>
        <w:shd w:val="clear" w:color="auto" w:fill="FFFFFF"/>
        <w:snapToGrid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</w:rPr>
        <w:t>纳入本套决算编制范围的独立编制机构数1个，比上年增加-4个，独立核算机构数共1个，比上年增加 -4个，分别是2021年独立编制机构：2010101-人大事务（行政运行）、2010301-政府办公厅（室）及相关机构事务（行政运行）、2010601-财政事务（行政运行）、2010350-政府办公厅（室）及相关机构事务（事业运行）、2013101-政府办公厅（室）及相关机构事务（行政运行）；2022年独立编制机构：2010301-政府办公厅（室）及相关机构事务（行政运行）</w:t>
      </w:r>
    </w:p>
    <w:p w14:paraId="038E5D6A">
      <w:pPr>
        <w:pStyle w:val="4"/>
        <w:snapToGrid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（详情见附表1： 2021年与2022年独立编制机构对比情况）</w:t>
      </w:r>
    </w:p>
    <w:p w14:paraId="7A5D8652">
      <w:pPr>
        <w:pStyle w:val="4"/>
        <w:snapToGrid w:val="0"/>
        <w:rPr>
          <w:sz w:val="32"/>
          <w:szCs w:val="32"/>
        </w:rPr>
      </w:pPr>
      <w:r>
        <w:rPr>
          <w:sz w:val="32"/>
          <w:szCs w:val="32"/>
        </w:rPr>
        <w:object>
          <v:shape id="_x0000_i1025" o:spt="75" type="#_x0000_t75" style="height:530.25pt;width:384.7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Office12.Excel.Template" ShapeID="_x0000_i1025" DrawAspect="Content" ObjectID="_1468075725" r:id="rId6">
            <o:LockedField>false</o:LockedField>
          </o:OLEObject>
        </w:object>
      </w:r>
    </w:p>
    <w:p w14:paraId="05BFB503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三、基础数据核对情况</w:t>
      </w:r>
    </w:p>
    <w:p w14:paraId="75516C39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（一）财政资金对账情况。</w:t>
      </w:r>
    </w:p>
    <w:p w14:paraId="12A4ECB4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1．财政拨款核对情况。</w:t>
      </w:r>
    </w:p>
    <w:p w14:paraId="1260E37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（1） 本单位本年度实际收到的一般公共预算财政拨款收入833.06万元，财政部门拨款对账单833.06万元，差额0.00万元。（2） 本单位本年度政府性基金预算财政拨款收入0.00万元，财政部门拨款对账单0.00万元，差额0.00万元。</w:t>
      </w:r>
    </w:p>
    <w:p w14:paraId="7A1C0B34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（3） 本单位本年度国有资本经营预算财政拨款收入0.00万元，财政部门拨款对账单0.00万元，差额0.00万元。 </w:t>
      </w:r>
    </w:p>
    <w:p w14:paraId="5CB99173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2．其他需要说明的情况。</w:t>
      </w:r>
    </w:p>
    <w:p w14:paraId="713CAB77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（二）与上年指标核对情况。</w:t>
      </w:r>
    </w:p>
    <w:p w14:paraId="77E8225D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1． 本单位本年度年初结转结余为0.00万元，上年年末结转结余为0.00万元，差异为0.00万元。</w:t>
      </w:r>
    </w:p>
    <w:p w14:paraId="26B110A4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本单位本年度一般公共预算财政拨款年初结转结余为0.00万元，上年一般公共预算财政拨款年末结转结余为0.00万元，差异为0.00万元，主要原因为：一般公共预算财政拨款无结转资金。</w:t>
      </w:r>
    </w:p>
    <w:p w14:paraId="54F7236E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本单位本年度政府性基金预算财政拨款年初结转和结余为0.00万元，上年政府性基金预算财政拨款年末结转和结余为0.00万元，差异为0.00万元，主要原因为：政府性基金预算财政拨款无结转资金。</w:t>
      </w:r>
    </w:p>
    <w:p w14:paraId="3EB41C43">
      <w:pPr>
        <w:pStyle w:val="4"/>
        <w:shd w:val="clear" w:color="auto" w:fill="FFFFFF"/>
        <w:snapToGrid w:val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2．CS02表主要指标变动表中主要指标上下年变动幅度超过20%，其中机构人员指标上下年有变动的，具体核实并说明原因详情见附表2：主要指标变动情况表-机关</w:t>
      </w:r>
    </w:p>
    <w:p w14:paraId="06684BF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sz w:val="32"/>
          <w:szCs w:val="32"/>
        </w:rPr>
        <w:object>
          <v:shape id="_x0000_i1026" o:spt="75" type="#_x0000_t75" style="height:714.75pt;width:464.2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Office12.Excel.Template" ShapeID="_x0000_i1026" DrawAspect="Content" ObjectID="_1468075726" r:id="rId8">
            <o:LockedField>false</o:LockedField>
          </o:OLEObject>
        </w:object>
      </w:r>
    </w:p>
    <w:p w14:paraId="451702F2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 四、报表审核情况</w:t>
      </w:r>
    </w:p>
    <w:p w14:paraId="292D7EB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（一）审核情况。</w:t>
      </w:r>
    </w:p>
    <w:p w14:paraId="691D0926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(1)提示内容：</w:t>
      </w:r>
      <w:r>
        <w:rPr>
          <w:sz w:val="32"/>
          <w:szCs w:val="32"/>
        </w:rPr>
        <w:t>如果Z06表一般预算财政拨款支出与Z08-2表支出一致，那么项目顺序及名称也应该一致。如果Z06表某项目今年未支出，则将该项目列在该科目最后。请核实</w:t>
      </w:r>
      <w:r>
        <w:rPr>
          <w:rFonts w:hint="eastAsia"/>
          <w:sz w:val="32"/>
          <w:szCs w:val="32"/>
        </w:rPr>
        <w:t>。</w:t>
      </w:r>
    </w:p>
    <w:p w14:paraId="0BECA2E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sz w:val="32"/>
          <w:szCs w:val="32"/>
        </w:rPr>
        <w:t>表间公式</w:t>
      </w:r>
      <w:bookmarkStart w:id="0" w:name="errorInfo"/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"javascript:void(0);" </w:instrText>
      </w:r>
      <w:r>
        <w:rPr>
          <w:sz w:val="32"/>
          <w:szCs w:val="32"/>
        </w:rPr>
        <w:fldChar w:fldCharType="separate"/>
      </w:r>
      <w:r>
        <w:rPr>
          <w:sz w:val="32"/>
          <w:szCs w:val="32"/>
        </w:rPr>
        <w:t>出错说明： 网格化通讯及网络费；安全生产；2022年群防群治专项经费；2019年查尔玛乡牧道维修项目资金（平阳县慈善总会）均为代管资金，且资金正确，顺序相同</w:t>
      </w:r>
      <w:r>
        <w:rPr>
          <w:sz w:val="32"/>
          <w:szCs w:val="32"/>
        </w:rPr>
        <w:fldChar w:fldCharType="end"/>
      </w:r>
      <w:bookmarkEnd w:id="0"/>
    </w:p>
    <w:p w14:paraId="5508FCEC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Style w:val="7"/>
          <w:rFonts w:hint="eastAsia"/>
          <w:b w:val="0"/>
          <w:sz w:val="32"/>
          <w:szCs w:val="32"/>
        </w:rPr>
        <w:t>（二）对报表指标、审核公式和审核模板的设置建议。</w:t>
      </w:r>
    </w:p>
    <w:p w14:paraId="12853FBE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无</w:t>
      </w:r>
    </w:p>
    <w:p w14:paraId="4152579D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五、决算数据其他需要说明的情况</w:t>
      </w:r>
    </w:p>
    <w:p w14:paraId="51BB201F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1． “收入决算表”中其他收入为23.06万元,其中:非同级拨款收入为23.06万元（其中：本级横向转拨财政款为0.00万元；非本级财政拨款为23.06万元），</w:t>
      </w:r>
      <w:r>
        <w:rPr>
          <w:rStyle w:val="7"/>
          <w:rFonts w:hint="eastAsia"/>
          <w:b w:val="0"/>
          <w:sz w:val="32"/>
          <w:szCs w:val="32"/>
        </w:rPr>
        <w:t>主要资金构成为：行政运行为22.2万元、一般行政管理事务为0.86万元，</w:t>
      </w:r>
      <w:r>
        <w:rPr>
          <w:rFonts w:hint="eastAsia"/>
          <w:sz w:val="32"/>
          <w:szCs w:val="32"/>
        </w:rPr>
        <w:t>其他均为0.00万元。</w:t>
      </w:r>
    </w:p>
    <w:p w14:paraId="54187FB4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2．“项目支出决算明细表”中 “对个人和家庭的补助”为105.32万元，</w:t>
      </w:r>
      <w:r>
        <w:rPr>
          <w:rStyle w:val="7"/>
          <w:rFonts w:hint="eastAsia"/>
          <w:b w:val="0"/>
          <w:sz w:val="32"/>
          <w:szCs w:val="32"/>
        </w:rPr>
        <w:t>主要资金构成及填报依据为：对村民委员会和村党支部的补助中在职村社干部生活补助100.75万元，离任村社干部生活补助4.41万元、三老干部生活补助0.16万元；</w:t>
      </w:r>
    </w:p>
    <w:p w14:paraId="2D10FA25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3. “三公”经费总额为9.13万元，比全年预算数少0.00万元，其中：因公出国（境）费少0.00万元，</w:t>
      </w:r>
      <w:r>
        <w:rPr>
          <w:rStyle w:val="7"/>
          <w:rFonts w:hint="eastAsia"/>
          <w:b w:val="0"/>
          <w:sz w:val="32"/>
          <w:szCs w:val="32"/>
        </w:rPr>
        <w:t>主要原因为：</w:t>
      </w:r>
      <w:r>
        <w:rPr>
          <w:rFonts w:hint="eastAsia"/>
          <w:sz w:val="32"/>
          <w:szCs w:val="32"/>
        </w:rPr>
        <w:t>厉行节约，无该费用产生；公务用车购置及运行维护费少0.00万元，</w:t>
      </w:r>
      <w:r>
        <w:rPr>
          <w:rStyle w:val="7"/>
          <w:rFonts w:hint="eastAsia"/>
          <w:b w:val="0"/>
          <w:sz w:val="32"/>
          <w:szCs w:val="32"/>
        </w:rPr>
        <w:t>主要原因为：</w:t>
      </w:r>
      <w:r>
        <w:rPr>
          <w:rFonts w:hint="eastAsia"/>
          <w:sz w:val="32"/>
          <w:szCs w:val="32"/>
        </w:rPr>
        <w:t>厉行节约，无该费用产生；公务接待费少0.00万元，</w:t>
      </w:r>
      <w:r>
        <w:rPr>
          <w:rStyle w:val="7"/>
          <w:rFonts w:hint="eastAsia"/>
          <w:b w:val="0"/>
          <w:sz w:val="32"/>
          <w:szCs w:val="32"/>
        </w:rPr>
        <w:t>主要原因为：</w:t>
      </w:r>
      <w:r>
        <w:rPr>
          <w:rFonts w:hint="eastAsia"/>
          <w:sz w:val="32"/>
          <w:szCs w:val="32"/>
        </w:rPr>
        <w:t>厉行节约，无该费用产生；</w:t>
      </w:r>
    </w:p>
    <w:p w14:paraId="2B3C86D0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“三公”经费总额比上年决算数少9.13万元，其中：因公出国（境）费少0.00万元，主要原因为：</w:t>
      </w:r>
      <w:r>
        <w:rPr>
          <w:rFonts w:hint="eastAsia"/>
          <w:sz w:val="32"/>
          <w:szCs w:val="32"/>
        </w:rPr>
        <w:t>厉行节约，无该费用产生；公务用车购置及运行维护费少9.13万元，主要原因为：</w:t>
      </w:r>
      <w:r>
        <w:rPr>
          <w:rFonts w:hint="eastAsia"/>
          <w:sz w:val="32"/>
          <w:szCs w:val="32"/>
        </w:rPr>
        <w:t>厉行节约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公务用车购置费支出决算数为0.00万元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公务用车运行维护费支出决算数为</w:t>
      </w:r>
      <w:r>
        <w:rPr>
          <w:rFonts w:hint="eastAsia"/>
          <w:sz w:val="32"/>
          <w:szCs w:val="32"/>
          <w:lang w:val="en-US" w:eastAsia="zh-CN"/>
        </w:rPr>
        <w:t>9.13</w:t>
      </w:r>
      <w:r>
        <w:rPr>
          <w:rFonts w:hint="eastAsia"/>
          <w:sz w:val="32"/>
          <w:szCs w:val="32"/>
        </w:rPr>
        <w:t>万元</w:t>
      </w:r>
      <w:r>
        <w:rPr>
          <w:rFonts w:hint="eastAsia"/>
          <w:sz w:val="32"/>
          <w:szCs w:val="32"/>
        </w:rPr>
        <w:t>，公务接待费少0.00万元，主要原因为:</w:t>
      </w:r>
      <w:r>
        <w:rPr>
          <w:rFonts w:hint="eastAsia"/>
          <w:sz w:val="32"/>
          <w:szCs w:val="32"/>
        </w:rPr>
        <w:t xml:space="preserve"> 厉行节约，无该费用产生。</w:t>
      </w:r>
    </w:p>
    <w:p w14:paraId="4F852C51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因公出国（境）团组数（个）为0；因公出国（境）人次数（人）为0；公务用车购置数（辆）为0；公务用车保有量（辆）为2；国内公务接待批次（个）0为；国内公务接待人次（人）为0；国（境）外公务接待批次（个）为 0；国（境）外公务接待人次（人）为0。</w:t>
      </w:r>
    </w:p>
    <w:p w14:paraId="128DD34B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4. 本单位本年度机构运行经费为34.85万元，上年度为41.89万元，差异为-7.04万元，</w:t>
      </w:r>
      <w:r>
        <w:rPr>
          <w:rStyle w:val="7"/>
          <w:rFonts w:hint="eastAsia"/>
          <w:b w:val="0"/>
          <w:sz w:val="32"/>
          <w:szCs w:val="32"/>
        </w:rPr>
        <w:t>主要原因为：厉行节约。</w:t>
      </w:r>
    </w:p>
    <w:p w14:paraId="5B016C8A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5. 政府采购支出为0.00万元；其中货物支出为0.00万元，工程支出为0.00万元，服务支出为0.00万元。政府采购授予中小企业合同金额为0.00万元；其中：授予小微企业合同金额为0.00万元。</w:t>
      </w:r>
    </w:p>
    <w:p w14:paraId="60712060">
      <w:pPr>
        <w:pStyle w:val="4"/>
        <w:shd w:val="clear" w:color="auto" w:fill="FFFFFF"/>
        <w:snapToGrid w:val="0"/>
        <w:rPr>
          <w:sz w:val="32"/>
          <w:szCs w:val="32"/>
        </w:rPr>
      </w:pPr>
      <w:r>
        <w:rPr>
          <w:rFonts w:hint="eastAsia"/>
          <w:sz w:val="32"/>
          <w:szCs w:val="32"/>
        </w:rPr>
        <w:t> </w:t>
      </w:r>
    </w:p>
    <w:p w14:paraId="39A732E5">
      <w:pPr>
        <w:spacing w:line="220" w:lineRule="atLeast"/>
        <w:rPr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dkNGFlNGNjMWFlNDYyYzQzMDllYWZhNmI3MzY2MDgifQ=="/>
  </w:docVars>
  <w:rsids>
    <w:rsidRoot w:val="00D31D50"/>
    <w:rsid w:val="00050768"/>
    <w:rsid w:val="00290CF3"/>
    <w:rsid w:val="00323B43"/>
    <w:rsid w:val="00377DCD"/>
    <w:rsid w:val="003D37D8"/>
    <w:rsid w:val="00426133"/>
    <w:rsid w:val="004358AB"/>
    <w:rsid w:val="005823C3"/>
    <w:rsid w:val="005C7ED8"/>
    <w:rsid w:val="008B7726"/>
    <w:rsid w:val="00A84630"/>
    <w:rsid w:val="00B15390"/>
    <w:rsid w:val="00B608BD"/>
    <w:rsid w:val="00D31D50"/>
    <w:rsid w:val="00E70787"/>
    <w:rsid w:val="4244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1846</Words>
  <Characters>2085</Characters>
  <Lines>15</Lines>
  <Paragraphs>4</Paragraphs>
  <TotalTime>2</TotalTime>
  <ScaleCrop>false</ScaleCrop>
  <LinksUpToDate>false</LinksUpToDate>
  <CharactersWithSpaces>2107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盒子精</cp:lastModifiedBy>
  <dcterms:modified xsi:type="dcterms:W3CDTF">2024-08-15T10:41:57Z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87193042D65048A5B2DD583DED296EA1_12</vt:lpwstr>
  </property>
</Properties>
</file>