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1C4AF4">
      <w:pPr>
        <w:pStyle w:val="8"/>
        <w:shd w:val="clear" w:color="auto" w:fill="FFFFFF"/>
        <w:jc w:val="center"/>
        <w:rPr>
          <w:rStyle w:val="11"/>
          <w:rFonts w:hint="eastAsia" w:asciiTheme="majorEastAsia" w:hAnsiTheme="majorEastAsia" w:eastAsiaTheme="majorEastAsia"/>
          <w:b w:val="0"/>
          <w:sz w:val="32"/>
          <w:szCs w:val="32"/>
        </w:rPr>
      </w:pPr>
      <w:r>
        <w:rPr>
          <w:rStyle w:val="11"/>
          <w:rFonts w:hint="eastAsia" w:asciiTheme="majorEastAsia" w:hAnsiTheme="majorEastAsia" w:eastAsiaTheme="majorEastAsia"/>
          <w:b w:val="0"/>
          <w:sz w:val="32"/>
          <w:szCs w:val="32"/>
        </w:rPr>
        <w:t>阿坝州红原县查尔玛乡人民政府(本级)</w:t>
      </w:r>
    </w:p>
    <w:p w14:paraId="734119C0">
      <w:pPr>
        <w:pStyle w:val="8"/>
        <w:shd w:val="clear" w:color="auto" w:fill="FFFFFF"/>
        <w:jc w:val="center"/>
        <w:rPr>
          <w:rFonts w:asciiTheme="majorEastAsia" w:hAnsiTheme="majorEastAsia" w:eastAsiaTheme="majorEastAsia"/>
          <w:sz w:val="32"/>
          <w:szCs w:val="32"/>
        </w:rPr>
      </w:pPr>
      <w:r>
        <w:rPr>
          <w:rStyle w:val="11"/>
          <w:rFonts w:hint="eastAsia" w:asciiTheme="majorEastAsia" w:hAnsiTheme="majorEastAsia" w:eastAsiaTheme="majorEastAsia"/>
          <w:b w:val="0"/>
          <w:sz w:val="32"/>
          <w:szCs w:val="32"/>
        </w:rPr>
        <w:t>2022年度部门决算分析报告</w:t>
      </w:r>
    </w:p>
    <w:p w14:paraId="2BEC42A0">
      <w:pPr>
        <w:pStyle w:val="8"/>
        <w:shd w:val="clear" w:color="auto" w:fill="FFFFFF"/>
        <w:rPr>
          <w:rFonts w:asciiTheme="minorEastAsia" w:hAnsiTheme="minorEastAsia" w:eastAsiaTheme="minorEastAsia"/>
        </w:rPr>
      </w:pPr>
    </w:p>
    <w:p w14:paraId="09F4E68E">
      <w:pPr>
        <w:pStyle w:val="8"/>
        <w:shd w:val="clear" w:color="auto" w:fill="FFFFFF"/>
        <w:rPr>
          <w:rFonts w:asciiTheme="minorEastAsia" w:hAnsiTheme="minorEastAsia" w:eastAsiaTheme="minorEastAsia"/>
        </w:rPr>
      </w:pPr>
      <w:r>
        <w:rPr>
          <w:rFonts w:hint="eastAsia" w:asciiTheme="minorEastAsia" w:hAnsiTheme="minorEastAsia" w:eastAsiaTheme="minorEastAsia"/>
        </w:rPr>
        <w:t>一、单位情况</w:t>
      </w:r>
    </w:p>
    <w:p w14:paraId="198DA7F9">
      <w:pPr>
        <w:pStyle w:val="8"/>
        <w:shd w:val="clear" w:color="auto" w:fill="FFFFFF"/>
        <w:rPr>
          <w:rFonts w:asciiTheme="minorEastAsia" w:hAnsiTheme="minorEastAsia" w:eastAsiaTheme="minorEastAsia"/>
        </w:rPr>
      </w:pPr>
      <w:r>
        <w:rPr>
          <w:rStyle w:val="11"/>
          <w:rFonts w:hint="eastAsia" w:asciiTheme="minorEastAsia" w:hAnsiTheme="minorEastAsia" w:eastAsiaTheme="minorEastAsia"/>
          <w:b w:val="0"/>
        </w:rPr>
        <w:t>（一）基本情况。</w:t>
      </w:r>
    </w:p>
    <w:p w14:paraId="05A63C0C">
      <w:pPr>
        <w:pStyle w:val="8"/>
        <w:shd w:val="clear" w:color="auto" w:fill="FFFFFF"/>
        <w:rPr>
          <w:rStyle w:val="11"/>
          <w:rFonts w:hint="eastAsia" w:asciiTheme="minorEastAsia" w:hAnsiTheme="minorEastAsia" w:eastAsiaTheme="minorEastAsia" w:cstheme="minorBidi"/>
          <w:b w:val="0"/>
        </w:rPr>
      </w:pPr>
      <w:r>
        <w:rPr>
          <w:rFonts w:hint="eastAsia" w:asciiTheme="minorEastAsia" w:hAnsiTheme="minorEastAsia" w:eastAsiaTheme="minorEastAsia"/>
        </w:rPr>
        <w:t>1．</w:t>
      </w:r>
      <w:r>
        <w:rPr>
          <w:rStyle w:val="11"/>
          <w:rFonts w:hint="eastAsia" w:asciiTheme="minorEastAsia" w:hAnsiTheme="minorEastAsia" w:eastAsiaTheme="minorEastAsia" w:cstheme="minorBidi"/>
          <w:b w:val="0"/>
        </w:rPr>
        <w:t>主要职能。</w:t>
      </w:r>
    </w:p>
    <w:p w14:paraId="63099AEF">
      <w:pPr>
        <w:pStyle w:val="8"/>
        <w:shd w:val="clear" w:color="auto" w:fill="FFFFFF"/>
        <w:rPr>
          <w:rStyle w:val="11"/>
          <w:rFonts w:hint="eastAsia" w:asciiTheme="minorEastAsia" w:hAnsiTheme="minorEastAsia" w:eastAsiaTheme="minorEastAsia" w:cstheme="minorBidi"/>
          <w:b w:val="0"/>
        </w:rPr>
      </w:pPr>
      <w:r>
        <w:rPr>
          <w:rStyle w:val="11"/>
          <w:rFonts w:hint="eastAsia" w:asciiTheme="minorEastAsia" w:hAnsiTheme="minorEastAsia" w:eastAsiaTheme="minorEastAsia" w:cstheme="minorBidi"/>
          <w:b w:val="0"/>
          <w:lang w:val="en-US" w:eastAsia="zh-CN"/>
        </w:rPr>
        <w:t xml:space="preserve">  </w:t>
      </w:r>
      <w:r>
        <w:rPr>
          <w:rStyle w:val="11"/>
          <w:rFonts w:hint="eastAsia" w:asciiTheme="minorEastAsia" w:hAnsiTheme="minorEastAsia" w:eastAsiaTheme="minorEastAsia" w:cstheme="minorBidi"/>
          <w:b w:val="0"/>
        </w:rPr>
        <w:t>一是制定并组织实施乡村建设规划,部署重点项目建设、地方道路建设、水利设施管理、自然资源和生态环境的保护，做好护林防火工作；二是负责本乡区域内民政、计划生育、体育文化卫生等社会公益事业的综合性工作，维护群众合法权益，调节民事纠纷，打击刑事犯罪维护社会稳定；三是做好本乡账务资金管理工作；四是抓好精神文明建设；五是完成上级部门交办的其他事项。</w:t>
      </w:r>
    </w:p>
    <w:p w14:paraId="2E32128B">
      <w:pPr>
        <w:pStyle w:val="8"/>
        <w:shd w:val="clear" w:color="auto" w:fill="FFFFFF"/>
        <w:rPr>
          <w:rStyle w:val="11"/>
        </w:rPr>
      </w:pPr>
      <w:r>
        <w:rPr>
          <w:rStyle w:val="11"/>
          <w:rFonts w:hint="eastAsia" w:asciiTheme="minorEastAsia" w:hAnsiTheme="minorEastAsia" w:eastAsiaTheme="minorEastAsia" w:cstheme="minorBidi"/>
          <w:b w:val="0"/>
        </w:rPr>
        <w:t>2．本单位本年度纳入本套决算编制范围的独立编制机构数共1个，比上年增加-4个</w:t>
      </w:r>
      <w:r>
        <w:rPr>
          <w:rStyle w:val="11"/>
          <w:rFonts w:hint="eastAsia" w:asciiTheme="minorEastAsia" w:hAnsiTheme="minorEastAsia" w:eastAsiaTheme="minorEastAsia"/>
          <w:b w:val="0"/>
        </w:rPr>
        <w:t>，变动情况及原因为支出功能分类科目及科目名称变动，无法划分；独立核算机构数共1个，比上年增加-4个，变动情况及原因为支出功能分类科目及科目名称变动，无法划分。</w:t>
      </w:r>
    </w:p>
    <w:p w14:paraId="6DDBDBD3">
      <w:pPr>
        <w:pStyle w:val="8"/>
        <w:shd w:val="clear" w:color="auto" w:fill="FFFFFF"/>
        <w:rPr>
          <w:rFonts w:asciiTheme="minorEastAsia" w:hAnsiTheme="minorEastAsia" w:eastAsiaTheme="minorEastAsia"/>
        </w:rPr>
      </w:pPr>
      <w:r>
        <w:rPr>
          <w:rStyle w:val="11"/>
          <w:rFonts w:hint="eastAsia" w:asciiTheme="minorEastAsia" w:hAnsiTheme="minorEastAsia" w:eastAsiaTheme="minorEastAsia"/>
          <w:b w:val="0"/>
        </w:rPr>
        <w:t>（二）当年取得的主要事业成效。</w:t>
      </w:r>
    </w:p>
    <w:p w14:paraId="17D8DFC2">
      <w:pPr>
        <w:pStyle w:val="8"/>
        <w:shd w:val="clear" w:color="auto" w:fill="FFFFFF"/>
        <w:rPr>
          <w:rFonts w:asciiTheme="minorEastAsia" w:hAnsiTheme="minorEastAsia" w:eastAsiaTheme="minorEastAsia"/>
        </w:rPr>
      </w:pPr>
      <w:r>
        <w:rPr>
          <w:rFonts w:hint="eastAsia" w:asciiTheme="minorEastAsia" w:hAnsiTheme="minorEastAsia" w:eastAsiaTheme="minorEastAsia"/>
        </w:rPr>
        <w:t>一、概述单位工作开展情况及主要事业成效。</w:t>
      </w:r>
    </w:p>
    <w:p w14:paraId="73645A53">
      <w:pPr>
        <w:pStyle w:val="8"/>
        <w:numPr>
          <w:ilvl w:val="0"/>
          <w:numId w:val="1"/>
        </w:numPr>
        <w:shd w:val="clear" w:color="auto" w:fill="FFFFFF"/>
        <w:rPr>
          <w:rFonts w:asciiTheme="minorEastAsia" w:hAnsiTheme="minorEastAsia" w:eastAsiaTheme="minorEastAsia"/>
        </w:rPr>
      </w:pPr>
      <w:r>
        <w:rPr>
          <w:rFonts w:hint="eastAsia" w:asciiTheme="minorEastAsia" w:hAnsiTheme="minorEastAsia" w:eastAsiaTheme="minorEastAsia"/>
        </w:rPr>
        <w:t>一般公共服务支出</w:t>
      </w:r>
      <w:r>
        <w:rPr>
          <w:rFonts w:asciiTheme="minorEastAsia" w:hAnsiTheme="minorEastAsia" w:eastAsiaTheme="minorEastAsia"/>
        </w:rPr>
        <w:t>10</w:t>
      </w:r>
      <w:r>
        <w:rPr>
          <w:rFonts w:hint="eastAsia" w:asciiTheme="minorEastAsia" w:hAnsiTheme="minorEastAsia" w:eastAsiaTheme="minorEastAsia"/>
        </w:rPr>
        <w:t>.</w:t>
      </w:r>
      <w:r>
        <w:rPr>
          <w:rFonts w:asciiTheme="minorEastAsia" w:hAnsiTheme="minorEastAsia" w:eastAsiaTheme="minorEastAsia"/>
        </w:rPr>
        <w:t>7</w:t>
      </w:r>
      <w:r>
        <w:rPr>
          <w:rFonts w:hint="eastAsia" w:asciiTheme="minorEastAsia" w:hAnsiTheme="minorEastAsia" w:eastAsiaTheme="minorEastAsia"/>
        </w:rPr>
        <w:t>9万元，其中人大事务（代表工作）支出</w:t>
      </w:r>
      <w:r>
        <w:rPr>
          <w:rFonts w:asciiTheme="minorEastAsia" w:hAnsiTheme="minorEastAsia" w:eastAsiaTheme="minorEastAsia"/>
        </w:rPr>
        <w:t>3</w:t>
      </w:r>
      <w:r>
        <w:rPr>
          <w:rFonts w:hint="eastAsia" w:asciiTheme="minorEastAsia" w:hAnsiTheme="minorEastAsia" w:eastAsiaTheme="minorEastAsia"/>
        </w:rPr>
        <w:t>.</w:t>
      </w:r>
      <w:r>
        <w:rPr>
          <w:rFonts w:asciiTheme="minorEastAsia" w:hAnsiTheme="minorEastAsia" w:eastAsiaTheme="minorEastAsia"/>
        </w:rPr>
        <w:t>3</w:t>
      </w:r>
      <w:r>
        <w:rPr>
          <w:rFonts w:hint="eastAsia" w:asciiTheme="minorEastAsia" w:hAnsiTheme="minorEastAsia" w:eastAsiaTheme="minorEastAsia"/>
        </w:rPr>
        <w:t>万元、一般行政管理事务支出33.49万元；</w:t>
      </w:r>
    </w:p>
    <w:p w14:paraId="5C27FF96">
      <w:pPr>
        <w:pStyle w:val="8"/>
        <w:numPr>
          <w:ilvl w:val="0"/>
          <w:numId w:val="1"/>
        </w:numPr>
        <w:shd w:val="clear" w:color="auto" w:fill="FFFFFF"/>
        <w:rPr>
          <w:rFonts w:asciiTheme="minorEastAsia" w:hAnsiTheme="minorEastAsia" w:eastAsiaTheme="minorEastAsia"/>
        </w:rPr>
      </w:pPr>
      <w:r>
        <w:rPr>
          <w:rFonts w:hint="eastAsia" w:asciiTheme="minorEastAsia" w:hAnsiTheme="minorEastAsia" w:eastAsiaTheme="minorEastAsia"/>
        </w:rPr>
        <w:t>群众团体事务支出4万元；</w:t>
      </w:r>
    </w:p>
    <w:p w14:paraId="291BBD76">
      <w:pPr>
        <w:pStyle w:val="8"/>
        <w:numPr>
          <w:ilvl w:val="0"/>
          <w:numId w:val="1"/>
        </w:numPr>
        <w:shd w:val="clear" w:color="auto" w:fill="FFFFFF"/>
        <w:rPr>
          <w:rFonts w:asciiTheme="minorEastAsia" w:hAnsiTheme="minorEastAsia" w:eastAsiaTheme="minorEastAsia"/>
        </w:rPr>
      </w:pPr>
      <w:r>
        <w:rPr>
          <w:rFonts w:hint="eastAsia" w:asciiTheme="minorEastAsia" w:hAnsiTheme="minorEastAsia" w:eastAsiaTheme="minorEastAsia"/>
        </w:rPr>
        <w:t>国防支出（国防动员）支出2万元；</w:t>
      </w:r>
    </w:p>
    <w:p w14:paraId="6C271C12">
      <w:pPr>
        <w:pStyle w:val="8"/>
        <w:numPr>
          <w:ilvl w:val="0"/>
          <w:numId w:val="1"/>
        </w:numPr>
        <w:shd w:val="clear" w:color="auto" w:fill="FFFFFF"/>
        <w:rPr>
          <w:rFonts w:asciiTheme="minorEastAsia" w:hAnsiTheme="minorEastAsia" w:eastAsiaTheme="minorEastAsia"/>
        </w:rPr>
      </w:pPr>
      <w:r>
        <w:rPr>
          <w:rFonts w:hint="eastAsia" w:asciiTheme="minorEastAsia" w:hAnsiTheme="minorEastAsia" w:eastAsiaTheme="minorEastAsia"/>
        </w:rPr>
        <w:t>城乡社区环境卫生支出</w:t>
      </w:r>
      <w:r>
        <w:rPr>
          <w:rFonts w:asciiTheme="minorEastAsia" w:hAnsiTheme="minorEastAsia" w:eastAsiaTheme="minorEastAsia"/>
        </w:rPr>
        <w:t>5</w:t>
      </w:r>
      <w:r>
        <w:rPr>
          <w:rFonts w:hint="eastAsia" w:asciiTheme="minorEastAsia" w:hAnsiTheme="minorEastAsia" w:eastAsiaTheme="minorEastAsia"/>
        </w:rPr>
        <w:t>.</w:t>
      </w:r>
      <w:r>
        <w:rPr>
          <w:rFonts w:asciiTheme="minorEastAsia" w:hAnsiTheme="minorEastAsia" w:eastAsiaTheme="minorEastAsia"/>
        </w:rPr>
        <w:t>96</w:t>
      </w:r>
      <w:r>
        <w:rPr>
          <w:rFonts w:hint="eastAsia" w:asciiTheme="minorEastAsia" w:hAnsiTheme="minorEastAsia" w:eastAsiaTheme="minorEastAsia"/>
        </w:rPr>
        <w:t>万元；</w:t>
      </w:r>
    </w:p>
    <w:p w14:paraId="73F5C9B7">
      <w:pPr>
        <w:pStyle w:val="8"/>
        <w:numPr>
          <w:ilvl w:val="0"/>
          <w:numId w:val="1"/>
        </w:numPr>
        <w:shd w:val="clear" w:color="auto" w:fill="FFFFFF"/>
        <w:rPr>
          <w:rFonts w:asciiTheme="minorEastAsia" w:hAnsiTheme="minorEastAsia" w:eastAsiaTheme="minorEastAsia"/>
        </w:rPr>
      </w:pPr>
      <w:r>
        <w:rPr>
          <w:rFonts w:hint="eastAsia" w:asciiTheme="minorEastAsia" w:hAnsiTheme="minorEastAsia" w:eastAsiaTheme="minorEastAsia"/>
        </w:rPr>
        <w:t>农村基础设施建设支出</w:t>
      </w:r>
      <w:r>
        <w:rPr>
          <w:rFonts w:asciiTheme="minorEastAsia" w:hAnsiTheme="minorEastAsia" w:eastAsiaTheme="minorEastAsia"/>
        </w:rPr>
        <w:t>213</w:t>
      </w:r>
      <w:r>
        <w:rPr>
          <w:rFonts w:hint="eastAsia" w:asciiTheme="minorEastAsia" w:hAnsiTheme="minorEastAsia" w:eastAsiaTheme="minorEastAsia"/>
        </w:rPr>
        <w:t>.</w:t>
      </w:r>
      <w:r>
        <w:rPr>
          <w:rFonts w:asciiTheme="minorEastAsia" w:hAnsiTheme="minorEastAsia" w:eastAsiaTheme="minorEastAsia"/>
        </w:rPr>
        <w:t>3</w:t>
      </w:r>
      <w:r>
        <w:rPr>
          <w:rFonts w:hint="eastAsia" w:asciiTheme="minorEastAsia" w:hAnsiTheme="minorEastAsia" w:eastAsiaTheme="minorEastAsia"/>
        </w:rPr>
        <w:t>7万元；</w:t>
      </w:r>
    </w:p>
    <w:p w14:paraId="070A6B8A">
      <w:pPr>
        <w:pStyle w:val="8"/>
        <w:numPr>
          <w:ilvl w:val="0"/>
          <w:numId w:val="1"/>
        </w:numPr>
        <w:shd w:val="clear" w:color="auto" w:fill="FFFFFF"/>
        <w:rPr>
          <w:rFonts w:asciiTheme="minorEastAsia" w:hAnsiTheme="minorEastAsia" w:eastAsiaTheme="minorEastAsia"/>
        </w:rPr>
      </w:pPr>
      <w:r>
        <w:rPr>
          <w:rFonts w:hint="eastAsia" w:asciiTheme="minorEastAsia" w:hAnsiTheme="minorEastAsia" w:eastAsiaTheme="minorEastAsia"/>
        </w:rPr>
        <w:t>对村民委员会和村党支部的补助支出</w:t>
      </w:r>
      <w:r>
        <w:rPr>
          <w:rFonts w:asciiTheme="minorEastAsia" w:hAnsiTheme="minorEastAsia" w:eastAsiaTheme="minorEastAsia"/>
        </w:rPr>
        <w:t>105</w:t>
      </w:r>
      <w:r>
        <w:rPr>
          <w:rFonts w:hint="eastAsia" w:asciiTheme="minorEastAsia" w:hAnsiTheme="minorEastAsia" w:eastAsiaTheme="minorEastAsia"/>
        </w:rPr>
        <w:t>.</w:t>
      </w:r>
      <w:r>
        <w:rPr>
          <w:rFonts w:asciiTheme="minorEastAsia" w:hAnsiTheme="minorEastAsia" w:eastAsiaTheme="minorEastAsia"/>
        </w:rPr>
        <w:t>3</w:t>
      </w:r>
      <w:r>
        <w:rPr>
          <w:rFonts w:hint="eastAsia" w:asciiTheme="minorEastAsia" w:hAnsiTheme="minorEastAsia" w:eastAsiaTheme="minorEastAsia"/>
        </w:rPr>
        <w:t>2万元；</w:t>
      </w:r>
    </w:p>
    <w:p w14:paraId="38363379">
      <w:pPr>
        <w:pStyle w:val="8"/>
        <w:numPr>
          <w:ilvl w:val="0"/>
          <w:numId w:val="1"/>
        </w:numPr>
        <w:shd w:val="clear" w:color="auto" w:fill="FFFFFF"/>
        <w:rPr>
          <w:rFonts w:asciiTheme="minorEastAsia" w:hAnsiTheme="minorEastAsia" w:eastAsiaTheme="minorEastAsia"/>
        </w:rPr>
      </w:pPr>
      <w:r>
        <w:rPr>
          <w:rFonts w:hint="eastAsia" w:asciiTheme="minorEastAsia" w:hAnsiTheme="minorEastAsia" w:eastAsiaTheme="minorEastAsia"/>
        </w:rPr>
        <w:t>地震应急救援支出</w:t>
      </w:r>
      <w:r>
        <w:rPr>
          <w:rFonts w:asciiTheme="minorEastAsia" w:hAnsiTheme="minorEastAsia" w:eastAsiaTheme="minorEastAsia"/>
        </w:rPr>
        <w:t>2</w:t>
      </w:r>
      <w:r>
        <w:rPr>
          <w:rFonts w:hint="eastAsia" w:asciiTheme="minorEastAsia" w:hAnsiTheme="minorEastAsia" w:eastAsiaTheme="minorEastAsia"/>
        </w:rPr>
        <w:t>.</w:t>
      </w:r>
      <w:r>
        <w:rPr>
          <w:rFonts w:asciiTheme="minorEastAsia" w:hAnsiTheme="minorEastAsia" w:eastAsiaTheme="minorEastAsia"/>
        </w:rPr>
        <w:t>1</w:t>
      </w:r>
      <w:r>
        <w:rPr>
          <w:rFonts w:hint="eastAsia" w:asciiTheme="minorEastAsia" w:hAnsiTheme="minorEastAsia" w:eastAsiaTheme="minorEastAsia"/>
        </w:rPr>
        <w:t>7万元。</w:t>
      </w:r>
    </w:p>
    <w:p w14:paraId="5BFEE243">
      <w:pPr>
        <w:pStyle w:val="8"/>
        <w:shd w:val="clear" w:color="auto" w:fill="FFFFFF"/>
        <w:rPr>
          <w:rFonts w:asciiTheme="minorEastAsia" w:hAnsiTheme="minorEastAsia" w:eastAsiaTheme="minorEastAsia"/>
        </w:rPr>
      </w:pPr>
      <w:r>
        <w:rPr>
          <w:rFonts w:hint="eastAsia" w:asciiTheme="minorEastAsia" w:hAnsiTheme="minorEastAsia" w:eastAsiaTheme="minorEastAsia"/>
        </w:rPr>
        <w:t>二、收入支出预算执行情况分析。</w:t>
      </w:r>
    </w:p>
    <w:p w14:paraId="4A51EE35">
      <w:pPr>
        <w:pStyle w:val="8"/>
        <w:shd w:val="clear" w:color="auto" w:fill="FFFFFF"/>
        <w:rPr>
          <w:rStyle w:val="11"/>
          <w:rFonts w:hint="eastAsia" w:asciiTheme="minorEastAsia" w:hAnsiTheme="minorEastAsia" w:eastAsiaTheme="minorEastAsia" w:cstheme="minorBidi"/>
          <w:b w:val="0"/>
        </w:rPr>
      </w:pPr>
      <w:r>
        <w:rPr>
          <w:rStyle w:val="11"/>
          <w:rFonts w:hint="eastAsia" w:asciiTheme="minorEastAsia" w:hAnsiTheme="minorEastAsia" w:eastAsiaTheme="minorEastAsia"/>
          <w:b w:val="0"/>
        </w:rPr>
        <w:t>（一）收入支出</w:t>
      </w:r>
      <w:r>
        <w:rPr>
          <w:rStyle w:val="11"/>
          <w:rFonts w:hint="eastAsia" w:asciiTheme="minorEastAsia" w:hAnsiTheme="minorEastAsia" w:eastAsiaTheme="minorEastAsia" w:cstheme="minorBidi"/>
          <w:b w:val="0"/>
        </w:rPr>
        <w:t>预算安排情况。</w:t>
      </w:r>
    </w:p>
    <w:p w14:paraId="01C16889">
      <w:pPr>
        <w:pStyle w:val="8"/>
        <w:shd w:val="clear" w:color="auto" w:fill="FFFFFF"/>
        <w:rPr>
          <w:rStyle w:val="11"/>
          <w:rFonts w:hint="eastAsia" w:asciiTheme="minorEastAsia" w:hAnsiTheme="minorEastAsia" w:eastAsiaTheme="minorEastAsia" w:cstheme="minorBidi"/>
          <w:b w:val="0"/>
        </w:rPr>
      </w:pPr>
      <w:r>
        <w:rPr>
          <w:rStyle w:val="11"/>
          <w:rFonts w:hint="eastAsia" w:asciiTheme="minorEastAsia" w:hAnsiTheme="minorEastAsia" w:eastAsiaTheme="minorEastAsia" w:cstheme="minorBidi"/>
          <w:b w:val="0"/>
          <w:lang w:val="en-US" w:eastAsia="zh-CN"/>
        </w:rPr>
        <w:t xml:space="preserve">  </w:t>
      </w:r>
      <w:r>
        <w:rPr>
          <w:rStyle w:val="11"/>
          <w:rFonts w:hint="eastAsia" w:asciiTheme="minorEastAsia" w:hAnsiTheme="minorEastAsia" w:eastAsiaTheme="minorEastAsia" w:cstheme="minorBidi"/>
          <w:b w:val="0"/>
        </w:rPr>
        <w:t>本单位本年度收入的年初预算数为462.27万元，上年度收入的年初预算数为473.58万元，差异为-11.31万元；主要原因为因项目增加收入增加。本年度支出的年初预算数为 462.27万元，上年度支出的年初预算数为598.19万元，差异为-135.92万元；主要原因为原因因项目增加支出增加。</w:t>
      </w:r>
    </w:p>
    <w:p w14:paraId="0F5AEF53">
      <w:pPr>
        <w:pStyle w:val="8"/>
        <w:shd w:val="clear" w:color="auto" w:fill="FFFFFF"/>
        <w:jc w:val="center"/>
        <w:rPr>
          <w:rStyle w:val="11"/>
          <w:rFonts w:hint="eastAsia" w:asciiTheme="minorEastAsia" w:hAnsiTheme="minorEastAsia" w:eastAsiaTheme="minorEastAsia" w:cstheme="minorBidi"/>
          <w:b w:val="0"/>
        </w:rPr>
      </w:pPr>
      <w:r>
        <w:rPr>
          <w:rStyle w:val="11"/>
          <w:rFonts w:hint="eastAsia" w:asciiTheme="minorEastAsia" w:hAnsiTheme="minorEastAsia" w:eastAsiaTheme="minorEastAsia" w:cstheme="minorBidi"/>
          <w:b w:val="0"/>
        </w:rPr>
        <w:t>收入支出全年预算数安排变动情况图（万元）柱状图</w:t>
      </w:r>
    </w:p>
    <w:p w14:paraId="603A8F63">
      <w:pPr>
        <w:rPr>
          <w:rFonts w:cs="Tahoma" w:asciiTheme="minorEastAsia" w:hAnsiTheme="minorEastAsia" w:eastAsiaTheme="minorEastAsia"/>
          <w:sz w:val="24"/>
          <w:szCs w:val="24"/>
        </w:rPr>
      </w:pPr>
      <w:r>
        <w:rPr>
          <w:rFonts w:cs="Tahoma" w:asciiTheme="minorEastAsia" w:hAnsiTheme="minorEastAsia" w:eastAsiaTheme="minorEastAsia"/>
          <w:sz w:val="24"/>
          <w:szCs w:val="24"/>
        </w:rPr>
        <w:drawing>
          <wp:inline distT="0" distB="0" distL="0" distR="0">
            <wp:extent cx="5274945" cy="3077210"/>
            <wp:effectExtent l="19050" t="0" r="20955" b="889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2CC231C">
      <w:pPr>
        <w:rPr>
          <w:rFonts w:asciiTheme="minorEastAsia" w:hAnsiTheme="minorEastAsia" w:eastAsiaTheme="minorEastAsia"/>
          <w:sz w:val="24"/>
          <w:szCs w:val="24"/>
        </w:rPr>
      </w:pPr>
      <w:r>
        <w:rPr>
          <w:rStyle w:val="11"/>
          <w:rFonts w:hint="eastAsia" w:asciiTheme="minorEastAsia" w:hAnsiTheme="minorEastAsia" w:eastAsiaTheme="minorEastAsia"/>
          <w:b w:val="0"/>
          <w:sz w:val="24"/>
          <w:szCs w:val="24"/>
        </w:rPr>
        <w:t>（二）收入支出预算执行情况。</w:t>
      </w:r>
    </w:p>
    <w:p w14:paraId="2D698BB4">
      <w:pPr>
        <w:pStyle w:val="8"/>
        <w:shd w:val="clear" w:color="auto" w:fill="FFFFFF"/>
        <w:rPr>
          <w:rFonts w:asciiTheme="minorEastAsia" w:hAnsiTheme="minorEastAsia" w:eastAsiaTheme="minorEastAsia"/>
        </w:rPr>
      </w:pPr>
      <w:r>
        <w:rPr>
          <w:rFonts w:hint="eastAsia" w:asciiTheme="minorEastAsia" w:hAnsiTheme="minorEastAsia" w:eastAsiaTheme="minorEastAsia"/>
        </w:rPr>
        <w:t>本单位本年度收入全年预算数为856.12万元，收入决算数为856.12万元，预算完成度为100.00%，上年度预算完成度为100.00%，本年度支出全年预算数为856.12万元，支出决算数为856.12万元，预算完成度为100.00%，上年度预算完成度为100.00%，</w:t>
      </w:r>
    </w:p>
    <w:p w14:paraId="14A8F797">
      <w:pPr>
        <w:pStyle w:val="8"/>
        <w:shd w:val="clear" w:color="auto" w:fill="FFFFFF"/>
        <w:rPr>
          <w:rFonts w:asciiTheme="minorEastAsia" w:hAnsiTheme="minorEastAsia" w:eastAsiaTheme="minorEastAsia"/>
        </w:rPr>
      </w:pPr>
      <w:r>
        <w:rPr>
          <w:rFonts w:asciiTheme="minorEastAsia" w:hAnsiTheme="minorEastAsia" w:eastAsiaTheme="minorEastAsia"/>
        </w:rPr>
        <w:drawing>
          <wp:inline distT="0" distB="0" distL="0" distR="0">
            <wp:extent cx="5274945" cy="2648585"/>
            <wp:effectExtent l="19050" t="0" r="20955"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D190328">
      <w:pPr>
        <w:pStyle w:val="8"/>
        <w:shd w:val="clear" w:color="auto" w:fill="FFFFFF"/>
        <w:rPr>
          <w:rFonts w:asciiTheme="minorEastAsia" w:hAnsiTheme="minorEastAsia" w:eastAsiaTheme="minorEastAsia"/>
        </w:rPr>
      </w:pPr>
      <w:r>
        <w:rPr>
          <w:rStyle w:val="11"/>
          <w:rFonts w:hint="eastAsia" w:asciiTheme="minorEastAsia" w:hAnsiTheme="minorEastAsia" w:eastAsiaTheme="minorEastAsia"/>
          <w:b w:val="0"/>
        </w:rPr>
        <w:t>1．收入支出与预算对比分析。</w:t>
      </w:r>
    </w:p>
    <w:p w14:paraId="46D0C77B">
      <w:pPr>
        <w:pStyle w:val="8"/>
        <w:shd w:val="clear" w:color="auto" w:fill="FFFFFF"/>
        <w:rPr>
          <w:rFonts w:asciiTheme="minorEastAsia" w:hAnsiTheme="minorEastAsia" w:eastAsiaTheme="minorEastAsia"/>
        </w:rPr>
      </w:pPr>
      <w:r>
        <w:rPr>
          <w:rFonts w:hint="eastAsia" w:asciiTheme="minorEastAsia" w:hAnsiTheme="minorEastAsia" w:eastAsiaTheme="minorEastAsia"/>
        </w:rPr>
        <w:t>（1）预、决算差异情况，可分收入支出功能科目、分单位、分收入支出具体项目逐项对比。</w:t>
      </w:r>
    </w:p>
    <w:p w14:paraId="3C6AD141">
      <w:pPr>
        <w:pStyle w:val="8"/>
        <w:shd w:val="clear" w:color="auto" w:fill="FFFFFF"/>
        <w:jc w:val="center"/>
        <w:rPr>
          <w:rStyle w:val="11"/>
          <w:rFonts w:asciiTheme="minorEastAsia" w:hAnsiTheme="minorEastAsia" w:eastAsiaTheme="minorEastAsia"/>
          <w:b w:val="0"/>
        </w:rPr>
      </w:pPr>
      <w:bookmarkStart w:id="0" w:name="_MON_1735118103"/>
      <w:bookmarkEnd w:id="0"/>
      <w:bookmarkStart w:id="1" w:name="_MON_1735118154"/>
      <w:bookmarkEnd w:id="1"/>
      <w:bookmarkStart w:id="2" w:name="_MON_1735118159"/>
      <w:bookmarkEnd w:id="2"/>
      <w:bookmarkStart w:id="3" w:name="_MON_1735118172"/>
      <w:bookmarkEnd w:id="3"/>
      <w:bookmarkStart w:id="4" w:name="_MON_1735118198"/>
      <w:bookmarkEnd w:id="4"/>
      <w:bookmarkStart w:id="5" w:name="_MON_1735118060"/>
      <w:bookmarkEnd w:id="5"/>
      <w:bookmarkStart w:id="6" w:name="_MON_1735118220"/>
      <w:bookmarkEnd w:id="6"/>
      <w:bookmarkStart w:id="7" w:name="_MON_1735118243"/>
      <w:bookmarkEnd w:id="7"/>
      <w:bookmarkStart w:id="8" w:name="_MON_1735118216"/>
      <w:bookmarkEnd w:id="8"/>
      <w:r>
        <w:rPr>
          <w:rStyle w:val="11"/>
          <w:rFonts w:asciiTheme="minorEastAsia" w:hAnsiTheme="minorEastAsia" w:eastAsiaTheme="minorEastAsia"/>
          <w:b w:val="0"/>
        </w:rPr>
        <w:object>
          <v:shape id="_x0000_i1025" o:spt="75" type="#_x0000_t75" style="height:399.75pt;width:351pt;" o:ole="t" filled="f" o:preferrelative="t" stroked="f" coordsize="21600,21600">
            <v:path/>
            <v:fill on="f" focussize="0,0"/>
            <v:stroke on="f" joinstyle="miter"/>
            <v:imagedata r:id="rId9" o:title=""/>
            <o:lock v:ext="edit" aspectratio="t"/>
            <w10:wrap type="none"/>
            <w10:anchorlock/>
          </v:shape>
          <o:OLEObject Type="Embed" ProgID="Office12.Excel.Template" ShapeID="_x0000_i1025" DrawAspect="Content" ObjectID="_1468075725" r:id="rId8">
            <o:LockedField>false</o:LockedField>
          </o:OLEObject>
        </w:object>
      </w:r>
    </w:p>
    <w:p w14:paraId="65797EB5">
      <w:pPr>
        <w:pStyle w:val="8"/>
        <w:shd w:val="clear" w:color="auto" w:fill="FFFFFF"/>
        <w:rPr>
          <w:rStyle w:val="11"/>
          <w:rFonts w:asciiTheme="minorEastAsia" w:hAnsiTheme="minorEastAsia" w:eastAsiaTheme="minorEastAsia"/>
          <w:b w:val="0"/>
        </w:rPr>
      </w:pPr>
      <w:bookmarkStart w:id="9" w:name="_MON_1735118324"/>
      <w:bookmarkEnd w:id="9"/>
      <w:bookmarkStart w:id="10" w:name="_MON_1735118346"/>
      <w:bookmarkEnd w:id="10"/>
      <w:bookmarkStart w:id="11" w:name="_MON_1735118395"/>
      <w:bookmarkEnd w:id="11"/>
      <w:bookmarkStart w:id="12" w:name="_MON_1735118440"/>
      <w:bookmarkEnd w:id="12"/>
      <w:bookmarkStart w:id="13" w:name="_MON_1735118411"/>
      <w:bookmarkEnd w:id="13"/>
      <w:bookmarkStart w:id="14" w:name="_MON_1735118433"/>
      <w:bookmarkEnd w:id="14"/>
      <w:bookmarkStart w:id="15" w:name="_MON_1735118298"/>
      <w:bookmarkEnd w:id="15"/>
      <w:bookmarkStart w:id="16" w:name="_MON_1735118331"/>
      <w:bookmarkEnd w:id="16"/>
      <w:bookmarkStart w:id="17" w:name="_MON_1735118387"/>
      <w:bookmarkEnd w:id="17"/>
      <w:bookmarkStart w:id="18" w:name="_MON_1735118405"/>
      <w:bookmarkEnd w:id="18"/>
      <w:bookmarkStart w:id="19" w:name="_MON_1735118313"/>
      <w:bookmarkEnd w:id="19"/>
      <w:bookmarkStart w:id="20" w:name="_MON_1735118426"/>
      <w:bookmarkEnd w:id="20"/>
      <w:bookmarkStart w:id="21" w:name="_MON_1735118269"/>
      <w:bookmarkEnd w:id="21"/>
      <w:bookmarkStart w:id="22" w:name="_MON_1735118483"/>
      <w:bookmarkEnd w:id="22"/>
      <w:r>
        <w:rPr>
          <w:rStyle w:val="11"/>
          <w:rFonts w:asciiTheme="minorEastAsia" w:hAnsiTheme="minorEastAsia" w:eastAsiaTheme="minorEastAsia"/>
          <w:b w:val="0"/>
        </w:rPr>
        <w:object>
          <v:shape id="_x0000_i1026" o:spt="75" type="#_x0000_t75" style="height:857.25pt;width:444.75pt;" o:ole="t" filled="f" o:preferrelative="t" stroked="f" coordsize="21600,21600">
            <v:path/>
            <v:fill on="f" focussize="0,0"/>
            <v:stroke on="f" joinstyle="miter"/>
            <v:imagedata r:id="rId11" o:title=""/>
            <o:lock v:ext="edit" aspectratio="t"/>
            <w10:wrap type="none"/>
            <w10:anchorlock/>
          </v:shape>
          <o:OLEObject Type="Embed" ProgID="Office12.Excel.Template" ShapeID="_x0000_i1026" DrawAspect="Content" ObjectID="_1468075726" r:id="rId10">
            <o:LockedField>false</o:LockedField>
          </o:OLEObject>
        </w:object>
      </w:r>
    </w:p>
    <w:p w14:paraId="0CF0D37D">
      <w:pPr>
        <w:pStyle w:val="8"/>
        <w:shd w:val="clear" w:color="auto" w:fill="FFFFFF"/>
        <w:rPr>
          <w:rFonts w:asciiTheme="minorEastAsia" w:hAnsiTheme="minorEastAsia" w:eastAsiaTheme="minorEastAsia"/>
        </w:rPr>
      </w:pPr>
      <w:r>
        <w:rPr>
          <w:rFonts w:hint="eastAsia" w:asciiTheme="minorEastAsia" w:hAnsiTheme="minorEastAsia" w:eastAsiaTheme="minorEastAsia"/>
        </w:rPr>
        <w:t>（2）差异原因分析。差异较大的应分析到具体收入支出功能科目和具体单位。</w:t>
      </w:r>
    </w:p>
    <w:p w14:paraId="5E35CEB8">
      <w:pPr>
        <w:pStyle w:val="8"/>
        <w:shd w:val="clear" w:color="auto" w:fill="FFFFFF"/>
        <w:rPr>
          <w:rStyle w:val="11"/>
          <w:rFonts w:hint="eastAsia" w:asciiTheme="minorEastAsia" w:hAnsiTheme="minorEastAsia" w:eastAsiaTheme="minorEastAsia"/>
          <w:b w:val="0"/>
        </w:rPr>
      </w:pPr>
      <w:bookmarkStart w:id="23" w:name="_MON_1735121213"/>
      <w:bookmarkEnd w:id="23"/>
      <w:r>
        <w:rPr>
          <w:rStyle w:val="11"/>
          <w:rFonts w:asciiTheme="minorEastAsia" w:hAnsiTheme="minorEastAsia" w:eastAsiaTheme="minorEastAsia"/>
          <w:b w:val="0"/>
        </w:rPr>
        <w:object>
          <v:shape id="_x0000_i1027" o:spt="75" type="#_x0000_t75" style="height:408.75pt;width:417pt;" o:ole="t" filled="f" o:preferrelative="t" stroked="f" coordsize="21600,21600">
            <v:path/>
            <v:fill on="f" focussize="0,0"/>
            <v:stroke on="f" joinstyle="miter"/>
            <v:imagedata r:id="rId13" o:title=""/>
            <o:lock v:ext="edit" aspectratio="t"/>
            <w10:wrap type="none"/>
            <w10:anchorlock/>
          </v:shape>
          <o:OLEObject Type="Embed" ProgID="Office12.Excel.Template" ShapeID="_x0000_i1027" DrawAspect="Content" ObjectID="_1468075727" r:id="rId12">
            <o:LockedField>false</o:LockedField>
          </o:OLEObject>
        </w:object>
      </w:r>
    </w:p>
    <w:p w14:paraId="04D9DDF0">
      <w:pPr>
        <w:pStyle w:val="8"/>
        <w:shd w:val="clear" w:color="auto" w:fill="FFFFFF"/>
        <w:jc w:val="center"/>
        <w:rPr>
          <w:rStyle w:val="11"/>
          <w:rFonts w:hint="eastAsia" w:asciiTheme="minorEastAsia" w:hAnsiTheme="minorEastAsia" w:eastAsiaTheme="minorEastAsia"/>
          <w:b w:val="0"/>
        </w:rPr>
      </w:pPr>
      <w:bookmarkStart w:id="24" w:name="_MON_1735121318"/>
      <w:bookmarkEnd w:id="24"/>
      <w:r>
        <w:rPr>
          <w:rStyle w:val="11"/>
          <w:rFonts w:asciiTheme="minorEastAsia" w:hAnsiTheme="minorEastAsia" w:eastAsiaTheme="minorEastAsia"/>
          <w:b w:val="0"/>
        </w:rPr>
        <w:object>
          <v:shape id="_x0000_i1028" o:spt="75" type="#_x0000_t75" style="height:443.25pt;width:384.75pt;" o:ole="t" filled="f" o:preferrelative="t" stroked="f" coordsize="21600,21600">
            <v:path/>
            <v:fill on="f" focussize="0,0"/>
            <v:stroke on="f" joinstyle="miter"/>
            <v:imagedata r:id="rId15" o:title=""/>
            <o:lock v:ext="edit" aspectratio="t"/>
            <w10:wrap type="none"/>
            <w10:anchorlock/>
          </v:shape>
          <o:OLEObject Type="Embed" ProgID="Office12.Excel.Template" ShapeID="_x0000_i1028" DrawAspect="Content" ObjectID="_1468075728" r:id="rId14">
            <o:LockedField>false</o:LockedField>
          </o:OLEObject>
        </w:object>
      </w:r>
    </w:p>
    <w:p w14:paraId="3AF24C93">
      <w:pPr>
        <w:pStyle w:val="8"/>
        <w:shd w:val="clear" w:color="auto" w:fill="FFFFFF"/>
        <w:rPr>
          <w:rFonts w:asciiTheme="minorEastAsia" w:hAnsiTheme="minorEastAsia" w:eastAsiaTheme="minorEastAsia"/>
        </w:rPr>
      </w:pPr>
      <w:r>
        <w:rPr>
          <w:rStyle w:val="11"/>
          <w:rFonts w:hint="eastAsia" w:asciiTheme="minorEastAsia" w:hAnsiTheme="minorEastAsia" w:eastAsiaTheme="minorEastAsia"/>
          <w:b w:val="0"/>
        </w:rPr>
        <w:t>2．收入支出结构分析。</w:t>
      </w:r>
    </w:p>
    <w:p w14:paraId="51D63C1B">
      <w:pPr>
        <w:pStyle w:val="8"/>
        <w:shd w:val="clear" w:color="auto" w:fill="FFFFFF"/>
        <w:rPr>
          <w:rFonts w:asciiTheme="minorEastAsia" w:hAnsiTheme="minorEastAsia" w:eastAsiaTheme="minorEastAsia"/>
        </w:rPr>
      </w:pPr>
      <w:r>
        <w:rPr>
          <w:rFonts w:hint="eastAsia" w:asciiTheme="minorEastAsia" w:hAnsiTheme="minorEastAsia" w:eastAsiaTheme="minorEastAsia"/>
        </w:rPr>
        <w:t>（1） 本单位本年度总收入为856.12万元。其中：一般公共预算财政拨款收入为833.06万元，占比97.31%；政府性基金预算财政拨款收入为0.00万元，占比0.00%；国有资本经营预算财政拨款收入为0.00)万元，占比0.00%；上级补助收入为0.00万元，占比0.00%；事业收入为0.00万元，占比0.00%；经营收入为0.00万元，占比0.00%；附属单位上缴收入为0.00万元，占比0.00%；其他收入为23.06万元，占比2.69%。</w:t>
      </w:r>
    </w:p>
    <w:p w14:paraId="276DAE34">
      <w:pPr>
        <w:pStyle w:val="8"/>
        <w:shd w:val="clear" w:color="auto" w:fill="FFFFFF"/>
        <w:rPr>
          <w:rFonts w:hint="eastAsia" w:asciiTheme="minorEastAsia" w:hAnsiTheme="minorEastAsia" w:eastAsiaTheme="minorEastAsia"/>
        </w:rPr>
      </w:pPr>
      <w:r>
        <w:rPr>
          <w:rFonts w:asciiTheme="minorEastAsia" w:hAnsiTheme="minorEastAsia" w:eastAsiaTheme="minorEastAsia"/>
        </w:rPr>
        <w:drawing>
          <wp:inline distT="0" distB="0" distL="0" distR="0">
            <wp:extent cx="5274945" cy="3077210"/>
            <wp:effectExtent l="19050" t="0" r="20955" b="889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3F2EEF7">
      <w:pPr>
        <w:pStyle w:val="8"/>
        <w:shd w:val="clear" w:color="auto" w:fill="FFFFFF"/>
        <w:rPr>
          <w:rFonts w:asciiTheme="minorEastAsia" w:hAnsiTheme="minorEastAsia" w:eastAsiaTheme="minorEastAsia"/>
        </w:rPr>
      </w:pPr>
    </w:p>
    <w:p w14:paraId="7103B33B">
      <w:pPr>
        <w:pStyle w:val="8"/>
        <w:shd w:val="clear" w:color="auto" w:fill="FFFFFF"/>
        <w:rPr>
          <w:rFonts w:asciiTheme="minorEastAsia" w:hAnsiTheme="minorEastAsia" w:eastAsiaTheme="minorEastAsia"/>
        </w:rPr>
      </w:pPr>
      <w:r>
        <w:rPr>
          <w:rFonts w:hint="eastAsia" w:asciiTheme="minorEastAsia" w:hAnsiTheme="minorEastAsia" w:eastAsiaTheme="minorEastAsia"/>
        </w:rPr>
        <w:t>本年度总支出为856.12万元。其中：一般公共服务支出为422.48万元，占比49.35%；外交支出为0.00万元，占比0.00%；国防支出为2.00万元，占比0.23%；公共安全支出为0.00万元，占比0.00%；教育支出为0.00万元，占比0.00%；科学技术支出为0.00万元，占比0.00%；文化旅游体育与传媒支出为0.00万元，占比0.00%；社会保障和就业支出为47.64万元，占比5.56%；卫生健康支出为23.92万元，占比2.79%；节能环保支出为0.00万元，占比0.00%；城乡社区支出为5.96万元，占比0.70%；农林水支出为318.69万元，占比37.22%；交通运输支出为0.00万元，占比0.00%；资源勘探工业信息等支出为0.00万元，占比0.00%；商业服务业等支出为0.00万元，占比0.00%；金融支出为0.00万元，占比0.00%；援助其他地区支出为0.00万元，占比0.00%；自然资源海洋气象等支出为0.00万元，占比0.00%；住房保障支出为33.25万元，占比3.88%；粮油物资储备支出为0.00万元，占比0.00%；国有资本经营预算支出为0.00万元，占比0.00%；灾害防治及应急管理支出为2.17万元，占比0.25%；其他支出为0.00万元，占比0.00%；债务还本支出为0.00万元，占比0.00%；债务付息支出为0.00万元，占比0.00%；抗疫特别国债安排的支出为0.00万元，占比0.00%。</w:t>
      </w:r>
    </w:p>
    <w:p w14:paraId="4F81C42B">
      <w:pPr>
        <w:pStyle w:val="8"/>
        <w:shd w:val="clear" w:color="auto" w:fill="FFFFFF"/>
        <w:rPr>
          <w:rFonts w:hint="default" w:cs="宋体" w:asciiTheme="minorEastAsia" w:hAnsiTheme="minorEastAsia" w:eastAsiaTheme="minorEastAsia"/>
          <w:sz w:val="24"/>
          <w:szCs w:val="24"/>
          <w:lang w:val="en-US"/>
        </w:rPr>
      </w:pPr>
      <w:r>
        <w:rPr>
          <w:rFonts w:cs="Tahoma" w:asciiTheme="minorEastAsia" w:hAnsiTheme="minorEastAsia" w:eastAsiaTheme="minorEastAsia"/>
          <w:sz w:val="24"/>
          <w:szCs w:val="24"/>
        </w:rPr>
        <w:drawing>
          <wp:inline distT="0" distB="0" distL="0" distR="0">
            <wp:extent cx="5274945" cy="3077210"/>
            <wp:effectExtent l="19050" t="0" r="20955" b="8890"/>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rFonts w:hint="eastAsia" w:asciiTheme="minorEastAsia" w:hAnsiTheme="minorEastAsia" w:eastAsiaTheme="minorEastAsia"/>
          <w:sz w:val="24"/>
          <w:szCs w:val="24"/>
        </w:rPr>
        <w:t>（2）本年度一般公共预算财政拨款收入相比上年度增加-135.70万元，</w:t>
      </w:r>
      <w:r>
        <w:rPr>
          <w:rStyle w:val="11"/>
          <w:rFonts w:hint="eastAsia" w:asciiTheme="minorEastAsia" w:hAnsiTheme="minorEastAsia" w:eastAsiaTheme="minorEastAsia"/>
          <w:b w:val="0"/>
          <w:sz w:val="24"/>
          <w:szCs w:val="24"/>
        </w:rPr>
        <w:t>主要原因为</w:t>
      </w:r>
      <w:r>
        <w:rPr>
          <w:rFonts w:hint="eastAsia" w:cs="Arial" w:asciiTheme="minorEastAsia" w:hAnsiTheme="minorEastAsia" w:eastAsiaTheme="minorEastAsia"/>
          <w:sz w:val="24"/>
          <w:szCs w:val="24"/>
        </w:rPr>
        <w:t>项目增加支出增加</w:t>
      </w:r>
      <w:r>
        <w:rPr>
          <w:rFonts w:hint="eastAsia" w:asciiTheme="minorEastAsia" w:hAnsiTheme="minorEastAsia" w:eastAsiaTheme="minorEastAsia"/>
          <w:sz w:val="24"/>
          <w:szCs w:val="24"/>
        </w:rPr>
        <w:t>；其他收入相比上年度增加23.06万元，</w:t>
      </w:r>
      <w:r>
        <w:rPr>
          <w:rStyle w:val="11"/>
          <w:rFonts w:hint="eastAsia" w:asciiTheme="minorEastAsia" w:hAnsiTheme="minorEastAsia" w:eastAsiaTheme="minorEastAsia"/>
          <w:b w:val="0"/>
          <w:sz w:val="24"/>
          <w:szCs w:val="24"/>
        </w:rPr>
        <w:t>主要原因为</w:t>
      </w:r>
      <w:r>
        <w:rPr>
          <w:rFonts w:hint="eastAsia" w:cs="Arial" w:asciiTheme="minorEastAsia" w:hAnsiTheme="minorEastAsia" w:eastAsiaTheme="minorEastAsia"/>
          <w:sz w:val="24"/>
          <w:szCs w:val="24"/>
        </w:rPr>
        <w:t>项目增加收入增加</w:t>
      </w:r>
      <w:r>
        <w:rPr>
          <w:rFonts w:hint="eastAsia" w:asciiTheme="minorEastAsia" w:hAnsiTheme="minorEastAsia" w:eastAsiaTheme="minorEastAsia"/>
          <w:sz w:val="24"/>
          <w:szCs w:val="24"/>
        </w:rPr>
        <w:t>。本年度一般公共服务支出相比上年度增加-169.72万元，</w:t>
      </w:r>
      <w:r>
        <w:rPr>
          <w:rStyle w:val="11"/>
          <w:rFonts w:hint="eastAsia" w:asciiTheme="minorEastAsia" w:hAnsiTheme="minorEastAsia" w:eastAsiaTheme="minorEastAsia"/>
          <w:b w:val="0"/>
          <w:sz w:val="24"/>
          <w:szCs w:val="24"/>
        </w:rPr>
        <w:t>主要原因为厉行节约</w:t>
      </w:r>
      <w:r>
        <w:rPr>
          <w:rFonts w:hint="eastAsia" w:asciiTheme="minorEastAsia" w:hAnsiTheme="minorEastAsia" w:eastAsiaTheme="minorEastAsia"/>
          <w:sz w:val="24"/>
          <w:szCs w:val="24"/>
        </w:rPr>
        <w:t>；文化旅游体育与传媒支出相比上年度增加-5.00万元，</w:t>
      </w:r>
      <w:r>
        <w:rPr>
          <w:rStyle w:val="11"/>
          <w:rFonts w:hint="eastAsia" w:asciiTheme="minorEastAsia" w:hAnsiTheme="minorEastAsia" w:eastAsiaTheme="minorEastAsia"/>
          <w:b w:val="0"/>
          <w:sz w:val="24"/>
          <w:szCs w:val="24"/>
        </w:rPr>
        <w:t>主要原因为厉行节约</w:t>
      </w:r>
      <w:r>
        <w:rPr>
          <w:rFonts w:hint="eastAsia" w:asciiTheme="minorEastAsia" w:hAnsiTheme="minorEastAsia" w:eastAsiaTheme="minorEastAsia"/>
          <w:sz w:val="24"/>
          <w:szCs w:val="24"/>
        </w:rPr>
        <w:t>；社会</w:t>
      </w:r>
      <w:r>
        <w:rPr>
          <w:rFonts w:hint="eastAsia" w:cs="宋体" w:asciiTheme="minorEastAsia" w:hAnsiTheme="minorEastAsia" w:eastAsiaTheme="minorEastAsia"/>
          <w:sz w:val="24"/>
          <w:szCs w:val="24"/>
        </w:rPr>
        <w:t>保障和就业支出相比上年度增加-150.95万元，主要原因为厉行节约；卫生健康支出相比上年度增加-7.17万元，主要原因为厉行节约；节能环保支出相比上</w:t>
      </w:r>
      <w:r>
        <w:rPr>
          <w:rFonts w:hint="eastAsia" w:cs="宋体" w:asciiTheme="minorEastAsia" w:hAnsiTheme="minorEastAsia" w:eastAsiaTheme="minorEastAsia"/>
          <w:sz w:val="24"/>
          <w:szCs w:val="24"/>
        </w:rPr>
        <w:t>年度增加-96.09万元，主要原因为厉行节约；农林水支出相比上年度增加231.71万元，主要原因为本年度项目增加支出增加；住房保障支出相比上年度增加-15.69万元，主要原因为厉行节约；灾害防治及应急管理支出相比上年度增加2.17万元，主要原因为项目增加支出增加；</w:t>
      </w:r>
      <w:r>
        <w:rPr>
          <w:rFonts w:hint="eastAsia" w:cs="宋体" w:asciiTheme="minorEastAsia" w:hAnsiTheme="minorEastAsia" w:eastAsiaTheme="minorEastAsia"/>
          <w:sz w:val="24"/>
          <w:szCs w:val="24"/>
          <w:lang w:val="en-US" w:eastAsia="zh-CN"/>
        </w:rPr>
        <w:t>中央提前通知专项转移支付为0万元，我乡不存在举债政府债务情况。</w:t>
      </w:r>
    </w:p>
    <w:p w14:paraId="2AB6CD4B">
      <w:pPr>
        <w:pStyle w:val="8"/>
        <w:shd w:val="clear" w:color="auto" w:fill="FFFFFF"/>
        <w:rPr>
          <w:rFonts w:hint="eastAsia" w:cs="宋体" w:asciiTheme="minorEastAsia" w:hAnsiTheme="minorEastAsia" w:eastAsiaTheme="minorEastAsia"/>
          <w:sz w:val="24"/>
          <w:szCs w:val="24"/>
        </w:rPr>
      </w:pPr>
    </w:p>
    <w:p w14:paraId="74F6F6D8">
      <w:pPr>
        <w:pStyle w:val="8"/>
        <w:shd w:val="clear" w:color="auto" w:fill="FFFFFF"/>
        <w:jc w:val="center"/>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rPr>
        <w:t>年度收支变化图（万元）折线图</w:t>
      </w:r>
    </w:p>
    <w:p w14:paraId="4EDA9733">
      <w:pPr>
        <w:pStyle w:val="8"/>
        <w:shd w:val="clear" w:color="auto" w:fill="FFFFFF"/>
        <w:rPr>
          <w:rFonts w:hint="eastAsia" w:cs="宋体" w:asciiTheme="minorEastAsia" w:hAnsiTheme="minorEastAsia" w:eastAsiaTheme="minorEastAsia"/>
          <w:sz w:val="24"/>
          <w:szCs w:val="24"/>
        </w:rPr>
      </w:pPr>
    </w:p>
    <w:p w14:paraId="5FBD394B">
      <w:pPr>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rPr>
        <w:drawing>
          <wp:inline distT="0" distB="0" distL="0" distR="0">
            <wp:extent cx="5274945" cy="2858135"/>
            <wp:effectExtent l="19050" t="0" r="20955" b="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87372EC">
      <w:pPr>
        <w:rPr>
          <w:rFonts w:hint="eastAsia" w:asciiTheme="minorEastAsia" w:hAnsiTheme="minorEastAsia" w:eastAsiaTheme="minorEastAsia"/>
          <w:bCs/>
          <w:sz w:val="24"/>
          <w:szCs w:val="24"/>
        </w:rPr>
      </w:pPr>
    </w:p>
    <w:p w14:paraId="64CAAEB5">
      <w:pPr>
        <w:rPr>
          <w:rFonts w:asciiTheme="minorEastAsia" w:hAnsiTheme="minorEastAsia" w:eastAsiaTheme="minorEastAsia"/>
          <w:sz w:val="24"/>
          <w:szCs w:val="24"/>
        </w:rPr>
      </w:pPr>
      <w:r>
        <w:rPr>
          <w:rStyle w:val="11"/>
          <w:rFonts w:hint="eastAsia" w:asciiTheme="minorEastAsia" w:hAnsiTheme="minorEastAsia" w:eastAsiaTheme="minorEastAsia"/>
          <w:b w:val="0"/>
          <w:sz w:val="24"/>
          <w:szCs w:val="24"/>
        </w:rPr>
        <w:t xml:space="preserve"> 3．支出按经济分类科目分析。</w:t>
      </w:r>
    </w:p>
    <w:p w14:paraId="7052374F">
      <w:pPr>
        <w:pStyle w:val="8"/>
        <w:shd w:val="clear" w:color="auto" w:fill="FFFFFF"/>
        <w:rPr>
          <w:rFonts w:hint="eastAsia" w:asciiTheme="minorEastAsia" w:hAnsiTheme="minorEastAsia" w:eastAsiaTheme="minorEastAsia"/>
          <w:bCs/>
        </w:rPr>
      </w:pPr>
      <w:r>
        <w:rPr>
          <w:rFonts w:hint="eastAsia" w:asciiTheme="minorEastAsia" w:hAnsiTheme="minorEastAsia" w:eastAsiaTheme="minorEastAsia"/>
        </w:rPr>
        <w:t>（1） “三公”经费支出情况：本单位本年度“三公”经费支出决算数为9.13万元。其中:因公出国（境）费支出决算数为0.00万元，相比上年度增加0.00万元；公务用车购置及运行维护费支出决算数为9.13万元，相比上年度增加-5.06万元，</w:t>
      </w:r>
      <w:r>
        <w:rPr>
          <w:rStyle w:val="11"/>
          <w:rFonts w:hint="eastAsia" w:asciiTheme="minorEastAsia" w:hAnsiTheme="minorEastAsia" w:eastAsiaTheme="minorEastAsia"/>
          <w:b w:val="0"/>
        </w:rPr>
        <w:t>主要原因为厉行节约</w:t>
      </w:r>
      <w:r>
        <w:rPr>
          <w:rStyle w:val="11"/>
          <w:rFonts w:hint="eastAsia" w:asciiTheme="minorEastAsia" w:hAnsiTheme="minorEastAsia" w:eastAsiaTheme="minorEastAsia"/>
          <w:b w:val="0"/>
          <w:lang w:eastAsia="zh-CN"/>
        </w:rPr>
        <w:t>，</w:t>
      </w:r>
      <w:r>
        <w:rPr>
          <w:rFonts w:hint="eastAsia" w:asciiTheme="minorEastAsia" w:hAnsiTheme="minorEastAsia" w:eastAsiaTheme="minorEastAsia"/>
        </w:rPr>
        <w:t>公务用车运行维护费支出决算数为</w:t>
      </w:r>
      <w:r>
        <w:rPr>
          <w:rFonts w:hint="eastAsia" w:asciiTheme="minorEastAsia" w:hAnsiTheme="minorEastAsia" w:eastAsiaTheme="minorEastAsia"/>
          <w:lang w:val="en-US" w:eastAsia="zh-CN"/>
        </w:rPr>
        <w:t>9013</w:t>
      </w:r>
      <w:r>
        <w:rPr>
          <w:rFonts w:hint="eastAsia" w:asciiTheme="minorEastAsia" w:hAnsiTheme="minorEastAsia" w:eastAsiaTheme="minorEastAsia"/>
        </w:rPr>
        <w:t>万元</w:t>
      </w:r>
      <w:r>
        <w:rPr>
          <w:rFonts w:hint="eastAsia" w:asciiTheme="minorEastAsia" w:hAnsiTheme="minorEastAsia" w:eastAsiaTheme="minorEastAsia"/>
          <w:lang w:eastAsia="zh-CN"/>
        </w:rPr>
        <w:t>，</w:t>
      </w:r>
      <w:r>
        <w:rPr>
          <w:rFonts w:hint="eastAsia" w:asciiTheme="minorEastAsia" w:hAnsiTheme="minorEastAsia" w:eastAsiaTheme="minorEastAsia"/>
        </w:rPr>
        <w:t>公务用车购置费支出决算数为0.00万元；公务接待费支出决算数为0.00万元，相比上年度增加0.00万元。 本年度“三公”经费支出预算数为9.13万元，决算数为9.13万元，预算完成度为100.00%。本年度因 公出国（境）费人均支出为0.00万元，公务用车购置及运行维护费人均支出为0.46万元，公务接待费人均支出为0.00万元。</w:t>
      </w:r>
    </w:p>
    <w:p w14:paraId="6DE6B425">
      <w:pPr>
        <w:pStyle w:val="8"/>
        <w:shd w:val="clear" w:color="auto" w:fill="FFFFFF"/>
        <w:rPr>
          <w:rFonts w:cs="Tahoma" w:asciiTheme="minorEastAsia" w:hAnsiTheme="minorEastAsia" w:eastAsiaTheme="minorEastAsia"/>
        </w:rPr>
      </w:pPr>
      <w:r>
        <w:rPr>
          <w:rFonts w:cs="Tahoma" w:asciiTheme="minorEastAsia" w:hAnsiTheme="minorEastAsia" w:eastAsiaTheme="minorEastAsia"/>
        </w:rPr>
        <w:drawing>
          <wp:inline distT="0" distB="0" distL="0" distR="0">
            <wp:extent cx="5274945" cy="3077210"/>
            <wp:effectExtent l="19050" t="0" r="20955" b="889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13131CC">
      <w:pPr>
        <w:pStyle w:val="8"/>
        <w:shd w:val="clear" w:color="auto" w:fill="FFFFFF"/>
        <w:rPr>
          <w:rFonts w:cs="Tahoma" w:asciiTheme="minorEastAsia" w:hAnsiTheme="minorEastAsia" w:eastAsiaTheme="minorEastAsia"/>
        </w:rPr>
      </w:pPr>
      <w:r>
        <w:rPr>
          <w:rFonts w:cs="Tahoma" w:asciiTheme="minorEastAsia" w:hAnsiTheme="minorEastAsia" w:eastAsiaTheme="minorEastAsia"/>
        </w:rPr>
        <w:drawing>
          <wp:inline distT="0" distB="0" distL="0" distR="0">
            <wp:extent cx="5274945" cy="2905125"/>
            <wp:effectExtent l="19050" t="0" r="20955" b="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C1993F9">
      <w:pPr>
        <w:pStyle w:val="8"/>
        <w:shd w:val="clear" w:color="auto" w:fill="FFFFFF"/>
        <w:rPr>
          <w:rFonts w:asciiTheme="minorEastAsia" w:hAnsiTheme="minorEastAsia" w:eastAsiaTheme="minorEastAsia"/>
        </w:rPr>
      </w:pPr>
      <w:r>
        <w:rPr>
          <w:rFonts w:asciiTheme="minorEastAsia" w:hAnsiTheme="minorEastAsia" w:eastAsiaTheme="minorEastAsia"/>
        </w:rPr>
        <w:drawing>
          <wp:inline distT="0" distB="0" distL="0" distR="0">
            <wp:extent cx="5274945" cy="3077210"/>
            <wp:effectExtent l="19050" t="0" r="20955" b="889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6571441">
      <w:pPr>
        <w:pStyle w:val="8"/>
        <w:shd w:val="clear" w:color="auto" w:fill="FFFFFF"/>
        <w:rPr>
          <w:rFonts w:hint="eastAsia" w:asciiTheme="minorEastAsia" w:hAnsiTheme="minorEastAsia" w:eastAsiaTheme="minorEastAsia"/>
        </w:rPr>
      </w:pPr>
      <w:r>
        <w:rPr>
          <w:rFonts w:hint="eastAsia" w:asciiTheme="minorEastAsia" w:hAnsiTheme="minorEastAsia" w:eastAsiaTheme="minorEastAsia"/>
        </w:rPr>
        <w:t>（2） 会议费支出情况：本单位本年度会议费支出决算数为0.00万元，相比上年度增加-2.07万元，</w:t>
      </w:r>
      <w:r>
        <w:rPr>
          <w:rStyle w:val="11"/>
          <w:rFonts w:hint="eastAsia" w:asciiTheme="minorEastAsia" w:hAnsiTheme="minorEastAsia" w:eastAsiaTheme="minorEastAsia"/>
          <w:b w:val="0"/>
        </w:rPr>
        <w:t>主要原因为厉行节约</w:t>
      </w:r>
      <w:r>
        <w:rPr>
          <w:rFonts w:hint="eastAsia" w:asciiTheme="minorEastAsia" w:hAnsiTheme="minorEastAsia" w:eastAsiaTheme="minorEastAsia"/>
        </w:rPr>
        <w:t>；会议费人均支出为0.00万元。</w:t>
      </w:r>
      <w:r>
        <w:rPr>
          <w:rFonts w:asciiTheme="minorEastAsia" w:hAnsiTheme="minorEastAsia" w:eastAsiaTheme="minorEastAsia"/>
        </w:rPr>
        <w:drawing>
          <wp:inline distT="0" distB="0" distL="0" distR="0">
            <wp:extent cx="5274945" cy="3077210"/>
            <wp:effectExtent l="19050" t="0" r="20955" b="889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0664810">
      <w:pPr>
        <w:pStyle w:val="8"/>
        <w:shd w:val="clear" w:color="auto" w:fill="FFFFFF"/>
        <w:rPr>
          <w:rFonts w:asciiTheme="minorEastAsia" w:hAnsiTheme="minorEastAsia" w:eastAsiaTheme="minorEastAsia"/>
        </w:rPr>
      </w:pPr>
      <w:r>
        <w:rPr>
          <w:rFonts w:asciiTheme="minorEastAsia" w:hAnsiTheme="minorEastAsia" w:eastAsiaTheme="minorEastAsia"/>
        </w:rPr>
        <w:drawing>
          <wp:inline distT="0" distB="0" distL="0" distR="0">
            <wp:extent cx="5274945" cy="3077210"/>
            <wp:effectExtent l="19050" t="0" r="20955" b="8890"/>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7906C1D">
      <w:pPr>
        <w:pStyle w:val="8"/>
        <w:shd w:val="clear" w:color="auto" w:fill="FFFFFF"/>
        <w:rPr>
          <w:rFonts w:asciiTheme="minorEastAsia" w:hAnsiTheme="minorEastAsia" w:eastAsiaTheme="minorEastAsia"/>
        </w:rPr>
      </w:pPr>
      <w:r>
        <w:rPr>
          <w:rStyle w:val="11"/>
          <w:rFonts w:hint="eastAsia" w:asciiTheme="minorEastAsia" w:hAnsiTheme="minorEastAsia" w:eastAsiaTheme="minorEastAsia"/>
          <w:b w:val="0"/>
        </w:rPr>
        <w:t>4.财政拨款收入、支出分析。</w:t>
      </w:r>
    </w:p>
    <w:p w14:paraId="513EBA7B">
      <w:pPr>
        <w:pStyle w:val="8"/>
        <w:shd w:val="clear" w:color="auto" w:fill="FFFFFF"/>
        <w:rPr>
          <w:rFonts w:hint="eastAsia" w:asciiTheme="minorEastAsia" w:hAnsiTheme="minorEastAsia" w:eastAsiaTheme="minorEastAsia"/>
        </w:rPr>
      </w:pPr>
      <w:r>
        <w:rPr>
          <w:rFonts w:hint="eastAsia" w:asciiTheme="minorEastAsia" w:hAnsiTheme="minorEastAsia" w:eastAsiaTheme="minorEastAsia"/>
        </w:rPr>
        <w:t>本单位本年度财政拨款收入为833.06万元，财政拨款支出为833.06万元，其中：基本支出中人员经费支出为459.45万元，公用经费支出为34.85万元。项目支出中基本建设类项目支出为213.37万元</w:t>
      </w:r>
    </w:p>
    <w:p w14:paraId="569072FA">
      <w:pPr>
        <w:pStyle w:val="8"/>
        <w:shd w:val="clear" w:color="auto" w:fill="FFFFFF"/>
        <w:rPr>
          <w:rFonts w:asciiTheme="minorEastAsia" w:hAnsiTheme="minorEastAsia" w:eastAsiaTheme="minorEastAsia"/>
        </w:rPr>
      </w:pPr>
      <w:r>
        <w:rPr>
          <w:rFonts w:asciiTheme="minorEastAsia" w:hAnsiTheme="minorEastAsia" w:eastAsiaTheme="minorEastAsia"/>
        </w:rPr>
        <w:drawing>
          <wp:inline distT="0" distB="0" distL="0" distR="0">
            <wp:extent cx="5274945" cy="3077210"/>
            <wp:effectExtent l="19050" t="0" r="20955" b="8890"/>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EF1CD34">
      <w:pPr>
        <w:pStyle w:val="8"/>
        <w:shd w:val="clear" w:color="auto" w:fill="FFFFFF"/>
        <w:rPr>
          <w:rFonts w:asciiTheme="minorEastAsia" w:hAnsiTheme="minorEastAsia" w:eastAsiaTheme="minorEastAsia"/>
        </w:rPr>
      </w:pPr>
      <w:r>
        <w:rPr>
          <w:rStyle w:val="11"/>
          <w:rFonts w:hint="eastAsia" w:asciiTheme="minorEastAsia" w:hAnsiTheme="minorEastAsia" w:eastAsiaTheme="minorEastAsia"/>
          <w:b w:val="0"/>
        </w:rPr>
        <w:t>（三）年末结转和结余情况。</w:t>
      </w:r>
    </w:p>
    <w:p w14:paraId="017284B3">
      <w:pPr>
        <w:pStyle w:val="8"/>
        <w:shd w:val="clear" w:color="auto" w:fill="FFFFFF"/>
        <w:rPr>
          <w:rFonts w:asciiTheme="minorEastAsia" w:hAnsiTheme="minorEastAsia" w:eastAsiaTheme="minorEastAsia"/>
        </w:rPr>
      </w:pPr>
      <w:r>
        <w:rPr>
          <w:rFonts w:hint="eastAsia" w:asciiTheme="minorEastAsia" w:hAnsiTheme="minorEastAsia" w:eastAsiaTheme="minorEastAsia"/>
        </w:rPr>
        <w:t>1．分资金来源、资金性质结转和结余情况，特别是项目经费结转和结余情况。</w:t>
      </w:r>
    </w:p>
    <w:p w14:paraId="67181F2B">
      <w:pPr>
        <w:pStyle w:val="8"/>
        <w:shd w:val="clear" w:color="auto" w:fill="FFFFFF"/>
        <w:rPr>
          <w:rFonts w:asciiTheme="minorEastAsia" w:hAnsiTheme="minorEastAsia" w:eastAsiaTheme="minorEastAsia"/>
        </w:rPr>
      </w:pPr>
      <w:r>
        <w:rPr>
          <w:rFonts w:hint="eastAsia" w:asciiTheme="minorEastAsia" w:hAnsiTheme="minorEastAsia" w:eastAsiaTheme="minorEastAsia"/>
        </w:rPr>
        <w:t>无性质结转和结余资金</w:t>
      </w:r>
    </w:p>
    <w:p w14:paraId="7770D79F">
      <w:pPr>
        <w:pStyle w:val="8"/>
        <w:shd w:val="clear" w:color="auto" w:fill="FFFFFF"/>
        <w:rPr>
          <w:rFonts w:asciiTheme="minorEastAsia" w:hAnsiTheme="minorEastAsia" w:eastAsiaTheme="minorEastAsia"/>
        </w:rPr>
      </w:pPr>
      <w:r>
        <w:rPr>
          <w:rStyle w:val="11"/>
          <w:rFonts w:hint="eastAsia" w:asciiTheme="minorEastAsia" w:hAnsiTheme="minorEastAsia" w:eastAsiaTheme="minorEastAsia"/>
          <w:b w:val="0"/>
        </w:rPr>
        <w:t>（四）与预算支出相关的其他指标分析。</w:t>
      </w:r>
    </w:p>
    <w:p w14:paraId="1C305BF2">
      <w:pPr>
        <w:pStyle w:val="8"/>
        <w:shd w:val="clear" w:color="auto" w:fill="FFFFFF"/>
        <w:rPr>
          <w:rFonts w:hint="eastAsia" w:asciiTheme="minorEastAsia" w:hAnsiTheme="minorEastAsia" w:eastAsiaTheme="minorEastAsia"/>
        </w:rPr>
      </w:pPr>
      <w:r>
        <w:rPr>
          <w:rFonts w:hint="eastAsia" w:asciiTheme="minorEastAsia" w:hAnsiTheme="minorEastAsia" w:eastAsiaTheme="minorEastAsia"/>
        </w:rPr>
        <w:t>对资产、负债信息进行分析，主要分析与上年度对比情况，年初货币资金</w:t>
      </w:r>
      <w:r>
        <w:rPr>
          <w:rFonts w:asciiTheme="minorEastAsia" w:hAnsiTheme="minorEastAsia" w:eastAsiaTheme="minorEastAsia"/>
        </w:rPr>
        <w:t>64</w:t>
      </w:r>
      <w:r>
        <w:rPr>
          <w:rFonts w:hint="eastAsia" w:asciiTheme="minorEastAsia" w:hAnsiTheme="minorEastAsia" w:eastAsiaTheme="minorEastAsia"/>
        </w:rPr>
        <w:t>.</w:t>
      </w:r>
      <w:r>
        <w:rPr>
          <w:rFonts w:asciiTheme="minorEastAsia" w:hAnsiTheme="minorEastAsia" w:eastAsiaTheme="minorEastAsia"/>
        </w:rPr>
        <w:t>2</w:t>
      </w:r>
      <w:r>
        <w:rPr>
          <w:rFonts w:hint="eastAsia" w:asciiTheme="minorEastAsia" w:hAnsiTheme="minorEastAsia" w:eastAsiaTheme="minorEastAsia"/>
        </w:rPr>
        <w:t>9万元，年末货币资金7.13万元，减少了57.16万元，原因是：资金拨付及时。</w:t>
      </w:r>
    </w:p>
    <w:p w14:paraId="010D0309">
      <w:pPr>
        <w:pStyle w:val="8"/>
        <w:shd w:val="clear" w:color="auto" w:fill="FFFFFF"/>
        <w:rPr>
          <w:rFonts w:asciiTheme="minorEastAsia" w:hAnsiTheme="minorEastAsia" w:eastAsiaTheme="minorEastAsia"/>
        </w:rPr>
      </w:pPr>
      <w:r>
        <w:rPr>
          <w:rFonts w:asciiTheme="minorEastAsia" w:hAnsiTheme="minorEastAsia" w:eastAsiaTheme="minorEastAsia"/>
        </w:rPr>
        <w:drawing>
          <wp:inline distT="0" distB="0" distL="0" distR="0">
            <wp:extent cx="5274945" cy="3077210"/>
            <wp:effectExtent l="19050" t="0" r="20955" b="8890"/>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75BFEC5">
      <w:pPr>
        <w:pStyle w:val="8"/>
        <w:shd w:val="clear" w:color="auto" w:fill="FFFFFF"/>
        <w:rPr>
          <w:rStyle w:val="11"/>
          <w:rFonts w:asciiTheme="minorEastAsia" w:hAnsiTheme="minorEastAsia" w:eastAsiaTheme="minorEastAsia" w:cstheme="minorBidi"/>
          <w:b w:val="0"/>
        </w:rPr>
      </w:pPr>
      <w:r>
        <w:rPr>
          <w:rStyle w:val="11"/>
          <w:rFonts w:hint="eastAsia" w:asciiTheme="minorEastAsia" w:hAnsiTheme="minorEastAsia" w:eastAsiaTheme="minorEastAsia"/>
          <w:b w:val="0"/>
        </w:rPr>
        <w:t>（五）绩效目标完成情</w:t>
      </w:r>
      <w:r>
        <w:rPr>
          <w:rStyle w:val="11"/>
          <w:rFonts w:hint="eastAsia" w:asciiTheme="minorEastAsia" w:hAnsiTheme="minorEastAsia" w:eastAsiaTheme="minorEastAsia" w:cstheme="minorBidi"/>
          <w:b w:val="0"/>
        </w:rPr>
        <w:t>况。</w:t>
      </w:r>
    </w:p>
    <w:p w14:paraId="33DA9C7E">
      <w:pPr>
        <w:pStyle w:val="8"/>
        <w:shd w:val="clear" w:color="auto" w:fill="FFFFFF"/>
        <w:rPr>
          <w:rFonts w:hint="eastAsia" w:ascii="仿宋_GB2312" w:eastAsia="仿宋_GB2312"/>
          <w:sz w:val="32"/>
          <w:highlight w:val="none"/>
          <w:lang w:val="en-US" w:eastAsia="zh-CN"/>
        </w:rPr>
      </w:pPr>
      <w:r>
        <w:rPr>
          <w:rStyle w:val="11"/>
          <w:rFonts w:hint="eastAsia" w:asciiTheme="minorEastAsia" w:hAnsiTheme="minorEastAsia" w:eastAsiaTheme="minorEastAsia" w:cstheme="minorBidi"/>
          <w:b w:val="0"/>
          <w:lang w:val="en-US" w:eastAsia="zh-CN"/>
        </w:rPr>
        <w:t>重点项目方面。</w:t>
      </w:r>
      <w:r>
        <w:rPr>
          <w:rStyle w:val="11"/>
          <w:rFonts w:hint="eastAsia" w:asciiTheme="minorEastAsia" w:hAnsiTheme="minorEastAsia" w:eastAsiaTheme="minorEastAsia" w:cstheme="minorBidi"/>
          <w:b w:val="0"/>
          <w:lang w:val="zh-CN"/>
        </w:rPr>
        <w:t>年初目标：</w:t>
      </w:r>
      <w:r>
        <w:rPr>
          <w:rStyle w:val="11"/>
          <w:rFonts w:hint="eastAsia" w:asciiTheme="minorEastAsia" w:hAnsiTheme="minorEastAsia" w:eastAsiaTheme="minorEastAsia" w:cstheme="minorBidi"/>
          <w:b w:val="0"/>
          <w:lang w:val="en-US" w:eastAsia="zh-CN"/>
        </w:rPr>
        <w:t>多措并举推动美丽乡村建设，重点推进农村户厕建设任务，系统治理乡容村貌突出问题，不断改善农村人居环境。年底工作完成情况：为有效推进项目工程，我乡党委政府特制定了</w:t>
      </w:r>
      <w:r>
        <w:rPr>
          <w:rStyle w:val="11"/>
          <w:rFonts w:hint="eastAsia" w:asciiTheme="minorEastAsia" w:hAnsiTheme="minorEastAsia" w:eastAsiaTheme="minorEastAsia" w:cstheme="minorBidi"/>
          <w:b w:val="0"/>
        </w:rPr>
        <w:t>《</w:t>
      </w:r>
      <w:r>
        <w:rPr>
          <w:rStyle w:val="11"/>
          <w:rFonts w:hint="eastAsia" w:asciiTheme="minorEastAsia" w:hAnsiTheme="minorEastAsia" w:eastAsiaTheme="minorEastAsia" w:cstheme="minorBidi"/>
          <w:b w:val="0"/>
          <w:lang w:eastAsia="zh-CN"/>
        </w:rPr>
        <w:t>查尔玛乡</w:t>
      </w:r>
      <w:r>
        <w:rPr>
          <w:rStyle w:val="11"/>
          <w:rFonts w:hint="eastAsia" w:asciiTheme="minorEastAsia" w:hAnsiTheme="minorEastAsia" w:eastAsiaTheme="minorEastAsia" w:cstheme="minorBidi"/>
          <w:b w:val="0"/>
        </w:rPr>
        <w:t>人民政府</w:t>
      </w:r>
      <w:r>
        <w:rPr>
          <w:rStyle w:val="11"/>
          <w:rFonts w:hint="eastAsia" w:asciiTheme="minorEastAsia" w:hAnsiTheme="minorEastAsia" w:eastAsiaTheme="minorEastAsia" w:cstheme="minorBidi"/>
          <w:b w:val="0"/>
          <w:lang w:eastAsia="zh-CN"/>
        </w:rPr>
        <w:t>“</w:t>
      </w:r>
      <w:r>
        <w:rPr>
          <w:rStyle w:val="11"/>
          <w:rFonts w:hint="eastAsia" w:asciiTheme="minorEastAsia" w:hAnsiTheme="minorEastAsia" w:eastAsiaTheme="minorEastAsia" w:cstheme="minorBidi"/>
          <w:b w:val="0"/>
          <w:lang w:val="en-US" w:eastAsia="zh-CN"/>
        </w:rPr>
        <w:t>三家园</w:t>
      </w:r>
      <w:r>
        <w:rPr>
          <w:rStyle w:val="11"/>
          <w:rFonts w:hint="eastAsia" w:asciiTheme="minorEastAsia" w:hAnsiTheme="minorEastAsia" w:eastAsiaTheme="minorEastAsia" w:cstheme="minorBidi"/>
          <w:b w:val="0"/>
          <w:lang w:eastAsia="zh-CN"/>
        </w:rPr>
        <w:t>”</w:t>
      </w:r>
      <w:r>
        <w:rPr>
          <w:rStyle w:val="11"/>
          <w:rFonts w:hint="eastAsia" w:asciiTheme="minorEastAsia" w:hAnsiTheme="minorEastAsia" w:eastAsiaTheme="minorEastAsia" w:cstheme="minorBidi"/>
          <w:b w:val="0"/>
          <w:lang w:val="en-US" w:eastAsia="zh-CN"/>
        </w:rPr>
        <w:t>建设项目</w:t>
      </w:r>
      <w:r>
        <w:rPr>
          <w:rStyle w:val="11"/>
          <w:rFonts w:hint="eastAsia" w:asciiTheme="minorEastAsia" w:hAnsiTheme="minorEastAsia" w:eastAsiaTheme="minorEastAsia" w:cstheme="minorBidi"/>
          <w:b w:val="0"/>
        </w:rPr>
        <w:t>建设领导小组》</w:t>
      </w:r>
      <w:r>
        <w:rPr>
          <w:rStyle w:val="11"/>
          <w:rFonts w:hint="eastAsia" w:asciiTheme="minorEastAsia" w:hAnsiTheme="minorEastAsia" w:eastAsiaTheme="minorEastAsia" w:cstheme="minorBidi"/>
          <w:b w:val="0"/>
          <w:lang w:eastAsia="zh-CN"/>
        </w:rPr>
        <w:t>，</w:t>
      </w:r>
      <w:r>
        <w:rPr>
          <w:rStyle w:val="11"/>
          <w:rFonts w:hint="eastAsia" w:asciiTheme="minorEastAsia" w:hAnsiTheme="minorEastAsia" w:eastAsiaTheme="minorEastAsia" w:cstheme="minorBidi"/>
          <w:b w:val="0"/>
          <w:lang w:val="en-US" w:eastAsia="zh-CN"/>
        </w:rPr>
        <w:t>乡党委书记、乡长分别担任双组长，全面负责项目推进工作的决策、部署与指挥。各分管领导与经办人员，</w:t>
      </w:r>
      <w:r>
        <w:rPr>
          <w:rStyle w:val="11"/>
          <w:rFonts w:hint="eastAsia" w:asciiTheme="minorEastAsia" w:hAnsiTheme="minorEastAsia" w:eastAsiaTheme="minorEastAsia" w:cstheme="minorBidi"/>
          <w:b w:val="0"/>
        </w:rPr>
        <w:t>细化分工</w:t>
      </w:r>
      <w:r>
        <w:rPr>
          <w:rStyle w:val="11"/>
          <w:rFonts w:hint="eastAsia" w:asciiTheme="minorEastAsia" w:hAnsiTheme="minorEastAsia" w:eastAsiaTheme="minorEastAsia" w:cstheme="minorBidi"/>
          <w:b w:val="0"/>
          <w:lang w:eastAsia="zh-CN"/>
        </w:rPr>
        <w:t>，</w:t>
      </w:r>
      <w:r>
        <w:rPr>
          <w:rStyle w:val="11"/>
          <w:rFonts w:hint="eastAsia" w:asciiTheme="minorEastAsia" w:hAnsiTheme="minorEastAsia" w:eastAsiaTheme="minorEastAsia" w:cstheme="minorBidi"/>
          <w:b w:val="0"/>
          <w:lang w:val="en-US" w:eastAsia="zh-CN"/>
        </w:rPr>
        <w:t>负责项目各个节点</w:t>
      </w:r>
      <w:r>
        <w:rPr>
          <w:rStyle w:val="11"/>
          <w:rFonts w:hint="eastAsia" w:asciiTheme="minorEastAsia" w:hAnsiTheme="minorEastAsia" w:eastAsiaTheme="minorEastAsia" w:cstheme="minorBidi"/>
          <w:b w:val="0"/>
          <w:lang w:eastAsia="zh-CN"/>
        </w:rPr>
        <w:t>，</w:t>
      </w:r>
      <w:r>
        <w:rPr>
          <w:rStyle w:val="11"/>
          <w:rFonts w:hint="eastAsia" w:asciiTheme="minorEastAsia" w:hAnsiTheme="minorEastAsia" w:eastAsiaTheme="minorEastAsia" w:cstheme="minorBidi"/>
          <w:b w:val="0"/>
          <w:lang w:val="en-US" w:eastAsia="zh-CN"/>
        </w:rPr>
        <w:t>切实把责任担起来，以饱满的</w:t>
      </w:r>
      <w:r>
        <w:rPr>
          <w:rFonts w:hint="eastAsia" w:ascii="仿宋_GB2312" w:eastAsia="仿宋_GB2312"/>
          <w:sz w:val="32"/>
          <w:highlight w:val="none"/>
          <w:lang w:val="en-US" w:eastAsia="zh-CN"/>
        </w:rPr>
        <w:t>工作热情、高昂的工作斗志，全身心地投入到“三家园”项目建设工作当中，确保</w:t>
      </w:r>
      <w:r>
        <w:rPr>
          <w:rFonts w:hint="default" w:ascii="仿宋_GB2312" w:eastAsia="仿宋_GB2312"/>
          <w:sz w:val="32"/>
          <w:highlight w:val="none"/>
          <w:lang w:val="en-US" w:eastAsia="zh-CN"/>
        </w:rPr>
        <w:t>”</w:t>
      </w:r>
      <w:r>
        <w:rPr>
          <w:rFonts w:hint="eastAsia" w:ascii="仿宋_GB2312" w:eastAsia="仿宋_GB2312"/>
          <w:sz w:val="32"/>
          <w:highlight w:val="none"/>
          <w:lang w:val="en-US" w:eastAsia="zh-CN"/>
        </w:rPr>
        <w:t>三家园</w:t>
      </w:r>
      <w:r>
        <w:rPr>
          <w:rFonts w:hint="default" w:ascii="仿宋_GB2312" w:eastAsia="仿宋_GB2312"/>
          <w:sz w:val="32"/>
          <w:highlight w:val="none"/>
          <w:lang w:val="en-US" w:eastAsia="zh-CN"/>
        </w:rPr>
        <w:t>”</w:t>
      </w:r>
      <w:r>
        <w:rPr>
          <w:rFonts w:hint="eastAsia" w:ascii="仿宋_GB2312" w:eastAsia="仿宋_GB2312"/>
          <w:sz w:val="32"/>
          <w:highlight w:val="none"/>
          <w:lang w:val="en-US" w:eastAsia="zh-CN"/>
        </w:rPr>
        <w:t>建设项目在规划时间内建设完毕。</w:t>
      </w:r>
    </w:p>
    <w:p w14:paraId="4F5EB0F0">
      <w:pPr>
        <w:pStyle w:val="8"/>
        <w:shd w:val="clear" w:color="auto" w:fill="FFFFFF"/>
        <w:rPr>
          <w:rStyle w:val="11"/>
          <w:rFonts w:hint="eastAsia" w:asciiTheme="minorEastAsia" w:hAnsiTheme="minorEastAsia" w:eastAsiaTheme="minorEastAsia" w:cstheme="minorBidi"/>
          <w:b w:val="0"/>
          <w:lang w:val="en-US" w:eastAsia="zh-CN"/>
        </w:rPr>
      </w:pPr>
      <w:bookmarkStart w:id="25" w:name="_GoBack"/>
      <w:bookmarkEnd w:id="25"/>
      <w:r>
        <w:rPr>
          <w:rStyle w:val="11"/>
          <w:rFonts w:hint="eastAsia" w:asciiTheme="minorEastAsia" w:hAnsiTheme="minorEastAsia" w:eastAsiaTheme="minorEastAsia" w:cstheme="minorBidi"/>
          <w:b w:val="0"/>
          <w:lang w:val="en-US" w:eastAsia="zh-CN"/>
        </w:rPr>
        <w:t>一是红原县2023年查尔玛乡人居环境提升整治项目。提升全乡人居环境，完善小型公益设施、采购安装路灯、新建生态停车场、补齐基础设施短板等内容，该项目总投资1350万元。项目完工，资金拨付达100%。</w:t>
      </w:r>
    </w:p>
    <w:p w14:paraId="137DD26C">
      <w:pPr>
        <w:pStyle w:val="8"/>
        <w:shd w:val="clear" w:color="auto" w:fill="FFFFFF"/>
        <w:rPr>
          <w:rStyle w:val="11"/>
          <w:rFonts w:hint="eastAsia" w:asciiTheme="minorEastAsia" w:hAnsiTheme="minorEastAsia" w:eastAsiaTheme="minorEastAsia" w:cstheme="minorBidi"/>
          <w:b w:val="0"/>
          <w:lang w:val="en-US" w:eastAsia="zh-CN"/>
        </w:rPr>
      </w:pPr>
      <w:r>
        <w:rPr>
          <w:rStyle w:val="11"/>
          <w:rFonts w:hint="eastAsia" w:asciiTheme="minorEastAsia" w:hAnsiTheme="minorEastAsia" w:eastAsiaTheme="minorEastAsia" w:cstheme="minorBidi"/>
          <w:b w:val="0"/>
          <w:lang w:val="en-US" w:eastAsia="zh-CN"/>
        </w:rPr>
        <w:t>二是红原县畜牧业生产基础设施修复项目。以每公里1万元标准，以工代赈的形式维修了242公里牧道；投入242万元，通过招标的形式，新建了10公里铅丝石笼堡坎，更换了9段已损毁涵管，重建32座板涵桥， 该项目完工，资金已拨付100%（含质保金）。</w:t>
      </w:r>
    </w:p>
    <w:p w14:paraId="1A8EC774">
      <w:pPr>
        <w:pStyle w:val="8"/>
        <w:shd w:val="clear" w:color="auto" w:fill="FFFFFF"/>
        <w:rPr>
          <w:rStyle w:val="11"/>
          <w:rFonts w:hint="eastAsia" w:asciiTheme="minorEastAsia" w:hAnsiTheme="minorEastAsia" w:eastAsiaTheme="minorEastAsia" w:cstheme="minorBidi"/>
          <w:b w:val="0"/>
          <w:lang w:val="en-US" w:eastAsia="zh-CN"/>
        </w:rPr>
      </w:pPr>
      <w:r>
        <w:rPr>
          <w:rStyle w:val="11"/>
          <w:rFonts w:hint="eastAsia" w:asciiTheme="minorEastAsia" w:hAnsiTheme="minorEastAsia" w:eastAsiaTheme="minorEastAsia" w:cstheme="minorBidi"/>
          <w:b w:val="0"/>
          <w:lang w:val="en-US" w:eastAsia="zh-CN"/>
        </w:rPr>
        <w:t>三是尔玛乡庭院整治提升项目。投资64万元，按以奖代补的方式，准备实施320家牧户的庭院进行整治；整治内容含入户路改造、生态围栏修剪、院内环境整治、晾衣架等内容，目前已竣工验收310户，资金拨付100%。</w:t>
      </w:r>
    </w:p>
    <w:p w14:paraId="33E1DE59">
      <w:pPr>
        <w:pStyle w:val="8"/>
        <w:shd w:val="clear" w:color="auto" w:fill="FFFFFF"/>
        <w:rPr>
          <w:rStyle w:val="11"/>
          <w:rFonts w:hint="eastAsia" w:asciiTheme="minorEastAsia" w:hAnsiTheme="minorEastAsia" w:eastAsiaTheme="minorEastAsia" w:cstheme="minorBidi"/>
          <w:b w:val="0"/>
          <w:lang w:val="en-US" w:eastAsia="zh-CN"/>
        </w:rPr>
      </w:pPr>
      <w:r>
        <w:rPr>
          <w:rStyle w:val="11"/>
          <w:rFonts w:hint="eastAsia" w:asciiTheme="minorEastAsia" w:hAnsiTheme="minorEastAsia" w:eastAsiaTheme="minorEastAsia" w:cstheme="minorBidi"/>
          <w:b w:val="0"/>
          <w:lang w:val="en-US" w:eastAsia="zh-CN"/>
        </w:rPr>
        <w:t>指标分值为6分，权重占比为60%，指标解释：2023年查尔玛乡成为“三家园”乡镇，县委县政府下大力气投入资金项目，集中提升整治乡村人居环境。评分方法：以社会效益指标为准，基础设施、环境卫生有一定的提升；评分说明：基础设施、环境卫生有一定的提升，政治320户庭院；总分值不超过6分，该项指标得分=6。</w:t>
      </w:r>
    </w:p>
    <w:p w14:paraId="47509DF0">
      <w:pPr>
        <w:pStyle w:val="8"/>
        <w:shd w:val="clear" w:color="auto" w:fill="FFFFFF"/>
        <w:rPr>
          <w:rStyle w:val="11"/>
          <w:rFonts w:hint="eastAsia" w:asciiTheme="minorEastAsia" w:hAnsiTheme="minorEastAsia" w:eastAsiaTheme="minorEastAsia" w:cstheme="minorBidi"/>
          <w:b w:val="0"/>
          <w:lang w:val="en-US" w:eastAsia="zh-CN"/>
        </w:rPr>
      </w:pPr>
      <w:r>
        <w:rPr>
          <w:rStyle w:val="11"/>
          <w:rFonts w:hint="eastAsia" w:asciiTheme="minorEastAsia" w:hAnsiTheme="minorEastAsia" w:eastAsiaTheme="minorEastAsia" w:cstheme="minorBidi"/>
          <w:b w:val="0"/>
          <w:lang w:val="en-US" w:eastAsia="zh-CN"/>
        </w:rPr>
        <w:t>灾后恢复重建方面。</w:t>
      </w:r>
      <w:r>
        <w:rPr>
          <w:rStyle w:val="11"/>
          <w:rFonts w:hint="eastAsia" w:asciiTheme="minorEastAsia" w:hAnsiTheme="minorEastAsia" w:eastAsiaTheme="minorEastAsia" w:cstheme="minorBidi"/>
          <w:b w:val="0"/>
          <w:lang w:val="zh-CN" w:eastAsia="zh-CN"/>
        </w:rPr>
        <w:t>年初目标：</w:t>
      </w:r>
      <w:r>
        <w:rPr>
          <w:rStyle w:val="11"/>
          <w:rFonts w:hint="eastAsia" w:asciiTheme="minorEastAsia" w:hAnsiTheme="minorEastAsia" w:eastAsiaTheme="minorEastAsia" w:cstheme="minorBidi"/>
          <w:b w:val="0"/>
          <w:lang w:val="en-US" w:eastAsia="zh-CN"/>
        </w:rPr>
        <w:t>有序推进“6.10”马尔康地震灾后重建项目，按照质量、速度、环保、安全、廉洁、稳定“六位一体”要求，及时分解任务、夯实责任、细化措施，科学有序抓好灾后重建项目各项工作。年底工作完成情况：一是对377户因地震灾害造成困难的家庭申请灾后房屋维修，对1户严重受损的牧户申请重建房屋，确保群众生产生活恢复正常，目前377户房屋维修已全部完成，1户重建已全部完成。同时进一步加强地灾防治，按照防范胜于救灾的理念，积极动员乡村干部、网格员、生态管护员对辖区内的山洪、滑坡、泥石流灾害隐患点，尤其是瓦尕穷谷山体二次垮塌隐患、查龙村村委会后山滑坡隐患点实行“一对一”管控，做到每日排查，随时关注预判，第一时间发布预警信息，第一时间疏散撤离群众，确保人民群众生命财产安全。二是查尔玛乡生产性道路（森林草原防火通道）灾毁段重建修复项目。投入资金30万元，重建灾毁段3公里，项目已完工，资金已拨付97%（留3%质保金）。三是暖棚维修项目共153户，已完成153户维修工程。</w:t>
      </w:r>
    </w:p>
    <w:p w14:paraId="2FCF54EC">
      <w:pPr>
        <w:pStyle w:val="8"/>
        <w:shd w:val="clear" w:color="auto" w:fill="FFFFFF"/>
        <w:rPr>
          <w:rStyle w:val="11"/>
          <w:rFonts w:hint="default" w:asciiTheme="minorEastAsia" w:hAnsiTheme="minorEastAsia" w:eastAsiaTheme="minorEastAsia" w:cstheme="minorBidi"/>
          <w:b w:val="0"/>
          <w:lang w:val="en-US" w:eastAsia="zh-CN"/>
        </w:rPr>
      </w:pPr>
      <w:r>
        <w:rPr>
          <w:rStyle w:val="11"/>
          <w:rFonts w:hint="eastAsia" w:asciiTheme="minorEastAsia" w:hAnsiTheme="minorEastAsia" w:eastAsiaTheme="minorEastAsia" w:cstheme="minorBidi"/>
          <w:b w:val="0"/>
          <w:lang w:val="en-US" w:eastAsia="zh-CN"/>
        </w:rPr>
        <w:t>指标分值为3分，权重占比为20%指标解释：灾后重建项目能解决我乡“6.10”马尔康地震灾后遗留问题。评分方法：以产出指标中的数量指标为准，暖棚维修等于153户；评分说明：暖棚维修153户；总分值不超过3分，该项指标得分=3。</w:t>
      </w:r>
    </w:p>
    <w:p w14:paraId="6D09870A">
      <w:pPr>
        <w:pStyle w:val="8"/>
        <w:shd w:val="clear" w:color="auto" w:fill="FFFFFF"/>
        <w:rPr>
          <w:rStyle w:val="11"/>
          <w:rFonts w:hint="eastAsia" w:asciiTheme="minorEastAsia" w:hAnsiTheme="minorEastAsia" w:eastAsiaTheme="minorEastAsia" w:cstheme="minorBidi"/>
          <w:b w:val="0"/>
          <w:lang w:val="en-US" w:eastAsia="zh-CN"/>
        </w:rPr>
      </w:pPr>
      <w:r>
        <w:rPr>
          <w:rStyle w:val="11"/>
          <w:rFonts w:hint="eastAsia" w:asciiTheme="minorEastAsia" w:hAnsiTheme="minorEastAsia" w:eastAsiaTheme="minorEastAsia" w:cstheme="minorBidi"/>
          <w:b w:val="0"/>
          <w:lang w:val="en-US" w:eastAsia="zh-CN"/>
        </w:rPr>
        <w:t>安全责任落实方面。年初目标：常态化开展维护稳定、疫情防控、安全生产、防汛减灾、森林草原防灭火等工作。年底工作完成情况：签订《安全生产责任书》120余份，层层分解安全生产责任；同时加大安全生产宣传，坚持逢会必讲，提高“生命红线”意识，扎实开展安全宣传教育500余次，发放宣传单12000份，悬挂宣传横幅30条；定期开展安全隐患排查整治，组织人员检查小卖部、茶楼、小吃店、零售店共计300余次乡、村两级召开专题会议及传达上级防汛防火工作精神80余次，发放藏汉双语宣传单5000余份，张贴横幅标语20条，微信公众号推送信息800余条，出动车辆宣传防火知识共600余次，村级喇叭宣讲110次，开展防火知识讲堂30次，完成牧户“防火明白卡”全覆盖张贴；共开展防汛防火应急演练15次，义务扑火队拉练15次。</w:t>
      </w:r>
    </w:p>
    <w:p w14:paraId="0CA8A3B7">
      <w:pPr>
        <w:pStyle w:val="8"/>
        <w:shd w:val="clear" w:color="auto" w:fill="FFFFFF"/>
        <w:rPr>
          <w:rStyle w:val="11"/>
          <w:rFonts w:hint="eastAsia" w:asciiTheme="minorEastAsia" w:hAnsiTheme="minorEastAsia" w:eastAsiaTheme="minorEastAsia" w:cstheme="minorBidi"/>
          <w:b w:val="0"/>
          <w:lang w:val="en-US" w:eastAsia="zh-CN"/>
        </w:rPr>
      </w:pPr>
      <w:r>
        <w:rPr>
          <w:rStyle w:val="11"/>
          <w:rFonts w:hint="eastAsia" w:asciiTheme="minorEastAsia" w:hAnsiTheme="minorEastAsia" w:eastAsiaTheme="minorEastAsia" w:cstheme="minorBidi"/>
          <w:b w:val="0"/>
          <w:lang w:val="en-US" w:eastAsia="zh-CN"/>
        </w:rPr>
        <w:t>指标分值为6分，权重占比为40%，指标解释：</w:t>
      </w:r>
      <w:r>
        <w:rPr>
          <w:rStyle w:val="11"/>
          <w:rFonts w:hint="eastAsia" w:asciiTheme="minorEastAsia" w:hAnsiTheme="minorEastAsia" w:eastAsiaTheme="minorEastAsia" w:cstheme="minorBidi"/>
          <w:b w:val="0"/>
        </w:rPr>
        <w:t>安全生产“责任重于泰山”</w:t>
      </w:r>
      <w:r>
        <w:rPr>
          <w:rStyle w:val="11"/>
          <w:rFonts w:hint="eastAsia" w:asciiTheme="minorEastAsia" w:hAnsiTheme="minorEastAsia" w:eastAsiaTheme="minorEastAsia" w:cstheme="minorBidi"/>
          <w:b w:val="0"/>
          <w:lang w:eastAsia="zh-CN"/>
        </w:rPr>
        <w:t>，</w:t>
      </w:r>
      <w:r>
        <w:rPr>
          <w:rStyle w:val="11"/>
          <w:rFonts w:hint="eastAsia" w:asciiTheme="minorEastAsia" w:hAnsiTheme="minorEastAsia" w:eastAsiaTheme="minorEastAsia" w:cstheme="minorBidi"/>
          <w:b w:val="0"/>
          <w:lang w:val="en-US" w:eastAsia="zh-CN"/>
        </w:rPr>
        <w:t>查尔玛</w:t>
      </w:r>
      <w:r>
        <w:rPr>
          <w:rStyle w:val="11"/>
          <w:rFonts w:hint="eastAsia" w:asciiTheme="minorEastAsia" w:hAnsiTheme="minorEastAsia" w:eastAsiaTheme="minorEastAsia" w:cstheme="minorBidi"/>
          <w:b w:val="0"/>
        </w:rPr>
        <w:t>在县委、县政府正确领导下，认真落实各项安全措施，将安全生产</w:t>
      </w:r>
      <w:r>
        <w:rPr>
          <w:rStyle w:val="11"/>
          <w:rFonts w:hint="eastAsia" w:asciiTheme="minorEastAsia" w:hAnsiTheme="minorEastAsia" w:eastAsiaTheme="minorEastAsia" w:cstheme="minorBidi"/>
          <w:b w:val="0"/>
          <w:lang w:eastAsia="zh-CN"/>
        </w:rPr>
        <w:t>、</w:t>
      </w:r>
      <w:r>
        <w:rPr>
          <w:rStyle w:val="11"/>
          <w:rFonts w:hint="eastAsia" w:asciiTheme="minorEastAsia" w:hAnsiTheme="minorEastAsia" w:eastAsiaTheme="minorEastAsia" w:cstheme="minorBidi"/>
          <w:b w:val="0"/>
        </w:rPr>
        <w:t>消防安全</w:t>
      </w:r>
      <w:r>
        <w:rPr>
          <w:rStyle w:val="11"/>
          <w:rFonts w:hint="eastAsia" w:asciiTheme="minorEastAsia" w:hAnsiTheme="minorEastAsia" w:eastAsiaTheme="minorEastAsia" w:cstheme="minorBidi"/>
          <w:b w:val="0"/>
          <w:lang w:eastAsia="zh-CN"/>
        </w:rPr>
        <w:t>、食品药品安全、道路交通安全、防汛减灾、森林草原防灭火等</w:t>
      </w:r>
      <w:r>
        <w:rPr>
          <w:rStyle w:val="11"/>
          <w:rFonts w:hint="eastAsia" w:asciiTheme="minorEastAsia" w:hAnsiTheme="minorEastAsia" w:eastAsiaTheme="minorEastAsia" w:cstheme="minorBidi"/>
          <w:b w:val="0"/>
        </w:rPr>
        <w:t>工作作为</w:t>
      </w:r>
      <w:r>
        <w:rPr>
          <w:rStyle w:val="11"/>
          <w:rFonts w:hint="eastAsia" w:asciiTheme="minorEastAsia" w:hAnsiTheme="minorEastAsia" w:eastAsiaTheme="minorEastAsia" w:cstheme="minorBidi"/>
          <w:b w:val="0"/>
          <w:lang w:eastAsia="zh-CN"/>
        </w:rPr>
        <w:t>重心</w:t>
      </w:r>
      <w:r>
        <w:rPr>
          <w:rStyle w:val="11"/>
          <w:rFonts w:hint="eastAsia" w:asciiTheme="minorEastAsia" w:hAnsiTheme="minorEastAsia" w:eastAsiaTheme="minorEastAsia" w:cstheme="minorBidi"/>
          <w:b w:val="0"/>
        </w:rPr>
        <w:t>来抓，</w:t>
      </w:r>
      <w:r>
        <w:rPr>
          <w:rStyle w:val="11"/>
          <w:rFonts w:hint="eastAsia" w:asciiTheme="minorEastAsia" w:hAnsiTheme="minorEastAsia" w:eastAsiaTheme="minorEastAsia" w:cstheme="minorBidi"/>
          <w:b w:val="0"/>
          <w:lang w:val="en-US" w:eastAsia="zh-CN"/>
        </w:rPr>
        <w:t>评分方法：以满意指标为准，群众满意度大于等于95%；评分说明：群众满意度大于等于95%，总分值不超过6分。该项指标得分=6。</w:t>
      </w:r>
    </w:p>
    <w:p w14:paraId="25F471DD">
      <w:pPr>
        <w:pStyle w:val="8"/>
        <w:shd w:val="clear" w:color="auto" w:fill="FFFFFF"/>
        <w:rPr>
          <w:rFonts w:asciiTheme="minorEastAsia" w:hAnsiTheme="minorEastAsia" w:eastAsiaTheme="minorEastAsia"/>
        </w:rPr>
      </w:pPr>
      <w:r>
        <w:rPr>
          <w:rStyle w:val="11"/>
          <w:rFonts w:hint="eastAsia" w:asciiTheme="minorEastAsia" w:hAnsiTheme="minorEastAsia" w:eastAsiaTheme="minorEastAsia"/>
          <w:b w:val="0"/>
        </w:rPr>
        <w:t>（六）当年预算执行及绩效管理中存在问题、原因及改进措施。</w:t>
      </w:r>
    </w:p>
    <w:p w14:paraId="75B97F1A">
      <w:pPr>
        <w:pStyle w:val="8"/>
        <w:shd w:val="clear" w:color="auto" w:fill="FFFFFF"/>
        <w:rPr>
          <w:rFonts w:asciiTheme="minorEastAsia" w:hAnsiTheme="minorEastAsia" w:eastAsiaTheme="minorEastAsia"/>
        </w:rPr>
      </w:pPr>
      <w:r>
        <w:rPr>
          <w:rStyle w:val="11"/>
          <w:rFonts w:hint="eastAsia" w:asciiTheme="minorEastAsia" w:hAnsiTheme="minorEastAsia" w:eastAsiaTheme="minorEastAsia"/>
          <w:b w:val="0"/>
        </w:rPr>
        <w:t>无</w:t>
      </w:r>
    </w:p>
    <w:p w14:paraId="13F10F79">
      <w:pPr>
        <w:pStyle w:val="8"/>
        <w:shd w:val="clear" w:color="auto" w:fill="FFFFFF"/>
        <w:rPr>
          <w:rFonts w:asciiTheme="minorEastAsia" w:hAnsiTheme="minorEastAsia" w:eastAsiaTheme="minorEastAsia"/>
        </w:rPr>
      </w:pPr>
      <w:r>
        <w:rPr>
          <w:rFonts w:hint="eastAsia" w:asciiTheme="minorEastAsia" w:hAnsiTheme="minorEastAsia" w:eastAsiaTheme="minorEastAsia"/>
        </w:rPr>
        <w:t>三、本年度部门决算等财务工作开展情况</w:t>
      </w:r>
    </w:p>
    <w:p w14:paraId="2828AC6E">
      <w:pPr>
        <w:pStyle w:val="8"/>
        <w:shd w:val="clear" w:color="auto" w:fill="FFFFFF"/>
        <w:rPr>
          <w:rFonts w:asciiTheme="minorEastAsia" w:hAnsiTheme="minorEastAsia" w:eastAsiaTheme="minorEastAsia"/>
        </w:rPr>
      </w:pPr>
      <w:r>
        <w:rPr>
          <w:rFonts w:hint="eastAsia" w:asciiTheme="minorEastAsia" w:hAnsiTheme="minorEastAsia" w:eastAsiaTheme="minorEastAsia"/>
        </w:rPr>
        <w:t>（一）本单位财务管理、绩效管理、决算组织、编报、审核情况。</w:t>
      </w:r>
    </w:p>
    <w:p w14:paraId="1F760CDD">
      <w:pPr>
        <w:pStyle w:val="8"/>
        <w:shd w:val="clear" w:color="auto" w:fill="FFFFFF"/>
        <w:rPr>
          <w:rFonts w:asciiTheme="minorEastAsia" w:hAnsiTheme="minorEastAsia" w:eastAsiaTheme="minorEastAsia"/>
        </w:rPr>
      </w:pPr>
      <w:r>
        <w:rPr>
          <w:rStyle w:val="11"/>
          <w:rFonts w:hint="eastAsia" w:asciiTheme="minorEastAsia" w:hAnsiTheme="minorEastAsia" w:eastAsiaTheme="minorEastAsia"/>
          <w:b w:val="0"/>
        </w:rPr>
        <w:t>已通过</w:t>
      </w:r>
    </w:p>
    <w:p w14:paraId="333B26F9">
      <w:pPr>
        <w:pStyle w:val="8"/>
        <w:shd w:val="clear" w:color="auto" w:fill="FFFFFF"/>
        <w:rPr>
          <w:rFonts w:asciiTheme="minorEastAsia" w:hAnsiTheme="minorEastAsia" w:eastAsiaTheme="minorEastAsia"/>
        </w:rPr>
      </w:pPr>
      <w:r>
        <w:rPr>
          <w:rFonts w:hint="eastAsia" w:asciiTheme="minorEastAsia" w:hAnsiTheme="minorEastAsia" w:eastAsiaTheme="minorEastAsia"/>
        </w:rPr>
        <w:t>（二）本单位决算及绩效信息公开工作开展情况。</w:t>
      </w:r>
    </w:p>
    <w:p w14:paraId="31F71B53">
      <w:pPr>
        <w:pStyle w:val="8"/>
        <w:shd w:val="clear" w:color="auto" w:fill="FFFFFF"/>
        <w:rPr>
          <w:rFonts w:asciiTheme="minorEastAsia" w:hAnsiTheme="minorEastAsia" w:eastAsiaTheme="minorEastAsia"/>
        </w:rPr>
      </w:pPr>
      <w:r>
        <w:rPr>
          <w:rStyle w:val="11"/>
          <w:rFonts w:hint="eastAsia" w:asciiTheme="minorEastAsia" w:hAnsiTheme="minorEastAsia" w:eastAsiaTheme="minorEastAsia"/>
          <w:b w:val="0"/>
        </w:rPr>
        <w:t>依审公开</w:t>
      </w:r>
    </w:p>
    <w:p w14:paraId="23FE450B">
      <w:pPr>
        <w:pStyle w:val="8"/>
        <w:shd w:val="clear" w:color="auto" w:fill="FFFFFF"/>
        <w:rPr>
          <w:rFonts w:asciiTheme="minorEastAsia" w:hAnsiTheme="minorEastAsia" w:eastAsiaTheme="minorEastAsia"/>
        </w:rPr>
      </w:pPr>
      <w:r>
        <w:rPr>
          <w:rFonts w:hint="eastAsia" w:asciiTheme="minorEastAsia" w:hAnsiTheme="minorEastAsia" w:eastAsiaTheme="minorEastAsia"/>
        </w:rPr>
        <w:t>（三）对单位决算管理及报表设计的意见建议。</w:t>
      </w:r>
    </w:p>
    <w:p w14:paraId="0D2B5091">
      <w:pPr>
        <w:pStyle w:val="8"/>
        <w:shd w:val="clear" w:color="auto" w:fill="FFFFFF"/>
        <w:rPr>
          <w:rFonts w:asciiTheme="minorEastAsia" w:hAnsiTheme="minorEastAsia" w:eastAsiaTheme="minorEastAsia"/>
        </w:rPr>
      </w:pPr>
      <w:r>
        <w:rPr>
          <w:rStyle w:val="11"/>
          <w:rFonts w:hint="eastAsia" w:asciiTheme="minorEastAsia" w:hAnsiTheme="minorEastAsia" w:eastAsiaTheme="minorEastAsia"/>
          <w:b w:val="0"/>
        </w:rPr>
        <w:t>无</w:t>
      </w:r>
    </w:p>
    <w:p w14:paraId="1F8FFD26">
      <w:pPr>
        <w:pStyle w:val="8"/>
        <w:shd w:val="clear" w:color="auto" w:fill="FFFFFF"/>
        <w:rPr>
          <w:rFonts w:asciiTheme="minorEastAsia" w:hAnsiTheme="minorEastAsia" w:eastAsiaTheme="minorEastAsia"/>
        </w:rPr>
      </w:pPr>
      <w:r>
        <w:rPr>
          <w:rFonts w:hint="eastAsia" w:asciiTheme="minorEastAsia" w:hAnsiTheme="minorEastAsia" w:eastAsiaTheme="minorEastAsia"/>
        </w:rPr>
        <w:t>（四）对加强部门决算数据分析利用工作的建议。</w:t>
      </w:r>
    </w:p>
    <w:p w14:paraId="51C83205">
      <w:pPr>
        <w:pStyle w:val="8"/>
        <w:shd w:val="clear" w:color="auto" w:fill="FFFFFF"/>
        <w:rPr>
          <w:rFonts w:asciiTheme="minorEastAsia" w:hAnsiTheme="minorEastAsia" w:eastAsiaTheme="minorEastAsia"/>
        </w:rPr>
      </w:pPr>
      <w:r>
        <w:rPr>
          <w:rStyle w:val="11"/>
          <w:rFonts w:hint="eastAsia" w:asciiTheme="minorEastAsia" w:hAnsiTheme="minorEastAsia" w:eastAsiaTheme="minorEastAsia"/>
          <w:b w:val="0"/>
        </w:rPr>
        <w:t>无</w:t>
      </w:r>
    </w:p>
    <w:p w14:paraId="26EB1527">
      <w:pPr>
        <w:pStyle w:val="8"/>
        <w:shd w:val="clear" w:color="auto" w:fill="FFFFFF"/>
        <w:rPr>
          <w:rFonts w:asciiTheme="minorEastAsia" w:hAnsiTheme="minorEastAsia" w:eastAsiaTheme="minorEastAsia"/>
        </w:rPr>
      </w:pPr>
      <w:r>
        <w:rPr>
          <w:rFonts w:asciiTheme="minorEastAsia" w:hAnsiTheme="minorEastAsia" w:eastAsiaTheme="minorEastAsia"/>
        </w:rPr>
        <w:br w:type="textWrapping"/>
      </w:r>
      <w:r>
        <w:rPr>
          <w:rFonts w:hint="eastAsia" w:asciiTheme="minorEastAsia" w:hAnsiTheme="minorEastAsia" w:eastAsiaTheme="minorEastAsia"/>
        </w:rPr>
        <w:t>附：</w:t>
      </w:r>
    </w:p>
    <w:p w14:paraId="02C34E85">
      <w:pPr>
        <w:pStyle w:val="8"/>
        <w:shd w:val="clear" w:color="auto" w:fill="FFFFFF"/>
        <w:jc w:val="center"/>
        <w:rPr>
          <w:rFonts w:asciiTheme="minorEastAsia" w:hAnsiTheme="minorEastAsia" w:eastAsiaTheme="minorEastAsia"/>
        </w:rPr>
      </w:pPr>
      <w:r>
        <w:rPr>
          <w:rFonts w:asciiTheme="minorEastAsia" w:hAnsiTheme="minorEastAsia" w:eastAsiaTheme="minorEastAsia"/>
        </w:rPr>
        <w:t> </w:t>
      </w:r>
    </w:p>
    <w:p w14:paraId="63C10B9A">
      <w:pPr>
        <w:pStyle w:val="8"/>
        <w:shd w:val="clear" w:color="auto" w:fill="FFFFFF"/>
        <w:jc w:val="center"/>
        <w:rPr>
          <w:rFonts w:asciiTheme="minorEastAsia" w:hAnsiTheme="minorEastAsia" w:eastAsiaTheme="minorEastAsia"/>
        </w:rPr>
      </w:pPr>
      <w:r>
        <w:rPr>
          <w:rFonts w:hint="eastAsia" w:asciiTheme="minorEastAsia" w:hAnsiTheme="minorEastAsia" w:eastAsiaTheme="minorEastAsia"/>
        </w:rPr>
        <w:t>行政事业单位财务分析指标</w:t>
      </w:r>
    </w:p>
    <w:p w14:paraId="2D56DA08">
      <w:pPr>
        <w:pStyle w:val="8"/>
        <w:shd w:val="clear" w:color="auto" w:fill="FFFFFF"/>
        <w:rPr>
          <w:rFonts w:asciiTheme="minorEastAsia" w:hAnsiTheme="minorEastAsia" w:eastAsiaTheme="minorEastAsia"/>
        </w:rPr>
      </w:pPr>
      <w:r>
        <w:rPr>
          <w:rFonts w:asciiTheme="minorEastAsia" w:hAnsiTheme="minorEastAsia" w:eastAsiaTheme="minorEastAsia"/>
        </w:rPr>
        <w:t> </w:t>
      </w:r>
    </w:p>
    <w:p w14:paraId="73DAD764">
      <w:pPr>
        <w:pStyle w:val="8"/>
        <w:shd w:val="clear" w:color="auto" w:fill="FFFFFF"/>
        <w:rPr>
          <w:rFonts w:asciiTheme="minorEastAsia" w:hAnsiTheme="minorEastAsia" w:eastAsiaTheme="minorEastAsia"/>
        </w:rPr>
      </w:pPr>
      <w:r>
        <w:rPr>
          <w:rFonts w:hint="eastAsia" w:asciiTheme="minorEastAsia" w:hAnsiTheme="minorEastAsia" w:eastAsiaTheme="minorEastAsia"/>
        </w:rPr>
        <w:t>一、行政单位财务分析指标</w:t>
      </w:r>
    </w:p>
    <w:p w14:paraId="21982F8E">
      <w:pPr>
        <w:pStyle w:val="8"/>
        <w:shd w:val="clear" w:color="auto" w:fill="FFFFFF"/>
        <w:rPr>
          <w:rFonts w:asciiTheme="minorEastAsia" w:hAnsiTheme="minorEastAsia" w:eastAsiaTheme="minorEastAsia"/>
        </w:rPr>
      </w:pPr>
      <w:r>
        <w:rPr>
          <w:rFonts w:hint="eastAsia" w:asciiTheme="minorEastAsia" w:hAnsiTheme="minorEastAsia" w:eastAsiaTheme="minorEastAsia"/>
        </w:rPr>
        <w:t>1.支出增长率，衡量行政单位支出的增长水平。计算公式为：</w:t>
      </w:r>
    </w:p>
    <w:p w14:paraId="4D470B1E">
      <w:pPr>
        <w:pStyle w:val="8"/>
        <w:shd w:val="clear" w:color="auto" w:fill="FFFFFF"/>
        <w:rPr>
          <w:rFonts w:asciiTheme="minorEastAsia" w:hAnsiTheme="minorEastAsia" w:eastAsiaTheme="minorEastAsia"/>
        </w:rPr>
      </w:pPr>
      <w:r>
        <w:rPr>
          <w:rFonts w:hint="eastAsia" w:asciiTheme="minorEastAsia" w:hAnsiTheme="minorEastAsia" w:eastAsiaTheme="minorEastAsia"/>
        </w:rPr>
        <w:t>支出增长率＝(本期支出总额÷上期支出总额-1)×100%=-19.60%</w:t>
      </w:r>
    </w:p>
    <w:p w14:paraId="10A5D678">
      <w:pPr>
        <w:pStyle w:val="8"/>
        <w:shd w:val="clear" w:color="auto" w:fill="FFFFFF"/>
        <w:rPr>
          <w:rFonts w:asciiTheme="minorEastAsia" w:hAnsiTheme="minorEastAsia" w:eastAsiaTheme="minorEastAsia"/>
        </w:rPr>
      </w:pPr>
      <w:r>
        <w:rPr>
          <w:rFonts w:hint="eastAsia" w:asciiTheme="minorEastAsia" w:hAnsiTheme="minorEastAsia" w:eastAsiaTheme="minorEastAsia"/>
        </w:rPr>
        <w:t>2.当年预算支出完成率，衡量行政单位当年支出总预算及分项预算完成的程度。计算公式为：</w:t>
      </w:r>
    </w:p>
    <w:p w14:paraId="0AA40FF7">
      <w:pPr>
        <w:pStyle w:val="8"/>
        <w:shd w:val="clear" w:color="auto" w:fill="FFFFFF"/>
        <w:rPr>
          <w:rFonts w:asciiTheme="minorEastAsia" w:hAnsiTheme="minorEastAsia" w:eastAsiaTheme="minorEastAsia"/>
        </w:rPr>
      </w:pPr>
      <w:r>
        <w:rPr>
          <w:rFonts w:hint="eastAsia" w:asciiTheme="minorEastAsia" w:hAnsiTheme="minorEastAsia" w:eastAsiaTheme="minorEastAsia"/>
        </w:rPr>
        <w:t>当年预算支出完成率＝年终执行数÷调整预算数×100%=100.00%</w:t>
      </w:r>
    </w:p>
    <w:p w14:paraId="5566915A">
      <w:pPr>
        <w:pStyle w:val="8"/>
        <w:shd w:val="clear" w:color="auto" w:fill="FFFFFF"/>
        <w:rPr>
          <w:rFonts w:asciiTheme="minorEastAsia" w:hAnsiTheme="minorEastAsia" w:eastAsiaTheme="minorEastAsia"/>
        </w:rPr>
      </w:pPr>
      <w:r>
        <w:rPr>
          <w:rFonts w:hint="eastAsia" w:asciiTheme="minorEastAsia" w:hAnsiTheme="minorEastAsia" w:eastAsiaTheme="minorEastAsia"/>
        </w:rPr>
        <w:t>3.人均开支，衡量行政单位人均年消耗经费水平。计算公式为：</w:t>
      </w:r>
    </w:p>
    <w:p w14:paraId="4C58B5F2">
      <w:pPr>
        <w:pStyle w:val="8"/>
        <w:shd w:val="clear" w:color="auto" w:fill="FFFFFF"/>
        <w:rPr>
          <w:rFonts w:asciiTheme="minorEastAsia" w:hAnsiTheme="minorEastAsia" w:eastAsiaTheme="minorEastAsia"/>
        </w:rPr>
      </w:pPr>
      <w:r>
        <w:rPr>
          <w:rFonts w:hint="eastAsia" w:asciiTheme="minorEastAsia" w:hAnsiTheme="minorEastAsia" w:eastAsiaTheme="minorEastAsia"/>
        </w:rPr>
        <w:t>人均开支＝本期支出数÷本期平均在职人员数=25.83</w:t>
      </w:r>
    </w:p>
    <w:p w14:paraId="23332662">
      <w:pPr>
        <w:pStyle w:val="8"/>
        <w:shd w:val="clear" w:color="auto" w:fill="FFFFFF"/>
        <w:rPr>
          <w:rFonts w:asciiTheme="minorEastAsia" w:hAnsiTheme="minorEastAsia" w:eastAsiaTheme="minorEastAsia"/>
        </w:rPr>
      </w:pPr>
      <w:r>
        <w:rPr>
          <w:rFonts w:hint="eastAsia" w:asciiTheme="minorEastAsia" w:hAnsiTheme="minorEastAsia" w:eastAsiaTheme="minorEastAsia"/>
        </w:rPr>
        <w:t>4.项目支出占总支出的比率，衡量行政单位的支出结构。计算公式为：</w:t>
      </w:r>
    </w:p>
    <w:p w14:paraId="6381B2F1">
      <w:pPr>
        <w:pStyle w:val="8"/>
        <w:shd w:val="clear" w:color="auto" w:fill="FFFFFF"/>
        <w:rPr>
          <w:rFonts w:asciiTheme="minorEastAsia" w:hAnsiTheme="minorEastAsia" w:eastAsiaTheme="minorEastAsia"/>
        </w:rPr>
      </w:pPr>
      <w:r>
        <w:rPr>
          <w:rFonts w:hint="eastAsia" w:asciiTheme="minorEastAsia" w:hAnsiTheme="minorEastAsia" w:eastAsiaTheme="minorEastAsia"/>
        </w:rPr>
        <w:t>项目支出比率=本期项目支出数÷本期支出总数×100%=39.57%</w:t>
      </w:r>
    </w:p>
    <w:p w14:paraId="116659EE">
      <w:pPr>
        <w:pStyle w:val="8"/>
        <w:shd w:val="clear" w:color="auto" w:fill="FFFFFF"/>
        <w:rPr>
          <w:rFonts w:asciiTheme="minorEastAsia" w:hAnsiTheme="minorEastAsia" w:eastAsiaTheme="minorEastAsia"/>
        </w:rPr>
      </w:pPr>
      <w:r>
        <w:rPr>
          <w:rFonts w:hint="eastAsia" w:asciiTheme="minorEastAsia" w:hAnsiTheme="minorEastAsia" w:eastAsiaTheme="minorEastAsia"/>
        </w:rPr>
        <w:t>5.人员支出、公用支出占总支出的比率，衡量行政单位的支出结构。计算公式为：</w:t>
      </w:r>
    </w:p>
    <w:p w14:paraId="5DC19C2D">
      <w:pPr>
        <w:pStyle w:val="8"/>
        <w:shd w:val="clear" w:color="auto" w:fill="FFFFFF"/>
        <w:rPr>
          <w:rFonts w:asciiTheme="minorEastAsia" w:hAnsiTheme="minorEastAsia" w:eastAsiaTheme="minorEastAsia"/>
        </w:rPr>
      </w:pPr>
      <w:r>
        <w:rPr>
          <w:rFonts w:hint="eastAsia" w:asciiTheme="minorEastAsia" w:hAnsiTheme="minorEastAsia" w:eastAsiaTheme="minorEastAsia"/>
        </w:rPr>
        <w:t>人员支出比率=本期人员支出数÷本期支出总数×100%=54.30%</w:t>
      </w:r>
    </w:p>
    <w:p w14:paraId="76EE5B0E">
      <w:pPr>
        <w:pStyle w:val="8"/>
        <w:shd w:val="clear" w:color="auto" w:fill="FFFFFF"/>
        <w:rPr>
          <w:rFonts w:asciiTheme="minorEastAsia" w:hAnsiTheme="minorEastAsia" w:eastAsiaTheme="minorEastAsia"/>
        </w:rPr>
      </w:pPr>
      <w:r>
        <w:rPr>
          <w:rFonts w:hint="eastAsia" w:asciiTheme="minorEastAsia" w:hAnsiTheme="minorEastAsia" w:eastAsiaTheme="minorEastAsia"/>
        </w:rPr>
        <w:t>公用支出比率=本期公用支出数÷本期支出总数×100%=6.03%</w:t>
      </w:r>
    </w:p>
    <w:p w14:paraId="414B04F2">
      <w:pPr>
        <w:pStyle w:val="8"/>
        <w:shd w:val="clear" w:color="auto" w:fill="FFFFFF"/>
        <w:rPr>
          <w:rFonts w:asciiTheme="minorEastAsia" w:hAnsiTheme="minorEastAsia" w:eastAsiaTheme="minorEastAsia"/>
        </w:rPr>
      </w:pPr>
      <w:r>
        <w:rPr>
          <w:rFonts w:hint="eastAsia" w:asciiTheme="minorEastAsia" w:hAnsiTheme="minorEastAsia" w:eastAsiaTheme="minorEastAsia"/>
        </w:rPr>
        <w:t>6.人均办公使用面积，衡量行政单位办公用房配备情况。计算公式为：</w:t>
      </w:r>
    </w:p>
    <w:p w14:paraId="328949D7">
      <w:pPr>
        <w:pStyle w:val="8"/>
        <w:shd w:val="clear" w:color="auto" w:fill="FFFFFF"/>
        <w:rPr>
          <w:rFonts w:asciiTheme="minorEastAsia" w:hAnsiTheme="minorEastAsia" w:eastAsiaTheme="minorEastAsia"/>
        </w:rPr>
      </w:pPr>
      <w:r>
        <w:rPr>
          <w:rFonts w:hint="eastAsia" w:asciiTheme="minorEastAsia" w:hAnsiTheme="minorEastAsia" w:eastAsiaTheme="minorEastAsia"/>
        </w:rPr>
        <w:t>人均办公使用面积=本期末单位办公用房使用面积÷本期末在职人员数=59.10</w:t>
      </w:r>
    </w:p>
    <w:p w14:paraId="15A741A6">
      <w:pPr>
        <w:pStyle w:val="8"/>
        <w:shd w:val="clear" w:color="auto" w:fill="FFFFFF"/>
        <w:rPr>
          <w:rFonts w:asciiTheme="minorEastAsia" w:hAnsiTheme="minorEastAsia" w:eastAsiaTheme="minorEastAsia"/>
        </w:rPr>
      </w:pPr>
      <w:r>
        <w:rPr>
          <w:rFonts w:hint="eastAsia" w:asciiTheme="minorEastAsia" w:hAnsiTheme="minorEastAsia" w:eastAsiaTheme="minorEastAsia"/>
        </w:rPr>
        <w:t>7.人车比例，衡量行政单位公务用车配备情况。计算公式为：</w:t>
      </w:r>
    </w:p>
    <w:p w14:paraId="7284CC08">
      <w:pPr>
        <w:pStyle w:val="8"/>
        <w:shd w:val="clear" w:color="auto" w:fill="FFFFFF"/>
        <w:rPr>
          <w:rFonts w:asciiTheme="minorEastAsia" w:hAnsiTheme="minorEastAsia" w:eastAsiaTheme="minorEastAsia"/>
        </w:rPr>
      </w:pPr>
      <w:r>
        <w:rPr>
          <w:rFonts w:hint="eastAsia" w:asciiTheme="minorEastAsia" w:hAnsiTheme="minorEastAsia" w:eastAsiaTheme="minorEastAsia"/>
        </w:rPr>
        <w:t>人车比例=本期末在职人员数÷本期末公务用车实有数=10.00</w:t>
      </w:r>
    </w:p>
    <w:p w14:paraId="1423DB07">
      <w:pPr>
        <w:pStyle w:val="8"/>
        <w:shd w:val="clear" w:color="auto" w:fill="FFFFFF"/>
        <w:rPr>
          <w:rFonts w:asciiTheme="minorEastAsia" w:hAnsiTheme="minorEastAsia" w:eastAsiaTheme="minorEastAsia"/>
        </w:rPr>
      </w:pPr>
      <w:r>
        <w:rPr>
          <w:rFonts w:asciiTheme="minorEastAsia" w:hAnsiTheme="minorEastAsia" w:eastAsiaTheme="minorEastAsia"/>
        </w:rPr>
        <w:t> </w:t>
      </w:r>
    </w:p>
    <w:p w14:paraId="13CBA470">
      <w:pPr>
        <w:pStyle w:val="8"/>
        <w:shd w:val="clear" w:color="auto" w:fill="FFFFFF"/>
        <w:rPr>
          <w:rFonts w:asciiTheme="minorEastAsia" w:hAnsiTheme="minorEastAsia" w:eastAsiaTheme="minorEastAsia"/>
        </w:rPr>
      </w:pPr>
      <w:r>
        <w:rPr>
          <w:rFonts w:hint="eastAsia" w:asciiTheme="minorEastAsia" w:hAnsiTheme="minorEastAsia" w:eastAsiaTheme="minorEastAsia"/>
        </w:rPr>
        <w:t>二、事业单位财务分析指标</w:t>
      </w:r>
    </w:p>
    <w:p w14:paraId="66FCC72A">
      <w:pPr>
        <w:pStyle w:val="8"/>
        <w:shd w:val="clear" w:color="auto" w:fill="FFFFFF"/>
        <w:rPr>
          <w:rFonts w:asciiTheme="minorEastAsia" w:hAnsiTheme="minorEastAsia" w:eastAsiaTheme="minorEastAsia"/>
        </w:rPr>
      </w:pPr>
      <w:r>
        <w:rPr>
          <w:rFonts w:hint="eastAsia" w:asciiTheme="minorEastAsia" w:hAnsiTheme="minorEastAsia" w:eastAsiaTheme="minorEastAsia"/>
        </w:rPr>
        <w:t>1.预算收入和支出完成率，衡量事业单位收入和支出总预算及分项预算完成的程度。计算公式为：</w:t>
      </w:r>
    </w:p>
    <w:p w14:paraId="073CA9F8">
      <w:pPr>
        <w:pStyle w:val="8"/>
        <w:shd w:val="clear" w:color="auto" w:fill="FFFFFF"/>
        <w:rPr>
          <w:rFonts w:asciiTheme="minorEastAsia" w:hAnsiTheme="minorEastAsia" w:eastAsiaTheme="minorEastAsia"/>
        </w:rPr>
      </w:pPr>
      <w:r>
        <w:rPr>
          <w:rFonts w:hint="eastAsia" w:asciiTheme="minorEastAsia" w:hAnsiTheme="minorEastAsia" w:eastAsiaTheme="minorEastAsia"/>
        </w:rPr>
        <w:t>预算收入完成率＝年终执行数÷调整预算数×100%=100.00%</w:t>
      </w:r>
    </w:p>
    <w:p w14:paraId="761A0B38">
      <w:pPr>
        <w:pStyle w:val="8"/>
        <w:shd w:val="clear" w:color="auto" w:fill="FFFFFF"/>
        <w:rPr>
          <w:rFonts w:asciiTheme="minorEastAsia" w:hAnsiTheme="minorEastAsia" w:eastAsiaTheme="minorEastAsia"/>
        </w:rPr>
      </w:pPr>
      <w:r>
        <w:rPr>
          <w:rFonts w:hint="eastAsia" w:asciiTheme="minorEastAsia" w:hAnsiTheme="minorEastAsia" w:eastAsiaTheme="minorEastAsia"/>
        </w:rPr>
        <w:t>预算支出完成率＝年终执行数÷调整预算数×100%=100.00%</w:t>
      </w:r>
    </w:p>
    <w:p w14:paraId="7AE3A5F2">
      <w:pPr>
        <w:pStyle w:val="8"/>
        <w:shd w:val="clear" w:color="auto" w:fill="FFFFFF"/>
        <w:rPr>
          <w:rFonts w:asciiTheme="minorEastAsia" w:hAnsiTheme="minorEastAsia" w:eastAsiaTheme="minorEastAsia"/>
        </w:rPr>
      </w:pPr>
      <w:r>
        <w:rPr>
          <w:rFonts w:hint="eastAsia" w:asciiTheme="minorEastAsia" w:hAnsiTheme="minorEastAsia" w:eastAsiaTheme="minorEastAsia"/>
        </w:rPr>
        <w:t>2.人员支出、公用支出占事业支出的比率，衡量事业单位事业支出结构。计算公式为：</w:t>
      </w:r>
    </w:p>
    <w:p w14:paraId="02AD7875">
      <w:pPr>
        <w:pStyle w:val="8"/>
        <w:shd w:val="clear" w:color="auto" w:fill="FFFFFF"/>
        <w:rPr>
          <w:rFonts w:asciiTheme="minorEastAsia" w:hAnsiTheme="minorEastAsia" w:eastAsiaTheme="minorEastAsia"/>
        </w:rPr>
      </w:pPr>
      <w:r>
        <w:rPr>
          <w:rFonts w:hint="eastAsia" w:asciiTheme="minorEastAsia" w:hAnsiTheme="minorEastAsia" w:eastAsiaTheme="minorEastAsia"/>
        </w:rPr>
        <w:t>人员支出比率＝人员支出÷事业支出×100%=54.30%</w:t>
      </w:r>
    </w:p>
    <w:p w14:paraId="467CB3D9">
      <w:pPr>
        <w:pStyle w:val="8"/>
        <w:shd w:val="clear" w:color="auto" w:fill="FFFFFF"/>
        <w:rPr>
          <w:rFonts w:asciiTheme="minorEastAsia" w:hAnsiTheme="minorEastAsia" w:eastAsiaTheme="minorEastAsia"/>
        </w:rPr>
      </w:pPr>
      <w:r>
        <w:rPr>
          <w:rFonts w:hint="eastAsia" w:asciiTheme="minorEastAsia" w:hAnsiTheme="minorEastAsia" w:eastAsiaTheme="minorEastAsia"/>
        </w:rPr>
        <w:t>公用支出比率＝公用支出÷事业支出×100%=6.03%</w:t>
      </w:r>
    </w:p>
    <w:p w14:paraId="6AE1FF51">
      <w:pPr>
        <w:pStyle w:val="8"/>
        <w:shd w:val="clear" w:color="auto" w:fill="FFFFFF"/>
        <w:rPr>
          <w:rFonts w:asciiTheme="minorEastAsia" w:hAnsiTheme="minorEastAsia" w:eastAsiaTheme="minorEastAsia"/>
        </w:rPr>
      </w:pPr>
      <w:r>
        <w:rPr>
          <w:rFonts w:hint="eastAsia" w:asciiTheme="minorEastAsia" w:hAnsiTheme="minorEastAsia" w:eastAsiaTheme="minorEastAsia"/>
        </w:rPr>
        <w:t>3.人均基本支出，衡量事业单位按照实际在编人数平均的基本支出水平。计算公式为：</w:t>
      </w:r>
    </w:p>
    <w:p w14:paraId="6DFB6302">
      <w:pPr>
        <w:pStyle w:val="8"/>
        <w:shd w:val="clear" w:color="auto" w:fill="FFFFFF"/>
        <w:rPr>
          <w:rFonts w:asciiTheme="minorEastAsia" w:hAnsiTheme="minorEastAsia" w:eastAsiaTheme="minorEastAsia"/>
        </w:rPr>
      </w:pPr>
      <w:r>
        <w:rPr>
          <w:rFonts w:hint="eastAsia" w:asciiTheme="minorEastAsia" w:hAnsiTheme="minorEastAsia" w:eastAsiaTheme="minorEastAsia"/>
        </w:rPr>
        <w:t>人均基本支出＝（基本支出-离退休人员支出）÷实际在编人数=229,726.67</w:t>
      </w:r>
    </w:p>
    <w:p w14:paraId="23303D3E">
      <w:pPr>
        <w:pStyle w:val="8"/>
        <w:shd w:val="clear" w:color="auto" w:fill="FFFFFF"/>
        <w:rPr>
          <w:rFonts w:asciiTheme="minorEastAsia" w:hAnsiTheme="minorEastAsia" w:eastAsiaTheme="minorEastAsia"/>
        </w:rPr>
      </w:pPr>
      <w:r>
        <w:rPr>
          <w:rFonts w:asciiTheme="minorEastAsia" w:hAnsiTheme="minorEastAsia" w:eastAsiaTheme="minorEastAsia"/>
        </w:rPr>
        <w:t> </w:t>
      </w:r>
    </w:p>
    <w:p w14:paraId="37A2B8CF">
      <w:pPr>
        <w:pStyle w:val="8"/>
        <w:shd w:val="clear" w:color="auto" w:fill="FFFFFF"/>
        <w:rPr>
          <w:rFonts w:asciiTheme="minorEastAsia" w:hAnsiTheme="minorEastAsia" w:eastAsiaTheme="minorEastAsia"/>
        </w:rPr>
      </w:pPr>
      <w:r>
        <w:rPr>
          <w:rFonts w:hint="eastAsia" w:asciiTheme="minorEastAsia" w:hAnsiTheme="minorEastAsia" w:eastAsiaTheme="minorEastAsia"/>
        </w:rPr>
        <w:t>此外，行业事业单位还可根据相关财务制度规定和分析需要增加相关分析指标，如：</w:t>
      </w:r>
    </w:p>
    <w:p w14:paraId="0357DCD8">
      <w:pPr>
        <w:pStyle w:val="8"/>
        <w:shd w:val="clear" w:color="auto" w:fill="FFFFFF"/>
        <w:rPr>
          <w:rFonts w:asciiTheme="minorEastAsia" w:hAnsiTheme="minorEastAsia" w:eastAsiaTheme="minorEastAsia"/>
        </w:rPr>
      </w:pPr>
      <w:r>
        <w:rPr>
          <w:rFonts w:hint="eastAsia" w:asciiTheme="minorEastAsia" w:hAnsiTheme="minorEastAsia" w:eastAsiaTheme="minorEastAsia"/>
        </w:rPr>
        <w:t>1.财政拨款依存度, 衡量部门（单位）对财政拨款的依赖程度。</w:t>
      </w:r>
    </w:p>
    <w:p w14:paraId="1AC4A196">
      <w:pPr>
        <w:pStyle w:val="8"/>
        <w:shd w:val="clear" w:color="auto" w:fill="FFFFFF"/>
        <w:rPr>
          <w:rFonts w:asciiTheme="minorEastAsia" w:hAnsiTheme="minorEastAsia" w:eastAsiaTheme="minorEastAsia"/>
        </w:rPr>
      </w:pPr>
      <w:r>
        <w:rPr>
          <w:rFonts w:hint="eastAsia" w:asciiTheme="minorEastAsia" w:hAnsiTheme="minorEastAsia" w:eastAsiaTheme="minorEastAsia"/>
        </w:rPr>
        <w:t>财政拨款依存度＝财政拨款收入÷收入总额×100%=97.31%</w:t>
      </w:r>
    </w:p>
    <w:p w14:paraId="7561DF2B">
      <w:pPr>
        <w:pStyle w:val="8"/>
        <w:shd w:val="clear" w:color="auto" w:fill="FFFFFF"/>
        <w:rPr>
          <w:rFonts w:asciiTheme="minorEastAsia" w:hAnsiTheme="minorEastAsia" w:eastAsiaTheme="minorEastAsia"/>
        </w:rPr>
      </w:pPr>
      <w:r>
        <w:rPr>
          <w:rFonts w:asciiTheme="minorEastAsia" w:hAnsiTheme="minorEastAsia" w:eastAsiaTheme="minorEastAsia"/>
        </w:rPr>
        <w:t> </w:t>
      </w:r>
    </w:p>
    <w:p w14:paraId="4CAE348F">
      <w:pPr>
        <w:spacing w:line="220" w:lineRule="atLeast"/>
        <w:rPr>
          <w:rFonts w:asciiTheme="minorEastAsia" w:hAnsiTheme="minorEastAsia" w:eastAsiaTheme="minorEastAsia"/>
          <w:sz w:val="24"/>
          <w:szCs w:val="24"/>
        </w:rPr>
      </w:pPr>
    </w:p>
    <w:sectPr>
      <w:pgSz w:w="11907" w:h="16840"/>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楷体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FA299E"/>
    <w:multiLevelType w:val="multilevel"/>
    <w:tmpl w:val="34FA299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2"/>
  </w:compat>
  <w:docVars>
    <w:docVar w:name="commondata" w:val="eyJoZGlkIjoiNzdkNGFlNGNjMWFlNDYyYzQzMDllYWZhNmI3MzY2MDgifQ=="/>
  </w:docVars>
  <w:rsids>
    <w:rsidRoot w:val="00D31D50"/>
    <w:rsid w:val="00076CDD"/>
    <w:rsid w:val="000A0F2B"/>
    <w:rsid w:val="00111F18"/>
    <w:rsid w:val="00137BDD"/>
    <w:rsid w:val="00141ABA"/>
    <w:rsid w:val="00210784"/>
    <w:rsid w:val="00296822"/>
    <w:rsid w:val="002A6658"/>
    <w:rsid w:val="00323B43"/>
    <w:rsid w:val="003802A8"/>
    <w:rsid w:val="003D171B"/>
    <w:rsid w:val="003D37D8"/>
    <w:rsid w:val="004046FB"/>
    <w:rsid w:val="00426133"/>
    <w:rsid w:val="004358AB"/>
    <w:rsid w:val="004511B9"/>
    <w:rsid w:val="004A2868"/>
    <w:rsid w:val="005E4EF4"/>
    <w:rsid w:val="00640499"/>
    <w:rsid w:val="00716554"/>
    <w:rsid w:val="00852073"/>
    <w:rsid w:val="008B7726"/>
    <w:rsid w:val="00910A34"/>
    <w:rsid w:val="00940F55"/>
    <w:rsid w:val="009C2211"/>
    <w:rsid w:val="009F597C"/>
    <w:rsid w:val="00A93896"/>
    <w:rsid w:val="00B07B1D"/>
    <w:rsid w:val="00BB12EA"/>
    <w:rsid w:val="00C34C53"/>
    <w:rsid w:val="00D04050"/>
    <w:rsid w:val="00D31D50"/>
    <w:rsid w:val="00D37CF1"/>
    <w:rsid w:val="00E44EB2"/>
    <w:rsid w:val="00E54913"/>
    <w:rsid w:val="00F8736F"/>
    <w:rsid w:val="00FF5B13"/>
    <w:rsid w:val="12BC7B17"/>
    <w:rsid w:val="312A215B"/>
    <w:rsid w:val="4BF17F20"/>
    <w:rsid w:val="50B11A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2"/>
    <w:qFormat/>
    <w:uiPriority w:val="0"/>
    <w:pPr>
      <w:spacing w:after="120"/>
      <w:ind w:leftChars="200"/>
    </w:pPr>
    <w:rPr>
      <w:rFonts w:ascii="仿宋_GB2312"/>
      <w:szCs w:val="32"/>
    </w:rPr>
  </w:style>
  <w:style w:type="paragraph" w:styleId="4">
    <w:name w:val="Body Text"/>
    <w:basedOn w:val="1"/>
    <w:link w:val="14"/>
    <w:qFormat/>
    <w:uiPriority w:val="99"/>
    <w:pPr>
      <w:widowControl w:val="0"/>
      <w:adjustRightInd/>
      <w:snapToGrid/>
      <w:spacing w:beforeLines="30" w:after="0"/>
      <w:jc w:val="both"/>
    </w:pPr>
    <w:rPr>
      <w:rFonts w:ascii="仿宋_GB2312" w:hAnsi="Times New Roman" w:eastAsia="仿宋_GB2312" w:cs="Times New Roman"/>
      <w:sz w:val="30"/>
      <w:szCs w:val="24"/>
    </w:rPr>
  </w:style>
  <w:style w:type="paragraph" w:styleId="5">
    <w:name w:val="Balloon Text"/>
    <w:basedOn w:val="1"/>
    <w:link w:val="15"/>
    <w:semiHidden/>
    <w:unhideWhenUsed/>
    <w:qFormat/>
    <w:uiPriority w:val="99"/>
    <w:pPr>
      <w:spacing w:after="0"/>
    </w:pPr>
    <w:rPr>
      <w:sz w:val="18"/>
      <w:szCs w:val="18"/>
    </w:rPr>
  </w:style>
  <w:style w:type="paragraph" w:styleId="6">
    <w:name w:val="footer"/>
    <w:basedOn w:val="1"/>
    <w:link w:val="13"/>
    <w:semiHidden/>
    <w:unhideWhenUsed/>
    <w:uiPriority w:val="99"/>
    <w:pPr>
      <w:tabs>
        <w:tab w:val="center" w:pos="4153"/>
        <w:tab w:val="right" w:pos="8306"/>
      </w:tabs>
    </w:pPr>
    <w:rPr>
      <w:sz w:val="18"/>
      <w:szCs w:val="18"/>
    </w:rPr>
  </w:style>
  <w:style w:type="paragraph" w:styleId="7">
    <w:name w:val="header"/>
    <w:basedOn w:val="1"/>
    <w:link w:val="12"/>
    <w:semiHidden/>
    <w:unhideWhenUsed/>
    <w:uiPriority w:val="99"/>
    <w:pPr>
      <w:pBdr>
        <w:bottom w:val="single" w:color="auto" w:sz="6" w:space="1"/>
      </w:pBdr>
      <w:tabs>
        <w:tab w:val="center" w:pos="4153"/>
        <w:tab w:val="right" w:pos="8306"/>
      </w:tabs>
      <w:jc w:val="center"/>
    </w:pPr>
    <w:rPr>
      <w:sz w:val="18"/>
      <w:szCs w:val="18"/>
    </w:rPr>
  </w:style>
  <w:style w:type="paragraph" w:styleId="8">
    <w:name w:val="Normal (Web)"/>
    <w:basedOn w:val="1"/>
    <w:unhideWhenUsed/>
    <w:uiPriority w:val="99"/>
    <w:pPr>
      <w:adjustRightInd/>
      <w:snapToGrid/>
      <w:spacing w:before="100" w:beforeAutospacing="1" w:after="100" w:afterAutospacing="1"/>
    </w:pPr>
    <w:rPr>
      <w:rFonts w:ascii="宋体" w:hAnsi="宋体" w:eastAsia="宋体" w:cs="宋体"/>
      <w:sz w:val="24"/>
      <w:szCs w:val="24"/>
    </w:rPr>
  </w:style>
  <w:style w:type="character" w:styleId="11">
    <w:name w:val="Strong"/>
    <w:basedOn w:val="10"/>
    <w:qFormat/>
    <w:uiPriority w:val="22"/>
    <w:rPr>
      <w:b/>
      <w:bCs/>
    </w:rPr>
  </w:style>
  <w:style w:type="character" w:customStyle="1" w:styleId="12">
    <w:name w:val="页眉 Char"/>
    <w:basedOn w:val="10"/>
    <w:link w:val="7"/>
    <w:semiHidden/>
    <w:uiPriority w:val="99"/>
    <w:rPr>
      <w:rFonts w:ascii="Tahoma" w:hAnsi="Tahoma"/>
      <w:sz w:val="18"/>
      <w:szCs w:val="18"/>
    </w:rPr>
  </w:style>
  <w:style w:type="character" w:customStyle="1" w:styleId="13">
    <w:name w:val="页脚 Char"/>
    <w:basedOn w:val="10"/>
    <w:link w:val="6"/>
    <w:semiHidden/>
    <w:uiPriority w:val="99"/>
    <w:rPr>
      <w:rFonts w:ascii="Tahoma" w:hAnsi="Tahoma"/>
      <w:sz w:val="18"/>
      <w:szCs w:val="18"/>
    </w:rPr>
  </w:style>
  <w:style w:type="character" w:customStyle="1" w:styleId="14">
    <w:name w:val="正文文本 Char"/>
    <w:basedOn w:val="10"/>
    <w:link w:val="4"/>
    <w:qFormat/>
    <w:uiPriority w:val="99"/>
    <w:rPr>
      <w:rFonts w:ascii="仿宋_GB2312" w:hAnsi="Times New Roman" w:eastAsia="仿宋_GB2312" w:cs="Times New Roman"/>
      <w:sz w:val="30"/>
      <w:szCs w:val="24"/>
    </w:rPr>
  </w:style>
  <w:style w:type="character" w:customStyle="1" w:styleId="15">
    <w:name w:val="批注框文本 Char"/>
    <w:basedOn w:val="10"/>
    <w:link w:val="5"/>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hart" Target="charts/chart12.xml"/><Relationship Id="rId24" Type="http://schemas.openxmlformats.org/officeDocument/2006/relationships/chart" Target="charts/chart11.xml"/><Relationship Id="rId23" Type="http://schemas.openxmlformats.org/officeDocument/2006/relationships/chart" Target="charts/chart10.xml"/><Relationship Id="rId22" Type="http://schemas.openxmlformats.org/officeDocument/2006/relationships/chart" Target="charts/chart9.xml"/><Relationship Id="rId21" Type="http://schemas.openxmlformats.org/officeDocument/2006/relationships/chart" Target="charts/chart8.xml"/><Relationship Id="rId20" Type="http://schemas.openxmlformats.org/officeDocument/2006/relationships/chart" Target="charts/chart7.xml"/><Relationship Id="rId2" Type="http://schemas.openxmlformats.org/officeDocument/2006/relationships/settings" Target="settings.xml"/><Relationship Id="rId19" Type="http://schemas.openxmlformats.org/officeDocument/2006/relationships/chart" Target="charts/chart6.xml"/><Relationship Id="rId18" Type="http://schemas.openxmlformats.org/officeDocument/2006/relationships/chart" Target="charts/chart5.xml"/><Relationship Id="rId17" Type="http://schemas.openxmlformats.org/officeDocument/2006/relationships/chart" Target="charts/chart4.xml"/><Relationship Id="rId16" Type="http://schemas.openxmlformats.org/officeDocument/2006/relationships/chart" Target="charts/chart3.xml"/><Relationship Id="rId15" Type="http://schemas.openxmlformats.org/officeDocument/2006/relationships/image" Target="media/image4.emf"/><Relationship Id="rId14" Type="http://schemas.openxmlformats.org/officeDocument/2006/relationships/oleObject" Target="embeddings/oleObject4.bin"/><Relationship Id="rId13" Type="http://schemas.openxmlformats.org/officeDocument/2006/relationships/image" Target="media/image3.emf"/><Relationship Id="rId12" Type="http://schemas.openxmlformats.org/officeDocument/2006/relationships/oleObject" Target="embeddings/oleObject3.bin"/><Relationship Id="rId11" Type="http://schemas.openxmlformats.org/officeDocument/2006/relationships/image" Target="media/image2.emf"/><Relationship Id="rId10" Type="http://schemas.openxmlformats.org/officeDocument/2006/relationships/oleObject" Target="embeddings/oleObject2.bin"/><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2.bin"/></Relationships>
</file>

<file path=word/charts/_rels/chart10.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11.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12.xml.rels><?xml version="1.0" encoding="UTF-8" standalone="yes"?>
<Relationships xmlns="http://schemas.openxmlformats.org/package/2006/relationships"><Relationship Id="rId1" Type="http://schemas.openxmlformats.org/officeDocument/2006/relationships/oleObject" Target="../embeddings/oleObject8.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7.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10.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13.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11.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14.bin"/></Relationships>
</file>

<file path=word/charts/_rels/chart7.xml.rels><?xml version="1.0" encoding="UTF-8" standalone="yes"?>
<Relationships xmlns="http://schemas.openxmlformats.org/package/2006/relationships"><Relationship Id="rId1" Type="http://schemas.openxmlformats.org/officeDocument/2006/relationships/oleObject" Target="../embeddings/oleObject15.bin"/></Relationships>
</file>

<file path=word/charts/_rels/chart8.xml.rels><?xml version="1.0" encoding="UTF-8" standalone="yes"?>
<Relationships xmlns="http://schemas.openxmlformats.org/package/2006/relationships"><Relationship Id="rId1" Type="http://schemas.openxmlformats.org/officeDocument/2006/relationships/oleObject" Target="../embeddings/oleObject16.bin"/></Relationships>
</file>

<file path=word/charts/_rels/chart9.xml.rels><?xml version="1.0" encoding="UTF-8" standalone="yes"?>
<Relationships xmlns="http://schemas.openxmlformats.org/package/2006/relationships"><Relationship Id="rId1" Type="http://schemas.openxmlformats.org/officeDocument/2006/relationships/oleObject" Target="../embeddings/oleObject9.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收入全年预算数</c:v>
                </c:pt>
              </c:strCache>
            </c:strRef>
          </c:tx>
          <c:spPr>
            <a:solidFill>
              <a:schemeClr val="accent3"/>
            </a:solidFill>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Sheet1!$A$2:$A$4</c:f>
              <c:strCache>
                <c:ptCount val="3"/>
                <c:pt idx="0">
                  <c:v>2021年</c:v>
                </c:pt>
                <c:pt idx="1">
                  <c:v>2022年</c:v>
                </c:pt>
                <c:pt idx="2">
                  <c:v> </c:v>
                </c:pt>
              </c:strCache>
            </c:strRef>
          </c:cat>
          <c:val>
            <c:numRef>
              <c:f>Sheet1!$B$2:$B$4</c:f>
              <c:numCache>
                <c:formatCode>General</c:formatCode>
                <c:ptCount val="3"/>
                <c:pt idx="0">
                  <c:v>473.58</c:v>
                </c:pt>
                <c:pt idx="1">
                  <c:v>462.27</c:v>
                </c:pt>
              </c:numCache>
            </c:numRef>
          </c:val>
        </c:ser>
        <c:ser>
          <c:idx val="1"/>
          <c:order val="1"/>
          <c:tx>
            <c:strRef>
              <c:f>Sheet1!$C$1</c:f>
              <c:strCache>
                <c:ptCount val="1"/>
                <c:pt idx="0">
                  <c:v>支出全年预算数</c:v>
                </c:pt>
              </c:strCache>
            </c:strRef>
          </c:tx>
          <c:spPr>
            <a:solidFill>
              <a:schemeClr val="accent1">
                <a:lumMod val="40000"/>
                <a:lumOff val="60000"/>
              </a:schemeClr>
            </a:solidFill>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Sheet1!$A$2:$A$4</c:f>
              <c:strCache>
                <c:ptCount val="3"/>
                <c:pt idx="0">
                  <c:v>2021年</c:v>
                </c:pt>
                <c:pt idx="1">
                  <c:v>2022年</c:v>
                </c:pt>
                <c:pt idx="2">
                  <c:v> </c:v>
                </c:pt>
              </c:strCache>
            </c:strRef>
          </c:cat>
          <c:val>
            <c:numRef>
              <c:f>Sheet1!$C$2:$C$4</c:f>
              <c:numCache>
                <c:formatCode>General</c:formatCode>
                <c:ptCount val="3"/>
                <c:pt idx="0">
                  <c:v>598.19</c:v>
                </c:pt>
                <c:pt idx="1">
                  <c:v>462.27</c:v>
                </c:pt>
              </c:numCache>
            </c:numRef>
          </c:val>
        </c:ser>
        <c:dLbls>
          <c:showLegendKey val="0"/>
          <c:showVal val="1"/>
          <c:showCatName val="0"/>
          <c:showSerName val="0"/>
          <c:showPercent val="0"/>
          <c:showBubbleSize val="0"/>
        </c:dLbls>
        <c:gapWidth val="150"/>
        <c:axId val="53589888"/>
        <c:axId val="53591424"/>
      </c:barChart>
      <c:catAx>
        <c:axId val="5358988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3591424"/>
        <c:crosses val="autoZero"/>
        <c:auto val="1"/>
        <c:lblAlgn val="ctr"/>
        <c:lblOffset val="100"/>
        <c:noMultiLvlLbl val="0"/>
      </c:catAx>
      <c:valAx>
        <c:axId val="5359142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358988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会议费支出决算数变化图（万元）</a:t>
            </a:r>
            <a:endParaRPr lang="zh-CN" altLang="en-US"/>
          </a:p>
        </c:rich>
      </c:tx>
      <c:layout/>
      <c:overlay val="0"/>
    </c:title>
    <c:autoTitleDeleted val="0"/>
    <c:plotArea>
      <c:layout/>
      <c:lineChart>
        <c:grouping val="stacked"/>
        <c:varyColors val="0"/>
        <c:ser>
          <c:idx val="0"/>
          <c:order val="0"/>
          <c:tx>
            <c:strRef>
              <c:f>Sheet1!$B$1</c:f>
              <c:strCache>
                <c:ptCount val="1"/>
                <c:pt idx="0">
                  <c:v>会议费支出决算数</c:v>
                </c:pt>
              </c:strCache>
            </c:strRef>
          </c:tx>
          <c:spPr>
            <a:ln w="28575" cap="rnd" cmpd="sng" algn="ctr">
              <a:solidFill>
                <a:srgbClr val="9BBB59"/>
              </a:solidFill>
              <a:prstDash val="solid"/>
              <a:round/>
            </a:ln>
          </c:spPr>
          <c:marker>
            <c:symbol val="none"/>
          </c:marker>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c:v>
                </c:pt>
                <c:pt idx="1">
                  <c:v>2022年</c:v>
                </c:pt>
              </c:strCache>
            </c:strRef>
          </c:cat>
          <c:val>
            <c:numRef>
              <c:f>Sheet1!$B$2:$B$3</c:f>
              <c:numCache>
                <c:formatCode>General</c:formatCode>
                <c:ptCount val="2"/>
                <c:pt idx="0">
                  <c:v>2.07</c:v>
                </c:pt>
                <c:pt idx="1">
                  <c:v>0</c:v>
                </c:pt>
              </c:numCache>
            </c:numRef>
          </c:val>
          <c:smooth val="0"/>
        </c:ser>
        <c:dLbls>
          <c:showLegendKey val="0"/>
          <c:showVal val="1"/>
          <c:showCatName val="0"/>
          <c:showSerName val="0"/>
          <c:showPercent val="0"/>
          <c:showBubbleSize val="0"/>
        </c:dLbls>
        <c:marker val="0"/>
        <c:smooth val="0"/>
        <c:axId val="120539008"/>
        <c:axId val="122483456"/>
      </c:lineChart>
      <c:catAx>
        <c:axId val="12053900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2483456"/>
        <c:crosses val="autoZero"/>
        <c:auto val="1"/>
        <c:lblAlgn val="ctr"/>
        <c:lblOffset val="100"/>
        <c:noMultiLvlLbl val="0"/>
      </c:catAx>
      <c:valAx>
        <c:axId val="12248345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053900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ofPieChart>
        <c:ofPieType val="bar"/>
        <c:varyColors val="1"/>
        <c:ser>
          <c:idx val="0"/>
          <c:order val="0"/>
          <c:tx>
            <c:strRef>
              <c:f>Sheet1!$B$1</c:f>
              <c:strCache>
                <c:ptCount val="1"/>
                <c:pt idx="0">
                  <c:v>财政拨款支出</c:v>
                </c:pt>
              </c:strCache>
            </c:strRef>
          </c:tx>
          <c:explosion val="0"/>
          <c:dPt>
            <c:idx val="0"/>
            <c:bubble3D val="0"/>
            <c:spPr>
              <a:solidFill>
                <a:srgbClr val="9BBB59"/>
              </a:solidFill>
            </c:spPr>
          </c:dPt>
          <c:dPt>
            <c:idx val="1"/>
            <c:bubble3D val="0"/>
            <c:spPr>
              <a:solidFill>
                <a:schemeClr val="accent4">
                  <a:lumMod val="40000"/>
                  <a:lumOff val="60000"/>
                </a:schemeClr>
              </a:solidFill>
            </c:spPr>
          </c:dPt>
          <c:dPt>
            <c:idx val="2"/>
            <c:bubble3D val="0"/>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dPt>
          <c:dPt>
            <c:idx val="3"/>
            <c:bubble3D val="0"/>
            <c:spPr>
              <a:solidFill>
                <a:schemeClr val="accent5">
                  <a:lumMod val="40000"/>
                  <a:lumOff val="60000"/>
                </a:schemeClr>
              </a:solidFill>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dLblPos val="bestFit"/>
              <c:showLegendKey val="0"/>
              <c:showVal val="1"/>
              <c:showCatName val="0"/>
              <c:showSerName val="0"/>
              <c:showPercent val="0"/>
              <c:showBubbleSize val="0"/>
              <c:extLst>
                <c:ext xmlns:c15="http://schemas.microsoft.com/office/drawing/2012/chart" uri="{CE6537A1-D6FC-4f65-9D91-7224C49458BB}"/>
              </c:extLst>
            </c:dLbl>
            <c:dLbl>
              <c:idx val="2"/>
              <c:layout/>
              <c:dLblPos val="bestFit"/>
              <c:showLegendKey val="0"/>
              <c:showVal val="1"/>
              <c:showCatName val="0"/>
              <c:showSerName val="0"/>
              <c:showPercent val="0"/>
              <c:showBubbleSize val="0"/>
              <c:extLst>
                <c:ext xmlns:c15="http://schemas.microsoft.com/office/drawing/2012/chart" uri="{CE6537A1-D6FC-4f65-9D91-7224C49458BB}"/>
              </c:extLst>
            </c:dLbl>
            <c:dLbl>
              <c:idx val="3"/>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Sheet1!$A$2:$A$4</c:f>
              <c:strCache>
                <c:ptCount val="3"/>
                <c:pt idx="0">
                  <c:v>人员经费</c:v>
                </c:pt>
                <c:pt idx="1">
                  <c:v>公用经费</c:v>
                </c:pt>
                <c:pt idx="2">
                  <c:v>基本建设类项目</c:v>
                </c:pt>
              </c:strCache>
            </c:strRef>
          </c:cat>
          <c:val>
            <c:numRef>
              <c:f>Sheet1!$B$2:$B$4</c:f>
              <c:numCache>
                <c:formatCode>General</c:formatCode>
                <c:ptCount val="3"/>
                <c:pt idx="0">
                  <c:v>459.45</c:v>
                </c:pt>
                <c:pt idx="1">
                  <c:v>34.85</c:v>
                </c:pt>
                <c:pt idx="2">
                  <c:v>213.37</c:v>
                </c:pt>
              </c:numCache>
            </c:numRef>
          </c:val>
        </c:ser>
        <c:dLbls>
          <c:showLegendKey val="0"/>
          <c:showVal val="0"/>
          <c:showCatName val="0"/>
          <c:showSerName val="0"/>
          <c:showPercent val="0"/>
          <c:showBubbleSize val="0"/>
          <c:showLeaderLines val="1"/>
        </c:dLbls>
        <c:gapWidth val="100"/>
        <c:secondPieSize val="75"/>
        <c:serLines/>
      </c:ofPieChart>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货币资金变化（万元）</a:t>
            </a:r>
            <a:endParaRPr lang="zh-CN" altLang="en-US"/>
          </a:p>
        </c:rich>
      </c:tx>
      <c:layout/>
      <c:overlay val="0"/>
    </c:title>
    <c:autoTitleDeleted val="0"/>
    <c:plotArea>
      <c:layout/>
      <c:barChart>
        <c:barDir val="col"/>
        <c:grouping val="clustered"/>
        <c:varyColors val="0"/>
        <c:ser>
          <c:idx val="0"/>
          <c:order val="0"/>
          <c:tx>
            <c:strRef>
              <c:f>Sheet1!$B$1</c:f>
              <c:strCache>
                <c:ptCount val="1"/>
                <c:pt idx="0">
                  <c:v>货币资金</c:v>
                </c:pt>
              </c:strCache>
            </c:strRef>
          </c:tx>
          <c:invertIfNegative val="0"/>
          <c:dPt>
            <c:idx val="0"/>
            <c:invertIfNegative val="0"/>
            <c:bubble3D val="0"/>
            <c:spPr>
              <a:solidFill>
                <a:srgbClr val="9BBB59"/>
              </a:solidFill>
            </c:spPr>
          </c:dPt>
          <c:dPt>
            <c:idx val="1"/>
            <c:invertIfNegative val="0"/>
            <c:bubble3D val="0"/>
            <c:spPr>
              <a:solidFill>
                <a:srgbClr val="9BBB59"/>
              </a:solidFill>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年初货币资金</c:v>
                </c:pt>
                <c:pt idx="1">
                  <c:v>年末货币资金</c:v>
                </c:pt>
              </c:strCache>
            </c:strRef>
          </c:cat>
          <c:val>
            <c:numRef>
              <c:f>Sheet1!$B$2:$B$3</c:f>
              <c:numCache>
                <c:formatCode>General</c:formatCode>
                <c:ptCount val="2"/>
                <c:pt idx="0">
                  <c:v>64.29</c:v>
                </c:pt>
                <c:pt idx="1">
                  <c:v>7.13</c:v>
                </c:pt>
              </c:numCache>
            </c:numRef>
          </c:val>
        </c:ser>
        <c:dLbls>
          <c:showLegendKey val="0"/>
          <c:showVal val="1"/>
          <c:showCatName val="0"/>
          <c:showSerName val="0"/>
          <c:showPercent val="0"/>
          <c:showBubbleSize val="0"/>
        </c:dLbls>
        <c:gapWidth val="150"/>
        <c:axId val="120572544"/>
        <c:axId val="122465280"/>
      </c:barChart>
      <c:catAx>
        <c:axId val="12057254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2465280"/>
        <c:crosses val="autoZero"/>
        <c:auto val="1"/>
        <c:lblAlgn val="ctr"/>
        <c:lblOffset val="100"/>
        <c:noMultiLvlLbl val="0"/>
      </c:catAx>
      <c:valAx>
        <c:axId val="12246528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0572544"/>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收入支出预算执行变动情况图（万元）</a:t>
            </a:r>
            <a:endParaRPr lang="zh-CN" altLang="en-US"/>
          </a:p>
        </c:rich>
      </c:tx>
      <c:layout/>
      <c:overlay val="0"/>
    </c:title>
    <c:autoTitleDeleted val="0"/>
    <c:plotArea>
      <c:layout/>
      <c:lineChart>
        <c:grouping val="stacked"/>
        <c:varyColors val="0"/>
        <c:ser>
          <c:idx val="0"/>
          <c:order val="0"/>
          <c:tx>
            <c:strRef>
              <c:f>Sheet1!$B$1</c:f>
              <c:strCache>
                <c:ptCount val="1"/>
                <c:pt idx="0">
                  <c:v>收入预算数</c:v>
                </c:pt>
              </c:strCache>
            </c:strRef>
          </c:tx>
          <c:marker>
            <c:symbol val="none"/>
          </c:marker>
          <c:dLbls>
            <c:delete val="1"/>
          </c:dLbls>
          <c:cat>
            <c:strRef>
              <c:f>Sheet1!$A$2:$A$3</c:f>
              <c:strCache>
                <c:ptCount val="2"/>
                <c:pt idx="0">
                  <c:v>2021年</c:v>
                </c:pt>
                <c:pt idx="1">
                  <c:v>2022年</c:v>
                </c:pt>
              </c:strCache>
            </c:strRef>
          </c:cat>
          <c:val>
            <c:numRef>
              <c:f>Sheet1!$B$2:$B$3</c:f>
              <c:numCache>
                <c:formatCode>General</c:formatCode>
                <c:ptCount val="2"/>
                <c:pt idx="0">
                  <c:v>856.12</c:v>
                </c:pt>
                <c:pt idx="1">
                  <c:v>856.12</c:v>
                </c:pt>
              </c:numCache>
            </c:numRef>
          </c:val>
          <c:smooth val="0"/>
        </c:ser>
        <c:ser>
          <c:idx val="1"/>
          <c:order val="1"/>
          <c:tx>
            <c:strRef>
              <c:f>Sheet1!$C$1</c:f>
              <c:strCache>
                <c:ptCount val="1"/>
                <c:pt idx="0">
                  <c:v>支出预算数</c:v>
                </c:pt>
              </c:strCache>
            </c:strRef>
          </c:tx>
          <c:marker>
            <c:symbol val="none"/>
          </c:marker>
          <c:dLbls>
            <c:delete val="1"/>
          </c:dLbls>
          <c:cat>
            <c:strRef>
              <c:f>Sheet1!$A$2:$A$3</c:f>
              <c:strCache>
                <c:ptCount val="2"/>
                <c:pt idx="0">
                  <c:v>2021年</c:v>
                </c:pt>
                <c:pt idx="1">
                  <c:v>2022年</c:v>
                </c:pt>
              </c:strCache>
            </c:strRef>
          </c:cat>
          <c:val>
            <c:numRef>
              <c:f>Sheet1!$C$2:$C$3</c:f>
              <c:numCache>
                <c:formatCode>General</c:formatCode>
                <c:ptCount val="2"/>
                <c:pt idx="0">
                  <c:v>856.12</c:v>
                </c:pt>
                <c:pt idx="1">
                  <c:v>856.12</c:v>
                </c:pt>
              </c:numCache>
            </c:numRef>
          </c:val>
          <c:smooth val="0"/>
        </c:ser>
        <c:dLbls>
          <c:showLegendKey val="0"/>
          <c:showVal val="0"/>
          <c:showCatName val="0"/>
          <c:showSerName val="0"/>
          <c:showPercent val="0"/>
          <c:showBubbleSize val="0"/>
        </c:dLbls>
        <c:marker val="0"/>
        <c:smooth val="0"/>
        <c:axId val="47149056"/>
        <c:axId val="47150592"/>
      </c:lineChart>
      <c:catAx>
        <c:axId val="4714905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7150592"/>
        <c:crosses val="autoZero"/>
        <c:auto val="1"/>
        <c:lblAlgn val="ctr"/>
        <c:lblOffset val="100"/>
        <c:noMultiLvlLbl val="0"/>
      </c:catAx>
      <c:valAx>
        <c:axId val="47150592"/>
        <c:scaling>
          <c:orientation val="minMax"/>
        </c:scaling>
        <c:delete val="0"/>
        <c:axPos val="l"/>
        <c:maj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zh-CN" altLang="en-US"/>
                  <a:t>预算数数值题</a:t>
                </a:r>
                <a:endParaRPr lang="zh-CN" altLang="en-US"/>
              </a:p>
            </c:rich>
          </c:tx>
          <c:layout/>
          <c:overlay val="0"/>
        </c:title>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7149056"/>
        <c:crosses val="autoZero"/>
        <c:crossBetween val="between"/>
      </c:valAx>
      <c:dTable>
        <c:showHorzBorder val="1"/>
        <c:showVertBorder val="1"/>
        <c:showOutline val="1"/>
        <c:showKeys val="1"/>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dTable>
    </c:plotArea>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2022年总收入（万元）饼状图</c:v>
                </c:pt>
              </c:strCache>
            </c:strRef>
          </c:tx>
          <c:explosion val="0"/>
          <c:dPt>
            <c:idx val="0"/>
            <c:bubble3D val="0"/>
            <c:spPr>
              <a:solidFill>
                <a:schemeClr val="accent3"/>
              </a:solidFill>
            </c:spPr>
          </c:dPt>
          <c:dPt>
            <c:idx val="1"/>
            <c:bubble3D val="0"/>
            <c:spPr>
              <a:solidFill>
                <a:schemeClr val="accent1">
                  <a:lumMod val="40000"/>
                  <a:lumOff val="60000"/>
                </a:schemeClr>
              </a:solidFill>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一般公共预算财政拨款收入</c:v>
                </c:pt>
                <c:pt idx="1">
                  <c:v>其他收入</c:v>
                </c:pt>
              </c:strCache>
            </c:strRef>
          </c:cat>
          <c:val>
            <c:numRef>
              <c:f>Sheet1!$B$2:$B$3</c:f>
              <c:numCache>
                <c:formatCode>0.00%</c:formatCode>
                <c:ptCount val="2"/>
                <c:pt idx="0">
                  <c:v>0.9731</c:v>
                </c:pt>
                <c:pt idx="1">
                  <c:v>0.0269</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Sheet1!$B$1</c:f>
              <c:strCache>
                <c:ptCount val="1"/>
                <c:pt idx="0">
                  <c:v>2022年总支出（万元）饼状图</c:v>
                </c:pt>
              </c:strCache>
            </c:strRef>
          </c:tx>
          <c:spPr>
            <a:solidFill>
              <a:srgbClr val="4F81BD">
                <a:lumMod val="40000"/>
                <a:lumOff val="60000"/>
              </a:srgbClr>
            </a:solidFill>
          </c:spPr>
          <c:explosion val="0"/>
          <c:dPt>
            <c:idx val="0"/>
            <c:bubble3D val="0"/>
            <c:spPr>
              <a:solidFill>
                <a:schemeClr val="accent3"/>
              </a:solidFill>
            </c:spPr>
          </c:dPt>
          <c:dPt>
            <c:idx val="1"/>
            <c:bubble3D val="0"/>
            <c:spPr>
              <a:solidFill>
                <a:srgbClr val="4F81BD">
                  <a:lumMod val="40000"/>
                  <a:lumOff val="60000"/>
                </a:srgbClr>
              </a:solidFill>
            </c:spPr>
          </c:dPt>
          <c:dPt>
            <c:idx val="2"/>
            <c:bubble3D val="0"/>
            <c:spPr>
              <a:solidFill>
                <a:srgbClr val="4F81BD">
                  <a:lumMod val="40000"/>
                  <a:lumOff val="60000"/>
                </a:srgbClr>
              </a:solidFill>
            </c:spPr>
          </c:dPt>
          <c:dPt>
            <c:idx val="3"/>
            <c:bubble3D val="0"/>
            <c:spPr>
              <a:solidFill>
                <a:srgbClr val="4F81BD">
                  <a:lumMod val="40000"/>
                  <a:lumOff val="60000"/>
                </a:srgbClr>
              </a:solidFill>
            </c:spPr>
          </c:dPt>
          <c:dPt>
            <c:idx val="4"/>
            <c:bubble3D val="0"/>
            <c:spPr>
              <a:solidFill>
                <a:srgbClr val="4F81BD">
                  <a:lumMod val="40000"/>
                  <a:lumOff val="60000"/>
                </a:srgbClr>
              </a:solidFill>
            </c:spPr>
          </c:dPt>
          <c:dPt>
            <c:idx val="5"/>
            <c:bubble3D val="0"/>
            <c:spPr>
              <a:solidFill>
                <a:schemeClr val="accent3">
                  <a:lumMod val="40000"/>
                  <a:lumOff val="60000"/>
                </a:schemeClr>
              </a:solidFill>
            </c:spPr>
          </c:dPt>
          <c:dPt>
            <c:idx val="6"/>
            <c:bubble3D val="0"/>
            <c:spPr>
              <a:solidFill>
                <a:schemeClr val="accent4">
                  <a:lumMod val="40000"/>
                  <a:lumOff val="60000"/>
                </a:schemeClr>
              </a:solidFill>
            </c:spPr>
          </c:dPt>
          <c:dPt>
            <c:idx val="7"/>
            <c:bubble3D val="0"/>
            <c:spPr>
              <a:solidFill>
                <a:schemeClr val="accent5">
                  <a:lumMod val="75000"/>
                </a:schemeClr>
              </a:solidFill>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Sheet1!$A$2:$A$9</c:f>
              <c:strCache>
                <c:ptCount val="8"/>
                <c:pt idx="0">
                  <c:v>一般公共服务支出</c:v>
                </c:pt>
                <c:pt idx="1">
                  <c:v>国防支出</c:v>
                </c:pt>
                <c:pt idx="2">
                  <c:v>社会保障和就业支出</c:v>
                </c:pt>
                <c:pt idx="3">
                  <c:v>卫生健康</c:v>
                </c:pt>
                <c:pt idx="4">
                  <c:v>城乡社区</c:v>
                </c:pt>
                <c:pt idx="5">
                  <c:v>农林水</c:v>
                </c:pt>
                <c:pt idx="6">
                  <c:v>住房保障</c:v>
                </c:pt>
                <c:pt idx="7">
                  <c:v>灾害防治及应急管理</c:v>
                </c:pt>
              </c:strCache>
            </c:strRef>
          </c:cat>
          <c:val>
            <c:numRef>
              <c:f>Sheet1!$B$2:$B$9</c:f>
              <c:numCache>
                <c:formatCode>0.00%</c:formatCode>
                <c:ptCount val="8"/>
                <c:pt idx="0">
                  <c:v>0.4935</c:v>
                </c:pt>
                <c:pt idx="1">
                  <c:v>0.0023</c:v>
                </c:pt>
                <c:pt idx="2">
                  <c:v>0.0556</c:v>
                </c:pt>
                <c:pt idx="3">
                  <c:v>0.0279</c:v>
                </c:pt>
                <c:pt idx="4">
                  <c:v>0.007</c:v>
                </c:pt>
                <c:pt idx="5">
                  <c:v>0.3722</c:v>
                </c:pt>
                <c:pt idx="6">
                  <c:v>0.0388</c:v>
                </c:pt>
                <c:pt idx="7">
                  <c:v>0.0025</c:v>
                </c:pt>
              </c:numCache>
            </c:numRef>
          </c:val>
        </c:ser>
        <c:dLbls>
          <c:showLegendKey val="0"/>
          <c:showVal val="1"/>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lineChart>
        <c:grouping val="standard"/>
        <c:varyColors val="0"/>
        <c:ser>
          <c:idx val="0"/>
          <c:order val="0"/>
          <c:tx>
            <c:strRef>
              <c:f>Sheet1!$B$1</c:f>
              <c:strCache>
                <c:ptCount val="1"/>
                <c:pt idx="0">
                  <c:v>年度收支变化</c:v>
                </c:pt>
              </c:strCache>
            </c:strRef>
          </c:tx>
          <c:dLbls>
            <c:delete val="1"/>
          </c:dLbls>
          <c:cat>
            <c:strRef>
              <c:f>Sheet1!$A$2:$A$11</c:f>
              <c:strCache>
                <c:ptCount val="10"/>
                <c:pt idx="0">
                  <c:v>一般公共预算财政拨款收入</c:v>
                </c:pt>
                <c:pt idx="1">
                  <c:v>其他收入</c:v>
                </c:pt>
                <c:pt idx="2">
                  <c:v>一般公共服务支出</c:v>
                </c:pt>
                <c:pt idx="3">
                  <c:v>文化旅游体育与传媒支出</c:v>
                </c:pt>
                <c:pt idx="4">
                  <c:v>社会保障和就业支出</c:v>
                </c:pt>
                <c:pt idx="5">
                  <c:v>卫生健康支出</c:v>
                </c:pt>
                <c:pt idx="6">
                  <c:v>节能环保支出</c:v>
                </c:pt>
                <c:pt idx="7">
                  <c:v>农林水支出</c:v>
                </c:pt>
                <c:pt idx="8">
                  <c:v>住房保障支出</c:v>
                </c:pt>
                <c:pt idx="9">
                  <c:v>灾害防治及应急管理支出</c:v>
                </c:pt>
              </c:strCache>
            </c:strRef>
          </c:cat>
          <c:val>
            <c:numRef>
              <c:f>Sheet1!$B$2:$B$11</c:f>
              <c:numCache>
                <c:formatCode>General</c:formatCode>
                <c:ptCount val="10"/>
                <c:pt idx="0">
                  <c:v>-135.7</c:v>
                </c:pt>
                <c:pt idx="1">
                  <c:v>23.06</c:v>
                </c:pt>
                <c:pt idx="2">
                  <c:v>-169.72</c:v>
                </c:pt>
                <c:pt idx="3">
                  <c:v>-5</c:v>
                </c:pt>
                <c:pt idx="4">
                  <c:v>-150.95</c:v>
                </c:pt>
                <c:pt idx="5">
                  <c:v>-7.17</c:v>
                </c:pt>
                <c:pt idx="6">
                  <c:v>-96.09</c:v>
                </c:pt>
                <c:pt idx="7">
                  <c:v>231.71</c:v>
                </c:pt>
                <c:pt idx="8">
                  <c:v>-15.69</c:v>
                </c:pt>
                <c:pt idx="9">
                  <c:v>2.17</c:v>
                </c:pt>
              </c:numCache>
            </c:numRef>
          </c:val>
          <c:smooth val="0"/>
        </c:ser>
        <c:dLbls>
          <c:showLegendKey val="0"/>
          <c:showVal val="0"/>
          <c:showCatName val="0"/>
          <c:showSerName val="0"/>
          <c:showPercent val="0"/>
          <c:showBubbleSize val="0"/>
        </c:dLbls>
        <c:marker val="1"/>
        <c:smooth val="0"/>
        <c:axId val="46706688"/>
        <c:axId val="46708224"/>
      </c:lineChart>
      <c:catAx>
        <c:axId val="4670668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6708224"/>
        <c:crosses val="autoZero"/>
        <c:auto val="1"/>
        <c:lblAlgn val="ctr"/>
        <c:lblOffset val="100"/>
        <c:noMultiLvlLbl val="0"/>
      </c:catAx>
      <c:valAx>
        <c:axId val="4670822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670668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sz="1800" b="1" i="0" u="none" strike="noStrike" baseline="0"/>
              <a:t>“</a:t>
            </a:r>
            <a:r>
              <a:rPr lang="zh-CN" altLang="zh-CN" sz="1800" b="1" i="0" u="none" strike="noStrike" baseline="0"/>
              <a:t>三公</a:t>
            </a:r>
            <a:r>
              <a:rPr lang="en-US" altLang="zh-CN" sz="1800" b="1" i="0" u="none" strike="noStrike" baseline="0"/>
              <a:t>”</a:t>
            </a:r>
            <a:r>
              <a:rPr lang="zh-CN" altLang="zh-CN" sz="1800" b="1" i="0" u="none" strike="noStrike" baseline="0"/>
              <a:t>经费决算占比情况表（万元）</a:t>
            </a:r>
            <a:endParaRPr lang="zh-CN" altLang="en-US"/>
          </a:p>
        </c:rich>
      </c:tx>
      <c:layout/>
      <c:overlay val="0"/>
    </c:title>
    <c:autoTitleDeleted val="0"/>
    <c:plotArea>
      <c:layout/>
      <c:barChart>
        <c:barDir val="col"/>
        <c:grouping val="clustered"/>
        <c:varyColors val="0"/>
        <c:ser>
          <c:idx val="0"/>
          <c:order val="0"/>
          <c:tx>
            <c:strRef>
              <c:f>Sheet1!$B$1</c:f>
              <c:strCache>
                <c:ptCount val="1"/>
                <c:pt idx="0">
                  <c:v>2021年</c:v>
                </c:pt>
              </c:strCache>
            </c:strRef>
          </c:tx>
          <c:spPr>
            <a:solidFill>
              <a:schemeClr val="accent3"/>
            </a:solidFill>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Sheet1!$A$2:$A$4</c:f>
              <c:strCache>
                <c:ptCount val="3"/>
                <c:pt idx="0">
                  <c:v>因公出国（境）费</c:v>
                </c:pt>
                <c:pt idx="1">
                  <c:v>公务用车购置及运行维护费</c:v>
                </c:pt>
                <c:pt idx="2">
                  <c:v>公务接待费</c:v>
                </c:pt>
              </c:strCache>
            </c:strRef>
          </c:cat>
          <c:val>
            <c:numRef>
              <c:f>Sheet1!$B$2:$B$4</c:f>
              <c:numCache>
                <c:formatCode>General</c:formatCode>
                <c:ptCount val="3"/>
                <c:pt idx="0">
                  <c:v>0</c:v>
                </c:pt>
                <c:pt idx="1">
                  <c:v>14.19</c:v>
                </c:pt>
                <c:pt idx="2">
                  <c:v>0</c:v>
                </c:pt>
              </c:numCache>
            </c:numRef>
          </c:val>
        </c:ser>
        <c:ser>
          <c:idx val="1"/>
          <c:order val="1"/>
          <c:tx>
            <c:strRef>
              <c:f>Sheet1!$C$1</c:f>
              <c:strCache>
                <c:ptCount val="1"/>
                <c:pt idx="0">
                  <c:v>2022年</c:v>
                </c:pt>
              </c:strCache>
            </c:strRef>
          </c:tx>
          <c:spPr>
            <a:solidFill>
              <a:schemeClr val="accent1">
                <a:lumMod val="40000"/>
                <a:lumOff val="60000"/>
              </a:schemeClr>
            </a:solidFill>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Sheet1!$A$2:$A$4</c:f>
              <c:strCache>
                <c:ptCount val="3"/>
                <c:pt idx="0">
                  <c:v>因公出国（境）费</c:v>
                </c:pt>
                <c:pt idx="1">
                  <c:v>公务用车购置及运行维护费</c:v>
                </c:pt>
                <c:pt idx="2">
                  <c:v>公务接待费</c:v>
                </c:pt>
              </c:strCache>
            </c:strRef>
          </c:cat>
          <c:val>
            <c:numRef>
              <c:f>Sheet1!$C$2:$C$4</c:f>
              <c:numCache>
                <c:formatCode>General</c:formatCode>
                <c:ptCount val="3"/>
                <c:pt idx="0">
                  <c:v>0</c:v>
                </c:pt>
                <c:pt idx="1">
                  <c:v>9.13</c:v>
                </c:pt>
                <c:pt idx="2">
                  <c:v>0</c:v>
                </c:pt>
              </c:numCache>
            </c:numRef>
          </c:val>
        </c:ser>
        <c:dLbls>
          <c:showLegendKey val="0"/>
          <c:showVal val="0"/>
          <c:showCatName val="0"/>
          <c:showSerName val="0"/>
          <c:showPercent val="0"/>
          <c:showBubbleSize val="0"/>
        </c:dLbls>
        <c:gapWidth val="75"/>
        <c:overlap val="-25"/>
        <c:axId val="44051072"/>
        <c:axId val="46675840"/>
      </c:barChart>
      <c:catAx>
        <c:axId val="44051072"/>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6675840"/>
        <c:crosses val="autoZero"/>
        <c:auto val="1"/>
        <c:lblAlgn val="ctr"/>
        <c:lblOffset val="100"/>
        <c:noMultiLvlLbl val="0"/>
      </c:catAx>
      <c:valAx>
        <c:axId val="46675840"/>
        <c:scaling>
          <c:orientation val="minMax"/>
        </c:scaling>
        <c:delete val="0"/>
        <c:axPos val="l"/>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4051072"/>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“三公”经费支出年度增减变化情况（万元）</a:t>
            </a:r>
            <a:endParaRPr lang="zh-CN" altLang="en-US"/>
          </a:p>
        </c:rich>
      </c:tx>
      <c:layout/>
      <c:overlay val="0"/>
    </c:title>
    <c:autoTitleDeleted val="0"/>
    <c:plotArea>
      <c:layout/>
      <c:lineChart>
        <c:grouping val="standard"/>
        <c:varyColors val="0"/>
        <c:ser>
          <c:idx val="0"/>
          <c:order val="0"/>
          <c:tx>
            <c:strRef>
              <c:f>Sheet1!$B$1</c:f>
              <c:strCache>
                <c:ptCount val="1"/>
                <c:pt idx="0">
                  <c:v>年度增减数</c:v>
                </c:pt>
              </c:strCache>
            </c:strRef>
          </c:tx>
          <c:spPr>
            <a:ln w="28575" cap="rnd" cmpd="sng" algn="ctr">
              <a:solidFill>
                <a:schemeClr val="accent3"/>
              </a:solidFill>
              <a:prstDash val="solid"/>
              <a:round/>
            </a:ln>
          </c:spPr>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Sheet1!$A$2:$A$4</c:f>
              <c:strCache>
                <c:ptCount val="3"/>
                <c:pt idx="0">
                  <c:v>因公出国（境）费支出决算数</c:v>
                </c:pt>
                <c:pt idx="1">
                  <c:v>公务用车购置及运行维护费支出决算数</c:v>
                </c:pt>
                <c:pt idx="2">
                  <c:v>公务接待费支出决算数</c:v>
                </c:pt>
              </c:strCache>
            </c:strRef>
          </c:cat>
          <c:val>
            <c:numRef>
              <c:f>Sheet1!$B$2:$B$4</c:f>
              <c:numCache>
                <c:formatCode>General</c:formatCode>
                <c:ptCount val="3"/>
                <c:pt idx="0">
                  <c:v>0</c:v>
                </c:pt>
                <c:pt idx="1">
                  <c:v>-5.06</c:v>
                </c:pt>
                <c:pt idx="2">
                  <c:v>0</c:v>
                </c:pt>
              </c:numCache>
            </c:numRef>
          </c:val>
          <c:smooth val="0"/>
        </c:ser>
        <c:dLbls>
          <c:showLegendKey val="0"/>
          <c:showVal val="0"/>
          <c:showCatName val="0"/>
          <c:showSerName val="0"/>
          <c:showPercent val="0"/>
          <c:showBubbleSize val="0"/>
        </c:dLbls>
        <c:marker val="1"/>
        <c:smooth val="0"/>
        <c:axId val="78349824"/>
        <c:axId val="78490624"/>
      </c:lineChart>
      <c:catAx>
        <c:axId val="78349824"/>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8490624"/>
        <c:crosses val="autoZero"/>
        <c:auto val="1"/>
        <c:lblAlgn val="ctr"/>
        <c:lblOffset val="100"/>
        <c:noMultiLvlLbl val="0"/>
      </c:catAx>
      <c:valAx>
        <c:axId val="78490624"/>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8349824"/>
        <c:crosses val="autoZero"/>
        <c:crossBetween val="between"/>
      </c:valAx>
      <c:dTable>
        <c:showHorzBorder val="1"/>
        <c:showVertBorder val="1"/>
        <c:showOutline val="1"/>
        <c:showKeys val="1"/>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dTable>
    </c:plotArea>
    <c:plotVisOnly val="1"/>
    <c:dispBlanksAs val="gap"/>
    <c:showDLblsOverMax val="0"/>
  </c:chart>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Sheet1!$B$1</c:f>
              <c:strCache>
                <c:ptCount val="1"/>
                <c:pt idx="0">
                  <c:v>2022年“三公”经费人均支出情况表（万元）</c:v>
                </c:pt>
              </c:strCache>
            </c:strRef>
          </c:tx>
          <c:explosion val="0"/>
          <c:dPt>
            <c:idx val="0"/>
            <c:bubble3D val="0"/>
          </c:dPt>
          <c:dPt>
            <c:idx val="1"/>
            <c:bubble3D val="0"/>
            <c:spPr>
              <a:solidFill>
                <a:schemeClr val="accent3"/>
              </a:solidFill>
            </c:spPr>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Sheet1!$A$2:$A$4</c:f>
              <c:strCache>
                <c:ptCount val="3"/>
                <c:pt idx="0">
                  <c:v>本年度因 公出国（境）费人均支出</c:v>
                </c:pt>
                <c:pt idx="1">
                  <c:v>公务用车购置及运行维护费人均支出</c:v>
                </c:pt>
                <c:pt idx="2">
                  <c:v>公务接待费人均支出</c:v>
                </c:pt>
              </c:strCache>
            </c:strRef>
          </c:cat>
          <c:val>
            <c:numRef>
              <c:f>Sheet1!$B$2:$B$4</c:f>
              <c:numCache>
                <c:formatCode>General</c:formatCode>
                <c:ptCount val="3"/>
                <c:pt idx="0">
                  <c:v>0</c:v>
                </c:pt>
                <c:pt idx="1">
                  <c:v>0.46</c:v>
                </c:pt>
                <c:pt idx="2">
                  <c:v>0</c:v>
                </c:pt>
              </c:numCache>
            </c:numRef>
          </c:val>
        </c:ser>
        <c:dLbls>
          <c:showLegendKey val="0"/>
          <c:showVal val="1"/>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2022</a:t>
            </a:r>
            <a:r>
              <a:rPr lang="zh-CN" altLang="en-US"/>
              <a:t>年会议费支出决算数</a:t>
            </a:r>
            <a:r>
              <a:rPr lang="zh-CN" altLang="zh-CN" sz="1800" b="1" i="0" u="none" strike="noStrike" baseline="0"/>
              <a:t>（万元）</a:t>
            </a:r>
            <a:endParaRPr lang="zh-CN" altLang="en-US"/>
          </a:p>
        </c:rich>
      </c:tx>
      <c:layout/>
      <c:overlay val="0"/>
    </c:title>
    <c:autoTitleDeleted val="0"/>
    <c:plotArea>
      <c:layout/>
      <c:barChart>
        <c:barDir val="col"/>
        <c:grouping val="clustered"/>
        <c:varyColors val="0"/>
        <c:ser>
          <c:idx val="0"/>
          <c:order val="0"/>
          <c:tx>
            <c:strRef>
              <c:f>Sheet1!$B$1</c:f>
              <c:strCache>
                <c:ptCount val="1"/>
                <c:pt idx="0">
                  <c:v>会议费支出决算数</c:v>
                </c:pt>
              </c:strCache>
            </c:strRef>
          </c:tx>
          <c:invertIfNegative val="0"/>
          <c:dLbls>
            <c:delete val="1"/>
          </c:dLbls>
          <c:cat>
            <c:strRef>
              <c:f>Sheet1!$A$2</c:f>
              <c:strCache>
                <c:ptCount val="1"/>
                <c:pt idx="0">
                  <c:v>会议费支出决算数</c:v>
                </c:pt>
              </c:strCache>
            </c:strRef>
          </c:cat>
          <c:val>
            <c:numRef>
              <c:f>Sheet1!$B$2</c:f>
              <c:numCache>
                <c:formatCode>General</c:formatCode>
                <c:ptCount val="1"/>
                <c:pt idx="0">
                  <c:v>-2.07</c:v>
                </c:pt>
              </c:numCache>
            </c:numRef>
          </c:val>
        </c:ser>
        <c:dLbls>
          <c:showLegendKey val="0"/>
          <c:showVal val="0"/>
          <c:showCatName val="0"/>
          <c:showSerName val="0"/>
          <c:showPercent val="0"/>
          <c:showBubbleSize val="0"/>
        </c:dLbls>
        <c:gapWidth val="150"/>
        <c:axId val="78290944"/>
        <c:axId val="79917056"/>
      </c:barChart>
      <c:catAx>
        <c:axId val="78290944"/>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9917056"/>
        <c:crosses val="autoZero"/>
        <c:auto val="1"/>
        <c:lblAlgn val="ctr"/>
        <c:lblOffset val="100"/>
        <c:noMultiLvlLbl val="0"/>
      </c:catAx>
      <c:valAx>
        <c:axId val="79917056"/>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8290944"/>
        <c:crosses val="autoZero"/>
        <c:crossBetween val="between"/>
      </c:valAx>
      <c:dTable>
        <c:showHorzBorder val="1"/>
        <c:showVertBorder val="1"/>
        <c:showOutline val="1"/>
        <c:showKeys val="1"/>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dTable>
    </c:plotArea>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3252</Words>
  <Characters>3897</Characters>
  <Lines>29</Lines>
  <Paragraphs>8</Paragraphs>
  <TotalTime>2</TotalTime>
  <ScaleCrop>false</ScaleCrop>
  <LinksUpToDate>false</LinksUpToDate>
  <CharactersWithSpaces>3911</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盒子精</cp:lastModifiedBy>
  <dcterms:modified xsi:type="dcterms:W3CDTF">2024-08-15T10:41:02Z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4F7AEEB2F149463C88E01E94B79B61E0_12</vt:lpwstr>
  </property>
</Properties>
</file>