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2084B">
      <w:pPr>
        <w:pStyle w:val="5"/>
        <w:shd w:val="clear" w:color="auto" w:fill="FFFFFF"/>
        <w:jc w:val="center"/>
        <w:rPr>
          <w:rFonts w:asciiTheme="minorEastAsia" w:hAnsiTheme="minorEastAsia" w:eastAsiaTheme="minorEastAsia"/>
          <w:b/>
        </w:rPr>
      </w:pPr>
      <w:r>
        <w:rPr>
          <w:rFonts w:asciiTheme="minorEastAsia" w:hAnsiTheme="minorEastAsia" w:eastAsiaTheme="minorEastAsia"/>
          <w:b/>
        </w:rPr>
        <w:t> </w:t>
      </w:r>
    </w:p>
    <w:p w14:paraId="44EA455C">
      <w:pPr>
        <w:pStyle w:val="5"/>
        <w:shd w:val="clear" w:color="auto" w:fill="FFFFFF"/>
        <w:jc w:val="center"/>
        <w:rPr>
          <w:rStyle w:val="8"/>
          <w:rFonts w:hint="eastAsia" w:asciiTheme="minorEastAsia" w:hAnsiTheme="minorEastAsia" w:eastAsiaTheme="minorEastAsia"/>
          <w:sz w:val="30"/>
          <w:szCs w:val="30"/>
        </w:rPr>
      </w:pPr>
      <w:r>
        <w:rPr>
          <w:rStyle w:val="8"/>
          <w:rFonts w:hint="eastAsia" w:asciiTheme="minorEastAsia" w:hAnsiTheme="minorEastAsia" w:eastAsiaTheme="minorEastAsia"/>
          <w:sz w:val="30"/>
          <w:szCs w:val="30"/>
        </w:rPr>
        <w:t>四川省阿坝州红原县查尔玛乡便民服务中心</w:t>
      </w:r>
    </w:p>
    <w:p w14:paraId="1C092A66">
      <w:pPr>
        <w:pStyle w:val="5"/>
        <w:shd w:val="clear" w:color="auto" w:fill="FFFFFF"/>
        <w:jc w:val="center"/>
        <w:rPr>
          <w:rFonts w:asciiTheme="minorEastAsia" w:hAnsiTheme="minorEastAsia" w:eastAsiaTheme="minorEastAsia"/>
          <w:b/>
          <w:sz w:val="30"/>
          <w:szCs w:val="30"/>
        </w:rPr>
      </w:pPr>
      <w:r>
        <w:rPr>
          <w:rStyle w:val="8"/>
          <w:rFonts w:hint="eastAsia" w:asciiTheme="minorEastAsia" w:hAnsiTheme="minorEastAsia" w:eastAsiaTheme="minorEastAsia"/>
          <w:sz w:val="30"/>
          <w:szCs w:val="30"/>
        </w:rPr>
        <w:t>2022年度部门决算分析报告</w:t>
      </w:r>
    </w:p>
    <w:p w14:paraId="3343BEBC">
      <w:pPr>
        <w:pStyle w:val="5"/>
        <w:shd w:val="clear" w:color="auto" w:fill="FFFFFF"/>
        <w:rPr>
          <w:rFonts w:asciiTheme="minorEastAsia" w:hAnsiTheme="minorEastAsia" w:eastAsiaTheme="minorEastAsia"/>
        </w:rPr>
      </w:pPr>
      <w:r>
        <w:rPr>
          <w:rFonts w:asciiTheme="minorEastAsia" w:hAnsiTheme="minorEastAsia" w:eastAsiaTheme="minorEastAsia"/>
        </w:rPr>
        <w:t> </w:t>
      </w:r>
    </w:p>
    <w:p w14:paraId="3C221634">
      <w:pPr>
        <w:pStyle w:val="5"/>
        <w:shd w:val="clear" w:color="auto" w:fill="FFFFFF"/>
        <w:rPr>
          <w:rFonts w:asciiTheme="minorEastAsia" w:hAnsiTheme="minorEastAsia" w:eastAsiaTheme="minorEastAsia"/>
        </w:rPr>
      </w:pPr>
      <w:r>
        <w:rPr>
          <w:rFonts w:hint="eastAsia" w:asciiTheme="minorEastAsia" w:hAnsiTheme="minorEastAsia" w:eastAsiaTheme="minorEastAsia"/>
        </w:rPr>
        <w:t>一、单位情况</w:t>
      </w:r>
    </w:p>
    <w:p w14:paraId="038D71D8">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（一）基本情况。</w:t>
      </w:r>
    </w:p>
    <w:p w14:paraId="4EE890C8">
      <w:pPr>
        <w:pStyle w:val="5"/>
        <w:shd w:val="clear" w:color="auto" w:fill="FFFFFF"/>
        <w:rPr>
          <w:rFonts w:hint="eastAsia" w:asciiTheme="minorEastAsia" w:hAnsiTheme="minorEastAsia" w:eastAsiaTheme="minorEastAsia"/>
        </w:rPr>
      </w:pPr>
      <w:r>
        <w:rPr>
          <w:rFonts w:hint="eastAsia" w:asciiTheme="minorEastAsia" w:hAnsiTheme="minorEastAsia" w:eastAsiaTheme="minorEastAsia"/>
        </w:rPr>
        <w:t>1．主要职能。</w:t>
      </w:r>
    </w:p>
    <w:p w14:paraId="42A25788">
      <w:pPr>
        <w:pStyle w:val="5"/>
        <w:shd w:val="clear" w:color="auto" w:fill="FFFFFF"/>
        <w:rPr>
          <w:rFonts w:asciiTheme="minorEastAsia" w:hAnsiTheme="minorEastAsia" w:eastAsiaTheme="minorEastAsia"/>
        </w:rPr>
      </w:pPr>
      <w:r>
        <w:rPr>
          <w:rFonts w:hint="eastAsia" w:asciiTheme="minorEastAsia" w:hAnsiTheme="minorEastAsia" w:eastAsiaTheme="minorEastAsia"/>
        </w:rPr>
        <w:t>一是负责制定中心有关规章制度、管理办法并组织实施；按照政务服务事项清单，承担辖区内行政审批、证照办理和社会保障等民生服务职责；二是负责防汛、森林草原防灭火等自然灾害监测、预警和综合防治工作；三是负责辖区社会治安综合治理、信访维稳、矛盾纠纷排查和调处工作；四是负责国家财经政策和法规宣传、贯彻，负责上级各对口业务单位开展的专项调研安排、汇报材料撰写等工作；五是完成上级部门交办的其他事项。</w:t>
      </w:r>
    </w:p>
    <w:p w14:paraId="54945315">
      <w:pPr>
        <w:pStyle w:val="5"/>
        <w:shd w:val="clear" w:color="auto" w:fill="FFFFFF"/>
        <w:rPr>
          <w:rFonts w:asciiTheme="minorEastAsia" w:hAnsiTheme="minorEastAsia" w:eastAsiaTheme="minorEastAsia"/>
        </w:rPr>
      </w:pPr>
      <w:r>
        <w:rPr>
          <w:rFonts w:hint="eastAsia" w:asciiTheme="minorEastAsia" w:hAnsiTheme="minorEastAsia" w:eastAsiaTheme="minorEastAsia"/>
        </w:rPr>
        <w:t>2．本单位本年度纳入本套决算编制范围的独立编制机构数共1个，比上年增加1个，</w:t>
      </w:r>
      <w:r>
        <w:rPr>
          <w:rStyle w:val="8"/>
          <w:rFonts w:hint="eastAsia" w:asciiTheme="minorEastAsia" w:hAnsiTheme="minorEastAsia" w:eastAsiaTheme="minorEastAsia"/>
          <w:b w:val="0"/>
        </w:rPr>
        <w:t>变动情况及原因为2021年无事业套账，是在2022年新建的事业套账，所以在本年度新增1个</w:t>
      </w:r>
      <w:r>
        <w:rPr>
          <w:rFonts w:hint="eastAsia" w:asciiTheme="minorEastAsia" w:hAnsiTheme="minorEastAsia" w:eastAsiaTheme="minorEastAsia"/>
        </w:rPr>
        <w:t>；独立核算机构数共1个，比上年增加1个，</w:t>
      </w:r>
      <w:r>
        <w:rPr>
          <w:rStyle w:val="8"/>
          <w:rFonts w:hint="eastAsia" w:asciiTheme="minorEastAsia" w:hAnsiTheme="minorEastAsia" w:eastAsiaTheme="minorEastAsia"/>
          <w:b w:val="0"/>
        </w:rPr>
        <w:t>变动情况及原因为2021年无事业套账，是在2022年新建的事业套账，所以在本年度新增1个。</w:t>
      </w:r>
    </w:p>
    <w:p w14:paraId="10A67B70">
      <w:pPr>
        <w:pStyle w:val="5"/>
        <w:shd w:val="clear" w:color="auto" w:fill="FFFFFF"/>
        <w:rPr>
          <w:rFonts w:asciiTheme="minorEastAsia" w:hAnsiTheme="minorEastAsia" w:eastAsiaTheme="minorEastAsia"/>
        </w:rPr>
      </w:pPr>
      <w:r>
        <w:rPr>
          <w:rFonts w:asciiTheme="minorEastAsia" w:hAnsiTheme="minorEastAsia" w:eastAsiaTheme="minorEastAsia"/>
        </w:rPr>
        <w:t> </w:t>
      </w:r>
    </w:p>
    <w:p w14:paraId="6AB96775">
      <w:pPr>
        <w:pStyle w:val="5"/>
        <w:shd w:val="clear" w:color="auto" w:fill="FFFFFF"/>
        <w:rPr>
          <w:rFonts w:asciiTheme="minorEastAsia" w:hAnsiTheme="minorEastAsia" w:eastAsiaTheme="minorEastAsia"/>
        </w:rPr>
      </w:pPr>
      <w:r>
        <w:rPr>
          <w:rFonts w:hint="eastAsia" w:asciiTheme="minorEastAsia" w:hAnsiTheme="minorEastAsia" w:eastAsiaTheme="minorEastAsia"/>
        </w:rPr>
        <w:t>3． 本单位本年度年末实有人数为8人，比上年增加8人；年末实有离退休人数为0人，比上年增加0人；</w:t>
      </w:r>
      <w:r>
        <w:rPr>
          <w:rStyle w:val="8"/>
          <w:rFonts w:hint="eastAsia" w:asciiTheme="minorEastAsia" w:hAnsiTheme="minorEastAsia" w:eastAsiaTheme="minorEastAsia"/>
          <w:b w:val="0"/>
        </w:rPr>
        <w:t>变动情况及原因为2021年无事业套账，是在2022年新建的事业套账，所以在本年度新增1个。</w:t>
      </w:r>
      <w:r>
        <w:rPr>
          <w:rFonts w:hint="eastAsia" w:asciiTheme="minorEastAsia" w:hAnsiTheme="minorEastAsia" w:eastAsiaTheme="minorEastAsia"/>
        </w:rPr>
        <w:t>年末实有其他人数为0人，比上年增加0人</w:t>
      </w:r>
      <w:r>
        <w:rPr>
          <w:rStyle w:val="8"/>
          <w:rFonts w:hint="eastAsia" w:asciiTheme="minorEastAsia" w:hAnsiTheme="minorEastAsia" w:eastAsiaTheme="minorEastAsia"/>
          <w:b w:val="0"/>
        </w:rPr>
        <w:t>。</w:t>
      </w:r>
    </w:p>
    <w:p w14:paraId="34FB72D3">
      <w:pPr>
        <w:pStyle w:val="5"/>
        <w:shd w:val="clear" w:color="auto" w:fill="FFFFFF"/>
        <w:rPr>
          <w:rFonts w:asciiTheme="minorEastAsia" w:hAnsiTheme="minorEastAsia" w:eastAsiaTheme="minorEastAsia"/>
        </w:rPr>
      </w:pPr>
      <w:r>
        <w:rPr>
          <w:rFonts w:asciiTheme="minorEastAsia" w:hAnsiTheme="minorEastAsia" w:eastAsiaTheme="minorEastAsia"/>
        </w:rPr>
        <w:t> </w:t>
      </w:r>
    </w:p>
    <w:p w14:paraId="29B07032">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（二）当年取得的主要事业成效。</w:t>
      </w:r>
    </w:p>
    <w:p w14:paraId="3AF888AE">
      <w:pPr>
        <w:pStyle w:val="5"/>
        <w:shd w:val="clear" w:color="auto" w:fill="FFFFFF"/>
        <w:rPr>
          <w:rFonts w:asciiTheme="minorEastAsia" w:hAnsiTheme="minorEastAsia" w:eastAsiaTheme="minorEastAsia"/>
        </w:rPr>
      </w:pPr>
      <w:r>
        <w:rPr>
          <w:rFonts w:hint="eastAsia" w:asciiTheme="minorEastAsia" w:hAnsiTheme="minorEastAsia" w:eastAsiaTheme="minorEastAsia"/>
        </w:rPr>
        <w:t>一、概述单位工作开展情况及主要事业成效。</w:t>
      </w:r>
    </w:p>
    <w:p w14:paraId="0CDF4035">
      <w:pPr>
        <w:pStyle w:val="5"/>
        <w:shd w:val="clear" w:color="auto" w:fill="FFFFFF"/>
        <w:rPr>
          <w:rStyle w:val="8"/>
          <w:rFonts w:hint="eastAsia" w:asciiTheme="minorEastAsia" w:hAnsiTheme="minorEastAsia" w:eastAsiaTheme="minorEastAsia"/>
          <w:b w:val="0"/>
        </w:rPr>
      </w:pPr>
      <w:r>
        <w:rPr>
          <w:rStyle w:val="8"/>
          <w:rFonts w:hint="eastAsia" w:asciiTheme="minorEastAsia" w:hAnsiTheme="minorEastAsia" w:eastAsiaTheme="minorEastAsia"/>
          <w:b w:val="0"/>
        </w:rPr>
        <w:t>1、政府办公厅（室）及相关机构事务（事业运行）支出</w:t>
      </w:r>
      <w:r>
        <w:rPr>
          <w:rStyle w:val="8"/>
          <w:rFonts w:asciiTheme="minorEastAsia" w:hAnsiTheme="minorEastAsia" w:eastAsiaTheme="minorEastAsia"/>
          <w:b w:val="0"/>
        </w:rPr>
        <w:t>188</w:t>
      </w:r>
      <w:r>
        <w:rPr>
          <w:rStyle w:val="8"/>
          <w:rFonts w:hint="eastAsia" w:asciiTheme="minorEastAsia" w:hAnsiTheme="minorEastAsia" w:eastAsiaTheme="minorEastAsia"/>
          <w:b w:val="0"/>
        </w:rPr>
        <w:t>.</w:t>
      </w:r>
      <w:r>
        <w:rPr>
          <w:rStyle w:val="8"/>
          <w:rFonts w:asciiTheme="minorEastAsia" w:hAnsiTheme="minorEastAsia" w:eastAsiaTheme="minorEastAsia"/>
          <w:b w:val="0"/>
        </w:rPr>
        <w:t>2</w:t>
      </w:r>
      <w:r>
        <w:rPr>
          <w:rStyle w:val="8"/>
          <w:rFonts w:hint="eastAsia" w:asciiTheme="minorEastAsia" w:hAnsiTheme="minorEastAsia" w:eastAsiaTheme="minorEastAsia"/>
          <w:b w:val="0"/>
        </w:rPr>
        <w:t>8万元；</w:t>
      </w:r>
    </w:p>
    <w:p w14:paraId="5AFE47DD">
      <w:pPr>
        <w:pStyle w:val="5"/>
        <w:shd w:val="clear" w:color="auto" w:fill="FFFFFF"/>
        <w:rPr>
          <w:rStyle w:val="8"/>
          <w:rFonts w:hint="eastAsia" w:asciiTheme="minorEastAsia" w:hAnsiTheme="minorEastAsia" w:eastAsiaTheme="minorEastAsia"/>
          <w:b w:val="0"/>
        </w:rPr>
      </w:pPr>
      <w:r>
        <w:rPr>
          <w:rStyle w:val="8"/>
          <w:rFonts w:hint="eastAsia" w:asciiTheme="minorEastAsia" w:hAnsiTheme="minorEastAsia" w:eastAsiaTheme="minorEastAsia"/>
          <w:b w:val="0"/>
        </w:rPr>
        <w:t>2、社会保障和就业支出36.16万元；</w:t>
      </w:r>
    </w:p>
    <w:p w14:paraId="1DABE38A">
      <w:pPr>
        <w:pStyle w:val="5"/>
        <w:shd w:val="clear" w:color="auto" w:fill="FFFFFF"/>
        <w:rPr>
          <w:rStyle w:val="8"/>
          <w:rFonts w:hint="eastAsia" w:asciiTheme="minorEastAsia" w:hAnsiTheme="minorEastAsia" w:eastAsiaTheme="minorEastAsia"/>
          <w:b w:val="0"/>
        </w:rPr>
      </w:pPr>
      <w:r>
        <w:rPr>
          <w:rStyle w:val="8"/>
          <w:rFonts w:hint="eastAsia" w:asciiTheme="minorEastAsia" w:hAnsiTheme="minorEastAsia" w:eastAsiaTheme="minorEastAsia"/>
          <w:b w:val="0"/>
        </w:rPr>
        <w:t>3、卫生健康支出13.17万元；</w:t>
      </w:r>
    </w:p>
    <w:p w14:paraId="498F3E46">
      <w:pPr>
        <w:pStyle w:val="5"/>
        <w:shd w:val="clear" w:color="auto" w:fill="FFFFFF"/>
        <w:rPr>
          <w:rStyle w:val="8"/>
          <w:rFonts w:hint="eastAsia" w:asciiTheme="minorEastAsia" w:hAnsiTheme="minorEastAsia" w:eastAsiaTheme="minorEastAsia"/>
          <w:b w:val="0"/>
        </w:rPr>
      </w:pPr>
      <w:r>
        <w:rPr>
          <w:rStyle w:val="8"/>
          <w:rFonts w:hint="eastAsia" w:asciiTheme="minorEastAsia" w:hAnsiTheme="minorEastAsia" w:eastAsiaTheme="minorEastAsia"/>
          <w:b w:val="0"/>
        </w:rPr>
        <w:t>4、住房保障支出16.84万元；</w:t>
      </w:r>
    </w:p>
    <w:p w14:paraId="682649A9">
      <w:pPr>
        <w:pStyle w:val="5"/>
        <w:shd w:val="clear" w:color="auto" w:fill="FFFFFF"/>
        <w:rPr>
          <w:rStyle w:val="8"/>
          <w:rFonts w:hint="eastAsia" w:asciiTheme="minorEastAsia" w:hAnsiTheme="minorEastAsia" w:eastAsiaTheme="minorEastAsia"/>
          <w:b w:val="0"/>
        </w:rPr>
      </w:pPr>
      <w:r>
        <w:rPr>
          <w:rStyle w:val="8"/>
          <w:rFonts w:hint="eastAsia" w:asciiTheme="minorEastAsia" w:hAnsiTheme="minorEastAsia" w:eastAsiaTheme="minorEastAsia"/>
          <w:b w:val="0"/>
        </w:rPr>
        <w:t>5、政府办公厅（室）及相关机构事务（政务公开审批）支出1万元；</w:t>
      </w:r>
    </w:p>
    <w:p w14:paraId="658B0485">
      <w:pPr>
        <w:pStyle w:val="5"/>
        <w:shd w:val="clear" w:color="auto" w:fill="FFFFFF"/>
        <w:rPr>
          <w:rStyle w:val="8"/>
          <w:rFonts w:hint="eastAsia" w:asciiTheme="minorEastAsia" w:hAnsiTheme="minorEastAsia" w:eastAsiaTheme="minorEastAsia"/>
          <w:b w:val="0"/>
        </w:rPr>
      </w:pPr>
      <w:r>
        <w:rPr>
          <w:rStyle w:val="8"/>
          <w:rFonts w:hint="eastAsia" w:asciiTheme="minorEastAsia" w:hAnsiTheme="minorEastAsia" w:eastAsiaTheme="minorEastAsia"/>
          <w:b w:val="0"/>
        </w:rPr>
        <w:t>6、对村民委员会和村党支部的补助支出2.88万元；</w:t>
      </w:r>
    </w:p>
    <w:p w14:paraId="7D6894A0">
      <w:pPr>
        <w:pStyle w:val="5"/>
        <w:shd w:val="clear" w:color="auto" w:fill="FFFFFF"/>
        <w:rPr>
          <w:rFonts w:asciiTheme="minorEastAsia" w:hAnsiTheme="minorEastAsia" w:eastAsiaTheme="minorEastAsia"/>
        </w:rPr>
      </w:pPr>
      <w:r>
        <w:rPr>
          <w:rFonts w:hint="eastAsia" w:asciiTheme="minorEastAsia" w:hAnsiTheme="minorEastAsia" w:eastAsiaTheme="minorEastAsia"/>
        </w:rPr>
        <w:t>二、收入支出预算执行情况分析。</w:t>
      </w:r>
    </w:p>
    <w:p w14:paraId="7219C508">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（一）收入支出预算安排情况。</w:t>
      </w:r>
    </w:p>
    <w:p w14:paraId="2F40D2AB">
      <w:pPr>
        <w:pStyle w:val="5"/>
        <w:shd w:val="clear" w:color="auto" w:fill="FFFFFF"/>
        <w:rPr>
          <w:rStyle w:val="8"/>
          <w:rFonts w:hint="eastAsia" w:asciiTheme="minorEastAsia" w:hAnsiTheme="minorEastAsia" w:eastAsiaTheme="minorEastAsia"/>
          <w:b w:val="0"/>
        </w:rPr>
      </w:pPr>
      <w:r>
        <w:rPr>
          <w:rFonts w:hint="eastAsia" w:asciiTheme="minorEastAsia" w:hAnsiTheme="minorEastAsia" w:eastAsiaTheme="minorEastAsia"/>
        </w:rPr>
        <w:t>本单位本年度收入的年初预算数为222.55万元，上年度收入的年初预算数为0.00万元，差异为222.55万元；</w:t>
      </w:r>
      <w:r>
        <w:rPr>
          <w:rStyle w:val="8"/>
          <w:rFonts w:hint="eastAsia" w:asciiTheme="minorEastAsia" w:hAnsiTheme="minorEastAsia" w:eastAsiaTheme="minorEastAsia"/>
          <w:b w:val="0"/>
        </w:rPr>
        <w:t>主要原因为2021年无事业套账，是在2022年新建的事业套账</w:t>
      </w:r>
      <w:r>
        <w:rPr>
          <w:rFonts w:hint="eastAsia" w:asciiTheme="minorEastAsia" w:hAnsiTheme="minorEastAsia" w:eastAsiaTheme="minorEastAsia"/>
        </w:rPr>
        <w:t>。本年度支出的年初预算数为 222.55万元，上年度支出的年初预算数为0.00万元，差异为222.55万元；</w:t>
      </w:r>
      <w:r>
        <w:rPr>
          <w:rStyle w:val="8"/>
          <w:rFonts w:hint="eastAsia" w:asciiTheme="minorEastAsia" w:hAnsiTheme="minorEastAsia" w:eastAsiaTheme="minorEastAsia"/>
          <w:b w:val="0"/>
        </w:rPr>
        <w:t>主要原因为原因2021年无事业套账，是在2022年新建的事业套账</w:t>
      </w:r>
    </w:p>
    <w:p w14:paraId="298FDD67">
      <w:pPr>
        <w:pStyle w:val="5"/>
        <w:shd w:val="clear" w:color="auto" w:fill="FFFFFF"/>
        <w:ind w:firstLine="1200" w:firstLineChars="500"/>
        <w:jc w:val="center"/>
        <w:rPr>
          <w:rStyle w:val="8"/>
          <w:rFonts w:hint="eastAsia" w:asciiTheme="minorEastAsia" w:hAnsiTheme="minorEastAsia" w:eastAsiaTheme="minorEastAsia"/>
          <w:b w:val="0"/>
        </w:rPr>
      </w:pPr>
      <w:r>
        <w:rPr>
          <w:rStyle w:val="8"/>
          <w:rFonts w:hint="eastAsia" w:asciiTheme="minorEastAsia" w:hAnsiTheme="minorEastAsia" w:eastAsiaTheme="minorEastAsia"/>
          <w:b w:val="0"/>
        </w:rPr>
        <w:t>收支年初预算数对比图（万元）</w:t>
      </w:r>
    </w:p>
    <w:p w14:paraId="3C09321C">
      <w:pPr>
        <w:pStyle w:val="5"/>
        <w:shd w:val="clear" w:color="auto" w:fill="FFFFFF"/>
        <w:rPr>
          <w:rStyle w:val="8"/>
          <w:rFonts w:hint="eastAsia" w:asciiTheme="minorEastAsia" w:hAnsiTheme="minorEastAsia" w:eastAsiaTheme="minorEastAsia"/>
          <w:b w:val="0"/>
          <w:color w:val="FF0000"/>
        </w:rPr>
      </w:pPr>
      <w:r>
        <w:rPr>
          <w:rFonts w:hint="eastAsia" w:asciiTheme="minorEastAsia" w:hAnsiTheme="minorEastAsia" w:eastAsiaTheme="minorEastAsia"/>
          <w:bCs/>
          <w:color w:val="FF0000"/>
        </w:rPr>
        <w:drawing>
          <wp:inline distT="0" distB="0" distL="0" distR="0">
            <wp:extent cx="4627245" cy="2562860"/>
            <wp:effectExtent l="19050" t="0" r="20955" b="889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8B44A95">
      <w:pPr>
        <w:pStyle w:val="5"/>
        <w:shd w:val="clear" w:color="auto" w:fill="FFFFFF"/>
        <w:rPr>
          <w:rFonts w:asciiTheme="minorEastAsia" w:hAnsiTheme="minorEastAsia" w:eastAsiaTheme="minorEastAsia"/>
        </w:rPr>
      </w:pPr>
    </w:p>
    <w:p w14:paraId="362389E0">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（二）收入支出预算执行情况。</w:t>
      </w:r>
    </w:p>
    <w:p w14:paraId="133E9766">
      <w:pPr>
        <w:pStyle w:val="5"/>
        <w:shd w:val="clear" w:color="auto" w:fill="FFFFFF"/>
        <w:rPr>
          <w:rFonts w:hint="eastAsia" w:asciiTheme="minorEastAsia" w:hAnsiTheme="minorEastAsia" w:eastAsiaTheme="minorEastAsia"/>
        </w:rPr>
      </w:pPr>
      <w:r>
        <w:rPr>
          <w:rFonts w:hint="eastAsia" w:asciiTheme="minorEastAsia" w:hAnsiTheme="minorEastAsia" w:eastAsiaTheme="minorEastAsia"/>
        </w:rPr>
        <w:t>本单位本年度收入全年预算数为258.33万元，收入决算数为258.33万元，预算完成度为100.00%，上年度预算完成度为0.00%，</w:t>
      </w:r>
      <w:r>
        <w:rPr>
          <w:rStyle w:val="8"/>
          <w:rFonts w:hint="eastAsia" w:asciiTheme="minorEastAsia" w:hAnsiTheme="minorEastAsia" w:eastAsiaTheme="minorEastAsia"/>
          <w:b w:val="0"/>
        </w:rPr>
        <w:t>存在差异的主要原因为2021年无事业套账，是在2022年新建的事业套账</w:t>
      </w:r>
      <w:r>
        <w:rPr>
          <w:rFonts w:hint="eastAsia" w:asciiTheme="minorEastAsia" w:hAnsiTheme="minorEastAsia" w:eastAsiaTheme="minorEastAsia"/>
        </w:rPr>
        <w:t>。 本年度支出全年预算数为258.33万元，支出决算数为258.33万元，预算完成度为100.00%，上年度预算完成度为0.00%，</w:t>
      </w:r>
      <w:r>
        <w:rPr>
          <w:rStyle w:val="8"/>
          <w:rFonts w:hint="eastAsia" w:asciiTheme="minorEastAsia" w:hAnsiTheme="minorEastAsia" w:eastAsiaTheme="minorEastAsia"/>
          <w:b w:val="0"/>
        </w:rPr>
        <w:t>存在差异的主要原因为2021年无事业套账，是在2022年新建的事业套账</w:t>
      </w:r>
      <w:r>
        <w:rPr>
          <w:rFonts w:hint="eastAsia" w:asciiTheme="minorEastAsia" w:hAnsiTheme="minorEastAsia" w:eastAsiaTheme="minorEastAsia"/>
        </w:rPr>
        <w:t>。</w:t>
      </w:r>
    </w:p>
    <w:p w14:paraId="22085C46">
      <w:pPr>
        <w:pStyle w:val="5"/>
        <w:shd w:val="clear" w:color="auto" w:fill="FFFFFF"/>
        <w:rPr>
          <w:rFonts w:hint="eastAsia" w:asciiTheme="minorEastAsia" w:hAnsiTheme="minorEastAsia" w:eastAsiaTheme="minorEastAsia"/>
        </w:rPr>
      </w:pPr>
    </w:p>
    <w:p w14:paraId="629408DC">
      <w:pPr>
        <w:pStyle w:val="5"/>
        <w:shd w:val="clear" w:color="auto" w:fill="FFFFFF"/>
        <w:rPr>
          <w:rStyle w:val="8"/>
          <w:rFonts w:hint="eastAsia" w:asciiTheme="minorEastAsia" w:hAnsiTheme="minorEastAsia" w:eastAsiaTheme="minorEastAsia"/>
          <w:b w:val="0"/>
        </w:rPr>
      </w:pPr>
    </w:p>
    <w:p w14:paraId="2AA48398">
      <w:pPr>
        <w:pStyle w:val="5"/>
        <w:shd w:val="clear" w:color="auto" w:fill="FFFFFF"/>
        <w:jc w:val="center"/>
        <w:rPr>
          <w:rStyle w:val="8"/>
          <w:rFonts w:hint="eastAsia" w:asciiTheme="minorEastAsia" w:hAnsiTheme="minorEastAsia" w:eastAsiaTheme="minorEastAsia"/>
          <w:b w:val="0"/>
        </w:rPr>
      </w:pPr>
      <w:r>
        <w:rPr>
          <w:rStyle w:val="8"/>
          <w:rFonts w:hint="eastAsia" w:asciiTheme="minorEastAsia" w:hAnsiTheme="minorEastAsia" w:eastAsiaTheme="minorEastAsia"/>
          <w:b w:val="0"/>
        </w:rPr>
        <w:t>2022年预决算收支对比图（柱状图）</w:t>
      </w:r>
    </w:p>
    <w:p w14:paraId="62F2560D">
      <w:pPr>
        <w:pStyle w:val="5"/>
        <w:shd w:val="clear" w:color="auto" w:fill="FFFFFF"/>
        <w:rPr>
          <w:rStyle w:val="8"/>
          <w:rFonts w:hint="eastAsia" w:asciiTheme="minorEastAsia" w:hAnsiTheme="minorEastAsia" w:eastAsiaTheme="minorEastAsia"/>
          <w:b w:val="0"/>
        </w:rPr>
      </w:pPr>
      <w:r>
        <w:rPr>
          <w:rFonts w:hint="eastAsia" w:asciiTheme="minorEastAsia" w:hAnsiTheme="minorEastAsia" w:eastAsiaTheme="minorEastAsia"/>
          <w:bCs/>
        </w:rPr>
        <w:drawing>
          <wp:inline distT="0" distB="0" distL="0" distR="0">
            <wp:extent cx="5274945" cy="3077210"/>
            <wp:effectExtent l="19050" t="0" r="20955" b="889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63D9811">
      <w:pPr>
        <w:pStyle w:val="5"/>
        <w:shd w:val="clear" w:color="auto" w:fill="FFFFFF"/>
        <w:rPr>
          <w:rStyle w:val="8"/>
          <w:rFonts w:hint="eastAsia" w:asciiTheme="minorEastAsia" w:hAnsiTheme="minorEastAsia" w:eastAsiaTheme="minorEastAsia"/>
          <w:b w:val="0"/>
        </w:rPr>
      </w:pPr>
    </w:p>
    <w:p w14:paraId="2AB7DE6C">
      <w:pPr>
        <w:pStyle w:val="5"/>
        <w:shd w:val="clear" w:color="auto" w:fill="FFFFFF"/>
        <w:rPr>
          <w:rStyle w:val="8"/>
          <w:rFonts w:hint="eastAsia" w:asciiTheme="minorEastAsia" w:hAnsiTheme="minorEastAsia" w:eastAsiaTheme="minorEastAsia"/>
          <w:b w:val="0"/>
        </w:rPr>
      </w:pPr>
      <w:r>
        <w:rPr>
          <w:rFonts w:hint="eastAsia" w:asciiTheme="minorEastAsia" w:hAnsiTheme="minorEastAsia" w:eastAsiaTheme="minorEastAsia"/>
          <w:bCs/>
        </w:rPr>
        <w:drawing>
          <wp:inline distT="0" distB="0" distL="0" distR="0">
            <wp:extent cx="5274945" cy="3077210"/>
            <wp:effectExtent l="19050" t="0" r="20955" b="889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2DBF64D">
      <w:pPr>
        <w:pStyle w:val="5"/>
        <w:shd w:val="clear" w:color="auto" w:fill="FFFFFF"/>
        <w:rPr>
          <w:rStyle w:val="8"/>
          <w:rFonts w:hint="eastAsia" w:asciiTheme="minorEastAsia" w:hAnsiTheme="minorEastAsia" w:eastAsiaTheme="minorEastAsia"/>
          <w:b w:val="0"/>
        </w:rPr>
      </w:pPr>
      <w:r>
        <w:rPr>
          <w:rFonts w:hint="eastAsia" w:asciiTheme="minorEastAsia" w:hAnsiTheme="minorEastAsia" w:eastAsiaTheme="minorEastAsia"/>
          <w:bCs/>
        </w:rPr>
        <w:drawing>
          <wp:inline distT="0" distB="0" distL="0" distR="0">
            <wp:extent cx="5274945" cy="3077210"/>
            <wp:effectExtent l="19050" t="0" r="20955" b="889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21FD797">
      <w:pPr>
        <w:pStyle w:val="5"/>
        <w:shd w:val="clear" w:color="auto" w:fill="FFFFFF"/>
        <w:rPr>
          <w:rFonts w:asciiTheme="minorEastAsia" w:hAnsiTheme="minorEastAsia" w:eastAsiaTheme="minorEastAsia"/>
        </w:rPr>
      </w:pPr>
    </w:p>
    <w:p w14:paraId="5B57C170">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1．收入支出与预算对比分析。</w:t>
      </w:r>
    </w:p>
    <w:p w14:paraId="193B45B8">
      <w:pPr>
        <w:pStyle w:val="5"/>
        <w:shd w:val="clear" w:color="auto" w:fill="FFFFFF"/>
        <w:rPr>
          <w:rFonts w:asciiTheme="minorEastAsia" w:hAnsiTheme="minorEastAsia" w:eastAsiaTheme="minorEastAsia"/>
        </w:rPr>
      </w:pPr>
      <w:r>
        <w:rPr>
          <w:rFonts w:hint="eastAsia" w:asciiTheme="minorEastAsia" w:hAnsiTheme="minorEastAsia" w:eastAsiaTheme="minorEastAsia"/>
        </w:rPr>
        <w:t>（1）预、决算差异情况，分收入支出功能科目、分单位、分收入支出具体项目逐项对比。</w:t>
      </w:r>
    </w:p>
    <w:p w14:paraId="0A5B2C54">
      <w:pPr>
        <w:pStyle w:val="5"/>
        <w:shd w:val="clear" w:color="auto" w:fill="FFFFFF"/>
        <w:rPr>
          <w:rFonts w:asciiTheme="minorEastAsia" w:hAnsiTheme="minorEastAsia" w:eastAsiaTheme="minorEastAsia"/>
        </w:rPr>
      </w:pPr>
      <w:bookmarkStart w:id="0" w:name="_MON_1735110696"/>
      <w:bookmarkEnd w:id="0"/>
      <w:bookmarkStart w:id="1" w:name="_MON_1735110706"/>
      <w:bookmarkEnd w:id="1"/>
      <w:bookmarkStart w:id="2" w:name="_MON_1735110891"/>
      <w:bookmarkEnd w:id="2"/>
      <w:bookmarkStart w:id="3" w:name="_MON_1735110878"/>
      <w:bookmarkEnd w:id="3"/>
      <w:bookmarkStart w:id="4" w:name="_MON_1735111309"/>
      <w:bookmarkEnd w:id="4"/>
      <w:bookmarkStart w:id="5" w:name="_MON_1735110828"/>
      <w:bookmarkEnd w:id="5"/>
      <w:r>
        <w:rPr>
          <w:rStyle w:val="8"/>
          <w:rFonts w:asciiTheme="minorEastAsia" w:hAnsiTheme="minorEastAsia" w:eastAsiaTheme="minorEastAsia"/>
          <w:b w:val="0"/>
        </w:rPr>
        <w:object>
          <v:shape id="_x0000_i1025" o:spt="75" type="#_x0000_t75" style="height:209.25pt;width:381pt;" o:ole="t" filled="f" o:preferrelative="t" stroked="f" coordsize="21600,21600">
            <v:path/>
            <v:fill on="f" focussize="0,0"/>
            <v:stroke on="f" joinstyle="miter"/>
            <v:imagedata r:id="rId11" o:title=""/>
            <o:lock v:ext="edit" aspectratio="t"/>
            <w10:wrap type="none"/>
            <w10:anchorlock/>
          </v:shape>
          <o:OLEObject Type="Embed" ProgID="Office12.Excel.Template" ShapeID="_x0000_i1025" DrawAspect="Content" ObjectID="_1468075725" r:id="rId10">
            <o:LockedField>false</o:LockedField>
          </o:OLEObject>
        </w:object>
      </w:r>
    </w:p>
    <w:p w14:paraId="7A7459A0">
      <w:pPr>
        <w:pStyle w:val="5"/>
        <w:shd w:val="clear" w:color="auto" w:fill="FFFFFF"/>
        <w:rPr>
          <w:rFonts w:asciiTheme="minorEastAsia" w:hAnsiTheme="minorEastAsia" w:eastAsiaTheme="minorEastAsia"/>
        </w:rPr>
      </w:pPr>
      <w:r>
        <w:rPr>
          <w:rFonts w:asciiTheme="minorEastAsia" w:hAnsiTheme="minorEastAsia" w:eastAsiaTheme="minorEastAsia"/>
        </w:rPr>
        <w:t> </w:t>
      </w:r>
      <w:bookmarkStart w:id="6" w:name="_MON_1735111012"/>
      <w:bookmarkEnd w:id="6"/>
      <w:bookmarkStart w:id="7" w:name="_MON_1735111182"/>
      <w:bookmarkEnd w:id="7"/>
      <w:bookmarkStart w:id="8" w:name="_MON_1735111355"/>
      <w:bookmarkEnd w:id="8"/>
      <w:bookmarkStart w:id="9" w:name="_MON_1735111155"/>
      <w:bookmarkEnd w:id="9"/>
      <w:bookmarkStart w:id="10" w:name="_MON_1735111168"/>
      <w:bookmarkEnd w:id="10"/>
      <w:bookmarkStart w:id="11" w:name="_MON_1735110944"/>
      <w:bookmarkEnd w:id="11"/>
      <w:bookmarkStart w:id="12" w:name="_MON_1735111084"/>
      <w:bookmarkEnd w:id="12"/>
      <w:bookmarkStart w:id="13" w:name="_MON_1735111327"/>
      <w:bookmarkEnd w:id="13"/>
      <w:bookmarkStart w:id="14" w:name="_MON_1735111051"/>
      <w:bookmarkEnd w:id="14"/>
      <w:bookmarkStart w:id="15" w:name="_MON_1735111198"/>
      <w:bookmarkEnd w:id="15"/>
      <w:r>
        <w:rPr>
          <w:rFonts w:asciiTheme="minorEastAsia" w:hAnsiTheme="minorEastAsia" w:eastAsiaTheme="minorEastAsia"/>
        </w:rPr>
        <w:object>
          <v:shape id="_x0000_i1026" o:spt="75" type="#_x0000_t75" style="height:627.75pt;width:411.75pt;" o:ole="t" filled="f" o:preferrelative="t" stroked="f" coordsize="21600,21600">
            <v:path/>
            <v:fill on="f" focussize="0,0"/>
            <v:stroke on="f" joinstyle="miter"/>
            <v:imagedata r:id="rId13" o:title=""/>
            <o:lock v:ext="edit" aspectratio="t"/>
            <w10:wrap type="none"/>
            <w10:anchorlock/>
          </v:shape>
          <o:OLEObject Type="Embed" ProgID="Office12.Excel.Template" ShapeID="_x0000_i1026" DrawAspect="Content" ObjectID="_1468075726" r:id="rId12">
            <o:LockedField>false</o:LockedField>
          </o:OLEObject>
        </w:object>
      </w:r>
    </w:p>
    <w:p w14:paraId="43103399">
      <w:pPr>
        <w:pStyle w:val="5"/>
        <w:shd w:val="clear" w:color="auto" w:fill="FFFFFF"/>
        <w:rPr>
          <w:rFonts w:asciiTheme="minorEastAsia" w:hAnsiTheme="minorEastAsia" w:eastAsiaTheme="minorEastAsia"/>
        </w:rPr>
      </w:pPr>
      <w:r>
        <w:rPr>
          <w:rFonts w:hint="eastAsia" w:asciiTheme="minorEastAsia" w:hAnsiTheme="minorEastAsia" w:eastAsiaTheme="minorEastAsia"/>
        </w:rPr>
        <w:t>（2）差异原因分析。差异较大的应分析到具体收入支出功能科目和具体单位。</w:t>
      </w:r>
    </w:p>
    <w:p w14:paraId="71D96710">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2．收入支出结构分析。</w:t>
      </w:r>
    </w:p>
    <w:p w14:paraId="5B11FEFF">
      <w:pPr>
        <w:pStyle w:val="5"/>
        <w:shd w:val="clear" w:color="auto" w:fill="FFFFFF"/>
        <w:rPr>
          <w:rFonts w:hint="eastAsia" w:asciiTheme="minorEastAsia" w:hAnsiTheme="minorEastAsia" w:eastAsiaTheme="minorEastAsia"/>
        </w:rPr>
      </w:pPr>
      <w:r>
        <w:rPr>
          <w:rFonts w:hint="eastAsia" w:asciiTheme="minorEastAsia" w:hAnsiTheme="minorEastAsia" w:eastAsiaTheme="minorEastAsia"/>
        </w:rPr>
        <w:t xml:space="preserve">（1） </w:t>
      </w:r>
    </w:p>
    <w:p w14:paraId="6F25E8F9">
      <w:pPr>
        <w:pStyle w:val="5"/>
        <w:shd w:val="clear" w:color="auto" w:fill="FFFFFF"/>
        <w:rPr>
          <w:rFonts w:hint="eastAsia" w:asciiTheme="minorEastAsia" w:hAnsiTheme="minorEastAsia" w:eastAsiaTheme="minorEastAsia"/>
        </w:rPr>
      </w:pPr>
      <w:r>
        <w:rPr>
          <w:rFonts w:hint="eastAsia" w:asciiTheme="minorEastAsia" w:hAnsiTheme="minorEastAsia" w:eastAsiaTheme="minorEastAsia"/>
        </w:rPr>
        <w:t>本单位本年度总收入为258.33万元。其中：一般公共预算财政拨款收入为258.33万元，占比100.00%；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0.00万元，占比0.00%。</w:t>
      </w:r>
    </w:p>
    <w:p w14:paraId="04D31CE5">
      <w:pPr>
        <w:pStyle w:val="5"/>
        <w:shd w:val="clear" w:color="auto" w:fill="FFFFFF"/>
        <w:rPr>
          <w:rFonts w:hint="eastAsia" w:asciiTheme="minorEastAsia" w:hAnsiTheme="minorEastAsia" w:eastAsiaTheme="minorEastAsia"/>
        </w:rPr>
      </w:pPr>
      <w:r>
        <w:rPr>
          <w:rFonts w:asciiTheme="minorEastAsia" w:hAnsiTheme="minorEastAsia" w:eastAsiaTheme="minorEastAsia"/>
        </w:rPr>
        <w:drawing>
          <wp:inline distT="0" distB="0" distL="0" distR="0">
            <wp:extent cx="5274945" cy="3077210"/>
            <wp:effectExtent l="19050" t="0" r="20955" b="8890"/>
            <wp:docPr id="12"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557935E">
      <w:pPr>
        <w:pStyle w:val="5"/>
        <w:shd w:val="clear" w:color="auto" w:fill="FFFFFF"/>
        <w:rPr>
          <w:rStyle w:val="8"/>
          <w:rFonts w:hint="eastAsia" w:asciiTheme="minorEastAsia" w:hAnsiTheme="minorEastAsia" w:eastAsiaTheme="minorEastAsia"/>
          <w:b w:val="0"/>
          <w:bCs w:val="0"/>
        </w:rPr>
      </w:pPr>
      <w:r>
        <w:rPr>
          <w:rFonts w:hint="eastAsia" w:asciiTheme="minorEastAsia" w:hAnsiTheme="minorEastAsia" w:eastAsiaTheme="minorEastAsia"/>
        </w:rPr>
        <w:t>本年度总支出为258.33万元。其中：一般公共服务支出为189.28万元，占比73.27%；外交支出为0.00万元，占比0.00%；国防支出为0.00万元，占比0.00%；公共安全支出为0.00万元，占比0.00%；教育支出为0.00万元，占比0.00%；科学技术支出为0.00万元，占比0.00%；文化旅游体育与传媒支出为0.00万元，占比0.00%；社会保障和就业支出为36.16万元，占比14.00%；卫生健康支出为13.17万元，占比5.10%；节能环保支出为0.00万元，占比0.00%；城乡社区支出为0.00万元，占比0.00%；农林水支出为2.88万元，占比1.11%；交通运输支出为0.00万元，占比0.00%；资源勘探工业信息等支出为0.00万元，占比0.00%；商业服务业等支出为0.00万元，占比0.00%；金融支出为0.00万元，占比0.00%；援助其他地区支出为0.00万元，占比0.00%；自然资源海洋气象等支出为0.00万元，占比0.00%；住房保障支出为16.84万元，占比6.52%；粮油物资储备支出为0.00万元，占比0.00%；国有资本经营预算支出为0.00万元，占比0.00%；灾害防治及应急管理支出为0.00万元，占比0.00%；其他支出为0.00万元，占比0.00%；债务还本支出为0.00万元，占比0.00%；债务付息支出为0.00万元，占比0.00%；抗疫特别国债安排的支出为0.00万元，占比0.00%。</w:t>
      </w:r>
      <w:r>
        <w:rPr>
          <w:rFonts w:hint="eastAsia" w:asciiTheme="minorEastAsia" w:hAnsiTheme="minorEastAsia" w:eastAsiaTheme="minorEastAsia"/>
        </w:rPr>
        <w:drawing>
          <wp:inline distT="0" distB="0" distL="0" distR="0">
            <wp:extent cx="5274945" cy="3077210"/>
            <wp:effectExtent l="19050" t="0" r="20955" b="889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895AA68">
      <w:pPr>
        <w:pStyle w:val="5"/>
        <w:shd w:val="clear" w:color="auto" w:fill="FFFFFF"/>
        <w:rPr>
          <w:rFonts w:hint="eastAsia" w:asciiTheme="minorEastAsia" w:hAnsiTheme="minorEastAsia" w:eastAsiaTheme="minorEastAsia"/>
        </w:rPr>
      </w:pPr>
    </w:p>
    <w:p w14:paraId="0EEA9D9E">
      <w:pPr>
        <w:pStyle w:val="5"/>
        <w:shd w:val="clear" w:color="auto" w:fill="FFFFFF"/>
        <w:rPr>
          <w:rFonts w:asciiTheme="minorEastAsia" w:hAnsiTheme="minorEastAsia" w:eastAsiaTheme="minorEastAsia"/>
        </w:rPr>
      </w:pPr>
    </w:p>
    <w:p w14:paraId="217AACAD">
      <w:pPr>
        <w:pStyle w:val="5"/>
        <w:shd w:val="clear" w:color="auto" w:fill="FFFFFF"/>
        <w:rPr>
          <w:rFonts w:hint="eastAsia" w:asciiTheme="minorEastAsia" w:hAnsiTheme="minorEastAsia" w:eastAsiaTheme="minorEastAsia"/>
        </w:rPr>
      </w:pPr>
      <w:r>
        <w:rPr>
          <w:rFonts w:hint="eastAsia" w:asciiTheme="minorEastAsia" w:hAnsiTheme="minorEastAsia" w:eastAsiaTheme="minorEastAsia"/>
        </w:rPr>
        <w:t>（2）本年度一般公共预算财政拨款收入相比上年度增加258.33万元，</w:t>
      </w:r>
      <w:r>
        <w:rPr>
          <w:rStyle w:val="8"/>
          <w:rFonts w:hint="eastAsia" w:asciiTheme="minorEastAsia" w:hAnsiTheme="minorEastAsia" w:eastAsiaTheme="minorEastAsia"/>
          <w:b w:val="0"/>
        </w:rPr>
        <w:t>主要原因为2021年无事业套账，是在2022年新建的事业套账</w:t>
      </w:r>
      <w:r>
        <w:rPr>
          <w:rFonts w:hint="eastAsia" w:asciiTheme="minorEastAsia" w:hAnsiTheme="minorEastAsia" w:eastAsiaTheme="minorEastAsia"/>
        </w:rPr>
        <w:t>；政府性基金预算财政拨款收入相比上年度增加0.00万元；国有资本经营预算财政拨款收入相比上年度增加0.00万元；上级补助收入相比上年度增加0.00万元；事业收入相比上年度增加0.00万元；经营收入相比上年度增加0.00万元；附属单位上缴收入相比上年度增加0.00万元；其他收入相比上年度增加0.00万元，。本年度一般公共服务支出相比上年度增加189.28万元，</w:t>
      </w:r>
      <w:r>
        <w:rPr>
          <w:rStyle w:val="8"/>
          <w:rFonts w:hint="eastAsia" w:asciiTheme="minorEastAsia" w:hAnsiTheme="minorEastAsia" w:eastAsiaTheme="minorEastAsia"/>
          <w:b w:val="0"/>
        </w:rPr>
        <w:t>主要原因为2021年无事业套账，是在2022年新建的事业套账</w:t>
      </w:r>
      <w:r>
        <w:rPr>
          <w:rFonts w:hint="eastAsia" w:asciiTheme="minorEastAsia" w:hAnsiTheme="minorEastAsia" w:eastAsiaTheme="minorEastAsia"/>
        </w:rPr>
        <w:t>，外交支出相比上年度增加0.00万元；国防支出相比上年度增加0.00万元；公共安全支出相比上年度增加0.00万元；教育支出相比上年度增加0.00万元；科学技术支出相比上年度增加0.00万元；文化旅游体育与传媒支出相比上年度增加0.00万元；社会保障和就业支出相比上年度增加36.16万元，</w:t>
      </w:r>
      <w:r>
        <w:rPr>
          <w:rStyle w:val="8"/>
          <w:rFonts w:hint="eastAsia" w:asciiTheme="minorEastAsia" w:hAnsiTheme="minorEastAsia" w:eastAsiaTheme="minorEastAsia"/>
          <w:b w:val="0"/>
        </w:rPr>
        <w:t>主要原因为2021年无事业套账，是在2022年新建的事业套账</w:t>
      </w:r>
      <w:r>
        <w:rPr>
          <w:rFonts w:hint="eastAsia" w:asciiTheme="minorEastAsia" w:hAnsiTheme="minorEastAsia" w:eastAsiaTheme="minorEastAsia"/>
        </w:rPr>
        <w:t>；卫生健康支出相比上年度增加13.17万元，</w:t>
      </w:r>
      <w:r>
        <w:rPr>
          <w:rStyle w:val="8"/>
          <w:rFonts w:hint="eastAsia" w:asciiTheme="minorEastAsia" w:hAnsiTheme="minorEastAsia" w:eastAsiaTheme="minorEastAsia"/>
          <w:b w:val="0"/>
        </w:rPr>
        <w:t>主要原因为2021年无事业套账，是在2022年新建的事业套账</w:t>
      </w:r>
      <w:r>
        <w:rPr>
          <w:rFonts w:hint="eastAsia" w:asciiTheme="minorEastAsia" w:hAnsiTheme="minorEastAsia" w:eastAsiaTheme="minorEastAsia"/>
        </w:rPr>
        <w:t>；节能环保支出相比上年度增加0.00万元；城乡社区支出相比上年度增加0.00万元；农林水支出相比上年度增加2.88万元，</w:t>
      </w:r>
      <w:r>
        <w:rPr>
          <w:rStyle w:val="8"/>
          <w:rFonts w:hint="eastAsia" w:asciiTheme="minorEastAsia" w:hAnsiTheme="minorEastAsia" w:eastAsiaTheme="minorEastAsia"/>
          <w:b w:val="0"/>
        </w:rPr>
        <w:t>主要原因为2021年无事业套账，是在2022年新建的事业套账</w:t>
      </w:r>
      <w:r>
        <w:rPr>
          <w:rFonts w:hint="eastAsia" w:asciiTheme="minorEastAsia" w:hAnsiTheme="minorEastAsia" w:eastAsiaTheme="minorEastAsia"/>
        </w:rPr>
        <w:t>；交通运输支出相比上年度增加0.00万元；资源勘探工业信息等支出相比上年度增加0.00万元；商业服务业等支出相比上年度增加0.00万元；金融支出相比上年度增加0.00万元；援助其他地区支出相比上年度增加0.00万元；自然资源海洋气象等支出相比上年度增加0.00万元；住房保障支出相比上年度增加16.84万元，</w:t>
      </w:r>
      <w:r>
        <w:rPr>
          <w:rStyle w:val="8"/>
          <w:rFonts w:hint="eastAsia" w:asciiTheme="minorEastAsia" w:hAnsiTheme="minorEastAsia" w:eastAsiaTheme="minorEastAsia"/>
          <w:b w:val="0"/>
        </w:rPr>
        <w:t>主要原因为2021年无事业套账，是在2022年新建的事业套账</w:t>
      </w:r>
      <w:r>
        <w:rPr>
          <w:rFonts w:hint="eastAsia" w:asciiTheme="minorEastAsia" w:hAnsiTheme="minorEastAsia" w:eastAsiaTheme="minorEastAsia"/>
        </w:rPr>
        <w:t>；粮油物资储备支出相比上年度增加0.00万元；国有资本经营预算支出相比上年度增加0.00万元；灾害防治及应急管理支出相比上年度增加0.00万元；其他支出相比上年度增加0.00万元；债务还本支出相比上年度增加0.00万元；债务付息支出相比上年度增加0.00万元；抗疫特别国债安排的支出相比上年度增加0.00万元。</w:t>
      </w:r>
    </w:p>
    <w:p w14:paraId="4BB86B70">
      <w:pPr>
        <w:pStyle w:val="5"/>
        <w:shd w:val="clear" w:color="auto" w:fill="FFFFFF"/>
        <w:jc w:val="center"/>
        <w:rPr>
          <w:rStyle w:val="8"/>
          <w:rFonts w:hint="eastAsia" w:asciiTheme="minorEastAsia" w:hAnsiTheme="minorEastAsia" w:eastAsiaTheme="minorEastAsia"/>
          <w:b w:val="0"/>
        </w:rPr>
      </w:pPr>
      <w:r>
        <w:rPr>
          <w:rFonts w:hint="eastAsia" w:asciiTheme="minorEastAsia" w:hAnsiTheme="minorEastAsia" w:eastAsiaTheme="minorEastAsia"/>
        </w:rPr>
        <w:t>较上年度支出变化情况图（万元）（柱状图）</w:t>
      </w:r>
    </w:p>
    <w:p w14:paraId="1BE7C8E2">
      <w:pPr>
        <w:pStyle w:val="5"/>
        <w:shd w:val="clear" w:color="auto" w:fill="FFFFFF"/>
        <w:rPr>
          <w:rFonts w:asciiTheme="minorEastAsia" w:hAnsiTheme="minorEastAsia" w:eastAsiaTheme="minorEastAsia"/>
        </w:rPr>
      </w:pPr>
      <w:r>
        <w:rPr>
          <w:rFonts w:asciiTheme="minorEastAsia" w:hAnsiTheme="minorEastAsia" w:eastAsiaTheme="minorEastAsia"/>
        </w:rPr>
        <w:drawing>
          <wp:inline distT="0" distB="0" distL="0" distR="0">
            <wp:extent cx="5274945" cy="3077210"/>
            <wp:effectExtent l="19050" t="0" r="20955" b="889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8D40F7F">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3．支出按经济分类科目分析。</w:t>
      </w:r>
    </w:p>
    <w:p w14:paraId="76643C60">
      <w:pPr>
        <w:pStyle w:val="5"/>
        <w:shd w:val="clear" w:color="auto" w:fill="FFFFFF"/>
        <w:rPr>
          <w:rStyle w:val="8"/>
          <w:rFonts w:hint="eastAsia" w:asciiTheme="minorEastAsia" w:hAnsiTheme="minorEastAsia" w:eastAsiaTheme="minorEastAsia"/>
          <w:b w:val="0"/>
        </w:rPr>
      </w:pPr>
      <w:r>
        <w:rPr>
          <w:rFonts w:hint="eastAsia" w:asciiTheme="minorEastAsia" w:hAnsiTheme="minorEastAsia" w:eastAsiaTheme="minorEastAsia"/>
        </w:rPr>
        <w:t>（1） “三公”经费支出情况：本单位本年度“三公”经费支出决算数为0.00万元。其中:因公出国（境）费支出决算数为0.00万元，相比上年度增加0.00万元，</w:t>
      </w:r>
      <w:r>
        <w:rPr>
          <w:rStyle w:val="8"/>
          <w:rFonts w:hint="eastAsia" w:asciiTheme="minorEastAsia" w:hAnsiTheme="minorEastAsia" w:eastAsiaTheme="minorEastAsia"/>
          <w:b w:val="0"/>
        </w:rPr>
        <w:t>主要原因为厉行节约</w:t>
      </w:r>
      <w:r>
        <w:rPr>
          <w:rFonts w:hint="eastAsia" w:asciiTheme="minorEastAsia" w:hAnsiTheme="minorEastAsia" w:eastAsiaTheme="minorEastAsia"/>
        </w:rPr>
        <w:t>；公务用车购置及运行维护费支出决算数为0.00万元</w:t>
      </w:r>
      <w:r>
        <w:rPr>
          <w:rFonts w:hint="eastAsia" w:asciiTheme="minorEastAsia" w:hAnsiTheme="minorEastAsia" w:eastAsiaTheme="minorEastAsia"/>
          <w:lang w:eastAsia="zh-CN"/>
        </w:rPr>
        <w:t>，</w:t>
      </w:r>
      <w:r>
        <w:rPr>
          <w:rFonts w:hint="eastAsia" w:asciiTheme="minorEastAsia" w:hAnsiTheme="minorEastAsia" w:eastAsiaTheme="minorEastAsia"/>
        </w:rPr>
        <w:t>公务用车购置费支出决算数为0.00万元</w:t>
      </w:r>
      <w:r>
        <w:rPr>
          <w:rFonts w:hint="eastAsia" w:asciiTheme="minorEastAsia" w:hAnsiTheme="minorEastAsia" w:eastAsiaTheme="minorEastAsia"/>
          <w:lang w:eastAsia="zh-CN"/>
        </w:rPr>
        <w:t>，</w:t>
      </w:r>
      <w:r>
        <w:rPr>
          <w:rFonts w:hint="eastAsia" w:asciiTheme="minorEastAsia" w:hAnsiTheme="minorEastAsia" w:eastAsiaTheme="minorEastAsia"/>
        </w:rPr>
        <w:t>公务用车运行维护费支出决算数为0.00万元，相比上年度增加0.00万元，</w:t>
      </w:r>
      <w:r>
        <w:rPr>
          <w:rStyle w:val="8"/>
          <w:rFonts w:hint="eastAsia" w:asciiTheme="minorEastAsia" w:hAnsiTheme="minorEastAsia" w:eastAsiaTheme="minorEastAsia"/>
          <w:b w:val="0"/>
        </w:rPr>
        <w:t>主要原因为厉行节约，在机关套账支出</w:t>
      </w:r>
      <w:r>
        <w:rPr>
          <w:rFonts w:hint="eastAsia" w:asciiTheme="minorEastAsia" w:hAnsiTheme="minorEastAsia" w:eastAsiaTheme="minorEastAsia"/>
        </w:rPr>
        <w:t>；公务接待费支出决算数为0.00万元，相比上年度增加0.00万元，</w:t>
      </w:r>
      <w:r>
        <w:rPr>
          <w:rStyle w:val="8"/>
          <w:rFonts w:hint="eastAsia" w:asciiTheme="minorEastAsia" w:hAnsiTheme="minorEastAsia" w:eastAsiaTheme="minorEastAsia"/>
          <w:b w:val="0"/>
        </w:rPr>
        <w:t>主要原因为厉行节约</w:t>
      </w:r>
      <w:r>
        <w:rPr>
          <w:rFonts w:hint="eastAsia" w:asciiTheme="minorEastAsia" w:hAnsiTheme="minorEastAsia" w:eastAsiaTheme="minorEastAsia"/>
        </w:rPr>
        <w:t>。 本年度“三公”经费支出预算数为0.00万元，决算数为0.00万元，预算完成度为0.00%，</w:t>
      </w:r>
      <w:r>
        <w:rPr>
          <w:rStyle w:val="8"/>
          <w:rFonts w:hint="eastAsia" w:asciiTheme="minorEastAsia" w:hAnsiTheme="minorEastAsia" w:eastAsiaTheme="minorEastAsia"/>
          <w:b w:val="0"/>
        </w:rPr>
        <w:t>主要原因为厉行节约，在机关套账支出</w:t>
      </w:r>
      <w:r>
        <w:rPr>
          <w:rFonts w:hint="eastAsia" w:asciiTheme="minorEastAsia" w:hAnsiTheme="minorEastAsia" w:eastAsiaTheme="minorEastAsia"/>
        </w:rPr>
        <w:t>。本年度因 公出国（境）费人均支出为0.00万元，公务用车购置及运行维护费人均支出为0.00万元，公务接待费人均支出为0.00万元。</w:t>
      </w:r>
    </w:p>
    <w:p w14:paraId="0D78F3D2">
      <w:pPr>
        <w:pStyle w:val="5"/>
        <w:shd w:val="clear" w:color="auto" w:fill="FFFFFF"/>
        <w:rPr>
          <w:rFonts w:asciiTheme="minorEastAsia" w:hAnsiTheme="minorEastAsia" w:eastAsiaTheme="minorEastAsia"/>
        </w:rPr>
      </w:pPr>
      <w:r>
        <w:rPr>
          <w:rFonts w:hint="eastAsia" w:asciiTheme="minorEastAsia" w:hAnsiTheme="minorEastAsia" w:eastAsiaTheme="minorEastAsia"/>
        </w:rPr>
        <w:t>（2） 会议费支出情况：本单位本年度会议费支出决算数为0.00万元，相比上年度增加0.00万元，</w:t>
      </w:r>
      <w:r>
        <w:rPr>
          <w:rStyle w:val="8"/>
          <w:rFonts w:hint="eastAsia" w:asciiTheme="minorEastAsia" w:hAnsiTheme="minorEastAsia" w:eastAsiaTheme="minorEastAsia"/>
          <w:b w:val="0"/>
        </w:rPr>
        <w:t>主要原因为厉行节约</w:t>
      </w:r>
      <w:r>
        <w:rPr>
          <w:rFonts w:hint="eastAsia" w:asciiTheme="minorEastAsia" w:hAnsiTheme="minorEastAsia" w:eastAsiaTheme="minorEastAsia"/>
        </w:rPr>
        <w:t>；会议费人均支出为0.00万元。</w:t>
      </w:r>
    </w:p>
    <w:p w14:paraId="4AF171BA">
      <w:pPr>
        <w:pStyle w:val="5"/>
        <w:shd w:val="clear" w:color="auto" w:fill="FFFFFF"/>
        <w:rPr>
          <w:rFonts w:asciiTheme="minorEastAsia" w:hAnsiTheme="minorEastAsia" w:eastAsiaTheme="minorEastAsia"/>
        </w:rPr>
      </w:pPr>
      <w:r>
        <w:rPr>
          <w:rFonts w:hint="eastAsia" w:asciiTheme="minorEastAsia" w:hAnsiTheme="minorEastAsia" w:eastAsiaTheme="minorEastAsia"/>
        </w:rPr>
        <w:t>（3） 培训费支出情况：本单位本年度培训费支出决算数为0.00万元，相比上年度增加0.00万元，</w:t>
      </w:r>
      <w:r>
        <w:rPr>
          <w:rStyle w:val="8"/>
          <w:rFonts w:hint="eastAsia" w:asciiTheme="minorEastAsia" w:hAnsiTheme="minorEastAsia" w:eastAsiaTheme="minorEastAsia"/>
          <w:b w:val="0"/>
        </w:rPr>
        <w:t>主要原因为厉行节约</w:t>
      </w:r>
      <w:r>
        <w:rPr>
          <w:rFonts w:hint="eastAsia" w:asciiTheme="minorEastAsia" w:hAnsiTheme="minorEastAsia" w:eastAsiaTheme="minorEastAsia"/>
        </w:rPr>
        <w:t>；培训费人均支出为0.00万元。</w:t>
      </w:r>
    </w:p>
    <w:p w14:paraId="5103E93C">
      <w:pPr>
        <w:pStyle w:val="5"/>
        <w:shd w:val="clear" w:color="auto" w:fill="FFFFFF"/>
        <w:rPr>
          <w:rFonts w:asciiTheme="minorEastAsia" w:hAnsiTheme="minorEastAsia" w:eastAsiaTheme="minorEastAsia"/>
        </w:rPr>
      </w:pPr>
      <w:r>
        <w:rPr>
          <w:rFonts w:hint="eastAsia" w:asciiTheme="minorEastAsia" w:hAnsiTheme="minorEastAsia" w:eastAsiaTheme="minorEastAsia"/>
        </w:rPr>
        <w:t>（4）其他对单位影响较大的支出情况。</w:t>
      </w:r>
    </w:p>
    <w:p w14:paraId="00F5A3A5">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无</w:t>
      </w:r>
    </w:p>
    <w:p w14:paraId="549E9BCF">
      <w:pPr>
        <w:pStyle w:val="5"/>
        <w:shd w:val="clear" w:color="auto" w:fill="FFFFFF"/>
        <w:rPr>
          <w:rFonts w:asciiTheme="minorEastAsia" w:hAnsiTheme="minorEastAsia" w:eastAsiaTheme="minorEastAsia"/>
        </w:rPr>
      </w:pPr>
      <w:r>
        <w:rPr>
          <w:rFonts w:hint="eastAsia" w:asciiTheme="minorEastAsia" w:hAnsiTheme="minorEastAsia" w:eastAsiaTheme="minorEastAsia"/>
        </w:rPr>
        <w:t>（5）重点经济分类支出中存在的问题及改进措施。</w:t>
      </w:r>
    </w:p>
    <w:p w14:paraId="064D5345">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无</w:t>
      </w:r>
    </w:p>
    <w:p w14:paraId="4148DC92">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4.财政拨款收入、支出分析。</w:t>
      </w:r>
    </w:p>
    <w:p w14:paraId="49F463AE">
      <w:pPr>
        <w:pStyle w:val="5"/>
        <w:shd w:val="clear" w:color="auto" w:fill="FFFFFF"/>
        <w:rPr>
          <w:rFonts w:hint="eastAsia" w:asciiTheme="minorEastAsia" w:hAnsiTheme="minorEastAsia" w:eastAsiaTheme="minorEastAsia"/>
          <w:bCs/>
        </w:rPr>
      </w:pPr>
      <w:r>
        <w:rPr>
          <w:rFonts w:hint="eastAsia" w:asciiTheme="minorEastAsia" w:hAnsiTheme="minorEastAsia" w:eastAsiaTheme="minorEastAsia"/>
        </w:rPr>
        <w:t>本单位本年度财政拨款收入为258.33万元，财政拨款支出为258.33万元，其中：基本支出中人员经费支出为241.43万元，公用经费支出为13.02万元。项目支出中基本建设类项目支出为0.00万元，支出要按照基本支出和项目支出分类，其中：基本支出中，政府办公厅（室）及相关机构事务（事业运行）支出188.28万元，</w:t>
      </w:r>
      <w:r>
        <w:rPr>
          <w:rFonts w:asciiTheme="minorEastAsia" w:hAnsiTheme="minorEastAsia" w:eastAsiaTheme="minorEastAsia"/>
        </w:rPr>
        <w:t>机关事业单位基本养老保险缴费支出</w:t>
      </w:r>
      <w:r>
        <w:rPr>
          <w:rFonts w:hint="eastAsia" w:asciiTheme="minorEastAsia" w:hAnsiTheme="minorEastAsia" w:eastAsiaTheme="minorEastAsia"/>
        </w:rPr>
        <w:t>26.05万元，</w:t>
      </w:r>
      <w:r>
        <w:rPr>
          <w:rFonts w:asciiTheme="minorEastAsia" w:hAnsiTheme="minorEastAsia" w:eastAsiaTheme="minorEastAsia"/>
        </w:rPr>
        <w:t>机关事业单位职业年金缴费支出</w:t>
      </w:r>
      <w:r>
        <w:rPr>
          <w:rFonts w:hint="eastAsia" w:asciiTheme="minorEastAsia" w:hAnsiTheme="minorEastAsia" w:eastAsiaTheme="minorEastAsia"/>
        </w:rPr>
        <w:t>10.11万元，行政事业单位医疗支出13.17万元；项目指出中</w:t>
      </w:r>
      <w:r>
        <w:rPr>
          <w:rFonts w:hint="eastAsia" w:asciiTheme="minorEastAsia" w:hAnsiTheme="minorEastAsia" w:eastAsiaTheme="minorEastAsia"/>
          <w:bCs/>
        </w:rPr>
        <w:t>政务公开审批支出1万元，对村民委员会和村党支部的补助支出2.88万元。</w:t>
      </w:r>
    </w:p>
    <w:p w14:paraId="52B53610">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（三）年末结转和结余情况。</w:t>
      </w:r>
    </w:p>
    <w:p w14:paraId="7D3F00A5">
      <w:pPr>
        <w:pStyle w:val="5"/>
        <w:shd w:val="clear" w:color="auto" w:fill="FFFFFF"/>
        <w:rPr>
          <w:rFonts w:asciiTheme="minorEastAsia" w:hAnsiTheme="minorEastAsia" w:eastAsiaTheme="minorEastAsia"/>
        </w:rPr>
      </w:pPr>
      <w:r>
        <w:rPr>
          <w:rFonts w:hint="eastAsia" w:asciiTheme="minorEastAsia" w:hAnsiTheme="minorEastAsia" w:eastAsiaTheme="minorEastAsia"/>
        </w:rPr>
        <w:t>无</w:t>
      </w:r>
    </w:p>
    <w:p w14:paraId="507AA10A">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（四）与预算支出相关的其他指标分析。</w:t>
      </w:r>
    </w:p>
    <w:p w14:paraId="2F1B5190">
      <w:pPr>
        <w:pStyle w:val="5"/>
        <w:shd w:val="clear" w:color="auto" w:fill="FFFFFF"/>
        <w:rPr>
          <w:rFonts w:hint="eastAsia" w:asciiTheme="minorEastAsia" w:hAnsiTheme="minorEastAsia" w:eastAsiaTheme="minorEastAsia"/>
        </w:rPr>
      </w:pPr>
      <w:r>
        <w:rPr>
          <w:rFonts w:hint="eastAsia" w:asciiTheme="minorEastAsia" w:hAnsiTheme="minorEastAsia" w:eastAsiaTheme="minorEastAsia"/>
        </w:rPr>
        <w:t>对资产、负债信息进行分析，主要分析与上年度对比情况，年度收支情况中，2022年本年收入258.33万元，2021年上年度收入0万元，比上年增加258.33万元；2022年本年度支出258.33万元，2021年上年度支出0万元，比上年增加258.33万元；年初预算数中，2022年本年度收入合计222.55万元，2021年上年度收入合计0万元，比上年增加222.55万元，2022年本年度支出合计222.55万元，2021年上年度合计支出0万元，比上年增加222.55万元。</w:t>
      </w:r>
    </w:p>
    <w:p w14:paraId="71193E36">
      <w:pPr>
        <w:pStyle w:val="5"/>
        <w:shd w:val="clear" w:color="auto" w:fill="FFFFFF"/>
        <w:rPr>
          <w:rFonts w:hint="eastAsia" w:asciiTheme="minorEastAsia" w:hAnsiTheme="minorEastAsia" w:eastAsiaTheme="minorEastAsia"/>
        </w:rPr>
      </w:pPr>
      <w:r>
        <w:rPr>
          <w:rFonts w:hint="eastAsia" w:asciiTheme="minorEastAsia" w:hAnsiTheme="minorEastAsia" w:eastAsiaTheme="minorEastAsia"/>
        </w:rPr>
        <w:t>剩余资产信息在机关账套中体现。</w:t>
      </w:r>
    </w:p>
    <w:p w14:paraId="2087DB32">
      <w:pPr>
        <w:pStyle w:val="5"/>
        <w:shd w:val="clear" w:color="auto" w:fill="FFFFFF"/>
        <w:rPr>
          <w:rFonts w:hint="eastAsia" w:cs="仿宋_GB2312" w:asciiTheme="minorEastAsia" w:hAnsiTheme="minorEastAsia" w:eastAsiaTheme="minorEastAsia"/>
          <w:color w:val="000000"/>
        </w:rPr>
      </w:pPr>
      <w:r>
        <w:rPr>
          <w:rFonts w:hint="eastAsia" w:cs="仿宋_GB2312" w:asciiTheme="minorEastAsia" w:hAnsiTheme="minorEastAsia" w:eastAsiaTheme="minorEastAsia"/>
          <w:color w:val="000000"/>
        </w:rPr>
        <w:drawing>
          <wp:inline distT="0" distB="0" distL="0" distR="0">
            <wp:extent cx="5274945" cy="3077210"/>
            <wp:effectExtent l="19050" t="0" r="20955" b="889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E3FCE04">
      <w:pPr>
        <w:pStyle w:val="5"/>
        <w:shd w:val="clear" w:color="auto" w:fill="FFFFFF"/>
        <w:rPr>
          <w:rFonts w:hint="eastAsia" w:cs="仿宋_GB2312" w:asciiTheme="minorEastAsia" w:hAnsiTheme="minorEastAsia" w:eastAsiaTheme="minorEastAsia"/>
          <w:color w:val="000000"/>
        </w:rPr>
      </w:pPr>
    </w:p>
    <w:p w14:paraId="53AD495C">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（五）绩效目标完成情况。</w:t>
      </w:r>
    </w:p>
    <w:p w14:paraId="38F72801">
      <w:pPr>
        <w:pStyle w:val="5"/>
        <w:shd w:val="clear" w:color="auto" w:fill="FFFFFF"/>
        <w:rPr>
          <w:rFonts w:asciiTheme="minorEastAsia" w:hAnsiTheme="minorEastAsia" w:eastAsiaTheme="minorEastAsia"/>
        </w:rPr>
      </w:pPr>
      <w:r>
        <w:rPr>
          <w:rFonts w:hint="eastAsia" w:asciiTheme="minorEastAsia" w:hAnsiTheme="minorEastAsia" w:eastAsiaTheme="minorEastAsia"/>
        </w:rPr>
        <w:t>1.概述项目绩效目标完成情况。</w:t>
      </w:r>
    </w:p>
    <w:p w14:paraId="48845B62">
      <w:pPr>
        <w:pStyle w:val="5"/>
        <w:shd w:val="clear" w:color="auto" w:fill="FFFFFF"/>
        <w:rPr>
          <w:rFonts w:hint="eastAsia" w:cs="仿宋_GB2312" w:asciiTheme="minorEastAsia" w:hAnsiTheme="minorEastAsia" w:eastAsiaTheme="minorEastAsia"/>
          <w:bCs/>
          <w:kern w:val="2"/>
          <w:lang w:val="zh-CN"/>
        </w:rPr>
      </w:pPr>
      <w:r>
        <w:rPr>
          <w:rFonts w:hint="eastAsia" w:cs="仿宋_GB2312" w:asciiTheme="minorEastAsia" w:hAnsiTheme="minorEastAsia" w:eastAsiaTheme="minorEastAsia"/>
          <w:bCs/>
          <w:kern w:val="2"/>
          <w:lang w:val="en-US" w:eastAsia="zh-CN"/>
        </w:rPr>
        <w:t xml:space="preserve">  </w:t>
      </w:r>
      <w:bookmarkStart w:id="16" w:name="_GoBack"/>
      <w:bookmarkEnd w:id="16"/>
      <w:r>
        <w:rPr>
          <w:rFonts w:hint="eastAsia" w:cs="仿宋_GB2312" w:asciiTheme="minorEastAsia" w:hAnsiTheme="minorEastAsia" w:eastAsiaTheme="minorEastAsia"/>
          <w:bCs/>
          <w:kern w:val="2"/>
          <w:lang w:val="zh-CN"/>
        </w:rPr>
        <w:t>根据预算绩效管理要求，本部门在年初预算编制阶段，组织对项目开展了预算事前绩效评估，对项目编制了绩效目标，预算执行过程中，选取项目开展绩效监控，年终执行完毕后，对项目开展了绩效目标完成情况梳理填报。</w:t>
      </w:r>
    </w:p>
    <w:p w14:paraId="7A5571F6">
      <w:pPr>
        <w:pStyle w:val="5"/>
        <w:shd w:val="clear" w:color="auto" w:fill="FFFFFF"/>
        <w:rPr>
          <w:rFonts w:hint="eastAsia" w:cs="仿宋_GB2312" w:asciiTheme="minorEastAsia" w:hAnsiTheme="minorEastAsia" w:eastAsiaTheme="minorEastAsia"/>
        </w:rPr>
      </w:pPr>
      <w:r>
        <w:rPr>
          <w:rFonts w:hint="eastAsia" w:cs="仿宋_GB2312" w:asciiTheme="minorEastAsia" w:hAnsiTheme="minorEastAsia" w:eastAsiaTheme="minorEastAsia"/>
          <w:bCs/>
          <w:kern w:val="2"/>
          <w:lang w:val="en-US" w:eastAsia="zh-CN"/>
        </w:rPr>
        <w:t xml:space="preserve">  </w:t>
      </w:r>
      <w:r>
        <w:rPr>
          <w:rFonts w:hint="eastAsia" w:cs="仿宋_GB2312" w:asciiTheme="minorEastAsia" w:hAnsiTheme="minorEastAsia" w:eastAsiaTheme="minorEastAsia"/>
          <w:bCs/>
          <w:kern w:val="2"/>
          <w:lang w:val="zh-CN"/>
        </w:rPr>
        <w:t>本部门按要求对2022年部门整体支出开展绩效自评，从评价情况来看</w:t>
      </w:r>
      <w:r>
        <w:rPr>
          <w:rFonts w:hint="eastAsia" w:cs="仿宋_GB2312" w:asciiTheme="minorEastAsia" w:hAnsiTheme="minorEastAsia" w:eastAsiaTheme="minorEastAsia"/>
          <w:bCs/>
          <w:kern w:val="2"/>
          <w:lang w:val="zh-CN"/>
        </w:rPr>
        <w:t>，我乡严格按照年初预算进行部门整体支出，预算资金覆盖我乡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cs="仿宋_GB2312" w:asciiTheme="minorEastAsia" w:hAnsiTheme="minorEastAsia" w:eastAsiaTheme="minorEastAsia"/>
        </w:rPr>
        <w:t>。</w:t>
      </w:r>
    </w:p>
    <w:p w14:paraId="4936D6A7">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（六）当年预算执行及绩效管理中存在问题、原因及改进措施。</w:t>
      </w:r>
    </w:p>
    <w:p w14:paraId="33E7CDF6">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无</w:t>
      </w:r>
    </w:p>
    <w:p w14:paraId="52253D38">
      <w:pPr>
        <w:pStyle w:val="5"/>
        <w:shd w:val="clear" w:color="auto" w:fill="FFFFFF"/>
        <w:rPr>
          <w:rFonts w:asciiTheme="minorEastAsia" w:hAnsiTheme="minorEastAsia" w:eastAsiaTheme="minorEastAsia"/>
        </w:rPr>
      </w:pPr>
      <w:r>
        <w:rPr>
          <w:rFonts w:hint="eastAsia" w:asciiTheme="minorEastAsia" w:hAnsiTheme="minorEastAsia" w:eastAsiaTheme="minorEastAsia"/>
        </w:rPr>
        <w:t>三、本年度部门决算等财务工作开展情况</w:t>
      </w:r>
    </w:p>
    <w:p w14:paraId="09B859D4">
      <w:pPr>
        <w:pStyle w:val="5"/>
        <w:shd w:val="clear" w:color="auto" w:fill="FFFFFF"/>
        <w:rPr>
          <w:rFonts w:asciiTheme="minorEastAsia" w:hAnsiTheme="minorEastAsia" w:eastAsiaTheme="minorEastAsia"/>
        </w:rPr>
      </w:pPr>
      <w:r>
        <w:rPr>
          <w:rFonts w:hint="eastAsia" w:asciiTheme="minorEastAsia" w:hAnsiTheme="minorEastAsia" w:eastAsiaTheme="minorEastAsia"/>
        </w:rPr>
        <w:t>（一）本单位财务管理、绩效管理、决算组织、编报、审核情况。</w:t>
      </w:r>
    </w:p>
    <w:p w14:paraId="37772A8A">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已完成</w:t>
      </w:r>
    </w:p>
    <w:p w14:paraId="6A50F3DA">
      <w:pPr>
        <w:pStyle w:val="5"/>
        <w:shd w:val="clear" w:color="auto" w:fill="FFFFFF"/>
        <w:rPr>
          <w:rFonts w:asciiTheme="minorEastAsia" w:hAnsiTheme="minorEastAsia" w:eastAsiaTheme="minorEastAsia"/>
        </w:rPr>
      </w:pPr>
      <w:r>
        <w:rPr>
          <w:rFonts w:hint="eastAsia" w:asciiTheme="minorEastAsia" w:hAnsiTheme="minorEastAsia" w:eastAsiaTheme="minorEastAsia"/>
        </w:rPr>
        <w:t>（二）本单位决算及绩效信息公开工作开展情况。</w:t>
      </w:r>
    </w:p>
    <w:p w14:paraId="2D53F1D6">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依审公开</w:t>
      </w:r>
    </w:p>
    <w:p w14:paraId="602AA99F">
      <w:pPr>
        <w:pStyle w:val="5"/>
        <w:shd w:val="clear" w:color="auto" w:fill="FFFFFF"/>
        <w:rPr>
          <w:rFonts w:asciiTheme="minorEastAsia" w:hAnsiTheme="minorEastAsia" w:eastAsiaTheme="minorEastAsia"/>
        </w:rPr>
      </w:pPr>
      <w:r>
        <w:rPr>
          <w:rFonts w:hint="eastAsia" w:asciiTheme="minorEastAsia" w:hAnsiTheme="minorEastAsia" w:eastAsiaTheme="minorEastAsia"/>
        </w:rPr>
        <w:t>（三）对单位决算管理及报表设计的意见建议。</w:t>
      </w:r>
    </w:p>
    <w:p w14:paraId="6EC63DAA">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无</w:t>
      </w:r>
    </w:p>
    <w:p w14:paraId="7B6B228A">
      <w:pPr>
        <w:pStyle w:val="5"/>
        <w:shd w:val="clear" w:color="auto" w:fill="FFFFFF"/>
        <w:rPr>
          <w:rFonts w:asciiTheme="minorEastAsia" w:hAnsiTheme="minorEastAsia" w:eastAsiaTheme="minorEastAsia"/>
        </w:rPr>
      </w:pPr>
      <w:r>
        <w:rPr>
          <w:rFonts w:hint="eastAsia" w:asciiTheme="minorEastAsia" w:hAnsiTheme="minorEastAsia" w:eastAsiaTheme="minorEastAsia"/>
        </w:rPr>
        <w:t>（四）对加强部门决算数据分析利用工作的建议。</w:t>
      </w:r>
    </w:p>
    <w:p w14:paraId="05CEF187">
      <w:pPr>
        <w:pStyle w:val="5"/>
        <w:shd w:val="clear" w:color="auto" w:fill="FFFFFF"/>
        <w:rPr>
          <w:rFonts w:asciiTheme="minorEastAsia" w:hAnsiTheme="minorEastAsia" w:eastAsiaTheme="minorEastAsia"/>
        </w:rPr>
      </w:pPr>
      <w:r>
        <w:rPr>
          <w:rStyle w:val="8"/>
          <w:rFonts w:hint="eastAsia" w:asciiTheme="minorEastAsia" w:hAnsiTheme="minorEastAsia" w:eastAsiaTheme="minorEastAsia"/>
          <w:b w:val="0"/>
        </w:rPr>
        <w:t>无</w:t>
      </w:r>
    </w:p>
    <w:p w14:paraId="20397A5A">
      <w:pPr>
        <w:pStyle w:val="5"/>
        <w:shd w:val="clear" w:color="auto" w:fill="FFFFFF"/>
        <w:rPr>
          <w:rFonts w:asciiTheme="minorEastAsia" w:hAnsiTheme="minorEastAsia" w:eastAsiaTheme="minorEastAsia"/>
        </w:rPr>
      </w:pPr>
      <w:r>
        <w:rPr>
          <w:rFonts w:hint="eastAsia" w:asciiTheme="minorEastAsia" w:hAnsiTheme="minorEastAsia" w:eastAsiaTheme="minorEastAsia"/>
        </w:rPr>
        <w:t>注：收入支出预算执行情况分析可参考部门决算分析评价表（见软件查询模板）及行政事业单位财务分析指标（附后）。</w:t>
      </w:r>
    </w:p>
    <w:p w14:paraId="222C6BC0">
      <w:pPr>
        <w:pStyle w:val="5"/>
        <w:shd w:val="clear" w:color="auto" w:fill="FFFFFF"/>
        <w:rPr>
          <w:rFonts w:asciiTheme="minorEastAsia" w:hAnsiTheme="minorEastAsia" w:eastAsiaTheme="minorEastAsia"/>
        </w:rPr>
      </w:pPr>
      <w:r>
        <w:rPr>
          <w:rFonts w:asciiTheme="minorEastAsia" w:hAnsiTheme="minorEastAsia" w:eastAsiaTheme="minorEastAsia"/>
        </w:rPr>
        <w:br w:type="textWrapping"/>
      </w:r>
      <w:r>
        <w:rPr>
          <w:rFonts w:hint="eastAsia" w:asciiTheme="minorEastAsia" w:hAnsiTheme="minorEastAsia" w:eastAsiaTheme="minorEastAsia"/>
        </w:rPr>
        <w:t>附：</w:t>
      </w:r>
    </w:p>
    <w:p w14:paraId="43CF67A6">
      <w:pPr>
        <w:pStyle w:val="5"/>
        <w:shd w:val="clear" w:color="auto" w:fill="FFFFFF"/>
        <w:jc w:val="center"/>
        <w:rPr>
          <w:rFonts w:asciiTheme="minorEastAsia" w:hAnsiTheme="minorEastAsia" w:eastAsiaTheme="minorEastAsia"/>
        </w:rPr>
      </w:pPr>
      <w:r>
        <w:rPr>
          <w:rFonts w:asciiTheme="minorEastAsia" w:hAnsiTheme="minorEastAsia" w:eastAsiaTheme="minorEastAsia"/>
        </w:rPr>
        <w:t> </w:t>
      </w:r>
    </w:p>
    <w:p w14:paraId="521EF083">
      <w:pPr>
        <w:pStyle w:val="5"/>
        <w:shd w:val="clear" w:color="auto" w:fill="FFFFFF"/>
        <w:jc w:val="center"/>
        <w:rPr>
          <w:rFonts w:asciiTheme="minorEastAsia" w:hAnsiTheme="minorEastAsia" w:eastAsiaTheme="minorEastAsia"/>
        </w:rPr>
      </w:pPr>
      <w:r>
        <w:rPr>
          <w:rFonts w:hint="eastAsia" w:asciiTheme="minorEastAsia" w:hAnsiTheme="minorEastAsia" w:eastAsiaTheme="minorEastAsia"/>
        </w:rPr>
        <w:t>行政事业单位财务分析指标</w:t>
      </w:r>
    </w:p>
    <w:p w14:paraId="18B17E35">
      <w:pPr>
        <w:pStyle w:val="5"/>
        <w:shd w:val="clear" w:color="auto" w:fill="FFFFFF"/>
        <w:rPr>
          <w:rFonts w:asciiTheme="minorEastAsia" w:hAnsiTheme="minorEastAsia" w:eastAsiaTheme="minorEastAsia"/>
        </w:rPr>
      </w:pPr>
      <w:r>
        <w:rPr>
          <w:rFonts w:asciiTheme="minorEastAsia" w:hAnsiTheme="minorEastAsia" w:eastAsiaTheme="minorEastAsia"/>
        </w:rPr>
        <w:t> </w:t>
      </w:r>
    </w:p>
    <w:p w14:paraId="69C51BCC">
      <w:pPr>
        <w:pStyle w:val="5"/>
        <w:shd w:val="clear" w:color="auto" w:fill="FFFFFF"/>
        <w:rPr>
          <w:rFonts w:asciiTheme="minorEastAsia" w:hAnsiTheme="minorEastAsia" w:eastAsiaTheme="minorEastAsia"/>
        </w:rPr>
      </w:pPr>
      <w:r>
        <w:rPr>
          <w:rFonts w:hint="eastAsia" w:asciiTheme="minorEastAsia" w:hAnsiTheme="minorEastAsia" w:eastAsiaTheme="minorEastAsia"/>
        </w:rPr>
        <w:t>一、行政单位财务分析指标</w:t>
      </w:r>
    </w:p>
    <w:p w14:paraId="778AB4CD">
      <w:pPr>
        <w:pStyle w:val="5"/>
        <w:shd w:val="clear" w:color="auto" w:fill="FFFFFF"/>
        <w:rPr>
          <w:rFonts w:asciiTheme="minorEastAsia" w:hAnsiTheme="minorEastAsia" w:eastAsiaTheme="minorEastAsia"/>
        </w:rPr>
      </w:pPr>
      <w:r>
        <w:rPr>
          <w:rFonts w:hint="eastAsia" w:asciiTheme="minorEastAsia" w:hAnsiTheme="minorEastAsia" w:eastAsiaTheme="minorEastAsia"/>
        </w:rPr>
        <w:t>1.支出增长率，衡量行政单位支出的增长水平。计算公式为：</w:t>
      </w:r>
    </w:p>
    <w:p w14:paraId="6DD13559">
      <w:pPr>
        <w:pStyle w:val="5"/>
        <w:shd w:val="clear" w:color="auto" w:fill="FFFFFF"/>
        <w:rPr>
          <w:rFonts w:asciiTheme="minorEastAsia" w:hAnsiTheme="minorEastAsia" w:eastAsiaTheme="minorEastAsia"/>
        </w:rPr>
      </w:pPr>
      <w:r>
        <w:rPr>
          <w:rFonts w:hint="eastAsia" w:asciiTheme="minorEastAsia" w:hAnsiTheme="minorEastAsia" w:eastAsiaTheme="minorEastAsia"/>
        </w:rPr>
        <w:t>支出增长率＝(本期支出总额÷上期支出总额-1)×100%=-100.00%</w:t>
      </w:r>
    </w:p>
    <w:p w14:paraId="10EA8C37">
      <w:pPr>
        <w:pStyle w:val="5"/>
        <w:shd w:val="clear" w:color="auto" w:fill="FFFFFF"/>
        <w:rPr>
          <w:rFonts w:asciiTheme="minorEastAsia" w:hAnsiTheme="minorEastAsia" w:eastAsiaTheme="minorEastAsia"/>
        </w:rPr>
      </w:pPr>
      <w:r>
        <w:rPr>
          <w:rFonts w:hint="eastAsia" w:asciiTheme="minorEastAsia" w:hAnsiTheme="minorEastAsia" w:eastAsiaTheme="minorEastAsia"/>
        </w:rPr>
        <w:t>2.当年预算支出完成率，衡量行政单位当年支出总预算及分项预算完成的程度。计算公式为：</w:t>
      </w:r>
    </w:p>
    <w:p w14:paraId="53501617">
      <w:pPr>
        <w:pStyle w:val="5"/>
        <w:shd w:val="clear" w:color="auto" w:fill="FFFFFF"/>
        <w:rPr>
          <w:rFonts w:asciiTheme="minorEastAsia" w:hAnsiTheme="minorEastAsia" w:eastAsiaTheme="minorEastAsia"/>
        </w:rPr>
      </w:pPr>
      <w:r>
        <w:rPr>
          <w:rFonts w:hint="eastAsia" w:asciiTheme="minorEastAsia" w:hAnsiTheme="minorEastAsia" w:eastAsiaTheme="minorEastAsia"/>
        </w:rPr>
        <w:t>当年预算支出完成率＝年终执行数÷调整预算数×100%=100.00%</w:t>
      </w:r>
    </w:p>
    <w:p w14:paraId="5CE407AE">
      <w:pPr>
        <w:pStyle w:val="5"/>
        <w:shd w:val="clear" w:color="auto" w:fill="FFFFFF"/>
        <w:rPr>
          <w:rFonts w:asciiTheme="minorEastAsia" w:hAnsiTheme="minorEastAsia" w:eastAsiaTheme="minorEastAsia"/>
        </w:rPr>
      </w:pPr>
      <w:r>
        <w:rPr>
          <w:rFonts w:hint="eastAsia" w:asciiTheme="minorEastAsia" w:hAnsiTheme="minorEastAsia" w:eastAsiaTheme="minorEastAsia"/>
        </w:rPr>
        <w:t>3.人均开支，衡量行政单位人均年消耗经费水平。计算公式为：</w:t>
      </w:r>
    </w:p>
    <w:p w14:paraId="3B6C6D2C">
      <w:pPr>
        <w:pStyle w:val="5"/>
        <w:shd w:val="clear" w:color="auto" w:fill="FFFFFF"/>
        <w:rPr>
          <w:rFonts w:asciiTheme="minorEastAsia" w:hAnsiTheme="minorEastAsia" w:eastAsiaTheme="minorEastAsia"/>
        </w:rPr>
      </w:pPr>
      <w:r>
        <w:rPr>
          <w:rFonts w:hint="eastAsia" w:asciiTheme="minorEastAsia" w:hAnsiTheme="minorEastAsia" w:eastAsiaTheme="minorEastAsia"/>
        </w:rPr>
        <w:t>人均开支＝本期支出数÷本期平均在职人员数=31.81</w:t>
      </w:r>
    </w:p>
    <w:p w14:paraId="5D1D8C14">
      <w:pPr>
        <w:pStyle w:val="5"/>
        <w:shd w:val="clear" w:color="auto" w:fill="FFFFFF"/>
        <w:rPr>
          <w:rFonts w:asciiTheme="minorEastAsia" w:hAnsiTheme="minorEastAsia" w:eastAsiaTheme="minorEastAsia"/>
        </w:rPr>
      </w:pPr>
      <w:r>
        <w:rPr>
          <w:rFonts w:hint="eastAsia" w:asciiTheme="minorEastAsia" w:hAnsiTheme="minorEastAsia" w:eastAsiaTheme="minorEastAsia"/>
        </w:rPr>
        <w:t>4.项目支出占总支出的比率，衡量行政单位的支出结构。计算公式为：</w:t>
      </w:r>
    </w:p>
    <w:p w14:paraId="40B71753">
      <w:pPr>
        <w:pStyle w:val="5"/>
        <w:shd w:val="clear" w:color="auto" w:fill="FFFFFF"/>
        <w:rPr>
          <w:rFonts w:asciiTheme="minorEastAsia" w:hAnsiTheme="minorEastAsia" w:eastAsiaTheme="minorEastAsia"/>
        </w:rPr>
      </w:pPr>
      <w:r>
        <w:rPr>
          <w:rFonts w:hint="eastAsia" w:asciiTheme="minorEastAsia" w:hAnsiTheme="minorEastAsia" w:eastAsiaTheme="minorEastAsia"/>
        </w:rPr>
        <w:t>项目支出比率=本期项目支出数÷本期支出总数×100%=1.50%</w:t>
      </w:r>
    </w:p>
    <w:p w14:paraId="43CAA718">
      <w:pPr>
        <w:pStyle w:val="5"/>
        <w:shd w:val="clear" w:color="auto" w:fill="FFFFFF"/>
        <w:rPr>
          <w:rFonts w:asciiTheme="minorEastAsia" w:hAnsiTheme="minorEastAsia" w:eastAsiaTheme="minorEastAsia"/>
        </w:rPr>
      </w:pPr>
      <w:r>
        <w:rPr>
          <w:rFonts w:hint="eastAsia" w:asciiTheme="minorEastAsia" w:hAnsiTheme="minorEastAsia" w:eastAsiaTheme="minorEastAsia"/>
        </w:rPr>
        <w:t>5.人员支出、公用支出占总支出的比率，衡量行政单位的支出结构。计算公式为：</w:t>
      </w:r>
    </w:p>
    <w:p w14:paraId="1A42FAF2">
      <w:pPr>
        <w:pStyle w:val="5"/>
        <w:shd w:val="clear" w:color="auto" w:fill="FFFFFF"/>
        <w:rPr>
          <w:rFonts w:asciiTheme="minorEastAsia" w:hAnsiTheme="minorEastAsia" w:eastAsiaTheme="minorEastAsia"/>
        </w:rPr>
      </w:pPr>
      <w:r>
        <w:rPr>
          <w:rFonts w:hint="eastAsia" w:asciiTheme="minorEastAsia" w:hAnsiTheme="minorEastAsia" w:eastAsiaTheme="minorEastAsia"/>
        </w:rPr>
        <w:t>人员支出比率=本期人员支出数÷本期支出总数×100%=93.46%</w:t>
      </w:r>
    </w:p>
    <w:p w14:paraId="2CA4FED9">
      <w:pPr>
        <w:pStyle w:val="5"/>
        <w:shd w:val="clear" w:color="auto" w:fill="FFFFFF"/>
        <w:rPr>
          <w:rFonts w:asciiTheme="minorEastAsia" w:hAnsiTheme="minorEastAsia" w:eastAsiaTheme="minorEastAsia"/>
        </w:rPr>
      </w:pPr>
      <w:r>
        <w:rPr>
          <w:rFonts w:hint="eastAsia" w:asciiTheme="minorEastAsia" w:hAnsiTheme="minorEastAsia" w:eastAsiaTheme="minorEastAsia"/>
        </w:rPr>
        <w:t>公用支出比率=本期公用支出数÷本期支出总数×100%=5.04%</w:t>
      </w:r>
    </w:p>
    <w:p w14:paraId="0ED976DF">
      <w:pPr>
        <w:pStyle w:val="5"/>
        <w:shd w:val="clear" w:color="auto" w:fill="FFFFFF"/>
        <w:rPr>
          <w:rFonts w:asciiTheme="minorEastAsia" w:hAnsiTheme="minorEastAsia" w:eastAsiaTheme="minorEastAsia"/>
        </w:rPr>
      </w:pPr>
      <w:r>
        <w:rPr>
          <w:rFonts w:hint="eastAsia" w:asciiTheme="minorEastAsia" w:hAnsiTheme="minorEastAsia" w:eastAsiaTheme="minorEastAsia"/>
        </w:rPr>
        <w:t>6.人均办公使用面积，衡量行政单位办公用房配备情况。计算公式为：</w:t>
      </w:r>
    </w:p>
    <w:p w14:paraId="04E3674B">
      <w:pPr>
        <w:pStyle w:val="5"/>
        <w:shd w:val="clear" w:color="auto" w:fill="FFFFFF"/>
        <w:rPr>
          <w:rFonts w:asciiTheme="minorEastAsia" w:hAnsiTheme="minorEastAsia" w:eastAsiaTheme="minorEastAsia"/>
        </w:rPr>
      </w:pPr>
      <w:r>
        <w:rPr>
          <w:rFonts w:hint="eastAsia" w:asciiTheme="minorEastAsia" w:hAnsiTheme="minorEastAsia" w:eastAsiaTheme="minorEastAsia"/>
        </w:rPr>
        <w:t>人均办公使用面积=本期末单位办公用房使用面积÷本期末在职人员数=0.00</w:t>
      </w:r>
    </w:p>
    <w:p w14:paraId="726949FF">
      <w:pPr>
        <w:pStyle w:val="5"/>
        <w:shd w:val="clear" w:color="auto" w:fill="FFFFFF"/>
        <w:rPr>
          <w:rFonts w:asciiTheme="minorEastAsia" w:hAnsiTheme="minorEastAsia" w:eastAsiaTheme="minorEastAsia"/>
        </w:rPr>
      </w:pPr>
      <w:r>
        <w:rPr>
          <w:rFonts w:hint="eastAsia" w:asciiTheme="minorEastAsia" w:hAnsiTheme="minorEastAsia" w:eastAsiaTheme="minorEastAsia"/>
        </w:rPr>
        <w:t>7.人车比例，衡量行政单位公务用车配备情况。计算公式为：</w:t>
      </w:r>
    </w:p>
    <w:p w14:paraId="64B474AB">
      <w:pPr>
        <w:pStyle w:val="5"/>
        <w:shd w:val="clear" w:color="auto" w:fill="FFFFFF"/>
        <w:rPr>
          <w:rFonts w:asciiTheme="minorEastAsia" w:hAnsiTheme="minorEastAsia" w:eastAsiaTheme="minorEastAsia"/>
        </w:rPr>
      </w:pPr>
      <w:r>
        <w:rPr>
          <w:rFonts w:hint="eastAsia" w:asciiTheme="minorEastAsia" w:hAnsiTheme="minorEastAsia" w:eastAsiaTheme="minorEastAsia"/>
        </w:rPr>
        <w:t>人车比例=本期末在职人员数÷本期末公务用车实有数=0.00</w:t>
      </w:r>
    </w:p>
    <w:p w14:paraId="06C1CD5D">
      <w:pPr>
        <w:pStyle w:val="5"/>
        <w:shd w:val="clear" w:color="auto" w:fill="FFFFFF"/>
        <w:rPr>
          <w:rFonts w:asciiTheme="minorEastAsia" w:hAnsiTheme="minorEastAsia" w:eastAsiaTheme="minorEastAsia"/>
        </w:rPr>
      </w:pPr>
      <w:r>
        <w:rPr>
          <w:rFonts w:asciiTheme="minorEastAsia" w:hAnsiTheme="minorEastAsia" w:eastAsiaTheme="minorEastAsia"/>
        </w:rPr>
        <w:t> </w:t>
      </w:r>
    </w:p>
    <w:p w14:paraId="5E1D8FC8">
      <w:pPr>
        <w:pStyle w:val="5"/>
        <w:shd w:val="clear" w:color="auto" w:fill="FFFFFF"/>
        <w:rPr>
          <w:rFonts w:asciiTheme="minorEastAsia" w:hAnsiTheme="minorEastAsia" w:eastAsiaTheme="minorEastAsia"/>
        </w:rPr>
      </w:pPr>
      <w:r>
        <w:rPr>
          <w:rFonts w:hint="eastAsia" w:asciiTheme="minorEastAsia" w:hAnsiTheme="minorEastAsia" w:eastAsiaTheme="minorEastAsia"/>
        </w:rPr>
        <w:t>二、事业单位财务分析指标</w:t>
      </w:r>
    </w:p>
    <w:p w14:paraId="5146F0A0">
      <w:pPr>
        <w:pStyle w:val="5"/>
        <w:shd w:val="clear" w:color="auto" w:fill="FFFFFF"/>
        <w:rPr>
          <w:rFonts w:asciiTheme="minorEastAsia" w:hAnsiTheme="minorEastAsia" w:eastAsiaTheme="minorEastAsia"/>
        </w:rPr>
      </w:pPr>
      <w:r>
        <w:rPr>
          <w:rFonts w:hint="eastAsia" w:asciiTheme="minorEastAsia" w:hAnsiTheme="minorEastAsia" w:eastAsiaTheme="minorEastAsia"/>
        </w:rPr>
        <w:t>1.预算收入和支出完成率，衡量事业单位收入和支出总预算及分项预算完成的程度。计算公式为：</w:t>
      </w:r>
    </w:p>
    <w:p w14:paraId="30D6C36C">
      <w:pPr>
        <w:pStyle w:val="5"/>
        <w:shd w:val="clear" w:color="auto" w:fill="FFFFFF"/>
        <w:rPr>
          <w:rFonts w:asciiTheme="minorEastAsia" w:hAnsiTheme="minorEastAsia" w:eastAsiaTheme="minorEastAsia"/>
        </w:rPr>
      </w:pPr>
      <w:r>
        <w:rPr>
          <w:rFonts w:hint="eastAsia" w:asciiTheme="minorEastAsia" w:hAnsiTheme="minorEastAsia" w:eastAsiaTheme="minorEastAsia"/>
        </w:rPr>
        <w:t>预算收入完成率＝年终执行数÷调整预算数×100%=100.00%</w:t>
      </w:r>
    </w:p>
    <w:p w14:paraId="32E9A067">
      <w:pPr>
        <w:pStyle w:val="5"/>
        <w:shd w:val="clear" w:color="auto" w:fill="FFFFFF"/>
        <w:rPr>
          <w:rFonts w:asciiTheme="minorEastAsia" w:hAnsiTheme="minorEastAsia" w:eastAsiaTheme="minorEastAsia"/>
        </w:rPr>
      </w:pPr>
      <w:r>
        <w:rPr>
          <w:rFonts w:hint="eastAsia" w:asciiTheme="minorEastAsia" w:hAnsiTheme="minorEastAsia" w:eastAsiaTheme="minorEastAsia"/>
        </w:rPr>
        <w:t>预算支出完成率＝年终执行数÷调整预算数×100%=100.00%</w:t>
      </w:r>
    </w:p>
    <w:p w14:paraId="79E1E197">
      <w:pPr>
        <w:pStyle w:val="5"/>
        <w:shd w:val="clear" w:color="auto" w:fill="FFFFFF"/>
        <w:rPr>
          <w:rFonts w:asciiTheme="minorEastAsia" w:hAnsiTheme="minorEastAsia" w:eastAsiaTheme="minorEastAsia"/>
        </w:rPr>
      </w:pPr>
      <w:r>
        <w:rPr>
          <w:rFonts w:hint="eastAsia" w:asciiTheme="minorEastAsia" w:hAnsiTheme="minorEastAsia" w:eastAsiaTheme="minorEastAsia"/>
        </w:rPr>
        <w:t>2.人员支出、公用支出占事业支出的比率，衡量事业单位事业支出结构。计算公式为：</w:t>
      </w:r>
    </w:p>
    <w:p w14:paraId="19A16461">
      <w:pPr>
        <w:pStyle w:val="5"/>
        <w:shd w:val="clear" w:color="auto" w:fill="FFFFFF"/>
        <w:rPr>
          <w:rFonts w:asciiTheme="minorEastAsia" w:hAnsiTheme="minorEastAsia" w:eastAsiaTheme="minorEastAsia"/>
        </w:rPr>
      </w:pPr>
      <w:r>
        <w:rPr>
          <w:rFonts w:hint="eastAsia" w:asciiTheme="minorEastAsia" w:hAnsiTheme="minorEastAsia" w:eastAsiaTheme="minorEastAsia"/>
        </w:rPr>
        <w:t>人员支出比率＝人员支出÷事业支出×100%=93.46%</w:t>
      </w:r>
    </w:p>
    <w:p w14:paraId="19CF05AB">
      <w:pPr>
        <w:pStyle w:val="5"/>
        <w:shd w:val="clear" w:color="auto" w:fill="FFFFFF"/>
        <w:rPr>
          <w:rFonts w:asciiTheme="minorEastAsia" w:hAnsiTheme="minorEastAsia" w:eastAsiaTheme="minorEastAsia"/>
        </w:rPr>
      </w:pPr>
      <w:r>
        <w:rPr>
          <w:rFonts w:hint="eastAsia" w:asciiTheme="minorEastAsia" w:hAnsiTheme="minorEastAsia" w:eastAsiaTheme="minorEastAsia"/>
        </w:rPr>
        <w:t>公用支出比率＝公用支出÷事业支出×100%=5.04%</w:t>
      </w:r>
    </w:p>
    <w:p w14:paraId="219E3914">
      <w:pPr>
        <w:pStyle w:val="5"/>
        <w:shd w:val="clear" w:color="auto" w:fill="FFFFFF"/>
        <w:rPr>
          <w:rFonts w:asciiTheme="minorEastAsia" w:hAnsiTheme="minorEastAsia" w:eastAsiaTheme="minorEastAsia"/>
        </w:rPr>
      </w:pPr>
      <w:r>
        <w:rPr>
          <w:rFonts w:hint="eastAsia" w:asciiTheme="minorEastAsia" w:hAnsiTheme="minorEastAsia" w:eastAsiaTheme="minorEastAsia"/>
        </w:rPr>
        <w:t>3.人均基本支出，衡量事业单位按照实际在编人数平均的基本支出水平。计算公式为：</w:t>
      </w:r>
    </w:p>
    <w:p w14:paraId="1C9664ED">
      <w:pPr>
        <w:pStyle w:val="5"/>
        <w:shd w:val="clear" w:color="auto" w:fill="FFFFFF"/>
        <w:rPr>
          <w:rFonts w:asciiTheme="minorEastAsia" w:hAnsiTheme="minorEastAsia" w:eastAsiaTheme="minorEastAsia"/>
        </w:rPr>
      </w:pPr>
      <w:r>
        <w:rPr>
          <w:rFonts w:hint="eastAsia" w:asciiTheme="minorEastAsia" w:hAnsiTheme="minorEastAsia" w:eastAsiaTheme="minorEastAsia"/>
        </w:rPr>
        <w:t>人均基本支出＝（基本支出-离退休人员支出）÷实际在编人数=301,793.59</w:t>
      </w:r>
    </w:p>
    <w:p w14:paraId="5837B593">
      <w:pPr>
        <w:pStyle w:val="5"/>
        <w:shd w:val="clear" w:color="auto" w:fill="FFFFFF"/>
        <w:rPr>
          <w:rFonts w:asciiTheme="minorEastAsia" w:hAnsiTheme="minorEastAsia" w:eastAsiaTheme="minorEastAsia"/>
        </w:rPr>
      </w:pPr>
      <w:r>
        <w:rPr>
          <w:rFonts w:asciiTheme="minorEastAsia" w:hAnsiTheme="minorEastAsia" w:eastAsiaTheme="minorEastAsia"/>
        </w:rPr>
        <w:t> </w:t>
      </w:r>
    </w:p>
    <w:p w14:paraId="7384818D">
      <w:pPr>
        <w:pStyle w:val="5"/>
        <w:shd w:val="clear" w:color="auto" w:fill="FFFFFF"/>
        <w:rPr>
          <w:rFonts w:asciiTheme="minorEastAsia" w:hAnsiTheme="minorEastAsia" w:eastAsiaTheme="minorEastAsia"/>
        </w:rPr>
      </w:pPr>
      <w:r>
        <w:rPr>
          <w:rFonts w:hint="eastAsia" w:asciiTheme="minorEastAsia" w:hAnsiTheme="minorEastAsia" w:eastAsiaTheme="minorEastAsia"/>
        </w:rPr>
        <w:t>此外，行业事业单位还可根据相关财务制度规定和分析需要增加相关分析指标，如：</w:t>
      </w:r>
    </w:p>
    <w:p w14:paraId="313D717D">
      <w:pPr>
        <w:pStyle w:val="5"/>
        <w:shd w:val="clear" w:color="auto" w:fill="FFFFFF"/>
        <w:rPr>
          <w:rFonts w:asciiTheme="minorEastAsia" w:hAnsiTheme="minorEastAsia" w:eastAsiaTheme="minorEastAsia"/>
        </w:rPr>
      </w:pPr>
      <w:r>
        <w:rPr>
          <w:rFonts w:hint="eastAsia" w:asciiTheme="minorEastAsia" w:hAnsiTheme="minorEastAsia" w:eastAsiaTheme="minorEastAsia"/>
        </w:rPr>
        <w:t>1.财政拨款依存度, 衡量部门（单位）对财政拨款的依赖程度。</w:t>
      </w:r>
    </w:p>
    <w:p w14:paraId="685D787B">
      <w:pPr>
        <w:pStyle w:val="5"/>
        <w:shd w:val="clear" w:color="auto" w:fill="FFFFFF"/>
        <w:rPr>
          <w:rFonts w:asciiTheme="minorEastAsia" w:hAnsiTheme="minorEastAsia" w:eastAsiaTheme="minorEastAsia"/>
        </w:rPr>
      </w:pPr>
      <w:r>
        <w:rPr>
          <w:rFonts w:hint="eastAsia" w:asciiTheme="minorEastAsia" w:hAnsiTheme="minorEastAsia" w:eastAsiaTheme="minorEastAsia"/>
        </w:rPr>
        <w:t>财政拨款依存度＝财政拨款收入÷收入总额×100%=100.00%aa</w:t>
      </w:r>
    </w:p>
    <w:p w14:paraId="5E08ED92">
      <w:pPr>
        <w:spacing w:line="220" w:lineRule="atLeast"/>
        <w:rPr>
          <w:rFonts w:asciiTheme="minorEastAsia" w:hAnsiTheme="minorEastAsia" w:eastAsiaTheme="minorEastAsia"/>
          <w:sz w:val="24"/>
          <w:szCs w:val="24"/>
        </w:rPr>
      </w:pPr>
    </w:p>
    <w:sectPr>
      <w:pgSz w:w="11907" w:h="16840"/>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docVars>
    <w:docVar w:name="commondata" w:val="eyJoZGlkIjoiNzdkNGFlNGNjMWFlNDYyYzQzMDllYWZhNmI3MzY2MDgifQ=="/>
  </w:docVars>
  <w:rsids>
    <w:rsidRoot w:val="00D31D50"/>
    <w:rsid w:val="00323B43"/>
    <w:rsid w:val="003D37D8"/>
    <w:rsid w:val="00426133"/>
    <w:rsid w:val="004358AB"/>
    <w:rsid w:val="006478EA"/>
    <w:rsid w:val="008B7726"/>
    <w:rsid w:val="00D3068D"/>
    <w:rsid w:val="00D31D50"/>
    <w:rsid w:val="2C651F89"/>
    <w:rsid w:val="41A717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pPr>
      <w:spacing w:after="0"/>
    </w:pPr>
    <w:rPr>
      <w:sz w:val="18"/>
      <w:szCs w:val="18"/>
    </w:rPr>
  </w:style>
  <w:style w:type="paragraph" w:styleId="3">
    <w:name w:val="footer"/>
    <w:basedOn w:val="1"/>
    <w:link w:val="10"/>
    <w:semiHidden/>
    <w:unhideWhenUsed/>
    <w:uiPriority w:val="99"/>
    <w:pPr>
      <w:tabs>
        <w:tab w:val="center" w:pos="4153"/>
        <w:tab w:val="right" w:pos="8306"/>
      </w:tabs>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jc w:val="center"/>
    </w:pPr>
    <w:rPr>
      <w:sz w:val="18"/>
      <w:szCs w:val="18"/>
    </w:rPr>
  </w:style>
  <w:style w:type="paragraph" w:styleId="5">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8">
    <w:name w:val="Strong"/>
    <w:basedOn w:val="7"/>
    <w:qFormat/>
    <w:uiPriority w:val="22"/>
    <w:rPr>
      <w:b/>
      <w:bCs/>
    </w:rPr>
  </w:style>
  <w:style w:type="character" w:customStyle="1" w:styleId="9">
    <w:name w:val="页眉 Char"/>
    <w:basedOn w:val="7"/>
    <w:link w:val="4"/>
    <w:semiHidden/>
    <w:uiPriority w:val="99"/>
    <w:rPr>
      <w:rFonts w:ascii="Tahoma" w:hAnsi="Tahoma"/>
      <w:sz w:val="18"/>
      <w:szCs w:val="18"/>
    </w:rPr>
  </w:style>
  <w:style w:type="character" w:customStyle="1" w:styleId="10">
    <w:name w:val="页脚 Char"/>
    <w:basedOn w:val="7"/>
    <w:link w:val="3"/>
    <w:semiHidden/>
    <w:qFormat/>
    <w:uiPriority w:val="99"/>
    <w:rPr>
      <w:rFonts w:ascii="Tahoma" w:hAnsi="Tahoma"/>
      <w:sz w:val="18"/>
      <w:szCs w:val="18"/>
    </w:rPr>
  </w:style>
  <w:style w:type="character" w:customStyle="1" w:styleId="11">
    <w:name w:val="批注框文本 Char"/>
    <w:basedOn w:val="7"/>
    <w:link w:val="2"/>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hart" Target="charts/chart8.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0.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9.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8.bin"/></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5.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2021年度</c:v>
                </c:pt>
              </c:strCache>
            </c:strRef>
          </c:tx>
          <c:invertIfNegative val="0"/>
          <c:dLbls>
            <c:delete val="1"/>
          </c:dLbls>
          <c:cat>
            <c:strRef>
              <c:f>Sheet1!$A$2:$A$3</c:f>
              <c:strCache>
                <c:ptCount val="2"/>
                <c:pt idx="0">
                  <c:v>收入年初预算数</c:v>
                </c:pt>
                <c:pt idx="1">
                  <c:v>支出年初预算数</c:v>
                </c:pt>
              </c:strCache>
            </c:strRef>
          </c:cat>
          <c:val>
            <c:numRef>
              <c:f>Sheet1!$B$2:$B$3</c:f>
              <c:numCache>
                <c:formatCode>General</c:formatCode>
                <c:ptCount val="2"/>
                <c:pt idx="0">
                  <c:v>0</c:v>
                </c:pt>
                <c:pt idx="1">
                  <c:v>0</c:v>
                </c:pt>
              </c:numCache>
            </c:numRef>
          </c:val>
        </c:ser>
        <c:ser>
          <c:idx val="1"/>
          <c:order val="1"/>
          <c:tx>
            <c:strRef>
              <c:f>Sheet1!$C$1</c:f>
              <c:strCache>
                <c:ptCount val="1"/>
                <c:pt idx="0">
                  <c:v>2022年度</c:v>
                </c:pt>
              </c:strCache>
            </c:strRef>
          </c:tx>
          <c:spPr>
            <a:solidFill>
              <a:schemeClr val="accent3">
                <a:lumMod val="60000"/>
                <a:lumOff val="40000"/>
              </a:schemeClr>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收入年初预算数</c:v>
                </c:pt>
                <c:pt idx="1">
                  <c:v>支出年初预算数</c:v>
                </c:pt>
              </c:strCache>
            </c:strRef>
          </c:cat>
          <c:val>
            <c:numRef>
              <c:f>Sheet1!$C$2:$C$3</c:f>
              <c:numCache>
                <c:formatCode>General</c:formatCode>
                <c:ptCount val="2"/>
                <c:pt idx="0">
                  <c:v>222.55</c:v>
                </c:pt>
                <c:pt idx="1">
                  <c:v>222.55</c:v>
                </c:pt>
              </c:numCache>
            </c:numRef>
          </c:val>
        </c:ser>
        <c:dLbls>
          <c:showLegendKey val="0"/>
          <c:showVal val="0"/>
          <c:showCatName val="0"/>
          <c:showSerName val="0"/>
          <c:showPercent val="0"/>
          <c:showBubbleSize val="0"/>
        </c:dLbls>
        <c:gapWidth val="150"/>
        <c:axId val="291100928"/>
        <c:axId val="288715136"/>
      </c:barChart>
      <c:catAx>
        <c:axId val="29110092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88715136"/>
        <c:crosses val="autoZero"/>
        <c:auto val="1"/>
        <c:lblAlgn val="ctr"/>
        <c:lblOffset val="100"/>
        <c:noMultiLvlLbl val="0"/>
      </c:catAx>
      <c:valAx>
        <c:axId val="28871513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9110092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预算数</c:v>
                </c:pt>
              </c:strCache>
            </c:strRef>
          </c:tx>
          <c:spPr>
            <a:solidFill>
              <a:schemeClr val="accent6">
                <a:lumMod val="40000"/>
                <a:lumOff val="60000"/>
              </a:schemeClr>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预决算收入</c:v>
                </c:pt>
                <c:pt idx="1">
                  <c:v>预决算支出</c:v>
                </c:pt>
              </c:strCache>
            </c:strRef>
          </c:cat>
          <c:val>
            <c:numRef>
              <c:f>Sheet1!$B$2:$B$3</c:f>
              <c:numCache>
                <c:formatCode>General</c:formatCode>
                <c:ptCount val="2"/>
                <c:pt idx="0">
                  <c:v>258.33</c:v>
                </c:pt>
                <c:pt idx="1">
                  <c:v>258.33</c:v>
                </c:pt>
              </c:numCache>
            </c:numRef>
          </c:val>
        </c:ser>
        <c:ser>
          <c:idx val="1"/>
          <c:order val="1"/>
          <c:tx>
            <c:strRef>
              <c:f>Sheet1!$C$1</c:f>
              <c:strCache>
                <c:ptCount val="1"/>
                <c:pt idx="0">
                  <c:v>决算数</c:v>
                </c:pt>
              </c:strCache>
            </c:strRef>
          </c:tx>
          <c:spPr>
            <a:solidFill>
              <a:schemeClr val="accent3"/>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预决算收入</c:v>
                </c:pt>
                <c:pt idx="1">
                  <c:v>预决算支出</c:v>
                </c:pt>
              </c:strCache>
            </c:strRef>
          </c:cat>
          <c:val>
            <c:numRef>
              <c:f>Sheet1!$C$2:$C$3</c:f>
              <c:numCache>
                <c:formatCode>General</c:formatCode>
                <c:ptCount val="2"/>
                <c:pt idx="0">
                  <c:v>258.33</c:v>
                </c:pt>
                <c:pt idx="1">
                  <c:v>258.33</c:v>
                </c:pt>
              </c:numCache>
            </c:numRef>
          </c:val>
        </c:ser>
        <c:dLbls>
          <c:showLegendKey val="0"/>
          <c:showVal val="1"/>
          <c:showCatName val="0"/>
          <c:showSerName val="0"/>
          <c:showPercent val="0"/>
          <c:showBubbleSize val="0"/>
        </c:dLbls>
        <c:gapWidth val="150"/>
        <c:axId val="288736384"/>
        <c:axId val="288737920"/>
      </c:barChart>
      <c:catAx>
        <c:axId val="28873638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88737920"/>
        <c:crosses val="autoZero"/>
        <c:auto val="1"/>
        <c:lblAlgn val="ctr"/>
        <c:lblOffset val="100"/>
        <c:noMultiLvlLbl val="0"/>
      </c:catAx>
      <c:valAx>
        <c:axId val="28873792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8873638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收入预算完成度对比图（折线图）</a:t>
            </a:r>
            <a:endParaRPr lang="zh-CN" altLang="en-US"/>
          </a:p>
        </c:rich>
      </c:tx>
      <c:layout/>
      <c:overlay val="0"/>
    </c:title>
    <c:autoTitleDeleted val="0"/>
    <c:plotArea>
      <c:layout/>
      <c:lineChart>
        <c:grouping val="standard"/>
        <c:varyColors val="0"/>
        <c:ser>
          <c:idx val="0"/>
          <c:order val="0"/>
          <c:tx>
            <c:strRef>
              <c:f>Sheet1!$B$1</c:f>
              <c:strCache>
                <c:ptCount val="1"/>
                <c:pt idx="0">
                  <c:v>收入预算完成度</c:v>
                </c:pt>
              </c:strCache>
            </c:strRef>
          </c:tx>
          <c:spPr>
            <a:ln w="28575" cap="rnd" cmpd="sng" algn="ctr">
              <a:solidFill>
                <a:srgbClr val="9BBB59"/>
              </a:solidFill>
              <a:prstDash val="solid"/>
              <a:round/>
            </a:ln>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0%</c:formatCode>
                <c:ptCount val="2"/>
                <c:pt idx="0">
                  <c:v>0</c:v>
                </c:pt>
                <c:pt idx="1">
                  <c:v>1</c:v>
                </c:pt>
              </c:numCache>
            </c:numRef>
          </c:val>
          <c:smooth val="0"/>
        </c:ser>
        <c:dLbls>
          <c:showLegendKey val="0"/>
          <c:showVal val="1"/>
          <c:showCatName val="0"/>
          <c:showSerName val="0"/>
          <c:showPercent val="0"/>
          <c:showBubbleSize val="0"/>
        </c:dLbls>
        <c:marker val="0"/>
        <c:smooth val="0"/>
        <c:axId val="256596224"/>
        <c:axId val="256610304"/>
      </c:lineChart>
      <c:catAx>
        <c:axId val="25659622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56610304"/>
        <c:crosses val="autoZero"/>
        <c:auto val="1"/>
        <c:lblAlgn val="ctr"/>
        <c:lblOffset val="100"/>
        <c:noMultiLvlLbl val="0"/>
      </c:catAx>
      <c:valAx>
        <c:axId val="256610304"/>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5659622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支出预算完成度对比图（折线图）</a:t>
            </a:r>
            <a:endParaRPr lang="zh-CN" altLang="en-US"/>
          </a:p>
        </c:rich>
      </c:tx>
      <c:layout/>
      <c:overlay val="0"/>
    </c:title>
    <c:autoTitleDeleted val="0"/>
    <c:plotArea>
      <c:layout/>
      <c:lineChart>
        <c:grouping val="standard"/>
        <c:varyColors val="0"/>
        <c:ser>
          <c:idx val="0"/>
          <c:order val="0"/>
          <c:tx>
            <c:strRef>
              <c:f>Sheet1!$B$1</c:f>
              <c:strCache>
                <c:ptCount val="1"/>
                <c:pt idx="0">
                  <c:v>支出预算完成度</c:v>
                </c:pt>
              </c:strCache>
            </c:strRef>
          </c:tx>
          <c:spPr>
            <a:ln w="28575" cap="rnd" cmpd="sng" algn="ctr">
              <a:solidFill>
                <a:srgbClr val="9BBB59"/>
              </a:solidFill>
              <a:prstDash val="solid"/>
              <a:round/>
            </a:ln>
          </c:spPr>
          <c:marker>
            <c:symbol val="none"/>
          </c:marker>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c:v>
                </c:pt>
                <c:pt idx="1">
                  <c:v>2022年</c:v>
                </c:pt>
              </c:strCache>
            </c:strRef>
          </c:cat>
          <c:val>
            <c:numRef>
              <c:f>Sheet1!$B$2:$B$3</c:f>
              <c:numCache>
                <c:formatCode>0%</c:formatCode>
                <c:ptCount val="2"/>
                <c:pt idx="0">
                  <c:v>0</c:v>
                </c:pt>
                <c:pt idx="1">
                  <c:v>1</c:v>
                </c:pt>
              </c:numCache>
            </c:numRef>
          </c:val>
          <c:smooth val="0"/>
        </c:ser>
        <c:dLbls>
          <c:showLegendKey val="0"/>
          <c:showVal val="1"/>
          <c:showCatName val="0"/>
          <c:showSerName val="0"/>
          <c:showPercent val="0"/>
          <c:showBubbleSize val="0"/>
        </c:dLbls>
        <c:marker val="0"/>
        <c:smooth val="0"/>
        <c:axId val="288890880"/>
        <c:axId val="288892416"/>
      </c:lineChart>
      <c:catAx>
        <c:axId val="28889088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88892416"/>
        <c:crosses val="autoZero"/>
        <c:auto val="1"/>
        <c:lblAlgn val="ctr"/>
        <c:lblOffset val="100"/>
        <c:noMultiLvlLbl val="0"/>
      </c:catAx>
      <c:valAx>
        <c:axId val="288892416"/>
        <c:scaling>
          <c:orientation val="minMax"/>
        </c:scaling>
        <c:delete val="1"/>
        <c:axPos val="l"/>
        <c:numFmt formatCode="0%"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88890880"/>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2022年总收入占比图（饼状图）</c:v>
                </c:pt>
              </c:strCache>
            </c:strRef>
          </c:tx>
          <c:spPr>
            <a:solidFill>
              <a:srgbClr val="9BBB59"/>
            </a:solidFill>
          </c:spPr>
          <c:explosion val="0"/>
          <c:dPt>
            <c:idx val="0"/>
            <c:bubble3D val="0"/>
            <c:spPr>
              <a:solidFill>
                <a:srgbClr val="9BBB59"/>
              </a:solidFill>
            </c:spPr>
          </c:dPt>
          <c:dPt>
            <c:idx val="1"/>
            <c:bubble3D val="0"/>
            <c:spPr>
              <a:solidFill>
                <a:srgbClr val="9BBB59"/>
              </a:solidFill>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其他</c:v>
                </c:pt>
              </c:strCache>
            </c:strRef>
          </c:cat>
          <c:val>
            <c:numRef>
              <c:f>Sheet1!$B$2:$B$3</c:f>
              <c:numCache>
                <c:formatCode>0.00%</c:formatCode>
                <c:ptCount val="2"/>
                <c:pt idx="0">
                  <c:v>1</c:v>
                </c:pt>
                <c:pt idx="1" c:formatCode="0%">
                  <c:v>0</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2022年总支出占比图（饼状图）</c:v>
                </c:pt>
              </c:strCache>
            </c:strRef>
          </c:tx>
          <c:explosion val="0"/>
          <c:dPt>
            <c:idx val="0"/>
            <c:bubble3D val="0"/>
            <c:spPr>
              <a:solidFill>
                <a:srgbClr val="9BBB59"/>
              </a:solidFill>
            </c:spPr>
          </c:dPt>
          <c:dPt>
            <c:idx val="1"/>
            <c:bubble3D val="0"/>
            <c:spPr>
              <a:solidFill>
                <a:schemeClr val="accent5">
                  <a:lumMod val="60000"/>
                  <a:lumOff val="40000"/>
                </a:schemeClr>
              </a:solidFill>
            </c:spPr>
          </c:dPt>
          <c:dPt>
            <c:idx val="2"/>
            <c:bubble3D val="0"/>
            <c:spPr>
              <a:solidFill>
                <a:schemeClr val="bg2">
                  <a:lumMod val="75000"/>
                </a:schemeClr>
              </a:solidFill>
            </c:spPr>
          </c:dPt>
          <c:dPt>
            <c:idx val="3"/>
            <c:bubble3D val="0"/>
            <c:spPr>
              <a:solidFill>
                <a:schemeClr val="accent4">
                  <a:lumMod val="60000"/>
                  <a:lumOff val="40000"/>
                </a:schemeClr>
              </a:solidFill>
            </c:spPr>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一般公共服务支出</c:v>
                </c:pt>
                <c:pt idx="1">
                  <c:v>社会保障和就业支出</c:v>
                </c:pt>
                <c:pt idx="2">
                  <c:v>卫生健康支出</c:v>
                </c:pt>
                <c:pt idx="3">
                  <c:v>农林水支出</c:v>
                </c:pt>
                <c:pt idx="4">
                  <c:v>住房保障支出</c:v>
                </c:pt>
              </c:strCache>
            </c:strRef>
          </c:cat>
          <c:val>
            <c:numRef>
              <c:f>'Sheet1'!$B$2:$B$6</c:f>
              <c:numCache>
                <c:formatCode>0.00%</c:formatCode>
                <c:ptCount val="5"/>
                <c:pt idx="0">
                  <c:v>0.7327</c:v>
                </c:pt>
                <c:pt idx="1">
                  <c:v>0.14</c:v>
                </c:pt>
                <c:pt idx="2">
                  <c:v>0.051</c:v>
                </c:pt>
                <c:pt idx="3">
                  <c:v>0.0111</c:v>
                </c:pt>
                <c:pt idx="4">
                  <c:v>0.0652</c:v>
                </c:pt>
              </c:numCache>
            </c:numRef>
          </c:val>
        </c:ser>
        <c:dLbls>
          <c:showLegendKey val="0"/>
          <c:showVal val="1"/>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2021年</c:v>
                </c:pt>
              </c:strCache>
            </c:strRef>
          </c:tx>
          <c:invertIfNegative val="0"/>
          <c:dLbls>
            <c:delete val="1"/>
          </c:dLbls>
          <c:cat>
            <c:strRef>
              <c:f>'Sheet1'!$A$2:$A$7</c:f>
              <c:strCache>
                <c:ptCount val="6"/>
                <c:pt idx="0">
                  <c:v>一般公共预算财政拨款收入</c:v>
                </c:pt>
                <c:pt idx="1">
                  <c:v>一般公共服务支出</c:v>
                </c:pt>
                <c:pt idx="2">
                  <c:v>社会保障和就业支出</c:v>
                </c:pt>
                <c:pt idx="3">
                  <c:v>卫生健康支出</c:v>
                </c:pt>
                <c:pt idx="4">
                  <c:v>农林水支出</c:v>
                </c:pt>
                <c:pt idx="5">
                  <c:v>住房保障支出</c:v>
                </c:pt>
              </c:strCache>
            </c:strRef>
          </c:cat>
          <c:val>
            <c:numRef>
              <c:f>'Sheet1'!$B$2:$B$7</c:f>
              <c:numCache>
                <c:formatCode>General</c:formatCode>
                <c:ptCount val="6"/>
                <c:pt idx="0">
                  <c:v>0</c:v>
                </c:pt>
                <c:pt idx="1">
                  <c:v>0</c:v>
                </c:pt>
                <c:pt idx="2">
                  <c:v>0</c:v>
                </c:pt>
                <c:pt idx="3">
                  <c:v>0</c:v>
                </c:pt>
                <c:pt idx="4">
                  <c:v>0</c:v>
                </c:pt>
                <c:pt idx="5">
                  <c:v>0</c:v>
                </c:pt>
              </c:numCache>
            </c:numRef>
          </c:val>
        </c:ser>
        <c:ser>
          <c:idx val="1"/>
          <c:order val="1"/>
          <c:tx>
            <c:strRef>
              <c:f>'Sheet1'!$C$1</c:f>
              <c:strCache>
                <c:ptCount val="1"/>
                <c:pt idx="0">
                  <c:v>2022年</c:v>
                </c:pt>
              </c:strCache>
            </c:strRef>
          </c:tx>
          <c:spPr>
            <a:solidFill>
              <a:schemeClr val="accent3"/>
            </a:solidFill>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'Sheet1'!$A$2:$A$7</c:f>
              <c:strCache>
                <c:ptCount val="6"/>
                <c:pt idx="0">
                  <c:v>一般公共预算财政拨款收入</c:v>
                </c:pt>
                <c:pt idx="1">
                  <c:v>一般公共服务支出</c:v>
                </c:pt>
                <c:pt idx="2">
                  <c:v>社会保障和就业支出</c:v>
                </c:pt>
                <c:pt idx="3">
                  <c:v>卫生健康支出</c:v>
                </c:pt>
                <c:pt idx="4">
                  <c:v>农林水支出</c:v>
                </c:pt>
                <c:pt idx="5">
                  <c:v>住房保障支出</c:v>
                </c:pt>
              </c:strCache>
            </c:strRef>
          </c:cat>
          <c:val>
            <c:numRef>
              <c:f>'Sheet1'!$C$2:$C$7</c:f>
              <c:numCache>
                <c:formatCode>General</c:formatCode>
                <c:ptCount val="6"/>
                <c:pt idx="0">
                  <c:v>258.33</c:v>
                </c:pt>
                <c:pt idx="1">
                  <c:v>189.28</c:v>
                </c:pt>
                <c:pt idx="2">
                  <c:v>36.16</c:v>
                </c:pt>
                <c:pt idx="3">
                  <c:v>13.17</c:v>
                </c:pt>
                <c:pt idx="4">
                  <c:v>2.88</c:v>
                </c:pt>
                <c:pt idx="5">
                  <c:v>16.84</c:v>
                </c:pt>
              </c:numCache>
            </c:numRef>
          </c:val>
        </c:ser>
        <c:dLbls>
          <c:showLegendKey val="0"/>
          <c:showVal val="0"/>
          <c:showCatName val="0"/>
          <c:showSerName val="0"/>
          <c:showPercent val="0"/>
          <c:showBubbleSize val="0"/>
        </c:dLbls>
        <c:gapWidth val="150"/>
        <c:axId val="288994048"/>
        <c:axId val="288995584"/>
      </c:barChart>
      <c:catAx>
        <c:axId val="28899404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88995584"/>
        <c:crosses val="autoZero"/>
        <c:auto val="1"/>
        <c:lblAlgn val="ctr"/>
        <c:lblOffset val="100"/>
        <c:noMultiLvlLbl val="0"/>
      </c:catAx>
      <c:valAx>
        <c:axId val="28899558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8899404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收支比对情况（万元）</a:t>
            </a:r>
            <a:endParaRPr lang="zh-CN" altLang="en-US"/>
          </a:p>
        </c:rich>
      </c:tx>
      <c:layout/>
      <c:overlay val="0"/>
    </c:title>
    <c:autoTitleDeleted val="0"/>
    <c:plotArea>
      <c:layout/>
      <c:barChart>
        <c:barDir val="col"/>
        <c:grouping val="clustered"/>
        <c:varyColors val="0"/>
        <c:ser>
          <c:idx val="0"/>
          <c:order val="0"/>
          <c:tx>
            <c:strRef>
              <c:f>'Sheet1'!$B$1</c:f>
              <c:strCache>
                <c:ptCount val="1"/>
                <c:pt idx="0">
                  <c:v>2021年</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收入</c:v>
                </c:pt>
                <c:pt idx="1">
                  <c:v>支出</c:v>
                </c:pt>
                <c:pt idx="2">
                  <c:v>预算数收入</c:v>
                </c:pt>
                <c:pt idx="3">
                  <c:v>预算数支出</c:v>
                </c:pt>
              </c:strCache>
            </c:strRef>
          </c:cat>
          <c:val>
            <c:numRef>
              <c:f>'Sheet1'!$B$2:$B$5</c:f>
              <c:numCache>
                <c:formatCode>General</c:formatCode>
                <c:ptCount val="4"/>
                <c:pt idx="0">
                  <c:v>0</c:v>
                </c:pt>
                <c:pt idx="1">
                  <c:v>0</c:v>
                </c:pt>
                <c:pt idx="2">
                  <c:v>0</c:v>
                </c:pt>
                <c:pt idx="3">
                  <c:v>0</c:v>
                </c:pt>
              </c:numCache>
            </c:numRef>
          </c:val>
        </c:ser>
        <c:ser>
          <c:idx val="1"/>
          <c:order val="1"/>
          <c:tx>
            <c:strRef>
              <c:f>'Sheet1'!$C$1</c:f>
              <c:strCache>
                <c:ptCount val="1"/>
                <c:pt idx="0">
                  <c:v>2022年</c:v>
                </c:pt>
              </c:strCache>
            </c:strRef>
          </c:tx>
          <c:spPr>
            <a:solidFill>
              <a:srgbClr val="9BBB59"/>
            </a:solidFill>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收入</c:v>
                </c:pt>
                <c:pt idx="1">
                  <c:v>支出</c:v>
                </c:pt>
                <c:pt idx="2">
                  <c:v>预算数收入</c:v>
                </c:pt>
                <c:pt idx="3">
                  <c:v>预算数支出</c:v>
                </c:pt>
              </c:strCache>
            </c:strRef>
          </c:cat>
          <c:val>
            <c:numRef>
              <c:f>'Sheet1'!$C$2:$C$5</c:f>
              <c:numCache>
                <c:formatCode>General</c:formatCode>
                <c:ptCount val="4"/>
                <c:pt idx="0">
                  <c:v>258.33</c:v>
                </c:pt>
                <c:pt idx="1">
                  <c:v>228.33</c:v>
                </c:pt>
                <c:pt idx="2">
                  <c:v>222.55</c:v>
                </c:pt>
                <c:pt idx="3">
                  <c:v>222.55</c:v>
                </c:pt>
              </c:numCache>
            </c:numRef>
          </c:val>
        </c:ser>
        <c:ser>
          <c:idx val="2"/>
          <c:order val="2"/>
          <c:tx>
            <c:strRef>
              <c:f>'Sheet1'!$D$1</c:f>
              <c:strCache>
                <c:ptCount val="1"/>
                <c:pt idx="0">
                  <c:v>系列 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收入</c:v>
                </c:pt>
                <c:pt idx="1">
                  <c:v>支出</c:v>
                </c:pt>
                <c:pt idx="2">
                  <c:v>预算数收入</c:v>
                </c:pt>
                <c:pt idx="3">
                  <c:v>预算数支出</c:v>
                </c:pt>
              </c:strCache>
            </c:strRef>
          </c:cat>
          <c:val>
            <c:numRef>
              <c:f>'Sheet1'!$D$2:$D$5</c:f>
              <c:numCache>
                <c:formatCode>General</c:formatCode>
                <c:ptCount val="4"/>
                <c:pt idx="0">
                  <c:v>2</c:v>
                </c:pt>
                <c:pt idx="1">
                  <c:v>2</c:v>
                </c:pt>
                <c:pt idx="2">
                  <c:v>3</c:v>
                </c:pt>
                <c:pt idx="3">
                  <c:v>5</c:v>
                </c:pt>
              </c:numCache>
            </c:numRef>
          </c:val>
        </c:ser>
        <c:dLbls>
          <c:showLegendKey val="0"/>
          <c:showVal val="1"/>
          <c:showCatName val="0"/>
          <c:showSerName val="0"/>
          <c:showPercent val="0"/>
          <c:showBubbleSize val="0"/>
        </c:dLbls>
        <c:gapWidth val="150"/>
        <c:overlap val="-25"/>
        <c:axId val="288973184"/>
        <c:axId val="288974720"/>
      </c:barChart>
      <c:catAx>
        <c:axId val="28897318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88974720"/>
        <c:crosses val="autoZero"/>
        <c:auto val="1"/>
        <c:lblAlgn val="ctr"/>
        <c:lblOffset val="100"/>
        <c:noMultiLvlLbl val="0"/>
      </c:catAx>
      <c:valAx>
        <c:axId val="288974720"/>
        <c:scaling>
          <c:orientation val="minMax"/>
        </c:scaling>
        <c:delete val="1"/>
        <c:axPos val="l"/>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88973184"/>
        <c:crosses val="autoZero"/>
        <c:crossBetween val="between"/>
      </c:valAx>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4741</Words>
  <Characters>5590</Characters>
  <Lines>41</Lines>
  <Paragraphs>11</Paragraphs>
  <TotalTime>1</TotalTime>
  <ScaleCrop>false</ScaleCrop>
  <LinksUpToDate>false</LinksUpToDate>
  <CharactersWithSpaces>5609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盒子精</cp:lastModifiedBy>
  <dcterms:modified xsi:type="dcterms:W3CDTF">2024-08-15T10:36:09Z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62DEBCD3F05A496DB90265F70C3CA340_12</vt:lpwstr>
  </property>
</Properties>
</file>