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28015"/>
      <w:bookmarkStart w:id="2" w:name="_Toc15396475"/>
      <w:bookmarkStart w:id="3" w:name="_Toc15377425"/>
      <w:bookmarkStart w:id="4" w:name="_Toc15377193"/>
      <w:bookmarkStart w:id="5" w:name="_Toc15396597"/>
      <w:bookmarkStart w:id="6" w:name="_Toc15378441"/>
      <w:r>
        <w:rPr>
          <w:rFonts w:ascii="黑体" w:hAnsi="黑体" w:eastAsia="黑体"/>
          <w:color w:val="000000"/>
          <w:sz w:val="72"/>
          <w:szCs w:val="72"/>
        </w:rPr>
        <w:t>20</w:t>
      </w:r>
      <w:r>
        <w:rPr>
          <w:rFonts w:hint="eastAsia" w:ascii="黑体" w:hAnsi="黑体" w:eastAsia="黑体"/>
          <w:color w:val="000000"/>
          <w:sz w:val="72"/>
          <w:szCs w:val="72"/>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22638"/>
      <w:bookmarkStart w:id="8" w:name="_Toc15377426"/>
      <w:bookmarkStart w:id="9" w:name="_Toc15377194"/>
      <w:bookmarkStart w:id="10" w:name="_Toc15378442"/>
      <w:bookmarkStart w:id="11" w:name="_Toc15396598"/>
      <w:bookmarkStart w:id="12" w:name="_Toc15396476"/>
      <w:r>
        <w:rPr>
          <w:rFonts w:hint="eastAsia" w:ascii="方正小标宋简体" w:hAnsi="宋体" w:eastAsia="方正小标宋简体"/>
          <w:color w:val="000000"/>
          <w:sz w:val="72"/>
          <w:szCs w:val="72"/>
        </w:rPr>
        <w:t>四川省阿坝州红原县</w:t>
      </w:r>
      <w:bookmarkEnd w:id="0"/>
      <w:bookmarkStart w:id="13" w:name="_Toc15306268"/>
      <w:r>
        <w:rPr>
          <w:rFonts w:hint="eastAsia" w:ascii="方正小标宋简体" w:hAnsi="宋体" w:eastAsia="方正小标宋简体"/>
          <w:color w:val="000000"/>
          <w:sz w:val="72"/>
          <w:szCs w:val="72"/>
        </w:rPr>
        <w:t>刷经寺镇人民政府部门决算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7"/>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sdt>
      <w:sdtPr>
        <w:rPr>
          <w:rFonts w:ascii="宋体" w:hAnsi="宋体"/>
          <w:szCs w:val="21"/>
        </w:rPr>
        <w:id w:val="147466278"/>
        <w15:color w:val="DBDBDB"/>
        <w:docPartObj>
          <w:docPartGallery w:val="Table of Contents"/>
          <w:docPartUnique/>
        </w:docPartObj>
      </w:sdtPr>
      <w:sdtEndPr>
        <w:rPr>
          <w:rFonts w:hint="eastAsia" w:ascii="Calibri" w:hAnsi="Calibri"/>
          <w:b/>
          <w:szCs w:val="21"/>
        </w:rPr>
      </w:sdtEndPr>
      <w:sdtContent>
        <w:p>
          <w:pPr>
            <w:jc w:val="center"/>
          </w:pPr>
          <w:r>
            <w:rPr>
              <w:rFonts w:ascii="宋体" w:hAnsi="宋体"/>
            </w:rPr>
            <w:t>目录</w:t>
          </w:r>
        </w:p>
        <w:p>
          <w:pPr>
            <w:pStyle w:val="39"/>
            <w:tabs>
              <w:tab w:val="right" w:leader="dot" w:pos="8306"/>
            </w:tabs>
            <w:rPr>
              <w:b/>
            </w:rPr>
          </w:pPr>
          <w:r>
            <w:rPr>
              <w:rFonts w:hint="eastAsia"/>
            </w:rPr>
            <w:fldChar w:fldCharType="begin"/>
          </w:r>
          <w:r>
            <w:rPr>
              <w:rFonts w:hint="eastAsia"/>
            </w:rPr>
            <w:instrText xml:space="preserve">TOC \o "1-2" \h \u </w:instrText>
          </w:r>
          <w:r>
            <w:rPr>
              <w:rFonts w:hint="eastAsia"/>
            </w:rPr>
            <w:fldChar w:fldCharType="separate"/>
          </w:r>
          <w:r>
            <w:fldChar w:fldCharType="begin"/>
          </w:r>
          <w:r>
            <w:instrText xml:space="preserve"> HYPERLINK \l "_Toc28015" </w:instrText>
          </w:r>
          <w:r>
            <w:fldChar w:fldCharType="separate"/>
          </w:r>
          <w:r>
            <w:rPr>
              <w:rFonts w:ascii="黑体" w:hAnsi="黑体" w:eastAsia="黑体"/>
              <w:b/>
              <w:szCs w:val="72"/>
            </w:rPr>
            <w:t>20</w:t>
          </w:r>
          <w:r>
            <w:rPr>
              <w:rFonts w:hint="eastAsia" w:ascii="黑体" w:hAnsi="黑体" w:eastAsia="黑体"/>
              <w:b/>
              <w:szCs w:val="72"/>
            </w:rPr>
            <w:t>21</w:t>
          </w:r>
          <w:r>
            <w:rPr>
              <w:rFonts w:hint="eastAsia" w:ascii="方正小标宋简体" w:hAnsi="宋体" w:eastAsia="方正小标宋简体"/>
              <w:b/>
              <w:szCs w:val="72"/>
            </w:rPr>
            <w:t>年度</w:t>
          </w:r>
          <w:r>
            <w:rPr>
              <w:b/>
            </w:rPr>
            <w:tab/>
          </w:r>
          <w:r>
            <w:rPr>
              <w:b/>
            </w:rPr>
            <w:fldChar w:fldCharType="begin"/>
          </w:r>
          <w:r>
            <w:rPr>
              <w:b/>
            </w:rPr>
            <w:instrText xml:space="preserve"> PAGEREF _Toc28015 \h </w:instrText>
          </w:r>
          <w:r>
            <w:rPr>
              <w:b/>
            </w:rPr>
            <w:fldChar w:fldCharType="separate"/>
          </w:r>
          <w:r>
            <w:rPr>
              <w:b/>
            </w:rPr>
            <w:t>1</w:t>
          </w:r>
          <w:r>
            <w:rPr>
              <w:b/>
            </w:rPr>
            <w:fldChar w:fldCharType="end"/>
          </w:r>
          <w:r>
            <w:rPr>
              <w:b/>
            </w:rPr>
            <w:fldChar w:fldCharType="end"/>
          </w:r>
        </w:p>
        <w:p>
          <w:pPr>
            <w:pStyle w:val="39"/>
            <w:tabs>
              <w:tab w:val="right" w:leader="dot" w:pos="8306"/>
            </w:tabs>
            <w:rPr>
              <w:b/>
            </w:rPr>
          </w:pPr>
          <w:r>
            <w:fldChar w:fldCharType="begin"/>
          </w:r>
          <w:r>
            <w:instrText xml:space="preserve"> HYPERLINK \l "_Toc22638" </w:instrText>
          </w:r>
          <w:r>
            <w:fldChar w:fldCharType="separate"/>
          </w:r>
          <w:r>
            <w:rPr>
              <w:rFonts w:hint="eastAsia" w:ascii="方正小标宋简体" w:hAnsi="宋体" w:eastAsia="方正小标宋简体"/>
              <w:b/>
              <w:szCs w:val="72"/>
            </w:rPr>
            <w:t>四川省阿坝州红原县刷经寺镇人民政府部门决算</w:t>
          </w:r>
          <w:r>
            <w:rPr>
              <w:b/>
            </w:rPr>
            <w:tab/>
          </w:r>
          <w:r>
            <w:rPr>
              <w:b/>
            </w:rPr>
            <w:fldChar w:fldCharType="begin"/>
          </w:r>
          <w:r>
            <w:rPr>
              <w:b/>
            </w:rPr>
            <w:instrText xml:space="preserve"> PAGEREF _Toc22638 \h </w:instrText>
          </w:r>
          <w:r>
            <w:rPr>
              <w:b/>
            </w:rPr>
            <w:fldChar w:fldCharType="separate"/>
          </w:r>
          <w:r>
            <w:rPr>
              <w:b/>
            </w:rPr>
            <w:t>1</w:t>
          </w:r>
          <w:r>
            <w:rPr>
              <w:b/>
            </w:rPr>
            <w:fldChar w:fldCharType="end"/>
          </w:r>
          <w:r>
            <w:rPr>
              <w:b/>
            </w:rPr>
            <w:fldChar w:fldCharType="end"/>
          </w:r>
        </w:p>
        <w:p>
          <w:pPr>
            <w:pStyle w:val="39"/>
            <w:tabs>
              <w:tab w:val="right" w:leader="dot" w:pos="8306"/>
            </w:tabs>
            <w:rPr>
              <w:b/>
            </w:rPr>
          </w:pPr>
          <w:r>
            <w:fldChar w:fldCharType="begin"/>
          </w:r>
          <w:r>
            <w:instrText xml:space="preserve"> HYPERLINK \l "_Toc5617" </w:instrText>
          </w:r>
          <w:r>
            <w:fldChar w:fldCharType="separate"/>
          </w:r>
          <w:r>
            <w:rPr>
              <w:rFonts w:hint="eastAsia" w:ascii="黑体" w:hAnsi="黑体" w:eastAsia="黑体"/>
              <w:b/>
            </w:rPr>
            <w:t>第一部分 部门概况</w:t>
          </w:r>
          <w:r>
            <w:rPr>
              <w:b/>
            </w:rPr>
            <w:tab/>
          </w:r>
          <w:r>
            <w:rPr>
              <w:b/>
            </w:rPr>
            <w:fldChar w:fldCharType="begin"/>
          </w:r>
          <w:r>
            <w:rPr>
              <w:b/>
            </w:rPr>
            <w:instrText xml:space="preserve"> PAGEREF _Toc5617 \h </w:instrText>
          </w:r>
          <w:r>
            <w:rPr>
              <w:b/>
            </w:rPr>
            <w:fldChar w:fldCharType="separate"/>
          </w:r>
          <w:r>
            <w:rPr>
              <w:b/>
            </w:rPr>
            <w:t>3</w:t>
          </w:r>
          <w:r>
            <w:rPr>
              <w:b/>
            </w:rPr>
            <w:fldChar w:fldCharType="end"/>
          </w:r>
          <w:r>
            <w:rPr>
              <w:b/>
            </w:rPr>
            <w:fldChar w:fldCharType="end"/>
          </w:r>
        </w:p>
        <w:p>
          <w:pPr>
            <w:pStyle w:val="40"/>
            <w:tabs>
              <w:tab w:val="right" w:leader="dot" w:pos="8306"/>
            </w:tabs>
            <w:ind w:left="420"/>
          </w:pPr>
          <w:r>
            <w:fldChar w:fldCharType="begin"/>
          </w:r>
          <w:r>
            <w:instrText xml:space="preserve"> HYPERLINK \l "_Toc17045" </w:instrText>
          </w:r>
          <w:r>
            <w:fldChar w:fldCharType="separate"/>
          </w:r>
          <w:r>
            <w:rPr>
              <w:rFonts w:hint="eastAsia" w:ascii="黑体" w:eastAsia="黑体" w:hAnsiTheme="majorHAnsi" w:cstheme="majorBidi"/>
              <w:bCs/>
              <w:kern w:val="2"/>
              <w:szCs w:val="32"/>
            </w:rPr>
            <w:t>一、基本职能及主要工作</w:t>
          </w:r>
          <w:r>
            <w:tab/>
          </w:r>
          <w:r>
            <w:fldChar w:fldCharType="begin"/>
          </w:r>
          <w:r>
            <w:instrText xml:space="preserve"> PAGEREF _Toc17045 \h </w:instrText>
          </w:r>
          <w:r>
            <w:fldChar w:fldCharType="separate"/>
          </w:r>
          <w:r>
            <w:t>3</w:t>
          </w:r>
          <w:r>
            <w:fldChar w:fldCharType="end"/>
          </w:r>
          <w:r>
            <w:fldChar w:fldCharType="end"/>
          </w:r>
        </w:p>
        <w:p>
          <w:pPr>
            <w:pStyle w:val="40"/>
            <w:tabs>
              <w:tab w:val="right" w:leader="dot" w:pos="8306"/>
            </w:tabs>
            <w:ind w:left="420"/>
          </w:pPr>
          <w:r>
            <w:fldChar w:fldCharType="begin"/>
          </w:r>
          <w:r>
            <w:instrText xml:space="preserve"> HYPERLINK \l "_Toc11021"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_Toc11021 \h </w:instrText>
          </w:r>
          <w:r>
            <w:fldChar w:fldCharType="separate"/>
          </w:r>
          <w:r>
            <w:t>7</w:t>
          </w:r>
          <w:r>
            <w:fldChar w:fldCharType="end"/>
          </w:r>
          <w:r>
            <w:fldChar w:fldCharType="end"/>
          </w:r>
        </w:p>
        <w:p>
          <w:pPr>
            <w:pStyle w:val="40"/>
            <w:tabs>
              <w:tab w:val="right" w:leader="dot" w:pos="8306"/>
            </w:tabs>
            <w:ind w:left="420"/>
          </w:pPr>
          <w:r>
            <w:fldChar w:fldCharType="begin"/>
          </w:r>
          <w:r>
            <w:instrText xml:space="preserve"> HYPERLINK \l "_Toc3241" </w:instrText>
          </w:r>
          <w:r>
            <w:fldChar w:fldCharType="separate"/>
          </w:r>
          <w:r>
            <w:rPr>
              <w:rFonts w:hint="eastAsia" w:ascii="黑体" w:hAnsi="黑体" w:eastAsia="黑体"/>
              <w:szCs w:val="32"/>
            </w:rPr>
            <w:t>三、收</w:t>
          </w:r>
          <w:r>
            <w:rPr>
              <w:rFonts w:hint="eastAsia" w:ascii="黑体" w:hAnsi="黑体" w:eastAsia="黑体"/>
            </w:rPr>
            <w:t>入支出决算总体情况说明</w:t>
          </w:r>
          <w:r>
            <w:tab/>
          </w:r>
          <w:r>
            <w:fldChar w:fldCharType="begin"/>
          </w:r>
          <w:r>
            <w:instrText xml:space="preserve"> PAGEREF _Toc3241 \h </w:instrText>
          </w:r>
          <w:r>
            <w:fldChar w:fldCharType="separate"/>
          </w:r>
          <w:r>
            <w:t>7</w:t>
          </w:r>
          <w:r>
            <w:fldChar w:fldCharType="end"/>
          </w:r>
          <w:r>
            <w:fldChar w:fldCharType="end"/>
          </w:r>
        </w:p>
        <w:p>
          <w:pPr>
            <w:pStyle w:val="40"/>
            <w:tabs>
              <w:tab w:val="right" w:leader="dot" w:pos="8306"/>
            </w:tabs>
            <w:ind w:left="420"/>
          </w:pPr>
          <w:r>
            <w:fldChar w:fldCharType="begin"/>
          </w:r>
          <w:r>
            <w:instrText xml:space="preserve"> HYPERLINK \l "_Toc9273" </w:instrText>
          </w:r>
          <w:r>
            <w:fldChar w:fldCharType="separate"/>
          </w:r>
          <w:r>
            <w:rPr>
              <w:rFonts w:hint="eastAsia" w:ascii="黑体" w:hAnsi="黑体" w:eastAsia="黑体"/>
              <w:szCs w:val="32"/>
            </w:rPr>
            <w:t>四、收</w:t>
          </w:r>
          <w:r>
            <w:rPr>
              <w:rFonts w:hint="eastAsia" w:ascii="黑体" w:hAnsi="黑体" w:eastAsia="黑体"/>
            </w:rPr>
            <w:t>入决算情况说明</w:t>
          </w:r>
          <w:r>
            <w:tab/>
          </w:r>
          <w:r>
            <w:fldChar w:fldCharType="begin"/>
          </w:r>
          <w:r>
            <w:instrText xml:space="preserve"> PAGEREF _Toc9273 \h </w:instrText>
          </w:r>
          <w:r>
            <w:fldChar w:fldCharType="separate"/>
          </w:r>
          <w:r>
            <w:t>8</w:t>
          </w:r>
          <w:r>
            <w:fldChar w:fldCharType="end"/>
          </w:r>
          <w:r>
            <w:fldChar w:fldCharType="end"/>
          </w:r>
        </w:p>
        <w:p>
          <w:pPr>
            <w:pStyle w:val="40"/>
            <w:tabs>
              <w:tab w:val="right" w:leader="dot" w:pos="8306"/>
            </w:tabs>
            <w:ind w:left="420"/>
          </w:pPr>
          <w:r>
            <w:fldChar w:fldCharType="begin"/>
          </w:r>
          <w:r>
            <w:instrText xml:space="preserve"> HYPERLINK \l "_Toc16403" </w:instrText>
          </w:r>
          <w:r>
            <w:fldChar w:fldCharType="separate"/>
          </w:r>
          <w:r>
            <w:rPr>
              <w:rFonts w:hint="eastAsia" w:ascii="仿宋" w:hAnsi="仿宋" w:eastAsia="仿宋"/>
              <w:szCs w:val="32"/>
            </w:rPr>
            <w:t>2021年本年收入合计</w:t>
          </w:r>
          <w:r>
            <w:rPr>
              <w:rFonts w:ascii="仿宋" w:hAnsi="仿宋" w:eastAsia="仿宋"/>
              <w:szCs w:val="32"/>
            </w:rPr>
            <w:t>1830</w:t>
          </w:r>
          <w:r>
            <w:rPr>
              <w:rFonts w:hint="eastAsia" w:ascii="仿宋" w:hAnsi="仿宋" w:eastAsia="仿宋"/>
              <w:szCs w:val="32"/>
            </w:rPr>
            <w:t>.</w:t>
          </w:r>
          <w:r>
            <w:rPr>
              <w:rFonts w:ascii="仿宋" w:hAnsi="仿宋" w:eastAsia="仿宋"/>
              <w:szCs w:val="32"/>
            </w:rPr>
            <w:t>7</w:t>
          </w:r>
          <w:r>
            <w:rPr>
              <w:rFonts w:hint="eastAsia" w:ascii="仿宋" w:hAnsi="仿宋" w:eastAsia="仿宋"/>
              <w:szCs w:val="32"/>
            </w:rPr>
            <w:t>万元，其中：一般公共预算财政拨款收入</w:t>
          </w:r>
          <w:r>
            <w:rPr>
              <w:rFonts w:ascii="仿宋" w:hAnsi="仿宋" w:eastAsia="仿宋"/>
              <w:szCs w:val="32"/>
            </w:rPr>
            <w:t>1830</w:t>
          </w:r>
          <w:r>
            <w:rPr>
              <w:rFonts w:hint="eastAsia" w:ascii="仿宋" w:hAnsi="仿宋" w:eastAsia="仿宋"/>
              <w:szCs w:val="32"/>
            </w:rPr>
            <w:t>.</w:t>
          </w:r>
          <w:r>
            <w:rPr>
              <w:rFonts w:ascii="仿宋" w:hAnsi="仿宋" w:eastAsia="仿宋"/>
              <w:szCs w:val="32"/>
            </w:rPr>
            <w:t>7</w:t>
          </w:r>
          <w:r>
            <w:rPr>
              <w:rFonts w:hint="eastAsia" w:ascii="仿宋" w:hAnsi="仿宋" w:eastAsia="仿宋"/>
              <w:szCs w:val="32"/>
            </w:rPr>
            <w:t>万元，占</w:t>
          </w:r>
          <w:r>
            <w:rPr>
              <w:rFonts w:ascii="仿宋" w:hAnsi="仿宋" w:eastAsia="仿宋"/>
              <w:szCs w:val="32"/>
            </w:rPr>
            <w:t>100%</w:t>
          </w:r>
          <w:r>
            <w:rPr>
              <w:rFonts w:hint="eastAsia" w:ascii="仿宋" w:hAnsi="仿宋" w:eastAsia="仿宋"/>
              <w:szCs w:val="32"/>
            </w:rPr>
            <w:t>；政府性基金预算财政拨款收入0万元，占0</w:t>
          </w:r>
          <w:r>
            <w:rPr>
              <w:rFonts w:ascii="仿宋" w:hAnsi="仿宋" w:eastAsia="仿宋"/>
              <w:szCs w:val="32"/>
            </w:rPr>
            <w:t>%</w:t>
          </w:r>
          <w:r>
            <w:rPr>
              <w:rFonts w:hint="eastAsia" w:ascii="仿宋" w:hAnsi="仿宋" w:eastAsia="仿宋"/>
              <w:szCs w:val="32"/>
            </w:rPr>
            <w:t>；上级补助收入0万元，占0</w:t>
          </w:r>
          <w:r>
            <w:rPr>
              <w:rFonts w:ascii="仿宋" w:hAnsi="仿宋" w:eastAsia="仿宋"/>
              <w:szCs w:val="32"/>
            </w:rPr>
            <w:t>%</w:t>
          </w:r>
          <w:r>
            <w:rPr>
              <w:rFonts w:hint="eastAsia" w:ascii="仿宋" w:hAnsi="仿宋" w:eastAsia="仿宋"/>
              <w:szCs w:val="32"/>
            </w:rPr>
            <w:t>；事业收入0万元，占0</w:t>
          </w:r>
          <w:r>
            <w:rPr>
              <w:rFonts w:ascii="仿宋" w:hAnsi="仿宋" w:eastAsia="仿宋"/>
              <w:szCs w:val="32"/>
            </w:rPr>
            <w:t>%</w:t>
          </w:r>
          <w:r>
            <w:rPr>
              <w:rFonts w:hint="eastAsia" w:ascii="仿宋" w:hAnsi="仿宋" w:eastAsia="仿宋"/>
              <w:szCs w:val="32"/>
            </w:rPr>
            <w:t>；经营收入0万元，占0</w:t>
          </w:r>
          <w:r>
            <w:rPr>
              <w:rFonts w:ascii="仿宋" w:hAnsi="仿宋" w:eastAsia="仿宋"/>
              <w:szCs w:val="32"/>
            </w:rPr>
            <w:t>%</w:t>
          </w:r>
          <w:r>
            <w:rPr>
              <w:rFonts w:hint="eastAsia" w:ascii="仿宋" w:hAnsi="仿宋" w:eastAsia="仿宋"/>
              <w:szCs w:val="32"/>
            </w:rPr>
            <w:t>；附属单位上缴收入0万元，占0</w:t>
          </w:r>
          <w:r>
            <w:rPr>
              <w:rFonts w:ascii="仿宋" w:hAnsi="仿宋" w:eastAsia="仿宋"/>
              <w:szCs w:val="32"/>
            </w:rPr>
            <w:t>%</w:t>
          </w:r>
          <w:r>
            <w:rPr>
              <w:rFonts w:hint="eastAsia" w:ascii="仿宋" w:hAnsi="仿宋" w:eastAsia="仿宋"/>
              <w:szCs w:val="32"/>
            </w:rPr>
            <w:t xml:space="preserve">。 </w:t>
          </w:r>
          <w:r>
            <w:rPr>
              <w:rFonts w:ascii="仿宋" w:hAnsi="仿宋" w:eastAsia="仿宋"/>
              <w:szCs w:val="32"/>
            </w:rPr>
            <w:t xml:space="preserve">   </w:t>
          </w:r>
          <w:r>
            <w:t xml:space="preserve">           </w:t>
          </w:r>
          <w:r>
            <w:fldChar w:fldCharType="begin"/>
          </w:r>
          <w:r>
            <w:instrText xml:space="preserve"> PAGEREF _Toc16403 \h </w:instrText>
          </w:r>
          <w:r>
            <w:fldChar w:fldCharType="separate"/>
          </w:r>
          <w:r>
            <w:t>8</w:t>
          </w:r>
          <w:r>
            <w:fldChar w:fldCharType="end"/>
          </w:r>
          <w:r>
            <w:fldChar w:fldCharType="end"/>
          </w:r>
        </w:p>
        <w:p>
          <w:pPr>
            <w:pStyle w:val="40"/>
            <w:tabs>
              <w:tab w:val="right" w:leader="dot" w:pos="8306"/>
            </w:tabs>
            <w:ind w:left="420"/>
          </w:pPr>
          <w:r>
            <w:fldChar w:fldCharType="begin"/>
          </w:r>
          <w:r>
            <w:instrText xml:space="preserve"> HYPERLINK \l "_Toc15832" </w:instrText>
          </w:r>
          <w:r>
            <w:fldChar w:fldCharType="separate"/>
          </w:r>
          <w:r>
            <w:rPr>
              <w:rFonts w:hint="eastAsia" w:ascii="黑体" w:hAnsi="黑体" w:eastAsia="黑体"/>
              <w:szCs w:val="32"/>
            </w:rPr>
            <w:t>五、支</w:t>
          </w:r>
          <w:r>
            <w:rPr>
              <w:rFonts w:hint="eastAsia" w:ascii="黑体" w:hAnsi="黑体" w:eastAsia="黑体"/>
            </w:rPr>
            <w:t>出决算情况说明</w:t>
          </w:r>
          <w:r>
            <w:tab/>
          </w:r>
          <w:r>
            <w:fldChar w:fldCharType="begin"/>
          </w:r>
          <w:r>
            <w:instrText xml:space="preserve"> PAGEREF _Toc15832 \h </w:instrText>
          </w:r>
          <w:r>
            <w:fldChar w:fldCharType="separate"/>
          </w:r>
          <w:r>
            <w:t>9</w:t>
          </w:r>
          <w:r>
            <w:fldChar w:fldCharType="end"/>
          </w:r>
          <w:r>
            <w:fldChar w:fldCharType="end"/>
          </w:r>
        </w:p>
        <w:p>
          <w:pPr>
            <w:pStyle w:val="40"/>
            <w:tabs>
              <w:tab w:val="right" w:leader="dot" w:pos="8306"/>
            </w:tabs>
            <w:ind w:left="420"/>
          </w:pPr>
          <w:r>
            <w:fldChar w:fldCharType="begin"/>
          </w:r>
          <w:r>
            <w:instrText xml:space="preserve"> HYPERLINK \l "_Toc9663" </w:instrText>
          </w:r>
          <w:r>
            <w:fldChar w:fldCharType="separate"/>
          </w:r>
          <w:r>
            <w:rPr>
              <w:rFonts w:hint="eastAsia" w:ascii="仿宋" w:hAnsi="仿宋" w:eastAsia="仿宋"/>
              <w:szCs w:val="32"/>
            </w:rPr>
            <w:t>2021年本年支出合计</w:t>
          </w:r>
          <w:r>
            <w:rPr>
              <w:rFonts w:ascii="仿宋" w:hAnsi="仿宋" w:eastAsia="仿宋"/>
              <w:szCs w:val="32"/>
            </w:rPr>
            <w:t>1830</w:t>
          </w:r>
          <w:r>
            <w:rPr>
              <w:rFonts w:hint="eastAsia" w:ascii="仿宋" w:hAnsi="仿宋" w:eastAsia="仿宋"/>
              <w:szCs w:val="32"/>
            </w:rPr>
            <w:t>.</w:t>
          </w:r>
          <w:r>
            <w:rPr>
              <w:rFonts w:ascii="仿宋" w:hAnsi="仿宋" w:eastAsia="仿宋"/>
              <w:szCs w:val="32"/>
            </w:rPr>
            <w:t>7</w:t>
          </w:r>
          <w:r>
            <w:rPr>
              <w:rFonts w:hint="eastAsia" w:ascii="仿宋" w:hAnsi="仿宋" w:eastAsia="仿宋"/>
              <w:szCs w:val="32"/>
            </w:rPr>
            <w:t>万元，其中：一般公共服务支出为</w:t>
          </w:r>
          <w:r>
            <w:rPr>
              <w:rFonts w:ascii="仿宋" w:hAnsi="仿宋" w:eastAsia="仿宋"/>
              <w:szCs w:val="32"/>
            </w:rPr>
            <w:t>899.6万</w:t>
          </w:r>
          <w:r>
            <w:rPr>
              <w:rFonts w:hint="eastAsia" w:ascii="仿宋" w:hAnsi="仿宋" w:eastAsia="仿宋"/>
              <w:szCs w:val="32"/>
            </w:rPr>
            <w:t>元万元，占</w:t>
          </w:r>
          <w:r>
            <w:rPr>
              <w:rFonts w:ascii="仿宋" w:hAnsi="仿宋" w:eastAsia="仿宋"/>
              <w:szCs w:val="32"/>
            </w:rPr>
            <w:t>49.13%</w:t>
          </w:r>
          <w:r>
            <w:rPr>
              <w:rFonts w:hint="eastAsia" w:ascii="仿宋" w:hAnsi="仿宋" w:eastAsia="仿宋"/>
              <w:szCs w:val="32"/>
            </w:rPr>
            <w:t>；农林水支出6</w:t>
          </w:r>
          <w:r>
            <w:rPr>
              <w:rFonts w:ascii="仿宋" w:hAnsi="仿宋" w:eastAsia="仿宋"/>
              <w:szCs w:val="32"/>
            </w:rPr>
            <w:t>05.03</w:t>
          </w:r>
          <w:r>
            <w:rPr>
              <w:rFonts w:hint="eastAsia" w:ascii="仿宋" w:hAnsi="仿宋" w:eastAsia="仿宋"/>
              <w:szCs w:val="32"/>
            </w:rPr>
            <w:t>万元，占</w:t>
          </w:r>
          <w:r>
            <w:rPr>
              <w:rFonts w:ascii="仿宋" w:hAnsi="仿宋" w:eastAsia="仿宋"/>
              <w:szCs w:val="32"/>
            </w:rPr>
            <w:t>36.45%</w:t>
          </w:r>
          <w:r>
            <w:rPr>
              <w:rFonts w:hint="eastAsia" w:ascii="仿宋" w:hAnsi="仿宋" w:eastAsia="仿宋"/>
              <w:szCs w:val="32"/>
            </w:rPr>
            <w:t>；经营支出0万元，占0</w:t>
          </w:r>
          <w:r>
            <w:rPr>
              <w:rFonts w:ascii="仿宋" w:hAnsi="仿宋" w:eastAsia="仿宋"/>
              <w:szCs w:val="32"/>
            </w:rPr>
            <w:t>%</w:t>
          </w:r>
          <w:r>
            <w:rPr>
              <w:rFonts w:hint="eastAsia" w:ascii="仿宋" w:hAnsi="仿宋" w:eastAsia="仿宋"/>
              <w:szCs w:val="32"/>
            </w:rPr>
            <w:t>；对附属单位补助支出0万元，占0</w:t>
          </w:r>
          <w:r>
            <w:rPr>
              <w:rFonts w:ascii="仿宋" w:hAnsi="仿宋" w:eastAsia="仿宋"/>
              <w:szCs w:val="32"/>
            </w:rPr>
            <w:t>%</w:t>
          </w:r>
          <w:r>
            <w:rPr>
              <w:rFonts w:hint="eastAsia" w:ascii="仿宋" w:hAnsi="仿宋" w:eastAsia="仿宋"/>
              <w:szCs w:val="32"/>
            </w:rPr>
            <w:t>。</w:t>
          </w:r>
          <w:r>
            <w:tab/>
          </w:r>
          <w:r>
            <w:fldChar w:fldCharType="begin"/>
          </w:r>
          <w:r>
            <w:instrText xml:space="preserve"> PAGEREF _Toc9663 \h </w:instrText>
          </w:r>
          <w:r>
            <w:fldChar w:fldCharType="separate"/>
          </w:r>
          <w:r>
            <w:t>9</w:t>
          </w:r>
          <w:r>
            <w:fldChar w:fldCharType="end"/>
          </w:r>
          <w:r>
            <w:fldChar w:fldCharType="end"/>
          </w:r>
        </w:p>
        <w:p>
          <w:pPr>
            <w:pStyle w:val="40"/>
            <w:tabs>
              <w:tab w:val="right" w:leader="dot" w:pos="8306"/>
            </w:tabs>
            <w:ind w:left="420"/>
          </w:pPr>
          <w:r>
            <w:fldChar w:fldCharType="begin"/>
          </w:r>
          <w:r>
            <w:instrText xml:space="preserve"> HYPERLINK \l "_Toc2777" </w:instrText>
          </w:r>
          <w:r>
            <w:fldChar w:fldCharType="separate"/>
          </w:r>
          <w:r>
            <w:rPr>
              <w:rFonts w:hint="eastAsia" w:ascii="黑体" w:hAnsi="黑体" w:eastAsia="黑体"/>
              <w:szCs w:val="32"/>
            </w:rPr>
            <w:t>六、财</w:t>
          </w:r>
          <w:r>
            <w:rPr>
              <w:rFonts w:hint="eastAsia" w:ascii="黑体" w:hAnsi="黑体" w:eastAsia="黑体"/>
            </w:rPr>
            <w:t>政拨款收入支出决算总体情况说明</w:t>
          </w:r>
          <w:r>
            <w:tab/>
          </w:r>
          <w:r>
            <w:fldChar w:fldCharType="begin"/>
          </w:r>
          <w:r>
            <w:instrText xml:space="preserve"> PAGEREF _Toc2777 \h </w:instrText>
          </w:r>
          <w:r>
            <w:fldChar w:fldCharType="separate"/>
          </w:r>
          <w:r>
            <w:t>9</w:t>
          </w:r>
          <w:r>
            <w:fldChar w:fldCharType="end"/>
          </w:r>
          <w:r>
            <w:fldChar w:fldCharType="end"/>
          </w:r>
        </w:p>
        <w:p>
          <w:pPr>
            <w:pStyle w:val="40"/>
            <w:tabs>
              <w:tab w:val="right" w:leader="dot" w:pos="8306"/>
            </w:tabs>
            <w:ind w:left="420"/>
          </w:pPr>
          <w:r>
            <w:fldChar w:fldCharType="begin"/>
          </w:r>
          <w:r>
            <w:instrText xml:space="preserve"> HYPERLINK \l "_Toc971" </w:instrText>
          </w:r>
          <w:r>
            <w:fldChar w:fldCharType="separate"/>
          </w:r>
          <w:r>
            <w:rPr>
              <w:rFonts w:hint="eastAsia" w:ascii="黑体" w:hAnsi="黑体" w:eastAsia="黑体"/>
              <w:szCs w:val="32"/>
            </w:rPr>
            <w:t>七、一</w:t>
          </w:r>
          <w:r>
            <w:rPr>
              <w:rFonts w:hint="eastAsia" w:ascii="黑体" w:hAnsi="黑体" w:eastAsia="黑体"/>
            </w:rPr>
            <w:t>般公共预算财政拨款支出决算情况说明</w:t>
          </w:r>
          <w:r>
            <w:tab/>
          </w:r>
          <w:r>
            <w:fldChar w:fldCharType="begin"/>
          </w:r>
          <w:r>
            <w:instrText xml:space="preserve"> PAGEREF _Toc971 \h </w:instrText>
          </w:r>
          <w:r>
            <w:fldChar w:fldCharType="separate"/>
          </w:r>
          <w:r>
            <w:t>10</w:t>
          </w:r>
          <w:r>
            <w:fldChar w:fldCharType="end"/>
          </w:r>
          <w:r>
            <w:fldChar w:fldCharType="end"/>
          </w:r>
        </w:p>
        <w:p>
          <w:pPr>
            <w:pStyle w:val="40"/>
            <w:tabs>
              <w:tab w:val="right" w:leader="dot" w:pos="8306"/>
            </w:tabs>
            <w:ind w:left="420"/>
          </w:pPr>
          <w:r>
            <w:fldChar w:fldCharType="begin"/>
          </w:r>
          <w:r>
            <w:instrText xml:space="preserve"> HYPERLINK \l "_Toc25637" </w:instrText>
          </w:r>
          <w:r>
            <w:fldChar w:fldCharType="separate"/>
          </w:r>
          <w:r>
            <w:rPr>
              <w:rFonts w:hint="eastAsia" w:ascii="仿宋" w:hAnsi="仿宋" w:eastAsia="仿宋" w:cs="仿宋"/>
              <w:szCs w:val="32"/>
            </w:rPr>
            <w:t>2021年一般公共预算支出决算数为</w:t>
          </w:r>
          <w:r>
            <w:rPr>
              <w:rFonts w:ascii="仿宋" w:hAnsi="仿宋" w:eastAsia="仿宋" w:cs="仿宋"/>
              <w:szCs w:val="32"/>
            </w:rPr>
            <w:t>1830</w:t>
          </w:r>
          <w:r>
            <w:rPr>
              <w:rFonts w:hint="eastAsia" w:ascii="仿宋" w:hAnsi="仿宋" w:eastAsia="仿宋" w:cs="仿宋"/>
              <w:szCs w:val="32"/>
            </w:rPr>
            <w:t>.</w:t>
          </w:r>
          <w:r>
            <w:rPr>
              <w:rFonts w:ascii="仿宋" w:hAnsi="仿宋" w:eastAsia="仿宋" w:cs="仿宋"/>
              <w:szCs w:val="32"/>
            </w:rPr>
            <w:t>7</w:t>
          </w:r>
          <w:r>
            <w:rPr>
              <w:rFonts w:hint="eastAsia" w:ascii="仿宋" w:hAnsi="仿宋" w:eastAsia="仿宋" w:cs="仿宋"/>
              <w:szCs w:val="32"/>
            </w:rPr>
            <w:t>万元，</w:t>
          </w:r>
          <w:r>
            <w:rPr>
              <w:rFonts w:hint="eastAsia" w:ascii="仿宋" w:hAnsi="仿宋" w:eastAsia="仿宋" w:cs="仿宋"/>
              <w:bCs/>
              <w:szCs w:val="32"/>
            </w:rPr>
            <w:t>完成预算100%</w:t>
          </w:r>
          <w:r>
            <w:rPr>
              <w:rFonts w:hint="eastAsia" w:ascii="仿宋" w:hAnsi="仿宋" w:eastAsia="仿宋" w:cs="仿宋"/>
              <w:bCs/>
              <w:szCs w:val="32"/>
              <w:lang w:eastAsia="zh-CN"/>
            </w:rPr>
            <w:t>。</w:t>
          </w:r>
          <w:bookmarkStart w:id="116" w:name="_GoBack"/>
          <w:bookmarkEnd w:id="116"/>
          <w:r>
            <w:tab/>
          </w:r>
          <w:r>
            <w:fldChar w:fldCharType="begin"/>
          </w:r>
          <w:r>
            <w:instrText xml:space="preserve"> PAGEREF _Toc25637 \h </w:instrText>
          </w:r>
          <w:r>
            <w:fldChar w:fldCharType="separate"/>
          </w:r>
          <w:r>
            <w:t>12</w:t>
          </w:r>
          <w:r>
            <w:fldChar w:fldCharType="end"/>
          </w:r>
          <w:r>
            <w:fldChar w:fldCharType="end"/>
          </w:r>
        </w:p>
        <w:p>
          <w:pPr>
            <w:pStyle w:val="40"/>
            <w:tabs>
              <w:tab w:val="right" w:leader="dot" w:pos="8306"/>
            </w:tabs>
            <w:ind w:left="420"/>
          </w:pPr>
          <w:r>
            <w:fldChar w:fldCharType="begin"/>
          </w:r>
          <w:r>
            <w:instrText xml:space="preserve"> HYPERLINK \l "_Toc21943" </w:instrText>
          </w:r>
          <w:r>
            <w:fldChar w:fldCharType="separate"/>
          </w:r>
          <w:r>
            <w:rPr>
              <w:rFonts w:hint="eastAsia" w:ascii="黑体" w:eastAsia="黑体"/>
              <w:szCs w:val="32"/>
            </w:rPr>
            <w:t>八、</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_Toc21943 \h </w:instrText>
          </w:r>
          <w:r>
            <w:fldChar w:fldCharType="separate"/>
          </w:r>
          <w:r>
            <w:t>14</w:t>
          </w:r>
          <w:r>
            <w:fldChar w:fldCharType="end"/>
          </w:r>
          <w:r>
            <w:fldChar w:fldCharType="end"/>
          </w:r>
        </w:p>
        <w:p>
          <w:pPr>
            <w:pStyle w:val="40"/>
            <w:tabs>
              <w:tab w:val="right" w:leader="dot" w:pos="8306"/>
            </w:tabs>
            <w:ind w:left="420"/>
          </w:pPr>
          <w:r>
            <w:fldChar w:fldCharType="begin"/>
          </w:r>
          <w:r>
            <w:instrText xml:space="preserve"> HYPERLINK \l "_Toc11403" </w:instrText>
          </w:r>
          <w:r>
            <w:fldChar w:fldCharType="separate"/>
          </w:r>
          <w:r>
            <w:rPr>
              <w:rFonts w:hint="eastAsia" w:ascii="黑体" w:eastAsia="黑体"/>
              <w:szCs w:val="32"/>
            </w:rPr>
            <w:t>九、</w:t>
          </w:r>
          <w:r>
            <w:rPr>
              <w:rFonts w:hint="eastAsia" w:ascii="黑体" w:hAnsi="黑体" w:eastAsia="黑体"/>
            </w:rPr>
            <w:t>“三公”经费财政拨款支出决算情况说明</w:t>
          </w:r>
          <w:r>
            <w:tab/>
          </w:r>
          <w:r>
            <w:fldChar w:fldCharType="begin"/>
          </w:r>
          <w:r>
            <w:instrText xml:space="preserve"> PAGEREF _Toc11403 \h </w:instrText>
          </w:r>
          <w:r>
            <w:fldChar w:fldCharType="separate"/>
          </w:r>
          <w:r>
            <w:t>15</w:t>
          </w:r>
          <w:r>
            <w:fldChar w:fldCharType="end"/>
          </w:r>
          <w:r>
            <w:fldChar w:fldCharType="end"/>
          </w:r>
        </w:p>
        <w:p>
          <w:pPr>
            <w:pStyle w:val="40"/>
            <w:tabs>
              <w:tab w:val="right" w:leader="dot" w:pos="8306"/>
            </w:tabs>
            <w:ind w:left="420"/>
          </w:pPr>
          <w:r>
            <w:fldChar w:fldCharType="begin"/>
          </w:r>
          <w:r>
            <w:instrText xml:space="preserve"> HYPERLINK \l "_Toc15140" </w:instrText>
          </w:r>
          <w:r>
            <w:fldChar w:fldCharType="separate"/>
          </w:r>
          <w:r>
            <w:rPr>
              <w:rFonts w:hint="eastAsia" w:ascii="黑体" w:eastAsia="黑体"/>
              <w:szCs w:val="32"/>
            </w:rPr>
            <w:t>十、</w:t>
          </w:r>
          <w:r>
            <w:rPr>
              <w:rFonts w:hint="eastAsia" w:ascii="黑体" w:hAnsi="黑体" w:eastAsia="黑体"/>
            </w:rPr>
            <w:t>政府性基金预算支出决算情况说明</w:t>
          </w:r>
          <w:r>
            <w:tab/>
          </w:r>
          <w:r>
            <w:fldChar w:fldCharType="begin"/>
          </w:r>
          <w:r>
            <w:instrText xml:space="preserve"> PAGEREF _Toc15140 \h </w:instrText>
          </w:r>
          <w:r>
            <w:fldChar w:fldCharType="separate"/>
          </w:r>
          <w:r>
            <w:t>17</w:t>
          </w:r>
          <w:r>
            <w:fldChar w:fldCharType="end"/>
          </w:r>
          <w:r>
            <w:fldChar w:fldCharType="end"/>
          </w:r>
        </w:p>
        <w:p>
          <w:pPr>
            <w:pStyle w:val="40"/>
            <w:tabs>
              <w:tab w:val="right" w:leader="dot" w:pos="8306"/>
            </w:tabs>
            <w:ind w:left="420"/>
          </w:pPr>
          <w:r>
            <w:fldChar w:fldCharType="begin"/>
          </w:r>
          <w:r>
            <w:instrText xml:space="preserve"> HYPERLINK \l "_Toc21776" </w:instrText>
          </w:r>
          <w:r>
            <w:fldChar w:fldCharType="separate"/>
          </w:r>
          <w:r>
            <w:rPr>
              <w:rFonts w:hint="eastAsia" w:ascii="黑体" w:hAnsi="黑体" w:eastAsia="黑体"/>
            </w:rPr>
            <w:t>十一、国有资本经营预算支出决算情况说明</w:t>
          </w:r>
          <w:r>
            <w:tab/>
          </w:r>
          <w:r>
            <w:fldChar w:fldCharType="begin"/>
          </w:r>
          <w:r>
            <w:instrText xml:space="preserve"> PAGEREF _Toc21776 \h </w:instrText>
          </w:r>
          <w:r>
            <w:fldChar w:fldCharType="separate"/>
          </w:r>
          <w:r>
            <w:t>17</w:t>
          </w:r>
          <w:r>
            <w:fldChar w:fldCharType="end"/>
          </w:r>
          <w:r>
            <w:fldChar w:fldCharType="end"/>
          </w:r>
        </w:p>
        <w:p>
          <w:pPr>
            <w:pStyle w:val="40"/>
            <w:tabs>
              <w:tab w:val="right" w:leader="dot" w:pos="8306"/>
            </w:tabs>
            <w:ind w:left="420"/>
          </w:pPr>
          <w:r>
            <w:fldChar w:fldCharType="begin"/>
          </w:r>
          <w:r>
            <w:instrText xml:space="preserve"> HYPERLINK \l "_Toc31063" </w:instrText>
          </w:r>
          <w:r>
            <w:fldChar w:fldCharType="separate"/>
          </w:r>
          <w:r>
            <w:rPr>
              <w:rFonts w:hint="eastAsia" w:ascii="黑体" w:hAnsi="黑体" w:eastAsia="黑体"/>
              <w:szCs w:val="32"/>
            </w:rPr>
            <w:t>十二、</w:t>
          </w:r>
          <w:r>
            <w:rPr>
              <w:rFonts w:hint="eastAsia" w:ascii="黑体" w:hAnsi="黑体" w:eastAsia="黑体"/>
            </w:rPr>
            <w:t>其他重要事项的情况说明</w:t>
          </w:r>
          <w:r>
            <w:tab/>
          </w:r>
          <w:r>
            <w:fldChar w:fldCharType="begin"/>
          </w:r>
          <w:r>
            <w:instrText xml:space="preserve"> PAGEREF _Toc31063 \h </w:instrText>
          </w:r>
          <w:r>
            <w:fldChar w:fldCharType="separate"/>
          </w:r>
          <w:r>
            <w:t>17</w:t>
          </w:r>
          <w:r>
            <w:fldChar w:fldCharType="end"/>
          </w:r>
          <w:r>
            <w:fldChar w:fldCharType="end"/>
          </w:r>
        </w:p>
        <w:p>
          <w:pPr>
            <w:pStyle w:val="39"/>
            <w:tabs>
              <w:tab w:val="right" w:leader="dot" w:pos="8306"/>
            </w:tabs>
            <w:rPr>
              <w:b/>
            </w:rPr>
          </w:pPr>
          <w:r>
            <w:fldChar w:fldCharType="begin"/>
          </w:r>
          <w:r>
            <w:instrText xml:space="preserve"> HYPERLINK \l "_Toc11473" </w:instrText>
          </w:r>
          <w: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_Toc11473 \h </w:instrText>
          </w:r>
          <w:r>
            <w:rPr>
              <w:b/>
            </w:rPr>
            <w:fldChar w:fldCharType="separate"/>
          </w:r>
          <w:r>
            <w:rPr>
              <w:b/>
            </w:rPr>
            <w:t>34</w:t>
          </w:r>
          <w:r>
            <w:rPr>
              <w:b/>
            </w:rPr>
            <w:fldChar w:fldCharType="end"/>
          </w:r>
          <w:r>
            <w:rPr>
              <w:b/>
            </w:rPr>
            <w:fldChar w:fldCharType="end"/>
          </w:r>
        </w:p>
        <w:p>
          <w:pPr>
            <w:pStyle w:val="39"/>
            <w:tabs>
              <w:tab w:val="right" w:leader="dot" w:pos="8306"/>
            </w:tabs>
            <w:rPr>
              <w:b/>
            </w:rPr>
          </w:pPr>
          <w:r>
            <w:fldChar w:fldCharType="begin"/>
          </w:r>
          <w:r>
            <w:instrText xml:space="preserve"> HYPERLINK \l "_Toc3620" </w:instrText>
          </w:r>
          <w: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_Toc3620 \h </w:instrText>
          </w:r>
          <w:r>
            <w:rPr>
              <w:b/>
            </w:rPr>
            <w:fldChar w:fldCharType="separate"/>
          </w:r>
          <w:r>
            <w:rPr>
              <w:b/>
            </w:rPr>
            <w:t>39</w:t>
          </w:r>
          <w:r>
            <w:rPr>
              <w:b/>
            </w:rPr>
            <w:fldChar w:fldCharType="end"/>
          </w:r>
          <w:r>
            <w:rPr>
              <w:b/>
            </w:rPr>
            <w:fldChar w:fldCharType="end"/>
          </w:r>
        </w:p>
        <w:p>
          <w:pPr>
            <w:pStyle w:val="40"/>
            <w:tabs>
              <w:tab w:val="right" w:leader="dot" w:pos="8306"/>
            </w:tabs>
            <w:ind w:left="420"/>
          </w:pPr>
          <w:r>
            <w:fldChar w:fldCharType="begin"/>
          </w:r>
          <w:r>
            <w:instrText xml:space="preserve"> HYPERLINK \l "_Toc8405" </w:instrText>
          </w:r>
          <w:r>
            <w:fldChar w:fldCharType="separate"/>
          </w:r>
          <w:r>
            <w:rPr>
              <w:rFonts w:hint="eastAsia" w:ascii="黑体" w:hAnsi="黑体" w:eastAsia="黑体" w:cs="黑体"/>
              <w:szCs w:val="32"/>
            </w:rPr>
            <w:t>附件1</w:t>
          </w:r>
          <w:r>
            <w:tab/>
          </w:r>
          <w:r>
            <w:fldChar w:fldCharType="begin"/>
          </w:r>
          <w:r>
            <w:instrText xml:space="preserve"> PAGEREF _Toc8405 \h </w:instrText>
          </w:r>
          <w:r>
            <w:fldChar w:fldCharType="separate"/>
          </w:r>
          <w:r>
            <w:t>39</w:t>
          </w:r>
          <w:r>
            <w:fldChar w:fldCharType="end"/>
          </w:r>
          <w:r>
            <w:fldChar w:fldCharType="end"/>
          </w:r>
        </w:p>
        <w:p>
          <w:pPr>
            <w:pStyle w:val="40"/>
            <w:tabs>
              <w:tab w:val="right" w:leader="dot" w:pos="8306"/>
            </w:tabs>
            <w:ind w:left="420"/>
          </w:pPr>
          <w:r>
            <w:fldChar w:fldCharType="begin"/>
          </w:r>
          <w:r>
            <w:instrText xml:space="preserve"> HYPERLINK \l "_Toc1777" </w:instrText>
          </w:r>
          <w:r>
            <w:fldChar w:fldCharType="separate"/>
          </w:r>
          <w:r>
            <w:rPr>
              <w:rFonts w:hint="eastAsia" w:ascii="黑体" w:hAnsi="黑体" w:eastAsia="黑体" w:cs="黑体"/>
              <w:szCs w:val="32"/>
              <w:lang w:val="zh-CN"/>
            </w:rPr>
            <w:t>一、单位概况</w:t>
          </w:r>
          <w:r>
            <w:tab/>
          </w:r>
          <w:r>
            <w:fldChar w:fldCharType="begin"/>
          </w:r>
          <w:r>
            <w:instrText xml:space="preserve"> PAGEREF _Toc1777 \h </w:instrText>
          </w:r>
          <w:r>
            <w:fldChar w:fldCharType="separate"/>
          </w:r>
          <w:r>
            <w:t>39</w:t>
          </w:r>
          <w:r>
            <w:fldChar w:fldCharType="end"/>
          </w:r>
          <w:r>
            <w:fldChar w:fldCharType="end"/>
          </w:r>
        </w:p>
        <w:p>
          <w:pPr>
            <w:pStyle w:val="40"/>
            <w:tabs>
              <w:tab w:val="right" w:leader="dot" w:pos="8306"/>
            </w:tabs>
            <w:ind w:left="420"/>
          </w:pPr>
          <w:r>
            <w:fldChar w:fldCharType="begin"/>
          </w:r>
          <w:r>
            <w:instrText xml:space="preserve"> HYPERLINK \l "_Toc29566" </w:instrText>
          </w:r>
          <w:r>
            <w:fldChar w:fldCharType="separate"/>
          </w:r>
          <w:r>
            <w:rPr>
              <w:rFonts w:hint="eastAsia" w:ascii="黑体" w:hAnsi="黑体" w:eastAsia="黑体" w:cs="黑体"/>
              <w:szCs w:val="32"/>
              <w:lang w:val="zh-CN"/>
            </w:rPr>
            <w:t>二、部门财政资金收支情况</w:t>
          </w:r>
          <w:r>
            <w:tab/>
          </w:r>
          <w:r>
            <w:fldChar w:fldCharType="begin"/>
          </w:r>
          <w:r>
            <w:instrText xml:space="preserve"> PAGEREF _Toc29566 \h </w:instrText>
          </w:r>
          <w:r>
            <w:fldChar w:fldCharType="separate"/>
          </w:r>
          <w:r>
            <w:t>41</w:t>
          </w:r>
          <w:r>
            <w:fldChar w:fldCharType="end"/>
          </w:r>
          <w:r>
            <w:fldChar w:fldCharType="end"/>
          </w:r>
        </w:p>
        <w:p>
          <w:pPr>
            <w:pStyle w:val="40"/>
            <w:tabs>
              <w:tab w:val="right" w:leader="dot" w:pos="8306"/>
            </w:tabs>
            <w:ind w:left="420"/>
          </w:pPr>
          <w:r>
            <w:fldChar w:fldCharType="begin"/>
          </w:r>
          <w:r>
            <w:instrText xml:space="preserve"> HYPERLINK \l "_Toc9444" </w:instrText>
          </w:r>
          <w:r>
            <w:fldChar w:fldCharType="separate"/>
          </w:r>
          <w:r>
            <w:rPr>
              <w:rFonts w:hint="eastAsia" w:ascii="黑体" w:hAnsi="黑体" w:eastAsia="黑体" w:cs="黑体"/>
              <w:szCs w:val="32"/>
            </w:rPr>
            <w:t>三、部门财政支出管理情况</w:t>
          </w:r>
          <w:r>
            <w:tab/>
          </w:r>
          <w:r>
            <w:fldChar w:fldCharType="begin"/>
          </w:r>
          <w:r>
            <w:instrText xml:space="preserve"> PAGEREF _Toc9444 \h </w:instrText>
          </w:r>
          <w:r>
            <w:fldChar w:fldCharType="separate"/>
          </w:r>
          <w:r>
            <w:t>41</w:t>
          </w:r>
          <w:r>
            <w:fldChar w:fldCharType="end"/>
          </w:r>
          <w:r>
            <w:fldChar w:fldCharType="end"/>
          </w:r>
        </w:p>
        <w:p>
          <w:pPr>
            <w:pStyle w:val="40"/>
            <w:tabs>
              <w:tab w:val="right" w:leader="dot" w:pos="8306"/>
            </w:tabs>
            <w:ind w:left="420"/>
          </w:pPr>
          <w:r>
            <w:fldChar w:fldCharType="begin"/>
          </w:r>
          <w:r>
            <w:instrText xml:space="preserve"> HYPERLINK \l "_Toc28798" </w:instrText>
          </w:r>
          <w:r>
            <w:fldChar w:fldCharType="separate"/>
          </w:r>
          <w:r>
            <w:rPr>
              <w:rFonts w:hint="eastAsia" w:ascii="仿宋_GB2312" w:hAnsi="仿宋_GB2312" w:eastAsia="仿宋_GB2312" w:cs="仿宋_GB2312"/>
              <w:kern w:val="2"/>
              <w:szCs w:val="32"/>
              <w:lang w:val="zh-CN"/>
            </w:rPr>
            <w:t>四、评价结论及建议</w:t>
          </w:r>
          <w:r>
            <w:tab/>
          </w:r>
          <w:r>
            <w:fldChar w:fldCharType="begin"/>
          </w:r>
          <w:r>
            <w:instrText xml:space="preserve"> PAGEREF _Toc28798 \h </w:instrText>
          </w:r>
          <w:r>
            <w:fldChar w:fldCharType="separate"/>
          </w:r>
          <w:r>
            <w:t>43</w:t>
          </w:r>
          <w:r>
            <w:fldChar w:fldCharType="end"/>
          </w:r>
          <w:r>
            <w:fldChar w:fldCharType="end"/>
          </w:r>
        </w:p>
        <w:p>
          <w:pPr>
            <w:pStyle w:val="40"/>
            <w:tabs>
              <w:tab w:val="right" w:leader="dot" w:pos="8306"/>
            </w:tabs>
            <w:ind w:left="420"/>
          </w:pPr>
          <w:r>
            <w:fldChar w:fldCharType="begin"/>
          </w:r>
          <w:r>
            <w:instrText xml:space="preserve"> HYPERLINK \l "_Toc24448" </w:instrText>
          </w:r>
          <w:r>
            <w:fldChar w:fldCharType="separate"/>
          </w:r>
          <w:r>
            <w:rPr>
              <w:rFonts w:hint="eastAsia" w:ascii="仿宋_GB2312" w:hAnsi="仿宋_GB2312" w:eastAsia="仿宋_GB2312" w:cs="仿宋_GB2312"/>
              <w:bCs/>
              <w:kern w:val="2"/>
              <w:szCs w:val="32"/>
              <w:lang w:val="zh-CN"/>
            </w:rPr>
            <w:t>一是预算编制先见性不足，与实际支出存在偏差；二是</w:t>
          </w:r>
          <w:r>
            <w:rPr>
              <w:rFonts w:hint="eastAsia" w:ascii="仿宋_GB2312" w:hAnsi="仿宋_GB2312" w:eastAsia="仿宋_GB2312" w:cs="仿宋_GB2312"/>
              <w:bCs/>
              <w:kern w:val="2"/>
              <w:szCs w:val="32"/>
            </w:rPr>
            <w:t>内控制度建立的不够健全、完善、责任划分不够明确</w:t>
          </w:r>
          <w:r>
            <w:rPr>
              <w:rFonts w:hint="eastAsia" w:ascii="仿宋_GB2312" w:hAnsi="仿宋_GB2312" w:eastAsia="仿宋_GB2312" w:cs="仿宋_GB2312"/>
              <w:bCs/>
              <w:kern w:val="2"/>
              <w:szCs w:val="32"/>
              <w:lang w:val="zh-CN"/>
            </w:rPr>
            <w:t>；三是绩效目标设立不够明确、细化和量化。虽然设立了项目资金绩效目标，但目标不够明确、细化和量化。</w:t>
          </w:r>
          <w:r>
            <w:tab/>
          </w:r>
          <w:r>
            <w:fldChar w:fldCharType="begin"/>
          </w:r>
          <w:r>
            <w:instrText xml:space="preserve"> PAGEREF _Toc24448 \h </w:instrText>
          </w:r>
          <w:r>
            <w:fldChar w:fldCharType="separate"/>
          </w:r>
          <w:r>
            <w:t>43</w:t>
          </w:r>
          <w:r>
            <w:fldChar w:fldCharType="end"/>
          </w:r>
          <w:r>
            <w:fldChar w:fldCharType="end"/>
          </w:r>
        </w:p>
        <w:p>
          <w:pPr>
            <w:pStyle w:val="40"/>
            <w:tabs>
              <w:tab w:val="right" w:leader="dot" w:pos="8306"/>
            </w:tabs>
            <w:ind w:left="420"/>
          </w:pPr>
          <w:r>
            <w:fldChar w:fldCharType="begin"/>
          </w:r>
          <w:r>
            <w:instrText xml:space="preserve"> HYPERLINK \l "_Toc30806" </w:instrText>
          </w:r>
          <w:r>
            <w:fldChar w:fldCharType="separate"/>
          </w:r>
          <w:r>
            <w:rPr>
              <w:rFonts w:hint="eastAsia" w:ascii="黑体" w:hAnsi="宋体" w:eastAsia="黑体"/>
              <w:szCs w:val="32"/>
            </w:rPr>
            <w:t>五、评价结论及建议</w:t>
          </w:r>
          <w:r>
            <w:tab/>
          </w:r>
          <w:r>
            <w:fldChar w:fldCharType="begin"/>
          </w:r>
          <w:r>
            <w:instrText xml:space="preserve"> PAGEREF _Toc30806 \h </w:instrText>
          </w:r>
          <w:r>
            <w:fldChar w:fldCharType="separate"/>
          </w:r>
          <w:r>
            <w:t>50</w:t>
          </w:r>
          <w:r>
            <w:fldChar w:fldCharType="end"/>
          </w:r>
          <w:r>
            <w:fldChar w:fldCharType="end"/>
          </w:r>
        </w:p>
        <w:p>
          <w:pPr>
            <w:pStyle w:val="39"/>
            <w:tabs>
              <w:tab w:val="right" w:leader="dot" w:pos="8306"/>
            </w:tabs>
            <w:rPr>
              <w:b/>
            </w:rPr>
          </w:pPr>
          <w:r>
            <w:fldChar w:fldCharType="begin"/>
          </w:r>
          <w:r>
            <w:instrText xml:space="preserve"> HYPERLINK \l "_Toc10718" </w:instrText>
          </w:r>
          <w: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_Toc10718 \h </w:instrText>
          </w:r>
          <w:r>
            <w:rPr>
              <w:b/>
            </w:rPr>
            <w:fldChar w:fldCharType="separate"/>
          </w:r>
          <w:r>
            <w:rPr>
              <w:b/>
            </w:rPr>
            <w:t>51</w:t>
          </w:r>
          <w:r>
            <w:rPr>
              <w:b/>
            </w:rPr>
            <w:fldChar w:fldCharType="end"/>
          </w:r>
          <w:r>
            <w:rPr>
              <w:b/>
            </w:rPr>
            <w:fldChar w:fldCharType="end"/>
          </w:r>
        </w:p>
        <w:p>
          <w:pPr>
            <w:pStyle w:val="40"/>
            <w:tabs>
              <w:tab w:val="right" w:leader="dot" w:pos="8306"/>
            </w:tabs>
            <w:ind w:left="420"/>
          </w:pPr>
          <w:r>
            <w:fldChar w:fldCharType="begin"/>
          </w:r>
          <w:r>
            <w:instrText xml:space="preserve"> HYPERLINK \l "_Toc8039" </w:instrText>
          </w:r>
          <w:r>
            <w:fldChar w:fldCharType="separate"/>
          </w:r>
          <w:r>
            <w:rPr>
              <w:rFonts w:hint="eastAsia" w:ascii="仿宋" w:hAnsi="仿宋" w:eastAsia="仿宋"/>
            </w:rPr>
            <w:t>一、收入支出决算总表</w:t>
          </w:r>
          <w:r>
            <w:tab/>
          </w:r>
          <w:r>
            <w:fldChar w:fldCharType="begin"/>
          </w:r>
          <w:r>
            <w:instrText xml:space="preserve"> PAGEREF _Toc8039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"_Toc12316" </w:instrText>
          </w:r>
          <w:r>
            <w:fldChar w:fldCharType="separate"/>
          </w:r>
          <w:r>
            <w:rPr>
              <w:rFonts w:hint="eastAsia" w:ascii="仿宋" w:hAnsi="仿宋" w:eastAsia="仿宋"/>
            </w:rPr>
            <w:t>二、收入支出决算表</w:t>
          </w:r>
          <w:r>
            <w:tab/>
          </w:r>
          <w:r>
            <w:fldChar w:fldCharType="begin"/>
          </w:r>
          <w:r>
            <w:instrText xml:space="preserve"> PAGEREF _Toc12316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"_Toc15102" </w:instrText>
          </w:r>
          <w:r>
            <w:fldChar w:fldCharType="separate"/>
          </w:r>
          <w:r>
            <w:rPr>
              <w:rFonts w:hint="eastAsia" w:ascii="仿宋" w:hAnsi="仿宋" w:eastAsia="仿宋"/>
            </w:rPr>
            <w:t>三、收入决算表</w:t>
          </w:r>
          <w:r>
            <w:tab/>
          </w:r>
          <w:r>
            <w:fldChar w:fldCharType="begin"/>
          </w:r>
          <w:r>
            <w:instrText xml:space="preserve"> PAGEREF _Toc15102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"_Toc28805" </w:instrText>
          </w:r>
          <w:r>
            <w:fldChar w:fldCharType="separate"/>
          </w:r>
          <w:r>
            <w:rPr>
              <w:rFonts w:hint="eastAsia" w:ascii="仿宋" w:hAnsi="仿宋" w:eastAsia="仿宋"/>
            </w:rPr>
            <w:t>四、支出决算表</w:t>
          </w:r>
          <w:r>
            <w:tab/>
          </w:r>
          <w:r>
            <w:fldChar w:fldCharType="begin"/>
          </w:r>
          <w:r>
            <w:instrText xml:space="preserve"> PAGEREF _Toc28805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"_Toc26078" </w:instrText>
          </w:r>
          <w:r>
            <w:fldChar w:fldCharType="separate"/>
          </w:r>
          <w:r>
            <w:rPr>
              <w:rFonts w:hint="eastAsia" w:ascii="仿宋" w:hAnsi="仿宋" w:eastAsia="仿宋"/>
            </w:rPr>
            <w:t>五、支出决算明细表</w:t>
          </w:r>
          <w:r>
            <w:tab/>
          </w:r>
          <w:r>
            <w:fldChar w:fldCharType="begin"/>
          </w:r>
          <w:r>
            <w:instrText xml:space="preserve"> PAGEREF _Toc26078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"_Toc15033" </w:instrText>
          </w:r>
          <w:r>
            <w:fldChar w:fldCharType="separate"/>
          </w:r>
          <w:r>
            <w:rPr>
              <w:rFonts w:hint="eastAsia" w:ascii="仿宋" w:hAnsi="仿宋" w:eastAsia="仿宋"/>
            </w:rPr>
            <w:t>六、项目收入支出决算表</w:t>
          </w:r>
          <w:r>
            <w:tab/>
          </w:r>
          <w:r>
            <w:fldChar w:fldCharType="begin"/>
          </w:r>
          <w:r>
            <w:instrText xml:space="preserve"> PAGEREF _Toc15033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"_Toc31078" </w:instrText>
          </w:r>
          <w:r>
            <w:fldChar w:fldCharType="separate"/>
          </w:r>
          <w:r>
            <w:rPr>
              <w:rFonts w:hint="eastAsia" w:ascii="仿宋" w:hAnsi="仿宋" w:eastAsia="仿宋"/>
            </w:rPr>
            <w:t>七、一般公共预算财政拨款收入支出决算表</w:t>
          </w:r>
          <w:r>
            <w:tab/>
          </w:r>
          <w:r>
            <w:fldChar w:fldCharType="begin"/>
          </w:r>
          <w:r>
            <w:instrText xml:space="preserve"> PAGEREF _Toc31078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"_Toc12758" </w:instrText>
          </w:r>
          <w:r>
            <w:fldChar w:fldCharType="separate"/>
          </w:r>
          <w:r>
            <w:rPr>
              <w:rFonts w:hint="eastAsia" w:ascii="仿宋" w:hAnsi="仿宋" w:eastAsia="仿宋"/>
            </w:rPr>
            <w:t>八、一般公共预算财政拨款支出决算明细表</w:t>
          </w:r>
          <w:r>
            <w:tab/>
          </w:r>
          <w:r>
            <w:fldChar w:fldCharType="begin"/>
          </w:r>
          <w:r>
            <w:instrText xml:space="preserve"> PAGEREF _Toc12758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"_Toc26252" </w:instrText>
          </w:r>
          <w:r>
            <w:fldChar w:fldCharType="separate"/>
          </w:r>
          <w:r>
            <w:rPr>
              <w:rFonts w:hint="eastAsia" w:ascii="仿宋" w:hAnsi="仿宋" w:eastAsia="仿宋"/>
            </w:rPr>
            <w:t>九、一般公共预算财政拨款基本支出决算明细表</w:t>
          </w:r>
          <w:r>
            <w:tab/>
          </w:r>
          <w:r>
            <w:fldChar w:fldCharType="begin"/>
          </w:r>
          <w:r>
            <w:instrText xml:space="preserve"> PAGEREF _Toc26252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"_Toc15364" </w:instrText>
          </w:r>
          <w:r>
            <w:fldChar w:fldCharType="separate"/>
          </w:r>
          <w:r>
            <w:rPr>
              <w:rFonts w:hint="eastAsia" w:ascii="仿宋" w:hAnsi="仿宋" w:eastAsia="仿宋"/>
            </w:rPr>
            <w:t>十、一般公共预算财政拨款项目支出决算明细表</w:t>
          </w:r>
          <w:r>
            <w:tab/>
          </w:r>
          <w:r>
            <w:fldChar w:fldCharType="begin"/>
          </w:r>
          <w:r>
            <w:instrText xml:space="preserve"> PAGEREF _Toc15364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"_Toc30658" </w:instrText>
          </w:r>
          <w:r>
            <w:fldChar w:fldCharType="separate"/>
          </w:r>
          <w:r>
            <w:rPr>
              <w:rFonts w:hint="eastAsia" w:ascii="仿宋" w:hAnsi="仿宋" w:eastAsia="仿宋"/>
            </w:rPr>
            <w:t>十一、预算支出相关信息表</w:t>
          </w:r>
          <w:r>
            <w:tab/>
          </w:r>
          <w:r>
            <w:fldChar w:fldCharType="begin"/>
          </w:r>
          <w:r>
            <w:instrText xml:space="preserve"> PAGEREF _Toc30658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"_Toc2890" </w:instrText>
          </w:r>
          <w:r>
            <w:fldChar w:fldCharType="separate"/>
          </w:r>
          <w:r>
            <w:rPr>
              <w:rFonts w:hint="eastAsia" w:ascii="仿宋" w:hAnsi="仿宋" w:eastAsia="仿宋"/>
            </w:rPr>
            <w:t>十二、基本数字表</w:t>
          </w:r>
          <w:r>
            <w:tab/>
          </w:r>
          <w:r>
            <w:fldChar w:fldCharType="begin"/>
          </w:r>
          <w:r>
            <w:instrText xml:space="preserve"> PAGEREF _Toc2890 \h </w:instrText>
          </w:r>
          <w:r>
            <w:fldChar w:fldCharType="separate"/>
          </w:r>
          <w:r>
            <w:t>51</w:t>
          </w:r>
          <w:r>
            <w:fldChar w:fldCharType="end"/>
          </w:r>
          <w:r>
            <w:fldChar w:fldCharType="end"/>
          </w:r>
        </w:p>
        <w:p>
          <w:pPr>
            <w:pStyle w:val="40"/>
            <w:tabs>
              <w:tab w:val="right" w:leader="dot" w:pos="8306"/>
            </w:tabs>
            <w:ind w:left="420"/>
          </w:pPr>
          <w:r>
            <w:fldChar w:fldCharType="begin"/>
          </w:r>
          <w:r>
            <w:instrText xml:space="preserve"> HYPERLINK \l "_Toc19167" </w:instrText>
          </w:r>
          <w:r>
            <w:fldChar w:fldCharType="separate"/>
          </w:r>
          <w:r>
            <w:rPr>
              <w:rFonts w:hint="eastAsia" w:ascii="仿宋" w:hAnsi="仿宋" w:eastAsia="仿宋"/>
            </w:rPr>
            <w:t>十三、机构运行信息表</w:t>
          </w:r>
          <w:r>
            <w:tab/>
          </w:r>
          <w:r>
            <w:fldChar w:fldCharType="begin"/>
          </w:r>
          <w:r>
            <w:instrText xml:space="preserve"> PAGEREF _Toc19167 \h </w:instrText>
          </w:r>
          <w:r>
            <w:fldChar w:fldCharType="separate"/>
          </w:r>
          <w:r>
            <w:t>51</w:t>
          </w:r>
          <w:r>
            <w:fldChar w:fldCharType="end"/>
          </w:r>
          <w:r>
            <w:fldChar w:fldCharType="end"/>
          </w:r>
        </w:p>
        <w:p>
          <w:pPr>
            <w:pStyle w:val="2"/>
            <w:rPr>
              <w:b/>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r>
            <w:rPr>
              <w:rFonts w:hint="eastAsia"/>
              <w:b/>
            </w:rPr>
            <w:fldChar w:fldCharType="end"/>
          </w:r>
        </w:p>
      </w:sdtContent>
    </w:sdt>
    <w:p/>
    <w:p>
      <w:pPr>
        <w:pStyle w:val="3"/>
        <w:jc w:val="center"/>
        <w:rPr>
          <w:rFonts w:ascii="黑体" w:eastAsia="黑体"/>
          <w:color w:val="000000"/>
          <w:sz w:val="32"/>
          <w:szCs w:val="32"/>
        </w:rPr>
      </w:pPr>
      <w:bookmarkStart w:id="14" w:name="_Toc5617"/>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ascii="黑体" w:eastAsia="黑体" w:hAnsiTheme="majorHAnsi" w:cstheme="majorBidi"/>
          <w:bCs/>
          <w:color w:val="000000"/>
          <w:sz w:val="32"/>
          <w:szCs w:val="32"/>
        </w:rPr>
      </w:pPr>
      <w:bookmarkStart w:id="15" w:name="_Toc15377197"/>
      <w:bookmarkStart w:id="16" w:name="_Toc15396600"/>
      <w:bookmarkStart w:id="17" w:name="_Toc17045"/>
      <w:r>
        <w:rPr>
          <w:rFonts w:hint="eastAsia" w:ascii="黑体" w:eastAsia="黑体" w:hAnsiTheme="majorHAnsi" w:cstheme="majorBidi"/>
          <w:bCs/>
          <w:color w:val="000000"/>
          <w:sz w:val="32"/>
          <w:szCs w:val="32"/>
        </w:rPr>
        <w:t>一、基本职能及主要工作</w:t>
      </w:r>
      <w:bookmarkEnd w:id="15"/>
      <w:bookmarkEnd w:id="16"/>
      <w:bookmarkEnd w:id="17"/>
    </w:p>
    <w:p>
      <w:pPr>
        <w:snapToGrid w:val="0"/>
        <w:spacing w:line="560" w:lineRule="exact"/>
        <w:ind w:firstLine="640" w:firstLineChars="200"/>
        <w:rPr>
          <w:rFonts w:ascii="仿宋_GB2312" w:hAnsi="仿宋_GB2312" w:eastAsia="仿宋_GB2312" w:cs="仿宋_GB2312"/>
          <w:bCs/>
          <w:sz w:val="32"/>
          <w:szCs w:val="32"/>
        </w:rPr>
      </w:pPr>
      <w:bookmarkStart w:id="18" w:name="_Toc15378445"/>
      <w:bookmarkStart w:id="19" w:name="_Toc15377198"/>
      <w:r>
        <w:rPr>
          <w:rFonts w:hint="eastAsia" w:ascii="仿宋_GB2312" w:hAnsi="仿宋_GB2312" w:eastAsia="仿宋_GB2312" w:cs="仿宋_GB2312"/>
          <w:bCs/>
          <w:sz w:val="32"/>
          <w:szCs w:val="32"/>
        </w:rPr>
        <w:t>（一）主要职能。</w:t>
      </w:r>
      <w:bookmarkEnd w:id="18"/>
      <w:bookmarkEnd w:id="19"/>
      <w:bookmarkStart w:id="20" w:name="_Toc15378446"/>
      <w:bookmarkStart w:id="21" w:name="_Toc15377199"/>
    </w:p>
    <w:p>
      <w:pPr>
        <w:snapToGrid w:val="0"/>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镇区域内民政、计划生育、体育文化卫生等社会公益事业的综合性工作，维护群众合法权益，调节民事纠纷，打击刑事犯罪维护社会稳定；三是做好本镇账务资金管理工作；四是抓好精神文明建设；五是完成上级部门交办的其他事项</w:t>
      </w:r>
      <w:r>
        <w:rPr>
          <w:rFonts w:hint="eastAsia" w:hAnsi="仿宋_GB2312" w:cs="仿宋_GB2312"/>
          <w:bCs/>
          <w:sz w:val="32"/>
          <w:szCs w:val="32"/>
        </w:rPr>
        <w:t>。</w:t>
      </w:r>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2" w:name="_Toc31513"/>
      <w:r>
        <w:rPr>
          <w:rFonts w:hint="eastAsia" w:ascii="仿宋" w:hAnsi="仿宋" w:eastAsia="仿宋"/>
          <w:bCs/>
          <w:color w:val="000000"/>
          <w:sz w:val="32"/>
          <w:szCs w:val="32"/>
        </w:rPr>
        <w:t>（二）2021年重点工作完成情况。</w:t>
      </w:r>
      <w:bookmarkEnd w:id="20"/>
      <w:bookmarkEnd w:id="21"/>
      <w:bookmarkEnd w:id="22"/>
    </w:p>
    <w:p>
      <w:pPr>
        <w:pStyle w:val="16"/>
        <w:widowControl/>
        <w:wordWrap w:val="0"/>
        <w:spacing w:line="576" w:lineRule="exact"/>
        <w:ind w:firstLine="640" w:firstLineChars="200"/>
        <w:rPr>
          <w:rFonts w:ascii="仿宋_GB2312" w:hAnsi="仿宋_GB2312" w:eastAsia="仿宋_GB2312" w:cs="仿宋_GB2312"/>
          <w:sz w:val="32"/>
          <w:szCs w:val="32"/>
          <w:shd w:val="clear" w:color="auto" w:fill="FFFFFF"/>
          <w:lang w:bidi="ar"/>
        </w:rPr>
      </w:pPr>
      <w:bookmarkStart w:id="23" w:name="_Toc15377200"/>
      <w:bookmarkStart w:id="24" w:name="_Toc15396601"/>
      <w:r>
        <w:rPr>
          <w:rFonts w:hint="eastAsia" w:ascii="仿宋_GB2312" w:hAnsi="仿宋_GB2312" w:eastAsia="仿宋_GB2312" w:cs="仿宋_GB2312"/>
          <w:sz w:val="32"/>
          <w:szCs w:val="32"/>
          <w:shd w:val="clear" w:color="auto" w:fill="FFFFFF"/>
          <w:lang w:bidi="ar"/>
        </w:rPr>
        <w:t>1.强化政治引领，夯实党建基础,一是强化党员思想建设。以党史学习教育为契机，组织学习理论文章，不断提高理论素养和业务能力。基层党组织共开展“两学一做”集中学习20余次，主题党日</w:t>
      </w:r>
      <w:r>
        <w:rPr>
          <w:rFonts w:ascii="仿宋_GB2312" w:hAnsi="仿宋_GB2312" w:eastAsia="仿宋_GB2312" w:cs="仿宋_GB2312"/>
          <w:sz w:val="32"/>
          <w:szCs w:val="32"/>
          <w:shd w:val="clear" w:color="auto" w:fill="FFFFFF"/>
          <w:lang w:bidi="ar"/>
        </w:rPr>
        <w:t>26</w:t>
      </w:r>
      <w:r>
        <w:rPr>
          <w:rFonts w:hint="eastAsia" w:ascii="仿宋_GB2312" w:hAnsi="仿宋_GB2312" w:eastAsia="仿宋_GB2312" w:cs="仿宋_GB2312"/>
          <w:sz w:val="32"/>
          <w:szCs w:val="32"/>
          <w:shd w:val="clear" w:color="auto" w:fill="FFFFFF"/>
          <w:lang w:bidi="ar"/>
        </w:rPr>
        <w:t>次，召开党员大会1</w:t>
      </w:r>
      <w:r>
        <w:rPr>
          <w:rFonts w:ascii="仿宋_GB2312" w:hAnsi="仿宋_GB2312" w:eastAsia="仿宋_GB2312" w:cs="仿宋_GB2312"/>
          <w:sz w:val="32"/>
          <w:szCs w:val="32"/>
          <w:shd w:val="clear" w:color="auto" w:fill="FFFFFF"/>
          <w:lang w:bidi="ar"/>
        </w:rPr>
        <w:t>6</w:t>
      </w:r>
      <w:r>
        <w:rPr>
          <w:rFonts w:hint="eastAsia" w:ascii="仿宋_GB2312" w:hAnsi="仿宋_GB2312" w:eastAsia="仿宋_GB2312" w:cs="仿宋_GB2312"/>
          <w:sz w:val="32"/>
          <w:szCs w:val="32"/>
          <w:shd w:val="clear" w:color="auto" w:fill="FFFFFF"/>
          <w:lang w:bidi="ar"/>
        </w:rPr>
        <w:t>次，支委会</w:t>
      </w:r>
      <w:r>
        <w:rPr>
          <w:rFonts w:ascii="仿宋_GB2312" w:hAnsi="仿宋_GB2312" w:eastAsia="仿宋_GB2312" w:cs="仿宋_GB2312"/>
          <w:sz w:val="32"/>
          <w:szCs w:val="32"/>
          <w:shd w:val="clear" w:color="auto" w:fill="FFFFFF"/>
          <w:lang w:bidi="ar"/>
        </w:rPr>
        <w:t>23</w:t>
      </w:r>
      <w:r>
        <w:rPr>
          <w:rFonts w:hint="eastAsia" w:ascii="仿宋_GB2312" w:hAnsi="仿宋_GB2312" w:eastAsia="仿宋_GB2312" w:cs="仿宋_GB2312"/>
          <w:sz w:val="32"/>
          <w:szCs w:val="32"/>
          <w:shd w:val="clear" w:color="auto" w:fill="FFFFFF"/>
          <w:lang w:bidi="ar"/>
        </w:rPr>
        <w:t>次，讲党课</w:t>
      </w:r>
      <w:r>
        <w:rPr>
          <w:rFonts w:ascii="仿宋_GB2312" w:hAnsi="仿宋_GB2312" w:eastAsia="仿宋_GB2312" w:cs="仿宋_GB2312"/>
          <w:sz w:val="32"/>
          <w:szCs w:val="32"/>
          <w:shd w:val="clear" w:color="auto" w:fill="FFFFFF"/>
          <w:lang w:bidi="ar"/>
        </w:rPr>
        <w:t>8</w:t>
      </w:r>
      <w:r>
        <w:rPr>
          <w:rFonts w:hint="eastAsia" w:ascii="仿宋_GB2312" w:hAnsi="仿宋_GB2312" w:eastAsia="仿宋_GB2312" w:cs="仿宋_GB2312"/>
          <w:sz w:val="32"/>
          <w:szCs w:val="32"/>
          <w:shd w:val="clear" w:color="auto" w:fill="FFFFFF"/>
          <w:lang w:bidi="ar"/>
        </w:rPr>
        <w:t>次；二是狠抓党员队伍建设。强化党员发展，全年新发展党员</w:t>
      </w:r>
      <w:r>
        <w:rPr>
          <w:rFonts w:ascii="仿宋_GB2312" w:hAnsi="仿宋_GB2312" w:eastAsia="仿宋_GB2312" w:cs="仿宋_GB2312"/>
          <w:sz w:val="32"/>
          <w:szCs w:val="32"/>
          <w:shd w:val="clear" w:color="auto" w:fill="FFFFFF"/>
          <w:lang w:bidi="ar"/>
        </w:rPr>
        <w:t>4</w:t>
      </w:r>
      <w:r>
        <w:rPr>
          <w:rFonts w:hint="eastAsia" w:ascii="仿宋_GB2312" w:hAnsi="仿宋_GB2312" w:eastAsia="仿宋_GB2312" w:cs="仿宋_GB2312"/>
          <w:sz w:val="32"/>
          <w:szCs w:val="32"/>
          <w:shd w:val="clear" w:color="auto" w:fill="FFFFFF"/>
          <w:lang w:bidi="ar"/>
        </w:rPr>
        <w:t>名；加强村干部队伍培训，全面提升各村新任村干部的能力和素质，组织新任村干部开展专题培训</w:t>
      </w:r>
      <w:r>
        <w:rPr>
          <w:rFonts w:ascii="仿宋_GB2312" w:hAnsi="仿宋_GB2312" w:eastAsia="仿宋_GB2312" w:cs="仿宋_GB2312"/>
          <w:sz w:val="32"/>
          <w:szCs w:val="32"/>
          <w:shd w:val="clear" w:color="auto" w:fill="FFFFFF"/>
          <w:lang w:bidi="ar"/>
        </w:rPr>
        <w:t>6</w:t>
      </w:r>
      <w:r>
        <w:rPr>
          <w:rFonts w:hint="eastAsia" w:ascii="仿宋_GB2312" w:hAnsi="仿宋_GB2312" w:eastAsia="仿宋_GB2312" w:cs="仿宋_GB2312"/>
          <w:sz w:val="32"/>
          <w:szCs w:val="32"/>
          <w:shd w:val="clear" w:color="auto" w:fill="FFFFFF"/>
          <w:lang w:bidi="ar"/>
        </w:rPr>
        <w:t>次；定期开展党员争先活动；三是突出党建示范引领；四是党建引领全镇建设，积极探索实践党建促镇域建设的有效路径，发挥党支部的带头作用。党建引领乡村振兴，选优配强村“两委”班子成员，完成村党组织书记、主任“一肩挑”100%。党建引领基层治理，对“村规民约”进行修订完善，通过设岗定责、党员积分超市等活动激发党员发挥先锋模范作用，带动群众进行自治；五是深化联户联情工作。全镇党员干部走出机关，深入群众，以摸情况、讲政策、解难题为着力点，干群关系进一步深化。全年走访</w:t>
      </w:r>
      <w:r>
        <w:rPr>
          <w:rFonts w:ascii="仿宋_GB2312" w:hAnsi="仿宋_GB2312" w:eastAsia="仿宋_GB2312" w:cs="仿宋_GB2312"/>
          <w:sz w:val="32"/>
          <w:szCs w:val="32"/>
          <w:shd w:val="clear" w:color="auto" w:fill="FFFFFF"/>
          <w:lang w:bidi="ar"/>
        </w:rPr>
        <w:t>300</w:t>
      </w:r>
      <w:r>
        <w:rPr>
          <w:rFonts w:hint="eastAsia" w:ascii="仿宋_GB2312" w:hAnsi="仿宋_GB2312" w:eastAsia="仿宋_GB2312" w:cs="仿宋_GB2312"/>
          <w:sz w:val="32"/>
          <w:szCs w:val="32"/>
          <w:shd w:val="clear" w:color="auto" w:fill="FFFFFF"/>
          <w:lang w:bidi="ar"/>
        </w:rPr>
        <w:t>余户，覆盖约1</w:t>
      </w:r>
      <w:r>
        <w:rPr>
          <w:rFonts w:ascii="仿宋_GB2312" w:hAnsi="仿宋_GB2312" w:eastAsia="仿宋_GB2312" w:cs="仿宋_GB2312"/>
          <w:sz w:val="32"/>
          <w:szCs w:val="32"/>
          <w:shd w:val="clear" w:color="auto" w:fill="FFFFFF"/>
          <w:lang w:bidi="ar"/>
        </w:rPr>
        <w:t>000</w:t>
      </w:r>
      <w:r>
        <w:rPr>
          <w:rFonts w:hint="eastAsia" w:ascii="仿宋_GB2312" w:hAnsi="仿宋_GB2312" w:eastAsia="仿宋_GB2312" w:cs="仿宋_GB2312"/>
          <w:sz w:val="32"/>
          <w:szCs w:val="32"/>
          <w:shd w:val="clear" w:color="auto" w:fill="FFFFFF"/>
          <w:lang w:bidi="ar"/>
        </w:rPr>
        <w:t>人次，发放各类宣传资料</w:t>
      </w:r>
      <w:r>
        <w:rPr>
          <w:rFonts w:ascii="仿宋_GB2312" w:hAnsi="仿宋_GB2312" w:eastAsia="仿宋_GB2312" w:cs="仿宋_GB2312"/>
          <w:sz w:val="32"/>
          <w:szCs w:val="32"/>
          <w:shd w:val="clear" w:color="auto" w:fill="FFFFFF"/>
          <w:lang w:bidi="ar"/>
        </w:rPr>
        <w:t>800</w:t>
      </w:r>
      <w:r>
        <w:rPr>
          <w:rFonts w:hint="eastAsia" w:ascii="仿宋_GB2312" w:hAnsi="仿宋_GB2312" w:eastAsia="仿宋_GB2312" w:cs="仿宋_GB2312"/>
          <w:sz w:val="32"/>
          <w:szCs w:val="32"/>
          <w:shd w:val="clear" w:color="auto" w:fill="FFFFFF"/>
          <w:lang w:bidi="ar"/>
        </w:rPr>
        <w:t>余份，收集解决困难问题</w:t>
      </w:r>
      <w:r>
        <w:rPr>
          <w:rFonts w:ascii="仿宋_GB2312" w:hAnsi="仿宋_GB2312" w:eastAsia="仿宋_GB2312" w:cs="仿宋_GB2312"/>
          <w:sz w:val="32"/>
          <w:szCs w:val="32"/>
          <w:shd w:val="clear" w:color="auto" w:fill="FFFFFF"/>
          <w:lang w:bidi="ar"/>
        </w:rPr>
        <w:t>5</w:t>
      </w:r>
      <w:r>
        <w:rPr>
          <w:rFonts w:hint="eastAsia" w:ascii="仿宋_GB2312" w:hAnsi="仿宋_GB2312" w:eastAsia="仿宋_GB2312" w:cs="仿宋_GB2312"/>
          <w:sz w:val="32"/>
          <w:szCs w:val="32"/>
          <w:shd w:val="clear" w:color="auto" w:fill="FFFFFF"/>
          <w:lang w:bidi="ar"/>
        </w:rPr>
        <w:t>0余件；六是做实换届选举工作，编制了换届风气监督工作实施方案成立了领导小组，落实换届风气直报员5名，召开了“严肃换届纪律”专题民主生活会，辖区未出现干扰换届事件发生</w:t>
      </w:r>
    </w:p>
    <w:p>
      <w:pPr>
        <w:autoSpaceDE w:val="0"/>
        <w:spacing w:line="576" w:lineRule="exact"/>
        <w:ind w:firstLine="640" w:firstLineChars="200"/>
        <w:jc w:val="left"/>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2.发展特色产业，助力乡村振兴。一是现代草原畜牧业试点示范建设完成初步目标。投资1100余万元，新建暖棚49个、巷道圈8个、网围栏8余万米、牧道50余公里、板涵桥9座，维修牧道40公里，实施人工种草2万余亩。二是农业基础设施上档升级。投资600余万元，建设老康猫大桥、塘星生产性道路、老康猫地质灾害防治、亚休农田饮水灌溉，实施了蔬菜生产基地、农业生产保障等工程。三是村集体产业茁壮成长。投资850余万元，扶持壤口酸奶合作社、村集体梦澜嘎布宾馆、三家寨牦牛养殖、加当生猪养殖、长征干部学院、亚休自驾游营地驿站等建设。四是城镇一体化建设得到加强。投资5300余万元，实施了刷马路节点塑造、甲尔卡民族团结新村、热格冲三岔路口交通旅游节点、刷经寺城区及壤口自来水厂、入户电网和电表改造、社区污水处理厂、壤口公共浴室和公共厕所、藏区新居、路灯建设、刷经寺幸福美丽家园、文化院坝、刷经寺及壤口垃圾压缩站、60余户C级危房改造等大批城镇一体化项目。五是基层政权基础不断夯实。投资1400余万元，建设了镇政府办公楼、镇政府和原壤口乡停车场以及公共厕所、三家寨基层产业用房、加当村产业用房、社区服务站、甲尔卡和热格冲室内综合文化活动中心、壤口村日间照料中心等。六是积极支持和协调国家重点项目工程。积极协调久马高速公路建设、国道 G347“三改二”建设、220千伏输变电等重大项目建设和征地拆迁工作。累计征地面积共8918亩，其中红线总面积4559亩、耕地总面积5002亩、退耕还林总面积383亩、草地总面积2899亩、林地总面积308亩、河道总面积249亩，其他用地总面积86亩，拆除房屋31户（已拆除15户），搬迁坟墓96座(已搬迁82座），累计涉及补偿资金约2.3亿元。</w:t>
      </w:r>
    </w:p>
    <w:p>
      <w:pPr>
        <w:autoSpaceDE w:val="0"/>
        <w:spacing w:line="576" w:lineRule="exact"/>
        <w:ind w:firstLine="640" w:firstLineChars="200"/>
        <w:jc w:val="left"/>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3.做实防返贫监测,巩固脱贫成果。自脱贫攻坚工作开展以来，刷经寺镇和原壤口乡高度重视，认真落实习近平总书记“看真贫、扶真贫、真扶贫”的工作要求，找对穷根、明确靶向、落实帮扶，全面完成脱贫攻坚任务。一是牢牢把握“六个精准”。全镇制定了《精准脱贫总体规划》，分年度制定了《脱贫攻坚年度计划》，做到“一户一册”、“一人一档”，实现了扶贫对象精准、项目安排精准、资金使用精准、措施到户精准、因村派人精准、脱贫成效精准，全面完成64户137人建档立卡贫困户脱贫任务，贫困人员人均年增收全部达到10000元以上。二是扎实开展“五个一批”。累计争取扶持产业资金684万元，实施生猪养殖、牦牛养殖、购买化肥和种子等发展生产脱贫一批；对8户贫困户实施藏区新局、危房改造等易地搬迁脱贫一批；对63户贫困户户均1人，安置生态管护、湿地管护、河道管护等生态公益性岗位脱贫一批；通过农村适用技术培训、餐饮和旅游服务培训、困难学生扶持和减免、留守儿童关爱等发展教育脱贫一批；通过提升贫困户医疗报销率、低保和养老保险、社会救助、合作社分红等形式政策兜底一批。三是强化落实“六个责任”。落实县级联系领导、县级联系部门、第一书记、驻村工作队、农技人员、帮扶责任人6个主体责任，广泛开展项目、资金、技术、思想等方面的帮扶。四是坚持聚焦“两不愁三保障”。有效衔接乡村振兴工作，扎实做好防返贫动态监测，通过开展“回头看、回头帮”，稳定实现扶贫对象不愁吃、不愁穿,保障其义务教育、基本医疗和住房，目前全镇无返贫、无新增贫困现象。</w:t>
      </w:r>
    </w:p>
    <w:p>
      <w:pPr>
        <w:autoSpaceDE w:val="0"/>
        <w:spacing w:line="576" w:lineRule="exact"/>
        <w:ind w:firstLine="640" w:firstLineChars="200"/>
        <w:jc w:val="left"/>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4.推进民生事业，提高幸福指数。一是倾力提升卫生公共服务。全镇连续5年超额完成农村新合目标任务，完成率达100%以上；完成家庭医生服务签约率85%以上，其中建档立卡贫困户签约率达100%。年均开展巡回医疗12次，新生儿访视和脊灰、麻疹疫苗等强化接种工作全面完成，完成全镇基本公共卫生服务均等化工作。二是倾力提升教育教学服务。制定《控辍保学工作措施》，切实加强全镇控辍保学工作，截止目前，实现全镇入学率100%、巩固率100%。大力实施“三免两补”、“两免一补”“一免一补”。对教育费、学杂费、生活补助等费用应免全免。5年时间累计实施贫困学生教育救助扶贫130余人次。三是倾力提升文化体育服务。规范建设各村图书室，增添各类书记800余册；建设室内篮球场2个、室外篮球场3个、综合健身场2个。四是倾力提升社会保障服务。低保、大骨节病补贴、高龄津贴、残疾人生活补贴等社会保障金按时足额发放，五年来累计为400余人发放各类民政救助资金及政策性保障资金300余万元。完成上级下达养老保险收缴任务100%；完成各村（社区）集体经济产权制度改革，产权证全部发放到群众手中。</w:t>
      </w:r>
    </w:p>
    <w:p>
      <w:pPr>
        <w:pStyle w:val="4"/>
        <w:spacing w:line="576" w:lineRule="exact"/>
        <w:ind w:firstLine="640" w:firstLineChars="200"/>
        <w:rPr>
          <w:rStyle w:val="31"/>
          <w:b w:val="0"/>
          <w:bCs w:val="0"/>
        </w:rPr>
      </w:pPr>
      <w:bookmarkStart w:id="25" w:name="_Toc11021"/>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3"/>
      <w:bookmarkEnd w:id="24"/>
      <w:bookmarkEnd w:id="25"/>
    </w:p>
    <w:p>
      <w:pPr>
        <w:pStyle w:val="16"/>
        <w:spacing w:line="576" w:lineRule="exact"/>
        <w:ind w:firstLine="640" w:firstLineChars="200"/>
        <w:rPr>
          <w:rFonts w:ascii="仿宋_GB2312" w:hAnsi="仿宋_GB2312" w:eastAsia="仿宋_GB2312" w:cs="仿宋_GB2312"/>
          <w:sz w:val="32"/>
          <w:szCs w:val="32"/>
          <w:shd w:val="clear" w:color="auto" w:fill="FFFFFF"/>
        </w:rPr>
      </w:pPr>
      <w:bookmarkStart w:id="26" w:name="_Toc15377205"/>
      <w:bookmarkStart w:id="27" w:name="_Toc15396603"/>
      <w:bookmarkStart w:id="28" w:name="_Toc3241"/>
      <w:r>
        <w:rPr>
          <w:rFonts w:hint="eastAsia" w:ascii="仿宋_GB2312" w:hAnsi="仿宋_GB2312" w:eastAsia="仿宋_GB2312" w:cs="仿宋_GB2312"/>
          <w:sz w:val="32"/>
          <w:szCs w:val="32"/>
          <w:shd w:val="clear" w:color="auto" w:fill="FFFFFF"/>
        </w:rPr>
        <w:t>本单位本年度纳入本套决算编制范围的独立编制机构数共2个，比上年增加2个，没有变动；独立核算机构数共2个，比上年增加2个，行政事业拆分。本单位本年度年末实有人数为39人，比上年减少0人；年末实有离退休人数为0，比上年增加1；变动情况及原因为人员调动。</w:t>
      </w:r>
    </w:p>
    <w:p>
      <w:pPr>
        <w:pStyle w:val="29"/>
        <w:spacing w:line="576" w:lineRule="exact"/>
        <w:ind w:left="640" w:firstLine="0" w:firstLineChars="0"/>
        <w:outlineLvl w:val="1"/>
        <w:rPr>
          <w:rStyle w:val="31"/>
          <w:rFonts w:ascii="黑体" w:hAnsi="黑体" w:eastAsia="黑体"/>
          <w:b w:val="0"/>
        </w:rPr>
      </w:pPr>
      <w:r>
        <w:rPr>
          <w:rFonts w:hint="eastAsia" w:ascii="黑体" w:hAnsi="黑体" w:eastAsia="黑体"/>
          <w:color w:val="000000"/>
          <w:sz w:val="32"/>
          <w:szCs w:val="32"/>
        </w:rPr>
        <w:t>三、收</w:t>
      </w:r>
      <w:r>
        <w:rPr>
          <w:rStyle w:val="31"/>
          <w:rFonts w:hint="eastAsia" w:ascii="黑体" w:hAnsi="黑体" w:eastAsia="黑体"/>
          <w:b w:val="0"/>
        </w:rPr>
        <w:t>入支出决算总体情况说明</w:t>
      </w:r>
      <w:bookmarkEnd w:id="26"/>
      <w:bookmarkEnd w:id="27"/>
      <w:bookmarkEnd w:id="28"/>
    </w:p>
    <w:p>
      <w:pPr>
        <w:spacing w:line="576"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本单位本年度收入调整预算数为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万元，收入决算数为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万元，预算完成度为100.00%，上年度预算完成度为100.00%。本年度支出调整预算数为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万元，支出决算数为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万元，预算完成度为100.00%，上年度预算完成度为96.74%，存在差异的主要原因为存在差异的主要原因为执行中央政策，厉行节约，公用经费的开支减少。</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：收、支决算总计变动情况图）（饼状图）</w:t>
      </w:r>
    </w:p>
    <w:p>
      <w:pPr>
        <w:pStyle w:val="2"/>
        <w:rPr>
          <w:rFonts w:ascii="仿宋_GB2312" w:eastAsia="仿宋_GB2312"/>
          <w:color w:val="000000"/>
          <w:sz w:val="32"/>
          <w:szCs w:val="32"/>
        </w:rPr>
      </w:pPr>
      <w:r>
        <w:rPr>
          <w:rFonts w:hint="eastAsia" w:ascii="仿宋_GB2312" w:hAnsi="仿宋_GB2312" w:eastAsia="仿宋_GB2312" w:cs="仿宋_GB2312"/>
          <w:sz w:val="32"/>
          <w:szCs w:val="32"/>
          <w:shd w:val="clear" w:color="auto" w:fill="FFFFFF"/>
          <w:lang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400685</wp:posOffset>
            </wp:positionV>
            <wp:extent cx="5224780" cy="2679700"/>
            <wp:effectExtent l="4445" t="4445" r="9525" b="20955"/>
            <wp:wrapTopAndBottom/>
            <wp:docPr id="56057506" name="图表 56057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9"/>
        <w:spacing w:line="600" w:lineRule="exact"/>
        <w:ind w:left="640" w:firstLine="0" w:firstLineChars="0"/>
        <w:outlineLvl w:val="1"/>
        <w:rPr>
          <w:rStyle w:val="31"/>
          <w:rFonts w:ascii="黑体" w:hAnsi="黑体" w:eastAsia="黑体"/>
          <w:b w:val="0"/>
        </w:rPr>
      </w:pPr>
      <w:bookmarkStart w:id="29" w:name="_Toc15377206"/>
      <w:bookmarkStart w:id="30" w:name="_Toc9273"/>
      <w:bookmarkStart w:id="31" w:name="_Toc15396604"/>
      <w:r>
        <w:rPr>
          <w:rFonts w:hint="eastAsia" w:ascii="黑体" w:hAnsi="黑体" w:eastAsia="黑体"/>
          <w:color w:val="000000"/>
          <w:sz w:val="32"/>
          <w:szCs w:val="32"/>
        </w:rPr>
        <w:t>四、收</w:t>
      </w:r>
      <w:r>
        <w:rPr>
          <w:rStyle w:val="31"/>
          <w:rFonts w:hint="eastAsia" w:ascii="黑体" w:hAnsi="黑体" w:eastAsia="黑体"/>
          <w:b w:val="0"/>
        </w:rPr>
        <w:t>入决算情况说明</w:t>
      </w:r>
      <w:bookmarkEnd w:id="29"/>
      <w:bookmarkEnd w:id="30"/>
      <w:bookmarkEnd w:id="31"/>
    </w:p>
    <w:p>
      <w:pPr>
        <w:spacing w:line="600" w:lineRule="exact"/>
        <w:ind w:firstLine="640" w:firstLineChars="200"/>
        <w:outlineLvl w:val="1"/>
        <w:rPr>
          <w:rFonts w:ascii="仿宋" w:hAnsi="仿宋" w:eastAsia="仿宋"/>
          <w:color w:val="000000"/>
          <w:sz w:val="32"/>
          <w:szCs w:val="32"/>
        </w:rPr>
      </w:pPr>
      <w:bookmarkStart w:id="32" w:name="_Toc12789"/>
      <w:bookmarkStart w:id="33" w:name="_Toc1820"/>
      <w:bookmarkStart w:id="34" w:name="_Toc16403"/>
      <w:bookmarkStart w:id="35" w:name="_Toc29935"/>
      <w:r>
        <w:rPr>
          <w:rFonts w:hint="eastAsia" w:ascii="仿宋_GB2312" w:hAnsi="仿宋_GB2312" w:eastAsia="仿宋_GB2312" w:cs="仿宋_GB2312"/>
          <w:kern w:val="0"/>
          <w:sz w:val="32"/>
          <w:szCs w:val="32"/>
          <w:shd w:val="clear" w:color="auto" w:fill="FFFFFF"/>
          <w:lang w:bidi="ar"/>
        </w:rPr>
        <w:t>本</w:t>
      </w:r>
      <w:r>
        <w:rPr>
          <w:rFonts w:hint="eastAsia" w:ascii="仿宋" w:hAnsi="仿宋" w:eastAsia="仿宋"/>
          <w:color w:val="000000"/>
          <w:sz w:val="32"/>
          <w:szCs w:val="32"/>
        </w:rPr>
        <w:t>年度总支出为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万元。其中：一般公共服务支出为</w:t>
      </w:r>
      <w:r>
        <w:rPr>
          <w:rFonts w:ascii="仿宋" w:hAnsi="仿宋" w:eastAsia="仿宋"/>
          <w:color w:val="000000"/>
          <w:sz w:val="32"/>
          <w:szCs w:val="32"/>
        </w:rPr>
        <w:t>899.6</w:t>
      </w:r>
      <w:r>
        <w:rPr>
          <w:rFonts w:hint="eastAsia" w:ascii="仿宋" w:hAnsi="仿宋" w:eastAsia="仿宋"/>
          <w:color w:val="000000"/>
          <w:sz w:val="32"/>
          <w:szCs w:val="32"/>
        </w:rPr>
        <w:t>万元，占比4</w:t>
      </w:r>
      <w:r>
        <w:rPr>
          <w:rFonts w:ascii="仿宋" w:hAnsi="仿宋" w:eastAsia="仿宋"/>
          <w:color w:val="000000"/>
          <w:sz w:val="32"/>
          <w:szCs w:val="32"/>
        </w:rPr>
        <w:t>9.13</w:t>
      </w:r>
      <w:r>
        <w:rPr>
          <w:rFonts w:hint="eastAsia" w:ascii="仿宋" w:hAnsi="仿宋" w:eastAsia="仿宋"/>
          <w:color w:val="000000"/>
          <w:sz w:val="32"/>
          <w:szCs w:val="32"/>
        </w:rPr>
        <w:t>%；外交支出为0.00万元，占比0.00%；国防支出为0.00万元，占比0.00%；公共安全支出为0.00万元，占比0.00%；教育支出为0.00万元，占比0.00%；科学技术支出为0.00万元，占比0.00%；文化旅游体育与传媒支出为5.00万元，占比0.30%；社会保障和就业支出为114.87万元，占比6.92%；卫生健康支出为61.02万元，占比3.68%；节能环保支出为0.00万元，占比0.00%；城乡社区支出为0.00万元，占比0.00%；农林水支出为605.03万元，占比36.45%；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66.15万元，占比3.98%；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bookmarkEnd w:id="32"/>
      <w:bookmarkEnd w:id="33"/>
      <w:bookmarkEnd w:id="34"/>
      <w:bookmarkEnd w:id="35"/>
    </w:p>
    <w:p>
      <w:pPr>
        <w:pStyle w:val="29"/>
        <w:spacing w:line="600" w:lineRule="exact"/>
        <w:ind w:left="640" w:firstLine="0" w:firstLineChars="0"/>
        <w:outlineLvl w:val="1"/>
        <w:rPr>
          <w:rStyle w:val="31"/>
          <w:rFonts w:ascii="黑体" w:hAnsi="黑体" w:eastAsia="黑体"/>
          <w:b w:val="0"/>
        </w:rPr>
      </w:pPr>
      <w:bookmarkStart w:id="36" w:name="_Toc15396605"/>
      <w:bookmarkStart w:id="37" w:name="_Toc15832"/>
      <w:bookmarkStart w:id="38" w:name="_Toc15377207"/>
      <w:r>
        <w:rPr>
          <w:rFonts w:hint="eastAsia" w:ascii="黑体" w:hAnsi="黑体" w:eastAsia="黑体"/>
          <w:color w:val="000000"/>
          <w:sz w:val="32"/>
          <w:szCs w:val="32"/>
        </w:rPr>
        <w:t>五、支</w:t>
      </w:r>
      <w:r>
        <w:rPr>
          <w:rStyle w:val="31"/>
          <w:rFonts w:hint="eastAsia" w:ascii="黑体" w:hAnsi="黑体" w:eastAsia="黑体"/>
          <w:b w:val="0"/>
        </w:rPr>
        <w:t>出决算情况说明</w:t>
      </w:r>
      <w:bookmarkEnd w:id="36"/>
      <w:bookmarkEnd w:id="37"/>
      <w:bookmarkEnd w:id="38"/>
    </w:p>
    <w:p>
      <w:pPr>
        <w:spacing w:line="600" w:lineRule="exact"/>
        <w:ind w:firstLine="640" w:firstLineChars="200"/>
        <w:outlineLvl w:val="1"/>
        <w:rPr>
          <w:rFonts w:ascii="仿宋" w:hAnsi="仿宋" w:eastAsia="仿宋"/>
          <w:color w:val="000000"/>
          <w:sz w:val="32"/>
          <w:szCs w:val="32"/>
        </w:rPr>
      </w:pPr>
      <w:bookmarkStart w:id="39" w:name="_Toc30411"/>
      <w:bookmarkStart w:id="40" w:name="_Toc9663"/>
      <w:bookmarkStart w:id="41" w:name="_Toc31017"/>
      <w:r>
        <w:rPr>
          <w:rFonts w:hint="eastAsia" w:ascii="仿宋" w:hAnsi="仿宋" w:eastAsia="仿宋"/>
          <w:color w:val="000000"/>
          <w:sz w:val="32"/>
          <w:szCs w:val="32"/>
        </w:rPr>
        <w:t>2021年本年支出合计</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万元，其中：一般公共服务支出为</w:t>
      </w:r>
      <w:r>
        <w:rPr>
          <w:rFonts w:ascii="仿宋" w:hAnsi="仿宋" w:eastAsia="仿宋"/>
          <w:color w:val="000000"/>
          <w:sz w:val="32"/>
          <w:szCs w:val="32"/>
        </w:rPr>
        <w:t>899.6</w:t>
      </w:r>
      <w:r>
        <w:rPr>
          <w:rFonts w:hint="eastAsia" w:ascii="仿宋" w:hAnsi="仿宋" w:eastAsia="仿宋"/>
          <w:color w:val="000000"/>
          <w:sz w:val="32"/>
          <w:szCs w:val="32"/>
        </w:rPr>
        <w:t>万元，占比48.67%；经营支出0万元，占0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bookmarkEnd w:id="39"/>
      <w:bookmarkEnd w:id="40"/>
      <w:bookmarkEnd w:id="41"/>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7"/>
        <w:ind w:left="0" w:leftChars="0" w:firstLine="0" w:firstLineChars="0"/>
        <w:rPr>
          <w:rFonts w:ascii="仿宋_GB2312" w:eastAsia="仿宋_GB2312"/>
          <w:color w:val="FF0000"/>
          <w:sz w:val="32"/>
          <w:szCs w:val="32"/>
        </w:rPr>
      </w:pPr>
      <w:r>
        <w:rPr>
          <w:rFonts w:ascii="仿宋_GB2312" w:eastAsia="仿宋_GB2312"/>
          <w:color w:val="FF0000"/>
          <w:sz w:val="32"/>
          <w:szCs w:val="32"/>
        </w:rPr>
        <w:drawing>
          <wp:inline distT="0" distB="0" distL="0" distR="0">
            <wp:extent cx="5274310" cy="3076575"/>
            <wp:effectExtent l="0" t="0" r="2540" b="9525"/>
            <wp:docPr id="787145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left="640"/>
        <w:outlineLvl w:val="1"/>
        <w:rPr>
          <w:rStyle w:val="31"/>
          <w:rFonts w:ascii="黑体" w:hAnsi="黑体" w:eastAsia="黑体"/>
          <w:b w:val="0"/>
        </w:rPr>
      </w:pPr>
      <w:bookmarkStart w:id="42" w:name="_Toc15396606"/>
      <w:bookmarkStart w:id="43" w:name="_Toc2777"/>
      <w:bookmarkStart w:id="44" w:name="_Toc15377208"/>
      <w:r>
        <w:rPr>
          <w:rFonts w:hint="eastAsia" w:ascii="黑体" w:hAnsi="黑体" w:eastAsia="黑体"/>
          <w:color w:val="000000"/>
          <w:sz w:val="32"/>
          <w:szCs w:val="32"/>
        </w:rPr>
        <w:t>六、财</w:t>
      </w:r>
      <w:r>
        <w:rPr>
          <w:rStyle w:val="31"/>
          <w:rFonts w:hint="eastAsia" w:ascii="黑体" w:hAnsi="黑体" w:eastAsia="黑体"/>
          <w:b w:val="0"/>
        </w:rPr>
        <w:t>政拨款收入支出决算总体情况说明</w:t>
      </w:r>
      <w:bookmarkEnd w:id="42"/>
      <w:bookmarkEnd w:id="43"/>
      <w:bookmarkEnd w:id="44"/>
    </w:p>
    <w:p>
      <w:pPr>
        <w:spacing w:line="600" w:lineRule="exact"/>
        <w:ind w:firstLine="640" w:firstLineChars="200"/>
        <w:rPr>
          <w:rFonts w:hint="eastAsia"/>
        </w:rPr>
      </w:pPr>
      <w:r>
        <w:rPr>
          <w:rFonts w:hint="eastAsia" w:ascii="仿宋" w:hAnsi="仿宋" w:eastAsia="仿宋"/>
          <w:color w:val="000000"/>
          <w:sz w:val="32"/>
          <w:szCs w:val="32"/>
        </w:rPr>
        <w:t>2021年财政拨款收入总计</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万元，支出总计</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万元。与2020年相比有所增加，主要原因是原撤乡并镇，原壤口乡并入刷经寺镇。</w:t>
      </w:r>
    </w:p>
    <w:p>
      <w:pPr>
        <w:spacing w:line="600" w:lineRule="exact"/>
        <w:ind w:firstLine="640" w:firstLineChars="200"/>
        <w:outlineLvl w:val="1"/>
        <w:rPr>
          <w:rStyle w:val="31"/>
          <w:rFonts w:ascii="黑体" w:hAnsi="黑体" w:eastAsia="黑体"/>
          <w:b w:val="0"/>
        </w:rPr>
      </w:pPr>
      <w:bookmarkStart w:id="45" w:name="_Toc971"/>
      <w:bookmarkStart w:id="46" w:name="_Toc15377209"/>
      <w:bookmarkStart w:id="47" w:name="_Toc15396607"/>
      <w:r>
        <w:rPr>
          <w:rFonts w:hint="eastAsia" w:ascii="黑体" w:hAnsi="黑体" w:eastAsia="黑体"/>
          <w:color w:val="000000"/>
          <w:sz w:val="32"/>
          <w:szCs w:val="32"/>
        </w:rPr>
        <w:t>七、</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5"/>
      <w:bookmarkEnd w:id="46"/>
      <w:bookmarkEnd w:id="47"/>
    </w:p>
    <w:p>
      <w:pPr>
        <w:spacing w:line="600" w:lineRule="exact"/>
        <w:ind w:firstLine="643" w:firstLineChars="200"/>
        <w:outlineLvl w:val="2"/>
        <w:rPr>
          <w:rFonts w:ascii="仿宋" w:hAnsi="仿宋" w:eastAsia="仿宋"/>
          <w:b/>
          <w:color w:val="000000"/>
          <w:sz w:val="32"/>
          <w:szCs w:val="32"/>
        </w:rPr>
      </w:pPr>
      <w:bookmarkStart w:id="48" w:name="_Toc15377210"/>
      <w:r>
        <w:rPr>
          <w:rFonts w:hint="eastAsia" w:ascii="仿宋" w:hAnsi="仿宋" w:eastAsia="仿宋"/>
          <w:b/>
          <w:color w:val="000000"/>
          <w:sz w:val="32"/>
          <w:szCs w:val="32"/>
        </w:rPr>
        <w:t>（一）一般公共预算财政拨款支出决算总体情况</w:t>
      </w:r>
      <w:bookmarkEnd w:id="48"/>
    </w:p>
    <w:p>
      <w:pPr>
        <w:pStyle w:val="16"/>
        <w:widowControl/>
        <w:autoSpaceDE w:val="0"/>
        <w:snapToGrid w:val="0"/>
        <w:spacing w:line="576" w:lineRule="exact"/>
        <w:ind w:firstLine="1120" w:firstLineChars="350"/>
        <w:rPr>
          <w:rFonts w:ascii="仿宋_GB2312" w:eastAsia="仿宋_GB2312" w:cs="仿宋_GB2312"/>
          <w:bCs/>
          <w:sz w:val="32"/>
          <w:szCs w:val="32"/>
          <w:shd w:val="clear" w:color="auto" w:fill="FFFFFF"/>
          <w:lang w:bidi="ar"/>
        </w:rPr>
      </w:pPr>
      <w:r>
        <w:rPr>
          <w:rFonts w:hint="eastAsia" w:ascii="仿宋" w:hAnsi="仿宋" w:eastAsia="仿宋"/>
          <w:color w:val="000000"/>
          <w:sz w:val="32"/>
          <w:szCs w:val="32"/>
        </w:rPr>
        <w:t>2021年一般公共预算财政拨款支出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。与2020年相比，一般公共预算财政拨款增加主要原因是撤乡并镇。</w:t>
      </w:r>
      <w:r>
        <w:rPr>
          <w:rFonts w:hint="eastAsia" w:ascii="仿宋_GB2312" w:eastAsia="仿宋_GB2312" w:cs="仿宋_GB2312"/>
          <w:bCs/>
          <w:sz w:val="32"/>
          <w:szCs w:val="32"/>
          <w:shd w:val="clear" w:color="auto" w:fill="FFFFFF"/>
          <w:lang w:bidi="ar"/>
        </w:rPr>
        <w:t>本单位本年度机构运行经费为69.51万元，上年度为77.48万元，差异为-7.97万元，主要原因为：撤乡并镇，人员减少。</w:t>
      </w:r>
    </w:p>
    <w:p>
      <w:pPr>
        <w:spacing w:line="600" w:lineRule="exact"/>
        <w:ind w:firstLine="643" w:firstLineChars="200"/>
        <w:outlineLvl w:val="2"/>
        <w:rPr>
          <w:rFonts w:ascii="仿宋" w:hAnsi="仿宋" w:eastAsia="仿宋"/>
          <w:b/>
          <w:color w:val="000000"/>
          <w:sz w:val="32"/>
          <w:szCs w:val="32"/>
        </w:rPr>
      </w:pPr>
      <w:bookmarkStart w:id="49" w:name="_Toc15377211"/>
      <w:r>
        <w:rPr>
          <w:rFonts w:hint="eastAsia" w:ascii="仿宋" w:hAnsi="仿宋" w:eastAsia="仿宋"/>
          <w:b/>
          <w:color w:val="000000"/>
          <w:sz w:val="32"/>
          <w:szCs w:val="32"/>
        </w:rPr>
        <w:t>（二）一般公共预算财政拨款支出决算结构情况</w:t>
      </w:r>
      <w:bookmarkEnd w:id="49"/>
    </w:p>
    <w:p>
      <w:pPr>
        <w:spacing w:line="600" w:lineRule="exact"/>
        <w:ind w:firstLine="640" w:firstLineChars="200"/>
        <w:outlineLvl w:val="1"/>
        <w:rPr>
          <w:rFonts w:hint="eastAsia" w:ascii="仿宋" w:hAnsi="仿宋" w:eastAsia="仿宋"/>
          <w:color w:val="000000"/>
          <w:sz w:val="32"/>
          <w:szCs w:val="32"/>
        </w:rPr>
      </w:pPr>
      <w:r>
        <w:rPr>
          <w:rFonts w:hint="eastAsia" w:ascii="仿宋_GB2312" w:hAnsi="仿宋_GB2312" w:eastAsia="仿宋_GB2312" w:cs="仿宋_GB2312"/>
          <w:kern w:val="0"/>
          <w:sz w:val="32"/>
          <w:szCs w:val="32"/>
          <w:shd w:val="clear" w:color="auto" w:fill="FFFFFF"/>
          <w:lang w:bidi="ar"/>
        </w:rPr>
        <w:t>本</w:t>
      </w:r>
      <w:r>
        <w:rPr>
          <w:rFonts w:hint="eastAsia" w:ascii="仿宋" w:hAnsi="仿宋" w:eastAsia="仿宋"/>
          <w:color w:val="000000"/>
          <w:sz w:val="32"/>
          <w:szCs w:val="32"/>
        </w:rPr>
        <w:t>年度总支出为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olor w:val="000000"/>
          <w:sz w:val="32"/>
          <w:szCs w:val="32"/>
        </w:rPr>
        <w:t>万元。其中：一般公共服务支出为</w:t>
      </w:r>
      <w:r>
        <w:rPr>
          <w:rFonts w:ascii="仿宋" w:hAnsi="仿宋" w:eastAsia="仿宋"/>
          <w:color w:val="000000"/>
          <w:sz w:val="32"/>
          <w:szCs w:val="32"/>
        </w:rPr>
        <w:t>899.6</w:t>
      </w:r>
      <w:r>
        <w:rPr>
          <w:rFonts w:hint="eastAsia" w:ascii="仿宋" w:hAnsi="仿宋" w:eastAsia="仿宋"/>
          <w:color w:val="000000"/>
          <w:sz w:val="32"/>
          <w:szCs w:val="32"/>
        </w:rPr>
        <w:t>万元，占比4</w:t>
      </w:r>
      <w:r>
        <w:rPr>
          <w:rFonts w:ascii="仿宋" w:hAnsi="仿宋" w:eastAsia="仿宋"/>
          <w:color w:val="000000"/>
          <w:sz w:val="32"/>
          <w:szCs w:val="32"/>
        </w:rPr>
        <w:t>9.13</w:t>
      </w:r>
      <w:r>
        <w:rPr>
          <w:rFonts w:hint="eastAsia" w:ascii="仿宋" w:hAnsi="仿宋" w:eastAsia="仿宋"/>
          <w:color w:val="000000"/>
          <w:sz w:val="32"/>
          <w:szCs w:val="32"/>
        </w:rPr>
        <w:t>%；外交支出为0.00万元，占比0.00%；国防支出为0.00万元，占比0.00%；公共安全支出为0.00万元，占比0.00%；教育支出为0.00万元，占比0.00%；科学技术支出为0.00万元，占比0.00%；文化旅游体育与传媒支出为5.00万元，占比0.30%；社会保障和就业支出为114.87万元，占比6.92%；卫生健康支出为61.02万元，占比3.68%；节能环保支出为0.00万元，占比0.00%；城乡社区支出为0.00万元，占比0.00%；农林水支出为605.03万元，占比36.45%；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66.15万元，占比3.98%；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p>
    <w:p>
      <w:pPr>
        <w:spacing w:line="600" w:lineRule="exact"/>
        <w:ind w:firstLine="321" w:firstLineChars="100"/>
        <w:outlineLvl w:val="2"/>
        <w:rPr>
          <w:rFonts w:ascii="仿宋" w:hAnsi="仿宋" w:eastAsia="仿宋"/>
          <w:b/>
          <w:color w:val="000000"/>
          <w:sz w:val="32"/>
          <w:szCs w:val="32"/>
        </w:rPr>
      </w:pPr>
      <w:bookmarkStart w:id="50" w:name="_Toc15377212"/>
      <w:r>
        <w:rPr>
          <w:rFonts w:hint="eastAsia" w:ascii="仿宋" w:hAnsi="仿宋" w:eastAsia="仿宋"/>
          <w:b/>
          <w:color w:val="000000"/>
          <w:sz w:val="32"/>
          <w:szCs w:val="32"/>
        </w:rPr>
        <w:t>（三）一般公共预算财政拨款支出决算具体情况</w:t>
      </w:r>
      <w:bookmarkEnd w:id="50"/>
    </w:p>
    <w:p>
      <w:pPr>
        <w:spacing w:line="600" w:lineRule="exact"/>
        <w:ind w:firstLine="643" w:firstLineChars="200"/>
        <w:outlineLvl w:val="1"/>
        <w:rPr>
          <w:rFonts w:ascii="仿宋" w:hAnsi="仿宋" w:eastAsia="仿宋" w:cs="仿宋"/>
          <w:color w:val="FF0000"/>
          <w:sz w:val="32"/>
          <w:szCs w:val="32"/>
        </w:rPr>
      </w:pPr>
      <w:bookmarkStart w:id="51" w:name="_Toc18179"/>
      <w:bookmarkStart w:id="52" w:name="_Toc15377213"/>
      <w:bookmarkStart w:id="53" w:name="_Toc15378460"/>
      <w:bookmarkStart w:id="54" w:name="_Toc15377444"/>
      <w:bookmarkStart w:id="55" w:name="_Toc9371"/>
      <w:bookmarkStart w:id="56" w:name="_Toc25637"/>
      <w:r>
        <w:rPr>
          <w:rFonts w:hint="eastAsia" w:ascii="仿宋" w:hAnsi="仿宋" w:eastAsia="仿宋" w:cs="仿宋"/>
          <w:b/>
          <w:color w:val="000000" w:themeColor="text1"/>
          <w:sz w:val="32"/>
          <w:szCs w:val="32"/>
          <w14:textFill>
            <w14:solidFill>
              <w14:schemeClr w14:val="tx1"/>
            </w14:solidFill>
          </w14:textFill>
        </w:rPr>
        <w:t>2021年一般公共预算支出决算数为</w:t>
      </w:r>
      <w:r>
        <w:rPr>
          <w:rFonts w:ascii="仿宋" w:hAnsi="仿宋" w:eastAsia="仿宋"/>
          <w:color w:val="000000"/>
          <w:sz w:val="32"/>
          <w:szCs w:val="32"/>
        </w:rPr>
        <w:t>1830</w:t>
      </w:r>
      <w:r>
        <w:rPr>
          <w:rFonts w:hint="eastAsia" w:ascii="仿宋" w:hAnsi="仿宋" w:eastAsia="仿宋"/>
          <w:color w:val="000000"/>
          <w:sz w:val="32"/>
          <w:szCs w:val="32"/>
        </w:rPr>
        <w:t>.</w:t>
      </w:r>
      <w:r>
        <w:rPr>
          <w:rFonts w:ascii="仿宋" w:hAnsi="仿宋" w:eastAsia="仿宋"/>
          <w:color w:val="000000"/>
          <w:sz w:val="32"/>
          <w:szCs w:val="32"/>
        </w:rPr>
        <w:t>7</w:t>
      </w:r>
      <w:r>
        <w:rPr>
          <w:rFonts w:hint="eastAsia" w:ascii="仿宋" w:hAnsi="仿宋" w:eastAsia="仿宋" w:cs="仿宋"/>
          <w:b/>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预算100%。其中：</w:t>
      </w:r>
      <w:bookmarkEnd w:id="51"/>
      <w:bookmarkEnd w:id="52"/>
      <w:bookmarkEnd w:id="53"/>
      <w:bookmarkEnd w:id="54"/>
      <w:bookmarkEnd w:id="55"/>
      <w:bookmarkEnd w:id="56"/>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1.一般公共服务支出</w:t>
      </w:r>
      <w:r>
        <w:rPr>
          <w:rFonts w:ascii="仿宋" w:hAnsi="仿宋" w:eastAsia="仿宋"/>
          <w:color w:val="000000"/>
          <w:sz w:val="32"/>
          <w:szCs w:val="32"/>
        </w:rPr>
        <w:t>899.6</w:t>
      </w:r>
      <w:r>
        <w:rPr>
          <w:rFonts w:hint="eastAsia" w:ascii="仿宋" w:hAnsi="仿宋" w:eastAsia="仿宋"/>
          <w:color w:val="000000"/>
          <w:sz w:val="32"/>
          <w:szCs w:val="32"/>
        </w:rPr>
        <w:t>万元，占比4</w:t>
      </w:r>
      <w:r>
        <w:rPr>
          <w:rFonts w:ascii="仿宋" w:hAnsi="仿宋" w:eastAsia="仿宋"/>
          <w:color w:val="000000"/>
          <w:sz w:val="32"/>
          <w:szCs w:val="32"/>
        </w:rPr>
        <w:t>9.13</w:t>
      </w:r>
      <w:r>
        <w:rPr>
          <w:rFonts w:hint="eastAsia" w:ascii="仿宋" w:hAnsi="仿宋" w:eastAsia="仿宋"/>
          <w:color w:val="000000"/>
          <w:sz w:val="32"/>
          <w:szCs w:val="32"/>
        </w:rPr>
        <w:t>%，</w:t>
      </w:r>
      <w:r>
        <w:rPr>
          <w:rFonts w:hint="eastAsia" w:ascii="仿宋" w:hAnsi="仿宋" w:eastAsia="仿宋"/>
          <w:b/>
          <w:bCs/>
          <w:color w:val="000000"/>
          <w:sz w:val="32"/>
          <w:szCs w:val="32"/>
        </w:rPr>
        <w:t>支出决算为</w:t>
      </w:r>
      <w:r>
        <w:rPr>
          <w:rFonts w:ascii="仿宋" w:hAnsi="仿宋" w:eastAsia="仿宋"/>
          <w:color w:val="000000"/>
          <w:sz w:val="32"/>
          <w:szCs w:val="32"/>
        </w:rPr>
        <w:t>899.6</w:t>
      </w:r>
      <w:r>
        <w:rPr>
          <w:rFonts w:hint="eastAsia" w:ascii="仿宋" w:hAnsi="仿宋" w:eastAsia="仿宋"/>
          <w:b/>
          <w:bCs/>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（1）人大事务2</w:t>
      </w:r>
      <w:r>
        <w:rPr>
          <w:rFonts w:ascii="仿宋" w:hAnsi="仿宋" w:eastAsia="仿宋"/>
          <w:color w:val="000000"/>
          <w:sz w:val="32"/>
          <w:szCs w:val="32"/>
        </w:rPr>
        <w:t>010</w:t>
      </w:r>
      <w:r>
        <w:rPr>
          <w:rFonts w:hint="eastAsia" w:ascii="仿宋" w:hAnsi="仿宋" w:eastAsia="仿宋"/>
          <w:color w:val="000000"/>
          <w:sz w:val="32"/>
          <w:szCs w:val="32"/>
        </w:rPr>
        <w:t>1:支出决算为</w:t>
      </w:r>
      <w:r>
        <w:rPr>
          <w:rFonts w:ascii="仿宋" w:hAnsi="仿宋" w:eastAsia="仿宋"/>
          <w:color w:val="000000"/>
          <w:sz w:val="32"/>
          <w:szCs w:val="32"/>
        </w:rPr>
        <w:t>119</w:t>
      </w:r>
      <w:r>
        <w:rPr>
          <w:rFonts w:hint="eastAsia" w:ascii="仿宋" w:hAnsi="仿宋" w:eastAsia="仿宋"/>
          <w:color w:val="000000"/>
          <w:sz w:val="32"/>
          <w:szCs w:val="32"/>
        </w:rPr>
        <w:t>.</w:t>
      </w:r>
      <w:r>
        <w:rPr>
          <w:rFonts w:ascii="仿宋" w:hAnsi="仿宋" w:eastAsia="仿宋"/>
          <w:color w:val="000000"/>
          <w:sz w:val="32"/>
          <w:szCs w:val="32"/>
        </w:rPr>
        <w:t>08</w:t>
      </w:r>
      <w:r>
        <w:rPr>
          <w:rFonts w:hint="eastAsia" w:ascii="仿宋" w:hAnsi="仿宋" w:eastAsia="仿宋"/>
          <w:color w:val="000000"/>
          <w:sz w:val="32"/>
          <w:szCs w:val="32"/>
        </w:rPr>
        <w:t>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（2）政府办公厅（室）及相关机构事务行政运行20103支出决算为</w:t>
      </w:r>
      <w:r>
        <w:rPr>
          <w:rFonts w:ascii="仿宋" w:hAnsi="仿宋" w:eastAsia="仿宋"/>
          <w:color w:val="000000"/>
          <w:sz w:val="32"/>
          <w:szCs w:val="32"/>
        </w:rPr>
        <w:t>708.6</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）财政事务行政运行20106：支出决算为2</w:t>
      </w:r>
      <w:r>
        <w:rPr>
          <w:rFonts w:ascii="仿宋" w:hAnsi="仿宋" w:eastAsia="仿宋"/>
          <w:color w:val="000000"/>
          <w:sz w:val="32"/>
          <w:szCs w:val="32"/>
        </w:rPr>
        <w:t>6.06</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（6）党委办公厅（室）及相关机构事务 行政运行20131 支出决算为</w:t>
      </w:r>
      <w:r>
        <w:rPr>
          <w:rFonts w:ascii="仿宋" w:hAnsi="仿宋" w:eastAsia="仿宋"/>
          <w:color w:val="000000"/>
          <w:sz w:val="32"/>
          <w:szCs w:val="32"/>
        </w:rPr>
        <w:t>45.8</w:t>
      </w:r>
      <w:r>
        <w:rPr>
          <w:rFonts w:hint="eastAsia" w:ascii="仿宋" w:hAnsi="仿宋" w:eastAsia="仿宋"/>
          <w:color w:val="000000"/>
          <w:sz w:val="32"/>
          <w:szCs w:val="32"/>
        </w:rPr>
        <w:t>万元，完成预算100%。</w:t>
      </w:r>
    </w:p>
    <w:p>
      <w:pPr>
        <w:spacing w:line="600" w:lineRule="exact"/>
        <w:ind w:firstLine="643" w:firstLineChars="200"/>
        <w:rPr>
          <w:rFonts w:hint="eastAsia" w:ascii="仿宋" w:hAnsi="仿宋" w:eastAsia="仿宋"/>
          <w:b/>
          <w:bCs/>
          <w:color w:val="000000"/>
          <w:sz w:val="32"/>
          <w:szCs w:val="32"/>
        </w:rPr>
      </w:pPr>
      <w:r>
        <w:rPr>
          <w:rFonts w:hint="eastAsia" w:ascii="仿宋" w:hAnsi="仿宋" w:eastAsia="仿宋"/>
          <w:b/>
          <w:bCs/>
          <w:color w:val="000000"/>
          <w:sz w:val="32"/>
          <w:szCs w:val="32"/>
        </w:rPr>
        <w:t>2.文化旅游体育与传媒支出207：支出决算为5</w:t>
      </w:r>
      <w:r>
        <w:rPr>
          <w:rFonts w:ascii="仿宋" w:hAnsi="仿宋" w:eastAsia="仿宋"/>
          <w:b/>
          <w:bCs/>
          <w:color w:val="000000"/>
          <w:sz w:val="32"/>
          <w:szCs w:val="32"/>
        </w:rPr>
        <w:t>0.2</w:t>
      </w:r>
      <w:r>
        <w:rPr>
          <w:rFonts w:hint="eastAsia" w:ascii="仿宋" w:hAnsi="仿宋" w:eastAsia="仿宋"/>
          <w:b/>
          <w:bCs/>
          <w:color w:val="000000"/>
          <w:sz w:val="32"/>
          <w:szCs w:val="32"/>
        </w:rPr>
        <w:t>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3.社会保障和就业支出208：支出决算为1</w:t>
      </w:r>
      <w:r>
        <w:rPr>
          <w:rFonts w:ascii="仿宋" w:hAnsi="仿宋" w:eastAsia="仿宋"/>
          <w:b/>
          <w:bCs/>
          <w:color w:val="000000"/>
          <w:sz w:val="32"/>
          <w:szCs w:val="32"/>
        </w:rPr>
        <w:t>37.46</w:t>
      </w:r>
      <w:r>
        <w:rPr>
          <w:rFonts w:hint="eastAsia" w:ascii="仿宋" w:hAnsi="仿宋" w:eastAsia="仿宋"/>
          <w:b/>
          <w:bCs/>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（1）社会保障和就业支出 民政管理事务 基层政权和社区建设208 02 08：支出决算为</w:t>
      </w:r>
      <w:r>
        <w:rPr>
          <w:rFonts w:ascii="仿宋" w:hAnsi="仿宋" w:eastAsia="仿宋"/>
          <w:color w:val="000000"/>
          <w:sz w:val="32"/>
          <w:szCs w:val="32"/>
        </w:rPr>
        <w:t>48.56</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（2）社会保障和就业支出 行政事业单位养老 机关事务基本养老保险缴费支出208 05 05：支出决算为：</w:t>
      </w:r>
      <w:r>
        <w:rPr>
          <w:rFonts w:ascii="仿宋" w:hAnsi="仿宋" w:eastAsia="仿宋"/>
          <w:color w:val="000000"/>
          <w:sz w:val="32"/>
          <w:szCs w:val="32"/>
        </w:rPr>
        <w:t>59.07</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（3）社会保障好就业支出 行政事业单位养老 机关事业单位职业年金缴费支出208 05 06：支出决算为</w:t>
      </w:r>
      <w:r>
        <w:rPr>
          <w:rFonts w:ascii="仿宋" w:hAnsi="仿宋" w:eastAsia="仿宋"/>
          <w:color w:val="000000"/>
          <w:sz w:val="32"/>
          <w:szCs w:val="32"/>
        </w:rPr>
        <w:t>29.53</w:t>
      </w:r>
      <w:r>
        <w:rPr>
          <w:rFonts w:hint="eastAsia" w:ascii="仿宋" w:hAnsi="仿宋" w:eastAsia="仿宋"/>
          <w:color w:val="000000"/>
          <w:sz w:val="32"/>
          <w:szCs w:val="32"/>
        </w:rPr>
        <w:t>万元，完成预算100%。</w:t>
      </w:r>
    </w:p>
    <w:p>
      <w:pPr>
        <w:pStyle w:val="2"/>
      </w:pPr>
      <w:r>
        <w:rPr>
          <w:rFonts w:hint="eastAsia" w:ascii="仿宋" w:hAnsi="仿宋" w:eastAsia="仿宋"/>
          <w:color w:val="000000"/>
          <w:sz w:val="32"/>
          <w:szCs w:val="32"/>
        </w:rPr>
        <w:t xml:space="preserve">    （4）退役军人管理事务支出 一般行政管理事务支出208 28 02：支出决算为0.</w:t>
      </w:r>
      <w:r>
        <w:rPr>
          <w:rFonts w:ascii="仿宋" w:hAnsi="仿宋" w:eastAsia="仿宋"/>
          <w:color w:val="000000"/>
          <w:sz w:val="32"/>
          <w:szCs w:val="32"/>
        </w:rPr>
        <w:t>3</w:t>
      </w:r>
      <w:r>
        <w:rPr>
          <w:rFonts w:hint="eastAsia" w:ascii="仿宋" w:hAnsi="仿宋" w:eastAsia="仿宋"/>
          <w:color w:val="000000"/>
          <w:sz w:val="32"/>
          <w:szCs w:val="32"/>
        </w:rPr>
        <w:t>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4.卫生健康支出210：支出决算为</w:t>
      </w:r>
      <w:r>
        <w:rPr>
          <w:rFonts w:ascii="仿宋" w:hAnsi="仿宋" w:eastAsia="仿宋"/>
          <w:b/>
          <w:bCs/>
          <w:color w:val="000000"/>
          <w:sz w:val="32"/>
          <w:szCs w:val="32"/>
        </w:rPr>
        <w:t>58.17</w:t>
      </w:r>
      <w:r>
        <w:rPr>
          <w:rFonts w:hint="eastAsia" w:ascii="仿宋" w:hAnsi="仿宋" w:eastAsia="仿宋"/>
          <w:b/>
          <w:bCs/>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（1）卫生健康支出 公共卫生 其他公共卫生支出210 04 </w:t>
      </w:r>
      <w:r>
        <w:rPr>
          <w:rFonts w:ascii="仿宋" w:hAnsi="仿宋" w:eastAsia="仿宋"/>
          <w:color w:val="000000"/>
          <w:sz w:val="32"/>
          <w:szCs w:val="32"/>
        </w:rPr>
        <w:t>0</w:t>
      </w:r>
      <w:r>
        <w:rPr>
          <w:rFonts w:hint="eastAsia" w:ascii="仿宋" w:hAnsi="仿宋" w:eastAsia="仿宋"/>
          <w:color w:val="000000"/>
          <w:sz w:val="32"/>
          <w:szCs w:val="32"/>
        </w:rPr>
        <w:t>9：支出决算为</w:t>
      </w:r>
      <w:r>
        <w:rPr>
          <w:rFonts w:ascii="仿宋" w:hAnsi="仿宋" w:eastAsia="仿宋"/>
          <w:color w:val="000000"/>
          <w:sz w:val="32"/>
          <w:szCs w:val="32"/>
        </w:rPr>
        <w:t>17.5</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（2）卫生健康支出 行政事业单位医疗 行政单位医疗210 11 01：支出决算为15.77万元，完成预算100%。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5.城乡社区支出212：支出决算</w:t>
      </w:r>
      <w:r>
        <w:rPr>
          <w:rFonts w:ascii="仿宋" w:hAnsi="仿宋" w:eastAsia="仿宋"/>
          <w:b/>
          <w:bCs/>
          <w:color w:val="000000"/>
          <w:sz w:val="32"/>
          <w:szCs w:val="32"/>
        </w:rPr>
        <w:t>15.59</w:t>
      </w:r>
      <w:r>
        <w:rPr>
          <w:rFonts w:hint="eastAsia" w:ascii="仿宋" w:hAnsi="仿宋" w:eastAsia="仿宋"/>
          <w:b/>
          <w:bCs/>
          <w:color w:val="000000"/>
          <w:sz w:val="32"/>
          <w:szCs w:val="32"/>
        </w:rPr>
        <w:t>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6.农林水支出213：支出决算</w:t>
      </w:r>
      <w:r>
        <w:rPr>
          <w:rFonts w:ascii="仿宋" w:hAnsi="仿宋" w:eastAsia="仿宋"/>
          <w:b/>
          <w:bCs/>
          <w:color w:val="000000"/>
          <w:sz w:val="32"/>
          <w:szCs w:val="32"/>
        </w:rPr>
        <w:t>322.06</w:t>
      </w:r>
      <w:r>
        <w:rPr>
          <w:rFonts w:hint="eastAsia" w:ascii="仿宋" w:hAnsi="仿宋" w:eastAsia="仿宋"/>
          <w:b/>
          <w:bCs/>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（1）农林水 扶贫 农村基础设施建设213 05 04：支出决算为</w:t>
      </w:r>
      <w:r>
        <w:rPr>
          <w:rFonts w:ascii="仿宋" w:hAnsi="仿宋" w:eastAsia="仿宋"/>
          <w:color w:val="000000"/>
          <w:sz w:val="32"/>
          <w:szCs w:val="32"/>
        </w:rPr>
        <w:t>83.73</w:t>
      </w:r>
      <w:r>
        <w:rPr>
          <w:rFonts w:hint="eastAsia" w:ascii="仿宋" w:hAnsi="仿宋" w:eastAsia="仿宋"/>
          <w:color w:val="000000"/>
          <w:sz w:val="32"/>
          <w:szCs w:val="32"/>
        </w:rPr>
        <w:t>万元，完成预算100%。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（2）农林水 农村综合改革 对村民委员会和村党支部的补助213 07 05：支出决算</w:t>
      </w:r>
      <w:r>
        <w:rPr>
          <w:rFonts w:ascii="仿宋" w:hAnsi="仿宋" w:eastAsia="仿宋"/>
          <w:color w:val="000000"/>
          <w:sz w:val="32"/>
          <w:szCs w:val="32"/>
        </w:rPr>
        <w:t>113.5</w:t>
      </w:r>
      <w:r>
        <w:rPr>
          <w:rFonts w:hint="eastAsia" w:ascii="仿宋" w:hAnsi="仿宋" w:eastAsia="仿宋"/>
          <w:color w:val="000000"/>
          <w:sz w:val="32"/>
          <w:szCs w:val="32"/>
        </w:rPr>
        <w:t>万元，完成预算100%。</w:t>
      </w:r>
    </w:p>
    <w:p>
      <w:pPr>
        <w:spacing w:line="600" w:lineRule="exact"/>
        <w:ind w:firstLine="643" w:firstLineChars="200"/>
        <w:rPr>
          <w:rFonts w:ascii="仿宋" w:hAnsi="仿宋" w:eastAsia="仿宋"/>
          <w:b/>
          <w:bCs/>
          <w:color w:val="000000"/>
          <w:sz w:val="32"/>
          <w:szCs w:val="32"/>
        </w:rPr>
      </w:pPr>
      <w:r>
        <w:rPr>
          <w:rFonts w:hint="eastAsia" w:ascii="仿宋" w:hAnsi="仿宋" w:eastAsia="仿宋"/>
          <w:b/>
          <w:bCs/>
          <w:color w:val="000000"/>
          <w:sz w:val="32"/>
          <w:szCs w:val="32"/>
        </w:rPr>
        <w:t>7.住房保障支出221：支出决算为</w:t>
      </w:r>
      <w:r>
        <w:rPr>
          <w:rFonts w:ascii="仿宋" w:hAnsi="仿宋" w:eastAsia="仿宋"/>
          <w:b/>
          <w:bCs/>
          <w:color w:val="000000"/>
          <w:sz w:val="32"/>
          <w:szCs w:val="32"/>
        </w:rPr>
        <w:t>62.38</w:t>
      </w:r>
      <w:r>
        <w:rPr>
          <w:rFonts w:hint="eastAsia" w:ascii="仿宋" w:hAnsi="仿宋" w:eastAsia="仿宋"/>
          <w:b/>
          <w:bCs/>
          <w:color w:val="000000"/>
          <w:sz w:val="32"/>
          <w:szCs w:val="32"/>
        </w:rPr>
        <w:t>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（1）住房保障支出 住房改革支出 住房公积金221 02 01：支出决算为</w:t>
      </w:r>
      <w:r>
        <w:rPr>
          <w:rFonts w:ascii="仿宋" w:hAnsi="仿宋" w:eastAsia="仿宋"/>
          <w:color w:val="000000"/>
          <w:sz w:val="32"/>
          <w:szCs w:val="32"/>
        </w:rPr>
        <w:t>62.38</w:t>
      </w:r>
      <w:r>
        <w:rPr>
          <w:rFonts w:hint="eastAsia" w:ascii="仿宋" w:hAnsi="仿宋" w:eastAsia="仿宋"/>
          <w:color w:val="000000"/>
          <w:sz w:val="32"/>
          <w:szCs w:val="32"/>
        </w:rPr>
        <w:t>万元，完成预算100%。</w:t>
      </w:r>
    </w:p>
    <w:p>
      <w:pPr>
        <w:tabs>
          <w:tab w:val="right" w:pos="8306"/>
        </w:tabs>
        <w:spacing w:line="600" w:lineRule="exact"/>
        <w:ind w:firstLine="640"/>
        <w:outlineLvl w:val="1"/>
        <w:rPr>
          <w:rStyle w:val="31"/>
        </w:rPr>
      </w:pPr>
      <w:bookmarkStart w:id="57" w:name="_Toc15396608"/>
      <w:bookmarkStart w:id="58" w:name="_Toc15377214"/>
      <w:bookmarkStart w:id="59" w:name="_Toc21943"/>
      <w:r>
        <w:rPr>
          <w:rFonts w:hint="eastAsia" w:ascii="黑体" w:eastAsia="黑体"/>
          <w:color w:val="000000"/>
          <w:sz w:val="32"/>
          <w:szCs w:val="32"/>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7"/>
      <w:bookmarkEnd w:id="58"/>
      <w:bookmarkEnd w:id="59"/>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2021年一般公共预算财政拨款基本支出</w:t>
      </w:r>
      <w:r>
        <w:rPr>
          <w:rFonts w:ascii="仿宋" w:hAnsi="仿宋" w:eastAsia="仿宋"/>
          <w:sz w:val="32"/>
          <w:szCs w:val="32"/>
        </w:rPr>
        <w:t>899.6</w:t>
      </w:r>
      <w:r>
        <w:rPr>
          <w:rFonts w:hint="eastAsia" w:ascii="仿宋" w:hAnsi="仿宋" w:eastAsia="仿宋"/>
          <w:sz w:val="32"/>
          <w:szCs w:val="32"/>
        </w:rPr>
        <w:t>万元，其中：人员经费7</w:t>
      </w:r>
      <w:r>
        <w:rPr>
          <w:rFonts w:ascii="仿宋" w:hAnsi="仿宋" w:eastAsia="仿宋"/>
          <w:sz w:val="32"/>
          <w:szCs w:val="32"/>
        </w:rPr>
        <w:t>26.78</w:t>
      </w:r>
      <w:r>
        <w:rPr>
          <w:rFonts w:hint="eastAsia" w:ascii="仿宋" w:hAnsi="仿宋" w:eastAsia="仿宋"/>
          <w:sz w:val="32"/>
          <w:szCs w:val="32"/>
        </w:rPr>
        <w:t>万元，</w:t>
      </w:r>
      <w:r>
        <w:rPr>
          <w:rFonts w:hint="eastAsia" w:ascii="仿宋" w:hAnsi="仿宋" w:eastAsia="仿宋"/>
          <w:color w:val="000000"/>
          <w:sz w:val="32"/>
          <w:szCs w:val="32"/>
        </w:rPr>
        <w:t>公用经费6</w:t>
      </w:r>
      <w:r>
        <w:rPr>
          <w:rFonts w:ascii="仿宋" w:hAnsi="仿宋" w:eastAsia="仿宋"/>
          <w:color w:val="000000"/>
          <w:sz w:val="32"/>
          <w:szCs w:val="32"/>
        </w:rPr>
        <w:t>3.95</w:t>
      </w:r>
      <w:r>
        <w:rPr>
          <w:rFonts w:hint="eastAsia" w:ascii="仿宋" w:hAnsi="仿宋" w:eastAsia="仿宋"/>
          <w:sz w:val="32"/>
          <w:szCs w:val="32"/>
        </w:rPr>
        <w:t>万元，</w:t>
      </w:r>
      <w:r>
        <w:rPr>
          <w:rFonts w:hint="eastAsia" w:ascii="仿宋" w:hAnsi="仿宋" w:eastAsia="仿宋"/>
          <w:color w:val="000000"/>
          <w:sz w:val="32"/>
          <w:szCs w:val="32"/>
        </w:rPr>
        <w:t>主要包括：办公费、印刷费、手续费、电费、邮电费、取暖费元、差旅费、维修（护）费、培训费、公务接待费、劳务费、公务用车运行维护费。</w:t>
      </w:r>
    </w:p>
    <w:p>
      <w:pPr>
        <w:spacing w:line="600" w:lineRule="exact"/>
        <w:ind w:firstLine="640"/>
        <w:outlineLvl w:val="1"/>
        <w:rPr>
          <w:rStyle w:val="31"/>
          <w:rFonts w:ascii="黑体" w:hAnsi="黑体" w:eastAsia="黑体"/>
          <w:b w:val="0"/>
        </w:rPr>
      </w:pPr>
      <w:bookmarkStart w:id="60" w:name="_Toc15396609"/>
      <w:bookmarkStart w:id="61" w:name="_Toc15377215"/>
      <w:bookmarkStart w:id="62" w:name="_Toc11403"/>
      <w:r>
        <w:rPr>
          <w:rFonts w:hint="eastAsia" w:ascii="黑体" w:eastAsia="黑体"/>
          <w:color w:val="000000"/>
          <w:sz w:val="32"/>
          <w:szCs w:val="32"/>
        </w:rPr>
        <w:t>九、</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2021年“三公”经费财政拨款支出决算为1</w:t>
      </w:r>
      <w:r>
        <w:rPr>
          <w:rFonts w:ascii="仿宋" w:hAnsi="仿宋" w:eastAsia="仿宋"/>
          <w:color w:val="000000"/>
          <w:sz w:val="32"/>
          <w:szCs w:val="32"/>
        </w:rPr>
        <w:t>4.50</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pStyle w:val="16"/>
        <w:widowControl/>
        <w:autoSpaceDE w:val="0"/>
        <w:snapToGrid w:val="0"/>
        <w:spacing w:line="576" w:lineRule="exact"/>
        <w:ind w:firstLine="1120" w:firstLineChars="350"/>
        <w:rPr>
          <w:rFonts w:ascii="仿宋_GB2312" w:eastAsia="仿宋_GB2312" w:cs="仿宋_GB2312"/>
          <w:bCs/>
          <w:sz w:val="32"/>
          <w:szCs w:val="32"/>
          <w:shd w:val="clear" w:color="auto" w:fill="FFFFFF"/>
          <w:lang w:bidi="ar"/>
        </w:rPr>
      </w:pPr>
      <w:r>
        <w:rPr>
          <w:rFonts w:hint="eastAsia" w:ascii="仿宋_GB2312" w:eastAsia="仿宋_GB2312" w:cs="仿宋_GB2312"/>
          <w:bCs/>
          <w:sz w:val="32"/>
          <w:szCs w:val="32"/>
          <w:shd w:val="clear" w:color="auto" w:fill="FFFFFF"/>
          <w:lang w:bidi="ar"/>
        </w:rPr>
        <w:t>三公经费总额为14.50万元，比年初预算数少0.00万元，其中：因公出国（境）费少0.00万元，公务用车购置及运行维护费少0.00万元，公务接待费少0.00万元， “三公”经费总额比上年决算数少14.50万元，其中：因公出国（境）费少0.00万元，公务用车购置及运行维护费少14.30万元，主要原因为：厉行节约公务接待费少0.20万元，主要原因为: 厉行节约</w:t>
      </w:r>
    </w:p>
    <w:p>
      <w:pPr>
        <w:spacing w:line="600" w:lineRule="exact"/>
        <w:ind w:firstLine="640"/>
        <w:outlineLvl w:val="1"/>
        <w:rPr>
          <w:rStyle w:val="31"/>
          <w:rFonts w:ascii="黑体" w:hAnsi="黑体" w:eastAsia="黑体"/>
        </w:rPr>
      </w:pPr>
      <w:bookmarkStart w:id="65" w:name="_Toc15396610"/>
      <w:bookmarkStart w:id="66" w:name="_Toc15377218"/>
      <w:bookmarkStart w:id="67" w:name="_Toc15140"/>
      <w:r>
        <w:rPr>
          <w:rFonts w:hint="eastAsia" w:ascii="黑体" w:eastAsia="黑体"/>
          <w:color w:val="000000"/>
          <w:sz w:val="32"/>
          <w:szCs w:val="32"/>
        </w:rPr>
        <w:t>十、</w:t>
      </w:r>
      <w:r>
        <w:rPr>
          <w:rStyle w:val="31"/>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2021年政府性基金预算拨款支出0万元。</w:t>
      </w:r>
    </w:p>
    <w:p>
      <w:pPr>
        <w:spacing w:line="600" w:lineRule="exact"/>
        <w:ind w:firstLine="640" w:firstLineChars="200"/>
        <w:outlineLvl w:val="1"/>
        <w:rPr>
          <w:rStyle w:val="31"/>
          <w:rFonts w:ascii="黑体" w:hAnsi="黑体" w:eastAsia="黑体"/>
          <w:b w:val="0"/>
        </w:rPr>
      </w:pPr>
      <w:bookmarkStart w:id="68" w:name="_Toc15396611"/>
      <w:bookmarkStart w:id="69" w:name="_Toc15377219"/>
      <w:bookmarkStart w:id="70" w:name="_Toc21776"/>
      <w:r>
        <w:rPr>
          <w:rStyle w:val="31"/>
          <w:rFonts w:hint="eastAsia" w:ascii="黑体" w:hAnsi="黑体" w:eastAsia="黑体"/>
          <w:b w:val="0"/>
        </w:rPr>
        <w:t>十一、国有资本经营预算支出决算情况说明</w:t>
      </w:r>
      <w:bookmarkEnd w:id="68"/>
      <w:bookmarkEnd w:id="69"/>
      <w:bookmarkEnd w:id="70"/>
    </w:p>
    <w:p>
      <w:pPr>
        <w:spacing w:line="600" w:lineRule="exact"/>
        <w:ind w:firstLine="640"/>
        <w:rPr>
          <w:rFonts w:ascii="方正小标宋简体" w:hAnsi="方正小标宋简体" w:eastAsia="仿宋_GB2312" w:cs="方正小标宋简体"/>
          <w:sz w:val="44"/>
          <w:szCs w:val="44"/>
        </w:rPr>
      </w:pPr>
      <w:r>
        <w:rPr>
          <w:rFonts w:hint="eastAsia" w:ascii="仿宋_GB2312" w:eastAsia="仿宋_GB2312"/>
          <w:color w:val="000000"/>
          <w:sz w:val="32"/>
          <w:szCs w:val="32"/>
        </w:rPr>
        <w:t>2021年国有资本经营预算拨款支出0万元。</w:t>
      </w:r>
    </w:p>
    <w:p>
      <w:pPr>
        <w:spacing w:line="600" w:lineRule="exact"/>
        <w:ind w:firstLine="800" w:firstLineChars="250"/>
        <w:outlineLvl w:val="1"/>
        <w:rPr>
          <w:rFonts w:hint="eastAsia" w:ascii="黑体" w:hAnsi="黑体" w:eastAsia="黑体" w:cstheme="majorBidi"/>
          <w:b/>
          <w:bCs/>
          <w:sz w:val="32"/>
          <w:szCs w:val="32"/>
        </w:rPr>
      </w:pPr>
      <w:bookmarkStart w:id="71" w:name="_Toc15377221"/>
      <w:bookmarkStart w:id="72" w:name="_Toc15396612"/>
      <w:bookmarkStart w:id="73" w:name="_Toc31063"/>
      <w:r>
        <w:rPr>
          <w:rFonts w:hint="eastAsia" w:ascii="黑体" w:hAnsi="黑体" w:eastAsia="黑体"/>
          <w:color w:val="000000"/>
          <w:sz w:val="32"/>
          <w:szCs w:val="32"/>
        </w:rPr>
        <w:t>十二、</w:t>
      </w:r>
      <w:r>
        <w:rPr>
          <w:rStyle w:val="31"/>
          <w:rFonts w:hint="eastAsia" w:ascii="黑体" w:hAnsi="黑体" w:eastAsia="黑体"/>
          <w:b w:val="0"/>
        </w:rPr>
        <w:t>其他重要事项的情况说明</w:t>
      </w:r>
      <w:bookmarkEnd w:id="71"/>
      <w:bookmarkEnd w:id="72"/>
      <w:bookmarkEnd w:id="73"/>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（一）政府采购支出情况</w:t>
      </w:r>
      <w:bookmarkEnd w:id="7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2021年，刷经寺镇政府采购支出总额0万元，其中：政府采购货物支出0万元、政府采购工程支出0万元、政府采购服务支出0万元。授予中小企业合同金额0万元，占政府采购支出总额的0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pPr>
        <w:autoSpaceDE w:val="0"/>
        <w:autoSpaceDN w:val="0"/>
        <w:adjustRightInd w:val="0"/>
        <w:spacing w:line="60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截至2021年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14:textFill>
            <w14:solidFill>
              <w14:schemeClr w14:val="tx1"/>
            </w14:solidFill>
          </w14:textFill>
        </w:rPr>
        <w:t>刷经寺镇共有车辆</w:t>
      </w: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辆，主要是用于日常出差使用。</w:t>
      </w:r>
    </w:p>
    <w:p>
      <w:pPr>
        <w:spacing w:line="580" w:lineRule="exact"/>
        <w:ind w:firstLine="640" w:firstLineChars="200"/>
        <w:rPr>
          <w:rFonts w:ascii="仿宋_GB2312" w:hAnsi="仿宋_GB2312" w:eastAsia="仿宋_GB2312" w:cs="仿宋_GB2312"/>
          <w:sz w:val="32"/>
          <w:szCs w:val="32"/>
        </w:rPr>
      </w:pPr>
    </w:p>
    <w:p>
      <w:pPr>
        <w:widowControl/>
        <w:ind w:firstLine="643" w:firstLineChars="200"/>
        <w:jc w:val="left"/>
        <w:rPr>
          <w:rStyle w:val="30"/>
          <w:rFonts w:ascii="黑体" w:hAnsi="黑体" w:eastAsia="黑体"/>
          <w:b w:val="0"/>
        </w:rPr>
      </w:pPr>
      <w:r>
        <w:rPr>
          <w:rFonts w:ascii="仿宋_GB2312" w:eastAsia="仿宋_GB2312"/>
          <w:b/>
          <w:color w:val="000000"/>
          <w:sz w:val="32"/>
          <w:szCs w:val="32"/>
        </w:rPr>
        <w:br w:type="page"/>
      </w:r>
      <w:bookmarkStart w:id="76" w:name="_Toc15396613"/>
      <w:bookmarkStart w:id="77" w:name="_Toc15377225"/>
      <w:bookmarkStart w:id="78" w:name="_Toc11473"/>
      <w:r>
        <w:rPr>
          <w:rFonts w:hint="eastAsia" w:ascii="黑体" w:hAnsi="黑体" w:eastAsia="黑体"/>
          <w:color w:val="000000"/>
          <w:sz w:val="44"/>
          <w:szCs w:val="44"/>
        </w:rPr>
        <w:t>名</w:t>
      </w:r>
      <w:r>
        <w:rPr>
          <w:rStyle w:val="30"/>
          <w:rFonts w:hint="eastAsia" w:ascii="黑体" w:hAnsi="黑体" w:eastAsia="黑体"/>
          <w:b w:val="0"/>
        </w:rPr>
        <w:t>词解释</w:t>
      </w:r>
      <w:bookmarkEnd w:id="76"/>
      <w:bookmarkEnd w:id="77"/>
      <w:bookmarkEnd w:id="78"/>
    </w:p>
    <w:p>
      <w:pPr>
        <w:autoSpaceDE w:val="0"/>
        <w:autoSpaceDN w:val="0"/>
        <w:adjustRightInd w:val="0"/>
        <w:spacing w:line="600" w:lineRule="exact"/>
        <w:ind w:firstLine="640" w:firstLineChars="200"/>
        <w:jc w:val="left"/>
        <w:rPr>
          <w:rFonts w:ascii="仿宋_GB2312" w:eastAsia="仿宋_GB2312"/>
          <w:color w:val="000000"/>
          <w:sz w:val="32"/>
          <w:szCs w:val="32"/>
        </w:rPr>
      </w:pPr>
      <w:bookmarkStart w:id="7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2.其他收入：指单位取得财政拨款收入以外的各项收入。主要是眉山援建项目收入等。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5. 一般公共服务（类）201（款）01（项）01——行政运行：反映行政单位（包括实行公务员管理的事业单位）的基本支出反映行政单位（包括实行公务员管理的事业单位）的基本支出。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6. 一般公共服务（类）201（款）01（项）04——人大会议费：反映各级人大召开"人代会"等专门会议的支出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7. 一般公共服务（类）201（款03（项）01——行政运行：反映各级政府办公厅（室）及相关机构的支出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8. 一般公共服务（类）201（款）03（项）99——其他政府办公厅（室）及相关机构事务支出：反映除上述项目以外的其他政府办公厅（室）及相关机构事务支出。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9. 一般公共服务（类）201（款）06（项）01—行政运行: 反映财政事务方面的支出。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10. 一般公共服务（类）201（款）31（项）01—其它政府办公厅及相关事务支出:反映行政单位（包括实行公务员管理的事业单位）的基本支出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11.社会保障和就业支出（类）208（款）05（项）05——机关事业单位基本养老保险缴费支出：反映机关事业单位实施养老保险制度的单位缴纳的基本养老保险费支出。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12.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13.医疗卫生与计划生育支出(类）210（款）11（项）01——行政单位医疗：反映财政部门集中安排的公务员医疗补助经费。</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14.医疗卫生与计划生育支出(类）210（款）11（项）02——事业单位医疗：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15.农林水支出（类）213（款）01（项）42—农村道路建设：反映用于农村公路、乡村道路建设方面的支出。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16.农林水支出（类）213（款）01（项）52—对高校毕业生到基层任职补助：反映按规定对高校毕业生到基层任职的补助支出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17.农林水支出（类）213（款）02（项）04—林业事业机构：反映用于林业事业单位的基本支出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18.农林水支出（类）213（款）03（项）14—防汛：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19.农林水支出（类）213（款）07（项）05—对村民委员会和党支部补助：反映各级财政对村民委员会和村党支部的补助支出，以及支持建立县级基本财力保障机制安排的村级组织运转奖补资金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20.住房保障支出(类）221（款）02（项）01—住房公积金：反映行政事业单位按人力资源和社会保障部、财政部规定的基本工资和津贴补贴以及规定比例为职工缴纳的住房公积金。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21.其他支出(类）229（款）99（项）01—其他支出：反映除上述项目以外其他不能划分到具体功能科目中的支出项目</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22.年末结转和结余：指本年度或以前年度预算安排、因客观条件发生变化无法按原计划实施，需延迟到以后年度按有关规定继续使用的资金。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23.基本支出：指为保障机构正常运转、完成日常工作任务而发生的人员支出和公用支出。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24.项目支出：指在基本支出之外为完成特定行政任务和事业发展目标所发生的支出。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25.“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0" w:name="_Toc3620"/>
      <w:bookmarkStart w:id="81" w:name="_Toc15396614"/>
      <w:r>
        <w:rPr>
          <w:rFonts w:hint="eastAsia" w:ascii="黑体" w:hAnsi="黑体" w:eastAsia="黑体"/>
          <w:color w:val="000000"/>
          <w:sz w:val="44"/>
          <w:szCs w:val="44"/>
        </w:rPr>
        <w:t>第</w:t>
      </w:r>
      <w:r>
        <w:rPr>
          <w:rStyle w:val="30"/>
          <w:rFonts w:hint="eastAsia" w:ascii="黑体" w:hAnsi="黑体" w:eastAsia="黑体"/>
          <w:b w:val="0"/>
        </w:rPr>
        <w:t>四部分 附件</w:t>
      </w:r>
      <w:bookmarkEnd w:id="80"/>
      <w:bookmarkEnd w:id="81"/>
    </w:p>
    <w:p>
      <w:pPr>
        <w:spacing w:line="600" w:lineRule="exact"/>
        <w:jc w:val="left"/>
        <w:outlineLvl w:val="1"/>
        <w:rPr>
          <w:rFonts w:ascii="方正小标宋简体" w:hAnsi="方正小标宋简体" w:eastAsia="方正小标宋简体" w:cs="方正小标宋简体"/>
          <w:sz w:val="32"/>
          <w:szCs w:val="32"/>
        </w:rPr>
      </w:pPr>
      <w:bookmarkStart w:id="82" w:name="_Toc8405"/>
      <w:r>
        <w:rPr>
          <w:rFonts w:hint="eastAsia" w:ascii="黑体" w:hAnsi="黑体" w:eastAsia="黑体" w:cs="黑体"/>
          <w:sz w:val="32"/>
          <w:szCs w:val="32"/>
        </w:rPr>
        <w:t>附件1</w:t>
      </w:r>
      <w:bookmarkEnd w:id="8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rPr>
        <w:t>刷经寺镇人民政府2021</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outlineLvl w:val="1"/>
        <w:rPr>
          <w:rFonts w:ascii="黑体" w:hAnsi="黑体" w:eastAsia="黑体" w:cs="黑体"/>
          <w:sz w:val="32"/>
          <w:szCs w:val="32"/>
          <w:lang w:val="zh-CN"/>
        </w:rPr>
      </w:pPr>
      <w:bookmarkStart w:id="83" w:name="_Toc1777"/>
      <w:r>
        <w:rPr>
          <w:rFonts w:hint="eastAsia" w:ascii="黑体" w:hAnsi="黑体" w:eastAsia="黑体" w:cs="黑体"/>
          <w:sz w:val="32"/>
          <w:szCs w:val="32"/>
          <w:lang w:val="zh-CN"/>
        </w:rPr>
        <w:t>一、单位概况</w:t>
      </w:r>
      <w:bookmarkEnd w:id="83"/>
    </w:p>
    <w:p>
      <w:pPr>
        <w:ind w:firstLine="320" w:firstLineChars="100"/>
        <w:rPr>
          <w:rFonts w:eastAsia="仿宋_GB2312"/>
          <w:lang w:val="zh-CN"/>
        </w:rPr>
      </w:pPr>
      <w:r>
        <w:rPr>
          <w:rFonts w:hint="eastAsia" w:ascii="仿宋_GB2312" w:eastAsia="仿宋_GB2312" w:cs="宋体"/>
          <w:sz w:val="32"/>
          <w:szCs w:val="32"/>
          <w:lang w:val="zh-CN"/>
        </w:rPr>
        <w:t>（一）</w:t>
      </w:r>
      <w:r>
        <w:rPr>
          <w:rFonts w:hint="eastAsia" w:ascii="仿宋_GB2312" w:eastAsia="仿宋_GB2312" w:cs="宋体"/>
          <w:b/>
          <w:bCs/>
          <w:sz w:val="32"/>
          <w:szCs w:val="32"/>
          <w:lang w:val="zh-CN"/>
        </w:rPr>
        <w:t>机构组成。</w:t>
      </w:r>
      <w:r>
        <w:rPr>
          <w:rFonts w:hint="eastAsia" w:ascii="仿宋_GB2312" w:eastAsia="仿宋_GB2312" w:cs="宋体"/>
          <w:sz w:val="32"/>
          <w:szCs w:val="32"/>
          <w:lang w:val="zh-CN"/>
        </w:rPr>
        <w:t>刷经寺镇为独立核算编制的</w:t>
      </w:r>
      <w:r>
        <w:rPr>
          <w:rFonts w:hint="eastAsia" w:ascii="仿宋_GB2312" w:hAnsi="仿宋_GB2312" w:eastAsia="仿宋_GB2312" w:cs="仿宋_GB2312"/>
          <w:bCs/>
          <w:sz w:val="32"/>
          <w:szCs w:val="32"/>
        </w:rPr>
        <w:t>行政单位。</w:t>
      </w:r>
    </w:p>
    <w:p>
      <w:pPr>
        <w:widowControl/>
        <w:adjustRightInd w:val="0"/>
        <w:snapToGrid w:val="0"/>
        <w:spacing w:line="576" w:lineRule="exact"/>
        <w:ind w:firstLine="320" w:firstLineChars="100"/>
        <w:jc w:val="left"/>
        <w:rPr>
          <w:rFonts w:ascii="仿宋" w:hAnsi="仿宋" w:eastAsia="仿宋" w:cs="仿宋"/>
          <w:color w:val="000000"/>
          <w:kern w:val="0"/>
          <w:sz w:val="32"/>
          <w:szCs w:val="32"/>
          <w:lang w:val="zh-CN"/>
        </w:rPr>
      </w:pPr>
      <w:r>
        <w:rPr>
          <w:rFonts w:ascii="??_GB2312" w:hAnsi="宋体" w:eastAsia="Times New Roman" w:cs="宋体"/>
          <w:b/>
          <w:bCs/>
          <w:color w:val="000000"/>
          <w:kern w:val="0"/>
          <w:sz w:val="32"/>
          <w:lang w:val="zh-CN"/>
        </w:rPr>
        <w:t>（二）机构职能。</w:t>
      </w:r>
      <w:r>
        <w:rPr>
          <w:rFonts w:hint="eastAsia" w:ascii="仿宋" w:hAnsi="仿宋" w:eastAsia="仿宋" w:cs="仿宋"/>
          <w:color w:val="000000"/>
          <w:kern w:val="0"/>
          <w:sz w:val="32"/>
          <w:szCs w:val="32"/>
          <w:lang w:val="zh-CN"/>
        </w:rPr>
        <w:t>根据刷经寺镇三定方案。</w:t>
      </w:r>
    </w:p>
    <w:p>
      <w:pPr>
        <w:shd w:val="clear" w:color="auto" w:fill="FFFFFF"/>
        <w:snapToGrid w:val="0"/>
        <w:spacing w:line="576" w:lineRule="exact"/>
        <w:ind w:left="420" w:leftChars="200"/>
        <w:rPr>
          <w:rFonts w:ascii="仿宋_GB2312" w:hAnsi="仿宋" w:eastAsia="仿宋_GB2312"/>
          <w:sz w:val="32"/>
          <w:szCs w:val="32"/>
        </w:rPr>
      </w:pPr>
      <w:r>
        <w:rPr>
          <w:rFonts w:hint="eastAsia" w:ascii="仿宋_GB2312" w:hAnsi="仿宋" w:eastAsia="仿宋_GB2312"/>
          <w:b/>
          <w:bCs/>
          <w:sz w:val="32"/>
          <w:szCs w:val="32"/>
        </w:rPr>
        <w:t>（1）镇党委工作职责</w:t>
      </w:r>
    </w:p>
    <w:p>
      <w:p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镇党委是本镇各项工作的领导核心，是农村改革和经济建设的直接组织者和领导者，主要职责：</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负责贯彻执行党的路线方针政策和上级党组织及本镇党员代表大会的决议；</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讨论决定本镇经济建设和社会发展的重大问题；</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领导镇政权机关和群众组织，支持和保证这些机关和组织依照国家法律法规及各自章程充分行使职权；</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加强镇党委自身建设和以党支部为核心的村级组织建设；</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按照干部管理权限，负责对干部的教育、培养、选拔、考核和监督工作；</w:t>
      </w:r>
    </w:p>
    <w:p>
      <w:pPr>
        <w:numPr>
          <w:ilvl w:val="0"/>
          <w:numId w:val="1"/>
        </w:numPr>
        <w:shd w:val="clear" w:color="auto" w:fill="FFFFFF"/>
        <w:snapToGrid w:val="0"/>
        <w:spacing w:line="576" w:lineRule="exact"/>
        <w:ind w:firstLine="642"/>
        <w:rPr>
          <w:rFonts w:ascii="仿宋_GB2312" w:hAnsi="仿宋" w:eastAsia="仿宋_GB2312"/>
          <w:sz w:val="32"/>
          <w:szCs w:val="32"/>
        </w:rPr>
      </w:pPr>
      <w:r>
        <w:rPr>
          <w:rFonts w:hint="eastAsia" w:ascii="仿宋_GB2312" w:hAnsi="仿宋" w:eastAsia="仿宋_GB2312"/>
          <w:sz w:val="32"/>
          <w:szCs w:val="32"/>
        </w:rPr>
        <w:t>领导本镇的社会主义民主法制建设和精神文明建设，做好社会治安综合治理和计划生育等工作。</w:t>
      </w:r>
    </w:p>
    <w:p>
      <w:pPr>
        <w:shd w:val="clear" w:color="auto" w:fill="FFFFFF"/>
        <w:snapToGrid w:val="0"/>
        <w:spacing w:line="576" w:lineRule="exact"/>
        <w:ind w:firstLine="640"/>
        <w:rPr>
          <w:rFonts w:ascii="仿宋_GB2312" w:hAnsi="仿宋" w:eastAsia="仿宋_GB2312"/>
          <w:b/>
          <w:bCs/>
          <w:sz w:val="32"/>
          <w:szCs w:val="32"/>
        </w:rPr>
      </w:pPr>
      <w:r>
        <w:rPr>
          <w:rFonts w:hint="eastAsia" w:ascii="仿宋_GB2312" w:hAnsi="仿宋" w:eastAsia="仿宋_GB2312"/>
          <w:b/>
          <w:bCs/>
          <w:sz w:val="32"/>
          <w:szCs w:val="32"/>
        </w:rPr>
        <w:t>（2）人大主席团工作职责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1.负责召开本级人民代表大会会议的具体准备工作；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2.负责联系本级人民代表大会代表，组织代表开展活动，总结交流代表小组活动经验；</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3.反映代表和群众对本级人民政府工作的建议、批评和意见；</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4.参加本级人民政府的重要会议；</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5.组织实施本级人民代表大会和主席团决定的有关事项；</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6.督促办理代表和人民群众的来信来访。</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b/>
          <w:bCs/>
          <w:sz w:val="32"/>
          <w:szCs w:val="32"/>
        </w:rPr>
        <w:t>（3）政府工作职责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1.贯彻执行党的路线方针政策和国家法律法规，贯彻执行上级行政机关的决议、命令及同级党委的决定，执行镇人民代表大会的决议；</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2.对镇人民代表大会及其主席团和上级行政机关负责并报告工作；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3.编制和执行乡国民经济和社会发展计划，编制并执行财政预算；</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4.管理本行政区域经济和各项社会事业的行政工作；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5.负责辖区内行政执法工作，维护社会秩序，保护公民人身、民主、财产等合法权利，保护各种经济组织的合法权益；</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6.指导、支持和帮助村民委员会工作；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7.法律规定赋予烦人其它职责。</w:t>
      </w:r>
    </w:p>
    <w:p>
      <w:pPr>
        <w:shd w:val="clear" w:color="auto" w:fill="FFFFFF"/>
        <w:snapToGrid w:val="0"/>
        <w:spacing w:line="576" w:lineRule="exact"/>
        <w:ind w:firstLine="640"/>
        <w:rPr>
          <w:rFonts w:ascii="仿宋_GB2312" w:hAnsi="仿宋" w:eastAsia="仿宋_GB2312"/>
          <w:b/>
          <w:bCs/>
          <w:sz w:val="32"/>
          <w:szCs w:val="32"/>
        </w:rPr>
      </w:pPr>
      <w:r>
        <w:rPr>
          <w:rFonts w:hint="eastAsia" w:ascii="仿宋_GB2312" w:hAnsi="仿宋" w:eastAsia="仿宋_GB2312"/>
          <w:b/>
          <w:bCs/>
          <w:sz w:val="32"/>
          <w:szCs w:val="32"/>
        </w:rPr>
        <w:t>（4）人民武装部工作职责</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1.负责民兵组织建设、政治教育、军事训练；</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2.为本系统自主择业转业干部提供管理和服务；</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3.组织带领民兵完成战备执勤任务，配合公安部门维护社会治安；</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4.战时组织带领民兵参军参战，支援前线；</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5.负责征兵工作和预备役士兵、预备役军官登记统计工作；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6.协同预备役部（分）队落实参训人员，做好兵员的管理、动员集结等工作；</w:t>
      </w:r>
    </w:p>
    <w:p>
      <w:pPr>
        <w:shd w:val="clear" w:color="auto" w:fill="FFFFFF"/>
        <w:snapToGrid w:val="0"/>
        <w:spacing w:line="576" w:lineRule="exact"/>
        <w:ind w:firstLine="640"/>
        <w:rPr>
          <w:rFonts w:ascii="仿宋_GB2312" w:hAnsi="仿宋" w:eastAsia="仿宋_GB2312"/>
          <w:sz w:val="32"/>
          <w:szCs w:val="32"/>
        </w:rPr>
      </w:pPr>
      <w:r>
        <w:rPr>
          <w:rFonts w:hint="eastAsia" w:ascii="仿宋_GB2312" w:hAnsi="仿宋" w:eastAsia="仿宋_GB2312"/>
          <w:sz w:val="32"/>
          <w:szCs w:val="32"/>
        </w:rPr>
        <w:t>7.协助有关部门开展国防教育，做好退伍人员的安置和烈军属的优抚工作；</w:t>
      </w:r>
    </w:p>
    <w:p>
      <w:pPr>
        <w:ind w:firstLine="640" w:firstLineChars="200"/>
        <w:jc w:val="left"/>
        <w:rPr>
          <w:rFonts w:ascii="仿宋_GB2312" w:hAnsi="仿宋_GB2312" w:eastAsia="仿宋_GB2312" w:cs="仿宋_GB2312"/>
          <w:bCs/>
          <w:sz w:val="32"/>
          <w:szCs w:val="32"/>
        </w:rPr>
      </w:pPr>
      <w:r>
        <w:rPr>
          <w:rFonts w:hint="eastAsia" w:ascii="仿宋_GB2312" w:hAnsi="仿宋" w:eastAsia="仿宋_GB2312"/>
          <w:sz w:val="32"/>
          <w:szCs w:val="32"/>
        </w:rPr>
        <w:t>8.完成地方党委、人民政府和上级军事机关交给的其他工作任务。</w:t>
      </w:r>
    </w:p>
    <w:p>
      <w:pPr>
        <w:ind w:left="420" w:leftChars="200" w:firstLine="160" w:firstLineChars="50"/>
        <w:outlineLvl w:val="1"/>
        <w:rPr>
          <w:rFonts w:ascii="黑体" w:hAnsi="黑体" w:eastAsia="黑体" w:cs="黑体"/>
          <w:sz w:val="32"/>
          <w:szCs w:val="32"/>
          <w:lang w:val="zh-CN"/>
        </w:rPr>
      </w:pPr>
      <w:bookmarkStart w:id="84" w:name="_Toc29566"/>
      <w:r>
        <w:rPr>
          <w:rFonts w:hint="eastAsia" w:ascii="黑体" w:hAnsi="黑体" w:eastAsia="黑体" w:cs="黑体"/>
          <w:sz w:val="32"/>
          <w:szCs w:val="32"/>
          <w:lang w:val="zh-CN"/>
        </w:rPr>
        <w:t>二、部门财政资金收支情况</w:t>
      </w:r>
      <w:bookmarkEnd w:id="84"/>
    </w:p>
    <w:p>
      <w:pPr>
        <w:widowControl/>
        <w:adjustRightInd w:val="0"/>
        <w:snapToGrid w:val="0"/>
        <w:spacing w:line="576" w:lineRule="exact"/>
        <w:ind w:firstLine="320" w:firstLineChars="100"/>
        <w:jc w:val="left"/>
        <w:rPr>
          <w:rFonts w:ascii="楷体" w:hAnsi="楷体" w:eastAsia="楷体" w:cs="楷体"/>
        </w:rPr>
      </w:pPr>
      <w:r>
        <w:rPr>
          <w:rFonts w:ascii="??_GB2312" w:hAnsi="宋体" w:eastAsia="Times New Roman" w:cs="宋体"/>
          <w:b/>
          <w:bCs/>
          <w:color w:val="000000"/>
          <w:kern w:val="0"/>
          <w:sz w:val="32"/>
          <w:lang w:val="zh-CN"/>
        </w:rPr>
        <w:t>（一）部门财政资金收入情况。</w:t>
      </w:r>
    </w:p>
    <w:p>
      <w:pPr>
        <w:spacing w:line="576" w:lineRule="exact"/>
        <w:ind w:firstLine="640"/>
        <w:rPr>
          <w:rFonts w:ascii="仿宋_GB2312" w:hAnsi="仿宋_GB2312" w:eastAsia="仿宋_GB2312" w:cs="仿宋_GB2312"/>
          <w:bCs/>
          <w:sz w:val="32"/>
          <w:szCs w:val="32"/>
        </w:rPr>
      </w:pPr>
      <w:r>
        <w:rPr>
          <w:rFonts w:hint="eastAsia" w:ascii="仿宋_GB2312" w:eastAsia="仿宋_GB2312"/>
          <w:color w:val="000000"/>
          <w:sz w:val="32"/>
          <w:szCs w:val="32"/>
        </w:rPr>
        <w:t>2021年刷经寺镇财政拨款收入总计</w:t>
      </w:r>
      <w:r>
        <w:rPr>
          <w:rFonts w:ascii="仿宋_GB2312" w:hAnsi="仿宋" w:eastAsia="仿宋_GB2312"/>
          <w:sz w:val="32"/>
          <w:szCs w:val="32"/>
        </w:rPr>
        <w:t>1830.7</w:t>
      </w:r>
      <w:r>
        <w:rPr>
          <w:rFonts w:hint="eastAsia" w:ascii="仿宋_GB2312" w:eastAsia="仿宋_GB2312"/>
          <w:color w:val="000000"/>
          <w:sz w:val="32"/>
          <w:szCs w:val="32"/>
        </w:rPr>
        <w:t>万元,</w:t>
      </w:r>
      <w:r>
        <w:rPr>
          <w:rFonts w:hint="eastAsia" w:ascii="仿宋_GB2312" w:hAnsi="仿宋_GB2312" w:eastAsia="仿宋_GB2312" w:cs="仿宋_GB2312"/>
          <w:bCs/>
          <w:sz w:val="32"/>
          <w:szCs w:val="32"/>
        </w:rPr>
        <w:t>其中：一般公共预算财政拨款收入</w:t>
      </w:r>
      <w:r>
        <w:rPr>
          <w:rFonts w:ascii="仿宋_GB2312" w:hAnsi="仿宋" w:eastAsia="仿宋_GB2312"/>
          <w:sz w:val="32"/>
          <w:szCs w:val="32"/>
        </w:rPr>
        <w:t>1830.7</w:t>
      </w:r>
      <w:r>
        <w:rPr>
          <w:rFonts w:hint="eastAsia" w:ascii="仿宋_GB2312" w:hAnsi="仿宋_GB2312" w:eastAsia="仿宋_GB2312" w:cs="仿宋_GB2312"/>
          <w:bCs/>
          <w:sz w:val="32"/>
          <w:szCs w:val="32"/>
        </w:rPr>
        <w:t>万元。</w:t>
      </w:r>
    </w:p>
    <w:p>
      <w:pPr>
        <w:pStyle w:val="8"/>
        <w:spacing w:before="93"/>
        <w:ind w:firstLine="320" w:firstLineChars="100"/>
        <w:rPr>
          <w:rFonts w:ascii="楷体" w:hAnsi="楷体" w:eastAsia="楷体" w:cs="楷体"/>
        </w:rPr>
      </w:pPr>
      <w:r>
        <w:rPr>
          <w:rFonts w:hint="eastAsia" w:ascii="楷体" w:hAnsi="楷体" w:eastAsia="楷体" w:cs="楷体"/>
          <w:color w:val="000000"/>
          <w:sz w:val="32"/>
          <w:szCs w:val="32"/>
        </w:rPr>
        <w:t>（二）</w:t>
      </w:r>
      <w:r>
        <w:rPr>
          <w:rFonts w:hint="eastAsia" w:ascii="楷体" w:hAnsi="楷体" w:eastAsia="楷体" w:cs="楷体"/>
          <w:b/>
          <w:sz w:val="32"/>
          <w:szCs w:val="32"/>
        </w:rPr>
        <w:t>部门财政资金支出情况</w:t>
      </w:r>
    </w:p>
    <w:p>
      <w:pPr>
        <w:ind w:left="420" w:leftChars="200" w:firstLine="320" w:firstLineChars="100"/>
        <w:outlineLvl w:val="1"/>
        <w:rPr>
          <w:rFonts w:ascii="黑体" w:hAnsi="黑体" w:eastAsia="黑体" w:cs="黑体"/>
          <w:sz w:val="32"/>
          <w:szCs w:val="32"/>
        </w:rPr>
      </w:pPr>
      <w:bookmarkStart w:id="85" w:name="_Toc9444"/>
      <w:r>
        <w:rPr>
          <w:rFonts w:hint="eastAsia" w:ascii="黑体" w:hAnsi="黑体" w:eastAsia="黑体" w:cs="黑体"/>
          <w:sz w:val="32"/>
          <w:szCs w:val="32"/>
        </w:rPr>
        <w:t>三、部门财政支出管理情况</w:t>
      </w:r>
      <w:bookmarkEnd w:id="85"/>
    </w:p>
    <w:p>
      <w:pPr>
        <w:pStyle w:val="8"/>
        <w:numPr>
          <w:ilvl w:val="0"/>
          <w:numId w:val="2"/>
        </w:numPr>
        <w:spacing w:before="93"/>
        <w:ind w:left="420" w:leftChars="200"/>
        <w:rPr>
          <w:rFonts w:ascii="??_GB2312" w:hAnsi="宋体" w:eastAsia="Times New Roman" w:cs="宋体"/>
          <w:b/>
          <w:bCs/>
          <w:color w:val="000000"/>
          <w:sz w:val="32"/>
          <w:lang w:val="zh-CN"/>
        </w:rPr>
      </w:pPr>
      <w:r>
        <w:rPr>
          <w:rFonts w:hint="eastAsia" w:ascii="??_GB2312" w:hAnsi="宋体" w:eastAsia="Times New Roman" w:cs="宋体"/>
          <w:b/>
          <w:bCs/>
          <w:color w:val="000000"/>
          <w:sz w:val="32"/>
          <w:lang w:val="zh-CN"/>
        </w:rPr>
        <w:t>预算编制情况</w:t>
      </w:r>
    </w:p>
    <w:p>
      <w:pPr>
        <w:pStyle w:val="8"/>
        <w:spacing w:before="93"/>
        <w:rPr>
          <w:rFonts w:hAnsi="仿宋_GB2312" w:cs="仿宋_GB2312"/>
          <w:sz w:val="32"/>
          <w:szCs w:val="32"/>
        </w:rPr>
      </w:pPr>
      <w:r>
        <w:rPr>
          <w:rFonts w:hint="eastAsia" w:ascii="楷体" w:hAnsi="楷体" w:eastAsia="楷体" w:cs="楷体"/>
          <w:sz w:val="32"/>
          <w:szCs w:val="32"/>
        </w:rPr>
        <w:t xml:space="preserve">    </w:t>
      </w:r>
      <w:r>
        <w:rPr>
          <w:rFonts w:hint="eastAsia" w:hAnsi="仿宋_GB2312" w:cs="仿宋_GB2312"/>
          <w:sz w:val="32"/>
          <w:szCs w:val="32"/>
        </w:rPr>
        <w:t>按照县财政预算编制工作要求，我镇组织财务人员积极参与预算编制培训会，及时掌握预算编制口径等相关知识，结合单位工作实际，按照“两上两下”编制方式，全面、及时、完整地编制了单位预算，并经财政部门审核下达。</w:t>
      </w:r>
    </w:p>
    <w:p>
      <w:pPr>
        <w:pStyle w:val="8"/>
        <w:numPr>
          <w:ilvl w:val="0"/>
          <w:numId w:val="2"/>
        </w:numPr>
        <w:spacing w:before="93"/>
        <w:ind w:left="420" w:leftChars="200"/>
        <w:rPr>
          <w:rFonts w:ascii="??_GB2312" w:hAnsi="宋体" w:eastAsia="Times New Roman" w:cs="宋体"/>
          <w:b/>
          <w:bCs/>
          <w:color w:val="000000"/>
          <w:sz w:val="32"/>
          <w:lang w:val="zh-CN"/>
        </w:rPr>
      </w:pPr>
      <w:r>
        <w:rPr>
          <w:rFonts w:hint="eastAsia" w:ascii="??_GB2312" w:hAnsi="宋体" w:eastAsia="Times New Roman" w:cs="宋体"/>
          <w:b/>
          <w:bCs/>
          <w:color w:val="000000"/>
          <w:sz w:val="32"/>
          <w:lang w:val="zh-CN"/>
        </w:rPr>
        <w:t>执行管理情况</w:t>
      </w:r>
    </w:p>
    <w:p>
      <w:pPr>
        <w:pStyle w:val="8"/>
        <w:spacing w:before="93"/>
        <w:ind w:firstLine="640"/>
        <w:rPr>
          <w:rFonts w:hAnsi="仿宋_GB2312" w:cs="仿宋_GB2312"/>
          <w:sz w:val="32"/>
          <w:szCs w:val="32"/>
        </w:rPr>
      </w:pPr>
      <w:r>
        <w:rPr>
          <w:rFonts w:hint="eastAsia" w:hAnsi="仿宋_GB2312" w:cs="仿宋_GB2312"/>
          <w:sz w:val="32"/>
          <w:szCs w:val="32"/>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widowControl/>
        <w:adjustRightInd w:val="0"/>
        <w:snapToGrid w:val="0"/>
        <w:spacing w:line="576" w:lineRule="exact"/>
        <w:ind w:firstLine="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（三）综合管理情况</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预决算公开：</w:t>
      </w:r>
      <w:r>
        <w:rPr>
          <w:rFonts w:hint="eastAsia" w:ascii="仿宋_GB2312" w:hAnsi="仿宋_GB2312" w:eastAsia="仿宋_GB2312" w:cs="仿宋_GB2312"/>
          <w:bCs/>
          <w:kern w:val="2"/>
          <w:sz w:val="32"/>
          <w:szCs w:val="32"/>
          <w:lang w:val="zh-CN"/>
        </w:rPr>
        <w:t>2021年，我镇按照上级的要求，我镇在财政批复后</w:t>
      </w:r>
      <w:r>
        <w:rPr>
          <w:rFonts w:hint="eastAsia" w:ascii="仿宋_GB2312" w:hAnsi="仿宋_GB2312" w:eastAsia="仿宋_GB2312" w:cs="仿宋_GB2312"/>
          <w:bCs/>
          <w:kern w:val="2"/>
          <w:sz w:val="32"/>
          <w:szCs w:val="32"/>
        </w:rPr>
        <w:t>15</w:t>
      </w:r>
      <w:r>
        <w:rPr>
          <w:rFonts w:hint="eastAsia" w:ascii="仿宋_GB2312" w:hAnsi="仿宋_GB2312" w:eastAsia="仿宋_GB2312" w:cs="仿宋_GB2312"/>
          <w:bCs/>
          <w:kern w:val="2"/>
          <w:sz w:val="32"/>
          <w:szCs w:val="32"/>
          <w:lang w:val="zh-CN"/>
        </w:rPr>
        <w:t>日内在指定网站公开预决算信息。</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资产管理：</w:t>
      </w:r>
      <w:r>
        <w:rPr>
          <w:rFonts w:hint="eastAsia" w:ascii="仿宋_GB2312" w:hAnsi="仿宋_GB2312" w:eastAsia="仿宋_GB2312" w:cs="仿宋_GB2312"/>
          <w:bCs/>
          <w:kern w:val="2"/>
          <w:sz w:val="32"/>
          <w:szCs w:val="32"/>
          <w:lang w:val="zh-CN"/>
        </w:rPr>
        <w:t>乡机关建立了资产管理制度，组织开展资产盘点和清查，并就清查中发现的问题进行全面整改。</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内部管理制度建设情况：</w:t>
      </w:r>
      <w:r>
        <w:rPr>
          <w:rFonts w:hint="eastAsia" w:ascii="仿宋_GB2312" w:hAnsi="仿宋_GB2312" w:eastAsia="仿宋_GB2312" w:cs="仿宋_GB2312"/>
          <w:bCs/>
          <w:kern w:val="2"/>
          <w:sz w:val="32"/>
          <w:szCs w:val="32"/>
          <w:lang w:val="zh-CN"/>
        </w:rPr>
        <w:t>2021年以来，我镇制定了镇机关内部控制工作实施方案，并不断完善了“预算管理办法”、“合同管理制度”、“收支管理办法”、“资产管理制度”等一系列内部制度。</w:t>
      </w:r>
    </w:p>
    <w:p>
      <w:pPr>
        <w:pStyle w:val="16"/>
        <w:widowControl/>
        <w:shd w:val="clear" w:color="auto" w:fill="FFFFFF"/>
        <w:spacing w:line="576" w:lineRule="exact"/>
        <w:ind w:firstLine="643" w:firstLineChars="200"/>
        <w:rPr>
          <w:rFonts w:ascii="仿宋_GB2312" w:hAnsi="仿宋_GB2312" w:eastAsia="仿宋_GB2312" w:cs="仿宋_GB2312"/>
          <w:bCs/>
          <w:kern w:val="2"/>
          <w:sz w:val="32"/>
          <w:szCs w:val="32"/>
          <w:lang w:val="zh-CN"/>
        </w:rPr>
      </w:pPr>
      <w:r>
        <w:rPr>
          <w:rFonts w:hint="eastAsia" w:ascii="宋体" w:hAnsi="宋体" w:cs="宋体"/>
          <w:b/>
          <w:bCs/>
          <w:color w:val="000000"/>
          <w:sz w:val="32"/>
          <w:szCs w:val="32"/>
          <w:shd w:val="clear" w:color="auto" w:fill="FFFFFF"/>
        </w:rPr>
        <w:t>绩效评价：</w:t>
      </w:r>
      <w:r>
        <w:rPr>
          <w:rFonts w:hint="eastAsia" w:ascii="仿宋_GB2312" w:hAnsi="仿宋_GB2312" w:eastAsia="仿宋_GB2312" w:cs="仿宋_GB2312"/>
          <w:bCs/>
          <w:kern w:val="2"/>
          <w:sz w:val="32"/>
          <w:szCs w:val="32"/>
          <w:lang w:val="zh-CN"/>
        </w:rPr>
        <w:t>根据绩效评价的要求，我们成立了自评工作领导小组，对照自评方案进行研究和布署，按照自评方案的要求，对照各实施项目的内容逐条逐项自评。</w:t>
      </w:r>
    </w:p>
    <w:p>
      <w:pPr>
        <w:widowControl/>
        <w:adjustRightInd w:val="0"/>
        <w:snapToGrid w:val="0"/>
        <w:spacing w:line="576" w:lineRule="exact"/>
        <w:ind w:firstLine="640" w:firstLineChars="200"/>
        <w:jc w:val="left"/>
        <w:rPr>
          <w:rFonts w:ascii="??_GB2312" w:hAnsi="宋体" w:eastAsia="Times New Roman" w:cs="宋体"/>
          <w:b/>
          <w:bCs/>
          <w:color w:val="000000"/>
          <w:kern w:val="0"/>
          <w:sz w:val="32"/>
          <w:lang w:val="zh-CN"/>
        </w:rPr>
      </w:pPr>
      <w:r>
        <w:rPr>
          <w:rFonts w:hint="eastAsia" w:ascii="??_GB2312" w:hAnsi="宋体" w:eastAsia="Times New Roman" w:cs="宋体"/>
          <w:b/>
          <w:bCs/>
          <w:color w:val="000000"/>
          <w:kern w:val="0"/>
          <w:sz w:val="32"/>
          <w:lang w:val="zh-CN"/>
        </w:rPr>
        <w:t>（</w:t>
      </w:r>
      <w:r>
        <w:rPr>
          <w:rFonts w:hint="eastAsia" w:ascii="??_GB2312" w:hAnsi="宋体" w:cs="宋体"/>
          <w:b/>
          <w:bCs/>
          <w:color w:val="000000"/>
          <w:kern w:val="0"/>
          <w:sz w:val="32"/>
        </w:rPr>
        <w:t>四</w:t>
      </w:r>
      <w:r>
        <w:rPr>
          <w:rFonts w:hint="eastAsia" w:ascii="??_GB2312" w:hAnsi="宋体" w:eastAsia="Times New Roman" w:cs="宋体"/>
          <w:b/>
          <w:bCs/>
          <w:color w:val="000000"/>
          <w:kern w:val="0"/>
          <w:sz w:val="32"/>
          <w:lang w:val="zh-CN"/>
        </w:rPr>
        <w:t>）</w:t>
      </w:r>
      <w:r>
        <w:rPr>
          <w:rFonts w:ascii="??_GB2312" w:hAnsi="宋体" w:eastAsia="Times New Roman" w:cs="宋体"/>
          <w:b/>
          <w:bCs/>
          <w:color w:val="000000"/>
          <w:kern w:val="0"/>
          <w:sz w:val="32"/>
          <w:lang w:val="zh-CN"/>
        </w:rPr>
        <w:t>整体绩效</w:t>
      </w:r>
    </w:p>
    <w:p>
      <w:pPr>
        <w:pStyle w:val="16"/>
        <w:widowControl/>
        <w:shd w:val="clear" w:color="auto" w:fill="FFFFFF"/>
        <w:spacing w:line="576" w:lineRule="exact"/>
        <w:ind w:firstLine="640" w:firstLineChars="200"/>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lang w:val="zh-CN"/>
        </w:rPr>
        <w:t>从整体情况来看，我镇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p>
      <w:pPr>
        <w:pStyle w:val="16"/>
        <w:widowControl/>
        <w:shd w:val="clear" w:color="auto" w:fill="FFFFFF"/>
        <w:spacing w:line="576" w:lineRule="exact"/>
        <w:ind w:firstLine="643" w:firstLineChars="200"/>
        <w:outlineLvl w:val="1"/>
        <w:rPr>
          <w:rFonts w:ascii="仿宋_GB2312" w:hAnsi="仿宋_GB2312" w:eastAsia="仿宋_GB2312" w:cs="仿宋_GB2312"/>
          <w:b/>
          <w:kern w:val="2"/>
          <w:sz w:val="32"/>
          <w:szCs w:val="32"/>
          <w:lang w:val="zh-CN"/>
        </w:rPr>
      </w:pPr>
      <w:bookmarkStart w:id="86" w:name="_Toc28798"/>
      <w:r>
        <w:rPr>
          <w:rFonts w:hint="eastAsia" w:ascii="仿宋_GB2312" w:hAnsi="仿宋_GB2312" w:eastAsia="仿宋_GB2312" w:cs="仿宋_GB2312"/>
          <w:b/>
          <w:kern w:val="2"/>
          <w:sz w:val="32"/>
          <w:szCs w:val="32"/>
          <w:lang w:val="zh-CN"/>
        </w:rPr>
        <w:t>四、评价结论及建议</w:t>
      </w:r>
      <w:bookmarkEnd w:id="86"/>
    </w:p>
    <w:p>
      <w:pPr>
        <w:pStyle w:val="16"/>
        <w:widowControl/>
        <w:shd w:val="clear" w:color="auto" w:fill="FFFFFF"/>
        <w:spacing w:line="576" w:lineRule="exact"/>
        <w:ind w:firstLine="643" w:firstLineChars="200"/>
        <w:rPr>
          <w:rFonts w:ascii="仿宋_GB2312" w:hAnsi="仿宋_GB2312" w:eastAsia="仿宋_GB2312" w:cs="仿宋_GB2312"/>
          <w:b/>
          <w:kern w:val="2"/>
          <w:sz w:val="32"/>
          <w:szCs w:val="32"/>
          <w:lang w:val="zh-CN"/>
        </w:rPr>
      </w:pPr>
      <w:r>
        <w:rPr>
          <w:rFonts w:hint="eastAsia" w:ascii="仿宋_GB2312" w:hAnsi="仿宋_GB2312" w:eastAsia="仿宋_GB2312" w:cs="仿宋_GB2312"/>
          <w:b/>
          <w:kern w:val="2"/>
          <w:sz w:val="32"/>
          <w:szCs w:val="32"/>
          <w:lang w:val="zh-CN"/>
        </w:rPr>
        <w:t>（一）评价结论。</w:t>
      </w:r>
    </w:p>
    <w:p>
      <w:pPr>
        <w:pStyle w:val="16"/>
        <w:widowControl/>
        <w:shd w:val="clear" w:color="auto" w:fill="FFFFFF"/>
        <w:spacing w:line="576" w:lineRule="exact"/>
        <w:ind w:firstLine="640" w:firstLineChars="200"/>
        <w:rPr>
          <w:rFonts w:ascii="仿宋_GB2312" w:hAnsi="仿宋_GB2312" w:eastAsia="仿宋_GB2312" w:cs="仿宋_GB2312"/>
          <w:bCs/>
          <w:kern w:val="2"/>
          <w:sz w:val="32"/>
          <w:szCs w:val="32"/>
          <w:lang w:val="zh-CN"/>
        </w:rPr>
      </w:pPr>
      <w:r>
        <w:rPr>
          <w:rFonts w:hint="eastAsia" w:ascii="仿宋_GB2312" w:hAnsi="仿宋_GB2312" w:eastAsia="仿宋_GB2312" w:cs="仿宋_GB2312"/>
          <w:bCs/>
          <w:kern w:val="2"/>
          <w:sz w:val="32"/>
          <w:szCs w:val="32"/>
          <w:lang w:val="zh-CN"/>
        </w:rPr>
        <w:t>在自评过程发现问题，查找原因，及时纠正偏差，为下一步工作夯实基础。我镇评价得分</w:t>
      </w:r>
      <w:r>
        <w:rPr>
          <w:rFonts w:hint="eastAsia" w:ascii="仿宋_GB2312" w:hAnsi="仿宋_GB2312" w:eastAsia="仿宋_GB2312" w:cs="仿宋_GB2312"/>
          <w:bCs/>
          <w:kern w:val="2"/>
          <w:sz w:val="32"/>
          <w:szCs w:val="32"/>
        </w:rPr>
        <w:t>91</w:t>
      </w:r>
      <w:r>
        <w:rPr>
          <w:rFonts w:hint="eastAsia" w:ascii="仿宋_GB2312" w:hAnsi="仿宋_GB2312" w:eastAsia="仿宋_GB2312" w:cs="仿宋_GB2312"/>
          <w:bCs/>
          <w:kern w:val="2"/>
          <w:sz w:val="32"/>
          <w:szCs w:val="32"/>
          <w:lang w:val="zh-CN"/>
        </w:rPr>
        <w:t>分，整体评价良好，预算收入和支出相符。</w:t>
      </w:r>
    </w:p>
    <w:p>
      <w:pPr>
        <w:widowControl/>
        <w:adjustRightInd w:val="0"/>
        <w:snapToGrid w:val="0"/>
        <w:spacing w:line="576" w:lineRule="exact"/>
        <w:ind w:left="720"/>
        <w:jc w:val="left"/>
        <w:rPr>
          <w:rFonts w:ascii="??_GB2312" w:hAnsi="宋体" w:eastAsia="Times New Roman" w:cs="宋体"/>
          <w:b/>
          <w:bCs/>
          <w:color w:val="000000"/>
          <w:kern w:val="0"/>
          <w:sz w:val="32"/>
          <w:lang w:val="zh-CN"/>
        </w:rPr>
      </w:pPr>
      <w:r>
        <w:rPr>
          <w:rFonts w:ascii="??_GB2312" w:hAnsi="宋体" w:eastAsia="Times New Roman" w:cs="宋体"/>
          <w:b/>
          <w:bCs/>
          <w:color w:val="000000"/>
          <w:kern w:val="0"/>
          <w:sz w:val="32"/>
          <w:lang w:val="zh-CN"/>
        </w:rPr>
        <w:t>（二）存在问题。</w:t>
      </w:r>
    </w:p>
    <w:p>
      <w:pPr>
        <w:widowControl/>
        <w:adjustRightInd w:val="0"/>
        <w:snapToGrid w:val="0"/>
        <w:spacing w:line="480" w:lineRule="exact"/>
        <w:ind w:firstLine="640" w:firstLineChars="200"/>
        <w:jc w:val="left"/>
        <w:outlineLvl w:val="1"/>
        <w:rPr>
          <w:rFonts w:ascii="仿宋_GB2312" w:eastAsia="仿宋_GB2312"/>
          <w:color w:val="000000"/>
          <w:sz w:val="32"/>
          <w:szCs w:val="32"/>
        </w:rPr>
      </w:pPr>
      <w:bookmarkStart w:id="87" w:name="_Toc24448"/>
      <w:r>
        <w:rPr>
          <w:rFonts w:hint="eastAsia" w:ascii="仿宋_GB2312" w:eastAsia="仿宋_GB2312"/>
          <w:color w:val="000000"/>
          <w:sz w:val="32"/>
          <w:szCs w:val="32"/>
        </w:rPr>
        <w:t>一是预算编制先见性不足，与实际支出存在偏差；二是内控制度建立的不够健全、完善、责任划分不够明确；三是绩效目标设立不够明确、细化和量化。虽然设立了项目资金绩效目标，但目标不够明确、细化和量化。</w:t>
      </w:r>
      <w:bookmarkEnd w:id="87"/>
    </w:p>
    <w:p>
      <w:pPr>
        <w:widowControl/>
        <w:adjustRightInd w:val="0"/>
        <w:snapToGrid w:val="0"/>
        <w:spacing w:line="576" w:lineRule="exact"/>
        <w:ind w:left="720"/>
        <w:jc w:val="left"/>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（三）改进建议。</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是认真做好预算的编制，细化预算编制，二是进一步完善内部管理制度，提升管理效能，更好地履行职能职责，三是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rPr>
          <w:rStyle w:val="30"/>
          <w:rFonts w:ascii="黑体" w:hAnsi="黑体" w:eastAsia="黑体"/>
          <w:b w:val="0"/>
        </w:rPr>
      </w:pPr>
    </w:p>
    <w:p>
      <w:pPr>
        <w:spacing w:line="600" w:lineRule="exact"/>
        <w:jc w:val="center"/>
        <w:outlineLvl w:val="0"/>
        <w:rPr>
          <w:rStyle w:val="30"/>
          <w:rFonts w:ascii="黑体" w:hAnsi="黑体" w:eastAsia="黑体"/>
          <w:b w:val="0"/>
        </w:rPr>
      </w:pPr>
      <w:bookmarkStart w:id="88" w:name="_Toc10718"/>
      <w:bookmarkStart w:id="89"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79"/>
      <w:bookmarkEnd w:id="88"/>
      <w:bookmarkEnd w:id="89"/>
    </w:p>
    <w:p>
      <w:pPr>
        <w:pStyle w:val="4"/>
        <w:rPr>
          <w:rFonts w:ascii="仿宋" w:hAnsi="仿宋" w:eastAsia="仿宋"/>
          <w:color w:val="000000"/>
        </w:rPr>
      </w:pPr>
      <w:bookmarkStart w:id="90" w:name="_Toc15396619"/>
      <w:bookmarkStart w:id="91" w:name="_Toc8039"/>
      <w:r>
        <w:rPr>
          <w:rFonts w:hint="eastAsia" w:ascii="仿宋" w:hAnsi="仿宋" w:eastAsia="仿宋"/>
          <w:b w:val="0"/>
          <w:color w:val="000000"/>
        </w:rPr>
        <w:t>一、</w:t>
      </w:r>
      <w:bookmarkEnd w:id="90"/>
      <w:r>
        <w:rPr>
          <w:rFonts w:hint="eastAsia" w:ascii="仿宋" w:hAnsi="仿宋" w:eastAsia="仿宋"/>
          <w:b w:val="0"/>
          <w:color w:val="000000"/>
        </w:rPr>
        <w:t>收入支出决算总表</w:t>
      </w:r>
      <w:bookmarkEnd w:id="91"/>
    </w:p>
    <w:p>
      <w:pPr>
        <w:pStyle w:val="4"/>
        <w:rPr>
          <w:rFonts w:ascii="仿宋" w:hAnsi="仿宋" w:eastAsia="仿宋"/>
          <w:color w:val="000000"/>
        </w:rPr>
      </w:pPr>
      <w:bookmarkStart w:id="92" w:name="_Toc15396620"/>
      <w:bookmarkStart w:id="93" w:name="_Toc12316"/>
      <w:r>
        <w:rPr>
          <w:rFonts w:hint="eastAsia" w:ascii="仿宋" w:hAnsi="仿宋" w:eastAsia="仿宋"/>
          <w:b w:val="0"/>
          <w:color w:val="000000"/>
        </w:rPr>
        <w:t>二、</w:t>
      </w:r>
      <w:bookmarkEnd w:id="92"/>
      <w:r>
        <w:rPr>
          <w:rFonts w:hint="eastAsia" w:ascii="仿宋" w:hAnsi="仿宋" w:eastAsia="仿宋"/>
          <w:b w:val="0"/>
          <w:color w:val="000000"/>
        </w:rPr>
        <w:t>收入支出决算表</w:t>
      </w:r>
      <w:bookmarkEnd w:id="93"/>
    </w:p>
    <w:p>
      <w:pPr>
        <w:pStyle w:val="4"/>
        <w:rPr>
          <w:rFonts w:ascii="仿宋" w:hAnsi="仿宋" w:eastAsia="仿宋"/>
          <w:color w:val="000000"/>
        </w:rPr>
      </w:pPr>
      <w:bookmarkStart w:id="94" w:name="_Toc15396621"/>
      <w:bookmarkStart w:id="95" w:name="_Toc15102"/>
      <w:r>
        <w:rPr>
          <w:rStyle w:val="31"/>
          <w:rFonts w:hint="eastAsia" w:ascii="仿宋" w:hAnsi="仿宋" w:eastAsia="仿宋"/>
          <w:b w:val="0"/>
          <w:bCs w:val="0"/>
        </w:rPr>
        <w:t>三、</w:t>
      </w:r>
      <w:bookmarkEnd w:id="94"/>
      <w:r>
        <w:rPr>
          <w:rFonts w:hint="eastAsia" w:ascii="仿宋" w:hAnsi="仿宋" w:eastAsia="仿宋"/>
          <w:b w:val="0"/>
          <w:color w:val="000000"/>
        </w:rPr>
        <w:t>收入决算表</w:t>
      </w:r>
      <w:bookmarkEnd w:id="95"/>
    </w:p>
    <w:p>
      <w:pPr>
        <w:pStyle w:val="4"/>
        <w:rPr>
          <w:rFonts w:ascii="仿宋" w:hAnsi="仿宋" w:eastAsia="仿宋"/>
          <w:b w:val="0"/>
          <w:color w:val="000000"/>
        </w:rPr>
      </w:pPr>
      <w:bookmarkStart w:id="96" w:name="_Toc15396622"/>
      <w:bookmarkStart w:id="97" w:name="_Toc28805"/>
      <w:r>
        <w:rPr>
          <w:rStyle w:val="31"/>
          <w:rFonts w:hint="eastAsia" w:ascii="仿宋" w:hAnsi="仿宋" w:eastAsia="仿宋"/>
          <w:b w:val="0"/>
          <w:bCs w:val="0"/>
        </w:rPr>
        <w:t>四、</w:t>
      </w:r>
      <w:bookmarkEnd w:id="96"/>
      <w:r>
        <w:rPr>
          <w:rFonts w:hint="eastAsia" w:ascii="仿宋" w:hAnsi="仿宋" w:eastAsia="仿宋"/>
          <w:b w:val="0"/>
          <w:color w:val="000000"/>
        </w:rPr>
        <w:t>支出决算表</w:t>
      </w:r>
      <w:bookmarkEnd w:id="97"/>
    </w:p>
    <w:p>
      <w:pPr>
        <w:pStyle w:val="4"/>
        <w:rPr>
          <w:rStyle w:val="31"/>
          <w:rFonts w:ascii="仿宋" w:hAnsi="仿宋" w:eastAsia="仿宋"/>
          <w:b w:val="0"/>
          <w:bCs w:val="0"/>
        </w:rPr>
      </w:pPr>
      <w:bookmarkStart w:id="98" w:name="_Toc15396623"/>
      <w:bookmarkStart w:id="99" w:name="_Toc26078"/>
      <w:r>
        <w:rPr>
          <w:rStyle w:val="31"/>
          <w:rFonts w:hint="eastAsia" w:ascii="仿宋" w:hAnsi="仿宋" w:eastAsia="仿宋"/>
          <w:b w:val="0"/>
          <w:bCs w:val="0"/>
        </w:rPr>
        <w:t>五、</w:t>
      </w:r>
      <w:bookmarkEnd w:id="98"/>
      <w:bookmarkStart w:id="100" w:name="_Toc15396624"/>
      <w:r>
        <w:rPr>
          <w:rFonts w:hint="eastAsia" w:ascii="仿宋" w:hAnsi="仿宋" w:eastAsia="仿宋"/>
          <w:b w:val="0"/>
          <w:color w:val="000000"/>
        </w:rPr>
        <w:t>支出决算明细表</w:t>
      </w:r>
      <w:bookmarkEnd w:id="99"/>
    </w:p>
    <w:p>
      <w:pPr>
        <w:pStyle w:val="4"/>
        <w:rPr>
          <w:rFonts w:ascii="仿宋" w:hAnsi="仿宋" w:eastAsia="仿宋"/>
          <w:color w:val="000000"/>
        </w:rPr>
      </w:pPr>
      <w:bookmarkStart w:id="101" w:name="_Toc15033"/>
      <w:r>
        <w:rPr>
          <w:rStyle w:val="31"/>
          <w:rFonts w:hint="eastAsia" w:ascii="仿宋" w:hAnsi="仿宋" w:eastAsia="仿宋"/>
          <w:b w:val="0"/>
          <w:bCs w:val="0"/>
        </w:rPr>
        <w:t>六、</w:t>
      </w:r>
      <w:bookmarkEnd w:id="100"/>
      <w:r>
        <w:rPr>
          <w:rFonts w:hint="eastAsia" w:ascii="仿宋" w:hAnsi="仿宋" w:eastAsia="仿宋"/>
          <w:b w:val="0"/>
          <w:color w:val="000000"/>
        </w:rPr>
        <w:t>项目收入支出决算表</w:t>
      </w:r>
      <w:bookmarkEnd w:id="101"/>
    </w:p>
    <w:p>
      <w:pPr>
        <w:pStyle w:val="4"/>
        <w:rPr>
          <w:rFonts w:ascii="仿宋" w:hAnsi="仿宋" w:eastAsia="仿宋"/>
          <w:color w:val="000000"/>
        </w:rPr>
      </w:pPr>
      <w:bookmarkStart w:id="102" w:name="_Toc15396625"/>
      <w:bookmarkStart w:id="103" w:name="_Toc31078"/>
      <w:r>
        <w:rPr>
          <w:rStyle w:val="31"/>
          <w:rFonts w:hint="eastAsia" w:ascii="仿宋" w:hAnsi="仿宋" w:eastAsia="仿宋"/>
          <w:b w:val="0"/>
          <w:bCs w:val="0"/>
        </w:rPr>
        <w:t>七、</w:t>
      </w:r>
      <w:bookmarkEnd w:id="102"/>
      <w:r>
        <w:rPr>
          <w:rFonts w:hint="eastAsia" w:ascii="仿宋" w:hAnsi="仿宋" w:eastAsia="仿宋"/>
          <w:b w:val="0"/>
          <w:color w:val="000000"/>
        </w:rPr>
        <w:t>一般公共预算财政拨款收入支出决算表</w:t>
      </w:r>
      <w:bookmarkEnd w:id="103"/>
    </w:p>
    <w:p>
      <w:pPr>
        <w:pStyle w:val="4"/>
        <w:rPr>
          <w:rFonts w:ascii="仿宋" w:hAnsi="仿宋" w:eastAsia="仿宋"/>
          <w:b w:val="0"/>
          <w:color w:val="000000"/>
        </w:rPr>
      </w:pPr>
      <w:bookmarkStart w:id="104" w:name="_Toc15396626"/>
      <w:bookmarkStart w:id="105" w:name="_Toc12758"/>
      <w:r>
        <w:rPr>
          <w:rStyle w:val="31"/>
          <w:rFonts w:hint="eastAsia" w:ascii="仿宋" w:hAnsi="仿宋" w:eastAsia="仿宋"/>
          <w:b w:val="0"/>
          <w:bCs w:val="0"/>
        </w:rPr>
        <w:t>八、</w:t>
      </w:r>
      <w:bookmarkEnd w:id="104"/>
      <w:bookmarkStart w:id="106" w:name="_Toc15396627"/>
      <w:r>
        <w:rPr>
          <w:rFonts w:hint="eastAsia" w:ascii="仿宋" w:hAnsi="仿宋" w:eastAsia="仿宋"/>
          <w:b w:val="0"/>
          <w:color w:val="000000"/>
        </w:rPr>
        <w:t>一般公共预算财政拨款支出决算明细表</w:t>
      </w:r>
      <w:bookmarkEnd w:id="105"/>
    </w:p>
    <w:p>
      <w:pPr>
        <w:pStyle w:val="4"/>
        <w:rPr>
          <w:rFonts w:ascii="仿宋" w:hAnsi="仿宋" w:eastAsia="仿宋"/>
          <w:b w:val="0"/>
          <w:color w:val="000000"/>
        </w:rPr>
      </w:pPr>
      <w:bookmarkStart w:id="107" w:name="_Toc26252"/>
      <w:r>
        <w:rPr>
          <w:rStyle w:val="31"/>
          <w:rFonts w:hint="eastAsia" w:ascii="仿宋" w:hAnsi="仿宋" w:eastAsia="仿宋"/>
          <w:b w:val="0"/>
          <w:bCs w:val="0"/>
        </w:rPr>
        <w:t>九、</w:t>
      </w:r>
      <w:bookmarkEnd w:id="106"/>
      <w:bookmarkStart w:id="108" w:name="_Toc15396628"/>
      <w:r>
        <w:rPr>
          <w:rFonts w:hint="eastAsia" w:ascii="仿宋" w:hAnsi="仿宋" w:eastAsia="仿宋"/>
          <w:b w:val="0"/>
          <w:color w:val="000000"/>
        </w:rPr>
        <w:t>一般公共预算财政拨款基本支出决算明细表</w:t>
      </w:r>
      <w:bookmarkEnd w:id="107"/>
    </w:p>
    <w:p>
      <w:pPr>
        <w:pStyle w:val="4"/>
        <w:rPr>
          <w:rFonts w:ascii="仿宋" w:hAnsi="仿宋" w:eastAsia="仿宋"/>
          <w:color w:val="000000"/>
        </w:rPr>
      </w:pPr>
      <w:bookmarkStart w:id="109" w:name="_Toc15364"/>
      <w:r>
        <w:rPr>
          <w:rStyle w:val="31"/>
          <w:rFonts w:hint="eastAsia" w:ascii="仿宋" w:hAnsi="仿宋" w:eastAsia="仿宋"/>
          <w:b w:val="0"/>
          <w:bCs w:val="0"/>
        </w:rPr>
        <w:t>十、</w:t>
      </w:r>
      <w:bookmarkEnd w:id="108"/>
      <w:r>
        <w:rPr>
          <w:rFonts w:hint="eastAsia" w:ascii="仿宋" w:hAnsi="仿宋" w:eastAsia="仿宋"/>
          <w:b w:val="0"/>
          <w:color w:val="000000"/>
        </w:rPr>
        <w:t>一般公共预算财政拨款项目支出决算明细表</w:t>
      </w:r>
      <w:bookmarkEnd w:id="109"/>
    </w:p>
    <w:p>
      <w:pPr>
        <w:pStyle w:val="4"/>
        <w:rPr>
          <w:rFonts w:ascii="仿宋" w:hAnsi="仿宋" w:eastAsia="仿宋"/>
          <w:color w:val="000000"/>
        </w:rPr>
      </w:pPr>
      <w:bookmarkStart w:id="110" w:name="_Toc15396629"/>
      <w:bookmarkStart w:id="111" w:name="_Toc30658"/>
      <w:r>
        <w:rPr>
          <w:rStyle w:val="31"/>
          <w:rFonts w:hint="eastAsia" w:ascii="仿宋" w:hAnsi="仿宋" w:eastAsia="仿宋"/>
          <w:b w:val="0"/>
          <w:bCs w:val="0"/>
        </w:rPr>
        <w:t>十一、</w:t>
      </w:r>
      <w:bookmarkEnd w:id="110"/>
      <w:r>
        <w:rPr>
          <w:rFonts w:hint="eastAsia" w:ascii="仿宋" w:hAnsi="仿宋" w:eastAsia="仿宋"/>
          <w:b w:val="0"/>
          <w:color w:val="000000"/>
        </w:rPr>
        <w:t>预算支出相关信息表</w:t>
      </w:r>
      <w:bookmarkEnd w:id="111"/>
    </w:p>
    <w:p>
      <w:pPr>
        <w:pStyle w:val="4"/>
        <w:rPr>
          <w:rFonts w:ascii="仿宋" w:hAnsi="仿宋" w:eastAsia="仿宋"/>
          <w:color w:val="000000"/>
        </w:rPr>
      </w:pPr>
      <w:bookmarkStart w:id="112" w:name="_Toc15396630"/>
      <w:bookmarkStart w:id="113" w:name="_Toc2890"/>
      <w:r>
        <w:rPr>
          <w:rStyle w:val="31"/>
          <w:rFonts w:hint="eastAsia" w:ascii="仿宋" w:hAnsi="仿宋" w:eastAsia="仿宋"/>
          <w:b w:val="0"/>
          <w:bCs w:val="0"/>
        </w:rPr>
        <w:t>十二、</w:t>
      </w:r>
      <w:r>
        <w:rPr>
          <w:rFonts w:hint="eastAsia" w:ascii="仿宋" w:hAnsi="仿宋" w:eastAsia="仿宋"/>
          <w:b w:val="0"/>
          <w:color w:val="000000"/>
        </w:rPr>
        <w:t>基本数字表</w:t>
      </w:r>
      <w:bookmarkEnd w:id="112"/>
      <w:bookmarkEnd w:id="113"/>
    </w:p>
    <w:p>
      <w:pPr>
        <w:pStyle w:val="4"/>
        <w:rPr>
          <w:rFonts w:ascii="仿宋" w:hAnsi="仿宋" w:eastAsia="仿宋"/>
          <w:b w:val="0"/>
          <w:color w:val="000000"/>
        </w:rPr>
      </w:pPr>
      <w:bookmarkStart w:id="114" w:name="_Toc15396631"/>
      <w:bookmarkStart w:id="115" w:name="_Toc19167"/>
      <w:r>
        <w:rPr>
          <w:rStyle w:val="31"/>
          <w:rFonts w:hint="eastAsia" w:ascii="仿宋" w:hAnsi="仿宋" w:eastAsia="仿宋"/>
          <w:b w:val="0"/>
          <w:bCs w:val="0"/>
        </w:rPr>
        <w:t>十三、</w:t>
      </w:r>
      <w:bookmarkEnd w:id="114"/>
      <w:r>
        <w:rPr>
          <w:rFonts w:hint="eastAsia" w:ascii="仿宋" w:hAnsi="仿宋" w:eastAsia="仿宋"/>
          <w:b w:val="0"/>
          <w:color w:val="000000"/>
        </w:rPr>
        <w:t>机构运行信息表</w:t>
      </w:r>
      <w:bookmarkEnd w:id="115"/>
    </w:p>
    <w:p>
      <w:pPr>
        <w:pStyle w:val="6"/>
        <w:ind w:firstLine="0" w:firstLineChars="0"/>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7BcaMIBAACN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ycg1ILw7JCxc+smoI9RUDKdUGE0bldfgz3vJevqL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ewXGjCAQAAjQMAAA4AAAAAAAAAAQAgAAAAHgEAAGRycy9lMm9Eb2MueG1sUEsF&#10;BgAAAAAGAAYAWQEAAFIFAAAAAA==&#10;">
              <v:fill on="f" focussize="0,0"/>
              <v:stroke on="f"/>
              <v:imagedata o:title=""/>
              <o:lock v:ext="edit" aspectratio="f"/>
              <v:textbox inset="0mm,0mm,0mm,0mm" style="mso-fit-shape-to-text:t;">
                <w:txbxContent>
                  <w:sdt>
                    <w:sdtPr>
                      <w:id w:val="-1994781956"/>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9AF260"/>
    <w:multiLevelType w:val="singleLevel"/>
    <w:tmpl w:val="4D9AF260"/>
    <w:lvl w:ilvl="0" w:tentative="0">
      <w:start w:val="1"/>
      <w:numFmt w:val="chineseCounting"/>
      <w:suff w:val="nothing"/>
      <w:lvlText w:val="（%1）"/>
      <w:lvlJc w:val="left"/>
      <w:rPr>
        <w:rFonts w:hint="eastAsia"/>
        <w:lang w:val="en-US"/>
      </w:rPr>
    </w:lvl>
  </w:abstractNum>
  <w:abstractNum w:abstractNumId="1">
    <w:nsid w:val="579EF9E7"/>
    <w:multiLevelType w:val="singleLevel"/>
    <w:tmpl w:val="579EF9E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lNzlmZTI2OTg1M2JkZGEwMGZlNmZlNjVlNmM0N2QifQ=="/>
  </w:docVars>
  <w:rsids>
    <w:rsidRoot w:val="00F1361C"/>
    <w:rsid w:val="000222C6"/>
    <w:rsid w:val="0002549F"/>
    <w:rsid w:val="000468DB"/>
    <w:rsid w:val="0006487A"/>
    <w:rsid w:val="00065F8F"/>
    <w:rsid w:val="00070A43"/>
    <w:rsid w:val="000768F2"/>
    <w:rsid w:val="0009184B"/>
    <w:rsid w:val="00094236"/>
    <w:rsid w:val="0009593C"/>
    <w:rsid w:val="000964BD"/>
    <w:rsid w:val="00097322"/>
    <w:rsid w:val="000A6A92"/>
    <w:rsid w:val="000B047F"/>
    <w:rsid w:val="000B5923"/>
    <w:rsid w:val="000B5A48"/>
    <w:rsid w:val="000B6FF3"/>
    <w:rsid w:val="000C3467"/>
    <w:rsid w:val="000C3CA6"/>
    <w:rsid w:val="000D1267"/>
    <w:rsid w:val="000D1D50"/>
    <w:rsid w:val="000D5782"/>
    <w:rsid w:val="000D6DB8"/>
    <w:rsid w:val="000E3E56"/>
    <w:rsid w:val="000E6613"/>
    <w:rsid w:val="000E7119"/>
    <w:rsid w:val="00114E9B"/>
    <w:rsid w:val="00142216"/>
    <w:rsid w:val="00144D6A"/>
    <w:rsid w:val="0014729F"/>
    <w:rsid w:val="00157BAB"/>
    <w:rsid w:val="001654D1"/>
    <w:rsid w:val="00174518"/>
    <w:rsid w:val="0018106D"/>
    <w:rsid w:val="001877A7"/>
    <w:rsid w:val="00191536"/>
    <w:rsid w:val="00196687"/>
    <w:rsid w:val="001A43B3"/>
    <w:rsid w:val="001A5E20"/>
    <w:rsid w:val="001C0962"/>
    <w:rsid w:val="001D7531"/>
    <w:rsid w:val="001E06CA"/>
    <w:rsid w:val="001E737D"/>
    <w:rsid w:val="001F0592"/>
    <w:rsid w:val="001F7506"/>
    <w:rsid w:val="002006CD"/>
    <w:rsid w:val="00202B36"/>
    <w:rsid w:val="002043DE"/>
    <w:rsid w:val="00204B7A"/>
    <w:rsid w:val="00204CDE"/>
    <w:rsid w:val="002105A4"/>
    <w:rsid w:val="0021101A"/>
    <w:rsid w:val="00220536"/>
    <w:rsid w:val="00235629"/>
    <w:rsid w:val="00260C38"/>
    <w:rsid w:val="002616C0"/>
    <w:rsid w:val="00265372"/>
    <w:rsid w:val="002662AA"/>
    <w:rsid w:val="00280496"/>
    <w:rsid w:val="00294DC9"/>
    <w:rsid w:val="00295495"/>
    <w:rsid w:val="002A31DE"/>
    <w:rsid w:val="002A6800"/>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B7E3C"/>
    <w:rsid w:val="003C0291"/>
    <w:rsid w:val="003C39AE"/>
    <w:rsid w:val="003C3C4F"/>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C0DCA"/>
    <w:rsid w:val="004E0A2D"/>
    <w:rsid w:val="004E206B"/>
    <w:rsid w:val="004E6DF7"/>
    <w:rsid w:val="004F0FBD"/>
    <w:rsid w:val="004F403E"/>
    <w:rsid w:val="004F7315"/>
    <w:rsid w:val="00505A47"/>
    <w:rsid w:val="00512FDA"/>
    <w:rsid w:val="00520DA0"/>
    <w:rsid w:val="00532F25"/>
    <w:rsid w:val="005664BB"/>
    <w:rsid w:val="00566FFA"/>
    <w:rsid w:val="0057481D"/>
    <w:rsid w:val="00575F0B"/>
    <w:rsid w:val="0058486E"/>
    <w:rsid w:val="00585B33"/>
    <w:rsid w:val="0059014D"/>
    <w:rsid w:val="005B5895"/>
    <w:rsid w:val="005B5C64"/>
    <w:rsid w:val="005C6BD0"/>
    <w:rsid w:val="005C6C4C"/>
    <w:rsid w:val="005D1C8B"/>
    <w:rsid w:val="005D468D"/>
    <w:rsid w:val="005D5CED"/>
    <w:rsid w:val="005F1A4C"/>
    <w:rsid w:val="00605688"/>
    <w:rsid w:val="006070AF"/>
    <w:rsid w:val="00607E6C"/>
    <w:rsid w:val="006101B1"/>
    <w:rsid w:val="00614C7D"/>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04086"/>
    <w:rsid w:val="007127B7"/>
    <w:rsid w:val="0071798E"/>
    <w:rsid w:val="00722C0B"/>
    <w:rsid w:val="00727444"/>
    <w:rsid w:val="00727533"/>
    <w:rsid w:val="007416B6"/>
    <w:rsid w:val="00746F48"/>
    <w:rsid w:val="0075404D"/>
    <w:rsid w:val="0076182A"/>
    <w:rsid w:val="00767B7E"/>
    <w:rsid w:val="007770C3"/>
    <w:rsid w:val="00780498"/>
    <w:rsid w:val="00784D24"/>
    <w:rsid w:val="00785FBA"/>
    <w:rsid w:val="00786E4A"/>
    <w:rsid w:val="007875EB"/>
    <w:rsid w:val="00791CDB"/>
    <w:rsid w:val="0079426B"/>
    <w:rsid w:val="007A148F"/>
    <w:rsid w:val="007C183A"/>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13EA"/>
    <w:rsid w:val="008423A5"/>
    <w:rsid w:val="00850625"/>
    <w:rsid w:val="00853718"/>
    <w:rsid w:val="008546F1"/>
    <w:rsid w:val="00855221"/>
    <w:rsid w:val="00860645"/>
    <w:rsid w:val="00871F71"/>
    <w:rsid w:val="00872FD8"/>
    <w:rsid w:val="008736A0"/>
    <w:rsid w:val="00885AF4"/>
    <w:rsid w:val="008939CD"/>
    <w:rsid w:val="008B768C"/>
    <w:rsid w:val="008C4DB1"/>
    <w:rsid w:val="008C4EAF"/>
    <w:rsid w:val="008C5176"/>
    <w:rsid w:val="008C7FD0"/>
    <w:rsid w:val="008E1DE7"/>
    <w:rsid w:val="008E707C"/>
    <w:rsid w:val="008F0B46"/>
    <w:rsid w:val="00900B08"/>
    <w:rsid w:val="00902155"/>
    <w:rsid w:val="009023F8"/>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45DF4"/>
    <w:rsid w:val="00A52B13"/>
    <w:rsid w:val="00A56DF2"/>
    <w:rsid w:val="00A56E6E"/>
    <w:rsid w:val="00A67AB5"/>
    <w:rsid w:val="00A733B2"/>
    <w:rsid w:val="00A741C2"/>
    <w:rsid w:val="00A91760"/>
    <w:rsid w:val="00A93B00"/>
    <w:rsid w:val="00A93C21"/>
    <w:rsid w:val="00AB64C9"/>
    <w:rsid w:val="00AB68FC"/>
    <w:rsid w:val="00AC3C6A"/>
    <w:rsid w:val="00AD0F83"/>
    <w:rsid w:val="00AD5620"/>
    <w:rsid w:val="00AD656B"/>
    <w:rsid w:val="00AD7C1B"/>
    <w:rsid w:val="00AE16BA"/>
    <w:rsid w:val="00AE1EBE"/>
    <w:rsid w:val="00AF37A0"/>
    <w:rsid w:val="00B03C9D"/>
    <w:rsid w:val="00B060AE"/>
    <w:rsid w:val="00B10517"/>
    <w:rsid w:val="00B14E76"/>
    <w:rsid w:val="00B14EA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0238"/>
    <w:rsid w:val="00BF5BD6"/>
    <w:rsid w:val="00C0219F"/>
    <w:rsid w:val="00C03E31"/>
    <w:rsid w:val="00C30E69"/>
    <w:rsid w:val="00C33E72"/>
    <w:rsid w:val="00C354B2"/>
    <w:rsid w:val="00C35554"/>
    <w:rsid w:val="00C36FB4"/>
    <w:rsid w:val="00C42709"/>
    <w:rsid w:val="00C533CC"/>
    <w:rsid w:val="00C5751C"/>
    <w:rsid w:val="00C61BFC"/>
    <w:rsid w:val="00C62B85"/>
    <w:rsid w:val="00C65438"/>
    <w:rsid w:val="00C91CBB"/>
    <w:rsid w:val="00CB4E70"/>
    <w:rsid w:val="00CC09B6"/>
    <w:rsid w:val="00CC666F"/>
    <w:rsid w:val="00CD0A5D"/>
    <w:rsid w:val="00CD1E3F"/>
    <w:rsid w:val="00CE27E5"/>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6358A"/>
    <w:rsid w:val="00D70148"/>
    <w:rsid w:val="00D7035F"/>
    <w:rsid w:val="00DA634F"/>
    <w:rsid w:val="00DA65AC"/>
    <w:rsid w:val="00DB1913"/>
    <w:rsid w:val="00DB1C2C"/>
    <w:rsid w:val="00DC410D"/>
    <w:rsid w:val="00DC5A81"/>
    <w:rsid w:val="00DC68CA"/>
    <w:rsid w:val="00DC7CBA"/>
    <w:rsid w:val="00DD73B7"/>
    <w:rsid w:val="00DF28BC"/>
    <w:rsid w:val="00DF34B9"/>
    <w:rsid w:val="00DF7548"/>
    <w:rsid w:val="00E01053"/>
    <w:rsid w:val="00E07ACF"/>
    <w:rsid w:val="00E331A1"/>
    <w:rsid w:val="00E33202"/>
    <w:rsid w:val="00E336A9"/>
    <w:rsid w:val="00E463D5"/>
    <w:rsid w:val="00E472B1"/>
    <w:rsid w:val="00E50624"/>
    <w:rsid w:val="00E568DF"/>
    <w:rsid w:val="00E6108C"/>
    <w:rsid w:val="00E64269"/>
    <w:rsid w:val="00E66797"/>
    <w:rsid w:val="00E82267"/>
    <w:rsid w:val="00E853CE"/>
    <w:rsid w:val="00E867B6"/>
    <w:rsid w:val="00E87F08"/>
    <w:rsid w:val="00EA010F"/>
    <w:rsid w:val="00ED1B63"/>
    <w:rsid w:val="00ED3C1F"/>
    <w:rsid w:val="00ED4085"/>
    <w:rsid w:val="00ED420E"/>
    <w:rsid w:val="00ED6FBE"/>
    <w:rsid w:val="00EE1844"/>
    <w:rsid w:val="00EE2F57"/>
    <w:rsid w:val="00EF4C34"/>
    <w:rsid w:val="00EF77C6"/>
    <w:rsid w:val="00F05438"/>
    <w:rsid w:val="00F1361C"/>
    <w:rsid w:val="00F156F0"/>
    <w:rsid w:val="00F160C7"/>
    <w:rsid w:val="00F2408F"/>
    <w:rsid w:val="00F240E9"/>
    <w:rsid w:val="00F36D8F"/>
    <w:rsid w:val="00F407AB"/>
    <w:rsid w:val="00F417B1"/>
    <w:rsid w:val="00F45853"/>
    <w:rsid w:val="00F53DF8"/>
    <w:rsid w:val="00F602DF"/>
    <w:rsid w:val="00F754A1"/>
    <w:rsid w:val="00F81FD9"/>
    <w:rsid w:val="00F841AA"/>
    <w:rsid w:val="00F84A94"/>
    <w:rsid w:val="00F87E96"/>
    <w:rsid w:val="00F90B87"/>
    <w:rsid w:val="00FA23E8"/>
    <w:rsid w:val="00FA46D5"/>
    <w:rsid w:val="00FA6818"/>
    <w:rsid w:val="00FD3CC1"/>
    <w:rsid w:val="00FF1E02"/>
    <w:rsid w:val="00FF30B4"/>
    <w:rsid w:val="01D5680E"/>
    <w:rsid w:val="0A6F4298"/>
    <w:rsid w:val="10C055FF"/>
    <w:rsid w:val="16BB723D"/>
    <w:rsid w:val="17AF1D46"/>
    <w:rsid w:val="183500C9"/>
    <w:rsid w:val="1DA076DC"/>
    <w:rsid w:val="20836900"/>
    <w:rsid w:val="223D08AC"/>
    <w:rsid w:val="240371BF"/>
    <w:rsid w:val="29FD04D3"/>
    <w:rsid w:val="2C4A141C"/>
    <w:rsid w:val="2C673F57"/>
    <w:rsid w:val="319F7F4E"/>
    <w:rsid w:val="35C24C31"/>
    <w:rsid w:val="365340C6"/>
    <w:rsid w:val="37434CCD"/>
    <w:rsid w:val="3B162F0A"/>
    <w:rsid w:val="3BD45317"/>
    <w:rsid w:val="3D9301D1"/>
    <w:rsid w:val="44221C29"/>
    <w:rsid w:val="46596F2F"/>
    <w:rsid w:val="46C43FE0"/>
    <w:rsid w:val="49A465D6"/>
    <w:rsid w:val="49FB4B2E"/>
    <w:rsid w:val="4B1931D8"/>
    <w:rsid w:val="4D1646FD"/>
    <w:rsid w:val="4ECE2238"/>
    <w:rsid w:val="50506A35"/>
    <w:rsid w:val="51FD7221"/>
    <w:rsid w:val="57A70DE1"/>
    <w:rsid w:val="642A7FC1"/>
    <w:rsid w:val="65313523"/>
    <w:rsid w:val="67DB317E"/>
    <w:rsid w:val="68C3694D"/>
    <w:rsid w:val="6F3B504A"/>
    <w:rsid w:val="72734D90"/>
    <w:rsid w:val="72B33C76"/>
    <w:rsid w:val="733009D8"/>
    <w:rsid w:val="75161F2C"/>
    <w:rsid w:val="7A5C3C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Salutation"/>
    <w:basedOn w:val="1"/>
    <w:next w:val="1"/>
    <w:qFormat/>
    <w:uiPriority w:val="0"/>
    <w:pPr>
      <w:textAlignment w:val="baseline"/>
    </w:pPr>
    <w:rPr>
      <w:rFonts w:ascii="Calibri" w:hAnsi="Calibri"/>
      <w:szCs w:val="21"/>
    </w:rPr>
  </w:style>
  <w:style w:type="paragraph" w:styleId="6">
    <w:name w:val="Normal Indent"/>
    <w:basedOn w:val="1"/>
    <w:qFormat/>
    <w:uiPriority w:val="0"/>
    <w:pPr>
      <w:ind w:firstLine="420" w:firstLineChars="200"/>
    </w:pPr>
    <w:rPr>
      <w:rFonts w:ascii="Calibri" w:hAnsi="Calibri" w:cs="黑体"/>
    </w:rPr>
  </w:style>
  <w:style w:type="paragraph" w:styleId="7">
    <w:name w:val="toa heading"/>
    <w:basedOn w:val="1"/>
    <w:next w:val="1"/>
    <w:qFormat/>
    <w:uiPriority w:val="0"/>
    <w:pPr>
      <w:spacing w:before="120"/>
    </w:pPr>
    <w:rPr>
      <w:rFonts w:ascii="Arial" w:hAnsi="Arial"/>
      <w:sz w:val="24"/>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qFormat/>
    <w:uiPriority w:val="99"/>
    <w:pPr>
      <w:spacing w:after="120"/>
      <w:ind w:left="420" w:leftChars="200"/>
    </w:pPr>
    <w:rPr>
      <w:szCs w:val="2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next w:val="11"/>
    <w:qFormat/>
    <w:uiPriority w:val="0"/>
    <w:pPr>
      <w:jc w:val="left"/>
    </w:pPr>
    <w:rPr>
      <w:kern w:val="0"/>
      <w:sz w:val="24"/>
    </w:rPr>
  </w:style>
  <w:style w:type="paragraph" w:styleId="17">
    <w:name w:val="Body Text First Indent 2"/>
    <w:basedOn w:val="9"/>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1"/>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WPSOffice手动目录 1"/>
    <w:uiPriority w:val="0"/>
    <w:rPr>
      <w:rFonts w:ascii="Times New Roman" w:hAnsi="Times New Roman" w:eastAsia="宋体" w:cs="Times New Roman"/>
      <w:lang w:val="en-US" w:eastAsia="zh-CN" w:bidi="ar-SA"/>
    </w:rPr>
  </w:style>
  <w:style w:type="paragraph" w:customStyle="1" w:styleId="40">
    <w:name w:val="WPSOffice手动目录 2"/>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2021年各项收入占总收入的比重</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本年收入</c:v>
                </c:pt>
              </c:strCache>
            </c:strRef>
          </c:cat>
          <c:val>
            <c:numRef>
              <c:f>Sheet1!$B$2:$B$3</c:f>
              <c:numCache>
                <c:formatCode>#,##0.00</c:formatCode>
                <c:ptCount val="2"/>
                <c:pt idx="0">
                  <c:v>1830.7</c:v>
                </c:pt>
                <c:pt idx="1">
                  <c:v>1830.7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一般公共服务支出</c:v>
                </c:pt>
                <c:pt idx="1">
                  <c:v>其他支出</c:v>
                </c:pt>
              </c:strCache>
            </c:strRef>
          </c:cat>
          <c:val>
            <c:numRef>
              <c:f>Sheet1!$B$2:$B$3</c:f>
              <c:numCache>
                <c:formatCode>General</c:formatCode>
                <c:ptCount val="2"/>
                <c:pt idx="0">
                  <c:v>48.67</c:v>
                </c:pt>
                <c:pt idx="1">
                  <c:v>51.33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2167</Words>
  <Characters>12357</Characters>
  <Lines>102</Lines>
  <Paragraphs>28</Paragraphs>
  <TotalTime>216</TotalTime>
  <ScaleCrop>false</ScaleCrop>
  <LinksUpToDate>false</LinksUpToDate>
  <CharactersWithSpaces>14496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qzuser</cp:lastModifiedBy>
  <cp:lastPrinted>2020-07-23T02:58:00Z</cp:lastPrinted>
  <dcterms:modified xsi:type="dcterms:W3CDTF">2023-10-26T06:18:49Z</dcterms:modified>
  <dc:title>四川省***</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2B360B6DF48E444FBF355D5C6BD08695</vt:lpwstr>
  </property>
</Properties>
</file>