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60" w:lineRule="exact"/>
        <w:jc w:val="center"/>
        <w:outlineLvl w:val="9"/>
        <w:rPr>
          <w:rFonts w:ascii="方正小标宋简体" w:hAnsi="宋体" w:eastAsia="方正小标宋简体"/>
          <w:color w:val="000000"/>
          <w:sz w:val="72"/>
          <w:szCs w:val="72"/>
        </w:rPr>
      </w:pPr>
      <w:bookmarkStart w:id="0" w:name="_Toc15306267"/>
    </w:p>
    <w:p>
      <w:pPr>
        <w:pageBreakBefore w:val="0"/>
        <w:kinsoku/>
        <w:wordWrap/>
        <w:overflowPunct/>
        <w:topLinePunct w:val="0"/>
        <w:bidi w:val="0"/>
        <w:spacing w:line="560" w:lineRule="exact"/>
        <w:jc w:val="center"/>
        <w:outlineLvl w:val="9"/>
        <w:rPr>
          <w:rFonts w:ascii="方正小标宋简体" w:hAnsi="宋体" w:eastAsia="方正小标宋简体"/>
          <w:color w:val="000000"/>
          <w:sz w:val="72"/>
          <w:szCs w:val="72"/>
        </w:rPr>
      </w:pPr>
    </w:p>
    <w:p>
      <w:pPr>
        <w:pageBreakBefore w:val="0"/>
        <w:kinsoku/>
        <w:wordWrap/>
        <w:overflowPunct/>
        <w:topLinePunct w:val="0"/>
        <w:bidi w:val="0"/>
        <w:spacing w:line="560" w:lineRule="exact"/>
        <w:jc w:val="center"/>
        <w:outlineLvl w:val="9"/>
        <w:rPr>
          <w:rFonts w:ascii="方正小标宋简体" w:hAnsi="宋体" w:eastAsia="方正小标宋简体"/>
          <w:color w:val="000000"/>
          <w:sz w:val="72"/>
          <w:szCs w:val="72"/>
        </w:rPr>
      </w:pPr>
    </w:p>
    <w:p>
      <w:pPr>
        <w:pageBreakBefore w:val="0"/>
        <w:kinsoku/>
        <w:wordWrap/>
        <w:overflowPunct/>
        <w:topLinePunct w:val="0"/>
        <w:bidi w:val="0"/>
        <w:spacing w:line="560" w:lineRule="exact"/>
        <w:jc w:val="center"/>
        <w:outlineLvl w:val="9"/>
        <w:rPr>
          <w:rFonts w:ascii="方正小标宋简体" w:hAnsi="宋体" w:eastAsia="方正小标宋简体"/>
          <w:color w:val="000000"/>
          <w:sz w:val="72"/>
          <w:szCs w:val="72"/>
        </w:rPr>
      </w:pPr>
    </w:p>
    <w:p>
      <w:pPr>
        <w:bidi w:val="0"/>
        <w:jc w:val="center"/>
        <w:rPr>
          <w:rFonts w:hint="eastAsia" w:ascii="方正小标宋简体" w:hAnsi="方正小标宋简体" w:eastAsia="方正小标宋简体" w:cs="方正小标宋简体"/>
          <w:sz w:val="72"/>
          <w:szCs w:val="72"/>
        </w:rPr>
      </w:pPr>
      <w:bookmarkStart w:id="1" w:name="_Toc15377425"/>
      <w:bookmarkStart w:id="2" w:name="_Toc15396475"/>
      <w:bookmarkStart w:id="3" w:name="_Toc28015"/>
      <w:bookmarkStart w:id="4" w:name="_Toc15378441"/>
      <w:bookmarkStart w:id="5" w:name="_Toc15377193"/>
      <w:bookmarkStart w:id="6" w:name="_Toc15396597"/>
      <w:bookmarkStart w:id="7" w:name="_Toc12452"/>
      <w:r>
        <w:rPr>
          <w:rFonts w:hint="eastAsia" w:ascii="方正小标宋简体" w:hAnsi="方正小标宋简体" w:eastAsia="方正小标宋简体" w:cs="方正小标宋简体"/>
          <w:sz w:val="72"/>
          <w:szCs w:val="72"/>
        </w:rPr>
        <w:t>20</w:t>
      </w:r>
      <w:r>
        <w:rPr>
          <w:rFonts w:hint="eastAsia" w:ascii="方正小标宋简体" w:hAnsi="方正小标宋简体" w:eastAsia="方正小标宋简体" w:cs="方正小标宋简体"/>
          <w:sz w:val="72"/>
          <w:szCs w:val="72"/>
          <w:lang w:val="en-US" w:eastAsia="zh-CN"/>
        </w:rPr>
        <w:t>21</w:t>
      </w:r>
      <w:r>
        <w:rPr>
          <w:rFonts w:hint="eastAsia" w:ascii="方正小标宋简体" w:hAnsi="方正小标宋简体" w:eastAsia="方正小标宋简体" w:cs="方正小标宋简体"/>
          <w:sz w:val="72"/>
          <w:szCs w:val="72"/>
        </w:rPr>
        <w:t>年度</w:t>
      </w:r>
      <w:bookmarkEnd w:id="1"/>
      <w:bookmarkEnd w:id="2"/>
      <w:bookmarkEnd w:id="3"/>
      <w:bookmarkEnd w:id="4"/>
      <w:bookmarkEnd w:id="5"/>
      <w:bookmarkEnd w:id="6"/>
      <w:bookmarkEnd w:id="7"/>
    </w:p>
    <w:p>
      <w:pPr>
        <w:pageBreakBefore w:val="0"/>
        <w:kinsoku/>
        <w:wordWrap/>
        <w:overflowPunct/>
        <w:topLinePunct w:val="0"/>
        <w:bidi w:val="0"/>
        <w:adjustRightInd w:val="0"/>
        <w:snapToGrid w:val="0"/>
        <w:spacing w:line="240" w:lineRule="auto"/>
        <w:jc w:val="center"/>
        <w:outlineLvl w:val="0"/>
        <w:rPr>
          <w:rFonts w:hint="eastAsia" w:ascii="方正小标宋简体" w:hAnsi="方正小标宋简体" w:eastAsia="方正小标宋简体" w:cs="方正小标宋简体"/>
          <w:color w:val="000000"/>
          <w:sz w:val="72"/>
          <w:szCs w:val="72"/>
        </w:rPr>
      </w:pPr>
      <w:bookmarkStart w:id="8" w:name="_Toc9369"/>
      <w:bookmarkStart w:id="9" w:name="_Toc15396598"/>
      <w:bookmarkStart w:id="10" w:name="_Toc15377426"/>
      <w:bookmarkStart w:id="11" w:name="_Toc15377194"/>
      <w:bookmarkStart w:id="12" w:name="_Toc22638"/>
      <w:bookmarkStart w:id="13" w:name="_Toc15396476"/>
      <w:bookmarkStart w:id="14" w:name="_Toc15378442"/>
      <w:r>
        <w:rPr>
          <w:rFonts w:hint="eastAsia" w:ascii="方正小标宋简体" w:hAnsi="方正小标宋简体" w:eastAsia="方正小标宋简体" w:cs="方正小标宋简体"/>
          <w:color w:val="000000"/>
          <w:sz w:val="72"/>
          <w:szCs w:val="72"/>
        </w:rPr>
        <w:t>四川省阿坝州</w:t>
      </w:r>
      <w:bookmarkEnd w:id="8"/>
    </w:p>
    <w:p>
      <w:pPr>
        <w:pageBreakBefore w:val="0"/>
        <w:kinsoku/>
        <w:wordWrap/>
        <w:overflowPunct/>
        <w:topLinePunct w:val="0"/>
        <w:bidi w:val="0"/>
        <w:adjustRightInd w:val="0"/>
        <w:snapToGrid w:val="0"/>
        <w:spacing w:line="240" w:lineRule="auto"/>
        <w:jc w:val="center"/>
        <w:outlineLvl w:val="0"/>
        <w:rPr>
          <w:rFonts w:hint="eastAsia" w:ascii="方正小标宋简体" w:hAnsi="方正小标宋简体" w:eastAsia="方正小标宋简体" w:cs="方正小标宋简体"/>
          <w:color w:val="000000"/>
          <w:sz w:val="72"/>
          <w:szCs w:val="72"/>
        </w:rPr>
      </w:pPr>
      <w:bookmarkStart w:id="15" w:name="_Toc26911"/>
      <w:r>
        <w:rPr>
          <w:rFonts w:hint="eastAsia" w:ascii="方正小标宋简体" w:hAnsi="方正小标宋简体" w:eastAsia="方正小标宋简体" w:cs="方正小标宋简体"/>
          <w:color w:val="000000"/>
          <w:sz w:val="72"/>
          <w:szCs w:val="72"/>
          <w:lang w:eastAsia="zh-CN"/>
        </w:rPr>
        <w:t>红原县</w:t>
      </w:r>
      <w:bookmarkEnd w:id="0"/>
      <w:bookmarkStart w:id="16" w:name="_Toc15306268"/>
      <w:r>
        <w:rPr>
          <w:rFonts w:hint="eastAsia" w:ascii="方正小标宋简体" w:hAnsi="方正小标宋简体" w:eastAsia="方正小标宋简体" w:cs="方正小标宋简体"/>
          <w:color w:val="000000"/>
          <w:sz w:val="72"/>
          <w:szCs w:val="72"/>
          <w:lang w:eastAsia="zh-CN"/>
        </w:rPr>
        <w:t>水务局</w:t>
      </w:r>
      <w:r>
        <w:rPr>
          <w:rFonts w:hint="eastAsia" w:ascii="方正小标宋简体" w:hAnsi="方正小标宋简体" w:eastAsia="方正小标宋简体" w:cs="方正小标宋简体"/>
          <w:color w:val="000000"/>
          <w:sz w:val="72"/>
          <w:szCs w:val="72"/>
        </w:rPr>
        <w:t>部门决算</w:t>
      </w:r>
      <w:bookmarkEnd w:id="9"/>
      <w:bookmarkEnd w:id="10"/>
      <w:bookmarkEnd w:id="11"/>
      <w:bookmarkEnd w:id="12"/>
      <w:bookmarkEnd w:id="13"/>
      <w:bookmarkEnd w:id="14"/>
      <w:bookmarkEnd w:id="15"/>
      <w:bookmarkEnd w:id="16"/>
    </w:p>
    <w:p>
      <w:pPr>
        <w:pageBreakBefore w:val="0"/>
        <w:widowControl/>
        <w:kinsoku/>
        <w:wordWrap/>
        <w:overflowPunct/>
        <w:topLinePunct w:val="0"/>
        <w:bidi w:val="0"/>
        <w:spacing w:line="560" w:lineRule="exact"/>
        <w:jc w:val="center"/>
        <w:rPr>
          <w:rFonts w:ascii="方正小标宋简体" w:hAnsi="宋体" w:eastAsia="方正小标宋简体"/>
          <w:color w:val="000000"/>
          <w:sz w:val="36"/>
          <w:szCs w:val="36"/>
        </w:rPr>
      </w:pPr>
    </w:p>
    <w:p>
      <w:pPr>
        <w:pStyle w:val="18"/>
        <w:pageBreakBefore w:val="0"/>
        <w:kinsoku/>
        <w:wordWrap/>
        <w:overflowPunct/>
        <w:topLinePunct w:val="0"/>
        <w:bidi w:val="0"/>
        <w:spacing w:line="560" w:lineRule="exact"/>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bidi w:val="0"/>
        <w:spacing w:line="560" w:lineRule="exact"/>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line="560" w:lineRule="exact"/>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pageBreakBefore w:val="0"/>
        <w:kinsoku/>
        <w:wordWrap/>
        <w:overflowPunct/>
        <w:topLinePunct w:val="0"/>
        <w:autoSpaceDE w:val="0"/>
        <w:autoSpaceDN w:val="0"/>
        <w:bidi w:val="0"/>
        <w:adjustRightInd w:val="0"/>
        <w:spacing w:line="560" w:lineRule="exact"/>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pageBreakBefore w:val="0"/>
        <w:widowControl/>
        <w:kinsoku/>
        <w:wordWrap/>
        <w:overflowPunct/>
        <w:topLinePunct w:val="0"/>
        <w:bidi w:val="0"/>
        <w:spacing w:line="560" w:lineRule="exact"/>
        <w:jc w:val="center"/>
        <w:rPr>
          <w:rFonts w:ascii="方正小标宋简体" w:hAnsi="宋体" w:eastAsia="方正小标宋简体"/>
          <w:sz w:val="36"/>
          <w:szCs w:val="36"/>
        </w:rPr>
      </w:pPr>
    </w:p>
    <w:p>
      <w:pPr>
        <w:pageBreakBefore w:val="0"/>
        <w:widowControl/>
        <w:kinsoku/>
        <w:wordWrap/>
        <w:overflowPunct/>
        <w:topLinePunct w:val="0"/>
        <w:bidi w:val="0"/>
        <w:spacing w:line="560" w:lineRule="exact"/>
        <w:jc w:val="center"/>
        <w:rPr>
          <w:rFonts w:hint="eastAsia" w:ascii="黑体" w:hAnsi="黑体" w:eastAsia="黑体"/>
          <w:color w:val="000000"/>
          <w:sz w:val="48"/>
          <w:szCs w:val="48"/>
        </w:rPr>
      </w:pPr>
      <w:r>
        <w:rPr>
          <w:rFonts w:ascii="方正小标宋简体" w:hAnsi="宋体" w:eastAsia="方正小标宋简体"/>
          <w:sz w:val="36"/>
          <w:szCs w:val="36"/>
        </w:rPr>
        <w:br w:type="page"/>
      </w:r>
    </w:p>
    <w:p>
      <w:pPr>
        <w:spacing w:before="0" w:beforeLines="0" w:after="0" w:afterLines="0" w:line="240" w:lineRule="auto"/>
        <w:ind w:left="0" w:leftChars="0" w:right="0" w:rightChars="0" w:firstLine="0" w:firstLineChars="0"/>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r>
        <w:rPr>
          <w:rFonts w:hint="eastAsia" w:ascii="黑体" w:hAnsi="黑体" w:eastAsia="黑体"/>
          <w:color w:val="000000"/>
          <w:sz w:val="48"/>
          <w:szCs w:val="48"/>
        </w:rPr>
        <w:fldChar w:fldCharType="begin"/>
      </w:r>
      <w:r>
        <w:rPr>
          <w:rFonts w:hint="eastAsia" w:ascii="黑体" w:hAnsi="黑体" w:eastAsia="黑体"/>
          <w:color w:val="000000"/>
          <w:sz w:val="48"/>
          <w:szCs w:val="48"/>
        </w:rPr>
        <w:instrText xml:space="preserve">TOC \o "1-1" \h \u </w:instrText>
      </w:r>
      <w:r>
        <w:rPr>
          <w:rFonts w:hint="eastAsia" w:ascii="黑体" w:hAnsi="黑体" w:eastAsia="黑体"/>
          <w:color w:val="000000"/>
          <w:sz w:val="48"/>
          <w:szCs w:val="48"/>
        </w:rPr>
        <w:fldChar w:fldCharType="separate"/>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_Toc30415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
          <w:bCs/>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_Toc30415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_Toc18086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_Toc3164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_Toc31674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三、收入支出决算总体情况说明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_Toc31674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四、收入决算情况说明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_Toc9210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五、支出决算情况说明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_Toc9210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_Toc7656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六、财政拨款收入支出决算总体情况说明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_Toc7656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_Toc21945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七、一般公共预算财政拨款支出决算情况说明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_Toc21945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_Toc12264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八、一般公共预算财政拨款基本支出决算情况说明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_Toc12264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_Toc1317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九、“三公”经费财政拨款支出决算情况说明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_Toc24579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十、政府性基金预算支出决算情况说明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_Toc24579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_Toc28119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十一、国有资本经营预算支出决算情况说明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_Toc28119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_Toc7807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十二、其他重要事项的情况说明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_Toc7807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_Toc7626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
          <w:bCs/>
          <w:sz w:val="32"/>
          <w:szCs w:val="32"/>
          <w:lang w:val="en-US" w:eastAsia="zh-CN"/>
        </w:rPr>
        <w:t xml:space="preserve">第二部分 </w:t>
      </w:r>
      <w:r>
        <w:rPr>
          <w:rFonts w:hint="eastAsia" w:ascii="仿宋_GB2312" w:hAnsi="仿宋_GB2312" w:eastAsia="仿宋_GB2312" w:cs="仿宋_GB2312"/>
          <w:b/>
          <w:bCs/>
          <w:sz w:val="32"/>
          <w:szCs w:val="32"/>
          <w:lang w:eastAsia="zh-CN"/>
        </w:rPr>
        <w:t>绩效目标完成情况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_Toc19727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
          <w:bCs/>
          <w:sz w:val="32"/>
          <w:szCs w:val="32"/>
        </w:rPr>
        <w:t>第三部分 名</w:t>
      </w:r>
      <w:r>
        <w:rPr>
          <w:rFonts w:hint="eastAsia" w:ascii="仿宋_GB2312" w:hAnsi="仿宋_GB2312" w:eastAsia="仿宋_GB2312" w:cs="仿宋_GB2312"/>
          <w:b/>
          <w:bCs/>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_Toc21761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
          <w:bCs/>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_Toc21761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textAlignment w:val="auto"/>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_Toc25692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
          <w:bCs/>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_Toc25692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2"/>
        <w:pageBreakBefore w:val="0"/>
        <w:kinsoku/>
        <w:wordWrap/>
        <w:overflowPunct/>
        <w:topLinePunct w:val="0"/>
        <w:bidi w:val="0"/>
        <w:spacing w:line="560" w:lineRule="exact"/>
        <w:rPr>
          <w:rFonts w:hint="eastAsia" w:ascii="黑体" w:hAnsi="黑体" w:eastAsia="黑体"/>
          <w:color w:val="000000"/>
          <w:szCs w:val="48"/>
        </w:rPr>
      </w:pPr>
      <w:r>
        <w:rPr>
          <w:rFonts w:hint="eastAsia" w:ascii="黑体" w:hAnsi="黑体" w:eastAsia="黑体"/>
          <w:color w:val="000000"/>
          <w:szCs w:val="48"/>
        </w:rPr>
        <w:fldChar w:fldCharType="end"/>
      </w:r>
    </w:p>
    <w:p>
      <w:pPr>
        <w:pStyle w:val="2"/>
        <w:pageBreakBefore w:val="0"/>
        <w:kinsoku/>
        <w:wordWrap/>
        <w:overflowPunct/>
        <w:topLinePunct w:val="0"/>
        <w:bidi w:val="0"/>
        <w:spacing w:line="560" w:lineRule="exact"/>
        <w:rPr>
          <w:rFonts w:hint="eastAsia" w:ascii="黑体" w:hAnsi="黑体" w:eastAsia="黑体"/>
          <w:color w:val="000000"/>
          <w:szCs w:val="48"/>
        </w:rPr>
      </w:pPr>
    </w:p>
    <w:p>
      <w:pPr>
        <w:pStyle w:val="2"/>
        <w:pageBreakBefore w:val="0"/>
        <w:kinsoku/>
        <w:wordWrap/>
        <w:overflowPunct/>
        <w:topLinePunct w:val="0"/>
        <w:bidi w:val="0"/>
        <w:spacing w:line="560" w:lineRule="exact"/>
        <w:rPr>
          <w:rFonts w:hint="eastAsia" w:ascii="黑体" w:hAnsi="黑体" w:eastAsia="黑体"/>
          <w:color w:val="000000"/>
          <w:szCs w:val="48"/>
        </w:rPr>
      </w:pPr>
    </w:p>
    <w:p>
      <w:pPr>
        <w:pStyle w:val="2"/>
        <w:pageBreakBefore w:val="0"/>
        <w:kinsoku/>
        <w:wordWrap/>
        <w:overflowPunct/>
        <w:topLinePunct w:val="0"/>
        <w:bidi w:val="0"/>
        <w:spacing w:line="560" w:lineRule="exact"/>
        <w:rPr>
          <w:rFonts w:hint="eastAsia" w:ascii="黑体" w:hAnsi="黑体" w:eastAsia="黑体"/>
          <w:color w:val="000000"/>
          <w:szCs w:val="48"/>
        </w:rPr>
      </w:pPr>
    </w:p>
    <w:p>
      <w:pPr>
        <w:pageBreakBefore w:val="0"/>
        <w:kinsoku/>
        <w:wordWrap/>
        <w:overflowPunct/>
        <w:topLinePunct w:val="0"/>
        <w:bidi w:val="0"/>
        <w:spacing w:afterAutospacing="0" w:line="560" w:lineRule="exact"/>
        <w:jc w:val="center"/>
        <w:outlineLvl w:val="0"/>
        <w:rPr>
          <w:rStyle w:val="31"/>
          <w:rFonts w:hint="eastAsia" w:ascii="方正小标宋简体" w:hAnsi="方正小标宋简体" w:eastAsia="方正小标宋简体" w:cs="方正小标宋简体"/>
          <w:b w:val="0"/>
          <w:bCs w:val="0"/>
        </w:rPr>
      </w:pPr>
      <w:bookmarkStart w:id="17" w:name="_Toc5617"/>
      <w:bookmarkStart w:id="18" w:name="_Toc30415"/>
      <w:r>
        <w:rPr>
          <w:rStyle w:val="31"/>
          <w:rFonts w:hint="eastAsia" w:ascii="方正小标宋简体" w:hAnsi="方正小标宋简体" w:eastAsia="方正小标宋简体" w:cs="方正小标宋简体"/>
          <w:b w:val="0"/>
          <w:bCs w:val="0"/>
        </w:rPr>
        <w:t>第一部分 部门概况</w:t>
      </w:r>
      <w:bookmarkEnd w:id="17"/>
      <w:bookmarkEnd w:id="18"/>
    </w:p>
    <w:p>
      <w:pPr>
        <w:pStyle w:val="3"/>
        <w:pageBreakBefore w:val="0"/>
        <w:kinsoku/>
        <w:wordWrap/>
        <w:overflowPunct/>
        <w:topLinePunct w:val="0"/>
        <w:bidi w:val="0"/>
        <w:spacing w:before="0" w:beforeAutospacing="0" w:after="0" w:afterAutospacing="0" w:line="560" w:lineRule="exact"/>
        <w:ind w:firstLine="640" w:firstLineChars="200"/>
        <w:rPr>
          <w:rFonts w:hint="eastAsia" w:ascii="黑体" w:hAnsi="黑体" w:eastAsia="黑体" w:cs="黑体"/>
          <w:b w:val="0"/>
          <w:bCs w:val="0"/>
          <w:sz w:val="32"/>
          <w:szCs w:val="32"/>
          <w:lang w:val="en-US" w:eastAsia="zh-CN"/>
        </w:rPr>
      </w:pPr>
      <w:bookmarkStart w:id="19" w:name="_Toc15377197"/>
      <w:bookmarkStart w:id="20" w:name="_Toc15396600"/>
      <w:bookmarkStart w:id="21" w:name="_Toc17045"/>
      <w:bookmarkStart w:id="22" w:name="_Toc18086"/>
      <w:r>
        <w:rPr>
          <w:rFonts w:hint="eastAsia" w:ascii="黑体" w:hAnsi="黑体" w:eastAsia="黑体" w:cs="黑体"/>
          <w:b w:val="0"/>
          <w:bCs w:val="0"/>
          <w:sz w:val="32"/>
          <w:szCs w:val="32"/>
          <w:lang w:val="en-US" w:eastAsia="zh-CN"/>
        </w:rPr>
        <w:t>一、基本职能及主要工作</w:t>
      </w:r>
      <w:bookmarkEnd w:id="19"/>
      <w:bookmarkEnd w:id="20"/>
      <w:bookmarkEnd w:id="21"/>
      <w:bookmarkEnd w:id="22"/>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bookmarkStart w:id="23" w:name="_Toc15377198"/>
      <w:bookmarkStart w:id="24" w:name="_Toc15378445"/>
      <w:r>
        <w:rPr>
          <w:rFonts w:hint="eastAsia" w:ascii="楷体" w:hAnsi="楷体" w:eastAsia="楷体" w:cs="楷体"/>
        </w:rPr>
        <w:t>（一）主要职能</w:t>
      </w:r>
      <w:bookmarkEnd w:id="23"/>
      <w:bookmarkEnd w:id="24"/>
      <w:bookmarkStart w:id="25" w:name="_Toc15378446"/>
      <w:bookmarkStart w:id="26" w:name="_Toc15377199"/>
    </w:p>
    <w:p>
      <w:pPr>
        <w:keepNext w:val="0"/>
        <w:keepLines w:val="0"/>
        <w:pageBreakBefore w:val="0"/>
        <w:widowControl/>
        <w:numPr>
          <w:ilvl w:val="0"/>
          <w:numId w:val="0"/>
        </w:numPr>
        <w:suppressLineNumbers w:val="0"/>
        <w:tabs>
          <w:tab w:val="left" w:pos="0"/>
        </w:tabs>
        <w:kinsoku/>
        <w:wordWrap/>
        <w:overflowPunct/>
        <w:topLinePunct w:val="0"/>
        <w:bidi w:val="0"/>
        <w:spacing w:beforeAutospacing="0" w:line="560" w:lineRule="exact"/>
        <w:ind w:firstLine="640" w:firstLineChars="200"/>
      </w:pPr>
      <w:bookmarkStart w:id="27" w:name="_Toc31513"/>
      <w:r>
        <w:rPr>
          <w:rFonts w:hint="eastAsia" w:ascii="仿宋_GB2312" w:hAnsi="仿宋_GB2312" w:eastAsia="仿宋_GB2312" w:cs="仿宋_GB2312"/>
          <w:kern w:val="0"/>
          <w:sz w:val="32"/>
          <w:szCs w:val="32"/>
          <w:shd w:val="clear" w:fill="FFFFFF"/>
          <w:lang w:val="en-US" w:eastAsia="zh-CN" w:bidi="ar-SA"/>
        </w:rPr>
        <w:t>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行政执法工作；负责有关行政复议受理和行政诉讼应诉工作,组织实施地方农村水利管理工作；负责全县河道砂石管理；河、湖管理工作；负责全县水土保持预防监督、水土流失监测、水土流失综合治理工作；指导重点水土保持建设项目的实施;承办县委、县政府交办的其他事项。</w:t>
      </w:r>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r>
        <w:rPr>
          <w:rFonts w:hint="eastAsia" w:ascii="楷体" w:hAnsi="楷体" w:eastAsia="楷体" w:cs="楷体"/>
        </w:rPr>
        <w:t>（二）</w:t>
      </w:r>
      <w:r>
        <w:rPr>
          <w:rFonts w:hint="eastAsia" w:ascii="楷体" w:hAnsi="楷体" w:eastAsia="楷体" w:cs="楷体"/>
          <w:lang w:eastAsia="zh-CN"/>
        </w:rPr>
        <w:t>2021</w:t>
      </w:r>
      <w:r>
        <w:rPr>
          <w:rFonts w:hint="eastAsia" w:ascii="楷体" w:hAnsi="楷体" w:eastAsia="楷体" w:cs="楷体"/>
        </w:rPr>
        <w:t>年重点工作完成情况</w:t>
      </w:r>
      <w:bookmarkEnd w:id="25"/>
      <w:bookmarkEnd w:id="26"/>
      <w:bookmarkEnd w:id="27"/>
    </w:p>
    <w:p>
      <w:pPr>
        <w:pStyle w:val="5"/>
        <w:pageBreakBefore w:val="0"/>
        <w:kinsoku/>
        <w:wordWrap/>
        <w:overflowPunct/>
        <w:topLinePunct w:val="0"/>
        <w:bidi w:val="0"/>
        <w:spacing w:before="0" w:beforeAutospacing="0" w:after="0" w:afterAutospacing="0" w:line="560" w:lineRule="exact"/>
        <w:ind w:firstLine="643"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w:t>
      </w:r>
      <w:r>
        <w:rPr>
          <w:rFonts w:hint="eastAsia" w:ascii="仿宋_GB2312" w:hAnsi="仿宋_GB2312" w:eastAsia="仿宋_GB2312" w:cs="仿宋_GB2312"/>
          <w:lang w:val="en-US" w:eastAsia="zh-CN"/>
        </w:rPr>
        <w:t>重点项目推进工作</w:t>
      </w:r>
    </w:p>
    <w:p>
      <w:pPr>
        <w:keepNext w:val="0"/>
        <w:keepLines w:val="0"/>
        <w:pageBreakBefore w:val="0"/>
        <w:widowControl/>
        <w:suppressLineNumbers w:val="0"/>
        <w:kinsoku/>
        <w:wordWrap/>
        <w:overflowPunct/>
        <w:topLinePunct w:val="0"/>
        <w:bidi w:val="0"/>
        <w:spacing w:beforeAutospacing="0" w:line="560" w:lineRule="exact"/>
        <w:ind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今年我单位共计实施新续建项目9个，共计投入资金6850万元，项目总体推进情况较好。</w:t>
      </w:r>
    </w:p>
    <w:p>
      <w:pPr>
        <w:pStyle w:val="5"/>
        <w:pageBreakBefore w:val="0"/>
        <w:kinsoku/>
        <w:wordWrap/>
        <w:overflowPunct/>
        <w:topLinePunct w:val="0"/>
        <w:bidi w:val="0"/>
        <w:spacing w:before="0" w:beforeAutospacing="0" w:after="0" w:afterAutospacing="0" w:line="560" w:lineRule="exact"/>
        <w:ind w:firstLine="643"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2.新建项目推进情况</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（1）红原县雅克音乐牧场供水工程：项目总投资240万元，该项目已竣工验收并投入使用。</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（2）红原县月亮湾景区供水工程项目：项目总投资80万元，该项目已竣工验收并投入使用。</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（3）红原县邛溪镇热坤村产业道路维修项目：项目总投资500万元，该项目已竣工验收并投入使用。</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（4）红原县2021年农村饮水安全运行维护采购项目：项目总投资200万，运行维护单位分4个片区成立了维修维护服务队，常态化的对全县农村供水设施进行维护，对各乡镇反映的供水问题进行及时的维修。</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 xml:space="preserve">（5）哈曲麦洼乡滚塘村段防洪治理工程：项目总投资1876万元，截止目前该项目该项目已完成总工程量的35%。  </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（6）雅克音乐牧场、虎头山安多部落民族风情村及安曲镇防汛度汛应急工程、国省干道20处的河道疏浚项目：项目总投资200万元，该项目已竣工验收并投入使用。</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（7）色地镇新建取水枢纽及输水工程：项目总投资800万元，该项目已竣工验收并交付使用。</w:t>
      </w:r>
    </w:p>
    <w:p>
      <w:pPr>
        <w:pStyle w:val="5"/>
        <w:pageBreakBefore w:val="0"/>
        <w:kinsoku/>
        <w:wordWrap/>
        <w:overflowPunct/>
        <w:topLinePunct w:val="0"/>
        <w:bidi w:val="0"/>
        <w:spacing w:before="0" w:beforeAutospacing="0" w:after="0" w:afterAutospacing="0" w:line="560" w:lineRule="exact"/>
        <w:ind w:firstLine="643"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3.续建项目</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_GB2312" w:hAnsi="仿宋_GB2312" w:eastAsia="仿宋_GB2312" w:cs="仿宋_GB2312"/>
          <w:kern w:val="0"/>
          <w:sz w:val="32"/>
          <w:szCs w:val="32"/>
          <w:shd w:val="clear" w:fill="FFFFFF"/>
          <w:lang w:val="en-US" w:eastAsia="zh-CN" w:bidi="ar-SA"/>
        </w:rPr>
      </w:pPr>
      <w:r>
        <w:rPr>
          <w:rFonts w:hint="eastAsia" w:ascii="仿宋_GB2312" w:hAnsi="仿宋_GB2312" w:eastAsia="仿宋_GB2312" w:cs="仿宋_GB2312"/>
          <w:kern w:val="0"/>
          <w:sz w:val="32"/>
          <w:szCs w:val="32"/>
          <w:shd w:val="clear" w:fill="FFFFFF"/>
          <w:lang w:val="en-US" w:eastAsia="zh-CN" w:bidi="ar-SA"/>
        </w:rPr>
        <w:t>（1）红原县查尔玛乡日阿曲防洪治理工程：项目总投资1760万元，该项目已竣工验收并交付使用。</w:t>
      </w:r>
    </w:p>
    <w:p>
      <w:pPr>
        <w:keepNext w:val="0"/>
        <w:keepLines w:val="0"/>
        <w:pageBreakBefore w:val="0"/>
        <w:widowControl/>
        <w:suppressLineNumbers w:val="0"/>
        <w:kinsoku/>
        <w:wordWrap/>
        <w:overflowPunct/>
        <w:topLinePunct w:val="0"/>
        <w:bidi w:val="0"/>
        <w:spacing w:line="560" w:lineRule="exact"/>
        <w:ind w:left="0" w:firstLine="640" w:firstLineChars="200"/>
        <w:rPr>
          <w:rFonts w:hint="eastAsia" w:ascii="仿宋" w:hAnsi="仿宋" w:eastAsia="仿宋"/>
          <w:bCs/>
          <w:color w:val="000000"/>
          <w:sz w:val="32"/>
          <w:szCs w:val="32"/>
        </w:rPr>
      </w:pPr>
      <w:r>
        <w:rPr>
          <w:rFonts w:hint="eastAsia" w:ascii="仿宋_GB2312" w:hAnsi="仿宋_GB2312" w:eastAsia="仿宋_GB2312" w:cs="仿宋_GB2312"/>
          <w:kern w:val="0"/>
          <w:sz w:val="32"/>
          <w:szCs w:val="32"/>
          <w:shd w:val="clear" w:fill="FFFFFF"/>
          <w:lang w:val="en-US" w:eastAsia="zh-CN" w:bidi="ar-SA"/>
        </w:rPr>
        <w:t>（2）红原县滨河路延伸段堤防工程：项目总投资1194万元，该项目已完工验收并交付使用。</w:t>
      </w:r>
    </w:p>
    <w:p>
      <w:pPr>
        <w:pStyle w:val="3"/>
        <w:pageBreakBefore w:val="0"/>
        <w:kinsoku/>
        <w:wordWrap/>
        <w:overflowPunct/>
        <w:topLinePunct w:val="0"/>
        <w:bidi w:val="0"/>
        <w:spacing w:before="0" w:beforeAutospacing="0" w:after="0" w:afterAutospacing="0" w:line="560" w:lineRule="exact"/>
        <w:ind w:firstLine="640" w:firstLineChars="200"/>
        <w:rPr>
          <w:rFonts w:hint="eastAsia" w:ascii="黑体" w:hAnsi="黑体" w:eastAsia="黑体" w:cs="黑体"/>
          <w:b w:val="0"/>
          <w:bCs w:val="0"/>
          <w:sz w:val="32"/>
          <w:szCs w:val="32"/>
          <w:lang w:val="en-US" w:eastAsia="zh-CN"/>
        </w:rPr>
      </w:pPr>
      <w:bookmarkStart w:id="28" w:name="_Toc11021"/>
      <w:bookmarkStart w:id="29" w:name="_Toc15377200"/>
      <w:bookmarkStart w:id="30" w:name="_Toc15396601"/>
      <w:bookmarkStart w:id="31" w:name="_Toc3164"/>
      <w:r>
        <w:rPr>
          <w:rFonts w:hint="eastAsia" w:ascii="黑体" w:hAnsi="黑体" w:eastAsia="黑体" w:cs="黑体"/>
          <w:b w:val="0"/>
          <w:bCs w:val="0"/>
          <w:sz w:val="32"/>
          <w:szCs w:val="32"/>
          <w:lang w:val="en-US" w:eastAsia="zh-CN"/>
        </w:rPr>
        <w:t>二、机构设置</w:t>
      </w:r>
      <w:bookmarkEnd w:id="28"/>
      <w:bookmarkEnd w:id="29"/>
      <w:bookmarkEnd w:id="30"/>
      <w:bookmarkEnd w:id="31"/>
    </w:p>
    <w:p>
      <w:pPr>
        <w:pStyle w:val="2"/>
        <w:pageBreakBefore w:val="0"/>
        <w:kinsoku/>
        <w:wordWrap/>
        <w:overflowPunct/>
        <w:topLinePunct w:val="0"/>
        <w:bidi w:val="0"/>
        <w:adjustRightInd w:val="0"/>
        <w:snapToGrid w:val="0"/>
        <w:spacing w:beforeLines="0" w:line="560" w:lineRule="exact"/>
        <w:ind w:firstLine="640" w:firstLineChars="200"/>
        <w:rPr>
          <w:rFonts w:hint="eastAsia" w:ascii="仿宋_GB2312" w:hAnsi="仿宋_GB2312" w:eastAsia="仿宋_GB2312" w:cs="仿宋_GB2312"/>
          <w:sz w:val="32"/>
          <w:szCs w:val="32"/>
        </w:rPr>
      </w:pPr>
      <w:bookmarkStart w:id="32" w:name="_Toc15396603"/>
      <w:bookmarkStart w:id="33" w:name="_Toc3241"/>
      <w:bookmarkStart w:id="34" w:name="_Toc15377205"/>
      <w:r>
        <w:rPr>
          <w:rFonts w:hint="eastAsia" w:ascii="仿宋_GB2312" w:hAnsi="仿宋_GB2312" w:eastAsia="仿宋_GB2312" w:cs="仿宋_GB2312"/>
          <w:kern w:val="0"/>
          <w:sz w:val="32"/>
          <w:szCs w:val="32"/>
          <w:shd w:val="clear" w:fill="FFFFFF"/>
          <w:lang w:eastAsia="zh-CN"/>
        </w:rPr>
        <w:t>水务局下设单位（股室）</w:t>
      </w:r>
      <w:r>
        <w:rPr>
          <w:rFonts w:hint="eastAsia" w:ascii="仿宋_GB2312" w:hAnsi="仿宋_GB2312" w:eastAsia="仿宋_GB2312" w:cs="仿宋_GB2312"/>
          <w:kern w:val="0"/>
          <w:sz w:val="32"/>
          <w:szCs w:val="32"/>
          <w:shd w:val="clear" w:fill="FFFFFF"/>
          <w:lang w:val="en-US" w:eastAsia="zh-CN"/>
        </w:rPr>
        <w:t>2</w:t>
      </w:r>
      <w:r>
        <w:rPr>
          <w:rFonts w:hint="eastAsia" w:ascii="仿宋_GB2312" w:hAnsi="仿宋_GB2312" w:eastAsia="仿宋_GB2312" w:cs="仿宋_GB2312"/>
          <w:kern w:val="0"/>
          <w:sz w:val="32"/>
          <w:szCs w:val="32"/>
          <w:shd w:val="clear" w:fill="FFFFFF"/>
        </w:rPr>
        <w:t>个，其中行政单位</w:t>
      </w:r>
      <w:r>
        <w:rPr>
          <w:rFonts w:hint="eastAsia" w:ascii="仿宋_GB2312" w:hAnsi="仿宋_GB2312" w:eastAsia="仿宋_GB2312" w:cs="仿宋_GB2312"/>
          <w:kern w:val="0"/>
          <w:sz w:val="32"/>
          <w:szCs w:val="32"/>
          <w:shd w:val="clear" w:fill="FFFFFF"/>
          <w:lang w:val="en-US" w:eastAsia="zh-CN"/>
        </w:rPr>
        <w:t>1</w:t>
      </w:r>
      <w:r>
        <w:rPr>
          <w:rFonts w:hint="eastAsia" w:ascii="仿宋_GB2312" w:hAnsi="仿宋_GB2312" w:eastAsia="仿宋_GB2312" w:cs="仿宋_GB2312"/>
          <w:kern w:val="0"/>
          <w:sz w:val="32"/>
          <w:szCs w:val="32"/>
          <w:shd w:val="clear" w:fill="FFFFFF"/>
        </w:rPr>
        <w:t>个，参照公务员法管理的事业单位</w:t>
      </w:r>
      <w:r>
        <w:rPr>
          <w:rFonts w:hint="eastAsia" w:ascii="仿宋_GB2312" w:hAnsi="仿宋_GB2312" w:eastAsia="仿宋_GB2312" w:cs="仿宋_GB2312"/>
          <w:kern w:val="0"/>
          <w:sz w:val="32"/>
          <w:szCs w:val="32"/>
          <w:shd w:val="clear" w:fill="FFFFFF"/>
          <w:lang w:val="en-US" w:eastAsia="zh-CN"/>
        </w:rPr>
        <w:t>1</w:t>
      </w:r>
      <w:r>
        <w:rPr>
          <w:rFonts w:hint="eastAsia" w:ascii="仿宋_GB2312" w:hAnsi="仿宋_GB2312" w:eastAsia="仿宋_GB2312" w:cs="仿宋_GB2312"/>
          <w:kern w:val="0"/>
          <w:sz w:val="32"/>
          <w:szCs w:val="32"/>
          <w:shd w:val="clear" w:fill="FFFFFF"/>
        </w:rPr>
        <w:t>个，</w:t>
      </w:r>
      <w:r>
        <w:rPr>
          <w:rFonts w:hint="eastAsia" w:ascii="仿宋_GB2312" w:hAnsi="仿宋_GB2312" w:eastAsia="仿宋_GB2312" w:cs="仿宋_GB2312"/>
          <w:kern w:val="0"/>
          <w:sz w:val="32"/>
          <w:szCs w:val="32"/>
          <w:shd w:val="clear" w:fill="FFFFFF"/>
          <w:lang w:eastAsia="zh-CN"/>
        </w:rPr>
        <w:t>分别是：水务局内设机构综合办公室</w:t>
      </w:r>
      <w:r>
        <w:rPr>
          <w:rFonts w:hint="eastAsia" w:ascii="仿宋_GB2312" w:hAnsi="仿宋_GB2312" w:eastAsia="仿宋_GB2312" w:cs="仿宋_GB2312"/>
          <w:kern w:val="0"/>
          <w:sz w:val="32"/>
          <w:szCs w:val="32"/>
          <w:shd w:val="clear" w:fill="FFFFFF"/>
          <w:lang w:val="en-US" w:eastAsia="zh-CN"/>
        </w:rPr>
        <w:t>;</w:t>
      </w:r>
      <w:r>
        <w:rPr>
          <w:rFonts w:hint="eastAsia" w:ascii="仿宋_GB2312" w:hAnsi="仿宋_GB2312" w:eastAsia="仿宋_GB2312" w:cs="仿宋_GB2312"/>
          <w:kern w:val="0"/>
          <w:sz w:val="32"/>
          <w:szCs w:val="32"/>
          <w:shd w:val="clear" w:fill="FFFFFF"/>
          <w:lang w:eastAsia="zh-CN"/>
        </w:rPr>
        <w:t>水务局</w:t>
      </w:r>
      <w:r>
        <w:rPr>
          <w:rFonts w:hint="eastAsia" w:ascii="仿宋_GB2312" w:hAnsi="仿宋_GB2312" w:eastAsia="仿宋_GB2312" w:cs="仿宋_GB2312"/>
          <w:kern w:val="0"/>
          <w:sz w:val="32"/>
          <w:szCs w:val="32"/>
          <w:shd w:val="clear" w:fill="FFFFFF"/>
        </w:rPr>
        <w:t>所属事业单位</w:t>
      </w:r>
      <w:r>
        <w:rPr>
          <w:rFonts w:hint="eastAsia" w:ascii="仿宋_GB2312" w:hAnsi="仿宋_GB2312" w:eastAsia="仿宋_GB2312" w:cs="仿宋_GB2312"/>
          <w:kern w:val="0"/>
          <w:sz w:val="32"/>
          <w:szCs w:val="32"/>
          <w:shd w:val="clear" w:fill="FFFFFF"/>
          <w:lang w:eastAsia="zh-CN"/>
        </w:rPr>
        <w:t>水务服务中心。</w:t>
      </w:r>
      <w:r>
        <w:rPr>
          <w:rFonts w:hint="eastAsia" w:ascii="仿宋_GB2312" w:hAnsi="仿宋_GB2312" w:eastAsia="仿宋_GB2312" w:cs="仿宋_GB2312"/>
          <w:kern w:val="0"/>
          <w:sz w:val="32"/>
          <w:szCs w:val="32"/>
          <w:shd w:val="clear" w:fill="FFFFFF"/>
        </w:rPr>
        <w:t>本单位本年度年末实有人数为19人，比上年增加-1人；年末实有离退休人数为0人，比上年增加0人；变动情况及原因为2021年退休两人，调入一人。年末实有其他人数为0人，比上年增加0人。</w:t>
      </w:r>
    </w:p>
    <w:p>
      <w:pPr>
        <w:pStyle w:val="3"/>
        <w:pageBreakBefore w:val="0"/>
        <w:kinsoku/>
        <w:wordWrap/>
        <w:overflowPunct/>
        <w:topLinePunct w:val="0"/>
        <w:bidi w:val="0"/>
        <w:spacing w:before="0" w:beforeAutospacing="0" w:after="0" w:afterAutospacing="0" w:line="560" w:lineRule="exact"/>
        <w:ind w:firstLine="640" w:firstLineChars="200"/>
        <w:rPr>
          <w:rFonts w:hint="eastAsia" w:ascii="黑体" w:hAnsi="黑体" w:eastAsia="黑体" w:cs="黑体"/>
          <w:b w:val="0"/>
          <w:bCs w:val="0"/>
          <w:sz w:val="32"/>
          <w:szCs w:val="32"/>
          <w:lang w:val="en-US" w:eastAsia="zh-CN"/>
        </w:rPr>
      </w:pPr>
      <w:bookmarkStart w:id="35" w:name="_Toc31674"/>
      <w:r>
        <w:rPr>
          <w:rFonts w:hint="eastAsia" w:ascii="黑体" w:hAnsi="黑体" w:eastAsia="黑体" w:cs="黑体"/>
          <w:b w:val="0"/>
          <w:bCs w:val="0"/>
          <w:sz w:val="32"/>
          <w:szCs w:val="32"/>
          <w:lang w:val="en-US" w:eastAsia="zh-CN"/>
        </w:rPr>
        <w:t>三、收入支出决算总体情况说明</w:t>
      </w:r>
      <w:bookmarkEnd w:id="32"/>
      <w:bookmarkEnd w:id="33"/>
      <w:bookmarkEnd w:id="34"/>
      <w:bookmarkEnd w:id="35"/>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2021</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lang w:eastAsia="zh-CN"/>
        </w:rPr>
        <w:t>收入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4281.68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，支出总计</w:t>
      </w:r>
      <w:r>
        <w:rPr>
          <w:rFonts w:hint="eastAsia" w:ascii="仿宋_GB2312" w:hAnsi="仿宋_GB2312" w:eastAsia="仿宋_GB2312" w:cs="仿宋_GB2312"/>
          <w:color w:val="000000"/>
          <w:sz w:val="32"/>
          <w:szCs w:val="32"/>
          <w:lang w:val="en-US" w:eastAsia="zh-CN"/>
        </w:rPr>
        <w:t>4281.68</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2441.06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36.3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，支出总计减少</w:t>
      </w:r>
      <w:r>
        <w:rPr>
          <w:rFonts w:hint="eastAsia" w:ascii="仿宋_GB2312" w:hAnsi="仿宋_GB2312" w:eastAsia="仿宋_GB2312" w:cs="仿宋_GB2312"/>
          <w:color w:val="000000"/>
          <w:sz w:val="32"/>
          <w:szCs w:val="32"/>
          <w:lang w:val="en-US" w:eastAsia="zh-CN"/>
        </w:rPr>
        <w:t>2441.07万元，下降36.3%</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项目减少。</w:t>
      </w:r>
    </w:p>
    <w:p>
      <w:pPr>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（图1：收、支决算总计变动情况图）（柱状图）</w:t>
      </w:r>
    </w:p>
    <w:p>
      <w:pPr>
        <w:pStyle w:val="8"/>
        <w:pageBreakBefore w:val="0"/>
        <w:kinsoku/>
        <w:wordWrap/>
        <w:overflowPunct/>
        <w:topLinePunct w:val="0"/>
        <w:bidi w:val="0"/>
        <w:spacing w:line="560" w:lineRule="exact"/>
        <w:rPr>
          <w:rFonts w:hint="eastAsia" w:ascii="仿宋_GB2312" w:eastAsia="仿宋_GB2312"/>
          <w:color w:val="000000"/>
          <w:sz w:val="32"/>
          <w:szCs w:val="32"/>
          <w:lang w:eastAsia="zh-CN"/>
        </w:rPr>
      </w:pPr>
      <w:r>
        <w:rPr>
          <w:rStyle w:val="42"/>
          <w:rFonts w:hint="eastAsia" w:ascii="仿宋_GB2312" w:hAnsi="黑体" w:eastAsia="仿宋_GB2312"/>
          <w:b w:val="0"/>
          <w:lang w:eastAsia="zh-CN"/>
        </w:rPr>
        <w:drawing>
          <wp:anchor distT="0" distB="0" distL="114300" distR="114300" simplePos="0" relativeHeight="251660288" behindDoc="0" locked="0" layoutInCell="1" allowOverlap="1">
            <wp:simplePos x="0" y="0"/>
            <wp:positionH relativeFrom="column">
              <wp:posOffset>185420</wp:posOffset>
            </wp:positionH>
            <wp:positionV relativeFrom="paragraph">
              <wp:posOffset>315595</wp:posOffset>
            </wp:positionV>
            <wp:extent cx="4689475" cy="1859915"/>
            <wp:effectExtent l="4445" t="4445" r="11430" b="2159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ageBreakBefore w:val="0"/>
        <w:kinsoku/>
        <w:wordWrap/>
        <w:overflowPunct/>
        <w:topLinePunct w:val="0"/>
        <w:bidi w:val="0"/>
        <w:spacing w:line="560" w:lineRule="exact"/>
        <w:rPr>
          <w:rFonts w:hint="eastAsia" w:ascii="仿宋_GB2312" w:eastAsia="仿宋_GB2312"/>
          <w:color w:val="000000"/>
          <w:sz w:val="32"/>
          <w:szCs w:val="32"/>
          <w:lang w:eastAsia="zh-CN"/>
        </w:rPr>
      </w:pPr>
    </w:p>
    <w:p>
      <w:pPr>
        <w:pStyle w:val="18"/>
        <w:pageBreakBefore w:val="0"/>
        <w:kinsoku/>
        <w:wordWrap/>
        <w:overflowPunct/>
        <w:topLinePunct w:val="0"/>
        <w:bidi w:val="0"/>
        <w:spacing w:line="560" w:lineRule="exact"/>
        <w:rPr>
          <w:rFonts w:hint="eastAsia" w:ascii="仿宋_GB2312" w:eastAsia="仿宋_GB2312"/>
          <w:color w:val="000000"/>
          <w:sz w:val="32"/>
          <w:szCs w:val="32"/>
          <w:lang w:eastAsia="zh-CN"/>
        </w:rPr>
      </w:pPr>
    </w:p>
    <w:p>
      <w:pPr>
        <w:pStyle w:val="18"/>
        <w:pageBreakBefore w:val="0"/>
        <w:kinsoku/>
        <w:wordWrap/>
        <w:overflowPunct/>
        <w:topLinePunct w:val="0"/>
        <w:bidi w:val="0"/>
        <w:spacing w:line="560" w:lineRule="exact"/>
        <w:rPr>
          <w:rFonts w:hint="eastAsia" w:ascii="仿宋_GB2312" w:eastAsia="仿宋_GB2312"/>
          <w:color w:val="000000"/>
          <w:sz w:val="32"/>
          <w:szCs w:val="32"/>
          <w:lang w:eastAsia="zh-CN"/>
        </w:rPr>
      </w:pPr>
    </w:p>
    <w:p>
      <w:pPr>
        <w:pStyle w:val="30"/>
        <w:pageBreakBefore w:val="0"/>
        <w:numPr>
          <w:ilvl w:val="0"/>
          <w:numId w:val="0"/>
        </w:numPr>
        <w:kinsoku/>
        <w:wordWrap/>
        <w:overflowPunct/>
        <w:topLinePunct w:val="0"/>
        <w:bidi w:val="0"/>
        <w:spacing w:line="560" w:lineRule="exact"/>
        <w:ind w:left="640" w:leftChars="0"/>
        <w:outlineLvl w:val="9"/>
        <w:rPr>
          <w:rFonts w:hint="eastAsia" w:ascii="黑体" w:hAnsi="黑体" w:eastAsia="黑体"/>
          <w:color w:val="000000"/>
          <w:sz w:val="32"/>
          <w:szCs w:val="32"/>
          <w:lang w:eastAsia="zh-CN"/>
        </w:rPr>
      </w:pPr>
      <w:bookmarkStart w:id="36" w:name="_Toc9273"/>
      <w:bookmarkStart w:id="37" w:name="_Toc15377206"/>
      <w:bookmarkStart w:id="38" w:name="_Toc15396604"/>
    </w:p>
    <w:p>
      <w:pPr>
        <w:pStyle w:val="30"/>
        <w:pageBreakBefore w:val="0"/>
        <w:numPr>
          <w:ilvl w:val="0"/>
          <w:numId w:val="0"/>
        </w:numPr>
        <w:kinsoku/>
        <w:wordWrap/>
        <w:overflowPunct/>
        <w:topLinePunct w:val="0"/>
        <w:bidi w:val="0"/>
        <w:spacing w:line="560" w:lineRule="exact"/>
        <w:ind w:left="640" w:leftChars="0"/>
        <w:outlineLvl w:val="9"/>
        <w:rPr>
          <w:rFonts w:hint="eastAsia" w:ascii="黑体" w:hAnsi="黑体" w:eastAsia="黑体"/>
          <w:color w:val="000000"/>
          <w:sz w:val="32"/>
          <w:szCs w:val="32"/>
          <w:lang w:eastAsia="zh-CN"/>
        </w:rPr>
      </w:pPr>
    </w:p>
    <w:p>
      <w:pPr>
        <w:pStyle w:val="3"/>
        <w:pageBreakBefore w:val="0"/>
        <w:kinsoku/>
        <w:wordWrap/>
        <w:overflowPunct/>
        <w:topLinePunct w:val="0"/>
        <w:bidi w:val="0"/>
        <w:spacing w:before="0" w:beforeAutospacing="0" w:after="0" w:afterAutospacing="0" w:line="560" w:lineRule="exact"/>
        <w:ind w:firstLine="640" w:firstLineChars="200"/>
        <w:rPr>
          <w:rFonts w:hint="eastAsia" w:ascii="黑体" w:hAnsi="黑体" w:eastAsia="黑体" w:cs="黑体"/>
          <w:b w:val="0"/>
          <w:bCs w:val="0"/>
          <w:sz w:val="32"/>
          <w:szCs w:val="32"/>
          <w:lang w:val="en-US" w:eastAsia="zh-CN"/>
        </w:rPr>
      </w:pPr>
      <w:bookmarkStart w:id="39" w:name="_Toc2958"/>
      <w:r>
        <w:rPr>
          <w:rFonts w:hint="eastAsia" w:ascii="黑体" w:hAnsi="黑体" w:eastAsia="黑体" w:cs="黑体"/>
          <w:b w:val="0"/>
          <w:bCs w:val="0"/>
          <w:sz w:val="32"/>
          <w:szCs w:val="32"/>
          <w:lang w:val="en-US" w:eastAsia="zh-CN"/>
        </w:rPr>
        <w:t>四、收入决算情况说明</w:t>
      </w:r>
      <w:bookmarkEnd w:id="36"/>
      <w:bookmarkEnd w:id="37"/>
      <w:bookmarkEnd w:id="38"/>
      <w:bookmarkEnd w:id="39"/>
    </w:p>
    <w:p>
      <w:pPr>
        <w:pageBreakBefore w:val="0"/>
        <w:kinsoku/>
        <w:wordWrap/>
        <w:overflowPunct/>
        <w:topLinePunct w:val="0"/>
        <w:bidi w:val="0"/>
        <w:spacing w:line="560" w:lineRule="exact"/>
        <w:ind w:firstLine="640" w:firstLineChars="200"/>
        <w:outlineLvl w:val="1"/>
        <w:rPr>
          <w:rFonts w:hint="eastAsia" w:ascii="仿宋_GB2312" w:hAnsi="仿宋_GB2312" w:eastAsia="仿宋_GB2312" w:cs="仿宋_GB2312"/>
          <w:color w:val="000000"/>
          <w:sz w:val="32"/>
          <w:szCs w:val="32"/>
        </w:rPr>
      </w:pPr>
      <w:bookmarkStart w:id="40" w:name="_Toc29935"/>
      <w:bookmarkStart w:id="41" w:name="_Toc16403"/>
      <w:bookmarkStart w:id="42" w:name="_Toc1820"/>
      <w:bookmarkStart w:id="43" w:name="_Toc12789"/>
      <w:r>
        <w:rPr>
          <w:rFonts w:hint="eastAsia" w:ascii="仿宋_GB2312" w:hAnsi="仿宋_GB2312" w:eastAsia="仿宋_GB2312" w:cs="仿宋_GB2312"/>
          <w:color w:val="000000"/>
          <w:sz w:val="32"/>
          <w:szCs w:val="32"/>
          <w:lang w:eastAsia="zh-CN"/>
        </w:rPr>
        <w:t>2021</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3729.43</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3532.43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94.7</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197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40"/>
      <w:bookmarkEnd w:id="41"/>
      <w:bookmarkEnd w:id="42"/>
      <w:bookmarkEnd w:id="43"/>
    </w:p>
    <w:p>
      <w:pPr>
        <w:pageBreakBefore w:val="0"/>
        <w:kinsoku/>
        <w:wordWrap/>
        <w:overflowPunct/>
        <w:topLinePunct w:val="0"/>
        <w:bidi w:val="0"/>
        <w:spacing w:line="560" w:lineRule="exact"/>
        <w:ind w:firstLine="1280" w:firstLineChars="4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（图2：收入决算结构图）（饼状图）</w:t>
      </w:r>
    </w:p>
    <w:p>
      <w:pPr>
        <w:pStyle w:val="3"/>
        <w:pageBreakBefore w:val="0"/>
        <w:kinsoku/>
        <w:wordWrap/>
        <w:overflowPunct/>
        <w:topLinePunct w:val="0"/>
        <w:bidi w:val="0"/>
        <w:spacing w:before="0" w:beforeAutospacing="0" w:after="0" w:afterAutospacing="0" w:line="560" w:lineRule="exact"/>
        <w:ind w:firstLine="640" w:firstLineChars="200"/>
        <w:rPr>
          <w:rFonts w:hint="eastAsia" w:ascii="黑体" w:hAnsi="黑体" w:eastAsia="黑体" w:cs="黑体"/>
          <w:b w:val="0"/>
          <w:bCs w:val="0"/>
          <w:sz w:val="32"/>
          <w:szCs w:val="32"/>
          <w:lang w:val="en-US" w:eastAsia="zh-CN"/>
        </w:rPr>
      </w:pPr>
      <w:bookmarkStart w:id="44" w:name="_Toc9210"/>
      <w:r>
        <w:rPr>
          <w:rFonts w:hint="eastAsia" w:ascii="黑体" w:hAnsi="黑体" w:eastAsia="黑体" w:cs="黑体"/>
          <w:b w:val="0"/>
          <w:bCs w:val="0"/>
          <w:sz w:val="32"/>
          <w:szCs w:val="32"/>
          <w:lang w:eastAsia="zh-CN"/>
        </w:rPr>
        <w:drawing>
          <wp:anchor distT="0" distB="0" distL="114300" distR="114300" simplePos="0" relativeHeight="251662336" behindDoc="0" locked="0" layoutInCell="1" allowOverlap="1">
            <wp:simplePos x="0" y="0"/>
            <wp:positionH relativeFrom="column">
              <wp:posOffset>128270</wp:posOffset>
            </wp:positionH>
            <wp:positionV relativeFrom="paragraph">
              <wp:posOffset>185420</wp:posOffset>
            </wp:positionV>
            <wp:extent cx="5080000" cy="3810000"/>
            <wp:effectExtent l="4445" t="4445" r="20955"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45" w:name="_Toc15377207"/>
      <w:bookmarkStart w:id="46" w:name="_Toc15396605"/>
      <w:bookmarkStart w:id="47" w:name="_Toc15832"/>
      <w:r>
        <w:rPr>
          <w:rFonts w:hint="eastAsia" w:ascii="黑体" w:hAnsi="黑体" w:eastAsia="黑体" w:cs="黑体"/>
          <w:b w:val="0"/>
          <w:bCs w:val="0"/>
          <w:sz w:val="32"/>
          <w:szCs w:val="32"/>
          <w:lang w:val="en-US" w:eastAsia="zh-CN"/>
        </w:rPr>
        <w:t>五、支出决算情况说明</w:t>
      </w:r>
      <w:bookmarkEnd w:id="44"/>
      <w:bookmarkEnd w:id="45"/>
      <w:bookmarkEnd w:id="46"/>
      <w:bookmarkEnd w:id="47"/>
    </w:p>
    <w:p>
      <w:pPr>
        <w:pageBreakBefore w:val="0"/>
        <w:kinsoku/>
        <w:wordWrap/>
        <w:overflowPunct/>
        <w:topLinePunct w:val="0"/>
        <w:bidi w:val="0"/>
        <w:spacing w:beforeAutospacing="0" w:line="560" w:lineRule="exact"/>
        <w:ind w:firstLine="640" w:firstLineChars="200"/>
        <w:outlineLvl w:val="1"/>
        <w:rPr>
          <w:rFonts w:hint="eastAsia" w:ascii="仿宋_GB2312" w:hAnsi="仿宋_GB2312" w:eastAsia="仿宋_GB2312" w:cs="仿宋_GB2312"/>
          <w:color w:val="000000"/>
          <w:sz w:val="32"/>
          <w:szCs w:val="32"/>
        </w:rPr>
      </w:pPr>
      <w:bookmarkStart w:id="48" w:name="_Toc30411"/>
      <w:bookmarkStart w:id="49" w:name="_Toc31017"/>
      <w:bookmarkStart w:id="50" w:name="_Toc9663"/>
      <w:r>
        <w:rPr>
          <w:rFonts w:hint="eastAsia" w:ascii="仿宋_GB2312" w:hAnsi="仿宋_GB2312" w:eastAsia="仿宋_GB2312" w:cs="仿宋_GB2312"/>
          <w:color w:val="000000"/>
          <w:sz w:val="32"/>
          <w:szCs w:val="32"/>
          <w:lang w:eastAsia="zh-CN"/>
        </w:rPr>
        <w:t>2021</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4281.68</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511.13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11.94</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3770.56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88.06</w:t>
      </w:r>
      <w:r>
        <w:rPr>
          <w:rFonts w:hint="eastAsia" w:ascii="仿宋_GB2312" w:hAnsi="仿宋_GB2312" w:eastAsia="仿宋_GB2312" w:cs="仿宋_GB2312"/>
          <w:color w:val="000000"/>
          <w:sz w:val="32"/>
          <w:szCs w:val="32"/>
        </w:rPr>
        <w:t>%；经营支出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48"/>
      <w:bookmarkEnd w:id="49"/>
      <w:bookmarkEnd w:id="50"/>
    </w:p>
    <w:p>
      <w:pPr>
        <w:pageBreakBefore w:val="0"/>
        <w:kinsoku/>
        <w:wordWrap/>
        <w:overflowPunct/>
        <w:topLinePunct w:val="0"/>
        <w:bidi w:val="0"/>
        <w:spacing w:line="560" w:lineRule="exact"/>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3"/>
        <w:pageBreakBefore w:val="0"/>
        <w:kinsoku/>
        <w:wordWrap/>
        <w:overflowPunct/>
        <w:topLinePunct w:val="0"/>
        <w:bidi w:val="0"/>
        <w:spacing w:before="0" w:beforeAutospacing="0" w:after="0" w:afterAutospacing="0" w:line="560" w:lineRule="exact"/>
        <w:ind w:firstLine="640" w:firstLineChars="200"/>
        <w:rPr>
          <w:rFonts w:hint="eastAsia" w:ascii="黑体" w:hAnsi="黑体" w:eastAsia="黑体" w:cs="黑体"/>
          <w:b w:val="0"/>
          <w:bCs w:val="0"/>
          <w:sz w:val="32"/>
          <w:szCs w:val="32"/>
          <w:lang w:val="en-US" w:eastAsia="zh-CN"/>
        </w:rPr>
      </w:pPr>
      <w:bookmarkStart w:id="51" w:name="_Toc7656"/>
      <w:r>
        <w:rPr>
          <w:rFonts w:hint="eastAsia" w:ascii="黑体" w:hAnsi="黑体" w:eastAsia="黑体" w:cs="黑体"/>
          <w:b w:val="0"/>
          <w:bCs w:val="0"/>
          <w:sz w:val="32"/>
          <w:szCs w:val="32"/>
          <w:lang w:val="en-US" w:eastAsia="zh-CN"/>
        </w:rPr>
        <w:drawing>
          <wp:anchor distT="0" distB="0" distL="114300" distR="114300" simplePos="0" relativeHeight="251663360" behindDoc="0" locked="0" layoutInCell="1" allowOverlap="1">
            <wp:simplePos x="0" y="0"/>
            <wp:positionH relativeFrom="column">
              <wp:posOffset>90170</wp:posOffset>
            </wp:positionH>
            <wp:positionV relativeFrom="paragraph">
              <wp:posOffset>116205</wp:posOffset>
            </wp:positionV>
            <wp:extent cx="5080000" cy="3810000"/>
            <wp:effectExtent l="4445" t="4445" r="20955"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52" w:name="_Toc15396606"/>
      <w:bookmarkStart w:id="53" w:name="_Toc15377208"/>
      <w:bookmarkStart w:id="54" w:name="_Toc2777"/>
      <w:r>
        <w:rPr>
          <w:rFonts w:hint="eastAsia" w:ascii="黑体" w:hAnsi="黑体" w:eastAsia="黑体" w:cs="黑体"/>
          <w:b w:val="0"/>
          <w:bCs w:val="0"/>
          <w:sz w:val="32"/>
          <w:szCs w:val="32"/>
          <w:lang w:val="en-US" w:eastAsia="zh-CN"/>
        </w:rPr>
        <w:t>六、财政拨款收入支出决算总体情况说明</w:t>
      </w:r>
      <w:bookmarkEnd w:id="51"/>
      <w:bookmarkEnd w:id="52"/>
      <w:bookmarkEnd w:id="53"/>
      <w:bookmarkEnd w:id="54"/>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2021</w:t>
      </w:r>
      <w:r>
        <w:rPr>
          <w:rFonts w:hint="eastAsia" w:ascii="仿宋_GB2312" w:hAnsi="仿宋_GB2312" w:eastAsia="仿宋_GB2312" w:cs="仿宋_GB2312"/>
          <w:color w:val="000000"/>
          <w:sz w:val="32"/>
          <w:szCs w:val="32"/>
        </w:rPr>
        <w:t>年财政拨款收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4281.68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，支出总计</w:t>
      </w:r>
      <w:r>
        <w:rPr>
          <w:rFonts w:hint="eastAsia" w:ascii="仿宋_GB2312" w:hAnsi="仿宋_GB2312" w:eastAsia="仿宋_GB2312" w:cs="仿宋_GB2312"/>
          <w:color w:val="000000"/>
          <w:sz w:val="32"/>
          <w:szCs w:val="32"/>
          <w:lang w:val="en-US" w:eastAsia="zh-CN"/>
        </w:rPr>
        <w:t>4281.68</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年相比，财政拨款收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2441.06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36.3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，支出总计减少</w:t>
      </w:r>
      <w:r>
        <w:rPr>
          <w:rFonts w:hint="eastAsia" w:ascii="仿宋_GB2312" w:hAnsi="仿宋_GB2312" w:eastAsia="仿宋_GB2312" w:cs="仿宋_GB2312"/>
          <w:color w:val="000000"/>
          <w:sz w:val="32"/>
          <w:szCs w:val="32"/>
          <w:lang w:val="en-US" w:eastAsia="zh-CN"/>
        </w:rPr>
        <w:t>2441.06万元，上涨36.3%</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项目减少。</w:t>
      </w:r>
    </w:p>
    <w:p>
      <w:pPr>
        <w:pageBreakBefore w:val="0"/>
        <w:kinsoku/>
        <w:wordWrap/>
        <w:overflowPunct/>
        <w:topLinePunct w:val="0"/>
        <w:bidi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Style w:val="42"/>
          <w:rFonts w:hint="eastAsia" w:ascii="仿宋_GB2312" w:hAnsi="仿宋_GB2312" w:eastAsia="仿宋_GB2312" w:cs="仿宋_GB2312"/>
          <w:b w:val="0"/>
          <w:sz w:val="32"/>
          <w:szCs w:val="32"/>
          <w:lang w:eastAsia="zh-CN"/>
        </w:rPr>
        <w:drawing>
          <wp:anchor distT="0" distB="0" distL="114300" distR="114300" simplePos="0" relativeHeight="251661312" behindDoc="0" locked="0" layoutInCell="1" allowOverlap="1">
            <wp:simplePos x="0" y="0"/>
            <wp:positionH relativeFrom="column">
              <wp:posOffset>137795</wp:posOffset>
            </wp:positionH>
            <wp:positionV relativeFrom="paragraph">
              <wp:posOffset>662305</wp:posOffset>
            </wp:positionV>
            <wp:extent cx="4689475" cy="1859915"/>
            <wp:effectExtent l="4445" t="4445" r="11430" b="2159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color w:val="000000" w:themeColor="text1"/>
          <w:sz w:val="32"/>
          <w:szCs w:val="32"/>
          <w14:textFill>
            <w14:solidFill>
              <w14:schemeClr w14:val="tx1"/>
            </w14:solidFill>
          </w14:textFill>
        </w:rPr>
        <w:t>（图4：财政拨款收、支决算总计变动情况）（柱状图）</w:t>
      </w:r>
    </w:p>
    <w:p>
      <w:pPr>
        <w:pageBreakBefore w:val="0"/>
        <w:kinsoku/>
        <w:wordWrap/>
        <w:overflowPunct/>
        <w:topLinePunct w:val="0"/>
        <w:bidi w:val="0"/>
        <w:spacing w:line="560" w:lineRule="exact"/>
        <w:ind w:firstLine="640" w:firstLineChars="200"/>
        <w:outlineLvl w:val="9"/>
        <w:rPr>
          <w:rFonts w:hint="eastAsia" w:ascii="黑体" w:hAnsi="黑体" w:eastAsia="黑体"/>
          <w:color w:val="000000"/>
          <w:sz w:val="32"/>
          <w:szCs w:val="32"/>
          <w:lang w:val="en-US" w:eastAsia="zh-CN"/>
        </w:rPr>
      </w:pPr>
      <w:bookmarkStart w:id="55" w:name="_Toc15396607"/>
      <w:bookmarkStart w:id="56" w:name="_Toc15377209"/>
      <w:bookmarkStart w:id="57" w:name="_Toc971"/>
    </w:p>
    <w:p>
      <w:pPr>
        <w:pageBreakBefore w:val="0"/>
        <w:kinsoku/>
        <w:wordWrap/>
        <w:overflowPunct/>
        <w:topLinePunct w:val="0"/>
        <w:bidi w:val="0"/>
        <w:spacing w:line="560" w:lineRule="exact"/>
        <w:ind w:firstLine="640" w:firstLineChars="200"/>
        <w:outlineLvl w:val="9"/>
        <w:rPr>
          <w:rFonts w:hint="eastAsia" w:ascii="黑体" w:hAnsi="黑体" w:eastAsia="黑体"/>
          <w:color w:val="000000"/>
          <w:sz w:val="32"/>
          <w:szCs w:val="32"/>
          <w:lang w:val="en-US" w:eastAsia="zh-CN"/>
        </w:rPr>
      </w:pPr>
    </w:p>
    <w:p>
      <w:pPr>
        <w:pageBreakBefore w:val="0"/>
        <w:kinsoku/>
        <w:wordWrap/>
        <w:overflowPunct/>
        <w:topLinePunct w:val="0"/>
        <w:bidi w:val="0"/>
        <w:spacing w:line="560" w:lineRule="exact"/>
        <w:ind w:firstLine="640" w:firstLineChars="200"/>
        <w:outlineLvl w:val="9"/>
        <w:rPr>
          <w:rFonts w:hint="eastAsia" w:ascii="黑体" w:hAnsi="黑体" w:eastAsia="黑体"/>
          <w:color w:val="000000"/>
          <w:sz w:val="32"/>
          <w:szCs w:val="32"/>
          <w:lang w:val="en-US" w:eastAsia="zh-CN"/>
        </w:rPr>
      </w:pPr>
    </w:p>
    <w:p>
      <w:pPr>
        <w:pageBreakBefore w:val="0"/>
        <w:kinsoku/>
        <w:wordWrap/>
        <w:overflowPunct/>
        <w:topLinePunct w:val="0"/>
        <w:bidi w:val="0"/>
        <w:spacing w:line="560" w:lineRule="exact"/>
        <w:ind w:firstLine="640" w:firstLineChars="200"/>
        <w:outlineLvl w:val="9"/>
        <w:rPr>
          <w:rFonts w:hint="eastAsia" w:ascii="黑体" w:hAnsi="黑体" w:eastAsia="黑体"/>
          <w:color w:val="000000"/>
          <w:sz w:val="32"/>
          <w:szCs w:val="32"/>
          <w:lang w:val="en-US" w:eastAsia="zh-CN"/>
        </w:rPr>
      </w:pPr>
    </w:p>
    <w:p>
      <w:pPr>
        <w:pageBreakBefore w:val="0"/>
        <w:kinsoku/>
        <w:wordWrap/>
        <w:overflowPunct/>
        <w:topLinePunct w:val="0"/>
        <w:bidi w:val="0"/>
        <w:spacing w:line="560" w:lineRule="exact"/>
        <w:ind w:firstLine="640" w:firstLineChars="200"/>
        <w:outlineLvl w:val="9"/>
        <w:rPr>
          <w:rFonts w:hint="eastAsia" w:ascii="黑体" w:hAnsi="黑体" w:eastAsia="黑体"/>
          <w:color w:val="000000"/>
          <w:sz w:val="32"/>
          <w:szCs w:val="32"/>
          <w:lang w:val="en-US" w:eastAsia="zh-CN"/>
        </w:rPr>
      </w:pPr>
    </w:p>
    <w:p>
      <w:pPr>
        <w:pageBreakBefore w:val="0"/>
        <w:kinsoku/>
        <w:wordWrap/>
        <w:overflowPunct/>
        <w:topLinePunct w:val="0"/>
        <w:bidi w:val="0"/>
        <w:spacing w:line="560" w:lineRule="exact"/>
        <w:ind w:firstLine="640" w:firstLineChars="200"/>
        <w:outlineLvl w:val="9"/>
        <w:rPr>
          <w:rFonts w:hint="eastAsia" w:ascii="黑体" w:hAnsi="黑体" w:eastAsia="黑体"/>
          <w:color w:val="000000"/>
          <w:sz w:val="32"/>
          <w:szCs w:val="32"/>
          <w:lang w:val="en-US" w:eastAsia="zh-CN"/>
        </w:rPr>
      </w:pPr>
    </w:p>
    <w:p>
      <w:pPr>
        <w:pStyle w:val="3"/>
        <w:pageBreakBefore w:val="0"/>
        <w:kinsoku/>
        <w:wordWrap/>
        <w:overflowPunct/>
        <w:topLinePunct w:val="0"/>
        <w:bidi w:val="0"/>
        <w:spacing w:before="0" w:beforeAutospacing="0" w:after="0" w:afterAutospacing="0" w:line="560" w:lineRule="exact"/>
        <w:ind w:firstLine="640" w:firstLineChars="200"/>
        <w:rPr>
          <w:rFonts w:hint="eastAsia" w:ascii="黑体" w:hAnsi="黑体" w:eastAsia="黑体" w:cs="黑体"/>
          <w:b w:val="0"/>
          <w:bCs w:val="0"/>
          <w:sz w:val="32"/>
          <w:szCs w:val="32"/>
          <w:lang w:val="en-US" w:eastAsia="zh-CN"/>
        </w:rPr>
      </w:pPr>
      <w:bookmarkStart w:id="58" w:name="_Toc21945"/>
      <w:r>
        <w:rPr>
          <w:rFonts w:hint="eastAsia" w:ascii="黑体" w:hAnsi="黑体" w:eastAsia="黑体" w:cs="黑体"/>
          <w:b w:val="0"/>
          <w:bCs w:val="0"/>
          <w:sz w:val="32"/>
          <w:szCs w:val="32"/>
          <w:lang w:val="en-US" w:eastAsia="zh-CN"/>
        </w:rPr>
        <w:t>七、一般公共预算财政拨款支出决算情况说明</w:t>
      </w:r>
      <w:bookmarkEnd w:id="55"/>
      <w:bookmarkEnd w:id="56"/>
      <w:bookmarkEnd w:id="57"/>
      <w:bookmarkEnd w:id="58"/>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bookmarkStart w:id="59" w:name="_Toc15377210"/>
      <w:r>
        <w:rPr>
          <w:rFonts w:hint="eastAsia" w:ascii="楷体" w:hAnsi="楷体" w:eastAsia="楷体" w:cs="楷体"/>
        </w:rPr>
        <w:t>（一）一般公共预算财政拨款支出决算总体情况</w:t>
      </w:r>
      <w:bookmarkEnd w:id="59"/>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4084.68</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95.4</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1683.21万元，下降29.18%</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项目减少。</w:t>
      </w:r>
    </w:p>
    <w:p>
      <w:pPr>
        <w:pageBreakBefore w:val="0"/>
        <w:kinsoku/>
        <w:wordWrap/>
        <w:overflowPunct/>
        <w:topLinePunct w:val="0"/>
        <w:bidi w:val="0"/>
        <w:spacing w:line="560" w:lineRule="exact"/>
        <w:jc w:val="center"/>
        <w:rPr>
          <w:rFonts w:hint="eastAsia" w:ascii="仿宋_GB2312" w:hAnsi="仿宋_GB2312" w:eastAsia="仿宋_GB2312" w:cs="仿宋_GB2312"/>
          <w:color w:val="000000" w:themeColor="text1"/>
          <w:w w:val="97"/>
          <w:sz w:val="32"/>
          <w:szCs w:val="32"/>
          <w14:textFill>
            <w14:solidFill>
              <w14:schemeClr w14:val="tx1"/>
            </w14:solidFill>
          </w14:textFill>
        </w:rPr>
      </w:pPr>
      <w:r>
        <w:rPr>
          <w:rFonts w:hint="eastAsia" w:ascii="仿宋_GB2312" w:hAnsi="仿宋_GB2312" w:eastAsia="仿宋_GB2312" w:cs="仿宋_GB2312"/>
          <w:color w:val="000000" w:themeColor="text1"/>
          <w:w w:val="97"/>
          <w:sz w:val="32"/>
          <w:szCs w:val="32"/>
          <w14:textFill>
            <w14:solidFill>
              <w14:schemeClr w14:val="tx1"/>
            </w14:solidFill>
          </w14:textFill>
        </w:rPr>
        <w:t>（图5：一般公共预算财政拨款支出决算变动情况）（柱状图）</w:t>
      </w:r>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r>
        <w:rPr>
          <w:rFonts w:hint="eastAsia" w:ascii="楷体" w:hAnsi="楷体" w:eastAsia="楷体" w:cs="楷体"/>
          <w:lang w:eastAsia="zh-CN"/>
        </w:rPr>
        <w:drawing>
          <wp:anchor distT="0" distB="0" distL="114300" distR="114300" simplePos="0" relativeHeight="251664384" behindDoc="0" locked="0" layoutInCell="1" allowOverlap="1">
            <wp:simplePos x="0" y="0"/>
            <wp:positionH relativeFrom="page">
              <wp:align>center</wp:align>
            </wp:positionH>
            <wp:positionV relativeFrom="paragraph">
              <wp:posOffset>144145</wp:posOffset>
            </wp:positionV>
            <wp:extent cx="5080000" cy="3810000"/>
            <wp:effectExtent l="4445" t="4445" r="20955" b="1460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60" w:name="_Toc15377211"/>
      <w:r>
        <w:rPr>
          <w:rFonts w:hint="eastAsia" w:ascii="楷体" w:hAnsi="楷体" w:eastAsia="楷体" w:cs="楷体"/>
        </w:rPr>
        <w:t>（二）一般公共预算财政拨款支出决算结构情况</w:t>
      </w:r>
      <w:bookmarkEnd w:id="60"/>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sz w:val="32"/>
          <w:szCs w:val="32"/>
          <w:lang w:eastAsia="zh-CN"/>
        </w:rPr>
        <w:t>2021</w:t>
      </w:r>
      <w:r>
        <w:rPr>
          <w:rFonts w:hint="eastAsia" w:ascii="仿宋_GB2312" w:hAnsi="仿宋_GB2312" w:eastAsia="仿宋_GB2312" w:cs="仿宋_GB2312"/>
          <w:color w:val="000000"/>
          <w:sz w:val="32"/>
          <w:szCs w:val="32"/>
        </w:rPr>
        <w:t>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sz w:val="32"/>
          <w:szCs w:val="32"/>
          <w:lang w:val="en-US" w:eastAsia="zh-CN"/>
        </w:rPr>
        <w:t>4084.68</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color w:val="000000" w:themeColor="text1"/>
          <w:sz w:val="32"/>
          <w:szCs w:val="32"/>
          <w:lang w:eastAsia="zh-CN"/>
          <w14:textFill>
            <w14:solidFill>
              <w14:schemeClr w14:val="tx1"/>
            </w14:solidFill>
          </w14:textFill>
        </w:rPr>
        <w:t>文化旅游体育与传媒（类）支出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221.22</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5.42</w:t>
      </w: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45.98</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1.13</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22.01</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0.54</w:t>
      </w:r>
      <w:r>
        <w:rPr>
          <w:rFonts w:hint="eastAsia" w:ascii="仿宋_GB2312" w:hAnsi="仿宋_GB2312" w:eastAsia="仿宋_GB2312" w:cs="仿宋_GB2312"/>
          <w:color w:val="000000" w:themeColor="text1"/>
          <w:sz w:val="32"/>
          <w:szCs w:val="32"/>
          <w:lang w:eastAsia="zh-CN"/>
          <w14:textFill>
            <w14:solidFill>
              <w14:schemeClr w14:val="tx1"/>
            </w14:solidFill>
          </w14:textFill>
        </w:rPr>
        <w:t>%；农林水支出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3766.41</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92.2%；住</w:t>
      </w:r>
      <w:r>
        <w:rPr>
          <w:rFonts w:hint="eastAsia" w:ascii="仿宋_GB2312" w:hAnsi="仿宋_GB2312" w:eastAsia="仿宋_GB2312" w:cs="仿宋_GB2312"/>
          <w:color w:val="000000" w:themeColor="text1"/>
          <w:sz w:val="32"/>
          <w:szCs w:val="32"/>
          <w14:textFill>
            <w14:solidFill>
              <w14:schemeClr w14:val="tx1"/>
            </w14:solidFill>
          </w14:textFill>
        </w:rPr>
        <w:t>房保障支出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29.06</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占0.71%。</w:t>
      </w:r>
    </w:p>
    <w:p>
      <w:pPr>
        <w:pageBreakBefore w:val="0"/>
        <w:kinsoku/>
        <w:wordWrap/>
        <w:overflowPunct/>
        <w:topLinePunct w:val="0"/>
        <w:bidi w:val="0"/>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r>
        <w:rPr>
          <w:rFonts w:hint="eastAsia" w:ascii="楷体" w:hAnsi="楷体" w:eastAsia="楷体" w:cs="楷体"/>
          <w:lang w:eastAsia="zh-CN"/>
        </w:rPr>
        <w:drawing>
          <wp:anchor distT="0" distB="0" distL="114300" distR="114300" simplePos="0" relativeHeight="251665408" behindDoc="0" locked="0" layoutInCell="1" allowOverlap="1">
            <wp:simplePos x="0" y="0"/>
            <wp:positionH relativeFrom="page">
              <wp:align>center</wp:align>
            </wp:positionH>
            <wp:positionV relativeFrom="paragraph">
              <wp:posOffset>111760</wp:posOffset>
            </wp:positionV>
            <wp:extent cx="5080000" cy="3810000"/>
            <wp:effectExtent l="4445" t="4445" r="20955" b="1460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61" w:name="_Toc15377212"/>
      <w:r>
        <w:rPr>
          <w:rFonts w:hint="eastAsia" w:ascii="楷体" w:hAnsi="楷体" w:eastAsia="楷体" w:cs="楷体"/>
        </w:rPr>
        <w:t>（三）一般公共预算财政拨款支出决算具体情况</w:t>
      </w:r>
      <w:bookmarkEnd w:id="61"/>
    </w:p>
    <w:p>
      <w:pPr>
        <w:pageBreakBefore w:val="0"/>
        <w:kinsoku/>
        <w:wordWrap/>
        <w:overflowPunct/>
        <w:topLinePunct w:val="0"/>
        <w:bidi w:val="0"/>
        <w:spacing w:line="560" w:lineRule="exact"/>
        <w:ind w:firstLine="643" w:firstLineChars="200"/>
        <w:outlineLvl w:val="1"/>
        <w:rPr>
          <w:rFonts w:hint="eastAsia" w:ascii="仿宋_GB2312" w:hAnsi="仿宋_GB2312" w:eastAsia="仿宋_GB2312" w:cs="仿宋_GB2312"/>
          <w:color w:val="FF0000"/>
          <w:sz w:val="32"/>
          <w:szCs w:val="32"/>
        </w:rPr>
      </w:pPr>
      <w:bookmarkStart w:id="62" w:name="_Toc18179"/>
      <w:bookmarkStart w:id="63" w:name="_Toc9371"/>
      <w:bookmarkStart w:id="64" w:name="_Toc15377444"/>
      <w:bookmarkStart w:id="65" w:name="_Toc15377213"/>
      <w:bookmarkStart w:id="66" w:name="_Toc15378460"/>
      <w:bookmarkStart w:id="67" w:name="_Toc25637"/>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2021</w:t>
      </w:r>
      <w:r>
        <w:rPr>
          <w:rFonts w:hint="eastAsia" w:ascii="仿宋_GB2312" w:hAnsi="仿宋_GB2312" w:eastAsia="仿宋_GB2312" w:cs="仿宋_GB2312"/>
          <w:b/>
          <w:color w:val="000000" w:themeColor="text1"/>
          <w:sz w:val="32"/>
          <w:szCs w:val="32"/>
          <w14:textFill>
            <w14:solidFill>
              <w14:schemeClr w14:val="tx1"/>
            </w14:solidFill>
          </w14:textFill>
        </w:rPr>
        <w:t>年</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4084.68万元</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21"/>
          <w:rFonts w:hint="eastAsia" w:ascii="仿宋_GB2312" w:hAnsi="仿宋_GB2312" w:eastAsia="仿宋_GB2312" w:cs="仿宋_GB2312"/>
          <w:bCs/>
          <w:color w:val="000000" w:themeColor="text1"/>
          <w:sz w:val="32"/>
          <w:szCs w:val="32"/>
          <w14:textFill>
            <w14:solidFill>
              <w14:schemeClr w14:val="tx1"/>
            </w14:solidFill>
          </w14:textFill>
        </w:rPr>
        <w:t>完成</w:t>
      </w:r>
      <w:r>
        <w:rPr>
          <w:rStyle w:val="21"/>
          <w:rFonts w:hint="eastAsia" w:ascii="仿宋_GB2312" w:hAnsi="仿宋_GB2312" w:eastAsia="仿宋_GB2312" w:cs="仿宋_GB2312"/>
          <w:bCs/>
          <w:color w:val="000000"/>
          <w:sz w:val="32"/>
          <w:szCs w:val="32"/>
        </w:rPr>
        <w:t>预算</w:t>
      </w:r>
      <w:r>
        <w:rPr>
          <w:rStyle w:val="21"/>
          <w:rFonts w:hint="eastAsia" w:ascii="仿宋_GB2312" w:hAnsi="仿宋_GB2312" w:eastAsia="仿宋_GB2312" w:cs="仿宋_GB2312"/>
          <w:bCs/>
          <w:color w:val="000000"/>
          <w:sz w:val="32"/>
          <w:szCs w:val="32"/>
          <w:lang w:val="en-US" w:eastAsia="zh-CN"/>
        </w:rPr>
        <w:t>100</w:t>
      </w:r>
      <w:r>
        <w:rPr>
          <w:rStyle w:val="21"/>
          <w:rFonts w:hint="eastAsia" w:ascii="仿宋_GB2312" w:hAnsi="仿宋_GB2312" w:eastAsia="仿宋_GB2312" w:cs="仿宋_GB2312"/>
          <w:bCs/>
          <w:color w:val="000000"/>
          <w:sz w:val="32"/>
          <w:szCs w:val="32"/>
        </w:rPr>
        <w:t>%。其中：</w:t>
      </w:r>
      <w:bookmarkEnd w:id="62"/>
      <w:bookmarkEnd w:id="63"/>
      <w:bookmarkEnd w:id="64"/>
      <w:bookmarkEnd w:id="65"/>
      <w:bookmarkEnd w:id="66"/>
      <w:bookmarkEnd w:id="67"/>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b/>
          <w:bCs/>
          <w:color w:val="000000"/>
          <w:sz w:val="32"/>
          <w:szCs w:val="32"/>
          <w:lang w:val="en-US"/>
        </w:rPr>
      </w:pPr>
      <w:r>
        <w:rPr>
          <w:rStyle w:val="35"/>
          <w:rFonts w:hint="eastAsia" w:ascii="仿宋_GB2312" w:hAnsi="仿宋_GB2312" w:eastAsia="仿宋_GB2312" w:cs="仿宋_GB2312"/>
          <w:lang w:val="en-US" w:eastAsia="zh-CN"/>
        </w:rPr>
        <w:t>1.文化旅游体育与传媒支出207</w:t>
      </w:r>
      <w:r>
        <w:rPr>
          <w:rFonts w:hint="eastAsia" w:ascii="仿宋_GB2312" w:hAnsi="仿宋_GB2312" w:eastAsia="仿宋_GB2312" w:cs="仿宋_GB2312"/>
          <w:b/>
          <w:bCs/>
          <w:color w:val="000000"/>
          <w:sz w:val="32"/>
          <w:szCs w:val="32"/>
          <w:lang w:val="en-US" w:eastAsia="zh-CN"/>
        </w:rPr>
        <w:t>：支出决算为221.22万元，完成预算100%。</w:t>
      </w:r>
    </w:p>
    <w:p>
      <w:pPr>
        <w:pageBreakBefore w:val="0"/>
        <w:kinsoku/>
        <w:wordWrap/>
        <w:overflowPunct/>
        <w:topLinePunct w:val="0"/>
        <w:bidi w:val="0"/>
        <w:spacing w:line="560" w:lineRule="exact"/>
        <w:ind w:firstLine="640" w:firstLineChars="200"/>
        <w:rPr>
          <w:rFonts w:hint="eastAsia" w:ascii="仿宋" w:hAnsi="仿宋" w:eastAsia="仿宋"/>
          <w:color w:val="000000"/>
          <w:sz w:val="32"/>
          <w:szCs w:val="32"/>
          <w:lang w:val="en-US" w:eastAsia="zh-CN"/>
        </w:rPr>
      </w:pPr>
      <w:r>
        <w:rPr>
          <w:rFonts w:hint="eastAsia" w:ascii="仿宋_GB2312" w:hAnsi="仿宋_GB2312" w:eastAsia="仿宋_GB2312" w:cs="仿宋_GB2312"/>
          <w:color w:val="000000"/>
          <w:sz w:val="32"/>
          <w:szCs w:val="32"/>
          <w:lang w:eastAsia="zh-CN"/>
        </w:rPr>
        <w:t>文化旅游体育和传媒支出</w:t>
      </w:r>
      <w:r>
        <w:rPr>
          <w:rFonts w:hint="eastAsia" w:ascii="仿宋_GB2312" w:hAnsi="仿宋_GB2312" w:eastAsia="仿宋_GB2312" w:cs="仿宋_GB2312"/>
          <w:color w:val="000000"/>
          <w:sz w:val="32"/>
          <w:szCs w:val="32"/>
          <w:lang w:val="en-US" w:eastAsia="zh-CN"/>
        </w:rPr>
        <w:t xml:space="preserve"> 文化和旅游 其他文化和旅游支出207 01 99；支出决算为221.22万元，完成预算100%。</w:t>
      </w:r>
      <w:r>
        <w:rPr>
          <w:rFonts w:hint="eastAsia" w:ascii="仿宋" w:hAnsi="仿宋" w:eastAsia="仿宋"/>
          <w:color w:val="000000"/>
          <w:sz w:val="32"/>
          <w:szCs w:val="32"/>
          <w:lang w:val="en-US" w:eastAsia="zh-CN"/>
        </w:rPr>
        <w:t xml:space="preserve"> </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b/>
          <w:bCs/>
          <w:color w:val="000000"/>
          <w:sz w:val="32"/>
          <w:szCs w:val="32"/>
          <w:lang w:val="en-US" w:eastAsia="zh-CN"/>
        </w:rPr>
      </w:pPr>
      <w:r>
        <w:rPr>
          <w:rStyle w:val="35"/>
          <w:rFonts w:hint="eastAsia" w:ascii="仿宋_GB2312" w:hAnsi="仿宋_GB2312" w:eastAsia="仿宋_GB2312" w:cs="仿宋_GB2312"/>
          <w:lang w:val="en-US" w:eastAsia="zh-CN"/>
        </w:rPr>
        <w:t>2.社会保障和就业支出208</w:t>
      </w:r>
      <w:r>
        <w:rPr>
          <w:rFonts w:hint="eastAsia" w:ascii="仿宋_GB2312" w:hAnsi="仿宋_GB2312" w:eastAsia="仿宋_GB2312" w:cs="仿宋_GB2312"/>
          <w:b/>
          <w:bCs/>
          <w:color w:val="000000"/>
          <w:sz w:val="32"/>
          <w:szCs w:val="32"/>
          <w:lang w:val="en-US" w:eastAsia="zh-CN"/>
        </w:rPr>
        <w:t>：支出决算为45.99万元，完成预算100%。</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）社会保障和就业支出</w:t>
      </w:r>
      <w:r>
        <w:rPr>
          <w:rFonts w:hint="eastAsia" w:ascii="仿宋_GB2312" w:hAnsi="仿宋_GB2312" w:eastAsia="仿宋_GB2312" w:cs="仿宋_GB2312"/>
          <w:color w:val="000000"/>
          <w:sz w:val="32"/>
          <w:szCs w:val="32"/>
          <w:lang w:val="en-US" w:eastAsia="zh-CN"/>
        </w:rPr>
        <w:t xml:space="preserve"> 行政事业单位养老 机关事务基本养老保险缴费支出208 05 05：支出决算为：30.66万元，完成预算100%。</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）社会保障好就业支出</w:t>
      </w:r>
      <w:r>
        <w:rPr>
          <w:rFonts w:hint="eastAsia" w:ascii="仿宋_GB2312" w:hAnsi="仿宋_GB2312" w:eastAsia="仿宋_GB2312" w:cs="仿宋_GB2312"/>
          <w:color w:val="000000"/>
          <w:sz w:val="32"/>
          <w:szCs w:val="32"/>
          <w:lang w:val="en-US" w:eastAsia="zh-CN"/>
        </w:rPr>
        <w:t xml:space="preserve"> 行政事业单位养老 机关事业单位职业年金缴费支出208 05 06：支出决算为15.33万元，完成预算100%。</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b/>
          <w:bCs/>
          <w:color w:val="000000"/>
          <w:sz w:val="32"/>
          <w:szCs w:val="32"/>
          <w:lang w:val="en-US" w:eastAsia="zh-CN"/>
        </w:rPr>
      </w:pPr>
      <w:r>
        <w:rPr>
          <w:rStyle w:val="35"/>
          <w:rFonts w:hint="eastAsia" w:ascii="仿宋_GB2312" w:hAnsi="仿宋_GB2312" w:eastAsia="仿宋_GB2312" w:cs="仿宋_GB2312"/>
          <w:lang w:val="en-US" w:eastAsia="zh-CN"/>
        </w:rPr>
        <w:t>3.卫生健康支出210</w:t>
      </w:r>
      <w:r>
        <w:rPr>
          <w:rFonts w:hint="eastAsia" w:ascii="仿宋_GB2312" w:hAnsi="仿宋_GB2312" w:eastAsia="仿宋_GB2312" w:cs="仿宋_GB2312"/>
          <w:b/>
          <w:bCs/>
          <w:color w:val="000000"/>
          <w:sz w:val="32"/>
          <w:szCs w:val="32"/>
          <w:lang w:val="en-US" w:eastAsia="zh-CN"/>
        </w:rPr>
        <w:t>：支出决算为22.01万元，完成预算100%。</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（1）卫生健康支出 行政事业单位医疗 行政单位医疗210 11 01：支出决算为14.52万元，完成预算100%。</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sz w:val="32"/>
          <w:szCs w:val="32"/>
          <w:lang w:val="en-US" w:eastAsia="zh-CN"/>
        </w:rPr>
        <w:t>（2）卫生健康支出 行政事业单位医疗 公务员医疗补助210 11 03：支出决算为7.49万元，完成预算100%。</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b/>
          <w:bCs/>
          <w:color w:val="000000"/>
          <w:sz w:val="32"/>
          <w:szCs w:val="32"/>
          <w:lang w:val="en-US" w:eastAsia="zh-CN"/>
        </w:rPr>
      </w:pPr>
      <w:r>
        <w:rPr>
          <w:rStyle w:val="35"/>
          <w:rFonts w:hint="eastAsia" w:ascii="仿宋_GB2312" w:hAnsi="仿宋_GB2312" w:eastAsia="仿宋_GB2312" w:cs="仿宋_GB2312"/>
          <w:lang w:val="en-US" w:eastAsia="zh-CN"/>
        </w:rPr>
        <w:t>4.农林水支出213</w:t>
      </w:r>
      <w:r>
        <w:rPr>
          <w:rFonts w:hint="eastAsia" w:ascii="仿宋_GB2312" w:hAnsi="仿宋_GB2312" w:eastAsia="仿宋_GB2312" w:cs="仿宋_GB2312"/>
          <w:b/>
          <w:bCs/>
          <w:color w:val="000000"/>
          <w:sz w:val="32"/>
          <w:szCs w:val="32"/>
          <w:lang w:val="en-US" w:eastAsia="zh-CN"/>
        </w:rPr>
        <w:t>：支出决算3766.39万元，完成预算100%。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2"/>
          <w:sz w:val="32"/>
          <w:szCs w:val="32"/>
          <w:lang w:val="en-US" w:eastAsia="zh-CN" w:bidi="ar-SA"/>
        </w:rPr>
        <w:t>（1） 行政运行2130301 支出决算为414.07 万元 ，</w:t>
      </w:r>
      <w:r>
        <w:rPr>
          <w:rFonts w:hint="eastAsia" w:ascii="仿宋_GB2312" w:hAnsi="仿宋_GB2312" w:eastAsia="仿宋_GB2312" w:cs="仿宋_GB2312"/>
          <w:color w:val="000000"/>
          <w:sz w:val="32"/>
          <w:szCs w:val="32"/>
          <w:lang w:val="en-US" w:eastAsia="zh-CN"/>
        </w:rPr>
        <w:t>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（2）水利行业业务管理2130304 </w:t>
      </w:r>
      <w:r>
        <w:rPr>
          <w:rFonts w:hint="eastAsia" w:ascii="仿宋_GB2312" w:hAnsi="仿宋_GB2312" w:eastAsia="仿宋_GB2312" w:cs="仿宋_GB2312"/>
          <w:color w:val="000000"/>
          <w:kern w:val="2"/>
          <w:sz w:val="32"/>
          <w:szCs w:val="32"/>
          <w:lang w:val="en-US" w:eastAsia="zh-CN" w:bidi="ar-SA"/>
        </w:rPr>
        <w:t>支出决算为14.3 万元 ，</w:t>
      </w:r>
      <w:r>
        <w:rPr>
          <w:rFonts w:hint="eastAsia" w:ascii="仿宋_GB2312" w:hAnsi="仿宋_GB2312" w:eastAsia="仿宋_GB2312" w:cs="仿宋_GB2312"/>
          <w:color w:val="000000"/>
          <w:sz w:val="32"/>
          <w:szCs w:val="32"/>
          <w:lang w:val="en-US" w:eastAsia="zh-CN"/>
        </w:rPr>
        <w:t>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（3）水利工程建设2130305</w:t>
      </w:r>
      <w:r>
        <w:rPr>
          <w:rFonts w:hint="eastAsia" w:ascii="仿宋_GB2312" w:hAnsi="仿宋_GB2312" w:eastAsia="仿宋_GB2312" w:cs="仿宋_GB2312"/>
          <w:color w:val="000000"/>
          <w:kern w:val="2"/>
          <w:sz w:val="32"/>
          <w:szCs w:val="32"/>
          <w:lang w:val="en-US" w:eastAsia="zh-CN" w:bidi="ar-SA"/>
        </w:rPr>
        <w:t>支出决算为769.47万元 ，</w:t>
      </w:r>
      <w:r>
        <w:rPr>
          <w:rFonts w:hint="eastAsia" w:ascii="仿宋_GB2312" w:hAnsi="仿宋_GB2312" w:eastAsia="仿宋_GB2312" w:cs="仿宋_GB2312"/>
          <w:color w:val="000000"/>
          <w:sz w:val="32"/>
          <w:szCs w:val="32"/>
          <w:lang w:val="en-US" w:eastAsia="zh-CN"/>
        </w:rPr>
        <w:t>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（4）水利工程运行与维护2130306</w:t>
      </w:r>
      <w:r>
        <w:rPr>
          <w:rFonts w:hint="eastAsia" w:ascii="仿宋_GB2312" w:hAnsi="仿宋_GB2312" w:eastAsia="仿宋_GB2312" w:cs="仿宋_GB2312"/>
          <w:color w:val="000000"/>
          <w:kern w:val="2"/>
          <w:sz w:val="32"/>
          <w:szCs w:val="32"/>
          <w:lang w:val="en-US" w:eastAsia="zh-CN" w:bidi="ar-SA"/>
        </w:rPr>
        <w:t>支出决算为366.09万元 ，</w:t>
      </w:r>
      <w:r>
        <w:rPr>
          <w:rFonts w:hint="eastAsia" w:ascii="仿宋_GB2312" w:hAnsi="仿宋_GB2312" w:eastAsia="仿宋_GB2312" w:cs="仿宋_GB2312"/>
          <w:color w:val="000000"/>
          <w:sz w:val="32"/>
          <w:szCs w:val="32"/>
          <w:lang w:val="en-US" w:eastAsia="zh-CN"/>
        </w:rPr>
        <w:t>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（5）长江黄河等流域管理2130307 </w:t>
      </w:r>
      <w:r>
        <w:rPr>
          <w:rFonts w:hint="eastAsia" w:ascii="仿宋_GB2312" w:hAnsi="仿宋_GB2312" w:eastAsia="仿宋_GB2312" w:cs="仿宋_GB2312"/>
          <w:color w:val="000000"/>
          <w:kern w:val="2"/>
          <w:sz w:val="32"/>
          <w:szCs w:val="32"/>
          <w:lang w:val="en-US" w:eastAsia="zh-CN" w:bidi="ar-SA"/>
        </w:rPr>
        <w:t>支出决算为</w:t>
      </w:r>
      <w:r>
        <w:rPr>
          <w:rFonts w:hint="eastAsia" w:ascii="仿宋_GB2312" w:hAnsi="仿宋_GB2312" w:eastAsia="仿宋_GB2312" w:cs="仿宋_GB2312"/>
          <w:color w:val="000000"/>
          <w:sz w:val="32"/>
          <w:szCs w:val="32"/>
          <w:lang w:val="en-US" w:eastAsia="zh-CN"/>
        </w:rPr>
        <w:t>4.98万元，完成预算100%。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 防汛2130314</w:t>
      </w:r>
      <w:r>
        <w:rPr>
          <w:rFonts w:hint="eastAsia" w:ascii="仿宋_GB2312" w:hAnsi="仿宋_GB2312" w:eastAsia="仿宋_GB2312" w:cs="仿宋_GB2312"/>
          <w:color w:val="000000"/>
          <w:kern w:val="2"/>
          <w:sz w:val="32"/>
          <w:szCs w:val="32"/>
          <w:lang w:val="en-US" w:eastAsia="zh-CN" w:bidi="ar-SA"/>
        </w:rPr>
        <w:t>支出决算为20.71</w:t>
      </w:r>
      <w:r>
        <w:rPr>
          <w:rFonts w:hint="eastAsia" w:ascii="仿宋_GB2312" w:hAnsi="仿宋_GB2312" w:eastAsia="仿宋_GB2312" w:cs="仿宋_GB2312"/>
          <w:color w:val="000000"/>
          <w:sz w:val="32"/>
          <w:szCs w:val="32"/>
          <w:lang w:val="en-US" w:eastAsia="zh-CN"/>
        </w:rPr>
        <w:t>万元，完成预算100%。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（7）抗旱2130315</w:t>
      </w:r>
      <w:r>
        <w:rPr>
          <w:rFonts w:hint="eastAsia" w:ascii="仿宋_GB2312" w:hAnsi="仿宋_GB2312" w:eastAsia="仿宋_GB2312" w:cs="仿宋_GB2312"/>
          <w:color w:val="000000"/>
          <w:kern w:val="2"/>
          <w:sz w:val="32"/>
          <w:szCs w:val="32"/>
          <w:lang w:val="en-US" w:eastAsia="zh-CN" w:bidi="ar-SA"/>
        </w:rPr>
        <w:t>支出决算为19.5</w:t>
      </w:r>
      <w:r>
        <w:rPr>
          <w:rFonts w:hint="eastAsia" w:ascii="仿宋_GB2312" w:hAnsi="仿宋_GB2312" w:eastAsia="仿宋_GB2312" w:cs="仿宋_GB2312"/>
          <w:color w:val="000000"/>
          <w:sz w:val="32"/>
          <w:szCs w:val="32"/>
          <w:lang w:val="en-US" w:eastAsia="zh-CN"/>
        </w:rPr>
        <w:t>万元，完成预算100%。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（8）其他水利支出2130399</w:t>
      </w:r>
      <w:r>
        <w:rPr>
          <w:rFonts w:hint="eastAsia" w:ascii="仿宋_GB2312" w:hAnsi="仿宋_GB2312" w:eastAsia="仿宋_GB2312" w:cs="仿宋_GB2312"/>
          <w:color w:val="000000"/>
          <w:kern w:val="2"/>
          <w:sz w:val="32"/>
          <w:szCs w:val="32"/>
          <w:lang w:val="en-US" w:eastAsia="zh-CN" w:bidi="ar-SA"/>
        </w:rPr>
        <w:t>支出决算为516.23</w:t>
      </w:r>
      <w:r>
        <w:rPr>
          <w:rFonts w:hint="eastAsia" w:ascii="仿宋_GB2312" w:hAnsi="仿宋_GB2312" w:eastAsia="仿宋_GB2312" w:cs="仿宋_GB2312"/>
          <w:color w:val="000000"/>
          <w:sz w:val="32"/>
          <w:szCs w:val="32"/>
          <w:lang w:val="en-US" w:eastAsia="zh-CN"/>
        </w:rPr>
        <w:t>万元，完成预算100%。</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b/>
          <w:bCs/>
          <w:color w:val="000000"/>
          <w:sz w:val="32"/>
          <w:szCs w:val="32"/>
          <w:lang w:val="en-US" w:eastAsia="zh-CN"/>
        </w:rPr>
      </w:pPr>
      <w:r>
        <w:rPr>
          <w:rStyle w:val="35"/>
          <w:rFonts w:hint="eastAsia" w:ascii="仿宋_GB2312" w:hAnsi="仿宋_GB2312" w:eastAsia="仿宋_GB2312" w:cs="仿宋_GB2312"/>
          <w:lang w:val="en-US" w:eastAsia="zh-CN"/>
        </w:rPr>
        <w:t>5.扶贫支出21305</w:t>
      </w:r>
      <w:r>
        <w:rPr>
          <w:rFonts w:hint="eastAsia" w:ascii="仿宋_GB2312" w:hAnsi="仿宋_GB2312" w:eastAsia="仿宋_GB2312" w:cs="仿宋_GB2312"/>
          <w:b/>
          <w:bCs/>
          <w:color w:val="000000"/>
          <w:sz w:val="32"/>
          <w:szCs w:val="32"/>
          <w:lang w:val="en-US" w:eastAsia="zh-CN"/>
        </w:rPr>
        <w:t>：支出决算数为1641.04万元，完成预算100%。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 农村基础设施建设支出2130504支出决算为237.78万元，完成预算100%。</w:t>
      </w:r>
    </w:p>
    <w:p>
      <w:pPr>
        <w:pStyle w:val="18"/>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 其他扶贫支出2130599支出决算为1403.26万元，完成预算100%。</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b/>
          <w:bCs/>
          <w:color w:val="000000"/>
          <w:sz w:val="32"/>
          <w:szCs w:val="32"/>
          <w:lang w:val="en-US" w:eastAsia="zh-CN"/>
        </w:rPr>
      </w:pPr>
      <w:r>
        <w:rPr>
          <w:rStyle w:val="35"/>
          <w:rFonts w:hint="eastAsia" w:ascii="仿宋_GB2312" w:hAnsi="仿宋_GB2312" w:eastAsia="仿宋_GB2312" w:cs="仿宋_GB2312"/>
          <w:lang w:val="en-US" w:eastAsia="zh-CN"/>
        </w:rPr>
        <w:t>6.住房保障支出221</w:t>
      </w:r>
      <w:r>
        <w:rPr>
          <w:rFonts w:hint="eastAsia" w:ascii="仿宋_GB2312" w:hAnsi="仿宋_GB2312" w:eastAsia="仿宋_GB2312" w:cs="仿宋_GB2312"/>
          <w:b/>
          <w:bCs/>
          <w:color w:val="000000"/>
          <w:sz w:val="32"/>
          <w:szCs w:val="32"/>
          <w:lang w:val="en-US" w:eastAsia="zh-CN"/>
        </w:rPr>
        <w:t>：支出决算为29.06万元，完成预算100%。</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lang w:eastAsia="zh-CN"/>
        </w:rPr>
        <w:t>住房保障支出</w:t>
      </w:r>
      <w:r>
        <w:rPr>
          <w:rFonts w:hint="eastAsia" w:ascii="仿宋_GB2312" w:hAnsi="仿宋_GB2312" w:eastAsia="仿宋_GB2312" w:cs="仿宋_GB2312"/>
          <w:color w:val="000000"/>
          <w:sz w:val="32"/>
          <w:szCs w:val="32"/>
          <w:lang w:val="en-US" w:eastAsia="zh-CN"/>
        </w:rPr>
        <w:t xml:space="preserve"> 住房改革支出 住房公积金221 02 01：支出决算为29.06万元，完成预算100%。</w:t>
      </w:r>
    </w:p>
    <w:p>
      <w:pPr>
        <w:pageBreakBefore w:val="0"/>
        <w:tabs>
          <w:tab w:val="right" w:pos="8306"/>
        </w:tabs>
        <w:kinsoku/>
        <w:wordWrap/>
        <w:overflowPunct/>
        <w:topLinePunct w:val="0"/>
        <w:bidi w:val="0"/>
        <w:spacing w:line="560" w:lineRule="exact"/>
        <w:ind w:firstLine="640"/>
        <w:outlineLvl w:val="1"/>
        <w:rPr>
          <w:rStyle w:val="32"/>
        </w:rPr>
      </w:pPr>
      <w:bookmarkStart w:id="68" w:name="_Toc15396608"/>
      <w:bookmarkStart w:id="69" w:name="_Toc15377214"/>
      <w:bookmarkStart w:id="70" w:name="_Toc21943"/>
      <w:bookmarkStart w:id="71" w:name="_Toc12264"/>
      <w:r>
        <w:rPr>
          <w:rStyle w:val="31"/>
          <w:rFonts w:hint="eastAsia" w:ascii="黑体" w:hAnsi="黑体" w:eastAsia="黑体" w:cs="黑体"/>
          <w:b w:val="0"/>
          <w:bCs w:val="0"/>
          <w:sz w:val="32"/>
          <w:szCs w:val="32"/>
          <w:lang w:val="en-US" w:eastAsia="zh-CN"/>
        </w:rPr>
        <w:t>八、一般公共预算财政拨款基本支出决算情况说明</w:t>
      </w:r>
      <w:bookmarkEnd w:id="68"/>
      <w:bookmarkEnd w:id="69"/>
      <w:bookmarkEnd w:id="70"/>
      <w:bookmarkEnd w:id="71"/>
      <w:r>
        <w:rPr>
          <w:rStyle w:val="32"/>
          <w:rFonts w:ascii="黑体" w:hAnsi="黑体" w:eastAsia="黑体"/>
          <w:b w:val="0"/>
        </w:rPr>
        <w:tab/>
      </w:r>
    </w:p>
    <w:p>
      <w:pPr>
        <w:pageBreakBefore w:val="0"/>
        <w:kinsoku/>
        <w:wordWrap/>
        <w:overflowPunct/>
        <w:topLinePunct w:val="0"/>
        <w:bidi w:val="0"/>
        <w:spacing w:line="56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年一般公共预算财政拨款基本支出</w:t>
      </w:r>
      <w:r>
        <w:rPr>
          <w:rFonts w:hint="eastAsia" w:ascii="仿宋_GB2312" w:hAnsi="仿宋_GB2312" w:eastAsia="仿宋_GB2312" w:cs="仿宋_GB2312"/>
          <w:color w:val="auto"/>
          <w:sz w:val="32"/>
          <w:szCs w:val="32"/>
          <w:lang w:val="en-US" w:eastAsia="zh-CN"/>
        </w:rPr>
        <w:t>511.13</w:t>
      </w:r>
      <w:r>
        <w:rPr>
          <w:rFonts w:hint="eastAsia" w:ascii="仿宋_GB2312" w:hAnsi="仿宋_GB2312" w:eastAsia="仿宋_GB2312" w:cs="仿宋_GB2312"/>
          <w:color w:val="auto"/>
          <w:sz w:val="32"/>
          <w:szCs w:val="32"/>
        </w:rPr>
        <w:t>万元，其中：</w:t>
      </w:r>
    </w:p>
    <w:p>
      <w:pPr>
        <w:pageBreakBefore w:val="0"/>
        <w:kinsoku/>
        <w:wordWrap/>
        <w:overflowPunct/>
        <w:topLinePunct w:val="0"/>
        <w:bidi w:val="0"/>
        <w:spacing w:line="560" w:lineRule="exact"/>
        <w:ind w:firstLine="645"/>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auto"/>
          <w:sz w:val="32"/>
          <w:szCs w:val="32"/>
          <w:lang w:val="en-US" w:eastAsia="zh-CN"/>
        </w:rPr>
        <w:t>人员经费432.65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000000"/>
          <w:sz w:val="32"/>
          <w:szCs w:val="32"/>
        </w:rPr>
        <w:t>主要包括：基本工资</w:t>
      </w:r>
      <w:r>
        <w:rPr>
          <w:rFonts w:hint="eastAsia" w:ascii="仿宋_GB2312" w:hAnsi="仿宋_GB2312" w:eastAsia="仿宋_GB2312" w:cs="仿宋_GB2312"/>
          <w:color w:val="000000"/>
          <w:sz w:val="32"/>
          <w:szCs w:val="32"/>
          <w:lang w:val="en-US" w:eastAsia="zh-CN"/>
        </w:rPr>
        <w:t>73.14万元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209.32万元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6.52万元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30.66万元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15.33万元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职工基本医疗保险缴费</w:t>
      </w:r>
      <w:r>
        <w:rPr>
          <w:rFonts w:hint="eastAsia" w:ascii="仿宋_GB2312" w:hAnsi="仿宋_GB2312" w:eastAsia="仿宋_GB2312" w:cs="仿宋_GB2312"/>
          <w:color w:val="000000"/>
          <w:sz w:val="32"/>
          <w:szCs w:val="32"/>
          <w:lang w:val="en-US" w:eastAsia="zh-CN"/>
        </w:rPr>
        <w:t>14.52</w:t>
      </w:r>
      <w:r>
        <w:rPr>
          <w:rFonts w:hint="eastAsia" w:ascii="仿宋_GB2312" w:hAnsi="仿宋_GB2312" w:eastAsia="仿宋_GB2312" w:cs="仿宋_GB2312"/>
          <w:color w:val="000000"/>
          <w:sz w:val="32"/>
          <w:szCs w:val="32"/>
          <w:lang w:eastAsia="zh-CN"/>
        </w:rPr>
        <w:t>万元、公务员医疗补助缴费</w:t>
      </w:r>
      <w:r>
        <w:rPr>
          <w:rFonts w:hint="eastAsia" w:ascii="仿宋_GB2312" w:hAnsi="仿宋_GB2312" w:eastAsia="仿宋_GB2312" w:cs="仿宋_GB2312"/>
          <w:color w:val="000000"/>
          <w:sz w:val="32"/>
          <w:szCs w:val="32"/>
          <w:lang w:val="en-US" w:eastAsia="zh-CN"/>
        </w:rPr>
        <w:t>7.49万元、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0.43万元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住房公积金</w:t>
      </w:r>
      <w:r>
        <w:rPr>
          <w:rFonts w:hint="eastAsia" w:ascii="仿宋_GB2312" w:hAnsi="仿宋_GB2312" w:eastAsia="仿宋_GB2312" w:cs="仿宋_GB2312"/>
          <w:color w:val="000000"/>
          <w:sz w:val="32"/>
          <w:szCs w:val="32"/>
          <w:lang w:val="en-US" w:eastAsia="zh-CN"/>
        </w:rPr>
        <w:t>29.06万元，</w:t>
      </w:r>
      <w:r>
        <w:rPr>
          <w:rFonts w:hint="eastAsia" w:ascii="仿宋_GB2312" w:hAnsi="仿宋_GB2312" w:eastAsia="仿宋_GB2312" w:cs="仿宋_GB2312"/>
          <w:color w:val="000000"/>
          <w:sz w:val="32"/>
          <w:szCs w:val="32"/>
        </w:rPr>
        <w:t>对个人和家庭的补助</w:t>
      </w:r>
      <w:r>
        <w:rPr>
          <w:rFonts w:hint="eastAsia" w:ascii="仿宋_GB2312" w:hAnsi="仿宋_GB2312" w:eastAsia="仿宋_GB2312" w:cs="仿宋_GB2312"/>
          <w:color w:val="000000"/>
          <w:sz w:val="32"/>
          <w:szCs w:val="32"/>
          <w:lang w:val="en-US" w:eastAsia="zh-CN"/>
        </w:rPr>
        <w:t>46.19万元</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6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78.47</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24.34万元</w:t>
      </w:r>
      <w:r>
        <w:rPr>
          <w:rFonts w:hint="eastAsia" w:ascii="仿宋_GB2312" w:hAnsi="仿宋_GB2312" w:eastAsia="仿宋_GB2312" w:cs="仿宋_GB2312"/>
          <w:color w:val="000000"/>
          <w:sz w:val="32"/>
          <w:szCs w:val="32"/>
        </w:rPr>
        <w:t>、印刷费</w:t>
      </w:r>
      <w:r>
        <w:rPr>
          <w:rFonts w:hint="eastAsia" w:ascii="仿宋_GB2312" w:hAnsi="仿宋_GB2312" w:eastAsia="仿宋_GB2312" w:cs="仿宋_GB2312"/>
          <w:color w:val="000000"/>
          <w:sz w:val="32"/>
          <w:szCs w:val="32"/>
          <w:lang w:val="en-US" w:eastAsia="zh-CN"/>
        </w:rPr>
        <w:t>2万元</w:t>
      </w:r>
      <w:r>
        <w:rPr>
          <w:rFonts w:hint="eastAsia" w:ascii="仿宋_GB2312" w:hAnsi="仿宋_GB2312" w:eastAsia="仿宋_GB2312" w:cs="仿宋_GB2312"/>
          <w:color w:val="000000"/>
          <w:sz w:val="32"/>
          <w:szCs w:val="32"/>
        </w:rPr>
        <w:t>、手续费</w:t>
      </w:r>
      <w:r>
        <w:rPr>
          <w:rFonts w:hint="eastAsia" w:ascii="仿宋_GB2312" w:hAnsi="仿宋_GB2312" w:eastAsia="仿宋_GB2312" w:cs="仿宋_GB2312"/>
          <w:color w:val="000000"/>
          <w:sz w:val="32"/>
          <w:szCs w:val="32"/>
          <w:lang w:val="en-US" w:eastAsia="zh-CN"/>
        </w:rPr>
        <w:t>0.05万元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0.21万元，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1.5万元</w:t>
      </w:r>
      <w:r>
        <w:rPr>
          <w:rFonts w:hint="eastAsia" w:ascii="仿宋_GB2312" w:hAnsi="仿宋_GB2312" w:eastAsia="仿宋_GB2312" w:cs="仿宋_GB2312"/>
          <w:color w:val="000000"/>
          <w:sz w:val="32"/>
          <w:szCs w:val="32"/>
        </w:rPr>
        <w:t>、邮电费</w:t>
      </w:r>
      <w:r>
        <w:rPr>
          <w:rFonts w:hint="eastAsia" w:ascii="仿宋_GB2312" w:hAnsi="仿宋_GB2312" w:eastAsia="仿宋_GB2312" w:cs="仿宋_GB2312"/>
          <w:color w:val="000000"/>
          <w:sz w:val="32"/>
          <w:szCs w:val="32"/>
          <w:lang w:val="en-US" w:eastAsia="zh-CN"/>
        </w:rPr>
        <w:t>0.5万元</w:t>
      </w:r>
      <w:r>
        <w:rPr>
          <w:rFonts w:hint="eastAsia" w:ascii="仿宋_GB2312" w:hAnsi="仿宋_GB2312" w:eastAsia="仿宋_GB2312" w:cs="仿宋_GB2312"/>
          <w:color w:val="000000"/>
          <w:sz w:val="32"/>
          <w:szCs w:val="32"/>
        </w:rPr>
        <w:t>、差旅</w:t>
      </w:r>
      <w:r>
        <w:rPr>
          <w:rFonts w:hint="eastAsia" w:ascii="仿宋" w:hAnsi="仿宋" w:eastAsia="仿宋"/>
          <w:color w:val="000000"/>
          <w:sz w:val="32"/>
          <w:szCs w:val="32"/>
        </w:rPr>
        <w:t>费</w:t>
      </w:r>
      <w:r>
        <w:rPr>
          <w:rFonts w:hint="eastAsia" w:ascii="仿宋" w:hAnsi="仿宋" w:eastAsia="仿宋"/>
          <w:color w:val="000000"/>
          <w:sz w:val="32"/>
          <w:szCs w:val="32"/>
          <w:lang w:val="en-US" w:eastAsia="zh-CN"/>
        </w:rPr>
        <w:t>6万元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0.6万元、</w:t>
      </w:r>
      <w:r>
        <w:rPr>
          <w:rFonts w:hint="eastAsia" w:ascii="仿宋" w:hAnsi="仿宋" w:eastAsia="仿宋"/>
          <w:color w:val="000000"/>
          <w:sz w:val="32"/>
          <w:szCs w:val="32"/>
        </w:rPr>
        <w:t>公务用车购置43.28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p>
    <w:p>
      <w:pPr>
        <w:pageBreakBefore w:val="0"/>
        <w:tabs>
          <w:tab w:val="right" w:pos="8306"/>
        </w:tabs>
        <w:kinsoku/>
        <w:wordWrap/>
        <w:overflowPunct/>
        <w:topLinePunct w:val="0"/>
        <w:bidi w:val="0"/>
        <w:spacing w:line="560" w:lineRule="exact"/>
        <w:ind w:firstLine="640"/>
        <w:outlineLvl w:val="1"/>
        <w:rPr>
          <w:rStyle w:val="31"/>
          <w:rFonts w:hint="eastAsia" w:ascii="黑体" w:hAnsi="黑体" w:eastAsia="黑体" w:cs="黑体"/>
          <w:b w:val="0"/>
          <w:bCs w:val="0"/>
          <w:sz w:val="32"/>
          <w:szCs w:val="32"/>
          <w:lang w:val="en-US" w:eastAsia="zh-CN"/>
        </w:rPr>
      </w:pPr>
      <w:bookmarkStart w:id="72" w:name="_Toc15396609"/>
      <w:bookmarkStart w:id="73" w:name="_Toc15377215"/>
      <w:bookmarkStart w:id="74" w:name="_Toc11403"/>
      <w:bookmarkStart w:id="75" w:name="_Toc1317"/>
      <w:r>
        <w:rPr>
          <w:rStyle w:val="31"/>
          <w:rFonts w:hint="eastAsia" w:ascii="黑体" w:hAnsi="黑体" w:eastAsia="黑体" w:cs="黑体"/>
          <w:b w:val="0"/>
          <w:bCs w:val="0"/>
          <w:sz w:val="32"/>
          <w:szCs w:val="32"/>
          <w:lang w:val="en-US" w:eastAsia="zh-CN"/>
        </w:rPr>
        <w:t>九、“三公”经费财政拨款支出决算情况说明</w:t>
      </w:r>
      <w:bookmarkEnd w:id="72"/>
      <w:bookmarkEnd w:id="73"/>
      <w:bookmarkEnd w:id="74"/>
    </w:p>
    <w:bookmarkEnd w:id="75"/>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bookmarkStart w:id="76" w:name="_Toc15377216"/>
      <w:r>
        <w:rPr>
          <w:rFonts w:hint="eastAsia" w:ascii="楷体" w:hAnsi="楷体" w:eastAsia="楷体" w:cs="楷体"/>
        </w:rPr>
        <w:t>（一）“三公”经费财政拨款支出决算总体情况说明</w:t>
      </w:r>
      <w:bookmarkEnd w:id="76"/>
    </w:p>
    <w:p>
      <w:pPr>
        <w:pageBreakBefore w:val="0"/>
        <w:kinsoku/>
        <w:wordWrap/>
        <w:overflowPunct/>
        <w:topLinePunct w:val="0"/>
        <w:bidi w:val="0"/>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47.88</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比</w:t>
      </w:r>
      <w:r>
        <w:rPr>
          <w:rFonts w:hint="eastAsia" w:ascii="仿宋_GB2312" w:hAnsi="仿宋_GB2312" w:eastAsia="仿宋_GB2312" w:cs="仿宋_GB2312"/>
          <w:color w:val="000000"/>
          <w:sz w:val="32"/>
          <w:szCs w:val="32"/>
        </w:rPr>
        <w:t>预算</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42.92万元，主要原因是2021年新购置公务用车费用</w:t>
      </w:r>
      <w:r>
        <w:rPr>
          <w:rFonts w:hint="eastAsia" w:ascii="仿宋_GB2312" w:hAnsi="仿宋_GB2312" w:eastAsia="仿宋_GB2312" w:cs="仿宋_GB2312"/>
          <w:color w:val="000000"/>
          <w:sz w:val="32"/>
          <w:szCs w:val="32"/>
        </w:rPr>
        <w:t>。</w:t>
      </w:r>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bookmarkStart w:id="77" w:name="_Toc15377217"/>
      <w:r>
        <w:rPr>
          <w:rFonts w:hint="eastAsia" w:ascii="楷体" w:hAnsi="楷体" w:eastAsia="楷体" w:cs="楷体"/>
        </w:rPr>
        <w:t>（二）“三公”经费财政拨款支出决算具体情况说明</w:t>
      </w:r>
      <w:bookmarkEnd w:id="77"/>
    </w:p>
    <w:p>
      <w:pPr>
        <w:pageBreakBefore w:val="0"/>
        <w:kinsoku/>
        <w:wordWrap/>
        <w:overflowPunct/>
        <w:topLinePunct w:val="0"/>
        <w:bidi w:val="0"/>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2021</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47.88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pPr>
        <w:pageBreakBefore w:val="0"/>
        <w:kinsoku/>
        <w:wordWrap/>
        <w:overflowPunct/>
        <w:topLinePunct w:val="0"/>
        <w:bidi w:val="0"/>
        <w:spacing w:line="560" w:lineRule="exact"/>
        <w:ind w:firstLine="640"/>
        <w:rPr>
          <w:rFonts w:hint="eastAsia" w:ascii="仿宋" w:hAnsi="仿宋" w:eastAsia="仿宋"/>
          <w:color w:val="000000"/>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6432" behindDoc="0" locked="0" layoutInCell="1" allowOverlap="1">
            <wp:simplePos x="0" y="0"/>
            <wp:positionH relativeFrom="column">
              <wp:posOffset>137795</wp:posOffset>
            </wp:positionH>
            <wp:positionV relativeFrom="paragraph">
              <wp:posOffset>376555</wp:posOffset>
            </wp:positionV>
            <wp:extent cx="5080000" cy="3810000"/>
            <wp:effectExtent l="4445" t="4445" r="20955" b="1460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color w:val="000000"/>
          <w:sz w:val="32"/>
          <w:szCs w:val="32"/>
        </w:rPr>
        <w:t>（图7：“三公”经费财政拨款支出结构）（饼状图）</w:t>
      </w:r>
    </w:p>
    <w:p>
      <w:pPr>
        <w:pageBreakBefore w:val="0"/>
        <w:numPr>
          <w:numId w:val="0"/>
        </w:numPr>
        <w:kinsoku/>
        <w:wordWrap/>
        <w:overflowPunct/>
        <w:topLinePunct w:val="0"/>
        <w:bidi w:val="0"/>
        <w:spacing w:line="56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pageBreakBefore w:val="0"/>
        <w:kinsoku/>
        <w:wordWrap/>
        <w:overflowPunct/>
        <w:topLinePunct w:val="0"/>
        <w:bidi w:val="0"/>
        <w:spacing w:line="560" w:lineRule="exact"/>
        <w:ind w:firstLine="64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47.88</w:t>
      </w:r>
      <w:r>
        <w:rPr>
          <w:rFonts w:hint="eastAsia" w:ascii="仿宋_GB2312" w:hAnsi="仿宋_GB2312" w:eastAsia="仿宋_GB2312" w:cs="仿宋_GB2312"/>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增加43.28万元，主要原因是2021年新购置公务用车费用</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43.28</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43.28</w:t>
      </w:r>
      <w:r>
        <w:rPr>
          <w:rFonts w:hint="eastAsia" w:ascii="仿宋_GB2312" w:hAnsi="仿宋_GB2312" w:eastAsia="仿宋_GB2312" w:cs="仿宋_GB2312"/>
          <w:color w:val="000000"/>
          <w:sz w:val="32"/>
          <w:szCs w:val="32"/>
        </w:rPr>
        <w:t>元。截至</w:t>
      </w:r>
      <w:r>
        <w:rPr>
          <w:rFonts w:hint="eastAsia" w:ascii="仿宋_GB2312" w:hAnsi="仿宋_GB2312" w:eastAsia="仿宋_GB2312" w:cs="仿宋_GB2312"/>
          <w:color w:val="000000"/>
          <w:sz w:val="32"/>
          <w:szCs w:val="32"/>
          <w:lang w:eastAsia="zh-CN"/>
        </w:rPr>
        <w:t>2021</w:t>
      </w:r>
      <w:r>
        <w:rPr>
          <w:rFonts w:hint="eastAsia" w:ascii="仿宋_GB2312" w:hAnsi="仿宋_GB2312" w:eastAsia="仿宋_GB2312" w:cs="仿宋_GB2312"/>
          <w:color w:val="000000"/>
          <w:sz w:val="32"/>
          <w:szCs w:val="32"/>
        </w:rPr>
        <w:t>年12月底，单位共有公务用车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辆、越野车1辆、机要通信用车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 执法执勤用车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p>
    <w:p>
      <w:pPr>
        <w:pageBreakBefore w:val="0"/>
        <w:kinsoku/>
        <w:wordWrap/>
        <w:overflowPunct/>
        <w:topLinePunct w:val="0"/>
        <w:bidi w:val="0"/>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4.6</w:t>
      </w:r>
      <w:r>
        <w:rPr>
          <w:rFonts w:hint="eastAsia" w:ascii="仿宋_GB2312" w:hAnsi="仿宋_GB2312" w:eastAsia="仿宋_GB2312" w:cs="仿宋_GB2312"/>
          <w:color w:val="000000"/>
          <w:sz w:val="32"/>
          <w:szCs w:val="32"/>
        </w:rPr>
        <w:t>万元。主要用于主要用于到</w:t>
      </w:r>
      <w:r>
        <w:rPr>
          <w:rFonts w:hint="eastAsia" w:ascii="仿宋_GB2312" w:hAnsi="仿宋_GB2312" w:eastAsia="仿宋_GB2312" w:cs="仿宋_GB2312"/>
          <w:color w:val="000000"/>
          <w:sz w:val="32"/>
          <w:szCs w:val="32"/>
          <w:lang w:eastAsia="zh-CN"/>
        </w:rPr>
        <w:t>下乡查看水利工程</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行政执法</w:t>
      </w:r>
      <w:r>
        <w:rPr>
          <w:rFonts w:hint="eastAsia" w:ascii="仿宋_GB2312" w:hAnsi="仿宋_GB2312" w:eastAsia="仿宋_GB2312" w:cs="仿宋_GB2312"/>
          <w:color w:val="000000"/>
          <w:sz w:val="32"/>
          <w:szCs w:val="32"/>
        </w:rPr>
        <w:t>等所需的公务用车燃料费、维修费、保险费等支出。</w:t>
      </w:r>
    </w:p>
    <w:p>
      <w:pPr>
        <w:pageBreakBefore w:val="0"/>
        <w:kinsoku/>
        <w:wordWrap/>
        <w:overflowPunct/>
        <w:topLinePunct w:val="0"/>
        <w:bidi w:val="0"/>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与2020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持平。</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万元，主要用于执行公务、开展业务活动开支的交通费、住宿费、用餐费等。国内公务接待0批次，0人次（不包括陪同人员），共计支出0万元0。其中：</w:t>
      </w:r>
    </w:p>
    <w:p>
      <w:pPr>
        <w:pageBreakBefore w:val="0"/>
        <w:kinsoku/>
        <w:wordWrap/>
        <w:overflowPunct/>
        <w:topLinePunct w:val="0"/>
        <w:bidi w:val="0"/>
        <w:spacing w:line="56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rPr>
        <w:t>0万元，外事接待0批次，0人，共计支出0万元，主要用于接待0。</w:t>
      </w:r>
      <w:bookmarkStart w:id="78" w:name="_Toc15396610"/>
      <w:bookmarkStart w:id="79" w:name="_Toc15377218"/>
    </w:p>
    <w:p>
      <w:pPr>
        <w:pageBreakBefore w:val="0"/>
        <w:tabs>
          <w:tab w:val="right" w:pos="8306"/>
        </w:tabs>
        <w:kinsoku/>
        <w:wordWrap/>
        <w:overflowPunct/>
        <w:topLinePunct w:val="0"/>
        <w:bidi w:val="0"/>
        <w:spacing w:line="560" w:lineRule="exact"/>
        <w:ind w:firstLine="640"/>
        <w:outlineLvl w:val="1"/>
        <w:rPr>
          <w:rStyle w:val="31"/>
          <w:rFonts w:hint="eastAsia" w:ascii="黑体" w:hAnsi="黑体" w:eastAsia="黑体" w:cs="黑体"/>
          <w:b w:val="0"/>
          <w:bCs w:val="0"/>
          <w:sz w:val="32"/>
          <w:szCs w:val="32"/>
          <w:lang w:val="en-US" w:eastAsia="zh-CN"/>
        </w:rPr>
      </w:pPr>
      <w:bookmarkStart w:id="80" w:name="_Toc15140"/>
      <w:bookmarkStart w:id="81" w:name="_Toc24579"/>
      <w:r>
        <w:rPr>
          <w:rStyle w:val="31"/>
          <w:rFonts w:hint="eastAsia" w:ascii="黑体" w:hAnsi="黑体" w:eastAsia="黑体" w:cs="黑体"/>
          <w:b w:val="0"/>
          <w:bCs w:val="0"/>
          <w:sz w:val="32"/>
          <w:szCs w:val="32"/>
          <w:lang w:val="en-US" w:eastAsia="zh-CN"/>
        </w:rPr>
        <w:t>十、政府性基金预算支出决算情况说明</w:t>
      </w:r>
      <w:bookmarkEnd w:id="78"/>
      <w:bookmarkEnd w:id="79"/>
      <w:bookmarkEnd w:id="80"/>
    </w:p>
    <w:bookmarkEnd w:id="81"/>
    <w:p>
      <w:pPr>
        <w:pageBreakBefore w:val="0"/>
        <w:kinsoku/>
        <w:wordWrap/>
        <w:overflowPunct/>
        <w:topLinePunct w:val="0"/>
        <w:bidi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197</w:t>
      </w:r>
      <w:r>
        <w:rPr>
          <w:rFonts w:hint="eastAsia" w:ascii="仿宋_GB2312" w:eastAsia="仿宋_GB2312"/>
          <w:color w:val="000000"/>
          <w:sz w:val="32"/>
          <w:szCs w:val="32"/>
        </w:rPr>
        <w:t>万元。</w:t>
      </w:r>
    </w:p>
    <w:p>
      <w:pPr>
        <w:pageBreakBefore w:val="0"/>
        <w:tabs>
          <w:tab w:val="right" w:pos="8306"/>
        </w:tabs>
        <w:kinsoku/>
        <w:wordWrap/>
        <w:overflowPunct/>
        <w:topLinePunct w:val="0"/>
        <w:bidi w:val="0"/>
        <w:spacing w:line="560" w:lineRule="exact"/>
        <w:ind w:firstLine="640"/>
        <w:outlineLvl w:val="1"/>
        <w:rPr>
          <w:rStyle w:val="31"/>
          <w:rFonts w:hint="eastAsia" w:ascii="黑体" w:hAnsi="黑体" w:eastAsia="黑体" w:cs="黑体"/>
          <w:b w:val="0"/>
          <w:bCs w:val="0"/>
          <w:sz w:val="32"/>
          <w:szCs w:val="32"/>
          <w:lang w:val="en-US" w:eastAsia="zh-CN"/>
        </w:rPr>
      </w:pPr>
      <w:bookmarkStart w:id="82" w:name="_Toc21776"/>
      <w:bookmarkStart w:id="83" w:name="_Toc15396611"/>
      <w:bookmarkStart w:id="84" w:name="_Toc15377219"/>
      <w:bookmarkStart w:id="85" w:name="_Toc28119"/>
      <w:r>
        <w:rPr>
          <w:rStyle w:val="31"/>
          <w:rFonts w:hint="eastAsia" w:ascii="黑体" w:hAnsi="黑体" w:eastAsia="黑体" w:cs="黑体"/>
          <w:b w:val="0"/>
          <w:bCs w:val="0"/>
          <w:sz w:val="32"/>
          <w:szCs w:val="32"/>
          <w:lang w:val="en-US" w:eastAsia="zh-CN"/>
        </w:rPr>
        <w:t>十一、国有资本经营预算支出决算情况说明</w:t>
      </w:r>
      <w:bookmarkEnd w:id="82"/>
      <w:bookmarkEnd w:id="83"/>
      <w:bookmarkEnd w:id="84"/>
    </w:p>
    <w:bookmarkEnd w:id="85"/>
    <w:p>
      <w:pPr>
        <w:pageBreakBefore w:val="0"/>
        <w:kinsoku/>
        <w:wordWrap/>
        <w:overflowPunct/>
        <w:topLinePunct w:val="0"/>
        <w:bidi w:val="0"/>
        <w:spacing w:line="56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tabs>
          <w:tab w:val="right" w:pos="8306"/>
        </w:tabs>
        <w:kinsoku/>
        <w:wordWrap/>
        <w:overflowPunct/>
        <w:topLinePunct w:val="0"/>
        <w:bidi w:val="0"/>
        <w:spacing w:line="560" w:lineRule="exact"/>
        <w:ind w:firstLine="640"/>
        <w:outlineLvl w:val="1"/>
        <w:rPr>
          <w:rStyle w:val="31"/>
          <w:rFonts w:hint="eastAsia" w:ascii="黑体" w:hAnsi="黑体" w:eastAsia="黑体" w:cs="黑体"/>
          <w:b w:val="0"/>
          <w:bCs w:val="0"/>
          <w:sz w:val="32"/>
          <w:szCs w:val="32"/>
          <w:lang w:val="en-US" w:eastAsia="zh-CN"/>
        </w:rPr>
      </w:pPr>
      <w:bookmarkStart w:id="86" w:name="_Toc15396612"/>
      <w:bookmarkStart w:id="87" w:name="_Toc15377221"/>
      <w:bookmarkStart w:id="88" w:name="_Toc31063"/>
      <w:bookmarkStart w:id="89" w:name="_Toc7807"/>
      <w:r>
        <w:rPr>
          <w:rStyle w:val="31"/>
          <w:rFonts w:hint="eastAsia" w:ascii="黑体" w:hAnsi="黑体" w:eastAsia="黑体" w:cs="黑体"/>
          <w:b w:val="0"/>
          <w:bCs w:val="0"/>
          <w:sz w:val="32"/>
          <w:szCs w:val="32"/>
          <w:lang w:val="en-US" w:eastAsia="zh-CN"/>
        </w:rPr>
        <w:t>十二、其他重要事项的情况说明</w:t>
      </w:r>
      <w:bookmarkEnd w:id="86"/>
      <w:bookmarkEnd w:id="87"/>
      <w:bookmarkEnd w:id="88"/>
    </w:p>
    <w:bookmarkEnd w:id="89"/>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bookmarkStart w:id="90" w:name="_Toc15377222"/>
      <w:r>
        <w:rPr>
          <w:rFonts w:hint="eastAsia" w:ascii="楷体" w:hAnsi="楷体" w:eastAsia="楷体" w:cs="楷体"/>
        </w:rPr>
        <w:t>（一）机关运行经费支出情况</w:t>
      </w:r>
      <w:bookmarkEnd w:id="90"/>
    </w:p>
    <w:p>
      <w:pPr>
        <w:pageBreakBefore w:val="0"/>
        <w:kinsoku/>
        <w:wordWrap/>
        <w:overflowPunct/>
        <w:topLinePunct w:val="0"/>
        <w:bidi w:val="0"/>
        <w:spacing w:line="56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红原县水务局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78.47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，用于日常公用经费、</w:t>
      </w: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2020年增加53.5，主要原因是公务车购置费用增加</w:t>
      </w:r>
      <w:r>
        <w:rPr>
          <w:rFonts w:hint="eastAsia" w:ascii="仿宋_GB2312" w:eastAsia="仿宋_GB2312"/>
          <w:color w:val="000000"/>
          <w:sz w:val="32"/>
          <w:szCs w:val="32"/>
          <w:lang w:eastAsia="zh-CN"/>
        </w:rPr>
        <w:t>。</w:t>
      </w:r>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bookmarkStart w:id="91" w:name="_Toc15377223"/>
      <w:r>
        <w:rPr>
          <w:rFonts w:hint="eastAsia" w:ascii="楷体" w:hAnsi="楷体" w:eastAsia="楷体" w:cs="楷体"/>
        </w:rPr>
        <w:t>（二）政府采购支出情况</w:t>
      </w:r>
      <w:bookmarkEnd w:id="91"/>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红原县水务局</w:t>
      </w:r>
      <w:r>
        <w:rPr>
          <w:rFonts w:hint="eastAsia" w:ascii="仿宋_GB2312" w:eastAsia="仿宋_GB2312"/>
          <w:color w:val="000000"/>
          <w:sz w:val="32"/>
          <w:szCs w:val="32"/>
        </w:rPr>
        <w:t>采购支出总额</w:t>
      </w:r>
      <w:r>
        <w:rPr>
          <w:rFonts w:hint="eastAsia" w:ascii="仿宋_GB2312" w:eastAsia="仿宋_GB2312"/>
          <w:color w:val="000000"/>
          <w:sz w:val="32"/>
          <w:szCs w:val="32"/>
          <w:lang w:val="en-US" w:eastAsia="zh-CN"/>
        </w:rPr>
        <w:t>740.57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43.27</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459.64</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237.65</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43.28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5.84</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bookmarkStart w:id="92" w:name="_Toc15377224"/>
      <w:r>
        <w:rPr>
          <w:rFonts w:hint="eastAsia" w:ascii="楷体" w:hAnsi="楷体" w:eastAsia="楷体" w:cs="楷体"/>
        </w:rPr>
        <w:t>（三）国有资产占有使用情况</w:t>
      </w:r>
      <w:bookmarkEnd w:id="92"/>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水务局</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r>
        <w:rPr>
          <w:rFonts w:hint="eastAsia" w:ascii="楷体" w:hAnsi="楷体" w:eastAsia="楷体" w:cs="楷体"/>
          <w:lang w:eastAsia="zh-CN"/>
        </w:rPr>
        <w:t>（</w:t>
      </w:r>
      <w:r>
        <w:rPr>
          <w:rFonts w:hint="eastAsia" w:ascii="楷体" w:hAnsi="楷体" w:eastAsia="楷体" w:cs="楷体"/>
          <w:lang w:val="en-US" w:eastAsia="zh-CN"/>
        </w:rPr>
        <w:t>四</w:t>
      </w:r>
      <w:r>
        <w:rPr>
          <w:rFonts w:hint="eastAsia" w:ascii="楷体" w:hAnsi="楷体" w:eastAsia="楷体" w:cs="楷体"/>
          <w:lang w:eastAsia="zh-CN"/>
        </w:rPr>
        <w:t>）</w:t>
      </w:r>
      <w:r>
        <w:rPr>
          <w:rFonts w:hint="eastAsia" w:ascii="楷体" w:hAnsi="楷体" w:eastAsia="楷体" w:cs="楷体"/>
        </w:rPr>
        <w:t>预算绩效管理情况。</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5个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个项目开展了绩效目标完成情况梳理填报。</w:t>
      </w:r>
    </w:p>
    <w:p>
      <w:pPr>
        <w:pageBreakBefore w:val="0"/>
        <w:kinsoku/>
        <w:wordWrap/>
        <w:overflowPunct/>
        <w:topLinePunct w:val="0"/>
        <w:bidi w:val="0"/>
        <w:spacing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局严格按照年初预算进行部门整体支出，预算资金覆盖我单位工作的各个方面，按照保工资、保运转、保民生的保障序列科学编制，分配办法科学，考虑的因素必要合理，分配的结果合理，保障了人员经费及单位正常运转。在支出过程中，能严格遵守各项规章制度。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tbl>
      <w:tblPr>
        <w:tblStyle w:val="19"/>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577"/>
        <w:gridCol w:w="815"/>
        <w:gridCol w:w="210"/>
        <w:gridCol w:w="2182"/>
        <w:gridCol w:w="2379"/>
        <w:gridCol w:w="15"/>
        <w:gridCol w:w="2392"/>
      </w:tblGrid>
      <w:tr>
        <w:tblPrEx>
          <w:tblCellMar>
            <w:top w:w="0" w:type="dxa"/>
            <w:left w:w="0" w:type="dxa"/>
            <w:bottom w:w="0" w:type="dxa"/>
            <w:right w:w="0" w:type="dxa"/>
          </w:tblCellMar>
        </w:tblPrEx>
        <w:trPr>
          <w:wAfter w:w="0" w:type="auto"/>
          <w:trHeight w:val="1034" w:hRule="atLeast"/>
        </w:trPr>
        <w:tc>
          <w:tcPr>
            <w:tcW w:w="9960" w:type="dxa"/>
            <w:gridSpan w:val="8"/>
            <w:tcMar>
              <w:top w:w="15" w:type="dxa"/>
              <w:left w:w="15" w:type="dxa"/>
              <w:bottom w:w="0" w:type="dxa"/>
              <w:right w:w="15" w:type="dxa"/>
            </w:tcMar>
            <w:vAlign w:val="center"/>
          </w:tcPr>
          <w:p>
            <w:pPr>
              <w:pStyle w:val="3"/>
              <w:pageBreakBefore w:val="0"/>
              <w:kinsoku/>
              <w:wordWrap/>
              <w:overflowPunct/>
              <w:topLinePunct w:val="0"/>
              <w:autoSpaceDE/>
              <w:autoSpaceDN/>
              <w:bidi w:val="0"/>
              <w:adjustRightInd/>
              <w:snapToGrid/>
              <w:spacing w:before="0" w:beforeAutospacing="0" w:after="0" w:afterAutospacing="0" w:line="560" w:lineRule="exact"/>
              <w:jc w:val="center"/>
              <w:rPr>
                <w:rFonts w:ascii="仿宋_GB2312" w:hAnsi="黑体" w:eastAsia="仿宋_GB2312" w:cs="宋体"/>
                <w:bCs/>
                <w:color w:val="000000"/>
                <w:kern w:val="0"/>
                <w:sz w:val="32"/>
                <w:szCs w:val="32"/>
              </w:rPr>
            </w:pPr>
            <w:bookmarkStart w:id="93" w:name="_Toc7626"/>
            <w:r>
              <w:rPr>
                <w:rFonts w:hint="eastAsia" w:ascii="方正小标宋简体" w:hAnsi="方正小标宋简体" w:eastAsia="方正小标宋简体" w:cs="方正小标宋简体"/>
                <w:lang w:val="en-US" w:eastAsia="zh-CN"/>
              </w:rPr>
              <w:t xml:space="preserve">第二部分  </w:t>
            </w:r>
            <w:bookmarkStart w:id="132" w:name="_GoBack"/>
            <w:bookmarkEnd w:id="132"/>
            <w:r>
              <w:rPr>
                <w:rFonts w:hint="eastAsia" w:ascii="方正小标宋简体" w:hAnsi="方正小标宋简体" w:eastAsia="方正小标宋简体" w:cs="方正小标宋简体"/>
                <w:lang w:eastAsia="zh-CN"/>
              </w:rPr>
              <w:t>绩效目标完成情况</w:t>
            </w:r>
            <w:bookmarkEnd w:id="93"/>
          </w:p>
          <w:p>
            <w:pPr>
              <w:pStyle w:val="30"/>
              <w:pageBreakBefore w:val="0"/>
              <w:widowControl/>
              <w:kinsoku/>
              <w:wordWrap/>
              <w:overflowPunct/>
              <w:topLinePunct w:val="0"/>
              <w:autoSpaceDE/>
              <w:autoSpaceDN/>
              <w:bidi w:val="0"/>
              <w:adjustRightInd/>
              <w:snapToGrid/>
              <w:spacing w:line="560" w:lineRule="exact"/>
              <w:ind w:left="0" w:leftChars="0" w:firstLine="0" w:firstLineChars="0"/>
              <w:jc w:val="center"/>
              <w:textAlignment w:val="center"/>
              <w:rPr>
                <w:rFonts w:hint="eastAsia" w:ascii="仿宋_GB2312" w:hAnsi="黑体" w:eastAsia="仿宋_GB2312" w:cs="宋体"/>
                <w:bCs/>
                <w:color w:val="000000"/>
                <w:kern w:val="0"/>
                <w:sz w:val="32"/>
                <w:szCs w:val="32"/>
                <w:lang w:eastAsia="zh-CN"/>
              </w:rPr>
            </w:pPr>
            <w:r>
              <w:rPr>
                <w:rFonts w:hint="eastAsia" w:ascii="仿宋_GB2312" w:hAnsi="黑体" w:eastAsia="仿宋_GB2312" w:cs="宋体"/>
                <w:bCs/>
                <w:color w:val="000000"/>
                <w:kern w:val="0"/>
                <w:sz w:val="32"/>
                <w:szCs w:val="32"/>
              </w:rPr>
              <w:t>项目支出绩效目标完成情况表</w:t>
            </w:r>
          </w:p>
          <w:p>
            <w:pPr>
              <w:pStyle w:val="30"/>
              <w:pageBreakBefore w:val="0"/>
              <w:widowControl/>
              <w:kinsoku/>
              <w:wordWrap/>
              <w:overflowPunct/>
              <w:topLinePunct w:val="0"/>
              <w:bidi w:val="0"/>
              <w:spacing w:line="560" w:lineRule="exact"/>
              <w:ind w:left="4028" w:leftChars="1918" w:firstLine="16" w:firstLineChars="5"/>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(202</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年度)</w:t>
            </w:r>
          </w:p>
        </w:tc>
      </w:tr>
      <w:tr>
        <w:tblPrEx>
          <w:tblCellMar>
            <w:top w:w="0" w:type="dxa"/>
            <w:left w:w="0" w:type="dxa"/>
            <w:bottom w:w="0" w:type="dxa"/>
            <w:right w:w="0" w:type="dxa"/>
          </w:tblCellMar>
        </w:tblPrEx>
        <w:trPr>
          <w:wAfter w:w="0" w:type="auto"/>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项目名称</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仿宋_GB2312" w:eastAsia="仿宋_GB2312" w:cs="仿宋_GB2312"/>
                <w:b w:val="0"/>
                <w:bCs w:val="0"/>
                <w:kern w:val="2"/>
                <w:sz w:val="32"/>
                <w:szCs w:val="32"/>
                <w:lang w:val="en-US" w:eastAsia="zh-CN" w:bidi="ar-SA"/>
              </w:rPr>
              <w:t>红原县月亮湾景区供水工程</w:t>
            </w:r>
          </w:p>
        </w:tc>
      </w:tr>
      <w:tr>
        <w:tblPrEx>
          <w:tblCellMar>
            <w:top w:w="0" w:type="dxa"/>
            <w:left w:w="0" w:type="dxa"/>
            <w:bottom w:w="0" w:type="dxa"/>
            <w:right w:w="0" w:type="dxa"/>
          </w:tblCellMar>
        </w:tblPrEx>
        <w:trPr>
          <w:wAfter w:w="0" w:type="auto"/>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预算单位</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rPr>
              <w:t>红原县水务局</w:t>
            </w:r>
          </w:p>
        </w:tc>
      </w:tr>
      <w:tr>
        <w:tblPrEx>
          <w:tblCellMar>
            <w:top w:w="0" w:type="dxa"/>
            <w:left w:w="0" w:type="dxa"/>
            <w:bottom w:w="0" w:type="dxa"/>
            <w:right w:w="0" w:type="dxa"/>
          </w:tblCellMar>
        </w:tblPrEx>
        <w:trPr>
          <w:wAfter w:w="0" w:type="auto"/>
          <w:trHeight w:val="1251"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80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80</w:t>
            </w:r>
          </w:p>
        </w:tc>
      </w:tr>
      <w:tr>
        <w:tblPrEx>
          <w:tblCellMar>
            <w:top w:w="0" w:type="dxa"/>
            <w:left w:w="0" w:type="dxa"/>
            <w:bottom w:w="0" w:type="dxa"/>
            <w:right w:w="0" w:type="dxa"/>
          </w:tblCellMar>
        </w:tblPrEx>
        <w:trPr>
          <w:wAfter w:w="0" w:type="auto"/>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80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80</w:t>
            </w:r>
          </w:p>
        </w:tc>
      </w:tr>
      <w:tr>
        <w:tblPrEx>
          <w:tblCellMar>
            <w:top w:w="0" w:type="dxa"/>
            <w:left w:w="0" w:type="dxa"/>
            <w:bottom w:w="0" w:type="dxa"/>
            <w:right w:w="0" w:type="dxa"/>
          </w:tblCellMar>
        </w:tblPrEx>
        <w:trPr>
          <w:wAfter w:w="0" w:type="auto"/>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60" w:lineRule="exact"/>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0</w:t>
            </w:r>
          </w:p>
        </w:tc>
      </w:tr>
      <w:tr>
        <w:tblPrEx>
          <w:tblCellMar>
            <w:top w:w="0" w:type="dxa"/>
            <w:left w:w="0" w:type="dxa"/>
            <w:bottom w:w="0" w:type="dxa"/>
            <w:right w:w="0" w:type="dxa"/>
          </w:tblCellMar>
        </w:tblPrEx>
        <w:trPr>
          <w:wAfter w:w="0" w:type="auto"/>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实际完成目标</w:t>
            </w:r>
          </w:p>
        </w:tc>
      </w:tr>
      <w:tr>
        <w:tblPrEx>
          <w:tblCellMar>
            <w:top w:w="0" w:type="dxa"/>
            <w:left w:w="0" w:type="dxa"/>
            <w:bottom w:w="0" w:type="dxa"/>
            <w:right w:w="0" w:type="dxa"/>
          </w:tblCellMar>
        </w:tblPrEx>
        <w:trPr>
          <w:wAfter w:w="0" w:type="auto"/>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sz w:val="32"/>
                <w:szCs w:val="32"/>
                <w:lang w:val="en-US" w:eastAsia="zh-CN"/>
              </w:rPr>
              <w:t>通过红原县月亮湾景区供水工程的实施，将有效解决解决月亮湾景区用水问题，设计日最大客流量为1500人，本工程经济效益和社会效益十分显著，对红原县经济和社会发展具有重大的意义</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sz w:val="32"/>
                <w:szCs w:val="32"/>
                <w:lang w:val="en-US" w:eastAsia="zh-CN"/>
              </w:rPr>
              <w:t>通过红原县月亮湾景区供水工程的实施，将有效解决解决月亮湾景区用水问题，设计日最大客流量为1500人，本工程经济效益和社会效益十分显著，对红原县经济和社会发展具有重大的意义</w:t>
            </w:r>
          </w:p>
        </w:tc>
      </w:tr>
      <w:tr>
        <w:tblPrEx>
          <w:tblCellMar>
            <w:top w:w="0" w:type="dxa"/>
            <w:left w:w="0" w:type="dxa"/>
            <w:bottom w:w="0" w:type="dxa"/>
            <w:right w:w="0" w:type="dxa"/>
          </w:tblCellMar>
        </w:tblPrEx>
        <w:trPr>
          <w:wBefore w:w="0" w:type="auto"/>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绩效指标完成情况</w:t>
            </w:r>
          </w:p>
        </w:tc>
        <w:tc>
          <w:tcPr>
            <w:tcW w:w="15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二级指标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三级指标</w:t>
            </w:r>
          </w:p>
        </w:tc>
        <w:tc>
          <w:tcPr>
            <w:tcW w:w="23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预期指标值(包含数字及文字描述)</w:t>
            </w:r>
          </w:p>
        </w:tc>
        <w:tc>
          <w:tcPr>
            <w:tcW w:w="240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实际完成指标值(包含数字及文字描述)</w:t>
            </w:r>
          </w:p>
        </w:tc>
      </w:tr>
      <w:tr>
        <w:tblPrEx>
          <w:tblCellMar>
            <w:top w:w="0" w:type="dxa"/>
            <w:left w:w="0" w:type="dxa"/>
            <w:bottom w:w="0" w:type="dxa"/>
            <w:right w:w="0" w:type="dxa"/>
          </w:tblCellMar>
        </w:tblPrEx>
        <w:trPr>
          <w:wBefore w:w="0" w:type="auto"/>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15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产出指标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sz w:val="32"/>
                <w:szCs w:val="32"/>
              </w:rPr>
              <w:t>质量指标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sz w:val="32"/>
                <w:szCs w:val="32"/>
                <w:lang w:val="en-US" w:eastAsia="zh-CN"/>
              </w:rPr>
              <w:t>景区供水</w:t>
            </w:r>
          </w:p>
        </w:tc>
        <w:tc>
          <w:tcPr>
            <w:tcW w:w="23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100%</w:t>
            </w:r>
          </w:p>
        </w:tc>
        <w:tc>
          <w:tcPr>
            <w:tcW w:w="240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100%</w:t>
            </w:r>
          </w:p>
        </w:tc>
      </w:tr>
      <w:tr>
        <w:tblPrEx>
          <w:tblCellMar>
            <w:top w:w="0" w:type="dxa"/>
            <w:left w:w="0" w:type="dxa"/>
            <w:bottom w:w="0" w:type="dxa"/>
            <w:right w:w="0" w:type="dxa"/>
          </w:tblCellMar>
        </w:tblPrEx>
        <w:trPr>
          <w:wBefore w:w="0" w:type="auto"/>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157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sz w:val="32"/>
                <w:szCs w:val="32"/>
              </w:rPr>
              <w:t>服务对象满意度指标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sz w:val="32"/>
                <w:szCs w:val="32"/>
                <w:lang w:val="en-US" w:eastAsia="zh-CN"/>
              </w:rPr>
              <w:t>当地居民及游客</w:t>
            </w:r>
          </w:p>
        </w:tc>
        <w:tc>
          <w:tcPr>
            <w:tcW w:w="23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仿宋_GB2312" w:eastAsia="仿宋_GB2312" w:cs="仿宋_GB2312"/>
                <w:w w:val="100"/>
                <w:sz w:val="32"/>
                <w:szCs w:val="32"/>
                <w:lang w:val="en-US" w:eastAsia="zh-CN"/>
              </w:rPr>
              <w:t>群众对项目实施满意度≥95%</w:t>
            </w:r>
          </w:p>
        </w:tc>
        <w:tc>
          <w:tcPr>
            <w:tcW w:w="240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仿宋_GB2312" w:eastAsia="仿宋_GB2312" w:cs="仿宋_GB2312"/>
                <w:w w:val="100"/>
                <w:sz w:val="32"/>
                <w:szCs w:val="32"/>
                <w:lang w:val="en-US" w:eastAsia="zh-CN"/>
              </w:rPr>
              <w:t>群众对项目实施满意度≥95%</w:t>
            </w:r>
          </w:p>
        </w:tc>
      </w:tr>
    </w:tbl>
    <w:p>
      <w:pPr>
        <w:pageBreakBefore w:val="0"/>
        <w:numPr>
          <w:ilvl w:val="0"/>
          <w:numId w:val="0"/>
        </w:numPr>
        <w:kinsoku/>
        <w:wordWrap/>
        <w:overflowPunct/>
        <w:topLinePunct w:val="0"/>
        <w:bidi w:val="0"/>
        <w:spacing w:line="560" w:lineRule="exact"/>
        <w:ind w:firstLine="640" w:firstLineChars="20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418"/>
        <w:gridCol w:w="974"/>
        <w:gridCol w:w="210"/>
        <w:gridCol w:w="2182"/>
        <w:gridCol w:w="2394"/>
        <w:gridCol w:w="2392"/>
      </w:tblGrid>
      <w:tr>
        <w:tblPrEx>
          <w:tblCellMar>
            <w:top w:w="0" w:type="dxa"/>
            <w:left w:w="0" w:type="dxa"/>
            <w:bottom w:w="0" w:type="dxa"/>
            <w:right w:w="0" w:type="dxa"/>
          </w:tblCellMar>
        </w:tblPrEx>
        <w:trPr>
          <w:wAfter w:w="0" w:type="auto"/>
          <w:trHeight w:val="1034" w:hRule="atLeast"/>
        </w:trPr>
        <w:tc>
          <w:tcPr>
            <w:tcW w:w="9960" w:type="dxa"/>
            <w:gridSpan w:val="7"/>
            <w:tcMar>
              <w:top w:w="15" w:type="dxa"/>
              <w:left w:w="15" w:type="dxa"/>
              <w:bottom w:w="0" w:type="dxa"/>
              <w:right w:w="15" w:type="dxa"/>
            </w:tcMar>
            <w:vAlign w:val="center"/>
          </w:tcPr>
          <w:p>
            <w:pPr>
              <w:pStyle w:val="30"/>
              <w:pageBreakBefore w:val="0"/>
              <w:widowControl/>
              <w:kinsoku/>
              <w:wordWrap/>
              <w:overflowPunct/>
              <w:topLinePunct w:val="0"/>
              <w:bidi w:val="0"/>
              <w:spacing w:line="560" w:lineRule="exact"/>
              <w:ind w:left="0" w:leftChars="0" w:firstLine="0" w:firstLineChars="0"/>
              <w:jc w:val="center"/>
              <w:textAlignment w:val="center"/>
              <w:rPr>
                <w:rFonts w:hint="eastAsia" w:ascii="仿宋_GB2312" w:hAnsi="黑体" w:eastAsia="仿宋_GB2312" w:cs="宋体"/>
                <w:bCs/>
                <w:color w:val="000000"/>
                <w:kern w:val="0"/>
                <w:sz w:val="32"/>
                <w:szCs w:val="32"/>
                <w:lang w:eastAsia="zh-CN"/>
              </w:rPr>
            </w:pPr>
            <w:r>
              <w:rPr>
                <w:rFonts w:hint="eastAsia" w:ascii="仿宋_GB2312" w:hAnsi="黑体" w:eastAsia="仿宋_GB2312" w:cs="宋体"/>
                <w:bCs/>
                <w:color w:val="000000"/>
                <w:kern w:val="0"/>
                <w:sz w:val="32"/>
                <w:szCs w:val="32"/>
              </w:rPr>
              <w:t>项目支出绩效目标完成情况表</w:t>
            </w:r>
          </w:p>
          <w:p>
            <w:pPr>
              <w:pStyle w:val="30"/>
              <w:pageBreakBefore w:val="0"/>
              <w:widowControl/>
              <w:kinsoku/>
              <w:wordWrap/>
              <w:overflowPunct/>
              <w:topLinePunct w:val="0"/>
              <w:bidi w:val="0"/>
              <w:spacing w:line="560" w:lineRule="exact"/>
              <w:ind w:left="4028" w:leftChars="1918" w:firstLine="16" w:firstLineChars="5"/>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(202</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年度)</w:t>
            </w:r>
          </w:p>
        </w:tc>
      </w:tr>
      <w:tr>
        <w:tblPrEx>
          <w:tblCellMar>
            <w:top w:w="0" w:type="dxa"/>
            <w:left w:w="0" w:type="dxa"/>
            <w:bottom w:w="0" w:type="dxa"/>
            <w:right w:w="0" w:type="dxa"/>
          </w:tblCellMar>
        </w:tblPrEx>
        <w:trPr>
          <w:wAfter w:w="0" w:type="auto"/>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sz w:val="32"/>
                <w:szCs w:val="32"/>
                <w:lang w:val="en-US" w:eastAsia="zh-CN"/>
              </w:rPr>
              <w:t>红原县雅克音乐牧场供水工程</w:t>
            </w:r>
          </w:p>
        </w:tc>
      </w:tr>
      <w:tr>
        <w:tblPrEx>
          <w:tblCellMar>
            <w:top w:w="0" w:type="dxa"/>
            <w:left w:w="0" w:type="dxa"/>
            <w:bottom w:w="0" w:type="dxa"/>
            <w:right w:w="0" w:type="dxa"/>
          </w:tblCellMar>
        </w:tblPrEx>
        <w:trPr>
          <w:wAfter w:w="0" w:type="auto"/>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rPr>
              <w:t>红原县水务局</w:t>
            </w:r>
          </w:p>
        </w:tc>
      </w:tr>
      <w:tr>
        <w:tblPrEx>
          <w:tblCellMar>
            <w:top w:w="0" w:type="dxa"/>
            <w:left w:w="0" w:type="dxa"/>
            <w:bottom w:w="0" w:type="dxa"/>
            <w:right w:w="0" w:type="dxa"/>
          </w:tblCellMar>
        </w:tblPrEx>
        <w:trPr>
          <w:wAfter w:w="0" w:type="auto"/>
          <w:trHeight w:val="1251"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 w:hAnsi="仿宋" w:eastAsia="仿宋" w:cs="仿宋"/>
                <w:sz w:val="32"/>
                <w:szCs w:val="32"/>
                <w:lang w:val="en-US" w:eastAsia="zh-CN"/>
              </w:rPr>
              <w:t>240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 w:hAnsi="仿宋" w:eastAsia="仿宋" w:cs="仿宋"/>
                <w:sz w:val="32"/>
                <w:szCs w:val="32"/>
                <w:lang w:val="en-US" w:eastAsia="zh-CN"/>
              </w:rPr>
              <w:t>240</w:t>
            </w:r>
          </w:p>
        </w:tc>
      </w:tr>
      <w:tr>
        <w:tblPrEx>
          <w:tblCellMar>
            <w:top w:w="0" w:type="dxa"/>
            <w:left w:w="0" w:type="dxa"/>
            <w:bottom w:w="0" w:type="dxa"/>
            <w:right w:w="0" w:type="dxa"/>
          </w:tblCellMar>
        </w:tblPrEx>
        <w:trPr>
          <w:wAfter w:w="0" w:type="auto"/>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 w:hAnsi="仿宋" w:eastAsia="仿宋" w:cs="仿宋"/>
                <w:sz w:val="32"/>
                <w:szCs w:val="32"/>
                <w:lang w:val="en-US" w:eastAsia="zh-CN"/>
              </w:rPr>
              <w:t>240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 w:hAnsi="仿宋" w:eastAsia="仿宋" w:cs="仿宋"/>
                <w:sz w:val="32"/>
                <w:szCs w:val="32"/>
                <w:lang w:val="en-US" w:eastAsia="zh-CN"/>
              </w:rPr>
              <w:t>240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 w:hAnsi="仿宋" w:eastAsia="仿宋" w:cs="仿宋"/>
                <w:sz w:val="32"/>
                <w:szCs w:val="32"/>
                <w:lang w:val="en-US" w:eastAsia="zh-CN"/>
              </w:rPr>
              <w:t>240</w:t>
            </w:r>
          </w:p>
        </w:tc>
      </w:tr>
      <w:tr>
        <w:tblPrEx>
          <w:tblCellMar>
            <w:top w:w="0" w:type="dxa"/>
            <w:left w:w="0" w:type="dxa"/>
            <w:bottom w:w="0" w:type="dxa"/>
            <w:right w:w="0" w:type="dxa"/>
          </w:tblCellMar>
        </w:tblPrEx>
        <w:trPr>
          <w:wAfter w:w="0" w:type="auto"/>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60" w:lineRule="exact"/>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0</w:t>
            </w:r>
          </w:p>
        </w:tc>
      </w:tr>
      <w:tr>
        <w:tblPrEx>
          <w:tblCellMar>
            <w:top w:w="0" w:type="dxa"/>
            <w:left w:w="0" w:type="dxa"/>
            <w:bottom w:w="0" w:type="dxa"/>
            <w:right w:w="0" w:type="dxa"/>
          </w:tblCellMar>
        </w:tblPrEx>
        <w:trPr>
          <w:wAfter w:w="0" w:type="auto"/>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实际完成目标</w:t>
            </w:r>
          </w:p>
        </w:tc>
      </w:tr>
      <w:tr>
        <w:tblPrEx>
          <w:tblCellMar>
            <w:top w:w="0" w:type="dxa"/>
            <w:left w:w="0" w:type="dxa"/>
            <w:bottom w:w="0" w:type="dxa"/>
            <w:right w:w="0" w:type="dxa"/>
          </w:tblCellMar>
        </w:tblPrEx>
        <w:trPr>
          <w:wAfter w:w="0" w:type="auto"/>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numPr>
                <w:ilvl w:val="0"/>
                <w:numId w:val="0"/>
              </w:numPr>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通过红原县雅克音乐牧场供水工程的实施，将有效解决红原县雅克音乐牧场用水问题，使供水保证率达到90%。可见，本工程经济效益和社会效益十分显著，对红原县经济和社会发展具有重大的意义。</w:t>
            </w:r>
          </w:p>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numPr>
                <w:ilvl w:val="0"/>
                <w:numId w:val="0"/>
              </w:numPr>
              <w:kinsoku/>
              <w:wordWrap/>
              <w:overflowPunct/>
              <w:topLinePunct w:val="0"/>
              <w:bidi w:val="0"/>
              <w:adjustRightInd w:val="0"/>
              <w:snapToGrid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通过红原县雅克音乐牧场供水工程的实施，将有效解决红原县雅克音乐牧场用水问题，使供水保证率达到90%。可见，本工程经济效益和社会效益十分显著，对红原县经济和社会发展具有重大的意义。</w:t>
            </w:r>
          </w:p>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p>
        </w:tc>
      </w:tr>
      <w:tr>
        <w:tblPrEx>
          <w:tblCellMar>
            <w:top w:w="0" w:type="dxa"/>
            <w:left w:w="0" w:type="dxa"/>
            <w:bottom w:w="0" w:type="dxa"/>
            <w:right w:w="0" w:type="dxa"/>
          </w:tblCellMar>
        </w:tblPrEx>
        <w:trPr>
          <w:wBefore w:w="0" w:type="auto"/>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绩效指标完成情况</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一级指标</w:t>
            </w:r>
          </w:p>
        </w:tc>
        <w:tc>
          <w:tcPr>
            <w:tcW w:w="11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二级指标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实际完成指标值(包含数字及文字描述)</w:t>
            </w:r>
          </w:p>
        </w:tc>
      </w:tr>
      <w:tr>
        <w:tblPrEx>
          <w:tblCellMar>
            <w:top w:w="0" w:type="dxa"/>
            <w:left w:w="0" w:type="dxa"/>
            <w:bottom w:w="0" w:type="dxa"/>
            <w:right w:w="0" w:type="dxa"/>
          </w:tblCellMar>
        </w:tblPrEx>
        <w:trPr>
          <w:wBefore w:w="0" w:type="auto"/>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产出指标</w:t>
            </w:r>
          </w:p>
        </w:tc>
        <w:tc>
          <w:tcPr>
            <w:tcW w:w="11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sz w:val="32"/>
                <w:szCs w:val="32"/>
              </w:rPr>
              <w:t>质量指标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sz w:val="32"/>
                <w:szCs w:val="32"/>
                <w:lang w:val="en-US" w:eastAsia="zh-CN"/>
              </w:rPr>
              <w:t>新建设施数量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sz w:val="32"/>
                <w:szCs w:val="32"/>
                <w:lang w:val="en-US" w:eastAsia="zh-CN"/>
              </w:rPr>
            </w:pPr>
            <w:r>
              <w:rPr>
                <w:rFonts w:hint="eastAsia" w:ascii="仿宋" w:hAnsi="仿宋" w:eastAsia="仿宋" w:cs="仿宋"/>
                <w:color w:val="000000"/>
                <w:sz w:val="32"/>
                <w:szCs w:val="32"/>
                <w:lang w:val="en-US" w:eastAsia="zh-CN"/>
              </w:rPr>
              <w:t>新建深水井2座，新建泵房2座，</w:t>
            </w:r>
            <w:r>
              <w:rPr>
                <w:rFonts w:hint="eastAsia" w:ascii="仿宋" w:hAnsi="仿宋" w:eastAsia="仿宋" w:cs="仿宋"/>
                <w:color w:val="000000"/>
                <w:sz w:val="32"/>
                <w:szCs w:val="32"/>
                <w:lang w:val="en-US" w:eastAsia="zh-CN"/>
              </w:rPr>
              <w:tab/>
            </w:r>
            <w:r>
              <w:rPr>
                <w:rFonts w:hint="eastAsia" w:ascii="仿宋" w:hAnsi="仿宋" w:eastAsia="仿宋" w:cs="仿宋"/>
                <w:color w:val="000000"/>
                <w:sz w:val="32"/>
                <w:szCs w:val="32"/>
                <w:lang w:val="en-US" w:eastAsia="zh-CN"/>
              </w:rPr>
              <w:t>新建输水管网2.35千米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sz w:val="32"/>
                <w:szCs w:val="32"/>
                <w:lang w:val="en-US" w:eastAsia="zh-CN"/>
              </w:rPr>
            </w:pPr>
            <w:r>
              <w:rPr>
                <w:rFonts w:hint="eastAsia" w:ascii="仿宋" w:hAnsi="仿宋" w:eastAsia="仿宋" w:cs="仿宋"/>
                <w:color w:val="000000"/>
                <w:sz w:val="32"/>
                <w:szCs w:val="32"/>
                <w:lang w:val="en-US" w:eastAsia="zh-CN"/>
              </w:rPr>
              <w:t>新建深水井2座，新建泵房2座，</w:t>
            </w:r>
            <w:r>
              <w:rPr>
                <w:rFonts w:hint="eastAsia" w:ascii="仿宋" w:hAnsi="仿宋" w:eastAsia="仿宋" w:cs="仿宋"/>
                <w:color w:val="000000"/>
                <w:sz w:val="32"/>
                <w:szCs w:val="32"/>
                <w:lang w:val="en-US" w:eastAsia="zh-CN"/>
              </w:rPr>
              <w:tab/>
            </w:r>
            <w:r>
              <w:rPr>
                <w:rFonts w:hint="eastAsia" w:ascii="仿宋" w:hAnsi="仿宋" w:eastAsia="仿宋" w:cs="仿宋"/>
                <w:color w:val="000000"/>
                <w:sz w:val="32"/>
                <w:szCs w:val="32"/>
                <w:lang w:val="en-US" w:eastAsia="zh-CN"/>
              </w:rPr>
              <w:t>新建输水管网2.35千米</w:t>
            </w:r>
          </w:p>
        </w:tc>
      </w:tr>
      <w:tr>
        <w:tblPrEx>
          <w:tblCellMar>
            <w:top w:w="0" w:type="dxa"/>
            <w:left w:w="0" w:type="dxa"/>
            <w:bottom w:w="0" w:type="dxa"/>
            <w:right w:w="0" w:type="dxa"/>
          </w:tblCellMar>
        </w:tblPrEx>
        <w:trPr>
          <w:wBefore w:w="0" w:type="auto"/>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满意度指标</w:t>
            </w:r>
          </w:p>
        </w:tc>
        <w:tc>
          <w:tcPr>
            <w:tcW w:w="11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sz w:val="32"/>
                <w:szCs w:val="32"/>
              </w:rPr>
              <w:t>服务对象满意度指标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sz w:val="32"/>
                <w:szCs w:val="32"/>
                <w:lang w:val="en-US" w:eastAsia="zh-CN"/>
              </w:rPr>
              <w:t>用户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仿宋_GB2312" w:eastAsia="仿宋_GB2312" w:cs="仿宋_GB2312"/>
                <w:w w:val="100"/>
                <w:sz w:val="32"/>
                <w:szCs w:val="32"/>
                <w:lang w:val="en-US" w:eastAsia="zh-CN"/>
              </w:rPr>
              <w:t>群</w:t>
            </w:r>
            <w:r>
              <w:rPr>
                <w:rFonts w:hint="eastAsia" w:ascii="仿宋" w:hAnsi="仿宋" w:eastAsia="仿宋" w:cs="仿宋"/>
                <w:color w:val="000000"/>
                <w:sz w:val="32"/>
                <w:szCs w:val="32"/>
                <w:lang w:val="en-US" w:eastAsia="zh-CN"/>
              </w:rPr>
              <w:t>服务对象满意度≥95%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 w:hAnsi="仿宋" w:eastAsia="仿宋" w:cs="仿宋"/>
                <w:color w:val="000000"/>
                <w:sz w:val="32"/>
                <w:szCs w:val="32"/>
                <w:lang w:val="en-US" w:eastAsia="zh-CN"/>
              </w:rPr>
              <w:t>验收合格率≥100%</w:t>
            </w:r>
          </w:p>
        </w:tc>
      </w:tr>
    </w:tbl>
    <w:p>
      <w:pPr>
        <w:pageBreakBefore w:val="0"/>
        <w:kinsoku/>
        <w:wordWrap/>
        <w:overflowPunct/>
        <w:topLinePunct w:val="0"/>
        <w:bidi w:val="0"/>
        <w:spacing w:line="560" w:lineRule="exact"/>
      </w:pPr>
    </w:p>
    <w:p>
      <w:pPr>
        <w:pageBreakBefore w:val="0"/>
        <w:widowControl/>
        <w:kinsoku/>
        <w:wordWrap/>
        <w:overflowPunct/>
        <w:topLinePunct w:val="0"/>
        <w:bidi w:val="0"/>
        <w:spacing w:line="560" w:lineRule="exact"/>
        <w:jc w:val="left"/>
        <w:rPr>
          <w:rFonts w:ascii="仿宋_GB2312" w:eastAsia="仿宋_GB2312"/>
          <w:b/>
          <w:color w:val="000000"/>
          <w:sz w:val="32"/>
          <w:szCs w:val="32"/>
        </w:rPr>
      </w:pPr>
      <w:r>
        <w:rPr>
          <w:rFonts w:ascii="仿宋_GB2312" w:eastAsia="仿宋_GB2312"/>
          <w:b/>
          <w:color w:val="000000"/>
          <w:sz w:val="32"/>
          <w:szCs w:val="32"/>
        </w:rPr>
        <w:br w:type="page"/>
      </w:r>
    </w:p>
    <w:tbl>
      <w:tblPr>
        <w:tblStyle w:val="19"/>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418"/>
        <w:gridCol w:w="974"/>
        <w:gridCol w:w="210"/>
        <w:gridCol w:w="2182"/>
        <w:gridCol w:w="2349"/>
        <w:gridCol w:w="45"/>
        <w:gridCol w:w="2392"/>
      </w:tblGrid>
      <w:tr>
        <w:tblPrEx>
          <w:tblCellMar>
            <w:top w:w="0" w:type="dxa"/>
            <w:left w:w="0" w:type="dxa"/>
            <w:bottom w:w="0" w:type="dxa"/>
            <w:right w:w="0" w:type="dxa"/>
          </w:tblCellMar>
        </w:tblPrEx>
        <w:trPr>
          <w:wAfter w:w="0" w:type="auto"/>
          <w:trHeight w:val="1034" w:hRule="atLeast"/>
        </w:trPr>
        <w:tc>
          <w:tcPr>
            <w:tcW w:w="9960" w:type="dxa"/>
            <w:gridSpan w:val="8"/>
            <w:tcMar>
              <w:top w:w="15" w:type="dxa"/>
              <w:left w:w="15" w:type="dxa"/>
              <w:bottom w:w="0" w:type="dxa"/>
              <w:right w:w="15" w:type="dxa"/>
            </w:tcMar>
            <w:vAlign w:val="center"/>
          </w:tcPr>
          <w:p>
            <w:pPr>
              <w:pStyle w:val="30"/>
              <w:pageBreakBefore w:val="0"/>
              <w:widowControl/>
              <w:kinsoku/>
              <w:wordWrap/>
              <w:overflowPunct/>
              <w:topLinePunct w:val="0"/>
              <w:bidi w:val="0"/>
              <w:spacing w:line="560" w:lineRule="exact"/>
              <w:ind w:left="4015" w:leftChars="1310" w:hanging="1264" w:hangingChars="395"/>
              <w:textAlignment w:val="center"/>
              <w:rPr>
                <w:rFonts w:hint="eastAsia" w:ascii="仿宋_GB2312" w:hAnsi="黑体" w:eastAsia="仿宋_GB2312" w:cs="宋体"/>
                <w:bCs/>
                <w:color w:val="000000"/>
                <w:kern w:val="0"/>
                <w:sz w:val="32"/>
                <w:szCs w:val="32"/>
                <w:lang w:eastAsia="zh-CN"/>
              </w:rPr>
            </w:pPr>
            <w:r>
              <w:rPr>
                <w:rFonts w:hint="eastAsia" w:ascii="仿宋_GB2312" w:hAnsi="黑体" w:eastAsia="仿宋_GB2312" w:cs="宋体"/>
                <w:bCs/>
                <w:color w:val="000000"/>
                <w:kern w:val="0"/>
                <w:sz w:val="32"/>
                <w:szCs w:val="32"/>
              </w:rPr>
              <w:t>项目支出绩效目标完成情况表</w:t>
            </w:r>
          </w:p>
          <w:p>
            <w:pPr>
              <w:pStyle w:val="30"/>
              <w:pageBreakBefore w:val="0"/>
              <w:widowControl/>
              <w:kinsoku/>
              <w:wordWrap/>
              <w:overflowPunct/>
              <w:topLinePunct w:val="0"/>
              <w:bidi w:val="0"/>
              <w:spacing w:line="560" w:lineRule="exact"/>
              <w:ind w:left="4028" w:leftChars="1918" w:firstLine="16" w:firstLineChars="5"/>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(202</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年度)</w:t>
            </w:r>
          </w:p>
        </w:tc>
      </w:tr>
      <w:tr>
        <w:tblPrEx>
          <w:tblCellMar>
            <w:top w:w="0" w:type="dxa"/>
            <w:left w:w="0" w:type="dxa"/>
            <w:bottom w:w="0" w:type="dxa"/>
            <w:right w:w="0" w:type="dxa"/>
          </w:tblCellMar>
        </w:tblPrEx>
        <w:trPr>
          <w:wAfter w:w="0" w:type="auto"/>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项目名称</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仿宋_GB2312" w:eastAsia="仿宋_GB2312" w:cs="仿宋_GB2312"/>
                <w:sz w:val="32"/>
                <w:szCs w:val="40"/>
              </w:rPr>
              <w:t>红原县邛溪镇热坤村产业道路维修项目</w:t>
            </w:r>
          </w:p>
        </w:tc>
      </w:tr>
      <w:tr>
        <w:tblPrEx>
          <w:tblCellMar>
            <w:top w:w="0" w:type="dxa"/>
            <w:left w:w="0" w:type="dxa"/>
            <w:bottom w:w="0" w:type="dxa"/>
            <w:right w:w="0" w:type="dxa"/>
          </w:tblCellMar>
        </w:tblPrEx>
        <w:trPr>
          <w:wAfter w:w="0" w:type="auto"/>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预算单位</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rPr>
              <w:t>红原县水务局</w:t>
            </w:r>
          </w:p>
        </w:tc>
      </w:tr>
      <w:tr>
        <w:tblPrEx>
          <w:tblCellMar>
            <w:top w:w="0" w:type="dxa"/>
            <w:left w:w="0" w:type="dxa"/>
            <w:bottom w:w="0" w:type="dxa"/>
            <w:right w:w="0" w:type="dxa"/>
          </w:tblCellMar>
        </w:tblPrEx>
        <w:trPr>
          <w:wAfter w:w="0" w:type="auto"/>
          <w:trHeight w:val="1251"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仿宋_GB2312" w:eastAsia="仿宋_GB2312" w:cs="仿宋_GB2312"/>
                <w:sz w:val="32"/>
                <w:szCs w:val="40"/>
                <w:lang w:val="en-US" w:eastAsia="zh-CN"/>
              </w:rPr>
              <w:t>394</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仿宋_GB2312" w:eastAsia="仿宋_GB2312" w:cs="仿宋_GB2312"/>
                <w:sz w:val="32"/>
                <w:szCs w:val="40"/>
                <w:lang w:val="en-US" w:eastAsia="zh-CN"/>
              </w:rPr>
              <w:t>394</w:t>
            </w:r>
          </w:p>
        </w:tc>
      </w:tr>
      <w:tr>
        <w:tblPrEx>
          <w:tblCellMar>
            <w:top w:w="0" w:type="dxa"/>
            <w:left w:w="0" w:type="dxa"/>
            <w:bottom w:w="0" w:type="dxa"/>
            <w:right w:w="0" w:type="dxa"/>
          </w:tblCellMar>
        </w:tblPrEx>
        <w:trPr>
          <w:wAfter w:w="0" w:type="auto"/>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仿宋_GB2312" w:eastAsia="仿宋_GB2312" w:cs="仿宋_GB2312"/>
                <w:sz w:val="32"/>
                <w:szCs w:val="40"/>
                <w:lang w:val="en-US" w:eastAsia="zh-CN"/>
              </w:rPr>
              <w:t>354</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color w:val="000000"/>
                <w:sz w:val="32"/>
                <w:szCs w:val="32"/>
                <w:lang w:val="en-US" w:eastAsia="zh-CN"/>
              </w:rPr>
            </w:pPr>
            <w:r>
              <w:rPr>
                <w:rFonts w:hint="eastAsia" w:ascii="仿宋_GB2312" w:hAnsi="仿宋_GB2312" w:eastAsia="仿宋_GB2312" w:cs="仿宋_GB2312"/>
                <w:sz w:val="32"/>
                <w:szCs w:val="40"/>
                <w:lang w:val="en-US" w:eastAsia="zh-CN"/>
              </w:rPr>
              <w:t>354</w:t>
            </w:r>
          </w:p>
        </w:tc>
      </w:tr>
      <w:tr>
        <w:tblPrEx>
          <w:tblCellMar>
            <w:top w:w="0" w:type="dxa"/>
            <w:left w:w="0" w:type="dxa"/>
            <w:bottom w:w="0" w:type="dxa"/>
            <w:right w:w="0" w:type="dxa"/>
          </w:tblCellMar>
        </w:tblPrEx>
        <w:trPr>
          <w:wAfter w:w="0" w:type="auto"/>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仿宋_GB2312" w:eastAsia="仿宋_GB2312" w:cs="仿宋_GB2312"/>
                <w:sz w:val="32"/>
                <w:szCs w:val="40"/>
                <w:lang w:val="en-US" w:eastAsia="zh-CN"/>
              </w:rPr>
              <w:t>40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60" w:lineRule="exact"/>
              <w:jc w:val="center"/>
              <w:rPr>
                <w:rFonts w:ascii="仿宋_GB2312" w:hAnsi="宋体" w:eastAsia="仿宋_GB2312" w:cs="宋体"/>
                <w:color w:val="000000"/>
                <w:sz w:val="32"/>
                <w:szCs w:val="32"/>
              </w:rPr>
            </w:pPr>
            <w:r>
              <w:rPr>
                <w:rFonts w:hint="eastAsia" w:ascii="仿宋_GB2312" w:hAnsi="仿宋_GB2312" w:eastAsia="仿宋_GB2312" w:cs="仿宋_GB2312"/>
                <w:sz w:val="32"/>
                <w:szCs w:val="40"/>
                <w:lang w:val="en-US" w:eastAsia="zh-CN"/>
              </w:rPr>
              <w:t>40</w:t>
            </w:r>
          </w:p>
        </w:tc>
      </w:tr>
      <w:tr>
        <w:tblPrEx>
          <w:tblCellMar>
            <w:top w:w="0" w:type="dxa"/>
            <w:left w:w="0" w:type="dxa"/>
            <w:bottom w:w="0" w:type="dxa"/>
            <w:right w:w="0" w:type="dxa"/>
          </w:tblCellMar>
        </w:tblPrEx>
        <w:trPr>
          <w:wAfter w:w="0" w:type="auto"/>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kern w:val="0"/>
                <w:sz w:val="32"/>
                <w:szCs w:val="32"/>
              </w:rPr>
              <w:t>实际完成目标</w:t>
            </w:r>
          </w:p>
        </w:tc>
      </w:tr>
      <w:tr>
        <w:tblPrEx>
          <w:tblCellMar>
            <w:top w:w="0" w:type="dxa"/>
            <w:left w:w="0" w:type="dxa"/>
            <w:bottom w:w="0" w:type="dxa"/>
            <w:right w:w="0" w:type="dxa"/>
          </w:tblCellMar>
        </w:tblPrEx>
        <w:trPr>
          <w:wAfter w:w="0" w:type="auto"/>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仿宋_GB2312" w:eastAsia="仿宋_GB2312" w:cs="仿宋_GB2312"/>
                <w:sz w:val="32"/>
                <w:szCs w:val="40"/>
              </w:rPr>
              <w:t>段维修道路均为顶冲段，沿河侧已修建堡坎，但垮塌损毁严重，每遇洪水冲刷路基便不断垮塌，如果不立即修复，道路再经洪水冲刷，势必造成道路阻断，严重影响当地居民出行，阻碍地区经济发展。为了提高本河段的防洪能力，保护产业道路，保护当地居民的交通生命财产安全，为该区域的经济发展创造良好条件</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保障麦洼牦牛现代农业园区配套奶源路道路安全</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仿宋_GB2312" w:eastAsia="仿宋_GB2312" w:cs="仿宋_GB2312"/>
                <w:sz w:val="32"/>
                <w:szCs w:val="40"/>
              </w:rPr>
              <w:t>段维修道路均为顶冲段，沿河侧已修建堡坎，但垮塌损毁严重，每遇洪水冲刷路基便不断垮塌，如果不立即修复，道路再经洪水冲刷，势必造成道路阻断，严重影响当地居民出行，阻碍地区经济发展。为了提高本河段的防洪能力，保护产业道路，保护当地居民的交通生命财产安全，为该区域的经济发展创造良好条件</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保障麦洼牦牛现代农业园区配套奶源路道路安全</w:t>
            </w:r>
          </w:p>
        </w:tc>
      </w:tr>
      <w:tr>
        <w:tblPrEx>
          <w:tblCellMar>
            <w:top w:w="0" w:type="dxa"/>
            <w:left w:w="0" w:type="dxa"/>
            <w:bottom w:w="0" w:type="dxa"/>
            <w:right w:w="0" w:type="dxa"/>
          </w:tblCellMar>
        </w:tblPrEx>
        <w:trPr>
          <w:wBefore w:w="0" w:type="auto"/>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绩效指标完成情况</w:t>
            </w: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一级指标</w:t>
            </w:r>
          </w:p>
        </w:tc>
        <w:tc>
          <w:tcPr>
            <w:tcW w:w="11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二级指标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三级指标</w:t>
            </w:r>
          </w:p>
        </w:tc>
        <w:tc>
          <w:tcPr>
            <w:tcW w:w="2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预期指标值(包含数字及文字描述)</w:t>
            </w:r>
          </w:p>
        </w:tc>
        <w:tc>
          <w:tcPr>
            <w:tcW w:w="24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实际完成指标值(包含数字及文字描述)</w:t>
            </w:r>
          </w:p>
        </w:tc>
      </w:tr>
      <w:tr>
        <w:tblPrEx>
          <w:tblCellMar>
            <w:top w:w="0" w:type="dxa"/>
            <w:left w:w="0" w:type="dxa"/>
            <w:bottom w:w="0" w:type="dxa"/>
            <w:right w:w="0" w:type="dxa"/>
          </w:tblCellMar>
        </w:tblPrEx>
        <w:trPr>
          <w:wBefore w:w="0" w:type="auto"/>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产出指标</w:t>
            </w:r>
          </w:p>
        </w:tc>
        <w:tc>
          <w:tcPr>
            <w:tcW w:w="11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sz w:val="32"/>
                <w:szCs w:val="32"/>
              </w:rPr>
              <w:t>质量指标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sz w:val="32"/>
                <w:szCs w:val="32"/>
                <w:lang w:val="en-US" w:eastAsia="zh-CN"/>
              </w:rPr>
              <w:t>新建护岸</w:t>
            </w:r>
          </w:p>
        </w:tc>
        <w:tc>
          <w:tcPr>
            <w:tcW w:w="2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sz w:val="32"/>
                <w:szCs w:val="32"/>
                <w:lang w:val="en-US" w:eastAsia="zh-CN"/>
              </w:rPr>
            </w:pPr>
            <w:r>
              <w:rPr>
                <w:rFonts w:hint="eastAsia" w:ascii="仿宋_GB2312" w:hAnsi="仿宋_GB2312" w:eastAsia="仿宋_GB2312" w:cs="仿宋_GB2312"/>
                <w:sz w:val="32"/>
                <w:szCs w:val="40"/>
              </w:rPr>
              <w:t>新建护岸共3段</w:t>
            </w:r>
          </w:p>
        </w:tc>
        <w:tc>
          <w:tcPr>
            <w:tcW w:w="24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hint="default" w:ascii="仿宋_GB2312" w:hAnsi="宋体" w:eastAsia="仿宋_GB2312" w:cs="宋体"/>
                <w:sz w:val="32"/>
                <w:szCs w:val="32"/>
                <w:lang w:val="en-US" w:eastAsia="zh-CN"/>
              </w:rPr>
            </w:pPr>
            <w:r>
              <w:rPr>
                <w:rFonts w:hint="eastAsia" w:ascii="仿宋_GB2312" w:hAnsi="仿宋_GB2312" w:eastAsia="仿宋_GB2312" w:cs="仿宋_GB2312"/>
                <w:sz w:val="32"/>
                <w:szCs w:val="40"/>
              </w:rPr>
              <w:t>新建护岸共3段</w:t>
            </w:r>
          </w:p>
        </w:tc>
      </w:tr>
      <w:tr>
        <w:tblPrEx>
          <w:tblCellMar>
            <w:top w:w="0" w:type="dxa"/>
            <w:left w:w="0" w:type="dxa"/>
            <w:bottom w:w="0" w:type="dxa"/>
            <w:right w:w="0" w:type="dxa"/>
          </w:tblCellMar>
        </w:tblPrEx>
        <w:trPr>
          <w:wBefore w:w="0" w:type="auto"/>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仿宋_GB2312" w:hAnsi="宋体" w:eastAsia="仿宋_GB2312" w:cs="宋体"/>
                <w:color w:val="000000"/>
                <w:sz w:val="32"/>
                <w:szCs w:val="32"/>
              </w:rPr>
            </w:pPr>
          </w:p>
        </w:tc>
        <w:tc>
          <w:tcPr>
            <w:tcW w:w="14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kern w:val="0"/>
                <w:sz w:val="32"/>
                <w:szCs w:val="32"/>
              </w:rPr>
              <w:t>满意度指标</w:t>
            </w:r>
          </w:p>
        </w:tc>
        <w:tc>
          <w:tcPr>
            <w:tcW w:w="11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cs="宋体"/>
                <w:sz w:val="32"/>
                <w:szCs w:val="32"/>
              </w:rPr>
              <w:t>服务对象满意度指标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_GB2312" w:hAnsi="宋体" w:eastAsia="仿宋_GB2312"/>
                <w:sz w:val="32"/>
                <w:szCs w:val="32"/>
                <w:lang w:val="en-US" w:eastAsia="zh-CN"/>
              </w:rPr>
              <w:t>用户</w:t>
            </w:r>
          </w:p>
        </w:tc>
        <w:tc>
          <w:tcPr>
            <w:tcW w:w="23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 w:hAnsi="仿宋" w:eastAsia="仿宋" w:cs="仿宋"/>
                <w:color w:val="000000"/>
                <w:sz w:val="32"/>
                <w:szCs w:val="32"/>
                <w:lang w:val="en-US" w:eastAsia="zh-CN"/>
              </w:rPr>
              <w:t>服务对象满意度≥95%</w:t>
            </w:r>
          </w:p>
        </w:tc>
        <w:tc>
          <w:tcPr>
            <w:tcW w:w="24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仿宋_GB2312" w:hAnsi="宋体" w:eastAsia="仿宋_GB2312" w:cs="宋体"/>
                <w:sz w:val="32"/>
                <w:szCs w:val="32"/>
              </w:rPr>
            </w:pPr>
            <w:r>
              <w:rPr>
                <w:rFonts w:hint="eastAsia" w:ascii="仿宋" w:hAnsi="仿宋" w:eastAsia="仿宋" w:cs="仿宋"/>
                <w:color w:val="000000"/>
                <w:sz w:val="32"/>
                <w:szCs w:val="32"/>
                <w:lang w:val="en-US" w:eastAsia="zh-CN"/>
              </w:rPr>
              <w:t>验收合格率≥100%</w:t>
            </w:r>
          </w:p>
        </w:tc>
      </w:tr>
    </w:tbl>
    <w:p>
      <w:pPr>
        <w:pageBreakBefore w:val="0"/>
        <w:widowControl/>
        <w:kinsoku/>
        <w:wordWrap/>
        <w:overflowPunct/>
        <w:topLinePunct w:val="0"/>
        <w:bidi w:val="0"/>
        <w:spacing w:line="560" w:lineRule="exact"/>
        <w:jc w:val="left"/>
        <w:rPr>
          <w:rFonts w:ascii="仿宋_GB2312" w:eastAsia="仿宋_GB2312"/>
          <w:b/>
          <w:color w:val="000000"/>
          <w:sz w:val="32"/>
          <w:szCs w:val="32"/>
        </w:rPr>
      </w:pPr>
    </w:p>
    <w:tbl>
      <w:tblPr>
        <w:tblStyle w:val="19"/>
        <w:tblW w:w="1230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26"/>
        <w:gridCol w:w="668"/>
        <w:gridCol w:w="6"/>
        <w:gridCol w:w="141"/>
        <w:gridCol w:w="749"/>
        <w:gridCol w:w="247"/>
        <w:gridCol w:w="801"/>
        <w:gridCol w:w="295"/>
        <w:gridCol w:w="361"/>
        <w:gridCol w:w="1450"/>
        <w:gridCol w:w="5"/>
        <w:gridCol w:w="335"/>
        <w:gridCol w:w="556"/>
        <w:gridCol w:w="650"/>
        <w:gridCol w:w="458"/>
        <w:gridCol w:w="680"/>
        <w:gridCol w:w="284"/>
        <w:gridCol w:w="955"/>
        <w:gridCol w:w="609"/>
        <w:gridCol w:w="456"/>
        <w:gridCol w:w="1228"/>
        <w:gridCol w:w="8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643" w:hRule="exact"/>
          <w:jc w:val="center"/>
        </w:trPr>
        <w:tc>
          <w:tcPr>
            <w:tcW w:w="9776" w:type="dxa"/>
            <w:gridSpan w:val="19"/>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b/>
                <w:color w:val="000000"/>
                <w:sz w:val="32"/>
                <w:szCs w:val="32"/>
                <w:lang w:val="en-US" w:eastAsia="zh-CN"/>
              </w:rPr>
            </w:pPr>
            <w:r>
              <w:rPr>
                <w:rFonts w:hint="eastAsia" w:eastAsia="仿宋" w:cs="Times New Roman"/>
                <w:b/>
                <w:color w:val="000000"/>
                <w:sz w:val="32"/>
                <w:szCs w:val="32"/>
                <w:lang w:val="en-US" w:eastAsia="zh-CN"/>
              </w:rPr>
              <w:t>绩效目标自评表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102" w:hRule="exact"/>
          <w:jc w:val="center"/>
        </w:trPr>
        <w:tc>
          <w:tcPr>
            <w:tcW w:w="1200"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子项目</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名称</w:t>
            </w:r>
          </w:p>
        </w:tc>
        <w:tc>
          <w:tcPr>
            <w:tcW w:w="8576" w:type="dxa"/>
            <w:gridSpan w:val="16"/>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红原县哈曲麦洼乡滚塘村段防洪治理工程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092" w:hRule="exact"/>
          <w:jc w:val="center"/>
        </w:trPr>
        <w:tc>
          <w:tcPr>
            <w:tcW w:w="1200"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具体实</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施单位</w:t>
            </w:r>
          </w:p>
        </w:tc>
        <w:tc>
          <w:tcPr>
            <w:tcW w:w="8576" w:type="dxa"/>
            <w:gridSpan w:val="16"/>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红原县水务局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123" w:hRule="exact"/>
          <w:jc w:val="center"/>
        </w:trPr>
        <w:tc>
          <w:tcPr>
            <w:tcW w:w="1200" w:type="dxa"/>
            <w:gridSpan w:val="3"/>
            <w:vMerge w:val="restart"/>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资金</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情况</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(万元)</w:t>
            </w:r>
          </w:p>
        </w:tc>
        <w:tc>
          <w:tcPr>
            <w:tcW w:w="2233" w:type="dxa"/>
            <w:gridSpan w:val="5"/>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811"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计划</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投资</w:t>
            </w:r>
          </w:p>
        </w:tc>
        <w:tc>
          <w:tcPr>
            <w:tcW w:w="1546" w:type="dxa"/>
            <w:gridSpan w:val="4"/>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实际投资</w:t>
            </w:r>
          </w:p>
        </w:tc>
        <w:tc>
          <w:tcPr>
            <w:tcW w:w="1422"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已到位</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资金</w:t>
            </w:r>
          </w:p>
        </w:tc>
        <w:tc>
          <w:tcPr>
            <w:tcW w:w="1564"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已执行</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资金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012" w:hRule="exact"/>
          <w:jc w:val="center"/>
        </w:trPr>
        <w:tc>
          <w:tcPr>
            <w:tcW w:w="1200" w:type="dxa"/>
            <w:gridSpan w:val="3"/>
            <w:vMerge w:val="continue"/>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2233" w:type="dxa"/>
            <w:gridSpan w:val="5"/>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资金总额</w:t>
            </w:r>
          </w:p>
        </w:tc>
        <w:tc>
          <w:tcPr>
            <w:tcW w:w="1811"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1876</w:t>
            </w:r>
          </w:p>
        </w:tc>
        <w:tc>
          <w:tcPr>
            <w:tcW w:w="1546" w:type="dxa"/>
            <w:gridSpan w:val="4"/>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1876</w:t>
            </w:r>
          </w:p>
        </w:tc>
        <w:tc>
          <w:tcPr>
            <w:tcW w:w="1422"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1876</w:t>
            </w:r>
          </w:p>
        </w:tc>
        <w:tc>
          <w:tcPr>
            <w:tcW w:w="1564"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1691.289563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026" w:hRule="exact"/>
          <w:jc w:val="center"/>
        </w:trPr>
        <w:tc>
          <w:tcPr>
            <w:tcW w:w="1200"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2233" w:type="dxa"/>
            <w:gridSpan w:val="5"/>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中央财政资金</w:t>
            </w:r>
          </w:p>
        </w:tc>
        <w:tc>
          <w:tcPr>
            <w:tcW w:w="1811"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546" w:type="dxa"/>
            <w:gridSpan w:val="4"/>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422"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564"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105" w:hRule="exact"/>
          <w:jc w:val="center"/>
        </w:trPr>
        <w:tc>
          <w:tcPr>
            <w:tcW w:w="1200"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2233" w:type="dxa"/>
            <w:gridSpan w:val="5"/>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地方自筹统筹资金</w:t>
            </w:r>
          </w:p>
        </w:tc>
        <w:tc>
          <w:tcPr>
            <w:tcW w:w="1811"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1876</w:t>
            </w:r>
          </w:p>
        </w:tc>
        <w:tc>
          <w:tcPr>
            <w:tcW w:w="1546" w:type="dxa"/>
            <w:gridSpan w:val="4"/>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1876</w:t>
            </w:r>
          </w:p>
        </w:tc>
        <w:tc>
          <w:tcPr>
            <w:tcW w:w="1422"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1876</w:t>
            </w:r>
          </w:p>
        </w:tc>
        <w:tc>
          <w:tcPr>
            <w:tcW w:w="1564"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1691.289563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867" w:hRule="exact"/>
          <w:jc w:val="center"/>
        </w:trPr>
        <w:tc>
          <w:tcPr>
            <w:tcW w:w="1200"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总体</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目标</w:t>
            </w:r>
          </w:p>
        </w:tc>
        <w:tc>
          <w:tcPr>
            <w:tcW w:w="8576" w:type="dxa"/>
            <w:gridSpan w:val="16"/>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1.综合治理河道长度为6km，其中哈曲3.463km，塔洼沟支沟2.537km；2.堤防工程共计4.086km，其中：新建堤防2.464km，包括哈曲2段共1.063km、塔洼沟2段共1.401km；修复堤防0.584km，共6段；加固堤防1.038km，共9段。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1096" w:hRule="exact"/>
          <w:jc w:val="center"/>
        </w:trPr>
        <w:tc>
          <w:tcPr>
            <w:tcW w:w="1194" w:type="dxa"/>
            <w:gridSpan w:val="2"/>
            <w:vMerge w:val="restart"/>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绩效</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指标</w:t>
            </w:r>
          </w:p>
        </w:tc>
        <w:tc>
          <w:tcPr>
            <w:tcW w:w="896"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一级指标</w:t>
            </w:r>
          </w:p>
        </w:tc>
        <w:tc>
          <w:tcPr>
            <w:tcW w:w="1048"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二级指标</w:t>
            </w:r>
          </w:p>
        </w:tc>
        <w:tc>
          <w:tcPr>
            <w:tcW w:w="2446" w:type="dxa"/>
            <w:gridSpan w:val="5"/>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三级指标</w:t>
            </w:r>
          </w:p>
        </w:tc>
        <w:tc>
          <w:tcPr>
            <w:tcW w:w="1206"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指标值</w:t>
            </w:r>
          </w:p>
        </w:tc>
        <w:tc>
          <w:tcPr>
            <w:tcW w:w="1138"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实际完成值</w:t>
            </w:r>
          </w:p>
        </w:tc>
        <w:tc>
          <w:tcPr>
            <w:tcW w:w="1848" w:type="dxa"/>
            <w:gridSpan w:val="3"/>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偏差原因及改进措施</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737" w:hRule="exact"/>
          <w:jc w:val="center"/>
        </w:trPr>
        <w:tc>
          <w:tcPr>
            <w:tcW w:w="1194"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896" w:type="dxa"/>
            <w:gridSpan w:val="3"/>
            <w:vMerge w:val="restart"/>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产出</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指标</w:t>
            </w:r>
          </w:p>
        </w:tc>
        <w:tc>
          <w:tcPr>
            <w:tcW w:w="1048" w:type="dxa"/>
            <w:gridSpan w:val="2"/>
            <w:vMerge w:val="restart"/>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数量</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指标</w:t>
            </w:r>
          </w:p>
        </w:tc>
        <w:tc>
          <w:tcPr>
            <w:tcW w:w="2446" w:type="dxa"/>
            <w:gridSpan w:val="5"/>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河道综合治理</w:t>
            </w:r>
          </w:p>
        </w:tc>
        <w:tc>
          <w:tcPr>
            <w:tcW w:w="1206"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6.0km</w:t>
            </w:r>
          </w:p>
        </w:tc>
        <w:tc>
          <w:tcPr>
            <w:tcW w:w="1138" w:type="dxa"/>
            <w:gridSpan w:val="2"/>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6.0km</w:t>
            </w:r>
          </w:p>
        </w:tc>
        <w:tc>
          <w:tcPr>
            <w:tcW w:w="1848" w:type="dxa"/>
            <w:gridSpan w:val="3"/>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737" w:hRule="exact"/>
          <w:jc w:val="center"/>
        </w:trPr>
        <w:tc>
          <w:tcPr>
            <w:tcW w:w="1194"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896"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048"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2446" w:type="dxa"/>
            <w:gridSpan w:val="5"/>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河道岸堤修复长度</w:t>
            </w:r>
          </w:p>
        </w:tc>
        <w:tc>
          <w:tcPr>
            <w:tcW w:w="1206"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4.086km</w:t>
            </w:r>
          </w:p>
        </w:tc>
        <w:tc>
          <w:tcPr>
            <w:tcW w:w="1138" w:type="dxa"/>
            <w:gridSpan w:val="2"/>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4.086km</w:t>
            </w:r>
          </w:p>
        </w:tc>
        <w:tc>
          <w:tcPr>
            <w:tcW w:w="1848" w:type="dxa"/>
            <w:gridSpan w:val="3"/>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737" w:hRule="exact"/>
          <w:jc w:val="center"/>
        </w:trPr>
        <w:tc>
          <w:tcPr>
            <w:tcW w:w="1194"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896"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048"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2446" w:type="dxa"/>
            <w:gridSpan w:val="5"/>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206"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138" w:type="dxa"/>
            <w:gridSpan w:val="2"/>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848" w:type="dxa"/>
            <w:gridSpan w:val="3"/>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737" w:hRule="exact"/>
          <w:jc w:val="center"/>
        </w:trPr>
        <w:tc>
          <w:tcPr>
            <w:tcW w:w="1194"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896"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048"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2446" w:type="dxa"/>
            <w:gridSpan w:val="5"/>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206"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138" w:type="dxa"/>
            <w:gridSpan w:val="2"/>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848" w:type="dxa"/>
            <w:gridSpan w:val="3"/>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737" w:hRule="exact"/>
          <w:jc w:val="center"/>
        </w:trPr>
        <w:tc>
          <w:tcPr>
            <w:tcW w:w="1194"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896"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048" w:type="dxa"/>
            <w:gridSpan w:val="2"/>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2446" w:type="dxa"/>
            <w:gridSpan w:val="5"/>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206" w:type="dxa"/>
            <w:gridSpan w:val="2"/>
            <w:tcBorders>
              <w:tl2br w:val="nil"/>
              <w:tr2bl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138" w:type="dxa"/>
            <w:gridSpan w:val="2"/>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c>
          <w:tcPr>
            <w:tcW w:w="1848" w:type="dxa"/>
            <w:gridSpan w:val="3"/>
            <w:tcBorders>
              <w:tl2br w:val="nil"/>
              <w:tr2bl w:val="nil"/>
            </w:tcBorders>
            <w:noWrap/>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4092" w:hRule="exact"/>
          <w:jc w:val="center"/>
        </w:trPr>
        <w:tc>
          <w:tcPr>
            <w:tcW w:w="1194" w:type="dxa"/>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目前存在的困难问题</w:t>
            </w:r>
          </w:p>
        </w:tc>
        <w:tc>
          <w:tcPr>
            <w:tcW w:w="8582" w:type="dxa"/>
            <w:gridSpan w:val="17"/>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暂无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4493" w:hRule="exact"/>
          <w:jc w:val="center"/>
        </w:trPr>
        <w:tc>
          <w:tcPr>
            <w:tcW w:w="1194" w:type="dxa"/>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是否需要调整，如何调整</w:t>
            </w:r>
          </w:p>
        </w:tc>
        <w:tc>
          <w:tcPr>
            <w:tcW w:w="8582" w:type="dxa"/>
            <w:gridSpan w:val="17"/>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_GB2312" w:cs="Times New Roman"/>
                <w:color w:val="000000"/>
                <w:kern w:val="0"/>
                <w:sz w:val="28"/>
                <w:szCs w:val="40"/>
                <w:lang w:val="en-US" w:eastAsia="zh-CN"/>
              </w:rPr>
            </w:pPr>
            <w:r>
              <w:rPr>
                <w:color w:val="auto"/>
              </w:rPr>
              <w:t>方案中项目名称为“四川省红原县哈曲麦洼乡滚塘村段防洪治理工程”；项目表中项目名称为“白河红原县哈曲麦洼乡滚塘村段防洪治理子项目</w:t>
            </w:r>
            <w:r>
              <w:rPr>
                <w:rFonts w:hint="eastAsia"/>
                <w:color w:val="auto"/>
                <w:lang w:eastAsia="zh-CN"/>
              </w:rPr>
              <w:t>，</w:t>
            </w:r>
            <w:r>
              <w:rPr>
                <w:rFonts w:hint="eastAsia"/>
                <w:color w:val="auto"/>
                <w:lang w:val="en-US" w:eastAsia="zh-CN"/>
              </w:rPr>
              <w:t>因项目已完成招投标等相关手续，加之哈曲为黑河支流，恳请上级部门同意将项目名称统一为“</w:t>
            </w:r>
            <w:r>
              <w:rPr>
                <w:rFonts w:hint="eastAsia" w:ascii="Times New Roman" w:hAnsi="Times New Roman" w:eastAsia="仿宋_GB2312" w:cs="Times New Roman"/>
                <w:color w:val="auto"/>
                <w:kern w:val="2"/>
                <w:sz w:val="32"/>
                <w:szCs w:val="24"/>
                <w:lang w:val="en-US" w:eastAsia="zh-CN" w:bidi="ar-SA"/>
              </w:rPr>
              <w:t>红原县哈曲麦洼乡滚塘村段防洪治理工程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3"/>
          <w:wAfter w:w="2524" w:type="dxa"/>
          <w:trHeight w:val="4343" w:hRule="exact"/>
          <w:jc w:val="center"/>
        </w:trPr>
        <w:tc>
          <w:tcPr>
            <w:tcW w:w="1194" w:type="dxa"/>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default" w:eastAsia="仿宋" w:cs="Times New Roman"/>
                <w:color w:val="000000"/>
                <w:kern w:val="0"/>
                <w:sz w:val="28"/>
                <w:szCs w:val="40"/>
                <w:lang w:val="en-US" w:eastAsia="zh-CN"/>
              </w:rPr>
            </w:pPr>
            <w:r>
              <w:rPr>
                <w:rFonts w:hint="eastAsia" w:eastAsia="仿宋" w:cs="Times New Roman"/>
                <w:color w:val="000000"/>
                <w:kern w:val="0"/>
                <w:sz w:val="28"/>
                <w:szCs w:val="40"/>
                <w:lang w:val="en-US" w:eastAsia="zh-CN"/>
              </w:rPr>
              <w:t>评估结论</w:t>
            </w:r>
          </w:p>
        </w:tc>
        <w:tc>
          <w:tcPr>
            <w:tcW w:w="8582" w:type="dxa"/>
            <w:gridSpan w:val="17"/>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eastAsia="仿宋" w:cs="Times New Roman"/>
                <w:color w:val="000000"/>
                <w:kern w:val="0"/>
                <w:sz w:val="28"/>
                <w:szCs w:val="4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6" w:hRule="atLeast"/>
          <w:jc w:val="center"/>
        </w:trPr>
        <w:tc>
          <w:tcPr>
            <w:tcW w:w="12300"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ascii="方正小标宋简体" w:hAnsi="方正小标宋简体" w:eastAsia="方正小标宋简体" w:cs="方正小标宋简体"/>
                <w:i w:val="0"/>
                <w:color w:val="000000"/>
                <w:sz w:val="36"/>
                <w:szCs w:val="36"/>
                <w:u w:val="none"/>
              </w:rPr>
            </w:pPr>
            <w:r>
              <w:rPr>
                <w:rStyle w:val="43"/>
                <w:lang w:val="en-US" w:eastAsia="zh-CN" w:bidi="ar"/>
              </w:rPr>
              <w:t>绩效目标自评表</w:t>
            </w:r>
            <w:r>
              <w:rPr>
                <w:rStyle w:val="44"/>
                <w:lang w:val="en-US" w:eastAsia="zh-CN" w:bidi="ar"/>
              </w:rPr>
              <w:br w:type="textWrapping"/>
            </w:r>
            <w:r>
              <w:rPr>
                <w:rStyle w:val="45"/>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jc w:val="center"/>
        </w:trPr>
        <w:tc>
          <w:tcPr>
            <w:tcW w:w="23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9963"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色地镇新建取水枢纽及输水工程项目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5" w:hRule="atLeast"/>
          <w:jc w:val="center"/>
        </w:trPr>
        <w:tc>
          <w:tcPr>
            <w:tcW w:w="233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1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3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（A）</w:t>
            </w:r>
          </w:p>
        </w:tc>
        <w:tc>
          <w:tcPr>
            <w:tcW w:w="3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(B)</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233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23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3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233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23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3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233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23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3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jc w:val="center"/>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561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61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456"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561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新建取水枢纽1座，新建管网20.59千米及配套设施</w:t>
            </w:r>
          </w:p>
        </w:tc>
        <w:tc>
          <w:tcPr>
            <w:tcW w:w="61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新建取水枢纽1座，新建管网20.59千米及配套设施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61" w:hRule="atLeast"/>
          <w:jc w:val="center"/>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8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年度指标值</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1座</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1座</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及时完工率</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受益建档立卡贫困人口数</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≥900人</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≥900人</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5" w:hRule="atLeast"/>
          <w:jc w:val="center"/>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line="56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rPr>
                <w:rFonts w:hint="eastAsia" w:ascii="宋体" w:hAnsi="宋体" w:eastAsia="宋体" w:cs="宋体"/>
                <w:i w:val="0"/>
                <w:color w:val="000000"/>
                <w:sz w:val="22"/>
                <w:szCs w:val="22"/>
                <w:u w:val="none"/>
              </w:rPr>
            </w:pP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line="560" w:lineRule="exact"/>
              <w:jc w:val="center"/>
              <w:rPr>
                <w:rFonts w:hint="eastAsia" w:ascii="宋体" w:hAnsi="宋体" w:eastAsia="宋体" w:cs="宋体"/>
                <w:i w:val="0"/>
                <w:color w:val="000000"/>
                <w:sz w:val="22"/>
                <w:szCs w:val="22"/>
                <w:u w:val="none"/>
              </w:rPr>
            </w:pPr>
          </w:p>
        </w:tc>
      </w:tr>
    </w:tbl>
    <w:p>
      <w:pPr>
        <w:pStyle w:val="4"/>
        <w:pageBreakBefore w:val="0"/>
        <w:kinsoku/>
        <w:wordWrap/>
        <w:overflowPunct/>
        <w:topLinePunct w:val="0"/>
        <w:bidi w:val="0"/>
        <w:spacing w:before="0" w:beforeAutospacing="0" w:after="0" w:afterAutospacing="0" w:line="560" w:lineRule="exact"/>
        <w:ind w:firstLine="643" w:firstLineChars="200"/>
        <w:rPr>
          <w:rFonts w:hint="eastAsia" w:ascii="楷体" w:hAnsi="楷体" w:eastAsia="楷体" w:cs="楷体"/>
        </w:rPr>
      </w:pPr>
      <w:r>
        <w:rPr>
          <w:rFonts w:hint="eastAsia" w:ascii="楷体" w:hAnsi="楷体" w:eastAsia="楷体" w:cs="楷体"/>
          <w:lang w:eastAsia="zh-CN"/>
        </w:rPr>
        <w:t>（</w:t>
      </w:r>
      <w:r>
        <w:rPr>
          <w:rFonts w:hint="eastAsia" w:ascii="楷体" w:hAnsi="楷体" w:eastAsia="楷体" w:cs="楷体"/>
          <w:lang w:val="en-US" w:eastAsia="zh-CN"/>
        </w:rPr>
        <w:t>三</w:t>
      </w:r>
      <w:r>
        <w:rPr>
          <w:rFonts w:hint="eastAsia" w:ascii="楷体" w:hAnsi="楷体" w:eastAsia="楷体" w:cs="楷体"/>
          <w:lang w:eastAsia="zh-CN"/>
        </w:rPr>
        <w:t>）</w:t>
      </w:r>
      <w:r>
        <w:rPr>
          <w:rFonts w:hint="eastAsia" w:ascii="楷体" w:hAnsi="楷体" w:eastAsia="楷体" w:cs="楷体"/>
        </w:rPr>
        <w:t>部门开展绩效评价结果。</w:t>
      </w:r>
    </w:p>
    <w:p>
      <w:pPr>
        <w:pageBreakBefore w:val="0"/>
        <w:numPr>
          <w:numId w:val="0"/>
        </w:numPr>
        <w:kinsoku/>
        <w:wordWrap/>
        <w:overflowPunct/>
        <w:topLinePunct w:val="0"/>
        <w:bidi w:val="0"/>
        <w:spacing w:before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红原县水务局202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w:t>
      </w:r>
    </w:p>
    <w:p>
      <w:pPr>
        <w:pageBreakBefore w:val="0"/>
        <w:widowControl/>
        <w:kinsoku/>
        <w:wordWrap/>
        <w:overflowPunct/>
        <w:topLinePunct w:val="0"/>
        <w:bidi w:val="0"/>
        <w:spacing w:afterAutospacing="0" w:line="560" w:lineRule="exact"/>
        <w:ind w:firstLine="640" w:firstLineChars="200"/>
        <w:jc w:val="left"/>
        <w:rPr>
          <w:rFonts w:hint="eastAsia" w:eastAsia="仿宋" w:cs="Times New Roman"/>
          <w:color w:val="000000"/>
          <w:kern w:val="0"/>
          <w:sz w:val="28"/>
          <w:szCs w:val="40"/>
          <w:lang w:val="en-US" w:eastAsia="zh-CN"/>
        </w:rPr>
      </w:pPr>
      <w:r>
        <w:rPr>
          <w:rFonts w:hint="eastAsia" w:ascii="仿宋_GB2312" w:hAnsi="仿宋" w:eastAsia="仿宋_GB2312"/>
          <w:color w:val="000000"/>
          <w:sz w:val="32"/>
          <w:szCs w:val="32"/>
          <w:highlight w:val="none"/>
          <w:lang w:val="en-US" w:eastAsia="zh-CN"/>
        </w:rPr>
        <w:t>本部门在2021年度部门决算中反映“红原县月亮湾景区供水工程；雅克音乐牧场供水工程，红原县邛溪镇热坤村产业道路维修，哈曲麦洼乡滚塘村段防洪治理工程，色地镇新建取水枢纽及输水工程</w:t>
      </w:r>
      <w:r>
        <w:rPr>
          <w:rFonts w:hint="eastAsia" w:ascii="仿宋_GB2312" w:hAnsi="仿宋" w:eastAsia="仿宋_GB2312"/>
          <w:color w:val="000000"/>
          <w:sz w:val="32"/>
          <w:szCs w:val="32"/>
          <w:highlight w:val="none"/>
        </w:rPr>
        <w:t>等</w:t>
      </w:r>
      <w:r>
        <w:rPr>
          <w:rFonts w:hint="eastAsia" w:ascii="仿宋_GB2312" w:hAnsi="仿宋" w:eastAsia="仿宋_GB2312"/>
          <w:color w:val="000000"/>
          <w:sz w:val="32"/>
          <w:szCs w:val="32"/>
          <w:highlight w:val="none"/>
          <w:lang w:val="en-US" w:eastAsia="zh-CN"/>
        </w:rPr>
        <w:t>5</w:t>
      </w:r>
      <w:r>
        <w:rPr>
          <w:rFonts w:hint="eastAsia" w:ascii="仿宋_GB2312" w:hAnsi="仿宋" w:eastAsia="仿宋_GB2312"/>
          <w:color w:val="000000"/>
          <w:sz w:val="32"/>
          <w:szCs w:val="32"/>
          <w:highlight w:val="none"/>
        </w:rPr>
        <w:t>个项目绩效目标实际完成情况。（本单位部门项目绩效目标个数在5个以上的，选取5个项目进行公开，目标个数在5个以下的，全部进行公开，公开内容包括完成情况综述和完成情况表）。</w:t>
      </w:r>
      <w:r>
        <w:rPr>
          <w:rFonts w:hint="eastAsia" w:eastAsia="仿宋" w:cs="Times New Roman"/>
          <w:color w:val="000000"/>
          <w:kern w:val="0"/>
          <w:sz w:val="28"/>
          <w:szCs w:val="40"/>
          <w:lang w:val="en-US" w:eastAsia="zh-CN"/>
        </w:rPr>
        <w:t xml:space="preserve">     </w:t>
      </w:r>
    </w:p>
    <w:p>
      <w:pPr>
        <w:pStyle w:val="3"/>
        <w:pageBreakBefore w:val="0"/>
        <w:numPr>
          <w:ilvl w:val="0"/>
          <w:numId w:val="1"/>
        </w:numPr>
        <w:kinsoku/>
        <w:wordWrap/>
        <w:overflowPunct/>
        <w:topLinePunct w:val="0"/>
        <w:bidi w:val="0"/>
        <w:spacing w:before="0" w:beforeAutospacing="0" w:after="0" w:afterAutospacing="0" w:line="560" w:lineRule="exact"/>
        <w:jc w:val="center"/>
        <w:rPr>
          <w:rFonts w:hint="eastAsia" w:ascii="方正小标宋简体" w:hAnsi="方正小标宋简体" w:eastAsia="方正小标宋简体" w:cs="方正小标宋简体"/>
          <w:b/>
          <w:color w:val="000000"/>
          <w:sz w:val="44"/>
          <w:szCs w:val="44"/>
        </w:rPr>
      </w:pPr>
      <w:bookmarkStart w:id="94" w:name="_Toc15377225"/>
      <w:bookmarkStart w:id="95" w:name="_Toc11473"/>
      <w:bookmarkStart w:id="96" w:name="_Toc15396613"/>
      <w:bookmarkStart w:id="97" w:name="_Toc19727"/>
      <w:r>
        <w:rPr>
          <w:rFonts w:hint="eastAsia" w:ascii="方正小标宋简体" w:hAnsi="方正小标宋简体" w:eastAsia="方正小标宋简体" w:cs="方正小标宋简体"/>
          <w:color w:val="000000"/>
          <w:sz w:val="44"/>
          <w:szCs w:val="44"/>
        </w:rPr>
        <w:t>名</w:t>
      </w:r>
      <w:r>
        <w:rPr>
          <w:rStyle w:val="31"/>
          <w:rFonts w:hint="eastAsia" w:ascii="方正小标宋简体" w:hAnsi="方正小标宋简体" w:eastAsia="方正小标宋简体" w:cs="方正小标宋简体"/>
          <w:b w:val="0"/>
          <w:bCs/>
        </w:rPr>
        <w:t>词解释</w:t>
      </w:r>
      <w:bookmarkEnd w:id="94"/>
      <w:bookmarkEnd w:id="95"/>
      <w:bookmarkEnd w:id="96"/>
      <w:bookmarkEnd w:id="97"/>
    </w:p>
    <w:p>
      <w:pPr>
        <w:pageBreakBefore w:val="0"/>
        <w:kinsoku/>
        <w:wordWrap/>
        <w:overflowPunct/>
        <w:topLinePunct w:val="0"/>
        <w:autoSpaceDE w:val="0"/>
        <w:autoSpaceDN w:val="0"/>
        <w:bidi w:val="0"/>
        <w:adjustRightInd w:val="0"/>
        <w:spacing w:beforeAutospacing="0" w:line="560" w:lineRule="exact"/>
        <w:ind w:firstLine="640" w:firstLineChars="200"/>
        <w:jc w:val="left"/>
        <w:rPr>
          <w:rFonts w:hint="eastAsia" w:ascii="仿宋_GB2312" w:eastAsia="仿宋_GB2312"/>
          <w:color w:val="000000"/>
          <w:sz w:val="32"/>
          <w:szCs w:val="32"/>
        </w:rPr>
      </w:pPr>
      <w:bookmarkStart w:id="98" w:name="_Toc15377226"/>
      <w:r>
        <w:rPr>
          <w:rFonts w:hint="eastAsia" w:ascii="仿宋_GB2312" w:eastAsia="仿宋_GB2312"/>
          <w:color w:val="000000"/>
          <w:sz w:val="32"/>
          <w:szCs w:val="32"/>
        </w:rPr>
        <w:t>1.财政拨款收入：指单位从同级财政部门取得的财政预算资金。</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afterAutospacing="0" w:line="560" w:lineRule="exact"/>
        <w:jc w:val="center"/>
        <w:outlineLvl w:val="0"/>
        <w:rPr>
          <w:rStyle w:val="31"/>
          <w:rFonts w:ascii="黑体" w:hAnsi="黑体" w:eastAsia="黑体"/>
          <w:b w:val="0"/>
        </w:rPr>
      </w:pPr>
      <w:r>
        <w:rPr>
          <w:rFonts w:ascii="宋体"/>
          <w:b/>
          <w:color w:val="000000"/>
          <w:sz w:val="44"/>
          <w:szCs w:val="44"/>
        </w:rPr>
        <w:br w:type="page"/>
      </w:r>
      <w:bookmarkStart w:id="99" w:name="_Toc15396614"/>
      <w:bookmarkStart w:id="100" w:name="_Toc3620"/>
      <w:bookmarkStart w:id="101" w:name="_Toc21761"/>
      <w:r>
        <w:rPr>
          <w:rStyle w:val="31"/>
          <w:rFonts w:hint="eastAsia" w:ascii="方正小标宋简体" w:hAnsi="方正小标宋简体" w:eastAsia="方正小标宋简体" w:cs="方正小标宋简体"/>
          <w:b w:val="0"/>
          <w:bCs w:val="0"/>
        </w:rPr>
        <w:t>第四部分 附件</w:t>
      </w:r>
      <w:bookmarkEnd w:id="99"/>
      <w:bookmarkEnd w:id="100"/>
      <w:bookmarkEnd w:id="101"/>
    </w:p>
    <w:p>
      <w:pPr>
        <w:pStyle w:val="4"/>
        <w:bidi w:val="0"/>
        <w:spacing w:before="0" w:beforeAutospacing="0" w:after="0" w:afterAutospacing="0"/>
        <w:rPr>
          <w:rFonts w:hint="eastAsia" w:ascii="黑体" w:hAnsi="黑体" w:eastAsia="黑体" w:cs="黑体"/>
          <w:b w:val="0"/>
          <w:bCs w:val="0"/>
          <w:sz w:val="32"/>
          <w:szCs w:val="32"/>
        </w:rPr>
      </w:pPr>
      <w:bookmarkStart w:id="102" w:name="_Toc8405"/>
      <w:r>
        <w:rPr>
          <w:rFonts w:hint="eastAsia" w:ascii="黑体" w:hAnsi="黑体" w:eastAsia="黑体" w:cs="黑体"/>
          <w:b w:val="0"/>
          <w:bCs w:val="0"/>
          <w:sz w:val="32"/>
          <w:szCs w:val="32"/>
        </w:rPr>
        <w:t>附件1</w:t>
      </w:r>
      <w:bookmarkEnd w:id="102"/>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 w:val="0"/>
          <w:bCs/>
          <w:sz w:val="44"/>
          <w:szCs w:val="44"/>
          <w:lang w:eastAsia="zh-CN"/>
        </w:rPr>
      </w:pPr>
      <w:r>
        <w:rPr>
          <w:rFonts w:hint="eastAsia" w:ascii="方正小标宋简体" w:eastAsia="方正小标宋简体"/>
          <w:b w:val="0"/>
          <w:bCs/>
          <w:sz w:val="44"/>
          <w:szCs w:val="44"/>
          <w:lang w:eastAsia="zh-CN"/>
        </w:rPr>
        <w:t>红原县水务局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 w:val="0"/>
          <w:bCs/>
          <w:sz w:val="44"/>
          <w:szCs w:val="44"/>
        </w:rPr>
      </w:pPr>
      <w:r>
        <w:rPr>
          <w:rFonts w:hint="eastAsia" w:ascii="方正小标宋简体" w:eastAsia="方正小标宋简体"/>
          <w:b w:val="0"/>
          <w:bCs/>
          <w:sz w:val="44"/>
          <w:szCs w:val="44"/>
        </w:rPr>
        <w:t>2</w:t>
      </w:r>
      <w:r>
        <w:rPr>
          <w:rFonts w:hint="eastAsia" w:ascii="方正小标宋简体" w:eastAsia="方正小标宋简体"/>
          <w:b w:val="0"/>
          <w:bCs/>
          <w:sz w:val="44"/>
          <w:szCs w:val="44"/>
          <w:lang w:val="en-US" w:eastAsia="zh-CN"/>
        </w:rPr>
        <w:t>021</w:t>
      </w:r>
      <w:r>
        <w:rPr>
          <w:rFonts w:hint="eastAsia" w:ascii="方正小标宋简体" w:eastAsia="方正小标宋简体"/>
          <w:b w:val="0"/>
          <w:bCs/>
          <w:sz w:val="44"/>
          <w:szCs w:val="44"/>
        </w:rPr>
        <w:t>年</w:t>
      </w:r>
      <w:r>
        <w:rPr>
          <w:rFonts w:hint="eastAsia" w:ascii="方正小标宋简体" w:eastAsia="方正小标宋简体"/>
          <w:b w:val="0"/>
          <w:bCs/>
          <w:sz w:val="44"/>
          <w:szCs w:val="44"/>
          <w:lang w:eastAsia="zh-CN"/>
        </w:rPr>
        <w:t>度</w:t>
      </w:r>
      <w:r>
        <w:rPr>
          <w:rFonts w:hint="eastAsia" w:ascii="方正小标宋简体" w:eastAsia="方正小标宋简体"/>
          <w:b w:val="0"/>
          <w:bCs/>
          <w:sz w:val="44"/>
          <w:szCs w:val="44"/>
        </w:rPr>
        <w:t>部门整体支出绩效评价</w:t>
      </w:r>
      <w:r>
        <w:rPr>
          <w:rFonts w:hint="eastAsia" w:ascii="方正小标宋简体" w:eastAsia="方正小标宋简体"/>
          <w:b w:val="0"/>
          <w:bCs/>
          <w:sz w:val="44"/>
          <w:szCs w:val="44"/>
          <w:lang w:eastAsia="zh-CN"/>
        </w:rPr>
        <w:t>自评</w:t>
      </w:r>
      <w:r>
        <w:rPr>
          <w:rFonts w:hint="eastAsia" w:ascii="方正小标宋简体" w:eastAsia="方正小标宋简体"/>
          <w:b w:val="0"/>
          <w:bCs/>
          <w:sz w:val="44"/>
          <w:szCs w:val="44"/>
        </w:rPr>
        <w:t>报告</w:t>
      </w:r>
    </w:p>
    <w:p>
      <w:pPr>
        <w:pStyle w:val="1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Style w:val="18"/>
        <w:keepNext w:val="0"/>
        <w:keepLines w:val="0"/>
        <w:pageBreakBefore w:val="0"/>
        <w:kinsoku/>
        <w:wordWrap/>
        <w:overflowPunct/>
        <w:topLinePunct w:val="0"/>
        <w:autoSpaceDE/>
        <w:autoSpaceDN/>
        <w:bidi w:val="0"/>
        <w:spacing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主要职能。主要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政、渔政监察和水务行政执法工作；拟定渔业资源保护规划，实施渔业环境保护；负责全县水产资源和水生野生动植物的保护工作；协调并裁决水事、渔事纠纷，查处水事、渔事案件；负责有关行政复议受理和行政诉讼应诉工作。组织实施地方农村电力管理工作。</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2．本单位本年度纳入本套决算编制范围的独立编制机构数共1个，比上年增加0个，无增减变动；独立核算机构数共1个，比上年增加0个,无增减变动。 </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3．本单位本年度年末实有人数为19人，比上年增加-1人；年末实有离退休人数为0人，比上年增加0人；变动情况及原因为2021年退休两人，调入一人。年末实有其他人数为0人，比上年增加0人。</w:t>
      </w:r>
    </w:p>
    <w:p>
      <w:pPr>
        <w:pStyle w:val="18"/>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sz w:val="32"/>
          <w:szCs w:val="32"/>
        </w:rPr>
      </w:pPr>
      <w:r>
        <w:rPr>
          <w:rFonts w:hint="eastAsia" w:ascii="黑体" w:hAnsi="黑体" w:eastAsia="黑体" w:cs="黑体"/>
          <w:sz w:val="32"/>
          <w:szCs w:val="32"/>
        </w:rPr>
        <w:t>二、部门财政资金收支情况</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3" w:firstLineChars="200"/>
        <w:textAlignment w:val="auto"/>
        <w:rPr>
          <w:rFonts w:hint="eastAsia" w:ascii="楷体" w:hAnsi="楷体" w:eastAsia="楷体" w:cs="楷体"/>
          <w:b/>
          <w:bCs/>
          <w:kern w:val="2"/>
          <w:sz w:val="32"/>
          <w:szCs w:val="32"/>
          <w:lang w:val="zh-CN" w:eastAsia="zh-CN" w:bidi="ar-SA"/>
        </w:rPr>
      </w:pPr>
      <w:r>
        <w:rPr>
          <w:rFonts w:hint="eastAsia" w:ascii="楷体" w:hAnsi="楷体" w:eastAsia="楷体" w:cs="楷体"/>
          <w:b/>
          <w:bCs/>
          <w:kern w:val="2"/>
          <w:sz w:val="32"/>
          <w:szCs w:val="32"/>
          <w:lang w:val="zh-CN" w:eastAsia="zh-CN" w:bidi="ar-SA"/>
        </w:rPr>
        <w:t>（一）部门财政资金收入情况</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 xml:space="preserve">收入支出预算安排情况。本单位本年度收入的年初预算数为362.98万元，上年度收入的年初预算数为348.33万元，差异为14.65万元；主要原因为预算项目建设资金增加。收入支出预算执行情况。本单位本年度收入调整预算数为3,729.43万元，收入决算数为3,729.43万元，预算完成度为100.00%，上年度预算完成度为100.00%。 </w:t>
      </w:r>
    </w:p>
    <w:p>
      <w:pPr>
        <w:pStyle w:val="18"/>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3" w:firstLineChars="200"/>
        <w:textAlignment w:val="auto"/>
        <w:rPr>
          <w:rFonts w:hint="eastAsia" w:ascii="楷体" w:hAnsi="楷体" w:eastAsia="楷体" w:cs="楷体"/>
          <w:b/>
          <w:bCs/>
          <w:sz w:val="32"/>
          <w:szCs w:val="32"/>
          <w:lang w:val="zh-CN"/>
        </w:rPr>
      </w:pPr>
      <w:r>
        <w:rPr>
          <w:rFonts w:hint="eastAsia" w:ascii="楷体" w:hAnsi="楷体" w:eastAsia="楷体" w:cs="楷体"/>
          <w:b/>
          <w:bCs/>
          <w:sz w:val="32"/>
          <w:szCs w:val="32"/>
          <w:lang w:val="zh-CN"/>
        </w:rPr>
        <w:t>（二）部门财政资金支出情况</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本年度支出的年初预算数为 1,087.21万元，上年度支出的年初预算数为348.33万元，差异为738.88万元；主要原因为年初数包含上年末结转结余数。本年度支出调整预算数为4,281.68万元，支出决算数为4,281.68万元，预算完成度为100.00%，年度预算完成度为89.23%，存在差异的主要原因为上年存量安排项目资金增加总支出数。</w:t>
      </w:r>
    </w:p>
    <w:p>
      <w:pPr>
        <w:pStyle w:val="18"/>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三、部门整体预算绩效管理情况</w:t>
      </w:r>
    </w:p>
    <w:p>
      <w:pPr>
        <w:pStyle w:val="18"/>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3" w:firstLineChars="200"/>
        <w:textAlignment w:val="auto"/>
        <w:rPr>
          <w:rFonts w:hint="eastAsia" w:ascii="楷体" w:hAnsi="楷体" w:eastAsia="楷体" w:cs="楷体"/>
          <w:b/>
          <w:bCs/>
          <w:sz w:val="32"/>
          <w:szCs w:val="32"/>
          <w:lang w:val="zh-CN"/>
        </w:rPr>
      </w:pPr>
      <w:r>
        <w:rPr>
          <w:rFonts w:hint="eastAsia" w:ascii="楷体" w:hAnsi="楷体" w:eastAsia="楷体" w:cs="楷体"/>
          <w:b/>
          <w:bCs/>
          <w:sz w:val="32"/>
          <w:szCs w:val="32"/>
          <w:lang w:val="zh-CN"/>
        </w:rPr>
        <w:t>（一）部门预算管理</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项目绩效目标完成情况：今年我单位共计实施新续建项目9个，共计投入资金6850万元，项目总体推进情况较好。</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（1）红原县雅克音乐牧场供水工程：项目总投资240万元，该项目已竣工验收并投入使用。</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（2）红原县月亮湾景区供水工程项目：项目总投资80万元，该项目已竣工验收并投入使用。</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（3）红原县邛溪镇热坤村产业道路维修项目：项目总投资500万元，该项目已竣工验收并投入使用。</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（4）红原县2021年农村饮水安全运行维护采购项目：项目总投资200万，运行维护单位分4个片区成立了维修维护服务队，常态化的对全县农村供水设施进行维护，对各乡镇反映的供水不畅的问题进行及时维修。</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（5）哈曲麦洼乡滚塘村段防洪治理工程：项目总投资1876万元，截止目前该项目该项目已完成总工程量的40%。</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（6）雅克音乐牧场、虎头山安多部落民族风情村及安曲镇防汛度汛应急工程、国省干道20处的河道疏浚项目：项目总投资200万元，该项目已竣工验收并投入使用。</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（7）色地镇新建取水枢纽及输水工程：项目总投资800万元，该项目已竣工验收并交付使用。</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3"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（二）续建项目</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（1）红原县查尔玛乡日阿曲防洪治理工程：项目总投资1760万元，该项目已竣工验收并交付使用。</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（2）红原县滨河路延伸段堤防工程：项目总投资1194万元，该项目已完工验收并交付使用。</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3" w:firstLineChars="200"/>
        <w:textAlignment w:val="auto"/>
        <w:rPr>
          <w:rFonts w:hint="eastAsia" w:ascii="楷体" w:hAnsi="楷体" w:eastAsia="楷体" w:cs="楷体"/>
          <w:b/>
          <w:bCs/>
          <w:kern w:val="2"/>
          <w:sz w:val="32"/>
          <w:szCs w:val="32"/>
          <w:lang w:val="zh-CN" w:eastAsia="zh-CN" w:bidi="ar-SA"/>
        </w:rPr>
      </w:pPr>
      <w:r>
        <w:rPr>
          <w:rFonts w:hint="eastAsia" w:ascii="楷体" w:hAnsi="楷体" w:eastAsia="楷体" w:cs="楷体"/>
          <w:b/>
          <w:bCs/>
          <w:kern w:val="2"/>
          <w:sz w:val="32"/>
          <w:szCs w:val="32"/>
          <w:lang w:val="zh-CN" w:eastAsia="zh-CN" w:bidi="ar-SA"/>
        </w:rPr>
        <w:t>（</w:t>
      </w:r>
      <w:r>
        <w:rPr>
          <w:rFonts w:hint="eastAsia" w:ascii="楷体" w:hAnsi="楷体" w:eastAsia="楷体" w:cs="楷体"/>
          <w:b/>
          <w:bCs/>
          <w:kern w:val="2"/>
          <w:sz w:val="32"/>
          <w:szCs w:val="32"/>
          <w:lang w:val="en-US" w:eastAsia="zh-CN" w:bidi="ar-SA"/>
        </w:rPr>
        <w:t>三</w:t>
      </w:r>
      <w:r>
        <w:rPr>
          <w:rFonts w:hint="eastAsia" w:ascii="楷体" w:hAnsi="楷体" w:eastAsia="楷体" w:cs="楷体"/>
          <w:b/>
          <w:bCs/>
          <w:kern w:val="2"/>
          <w:sz w:val="32"/>
          <w:szCs w:val="32"/>
          <w:lang w:val="zh-CN" w:eastAsia="zh-CN" w:bidi="ar-SA"/>
        </w:rPr>
        <w:t>）结果应用情况</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是预算编制的前提和基础，按照“费随事定”的原则，2021年我单位项目支出按要求编制了绩效目标，从项目完成、项目效益、满意度。项目完成指标达100%，项目效益指标：通过项目建设，有效的提升我县基础设施建设，最大限度保障了人民群众的生命财产安全。服务对象满意度100%。</w:t>
      </w:r>
    </w:p>
    <w:p>
      <w:pPr>
        <w:keepNext w:val="0"/>
        <w:keepLines w:val="0"/>
        <w:pageBreakBefore w:val="0"/>
        <w:widowControl/>
        <w:kinsoku/>
        <w:wordWrap/>
        <w:overflowPunct/>
        <w:topLinePunct w:val="0"/>
        <w:autoSpaceDE/>
        <w:autoSpaceDN/>
        <w:bidi w:val="0"/>
        <w:adjustRightInd w:val="0"/>
        <w:snapToGrid w:val="0"/>
        <w:spacing w:beforeAutospacing="0" w:line="560" w:lineRule="exact"/>
        <w:ind w:firstLine="640" w:firstLineChars="200"/>
        <w:contextualSpacing/>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四、评价结论及建议</w:t>
      </w:r>
    </w:p>
    <w:p>
      <w:pPr>
        <w:pStyle w:val="18"/>
        <w:keepNext w:val="0"/>
        <w:keepLines w:val="0"/>
        <w:pageBreakBefore w:val="0"/>
        <w:kinsoku/>
        <w:wordWrap/>
        <w:overflowPunct/>
        <w:topLinePunct w:val="0"/>
        <w:autoSpaceDE/>
        <w:autoSpaceDN/>
        <w:bidi w:val="0"/>
        <w:spacing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（一）评价结论</w:t>
      </w:r>
      <w:r>
        <w:rPr>
          <w:rFonts w:hint="eastAsia" w:ascii="仿宋_GB2312" w:hAnsi="仿宋_GB2312" w:eastAsia="仿宋_GB2312" w:cs="仿宋_GB2312"/>
          <w:kern w:val="2"/>
          <w:sz w:val="32"/>
          <w:szCs w:val="32"/>
          <w:lang w:val="en-US" w:eastAsia="zh-CN" w:bidi="ar-SA"/>
        </w:rPr>
        <w:t>政治理论学习不够深入；为适应新形势的变化和发展，做到与时俱进</w:t>
      </w:r>
      <w:r>
        <w:rPr>
          <w:rFonts w:hint="eastAsia" w:ascii="仿宋_GB2312" w:hAnsi="仿宋_GB2312" w:eastAsia="仿宋_GB2312" w:cs="仿宋_GB2312"/>
          <w:kern w:val="2"/>
          <w:sz w:val="32"/>
          <w:szCs w:val="32"/>
          <w:lang w:val="zh-CN" w:eastAsia="zh-CN" w:bidi="ar-SA"/>
        </w:rPr>
        <w:t>今后改进措施，不断加强政治理论学习。</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（二）存在问题：</w:t>
      </w:r>
      <w:r>
        <w:rPr>
          <w:rFonts w:hint="eastAsia" w:ascii="仿宋_GB2312" w:hAnsi="仿宋_GB2312" w:eastAsia="仿宋_GB2312" w:cs="仿宋_GB2312"/>
          <w:kern w:val="2"/>
          <w:sz w:val="32"/>
          <w:szCs w:val="32"/>
          <w:lang w:val="en-US" w:eastAsia="zh-CN" w:bidi="ar-SA"/>
        </w:rPr>
        <w:t>思想解放不够，开拓精神不强、创新工作不够大胆；业务知识欠缺，业务能力有待提升。</w:t>
      </w:r>
    </w:p>
    <w:p>
      <w:pPr>
        <w:pStyle w:val="18"/>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zh-CN" w:eastAsia="zh-CN" w:bidi="ar-SA"/>
        </w:rPr>
        <w:t>（三）改进建议：一是大力弘扬理论联系实际的学习，带动全中心广大党员干部特别是领导干部紧密联系自己的思想实际和工作实际，做到学以立德、学以增智。二是借鉴和参考发达地区的先进经验，紧密联系本地、本局实际，做到学以致用。三是加强业务知识学习，提高业务能力。</w:t>
      </w:r>
      <w:r>
        <w:rPr>
          <w:rFonts w:hint="eastAsia" w:ascii="仿宋_GB2312" w:hAnsi="仿宋_GB2312" w:eastAsia="仿宋_GB2312" w:cs="仿宋_GB2312"/>
          <w:kern w:val="2"/>
          <w:sz w:val="32"/>
          <w:szCs w:val="32"/>
          <w:lang w:val="en-US" w:eastAsia="zh-CN" w:bidi="ar-SA"/>
        </w:rPr>
        <w:t>在今后的工作中，单位领导班子将进一步依靠集体的智慧和力量，充分发挥班子每位成员的作用，不段加强自身业务知识学习，不断提高业务能力。</w:t>
      </w:r>
    </w:p>
    <w:p>
      <w:pPr>
        <w:pageBreakBefore w:val="0"/>
        <w:kinsoku/>
        <w:wordWrap/>
        <w:overflowPunct/>
        <w:topLinePunct w:val="0"/>
        <w:bidi w:val="0"/>
        <w:spacing w:beforeAutospacing="0" w:line="560" w:lineRule="exact"/>
        <w:ind w:firstLine="640"/>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18"/>
        <w:pageBreakBefore w:val="0"/>
        <w:kinsoku/>
        <w:wordWrap/>
        <w:overflowPunct/>
        <w:topLinePunct w:val="0"/>
        <w:bidi w:val="0"/>
        <w:spacing w:line="560" w:lineRule="exact"/>
        <w:rPr>
          <w:rFonts w:ascii="仿宋_GB2312" w:hAnsi="仿宋_GB2312" w:eastAsia="仿宋_GB2312" w:cs="仿宋_GB2312"/>
          <w:sz w:val="32"/>
          <w:szCs w:val="32"/>
        </w:rPr>
      </w:pPr>
    </w:p>
    <w:p>
      <w:pPr>
        <w:pStyle w:val="3"/>
        <w:bidi w:val="0"/>
        <w:spacing w:after="0" w:afterAutospacing="0"/>
        <w:jc w:val="center"/>
        <w:rPr>
          <w:rStyle w:val="31"/>
          <w:rFonts w:hint="eastAsia" w:ascii="方正小标宋简体" w:hAnsi="方正小标宋简体" w:eastAsia="方正小标宋简体" w:cs="方正小标宋简体"/>
          <w:b w:val="0"/>
          <w:bCs/>
        </w:rPr>
      </w:pPr>
      <w:bookmarkStart w:id="103" w:name="_Toc10718"/>
      <w:bookmarkStart w:id="104" w:name="_Toc15396618"/>
      <w:bookmarkStart w:id="105" w:name="_Toc25692"/>
      <w:r>
        <w:rPr>
          <w:rFonts w:hint="eastAsia" w:ascii="方正小标宋简体" w:hAnsi="方正小标宋简体" w:eastAsia="方正小标宋简体" w:cs="方正小标宋简体"/>
        </w:rPr>
        <w:t>第五部分 附表</w:t>
      </w:r>
      <w:bookmarkEnd w:id="98"/>
      <w:bookmarkEnd w:id="103"/>
      <w:bookmarkEnd w:id="104"/>
      <w:bookmarkEnd w:id="10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06" w:name="_Toc15396619"/>
      <w:bookmarkStart w:id="107" w:name="_Toc8039"/>
      <w:r>
        <w:rPr>
          <w:rFonts w:hint="eastAsia" w:ascii="仿宋_GB2312" w:hAnsi="仿宋_GB2312" w:eastAsia="仿宋_GB2312" w:cs="仿宋_GB2312"/>
          <w:sz w:val="32"/>
          <w:szCs w:val="32"/>
        </w:rPr>
        <w:t>一、</w:t>
      </w:r>
      <w:bookmarkEnd w:id="106"/>
      <w:r>
        <w:rPr>
          <w:rFonts w:hint="eastAsia" w:ascii="仿宋_GB2312" w:hAnsi="仿宋_GB2312" w:eastAsia="仿宋_GB2312" w:cs="仿宋_GB2312"/>
          <w:sz w:val="32"/>
          <w:szCs w:val="32"/>
        </w:rPr>
        <w:t>收入支出决算总表</w:t>
      </w:r>
      <w:bookmarkEnd w:id="10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08" w:name="_Toc15396620"/>
      <w:bookmarkStart w:id="109" w:name="_Toc12316"/>
      <w:r>
        <w:rPr>
          <w:rFonts w:hint="eastAsia" w:ascii="仿宋_GB2312" w:hAnsi="仿宋_GB2312" w:eastAsia="仿宋_GB2312" w:cs="仿宋_GB2312"/>
          <w:sz w:val="32"/>
          <w:szCs w:val="32"/>
        </w:rPr>
        <w:t>二、</w:t>
      </w:r>
      <w:bookmarkEnd w:id="108"/>
      <w:r>
        <w:rPr>
          <w:rFonts w:hint="eastAsia" w:ascii="仿宋_GB2312" w:hAnsi="仿宋_GB2312" w:eastAsia="仿宋_GB2312" w:cs="仿宋_GB2312"/>
          <w:sz w:val="32"/>
          <w:szCs w:val="32"/>
        </w:rPr>
        <w:t>收入支出决算表</w:t>
      </w:r>
      <w:bookmarkEnd w:id="10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10" w:name="_Toc15396621"/>
      <w:bookmarkStart w:id="111" w:name="_Toc15102"/>
      <w:r>
        <w:rPr>
          <w:rStyle w:val="32"/>
          <w:rFonts w:hint="eastAsia" w:ascii="仿宋_GB2312" w:hAnsi="仿宋_GB2312" w:eastAsia="仿宋_GB2312" w:cs="仿宋_GB2312"/>
          <w:b w:val="0"/>
          <w:bCs w:val="0"/>
          <w:sz w:val="32"/>
          <w:szCs w:val="32"/>
        </w:rPr>
        <w:t>三、</w:t>
      </w:r>
      <w:bookmarkEnd w:id="110"/>
      <w:r>
        <w:rPr>
          <w:rFonts w:hint="eastAsia" w:ascii="仿宋_GB2312" w:hAnsi="仿宋_GB2312" w:eastAsia="仿宋_GB2312" w:cs="仿宋_GB2312"/>
          <w:b w:val="0"/>
          <w:color w:val="000000"/>
          <w:sz w:val="32"/>
          <w:szCs w:val="32"/>
        </w:rPr>
        <w:t>收入决算表</w:t>
      </w:r>
      <w:bookmarkEnd w:id="1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color w:val="000000"/>
          <w:sz w:val="32"/>
          <w:szCs w:val="32"/>
        </w:rPr>
      </w:pPr>
      <w:bookmarkStart w:id="112" w:name="_Toc15396622"/>
      <w:bookmarkStart w:id="113" w:name="_Toc28805"/>
      <w:r>
        <w:rPr>
          <w:rStyle w:val="32"/>
          <w:rFonts w:hint="eastAsia" w:ascii="仿宋_GB2312" w:hAnsi="仿宋_GB2312" w:eastAsia="仿宋_GB2312" w:cs="仿宋_GB2312"/>
          <w:b w:val="0"/>
          <w:bCs w:val="0"/>
          <w:sz w:val="32"/>
          <w:szCs w:val="32"/>
        </w:rPr>
        <w:t>四、</w:t>
      </w:r>
      <w:bookmarkEnd w:id="112"/>
      <w:r>
        <w:rPr>
          <w:rFonts w:hint="eastAsia" w:ascii="仿宋_GB2312" w:hAnsi="仿宋_GB2312" w:eastAsia="仿宋_GB2312" w:cs="仿宋_GB2312"/>
          <w:b w:val="0"/>
          <w:color w:val="000000"/>
          <w:sz w:val="32"/>
          <w:szCs w:val="32"/>
        </w:rPr>
        <w:t>支出决算表</w:t>
      </w:r>
      <w:bookmarkEnd w:id="11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32"/>
          <w:rFonts w:hint="eastAsia" w:ascii="仿宋_GB2312" w:hAnsi="仿宋_GB2312" w:eastAsia="仿宋_GB2312" w:cs="仿宋_GB2312"/>
          <w:b w:val="0"/>
          <w:bCs w:val="0"/>
          <w:sz w:val="32"/>
          <w:szCs w:val="32"/>
        </w:rPr>
      </w:pPr>
      <w:bookmarkStart w:id="114" w:name="_Toc15396623"/>
      <w:bookmarkStart w:id="115" w:name="_Toc26078"/>
      <w:r>
        <w:rPr>
          <w:rStyle w:val="32"/>
          <w:rFonts w:hint="eastAsia" w:ascii="仿宋_GB2312" w:hAnsi="仿宋_GB2312" w:eastAsia="仿宋_GB2312" w:cs="仿宋_GB2312"/>
          <w:b w:val="0"/>
          <w:bCs w:val="0"/>
          <w:sz w:val="32"/>
          <w:szCs w:val="32"/>
        </w:rPr>
        <w:t>五、</w:t>
      </w:r>
      <w:bookmarkEnd w:id="114"/>
      <w:bookmarkStart w:id="116" w:name="_Toc15396624"/>
      <w:r>
        <w:rPr>
          <w:rFonts w:hint="eastAsia" w:ascii="仿宋_GB2312" w:hAnsi="仿宋_GB2312" w:eastAsia="仿宋_GB2312" w:cs="仿宋_GB2312"/>
          <w:b w:val="0"/>
          <w:color w:val="000000"/>
          <w:sz w:val="32"/>
          <w:szCs w:val="32"/>
        </w:rPr>
        <w:t>支出决算明细表</w:t>
      </w:r>
      <w:bookmarkEnd w:id="11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17" w:name="_Toc15033"/>
      <w:r>
        <w:rPr>
          <w:rStyle w:val="32"/>
          <w:rFonts w:hint="eastAsia" w:ascii="仿宋_GB2312" w:hAnsi="仿宋_GB2312" w:eastAsia="仿宋_GB2312" w:cs="仿宋_GB2312"/>
          <w:b w:val="0"/>
          <w:bCs w:val="0"/>
          <w:sz w:val="32"/>
          <w:szCs w:val="32"/>
        </w:rPr>
        <w:t>六、</w:t>
      </w:r>
      <w:bookmarkEnd w:id="116"/>
      <w:r>
        <w:rPr>
          <w:rFonts w:hint="eastAsia" w:ascii="仿宋_GB2312" w:hAnsi="仿宋_GB2312" w:eastAsia="仿宋_GB2312" w:cs="仿宋_GB2312"/>
          <w:b w:val="0"/>
          <w:color w:val="000000"/>
          <w:sz w:val="32"/>
          <w:szCs w:val="32"/>
        </w:rPr>
        <w:t>项目收入支出决算表</w:t>
      </w:r>
      <w:bookmarkEnd w:id="11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18" w:name="_Toc15396625"/>
      <w:bookmarkStart w:id="119" w:name="_Toc31078"/>
      <w:r>
        <w:rPr>
          <w:rStyle w:val="32"/>
          <w:rFonts w:hint="eastAsia" w:ascii="仿宋_GB2312" w:hAnsi="仿宋_GB2312" w:eastAsia="仿宋_GB2312" w:cs="仿宋_GB2312"/>
          <w:b w:val="0"/>
          <w:bCs w:val="0"/>
          <w:sz w:val="32"/>
          <w:szCs w:val="32"/>
        </w:rPr>
        <w:t>七、</w:t>
      </w:r>
      <w:bookmarkEnd w:id="118"/>
      <w:r>
        <w:rPr>
          <w:rFonts w:hint="eastAsia" w:ascii="仿宋_GB2312" w:hAnsi="仿宋_GB2312" w:eastAsia="仿宋_GB2312" w:cs="仿宋_GB2312"/>
          <w:b w:val="0"/>
          <w:color w:val="000000"/>
          <w:sz w:val="32"/>
          <w:szCs w:val="32"/>
        </w:rPr>
        <w:t>一般公共预算财政拨款收入支出决算表</w:t>
      </w:r>
      <w:bookmarkEnd w:id="1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color w:val="000000"/>
          <w:sz w:val="32"/>
          <w:szCs w:val="32"/>
        </w:rPr>
      </w:pPr>
      <w:bookmarkStart w:id="120" w:name="_Toc15396626"/>
      <w:bookmarkStart w:id="121" w:name="_Toc12758"/>
      <w:r>
        <w:rPr>
          <w:rStyle w:val="32"/>
          <w:rFonts w:hint="eastAsia" w:ascii="仿宋_GB2312" w:hAnsi="仿宋_GB2312" w:eastAsia="仿宋_GB2312" w:cs="仿宋_GB2312"/>
          <w:b w:val="0"/>
          <w:bCs w:val="0"/>
          <w:sz w:val="32"/>
          <w:szCs w:val="32"/>
        </w:rPr>
        <w:t>八、</w:t>
      </w:r>
      <w:bookmarkEnd w:id="120"/>
      <w:bookmarkStart w:id="122" w:name="_Toc15396627"/>
      <w:r>
        <w:rPr>
          <w:rFonts w:hint="eastAsia" w:ascii="仿宋_GB2312" w:hAnsi="仿宋_GB2312" w:eastAsia="仿宋_GB2312" w:cs="仿宋_GB2312"/>
          <w:b w:val="0"/>
          <w:color w:val="000000"/>
          <w:sz w:val="32"/>
          <w:szCs w:val="32"/>
        </w:rPr>
        <w:t>一般公共预算财政拨款支出决算明细表</w:t>
      </w:r>
      <w:bookmarkEnd w:id="1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color w:val="000000"/>
          <w:sz w:val="32"/>
          <w:szCs w:val="32"/>
        </w:rPr>
      </w:pPr>
      <w:bookmarkStart w:id="123" w:name="_Toc26252"/>
      <w:r>
        <w:rPr>
          <w:rStyle w:val="32"/>
          <w:rFonts w:hint="eastAsia" w:ascii="仿宋_GB2312" w:hAnsi="仿宋_GB2312" w:eastAsia="仿宋_GB2312" w:cs="仿宋_GB2312"/>
          <w:b w:val="0"/>
          <w:bCs w:val="0"/>
          <w:sz w:val="32"/>
          <w:szCs w:val="32"/>
        </w:rPr>
        <w:t>九、</w:t>
      </w:r>
      <w:bookmarkEnd w:id="122"/>
      <w:bookmarkStart w:id="124" w:name="_Toc15396628"/>
      <w:r>
        <w:rPr>
          <w:rFonts w:hint="eastAsia" w:ascii="仿宋_GB2312" w:hAnsi="仿宋_GB2312" w:eastAsia="仿宋_GB2312" w:cs="仿宋_GB2312"/>
          <w:b w:val="0"/>
          <w:color w:val="000000"/>
          <w:sz w:val="32"/>
          <w:szCs w:val="32"/>
        </w:rPr>
        <w:t>一般公共预算财政拨款基本支出决算明细表</w:t>
      </w:r>
      <w:bookmarkEnd w:id="1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25" w:name="_Toc15364"/>
      <w:r>
        <w:rPr>
          <w:rStyle w:val="32"/>
          <w:rFonts w:hint="eastAsia" w:ascii="仿宋_GB2312" w:hAnsi="仿宋_GB2312" w:eastAsia="仿宋_GB2312" w:cs="仿宋_GB2312"/>
          <w:b w:val="0"/>
          <w:bCs w:val="0"/>
          <w:sz w:val="32"/>
          <w:szCs w:val="32"/>
        </w:rPr>
        <w:t>十、</w:t>
      </w:r>
      <w:bookmarkEnd w:id="124"/>
      <w:r>
        <w:rPr>
          <w:rFonts w:hint="eastAsia" w:ascii="仿宋_GB2312" w:hAnsi="仿宋_GB2312" w:eastAsia="仿宋_GB2312" w:cs="仿宋_GB2312"/>
          <w:b w:val="0"/>
          <w:color w:val="000000"/>
          <w:sz w:val="32"/>
          <w:szCs w:val="32"/>
        </w:rPr>
        <w:t>一般公共预算财政拨款项目支出决算明细表</w:t>
      </w:r>
      <w:bookmarkEnd w:id="1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26" w:name="_Toc15396629"/>
      <w:bookmarkStart w:id="127" w:name="_Toc30658"/>
      <w:r>
        <w:rPr>
          <w:rStyle w:val="32"/>
          <w:rFonts w:hint="eastAsia" w:ascii="仿宋_GB2312" w:hAnsi="仿宋_GB2312" w:eastAsia="仿宋_GB2312" w:cs="仿宋_GB2312"/>
          <w:b w:val="0"/>
          <w:bCs w:val="0"/>
          <w:sz w:val="32"/>
          <w:szCs w:val="32"/>
        </w:rPr>
        <w:t>十一、</w:t>
      </w:r>
      <w:bookmarkEnd w:id="126"/>
      <w:r>
        <w:rPr>
          <w:rFonts w:hint="eastAsia" w:ascii="仿宋_GB2312" w:hAnsi="仿宋_GB2312" w:eastAsia="仿宋_GB2312" w:cs="仿宋_GB2312"/>
          <w:b w:val="0"/>
          <w:color w:val="000000"/>
          <w:sz w:val="32"/>
          <w:szCs w:val="32"/>
        </w:rPr>
        <w:t>预算支出相关信息表</w:t>
      </w:r>
      <w:bookmarkEnd w:id="1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128" w:name="_Toc2890"/>
      <w:bookmarkStart w:id="129" w:name="_Toc15396630"/>
      <w:r>
        <w:rPr>
          <w:rStyle w:val="32"/>
          <w:rFonts w:hint="eastAsia" w:ascii="仿宋_GB2312" w:hAnsi="仿宋_GB2312" w:eastAsia="仿宋_GB2312" w:cs="仿宋_GB2312"/>
          <w:b w:val="0"/>
          <w:bCs w:val="0"/>
          <w:sz w:val="32"/>
          <w:szCs w:val="32"/>
        </w:rPr>
        <w:t>十二、</w:t>
      </w:r>
      <w:r>
        <w:rPr>
          <w:rFonts w:hint="eastAsia" w:ascii="仿宋_GB2312" w:hAnsi="仿宋_GB2312" w:eastAsia="仿宋_GB2312" w:cs="仿宋_GB2312"/>
          <w:b w:val="0"/>
          <w:color w:val="000000"/>
          <w:sz w:val="32"/>
          <w:szCs w:val="32"/>
        </w:rPr>
        <w:t>基本数字表</w:t>
      </w:r>
      <w:bookmarkEnd w:id="128"/>
      <w:bookmarkEnd w:id="1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color w:val="000000"/>
          <w:sz w:val="32"/>
          <w:szCs w:val="32"/>
        </w:rPr>
      </w:pPr>
      <w:bookmarkStart w:id="130" w:name="_Toc15396631"/>
      <w:bookmarkStart w:id="131" w:name="_Toc19167"/>
      <w:r>
        <w:rPr>
          <w:rStyle w:val="32"/>
          <w:rFonts w:hint="eastAsia" w:ascii="仿宋_GB2312" w:hAnsi="仿宋_GB2312" w:eastAsia="仿宋_GB2312" w:cs="仿宋_GB2312"/>
          <w:b w:val="0"/>
          <w:bCs w:val="0"/>
          <w:sz w:val="32"/>
          <w:szCs w:val="32"/>
        </w:rPr>
        <w:t>十三、</w:t>
      </w:r>
      <w:bookmarkEnd w:id="130"/>
      <w:r>
        <w:rPr>
          <w:rFonts w:hint="eastAsia" w:ascii="仿宋_GB2312" w:hAnsi="仿宋_GB2312" w:eastAsia="仿宋_GB2312" w:cs="仿宋_GB2312"/>
          <w:b w:val="0"/>
          <w:color w:val="000000"/>
          <w:sz w:val="32"/>
          <w:szCs w:val="32"/>
        </w:rPr>
        <w:t>机构运行信息表</w:t>
      </w:r>
      <w:bookmarkEnd w:id="131"/>
    </w:p>
    <w:p>
      <w:pPr>
        <w:pStyle w:val="6"/>
        <w:pageBreakBefore w:val="0"/>
        <w:kinsoku/>
        <w:wordWrap/>
        <w:overflowPunct/>
        <w:topLinePunct w:val="0"/>
        <w:bidi w:val="0"/>
        <w:spacing w:line="560" w:lineRule="exact"/>
        <w:ind w:left="0" w:leftChars="0" w:firstLine="0" w:firstLineChars="0"/>
        <w:rPr>
          <w:rFonts w:hint="eastAsia"/>
          <w:lang w:eastAsia="zh-CN"/>
        </w:rPr>
      </w:pP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kZmU5ODYyMTRkODU0NDg3YjcwMDdiNzJlYWRiMW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1EF49AA"/>
    <w:rsid w:val="03210C96"/>
    <w:rsid w:val="05A60E22"/>
    <w:rsid w:val="05E41993"/>
    <w:rsid w:val="06DD579A"/>
    <w:rsid w:val="08FF6A59"/>
    <w:rsid w:val="0A6F4298"/>
    <w:rsid w:val="0B154F96"/>
    <w:rsid w:val="0B8827A8"/>
    <w:rsid w:val="0BAE575C"/>
    <w:rsid w:val="0C822053"/>
    <w:rsid w:val="0CFD33F5"/>
    <w:rsid w:val="0D8576FC"/>
    <w:rsid w:val="10A50681"/>
    <w:rsid w:val="10C055FF"/>
    <w:rsid w:val="10D43DF6"/>
    <w:rsid w:val="12005AE9"/>
    <w:rsid w:val="12616B3D"/>
    <w:rsid w:val="156264EB"/>
    <w:rsid w:val="16BB723D"/>
    <w:rsid w:val="16E8049F"/>
    <w:rsid w:val="183500C9"/>
    <w:rsid w:val="18935F11"/>
    <w:rsid w:val="18B65981"/>
    <w:rsid w:val="1A9829AF"/>
    <w:rsid w:val="1B292529"/>
    <w:rsid w:val="1B9445C5"/>
    <w:rsid w:val="1BC056BA"/>
    <w:rsid w:val="1C9A238E"/>
    <w:rsid w:val="1DA076DC"/>
    <w:rsid w:val="1DBD6AE3"/>
    <w:rsid w:val="20277D02"/>
    <w:rsid w:val="20836900"/>
    <w:rsid w:val="223D08AC"/>
    <w:rsid w:val="22CF3516"/>
    <w:rsid w:val="240371BF"/>
    <w:rsid w:val="242D4168"/>
    <w:rsid w:val="24B43F99"/>
    <w:rsid w:val="24DD54EC"/>
    <w:rsid w:val="250F429A"/>
    <w:rsid w:val="258C078F"/>
    <w:rsid w:val="273A1EAA"/>
    <w:rsid w:val="276D6793"/>
    <w:rsid w:val="279664C8"/>
    <w:rsid w:val="280865BF"/>
    <w:rsid w:val="29FD04D3"/>
    <w:rsid w:val="2AF96CC1"/>
    <w:rsid w:val="2C1F083A"/>
    <w:rsid w:val="2C4A141C"/>
    <w:rsid w:val="2C673F57"/>
    <w:rsid w:val="2D60735C"/>
    <w:rsid w:val="2DB85203"/>
    <w:rsid w:val="2E60297B"/>
    <w:rsid w:val="2F0738D4"/>
    <w:rsid w:val="2F525700"/>
    <w:rsid w:val="31611488"/>
    <w:rsid w:val="319F7F4E"/>
    <w:rsid w:val="32AF6E79"/>
    <w:rsid w:val="32D42C24"/>
    <w:rsid w:val="330C3F1F"/>
    <w:rsid w:val="331B245A"/>
    <w:rsid w:val="34937900"/>
    <w:rsid w:val="356953CF"/>
    <w:rsid w:val="35844ECF"/>
    <w:rsid w:val="35C24C31"/>
    <w:rsid w:val="365340C6"/>
    <w:rsid w:val="36922B60"/>
    <w:rsid w:val="37434CCD"/>
    <w:rsid w:val="38D862B9"/>
    <w:rsid w:val="3A7C32FC"/>
    <w:rsid w:val="3A986AFB"/>
    <w:rsid w:val="3ACF78CF"/>
    <w:rsid w:val="3B162F0A"/>
    <w:rsid w:val="3BD45317"/>
    <w:rsid w:val="3CE6537D"/>
    <w:rsid w:val="3D9301D1"/>
    <w:rsid w:val="3E157CEF"/>
    <w:rsid w:val="3EB260BF"/>
    <w:rsid w:val="3F75505E"/>
    <w:rsid w:val="3FC72668"/>
    <w:rsid w:val="408A716E"/>
    <w:rsid w:val="40A71969"/>
    <w:rsid w:val="4197254D"/>
    <w:rsid w:val="425B79A8"/>
    <w:rsid w:val="44221C29"/>
    <w:rsid w:val="45C0604A"/>
    <w:rsid w:val="46041BC1"/>
    <w:rsid w:val="46596F2F"/>
    <w:rsid w:val="46C43FE0"/>
    <w:rsid w:val="46D73F99"/>
    <w:rsid w:val="47C8092C"/>
    <w:rsid w:val="48144A52"/>
    <w:rsid w:val="48761CD0"/>
    <w:rsid w:val="49A465D6"/>
    <w:rsid w:val="49FB4B2E"/>
    <w:rsid w:val="4B1931D8"/>
    <w:rsid w:val="4B3927BF"/>
    <w:rsid w:val="4B5601B3"/>
    <w:rsid w:val="4B572ED5"/>
    <w:rsid w:val="4C1E0295"/>
    <w:rsid w:val="4C4E0740"/>
    <w:rsid w:val="4C8B4994"/>
    <w:rsid w:val="4D1646FD"/>
    <w:rsid w:val="4EB50E51"/>
    <w:rsid w:val="4ECE2238"/>
    <w:rsid w:val="4F2B5C2E"/>
    <w:rsid w:val="4F556B67"/>
    <w:rsid w:val="4FD80441"/>
    <w:rsid w:val="50506A35"/>
    <w:rsid w:val="50EA4D7B"/>
    <w:rsid w:val="51EC395F"/>
    <w:rsid w:val="51FD7221"/>
    <w:rsid w:val="5269532D"/>
    <w:rsid w:val="53F40C19"/>
    <w:rsid w:val="56114DE8"/>
    <w:rsid w:val="56721153"/>
    <w:rsid w:val="56982D8E"/>
    <w:rsid w:val="56A542CA"/>
    <w:rsid w:val="56FF467D"/>
    <w:rsid w:val="57585C2D"/>
    <w:rsid w:val="57A70DE1"/>
    <w:rsid w:val="57E407E5"/>
    <w:rsid w:val="5AC4266B"/>
    <w:rsid w:val="5B332888"/>
    <w:rsid w:val="5D566B00"/>
    <w:rsid w:val="5E303543"/>
    <w:rsid w:val="5F5C70D4"/>
    <w:rsid w:val="5FEE4ED7"/>
    <w:rsid w:val="61FA57DB"/>
    <w:rsid w:val="636B5105"/>
    <w:rsid w:val="636E0BBA"/>
    <w:rsid w:val="64005E14"/>
    <w:rsid w:val="642A7FC1"/>
    <w:rsid w:val="65313523"/>
    <w:rsid w:val="65790B99"/>
    <w:rsid w:val="67226FEF"/>
    <w:rsid w:val="67DB317E"/>
    <w:rsid w:val="68C3694D"/>
    <w:rsid w:val="69CF3308"/>
    <w:rsid w:val="69F10516"/>
    <w:rsid w:val="6AD63FDD"/>
    <w:rsid w:val="6BE75F78"/>
    <w:rsid w:val="6F3B504A"/>
    <w:rsid w:val="6FF2263D"/>
    <w:rsid w:val="71122E0F"/>
    <w:rsid w:val="71C17098"/>
    <w:rsid w:val="71F22DBC"/>
    <w:rsid w:val="72734D90"/>
    <w:rsid w:val="727C0BF5"/>
    <w:rsid w:val="72941FD7"/>
    <w:rsid w:val="72B33C76"/>
    <w:rsid w:val="73251D65"/>
    <w:rsid w:val="733009D8"/>
    <w:rsid w:val="73384CCC"/>
    <w:rsid w:val="73DD5119"/>
    <w:rsid w:val="746126BE"/>
    <w:rsid w:val="75161F2C"/>
    <w:rsid w:val="758B2CD4"/>
    <w:rsid w:val="76FF0477"/>
    <w:rsid w:val="776C1429"/>
    <w:rsid w:val="793063EC"/>
    <w:rsid w:val="797D502A"/>
    <w:rsid w:val="7993773F"/>
    <w:rsid w:val="79B6007E"/>
    <w:rsid w:val="79BE0380"/>
    <w:rsid w:val="7A5C3C8D"/>
    <w:rsid w:val="7B050268"/>
    <w:rsid w:val="7B864CEA"/>
    <w:rsid w:val="7D135747"/>
    <w:rsid w:val="7D576193"/>
    <w:rsid w:val="7DF51B90"/>
    <w:rsid w:val="7EFC604B"/>
    <w:rsid w:val="7F5D4A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2">
    <w:name w:val="Body Text"/>
    <w:basedOn w:val="1"/>
    <w:link w:val="28"/>
    <w:qFormat/>
    <w:uiPriority w:val="99"/>
    <w:pPr>
      <w:spacing w:beforeLines="30"/>
    </w:pPr>
    <w:rPr>
      <w:rFonts w:ascii="仿宋_GB2312" w:eastAsia="仿宋_GB2312"/>
      <w:kern w:val="0"/>
      <w:sz w:val="30"/>
    </w:rPr>
  </w:style>
  <w:style w:type="paragraph" w:styleId="6">
    <w:name w:val="Normal Indent"/>
    <w:basedOn w:val="1"/>
    <w:qFormat/>
    <w:uiPriority w:val="0"/>
    <w:pPr>
      <w:ind w:firstLine="420" w:firstLineChars="200"/>
    </w:pPr>
    <w:rPr>
      <w:rFonts w:ascii="Calibri" w:hAnsi="Calibri" w:cs="黑体"/>
    </w:rPr>
  </w:style>
  <w:style w:type="paragraph" w:styleId="7">
    <w:name w:val="toa heading"/>
    <w:basedOn w:val="1"/>
    <w:next w:val="1"/>
    <w:qFormat/>
    <w:uiPriority w:val="0"/>
    <w:pPr>
      <w:spacing w:before="120" w:beforeAutospacing="0"/>
    </w:pPr>
    <w:rPr>
      <w:rFonts w:ascii="Arial" w:hAnsi="Arial"/>
      <w:sz w:val="24"/>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Indent"/>
    <w:basedOn w:val="1"/>
    <w:qFormat/>
    <w:uiPriority w:val="99"/>
    <w:pPr>
      <w:spacing w:after="120"/>
      <w:ind w:left="420" w:leftChars="200"/>
    </w:pPr>
    <w:rPr>
      <w:szCs w:val="2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1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7">
    <w:name w:val="Body Text First Indent"/>
    <w:basedOn w:val="2"/>
    <w:qFormat/>
    <w:uiPriority w:val="0"/>
    <w:pPr>
      <w:ind w:firstLine="420" w:firstLineChars="100"/>
    </w:pPr>
  </w:style>
  <w:style w:type="paragraph" w:styleId="18">
    <w:name w:val="Body Text First Indent 2"/>
    <w:basedOn w:val="9"/>
    <w:qFormat/>
    <w:uiPriority w:val="99"/>
    <w:pPr>
      <w:ind w:firstLine="420" w:firstLineChars="200"/>
    </w:p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字符"/>
    <w:link w:val="13"/>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字符"/>
    <w:link w:val="2"/>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20"/>
    <w:link w:val="3"/>
    <w:qFormat/>
    <w:uiPriority w:val="9"/>
    <w:rPr>
      <w:rFonts w:ascii="Times New Roman" w:hAnsi="Times New Roman"/>
      <w:b/>
      <w:bCs/>
      <w:kern w:val="44"/>
      <w:sz w:val="44"/>
      <w:szCs w:val="44"/>
    </w:rPr>
  </w:style>
  <w:style w:type="character" w:customStyle="1" w:styleId="32">
    <w:name w:val="标题 2 字符"/>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20"/>
    <w:link w:val="11"/>
    <w:semiHidden/>
    <w:qFormat/>
    <w:uiPriority w:val="99"/>
    <w:rPr>
      <w:rFonts w:ascii="Times New Roman" w:hAnsi="Times New Roman"/>
      <w:kern w:val="2"/>
      <w:sz w:val="18"/>
      <w:szCs w:val="18"/>
    </w:rPr>
  </w:style>
  <w:style w:type="character" w:customStyle="1" w:styleId="35">
    <w:name w:val="标题 3 字符"/>
    <w:basedOn w:val="20"/>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List Paragraph1"/>
    <w:basedOn w:val="1"/>
    <w:qFormat/>
    <w:uiPriority w:val="0"/>
    <w:pPr>
      <w:ind w:firstLine="420" w:firstLineChars="200"/>
    </w:pPr>
  </w:style>
  <w:style w:type="paragraph" w:customStyle="1" w:styleId="38">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40">
    <w:name w:val="WPSOffice手动目录 1"/>
    <w:uiPriority w:val="0"/>
    <w:pPr>
      <w:ind w:leftChars="0"/>
    </w:pPr>
    <w:rPr>
      <w:rFonts w:ascii="Times New Roman" w:hAnsi="Times New Roman" w:eastAsia="宋体" w:cs="Times New Roman"/>
      <w:sz w:val="20"/>
      <w:szCs w:val="20"/>
    </w:rPr>
  </w:style>
  <w:style w:type="paragraph" w:customStyle="1" w:styleId="41">
    <w:name w:val="WPSOffice手动目录 2"/>
    <w:uiPriority w:val="0"/>
    <w:pPr>
      <w:ind w:leftChars="200"/>
    </w:pPr>
    <w:rPr>
      <w:rFonts w:ascii="Times New Roman" w:hAnsi="Times New Roman" w:eastAsia="宋体" w:cs="Times New Roman"/>
      <w:sz w:val="20"/>
      <w:szCs w:val="20"/>
    </w:rPr>
  </w:style>
  <w:style w:type="character" w:customStyle="1" w:styleId="42">
    <w:name w:val="标题 2 Char"/>
    <w:basedOn w:val="20"/>
    <w:link w:val="4"/>
    <w:qFormat/>
    <w:uiPriority w:val="0"/>
    <w:rPr>
      <w:rFonts w:ascii="Cambria" w:hAnsi="Cambria" w:eastAsia="宋体" w:cs="Times New Roman"/>
      <w:b/>
      <w:bCs/>
      <w:kern w:val="2"/>
      <w:sz w:val="32"/>
      <w:szCs w:val="32"/>
      <w:lang w:val="en-US" w:eastAsia="zh-CN" w:bidi="ar-SA"/>
    </w:rPr>
  </w:style>
  <w:style w:type="character" w:customStyle="1" w:styleId="43">
    <w:name w:val="font31"/>
    <w:basedOn w:val="20"/>
    <w:uiPriority w:val="0"/>
    <w:rPr>
      <w:rFonts w:hint="eastAsia" w:ascii="方正小标宋简体" w:hAnsi="方正小标宋简体" w:eastAsia="方正小标宋简体" w:cs="方正小标宋简体"/>
      <w:color w:val="000000"/>
      <w:sz w:val="36"/>
      <w:szCs w:val="36"/>
      <w:u w:val="none"/>
    </w:rPr>
  </w:style>
  <w:style w:type="character" w:customStyle="1" w:styleId="44">
    <w:name w:val="font21"/>
    <w:basedOn w:val="20"/>
    <w:uiPriority w:val="0"/>
    <w:rPr>
      <w:rFonts w:hint="eastAsia" w:ascii="方正小标宋简体" w:hAnsi="方正小标宋简体" w:eastAsia="方正小标宋简体" w:cs="方正小标宋简体"/>
      <w:color w:val="000000"/>
      <w:sz w:val="44"/>
      <w:szCs w:val="44"/>
      <w:u w:val="none"/>
    </w:rPr>
  </w:style>
  <w:style w:type="character" w:customStyle="1" w:styleId="45">
    <w:name w:val="font01"/>
    <w:basedOn w:val="20"/>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manualLayout>
          <c:xMode val="edge"/>
          <c:yMode val="edge"/>
          <c:x val="0.276438727149628"/>
          <c:y val="0.169682485489928"/>
        </c:manualLayout>
      </c:layout>
      <c:overlay val="0"/>
      <c:spPr>
        <a:noFill/>
        <a:ln>
          <a:noFill/>
        </a:ln>
        <a:effectLst/>
      </c:spPr>
    </c:title>
    <c:autoTitleDeleted val="0"/>
    <c:plotArea>
      <c:layout>
        <c:manualLayout>
          <c:layoutTarget val="inner"/>
          <c:xMode val="edge"/>
          <c:yMode val="edge"/>
          <c:x val="0.148512711577522"/>
          <c:y val="0.358685401465991"/>
          <c:w val="0.847425"/>
          <c:h val="0.464092429309821"/>
        </c:manualLayout>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Sheet1!$A$2:$A$3</c:f>
              <c:strCache>
                <c:ptCount val="2"/>
                <c:pt idx="0">
                  <c:v>收入(万元)</c:v>
                </c:pt>
                <c:pt idx="1">
                  <c:v>支出（万元）</c:v>
                </c:pt>
              </c:strCache>
            </c:strRef>
          </c:cat>
          <c:val>
            <c:numRef>
              <c:f>Sheet1!$B$2:$B$3</c:f>
              <c:numCache>
                <c:formatCode>General</c:formatCode>
                <c:ptCount val="2"/>
                <c:pt idx="0">
                  <c:v>6722.74</c:v>
                </c:pt>
                <c:pt idx="1">
                  <c:v>6722.73</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Sheet1!$A$2:$A$3</c:f>
              <c:strCache>
                <c:ptCount val="2"/>
                <c:pt idx="0">
                  <c:v>收入(万元)</c:v>
                </c:pt>
                <c:pt idx="1">
                  <c:v>支出（万元）</c:v>
                </c:pt>
              </c:strCache>
            </c:strRef>
          </c:cat>
          <c:val>
            <c:numRef>
              <c:f>Sheet1!$C$2:$C$3</c:f>
              <c:numCache>
                <c:formatCode>General</c:formatCode>
                <c:ptCount val="2"/>
                <c:pt idx="0">
                  <c:v>4281.68</c:v>
                </c:pt>
                <c:pt idx="1">
                  <c:v>4281.68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收入(万元)</c:v>
                </c:pt>
                <c:pt idx="1">
                  <c:v>支出（万元）</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16221222"/>
        <c:axId val="345822582"/>
      </c:barChart>
      <c:catAx>
        <c:axId val="9162212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822582"/>
        <c:crosses val="autoZero"/>
        <c:auto val="1"/>
        <c:lblAlgn val="ctr"/>
        <c:lblOffset val="100"/>
        <c:noMultiLvlLbl val="0"/>
      </c:catAx>
      <c:valAx>
        <c:axId val="3458225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221222"/>
        <c:crosses val="autoZero"/>
        <c:crossBetween val="between"/>
      </c:valAx>
      <c:spPr>
        <a:noFill/>
        <a:ln>
          <a:noFill/>
        </a:ln>
        <a:effectLst/>
      </c:spPr>
    </c:plotArea>
    <c:legend>
      <c:legendPos val="b"/>
      <c:legendEntry>
        <c:idx val="2"/>
        <c:delete val="1"/>
      </c:legendEntry>
      <c:layout>
        <c:manualLayout>
          <c:xMode val="edge"/>
          <c:yMode val="edge"/>
          <c:x val="0.455517941773866"/>
          <c:y val="0.87538409013315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政府性基金预算财政拨款收入</c:v>
                </c:pt>
              </c:strCache>
            </c:strRef>
          </c:cat>
          <c:val>
            <c:numRef>
              <c:f>Sheet1!$B$2:$B$5</c:f>
              <c:numCache>
                <c:formatCode>General</c:formatCode>
                <c:ptCount val="4"/>
                <c:pt idx="0">
                  <c:v>3532.43</c:v>
                </c:pt>
                <c:pt idx="1">
                  <c:v>197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511.13</c:v>
                </c:pt>
                <c:pt idx="1">
                  <c:v>3770.56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manualLayout>
          <c:xMode val="edge"/>
          <c:yMode val="edge"/>
          <c:x val="0.215504400812458"/>
          <c:y val="0.195288494366678"/>
        </c:manualLayout>
      </c:layout>
      <c:overlay val="0"/>
      <c:spPr>
        <a:noFill/>
        <a:ln>
          <a:noFill/>
        </a:ln>
        <a:effectLst/>
      </c:spPr>
    </c:title>
    <c:autoTitleDeleted val="0"/>
    <c:plotArea>
      <c:layout>
        <c:manualLayout>
          <c:layoutTarget val="inner"/>
          <c:xMode val="edge"/>
          <c:yMode val="edge"/>
          <c:x val="0.148512711577522"/>
          <c:y val="0.358685401465991"/>
          <c:w val="0.847425"/>
          <c:h val="0.464092429309821"/>
        </c:manualLayout>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Sheet1!$A$2:$A$3</c:f>
              <c:strCache>
                <c:ptCount val="2"/>
                <c:pt idx="0">
                  <c:v>收入(万元)</c:v>
                </c:pt>
                <c:pt idx="1">
                  <c:v>支出（万元）</c:v>
                </c:pt>
              </c:strCache>
            </c:strRef>
          </c:cat>
          <c:val>
            <c:numRef>
              <c:f>Sheet1!$B$2:$B$3</c:f>
              <c:numCache>
                <c:formatCode>General</c:formatCode>
                <c:ptCount val="2"/>
                <c:pt idx="0">
                  <c:v>6722.74</c:v>
                </c:pt>
                <c:pt idx="1">
                  <c:v>6722.73</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Sheet1!$A$2:$A$3</c:f>
              <c:strCache>
                <c:ptCount val="2"/>
                <c:pt idx="0">
                  <c:v>收入(万元)</c:v>
                </c:pt>
                <c:pt idx="1">
                  <c:v>支出（万元）</c:v>
                </c:pt>
              </c:strCache>
            </c:strRef>
          </c:cat>
          <c:val>
            <c:numRef>
              <c:f>Sheet1!$C$2:$C$3</c:f>
              <c:numCache>
                <c:formatCode>General</c:formatCode>
                <c:ptCount val="2"/>
                <c:pt idx="0">
                  <c:v>4281.68</c:v>
                </c:pt>
                <c:pt idx="1">
                  <c:v>4281.68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收入(万元)</c:v>
                </c:pt>
                <c:pt idx="1">
                  <c:v>支出（万元）</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16221222"/>
        <c:axId val="345822582"/>
      </c:barChart>
      <c:catAx>
        <c:axId val="9162212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822582"/>
        <c:crosses val="autoZero"/>
        <c:auto val="1"/>
        <c:lblAlgn val="ctr"/>
        <c:lblOffset val="100"/>
        <c:noMultiLvlLbl val="0"/>
      </c:catAx>
      <c:valAx>
        <c:axId val="3458225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221222"/>
        <c:crosses val="autoZero"/>
        <c:crossBetween val="between"/>
      </c:valAx>
      <c:spPr>
        <a:noFill/>
        <a:ln>
          <a:noFill/>
        </a:ln>
        <a:effectLst/>
      </c:spPr>
    </c:plotArea>
    <c:legend>
      <c:legendPos val="b"/>
      <c:legendEntry>
        <c:idx val="2"/>
        <c:delete val="1"/>
      </c:legendEntry>
      <c:layout>
        <c:manualLayout>
          <c:xMode val="edge"/>
          <c:yMode val="edge"/>
          <c:x val="0.455517941773866"/>
          <c:y val="0.87538409013315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5767.89</c:v>
                </c:pt>
                <c:pt idx="1">
                  <c:v>4084.68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2020年</c:v>
                </c:pt>
                <c:pt idx="1">
                  <c:v>2021年</c:v>
                </c:pt>
              </c:strCache>
            </c:strRef>
          </c:cat>
          <c:val>
            <c:numRef>
              <c:f>Sheet1!$D$2:$D$3</c:f>
              <c:numCache>
                <c:formatCode>General</c:formatCode>
                <c:ptCount val="2"/>
              </c:numCache>
            </c:numRef>
          </c:val>
        </c:ser>
        <c:dLbls>
          <c:showLegendKey val="0"/>
          <c:showVal val="0"/>
          <c:showCatName val="0"/>
          <c:showSerName val="0"/>
          <c:showPercent val="0"/>
          <c:showBubbleSize val="0"/>
        </c:dLbls>
        <c:gapWidth val="219"/>
        <c:overlap val="-27"/>
        <c:axId val="279247630"/>
        <c:axId val="656596649"/>
      </c:barChart>
      <c:catAx>
        <c:axId val="2792476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6596649"/>
        <c:crosses val="autoZero"/>
        <c:auto val="1"/>
        <c:lblAlgn val="ctr"/>
        <c:lblOffset val="100"/>
        <c:noMultiLvlLbl val="0"/>
      </c:catAx>
      <c:valAx>
        <c:axId val="65659664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92476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文化旅游体育与传媒（类）</c:v>
                </c:pt>
                <c:pt idx="1">
                  <c:v>社会保障和就业</c:v>
                </c:pt>
                <c:pt idx="2">
                  <c:v>卫生健康</c:v>
                </c:pt>
                <c:pt idx="3">
                  <c:v>农林水</c:v>
                </c:pt>
              </c:strCache>
            </c:strRef>
          </c:cat>
          <c:val>
            <c:numRef>
              <c:f>Sheet1!$B$2:$B$5</c:f>
              <c:numCache>
                <c:formatCode>General</c:formatCode>
                <c:ptCount val="4"/>
                <c:pt idx="0">
                  <c:v>221.22</c:v>
                </c:pt>
                <c:pt idx="1">
                  <c:v>45.98</c:v>
                </c:pt>
                <c:pt idx="2">
                  <c:v>22.01</c:v>
                </c:pt>
                <c:pt idx="3">
                  <c:v>3766.41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395"/>
          <c:y val="0.902"/>
          <c:w val="0.724875"/>
          <c:h val="0.0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公出国（境）费</c:v>
                </c:pt>
                <c:pt idx="1">
                  <c:v>公务用车购置及运行维护费</c:v>
                </c:pt>
                <c:pt idx="2">
                  <c:v>公务接待费</c:v>
                </c:pt>
              </c:strCache>
            </c:strRef>
          </c:cat>
          <c:val>
            <c:numRef>
              <c:f>Sheet1!$B$2:$B$4</c:f>
              <c:numCache>
                <c:formatCode>General</c:formatCode>
                <c:ptCount val="3"/>
                <c:pt idx="0">
                  <c:v>0</c:v>
                </c:pt>
                <c:pt idx="1">
                  <c:v>47.88</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0</TotalTime>
  <ScaleCrop>false</ScaleCrop>
  <LinksUpToDate>false</LinksUpToDate>
  <CharactersWithSpaces>23081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Pu</cp:lastModifiedBy>
  <cp:lastPrinted>2020-07-23T02:58:00Z</cp:lastPrinted>
  <dcterms:modified xsi:type="dcterms:W3CDTF">2023-10-25T06:11:53Z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30F7766BC6ED4035B41F965445131A33_13</vt:lpwstr>
  </property>
</Properties>
</file>