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hint="default" w:ascii="方正小标宋简体" w:eastAsia="方正小标宋简体" w:cs="方正小标宋简体"/>
          <w:sz w:val="72"/>
          <w:szCs w:val="72"/>
          <w:lang w:val="en-US" w:eastAsia="zh-CN"/>
        </w:rPr>
      </w:pPr>
      <w:bookmarkStart w:id="0" w:name="_Toc15396476"/>
      <w:bookmarkStart w:id="1" w:name="_Toc15378442"/>
      <w:bookmarkStart w:id="2" w:name="_Toc15396598"/>
      <w:bookmarkStart w:id="3" w:name="_Toc15377194"/>
      <w:bookmarkStart w:id="4" w:name="_Toc15377426"/>
      <w:r>
        <w:rPr>
          <w:rFonts w:hint="eastAsia" w:ascii="方正小标宋简体" w:eastAsia="方正小标宋简体" w:cs="方正小标宋简体"/>
          <w:sz w:val="72"/>
          <w:szCs w:val="72"/>
          <w:lang w:val="en-US" w:eastAsia="zh-CN"/>
        </w:rPr>
        <w:t>2023年度</w:t>
      </w:r>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r>
        <w:rPr>
          <w:rFonts w:ascii="方正小标宋简体" w:eastAsia="方正小标宋简体" w:cs="方正小标宋简体"/>
          <w:sz w:val="72"/>
          <w:szCs w:val="72"/>
        </w:rPr>
        <w:t>阿坝州</w:t>
      </w:r>
      <w:bookmarkStart w:id="5" w:name="_Toc15306268"/>
      <w:r>
        <w:rPr>
          <w:rFonts w:hint="eastAsia" w:ascii="方正小标宋简体" w:eastAsia="方正小标宋简体" w:cs="方正小标宋简体"/>
          <w:sz w:val="72"/>
          <w:szCs w:val="72"/>
          <w:lang w:val="en-US" w:eastAsia="zh-CN"/>
        </w:rPr>
        <w:t>红原县行政审批局</w:t>
      </w:r>
      <w:r>
        <w:rPr>
          <w:rFonts w:hint="eastAsia" w:ascii="方正小标宋简体" w:eastAsia="方正小标宋简体" w:cs="方正小标宋简体"/>
          <w:sz w:val="72"/>
          <w:szCs w:val="72"/>
        </w:rPr>
        <w:t>部门</w:t>
      </w:r>
      <w:bookmarkEnd w:id="0"/>
      <w:bookmarkEnd w:id="1"/>
      <w:bookmarkEnd w:id="2"/>
      <w:bookmarkEnd w:id="3"/>
      <w:bookmarkEnd w:id="4"/>
      <w:bookmarkEnd w:id="5"/>
      <w:r>
        <w:rPr>
          <w:rFonts w:hint="eastAsia" w:ascii="方正小标宋简体" w:eastAsia="方正小标宋简体" w:cs="方正小标宋简体"/>
          <w:sz w:val="72"/>
          <w:szCs w:val="72"/>
          <w:lang w:val="en-US" w:eastAsia="zh-CN"/>
        </w:rPr>
        <w:t>预算</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10"/>
        <w:keepNext w:val="0"/>
        <w:keepLines w:val="0"/>
        <w:widowControl/>
        <w:suppressLineNumbers w:val="0"/>
        <w:ind w:left="0" w:right="75"/>
        <w:jc w:val="left"/>
      </w:pPr>
      <w:r>
        <w:rPr>
          <w:sz w:val="24"/>
          <w:szCs w:val="24"/>
          <w:shd w:val="clear" w:color="auto" w:fill="FFFFFF"/>
        </w:rPr>
        <w:t>保密审查情况：已审查，内容审定</w:t>
      </w:r>
    </w:p>
    <w:p>
      <w:pPr>
        <w:pStyle w:val="10"/>
        <w:keepNext w:val="0"/>
        <w:keepLines w:val="0"/>
        <w:widowControl/>
        <w:suppressLineNumbers w:val="0"/>
        <w:ind w:left="0" w:right="75"/>
        <w:jc w:val="left"/>
        <w:rPr>
          <w:rStyle w:val="13"/>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rPr>
          <w:rFonts w:hint="eastAsia" w:ascii="仿宋_GB2312" w:hAnsi="仿宋_GB2312" w:eastAsia="仿宋_GB2312" w:cs="仿宋_GB2312"/>
          <w:sz w:val="32"/>
          <w:szCs w:val="32"/>
        </w:rPr>
      </w:pPr>
    </w:p>
    <w:p>
      <w:pPr>
        <w:pStyle w:val="9"/>
        <w:adjustRightInd w:val="0"/>
        <w:snapToGrid w:val="0"/>
        <w:spacing w:line="440" w:lineRule="exact"/>
        <w:ind w:left="0" w:leftChars="0"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w:t>
      </w:r>
    </w:p>
    <w:p>
      <w:pPr>
        <w:pStyle w:val="9"/>
        <w:adjustRightInd w:val="0"/>
        <w:snapToGrid w:val="0"/>
        <w:spacing w:line="440" w:lineRule="exact"/>
        <w:ind w:left="420" w:firstLine="320"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一、部门职</w:t>
      </w:r>
      <w:r>
        <w:rPr>
          <w:rFonts w:hint="eastAsia" w:ascii="仿宋_GB2312" w:hAnsi="仿宋_GB2312" w:eastAsia="仿宋_GB2312" w:cs="仿宋_GB2312"/>
          <w:sz w:val="32"/>
          <w:szCs w:val="32"/>
          <w:lang w:val="en-US" w:eastAsia="zh-CN"/>
        </w:rPr>
        <w:t>能及主要工作务.......................4</w:t>
      </w:r>
    </w:p>
    <w:p>
      <w:pPr>
        <w:pStyle w:val="9"/>
        <w:adjustRightInd w:val="0"/>
        <w:snapToGrid w:val="0"/>
        <w:spacing w:line="440" w:lineRule="exact"/>
        <w:ind w:left="420" w:firstLine="320" w:firstLineChars="1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...................................10</w:t>
      </w:r>
    </w:p>
    <w:p>
      <w:pPr>
        <w:pStyle w:val="8"/>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 2022年度部门</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......................10</w:t>
      </w:r>
    </w:p>
    <w:p>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一、收支预算总体情况</w:t>
      </w:r>
      <w:r>
        <w:rPr>
          <w:rFonts w:hint="eastAsia" w:ascii="仿宋_GB2312" w:hAnsi="仿宋_GB2312" w:eastAsia="仿宋_GB2312" w:cs="仿宋_GB2312"/>
          <w:sz w:val="32"/>
          <w:szCs w:val="32"/>
          <w:lang w:val="en-US" w:eastAsia="zh-CN"/>
        </w:rPr>
        <w:t>............................10</w:t>
      </w:r>
    </w:p>
    <w:p>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二、支出预算安排情况</w:t>
      </w:r>
      <w:r>
        <w:rPr>
          <w:rFonts w:hint="eastAsia" w:ascii="仿宋_GB2312" w:hAnsi="仿宋_GB2312" w:eastAsia="仿宋_GB2312" w:cs="仿宋_GB2312"/>
          <w:sz w:val="32"/>
          <w:szCs w:val="32"/>
          <w:lang w:val="en-US" w:eastAsia="zh-CN"/>
        </w:rPr>
        <w:t>............................10</w:t>
      </w:r>
    </w:p>
    <w:p>
      <w:pPr>
        <w:keepNext w:val="0"/>
        <w:keepLines w:val="0"/>
        <w:pageBreakBefore w:val="0"/>
        <w:numPr>
          <w:ilvl w:val="0"/>
          <w:numId w:val="0"/>
        </w:numPr>
        <w:kinsoku/>
        <w:wordWrap/>
        <w:overflowPunct/>
        <w:topLinePunct w:val="0"/>
        <w:autoSpaceDE/>
        <w:autoSpaceDN/>
        <w:bidi w:val="0"/>
        <w:spacing w:line="560" w:lineRule="exact"/>
        <w:ind w:right="0" w:rightChars="0"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333333"/>
          <w:kern w:val="0"/>
          <w:sz w:val="32"/>
          <w:szCs w:val="32"/>
          <w:shd w:val="clear" w:color="auto" w:fill="FFFFFF"/>
          <w:lang w:val="en-US" w:eastAsia="zh-CN" w:bidi="ar"/>
        </w:rPr>
        <w:t>较上年度增减变化</w:t>
      </w:r>
      <w:r>
        <w:rPr>
          <w:rFonts w:hint="eastAsia" w:ascii="仿宋_GB2312" w:hAnsi="仿宋_GB2312" w:eastAsia="仿宋_GB2312" w:cs="仿宋_GB2312"/>
          <w:sz w:val="32"/>
          <w:szCs w:val="32"/>
          <w:lang w:val="en-US" w:eastAsia="zh-CN"/>
        </w:rPr>
        <w:t>............................11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333333"/>
          <w:kern w:val="0"/>
          <w:sz w:val="32"/>
          <w:szCs w:val="32"/>
          <w:shd w:val="clear" w:color="auto" w:fill="FFFFFF"/>
          <w:lang w:val="en-US" w:eastAsia="zh-CN" w:bidi="ar"/>
        </w:rPr>
        <w:t>“三公”经费预算</w:t>
      </w:r>
      <w:r>
        <w:rPr>
          <w:rFonts w:hint="eastAsia" w:ascii="仿宋_GB2312" w:hAnsi="仿宋_GB2312" w:eastAsia="仿宋_GB2312" w:cs="仿宋_GB2312"/>
          <w:sz w:val="32"/>
          <w:szCs w:val="32"/>
          <w:lang w:val="en-US" w:eastAsia="zh-CN"/>
        </w:rPr>
        <w:t>............................12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638" w:leftChars="304" w:right="0" w:rightChars="0" w:firstLine="0" w:firstLineChars="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五、</w:t>
      </w:r>
      <w:r>
        <w:rPr>
          <w:rFonts w:hint="eastAsia" w:ascii="仿宋_GB2312" w:hAnsi="仿宋_GB2312" w:eastAsia="仿宋_GB2312" w:cs="仿宋_GB2312"/>
          <w:color w:val="333333"/>
          <w:kern w:val="0"/>
          <w:sz w:val="32"/>
          <w:szCs w:val="32"/>
          <w:shd w:val="clear" w:color="auto" w:fill="FFFFFF"/>
          <w:lang w:val="en-US" w:eastAsia="zh-CN" w:bidi="ar"/>
        </w:rPr>
        <w:t>政府性基金预算收支情况说明</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六、</w:t>
      </w:r>
      <w:r>
        <w:rPr>
          <w:rFonts w:hint="eastAsia" w:ascii="仿宋_GB2312" w:hAnsi="仿宋_GB2312" w:eastAsia="仿宋_GB2312" w:cs="仿宋_GB2312"/>
          <w:color w:val="333333"/>
          <w:kern w:val="0"/>
          <w:sz w:val="32"/>
          <w:szCs w:val="32"/>
          <w:shd w:val="clear" w:color="auto" w:fill="FFFFFF"/>
          <w:lang w:val="en-US" w:eastAsia="zh-CN" w:bidi="ar"/>
        </w:rPr>
        <w:t>国有资本经营预算收支情况说明</w:t>
      </w:r>
      <w:r>
        <w:rPr>
          <w:rFonts w:hint="eastAsia" w:ascii="仿宋_GB2312" w:hAnsi="仿宋_GB2312" w:eastAsia="仿宋_GB2312" w:cs="仿宋_GB2312"/>
          <w:sz w:val="32"/>
          <w:szCs w:val="32"/>
          <w:lang w:val="en-US" w:eastAsia="zh-CN"/>
        </w:rPr>
        <w:t>................12</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default"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七、</w:t>
      </w:r>
      <w:r>
        <w:rPr>
          <w:rFonts w:hint="eastAsia" w:ascii="仿宋_GB2312" w:hAnsi="仿宋_GB2312" w:eastAsia="仿宋_GB2312" w:cs="仿宋_GB2312"/>
          <w:color w:val="333333"/>
          <w:kern w:val="0"/>
          <w:sz w:val="32"/>
          <w:szCs w:val="32"/>
          <w:shd w:val="clear" w:color="auto" w:fill="FFFFFF"/>
          <w:lang w:val="en-US" w:eastAsia="zh-CN" w:bidi="ar"/>
        </w:rPr>
        <w:t>其他重要事项的情况说明</w:t>
      </w:r>
      <w:r>
        <w:rPr>
          <w:rFonts w:hint="eastAsia" w:ascii="仿宋_GB2312" w:hAnsi="仿宋_GB2312" w:eastAsia="仿宋_GB2312" w:cs="仿宋_GB2312"/>
          <w:sz w:val="32"/>
          <w:szCs w:val="32"/>
          <w:lang w:val="en-US" w:eastAsia="zh-CN"/>
        </w:rPr>
        <w:t>......................12</w:t>
      </w:r>
    </w:p>
    <w:p>
      <w:pPr>
        <w:pStyle w:val="8"/>
        <w:adjustRightInd w:val="0"/>
        <w:snapToGrid w:val="0"/>
        <w:spacing w:before="0" w:line="440"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...................................13</w:t>
      </w:r>
    </w:p>
    <w:p>
      <w:pPr>
        <w:pStyle w:val="8"/>
        <w:adjustRightInd w:val="0"/>
        <w:snapToGrid w:val="0"/>
        <w:spacing w:before="0" w:line="440"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.......................................14</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表1.财政拨款收支总表............................14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表2.一般公共预算支出表....................14</w:t>
      </w:r>
    </w:p>
    <w:p>
      <w:pPr>
        <w:keepNext w:val="0"/>
        <w:keepLines w:val="0"/>
        <w:pageBreakBefore w:val="0"/>
        <w:widowControl w:val="0"/>
        <w:kinsoku/>
        <w:wordWrap/>
        <w:overflowPunct/>
        <w:topLinePunct w:val="0"/>
        <w:autoSpaceDE/>
        <w:autoSpaceDN/>
        <w:bidi w:val="0"/>
        <w:adjustRightInd/>
        <w:snapToGrid/>
        <w:spacing w:line="560" w:lineRule="exact"/>
        <w:ind w:left="1916" w:leftChars="760" w:right="0" w:rightChars="0" w:hanging="320" w:hangingChars="1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表3.一般公共预算基本支出表................14</w:t>
      </w:r>
    </w:p>
    <w:p>
      <w:pPr>
        <w:keepNext w:val="0"/>
        <w:keepLines w:val="0"/>
        <w:pageBreakBefore w:val="0"/>
        <w:widowControl w:val="0"/>
        <w:kinsoku/>
        <w:wordWrap/>
        <w:overflowPunct/>
        <w:topLinePunct w:val="0"/>
        <w:autoSpaceDE/>
        <w:autoSpaceDN/>
        <w:bidi w:val="0"/>
        <w:adjustRightInd/>
        <w:snapToGrid/>
        <w:spacing w:line="560" w:lineRule="exact"/>
        <w:ind w:left="1916" w:leftChars="760" w:right="0" w:rightChars="0" w:hanging="320" w:hangingChars="1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表4.一般公共预算“三公”经费支出表........14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表5.政府性基金预算支出表..................14</w:t>
      </w:r>
    </w:p>
    <w:p>
      <w:pPr>
        <w:keepNext w:val="0"/>
        <w:keepLines w:val="0"/>
        <w:pageBreakBefore w:val="0"/>
        <w:widowControl w:val="0"/>
        <w:kinsoku/>
        <w:wordWrap/>
        <w:overflowPunct/>
        <w:topLinePunct w:val="0"/>
        <w:autoSpaceDE/>
        <w:autoSpaceDN/>
        <w:bidi w:val="0"/>
        <w:adjustRightInd/>
        <w:snapToGrid/>
        <w:spacing w:line="560" w:lineRule="exact"/>
        <w:ind w:left="1596" w:leftChars="760"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表6.政府性基金预算“三公”经费支出表......14表7.部门收支总表..........................14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表8.部门收入总表..........................14</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表9.部门支出总表..........................14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1916" w:leftChars="760" w:right="0" w:rightChars="0" w:hanging="320" w:hangingChars="1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算）..................................14</w:t>
      </w:r>
    </w:p>
    <w:p>
      <w:pPr>
        <w:keepNext w:val="0"/>
        <w:keepLines w:val="0"/>
        <w:pageBreakBefore w:val="0"/>
        <w:widowControl w:val="0"/>
        <w:kinsoku/>
        <w:wordWrap/>
        <w:overflowPunct/>
        <w:topLinePunct w:val="0"/>
        <w:autoSpaceDE/>
        <w:autoSpaceDN/>
        <w:bidi w:val="0"/>
        <w:adjustRightInd/>
        <w:snapToGrid/>
        <w:spacing w:line="560" w:lineRule="exact"/>
        <w:ind w:left="1916" w:leftChars="760" w:right="0" w:rightChars="0" w:hanging="320" w:hangingChars="1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表11.国有资本经营预算支出预算表...........14</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表12.项目支出表...........................14</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表13.2023年度红原县行政审批局部门项目支出绩效目标表............................................14</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表14.支出明细表..........................14</w:t>
      </w:r>
    </w:p>
    <w:p>
      <w:pPr>
        <w:pStyle w:val="2"/>
        <w:rPr>
          <w:rFonts w:hint="default"/>
          <w:lang w:val="en-US" w:eastAsia="zh-CN"/>
        </w:rPr>
      </w:pPr>
    </w:p>
    <w:p>
      <w:pPr>
        <w:widowControl/>
        <w:adjustRightInd w:val="0"/>
        <w:snapToGrid w:val="0"/>
        <w:spacing w:line="440" w:lineRule="exact"/>
        <w:ind w:firstLine="1760" w:firstLineChars="550"/>
        <w:jc w:val="left"/>
        <w:rPr>
          <w:rFonts w:hint="eastAsia" w:ascii="仿宋_GB2312" w:hAnsi="仿宋_GB2312" w:eastAsia="仿宋_GB2312" w:cs="仿宋_GB2312"/>
          <w:sz w:val="32"/>
          <w:szCs w:val="32"/>
        </w:rPr>
      </w:pPr>
      <w:bookmarkStart w:id="6" w:name="_GoBack"/>
      <w:bookmarkEnd w:id="6"/>
    </w:p>
    <w:p>
      <w:pPr>
        <w:keepNext w:val="0"/>
        <w:keepLines w:val="0"/>
        <w:pageBreakBefore w:val="0"/>
        <w:widowControl w:val="0"/>
        <w:kinsoku/>
        <w:wordWrap/>
        <w:overflowPunct/>
        <w:topLinePunct w:val="0"/>
        <w:autoSpaceDE/>
        <w:autoSpaceDN/>
        <w:bidi w:val="0"/>
        <w:spacing w:line="576" w:lineRule="exact"/>
        <w:ind w:left="0" w:leftChars="0" w:right="0" w:rightChars="0"/>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rPr>
      </w:pPr>
    </w:p>
    <w:p>
      <w:pPr>
        <w:keepNext w:val="0"/>
        <w:keepLines w:val="0"/>
        <w:pageBreakBefore w:val="0"/>
        <w:widowControl w:val="0"/>
        <w:kinsoku/>
        <w:wordWrap/>
        <w:overflowPunct/>
        <w:topLinePunct w:val="0"/>
        <w:autoSpaceDE/>
        <w:autoSpaceDN/>
        <w:bidi w:val="0"/>
        <w:spacing w:line="576" w:lineRule="exact"/>
        <w:ind w:left="0" w:leftChars="0" w:right="0" w:rightChars="0"/>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eastAsia="zh-CN"/>
        </w:rPr>
        <w:t>红原县行政审批局</w:t>
      </w:r>
    </w:p>
    <w:p>
      <w:pPr>
        <w:keepNext w:val="0"/>
        <w:keepLines w:val="0"/>
        <w:pageBreakBefore w:val="0"/>
        <w:widowControl w:val="0"/>
        <w:kinsoku/>
        <w:wordWrap/>
        <w:overflowPunct/>
        <w:topLinePunct w:val="0"/>
        <w:autoSpaceDE/>
        <w:autoSpaceDN/>
        <w:bidi w:val="0"/>
        <w:spacing w:line="576" w:lineRule="exact"/>
        <w:ind w:left="0" w:leftChars="0" w:right="0" w:rightChars="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val="en-US" w:eastAsia="zh-CN"/>
        </w:rPr>
        <w:t>关于</w:t>
      </w:r>
      <w:r>
        <w:rPr>
          <w:rFonts w:hint="eastAsia" w:ascii="方正小标宋_GBK" w:hAnsi="方正小标宋_GBK" w:eastAsia="方正小标宋_GBK" w:cs="方正小标宋_GBK"/>
          <w:b w:val="0"/>
          <w:bCs/>
          <w:sz w:val="44"/>
          <w:szCs w:val="44"/>
          <w:lang w:eastAsia="zh-CN"/>
        </w:rPr>
        <w:t>202</w:t>
      </w:r>
      <w:r>
        <w:rPr>
          <w:rFonts w:hint="eastAsia" w:ascii="方正小标宋_GBK" w:hAnsi="方正小标宋_GBK" w:eastAsia="方正小标宋_GBK" w:cs="方正小标宋_GBK"/>
          <w:b w:val="0"/>
          <w:bCs/>
          <w:sz w:val="44"/>
          <w:szCs w:val="44"/>
          <w:lang w:val="en-US" w:eastAsia="zh-CN"/>
        </w:rPr>
        <w:t>3</w:t>
      </w:r>
      <w:r>
        <w:rPr>
          <w:rFonts w:hint="eastAsia" w:ascii="方正小标宋_GBK" w:hAnsi="方正小标宋_GBK" w:eastAsia="方正小标宋_GBK" w:cs="方正小标宋_GBK"/>
          <w:b w:val="0"/>
          <w:bCs/>
          <w:sz w:val="44"/>
          <w:szCs w:val="44"/>
        </w:rPr>
        <w:t>年部门预算编制的说明</w:t>
      </w:r>
    </w:p>
    <w:p>
      <w:pPr>
        <w:pStyle w:val="4"/>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 xml:space="preserve">    </w:t>
      </w:r>
    </w:p>
    <w:p>
      <w:pPr>
        <w:pStyle w:val="4"/>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pStyle w:val="4"/>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keepNext w:val="0"/>
        <w:keepLines w:val="0"/>
        <w:pageBreakBefore w:val="0"/>
        <w:widowControl w:val="0"/>
        <w:kinsoku/>
        <w:overflowPunct/>
        <w:topLinePunct w:val="0"/>
        <w:autoSpaceDE/>
        <w:autoSpaceDN/>
        <w:bidi w:val="0"/>
        <w:spacing w:line="576" w:lineRule="exact"/>
        <w:ind w:left="0" w:lef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红原县行政审批局基本职能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sz w:val="32"/>
          <w:szCs w:val="32"/>
        </w:rPr>
        <w:t>负责深化行政审批制度改革和“放管服”改革工作，拟订全县行政审批制度和“放管服”改革相关政策和规范性文件，承担县本级行政权力清单和责任清单的动态调整，指导全县行政权力清单和责任清单工作，建立完善相关工作机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县本级行政审批工作，承办县直部门划入的涉及投资项目、市场准入、建设工程、交通水利、文教卫生、社会事务、涉农事务等方面的行政审批事项，及时通报行政审批事项的实施情况，逐步实行“一枚印章管审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负责协调、指导入驻县政务服务</w:t>
      </w:r>
      <w:r>
        <w:rPr>
          <w:rFonts w:hint="eastAsia" w:ascii="仿宋_GB2312" w:hAnsi="仿宋_GB2312" w:eastAsia="仿宋_GB2312" w:cs="仿宋_GB2312"/>
          <w:sz w:val="32"/>
          <w:szCs w:val="32"/>
          <w:lang w:eastAsia="zh-CN"/>
        </w:rPr>
        <w:t>大厅县级</w:t>
      </w:r>
      <w:r>
        <w:rPr>
          <w:rFonts w:hint="eastAsia" w:ascii="仿宋_GB2312" w:hAnsi="仿宋_GB2312" w:eastAsia="仿宋_GB2312" w:cs="仿宋_GB2312"/>
          <w:sz w:val="32"/>
          <w:szCs w:val="32"/>
        </w:rPr>
        <w:t>部门的行政审批工作。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指导乡镇便民服务中心工作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 xml:space="preserve">负责全县政务服务管理工作，指导全县政务服务体系建设。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负责全县公共资源交易管理工作，指导全县公共资源交易服务体系建设。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负责对涉及县政务服务</w:t>
      </w:r>
      <w:r>
        <w:rPr>
          <w:rFonts w:hint="eastAsia" w:ascii="仿宋_GB2312" w:hAnsi="仿宋_GB2312" w:eastAsia="仿宋_GB2312" w:cs="仿宋_GB2312"/>
          <w:color w:val="000000"/>
          <w:sz w:val="32"/>
          <w:szCs w:val="32"/>
          <w:lang w:eastAsia="zh-CN"/>
        </w:rPr>
        <w:t>大厅</w:t>
      </w:r>
      <w:r>
        <w:rPr>
          <w:rFonts w:hint="eastAsia" w:ascii="仿宋_GB2312" w:hAnsi="仿宋_GB2312" w:eastAsia="仿宋_GB2312" w:cs="仿宋_GB2312"/>
          <w:color w:val="000000"/>
          <w:sz w:val="32"/>
          <w:szCs w:val="32"/>
        </w:rPr>
        <w:t>、县公共资源交易中心、县行政审批服务机构的投诉举报的承办、转办和督办工作。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lang w:val="en-US"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完成县委、县政府交办的其他任务。</w:t>
      </w:r>
    </w:p>
    <w:p>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红原县政务服务和公共资源交易服务中心基本职能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按规定参与县级政务服务管理规章制度、工作流程和服务规范并组织实施，推行政务服务标准化。负责开展进入县级平台的并联审批协调服务工作，配合主管部门对县直各部门（单位）政务服务入驻窗口及人员进行监督管理，并实施考核，协助入驻部门做好工作纪律和作风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参与对县直部门（单位）行政审批制度改革、政务服务、公共资源交易开展情况的综合评估，协助相关行业部门开展监管工作。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为县政务服务和公共资源交易活动提供场所、设施、信息和管理服务，承担县级政务服务和公共资源交易平台建设和管理工作。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负责全县政务服务和行政审批管理工作，并协调指导乡镇、村便民服务和乡镇行政审批相关工作。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对乡镇便民服务中心和村（社区）便民代办点进行业务指导，负责对相关业务工作的调研和培训。</w:t>
      </w:r>
    </w:p>
    <w:p>
      <w:pPr>
        <w:pStyle w:val="1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依托上级部门及州公共资源交易中心，为全县工程建设项目招标投标、政府采购等各类公共资源交易活动中为市场主体提供服务，为政府监管提供平台，为交易活动提供场所、设施、信息和现场管理服务。负责制定公共资源交易现场管理规章制度、工作流程和服务规范并组织实施，推行公共资源交易标准化服务。</w:t>
      </w:r>
    </w:p>
    <w:p>
      <w:pPr>
        <w:pStyle w:val="1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按相关规定政府采购等各类交易信息和交易结果公告由交易中心在指定的网站上统一发布；受理交易申请，为开标、评标和定标等交易活动提供优质服务；协助各职能部门、监察部门对有关质疑投诉进行调查处理，维护交易场所内活动秩序；承办政府集中采购机构职责；承办县委、县政府和主管部门交办的其他事项。</w:t>
      </w:r>
    </w:p>
    <w:p>
      <w:pPr>
        <w:pStyle w:val="1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参与电子化交易系统、信用评价体系等建设管理工作；建立公共资源交易从业者现场行为公开制度，开展场内信用信息记录、评价并对外发布。</w:t>
      </w:r>
    </w:p>
    <w:p>
      <w:pPr>
        <w:pStyle w:val="17"/>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负责按规定实施现场秩序管理和监督工作，记录、制止违反现场管理制度的行为；按职责分工移送处理违法、违规人员。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完成县行政审批局交办的其他任务。</w:t>
      </w:r>
    </w:p>
    <w:p>
      <w:pPr>
        <w:pStyle w:val="4"/>
        <w:keepNext w:val="0"/>
        <w:keepLines w:val="0"/>
        <w:pageBreakBefore w:val="0"/>
        <w:widowControl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1.守初心、践使命，深耕厚植为民情怀</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高举中国特色社会主义伟大旗帜,坚持以习近平新时代中国特色社会主义思想和习近平总书记对四川工作系列重要指示为指导，进一步增强“四个意识”、坚定“四个自信”、做到“两个维护”,全面贯彻党的二十大精神,深入践行习近平法治思想，全面落实新时代党的治藏方略,省委涉藏工作决策部署和州委县委工作安排。坚持以人民为中心，以“两联一进”群众工作全覆盖为核心，以法治为引领，为深入实施我县“紧扣五个关键、干好五个工程、创建五个示范、建成五个家园”的战略目标任务贡献政务力量。</w:t>
      </w:r>
      <w:r>
        <w:rPr>
          <w:rFonts w:hint="eastAsia" w:ascii="仿宋_GB2312" w:hAnsi="仿宋_GB2312" w:eastAsia="仿宋_GB2312" w:cs="仿宋_GB2312"/>
          <w:b/>
          <w:bCs/>
          <w:color w:val="000000"/>
          <w:sz w:val="32"/>
          <w:szCs w:val="32"/>
          <w:lang w:val="en-US" w:eastAsia="zh-CN"/>
        </w:rPr>
        <w:t>一是党建工作求精。</w:t>
      </w:r>
      <w:r>
        <w:rPr>
          <w:rFonts w:hint="eastAsia" w:ascii="仿宋_GB2312" w:hAnsi="仿宋_GB2312" w:eastAsia="仿宋_GB2312" w:cs="仿宋_GB2312"/>
          <w:sz w:val="32"/>
          <w:szCs w:val="32"/>
          <w:lang w:val="en-US" w:eastAsia="zh-CN"/>
        </w:rPr>
        <w:t>依托“三会一课”平台，主题党课、理论中心组集中学习等形式开展专题学习活动，将党建工作与政务服务工作一体谋划、一体推进，持续巩固党史学习教育成果。</w:t>
      </w:r>
      <w:r>
        <w:rPr>
          <w:rFonts w:hint="eastAsia" w:ascii="仿宋_GB2312" w:hAnsi="仿宋_GB2312" w:eastAsia="仿宋_GB2312" w:cs="仿宋_GB2312"/>
          <w:b/>
          <w:bCs/>
          <w:color w:val="000000"/>
          <w:sz w:val="32"/>
          <w:szCs w:val="32"/>
          <w:lang w:val="en-US" w:eastAsia="zh-CN"/>
        </w:rPr>
        <w:t>二是廉政工作求严。</w:t>
      </w:r>
      <w:r>
        <w:rPr>
          <w:rFonts w:hint="eastAsia" w:ascii="仿宋_GB2312" w:hAnsi="仿宋_GB2312" w:eastAsia="仿宋_GB2312" w:cs="仿宋_GB2312"/>
          <w:sz w:val="32"/>
          <w:szCs w:val="32"/>
          <w:lang w:val="en-US" w:eastAsia="zh-CN"/>
        </w:rPr>
        <w:t>紧盯政府采购、综窗改革等重点风险领域，</w:t>
      </w:r>
      <w:r>
        <w:rPr>
          <w:rFonts w:hint="eastAsia" w:ascii="仿宋_GB2312" w:hAnsi="仿宋_GB2312" w:eastAsia="仿宋_GB2312" w:cs="仿宋_GB2312"/>
          <w:color w:val="000000"/>
          <w:kern w:val="0"/>
          <w:sz w:val="32"/>
          <w:szCs w:val="32"/>
          <w:lang w:val="en-US" w:eastAsia="zh-CN" w:bidi="ar"/>
        </w:rPr>
        <w:t>依托“青廉护航”工作，</w:t>
      </w:r>
      <w:r>
        <w:rPr>
          <w:rFonts w:hint="eastAsia" w:ascii="仿宋_GB2312" w:hAnsi="仿宋_GB2312" w:eastAsia="仿宋_GB2312" w:cs="仿宋_GB2312"/>
          <w:color w:val="000000"/>
          <w:sz w:val="32"/>
          <w:szCs w:val="32"/>
          <w:lang w:val="en-US" w:eastAsia="zh-CN"/>
        </w:rPr>
        <w:t>扎实</w:t>
      </w:r>
      <w:r>
        <w:rPr>
          <w:rFonts w:hint="eastAsia" w:ascii="仿宋_GB2312" w:hAnsi="仿宋_GB2312" w:eastAsia="仿宋_GB2312" w:cs="仿宋_GB2312"/>
          <w:color w:val="000000"/>
          <w:sz w:val="32"/>
          <w:szCs w:val="32"/>
          <w:lang w:eastAsia="zh-CN"/>
        </w:rPr>
        <w:t>推进党风廉政建设和反腐败宣传教育，不断创新教育的方式方法，增强教育的针对性、实效性，一体推进“不想腐、不敢腐、不能腐”机制建设，</w:t>
      </w:r>
      <w:r>
        <w:rPr>
          <w:rFonts w:hint="eastAsia" w:ascii="仿宋_GB2312" w:hAnsi="仿宋_GB2312" w:eastAsia="仿宋_GB2312" w:cs="仿宋_GB2312"/>
          <w:color w:val="000000"/>
          <w:sz w:val="32"/>
          <w:szCs w:val="32"/>
          <w:lang w:val="en-US" w:eastAsia="zh-CN"/>
        </w:rPr>
        <w:t>特别是要让年轻的党员干部</w:t>
      </w:r>
      <w:r>
        <w:rPr>
          <w:rFonts w:hint="eastAsia" w:ascii="仿宋_GB2312" w:hAnsi="仿宋_GB2312" w:eastAsia="仿宋_GB2312" w:cs="仿宋_GB2312"/>
          <w:color w:val="000000"/>
          <w:sz w:val="32"/>
          <w:szCs w:val="32"/>
          <w:lang w:eastAsia="zh-CN"/>
        </w:rPr>
        <w:t>知敬畏、存戒惧、守底线。</w:t>
      </w:r>
      <w:r>
        <w:rPr>
          <w:rFonts w:hint="eastAsia" w:ascii="仿宋_GB2312" w:hAnsi="仿宋_GB2312" w:eastAsia="仿宋_GB2312" w:cs="仿宋_GB2312"/>
          <w:b/>
          <w:bCs/>
          <w:color w:val="000000"/>
          <w:sz w:val="32"/>
          <w:szCs w:val="32"/>
          <w:lang w:val="en-US" w:eastAsia="zh-CN"/>
        </w:rPr>
        <w:t>三是服务群众求细。</w:t>
      </w:r>
      <w:r>
        <w:rPr>
          <w:rFonts w:hint="eastAsia" w:ascii="仿宋_GB2312" w:hAnsi="仿宋_GB2312" w:eastAsia="仿宋_GB2312" w:cs="仿宋_GB2312"/>
          <w:sz w:val="32"/>
          <w:szCs w:val="32"/>
          <w:lang w:val="en-US" w:eastAsia="zh-CN"/>
        </w:rPr>
        <w:t>聚焦服务对象急难愁盼问题，纵深推进“我为群众为实事”活动，以“</w:t>
      </w:r>
      <w:r>
        <w:rPr>
          <w:rFonts w:hint="eastAsia" w:ascii="仿宋_GB2312" w:hAnsi="仿宋_GB2312" w:eastAsia="仿宋_GB2312" w:cs="仿宋_GB2312"/>
          <w:b w:val="0"/>
          <w:bCs w:val="0"/>
          <w:kern w:val="2"/>
          <w:sz w:val="32"/>
          <w:szCs w:val="32"/>
          <w:lang w:val="en-US" w:eastAsia="zh-CN" w:bidi="ar-SA"/>
        </w:rPr>
        <w:t>两联一进”等群众工作全覆盖为抓手，以优化营商环境为着力点，</w:t>
      </w:r>
      <w:r>
        <w:rPr>
          <w:rFonts w:hint="eastAsia" w:ascii="仿宋_GB2312" w:hAnsi="仿宋_GB2312" w:eastAsia="仿宋_GB2312" w:cs="仿宋_GB2312"/>
          <w:sz w:val="32"/>
          <w:szCs w:val="32"/>
          <w:lang w:val="en-US" w:eastAsia="zh-CN"/>
        </w:rPr>
        <w:t>深入开展走访、调研及矛盾纠纷排查等工作，结合工作职责，解决群众和企业最关心、最直接、最现实的“关键问题”，着力提升企业群众满意度和认可度。</w:t>
      </w:r>
      <w:r>
        <w:rPr>
          <w:rFonts w:hint="eastAsia" w:ascii="仿宋_GB2312" w:hAnsi="仿宋_GB2312" w:eastAsia="仿宋_GB2312" w:cs="仿宋_GB2312"/>
          <w:b/>
          <w:bCs/>
          <w:color w:val="000000"/>
          <w:sz w:val="32"/>
          <w:szCs w:val="32"/>
          <w:lang w:val="en-US" w:eastAsia="zh-CN"/>
        </w:rPr>
        <w:t>四是依法行政求实。</w:t>
      </w:r>
      <w:r>
        <w:rPr>
          <w:rFonts w:hint="eastAsia" w:ascii="仿宋_GB2312" w:hAnsi="仿宋_GB2312" w:eastAsia="仿宋_GB2312" w:cs="仿宋_GB2312"/>
          <w:sz w:val="32"/>
          <w:szCs w:val="32"/>
          <w:lang w:val="en-US" w:eastAsia="zh-CN"/>
        </w:rPr>
        <w:t>严格履行法治政府建设相关职责，坚持依法行政、依法履职。以2023年度国家工作人员在线学法和考法活动为契机，确保干部履职全面步入法治轨道。</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2.实干、创新、拼搏，大力弘扬</w:t>
      </w:r>
      <w:r>
        <w:rPr>
          <w:rFonts w:hint="eastAsia" w:ascii="仿宋_GB2312" w:hAnsi="仿宋_GB2312" w:eastAsia="仿宋_GB2312" w:cs="仿宋_GB2312"/>
          <w:b w:val="0"/>
          <w:bCs w:val="0"/>
          <w:kern w:val="2"/>
          <w:sz w:val="32"/>
          <w:szCs w:val="32"/>
          <w:lang w:val="en-US" w:eastAsia="zh-CN" w:bidi="ar-SA"/>
        </w:rPr>
        <w:t>“三牛”精神</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Style w:val="12"/>
          <w:rFonts w:hint="eastAsia" w:ascii="仿宋_GB2312" w:hAnsi="仿宋_GB2312" w:eastAsia="仿宋_GB2312" w:cs="仿宋_GB2312"/>
          <w:color w:val="000000" w:themeColor="text1"/>
          <w:sz w:val="32"/>
          <w:szCs w:val="32"/>
          <w:lang w:val="en-US" w:eastAsia="zh-CN"/>
          <w14:textFill>
            <w14:solidFill>
              <w14:schemeClr w14:val="tx1"/>
            </w14:solidFill>
          </w14:textFill>
        </w:rPr>
        <w:t>我局</w:t>
      </w:r>
      <w:r>
        <w:rPr>
          <w:rStyle w:val="12"/>
          <w:rFonts w:hint="eastAsia" w:ascii="仿宋_GB2312" w:hAnsi="仿宋_GB2312" w:eastAsia="仿宋_GB2312" w:cs="仿宋_GB2312"/>
          <w:color w:val="000000" w:themeColor="text1"/>
          <w:sz w:val="32"/>
          <w:szCs w:val="32"/>
          <w:lang w:eastAsia="zh-CN"/>
          <w14:textFill>
            <w14:solidFill>
              <w14:schemeClr w14:val="tx1"/>
            </w14:solidFill>
          </w14:textFill>
        </w:rPr>
        <w:t>将</w:t>
      </w:r>
      <w:r>
        <w:rPr>
          <w:rFonts w:hint="eastAsia" w:ascii="仿宋_GB2312" w:hAnsi="仿宋_GB2312" w:eastAsia="仿宋_GB2312" w:cs="仿宋_GB2312"/>
          <w:color w:val="000000"/>
          <w:sz w:val="32"/>
          <w:szCs w:val="32"/>
          <w:shd w:val="clear" w:color="auto" w:fill="FFFFFF"/>
        </w:rPr>
        <w:t>紧扣重点工作和目标任务，</w:t>
      </w:r>
      <w:r>
        <w:rPr>
          <w:rFonts w:hint="eastAsia" w:ascii="仿宋_GB2312" w:hAnsi="仿宋_GB2312" w:eastAsia="仿宋_GB2312" w:cs="仿宋_GB2312"/>
          <w:color w:val="000000"/>
          <w:sz w:val="32"/>
          <w:szCs w:val="32"/>
          <w:shd w:val="clear" w:color="auto" w:fill="FFFFFF"/>
          <w:lang w:val="en-US" w:eastAsia="zh-CN"/>
        </w:rPr>
        <w:t>聚焦</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“互联网</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+政务服务</w:t>
      </w:r>
      <w:r>
        <w:rPr>
          <w:rFonts w:hint="eastAsia" w:ascii="仿宋_GB2312" w:hAnsi="仿宋_GB2312" w:eastAsia="仿宋_GB2312" w:cs="仿宋_GB2312"/>
          <w:b w:val="0"/>
          <w:i w:val="0"/>
          <w:caps w:val="0"/>
          <w:color w:val="000000" w:themeColor="text1"/>
          <w:spacing w:val="0"/>
          <w:w w:val="100"/>
          <w:sz w:val="32"/>
          <w:szCs w:val="32"/>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w w:val="100"/>
          <w:sz w:val="32"/>
          <w:szCs w:val="32"/>
          <w:lang w:val="en-US" w:eastAsia="zh-CN"/>
          <w14:textFill>
            <w14:solidFill>
              <w14:schemeClr w14:val="tx1"/>
            </w14:solidFill>
          </w14:textFill>
        </w:rPr>
        <w:t>工作，</w:t>
      </w:r>
      <w:r>
        <w:rPr>
          <w:rFonts w:hint="eastAsia" w:ascii="仿宋_GB2312" w:hAnsi="仿宋_GB2312" w:eastAsia="仿宋_GB2312" w:cs="仿宋_GB2312"/>
          <w:sz w:val="32"/>
          <w:szCs w:val="32"/>
          <w:lang w:val="en-US" w:eastAsia="zh-CN"/>
        </w:rPr>
        <w:t>以“老黄牛”的干劲，“孺子牛”韧劲，“拓荒牛”闯劲，</w:t>
      </w:r>
      <w:r>
        <w:rPr>
          <w:rFonts w:hint="eastAsia" w:ascii="仿宋_GB2312" w:hAnsi="仿宋_GB2312" w:eastAsia="仿宋_GB2312" w:cs="仿宋_GB2312"/>
          <w:color w:val="000000" w:themeColor="text1"/>
          <w:sz w:val="32"/>
          <w:szCs w:val="32"/>
          <w14:textFill>
            <w14:solidFill>
              <w14:schemeClr w14:val="tx1"/>
            </w14:solidFill>
          </w14:textFill>
        </w:rPr>
        <w:t>为全力以赴拼经济搞建设营造良好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的政务服务</w:t>
      </w:r>
      <w:r>
        <w:rPr>
          <w:rFonts w:hint="eastAsia" w:ascii="仿宋_GB2312" w:hAnsi="仿宋_GB2312" w:eastAsia="仿宋_GB2312" w:cs="仿宋_GB2312"/>
          <w:color w:val="000000" w:themeColor="text1"/>
          <w:sz w:val="32"/>
          <w:szCs w:val="32"/>
          <w14:textFill>
            <w14:solidFill>
              <w14:schemeClr w14:val="tx1"/>
            </w14:solidFill>
          </w14:textFill>
        </w:rPr>
        <w:t>环境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一是持续</w:t>
      </w:r>
      <w:r>
        <w:rPr>
          <w:rFonts w:hint="eastAsia" w:ascii="仿宋_GB2312" w:hAnsi="仿宋_GB2312" w:eastAsia="仿宋_GB2312" w:cs="仿宋_GB2312"/>
          <w:b/>
          <w:bCs/>
          <w:color w:val="000000" w:themeColor="text1"/>
          <w:sz w:val="32"/>
          <w:szCs w:val="32"/>
          <w14:textFill>
            <w14:solidFill>
              <w14:schemeClr w14:val="tx1"/>
            </w14:solidFill>
          </w14:textFill>
        </w:rPr>
        <w:t>规范政务服务事项网上运行</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按照“应上必上”原则，力争实现我县政务服务事项线上线下服务渠道同源发布、统一管理、同步更新，政务服务事项100%在省一体化政务服务平台规范运行。探索便民服务事项和主动行使行政权力类事项的</w:t>
      </w:r>
      <w:r>
        <w:rPr>
          <w:rFonts w:hint="eastAsia" w:ascii="仿宋_GB2312" w:hAnsi="仿宋_GB2312" w:eastAsia="仿宋_GB2312" w:cs="仿宋_GB2312"/>
          <w:color w:val="000000" w:themeColor="text1"/>
          <w:sz w:val="32"/>
          <w:szCs w:val="32"/>
          <w:lang w:val="en-US" w:eastAsia="zh-Hans"/>
          <w14:textFill>
            <w14:solidFill>
              <w14:schemeClr w14:val="tx1"/>
            </w14:solidFill>
          </w14:textFill>
        </w:rPr>
        <w:t>标准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化管理，</w:t>
      </w:r>
      <w:r>
        <w:rPr>
          <w:rFonts w:hint="eastAsia" w:ascii="仿宋_GB2312" w:hAnsi="仿宋_GB2312" w:eastAsia="仿宋_GB2312" w:cs="仿宋_GB2312"/>
          <w:color w:val="000000" w:themeColor="text1"/>
          <w:sz w:val="32"/>
          <w:szCs w:val="32"/>
          <w:lang w:val="en-US" w:eastAsia="zh-Hans"/>
          <w14:textFill>
            <w14:solidFill>
              <w14:schemeClr w14:val="tx1"/>
            </w14:solidFill>
          </w14:textFill>
        </w:rPr>
        <w:t>深化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“好差评”对“一网通办”的推动作用</w:t>
      </w:r>
      <w:r>
        <w:rPr>
          <w:rFonts w:hint="eastAsia" w:ascii="仿宋_GB2312" w:hAnsi="仿宋_GB2312" w:eastAsia="仿宋_GB2312" w:cs="仿宋_GB2312"/>
          <w:color w:val="000000" w:themeColor="text1"/>
          <w:sz w:val="32"/>
          <w:szCs w:val="32"/>
          <w:lang w:val="en-US" w:eastAsia="zh-Hans"/>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倒逼服务优化提升。</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二是优化“一件事”集成化办理。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企业群众高效办成“一件事”为目标，落实国家13项“一件事”和我省自行拓展的91项“一件事”从“可办”向“好办”转变。加快推动业务深度协同、系统互联互通、数据按需共享应用，严格按照办事指南提供“一件事一次办”服务，减时间、减环节、减材料、减跑动，实现“一次告知、一表申请、一套材料、一窗（端）受理、一网办理”。</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三是推进“天府通办”红原分站点建设。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坚持“全联、深通、好办”的目标导向，统筹推进“天府通办红原分站点”试点建设，</w:t>
      </w:r>
      <w:r>
        <w:rPr>
          <w:rFonts w:hint="eastAsia" w:ascii="仿宋_GB2312" w:hAnsi="仿宋_GB2312" w:eastAsia="仿宋_GB2312" w:cs="仿宋_GB2312"/>
          <w:b w:val="0"/>
          <w:bCs w:val="0"/>
          <w:spacing w:val="0"/>
          <w:sz w:val="32"/>
          <w:szCs w:val="32"/>
          <w:lang w:val="en-US" w:eastAsia="zh-CN"/>
        </w:rPr>
        <w:t>力争完成10个高频应用接入，并完成高频政务服务事项“掌上办”清单，同步完善动态调整机制。</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四是持续加快政府职能转变，规范行政权力运行。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持续开展红原县行政权力事项、公共服务事项、行政许可事项、乡镇（街道）法定权力事项、赋予乡镇县级行政权力事项的收集、整理、汇总、印发工作，确保行政权力进清单，清单之外无权力。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五是深化改革，依法办事。</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严格落实《政府采购法》、《招标投标法》及实施条例和国家、省、州有关公共资源交易法律法规，遵循“公开透明、公平竞争、公正诚信和廉洁高效”的原则，强化服务职能，创新工作方法，改进工作作风，着力打造阳光交易平台，严格遵照采购目录，开展政府采购活动，努力为推进红原经济建设发展发挥积极作用。</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六是优化12345政务服务便民热线，走好网上群众路线。</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按国家、省、州工作部署，持续优化红原县12345政务服务便民热线运行管理机制，使政务服务便民热线“接得更快、分得更准、办得更实”。确保</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接通</w:t>
      </w:r>
      <w:r>
        <w:rPr>
          <w:rFonts w:hint="eastAsia" w:ascii="仿宋_GB2312" w:hAnsi="仿宋_GB2312" w:eastAsia="仿宋_GB2312" w:cs="仿宋_GB2312"/>
          <w:color w:val="000000" w:themeColor="text1"/>
          <w:spacing w:val="0"/>
          <w:sz w:val="32"/>
          <w:szCs w:val="32"/>
          <w14:textFill>
            <w14:solidFill>
              <w14:schemeClr w14:val="tx1"/>
            </w14:solidFill>
          </w14:textFill>
        </w:rPr>
        <w:t>应答率</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群众满意率100</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七是持续抓好两项改革“后半篇”工作。</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不断改进作风、优化服务、主动担当作为，</w:t>
      </w:r>
      <w:r>
        <w:rPr>
          <w:rFonts w:hint="eastAsia" w:ascii="仿宋_GB2312" w:hAnsi="仿宋_GB2312" w:eastAsia="仿宋_GB2312" w:cs="仿宋_GB2312"/>
          <w:snapToGrid w:val="0"/>
          <w:color w:val="000000"/>
          <w:spacing w:val="-5"/>
          <w:kern w:val="0"/>
          <w:sz w:val="32"/>
          <w:szCs w:val="32"/>
          <w:lang w:val="en-US" w:eastAsia="zh-CN"/>
        </w:rPr>
        <w:t>持续完善我县10个乡镇便民服务中心、35个便民服务室“三化”建设工作。</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用实实在在的工作赢得群众的好口碑。统筹推进《红原县乡镇级片区便民服务设施专项规划（2021-2035年）》工作，夯实巩固脱贫攻坚成果，助力我县乡村振兴提质增效。</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八是着力推进中心高标准建设。</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持续做好红原县政务服务中心建设项目后续工作，坚持既定目标，压实责任，确保工程项目建设品质，力争今年6月工程（一期）全面完工，9月完成内部装修及窗口单位入驻。</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color w:val="0C0C0C"/>
          <w:kern w:val="0"/>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C0C0C"/>
          <w:kern w:val="0"/>
          <w:sz w:val="32"/>
          <w:szCs w:val="32"/>
          <w:lang w:val="en-US" w:eastAsia="zh-CN"/>
        </w:rPr>
        <w:t>立足本职，</w:t>
      </w:r>
      <w:r>
        <w:rPr>
          <w:rFonts w:hint="eastAsia" w:ascii="仿宋_GB2312" w:hAnsi="仿宋_GB2312" w:eastAsia="仿宋_GB2312" w:cs="仿宋_GB2312"/>
          <w:color w:val="0C0C0C"/>
          <w:kern w:val="0"/>
          <w:sz w:val="32"/>
          <w:szCs w:val="32"/>
        </w:rPr>
        <w:t>深学笃行</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auto"/>
          <w:sz w:val="32"/>
          <w:szCs w:val="32"/>
        </w:rPr>
        <w:t>犯其至难而图其至远。在</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委、</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政府坚强领导</w:t>
      </w:r>
      <w:r>
        <w:rPr>
          <w:rFonts w:hint="eastAsia" w:ascii="仿宋_GB2312" w:hAnsi="仿宋_GB2312" w:eastAsia="仿宋_GB2312" w:cs="仿宋_GB2312"/>
          <w:sz w:val="32"/>
          <w:szCs w:val="32"/>
        </w:rPr>
        <w:t>和县人大的监督下，</w:t>
      </w:r>
      <w:r>
        <w:rPr>
          <w:rFonts w:hint="eastAsia" w:ascii="仿宋_GB2312" w:hAnsi="仿宋_GB2312" w:eastAsia="仿宋_GB2312" w:cs="仿宋_GB2312"/>
          <w:sz w:val="32"/>
          <w:szCs w:val="32"/>
          <w:lang w:val="en-US" w:eastAsia="zh-CN"/>
        </w:rPr>
        <w:t>行政审批局全局干部职工将以</w:t>
      </w:r>
      <w:r>
        <w:rPr>
          <w:rFonts w:hint="eastAsia" w:ascii="仿宋_GB2312" w:hAnsi="仿宋_GB2312" w:eastAsia="仿宋_GB2312" w:cs="仿宋_GB2312"/>
          <w:color w:val="auto"/>
          <w:sz w:val="32"/>
          <w:szCs w:val="32"/>
        </w:rPr>
        <w:t>等不起的责任感、慢不得的危机感、坐不住的紧迫感，以更饱满的热情、更昂扬的斗志、更务实的作风，勇于担当，勇毅前行，</w:t>
      </w:r>
      <w:r>
        <w:rPr>
          <w:rFonts w:hint="eastAsia" w:ascii="仿宋_GB2312" w:hAnsi="仿宋_GB2312" w:eastAsia="仿宋_GB2312" w:cs="仿宋_GB2312"/>
          <w:color w:val="000000"/>
          <w:kern w:val="0"/>
          <w:sz w:val="32"/>
          <w:szCs w:val="32"/>
          <w:lang w:val="en-US" w:eastAsia="zh-CN" w:bidi="ar-SA"/>
        </w:rPr>
        <w:t>紧紧围绕</w:t>
      </w:r>
      <w:r>
        <w:rPr>
          <w:rFonts w:hint="eastAsia" w:ascii="仿宋_GB2312" w:hAnsi="仿宋_GB2312" w:eastAsia="仿宋_GB2312" w:cs="仿宋_GB2312"/>
          <w:b w:val="0"/>
          <w:bCs w:val="0"/>
          <w:kern w:val="2"/>
          <w:sz w:val="32"/>
          <w:szCs w:val="32"/>
          <w:lang w:val="en-US" w:eastAsia="zh-CN" w:bidi="ar-SA"/>
        </w:rPr>
        <w:t>“紧扣五个关键、干好五个工程、创建五个示范、建成五个家园”的战略目标</w:t>
      </w:r>
      <w:r>
        <w:rPr>
          <w:rFonts w:hint="eastAsia" w:ascii="仿宋_GB2312" w:hAnsi="仿宋_GB2312" w:eastAsia="仿宋_GB2312" w:cs="仿宋_GB2312"/>
          <w:color w:val="000000"/>
          <w:kern w:val="0"/>
          <w:sz w:val="32"/>
          <w:szCs w:val="32"/>
          <w:lang w:val="en-US" w:eastAsia="zh-CN" w:bidi="ar-SA"/>
        </w:rPr>
        <w:t>，统一思想、统一意志、统一行动，团结奋斗、踔厉奋发，以“开局就是决战、起步就是冲刺”的状态，有力推动各项重点工作，确保全年工作开好局、起好步、出成效，为奋力谱写中国式现代化的红原新篇章添砖加瓦。</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sz w:val="32"/>
          <w:szCs w:val="32"/>
        </w:rPr>
        <w:t>部门</w:t>
      </w:r>
      <w:r>
        <w:rPr>
          <w:rFonts w:hint="eastAsia" w:ascii="黑体" w:hAnsi="黑体" w:eastAsia="黑体" w:cs="黑体"/>
          <w:sz w:val="32"/>
          <w:szCs w:val="32"/>
          <w:lang w:eastAsia="zh-CN"/>
        </w:rPr>
        <w:t>预算单位构成</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红原县行政审批局内设一个二级事业单位：红原县</w:t>
      </w:r>
      <w:r>
        <w:rPr>
          <w:rFonts w:hint="eastAsia" w:ascii="仿宋_GB2312" w:hAnsi="仿宋_GB2312" w:eastAsia="仿宋_GB2312" w:cs="仿宋_GB2312"/>
          <w:sz w:val="32"/>
          <w:szCs w:val="32"/>
          <w:lang w:val="en-US" w:eastAsia="zh-CN"/>
        </w:rPr>
        <w:t>政务服务和</w:t>
      </w:r>
      <w:r>
        <w:rPr>
          <w:rFonts w:hint="eastAsia" w:ascii="仿宋_GB2312" w:hAnsi="仿宋_GB2312" w:eastAsia="仿宋_GB2312" w:cs="仿宋_GB2312"/>
          <w:sz w:val="32"/>
          <w:szCs w:val="32"/>
          <w:lang w:eastAsia="zh-CN"/>
        </w:rPr>
        <w:t>公共资源交易服务中心，</w:t>
      </w:r>
      <w:r>
        <w:rPr>
          <w:rFonts w:hint="eastAsia" w:ascii="仿宋_GB2312" w:hAnsi="仿宋_GB2312" w:eastAsia="仿宋_GB2312" w:cs="仿宋_GB2312"/>
          <w:sz w:val="32"/>
          <w:szCs w:val="32"/>
          <w:lang w:val="en-US" w:eastAsia="zh-CN"/>
        </w:rPr>
        <w:t>2023年部门预算编制范围包括一个行政单位：行政审批局本级，一个事业单位：</w:t>
      </w:r>
      <w:r>
        <w:rPr>
          <w:rFonts w:hint="eastAsia" w:ascii="仿宋_GB2312" w:hAnsi="仿宋_GB2312" w:eastAsia="仿宋_GB2312" w:cs="仿宋_GB2312"/>
          <w:sz w:val="32"/>
          <w:szCs w:val="32"/>
          <w:lang w:eastAsia="zh-CN"/>
        </w:rPr>
        <w:t>红原县公共资源交易服务中心，红原县行政审批局额拨款行政单位，截止</w:t>
      </w:r>
      <w:r>
        <w:rPr>
          <w:rFonts w:hint="eastAsia" w:ascii="仿宋_GB2312" w:hAnsi="仿宋_GB2312" w:eastAsia="仿宋_GB2312" w:cs="仿宋_GB2312"/>
          <w:sz w:val="32"/>
          <w:szCs w:val="32"/>
          <w:lang w:val="en-US" w:eastAsia="zh-CN"/>
        </w:rPr>
        <w:t>2022年底在职公务员4人，行政工勤1人，事业人员8人，事业工勤1人。</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before="0" w:line="576" w:lineRule="exact"/>
        <w:ind w:left="0" w:leftChars="0"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收支预算总体情况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2023年红原县行政审批局</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459.68</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459.68</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459.68</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372.59</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45.73</w:t>
      </w:r>
      <w:r>
        <w:rPr>
          <w:rFonts w:hint="eastAsia" w:ascii="仿宋_GB2312" w:hAnsi="仿宋_GB2312" w:eastAsia="仿宋_GB2312" w:cs="仿宋_GB2312"/>
          <w:sz w:val="32"/>
          <w:szCs w:val="32"/>
        </w:rPr>
        <w:t>万元，医疗卫生</w:t>
      </w:r>
      <w:r>
        <w:rPr>
          <w:rFonts w:hint="eastAsia" w:ascii="仿宋_GB2312" w:hAnsi="仿宋_GB2312" w:eastAsia="仿宋_GB2312" w:cs="仿宋_GB2312"/>
          <w:sz w:val="32"/>
          <w:szCs w:val="32"/>
          <w:lang w:val="en-US" w:eastAsia="zh-CN"/>
        </w:rPr>
        <w:t>15.91</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25.44</w:t>
      </w:r>
      <w:r>
        <w:rPr>
          <w:rFonts w:hint="eastAsia" w:ascii="仿宋_GB2312" w:hAnsi="仿宋_GB2312" w:eastAsia="仿宋_GB2312" w:cs="仿宋_GB2312"/>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支出预算安排情况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红原县行政审批局</w:t>
      </w:r>
      <w:r>
        <w:rPr>
          <w:rFonts w:hint="eastAsia" w:ascii="仿宋_GB2312" w:hAnsi="仿宋_GB2312" w:eastAsia="仿宋_GB2312" w:cs="仿宋_GB2312"/>
          <w:sz w:val="32"/>
          <w:szCs w:val="32"/>
        </w:rPr>
        <w:t>预算安排支出主要用于保障该部门机构正常运转、完成日常工作任务以及承担</w:t>
      </w:r>
      <w:r>
        <w:rPr>
          <w:rFonts w:hint="eastAsia" w:ascii="仿宋_GB2312" w:hAnsi="仿宋_GB2312" w:eastAsia="仿宋_GB2312" w:cs="仿宋_GB2312"/>
          <w:sz w:val="32"/>
          <w:szCs w:val="32"/>
          <w:lang w:eastAsia="zh-CN"/>
        </w:rPr>
        <w:t>行政审批及公共资源交易服务</w:t>
      </w:r>
      <w:r>
        <w:rPr>
          <w:rFonts w:hint="eastAsia" w:ascii="仿宋_GB2312" w:hAnsi="仿宋_GB2312" w:eastAsia="仿宋_GB2312" w:cs="仿宋_GB2312"/>
          <w:sz w:val="32"/>
          <w:szCs w:val="32"/>
        </w:rPr>
        <w:t xml:space="preserve">事业发展相关工作。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304.85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304.85万元，机关运行经费22.79万元，其中：办公费5.91万元，印刷费1.00万元，水费0.10万元，邮电费0.22万元，差旅费5.76万元，培训费0.50万元，公务接待费0.30万元，工会经费2.29万元，公务用车运行维护费4.6万元。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按支出功能分类主要用于以下方面:</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（一）201</w:t>
      </w:r>
      <w:r>
        <w:rPr>
          <w:rFonts w:hint="eastAsia" w:ascii="楷体_GB2312" w:hAnsi="楷体_GB2312" w:eastAsia="楷体_GB2312" w:cs="楷体_GB2312"/>
          <w:b/>
          <w:bCs/>
          <w:sz w:val="32"/>
          <w:szCs w:val="32"/>
          <w:lang w:val="en-US" w:eastAsia="zh-CN"/>
        </w:rPr>
        <w:t>一般公共服务支出372.59万元</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lang w:val="en-US" w:eastAsia="zh-CN"/>
        </w:rPr>
        <w:t>208</w:t>
      </w:r>
      <w:r>
        <w:rPr>
          <w:rFonts w:hint="eastAsia" w:ascii="楷体_GB2312" w:hAnsi="楷体_GB2312" w:eastAsia="楷体_GB2312" w:cs="楷体_GB2312"/>
          <w:b/>
          <w:bCs/>
          <w:sz w:val="32"/>
          <w:szCs w:val="32"/>
          <w:lang w:eastAsia="zh-CN"/>
        </w:rPr>
        <w:t>社会保障和就业</w:t>
      </w:r>
      <w:r>
        <w:rPr>
          <w:rFonts w:hint="eastAsia" w:ascii="楷体_GB2312" w:hAnsi="楷体_GB2312" w:eastAsia="楷体_GB2312" w:cs="楷体_GB2312"/>
          <w:b/>
          <w:bCs/>
          <w:sz w:val="32"/>
          <w:szCs w:val="32"/>
          <w:lang w:val="en-US" w:eastAsia="zh-CN"/>
        </w:rPr>
        <w:t>支出45.73</w:t>
      </w:r>
      <w:r>
        <w:rPr>
          <w:rFonts w:hint="eastAsia" w:ascii="楷体_GB2312" w:hAnsi="楷体_GB2312" w:eastAsia="楷体_GB2312" w:cs="楷体_GB2312"/>
          <w:b/>
          <w:bCs/>
          <w:sz w:val="32"/>
          <w:szCs w:val="32"/>
          <w:lang w:eastAsia="zh-CN"/>
        </w:rPr>
        <w:t>万元。</w:t>
      </w:r>
      <w:r>
        <w:rPr>
          <w:rFonts w:hint="eastAsia" w:ascii="仿宋_GB2312" w:hAnsi="仿宋_GB2312" w:eastAsia="仿宋_GB2312" w:cs="仿宋_GB2312"/>
          <w:sz w:val="32"/>
          <w:szCs w:val="32"/>
          <w:lang w:eastAsia="zh-CN"/>
        </w:rPr>
        <w:t>主要用于机关及下属事业单位养老保险及职业年金缴费。</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lang w:val="en-US" w:eastAsia="zh-CN"/>
        </w:rPr>
        <w:t>210</w:t>
      </w:r>
      <w:r>
        <w:rPr>
          <w:rFonts w:hint="eastAsia" w:ascii="楷体_GB2312" w:hAnsi="楷体_GB2312" w:eastAsia="楷体_GB2312" w:cs="楷体_GB2312"/>
          <w:b/>
          <w:bCs/>
          <w:sz w:val="32"/>
          <w:szCs w:val="32"/>
          <w:lang w:eastAsia="zh-CN"/>
        </w:rPr>
        <w:t>医疗卫生</w:t>
      </w:r>
      <w:r>
        <w:rPr>
          <w:rFonts w:hint="eastAsia" w:ascii="楷体_GB2312" w:hAnsi="楷体_GB2312" w:eastAsia="楷体_GB2312" w:cs="楷体_GB2312"/>
          <w:b/>
          <w:bCs/>
          <w:sz w:val="32"/>
          <w:szCs w:val="32"/>
          <w:lang w:val="en-US" w:eastAsia="zh-CN"/>
        </w:rPr>
        <w:t>支出15.91</w:t>
      </w:r>
      <w:r>
        <w:rPr>
          <w:rFonts w:hint="eastAsia" w:ascii="楷体_GB2312" w:hAnsi="楷体_GB2312" w:eastAsia="楷体_GB2312" w:cs="楷体_GB2312"/>
          <w:b/>
          <w:bCs/>
          <w:sz w:val="32"/>
          <w:szCs w:val="32"/>
          <w:lang w:eastAsia="zh-CN"/>
        </w:rPr>
        <w:t>万元。</w:t>
      </w:r>
      <w:r>
        <w:rPr>
          <w:rFonts w:hint="eastAsia" w:ascii="仿宋_GB2312" w:hAnsi="仿宋_GB2312" w:eastAsia="仿宋_GB2312" w:cs="仿宋_GB2312"/>
          <w:sz w:val="32"/>
          <w:szCs w:val="32"/>
          <w:lang w:eastAsia="zh-CN"/>
        </w:rPr>
        <w:t>主要用于机关及下属事业单位按照规定标准为职工缴纳的基本医疗保险及公务员医疗补助等支出。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lang w:val="en-US" w:eastAsia="zh-CN"/>
        </w:rPr>
        <w:t>221</w:t>
      </w:r>
      <w:r>
        <w:rPr>
          <w:rFonts w:hint="eastAsia" w:ascii="楷体_GB2312" w:hAnsi="楷体_GB2312" w:eastAsia="楷体_GB2312" w:cs="楷体_GB2312"/>
          <w:b/>
          <w:bCs/>
          <w:sz w:val="32"/>
          <w:szCs w:val="32"/>
          <w:lang w:eastAsia="zh-CN"/>
        </w:rPr>
        <w:t>住房保障支出</w:t>
      </w:r>
      <w:r>
        <w:rPr>
          <w:rFonts w:hint="eastAsia" w:ascii="楷体_GB2312" w:hAnsi="楷体_GB2312" w:eastAsia="楷体_GB2312" w:cs="楷体_GB2312"/>
          <w:b/>
          <w:bCs/>
          <w:sz w:val="32"/>
          <w:szCs w:val="32"/>
          <w:lang w:val="en-US" w:eastAsia="zh-CN"/>
        </w:rPr>
        <w:t>25.44</w:t>
      </w:r>
      <w:r>
        <w:rPr>
          <w:rFonts w:hint="eastAsia" w:ascii="楷体_GB2312" w:hAnsi="楷体_GB2312" w:eastAsia="楷体_GB2312" w:cs="楷体_GB2312"/>
          <w:b/>
          <w:bCs/>
          <w:sz w:val="32"/>
          <w:szCs w:val="32"/>
          <w:lang w:eastAsia="zh-CN"/>
        </w:rPr>
        <w:t>万元。</w:t>
      </w:r>
      <w:r>
        <w:rPr>
          <w:rFonts w:hint="eastAsia" w:ascii="仿宋_GB2312" w:hAnsi="仿宋_GB2312" w:eastAsia="仿宋_GB2312" w:cs="仿宋_GB2312"/>
          <w:sz w:val="32"/>
          <w:szCs w:val="32"/>
          <w:lang w:eastAsia="zh-CN"/>
        </w:rPr>
        <w:t>用于机关及下属事业单位按照规定标准为职工缴纳住房公积金等支出。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五、较上年度增减变化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本年度预算拨款收入459.68万元较上年度预算</w:t>
      </w:r>
      <w:r>
        <w:rPr>
          <w:rFonts w:hint="eastAsia" w:ascii="仿宋_GB2312" w:hAnsi="仿宋_GB2312" w:eastAsia="仿宋_GB2312" w:cs="仿宋_GB2312"/>
          <w:color w:val="000000" w:themeColor="text1"/>
          <w:sz w:val="32"/>
          <w:szCs w:val="32"/>
          <w14:textFill>
            <w14:solidFill>
              <w14:schemeClr w14:val="tx1"/>
            </w14:solidFill>
          </w14:textFill>
        </w:rPr>
        <w:t>288.43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sz w:val="32"/>
          <w:szCs w:val="32"/>
          <w:lang w:val="en-US" w:eastAsia="zh-CN"/>
        </w:rPr>
        <w:t>增加了171.25万元，增加59.37%，其中基本行政运行经费预算372.59万元，占全部总预算的81.06%，较上年214.41万元增加了158.18万元，增长了73.77%，增长主要原因是2023年预算编制在职人员比2022年预算编制在职人员增加。工资，保险及公用经费预算增加，2023年新增天府通办APP红原分站点“红e办”建设项目预算资金80万元整、红原县乡镇便民服务专项规划编制项目预算资金5万元整；专项业务工作经费预算132.01万元，占总预算的35.43%，较上年74.01万元增加了58.00万元，增加主要原因是2023年新增天府通办APP红原分站点“红e办”建设项目预算资金80万元整、红原县乡镇便民服务专项规划编制项目预算资金5万元整。</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六、“三公”经费预算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本年度三公经费预算安排支出为11.9万元，其中：出国费0万元，与上年持平，主要原因为未安排因公出国；公车购置费0元，与上年持平；公务用车维护费支出11.6万元，因单位公车为越野车，车辆老旧，车况差，需要维修处理等 ；公务接待费0.30万元，本年度我们将严格执行“八项规定、六项禁令”，结合本年度工作需要，减少不必要的开支。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2023年没有使用政府性基金预算拨款安排的支出。</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国有资本经营预算收支情况说明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2023年没有使用国有资本经营预算拨款安排的支出。</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before="0" w:line="576" w:lineRule="exact"/>
        <w:ind w:left="0" w:leftChars="0" w:firstLine="640" w:firstLineChars="200"/>
        <w:jc w:val="both"/>
        <w:textAlignment w:val="baseline"/>
        <w:rPr>
          <w:rFonts w:hint="eastAsia" w:ascii="楷体_GB2312" w:hAnsi="楷体_GB2312" w:eastAsia="楷体_GB2312" w:cs="楷体_GB2312"/>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其他重要事项的情况说明</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楷体_GB2312" w:hAnsi="楷体_GB2312" w:eastAsia="楷体_GB2312" w:cs="楷体_GB2312"/>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政府采购预算情况</w:t>
      </w:r>
      <w:r>
        <w:rPr>
          <w:rFonts w:hint="eastAsia" w:ascii="楷体_GB2312" w:hAnsi="楷体_GB2312" w:eastAsia="楷体_GB2312" w:cs="楷体_GB2312"/>
          <w:color w:val="333333"/>
          <w:kern w:val="0"/>
          <w:sz w:val="32"/>
          <w:szCs w:val="32"/>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2023年度安排政府采购预算0万元。</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before="0" w:line="576" w:lineRule="exact"/>
        <w:ind w:left="0" w:leftChars="0" w:firstLine="643" w:firstLineChars="200"/>
        <w:jc w:val="both"/>
        <w:textAlignment w:val="baseline"/>
        <w:rPr>
          <w:rFonts w:hint="eastAsia" w:ascii="楷体_GB2312" w:hAnsi="楷体_GB2312" w:eastAsia="楷体_GB2312" w:cs="楷体_GB2312"/>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政府财政国有资产占用情况</w:t>
      </w:r>
      <w:r>
        <w:rPr>
          <w:rFonts w:hint="eastAsia" w:ascii="楷体_GB2312" w:hAnsi="楷体_GB2312" w:eastAsia="楷体_GB2312" w:cs="楷体_GB2312"/>
          <w:color w:val="333333"/>
          <w:kern w:val="0"/>
          <w:sz w:val="32"/>
          <w:szCs w:val="32"/>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截止2022年底，实际共有固定资产价值原值207.47万</w:t>
      </w:r>
      <w:r>
        <w:rPr>
          <w:rFonts w:hint="eastAsia" w:ascii="仿宋_GB2312" w:hAnsi="仿宋_GB2312" w:eastAsia="仿宋_GB2312" w:cs="仿宋_GB2312"/>
          <w:sz w:val="32"/>
          <w:szCs w:val="32"/>
          <w:lang w:eastAsia="zh-CN"/>
        </w:rPr>
        <w:t>元：其中：其他通用设备</w:t>
      </w:r>
      <w:r>
        <w:rPr>
          <w:rFonts w:hint="eastAsia" w:ascii="仿宋_GB2312" w:hAnsi="仿宋_GB2312" w:eastAsia="仿宋_GB2312" w:cs="仿宋_GB2312"/>
          <w:sz w:val="32"/>
          <w:szCs w:val="32"/>
          <w:lang w:val="en-US" w:eastAsia="zh-CN"/>
        </w:rPr>
        <w:t>价值183.01万元，专业设备1.14万元，家具用具23.32万元。</w:t>
      </w:r>
    </w:p>
    <w:p>
      <w:pPr>
        <w:keepNext w:val="0"/>
        <w:keepLines w:val="0"/>
        <w:pageBreakBefore w:val="0"/>
        <w:widowControl w:val="0"/>
        <w:numPr>
          <w:ilvl w:val="0"/>
          <w:numId w:val="4"/>
        </w:numPr>
        <w:pBdr>
          <w:bottom w:val="single" w:color="FFFFFF" w:sz="4" w:space="31"/>
        </w:pBdr>
        <w:tabs>
          <w:tab w:val="left" w:pos="1440"/>
          <w:tab w:val="clear" w:pos="312"/>
        </w:tabs>
        <w:kinsoku/>
        <w:wordWrap/>
        <w:overflowPunct/>
        <w:topLinePunct w:val="0"/>
        <w:autoSpaceDE/>
        <w:autoSpaceDN/>
        <w:bidi w:val="0"/>
        <w:adjustRightInd/>
        <w:snapToGrid/>
        <w:spacing w:before="0" w:line="576" w:lineRule="exact"/>
        <w:ind w:firstLine="643" w:firstLineChars="200"/>
        <w:jc w:val="both"/>
        <w:textAlignment w:val="baseline"/>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color w:val="333333"/>
          <w:kern w:val="0"/>
          <w:sz w:val="32"/>
          <w:szCs w:val="32"/>
          <w:shd w:val="clear" w:color="auto" w:fill="FFFFFF"/>
          <w:lang w:val="en-US" w:eastAsia="zh-CN" w:bidi="ar"/>
        </w:rPr>
        <w:t>绩效目标设置情况</w:t>
      </w:r>
      <w:r>
        <w:rPr>
          <w:rFonts w:hint="eastAsia" w:ascii="楷体_GB2312" w:hAnsi="楷体_GB2312" w:eastAsia="楷体_GB2312" w:cs="楷体_GB2312"/>
          <w:b/>
          <w:bCs/>
          <w:sz w:val="32"/>
          <w:szCs w:val="32"/>
          <w:lang w:val="en-US" w:eastAsia="zh-CN"/>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是预算编制的前提和基础，按照“费随事定”的原则，2023年我单位项目支出按要求编制了事前绩效目标，并上传了事前绩效评估报告，从项目完成、项目效益、满意度等方面做了测评，具体情况详见附表13。</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before="0" w:line="576" w:lineRule="exact"/>
        <w:ind w:left="0" w:lef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名词解释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1.财政拨款收入：指财政部门核拨给单位的财政预算资金。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2.其他收入：指除上述财政部门拨付单位以外的收入。</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3.基本支出：指为保障单位机关正常运转、完成日常工作任务而发生的人员支出和公用支出。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4.项目支出：指在基本支出之外为完成特定行政任务和事业发展目标所发生的支出。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jc w:val="both"/>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附件：表1.财政拨款收支预算总表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表2.财政拨款收入预算总表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表3.财政拨款收入预算总表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表4.财政拔款支出预算总表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表5.财政拔款支出预算总表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表6.财政拨款收支预算总表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表7.一般公共预算支出预算表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表8.一般公共预算基本支出预算表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表9.一般公共预算“三公：经费支出预算表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表10.政府性基金预算支出表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表11.国有资本经营预算支出预算表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表12.项目支出表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表13.2023年度红原县行政审批局部门项目支出绩效目标表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before="0" w:line="576" w:lineRule="exact"/>
        <w:ind w:firstLine="1600" w:firstLineChars="500"/>
        <w:jc w:val="both"/>
        <w:textAlignment w:val="baseline"/>
        <w:rPr>
          <w:rFonts w:hint="eastAsia"/>
          <w:lang w:val="en-US" w:eastAsia="zh-CN"/>
        </w:rPr>
      </w:pPr>
      <w:r>
        <w:rPr>
          <w:rFonts w:hint="eastAsia" w:ascii="仿宋_GB2312" w:hAnsi="仿宋_GB2312" w:eastAsia="仿宋_GB2312" w:cs="仿宋_GB2312"/>
          <w:sz w:val="32"/>
          <w:szCs w:val="32"/>
          <w:lang w:val="en-US" w:eastAsia="zh-CN"/>
        </w:rPr>
        <w:t>表14.支出明细表</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line="576" w:lineRule="exact"/>
        <w:ind w:firstLine="0" w:firstLineChars="0"/>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红原县行政审批局        </w:t>
      </w:r>
    </w:p>
    <w:p>
      <w:pPr>
        <w:keepNext w:val="0"/>
        <w:keepLines w:val="0"/>
        <w:pageBreakBefore w:val="0"/>
        <w:widowControl w:val="0"/>
        <w:numPr>
          <w:ilvl w:val="0"/>
          <w:numId w:val="0"/>
        </w:numPr>
        <w:pBdr>
          <w:bottom w:val="single" w:color="FFFFFF" w:sz="4" w:space="31"/>
        </w:pBdr>
        <w:tabs>
          <w:tab w:val="left" w:pos="1440"/>
        </w:tabs>
        <w:kinsoku/>
        <w:wordWrap w:val="0"/>
        <w:overflowPunct/>
        <w:topLinePunct w:val="0"/>
        <w:autoSpaceDE/>
        <w:autoSpaceDN/>
        <w:bidi w:val="0"/>
        <w:adjustRightInd/>
        <w:snapToGrid/>
        <w:spacing w:before="0" w:line="576" w:lineRule="exact"/>
        <w:ind w:firstLine="0" w:firstLineChars="0"/>
        <w:jc w:val="right"/>
        <w:textAlignment w:val="baseline"/>
        <w:rPr>
          <w:rFonts w:hint="default"/>
          <w:lang w:val="en-US" w:eastAsia="zh-CN"/>
        </w:rPr>
      </w:pPr>
      <w:r>
        <w:rPr>
          <w:rFonts w:hint="eastAsia" w:ascii="仿宋_GB2312" w:hAnsi="仿宋_GB2312" w:eastAsia="仿宋_GB2312" w:cs="仿宋_GB2312"/>
          <w:sz w:val="32"/>
          <w:szCs w:val="32"/>
          <w:lang w:val="en-US" w:eastAsia="zh-CN"/>
        </w:rPr>
        <w:t xml:space="preserve">2023年4月18日        </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4"/>
      </w:rPr>
    </w:pPr>
    <w:r>
      <w:fldChar w:fldCharType="begin"/>
    </w:r>
    <w:r>
      <w:rPr>
        <w:rStyle w:val="14"/>
      </w:rPr>
      <w:instrText xml:space="preserve">PAGE  </w:instrText>
    </w:r>
    <w:r>
      <w:fldChar w:fldCharType="separate"/>
    </w:r>
    <w:r>
      <w:rPr>
        <w:rStyle w:val="14"/>
      </w:rPr>
      <w:t>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4"/>
      </w:rPr>
    </w:pPr>
    <w:r>
      <w:fldChar w:fldCharType="begin"/>
    </w:r>
    <w:r>
      <w:rPr>
        <w:rStyle w:val="14"/>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C10FA"/>
    <w:multiLevelType w:val="singleLevel"/>
    <w:tmpl w:val="804C10FA"/>
    <w:lvl w:ilvl="0" w:tentative="0">
      <w:start w:val="3"/>
      <w:numFmt w:val="chineseCounting"/>
      <w:lvlText w:val="(%1)"/>
      <w:lvlJc w:val="left"/>
      <w:pPr>
        <w:tabs>
          <w:tab w:val="left" w:pos="312"/>
        </w:tabs>
      </w:pPr>
      <w:rPr>
        <w:rFonts w:hint="eastAsia"/>
      </w:rPr>
    </w:lvl>
  </w:abstractNum>
  <w:abstractNum w:abstractNumId="1">
    <w:nsid w:val="BAE400F1"/>
    <w:multiLevelType w:val="singleLevel"/>
    <w:tmpl w:val="BAE400F1"/>
    <w:lvl w:ilvl="0" w:tentative="0">
      <w:start w:val="1"/>
      <w:numFmt w:val="chineseCounting"/>
      <w:suff w:val="nothing"/>
      <w:lvlText w:val="（%1）"/>
      <w:lvlJc w:val="left"/>
      <w:rPr>
        <w:rFonts w:hint="eastAsia"/>
      </w:rPr>
    </w:lvl>
  </w:abstractNum>
  <w:abstractNum w:abstractNumId="2">
    <w:nsid w:val="CC2F761C"/>
    <w:multiLevelType w:val="singleLevel"/>
    <w:tmpl w:val="CC2F761C"/>
    <w:lvl w:ilvl="0" w:tentative="0">
      <w:start w:val="8"/>
      <w:numFmt w:val="chineseCounting"/>
      <w:suff w:val="nothing"/>
      <w:lvlText w:val="%1、"/>
      <w:lvlJc w:val="left"/>
      <w:rPr>
        <w:rFonts w:hint="eastAsia" w:ascii="黑体" w:hAnsi="黑体" w:eastAsia="黑体" w:cs="黑体"/>
      </w:rPr>
    </w:lvl>
  </w:abstractNum>
  <w:abstractNum w:abstractNumId="3">
    <w:nsid w:val="18920951"/>
    <w:multiLevelType w:val="singleLevel"/>
    <w:tmpl w:val="18920951"/>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MmE1NTM5OTI0MWM2NWZiNjlkYTFmNDI5MGJlNGIifQ=="/>
  </w:docVars>
  <w:rsids>
    <w:rsidRoot w:val="00172A27"/>
    <w:rsid w:val="008A7CB8"/>
    <w:rsid w:val="09121D09"/>
    <w:rsid w:val="0A1F3070"/>
    <w:rsid w:val="0A755F37"/>
    <w:rsid w:val="0AE566E5"/>
    <w:rsid w:val="0BA770E7"/>
    <w:rsid w:val="0FD21598"/>
    <w:rsid w:val="108A31F2"/>
    <w:rsid w:val="10B92046"/>
    <w:rsid w:val="14FE7226"/>
    <w:rsid w:val="150507F9"/>
    <w:rsid w:val="17443462"/>
    <w:rsid w:val="18870CA9"/>
    <w:rsid w:val="194D289E"/>
    <w:rsid w:val="19644C42"/>
    <w:rsid w:val="1AB41414"/>
    <w:rsid w:val="1CEB47D9"/>
    <w:rsid w:val="1EA21A14"/>
    <w:rsid w:val="237C2E6E"/>
    <w:rsid w:val="23FD6FE0"/>
    <w:rsid w:val="26BE0706"/>
    <w:rsid w:val="27A44875"/>
    <w:rsid w:val="283E14DF"/>
    <w:rsid w:val="284D302B"/>
    <w:rsid w:val="28AF655E"/>
    <w:rsid w:val="29121599"/>
    <w:rsid w:val="2B8E393C"/>
    <w:rsid w:val="2D241839"/>
    <w:rsid w:val="2E207F60"/>
    <w:rsid w:val="2F270E7E"/>
    <w:rsid w:val="334824E2"/>
    <w:rsid w:val="33541711"/>
    <w:rsid w:val="33F85473"/>
    <w:rsid w:val="349A02DF"/>
    <w:rsid w:val="352367C0"/>
    <w:rsid w:val="36E61FB7"/>
    <w:rsid w:val="37BB3A09"/>
    <w:rsid w:val="385F3ADF"/>
    <w:rsid w:val="3C09394B"/>
    <w:rsid w:val="3D7329CA"/>
    <w:rsid w:val="3E115F7A"/>
    <w:rsid w:val="3E2C192B"/>
    <w:rsid w:val="3E7C598E"/>
    <w:rsid w:val="40C949A3"/>
    <w:rsid w:val="41C14C68"/>
    <w:rsid w:val="44DE2F1A"/>
    <w:rsid w:val="46A538B6"/>
    <w:rsid w:val="4A46450F"/>
    <w:rsid w:val="4B6220EE"/>
    <w:rsid w:val="50563D1F"/>
    <w:rsid w:val="54715195"/>
    <w:rsid w:val="555E53B0"/>
    <w:rsid w:val="56F015BA"/>
    <w:rsid w:val="5764751B"/>
    <w:rsid w:val="577B1E53"/>
    <w:rsid w:val="57BB7549"/>
    <w:rsid w:val="58A3600C"/>
    <w:rsid w:val="5C1941D5"/>
    <w:rsid w:val="5D7E22DD"/>
    <w:rsid w:val="5E90073D"/>
    <w:rsid w:val="5ECE010D"/>
    <w:rsid w:val="632828FF"/>
    <w:rsid w:val="636966A0"/>
    <w:rsid w:val="63F20838"/>
    <w:rsid w:val="670175BB"/>
    <w:rsid w:val="6BB22EB9"/>
    <w:rsid w:val="6CAA022C"/>
    <w:rsid w:val="6CCB713F"/>
    <w:rsid w:val="6D9E2C3B"/>
    <w:rsid w:val="6FBF4B32"/>
    <w:rsid w:val="70F00356"/>
    <w:rsid w:val="72985CD4"/>
    <w:rsid w:val="75AD6676"/>
    <w:rsid w:val="76C375E1"/>
    <w:rsid w:val="79267BE7"/>
    <w:rsid w:val="7AB14320"/>
    <w:rsid w:val="7B312348"/>
    <w:rsid w:val="7BB04544"/>
    <w:rsid w:val="7CBE4C47"/>
    <w:rsid w:val="7DEC2A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index 8"/>
    <w:basedOn w:val="1"/>
    <w:next w:val="1"/>
    <w:qFormat/>
    <w:uiPriority w:val="0"/>
    <w:pPr>
      <w:ind w:left="2940"/>
    </w:pPr>
    <w:rPr>
      <w:rFonts w:ascii="Times New Roman" w:hAnsi="Times New Roman" w:eastAsia="宋体" w:cs="Times New Roman"/>
    </w:rPr>
  </w:style>
  <w:style w:type="paragraph" w:styleId="4">
    <w:name w:val="Body Text"/>
    <w:basedOn w:val="1"/>
    <w:next w:val="3"/>
    <w:qFormat/>
    <w:uiPriority w:val="0"/>
    <w:pPr>
      <w:spacing w:before="93" w:beforeLines="30"/>
    </w:pPr>
    <w:rPr>
      <w:rFonts w:ascii="仿宋_GB2312" w:eastAsia="仿宋_GB2312"/>
      <w:sz w:val="30"/>
    </w:rPr>
  </w:style>
  <w:style w:type="paragraph" w:styleId="5">
    <w:name w:val="Body Text Indent"/>
    <w:basedOn w:val="1"/>
    <w:next w:val="6"/>
    <w:qFormat/>
    <w:uiPriority w:val="6"/>
    <w:pPr>
      <w:ind w:firstLine="567"/>
      <w:jc w:val="both"/>
    </w:pPr>
    <w:rPr>
      <w:kern w:val="1"/>
      <w:sz w:val="28"/>
    </w:rPr>
  </w:style>
  <w:style w:type="paragraph" w:styleId="6">
    <w:name w:val="Body Text First Indent 2"/>
    <w:basedOn w:val="5"/>
    <w:next w:val="7"/>
    <w:qFormat/>
    <w:uiPriority w:val="0"/>
    <w:pPr>
      <w:ind w:firstLine="420" w:firstLineChars="200"/>
    </w:pPr>
  </w:style>
  <w:style w:type="paragraph" w:styleId="7">
    <w:name w:val="Plain Text"/>
    <w:basedOn w:val="1"/>
    <w:unhideWhenUsed/>
    <w:qFormat/>
    <w:uiPriority w:val="99"/>
    <w:rPr>
      <w:rFonts w:ascii="宋体" w:hAnsi="Courier New"/>
    </w:rPr>
  </w:style>
  <w:style w:type="paragraph" w:styleId="8">
    <w:name w:val="toc 1"/>
    <w:basedOn w:val="1"/>
    <w:next w:val="1"/>
    <w:qFormat/>
    <w:uiPriority w:val="0"/>
    <w:pPr>
      <w:tabs>
        <w:tab w:val="right" w:leader="dot" w:pos="8296"/>
      </w:tabs>
      <w:spacing w:before="93"/>
      <w:jc w:val="center"/>
    </w:pPr>
    <w:rPr>
      <w:rFonts w:ascii="仿宋" w:eastAsia="仿宋"/>
      <w:sz w:val="28"/>
      <w:szCs w:val="28"/>
    </w:rPr>
  </w:style>
  <w:style w:type="paragraph" w:styleId="9">
    <w:name w:val="toc 2"/>
    <w:basedOn w:val="1"/>
    <w:next w:val="1"/>
    <w:qFormat/>
    <w:uiPriority w:val="0"/>
    <w:pPr>
      <w:tabs>
        <w:tab w:val="right" w:leader="dot" w:pos="8296"/>
      </w:tabs>
      <w:ind w:left="200" w:leftChars="200"/>
    </w:pPr>
  </w:style>
  <w:style w:type="paragraph" w:styleId="10">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3">
    <w:name w:val="Strong"/>
    <w:basedOn w:val="12"/>
    <w:qFormat/>
    <w:uiPriority w:val="0"/>
    <w:rPr>
      <w:b/>
    </w:rPr>
  </w:style>
  <w:style w:type="character" w:styleId="14">
    <w:name w:val="page number"/>
    <w:basedOn w:val="12"/>
    <w:qFormat/>
    <w:uiPriority w:val="0"/>
  </w:style>
  <w:style w:type="character" w:styleId="15">
    <w:name w:val="line number"/>
    <w:basedOn w:val="12"/>
    <w:qFormat/>
    <w:uiPriority w:val="0"/>
    <w:rPr>
      <w:rFonts w:hint="default"/>
      <w:sz w:val="22"/>
    </w:rPr>
  </w:style>
  <w:style w:type="character" w:styleId="16">
    <w:name w:val="Hyperlink"/>
    <w:basedOn w:val="12"/>
    <w:qFormat/>
    <w:uiPriority w:val="0"/>
    <w:rPr>
      <w:rFonts w:hint="default"/>
      <w:sz w:val="22"/>
    </w:rPr>
  </w:style>
  <w:style w:type="paragraph" w:customStyle="1" w:styleId="17">
    <w:name w:val="称呼1"/>
    <w:basedOn w:val="1"/>
    <w:next w:val="1"/>
    <w:qFormat/>
    <w:uiPriority w:val="99"/>
  </w:style>
  <w:style w:type="paragraph" w:customStyle="1" w:styleId="18">
    <w:name w:val="正文首行缩进 21"/>
    <w:basedOn w:val="1"/>
    <w:qFormat/>
    <w:uiPriority w:val="0"/>
    <w:pPr>
      <w:spacing w:line="540" w:lineRule="exact"/>
      <w:ind w:firstLine="200" w:firstLineChars="200"/>
      <w:textAlignment w:val="baseline"/>
    </w:pPr>
    <w:rPr>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4696</Words>
  <Characters>5007</Characters>
  <Lines>0</Lines>
  <Paragraphs>0</Paragraphs>
  <TotalTime>5</TotalTime>
  <ScaleCrop>false</ScaleCrop>
  <LinksUpToDate>false</LinksUpToDate>
  <CharactersWithSpaces>5051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湜娝茬洧泩と姩</cp:lastModifiedBy>
  <dcterms:modified xsi:type="dcterms:W3CDTF">2023-10-24T09:14:09Z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368BAB49F77847579C8DC4E91C398EEC_12</vt:lpwstr>
  </property>
</Properties>
</file>