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193"/>
      <w:bookmarkStart w:id="2" w:name="_Toc15378441"/>
      <w:bookmarkStart w:id="3" w:name="_Toc15396475"/>
      <w:bookmarkStart w:id="4" w:name="_Toc15396597"/>
      <w:bookmarkStart w:id="5" w:name="_Toc15377425"/>
      <w:r>
        <w:rPr>
          <w:rFonts w:hint="eastAsia" w:ascii="方正小标宋简体" w:eastAsia="方正小标宋简体" w:cs="方正小标宋简体"/>
          <w:sz w:val="72"/>
          <w:szCs w:val="72"/>
        </w:rPr>
        <w:t>2021年度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sz w:val="72"/>
          <w:szCs w:val="72"/>
        </w:rPr>
      </w:pPr>
      <w:bookmarkStart w:id="6" w:name="_Toc15396598"/>
      <w:bookmarkStart w:id="7" w:name="_Toc15377194"/>
      <w:bookmarkStart w:id="8" w:name="_Toc15378442"/>
      <w:bookmarkStart w:id="9" w:name="_Toc15396476"/>
      <w:bookmarkStart w:id="10" w:name="_Toc15377426"/>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lang w:eastAsia="zh-CN"/>
        </w:rPr>
        <w:t>红原县市场监督管理局部门</w:t>
      </w:r>
      <w:r>
        <w:rPr>
          <w:rFonts w:hint="eastAsia" w:ascii="方正小标宋简体" w:eastAsia="方正小标宋简体" w:cs="方正小标宋简体"/>
          <w:sz w:val="72"/>
          <w:szCs w:val="72"/>
        </w:rPr>
        <w:t>决算</w:t>
      </w:r>
      <w:bookmarkEnd w:id="6"/>
      <w:bookmarkEnd w:id="7"/>
      <w:bookmarkEnd w:id="8"/>
      <w:bookmarkEnd w:id="9"/>
      <w:bookmarkEnd w:id="10"/>
      <w:bookmarkEnd w:id="11"/>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jc w:val="center"/>
        <w:rPr>
          <w:rFonts w:hint="eastAsia"/>
        </w:rPr>
      </w:pPr>
      <w:bookmarkStart w:id="12" w:name="_Hlk113547609"/>
      <w:r>
        <w:rPr>
          <w:rFonts w:hint="eastAsia" w:cs="仿宋_GB2312"/>
          <w:sz w:val="32"/>
          <w:szCs w:val="32"/>
        </w:rPr>
        <w:t>已经保密审查、内容审定，同意对外公开</w:t>
      </w:r>
      <w:bookmarkEnd w:id="12"/>
    </w:p>
    <w:p>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w:t>
      </w:r>
      <w:r>
        <w:rPr>
          <w:rFonts w:hint="eastAsia"/>
          <w:lang w:val="en-US" w:eastAsia="zh-CN"/>
        </w:rPr>
        <w:t>12</w:t>
      </w:r>
      <w:r>
        <w:rPr>
          <w:rFonts w:hint="eastAsia"/>
        </w:rPr>
        <w:t>月9日</w:t>
      </w:r>
    </w:p>
    <w:p/>
    <w:p>
      <w:pPr>
        <w:pStyle w:val="12"/>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单位概况</w:t>
      </w:r>
    </w:p>
    <w:p>
      <w:pPr>
        <w:pStyle w:val="13"/>
        <w:adjustRightInd w:val="0"/>
        <w:snapToGrid w:val="0"/>
        <w:spacing w:line="440" w:lineRule="exact"/>
        <w:ind w:left="420"/>
        <w:jc w:val="left"/>
        <w:rPr>
          <w:sz w:val="24"/>
        </w:rPr>
      </w:pPr>
      <w:r>
        <w:rPr>
          <w:rFonts w:hint="eastAsia"/>
          <w:sz w:val="24"/>
        </w:rPr>
        <w:t>一、职能简介</w:t>
      </w:r>
    </w:p>
    <w:p>
      <w:pPr>
        <w:pStyle w:val="13"/>
        <w:adjustRightInd w:val="0"/>
        <w:snapToGrid w:val="0"/>
        <w:spacing w:line="440" w:lineRule="exact"/>
        <w:ind w:left="420"/>
        <w:jc w:val="left"/>
        <w:rPr>
          <w:rFonts w:ascii="宋体" w:cs="宋体"/>
          <w:sz w:val="24"/>
        </w:rPr>
      </w:pPr>
      <w:r>
        <w:rPr>
          <w:rFonts w:hint="eastAsia" w:ascii="宋体" w:cs="宋体"/>
          <w:sz w:val="24"/>
        </w:rPr>
        <w:t>二、2021年重点工作完成情况</w:t>
      </w:r>
    </w:p>
    <w:p>
      <w:pPr>
        <w:pStyle w:val="12"/>
        <w:adjustRightInd w:val="0"/>
        <w:snapToGrid w:val="0"/>
        <w:spacing w:before="0" w:line="440" w:lineRule="exact"/>
        <w:jc w:val="left"/>
        <w:rPr>
          <w:sz w:val="24"/>
          <w:szCs w:val="24"/>
        </w:rPr>
      </w:pPr>
      <w:r>
        <w:rPr>
          <w:rFonts w:hint="eastAsia"/>
          <w:sz w:val="24"/>
        </w:rPr>
        <w:t>第二部分 2021年度单位决算情况说明</w:t>
      </w:r>
    </w:p>
    <w:p>
      <w:pPr>
        <w:pStyle w:val="13"/>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3"/>
        <w:adjustRightInd w:val="0"/>
        <w:snapToGrid w:val="0"/>
        <w:spacing w:line="440" w:lineRule="exact"/>
        <w:ind w:left="420"/>
        <w:jc w:val="left"/>
        <w:rPr>
          <w:rFonts w:ascii="仿宋" w:eastAsia="仿宋" w:cs="Arial"/>
          <w:sz w:val="24"/>
        </w:rPr>
      </w:pPr>
      <w:r>
        <w:rPr>
          <w:rFonts w:hint="eastAsia"/>
          <w:sz w:val="24"/>
        </w:rPr>
        <w:t>二、收入决算情况说明</w:t>
      </w:r>
    </w:p>
    <w:p>
      <w:pPr>
        <w:pStyle w:val="13"/>
        <w:adjustRightInd w:val="0"/>
        <w:snapToGrid w:val="0"/>
        <w:spacing w:line="440" w:lineRule="exact"/>
        <w:ind w:left="420"/>
        <w:jc w:val="left"/>
        <w:rPr>
          <w:rFonts w:ascii="仿宋" w:eastAsia="仿宋" w:cs="Arial"/>
          <w:sz w:val="24"/>
        </w:rPr>
      </w:pPr>
      <w:r>
        <w:rPr>
          <w:rFonts w:hint="eastAsia"/>
          <w:sz w:val="24"/>
        </w:rPr>
        <w:t>三、支出决算情况说明</w:t>
      </w:r>
    </w:p>
    <w:p>
      <w:pPr>
        <w:pStyle w:val="13"/>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3"/>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3"/>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3"/>
        <w:adjustRightInd w:val="0"/>
        <w:snapToGrid w:val="0"/>
        <w:spacing w:line="440" w:lineRule="exact"/>
        <w:ind w:left="420"/>
        <w:jc w:val="left"/>
        <w:rPr>
          <w:rFonts w:ascii="仿宋" w:eastAsia="仿宋" w:cs="Arial"/>
          <w:sz w:val="24"/>
        </w:rPr>
      </w:pPr>
      <w:r>
        <w:rPr>
          <w:rFonts w:hint="eastAsia"/>
          <w:sz w:val="24"/>
        </w:rPr>
        <w:t>七、“三公”经费财政拨款支出决算情况说明</w:t>
      </w:r>
    </w:p>
    <w:p>
      <w:pPr>
        <w:pStyle w:val="13"/>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3"/>
        <w:adjustRightInd w:val="0"/>
        <w:snapToGrid w:val="0"/>
        <w:spacing w:line="440" w:lineRule="exact"/>
        <w:ind w:left="420"/>
        <w:jc w:val="left"/>
        <w:rPr>
          <w:sz w:val="24"/>
        </w:rPr>
      </w:pPr>
      <w:r>
        <w:rPr>
          <w:rFonts w:hint="eastAsia"/>
          <w:sz w:val="24"/>
        </w:rPr>
        <w:t>九、国有资本经营预算支出决算情况说明</w:t>
      </w:r>
    </w:p>
    <w:p>
      <w:pPr>
        <w:pStyle w:val="13"/>
        <w:adjustRightInd w:val="0"/>
        <w:snapToGrid w:val="0"/>
        <w:spacing w:line="440" w:lineRule="exact"/>
        <w:ind w:left="420"/>
        <w:jc w:val="left"/>
        <w:rPr>
          <w:sz w:val="24"/>
        </w:rPr>
      </w:pPr>
      <w:r>
        <w:rPr>
          <w:rFonts w:hint="eastAsia"/>
          <w:sz w:val="24"/>
        </w:rPr>
        <w:t>十、其他重要事项的情况说明</w:t>
      </w:r>
    </w:p>
    <w:p>
      <w:pPr>
        <w:pStyle w:val="12"/>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p>
    <w:p>
      <w:pPr>
        <w:pStyle w:val="12"/>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ind w:left="420"/>
        <w:jc w:val="left"/>
        <w:rPr>
          <w:sz w:val="24"/>
        </w:rPr>
      </w:pPr>
      <w:r>
        <w:rPr>
          <w:rFonts w:hint="eastAsia"/>
          <w:sz w:val="24"/>
        </w:rPr>
        <w:t>一、收入支出决算总表</w:t>
      </w:r>
    </w:p>
    <w:p>
      <w:pPr>
        <w:pStyle w:val="13"/>
        <w:adjustRightInd w:val="0"/>
        <w:snapToGrid w:val="0"/>
        <w:spacing w:line="440" w:lineRule="exact"/>
        <w:ind w:left="420"/>
        <w:jc w:val="left"/>
        <w:rPr>
          <w:sz w:val="24"/>
        </w:rPr>
      </w:pPr>
      <w:r>
        <w:rPr>
          <w:rFonts w:hint="eastAsia"/>
          <w:sz w:val="24"/>
        </w:rPr>
        <w:t>二、收入决算表</w:t>
      </w:r>
    </w:p>
    <w:p>
      <w:pPr>
        <w:pStyle w:val="13"/>
        <w:adjustRightInd w:val="0"/>
        <w:snapToGrid w:val="0"/>
        <w:spacing w:line="440" w:lineRule="exact"/>
        <w:ind w:left="420"/>
        <w:jc w:val="left"/>
        <w:rPr>
          <w:sz w:val="24"/>
        </w:rPr>
      </w:pPr>
      <w:r>
        <w:rPr>
          <w:rFonts w:hint="eastAsia"/>
          <w:sz w:val="24"/>
        </w:rPr>
        <w:t>三、支出决算表</w:t>
      </w:r>
    </w:p>
    <w:p>
      <w:pPr>
        <w:pStyle w:val="13"/>
        <w:adjustRightInd w:val="0"/>
        <w:snapToGrid w:val="0"/>
        <w:spacing w:line="440" w:lineRule="exact"/>
        <w:ind w:left="420"/>
        <w:jc w:val="left"/>
        <w:rPr>
          <w:sz w:val="24"/>
        </w:rPr>
      </w:pPr>
      <w:r>
        <w:rPr>
          <w:rFonts w:hint="eastAsia"/>
          <w:sz w:val="24"/>
        </w:rPr>
        <w:t>四、财政拨款收入支出决算总表</w:t>
      </w:r>
    </w:p>
    <w:p>
      <w:pPr>
        <w:pStyle w:val="13"/>
        <w:adjustRightInd w:val="0"/>
        <w:snapToGrid w:val="0"/>
        <w:spacing w:line="440" w:lineRule="exact"/>
        <w:ind w:left="420"/>
        <w:jc w:val="left"/>
        <w:rPr>
          <w:sz w:val="24"/>
        </w:rPr>
      </w:pPr>
      <w:r>
        <w:rPr>
          <w:rFonts w:hint="eastAsia"/>
          <w:sz w:val="24"/>
        </w:rPr>
        <w:t>五、财政拨款支出决算明细表</w:t>
      </w:r>
    </w:p>
    <w:p>
      <w:pPr>
        <w:pStyle w:val="13"/>
        <w:adjustRightInd w:val="0"/>
        <w:snapToGrid w:val="0"/>
        <w:spacing w:line="440" w:lineRule="exact"/>
        <w:ind w:left="420"/>
        <w:jc w:val="left"/>
        <w:rPr>
          <w:sz w:val="24"/>
        </w:rPr>
      </w:pPr>
      <w:r>
        <w:rPr>
          <w:rFonts w:hint="eastAsia"/>
          <w:sz w:val="24"/>
        </w:rPr>
        <w:t>六、一般公共预算财政拨款支出决算表</w:t>
      </w:r>
    </w:p>
    <w:p>
      <w:pPr>
        <w:pStyle w:val="13"/>
        <w:adjustRightInd w:val="0"/>
        <w:snapToGrid w:val="0"/>
        <w:spacing w:line="440" w:lineRule="exact"/>
        <w:ind w:left="420"/>
        <w:jc w:val="left"/>
        <w:rPr>
          <w:sz w:val="24"/>
        </w:rPr>
      </w:pPr>
      <w:r>
        <w:rPr>
          <w:rFonts w:hint="eastAsia"/>
          <w:sz w:val="24"/>
        </w:rPr>
        <w:t>七、一般公共预算财政拨款支出决算明细表</w:t>
      </w:r>
    </w:p>
    <w:p>
      <w:pPr>
        <w:pStyle w:val="13"/>
        <w:adjustRightInd w:val="0"/>
        <w:snapToGrid w:val="0"/>
        <w:spacing w:line="440" w:lineRule="exact"/>
        <w:ind w:left="420"/>
        <w:jc w:val="left"/>
        <w:rPr>
          <w:sz w:val="24"/>
        </w:rPr>
      </w:pPr>
      <w:r>
        <w:rPr>
          <w:rFonts w:hint="eastAsia"/>
          <w:sz w:val="24"/>
        </w:rPr>
        <w:t>八、一般公共预算财政拨款基本支出决算表</w:t>
      </w:r>
    </w:p>
    <w:p>
      <w:pPr>
        <w:pStyle w:val="13"/>
        <w:adjustRightInd w:val="0"/>
        <w:snapToGrid w:val="0"/>
        <w:spacing w:line="440" w:lineRule="exact"/>
        <w:ind w:left="420"/>
        <w:jc w:val="left"/>
        <w:rPr>
          <w:sz w:val="24"/>
        </w:rPr>
      </w:pPr>
      <w:r>
        <w:rPr>
          <w:rFonts w:hint="eastAsia"/>
          <w:sz w:val="24"/>
        </w:rPr>
        <w:t>九、一般公共预算财政拨款项目支出决算表</w:t>
      </w:r>
    </w:p>
    <w:p>
      <w:pPr>
        <w:pStyle w:val="13"/>
        <w:adjustRightInd w:val="0"/>
        <w:snapToGrid w:val="0"/>
        <w:spacing w:line="440" w:lineRule="exact"/>
        <w:ind w:left="420"/>
        <w:jc w:val="left"/>
        <w:rPr>
          <w:sz w:val="24"/>
        </w:rPr>
      </w:pPr>
      <w:r>
        <w:rPr>
          <w:rFonts w:hint="eastAsia"/>
          <w:sz w:val="24"/>
        </w:rPr>
        <w:t>十、一般公共预算财政拨款“三公”经费支出决算表</w:t>
      </w:r>
    </w:p>
    <w:p>
      <w:pPr>
        <w:pStyle w:val="13"/>
        <w:adjustRightInd w:val="0"/>
        <w:snapToGrid w:val="0"/>
        <w:spacing w:line="440" w:lineRule="exact"/>
        <w:ind w:left="420"/>
        <w:jc w:val="left"/>
        <w:rPr>
          <w:sz w:val="24"/>
        </w:rPr>
      </w:pPr>
      <w:r>
        <w:rPr>
          <w:rFonts w:hint="eastAsia"/>
          <w:sz w:val="24"/>
        </w:rPr>
        <w:t>十一、政府性基金预算财政拨款收入支出决算表</w:t>
      </w:r>
    </w:p>
    <w:p>
      <w:pPr>
        <w:pStyle w:val="13"/>
        <w:adjustRightInd w:val="0"/>
        <w:snapToGrid w:val="0"/>
        <w:spacing w:line="440" w:lineRule="exact"/>
        <w:ind w:left="420"/>
        <w:jc w:val="left"/>
        <w:rPr>
          <w:sz w:val="24"/>
        </w:rPr>
      </w:pPr>
      <w:r>
        <w:rPr>
          <w:rFonts w:hint="eastAsia"/>
          <w:sz w:val="24"/>
        </w:rPr>
        <w:t>十二、政府性基金预算财政拨款“三公”经费支出决算表</w:t>
      </w:r>
    </w:p>
    <w:p>
      <w:pPr>
        <w:pStyle w:val="13"/>
        <w:adjustRightInd w:val="0"/>
        <w:snapToGrid w:val="0"/>
        <w:spacing w:line="440" w:lineRule="exact"/>
        <w:ind w:left="420"/>
        <w:jc w:val="left"/>
        <w:rPr>
          <w:sz w:val="24"/>
        </w:rPr>
      </w:pPr>
      <w:r>
        <w:rPr>
          <w:rFonts w:hint="eastAsia"/>
          <w:sz w:val="24"/>
        </w:rPr>
        <w:t>十三、国有资本经营预算财政拨款收入支出决算表</w:t>
      </w:r>
    </w:p>
    <w:p>
      <w:pPr>
        <w:pStyle w:val="13"/>
        <w:adjustRightInd w:val="0"/>
        <w:snapToGrid w:val="0"/>
        <w:spacing w:line="440" w:lineRule="exact"/>
        <w:ind w:left="420"/>
        <w:jc w:val="left"/>
        <w:rPr>
          <w:sz w:val="24"/>
        </w:rPr>
      </w:pPr>
      <w:r>
        <w:rPr>
          <w:rFonts w:hint="eastAsia"/>
          <w:sz w:val="24"/>
        </w:rPr>
        <w:t>十四、国有资本经营预算财政拨款支出决算表</w:t>
      </w:r>
    </w:p>
    <w:p>
      <w:pPr>
        <w:widowControl/>
        <w:adjustRightInd w:val="0"/>
        <w:snapToGrid w:val="0"/>
        <w:spacing w:line="440" w:lineRule="exact"/>
        <w:ind w:firstLine="1320" w:firstLineChars="550"/>
        <w:jc w:val="left"/>
        <w:rPr>
          <w:rFonts w:ascii="仿宋" w:eastAsia="仿宋"/>
          <w:sz w:val="24"/>
        </w:rPr>
      </w:pPr>
      <w:r>
        <w:rPr>
          <w:rFonts w:ascii="仿宋" w:eastAsia="仿宋"/>
          <w:sz w:val="24"/>
        </w:rPr>
        <w:t>(注：</w:t>
      </w:r>
      <w:r>
        <w:rPr>
          <w:rFonts w:hint="eastAsia" w:ascii="仿宋" w:eastAsia="仿宋"/>
          <w:sz w:val="24"/>
        </w:rPr>
        <w:t>请单位根据实际注明页码</w:t>
      </w:r>
      <w:r>
        <w:rPr>
          <w:rFonts w:ascii="仿宋" w:eastAsia="仿宋"/>
          <w:sz w:val="24"/>
        </w:rPr>
        <w:t>)</w:t>
      </w:r>
    </w:p>
    <w:p>
      <w:pPr>
        <w:widowControl/>
        <w:spacing w:line="440" w:lineRule="exact"/>
        <w:jc w:val="left"/>
        <w:rPr>
          <w:rFonts w:ascii="仿宋" w:eastAsia="仿宋"/>
          <w:bCs/>
          <w:kern w:val="44"/>
          <w:sz w:val="24"/>
        </w:rPr>
      </w:pPr>
      <w:bookmarkStart w:id="13" w:name="_Toc15396599"/>
      <w:bookmarkStart w:id="14" w:name="_Toc15377196"/>
      <w:r>
        <w:rPr>
          <w:rFonts w:ascii="仿宋" w:eastAsia="仿宋"/>
          <w:b/>
          <w:sz w:val="24"/>
        </w:rPr>
        <w:br w:type="page"/>
      </w:r>
    </w:p>
    <w:p>
      <w:pPr>
        <w:pStyle w:val="4"/>
        <w:jc w:val="center"/>
        <w:rPr>
          <w:rStyle w:val="19"/>
          <w:rFonts w:ascii="黑体" w:eastAsia="黑体"/>
          <w:b/>
          <w:bCs w:val="0"/>
        </w:rPr>
      </w:pPr>
      <w:r>
        <w:rPr>
          <w:rFonts w:hint="eastAsia" w:ascii="黑体" w:eastAsia="黑体"/>
          <w:b w:val="0"/>
        </w:rPr>
        <w:t>第一部分 单位</w:t>
      </w:r>
      <w:r>
        <w:rPr>
          <w:rStyle w:val="19"/>
          <w:rFonts w:hint="eastAsia" w:ascii="黑体" w:eastAsia="黑体"/>
          <w:b w:val="0"/>
          <w:bCs w:val="0"/>
        </w:rPr>
        <w:t>概况</w:t>
      </w:r>
      <w:bookmarkEnd w:id="13"/>
      <w:bookmarkEnd w:id="14"/>
    </w:p>
    <w:p>
      <w:pPr>
        <w:spacing w:line="600" w:lineRule="exact"/>
        <w:ind w:firstLine="643" w:firstLineChars="200"/>
        <w:rPr>
          <w:rFonts w:hint="eastAsia" w:ascii="楷体_GB2312" w:hAnsi="楷体_GB2312" w:eastAsia="楷体_GB2312" w:cs="楷体_GB2312"/>
          <w:b/>
          <w:bCs w:val="0"/>
          <w:color w:val="000000"/>
          <w:sz w:val="32"/>
          <w:szCs w:val="32"/>
          <w:lang w:eastAsia="zh-CN"/>
        </w:rPr>
      </w:pPr>
      <w:bookmarkStart w:id="15" w:name="_Toc15377197"/>
      <w:bookmarkStart w:id="16" w:name="_Toc15396600"/>
      <w:r>
        <w:rPr>
          <w:rFonts w:hint="eastAsia" w:ascii="楷体_GB2312" w:hAnsi="楷体_GB2312" w:eastAsia="楷体_GB2312" w:cs="楷体_GB2312"/>
          <w:b/>
          <w:bCs w:val="0"/>
          <w:color w:val="000000"/>
          <w:sz w:val="32"/>
          <w:szCs w:val="32"/>
          <w:lang w:eastAsia="zh-CN"/>
        </w:rPr>
        <w:t>一、职能简介</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1.产权战略，拟订并组织实施全县食品安全等规划，规范和维护市场秩序，营造诚实守信、公平竞争的市场环境。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3.负责组织和指导全县市场监督管理综合执法工作。负责全县市场监管综合执法队伍整合和建设，推动实行统一的市场监管。组织查处和督办大案要案、疑难案件、跨区域案件。规范市场监督管理行政执法行为。</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7.负责全县产品质量安全监督管理。负责产品质量监督抽查和风险监控工作，组织实施质量分级制度、质量安全追溯制度。在权限和职责范围内负责工业产品生产许可管理。负责纤维质量监督工作。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8.负责全县特种设备安全监督管理。综合管理特种设备安全监察、监督工作，监督检查高耗能特种设备节能标准和锅炉产品环境保护标准的执行情况。</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12.负责全县药品、医疗器械和化妆品标准执行管理。监督实施全县药品、医疗器械、化妆品标准和分类管理制度。配合实施国家基本药物制度。</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13.负责全县药品、医疗器械和化妆品质量管理。依法依授权监督实施药品、医疗器械生产、经营、使用质量管理规范。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15.负责全县药品、医疗器械和化妆品风险管理。组织开展药品不良反应、医疗器械不良事件和化妆品不良反应的监测、评价和处置工作。依法承担药品、医疗器械和化妆品安全应急管理和投诉举报处置工作。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16.依法依授权承担我县执业药师注册管理工作，贯彻执行执业药师其他相关管理制度。</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17.负责统一管理全县计量工作。推行法定计量单位，执行国家计量制度，管理计量器具及量值传递和比对工作。规范、监督商品量和计量行为。</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18.负责统一管理全县标准化工作。依法承担地方标准立项、编号和发布等工作，协调指导地方标准、团体标准制定工作，依法对标准制定和实施情况开展监督。</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19.负责统一管理全县检验检测工作。规范检验检测市场，完善检验检测体系，指导协调检验检测行业发展。</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20.负责统一管理全县认证认可工作。监督管理认证认可和合格评定工作。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21.负责市场监督管理科技和信息化建设、新闻宣传。</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22.负责全县知识产权监督管理。贯彻落实国家、省、州知识产权战略、法规，拟订全县知识产权规划，负责知识产权的保护，负责组织实施商标、专利执法工作。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24.负责职责范围内的安全生产和职业健康、生态环境保护、应急联动、审批服务便民化等工作。</w:t>
      </w:r>
    </w:p>
    <w:p>
      <w:pPr>
        <w:numPr>
          <w:ilvl w:val="0"/>
          <w:numId w:val="1"/>
        </w:num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完成县委、县政府交办的其他任务。</w:t>
      </w:r>
    </w:p>
    <w:p>
      <w:pPr>
        <w:pStyle w:val="5"/>
        <w:rPr>
          <w:rFonts w:ascii="黑体" w:eastAsia="黑体"/>
          <w:b w:val="0"/>
        </w:rPr>
      </w:pPr>
      <w:r>
        <w:rPr>
          <w:rFonts w:hint="eastAsia" w:ascii="黑体" w:eastAsia="黑体"/>
          <w:b w:val="0"/>
        </w:rPr>
        <w:t>二、2021年重点工作</w:t>
      </w:r>
      <w:bookmarkEnd w:id="15"/>
      <w:bookmarkEnd w:id="16"/>
      <w:r>
        <w:rPr>
          <w:rFonts w:hint="eastAsia" w:ascii="黑体" w:eastAsia="黑体"/>
          <w:b w:val="0"/>
        </w:rPr>
        <w:t>完成情况</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i w:val="0"/>
          <w:iCs w:val="0"/>
          <w:caps w:val="0"/>
          <w:color w:val="333333"/>
          <w:spacing w:val="8"/>
          <w:sz w:val="32"/>
          <w:szCs w:val="32"/>
          <w:shd w:val="clear" w:color="auto" w:fill="FFFFFF"/>
          <w:lang w:val="en-US" w:eastAsia="zh-CN"/>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执法办案工作</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目前，我局共立案查处各类违法案件</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件（已全部办结），其中食品流通类案件数为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件，罚没金额数为</w:t>
      </w:r>
      <w:r>
        <w:rPr>
          <w:rFonts w:hint="eastAsia" w:ascii="仿宋_GB2312" w:hAnsi="仿宋_GB2312" w:eastAsia="仿宋_GB2312" w:cs="仿宋_GB2312"/>
          <w:sz w:val="32"/>
          <w:szCs w:val="32"/>
          <w:lang w:val="en-US" w:eastAsia="zh-CN"/>
        </w:rPr>
        <w:t>3.24</w:t>
      </w:r>
      <w:r>
        <w:rPr>
          <w:rFonts w:hint="eastAsia" w:ascii="仿宋_GB2312" w:hAnsi="仿宋_GB2312" w:eastAsia="仿宋_GB2312" w:cs="仿宋_GB2312"/>
          <w:sz w:val="32"/>
          <w:szCs w:val="32"/>
        </w:rPr>
        <w:t>万元；计量及特种设备案件数为1件，罚没金额数为</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万元；市场不合格商品类案件数为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件，罚没金额为0.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万元；化妆品类案件数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件，罚没金额为</w:t>
      </w:r>
      <w:r>
        <w:rPr>
          <w:rFonts w:hint="eastAsia" w:ascii="仿宋_GB2312" w:hAnsi="仿宋_GB2312" w:eastAsia="仿宋_GB2312" w:cs="仿宋_GB2312"/>
          <w:sz w:val="32"/>
          <w:szCs w:val="32"/>
          <w:lang w:val="en-US" w:eastAsia="zh-CN"/>
        </w:rPr>
        <w:t>0.27</w:t>
      </w:r>
      <w:r>
        <w:rPr>
          <w:rFonts w:hint="eastAsia" w:ascii="仿宋_GB2312" w:hAnsi="仿宋_GB2312" w:eastAsia="仿宋_GB2312" w:cs="仿宋_GB2312"/>
          <w:sz w:val="32"/>
          <w:szCs w:val="32"/>
        </w:rPr>
        <w:t>万元。餐饮</w:t>
      </w:r>
      <w:r>
        <w:rPr>
          <w:rFonts w:hint="eastAsia" w:ascii="仿宋_GB2312" w:hAnsi="仿宋_GB2312" w:eastAsia="仿宋_GB2312" w:cs="仿宋_GB2312"/>
          <w:sz w:val="32"/>
          <w:szCs w:val="32"/>
          <w:lang w:eastAsia="zh-CN"/>
        </w:rPr>
        <w:t>主体</w:t>
      </w:r>
      <w:r>
        <w:rPr>
          <w:rFonts w:hint="eastAsia" w:ascii="仿宋_GB2312" w:hAnsi="仿宋_GB2312" w:eastAsia="仿宋_GB2312" w:cs="仿宋_GB2312"/>
          <w:sz w:val="32"/>
          <w:szCs w:val="32"/>
        </w:rPr>
        <w:t>类案件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罚没金额数为</w:t>
      </w:r>
      <w:r>
        <w:rPr>
          <w:rFonts w:hint="eastAsia" w:ascii="仿宋_GB2312" w:hAnsi="仿宋_GB2312" w:eastAsia="仿宋_GB2312" w:cs="仿宋_GB2312"/>
          <w:sz w:val="32"/>
          <w:szCs w:val="32"/>
          <w:lang w:val="en-US" w:eastAsia="zh-CN"/>
        </w:rPr>
        <w:t>1.005</w:t>
      </w:r>
      <w:r>
        <w:rPr>
          <w:rFonts w:hint="eastAsia" w:ascii="仿宋_GB2312" w:hAnsi="仿宋_GB2312" w:eastAsia="仿宋_GB2312" w:cs="仿宋_GB2312"/>
          <w:sz w:val="32"/>
          <w:szCs w:val="32"/>
        </w:rPr>
        <w:t>万元。罚没款合计</w:t>
      </w:r>
      <w:r>
        <w:rPr>
          <w:rFonts w:hint="eastAsia" w:ascii="仿宋_GB2312" w:hAnsi="仿宋_GB2312" w:eastAsia="仿宋_GB2312" w:cs="仿宋_GB2312"/>
          <w:sz w:val="32"/>
          <w:szCs w:val="32"/>
          <w:lang w:val="en-US" w:eastAsia="zh-CN"/>
        </w:rPr>
        <w:t>5.129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3" w:firstLineChars="200"/>
        <w:jc w:val="left"/>
        <w:textAlignment w:val="auto"/>
        <w:rPr>
          <w:rFonts w:hint="eastAsia" w:ascii="仿宋" w:hAnsi="仿宋" w:eastAsia="仿宋" w:cs="仿宋"/>
          <w:color w:val="auto"/>
          <w:sz w:val="30"/>
          <w:szCs w:val="30"/>
        </w:rPr>
      </w:pPr>
      <w:r>
        <w:rPr>
          <w:rFonts w:hint="eastAsia" w:ascii="仿宋_GB2312" w:hAnsi="仿宋_GB2312" w:eastAsia="仿宋_GB2312" w:cs="仿宋_GB2312"/>
          <w:b/>
          <w:bCs/>
          <w:i w:val="0"/>
          <w:caps w:val="0"/>
          <w:color w:val="auto"/>
          <w:spacing w:val="0"/>
          <w:sz w:val="32"/>
          <w:szCs w:val="32"/>
          <w:highlight w:val="none"/>
          <w:lang w:eastAsia="zh-CN"/>
        </w:rPr>
        <w:t>（二）</w:t>
      </w:r>
      <w:r>
        <w:rPr>
          <w:rFonts w:hint="eastAsia" w:ascii="仿宋_GB2312" w:hAnsi="仿宋_GB2312" w:eastAsia="仿宋_GB2312" w:cs="仿宋_GB2312"/>
          <w:b/>
          <w:bCs/>
          <w:color w:val="auto"/>
          <w:sz w:val="32"/>
          <w:szCs w:val="32"/>
          <w:lang w:val="en-US" w:eastAsia="zh-CN"/>
        </w:rPr>
        <w:t>开展红原县民营经济“十百千维权护航”专项行动工作。</w:t>
      </w:r>
      <w:r>
        <w:rPr>
          <w:rFonts w:hint="eastAsia" w:ascii="仿宋_GB2312" w:hAnsi="仿宋_GB2312" w:eastAsia="仿宋_GB2312" w:cs="仿宋_GB2312"/>
          <w:color w:val="auto"/>
          <w:sz w:val="32"/>
          <w:szCs w:val="32"/>
          <w:lang w:val="en-US" w:eastAsia="zh-CN"/>
        </w:rPr>
        <w:t>制定了</w:t>
      </w:r>
      <w:r>
        <w:rPr>
          <w:rFonts w:hint="eastAsia" w:ascii="仿宋_GB2312" w:hAnsi="仿宋_GB2312" w:eastAsia="仿宋_GB2312" w:cs="仿宋_GB2312"/>
          <w:b w:val="0"/>
          <w:bCs w:val="0"/>
          <w:color w:val="auto"/>
          <w:sz w:val="32"/>
          <w:szCs w:val="32"/>
          <w:lang w:val="en-US" w:eastAsia="zh-CN"/>
        </w:rPr>
        <w:t>工作方案，并成立了相关</w:t>
      </w:r>
      <w:r>
        <w:rPr>
          <w:rFonts w:hint="eastAsia" w:ascii="仿宋_GB2312" w:hAnsi="仿宋_GB2312" w:eastAsia="仿宋_GB2312" w:cs="仿宋_GB2312"/>
          <w:color w:val="auto"/>
          <w:sz w:val="32"/>
          <w:szCs w:val="32"/>
        </w:rPr>
        <w:t>工作领导小组</w:t>
      </w:r>
      <w:r>
        <w:rPr>
          <w:rFonts w:hint="eastAsia" w:ascii="仿宋_GB2312" w:hAnsi="仿宋_GB2312" w:eastAsia="仿宋_GB2312" w:cs="仿宋_GB2312"/>
          <w:color w:val="auto"/>
          <w:sz w:val="32"/>
          <w:szCs w:val="32"/>
          <w:lang w:eastAsia="zh-CN"/>
        </w:rPr>
        <w:t>。通过</w:t>
      </w:r>
      <w:r>
        <w:rPr>
          <w:rFonts w:hint="eastAsia" w:ascii="仿宋_GB2312" w:hAnsi="仿宋_GB2312" w:eastAsia="仿宋_GB2312" w:cs="仿宋_GB2312"/>
          <w:color w:val="auto"/>
          <w:sz w:val="32"/>
          <w:szCs w:val="32"/>
        </w:rPr>
        <w:t>采取微信通知、走访企业等形式广泛宣传，收集、受理会员企业、商（协会）组织的维权投诉，截至目前，共开展走访</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次。共发放四川省多元化解手册、民法典等双语宣传手册560余份，接受群众法律咨询40余起，受教育群众900余人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p>
    <w:p>
      <w:pPr>
        <w:ind w:firstLine="643" w:firstLineChars="200"/>
        <w:rPr>
          <w:rFonts w:hint="eastAsia" w:ascii="仿宋_GB2312" w:hAnsi="仿宋_GB2312" w:eastAsia="仿宋_GB2312" w:cs="仿宋_GB2312"/>
          <w:i w:val="0"/>
          <w:iCs w:val="0"/>
          <w:caps w:val="0"/>
          <w:color w:val="333333"/>
          <w:spacing w:val="8"/>
          <w:sz w:val="32"/>
          <w:szCs w:val="32"/>
          <w:shd w:val="clear" w:color="auto" w:fill="FFFFFF"/>
          <w:lang w:val="en-US" w:eastAsia="zh-CN"/>
        </w:rPr>
      </w:pPr>
      <w:r>
        <w:rPr>
          <w:rFonts w:hint="eastAsia" w:ascii="楷体_GB2312" w:hAnsi="楷体_GB2312" w:eastAsia="楷体_GB2312" w:cs="楷体_GB2312"/>
          <w:b/>
          <w:bCs/>
          <w:i w:val="0"/>
          <w:caps w:val="0"/>
          <w:color w:val="auto"/>
          <w:spacing w:val="0"/>
          <w:sz w:val="32"/>
          <w:szCs w:val="32"/>
          <w:highlight w:val="none"/>
          <w:lang w:eastAsia="zh-CN"/>
        </w:rPr>
        <w:t>（三）各项监督检查工作。</w:t>
      </w:r>
      <w:r>
        <w:rPr>
          <w:rFonts w:hint="eastAsia" w:ascii="仿宋_GB2312" w:hAnsi="仿宋_GB2312" w:eastAsia="仿宋_GB2312" w:cs="仿宋_GB2312"/>
          <w:b/>
          <w:bCs/>
          <w:i w:val="0"/>
          <w:caps w:val="0"/>
          <w:color w:val="auto"/>
          <w:spacing w:val="0"/>
          <w:sz w:val="32"/>
          <w:szCs w:val="32"/>
          <w:highlight w:val="none"/>
          <w:lang w:eastAsia="zh-CN"/>
        </w:rPr>
        <w:t>一是</w:t>
      </w:r>
      <w:r>
        <w:rPr>
          <w:rFonts w:hint="eastAsia" w:ascii="仿宋_GB2312" w:hAnsi="仿宋_GB2312" w:eastAsia="仿宋_GB2312" w:cs="仿宋_GB2312"/>
          <w:color w:val="auto"/>
          <w:sz w:val="32"/>
          <w:szCs w:val="32"/>
          <w:lang w:eastAsia="zh-CN"/>
        </w:rPr>
        <w:t>今年对</w:t>
      </w:r>
      <w:r>
        <w:rPr>
          <w:rFonts w:hint="eastAsia" w:ascii="仿宋_GB2312" w:hAnsi="仿宋_GB2312" w:eastAsia="仿宋_GB2312" w:cs="仿宋_GB2312"/>
          <w:color w:val="auto"/>
          <w:sz w:val="32"/>
          <w:szCs w:val="32"/>
        </w:rPr>
        <w:t>辖区内旅游餐饮接待重点单位、邛溪综合市场、餐馆、超市以及蔬菜批发部等环节的蔬菜、水果、畜肉等食用农产品</w:t>
      </w:r>
      <w:r>
        <w:rPr>
          <w:rFonts w:hint="eastAsia" w:ascii="仿宋_GB2312" w:hAnsi="仿宋_GB2312" w:eastAsia="仿宋_GB2312" w:cs="仿宋_GB2312"/>
          <w:color w:val="auto"/>
          <w:sz w:val="32"/>
          <w:szCs w:val="32"/>
          <w:lang w:eastAsia="zh-CN"/>
        </w:rPr>
        <w:t>完成</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535</w:t>
      </w:r>
      <w:r>
        <w:rPr>
          <w:rFonts w:hint="eastAsia" w:ascii="仿宋_GB2312" w:hAnsi="仿宋_GB2312" w:eastAsia="仿宋_GB2312" w:cs="仿宋_GB2312"/>
          <w:color w:val="auto"/>
          <w:sz w:val="32"/>
          <w:szCs w:val="32"/>
        </w:rPr>
        <w:t>个批次的抽样检测任务</w:t>
      </w:r>
      <w:r>
        <w:rPr>
          <w:rFonts w:hint="eastAsia" w:ascii="仿宋_GB2312" w:hAnsi="仿宋_GB2312" w:eastAsia="仿宋_GB2312" w:cs="仿宋_GB2312"/>
          <w:color w:val="auto"/>
          <w:sz w:val="32"/>
          <w:szCs w:val="32"/>
          <w:lang w:eastAsia="zh-CN"/>
        </w:rPr>
        <w:t>，现目前完成</w:t>
      </w:r>
      <w:r>
        <w:rPr>
          <w:rFonts w:hint="eastAsia" w:ascii="仿宋_GB2312" w:hAnsi="仿宋_GB2312" w:eastAsia="仿宋_GB2312" w:cs="仿宋_GB2312"/>
          <w:color w:val="auto"/>
          <w:sz w:val="32"/>
          <w:szCs w:val="32"/>
          <w:lang w:val="en-US" w:eastAsia="zh-CN"/>
        </w:rPr>
        <w:t>450批次。其中农产品抽样完成260批次，已出报告150批次，目前合格率97.8%。</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kern w:val="0"/>
          <w:sz w:val="32"/>
          <w:szCs w:val="32"/>
        </w:rPr>
        <w:t>辖区内特种设备使用单位现场全面检查率</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%，其中重点使用单位现场全面检查率100%，重点设备使用单位登记率100%。</w:t>
      </w:r>
      <w:r>
        <w:rPr>
          <w:rFonts w:hint="eastAsia" w:ascii="仿宋_GB2312" w:hAnsi="仿宋_GB2312" w:eastAsia="仿宋_GB2312" w:cs="仿宋_GB2312"/>
          <w:color w:val="auto"/>
          <w:kern w:val="0"/>
          <w:sz w:val="32"/>
          <w:szCs w:val="32"/>
          <w:lang w:val="en-US" w:eastAsia="zh-CN"/>
        </w:rPr>
        <w:t>2021年</w:t>
      </w:r>
      <w:r>
        <w:rPr>
          <w:rFonts w:hint="eastAsia" w:ascii="仿宋_GB2312" w:hAnsi="仿宋_GB2312" w:eastAsia="仿宋_GB2312" w:cs="仿宋_GB2312"/>
          <w:color w:val="auto"/>
          <w:kern w:val="0"/>
          <w:sz w:val="32"/>
          <w:szCs w:val="32"/>
          <w:lang w:eastAsia="zh-CN"/>
        </w:rPr>
        <w:t>未发生特种设备安全事故。</w:t>
      </w:r>
      <w:r>
        <w:rPr>
          <w:rFonts w:hint="eastAsia" w:ascii="仿宋_GB2312" w:hAnsi="仿宋_GB2312" w:eastAsia="仿宋_GB2312" w:cs="仿宋_GB2312"/>
          <w:color w:val="auto"/>
          <w:kern w:val="0"/>
          <w:sz w:val="32"/>
          <w:szCs w:val="32"/>
          <w:lang w:val="en-US" w:eastAsia="zh-CN"/>
        </w:rPr>
        <w:t>2021年</w:t>
      </w:r>
      <w:r>
        <w:rPr>
          <w:rFonts w:hint="eastAsia" w:ascii="仿宋" w:hAnsi="仿宋" w:eastAsia="仿宋"/>
          <w:color w:val="000000"/>
          <w:sz w:val="32"/>
          <w:szCs w:val="32"/>
          <w:lang w:val="en-US" w:eastAsia="zh-CN"/>
        </w:rPr>
        <w:t>全州特种设备安全安全会议在红原县召开，这是对我县特种设备工作的肯定。</w:t>
      </w:r>
      <w:r>
        <w:rPr>
          <w:rFonts w:hint="eastAsia" w:ascii="仿宋_GB2312" w:hAnsi="仿宋_GB2312" w:eastAsia="仿宋_GB2312" w:cs="仿宋_GB2312"/>
          <w:b/>
          <w:bCs/>
          <w:color w:val="auto"/>
          <w:kern w:val="0"/>
          <w:sz w:val="32"/>
          <w:szCs w:val="32"/>
          <w:lang w:eastAsia="zh-CN"/>
        </w:rPr>
        <w:t>三是</w:t>
      </w:r>
      <w:r>
        <w:rPr>
          <w:rFonts w:hint="eastAsia" w:ascii="仿宋_GB2312" w:hAnsi="仿宋_GB2312" w:eastAsia="仿宋_GB2312" w:cs="仿宋_GB2312"/>
          <w:i w:val="0"/>
          <w:iCs w:val="0"/>
          <w:caps w:val="0"/>
          <w:color w:val="auto"/>
          <w:spacing w:val="0"/>
          <w:sz w:val="32"/>
          <w:szCs w:val="32"/>
          <w:shd w:val="clear" w:color="auto" w:fill="FFFFFF"/>
        </w:rPr>
        <w:t>全力开展餐饮服务单位食品安全风险等级管理工作，对</w:t>
      </w:r>
      <w:r>
        <w:rPr>
          <w:rFonts w:hint="eastAsia" w:ascii="仿宋_GB2312" w:hAnsi="仿宋_GB2312" w:eastAsia="仿宋_GB2312" w:cs="仿宋_GB2312"/>
          <w:i w:val="0"/>
          <w:iCs w:val="0"/>
          <w:caps w:val="0"/>
          <w:color w:val="auto"/>
          <w:spacing w:val="0"/>
          <w:sz w:val="32"/>
          <w:szCs w:val="32"/>
          <w:shd w:val="clear" w:color="auto" w:fill="FFFFFF"/>
          <w:lang w:val="en-US" w:eastAsia="zh-CN"/>
        </w:rPr>
        <w:t>150</w:t>
      </w:r>
      <w:r>
        <w:rPr>
          <w:rFonts w:hint="eastAsia" w:ascii="仿宋_GB2312" w:hAnsi="仿宋_GB2312" w:eastAsia="仿宋_GB2312" w:cs="仿宋_GB2312"/>
          <w:i w:val="0"/>
          <w:iCs w:val="0"/>
          <w:caps w:val="0"/>
          <w:color w:val="auto"/>
          <w:spacing w:val="0"/>
          <w:sz w:val="32"/>
          <w:szCs w:val="32"/>
          <w:shd w:val="clear" w:color="auto" w:fill="FFFFFF"/>
        </w:rPr>
        <w:t>家（包含25家学校食堂）餐饮服务单位实施了食品安全风险等级管理工作，出动执法人员64人次、执法车辆9余台次</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b/>
          <w:bCs/>
          <w:i w:val="0"/>
          <w:iCs w:val="0"/>
          <w:caps w:val="0"/>
          <w:color w:val="auto"/>
          <w:spacing w:val="0"/>
          <w:sz w:val="32"/>
          <w:szCs w:val="32"/>
          <w:shd w:val="clear" w:color="auto" w:fill="FFFFFF"/>
          <w:lang w:eastAsia="zh-CN"/>
        </w:rPr>
        <w:t>四是</w:t>
      </w:r>
      <w:r>
        <w:rPr>
          <w:rFonts w:hint="eastAsia" w:ascii="仿宋_GB2312" w:hAnsi="仿宋_GB2312" w:eastAsia="仿宋_GB2312" w:cs="仿宋_GB2312"/>
          <w:i w:val="0"/>
          <w:iCs w:val="0"/>
          <w:caps w:val="0"/>
          <w:color w:val="auto"/>
          <w:spacing w:val="0"/>
          <w:sz w:val="32"/>
          <w:szCs w:val="32"/>
          <w:shd w:val="clear" w:color="auto" w:fill="FFFFFF"/>
        </w:rPr>
        <w:t>突出抓好药品安全监管。出动90人次执法人员，36台次车辆在辖区内对19家药品零售药店、19家二类医疗器械经营企业和6家诊所、14家医疗机构、45家化妆品经营使用单位的药品、医疗器械、化妆品经营、使用单位进行各专项检查和日常监督检查。</w:t>
      </w:r>
      <w:r>
        <w:rPr>
          <w:rFonts w:hint="eastAsia" w:ascii="仿宋_GB2312" w:hAnsi="仿宋_GB2312" w:eastAsia="仿宋_GB2312" w:cs="仿宋_GB2312"/>
          <w:b/>
          <w:bCs/>
          <w:i w:val="0"/>
          <w:iCs w:val="0"/>
          <w:caps w:val="0"/>
          <w:color w:val="auto"/>
          <w:spacing w:val="0"/>
          <w:sz w:val="32"/>
          <w:szCs w:val="32"/>
          <w:shd w:val="clear" w:color="auto" w:fill="FFFFFF"/>
          <w:lang w:eastAsia="zh-CN"/>
        </w:rPr>
        <w:t>五是</w:t>
      </w:r>
      <w:r>
        <w:rPr>
          <w:rFonts w:hint="eastAsia" w:ascii="仿宋_GB2312" w:hAnsi="仿宋_GB2312" w:eastAsia="仿宋_GB2312" w:cs="仿宋_GB2312"/>
          <w:i w:val="0"/>
          <w:iCs w:val="0"/>
          <w:caps w:val="0"/>
          <w:color w:val="333333"/>
          <w:spacing w:val="8"/>
          <w:sz w:val="32"/>
          <w:szCs w:val="32"/>
          <w:shd w:val="clear" w:color="auto" w:fill="FFFFFF"/>
          <w:lang w:eastAsia="zh-CN"/>
        </w:rPr>
        <w:t>积极</w:t>
      </w:r>
      <w:r>
        <w:rPr>
          <w:rFonts w:hint="eastAsia" w:ascii="仿宋_GB2312" w:hAnsi="仿宋_GB2312" w:eastAsia="仿宋_GB2312" w:cs="仿宋_GB2312"/>
          <w:i w:val="0"/>
          <w:iCs w:val="0"/>
          <w:caps w:val="0"/>
          <w:color w:val="333333"/>
          <w:spacing w:val="8"/>
          <w:sz w:val="32"/>
          <w:szCs w:val="32"/>
          <w:shd w:val="clear" w:color="auto" w:fill="FFFFFF"/>
        </w:rPr>
        <w:t>开展明码标价检查规范活动。共</w:t>
      </w:r>
      <w:r>
        <w:rPr>
          <w:rFonts w:hint="eastAsia" w:ascii="仿宋_GB2312" w:hAnsi="仿宋_GB2312" w:eastAsia="仿宋_GB2312" w:cs="仿宋_GB2312"/>
          <w:i w:val="0"/>
          <w:iCs w:val="0"/>
          <w:caps w:val="0"/>
          <w:color w:val="333333"/>
          <w:spacing w:val="8"/>
          <w:sz w:val="32"/>
          <w:szCs w:val="32"/>
          <w:shd w:val="clear" w:color="auto" w:fill="FFFFFF"/>
          <w:lang w:val="en-US" w:eastAsia="zh-CN"/>
        </w:rPr>
        <w:t>出动执法人员80人次，</w:t>
      </w:r>
      <w:r>
        <w:rPr>
          <w:rFonts w:hint="eastAsia" w:ascii="仿宋_GB2312" w:hAnsi="仿宋_GB2312" w:eastAsia="仿宋_GB2312" w:cs="仿宋_GB2312"/>
          <w:i w:val="0"/>
          <w:iCs w:val="0"/>
          <w:caps w:val="0"/>
          <w:color w:val="333333"/>
          <w:spacing w:val="8"/>
          <w:sz w:val="32"/>
          <w:szCs w:val="32"/>
          <w:shd w:val="clear" w:color="auto" w:fill="FFFFFF"/>
        </w:rPr>
        <w:t>检查</w:t>
      </w:r>
      <w:r>
        <w:rPr>
          <w:rFonts w:hint="eastAsia" w:ascii="仿宋_GB2312" w:hAnsi="仿宋_GB2312" w:eastAsia="仿宋_GB2312" w:cs="仿宋_GB2312"/>
          <w:i w:val="0"/>
          <w:iCs w:val="0"/>
          <w:caps w:val="0"/>
          <w:color w:val="333333"/>
          <w:spacing w:val="8"/>
          <w:sz w:val="32"/>
          <w:szCs w:val="32"/>
          <w:shd w:val="clear" w:color="auto" w:fill="FFFFFF"/>
          <w:lang w:eastAsia="zh-CN"/>
        </w:rPr>
        <w:t>餐饮店及</w:t>
      </w:r>
      <w:r>
        <w:rPr>
          <w:rFonts w:hint="eastAsia" w:ascii="仿宋_GB2312" w:hAnsi="仿宋_GB2312" w:eastAsia="仿宋_GB2312" w:cs="仿宋_GB2312"/>
          <w:i w:val="0"/>
          <w:iCs w:val="0"/>
          <w:caps w:val="0"/>
          <w:color w:val="333333"/>
          <w:spacing w:val="8"/>
          <w:sz w:val="32"/>
          <w:szCs w:val="32"/>
          <w:shd w:val="clear" w:color="auto" w:fill="FFFFFF"/>
        </w:rPr>
        <w:t>商品零售店和超市</w:t>
      </w:r>
      <w:r>
        <w:rPr>
          <w:rFonts w:hint="eastAsia" w:ascii="仿宋_GB2312" w:hAnsi="仿宋_GB2312" w:eastAsia="仿宋_GB2312" w:cs="仿宋_GB2312"/>
          <w:i w:val="0"/>
          <w:iCs w:val="0"/>
          <w:caps w:val="0"/>
          <w:color w:val="333333"/>
          <w:spacing w:val="8"/>
          <w:sz w:val="32"/>
          <w:szCs w:val="32"/>
          <w:shd w:val="clear" w:color="auto" w:fill="FFFFFF"/>
          <w:lang w:val="en-US" w:eastAsia="zh-CN"/>
        </w:rPr>
        <w:t>3</w:t>
      </w:r>
      <w:r>
        <w:rPr>
          <w:rFonts w:hint="eastAsia" w:ascii="仿宋_GB2312" w:hAnsi="仿宋_GB2312" w:eastAsia="仿宋_GB2312" w:cs="仿宋_GB2312"/>
          <w:i w:val="0"/>
          <w:iCs w:val="0"/>
          <w:caps w:val="0"/>
          <w:color w:val="333333"/>
          <w:spacing w:val="8"/>
          <w:sz w:val="32"/>
          <w:szCs w:val="32"/>
          <w:shd w:val="clear" w:color="auto" w:fill="FFFFFF"/>
        </w:rPr>
        <w:t>00余家</w:t>
      </w:r>
      <w:r>
        <w:rPr>
          <w:rFonts w:hint="eastAsia" w:ascii="仿宋_GB2312" w:hAnsi="仿宋_GB2312" w:eastAsia="仿宋_GB2312" w:cs="仿宋_GB2312"/>
          <w:b w:val="0"/>
          <w:bCs w:val="0"/>
          <w:i w:val="0"/>
          <w:iCs w:val="0"/>
          <w:caps w:val="0"/>
          <w:color w:val="333333"/>
          <w:spacing w:val="8"/>
          <w:sz w:val="32"/>
          <w:szCs w:val="32"/>
          <w:shd w:val="clear" w:color="auto" w:fill="FFFFFF"/>
        </w:rPr>
        <w:t>，规范明码标价行为</w:t>
      </w:r>
      <w:r>
        <w:rPr>
          <w:rFonts w:hint="eastAsia" w:ascii="仿宋_GB2312" w:hAnsi="仿宋_GB2312" w:eastAsia="仿宋_GB2312" w:cs="仿宋_GB2312"/>
          <w:b w:val="0"/>
          <w:bCs w:val="0"/>
          <w:i w:val="0"/>
          <w:iCs w:val="0"/>
          <w:caps w:val="0"/>
          <w:color w:val="333333"/>
          <w:spacing w:val="8"/>
          <w:sz w:val="32"/>
          <w:szCs w:val="32"/>
          <w:shd w:val="clear" w:color="auto" w:fill="FFFFFF"/>
          <w:lang w:val="en-US" w:eastAsia="zh-CN"/>
        </w:rPr>
        <w:t>200</w:t>
      </w:r>
      <w:r>
        <w:rPr>
          <w:rFonts w:hint="eastAsia" w:ascii="仿宋_GB2312" w:hAnsi="仿宋_GB2312" w:eastAsia="仿宋_GB2312" w:cs="仿宋_GB2312"/>
          <w:b w:val="0"/>
          <w:bCs w:val="0"/>
          <w:i w:val="0"/>
          <w:iCs w:val="0"/>
          <w:caps w:val="0"/>
          <w:color w:val="333333"/>
          <w:spacing w:val="8"/>
          <w:sz w:val="32"/>
          <w:szCs w:val="32"/>
          <w:shd w:val="clear" w:color="auto" w:fill="FFFFFF"/>
        </w:rPr>
        <w:t>余家，发放标价签</w:t>
      </w:r>
      <w:r>
        <w:rPr>
          <w:rFonts w:hint="eastAsia" w:ascii="仿宋_GB2312" w:hAnsi="仿宋_GB2312" w:eastAsia="仿宋_GB2312" w:cs="仿宋_GB2312"/>
          <w:b w:val="0"/>
          <w:bCs w:val="0"/>
          <w:i w:val="0"/>
          <w:iCs w:val="0"/>
          <w:caps w:val="0"/>
          <w:color w:val="333333"/>
          <w:spacing w:val="8"/>
          <w:sz w:val="32"/>
          <w:szCs w:val="32"/>
          <w:shd w:val="clear" w:color="auto" w:fill="FFFFFF"/>
          <w:lang w:val="en-US" w:eastAsia="zh-CN"/>
        </w:rPr>
        <w:t>15万</w:t>
      </w:r>
      <w:r>
        <w:rPr>
          <w:rFonts w:hint="eastAsia" w:ascii="仿宋_GB2312" w:hAnsi="仿宋_GB2312" w:eastAsia="仿宋_GB2312" w:cs="仿宋_GB2312"/>
          <w:b w:val="0"/>
          <w:bCs w:val="0"/>
          <w:i w:val="0"/>
          <w:iCs w:val="0"/>
          <w:caps w:val="0"/>
          <w:color w:val="333333"/>
          <w:spacing w:val="8"/>
          <w:sz w:val="32"/>
          <w:szCs w:val="32"/>
          <w:shd w:val="clear" w:color="auto" w:fill="FFFFFF"/>
        </w:rPr>
        <w:t>余张，</w:t>
      </w:r>
      <w:r>
        <w:rPr>
          <w:rFonts w:hint="eastAsia" w:ascii="仿宋_GB2312" w:hAnsi="仿宋_GB2312" w:eastAsia="仿宋_GB2312" w:cs="仿宋_GB2312"/>
          <w:b w:val="0"/>
          <w:bCs w:val="0"/>
          <w:i w:val="0"/>
          <w:iCs w:val="0"/>
          <w:caps w:val="0"/>
          <w:color w:val="333333"/>
          <w:spacing w:val="8"/>
          <w:sz w:val="32"/>
          <w:szCs w:val="32"/>
          <w:shd w:val="clear" w:color="auto" w:fill="FFFFFF"/>
          <w:lang w:val="en-US" w:eastAsia="zh-CN"/>
        </w:rPr>
        <w:t>共开展各类价格专项监督检查经营户</w:t>
      </w:r>
      <w:r>
        <w:rPr>
          <w:rFonts w:hint="eastAsia" w:ascii="仿宋_GB2312" w:hAnsi="仿宋_GB2312" w:eastAsia="仿宋_GB2312" w:cs="仿宋_GB2312"/>
          <w:i w:val="0"/>
          <w:iCs w:val="0"/>
          <w:caps w:val="0"/>
          <w:color w:val="333333"/>
          <w:spacing w:val="8"/>
          <w:sz w:val="32"/>
          <w:szCs w:val="32"/>
          <w:shd w:val="clear" w:color="auto" w:fill="FFFFFF"/>
          <w:lang w:val="en-US" w:eastAsia="zh-CN"/>
        </w:rPr>
        <w:t>500户次。</w:t>
      </w:r>
    </w:p>
    <w:p>
      <w:pPr>
        <w:keepNext w:val="0"/>
        <w:keepLines w:val="0"/>
        <w:pageBreakBefore w:val="0"/>
        <w:wordWrap/>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eastAsia="zh-CN"/>
        </w:rPr>
        <w:t>（四）</w:t>
      </w:r>
      <w:r>
        <w:rPr>
          <w:rFonts w:hint="eastAsia" w:ascii="楷体_GB2312" w:hAnsi="楷体_GB2312" w:eastAsia="楷体_GB2312" w:cs="楷体_GB2312"/>
          <w:b/>
          <w:bCs/>
          <w:color w:val="auto"/>
          <w:sz w:val="32"/>
          <w:szCs w:val="32"/>
        </w:rPr>
        <w:t>加强基础数据汇集</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提高创新监管效能</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color w:val="auto"/>
          <w:sz w:val="32"/>
          <w:szCs w:val="32"/>
        </w:rPr>
        <w:t>“我局按照</w:t>
      </w:r>
      <w:r>
        <w:rPr>
          <w:rFonts w:hint="eastAsia" w:ascii="仿宋_GB2312" w:hAnsi="仿宋_GB2312" w:eastAsia="仿宋_GB2312" w:cs="仿宋_GB2312"/>
          <w:color w:val="auto"/>
          <w:sz w:val="32"/>
          <w:szCs w:val="32"/>
          <w:lang w:eastAsia="zh-CN"/>
        </w:rPr>
        <w:t>县委</w:t>
      </w:r>
      <w:r>
        <w:rPr>
          <w:rFonts w:hint="eastAsia" w:ascii="仿宋_GB2312" w:hAnsi="仿宋_GB2312" w:eastAsia="仿宋_GB2312" w:cs="仿宋_GB2312"/>
          <w:color w:val="auto"/>
          <w:sz w:val="32"/>
          <w:szCs w:val="32"/>
        </w:rPr>
        <w:t>的统一部署，围绕深化“放管服”改革和推动政府职能转变，持续创新监管方式方法，探索构建“互联网+监管”新模式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color w:val="auto"/>
          <w:sz w:val="32"/>
          <w:szCs w:val="32"/>
        </w:rPr>
        <w:t>强化组织领导。联系政府部门成立</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领导小组，及时与各部门进行“互联网+监管”系统监管行为数据汇聚共享工作交流。加快推进</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我县政务服务数据和监管数据共享，为“互联网+监管”工作有序开展奠定了组织基础。</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color w:val="auto"/>
          <w:sz w:val="32"/>
          <w:szCs w:val="32"/>
        </w:rPr>
        <w:t>提高工作效能。多次组织了清单编制工作的会议，详细讲解了清单编制主要工作任务，明确了部门责任，建立了高效联系机制，有序推进监管事项梳理工作。</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color w:val="auto"/>
          <w:sz w:val="32"/>
          <w:szCs w:val="32"/>
        </w:rPr>
        <w:t>加强督导检查。积极与各部门进行数据交流，各部门采取有效措施，高标准、高效率完成监管事项目录清单和检查实施清单编制工作。以开展年度全县营商环境考核评价工作为契机，对全县“互联网+监管”数据汇集工作进行督导。</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五</w:t>
      </w:r>
      <w:r>
        <w:rPr>
          <w:rFonts w:hint="eastAsia" w:ascii="楷体_GB2312" w:hAnsi="楷体_GB2312" w:eastAsia="楷体_GB2312" w:cs="楷体_GB2312"/>
          <w:b/>
          <w:bCs/>
          <w:color w:val="auto"/>
          <w:sz w:val="32"/>
          <w:szCs w:val="32"/>
        </w:rPr>
        <w:t>）个体工商户和企业发展状况。</w:t>
      </w: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目前</w:t>
      </w:r>
      <w:r>
        <w:rPr>
          <w:rFonts w:hint="eastAsia" w:ascii="仿宋_GB2312" w:hAnsi="仿宋_GB2312" w:eastAsia="仿宋_GB2312" w:cs="仿宋_GB2312"/>
          <w:sz w:val="32"/>
          <w:szCs w:val="32"/>
          <w:lang w:eastAsia="zh-CN"/>
        </w:rPr>
        <w:t>，红原</w:t>
      </w:r>
      <w:r>
        <w:rPr>
          <w:rFonts w:hint="eastAsia" w:ascii="仿宋_GB2312" w:hAnsi="仿宋_GB2312" w:eastAsia="仿宋_GB2312" w:cs="仿宋_GB2312"/>
          <w:sz w:val="32"/>
          <w:szCs w:val="32"/>
        </w:rPr>
        <w:t>县个体工商户共计</w:t>
      </w:r>
      <w:r>
        <w:rPr>
          <w:rFonts w:hint="eastAsia" w:ascii="仿宋_GB2312" w:hAnsi="仿宋_GB2312" w:eastAsia="仿宋_GB2312" w:cs="仿宋_GB2312"/>
          <w:sz w:val="32"/>
          <w:szCs w:val="32"/>
          <w:lang w:val="en-US" w:eastAsia="zh-CN"/>
        </w:rPr>
        <w:t>2828</w:t>
      </w:r>
      <w:r>
        <w:rPr>
          <w:rFonts w:hint="eastAsia" w:ascii="仿宋_GB2312" w:hAnsi="仿宋_GB2312" w:eastAsia="仿宋_GB2312" w:cs="仿宋_GB2312"/>
          <w:sz w:val="32"/>
          <w:szCs w:val="32"/>
        </w:rPr>
        <w:t>户，注册资本共计</w:t>
      </w:r>
      <w:r>
        <w:rPr>
          <w:rFonts w:hint="eastAsia" w:ascii="仿宋_GB2312" w:hAnsi="仿宋_GB2312" w:eastAsia="仿宋_GB2312" w:cs="仿宋_GB2312"/>
          <w:sz w:val="32"/>
          <w:szCs w:val="32"/>
          <w:lang w:val="en-US" w:eastAsia="zh-CN"/>
        </w:rPr>
        <w:t>52463.03</w:t>
      </w:r>
      <w:r>
        <w:rPr>
          <w:rFonts w:hint="eastAsia" w:ascii="仿宋_GB2312" w:hAnsi="仿宋_GB2312" w:eastAsia="仿宋_GB2312" w:cs="仿宋_GB2312"/>
          <w:sz w:val="32"/>
          <w:szCs w:val="32"/>
        </w:rPr>
        <w:t xml:space="preserve">万元；在册各类企业共计 </w:t>
      </w:r>
      <w:r>
        <w:rPr>
          <w:rFonts w:hint="eastAsia" w:ascii="仿宋_GB2312" w:hAnsi="仿宋_GB2312" w:eastAsia="仿宋_GB2312" w:cs="仿宋_GB2312"/>
          <w:sz w:val="32"/>
          <w:szCs w:val="32"/>
          <w:lang w:val="en-US" w:eastAsia="zh-CN"/>
        </w:rPr>
        <w:t>498</w:t>
      </w:r>
      <w:r>
        <w:rPr>
          <w:rFonts w:hint="eastAsia" w:ascii="仿宋_GB2312" w:hAnsi="仿宋_GB2312" w:eastAsia="仿宋_GB2312" w:cs="仿宋_GB2312"/>
          <w:sz w:val="32"/>
          <w:szCs w:val="32"/>
        </w:rPr>
        <w:t>户，注册资本共计</w:t>
      </w:r>
      <w:r>
        <w:rPr>
          <w:rFonts w:hint="eastAsia" w:ascii="仿宋_GB2312" w:hAnsi="仿宋_GB2312" w:eastAsia="仿宋_GB2312" w:cs="仿宋_GB2312"/>
          <w:sz w:val="32"/>
          <w:szCs w:val="32"/>
          <w:lang w:val="en-US" w:eastAsia="zh-CN"/>
        </w:rPr>
        <w:t>4311.6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年新登记注册个体工商户</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户，新增注册资本</w:t>
      </w:r>
      <w:r>
        <w:rPr>
          <w:rFonts w:hint="eastAsia" w:ascii="仿宋_GB2312" w:hAnsi="仿宋_GB2312" w:eastAsia="仿宋_GB2312" w:cs="仿宋_GB2312"/>
          <w:sz w:val="32"/>
          <w:szCs w:val="32"/>
          <w:lang w:val="en-US" w:eastAsia="zh-CN"/>
        </w:rPr>
        <w:t>31454</w:t>
      </w:r>
      <w:r>
        <w:rPr>
          <w:rFonts w:hint="eastAsia" w:ascii="仿宋_GB2312" w:hAnsi="仿宋_GB2312" w:eastAsia="仿宋_GB2312" w:cs="仿宋_GB2312"/>
          <w:sz w:val="32"/>
          <w:szCs w:val="32"/>
        </w:rPr>
        <w:t>万元。新登记注册各类企业共</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户，新增注册资本</w:t>
      </w:r>
      <w:r>
        <w:rPr>
          <w:rFonts w:hint="eastAsia" w:ascii="仿宋_GB2312" w:hAnsi="仿宋_GB2312" w:eastAsia="仿宋_GB2312" w:cs="仿宋_GB2312"/>
          <w:sz w:val="32"/>
          <w:szCs w:val="32"/>
          <w:lang w:val="en-US" w:eastAsia="zh-CN"/>
        </w:rPr>
        <w:t>30749</w:t>
      </w:r>
      <w:r>
        <w:rPr>
          <w:rFonts w:hint="eastAsia" w:ascii="仿宋_GB2312" w:hAnsi="仿宋_GB2312" w:eastAsia="仿宋_GB2312" w:cs="仿宋_GB2312"/>
          <w:sz w:val="32"/>
          <w:szCs w:val="32"/>
        </w:rPr>
        <w:t>万元。农民专业合作社</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户，注册资本</w:t>
      </w:r>
      <w:r>
        <w:rPr>
          <w:rFonts w:hint="eastAsia" w:ascii="仿宋_GB2312" w:hAnsi="仿宋_GB2312" w:eastAsia="仿宋_GB2312" w:cs="仿宋_GB2312"/>
          <w:sz w:val="32"/>
          <w:szCs w:val="32"/>
          <w:lang w:val="en-US" w:eastAsia="zh-CN"/>
        </w:rPr>
        <w:t>705</w:t>
      </w:r>
      <w:r>
        <w:rPr>
          <w:rFonts w:hint="eastAsia" w:ascii="仿宋_GB2312" w:hAnsi="仿宋_GB2312" w:eastAsia="仿宋_GB2312" w:cs="仿宋_GB2312"/>
          <w:sz w:val="32"/>
          <w:szCs w:val="32"/>
        </w:rPr>
        <w:t>万元。全程电子化登记注册</w:t>
      </w:r>
      <w:r>
        <w:rPr>
          <w:rFonts w:hint="eastAsia" w:ascii="仿宋_GB2312" w:hAnsi="仿宋_GB2312" w:eastAsia="仿宋_GB2312" w:cs="仿宋_GB2312"/>
          <w:sz w:val="32"/>
          <w:szCs w:val="32"/>
          <w:lang w:val="en-US" w:eastAsia="zh-CN"/>
        </w:rPr>
        <w:t>242</w:t>
      </w:r>
      <w:r>
        <w:rPr>
          <w:rFonts w:hint="eastAsia" w:ascii="仿宋_GB2312" w:hAnsi="仿宋_GB2312" w:eastAsia="仿宋_GB2312" w:cs="仿宋_GB2312"/>
          <w:sz w:val="32"/>
          <w:szCs w:val="32"/>
        </w:rPr>
        <w:t>户。</w:t>
      </w:r>
    </w:p>
    <w:p>
      <w:pPr>
        <w:keepNext w:val="0"/>
        <w:keepLines w:val="0"/>
        <w:pageBreakBefore w:val="0"/>
        <w:wordWrap/>
        <w:topLinePunct w:val="0"/>
        <w:autoSpaceDE/>
        <w:autoSpaceDN/>
        <w:bidi w:val="0"/>
        <w:adjustRightInd/>
        <w:snapToGrid/>
        <w:spacing w:line="576" w:lineRule="exact"/>
        <w:ind w:firstLine="6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0"/>
          <w:sz w:val="32"/>
          <w:szCs w:val="32"/>
          <w:lang w:val="en-US" w:eastAsia="zh-CN"/>
        </w:rPr>
        <w:t>（六）消费维权工作。</w:t>
      </w:r>
      <w:r>
        <w:rPr>
          <w:rFonts w:hint="eastAsia" w:ascii="仿宋_GB2312" w:hAnsi="仿宋_GB2312" w:eastAsia="仿宋_GB2312" w:cs="仿宋_GB2312"/>
          <w:b w:val="0"/>
          <w:bCs w:val="0"/>
          <w:kern w:val="0"/>
          <w:sz w:val="32"/>
          <w:szCs w:val="32"/>
          <w:lang w:val="en-US" w:eastAsia="zh-CN"/>
        </w:rPr>
        <w:t>2021年，红原</w:t>
      </w:r>
      <w:r>
        <w:rPr>
          <w:rFonts w:hint="eastAsia" w:ascii="仿宋_GB2312" w:hAnsi="仿宋_GB2312" w:eastAsia="仿宋_GB2312" w:cs="仿宋_GB2312"/>
          <w:kern w:val="0"/>
          <w:sz w:val="32"/>
          <w:szCs w:val="32"/>
          <w:lang w:val="en-US" w:eastAsia="zh-CN"/>
        </w:rPr>
        <w:t>县消保中心不断</w:t>
      </w:r>
      <w:r>
        <w:rPr>
          <w:rFonts w:hint="eastAsia" w:ascii="仿宋_GB2312" w:hAnsi="仿宋_GB2312" w:eastAsia="仿宋_GB2312" w:cs="仿宋_GB2312"/>
          <w:sz w:val="32"/>
          <w:szCs w:val="32"/>
          <w:lang w:val="en-US" w:eastAsia="zh-CN"/>
        </w:rPr>
        <w:t>创新消费维权机制，推进消费维权社会共治，改善消费环境，促进消费增长，深入推进12315体系建设。认真及时处理消费者投诉举报，切实维护消费者权益。</w:t>
      </w: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至目前，</w:t>
      </w:r>
      <w:r>
        <w:rPr>
          <w:rFonts w:hint="eastAsia" w:ascii="仿宋_GB2312" w:hAnsi="仿宋_GB2312" w:eastAsia="仿宋_GB2312" w:cs="仿宋_GB2312"/>
          <w:sz w:val="32"/>
          <w:szCs w:val="32"/>
        </w:rPr>
        <w:t>共受理</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件消费投诉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29起举报。</w:t>
      </w:r>
      <w:r>
        <w:rPr>
          <w:rFonts w:hint="eastAsia" w:ascii="仿宋_GB2312" w:hAnsi="仿宋_GB2312" w:eastAsia="仿宋_GB2312" w:cs="仿宋_GB2312"/>
          <w:sz w:val="32"/>
          <w:szCs w:val="32"/>
          <w:lang w:eastAsia="zh-CN"/>
        </w:rPr>
        <w:t>挽回经济损失</w:t>
      </w:r>
      <w:r>
        <w:rPr>
          <w:rFonts w:hint="eastAsia" w:ascii="仿宋_GB2312" w:hAnsi="仿宋_GB2312" w:eastAsia="仿宋_GB2312" w:cs="仿宋_GB2312"/>
          <w:sz w:val="32"/>
          <w:szCs w:val="32"/>
          <w:lang w:val="en-US" w:eastAsia="zh-CN"/>
        </w:rPr>
        <w:t>2.6万余元</w:t>
      </w:r>
      <w:r>
        <w:rPr>
          <w:rFonts w:hint="eastAsia" w:ascii="仿宋_GB2312" w:hAnsi="仿宋_GB2312" w:eastAsia="仿宋_GB2312" w:cs="仿宋_GB2312"/>
          <w:sz w:val="32"/>
          <w:szCs w:val="32"/>
          <w:lang w:eastAsia="zh-CN"/>
        </w:rPr>
        <w:t>，处理成功率为</w:t>
      </w:r>
      <w:r>
        <w:rPr>
          <w:rFonts w:hint="eastAsia" w:ascii="仿宋_GB2312" w:hAnsi="仿宋_GB2312" w:eastAsia="仿宋_GB2312" w:cs="仿宋_GB2312"/>
          <w:sz w:val="32"/>
          <w:szCs w:val="32"/>
          <w:lang w:val="en-US" w:eastAsia="zh-CN"/>
        </w:rPr>
        <w:t>100%。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楷体_GB2312" w:hAnsi="楷体_GB2312" w:eastAsia="楷体_GB2312" w:cs="楷体_GB2312"/>
          <w:b/>
          <w:bCs/>
          <w:color w:val="2B2B2B"/>
          <w:kern w:val="0"/>
          <w:sz w:val="32"/>
          <w:szCs w:val="32"/>
          <w:lang w:eastAsia="zh-CN"/>
        </w:rPr>
        <w:t>（七）</w:t>
      </w:r>
      <w:r>
        <w:rPr>
          <w:rFonts w:hint="eastAsia" w:ascii="楷体_GB2312" w:hAnsi="楷体_GB2312" w:eastAsia="楷体_GB2312" w:cs="楷体_GB2312"/>
          <w:b/>
          <w:bCs/>
          <w:color w:val="2B2B2B"/>
          <w:kern w:val="0"/>
          <w:sz w:val="32"/>
          <w:szCs w:val="32"/>
        </w:rPr>
        <w:t>有机产品认证（创建）示范区工作</w:t>
      </w:r>
      <w:r>
        <w:rPr>
          <w:rFonts w:hint="eastAsia" w:ascii="楷体_GB2312" w:hAnsi="楷体_GB2312" w:eastAsia="楷体_GB2312" w:cs="楷体_GB2312"/>
          <w:b/>
          <w:bCs/>
          <w:color w:val="2B2B2B"/>
          <w:kern w:val="0"/>
          <w:sz w:val="32"/>
          <w:szCs w:val="32"/>
          <w:lang w:eastAsia="zh-CN"/>
        </w:rPr>
        <w:t>。</w:t>
      </w:r>
      <w:r>
        <w:rPr>
          <w:rFonts w:hint="eastAsia" w:ascii="仿宋_GB2312" w:hAnsi="仿宋_GB2312" w:eastAsia="仿宋_GB2312" w:cs="仿宋_GB2312"/>
          <w:color w:val="auto"/>
          <w:kern w:val="0"/>
          <w:sz w:val="32"/>
          <w:szCs w:val="32"/>
        </w:rPr>
        <w:t>我县至“省级有机示范区”创建成功以来，努力引导我县相关产业提质增效创收，使广大牧民群众、企业等享受到有机示范县创建所带来的最大实惠。开展了基地巡查工作，对有机企业相关信息有了全面的掌握，发现不足之处，告知企业及时整改，力争做好各项工作</w:t>
      </w:r>
      <w:r>
        <w:rPr>
          <w:rFonts w:hint="eastAsia" w:ascii="仿宋_GB2312" w:hAnsi="仿宋_GB2312" w:eastAsia="仿宋_GB2312" w:cs="仿宋_GB2312"/>
          <w:color w:val="auto"/>
          <w:kern w:val="0"/>
          <w:sz w:val="32"/>
          <w:szCs w:val="32"/>
          <w:lang w:eastAsia="zh-CN"/>
        </w:rPr>
        <w:t>。</w:t>
      </w:r>
    </w:p>
    <w:p>
      <w:pPr>
        <w:widowControl/>
        <w:jc w:val="left"/>
        <w:rPr>
          <w:rFonts w:ascii="仿宋" w:eastAsia="仿宋"/>
          <w:kern w:val="0"/>
          <w:sz w:val="32"/>
          <w:szCs w:val="32"/>
        </w:rPr>
      </w:pPr>
      <w:r>
        <w:rPr>
          <w:rFonts w:ascii="仿宋" w:eastAsia="仿宋"/>
          <w:sz w:val="32"/>
          <w:szCs w:val="32"/>
        </w:rPr>
        <w:br w:type="page"/>
      </w:r>
    </w:p>
    <w:p>
      <w:pPr>
        <w:pStyle w:val="4"/>
        <w:ind w:right="440"/>
        <w:jc w:val="center"/>
        <w:rPr>
          <w:rStyle w:val="19"/>
          <w:rFonts w:ascii="黑体" w:eastAsia="黑体"/>
          <w:b w:val="0"/>
          <w:bCs/>
        </w:rPr>
      </w:pPr>
      <w:bookmarkStart w:id="17" w:name="_Toc15377204"/>
      <w:bookmarkStart w:id="18" w:name="_Toc15396602"/>
      <w:r>
        <w:rPr>
          <w:rFonts w:hint="eastAsia" w:ascii="黑体" w:eastAsia="黑体"/>
          <w:b w:val="0"/>
        </w:rPr>
        <w:t>第二部分 2021年度</w:t>
      </w:r>
      <w:r>
        <w:rPr>
          <w:rStyle w:val="19"/>
          <w:rFonts w:hint="eastAsia" w:ascii="黑体" w:eastAsia="黑体"/>
          <w:b w:val="0"/>
          <w:bCs/>
        </w:rPr>
        <w:t>单位决算情况说明</w:t>
      </w:r>
      <w:bookmarkEnd w:id="17"/>
      <w:bookmarkEnd w:id="18"/>
    </w:p>
    <w:p/>
    <w:p>
      <w:pPr>
        <w:pStyle w:val="25"/>
        <w:numPr>
          <w:ilvl w:val="0"/>
          <w:numId w:val="2"/>
        </w:numPr>
        <w:spacing w:line="600" w:lineRule="exact"/>
        <w:ind w:firstLineChars="0"/>
        <w:outlineLvl w:val="1"/>
        <w:rPr>
          <w:rStyle w:val="20"/>
          <w:rFonts w:ascii="黑体" w:eastAsia="黑体"/>
          <w:b w:val="0"/>
        </w:rPr>
      </w:pPr>
      <w:bookmarkStart w:id="19" w:name="_Toc15396603"/>
      <w:bookmarkStart w:id="20" w:name="_Toc15377205"/>
      <w:r>
        <w:rPr>
          <w:rFonts w:hint="eastAsia" w:ascii="黑体" w:eastAsia="黑体"/>
          <w:sz w:val="32"/>
          <w:szCs w:val="32"/>
        </w:rPr>
        <w:t>收</w:t>
      </w:r>
      <w:r>
        <w:rPr>
          <w:rStyle w:val="20"/>
          <w:rFonts w:hint="eastAsia" w:ascii="黑体" w:eastAsia="黑体"/>
          <w:b w:val="0"/>
        </w:rPr>
        <w:t>入支出决算总体情况说明</w:t>
      </w:r>
      <w:bookmarkEnd w:id="19"/>
      <w:bookmarkEnd w:id="20"/>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年度收入总计</w:t>
      </w:r>
      <w:r>
        <w:rPr>
          <w:rFonts w:hint="eastAsia" w:ascii="仿宋_GB2312" w:hAnsi="仿宋_GB2312" w:eastAsia="仿宋_GB2312" w:cs="仿宋_GB2312"/>
          <w:color w:val="000000"/>
          <w:sz w:val="32"/>
          <w:szCs w:val="32"/>
          <w:lang w:val="en-US" w:eastAsia="zh-CN"/>
        </w:rPr>
        <w:t>1096.32</w:t>
      </w:r>
      <w:r>
        <w:rPr>
          <w:rFonts w:hint="eastAsia" w:ascii="仿宋_GB2312" w:hAnsi="仿宋_GB2312" w:eastAsia="仿宋_GB2312" w:cs="仿宋_GB2312"/>
          <w:color w:val="000000"/>
          <w:sz w:val="32"/>
          <w:szCs w:val="32"/>
        </w:rPr>
        <w:t>万元，其中：财政拨款收入</w:t>
      </w:r>
      <w:r>
        <w:rPr>
          <w:rFonts w:hint="eastAsia" w:ascii="仿宋_GB2312" w:hAnsi="仿宋_GB2312" w:eastAsia="仿宋_GB2312" w:cs="仿宋_GB2312"/>
          <w:color w:val="000000"/>
          <w:sz w:val="32"/>
          <w:szCs w:val="32"/>
          <w:lang w:val="en-US" w:eastAsia="zh-CN"/>
        </w:rPr>
        <w:t>1096.32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%。上年结转和结余</w:t>
      </w:r>
      <w:r>
        <w:rPr>
          <w:rFonts w:hint="eastAsia" w:ascii="仿宋_GB2312" w:hAnsi="仿宋_GB2312" w:eastAsia="仿宋_GB2312" w:cs="仿宋_GB2312"/>
          <w:color w:val="000000"/>
          <w:sz w:val="32"/>
          <w:szCs w:val="32"/>
          <w:lang w:val="en-US" w:eastAsia="zh-CN"/>
        </w:rPr>
        <w:t>35.7</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35.7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年度支出总计</w:t>
      </w:r>
      <w:r>
        <w:rPr>
          <w:rFonts w:hint="eastAsia" w:ascii="仿宋_GB2312" w:hAnsi="仿宋_GB2312" w:eastAsia="仿宋_GB2312" w:cs="仿宋_GB2312"/>
          <w:color w:val="000000"/>
          <w:sz w:val="32"/>
          <w:szCs w:val="32"/>
          <w:lang w:val="en-US" w:eastAsia="zh-CN"/>
        </w:rPr>
        <w:t>1132.02</w:t>
      </w:r>
      <w:r>
        <w:rPr>
          <w:rFonts w:hint="eastAsia" w:ascii="仿宋_GB2312" w:hAnsi="仿宋_GB2312" w:eastAsia="仿宋_GB2312" w:cs="仿宋_GB2312"/>
          <w:color w:val="000000"/>
          <w:sz w:val="32"/>
          <w:szCs w:val="32"/>
        </w:rPr>
        <w:t>万元，其中，一般公共服务支出</w:t>
      </w:r>
      <w:r>
        <w:rPr>
          <w:rFonts w:hint="eastAsia" w:ascii="仿宋_GB2312" w:hAnsi="仿宋_GB2312" w:eastAsia="仿宋_GB2312" w:cs="仿宋_GB2312"/>
          <w:color w:val="000000"/>
          <w:sz w:val="32"/>
          <w:szCs w:val="32"/>
          <w:lang w:val="en-US" w:eastAsia="zh-CN"/>
        </w:rPr>
        <w:t>902.02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87.4</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230</w:t>
      </w:r>
      <w:r>
        <w:rPr>
          <w:rFonts w:hint="eastAsia" w:ascii="仿宋_GB2312" w:hAnsi="仿宋_GB2312" w:eastAsia="仿宋_GB2312" w:cs="仿宋_GB2312"/>
          <w:color w:val="000000"/>
          <w:sz w:val="32"/>
          <w:szCs w:val="32"/>
        </w:rPr>
        <w:t>万元。</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5408" behindDoc="1" locked="0" layoutInCell="1" allowOverlap="1">
            <wp:simplePos x="0" y="0"/>
            <wp:positionH relativeFrom="column">
              <wp:posOffset>-182245</wp:posOffset>
            </wp:positionH>
            <wp:positionV relativeFrom="paragraph">
              <wp:posOffset>2426335</wp:posOffset>
            </wp:positionV>
            <wp:extent cx="5054600" cy="2159000"/>
            <wp:effectExtent l="4445" t="4445" r="15875" b="15875"/>
            <wp:wrapTight wrapText="bothSides">
              <wp:wrapPolygon>
                <wp:start x="-19" y="-44"/>
                <wp:lineTo x="-19" y="21454"/>
                <wp:lineTo x="21538" y="21454"/>
                <wp:lineTo x="21538" y="-44"/>
                <wp:lineTo x="-19"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年年末结转和结余</w:t>
      </w:r>
      <w:r>
        <w:rPr>
          <w:rFonts w:hint="eastAsia" w:ascii="仿宋_GB2312" w:hAnsi="仿宋_GB2312" w:eastAsia="仿宋_GB2312" w:cs="仿宋_GB2312"/>
          <w:color w:val="000000"/>
          <w:sz w:val="32"/>
          <w:szCs w:val="32"/>
          <w:lang w:val="en-US" w:eastAsia="zh-CN"/>
        </w:rPr>
        <w:t>137.5</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137.5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年相比，总收入</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272.8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33.12</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rPr>
        <w:t>主要变动原因是人员</w:t>
      </w:r>
      <w:r>
        <w:rPr>
          <w:rFonts w:hint="eastAsia" w:ascii="仿宋" w:hAnsi="仿宋" w:eastAsia="仿宋"/>
          <w:color w:val="000000"/>
          <w:sz w:val="32"/>
          <w:szCs w:val="32"/>
          <w:lang w:eastAsia="zh-CN"/>
        </w:rPr>
        <w:t>增加</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pPr>
    </w:p>
    <w:p>
      <w:pPr>
        <w:spacing w:line="600" w:lineRule="exact"/>
        <w:ind w:firstLine="640" w:firstLineChars="200"/>
        <w:rPr>
          <w:rFonts w:ascii="仿宋_GB2312" w:eastAsia="仿宋_GB2312"/>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25"/>
        <w:numPr>
          <w:ilvl w:val="0"/>
          <w:numId w:val="2"/>
        </w:numPr>
        <w:spacing w:line="600" w:lineRule="exact"/>
        <w:ind w:firstLineChars="0"/>
        <w:outlineLvl w:val="1"/>
        <w:rPr>
          <w:rStyle w:val="20"/>
          <w:rFonts w:ascii="黑体" w:eastAsia="黑体"/>
          <w:b w:val="0"/>
        </w:rPr>
      </w:pPr>
      <w:bookmarkStart w:id="21" w:name="_Toc15396604"/>
      <w:bookmarkStart w:id="22" w:name="_Toc15377206"/>
      <w:r>
        <w:rPr>
          <w:rFonts w:hint="eastAsia" w:ascii="黑体" w:eastAsia="黑体"/>
          <w:sz w:val="32"/>
          <w:szCs w:val="32"/>
        </w:rPr>
        <w:t>收</w:t>
      </w:r>
      <w:r>
        <w:rPr>
          <w:rStyle w:val="20"/>
          <w:rFonts w:hint="eastAsia" w:ascii="黑体" w:eastAsia="黑体"/>
          <w:b w:val="0"/>
        </w:rPr>
        <w:t>入决算情况说明</w:t>
      </w:r>
      <w:bookmarkEnd w:id="21"/>
      <w:bookmarkEnd w:id="22"/>
    </w:p>
    <w:p>
      <w:pPr>
        <w:spacing w:line="600" w:lineRule="exact"/>
        <w:ind w:firstLine="640" w:firstLineChars="200"/>
        <w:outlineLvl w:val="1"/>
        <w:rPr>
          <w:rFonts w:ascii="仿宋" w:eastAsia="仿宋"/>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131445</wp:posOffset>
            </wp:positionH>
            <wp:positionV relativeFrom="paragraph">
              <wp:posOffset>2959100</wp:posOffset>
            </wp:positionV>
            <wp:extent cx="4757420" cy="2003425"/>
            <wp:effectExtent l="4445" t="4445" r="8255" b="19050"/>
            <wp:wrapTight wrapText="bothSides">
              <wp:wrapPolygon>
                <wp:start x="-20" y="-48"/>
                <wp:lineTo x="-20" y="21477"/>
                <wp:lineTo x="21568" y="21477"/>
                <wp:lineTo x="21568"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1096.32</w:t>
      </w:r>
      <w:r>
        <w:rPr>
          <w:rFonts w:hint="eastAsia" w:ascii="仿宋" w:eastAsia="仿宋"/>
          <w:sz w:val="32"/>
          <w:szCs w:val="32"/>
        </w:rPr>
        <w:t>万元，其中：一般公共预算财政拨款收入</w:t>
      </w:r>
      <w:r>
        <w:rPr>
          <w:rFonts w:hint="eastAsia" w:ascii="仿宋" w:eastAsia="仿宋"/>
          <w:sz w:val="32"/>
          <w:szCs w:val="32"/>
          <w:lang w:val="en-US" w:eastAsia="zh-CN"/>
        </w:rPr>
        <w:t>1096.32</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spacing w:line="600" w:lineRule="exact"/>
        <w:outlineLvl w:val="1"/>
        <w:rPr>
          <w:rFonts w:ascii="仿宋" w:eastAsia="仿宋"/>
          <w:b/>
          <w:sz w:val="32"/>
          <w:szCs w:val="32"/>
        </w:rPr>
      </w:pPr>
    </w:p>
    <w:p>
      <w:pPr>
        <w:spacing w:line="600" w:lineRule="exact"/>
        <w:ind w:firstLine="640" w:firstLineChars="200"/>
        <w:outlineLvl w:val="1"/>
        <w:rPr>
          <w:rFonts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（图2：收入决算结构图）（饼状图）</w:t>
      </w:r>
    </w:p>
    <w:p>
      <w:pPr>
        <w:spacing w:line="600" w:lineRule="exact"/>
        <w:ind w:firstLine="640" w:firstLineChars="200"/>
        <w:rPr>
          <w:rFonts w:ascii="仿宋_GB2312" w:eastAsia="仿宋_GB2312"/>
          <w:sz w:val="32"/>
          <w:szCs w:val="32"/>
        </w:rPr>
      </w:pPr>
    </w:p>
    <w:p>
      <w:pPr>
        <w:pStyle w:val="25"/>
        <w:numPr>
          <w:ilvl w:val="0"/>
          <w:numId w:val="2"/>
        </w:numPr>
        <w:spacing w:line="600" w:lineRule="exact"/>
        <w:ind w:firstLineChars="0"/>
        <w:outlineLvl w:val="1"/>
        <w:rPr>
          <w:rStyle w:val="20"/>
          <w:rFonts w:ascii="黑体" w:eastAsia="黑体"/>
          <w:b w:val="0"/>
        </w:rPr>
      </w:pPr>
      <w:bookmarkStart w:id="23" w:name="_Toc15396605"/>
      <w:bookmarkStart w:id="24" w:name="_Toc15377207"/>
      <w:r>
        <w:rPr>
          <w:rFonts w:hint="eastAsia" w:ascii="黑体" w:eastAsia="黑体"/>
          <w:sz w:val="32"/>
          <w:szCs w:val="32"/>
        </w:rPr>
        <w:t>支</w:t>
      </w:r>
      <w:r>
        <w:rPr>
          <w:rStyle w:val="20"/>
          <w:rFonts w:hint="eastAsia" w:ascii="黑体" w:eastAsia="黑体"/>
          <w:b w:val="0"/>
        </w:rPr>
        <w:t>出决算情况说明</w:t>
      </w:r>
      <w:bookmarkEnd w:id="23"/>
      <w:bookmarkEnd w:id="24"/>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1132.02</w:t>
      </w:r>
      <w:r>
        <w:rPr>
          <w:rFonts w:hint="eastAsia" w:ascii="仿宋" w:eastAsia="仿宋"/>
          <w:sz w:val="32"/>
          <w:szCs w:val="32"/>
        </w:rPr>
        <w:t>万元，其中：基本支出</w:t>
      </w:r>
      <w:r>
        <w:rPr>
          <w:rFonts w:hint="eastAsia" w:ascii="仿宋" w:eastAsia="仿宋"/>
          <w:sz w:val="32"/>
          <w:szCs w:val="32"/>
          <w:lang w:val="en-US" w:eastAsia="zh-CN"/>
        </w:rPr>
        <w:t>902.02</w:t>
      </w:r>
      <w:r>
        <w:rPr>
          <w:rFonts w:hint="eastAsia" w:ascii="仿宋" w:eastAsia="仿宋"/>
          <w:sz w:val="32"/>
          <w:szCs w:val="32"/>
        </w:rPr>
        <w:t>万元，占</w:t>
      </w:r>
      <w:r>
        <w:rPr>
          <w:rFonts w:hint="eastAsia" w:ascii="仿宋" w:eastAsia="仿宋"/>
          <w:sz w:val="32"/>
          <w:szCs w:val="32"/>
          <w:lang w:val="en-US" w:eastAsia="zh-CN"/>
        </w:rPr>
        <w:t>79.68</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230</w:t>
      </w:r>
      <w:r>
        <w:rPr>
          <w:rFonts w:hint="eastAsia" w:ascii="仿宋" w:eastAsia="仿宋"/>
          <w:sz w:val="32"/>
          <w:szCs w:val="32"/>
        </w:rPr>
        <w:t>万元，占</w:t>
      </w:r>
      <w:r>
        <w:rPr>
          <w:rFonts w:hint="eastAsia" w:ascii="仿宋" w:eastAsia="仿宋"/>
          <w:sz w:val="32"/>
          <w:szCs w:val="32"/>
          <w:lang w:val="en-US" w:eastAsia="zh-CN"/>
        </w:rPr>
        <w:t>20.32</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sz w:val="32"/>
          <w:szCs w:val="32"/>
          <w:shd w:val="pct10" w:color="auto" w:fill="FFFFFF"/>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1" locked="0" layoutInCell="1" allowOverlap="1">
            <wp:simplePos x="0" y="0"/>
            <wp:positionH relativeFrom="column">
              <wp:posOffset>64770</wp:posOffset>
            </wp:positionH>
            <wp:positionV relativeFrom="paragraph">
              <wp:posOffset>-8816975</wp:posOffset>
            </wp:positionV>
            <wp:extent cx="4815840" cy="1490345"/>
            <wp:effectExtent l="5080" t="5080" r="10160" b="13335"/>
            <wp:wrapTight wrapText="bothSides">
              <wp:wrapPolygon>
                <wp:start x="-23" y="-74"/>
                <wp:lineTo x="-23" y="21352"/>
                <wp:lineTo x="21577" y="21352"/>
                <wp:lineTo x="21577"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spacing w:line="600" w:lineRule="exact"/>
        <w:ind w:firstLine="640" w:firstLineChars="200"/>
        <w:rPr>
          <w:rFonts w:ascii="仿宋" w:eastAsia="仿宋"/>
          <w:sz w:val="32"/>
          <w:szCs w:val="32"/>
        </w:rPr>
      </w:pPr>
      <w:r>
        <w:rPr>
          <w:rFonts w:hint="eastAsia" w:ascii="仿宋" w:eastAsia="仿宋"/>
          <w:sz w:val="32"/>
          <w:szCs w:val="32"/>
        </w:rPr>
        <w:t>（图3：支出决算结构图）（饼状图）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20"/>
          <w:rFonts w:ascii="黑体" w:eastAsia="黑体"/>
          <w:b w:val="0"/>
        </w:rPr>
      </w:pPr>
      <w:bookmarkStart w:id="25" w:name="_Toc15396606"/>
      <w:bookmarkStart w:id="26" w:name="_Toc15377208"/>
      <w:r>
        <w:rPr>
          <w:rFonts w:hint="eastAsia" w:ascii="黑体" w:eastAsia="黑体"/>
          <w:sz w:val="32"/>
          <w:szCs w:val="32"/>
        </w:rPr>
        <w:t>四、财</w:t>
      </w:r>
      <w:r>
        <w:rPr>
          <w:rStyle w:val="20"/>
          <w:rFonts w:hint="eastAsia" w:ascii="黑体" w:eastAsia="黑体"/>
          <w:b w:val="0"/>
        </w:rPr>
        <w:t>政拨款收入支出决算总体情况说明</w:t>
      </w:r>
      <w:bookmarkEnd w:id="25"/>
      <w:bookmarkEnd w:id="26"/>
    </w:p>
    <w:p>
      <w:pPr>
        <w:spacing w:line="600" w:lineRule="exact"/>
        <w:ind w:firstLine="640"/>
        <w:rPr>
          <w:rFonts w:hint="eastAsia" w:ascii="仿宋" w:hAnsi="仿宋" w:eastAsia="仿宋_GB2312"/>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_GB2312" w:hAnsi="仿宋_GB2312" w:eastAsia="仿宋_GB2312" w:cs="仿宋_GB2312"/>
          <w:color w:val="000000"/>
          <w:sz w:val="32"/>
          <w:szCs w:val="32"/>
          <w:lang w:val="en-US" w:eastAsia="zh-CN"/>
        </w:rPr>
        <w:t>1096.32</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272.8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28.44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_GB2312" w:hAnsi="仿宋_GB2312" w:eastAsia="仿宋_GB2312" w:cs="仿宋_GB2312"/>
          <w:color w:val="000000"/>
          <w:sz w:val="32"/>
          <w:szCs w:val="32"/>
          <w:lang w:val="en-US" w:eastAsia="zh-CN"/>
        </w:rPr>
        <w:t>1132.02</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85.09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8.1</w:t>
      </w:r>
      <w:r>
        <w:rPr>
          <w:rFonts w:ascii="仿宋" w:hAnsi="仿宋" w:eastAsia="仿宋"/>
          <w:color w:val="000000"/>
          <w:sz w:val="32"/>
          <w:szCs w:val="32"/>
        </w:rPr>
        <w:t>%</w:t>
      </w:r>
      <w:r>
        <w:rPr>
          <w:rFonts w:hint="eastAsia" w:ascii="仿宋" w:hAnsi="仿宋" w:eastAsia="仿宋"/>
          <w:color w:val="000000"/>
          <w:sz w:val="32"/>
          <w:szCs w:val="32"/>
        </w:rPr>
        <w:t>。主要变动原因是人员</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和项目</w:t>
      </w:r>
      <w:r>
        <w:rPr>
          <w:rFonts w:hint="eastAsia" w:ascii="仿宋" w:hAnsi="仿宋" w:eastAsia="仿宋"/>
          <w:color w:val="000000"/>
          <w:sz w:val="32"/>
          <w:szCs w:val="32"/>
          <w:lang w:eastAsia="zh-CN"/>
        </w:rPr>
        <w:t>追加</w:t>
      </w:r>
      <w:r>
        <w:rPr>
          <w:rFonts w:hint="eastAsia" w:ascii="仿宋" w:hAnsi="仿宋" w:eastAsia="仿宋"/>
          <w:color w:val="000000"/>
          <w:sz w:val="32"/>
          <w:szCs w:val="32"/>
        </w:rPr>
        <w:t>经费支出</w:t>
      </w:r>
      <w:r>
        <w:rPr>
          <w:rFonts w:hint="eastAsia" w:ascii="仿宋" w:hAnsi="仿宋" w:eastAsia="仿宋"/>
          <w:color w:val="000000"/>
          <w:sz w:val="32"/>
          <w:szCs w:val="32"/>
          <w:lang w:eastAsia="zh-CN"/>
        </w:rPr>
        <w:t>增加</w:t>
      </w:r>
      <w:r>
        <w:rPr>
          <w:rFonts w:hint="eastAsia" w:ascii="仿宋_GB2312" w:hAnsi="仿宋_GB2312" w:eastAsia="仿宋_GB2312" w:cs="仿宋_GB2312"/>
          <w:color w:val="000000"/>
          <w:sz w:val="32"/>
          <w:szCs w:val="32"/>
          <w:lang w:eastAsia="zh-CN"/>
        </w:rPr>
        <w:t>。</w:t>
      </w:r>
    </w:p>
    <w:p>
      <w:pPr>
        <w:spacing w:line="600" w:lineRule="exact"/>
        <w:rPr>
          <w:rFonts w:hint="eastAsia" w:ascii="仿宋" w:eastAsia="仿宋"/>
          <w:sz w:val="32"/>
          <w:szCs w:val="32"/>
        </w:rPr>
      </w:pPr>
    </w:p>
    <w:p>
      <w:pPr>
        <w:spacing w:line="600" w:lineRule="exact"/>
        <w:rPr>
          <w:rFonts w:hint="eastAsia" w:ascii="仿宋" w:eastAsia="仿宋"/>
          <w:sz w:val="32"/>
          <w:szCs w:val="32"/>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411480</wp:posOffset>
            </wp:positionH>
            <wp:positionV relativeFrom="paragraph">
              <wp:posOffset>246380</wp:posOffset>
            </wp:positionV>
            <wp:extent cx="4709160" cy="2547620"/>
            <wp:effectExtent l="4445" t="4445" r="10795" b="8255"/>
            <wp:wrapTight wrapText="bothSides">
              <wp:wrapPolygon>
                <wp:start x="-20" y="-38"/>
                <wp:lineTo x="-20" y="21541"/>
                <wp:lineTo x="21580" y="21541"/>
                <wp:lineTo x="21580" y="-38"/>
                <wp:lineTo x="-20" y="-3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ascii="仿宋" w:eastAsia="仿宋"/>
          <w:sz w:val="32"/>
          <w:szCs w:val="32"/>
        </w:rPr>
      </w:pPr>
      <w:r>
        <w:rPr>
          <w:rFonts w:hint="eastAsia" w:ascii="仿宋" w:eastAsia="仿宋"/>
          <w:sz w:val="32"/>
          <w:szCs w:val="32"/>
        </w:rPr>
        <w:t>（图4：财政拨款收、支决算总计变动情况）（柱状图）</w:t>
      </w:r>
    </w:p>
    <w:p>
      <w:pPr>
        <w:spacing w:line="600" w:lineRule="exact"/>
        <w:outlineLvl w:val="1"/>
        <w:rPr>
          <w:rStyle w:val="20"/>
          <w:rFonts w:ascii="黑体" w:eastAsia="黑体"/>
          <w:b w:val="0"/>
        </w:rPr>
      </w:pPr>
      <w:bookmarkStart w:id="27" w:name="_Toc15377209"/>
      <w:bookmarkStart w:id="28" w:name="_Toc15396607"/>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562610</wp:posOffset>
            </wp:positionH>
            <wp:positionV relativeFrom="paragraph">
              <wp:posOffset>2840355</wp:posOffset>
            </wp:positionV>
            <wp:extent cx="5059045" cy="3130550"/>
            <wp:effectExtent l="12700" t="12700" r="18415" b="26670"/>
            <wp:wrapTight wrapText="bothSides">
              <wp:wrapPolygon>
                <wp:start x="-54" y="-88"/>
                <wp:lineTo x="-54" y="21574"/>
                <wp:lineTo x="21614" y="21574"/>
                <wp:lineTo x="21614" y="-88"/>
                <wp:lineTo x="-54" y="-88"/>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黑体" w:eastAsia="黑体"/>
          <w:sz w:val="32"/>
          <w:szCs w:val="32"/>
        </w:rPr>
        <w:t>五、</w:t>
      </w:r>
      <w:r>
        <w:rPr>
          <w:rFonts w:hint="eastAsia" w:ascii="黑体" w:eastAsia="黑体"/>
          <w:b/>
          <w:sz w:val="32"/>
          <w:szCs w:val="32"/>
        </w:rPr>
        <w:t>一</w:t>
      </w:r>
      <w:r>
        <w:rPr>
          <w:rStyle w:val="20"/>
          <w:rFonts w:hint="eastAsia" w:ascii="黑体" w:eastAsia="黑体"/>
          <w:b w:val="0"/>
        </w:rPr>
        <w:t>般公共预算财政拨款支出决算情况说明</w:t>
      </w:r>
      <w:bookmarkEnd w:id="27"/>
      <w:bookmarkEnd w:id="28"/>
    </w:p>
    <w:p>
      <w:pPr>
        <w:spacing w:line="600" w:lineRule="exact"/>
        <w:ind w:firstLine="643" w:firstLineChars="200"/>
        <w:outlineLvl w:val="2"/>
        <w:rPr>
          <w:rFonts w:ascii="仿宋" w:eastAsia="仿宋"/>
          <w:b/>
          <w:sz w:val="32"/>
          <w:szCs w:val="32"/>
        </w:rPr>
      </w:pPr>
      <w:bookmarkStart w:id="29" w:name="_Toc15377210"/>
      <w:r>
        <w:rPr>
          <w:rFonts w:hint="eastAsia" w:ascii="仿宋" w:eastAsia="仿宋"/>
          <w:b/>
          <w:sz w:val="32"/>
          <w:szCs w:val="32"/>
        </w:rPr>
        <w:t>（一）一般公共预算财政拨款支出决算总体情况</w:t>
      </w:r>
      <w:bookmarkEnd w:id="29"/>
    </w:p>
    <w:p>
      <w:pPr>
        <w:spacing w:line="600" w:lineRule="exact"/>
        <w:ind w:firstLine="640" w:firstLineChars="20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1132.02</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85.09</w:t>
      </w:r>
      <w:r>
        <w:rPr>
          <w:rFonts w:hint="eastAsia" w:ascii="仿宋" w:eastAsia="仿宋"/>
          <w:sz w:val="32"/>
          <w:szCs w:val="32"/>
        </w:rPr>
        <w:t>万元，增长</w:t>
      </w:r>
      <w:r>
        <w:rPr>
          <w:rFonts w:hint="eastAsia" w:ascii="仿宋" w:eastAsia="仿宋"/>
          <w:sz w:val="32"/>
          <w:szCs w:val="32"/>
          <w:lang w:val="en-US" w:eastAsia="zh-CN"/>
        </w:rPr>
        <w:t>8.1</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项目追加经费增加。</w:t>
      </w:r>
    </w:p>
    <w:p>
      <w:pPr>
        <w:spacing w:line="600" w:lineRule="exact"/>
        <w:ind w:firstLine="640" w:firstLineChars="200"/>
        <w:rPr>
          <w:rFonts w:hint="eastAsia"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outlineLvl w:val="2"/>
        <w:rPr>
          <w:rFonts w:ascii="仿宋" w:eastAsia="仿宋"/>
          <w:b/>
          <w:sz w:val="32"/>
          <w:szCs w:val="32"/>
        </w:rPr>
      </w:pPr>
      <w:bookmarkStart w:id="30" w:name="_Toc15377211"/>
      <w:r>
        <w:rPr>
          <w:rFonts w:hint="eastAsia" w:ascii="仿宋" w:eastAsia="仿宋"/>
          <w:b/>
          <w:sz w:val="32"/>
          <w:szCs w:val="32"/>
        </w:rPr>
        <w:t>（二）一般公共预算财政拨款支出决算结构情况</w:t>
      </w:r>
      <w:bookmarkEnd w:id="30"/>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1132.02</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939.04</w:t>
      </w:r>
      <w:r>
        <w:rPr>
          <w:rFonts w:hint="eastAsia" w:ascii="仿宋" w:eastAsia="仿宋"/>
          <w:sz w:val="32"/>
          <w:szCs w:val="32"/>
        </w:rPr>
        <w:t>万元，占</w:t>
      </w:r>
      <w:r>
        <w:rPr>
          <w:rFonts w:hint="eastAsia" w:ascii="仿宋" w:eastAsia="仿宋"/>
          <w:sz w:val="32"/>
          <w:szCs w:val="32"/>
          <w:lang w:val="en-US" w:eastAsia="zh-CN"/>
        </w:rPr>
        <w:t>82.95</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93.2</w:t>
      </w:r>
      <w:r>
        <w:rPr>
          <w:rFonts w:hint="eastAsia" w:ascii="仿宋" w:eastAsia="仿宋"/>
          <w:sz w:val="32"/>
          <w:szCs w:val="32"/>
        </w:rPr>
        <w:t>万元，占</w:t>
      </w:r>
      <w:r>
        <w:rPr>
          <w:rFonts w:hint="eastAsia" w:ascii="仿宋" w:eastAsia="仿宋"/>
          <w:sz w:val="32"/>
          <w:szCs w:val="32"/>
          <w:lang w:val="en-US" w:eastAsia="zh-CN"/>
        </w:rPr>
        <w:t>8.23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40.4</w:t>
      </w:r>
      <w:r>
        <w:rPr>
          <w:rFonts w:hint="eastAsia" w:ascii="仿宋" w:eastAsia="仿宋"/>
          <w:sz w:val="32"/>
          <w:szCs w:val="32"/>
        </w:rPr>
        <w:t>万元，占</w:t>
      </w:r>
      <w:r>
        <w:rPr>
          <w:rFonts w:hint="eastAsia" w:ascii="仿宋" w:eastAsia="仿宋"/>
          <w:sz w:val="32"/>
          <w:szCs w:val="32"/>
          <w:lang w:val="en-US" w:eastAsia="zh-CN"/>
        </w:rPr>
        <w:t>3.57</w:t>
      </w:r>
      <w:r>
        <w:rPr>
          <w:rFonts w:ascii="仿宋" w:eastAsia="仿宋"/>
          <w:sz w:val="32"/>
          <w:szCs w:val="32"/>
        </w:rPr>
        <w:t>%</w:t>
      </w:r>
      <w:r>
        <w:rPr>
          <w:rFonts w:hint="eastAsia" w:ascii="仿宋" w:eastAsia="仿宋"/>
          <w:sz w:val="32"/>
          <w:szCs w:val="32"/>
        </w:rPr>
        <w:t>；住房保障支出</w:t>
      </w:r>
      <w:r>
        <w:rPr>
          <w:rFonts w:hint="eastAsia" w:ascii="仿宋" w:eastAsia="仿宋"/>
          <w:sz w:val="32"/>
          <w:szCs w:val="32"/>
          <w:lang w:val="en-US" w:eastAsia="zh-CN"/>
        </w:rPr>
        <w:t>59.38</w:t>
      </w:r>
      <w:r>
        <w:rPr>
          <w:rFonts w:hint="eastAsia" w:ascii="仿宋" w:eastAsia="仿宋"/>
          <w:sz w:val="32"/>
          <w:szCs w:val="32"/>
        </w:rPr>
        <w:t>万元，占</w:t>
      </w:r>
      <w:r>
        <w:rPr>
          <w:rFonts w:hint="eastAsia" w:ascii="仿宋" w:eastAsia="仿宋"/>
          <w:sz w:val="32"/>
          <w:szCs w:val="32"/>
          <w:lang w:val="en-US" w:eastAsia="zh-CN"/>
        </w:rPr>
        <w:t>5.25</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0" locked="0" layoutInCell="1" allowOverlap="1">
            <wp:simplePos x="0" y="0"/>
            <wp:positionH relativeFrom="column">
              <wp:posOffset>-84455</wp:posOffset>
            </wp:positionH>
            <wp:positionV relativeFrom="paragraph">
              <wp:posOffset>236220</wp:posOffset>
            </wp:positionV>
            <wp:extent cx="5236845" cy="1958975"/>
            <wp:effectExtent l="5080" t="4445" r="1587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outlineLvl w:val="2"/>
        <w:rPr>
          <w:rFonts w:ascii="仿宋" w:eastAsia="仿宋"/>
          <w:b/>
          <w:sz w:val="32"/>
          <w:szCs w:val="32"/>
        </w:rPr>
      </w:pPr>
      <w:bookmarkStart w:id="31" w:name="_Toc15377212"/>
      <w:r>
        <w:rPr>
          <w:rFonts w:hint="eastAsia" w:ascii="仿宋" w:eastAsia="仿宋"/>
          <w:b/>
          <w:sz w:val="32"/>
          <w:szCs w:val="32"/>
        </w:rPr>
        <w:t>（三）一般公共预算财政拨款支出决算具体情况</w:t>
      </w:r>
      <w:bookmarkEnd w:id="31"/>
    </w:p>
    <w:p>
      <w:pPr>
        <w:spacing w:line="600" w:lineRule="exact"/>
        <w:ind w:firstLine="643" w:firstLineChars="200"/>
        <w:outlineLvl w:val="2"/>
        <w:rPr>
          <w:rFonts w:ascii="仿宋" w:eastAsia="仿宋"/>
          <w:sz w:val="32"/>
          <w:szCs w:val="32"/>
        </w:rPr>
      </w:pPr>
      <w:bookmarkStart w:id="32" w:name="_Toc15378460"/>
      <w:bookmarkStart w:id="33" w:name="_Toc15377444"/>
      <w:bookmarkStart w:id="34" w:name="_Toc15377213"/>
      <w:r>
        <w:rPr>
          <w:rFonts w:hint="eastAsia" w:ascii="仿宋" w:eastAsia="仿宋"/>
          <w:b/>
          <w:sz w:val="32"/>
          <w:szCs w:val="32"/>
        </w:rPr>
        <w:t>2021年一般公共预算支出决算数为</w:t>
      </w:r>
      <w:r>
        <w:rPr>
          <w:rFonts w:hint="eastAsia" w:ascii="仿宋" w:eastAsia="仿宋"/>
          <w:b/>
          <w:sz w:val="32"/>
          <w:szCs w:val="32"/>
          <w:lang w:val="en-US" w:eastAsia="zh-CN"/>
        </w:rPr>
        <w:t>1132.02</w:t>
      </w:r>
      <w:r>
        <w:rPr>
          <w:rFonts w:hint="eastAsia" w:ascii="仿宋" w:eastAsia="仿宋"/>
          <w:sz w:val="32"/>
          <w:szCs w:val="32"/>
        </w:rPr>
        <w:t>，</w:t>
      </w:r>
      <w:r>
        <w:rPr>
          <w:rStyle w:val="17"/>
          <w:rFonts w:hint="eastAsia" w:ascii="仿宋" w:eastAsia="仿宋"/>
          <w:bCs/>
          <w:sz w:val="32"/>
          <w:szCs w:val="32"/>
        </w:rPr>
        <w:t>完成预算</w:t>
      </w:r>
      <w:r>
        <w:rPr>
          <w:rStyle w:val="17"/>
          <w:rFonts w:hint="eastAsia" w:ascii="仿宋" w:eastAsia="仿宋"/>
          <w:bCs/>
          <w:sz w:val="32"/>
          <w:szCs w:val="32"/>
          <w:lang w:val="en-US" w:eastAsia="zh-CN"/>
        </w:rPr>
        <w:t>100</w:t>
      </w:r>
      <w:r>
        <w:rPr>
          <w:rStyle w:val="17"/>
          <w:rFonts w:ascii="仿宋" w:eastAsia="仿宋"/>
          <w:bCs/>
          <w:sz w:val="32"/>
          <w:szCs w:val="32"/>
        </w:rPr>
        <w:t>%</w:t>
      </w:r>
      <w:r>
        <w:rPr>
          <w:rStyle w:val="17"/>
          <w:rFonts w:hint="eastAsia" w:ascii="仿宋" w:eastAsia="仿宋"/>
          <w:bCs/>
          <w:sz w:val="32"/>
          <w:szCs w:val="32"/>
        </w:rPr>
        <w:t>。其中：</w:t>
      </w:r>
      <w:bookmarkEnd w:id="32"/>
      <w:bookmarkEnd w:id="33"/>
      <w:bookmarkEnd w:id="34"/>
    </w:p>
    <w:p>
      <w:pPr>
        <w:spacing w:line="600" w:lineRule="exact"/>
        <w:ind w:firstLine="643" w:firstLineChars="200"/>
        <w:rPr>
          <w:rFonts w:ascii="仿宋" w:eastAsia="仿宋"/>
          <w:b/>
          <w:sz w:val="32"/>
          <w:szCs w:val="32"/>
        </w:rPr>
      </w:pPr>
      <w:r>
        <w:rPr>
          <w:rStyle w:val="17"/>
          <w:rFonts w:ascii="仿宋" w:eastAsia="仿宋"/>
          <w:bCs/>
          <w:sz w:val="32"/>
          <w:szCs w:val="32"/>
        </w:rPr>
        <w:t>1.</w:t>
      </w:r>
      <w:r>
        <w:rPr>
          <w:rStyle w:val="17"/>
          <w:rFonts w:hint="eastAsia" w:ascii="仿宋" w:eastAsia="仿宋"/>
          <w:bCs/>
          <w:sz w:val="32"/>
          <w:szCs w:val="32"/>
        </w:rPr>
        <w:t>一般公共服务（类）</w:t>
      </w:r>
      <w:r>
        <w:rPr>
          <w:rStyle w:val="17"/>
          <w:rFonts w:hint="eastAsia" w:ascii="仿宋" w:eastAsia="仿宋"/>
          <w:bCs/>
          <w:sz w:val="32"/>
          <w:szCs w:val="32"/>
          <w:lang w:val="en-US" w:eastAsia="zh-CN"/>
        </w:rPr>
        <w:t>201</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939.04</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7"/>
          <w:rFonts w:hint="eastAsia" w:ascii="仿宋" w:eastAsia="仿宋"/>
          <w:bCs/>
          <w:sz w:val="32"/>
          <w:szCs w:val="32"/>
          <w:lang w:val="en-US" w:eastAsia="zh-CN"/>
        </w:rPr>
        <w:t>2</w:t>
      </w:r>
      <w:r>
        <w:rPr>
          <w:rStyle w:val="17"/>
          <w:rFonts w:ascii="仿宋" w:eastAsia="仿宋"/>
          <w:bCs/>
          <w:sz w:val="32"/>
          <w:szCs w:val="32"/>
        </w:rPr>
        <w:t>.</w:t>
      </w:r>
      <w:r>
        <w:rPr>
          <w:rStyle w:val="17"/>
          <w:rFonts w:hint="eastAsia" w:ascii="仿宋" w:eastAsia="仿宋"/>
          <w:bCs/>
          <w:sz w:val="32"/>
          <w:szCs w:val="32"/>
        </w:rPr>
        <w:t>社会保障和就业（类）</w:t>
      </w:r>
      <w:r>
        <w:rPr>
          <w:rStyle w:val="17"/>
          <w:rFonts w:hint="eastAsia" w:ascii="仿宋" w:eastAsia="仿宋"/>
          <w:bCs/>
          <w:sz w:val="32"/>
          <w:szCs w:val="32"/>
          <w:lang w:val="en-US" w:eastAsia="zh-CN"/>
        </w:rPr>
        <w:t>208</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93.2</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val="en-US" w:eastAsia="zh-CN"/>
        </w:rPr>
        <w:t>3</w:t>
      </w:r>
      <w:r>
        <w:rPr>
          <w:rStyle w:val="17"/>
          <w:rFonts w:ascii="仿宋" w:eastAsia="仿宋"/>
          <w:bCs/>
          <w:sz w:val="32"/>
          <w:szCs w:val="32"/>
        </w:rPr>
        <w:t>.</w:t>
      </w:r>
      <w:r>
        <w:rPr>
          <w:rFonts w:hint="eastAsia" w:ascii="仿宋" w:eastAsia="仿宋"/>
          <w:b/>
          <w:bCs/>
          <w:sz w:val="32"/>
          <w:szCs w:val="32"/>
        </w:rPr>
        <w:t>卫生健康</w:t>
      </w:r>
      <w:r>
        <w:rPr>
          <w:rStyle w:val="17"/>
          <w:rFonts w:hint="eastAsia" w:ascii="仿宋" w:eastAsia="仿宋"/>
          <w:bCs/>
          <w:sz w:val="32"/>
          <w:szCs w:val="32"/>
        </w:rPr>
        <w:t>（类）</w:t>
      </w:r>
      <w:r>
        <w:rPr>
          <w:rStyle w:val="17"/>
          <w:rFonts w:hint="eastAsia" w:ascii="仿宋" w:eastAsia="仿宋"/>
          <w:bCs/>
          <w:sz w:val="32"/>
          <w:szCs w:val="32"/>
          <w:lang w:val="en-US" w:eastAsia="zh-CN"/>
        </w:rPr>
        <w:t>210</w:t>
      </w:r>
      <w:r>
        <w:rPr>
          <w:rStyle w:val="17"/>
          <w:rFonts w:hint="eastAsia" w:ascii="仿宋" w:eastAsia="仿宋"/>
          <w:bCs/>
          <w:sz w:val="32"/>
          <w:szCs w:val="32"/>
        </w:rPr>
        <w:t>项</w:t>
      </w:r>
      <w:r>
        <w:rPr>
          <w:rStyle w:val="17"/>
          <w:rFonts w:ascii="仿宋" w:eastAsia="仿宋"/>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40.4</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hint="eastAsia" w:ascii="仿宋" w:eastAsia="仿宋"/>
          <w:b w:val="0"/>
          <w:bCs/>
          <w:sz w:val="32"/>
          <w:szCs w:val="32"/>
        </w:rPr>
        <w:t>。</w:t>
      </w:r>
    </w:p>
    <w:p>
      <w:pPr>
        <w:spacing w:line="600" w:lineRule="exact"/>
        <w:ind w:firstLine="321" w:firstLineChars="1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59.38</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val="0"/>
          <w:bCs w:val="0"/>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sz w:val="32"/>
          <w:szCs w:val="32"/>
          <w:lang w:val="en-US" w:eastAsia="zh-CN"/>
        </w:rPr>
        <w:t>完成预算100%。</w:t>
      </w:r>
    </w:p>
    <w:p>
      <w:pPr>
        <w:pStyle w:val="2"/>
      </w:pPr>
    </w:p>
    <w:p>
      <w:pPr>
        <w:tabs>
          <w:tab w:val="right" w:pos="8306"/>
        </w:tabs>
        <w:spacing w:line="600" w:lineRule="exact"/>
        <w:ind w:firstLine="640"/>
        <w:outlineLvl w:val="1"/>
        <w:rPr>
          <w:rStyle w:val="20"/>
        </w:rPr>
      </w:pPr>
      <w:bookmarkStart w:id="35" w:name="_Toc15396608"/>
      <w:bookmarkStart w:id="36" w:name="_Toc15377214"/>
      <w:r>
        <w:rPr>
          <w:rFonts w:hint="eastAsia" w:ascii="黑体" w:eastAsia="黑体"/>
          <w:sz w:val="32"/>
          <w:szCs w:val="32"/>
        </w:rPr>
        <w:t>六</w:t>
      </w:r>
      <w:r>
        <w:rPr>
          <w:rFonts w:hint="eastAsia" w:ascii="黑体" w:eastAsia="黑体"/>
          <w:b/>
          <w:sz w:val="32"/>
          <w:szCs w:val="32"/>
        </w:rPr>
        <w:t>、一</w:t>
      </w:r>
      <w:r>
        <w:rPr>
          <w:rStyle w:val="20"/>
          <w:rFonts w:hint="eastAsia" w:ascii="黑体" w:eastAsia="黑体"/>
          <w:b w:val="0"/>
        </w:rPr>
        <w:t>般公共预算财政拨款基本支出决算情况说明</w:t>
      </w:r>
      <w:bookmarkEnd w:id="35"/>
      <w:bookmarkEnd w:id="36"/>
      <w:r>
        <w:rPr>
          <w:rStyle w:val="20"/>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902.02</w:t>
      </w:r>
      <w:r>
        <w:rPr>
          <w:rFonts w:hint="eastAsia" w:ascii="仿宋" w:eastAsia="仿宋"/>
          <w:sz w:val="32"/>
          <w:szCs w:val="32"/>
        </w:rPr>
        <w:t>万元，其中：</w:t>
      </w:r>
    </w:p>
    <w:p>
      <w:pPr>
        <w:spacing w:line="600" w:lineRule="exact"/>
        <w:ind w:firstLine="645"/>
        <w:rPr>
          <w:rFonts w:hint="eastAsia"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850.77</w:t>
      </w:r>
      <w:r>
        <w:rPr>
          <w:rFonts w:hint="eastAsia" w:ascii="仿宋" w:eastAsia="仿宋"/>
          <w:sz w:val="32"/>
          <w:szCs w:val="32"/>
        </w:rPr>
        <w:t>万元，主要包括：基本工资</w:t>
      </w:r>
      <w:r>
        <w:rPr>
          <w:rFonts w:hint="eastAsia" w:ascii="仿宋" w:eastAsia="仿宋"/>
          <w:sz w:val="32"/>
          <w:szCs w:val="32"/>
          <w:lang w:val="en-US" w:eastAsia="zh-CN"/>
        </w:rPr>
        <w:t>143.69万元</w:t>
      </w:r>
      <w:r>
        <w:rPr>
          <w:rFonts w:hint="eastAsia" w:ascii="仿宋" w:eastAsia="仿宋"/>
          <w:sz w:val="32"/>
          <w:szCs w:val="32"/>
        </w:rPr>
        <w:t>、津贴补贴</w:t>
      </w:r>
      <w:r>
        <w:rPr>
          <w:rFonts w:hint="eastAsia" w:ascii="仿宋" w:eastAsia="仿宋"/>
          <w:sz w:val="32"/>
          <w:szCs w:val="32"/>
          <w:lang w:val="en-US" w:eastAsia="zh-CN"/>
        </w:rPr>
        <w:t>413.57万元</w:t>
      </w:r>
      <w:r>
        <w:rPr>
          <w:rFonts w:hint="eastAsia" w:ascii="仿宋" w:eastAsia="仿宋"/>
          <w:sz w:val="32"/>
          <w:szCs w:val="32"/>
        </w:rPr>
        <w:t>、奖金</w:t>
      </w:r>
      <w:r>
        <w:rPr>
          <w:rFonts w:hint="eastAsia" w:ascii="仿宋" w:eastAsia="仿宋"/>
          <w:sz w:val="32"/>
          <w:szCs w:val="32"/>
          <w:lang w:val="en-US" w:eastAsia="zh-CN"/>
        </w:rPr>
        <w:t>10.8万元</w:t>
      </w:r>
      <w:r>
        <w:rPr>
          <w:rFonts w:hint="eastAsia" w:ascii="仿宋" w:eastAsia="仿宋"/>
          <w:sz w:val="32"/>
          <w:szCs w:val="32"/>
        </w:rPr>
        <w:t>、绩效工资</w:t>
      </w:r>
      <w:r>
        <w:rPr>
          <w:rFonts w:hint="eastAsia" w:ascii="仿宋" w:eastAsia="仿宋"/>
          <w:sz w:val="32"/>
          <w:szCs w:val="32"/>
          <w:lang w:val="en-US" w:eastAsia="zh-CN"/>
        </w:rPr>
        <w:t>11.54万元</w:t>
      </w:r>
      <w:r>
        <w:rPr>
          <w:rFonts w:hint="eastAsia" w:ascii="仿宋" w:eastAsia="仿宋"/>
          <w:sz w:val="32"/>
          <w:szCs w:val="32"/>
        </w:rPr>
        <w:t>、机关事业单位基本养老保险缴费</w:t>
      </w:r>
      <w:r>
        <w:rPr>
          <w:rFonts w:hint="eastAsia" w:ascii="仿宋" w:eastAsia="仿宋"/>
          <w:sz w:val="32"/>
          <w:szCs w:val="32"/>
          <w:lang w:val="en-US" w:eastAsia="zh-CN"/>
        </w:rPr>
        <w:t>62.13万元</w:t>
      </w:r>
      <w:r>
        <w:rPr>
          <w:rFonts w:hint="eastAsia" w:ascii="仿宋" w:eastAsia="仿宋"/>
          <w:sz w:val="32"/>
          <w:szCs w:val="32"/>
        </w:rPr>
        <w:t>、职业年金缴费</w:t>
      </w:r>
      <w:r>
        <w:rPr>
          <w:rFonts w:hint="eastAsia" w:ascii="仿宋" w:eastAsia="仿宋"/>
          <w:sz w:val="32"/>
          <w:szCs w:val="32"/>
          <w:lang w:val="en-US" w:eastAsia="zh-CN"/>
        </w:rPr>
        <w:t>31.07万元</w:t>
      </w:r>
      <w:r>
        <w:rPr>
          <w:rFonts w:hint="eastAsia" w:ascii="仿宋" w:eastAsia="仿宋"/>
          <w:sz w:val="32"/>
          <w:szCs w:val="32"/>
        </w:rPr>
        <w:t>、</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29.43万元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公务员医疗补助缴费</w:t>
      </w:r>
      <w:r>
        <w:rPr>
          <w:rFonts w:hint="eastAsia" w:ascii="仿宋_GB2312" w:hAnsi="仿宋_GB2312" w:eastAsia="仿宋_GB2312" w:cs="仿宋_GB2312"/>
          <w:color w:val="000000"/>
          <w:sz w:val="32"/>
          <w:szCs w:val="32"/>
          <w:lang w:val="en-US" w:eastAsia="zh-CN"/>
        </w:rPr>
        <w:t>10.97万元、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6.75万元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59.38万元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医疗费3.8万元。抚恤金43.16万元，生活补助22.67万元，医疗费补助1.82万元</w:t>
      </w:r>
      <w:r>
        <w:rPr>
          <w:rFonts w:hint="eastAsia" w:ascii="仿宋" w:eastAsia="仿宋"/>
          <w:sz w:val="32"/>
          <w:szCs w:val="32"/>
        </w:rPr>
        <w:t>　</w:t>
      </w:r>
    </w:p>
    <w:p>
      <w:pPr>
        <w:spacing w:line="600" w:lineRule="exact"/>
        <w:ind w:firstLine="645"/>
        <w:rPr>
          <w:rFonts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51.25</w:t>
      </w:r>
      <w:r>
        <w:rPr>
          <w:rFonts w:hint="eastAsia" w:ascii="仿宋" w:eastAsia="仿宋"/>
          <w:sz w:val="32"/>
          <w:szCs w:val="32"/>
        </w:rPr>
        <w:t>万元，主要包括：办公费</w:t>
      </w:r>
      <w:r>
        <w:rPr>
          <w:rFonts w:hint="eastAsia" w:ascii="仿宋" w:eastAsia="仿宋"/>
          <w:sz w:val="32"/>
          <w:szCs w:val="32"/>
          <w:lang w:val="en-US" w:eastAsia="zh-CN"/>
        </w:rPr>
        <w:t>13.66万元</w:t>
      </w:r>
      <w:r>
        <w:rPr>
          <w:rFonts w:hint="eastAsia" w:ascii="仿宋" w:eastAsia="仿宋"/>
          <w:sz w:val="32"/>
          <w:szCs w:val="32"/>
        </w:rPr>
        <w:t>、印刷费</w:t>
      </w:r>
      <w:r>
        <w:rPr>
          <w:rFonts w:hint="eastAsia" w:ascii="仿宋" w:eastAsia="仿宋"/>
          <w:sz w:val="32"/>
          <w:szCs w:val="32"/>
          <w:lang w:val="en-US" w:eastAsia="zh-CN"/>
        </w:rPr>
        <w:t>5万元</w:t>
      </w:r>
      <w:r>
        <w:rPr>
          <w:rFonts w:hint="eastAsia" w:ascii="仿宋" w:eastAsia="仿宋"/>
          <w:sz w:val="32"/>
          <w:szCs w:val="32"/>
        </w:rPr>
        <w:t>、水费</w:t>
      </w:r>
      <w:r>
        <w:rPr>
          <w:rFonts w:hint="eastAsia" w:ascii="仿宋" w:eastAsia="仿宋"/>
          <w:sz w:val="32"/>
          <w:szCs w:val="32"/>
          <w:lang w:val="en-US" w:eastAsia="zh-CN"/>
        </w:rPr>
        <w:t>0.6万元</w:t>
      </w:r>
      <w:r>
        <w:rPr>
          <w:rFonts w:hint="eastAsia" w:ascii="仿宋" w:eastAsia="仿宋"/>
          <w:sz w:val="32"/>
          <w:szCs w:val="32"/>
        </w:rPr>
        <w:t>、电费</w:t>
      </w:r>
      <w:r>
        <w:rPr>
          <w:rFonts w:hint="eastAsia" w:ascii="仿宋" w:eastAsia="仿宋"/>
          <w:sz w:val="32"/>
          <w:szCs w:val="32"/>
          <w:lang w:val="en-US" w:eastAsia="zh-CN"/>
        </w:rPr>
        <w:t>2万元</w:t>
      </w:r>
      <w:r>
        <w:rPr>
          <w:rFonts w:hint="eastAsia" w:ascii="仿宋" w:eastAsia="仿宋"/>
          <w:sz w:val="32"/>
          <w:szCs w:val="32"/>
        </w:rPr>
        <w:t>、邮电费</w:t>
      </w:r>
      <w:r>
        <w:rPr>
          <w:rFonts w:hint="eastAsia" w:ascii="仿宋" w:eastAsia="仿宋"/>
          <w:sz w:val="32"/>
          <w:szCs w:val="32"/>
          <w:lang w:val="en-US" w:eastAsia="zh-CN"/>
        </w:rPr>
        <w:t>2万元</w:t>
      </w:r>
      <w:r>
        <w:rPr>
          <w:rFonts w:hint="eastAsia" w:ascii="仿宋" w:eastAsia="仿宋"/>
          <w:sz w:val="32"/>
          <w:szCs w:val="32"/>
        </w:rPr>
        <w:t>、取暖费</w:t>
      </w:r>
      <w:r>
        <w:rPr>
          <w:rFonts w:hint="eastAsia" w:ascii="仿宋" w:eastAsia="仿宋"/>
          <w:sz w:val="32"/>
          <w:szCs w:val="32"/>
          <w:lang w:val="en-US" w:eastAsia="zh-CN"/>
        </w:rPr>
        <w:t>2万元</w:t>
      </w:r>
      <w:r>
        <w:rPr>
          <w:rFonts w:hint="eastAsia" w:ascii="仿宋" w:eastAsia="仿宋"/>
          <w:sz w:val="32"/>
          <w:szCs w:val="32"/>
        </w:rPr>
        <w:t>、差旅费</w:t>
      </w:r>
      <w:r>
        <w:rPr>
          <w:rFonts w:hint="eastAsia" w:ascii="仿宋" w:eastAsia="仿宋"/>
          <w:sz w:val="32"/>
          <w:szCs w:val="32"/>
          <w:lang w:val="en-US" w:eastAsia="zh-CN"/>
        </w:rPr>
        <w:t>6万元</w:t>
      </w:r>
      <w:r>
        <w:rPr>
          <w:rFonts w:hint="eastAsia" w:ascii="仿宋" w:eastAsia="仿宋"/>
          <w:sz w:val="32"/>
          <w:szCs w:val="32"/>
        </w:rPr>
        <w:t>、维修（护）费</w:t>
      </w:r>
      <w:r>
        <w:rPr>
          <w:rFonts w:hint="eastAsia" w:ascii="仿宋" w:eastAsia="仿宋"/>
          <w:sz w:val="32"/>
          <w:szCs w:val="32"/>
          <w:lang w:val="en-US" w:eastAsia="zh-CN"/>
        </w:rPr>
        <w:t>0.44万元</w:t>
      </w:r>
      <w:r>
        <w:rPr>
          <w:rFonts w:hint="eastAsia" w:ascii="仿宋" w:eastAsia="仿宋"/>
          <w:sz w:val="32"/>
          <w:szCs w:val="32"/>
        </w:rPr>
        <w:t>、培训费</w:t>
      </w:r>
      <w:r>
        <w:rPr>
          <w:rFonts w:hint="eastAsia" w:ascii="仿宋" w:eastAsia="仿宋"/>
          <w:sz w:val="32"/>
          <w:szCs w:val="32"/>
          <w:lang w:val="en-US" w:eastAsia="zh-CN"/>
        </w:rPr>
        <w:t>2万元</w:t>
      </w:r>
      <w:r>
        <w:rPr>
          <w:rFonts w:hint="eastAsia" w:ascii="仿宋" w:eastAsia="仿宋"/>
          <w:sz w:val="32"/>
          <w:szCs w:val="32"/>
        </w:rPr>
        <w:t>、劳务费</w:t>
      </w:r>
      <w:r>
        <w:rPr>
          <w:rFonts w:hint="eastAsia" w:ascii="仿宋" w:eastAsia="仿宋"/>
          <w:sz w:val="32"/>
          <w:szCs w:val="32"/>
          <w:lang w:val="en-US" w:eastAsia="zh-CN"/>
        </w:rPr>
        <w:t>1.16万元</w:t>
      </w:r>
      <w:r>
        <w:rPr>
          <w:rFonts w:hint="eastAsia" w:ascii="仿宋" w:eastAsia="仿宋"/>
          <w:sz w:val="32"/>
          <w:szCs w:val="32"/>
        </w:rPr>
        <w:t>、公务用车运行维护费</w:t>
      </w:r>
      <w:r>
        <w:rPr>
          <w:rFonts w:hint="eastAsia" w:ascii="仿宋" w:eastAsia="仿宋"/>
          <w:sz w:val="32"/>
          <w:szCs w:val="32"/>
          <w:lang w:val="en-US" w:eastAsia="zh-CN"/>
        </w:rPr>
        <w:t>16.39万元</w:t>
      </w:r>
      <w:r>
        <w:rPr>
          <w:rFonts w:hint="eastAsia" w:ascii="仿宋" w:eastAsia="仿宋"/>
          <w:sz w:val="32"/>
          <w:szCs w:val="32"/>
        </w:rPr>
        <w:t>。</w:t>
      </w:r>
    </w:p>
    <w:p>
      <w:pPr>
        <w:spacing w:line="600" w:lineRule="exact"/>
        <w:ind w:firstLine="640"/>
        <w:outlineLvl w:val="1"/>
        <w:rPr>
          <w:rStyle w:val="20"/>
          <w:rFonts w:ascii="黑体" w:eastAsia="黑体"/>
          <w:b w:val="0"/>
        </w:rPr>
      </w:pPr>
      <w:bookmarkStart w:id="37" w:name="_Toc15396609"/>
      <w:bookmarkStart w:id="38" w:name="_Toc15377215"/>
      <w:r>
        <w:rPr>
          <w:rFonts w:hint="eastAsia" w:ascii="黑体" w:eastAsia="黑体"/>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37"/>
      <w:bookmarkEnd w:id="38"/>
    </w:p>
    <w:p>
      <w:pPr>
        <w:spacing w:line="600" w:lineRule="exact"/>
        <w:ind w:firstLine="640"/>
        <w:outlineLvl w:val="2"/>
        <w:rPr>
          <w:rFonts w:ascii="仿宋" w:eastAsia="仿宋"/>
          <w:b/>
          <w:sz w:val="32"/>
          <w:szCs w:val="32"/>
        </w:rPr>
      </w:pPr>
      <w:bookmarkStart w:id="39" w:name="_Toc15377216"/>
      <w:r>
        <w:rPr>
          <w:rFonts w:hint="eastAsia" w:ascii="仿宋" w:eastAsia="仿宋"/>
          <w:b/>
          <w:sz w:val="32"/>
          <w:szCs w:val="32"/>
        </w:rPr>
        <w:t>（一）“三公”经费财政拨款支出决算总体情况说明</w:t>
      </w:r>
      <w:bookmarkEnd w:id="39"/>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16.39</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40" w:name="_Toc15377217"/>
      <w:r>
        <w:rPr>
          <w:rFonts w:hint="eastAsia" w:ascii="仿宋" w:eastAsia="仿宋"/>
          <w:b/>
          <w:sz w:val="32"/>
          <w:szCs w:val="32"/>
        </w:rPr>
        <w:t>（二）“三公”经费财政拨款支出决算具体情况说明</w:t>
      </w:r>
      <w:bookmarkEnd w:id="40"/>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16.39</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pPr>
        <w:pStyle w:val="2"/>
        <w:rPr>
          <w:rFonts w:hint="eastAsia" w:ascii="仿宋" w:eastAsia="仿宋"/>
          <w:sz w:val="32"/>
          <w:szCs w:val="32"/>
        </w:rPr>
      </w:pPr>
    </w:p>
    <w:p>
      <w:pPr>
        <w:pStyle w:val="2"/>
        <w:rPr>
          <w:rFonts w:hint="eastAsia"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88900</wp:posOffset>
            </wp:positionH>
            <wp:positionV relativeFrom="paragraph">
              <wp:posOffset>6985</wp:posOffset>
            </wp:positionV>
            <wp:extent cx="4841240" cy="2237740"/>
            <wp:effectExtent l="4445" t="4445" r="15875" b="13335"/>
            <wp:wrapTight wrapText="bothSides">
              <wp:wrapPolygon>
                <wp:start x="-20" y="-43"/>
                <wp:lineTo x="-20" y="21435"/>
                <wp:lineTo x="21535" y="21435"/>
                <wp:lineTo x="21535" y="-43"/>
                <wp:lineTo x="-20"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b/>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人。主要原因是</w:t>
      </w:r>
      <w:r>
        <w:rPr>
          <w:rFonts w:hint="eastAsia" w:ascii="仿宋_GB2312" w:eastAsia="仿宋_GB2312"/>
          <w:sz w:val="32"/>
          <w:szCs w:val="32"/>
          <w:lang w:eastAsia="zh-CN"/>
        </w:rPr>
        <w:t>未安排人员出国（境）</w:t>
      </w:r>
      <w:r>
        <w:rPr>
          <w:rFonts w:hint="eastAsia" w:ascii="仿宋_GB2312" w:eastAsia="仿宋_GB2312"/>
          <w:sz w:val="32"/>
          <w:szCs w:val="32"/>
        </w:rPr>
        <w:t>。</w:t>
      </w:r>
    </w:p>
    <w:p>
      <w:pPr>
        <w:spacing w:line="600"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16.39</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0</w:t>
      </w:r>
      <w:r>
        <w:rPr>
          <w:rFonts w:hint="eastAsia" w:ascii="仿宋_GB2312" w:eastAsia="仿宋_GB2312"/>
          <w:sz w:val="32"/>
          <w:szCs w:val="32"/>
        </w:rPr>
        <w:t>年增加</w:t>
      </w:r>
      <w:r>
        <w:rPr>
          <w:rFonts w:hint="eastAsia" w:ascii="仿宋_GB2312" w:eastAsia="仿宋_GB2312"/>
          <w:sz w:val="32"/>
          <w:szCs w:val="32"/>
          <w:lang w:val="en-US" w:eastAsia="zh-CN"/>
        </w:rPr>
        <w:t>0.07</w:t>
      </w:r>
      <w:r>
        <w:rPr>
          <w:rFonts w:hint="eastAsia" w:ascii="仿宋_GB2312" w:eastAsia="仿宋_GB2312"/>
          <w:sz w:val="32"/>
          <w:szCs w:val="32"/>
        </w:rPr>
        <w:t>万元，增长</w:t>
      </w:r>
      <w:r>
        <w:rPr>
          <w:rFonts w:hint="eastAsia" w:ascii="仿宋_GB2312" w:eastAsia="仿宋_GB2312"/>
          <w:sz w:val="32"/>
          <w:szCs w:val="32"/>
          <w:lang w:val="en-US" w:eastAsia="zh-CN"/>
        </w:rPr>
        <w:t>0.4</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经费调整</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eastAsia="zh-CN"/>
        </w:rPr>
        <w:t>特种设备用车</w:t>
      </w:r>
      <w:r>
        <w:rPr>
          <w:rFonts w:hint="eastAsia" w:ascii="仿宋_GB2312" w:eastAsia="仿宋_GB2312"/>
          <w:sz w:val="32"/>
          <w:szCs w:val="32"/>
          <w:lang w:val="en-US" w:eastAsia="zh-CN"/>
        </w:rPr>
        <w:t>1辆，皮卡车1辆。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16.39</w:t>
      </w:r>
      <w:r>
        <w:rPr>
          <w:rFonts w:hint="eastAsia" w:ascii="仿宋_GB2312" w:eastAsia="仿宋_GB2312"/>
          <w:sz w:val="32"/>
          <w:szCs w:val="32"/>
        </w:rPr>
        <w:t>万元。主要用于</w:t>
      </w:r>
      <w:r>
        <w:rPr>
          <w:rFonts w:hint="eastAsia" w:ascii="仿宋_GB2312" w:eastAsia="仿宋_GB2312"/>
          <w:sz w:val="32"/>
          <w:szCs w:val="32"/>
          <w:lang w:eastAsia="zh-CN"/>
        </w:rPr>
        <w:t>出差、下乡</w:t>
      </w:r>
      <w:r>
        <w:rPr>
          <w:rFonts w:hint="eastAsia" w:ascii="仿宋_GB2312" w:eastAsia="仿宋_GB2312"/>
          <w:sz w:val="32"/>
          <w:szCs w:val="32"/>
        </w:rPr>
        <w:t>（具体工作）等所需的公务用车燃料费、维修费、过路过桥费、保险费等支出。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0.72</w:t>
      </w:r>
      <w:r>
        <w:rPr>
          <w:rFonts w:hint="eastAsia" w:ascii="仿宋_GB2312" w:eastAsia="仿宋_GB2312"/>
          <w:sz w:val="32"/>
          <w:szCs w:val="32"/>
        </w:rPr>
        <w:t>万元，下降</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未安排接待</w:t>
      </w:r>
      <w:r>
        <w:rPr>
          <w:rFonts w:hint="eastAsia" w:ascii="仿宋_GB2312" w:eastAsia="仿宋_GB2312"/>
          <w:sz w:val="32"/>
          <w:szCs w:val="32"/>
        </w:rPr>
        <w:t>。</w:t>
      </w:r>
    </w:p>
    <w:p>
      <w:pPr>
        <w:spacing w:line="600" w:lineRule="exact"/>
        <w:outlineLvl w:val="1"/>
        <w:rPr>
          <w:rStyle w:val="20"/>
          <w:rFonts w:ascii="黑体" w:eastAsia="黑体"/>
        </w:rPr>
      </w:pPr>
      <w:bookmarkStart w:id="41" w:name="_Toc15396610"/>
      <w:bookmarkStart w:id="42" w:name="_Toc15377218"/>
      <w:r>
        <w:rPr>
          <w:rFonts w:hint="eastAsia" w:ascii="黑体" w:eastAsia="黑体"/>
          <w:sz w:val="32"/>
          <w:szCs w:val="32"/>
        </w:rPr>
        <w:t>八、</w:t>
      </w:r>
      <w:r>
        <w:rPr>
          <w:rStyle w:val="20"/>
          <w:rFonts w:hint="eastAsia" w:ascii="黑体" w:eastAsia="黑体"/>
          <w:b w:val="0"/>
        </w:rPr>
        <w:t>政府性基金预算支出决算情况说明</w:t>
      </w:r>
      <w:bookmarkEnd w:id="41"/>
      <w:bookmarkEnd w:id="42"/>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0"/>
        </w:numPr>
        <w:spacing w:line="600" w:lineRule="exact"/>
        <w:outlineLvl w:val="1"/>
        <w:rPr>
          <w:rStyle w:val="20"/>
          <w:rFonts w:ascii="黑体" w:eastAsia="黑体"/>
          <w:b w:val="0"/>
        </w:rPr>
      </w:pPr>
      <w:bookmarkStart w:id="43" w:name="_Toc15377219"/>
      <w:bookmarkStart w:id="44" w:name="_Toc15396611"/>
      <w:r>
        <w:rPr>
          <w:rStyle w:val="20"/>
          <w:rFonts w:hint="eastAsia" w:ascii="黑体" w:eastAsia="黑体"/>
          <w:b w:val="0"/>
        </w:rPr>
        <w:t>九、国有资本经营预算支出决算情况说明</w:t>
      </w:r>
      <w:bookmarkEnd w:id="43"/>
      <w:bookmarkEnd w:id="44"/>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0"/>
        </w:numPr>
        <w:spacing w:line="600" w:lineRule="exact"/>
        <w:outlineLvl w:val="1"/>
        <w:rPr>
          <w:rStyle w:val="20"/>
          <w:rFonts w:ascii="黑体" w:eastAsia="黑体"/>
          <w:b w:val="0"/>
        </w:rPr>
      </w:pPr>
      <w:bookmarkStart w:id="45" w:name="_Toc15396612"/>
      <w:bookmarkStart w:id="46" w:name="_Toc15377221"/>
      <w:r>
        <w:rPr>
          <w:rStyle w:val="20"/>
          <w:rFonts w:hint="eastAsia" w:ascii="黑体" w:eastAsia="黑体"/>
          <w:b w:val="0"/>
        </w:rPr>
        <w:t>十、其他重要事项的情况说明</w:t>
      </w:r>
      <w:bookmarkEnd w:id="45"/>
      <w:bookmarkEnd w:id="46"/>
    </w:p>
    <w:p>
      <w:pPr>
        <w:spacing w:line="600" w:lineRule="exact"/>
        <w:ind w:firstLine="643" w:firstLineChars="200"/>
        <w:outlineLvl w:val="2"/>
        <w:rPr>
          <w:rFonts w:ascii="仿宋" w:eastAsia="仿宋"/>
          <w:sz w:val="32"/>
          <w:szCs w:val="32"/>
        </w:rPr>
      </w:pPr>
      <w:bookmarkStart w:id="47" w:name="_Toc15377222"/>
      <w:r>
        <w:rPr>
          <w:rFonts w:hint="eastAsia" w:ascii="仿宋" w:eastAsia="仿宋"/>
          <w:b/>
          <w:sz w:val="32"/>
          <w:szCs w:val="32"/>
        </w:rPr>
        <w:t>（一）机关运行经费支出情况</w:t>
      </w:r>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21年，机关运行经费支出</w:t>
      </w:r>
      <w:r>
        <w:rPr>
          <w:rFonts w:hint="eastAsia" w:ascii="仿宋_GB2312" w:eastAsia="仿宋_GB2312"/>
          <w:sz w:val="32"/>
          <w:szCs w:val="32"/>
          <w:lang w:val="en-US" w:eastAsia="zh-CN"/>
        </w:rPr>
        <w:t>1132.02</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85.09</w:t>
      </w:r>
      <w:r>
        <w:rPr>
          <w:rFonts w:hint="eastAsia" w:ascii="仿宋_GB2312" w:eastAsia="仿宋_GB2312"/>
          <w:sz w:val="32"/>
          <w:szCs w:val="32"/>
        </w:rPr>
        <w:t>万元，增长</w:t>
      </w:r>
      <w:r>
        <w:rPr>
          <w:rFonts w:hint="eastAsia" w:ascii="仿宋_GB2312" w:eastAsia="仿宋_GB2312"/>
          <w:sz w:val="32"/>
          <w:szCs w:val="32"/>
          <w:lang w:val="en-US" w:eastAsia="zh-CN"/>
        </w:rPr>
        <w:t>8.1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人员经费和业务工作经费增加。</w:t>
      </w:r>
    </w:p>
    <w:p>
      <w:pPr>
        <w:autoSpaceDE w:val="0"/>
        <w:autoSpaceDN w:val="0"/>
        <w:adjustRightInd w:val="0"/>
        <w:spacing w:line="600" w:lineRule="exact"/>
        <w:ind w:firstLine="643" w:firstLineChars="200"/>
        <w:jc w:val="left"/>
        <w:outlineLvl w:val="2"/>
        <w:rPr>
          <w:rFonts w:ascii="仿宋" w:eastAsia="仿宋"/>
          <w:b/>
          <w:sz w:val="32"/>
          <w:szCs w:val="32"/>
        </w:rPr>
      </w:pPr>
      <w:bookmarkStart w:id="48" w:name="_Toc15377223"/>
      <w:r>
        <w:rPr>
          <w:rFonts w:hint="eastAsia" w:ascii="仿宋" w:eastAsia="仿宋"/>
          <w:b/>
          <w:sz w:val="32"/>
          <w:szCs w:val="32"/>
        </w:rPr>
        <w:t>（二）政府采购支出情况</w:t>
      </w:r>
      <w:bookmarkEnd w:id="48"/>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autoSpaceDE w:val="0"/>
        <w:autoSpaceDN w:val="0"/>
        <w:adjustRightInd w:val="0"/>
        <w:spacing w:line="600" w:lineRule="exact"/>
        <w:ind w:firstLine="643" w:firstLineChars="200"/>
        <w:jc w:val="left"/>
        <w:outlineLvl w:val="2"/>
        <w:rPr>
          <w:rFonts w:ascii="仿宋" w:eastAsia="仿宋"/>
          <w:b/>
          <w:sz w:val="32"/>
          <w:szCs w:val="32"/>
        </w:rPr>
      </w:pPr>
      <w:bookmarkStart w:id="49" w:name="_Toc15377224"/>
      <w:r>
        <w:rPr>
          <w:rFonts w:hint="eastAsia" w:ascii="仿宋" w:eastAsia="仿宋"/>
          <w:b/>
          <w:sz w:val="32"/>
          <w:szCs w:val="32"/>
        </w:rPr>
        <w:t>（三）国有资产占有使用情况</w:t>
      </w:r>
      <w:bookmarkEnd w:id="49"/>
    </w:p>
    <w:p>
      <w:pPr>
        <w:pageBreakBefore w:val="0"/>
        <w:kinsoku/>
        <w:wordWrap/>
        <w:overflowPunct/>
        <w:topLinePunct w:val="0"/>
        <w:bidi w:val="0"/>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w:t>
      </w:r>
      <w:r>
        <w:rPr>
          <w:rFonts w:hint="eastAsia" w:ascii="仿宋_GB2312" w:eastAsia="仿宋_GB2312"/>
          <w:sz w:val="32"/>
          <w:szCs w:val="32"/>
          <w:lang w:val="en-US" w:eastAsia="zh-CN"/>
        </w:rPr>
        <w:t>4</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特种设备用车1辆。</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hint="default" w:ascii="仿宋_GB2312" w:eastAsia="仿宋_GB2312" w:cs="仿宋_GB2312"/>
          <w:sz w:val="32"/>
          <w:szCs w:val="32"/>
          <w:lang w:val="en-US" w:eastAsia="zh-CN"/>
        </w:rPr>
      </w:pPr>
      <w:r>
        <w:rPr>
          <w:rFonts w:hint="eastAsia" w:ascii="仿宋_GB2312" w:eastAsia="仿宋_GB2312" w:cs="仿宋_GB2312"/>
          <w:sz w:val="32"/>
          <w:szCs w:val="32"/>
        </w:rPr>
        <w:t>根据预算绩效管理要求，本单位在2021年度预算编制阶段，组织对</w:t>
      </w:r>
      <w:r>
        <w:rPr>
          <w:rFonts w:hint="eastAsia" w:ascii="仿宋_GB2312" w:eastAsia="仿宋_GB2312" w:cs="仿宋_GB2312"/>
          <w:sz w:val="32"/>
          <w:szCs w:val="32"/>
          <w:lang w:eastAsia="zh-CN"/>
        </w:rPr>
        <w:t>专项日常公用经费</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个项目开展了绩效自评</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2021年特定目标类部门预算项目绩效目标自评表无。</w:t>
      </w:r>
    </w:p>
    <w:p>
      <w:pPr>
        <w:autoSpaceDE w:val="0"/>
        <w:autoSpaceDN w:val="0"/>
        <w:adjustRightInd w:val="0"/>
        <w:spacing w:line="600" w:lineRule="exact"/>
        <w:rPr>
          <w:rFonts w:ascii="仿宋_GB2312" w:eastAsia="仿宋_GB2312"/>
          <w:b/>
          <w:sz w:val="32"/>
          <w:szCs w:val="32"/>
        </w:rPr>
      </w:pPr>
      <w:bookmarkStart w:id="68" w:name="_GoBack"/>
      <w:bookmarkEnd w:id="68"/>
    </w:p>
    <w:p>
      <w:pPr>
        <w:numPr>
          <w:ilvl w:val="0"/>
          <w:numId w:val="3"/>
        </w:numPr>
        <w:spacing w:line="600" w:lineRule="exact"/>
        <w:ind w:firstLine="660" w:firstLineChars="150"/>
        <w:jc w:val="center"/>
        <w:outlineLvl w:val="0"/>
        <w:rPr>
          <w:rStyle w:val="19"/>
          <w:rFonts w:ascii="黑体" w:eastAsia="黑体"/>
          <w:b w:val="0"/>
        </w:rPr>
      </w:pPr>
      <w:bookmarkStart w:id="50" w:name="_Toc15377225"/>
      <w:bookmarkStart w:id="51" w:name="_Toc15396613"/>
      <w:r>
        <w:rPr>
          <w:rFonts w:hint="eastAsia" w:ascii="黑体" w:eastAsia="黑体"/>
          <w:sz w:val="44"/>
          <w:szCs w:val="44"/>
        </w:rPr>
        <w:t>名</w:t>
      </w:r>
      <w:r>
        <w:rPr>
          <w:rStyle w:val="19"/>
          <w:rFonts w:hint="eastAsia" w:ascii="黑体" w:eastAsia="黑体"/>
          <w:b w:val="0"/>
        </w:rPr>
        <w:t>词解释</w:t>
      </w:r>
      <w:bookmarkEnd w:id="50"/>
      <w:bookmarkEnd w:id="51"/>
    </w:p>
    <w:p>
      <w:pPr>
        <w:spacing w:line="600" w:lineRule="exact"/>
        <w:jc w:val="left"/>
        <w:rPr>
          <w:rFonts w:ascii="宋体"/>
          <w:b/>
          <w:sz w:val="44"/>
          <w:szCs w:val="44"/>
        </w:rPr>
      </w:pP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spacing w:line="600" w:lineRule="exact"/>
        <w:ind w:firstLine="640"/>
        <w:rPr>
          <w:rFonts w:ascii="仿宋" w:eastAsia="仿宋"/>
          <w:b/>
          <w:sz w:val="32"/>
          <w:szCs w:val="32"/>
        </w:rPr>
      </w:pPr>
      <w:r>
        <w:rPr>
          <w:rFonts w:hint="eastAsia" w:ascii="仿宋" w:eastAsia="仿宋"/>
          <w:b/>
          <w:sz w:val="32"/>
          <w:szCs w:val="32"/>
        </w:rPr>
        <w:t>（解释本单位决算报表中涉及的全部功能分类科目至项级，不涉及的科目请自行删除。请参照《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4"/>
        <w:spacing w:line="560" w:lineRule="exact"/>
        <w:ind w:firstLine="640" w:firstLineChars="200"/>
        <w:rPr>
          <w:rFonts w:ascii="仿宋_GB2312" w:eastAsia="仿宋_GB2312" w:cs="黑体"/>
          <w:color w:val="auto"/>
          <w:sz w:val="32"/>
          <w:szCs w:val="32"/>
        </w:rPr>
      </w:pPr>
    </w:p>
    <w:p>
      <w:pPr>
        <w:ind w:firstLine="643" w:firstLineChars="200"/>
        <w:rPr>
          <w:rFonts w:ascii="仿宋" w:eastAsia="仿宋"/>
          <w:b/>
          <w:sz w:val="32"/>
          <w:szCs w:val="32"/>
        </w:rPr>
      </w:pPr>
      <w:r>
        <w:rPr>
          <w:rFonts w:hint="eastAsia" w:ascii="仿宋" w:eastAsia="仿宋"/>
          <w:b/>
          <w:sz w:val="32"/>
          <w:szCs w:val="32"/>
        </w:rPr>
        <w:t>（名词解释部分请根据各单位实际列支情况罗列，并根据本单位职责职能增减名词解释内容。）</w:t>
      </w:r>
    </w:p>
    <w:p>
      <w:pPr>
        <w:spacing w:line="600" w:lineRule="exact"/>
        <w:jc w:val="center"/>
        <w:outlineLvl w:val="0"/>
        <w:rPr>
          <w:rStyle w:val="19"/>
          <w:rFonts w:ascii="黑体" w:eastAsia="黑体"/>
          <w:b w:val="0"/>
        </w:rPr>
      </w:pPr>
      <w:bookmarkStart w:id="52" w:name="_Toc15377226"/>
      <w:r>
        <w:rPr>
          <w:rFonts w:ascii="宋体"/>
          <w:b/>
          <w:sz w:val="44"/>
          <w:szCs w:val="44"/>
        </w:rPr>
        <w:br w:type="page"/>
      </w:r>
      <w:bookmarkStart w:id="53" w:name="_Toc15396614"/>
      <w:r>
        <w:rPr>
          <w:rFonts w:hint="eastAsia" w:ascii="黑体" w:eastAsia="黑体"/>
          <w:sz w:val="44"/>
          <w:szCs w:val="44"/>
        </w:rPr>
        <w:t>第</w:t>
      </w:r>
      <w:r>
        <w:rPr>
          <w:rStyle w:val="19"/>
          <w:rFonts w:hint="eastAsia" w:ascii="黑体" w:eastAsia="黑体"/>
          <w:b w:val="0"/>
        </w:rPr>
        <w:t>四部分 附件</w:t>
      </w:r>
      <w:bookmarkEnd w:id="53"/>
    </w:p>
    <w:p>
      <w:pPr>
        <w:spacing w:line="572" w:lineRule="exact"/>
        <w:jc w:val="left"/>
        <w:outlineLvl w:val="0"/>
        <w:rPr>
          <w:rFonts w:ascii="仿宋_GB2312" w:eastAsia="仿宋_GB2312" w:cs="仿宋_GB2312"/>
          <w:sz w:val="32"/>
          <w:szCs w:val="32"/>
        </w:rPr>
      </w:pPr>
      <w:r>
        <w:rPr>
          <w:rFonts w:hint="eastAsia" w:ascii="黑体" w:eastAsia="黑体" w:cs="黑体"/>
          <w:sz w:val="32"/>
          <w:szCs w:val="32"/>
        </w:rPr>
        <w:t>附件</w:t>
      </w:r>
    </w:p>
    <w:tbl>
      <w:tblPr>
        <w:tblStyle w:val="15"/>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bookmarkStart w:id="54" w:name="_Toc15396618"/>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widowControl/>
              <w:spacing w:line="320"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spacing w:line="600" w:lineRule="exact"/>
        <w:jc w:val="center"/>
        <w:outlineLvl w:val="0"/>
        <w:rPr>
          <w:rFonts w:ascii="黑体" w:eastAsia="黑体"/>
          <w:sz w:val="44"/>
          <w:szCs w:val="44"/>
        </w:rPr>
      </w:pPr>
    </w:p>
    <w:p>
      <w:pPr>
        <w:widowControl/>
        <w:adjustRightInd w:val="0"/>
        <w:snapToGrid w:val="0"/>
        <w:spacing w:line="580" w:lineRule="exact"/>
        <w:contextualSpacing/>
        <w:jc w:val="left"/>
      </w:pPr>
      <w:r>
        <w:rPr>
          <w:rFonts w:hint="eastAsia" w:ascii="仿宋_GB2312" w:eastAsia="仿宋_GB2312" w:cs="宋体"/>
          <w:color w:val="000000"/>
          <w:kern w:val="0"/>
          <w:sz w:val="32"/>
          <w:szCs w:val="32"/>
          <w:shd w:val="clear" w:color="auto" w:fill="FFFFFF"/>
        </w:rPr>
        <w:t>（注：有两个及以上100万元以上（含）特定目标类部门预算项目的，需分别开展绩效目标自评并填写附表）</w:t>
      </w: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仿宋" w:eastAsia="仿宋"/>
        </w:rPr>
      </w:pPr>
      <w:r>
        <w:rPr>
          <w:rFonts w:hint="eastAsia" w:ascii="黑体" w:eastAsia="黑体"/>
          <w:sz w:val="44"/>
          <w:szCs w:val="44"/>
        </w:rPr>
        <w:t>第</w:t>
      </w:r>
      <w:r>
        <w:rPr>
          <w:rStyle w:val="19"/>
          <w:rFonts w:hint="eastAsia" w:ascii="黑体" w:eastAsia="黑体"/>
          <w:b w:val="0"/>
        </w:rPr>
        <w:t>五部分 附表</w:t>
      </w:r>
      <w:bookmarkEnd w:id="52"/>
      <w:bookmarkEnd w:id="54"/>
      <w:bookmarkStart w:id="55" w:name="_Toc15396619"/>
    </w:p>
    <w:p>
      <w:pPr>
        <w:pStyle w:val="5"/>
        <w:rPr>
          <w:rFonts w:ascii="仿宋" w:eastAsia="仿宋"/>
        </w:rPr>
      </w:pPr>
      <w:r>
        <w:rPr>
          <w:rFonts w:hint="eastAsia" w:ascii="仿宋" w:eastAsia="仿宋"/>
          <w:b w:val="0"/>
        </w:rPr>
        <w:t>一、收</w:t>
      </w:r>
      <w:r>
        <w:rPr>
          <w:rStyle w:val="20"/>
          <w:rFonts w:hint="eastAsia" w:ascii="仿宋" w:eastAsia="仿宋"/>
          <w:b w:val="0"/>
          <w:bCs w:val="0"/>
        </w:rPr>
        <w:t>入支出决算总表</w:t>
      </w:r>
      <w:bookmarkEnd w:id="55"/>
    </w:p>
    <w:p>
      <w:pPr>
        <w:pStyle w:val="5"/>
        <w:rPr>
          <w:rFonts w:ascii="仿宋" w:eastAsia="仿宋"/>
        </w:rPr>
      </w:pPr>
      <w:bookmarkStart w:id="56" w:name="_Toc15396620"/>
      <w:r>
        <w:rPr>
          <w:rFonts w:hint="eastAsia" w:ascii="仿宋" w:eastAsia="仿宋"/>
          <w:b w:val="0"/>
        </w:rPr>
        <w:t>二、收</w:t>
      </w:r>
      <w:r>
        <w:rPr>
          <w:rStyle w:val="20"/>
          <w:rFonts w:hint="eastAsia" w:ascii="仿宋" w:eastAsia="仿宋"/>
          <w:b w:val="0"/>
          <w:bCs w:val="0"/>
        </w:rPr>
        <w:t>入决算表</w:t>
      </w:r>
      <w:bookmarkEnd w:id="56"/>
    </w:p>
    <w:p>
      <w:pPr>
        <w:pStyle w:val="5"/>
        <w:rPr>
          <w:rFonts w:ascii="仿宋" w:eastAsia="仿宋"/>
        </w:rPr>
      </w:pPr>
      <w:bookmarkStart w:id="57" w:name="_Toc15396621"/>
      <w:r>
        <w:rPr>
          <w:rStyle w:val="20"/>
          <w:rFonts w:hint="eastAsia" w:ascii="仿宋" w:eastAsia="仿宋"/>
          <w:b w:val="0"/>
          <w:bCs w:val="0"/>
        </w:rPr>
        <w:t>三、</w:t>
      </w:r>
      <w:r>
        <w:rPr>
          <w:rFonts w:hint="eastAsia" w:ascii="仿宋" w:eastAsia="仿宋"/>
          <w:b w:val="0"/>
        </w:rPr>
        <w:t>支</w:t>
      </w:r>
      <w:r>
        <w:rPr>
          <w:rStyle w:val="20"/>
          <w:rFonts w:hint="eastAsia" w:ascii="仿宋" w:eastAsia="仿宋"/>
          <w:b w:val="0"/>
          <w:bCs w:val="0"/>
        </w:rPr>
        <w:t>出决算表</w:t>
      </w:r>
      <w:bookmarkEnd w:id="57"/>
    </w:p>
    <w:p>
      <w:pPr>
        <w:pStyle w:val="5"/>
        <w:rPr>
          <w:rFonts w:ascii="仿宋" w:eastAsia="仿宋"/>
          <w:b w:val="0"/>
        </w:rPr>
      </w:pPr>
      <w:bookmarkStart w:id="58" w:name="_Toc15396622"/>
      <w:r>
        <w:rPr>
          <w:rStyle w:val="20"/>
          <w:rFonts w:hint="eastAsia" w:ascii="仿宋" w:eastAsia="仿宋"/>
          <w:b w:val="0"/>
          <w:bCs w:val="0"/>
        </w:rPr>
        <w:t>四、</w:t>
      </w:r>
      <w:r>
        <w:rPr>
          <w:rFonts w:hint="eastAsia" w:ascii="仿宋" w:eastAsia="仿宋"/>
          <w:b w:val="0"/>
        </w:rPr>
        <w:t>财</w:t>
      </w:r>
      <w:r>
        <w:rPr>
          <w:rStyle w:val="20"/>
          <w:rFonts w:hint="eastAsia" w:ascii="仿宋" w:eastAsia="仿宋"/>
          <w:b w:val="0"/>
          <w:bCs w:val="0"/>
        </w:rPr>
        <w:t>政拨款收入支出决算总表</w:t>
      </w:r>
      <w:bookmarkEnd w:id="58"/>
    </w:p>
    <w:p>
      <w:pPr>
        <w:pStyle w:val="5"/>
        <w:rPr>
          <w:rStyle w:val="20"/>
          <w:rFonts w:ascii="仿宋" w:eastAsia="仿宋"/>
          <w:b w:val="0"/>
          <w:bCs w:val="0"/>
        </w:rPr>
      </w:pPr>
      <w:bookmarkStart w:id="59" w:name="_Toc15396623"/>
      <w:r>
        <w:rPr>
          <w:rStyle w:val="20"/>
          <w:rFonts w:hint="eastAsia" w:ascii="仿宋" w:eastAsia="仿宋"/>
          <w:b w:val="0"/>
          <w:bCs w:val="0"/>
        </w:rPr>
        <w:t>五、</w:t>
      </w:r>
      <w:r>
        <w:rPr>
          <w:rFonts w:hint="eastAsia" w:ascii="仿宋" w:eastAsia="仿宋"/>
          <w:b w:val="0"/>
        </w:rPr>
        <w:t>财</w:t>
      </w:r>
      <w:r>
        <w:rPr>
          <w:rStyle w:val="20"/>
          <w:rFonts w:hint="eastAsia" w:ascii="仿宋" w:eastAsia="仿宋"/>
          <w:b w:val="0"/>
          <w:bCs w:val="0"/>
        </w:rPr>
        <w:t>政拨款支出决算明细表</w:t>
      </w:r>
      <w:bookmarkEnd w:id="59"/>
      <w:bookmarkStart w:id="60" w:name="_Toc15396624"/>
    </w:p>
    <w:p>
      <w:pPr>
        <w:pStyle w:val="5"/>
        <w:rPr>
          <w:rFonts w:ascii="仿宋" w:eastAsia="仿宋"/>
        </w:rPr>
      </w:pPr>
      <w:r>
        <w:rPr>
          <w:rStyle w:val="20"/>
          <w:rFonts w:hint="eastAsia" w:ascii="仿宋" w:eastAsia="仿宋"/>
          <w:b w:val="0"/>
          <w:bCs w:val="0"/>
        </w:rPr>
        <w:t>六、</w:t>
      </w:r>
      <w:r>
        <w:rPr>
          <w:rFonts w:hint="eastAsia" w:ascii="仿宋" w:eastAsia="仿宋"/>
          <w:b w:val="0"/>
        </w:rPr>
        <w:t>一</w:t>
      </w:r>
      <w:r>
        <w:rPr>
          <w:rStyle w:val="20"/>
          <w:rFonts w:hint="eastAsia" w:ascii="仿宋" w:eastAsia="仿宋"/>
          <w:b w:val="0"/>
          <w:bCs w:val="0"/>
        </w:rPr>
        <w:t>般公共预算财政拨款支出决算表</w:t>
      </w:r>
      <w:bookmarkEnd w:id="60"/>
    </w:p>
    <w:p>
      <w:pPr>
        <w:pStyle w:val="5"/>
        <w:rPr>
          <w:rFonts w:ascii="仿宋" w:eastAsia="仿宋"/>
        </w:rPr>
      </w:pPr>
      <w:bookmarkStart w:id="61" w:name="_Toc15396625"/>
      <w:r>
        <w:rPr>
          <w:rStyle w:val="20"/>
          <w:rFonts w:hint="eastAsia" w:ascii="仿宋" w:eastAsia="仿宋"/>
          <w:b w:val="0"/>
          <w:bCs w:val="0"/>
        </w:rPr>
        <w:t>七、</w:t>
      </w:r>
      <w:r>
        <w:rPr>
          <w:rFonts w:hint="eastAsia" w:ascii="仿宋" w:eastAsia="仿宋"/>
          <w:b w:val="0"/>
        </w:rPr>
        <w:t>一</w:t>
      </w:r>
      <w:r>
        <w:rPr>
          <w:rStyle w:val="20"/>
          <w:rFonts w:hint="eastAsia" w:ascii="仿宋" w:eastAsia="仿宋"/>
          <w:b w:val="0"/>
          <w:bCs w:val="0"/>
        </w:rPr>
        <w:t>般公共预算财政拨款支出决算明细表</w:t>
      </w:r>
      <w:bookmarkEnd w:id="61"/>
    </w:p>
    <w:p>
      <w:pPr>
        <w:pStyle w:val="5"/>
        <w:rPr>
          <w:rFonts w:ascii="仿宋" w:eastAsia="仿宋"/>
        </w:rPr>
      </w:pPr>
      <w:bookmarkStart w:id="62" w:name="_Toc15396626"/>
      <w:r>
        <w:rPr>
          <w:rStyle w:val="20"/>
          <w:rFonts w:hint="eastAsia" w:ascii="仿宋" w:eastAsia="仿宋"/>
          <w:b w:val="0"/>
          <w:bCs w:val="0"/>
        </w:rPr>
        <w:t>八、</w:t>
      </w:r>
      <w:r>
        <w:rPr>
          <w:rFonts w:hint="eastAsia" w:ascii="仿宋" w:eastAsia="仿宋"/>
          <w:b w:val="0"/>
        </w:rPr>
        <w:t>一</w:t>
      </w:r>
      <w:r>
        <w:rPr>
          <w:rStyle w:val="20"/>
          <w:rFonts w:hint="eastAsia" w:ascii="仿宋" w:eastAsia="仿宋"/>
          <w:b w:val="0"/>
          <w:bCs w:val="0"/>
        </w:rPr>
        <w:t>般公共预算财政拨款基本支出决算表</w:t>
      </w:r>
      <w:bookmarkEnd w:id="62"/>
    </w:p>
    <w:p>
      <w:pPr>
        <w:pStyle w:val="5"/>
        <w:rPr>
          <w:rFonts w:ascii="仿宋" w:eastAsia="仿宋"/>
        </w:rPr>
      </w:pPr>
      <w:bookmarkStart w:id="63" w:name="_Toc15396627"/>
      <w:r>
        <w:rPr>
          <w:rStyle w:val="20"/>
          <w:rFonts w:hint="eastAsia" w:ascii="仿宋" w:eastAsia="仿宋"/>
          <w:b w:val="0"/>
          <w:bCs w:val="0"/>
        </w:rPr>
        <w:t>九、</w:t>
      </w:r>
      <w:r>
        <w:rPr>
          <w:rFonts w:hint="eastAsia" w:ascii="仿宋" w:eastAsia="仿宋"/>
          <w:b w:val="0"/>
        </w:rPr>
        <w:t>一</w:t>
      </w:r>
      <w:r>
        <w:rPr>
          <w:rStyle w:val="20"/>
          <w:rFonts w:hint="eastAsia" w:ascii="仿宋" w:eastAsia="仿宋"/>
          <w:b w:val="0"/>
          <w:bCs w:val="0"/>
        </w:rPr>
        <w:t>般公共预算财政拨款项目支出决算表</w:t>
      </w:r>
      <w:bookmarkEnd w:id="63"/>
    </w:p>
    <w:p>
      <w:pPr>
        <w:pStyle w:val="5"/>
        <w:rPr>
          <w:rFonts w:ascii="仿宋" w:eastAsia="仿宋"/>
        </w:rPr>
      </w:pPr>
      <w:bookmarkStart w:id="64" w:name="_Toc15396628"/>
      <w:r>
        <w:rPr>
          <w:rStyle w:val="20"/>
          <w:rFonts w:hint="eastAsia" w:ascii="仿宋" w:eastAsia="仿宋"/>
          <w:b w:val="0"/>
          <w:bCs w:val="0"/>
        </w:rPr>
        <w:t>十、</w:t>
      </w:r>
      <w:r>
        <w:rPr>
          <w:rFonts w:hint="eastAsia" w:ascii="仿宋" w:eastAsia="仿宋"/>
          <w:b w:val="0"/>
        </w:rPr>
        <w:t>一</w:t>
      </w:r>
      <w:r>
        <w:rPr>
          <w:rStyle w:val="20"/>
          <w:rFonts w:hint="eastAsia" w:ascii="仿宋" w:eastAsia="仿宋"/>
          <w:b w:val="0"/>
          <w:bCs w:val="0"/>
        </w:rPr>
        <w:t>般公共预算财政拨款“三公”经费支出决算表</w:t>
      </w:r>
      <w:bookmarkEnd w:id="64"/>
    </w:p>
    <w:p>
      <w:pPr>
        <w:pStyle w:val="5"/>
        <w:rPr>
          <w:rFonts w:ascii="仿宋" w:eastAsia="仿宋"/>
        </w:rPr>
      </w:pPr>
      <w:bookmarkStart w:id="65" w:name="_Toc15396629"/>
      <w:r>
        <w:rPr>
          <w:rStyle w:val="20"/>
          <w:rFonts w:hint="eastAsia" w:ascii="仿宋" w:eastAsia="仿宋"/>
          <w:b w:val="0"/>
          <w:bCs w:val="0"/>
        </w:rPr>
        <w:t>十一、</w:t>
      </w:r>
      <w:r>
        <w:rPr>
          <w:rFonts w:hint="eastAsia" w:ascii="仿宋" w:eastAsia="仿宋"/>
          <w:b w:val="0"/>
        </w:rPr>
        <w:t>政</w:t>
      </w:r>
      <w:r>
        <w:rPr>
          <w:rStyle w:val="20"/>
          <w:rFonts w:hint="eastAsia" w:ascii="仿宋" w:eastAsia="仿宋"/>
          <w:b w:val="0"/>
          <w:bCs w:val="0"/>
        </w:rPr>
        <w:t>府性基金预算财政拨款收入支出决算表</w:t>
      </w:r>
      <w:bookmarkEnd w:id="65"/>
    </w:p>
    <w:p>
      <w:pPr>
        <w:pStyle w:val="5"/>
        <w:rPr>
          <w:rFonts w:ascii="仿宋" w:eastAsia="仿宋"/>
        </w:rPr>
      </w:pPr>
      <w:bookmarkStart w:id="66" w:name="_Toc15396630"/>
      <w:r>
        <w:rPr>
          <w:rStyle w:val="20"/>
          <w:rFonts w:hint="eastAsia" w:ascii="仿宋" w:eastAsia="仿宋"/>
          <w:b w:val="0"/>
          <w:bCs w:val="0"/>
        </w:rPr>
        <w:t>十二、</w:t>
      </w:r>
      <w:r>
        <w:rPr>
          <w:rFonts w:hint="eastAsia" w:ascii="仿宋" w:eastAsia="仿宋"/>
          <w:b w:val="0"/>
        </w:rPr>
        <w:t>政</w:t>
      </w:r>
      <w:r>
        <w:rPr>
          <w:rStyle w:val="20"/>
          <w:rFonts w:hint="eastAsia" w:ascii="仿宋" w:eastAsia="仿宋"/>
          <w:b w:val="0"/>
          <w:bCs w:val="0"/>
        </w:rPr>
        <w:t>府性基金预算财政拨款“三公”经费支出决算表</w:t>
      </w:r>
      <w:bookmarkEnd w:id="66"/>
    </w:p>
    <w:p>
      <w:pPr>
        <w:pStyle w:val="5"/>
        <w:rPr>
          <w:rStyle w:val="20"/>
          <w:rFonts w:ascii="仿宋" w:eastAsia="仿宋"/>
          <w:b w:val="0"/>
          <w:bCs w:val="0"/>
        </w:rPr>
      </w:pPr>
      <w:bookmarkStart w:id="67" w:name="_Toc15396631"/>
      <w:r>
        <w:rPr>
          <w:rStyle w:val="20"/>
          <w:rFonts w:hint="eastAsia" w:ascii="仿宋" w:eastAsia="仿宋"/>
          <w:b w:val="0"/>
          <w:bCs w:val="0"/>
        </w:rPr>
        <w:t>十三、</w:t>
      </w:r>
      <w:r>
        <w:rPr>
          <w:rFonts w:hint="eastAsia" w:ascii="仿宋" w:eastAsia="仿宋"/>
          <w:b w:val="0"/>
        </w:rPr>
        <w:t>国</w:t>
      </w:r>
      <w:r>
        <w:rPr>
          <w:rStyle w:val="20"/>
          <w:rFonts w:hint="eastAsia" w:ascii="仿宋" w:eastAsia="仿宋"/>
          <w:b w:val="0"/>
          <w:bCs w:val="0"/>
        </w:rPr>
        <w:t>有资本经营预算财政拨款收入支出决算表</w:t>
      </w:r>
      <w:bookmarkEnd w:id="67"/>
    </w:p>
    <w:p>
      <w:pPr>
        <w:rPr>
          <w:rFonts w:eastAsia="仿宋"/>
        </w:rPr>
      </w:pPr>
      <w:r>
        <w:rPr>
          <w:rStyle w:val="20"/>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4B45DAE"/>
    <w:multiLevelType w:val="singleLevel"/>
    <w:tmpl w:val="44B45DAE"/>
    <w:lvl w:ilvl="0" w:tentative="0">
      <w:start w:val="25"/>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zliMDZiMWQwMDkzYTU0NjBjM2RkZTA4ZjQyOTI3Y2MifQ=="/>
  </w:docVars>
  <w:rsids>
    <w:rsidRoot w:val="008C6A67"/>
    <w:rsid w:val="00190606"/>
    <w:rsid w:val="004F482C"/>
    <w:rsid w:val="008C6A67"/>
    <w:rsid w:val="023A2429"/>
    <w:rsid w:val="03DB5E47"/>
    <w:rsid w:val="04576B85"/>
    <w:rsid w:val="0CB5266C"/>
    <w:rsid w:val="237530E5"/>
    <w:rsid w:val="32B82756"/>
    <w:rsid w:val="32E67545"/>
    <w:rsid w:val="38F33ECA"/>
    <w:rsid w:val="39561CAD"/>
    <w:rsid w:val="412566AC"/>
    <w:rsid w:val="41710B1D"/>
    <w:rsid w:val="41C1793C"/>
    <w:rsid w:val="43EB035A"/>
    <w:rsid w:val="4FDE7BBD"/>
    <w:rsid w:val="50973685"/>
    <w:rsid w:val="52715DA9"/>
    <w:rsid w:val="56AB31E1"/>
    <w:rsid w:val="5CA953A1"/>
    <w:rsid w:val="63165A4F"/>
    <w:rsid w:val="6BE94C15"/>
    <w:rsid w:val="6CDA6E09"/>
    <w:rsid w:val="7B372D73"/>
    <w:rsid w:val="7D2C6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0"/>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2"/>
    <w:qFormat/>
    <w:uiPriority w:val="0"/>
    <w:pPr>
      <w:spacing w:line="560" w:lineRule="atLeast"/>
      <w:ind w:firstLine="640" w:firstLineChars="200"/>
    </w:pPr>
    <w:rPr>
      <w:rFonts w:ascii="仿宋_GB2312" w:eastAsia="仿宋_GB2312"/>
      <w:sz w:val="32"/>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1 字符"/>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字符"/>
    <w:basedOn w:val="16"/>
    <w:link w:val="5"/>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6"/>
    <w:qFormat/>
    <w:uiPriority w:val="0"/>
    <w:rPr>
      <w:rFonts w:ascii="Times New Roman" w:hAnsi="Times New Roman"/>
      <w:sz w:val="18"/>
      <w:szCs w:val="18"/>
    </w:rPr>
  </w:style>
  <w:style w:type="character" w:customStyle="1" w:styleId="22">
    <w:name w:val="Footer Char"/>
    <w:basedOn w:val="16"/>
    <w:qFormat/>
    <w:uiPriority w:val="0"/>
    <w:rPr>
      <w:rFonts w:ascii="Times New Roman" w:hAnsi="Times New Roman"/>
      <w:sz w:val="18"/>
      <w:szCs w:val="18"/>
    </w:rPr>
  </w:style>
  <w:style w:type="character" w:customStyle="1" w:styleId="23">
    <w:name w:val="Body Text Char"/>
    <w:basedOn w:val="16"/>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7688442211055"/>
          <c:y val="0.151764705882353"/>
          <c:w val="0.907462311557789"/>
          <c:h val="0.790705882352941"/>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0100502512562814"/>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1096.32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1096.32</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1132.02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1132.02</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2540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1078.42</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79.68%</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20.32%</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一般公共服务支出</c:v>
                </c:pt>
                <c:pt idx="1">
                  <c:v>项目支出</c:v>
                </c:pt>
              </c:strCache>
            </c:strRef>
          </c:cat>
          <c:val>
            <c:numRef>
              <c:f>Sheet1!$B$2:$B$3</c:f>
              <c:numCache>
                <c:formatCode>General</c:formatCode>
                <c:ptCount val="2"/>
                <c:pt idx="0">
                  <c:v>902.02</c:v>
                </c:pt>
                <c:pt idx="1">
                  <c:v>230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900" b="1" i="0" u="none" strike="noStrike" kern="1200" cap="all" spc="150" baseline="0">
                <a:solidFill>
                  <a:schemeClr val="tx1">
                    <a:lumMod val="50000"/>
                    <a:lumOff val="50000"/>
                  </a:schemeClr>
                </a:solidFill>
                <a:latin typeface="+mn-lt"/>
                <a:ea typeface="+mn-ea"/>
                <a:cs typeface="+mn-cs"/>
              </a:defRPr>
            </a:pPr>
            <a:r>
              <a:rPr sz="900"/>
              <a:t>2018、2019年度财政拨款收、支决算总计变动情况图</a:t>
            </a:r>
            <a:endParaRPr sz="900"/>
          </a:p>
        </c:rich>
      </c:tx>
      <c:layout/>
      <c:overlay val="0"/>
      <c:spPr>
        <a:noFill/>
        <a:ln>
          <a:noFill/>
        </a:ln>
        <a:effectLst/>
      </c:spPr>
    </c:title>
    <c:autoTitleDeleted val="0"/>
    <c:plotArea>
      <c:layout>
        <c:manualLayout>
          <c:layoutTarget val="inner"/>
          <c:xMode val="edge"/>
          <c:yMode val="edge"/>
          <c:x val="0.140567458514081"/>
          <c:y val="0.182371029691387"/>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2020年</c:v>
                </c:pt>
                <c:pt idx="1">
                  <c:v>2021年</c:v>
                </c:pt>
              </c:strCache>
            </c:strRef>
          </c:cat>
          <c:val>
            <c:numRef>
              <c:f>Sheet1!$B$2:$B$3</c:f>
              <c:numCache>
                <c:formatCode>General</c:formatCode>
                <c:ptCount val="2"/>
                <c:pt idx="0">
                  <c:v>823.52</c:v>
                </c:pt>
                <c:pt idx="1">
                  <c:v>1096.32</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2020年</c:v>
                </c:pt>
                <c:pt idx="1">
                  <c:v>2021年</c:v>
                </c:pt>
              </c:strCache>
            </c:strRef>
          </c:cat>
          <c:val>
            <c:numRef>
              <c:f>Sheet1!$C$2:$C$3</c:f>
              <c:numCache>
                <c:formatCode>General</c:formatCode>
                <c:ptCount val="2"/>
                <c:pt idx="0">
                  <c:v>1046.93</c:v>
                </c:pt>
                <c:pt idx="1">
                  <c:v>1132.02</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3388619201726"/>
          <c:y val="0.923479561316052"/>
        </c:manualLayout>
      </c:layout>
      <c:overlay val="0"/>
      <c:spPr>
        <a:noFill/>
        <a:ln>
          <a:noFill/>
        </a:ln>
        <a:effectLst/>
      </c:spPr>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40" b="1" i="0" u="none" strike="noStrike" kern="1200" cap="all" spc="150" baseline="0">
                <a:solidFill>
                  <a:schemeClr val="dk1"/>
                </a:solidFill>
                <a:latin typeface="+mn-lt"/>
                <a:ea typeface="+mn-ea"/>
                <a:cs typeface="+mn-cs"/>
              </a:defRPr>
            </a:pPr>
            <a:r>
              <a:rPr lang="en-US" altLang="zh-CN" sz="1440">
                <a:solidFill>
                  <a:schemeClr val="dk1"/>
                </a:solidFill>
                <a:latin typeface="+mn-lt"/>
                <a:ea typeface="+mn-ea"/>
                <a:cs typeface="+mn-cs"/>
              </a:rPr>
              <a:t>2019</a:t>
            </a:r>
            <a:r>
              <a:rPr sz="1440">
                <a:solidFill>
                  <a:schemeClr val="dk1"/>
                </a:solidFill>
                <a:latin typeface="+mn-lt"/>
                <a:ea typeface="+mn-ea"/>
                <a:cs typeface="+mn-cs"/>
              </a:rPr>
              <a:t>、</a:t>
            </a:r>
            <a:r>
              <a:rPr lang="en-US" altLang="zh-CN" sz="1440">
                <a:solidFill>
                  <a:schemeClr val="dk1"/>
                </a:solidFill>
                <a:latin typeface="+mn-lt"/>
                <a:ea typeface="+mn-ea"/>
                <a:cs typeface="+mn-cs"/>
              </a:rPr>
              <a:t>2020</a:t>
            </a:r>
            <a:r>
              <a:rPr sz="1440">
                <a:solidFill>
                  <a:schemeClr val="dk1"/>
                </a:solidFill>
                <a:latin typeface="+mn-lt"/>
                <a:ea typeface="+mn-ea"/>
                <a:cs typeface="+mn-cs"/>
              </a:rPr>
              <a:t>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manualLayout>
          <c:layoutTarget val="inner"/>
          <c:xMode val="edge"/>
          <c:yMode val="edge"/>
          <c:x val="0.105284297728129"/>
          <c:y val="0.346754563894523"/>
          <c:w val="0.870867327726873"/>
          <c:h val="0.529148073022312"/>
        </c:manualLayout>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2020年</c:v>
                </c:pt>
                <c:pt idx="1">
                  <c:v>2021年</c:v>
                </c:pt>
              </c:strCache>
            </c:strRef>
          </c:cat>
          <c:val>
            <c:numRef>
              <c:f>Sheet1!$B$2:$B$3</c:f>
              <c:numCache>
                <c:formatCode>General</c:formatCode>
                <c:ptCount val="2"/>
                <c:pt idx="0">
                  <c:v>1046.93</c:v>
                </c:pt>
                <c:pt idx="1">
                  <c:v>1132.02</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dk1"/>
      </a:solidFill>
      <a:prstDash val="solid"/>
      <a:round/>
    </a:ln>
    <a:effectLst/>
    <a:sp3d>
      <a:extrusionClr>
        <a:srgbClr val="FFFFFF"/>
      </a:extrusionClr>
      <a:contourClr>
        <a:srgbClr val="FFFFFF"/>
      </a:contourClr>
    </a:sp3d>
  </c:spPr>
  <c:txPr>
    <a:bodyPr rot="0" spcFirstLastPara="0" vertOverflow="ellipsis" horzOverflow="overflow" vert="horz" wrap="square" anchor="ctr" anchorCtr="1"/>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cap="all"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manualLayout>
          <c:layoutTarget val="inner"/>
          <c:xMode val="edge"/>
          <c:yMode val="edge"/>
          <c:x val="0.093175700254638"/>
          <c:y val="0.11257698541329"/>
          <c:w val="0.833049593791682"/>
          <c:h val="0.586191247974068"/>
        </c:manualLayout>
      </c:layout>
      <c:ofPieChart>
        <c:ofPieType val="pie"/>
        <c:varyColors val="1"/>
        <c:ser>
          <c:idx val="0"/>
          <c:order val="0"/>
          <c:tx>
            <c:strRef>
              <c:f>Sheet1!$B$1</c:f>
              <c:strCache>
                <c:ptCount val="1"/>
                <c:pt idx="0">
                  <c:v>支出</c:v>
                </c:pt>
              </c:strCache>
            </c:strRef>
          </c:tx>
          <c:spPr/>
          <c:explosion val="0"/>
          <c:dPt>
            <c:idx val="0"/>
            <c:bubble3D val="0"/>
            <c:explosion val="0"/>
            <c:spPr>
              <a:solidFill>
                <a:schemeClr val="accent1"/>
              </a:solidFill>
              <a:ln>
                <a:noFill/>
              </a:ln>
              <a:effectLst>
                <a:outerShdw blurRad="63500" sx="102000" sy="102000" algn="ctr" rotWithShape="0">
                  <a:prstClr val="black">
                    <a:alpha val="20000"/>
                  </a:prstClr>
                </a:outerShdw>
              </a:effectLst>
            </c:spPr>
          </c:dPt>
          <c:dPt>
            <c:idx val="1"/>
            <c:bubble3D val="0"/>
            <c:explosion val="0"/>
            <c:spPr>
              <a:solidFill>
                <a:schemeClr val="accent2"/>
              </a:solidFill>
              <a:ln>
                <a:noFill/>
              </a:ln>
              <a:effectLst>
                <a:outerShdw blurRad="63500" sx="102000" sy="102000" algn="ctr" rotWithShape="0">
                  <a:prstClr val="black">
                    <a:alpha val="20000"/>
                  </a:prstClr>
                </a:outerShdw>
              </a:effectLst>
            </c:spPr>
          </c:dPt>
          <c:dPt>
            <c:idx val="2"/>
            <c:bubble3D val="0"/>
            <c:explosion val="0"/>
            <c:spPr>
              <a:solidFill>
                <a:schemeClr val="accent3"/>
              </a:solidFill>
              <a:ln>
                <a:noFill/>
              </a:ln>
              <a:effectLst>
                <a:outerShdw blurRad="63500" sx="102000" sy="102000" algn="ctr" rotWithShape="0">
                  <a:prstClr val="black">
                    <a:alpha val="20000"/>
                  </a:prstClr>
                </a:outerShdw>
              </a:effectLst>
            </c:spPr>
          </c:dPt>
          <c:dPt>
            <c:idx val="3"/>
            <c:bubble3D val="0"/>
            <c:explosion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社会保障和就业</c:v>
                </c:pt>
                <c:pt idx="2">
                  <c:v>卫生健康</c:v>
                </c:pt>
                <c:pt idx="3">
                  <c:v>住房保障</c:v>
                </c:pt>
              </c:strCache>
            </c:strRef>
          </c:cat>
          <c:val>
            <c:numRef>
              <c:f>Sheet1!$B$2:$B$7</c:f>
              <c:numCache>
                <c:formatCode>General</c:formatCode>
                <c:ptCount val="6"/>
                <c:pt idx="0">
                  <c:v>939.04</c:v>
                </c:pt>
                <c:pt idx="1">
                  <c:v>93.2</c:v>
                </c:pt>
                <c:pt idx="2">
                  <c:v>40.4</c:v>
                </c:pt>
                <c:pt idx="3">
                  <c:v>59.38</c:v>
                </c:pt>
              </c:numCache>
            </c:numRef>
          </c:val>
        </c:ser>
        <c:dLbls>
          <c:showLegendKey val="0"/>
          <c:showVal val="0"/>
          <c:showCatName val="1"/>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16.39</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8024</Words>
  <Characters>8716</Characters>
  <Lines>44</Lines>
  <Paragraphs>12</Paragraphs>
  <TotalTime>0</TotalTime>
  <ScaleCrop>false</ScaleCrop>
  <LinksUpToDate>false</LinksUpToDate>
  <CharactersWithSpaces>8764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杰</cp:lastModifiedBy>
  <cp:lastPrinted>2022-08-06T02:23:00Z</cp:lastPrinted>
  <dcterms:modified xsi:type="dcterms:W3CDTF">2023-10-26T03:12:57Z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6D6BC37E9C664327AC1BD72CE2B0F298</vt:lpwstr>
  </property>
</Properties>
</file>