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20" w:lineRule="exact"/>
        <w:ind w:firstLine="640" w:firstLineChars="200"/>
        <w:jc w:val="center"/>
        <w:outlineLvl w:val="0"/>
        <w:rPr>
          <w:rFonts w:hint="eastAsia" w:ascii="仿宋_GB2312" w:hAnsi="仿宋_GB2312" w:eastAsia="仿宋_GB2312" w:cs="仿宋_GB2312"/>
          <w:color w:val="auto"/>
          <w:sz w:val="32"/>
          <w:szCs w:val="32"/>
          <w:lang w:eastAsia="zh-CN"/>
        </w:rPr>
      </w:pPr>
      <w:bookmarkStart w:id="0" w:name="_Toc17153"/>
      <w:bookmarkStart w:id="1" w:name="_Toc28040"/>
      <w:bookmarkStart w:id="2" w:name="_Toc29917"/>
      <w:bookmarkStart w:id="3" w:name="_Toc15306267"/>
      <w:r>
        <w:rPr>
          <w:rFonts w:hint="eastAsia" w:ascii="仿宋_GB2312" w:hAnsi="仿宋_GB2312" w:eastAsia="仿宋_GB2312" w:cs="仿宋_GB2312"/>
          <w:color w:val="auto"/>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bookmarkEnd w:id="0"/>
      <w:bookmarkEnd w:id="1"/>
      <w:bookmarkEnd w:id="2"/>
    </w:p>
    <w:p>
      <w:pPr>
        <w:pageBreakBefore w:val="0"/>
        <w:kinsoku/>
        <w:wordWrap/>
        <w:overflowPunct/>
        <w:topLinePunct w:val="0"/>
        <w:bidi w:val="0"/>
        <w:spacing w:line="520" w:lineRule="exact"/>
        <w:ind w:firstLine="640" w:firstLineChars="200"/>
        <w:jc w:val="center"/>
        <w:outlineLvl w:val="0"/>
        <w:rPr>
          <w:rFonts w:hint="eastAsia" w:ascii="仿宋_GB2312" w:hAnsi="仿宋_GB2312" w:eastAsia="仿宋_GB2312" w:cs="仿宋_GB2312"/>
          <w:color w:val="auto"/>
          <w:sz w:val="32"/>
          <w:szCs w:val="32"/>
        </w:rPr>
      </w:pPr>
    </w:p>
    <w:p>
      <w:pPr>
        <w:pageBreakBefore w:val="0"/>
        <w:kinsoku/>
        <w:wordWrap/>
        <w:overflowPunct/>
        <w:topLinePunct w:val="0"/>
        <w:bidi w:val="0"/>
        <w:spacing w:line="520" w:lineRule="exact"/>
        <w:ind w:firstLine="640" w:firstLineChars="200"/>
        <w:jc w:val="center"/>
        <w:outlineLvl w:val="0"/>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spacing w:line="576" w:lineRule="exact"/>
        <w:ind w:firstLine="0" w:firstLineChars="0"/>
        <w:jc w:val="center"/>
        <w:textAlignment w:val="auto"/>
        <w:outlineLvl w:val="0"/>
        <w:rPr>
          <w:rFonts w:hint="eastAsia" w:ascii="方正小标宋_GBK" w:hAnsi="方正小标宋_GBK" w:eastAsia="方正小标宋_GBK" w:cs="方正小标宋_GBK"/>
          <w:color w:val="auto"/>
          <w:sz w:val="52"/>
          <w:szCs w:val="52"/>
        </w:rPr>
      </w:pPr>
    </w:p>
    <w:p>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rPr>
      </w:pPr>
      <w:bookmarkStart w:id="4" w:name="_Toc15396597"/>
      <w:bookmarkStart w:id="5" w:name="_Toc15396475"/>
      <w:bookmarkStart w:id="6" w:name="_Toc15377193"/>
      <w:bookmarkStart w:id="7" w:name="_Toc15377425"/>
      <w:bookmarkStart w:id="8" w:name="_Toc15378441"/>
      <w:bookmarkStart w:id="9" w:name="_Toc29760"/>
      <w:bookmarkStart w:id="10" w:name="_Toc29988"/>
      <w:bookmarkStart w:id="11" w:name="_Toc27890"/>
      <w:r>
        <w:rPr>
          <w:rFonts w:hint="eastAsia" w:ascii="方正小标宋_GBK" w:hAnsi="方正小标宋_GBK" w:eastAsia="方正小标宋_GBK" w:cs="方正小标宋_GBK"/>
          <w:b/>
          <w:bCs/>
          <w:color w:val="auto"/>
          <w:sz w:val="52"/>
          <w:szCs w:val="52"/>
        </w:rPr>
        <w:t>20</w:t>
      </w:r>
      <w:r>
        <w:rPr>
          <w:rFonts w:hint="eastAsia" w:ascii="方正小标宋_GBK" w:hAnsi="方正小标宋_GBK" w:eastAsia="方正小标宋_GBK" w:cs="方正小标宋_GBK"/>
          <w:b/>
          <w:bCs/>
          <w:color w:val="auto"/>
          <w:sz w:val="52"/>
          <w:szCs w:val="52"/>
          <w:lang w:val="en-US" w:eastAsia="zh-CN"/>
        </w:rPr>
        <w:t>21</w:t>
      </w:r>
      <w:r>
        <w:rPr>
          <w:rFonts w:hint="eastAsia" w:ascii="方正小标宋_GBK" w:hAnsi="方正小标宋_GBK" w:eastAsia="方正小标宋_GBK" w:cs="方正小标宋_GBK"/>
          <w:b/>
          <w:bCs/>
          <w:color w:val="auto"/>
          <w:sz w:val="52"/>
          <w:szCs w:val="52"/>
        </w:rPr>
        <w:t>年度</w:t>
      </w:r>
      <w:bookmarkEnd w:id="4"/>
      <w:bookmarkEnd w:id="5"/>
      <w:bookmarkEnd w:id="6"/>
      <w:bookmarkEnd w:id="7"/>
      <w:bookmarkEnd w:id="8"/>
      <w:bookmarkStart w:id="12" w:name="_Toc15396598"/>
      <w:bookmarkStart w:id="13" w:name="_Toc15396476"/>
      <w:bookmarkStart w:id="14" w:name="_Toc15378442"/>
      <w:bookmarkStart w:id="15" w:name="_Toc15377194"/>
      <w:bookmarkStart w:id="16" w:name="_Toc15377426"/>
      <w:r>
        <w:rPr>
          <w:rFonts w:hint="eastAsia" w:ascii="方正小标宋_GBK" w:hAnsi="方正小标宋_GBK" w:eastAsia="方正小标宋_GBK" w:cs="方正小标宋_GBK"/>
          <w:b/>
          <w:bCs/>
          <w:color w:val="auto"/>
          <w:sz w:val="52"/>
          <w:szCs w:val="52"/>
        </w:rPr>
        <w:t>四川省</w:t>
      </w:r>
      <w:bookmarkEnd w:id="3"/>
      <w:bookmarkStart w:id="17" w:name="_Toc15306268"/>
      <w:r>
        <w:rPr>
          <w:rFonts w:hint="eastAsia" w:ascii="方正小标宋_GBK" w:hAnsi="方正小标宋_GBK" w:eastAsia="方正小标宋_GBK" w:cs="方正小标宋_GBK"/>
          <w:b/>
          <w:bCs/>
          <w:color w:val="auto"/>
          <w:sz w:val="52"/>
          <w:szCs w:val="52"/>
        </w:rPr>
        <w:t>红原县</w:t>
      </w:r>
      <w:bookmarkEnd w:id="9"/>
      <w:bookmarkEnd w:id="10"/>
      <w:bookmarkEnd w:id="11"/>
    </w:p>
    <w:p>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lang w:eastAsia="zh-CN"/>
        </w:rPr>
      </w:pPr>
      <w:bookmarkStart w:id="18" w:name="_Toc16997"/>
      <w:bookmarkStart w:id="19" w:name="_Toc23297"/>
      <w:bookmarkStart w:id="20" w:name="_Toc27447"/>
      <w:r>
        <w:rPr>
          <w:rFonts w:hint="eastAsia" w:ascii="方正小标宋_GBK" w:hAnsi="方正小标宋_GBK" w:eastAsia="方正小标宋_GBK" w:cs="方正小标宋_GBK"/>
          <w:b/>
          <w:bCs/>
          <w:color w:val="auto"/>
          <w:sz w:val="52"/>
          <w:szCs w:val="52"/>
          <w:lang w:eastAsia="zh-CN"/>
        </w:rPr>
        <w:t>行政审批局</w:t>
      </w:r>
      <w:r>
        <w:rPr>
          <w:rFonts w:hint="eastAsia" w:ascii="方正小标宋_GBK" w:hAnsi="方正小标宋_GBK" w:eastAsia="方正小标宋_GBK" w:cs="方正小标宋_GBK"/>
          <w:b/>
          <w:bCs/>
          <w:color w:val="auto"/>
          <w:sz w:val="52"/>
          <w:szCs w:val="52"/>
        </w:rPr>
        <w:t>部门决算</w:t>
      </w:r>
      <w:bookmarkEnd w:id="12"/>
      <w:bookmarkEnd w:id="13"/>
      <w:bookmarkEnd w:id="14"/>
      <w:bookmarkEnd w:id="15"/>
      <w:bookmarkEnd w:id="16"/>
      <w:bookmarkEnd w:id="17"/>
      <w:r>
        <w:rPr>
          <w:rFonts w:hint="eastAsia" w:ascii="方正小标宋_GBK" w:hAnsi="方正小标宋_GBK" w:eastAsia="方正小标宋_GBK" w:cs="方正小标宋_GBK"/>
          <w:b/>
          <w:bCs/>
          <w:color w:val="auto"/>
          <w:sz w:val="52"/>
          <w:szCs w:val="52"/>
          <w:lang w:eastAsia="zh-CN"/>
        </w:rPr>
        <w:t>公开</w:t>
      </w:r>
      <w:bookmarkEnd w:id="18"/>
      <w:bookmarkEnd w:id="19"/>
      <w:bookmarkEnd w:id="20"/>
    </w:p>
    <w:p>
      <w:pPr>
        <w:keepNext w:val="0"/>
        <w:keepLines w:val="0"/>
        <w:pageBreakBefore w:val="0"/>
        <w:kinsoku/>
        <w:wordWrap/>
        <w:overflowPunct/>
        <w:topLinePunct w:val="0"/>
        <w:autoSpaceDE/>
        <w:autoSpaceDN/>
        <w:bidi w:val="0"/>
        <w:adjustRightInd w:val="0"/>
        <w:snapToGrid w:val="0"/>
        <w:spacing w:line="576" w:lineRule="exact"/>
        <w:ind w:firstLine="0" w:firstLineChars="0"/>
        <w:jc w:val="center"/>
        <w:textAlignment w:val="auto"/>
        <w:outlineLvl w:val="0"/>
        <w:rPr>
          <w:rFonts w:hint="eastAsia" w:ascii="方正小标宋_GBK" w:hAnsi="方正小标宋_GBK" w:eastAsia="方正小标宋_GBK" w:cs="方正小标宋_GBK"/>
          <w:b/>
          <w:bCs/>
          <w:color w:val="auto"/>
          <w:sz w:val="52"/>
          <w:szCs w:val="52"/>
          <w:lang w:eastAsia="zh-CN"/>
        </w:rPr>
      </w:pPr>
      <w:bookmarkStart w:id="21" w:name="_Toc30076"/>
      <w:bookmarkStart w:id="22" w:name="_Toc17893"/>
      <w:bookmarkStart w:id="23" w:name="_Toc7478"/>
      <w:r>
        <w:rPr>
          <w:rFonts w:hint="eastAsia" w:ascii="方正小标宋_GBK" w:hAnsi="方正小标宋_GBK" w:eastAsia="方正小标宋_GBK" w:cs="方正小标宋_GBK"/>
          <w:b/>
          <w:bCs/>
          <w:color w:val="auto"/>
          <w:sz w:val="52"/>
          <w:szCs w:val="52"/>
          <w:lang w:eastAsia="zh-CN"/>
        </w:rPr>
        <w:t>编制</w:t>
      </w:r>
      <w:r>
        <w:rPr>
          <w:rFonts w:hint="eastAsia" w:ascii="方正小标宋_GBK" w:hAnsi="方正小标宋_GBK" w:eastAsia="方正小标宋_GBK" w:cs="方正小标宋_GBK"/>
          <w:b/>
          <w:bCs/>
          <w:color w:val="auto"/>
          <w:sz w:val="52"/>
          <w:szCs w:val="5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方正小标宋_GBK" w:hAnsi="方正小标宋_GBK" w:eastAsia="方正小标宋_GBK" w:cs="方正小标宋_GBK"/>
          <w:b/>
          <w:bCs/>
          <w:color w:val="auto"/>
          <w:sz w:val="52"/>
          <w:szCs w:val="52"/>
          <w:lang w:eastAsia="zh-CN"/>
        </w:rPr>
        <w:object>
          <v:shape id="_x0000_i1027" o:spt="75" type="#_x0000_t75" style="height:0.05pt;width:0.05pt;" o:ole="t" filled="f" stroked="f" coordsize="21600,21600">
            <v:path/>
            <v:fill on="f" focussize="0,0"/>
            <v:stroke on="f"/>
            <v:imagedata o:title=""/>
            <o:lock v:ext="edit" aspectratio="t"/>
            <w10:wrap type="none"/>
            <w10:anchorlock/>
          </v:shape>
          <o:OLEObject Type="Embed" ProgID="Excel.Chart.8" ShapeID="_x0000_i1027" DrawAspect="Content" ObjectID="_1468075727" r:id="rId8">
            <o:LockedField>false</o:LockedField>
          </o:OLEObject>
        </w:object>
      </w:r>
      <w:r>
        <w:rPr>
          <w:rFonts w:hint="eastAsia" w:ascii="方正小标宋_GBK" w:hAnsi="方正小标宋_GBK" w:eastAsia="方正小标宋_GBK" w:cs="方正小标宋_GBK"/>
          <w:b/>
          <w:bCs/>
          <w:color w:val="auto"/>
          <w:sz w:val="52"/>
          <w:szCs w:val="52"/>
          <w:lang w:eastAsia="zh-CN"/>
        </w:rPr>
        <w:t>说明</w:t>
      </w:r>
      <w:bookmarkEnd w:id="21"/>
      <w:bookmarkEnd w:id="22"/>
      <w:bookmarkEnd w:id="23"/>
    </w:p>
    <w:p>
      <w:pPr>
        <w:keepNext w:val="0"/>
        <w:keepLines w:val="0"/>
        <w:pageBreakBefore w:val="0"/>
        <w:widowControl/>
        <w:kinsoku/>
        <w:wordWrap/>
        <w:overflowPunct/>
        <w:topLinePunct w:val="0"/>
        <w:autoSpaceDE/>
        <w:autoSpaceDN/>
        <w:bidi w:val="0"/>
        <w:spacing w:line="576" w:lineRule="exact"/>
        <w:ind w:firstLine="0" w:firstLineChars="0"/>
        <w:jc w:val="center"/>
        <w:textAlignment w:val="auto"/>
        <w:rPr>
          <w:rFonts w:hint="eastAsia" w:ascii="方正小标宋_GBK" w:hAnsi="方正小标宋_GBK" w:eastAsia="方正小标宋_GBK" w:cs="方正小标宋_GBK"/>
          <w:b/>
          <w:bCs/>
          <w:color w:val="auto"/>
          <w:sz w:val="52"/>
          <w:szCs w:val="52"/>
        </w:rPr>
      </w:pPr>
      <w:r>
        <w:rPr>
          <w:rFonts w:hint="eastAsia" w:ascii="方正小标宋_GBK" w:hAnsi="方正小标宋_GBK" w:eastAsia="方正小标宋_GBK" w:cs="方正小标宋_GBK"/>
          <w:b/>
          <w:bCs/>
          <w:color w:val="auto"/>
          <w:sz w:val="52"/>
          <w:szCs w:val="52"/>
        </w:rPr>
        <w:object>
          <v:shape id="_x0000_i1028" o:spt="75" type="#_x0000_t75" style="height:0.05pt;width:0.05pt;" o:ole="t" filled="f" stroked="f" coordsize="21600,21600">
            <v:path/>
            <v:fill on="f" focussize="0,0"/>
            <v:stroke on="f"/>
            <v:imagedata o:title=""/>
            <o:lock v:ext="edit" aspectratio="t"/>
            <w10:wrap type="none"/>
            <w10:anchorlock/>
          </v:shape>
          <o:OLEObject Type="Embed" ProgID="Excel.Chart.8" ShapeID="_x0000_i1028" DrawAspect="Content" ObjectID="_1468075728" r:id="rId9">
            <o:LockedField>false</o:LockedField>
          </o:OLEObject>
        </w:object>
      </w:r>
      <w:r>
        <w:rPr>
          <w:rFonts w:hint="eastAsia" w:ascii="方正小标宋_GBK" w:hAnsi="方正小标宋_GBK" w:eastAsia="方正小标宋_GBK" w:cs="方正小标宋_GBK"/>
          <w:b/>
          <w:bCs/>
          <w:color w:val="auto"/>
          <w:sz w:val="52"/>
          <w:szCs w:val="52"/>
        </w:rPr>
        <w:object>
          <v:shape id="_x0000_i1029" o:spt="75" type="#_x0000_t75" style="height:0.05pt;width:0.05pt;" o:ole="t" filled="f" stroked="f" coordsize="21600,21600">
            <v:path/>
            <v:fill on="f" focussize="0,0"/>
            <v:stroke on="f"/>
            <v:imagedata o:title=""/>
            <o:lock v:ext="edit" aspectratio="t"/>
            <w10:wrap type="none"/>
            <w10:anchorlock/>
          </v:shape>
          <o:OLEObject Type="Embed" ProgID="Excel.Chart.8" ShapeID="_x0000_i1029" DrawAspect="Content" ObjectID="_1468075729" r:id="rId10">
            <o:LockedField>false</o:LockedField>
          </o:OLEObject>
        </w:object>
      </w:r>
    </w:p>
    <w:p>
      <w:pPr>
        <w:keepNext w:val="0"/>
        <w:keepLines w:val="0"/>
        <w:pageBreakBefore w:val="0"/>
        <w:widowControl/>
        <w:kinsoku/>
        <w:wordWrap/>
        <w:overflowPunct/>
        <w:topLinePunct w:val="0"/>
        <w:autoSpaceDE/>
        <w:autoSpaceDN/>
        <w:bidi w:val="0"/>
        <w:spacing w:line="576" w:lineRule="exact"/>
        <w:ind w:firstLine="0" w:firstLineChars="0"/>
        <w:jc w:val="center"/>
        <w:textAlignment w:val="auto"/>
        <w:rPr>
          <w:rFonts w:hint="eastAsia" w:ascii="方正小标宋_GBK" w:hAnsi="方正小标宋_GBK" w:eastAsia="方正小标宋_GBK" w:cs="方正小标宋_GBK"/>
          <w:b/>
          <w:bCs/>
          <w:color w:val="auto"/>
          <w:sz w:val="52"/>
          <w:szCs w:val="52"/>
        </w:rPr>
      </w:pP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rPr>
          <w:rFonts w:hint="eastAsia" w:ascii="仿宋_GB2312" w:hAnsi="仿宋_GB2312" w:eastAsia="仿宋_GB2312" w:cs="仿宋_GB2312"/>
          <w:b/>
          <w:bCs/>
          <w:color w:val="auto"/>
          <w:sz w:val="32"/>
          <w:szCs w:val="32"/>
        </w:rPr>
      </w:pPr>
    </w:p>
    <w:p>
      <w:pPr>
        <w:pStyle w:val="2"/>
        <w:rPr>
          <w:rFonts w:hint="eastAsia" w:ascii="仿宋_GB2312" w:hAnsi="仿宋_GB2312" w:eastAsia="仿宋_GB2312" w:cs="仿宋_GB2312"/>
          <w:b/>
          <w:bCs/>
          <w:color w:val="auto"/>
          <w:sz w:val="32"/>
          <w:szCs w:val="32"/>
        </w:rPr>
      </w:pPr>
    </w:p>
    <w:p>
      <w:pPr>
        <w:rPr>
          <w:rFonts w:hint="eastAsia" w:ascii="仿宋_GB2312" w:hAnsi="仿宋_GB2312" w:eastAsia="仿宋_GB2312" w:cs="仿宋_GB2312"/>
          <w:b/>
          <w:bCs/>
          <w:color w:val="auto"/>
          <w:sz w:val="32"/>
          <w:szCs w:val="32"/>
        </w:rPr>
      </w:pPr>
    </w:p>
    <w:p>
      <w:pPr>
        <w:pStyle w:val="2"/>
        <w:rPr>
          <w:rFonts w:hint="eastAsia"/>
        </w:rPr>
      </w:pP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Style w:val="12"/>
        <w:keepNext w:val="0"/>
        <w:keepLines w:val="0"/>
        <w:widowControl/>
        <w:suppressLineNumbers w:val="0"/>
        <w:snapToGrid w:val="0"/>
        <w:spacing w:before="0" w:beforeAutospacing="0" w:after="100" w:afterAutospacing="1"/>
        <w:ind w:right="0"/>
        <w:jc w:val="center"/>
        <w:rPr>
          <w:rFonts w:hint="eastAsia" w:ascii="宋体" w:hAnsi="宋体" w:eastAsia="宋体" w:cs="宋体"/>
          <w:kern w:val="0"/>
          <w:sz w:val="32"/>
          <w:szCs w:val="32"/>
        </w:rPr>
      </w:pPr>
      <w:r>
        <w:rPr>
          <w:rFonts w:hint="eastAsia" w:cs="宋体"/>
          <w:kern w:val="0"/>
          <w:sz w:val="32"/>
          <w:szCs w:val="32"/>
          <w:shd w:val="clear" w:color="auto" w:fill="FFFFFF"/>
          <w:lang w:val="en-US" w:eastAsia="zh-CN" w:bidi="ar"/>
        </w:rPr>
        <w:t>已经</w:t>
      </w:r>
      <w:r>
        <w:rPr>
          <w:rFonts w:hint="eastAsia" w:ascii="宋体" w:hAnsi="宋体" w:eastAsia="宋体" w:cs="宋体"/>
          <w:kern w:val="0"/>
          <w:sz w:val="32"/>
          <w:szCs w:val="32"/>
          <w:shd w:val="clear" w:color="auto" w:fill="FFFFFF"/>
          <w:lang w:val="en-US" w:eastAsia="zh-CN" w:bidi="ar"/>
        </w:rPr>
        <w:t>保密审查</w:t>
      </w:r>
      <w:r>
        <w:rPr>
          <w:rFonts w:hint="eastAsia" w:cs="宋体"/>
          <w:kern w:val="0"/>
          <w:sz w:val="32"/>
          <w:szCs w:val="32"/>
          <w:shd w:val="clear" w:color="auto" w:fill="FFFFFF"/>
          <w:lang w:val="en-US" w:eastAsia="zh-CN" w:bidi="ar"/>
        </w:rPr>
        <w:t>、</w:t>
      </w:r>
      <w:r>
        <w:rPr>
          <w:rFonts w:hint="eastAsia" w:ascii="宋体" w:hAnsi="宋体" w:eastAsia="宋体" w:cs="宋体"/>
          <w:kern w:val="0"/>
          <w:sz w:val="32"/>
          <w:szCs w:val="32"/>
          <w:shd w:val="clear" w:color="auto" w:fill="FFFFFF"/>
          <w:lang w:val="en-US" w:eastAsia="zh-CN" w:bidi="ar"/>
        </w:rPr>
        <w:t>内容审定</w:t>
      </w:r>
      <w:r>
        <w:rPr>
          <w:rFonts w:hint="eastAsia" w:cs="宋体"/>
          <w:kern w:val="0"/>
          <w:sz w:val="32"/>
          <w:szCs w:val="32"/>
          <w:shd w:val="clear" w:color="auto" w:fill="FFFFFF"/>
          <w:lang w:val="en-US" w:eastAsia="zh-CN" w:bidi="ar"/>
        </w:rPr>
        <w:t>，同意对外公开</w:t>
      </w: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ageBreakBefore w:val="0"/>
        <w:widowControl/>
        <w:kinsoku/>
        <w:wordWrap/>
        <w:overflowPunct/>
        <w:topLinePunct w:val="0"/>
        <w:bidi w:val="0"/>
        <w:spacing w:line="520" w:lineRule="exact"/>
        <w:ind w:firstLine="643" w:firstLineChars="200"/>
        <w:jc w:val="center"/>
        <w:rPr>
          <w:rFonts w:hint="eastAsia" w:ascii="仿宋_GB2312" w:hAnsi="仿宋_GB2312" w:eastAsia="仿宋_GB2312" w:cs="仿宋_GB2312"/>
          <w:b/>
          <w:bCs/>
          <w:color w:val="auto"/>
          <w:sz w:val="32"/>
          <w:szCs w:val="32"/>
        </w:rPr>
      </w:pPr>
    </w:p>
    <w:p>
      <w:pPr>
        <w:pageBreakBefore w:val="0"/>
        <w:widowControl/>
        <w:kinsoku/>
        <w:wordWrap/>
        <w:overflowPunct/>
        <w:topLinePunct w:val="0"/>
        <w:bidi w:val="0"/>
        <w:spacing w:line="520" w:lineRule="exact"/>
        <w:jc w:val="center"/>
        <w:rPr>
          <w:rFonts w:hint="eastAsia" w:ascii="仿宋_GB2312" w:hAnsi="仿宋_GB2312" w:eastAsia="仿宋_GB2312" w:cs="仿宋_GB2312"/>
          <w:color w:val="000000"/>
          <w:sz w:val="32"/>
          <w:szCs w:val="32"/>
        </w:rPr>
      </w:pPr>
      <w:bookmarkStart w:id="24" w:name="_Toc15377196"/>
      <w:r>
        <w:rPr>
          <w:rFonts w:hint="eastAsia" w:ascii="仿宋_GB2312" w:hAnsi="仿宋_GB2312" w:eastAsia="仿宋_GB2312" w:cs="仿宋_GB2312"/>
          <w:color w:val="000000"/>
          <w:sz w:val="32"/>
          <w:szCs w:val="32"/>
        </w:rPr>
        <w:t>目录</w:t>
      </w:r>
      <w:bookmarkStart w:id="150" w:name="_GoBack"/>
      <w:bookmarkEnd w:id="150"/>
    </w:p>
    <w:p>
      <w:pPr>
        <w:pStyle w:val="11"/>
        <w:pageBreakBefore w:val="0"/>
        <w:tabs>
          <w:tab w:val="right" w:leader="dot" w:pos="8844"/>
          <w:tab w:val="clear" w:pos="8296"/>
        </w:tabs>
        <w:kinsoku/>
        <w:wordWrap/>
        <w:overflowPunct/>
        <w:topLinePunct w:val="0"/>
        <w:bidi w:val="0"/>
        <w:spacing w:line="520"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Style w:val="17"/>
          <w:rFonts w:hint="eastAsia" w:ascii="仿宋_GB2312" w:hAnsi="仿宋_GB2312" w:eastAsia="仿宋_GB2312" w:cs="仿宋_GB2312"/>
          <w:kern w:val="2"/>
          <w:sz w:val="32"/>
          <w:szCs w:val="32"/>
          <w:lang w:val="en-US" w:eastAsia="zh-CN" w:bidi="ar-SA"/>
        </w:rPr>
        <w:instrText xml:space="preserve"> HYPERLINK \l "_Toc15396599"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fldChar w:fldCharType="begin"/>
      </w:r>
      <w:r>
        <w:rPr>
          <w:rStyle w:val="17"/>
          <w:rFonts w:hint="eastAsia" w:ascii="仿宋_GB2312" w:hAnsi="仿宋_GB2312" w:eastAsia="仿宋_GB2312" w:cs="仿宋_GB2312"/>
          <w:kern w:val="2"/>
          <w:sz w:val="32"/>
          <w:szCs w:val="32"/>
          <w:lang w:val="en-US" w:eastAsia="zh-CN" w:bidi="ar-SA"/>
        </w:rPr>
        <w:instrText xml:space="preserve">TOC \o "1-2" \h \u </w:instrText>
      </w:r>
      <w:r>
        <w:rPr>
          <w:rFonts w:hint="eastAsia" w:ascii="仿宋_GB2312" w:hAnsi="仿宋_GB2312" w:eastAsia="仿宋_GB2312" w:cs="仿宋_GB2312"/>
          <w:kern w:val="2"/>
          <w:sz w:val="32"/>
          <w:szCs w:val="32"/>
          <w:lang w:val="en-US" w:eastAsia="zh-CN" w:bidi="ar-SA"/>
        </w:rPr>
        <w:fldChar w:fldCharType="separate"/>
      </w:r>
    </w:p>
    <w:p>
      <w:pPr>
        <w:pStyle w:val="10"/>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_Toc7014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_Toc31980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_Toc14912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0"/>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_Toc16190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w:t>
      </w:r>
      <w:r>
        <w:rPr>
          <w:rFonts w:hint="eastAsia" w:ascii="仿宋_GB2312" w:hAnsi="仿宋_GB2312" w:eastAsia="仿宋_GB2312" w:cs="仿宋_GB2312"/>
          <w:bCs w:val="0"/>
          <w:sz w:val="32"/>
          <w:szCs w:val="32"/>
          <w:lang w:val="en-US" w:eastAsia="zh-CN"/>
        </w:rPr>
        <w:t>021</w:t>
      </w:r>
      <w:r>
        <w:rPr>
          <w:rFonts w:hint="eastAsia" w:ascii="仿宋_GB2312" w:hAnsi="仿宋_GB2312" w:eastAsia="仿宋_GB2312" w:cs="仿宋_GB2312"/>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_Toc16190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_Toc18434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一、 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_Toc18434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_Toc12898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二、 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_Toc12898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_Toc30536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三、 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_Toc30536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_Toc4347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_Toc4347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_Toc9586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_Toc9586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14</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_Toc30283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_Toc30283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17</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七、“三公”经费财政拨款支出决算情况说明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_Toc47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18</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_Toc14244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_Toc14244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_Toc29334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九、 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_Toc29334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_Toc15299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十、 预算绩效情况说明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_Toc15299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_Toc22624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十一、其他重要事项的情况说明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_Toc22624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25</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0"/>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_Toc10123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_Toc10123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_Toc25268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附件：</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_Toc25268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31</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10"/>
        <w:pageBreakBefore w:val="0"/>
        <w:tabs>
          <w:tab w:val="right" w:leader="dot" w:pos="8844"/>
          <w:tab w:val="clear" w:pos="8296"/>
        </w:tabs>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_Toc12332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_Toc12332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2"/>
          <w:sz w:val="32"/>
          <w:szCs w:val="32"/>
          <w:lang w:val="en-US" w:eastAsia="zh-CN" w:bidi="ar-SA"/>
        </w:rPr>
        <w:fldChar w:fldCharType="end"/>
      </w:r>
    </w:p>
    <w:p>
      <w:pPr>
        <w:pStyle w:val="11"/>
        <w:pageBreakBefore w:val="0"/>
        <w:kinsoku/>
        <w:wordWrap/>
        <w:overflowPunct/>
        <w:topLinePunct w:val="0"/>
        <w:bidi w:val="0"/>
        <w:spacing w:line="52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end"/>
      </w:r>
    </w:p>
    <w:p>
      <w:pPr>
        <w:pStyle w:val="4"/>
        <w:pageBreakBefore w:val="0"/>
        <w:kinsoku/>
        <w:wordWrap/>
        <w:overflowPunct/>
        <w:topLinePunct w:val="0"/>
        <w:bidi w:val="0"/>
        <w:spacing w:before="0" w:after="0" w:line="520" w:lineRule="exact"/>
        <w:ind w:firstLine="643" w:firstLineChars="200"/>
        <w:jc w:val="center"/>
        <w:rPr>
          <w:rStyle w:val="18"/>
          <w:rFonts w:hint="eastAsia" w:ascii="仿宋_GB2312" w:hAnsi="仿宋_GB2312" w:eastAsia="仿宋_GB2312" w:cs="仿宋_GB2312"/>
          <w:b/>
          <w:bCs w:val="0"/>
          <w:color w:val="auto"/>
          <w:sz w:val="32"/>
          <w:szCs w:val="32"/>
        </w:rPr>
      </w:pPr>
      <w:bookmarkStart w:id="25" w:name="_Toc7014"/>
      <w:r>
        <w:rPr>
          <w:rFonts w:hint="eastAsia" w:ascii="仿宋_GB2312" w:hAnsi="仿宋_GB2312" w:eastAsia="仿宋_GB2312" w:cs="仿宋_GB2312"/>
          <w:b/>
          <w:bCs w:val="0"/>
          <w:color w:val="auto"/>
          <w:sz w:val="32"/>
          <w:szCs w:val="32"/>
        </w:rPr>
        <w:t xml:space="preserve">第一部分 </w:t>
      </w:r>
      <w:r>
        <w:rPr>
          <w:rStyle w:val="18"/>
          <w:rFonts w:hint="eastAsia" w:ascii="仿宋_GB2312" w:hAnsi="仿宋_GB2312" w:eastAsia="仿宋_GB2312" w:cs="仿宋_GB2312"/>
          <w:b/>
          <w:bCs w:val="0"/>
          <w:color w:val="auto"/>
          <w:sz w:val="32"/>
          <w:szCs w:val="32"/>
        </w:rPr>
        <w:t>部门概况</w:t>
      </w:r>
      <w:bookmarkEnd w:id="24"/>
      <w:bookmarkEnd w:id="25"/>
    </w:p>
    <w:p>
      <w:pPr>
        <w:pageBreakBefore w:val="0"/>
        <w:widowControl/>
        <w:kinsoku/>
        <w:wordWrap/>
        <w:overflowPunct/>
        <w:topLinePunct w:val="0"/>
        <w:bidi w:val="0"/>
        <w:spacing w:line="520" w:lineRule="exact"/>
        <w:ind w:firstLine="640" w:firstLineChars="200"/>
        <w:jc w:val="left"/>
        <w:rPr>
          <w:rFonts w:hint="eastAsia" w:ascii="仿宋_GB2312" w:hAnsi="仿宋_GB2312" w:eastAsia="仿宋_GB2312" w:cs="仿宋_GB2312"/>
          <w:color w:val="auto"/>
          <w:sz w:val="32"/>
          <w:szCs w:val="32"/>
        </w:rPr>
      </w:pPr>
    </w:p>
    <w:p>
      <w:pPr>
        <w:pStyle w:val="5"/>
        <w:pageBreakBefore w:val="0"/>
        <w:kinsoku/>
        <w:wordWrap/>
        <w:overflowPunct/>
        <w:topLinePunct w:val="0"/>
        <w:bidi w:val="0"/>
        <w:spacing w:before="0" w:after="0" w:line="520" w:lineRule="exact"/>
        <w:ind w:firstLine="640" w:firstLineChars="200"/>
        <w:rPr>
          <w:rStyle w:val="19"/>
          <w:rFonts w:hint="eastAsia" w:ascii="黑体" w:hAnsi="黑体" w:eastAsia="黑体" w:cs="黑体"/>
          <w:b w:val="0"/>
          <w:bCs w:val="0"/>
          <w:color w:val="auto"/>
          <w:sz w:val="32"/>
          <w:szCs w:val="32"/>
        </w:rPr>
      </w:pPr>
      <w:bookmarkStart w:id="26" w:name="_Toc31980"/>
      <w:bookmarkStart w:id="27" w:name="_Toc15396600"/>
      <w:bookmarkStart w:id="28" w:name="_Toc15377197"/>
      <w:r>
        <w:rPr>
          <w:rFonts w:hint="eastAsia" w:ascii="黑体" w:hAnsi="黑体" w:eastAsia="黑体" w:cs="黑体"/>
          <w:b w:val="0"/>
          <w:color w:val="auto"/>
          <w:sz w:val="32"/>
          <w:szCs w:val="32"/>
        </w:rPr>
        <w:t>一、基</w:t>
      </w:r>
      <w:r>
        <w:rPr>
          <w:rStyle w:val="19"/>
          <w:rFonts w:hint="eastAsia" w:ascii="黑体" w:hAnsi="黑体" w:eastAsia="黑体" w:cs="黑体"/>
          <w:b w:val="0"/>
          <w:bCs w:val="0"/>
          <w:color w:val="auto"/>
          <w:sz w:val="32"/>
          <w:szCs w:val="32"/>
        </w:rPr>
        <w:t>本职能及主要工作</w:t>
      </w:r>
      <w:bookmarkEnd w:id="26"/>
      <w:bookmarkEnd w:id="27"/>
      <w:bookmarkEnd w:id="28"/>
    </w:p>
    <w:p>
      <w:pPr>
        <w:pageBreakBefore w:val="0"/>
        <w:kinsoku/>
        <w:wordWrap/>
        <w:overflowPunct/>
        <w:topLinePunct w:val="0"/>
        <w:bidi w:val="0"/>
        <w:spacing w:line="520" w:lineRule="exact"/>
        <w:ind w:firstLine="643" w:firstLineChars="200"/>
        <w:rPr>
          <w:rFonts w:hint="eastAsia" w:ascii="楷体_GB2312" w:hAnsi="楷体_GB2312" w:eastAsia="楷体_GB2312" w:cs="楷体_GB2312"/>
          <w:b/>
          <w:bCs w:val="0"/>
          <w:color w:val="auto"/>
          <w:sz w:val="32"/>
          <w:szCs w:val="32"/>
        </w:rPr>
      </w:pPr>
      <w:bookmarkStart w:id="29" w:name="_Toc15377198"/>
      <w:bookmarkStart w:id="30" w:name="_Toc15378445"/>
      <w:r>
        <w:rPr>
          <w:rFonts w:hint="eastAsia" w:ascii="楷体_GB2312" w:hAnsi="楷体_GB2312" w:eastAsia="楷体_GB2312" w:cs="楷体_GB2312"/>
          <w:b/>
          <w:bCs w:val="0"/>
          <w:color w:val="auto"/>
          <w:sz w:val="32"/>
          <w:szCs w:val="32"/>
        </w:rPr>
        <w:t>（一）主要职能。</w:t>
      </w:r>
      <w:bookmarkEnd w:id="29"/>
      <w:bookmarkEnd w:id="30"/>
      <w:bookmarkStart w:id="31" w:name="_Toc15378446"/>
      <w:bookmarkStart w:id="32" w:name="_Toc15377199"/>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主要职责（</w:t>
      </w:r>
      <w:r>
        <w:rPr>
          <w:rFonts w:hint="eastAsia" w:ascii="楷体_GB2312" w:hAnsi="楷体_GB2312" w:eastAsia="楷体_GB2312" w:cs="楷体_GB2312"/>
          <w:b/>
          <w:bCs w:val="0"/>
          <w:color w:val="auto"/>
          <w:sz w:val="32"/>
          <w:szCs w:val="32"/>
          <w:lang w:eastAsia="zh-CN"/>
        </w:rPr>
        <w:t>行政审批局</w:t>
      </w:r>
      <w:r>
        <w:rPr>
          <w:rFonts w:hint="eastAsia" w:ascii="楷体_GB2312" w:hAnsi="楷体_GB2312" w:eastAsia="楷体_GB2312" w:cs="楷体_GB2312"/>
          <w:b/>
          <w:bCs w:val="0"/>
          <w:color w:val="auto"/>
          <w:sz w:val="32"/>
          <w:szCs w:val="32"/>
        </w:rPr>
        <w:t>）</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1.</w:t>
      </w:r>
      <w:r>
        <w:rPr>
          <w:rFonts w:hint="eastAsia" w:ascii="仿宋_GB2312" w:hAnsi="仿宋_GB2312" w:eastAsia="仿宋_GB2312" w:cs="仿宋_GB2312"/>
          <w:bCs/>
          <w:color w:val="auto"/>
          <w:sz w:val="32"/>
          <w:szCs w:val="32"/>
          <w:lang w:eastAsia="zh-CN"/>
        </w:rPr>
        <w:t>负责深化行政审批制度改革和“放管服”改革工作，拟定全县行政审批制度和“放管服”改革相关政策和规范性文件，承担县本级行政权力清单和责任清单的动态调整，指导全县行政权力清单和责任清单工作，建立完善相关工作机制。</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2.</w:t>
      </w:r>
      <w:r>
        <w:rPr>
          <w:rFonts w:hint="eastAsia" w:ascii="仿宋_GB2312" w:hAnsi="仿宋_GB2312" w:eastAsia="仿宋_GB2312" w:cs="仿宋_GB2312"/>
          <w:bCs/>
          <w:color w:val="auto"/>
          <w:sz w:val="32"/>
          <w:szCs w:val="32"/>
          <w:lang w:eastAsia="zh-CN"/>
        </w:rPr>
        <w:t>负责县本级行政审批工作，承办县直部门划入的涉及投资项目、市场准入、建设工程、交通水利、文教卫生、社会事业、涉农事务等方面的行政审批事项，及时通知行政审批事项的实施情况，逐步实行“一枚印章管审批”。</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3.</w:t>
      </w:r>
      <w:r>
        <w:rPr>
          <w:rFonts w:hint="eastAsia" w:ascii="仿宋_GB2312" w:hAnsi="仿宋_GB2312" w:eastAsia="仿宋_GB2312" w:cs="仿宋_GB2312"/>
          <w:bCs/>
          <w:color w:val="auto"/>
          <w:sz w:val="32"/>
          <w:szCs w:val="32"/>
          <w:lang w:eastAsia="zh-CN"/>
        </w:rPr>
        <w:t>负责协调、指导入驻县大厅各部门和驻县州直部门的审批工作。对进驻大厅服务机构办理事项进行规范、管理和监督。建立行政审批、公共服务运行规程和考核体系。</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4.</w:t>
      </w:r>
      <w:r>
        <w:rPr>
          <w:rFonts w:hint="eastAsia" w:ascii="仿宋_GB2312" w:hAnsi="仿宋_GB2312" w:eastAsia="仿宋_GB2312" w:cs="仿宋_GB2312"/>
          <w:bCs/>
          <w:color w:val="auto"/>
          <w:sz w:val="32"/>
          <w:szCs w:val="32"/>
          <w:lang w:eastAsia="zh-CN"/>
        </w:rPr>
        <w:t>指导乡镇便民服务中心工作</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负责</w:t>
      </w:r>
      <w:r>
        <w:rPr>
          <w:rFonts w:hint="eastAsia" w:ascii="仿宋_GB2312" w:hAnsi="仿宋_GB2312" w:eastAsia="仿宋_GB2312" w:cs="仿宋_GB2312"/>
          <w:bCs/>
          <w:color w:val="auto"/>
          <w:sz w:val="32"/>
          <w:szCs w:val="32"/>
          <w:lang w:eastAsia="zh-CN"/>
        </w:rPr>
        <w:t>全县政务服务管理工作，指导全县政务服务体系建设。</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负责</w:t>
      </w:r>
      <w:r>
        <w:rPr>
          <w:rFonts w:hint="eastAsia" w:ascii="仿宋_GB2312" w:hAnsi="仿宋_GB2312" w:eastAsia="仿宋_GB2312" w:cs="仿宋_GB2312"/>
          <w:bCs/>
          <w:color w:val="auto"/>
          <w:sz w:val="32"/>
          <w:szCs w:val="32"/>
          <w:lang w:eastAsia="zh-CN"/>
        </w:rPr>
        <w:t>对全县公共资源交易管理工作，指导全县公共资源交易服务体系建设。</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7.</w:t>
      </w:r>
      <w:r>
        <w:rPr>
          <w:rFonts w:hint="eastAsia" w:ascii="仿宋_GB2312" w:hAnsi="仿宋_GB2312" w:eastAsia="仿宋_GB2312" w:cs="仿宋_GB2312"/>
          <w:bCs/>
          <w:color w:val="auto"/>
          <w:sz w:val="32"/>
          <w:szCs w:val="32"/>
          <w:lang w:eastAsia="zh-CN"/>
        </w:rPr>
        <w:t>负责对涉及县政务服务大厅，县公共资源交易中心，县行政审批服务机构的投诉举报的承办，转办和督办工作。</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Cs/>
          <w:color w:val="auto"/>
          <w:sz w:val="32"/>
          <w:szCs w:val="32"/>
          <w:lang w:val="en-US" w:eastAsia="zh-CN"/>
        </w:rPr>
        <w:t>8.</w:t>
      </w:r>
      <w:r>
        <w:rPr>
          <w:rFonts w:hint="eastAsia" w:ascii="仿宋_GB2312" w:hAnsi="仿宋_GB2312" w:eastAsia="仿宋_GB2312" w:cs="仿宋_GB2312"/>
          <w:bCs/>
          <w:color w:val="auto"/>
          <w:sz w:val="32"/>
          <w:szCs w:val="32"/>
          <w:lang w:eastAsia="zh-CN"/>
        </w:rPr>
        <w:t>完成县委、县政府交办的其他任务。</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二</w:t>
      </w: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rPr>
        <w:t>主要职责（交易中心）</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工程建设项目200万元以下（含未达到招标规模标准但达到了必须比选规模标准的政府投资工程建设项目勘察设计、施工、监理和货物）、政府采购50万元以下、国有产权50万元以下交易项目全部进入县级交易中心，即：除纳入州公共资源交易中心交易其他依法应当纳入县级公共资源交易中心交易的所有项目。</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负责为各类交易活动办理交易登记和招标申请，统一发布交易信息，受理投标报名，为开标、评标和定标等交易活动提供优质服务。</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2.</w:t>
      </w:r>
      <w:r>
        <w:rPr>
          <w:rFonts w:hint="eastAsia" w:ascii="仿宋_GB2312" w:hAnsi="仿宋_GB2312" w:eastAsia="仿宋_GB2312" w:cs="仿宋_GB2312"/>
          <w:bCs/>
          <w:color w:val="auto"/>
          <w:sz w:val="32"/>
          <w:szCs w:val="32"/>
        </w:rPr>
        <w:t>收集、存储和发布招投标政策法规以及相关价格、科技和人才等信息，并为招投标交易提供信息、咨询服务；为有关监督部门参与监督和为各类交易提供服务。</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负责制定进入中心项目的有关交易规则，维护交易场所内活动秩序。</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负责建立招投标集中统一平台，建立各方主体信用和市场不良行为记录体系，并做好交易档案的收集、整理、归档、立卷和管理。</w:t>
      </w:r>
    </w:p>
    <w:p>
      <w:pPr>
        <w:pStyle w:val="6"/>
        <w:pageBreakBefore w:val="0"/>
        <w:kinsoku/>
        <w:wordWrap/>
        <w:overflowPunct/>
        <w:topLinePunct w:val="0"/>
        <w:bidi w:val="0"/>
        <w:adjustRightInd w:val="0"/>
        <w:snapToGrid w:val="0"/>
        <w:spacing w:beforeLines="0" w:line="520" w:lineRule="exact"/>
        <w:ind w:firstLine="640" w:firstLineChars="200"/>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承担政府集中采购机构职责，负责财政下达计划的政府采购工作和县级国家机关、事业单位和团体组织委托的政府采购工作。</w:t>
      </w:r>
    </w:p>
    <w:p>
      <w:pPr>
        <w:pStyle w:val="6"/>
        <w:keepNext w:val="0"/>
        <w:keepLines w:val="0"/>
        <w:pageBreakBefore w:val="0"/>
        <w:kinsoku/>
        <w:wordWrap/>
        <w:overflowPunct/>
        <w:topLinePunct w:val="0"/>
        <w:autoSpaceDE/>
        <w:autoSpaceDN/>
        <w:bidi w:val="0"/>
        <w:adjustRightInd w:val="0"/>
        <w:snapToGrid w:val="0"/>
        <w:spacing w:beforeLines="0" w:line="520" w:lineRule="exact"/>
        <w:ind w:firstLine="640" w:firstLineChars="200"/>
        <w:textAlignment w:val="auto"/>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承担国有产权交易职责，接受委托，组织开展土地使用权和矿业权招拍挂交易活动，承办土地使用权和矿业权招拍挂进场交易事务。</w:t>
      </w:r>
    </w:p>
    <w:p>
      <w:pPr>
        <w:pStyle w:val="6"/>
        <w:keepNext w:val="0"/>
        <w:keepLines w:val="0"/>
        <w:pageBreakBefore w:val="0"/>
        <w:kinsoku/>
        <w:wordWrap/>
        <w:overflowPunct/>
        <w:topLinePunct w:val="0"/>
        <w:autoSpaceDE/>
        <w:autoSpaceDN/>
        <w:bidi w:val="0"/>
        <w:adjustRightInd w:val="0"/>
        <w:snapToGrid w:val="0"/>
        <w:spacing w:beforeLines="0" w:line="520" w:lineRule="exact"/>
        <w:ind w:firstLine="640" w:firstLineChars="200"/>
        <w:textAlignment w:val="auto"/>
        <w:outlineLvl w:val="2"/>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承办县人民政府、县公共资源交易监督管理委员会安排的其他工作。</w:t>
      </w:r>
    </w:p>
    <w:p>
      <w:pPr>
        <w:pStyle w:val="6"/>
        <w:keepNext w:val="0"/>
        <w:keepLines w:val="0"/>
        <w:pageBreakBefore w:val="0"/>
        <w:kinsoku/>
        <w:wordWrap/>
        <w:overflowPunct/>
        <w:topLinePunct w:val="0"/>
        <w:autoSpaceDE/>
        <w:autoSpaceDN/>
        <w:bidi w:val="0"/>
        <w:adjustRightInd w:val="0"/>
        <w:snapToGrid w:val="0"/>
        <w:spacing w:beforeLines="0" w:line="520" w:lineRule="exact"/>
        <w:ind w:firstLine="640" w:firstLineChars="200"/>
        <w:textAlignment w:val="auto"/>
        <w:outlineLvl w:val="2"/>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二、</w:t>
      </w:r>
      <w:r>
        <w:rPr>
          <w:rFonts w:hint="eastAsia" w:ascii="黑体" w:hAnsi="黑体" w:eastAsia="黑体" w:cs="黑体"/>
          <w:b w:val="0"/>
          <w:bCs/>
          <w:color w:val="auto"/>
          <w:sz w:val="32"/>
          <w:szCs w:val="32"/>
        </w:rPr>
        <w:t>20</w:t>
      </w:r>
      <w:r>
        <w:rPr>
          <w:rFonts w:hint="eastAsia" w:ascii="黑体" w:hAnsi="黑体" w:eastAsia="黑体" w:cs="黑体"/>
          <w:b w:val="0"/>
          <w:bCs/>
          <w:color w:val="auto"/>
          <w:sz w:val="32"/>
          <w:szCs w:val="32"/>
          <w:lang w:val="en-US" w:eastAsia="zh-CN"/>
        </w:rPr>
        <w:t>21</w:t>
      </w:r>
      <w:r>
        <w:rPr>
          <w:rFonts w:hint="eastAsia" w:ascii="黑体" w:hAnsi="黑体" w:eastAsia="黑体" w:cs="黑体"/>
          <w:b w:val="0"/>
          <w:bCs/>
          <w:color w:val="auto"/>
          <w:sz w:val="32"/>
          <w:szCs w:val="32"/>
        </w:rPr>
        <w:t>年重点工作完成情况</w:t>
      </w:r>
      <w:bookmarkEnd w:id="31"/>
      <w:bookmarkEnd w:id="32"/>
    </w:p>
    <w:p>
      <w:pPr>
        <w:pStyle w:val="12"/>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3" w:firstLineChars="200"/>
        <w:textAlignment w:val="auto"/>
        <w:outlineLvl w:val="9"/>
        <w:rPr>
          <w:rStyle w:val="14"/>
          <w:rFonts w:hint="eastAsia" w:ascii="仿宋_GB2312" w:hAnsi="仿宋_GB2312" w:eastAsia="仿宋_GB2312" w:cs="仿宋_GB2312"/>
          <w:color w:val="000000"/>
          <w:sz w:val="32"/>
          <w:szCs w:val="32"/>
        </w:rPr>
      </w:pPr>
      <w:bookmarkStart w:id="33" w:name="_Toc15377200"/>
      <w:bookmarkStart w:id="34" w:name="_Toc15396601"/>
      <w:bookmarkStart w:id="35" w:name="_Toc14912"/>
      <w:r>
        <w:rPr>
          <w:rFonts w:hint="eastAsia" w:ascii="楷体_GB2312" w:hAnsi="楷体_GB2312" w:eastAsia="楷体_GB2312" w:cs="楷体_GB2312"/>
          <w:b/>
          <w:bCs/>
          <w:i w:val="0"/>
          <w:caps w:val="0"/>
          <w:color w:val="000000"/>
          <w:spacing w:val="0"/>
          <w:sz w:val="32"/>
          <w:szCs w:val="32"/>
          <w:shd w:val="clear" w:color="auto" w:fill="FFFFFF"/>
          <w:lang w:eastAsia="zh-CN"/>
        </w:rPr>
        <w:t>（一）加大基础设施及硬件投入，完善服务功能。</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办公空间小和办公场所容量不足是制约我县政务服务迈入规范化建设亟待解决堵点、难点问题之一，为了打通这最后“一公里”，我局</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2019年已将新建标准化的政务服务场所相关事宜排上议事日程，并将建设规模、建设内容及初步预算报分管领导进行了审批，且把新建县政务服务大厅纳入红原县“十四五”规划，现我局正在积极对接省州主管部门争取项目资金，一旦项目落地落实，能从根本上解决办公场所的问题，全县所有行政审批及公共服务事项均能入驻大厅，真正实现“只进一扇门”“最多跑一次”的基本要求，最终实现</w:t>
      </w:r>
      <w:r>
        <w:rPr>
          <w:rFonts w:hint="eastAsia" w:ascii="仿宋_GB2312" w:hAnsi="仿宋_GB2312" w:eastAsia="仿宋_GB2312" w:cs="仿宋_GB2312"/>
          <w:b w:val="0"/>
          <w:bCs w:val="0"/>
          <w:i w:val="0"/>
          <w:caps w:val="0"/>
          <w:color w:val="000000"/>
          <w:spacing w:val="0"/>
          <w:sz w:val="32"/>
          <w:szCs w:val="32"/>
          <w:shd w:val="clear" w:color="auto" w:fill="FFFFFF"/>
          <w:lang w:eastAsia="zh-CN"/>
        </w:rPr>
        <w:t>高质量的服务体系建设</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2"/>
          <w:sz w:val="32"/>
          <w:szCs w:val="32"/>
          <w:lang w:val="en-US" w:eastAsia="zh-CN" w:bidi="ar-SA"/>
        </w:rPr>
        <w:t>（二）持续推进便民化审批制度改革，做好划转事项承接工作。</w:t>
      </w:r>
      <w:r>
        <w:rPr>
          <w:rFonts w:hint="eastAsia" w:ascii="仿宋_GB2312" w:hAnsi="仿宋_GB2312" w:eastAsia="仿宋_GB2312" w:cs="仿宋_GB2312"/>
          <w:sz w:val="32"/>
          <w:szCs w:val="32"/>
        </w:rPr>
        <w:t>始终坚持便民化改革方向，力戒形式主义，将已经铺开的“一件事一次办”改革、工程建设项目审批制度等改革逐项落到实处，以改革的红利带来办事的便利；全面承接好划转事项，积极协调解决初期、后期运行中出现的矛盾和问题，确保审批工作无缝对接，群众办事不受影响。</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kern w:val="2"/>
          <w:sz w:val="32"/>
          <w:szCs w:val="32"/>
          <w:lang w:val="en-US" w:eastAsia="zh-CN" w:bidi="ar-SA"/>
        </w:rPr>
        <w:t>（三）不断提高行政审批工作效率。</w:t>
      </w:r>
      <w:r>
        <w:rPr>
          <w:rFonts w:hint="eastAsia" w:ascii="仿宋_GB2312" w:hAnsi="仿宋_GB2312" w:eastAsia="仿宋_GB2312" w:cs="仿宋_GB2312"/>
          <w:i w:val="0"/>
          <w:iCs w:val="0"/>
          <w:caps w:val="0"/>
          <w:color w:val="333333"/>
          <w:spacing w:val="0"/>
          <w:sz w:val="32"/>
          <w:szCs w:val="32"/>
          <w:shd w:val="clear" w:color="auto" w:fill="FFFFFF"/>
        </w:rPr>
        <w:t>认真坚持定期学习制度，采取“走出去、请进来”的方式，狠抓行政审批业务理论学习和审批服务技能提升。充分利用天府通等互联网资源，按照“最多跑一次”改革的要求，进一步优化审批工作流程、压缩审批工作时间，做到便民、务实、高效、廉洁。</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321" w:firstLineChars="100"/>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kern w:val="2"/>
          <w:sz w:val="32"/>
          <w:szCs w:val="32"/>
          <w:lang w:val="en-US" w:eastAsia="zh-CN" w:bidi="ar-SA"/>
        </w:rPr>
        <w:t>　</w:t>
      </w:r>
      <w:r>
        <w:rPr>
          <w:rFonts w:hint="eastAsia" w:ascii="楷体_GB2312" w:hAnsi="楷体_GB2312" w:eastAsia="楷体_GB2312" w:cs="楷体_GB2312"/>
          <w:b/>
          <w:bCs/>
          <w:kern w:val="2"/>
          <w:sz w:val="32"/>
          <w:szCs w:val="32"/>
          <w:lang w:val="en-US" w:eastAsia="zh-CN" w:bidi="ar-SA"/>
        </w:rPr>
        <w:t>（四）着力构建审监服务权责体系。</w:t>
      </w:r>
      <w:r>
        <w:rPr>
          <w:rFonts w:hint="eastAsia" w:ascii="仿宋_GB2312" w:hAnsi="仿宋_GB2312" w:eastAsia="仿宋_GB2312" w:cs="仿宋_GB2312"/>
          <w:i w:val="0"/>
          <w:iCs w:val="0"/>
          <w:caps w:val="0"/>
          <w:color w:val="333333"/>
          <w:spacing w:val="0"/>
          <w:sz w:val="32"/>
          <w:szCs w:val="32"/>
          <w:shd w:val="clear" w:color="auto" w:fill="FFFFFF"/>
        </w:rPr>
        <w:t>加强行政权力动态调整工作，严格按照“放管服”工作要求，进一步明确行政许可“审批、监管、执法”的权责界定，建立健全许可事项审批、监管联系会议制度，及时研究解决工作中难点、热点问题和困难，确保审批、监管高效衔接。</w:t>
      </w:r>
    </w:p>
    <w:p>
      <w:pPr>
        <w:pStyle w:val="24"/>
        <w:keepNext w:val="0"/>
        <w:keepLines w:val="0"/>
        <w:pageBreakBefore w:val="0"/>
        <w:kinsoku/>
        <w:wordWrap/>
        <w:overflowPunct/>
        <w:topLinePunct w:val="0"/>
        <w:autoSpaceDE/>
        <w:autoSpaceDN/>
        <w:bidi w:val="0"/>
        <w:adjustRightInd/>
        <w:snapToGrid/>
        <w:spacing w:line="520" w:lineRule="exact"/>
        <w:ind w:firstLine="643" w:firstLineChars="200"/>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kern w:val="2"/>
          <w:sz w:val="32"/>
          <w:szCs w:val="32"/>
          <w:lang w:val="en-US" w:eastAsia="zh-CN" w:bidi="ar-SA"/>
        </w:rPr>
        <w:t>（五）重点推动一网通办深化。</w:t>
      </w:r>
      <w:r>
        <w:rPr>
          <w:rStyle w:val="14"/>
          <w:rFonts w:hint="eastAsia" w:ascii="仿宋_GB2312" w:hAnsi="仿宋_GB2312" w:eastAsia="仿宋_GB2312" w:cs="仿宋_GB2312"/>
          <w:color w:val="000000"/>
          <w:sz w:val="32"/>
          <w:szCs w:val="32"/>
        </w:rPr>
        <w:t>做实“一网通办〞工作。催促各乡镇、</w:t>
      </w:r>
      <w:r>
        <w:rPr>
          <w:rStyle w:val="14"/>
          <w:rFonts w:hint="eastAsia" w:ascii="仿宋_GB2312" w:hAnsi="仿宋_GB2312" w:eastAsia="仿宋_GB2312" w:cs="仿宋_GB2312"/>
          <w:color w:val="000000"/>
          <w:sz w:val="32"/>
          <w:szCs w:val="32"/>
          <w:lang w:eastAsia="zh-CN"/>
        </w:rPr>
        <w:t>县</w:t>
      </w:r>
      <w:r>
        <w:rPr>
          <w:rStyle w:val="14"/>
          <w:rFonts w:hint="eastAsia" w:ascii="仿宋_GB2312" w:hAnsi="仿宋_GB2312" w:eastAsia="仿宋_GB2312" w:cs="仿宋_GB2312"/>
          <w:color w:val="000000"/>
          <w:sz w:val="32"/>
          <w:szCs w:val="32"/>
        </w:rPr>
        <w:t>直部门大力提升网上办件质量，并严格根据“四川省一体化政务服务平台〞上公布的承诺时限和跑动次数兑现服务承诺，准时、全量、规范归集电子证照并在线调用电子证照，避开申请材料重复提交，实现流程再造，时限再压缩30％以上的目标。要与全国先进地</w:t>
      </w:r>
      <w:r>
        <w:rPr>
          <w:rStyle w:val="14"/>
          <w:rFonts w:hint="eastAsia" w:ascii="仿宋_GB2312" w:hAnsi="仿宋_GB2312" w:eastAsia="仿宋_GB2312" w:cs="仿宋_GB2312"/>
          <w:color w:val="000000"/>
          <w:sz w:val="32"/>
          <w:szCs w:val="32"/>
          <w:lang w:eastAsia="zh-CN"/>
        </w:rPr>
        <w:t>县</w:t>
      </w:r>
      <w:r>
        <w:rPr>
          <w:rStyle w:val="14"/>
          <w:rFonts w:hint="eastAsia" w:ascii="仿宋_GB2312" w:hAnsi="仿宋_GB2312" w:eastAsia="仿宋_GB2312" w:cs="仿宋_GB2312"/>
          <w:color w:val="000000"/>
          <w:sz w:val="32"/>
          <w:szCs w:val="32"/>
        </w:rPr>
        <w:t>加强连接，从高频事项入手，确保在2021年底前能分别与省外、省内一个县市</w:t>
      </w:r>
      <w:r>
        <w:rPr>
          <w:rStyle w:val="14"/>
          <w:rFonts w:hint="eastAsia" w:ascii="仿宋_GB2312" w:hAnsi="仿宋_GB2312" w:eastAsia="仿宋_GB2312" w:cs="仿宋_GB2312"/>
          <w:color w:val="000000"/>
          <w:sz w:val="32"/>
          <w:szCs w:val="32"/>
          <w:lang w:eastAsia="zh-CN"/>
        </w:rPr>
        <w:t>县</w:t>
      </w:r>
      <w:r>
        <w:rPr>
          <w:rStyle w:val="14"/>
          <w:rFonts w:hint="eastAsia" w:ascii="仿宋_GB2312" w:hAnsi="仿宋_GB2312" w:eastAsia="仿宋_GB2312" w:cs="仿宋_GB2312"/>
          <w:color w:val="000000"/>
          <w:sz w:val="32"/>
          <w:szCs w:val="32"/>
        </w:rPr>
        <w:t>建立通办窗口，切实为企业群众提供异地可办、代收代办服务。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3" w:firstLineChars="200"/>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楷体_GB2312" w:hAnsi="楷体_GB2312" w:eastAsia="楷体_GB2312" w:cs="楷体_GB2312"/>
          <w:b/>
          <w:bCs/>
          <w:kern w:val="2"/>
          <w:sz w:val="32"/>
          <w:szCs w:val="32"/>
          <w:lang w:val="en-US" w:eastAsia="zh-CN" w:bidi="ar-SA"/>
        </w:rPr>
        <w:t>（六）深入推进“互联网+政务服务”工作。</w:t>
      </w:r>
      <w:r>
        <w:rPr>
          <w:rFonts w:hint="eastAsia" w:ascii="仿宋_GB2312" w:hAnsi="仿宋_GB2312" w:eastAsia="仿宋_GB2312" w:cs="仿宋_GB2312"/>
          <w:i w:val="0"/>
          <w:iCs w:val="0"/>
          <w:caps w:val="0"/>
          <w:color w:val="333333"/>
          <w:spacing w:val="0"/>
          <w:sz w:val="32"/>
          <w:szCs w:val="32"/>
          <w:shd w:val="clear" w:color="auto" w:fill="FFFFFF"/>
        </w:rPr>
        <w:t>我局在学习借鉴先进地区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及兄弟县</w:t>
      </w:r>
      <w:r>
        <w:rPr>
          <w:rFonts w:hint="eastAsia" w:ascii="仿宋_GB2312" w:hAnsi="仿宋_GB2312" w:eastAsia="仿宋_GB2312" w:cs="仿宋_GB2312"/>
          <w:i w:val="0"/>
          <w:iCs w:val="0"/>
          <w:caps w:val="0"/>
          <w:color w:val="333333"/>
          <w:spacing w:val="0"/>
          <w:sz w:val="32"/>
          <w:szCs w:val="32"/>
          <w:shd w:val="clear" w:color="auto" w:fill="FFFFFF"/>
        </w:rPr>
        <w:t>经验的同时，结合省一体化政务服务平台，积极与</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州大数据中心对接</w:t>
      </w:r>
      <w:r>
        <w:rPr>
          <w:rFonts w:hint="eastAsia" w:ascii="仿宋_GB2312" w:hAnsi="仿宋_GB2312" w:eastAsia="仿宋_GB2312" w:cs="仿宋_GB2312"/>
          <w:i w:val="0"/>
          <w:iCs w:val="0"/>
          <w:caps w:val="0"/>
          <w:color w:val="333333"/>
          <w:spacing w:val="0"/>
          <w:sz w:val="32"/>
          <w:szCs w:val="32"/>
          <w:shd w:val="clear" w:color="auto" w:fill="FFFFFF"/>
        </w:rPr>
        <w:t>，探索建立我县网络</w:t>
      </w:r>
      <w:r>
        <w:rPr>
          <w:rFonts w:hint="eastAsia" w:ascii="仿宋_GB2312" w:hAnsi="仿宋_GB2312" w:eastAsia="仿宋_GB2312" w:cs="仿宋_GB2312"/>
          <w:i w:val="0"/>
          <w:iCs w:val="0"/>
          <w:caps w:val="0"/>
          <w:color w:val="333333"/>
          <w:spacing w:val="0"/>
          <w:sz w:val="32"/>
          <w:szCs w:val="32"/>
          <w:shd w:val="clear" w:color="auto" w:fill="FFFFFF"/>
          <w:lang w:val="en-US" w:eastAsia="zh-CN"/>
        </w:rPr>
        <w:t>云</w:t>
      </w:r>
      <w:r>
        <w:rPr>
          <w:rFonts w:hint="eastAsia" w:ascii="仿宋_GB2312" w:hAnsi="仿宋_GB2312" w:eastAsia="仿宋_GB2312" w:cs="仿宋_GB2312"/>
          <w:i w:val="0"/>
          <w:iCs w:val="0"/>
          <w:caps w:val="0"/>
          <w:color w:val="333333"/>
          <w:spacing w:val="0"/>
          <w:sz w:val="32"/>
          <w:szCs w:val="32"/>
          <w:shd w:val="clear" w:color="auto" w:fill="FFFFFF"/>
        </w:rPr>
        <w:t>平台，按照“一窗受理、集成服务”模式，结合互联网、大数据等新兴技术的融合应用，通过提供智慧、便捷、高效的软硬件设施，逐步让群众办事更方便更快捷更高效。</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3" w:firstLineChars="200"/>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kern w:val="2"/>
          <w:sz w:val="32"/>
          <w:szCs w:val="32"/>
          <w:lang w:val="en-US" w:eastAsia="zh-CN" w:bidi="ar-SA"/>
        </w:rPr>
        <w:t>（七）落实政务服务“好差评”。</w:t>
      </w:r>
      <w:r>
        <w:rPr>
          <w:rFonts w:hint="eastAsia" w:ascii="仿宋_GB2312" w:hAnsi="仿宋_GB2312" w:eastAsia="仿宋_GB2312" w:cs="仿宋_GB2312"/>
          <w:i w:val="0"/>
          <w:iCs w:val="0"/>
          <w:caps w:val="0"/>
          <w:color w:val="333333"/>
          <w:spacing w:val="0"/>
          <w:sz w:val="32"/>
          <w:szCs w:val="32"/>
          <w:shd w:val="clear" w:color="auto" w:fill="FFFFFF"/>
        </w:rPr>
        <w:t>让企业和群众评判改革成效，运用服务评价器，开展政务服务“好差评”，请服务对象作出评价，倒逼落实服务承诺。 </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3" w:firstLineChars="200"/>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楷体_GB2312" w:hAnsi="楷体_GB2312" w:eastAsia="楷体_GB2312" w:cs="楷体_GB2312"/>
          <w:b/>
          <w:bCs/>
          <w:kern w:val="2"/>
          <w:sz w:val="32"/>
          <w:szCs w:val="32"/>
          <w:lang w:val="en-US" w:eastAsia="zh-CN" w:bidi="ar-SA"/>
        </w:rPr>
        <w:t>（八）提升12345热线办结率和满意度。</w:t>
      </w:r>
      <w:r>
        <w:rPr>
          <w:rFonts w:hint="eastAsia" w:ascii="仿宋_GB2312" w:hAnsi="仿宋_GB2312" w:eastAsia="仿宋_GB2312" w:cs="仿宋_GB2312"/>
          <w:b/>
          <w:bCs/>
          <w:i w:val="0"/>
          <w:iCs w:val="0"/>
          <w:caps w:val="0"/>
          <w:color w:val="333333"/>
          <w:spacing w:val="0"/>
          <w:sz w:val="32"/>
          <w:szCs w:val="32"/>
          <w:shd w:val="clear" w:color="auto" w:fill="FFFFFF"/>
        </w:rPr>
        <w:t>一是</w:t>
      </w:r>
      <w:r>
        <w:rPr>
          <w:rFonts w:hint="eastAsia" w:ascii="仿宋_GB2312" w:hAnsi="仿宋_GB2312" w:eastAsia="仿宋_GB2312" w:cs="仿宋_GB2312"/>
          <w:i w:val="0"/>
          <w:iCs w:val="0"/>
          <w:caps w:val="0"/>
          <w:color w:val="333333"/>
          <w:spacing w:val="0"/>
          <w:sz w:val="32"/>
          <w:szCs w:val="32"/>
          <w:shd w:val="clear" w:color="auto" w:fill="FFFFFF"/>
        </w:rPr>
        <w:t>邀请州12345热线中心来我县调研指导，开展业务培训，为我县把握工作方向，提高热线办理水平，提升满意率。</w:t>
      </w:r>
      <w:r>
        <w:rPr>
          <w:rFonts w:hint="eastAsia" w:ascii="仿宋_GB2312" w:hAnsi="仿宋_GB2312" w:eastAsia="仿宋_GB2312" w:cs="仿宋_GB2312"/>
          <w:b/>
          <w:bCs/>
          <w:i w:val="0"/>
          <w:iCs w:val="0"/>
          <w:caps w:val="0"/>
          <w:color w:val="333333"/>
          <w:spacing w:val="0"/>
          <w:sz w:val="32"/>
          <w:szCs w:val="32"/>
          <w:shd w:val="clear" w:color="auto" w:fill="FFFFFF"/>
        </w:rPr>
        <w:t>二是</w:t>
      </w:r>
      <w:r>
        <w:rPr>
          <w:rFonts w:hint="eastAsia" w:ascii="仿宋_GB2312" w:hAnsi="仿宋_GB2312" w:eastAsia="仿宋_GB2312" w:cs="仿宋_GB2312"/>
          <w:i w:val="0"/>
          <w:iCs w:val="0"/>
          <w:caps w:val="0"/>
          <w:color w:val="333333"/>
          <w:spacing w:val="0"/>
          <w:sz w:val="32"/>
          <w:szCs w:val="32"/>
          <w:shd w:val="clear" w:color="auto" w:fill="FFFFFF"/>
        </w:rPr>
        <w:t>完善工作制度，强化日常考核，缩短兑现周期，对工作失职、排名靠后的承办单位及责任人进行考核问责，做到有章必依、动真碰硬。</w:t>
      </w:r>
      <w:r>
        <w:rPr>
          <w:rFonts w:hint="eastAsia" w:ascii="仿宋_GB2312" w:hAnsi="仿宋_GB2312" w:eastAsia="仿宋_GB2312" w:cs="仿宋_GB2312"/>
          <w:b/>
          <w:bCs/>
          <w:i w:val="0"/>
          <w:iCs w:val="0"/>
          <w:caps w:val="0"/>
          <w:color w:val="333333"/>
          <w:spacing w:val="0"/>
          <w:sz w:val="32"/>
          <w:szCs w:val="32"/>
          <w:shd w:val="clear" w:color="auto" w:fill="FFFFFF"/>
        </w:rPr>
        <w:t>三是</w:t>
      </w:r>
      <w:r>
        <w:rPr>
          <w:rFonts w:hint="eastAsia" w:ascii="仿宋_GB2312" w:hAnsi="仿宋_GB2312" w:eastAsia="仿宋_GB2312" w:cs="仿宋_GB2312"/>
          <w:i w:val="0"/>
          <w:iCs w:val="0"/>
          <w:caps w:val="0"/>
          <w:color w:val="333333"/>
          <w:spacing w:val="0"/>
          <w:sz w:val="32"/>
          <w:szCs w:val="32"/>
          <w:shd w:val="clear" w:color="auto" w:fill="FFFFFF"/>
        </w:rPr>
        <w:t>加大督办力度，出台首接负责制度，引导承办单位自我联办，有效减少推诿扯皮现象，并完善“日督办、月通报”制度，保持压力传导实时动态，可查可比。</w:t>
      </w:r>
    </w:p>
    <w:p>
      <w:pPr>
        <w:pStyle w:val="24"/>
        <w:keepNext w:val="0"/>
        <w:keepLines w:val="0"/>
        <w:pageBreakBefore w:val="0"/>
        <w:kinsoku/>
        <w:wordWrap/>
        <w:overflowPunct/>
        <w:topLinePunct w:val="0"/>
        <w:autoSpaceDE/>
        <w:autoSpaceDN/>
        <w:bidi w:val="0"/>
        <w:adjustRightInd/>
        <w:snapToGrid/>
        <w:spacing w:line="520" w:lineRule="exact"/>
        <w:ind w:firstLine="643" w:firstLineChars="200"/>
        <w:rPr>
          <w:rFonts w:hint="eastAsia" w:ascii="仿宋_GB2312" w:hAnsi="仿宋_GB2312" w:eastAsia="仿宋_GB2312" w:cs="仿宋_GB2312"/>
          <w:i w:val="0"/>
          <w:iCs w:val="0"/>
          <w:caps w:val="0"/>
          <w:color w:val="333333"/>
          <w:spacing w:val="0"/>
          <w:kern w:val="0"/>
          <w:sz w:val="32"/>
          <w:szCs w:val="32"/>
          <w:shd w:val="clear" w:color="auto" w:fill="FFFFFF"/>
        </w:rPr>
      </w:pPr>
      <w:r>
        <w:rPr>
          <w:rFonts w:hint="eastAsia" w:ascii="楷体_GB2312" w:hAnsi="楷体_GB2312" w:eastAsia="楷体_GB2312" w:cs="楷体_GB2312"/>
          <w:b/>
          <w:bCs/>
          <w:kern w:val="2"/>
          <w:sz w:val="32"/>
          <w:szCs w:val="32"/>
          <w:lang w:val="en-US" w:eastAsia="zh-CN" w:bidi="ar-SA"/>
        </w:rPr>
        <w:t>（九）全面推动公共资源监管。</w:t>
      </w: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rPr>
        <w:t>落实优化营商环境相关政策，实现</w:t>
      </w:r>
      <w:r>
        <w:rPr>
          <w:rFonts w:hint="eastAsia" w:ascii="仿宋_GB2312" w:hAnsi="仿宋_GB2312" w:eastAsia="仿宋_GB2312" w:cs="仿宋_GB2312"/>
          <w:i w:val="0"/>
          <w:iCs w:val="0"/>
          <w:caps w:val="0"/>
          <w:color w:val="333333"/>
          <w:spacing w:val="0"/>
          <w:kern w:val="0"/>
          <w:sz w:val="32"/>
          <w:szCs w:val="32"/>
          <w:shd w:val="clear" w:color="auto" w:fill="FFFFFF"/>
        </w:rPr>
        <w:t>全流程电子化率及线上开标率100％；进一步简化招标投标流程，落实免收投标保证金；</w:t>
      </w:r>
    </w:p>
    <w:p>
      <w:pPr>
        <w:pStyle w:val="24"/>
        <w:keepNext w:val="0"/>
        <w:keepLines w:val="0"/>
        <w:pageBreakBefore w:val="0"/>
        <w:kinsoku/>
        <w:wordWrap/>
        <w:overflowPunct/>
        <w:topLinePunct w:val="0"/>
        <w:autoSpaceDE/>
        <w:autoSpaceDN/>
        <w:bidi w:val="0"/>
        <w:adjustRightInd/>
        <w:snapToGrid/>
        <w:spacing w:line="520" w:lineRule="exact"/>
        <w:ind w:firstLine="643" w:firstLineChars="200"/>
        <w:rPr>
          <w:rStyle w:val="14"/>
          <w:rFonts w:hint="eastAsia" w:ascii="仿宋_GB2312" w:hAnsi="仿宋_GB2312" w:eastAsia="仿宋_GB2312" w:cs="仿宋_GB2312"/>
          <w:color w:val="000000"/>
          <w:sz w:val="32"/>
          <w:szCs w:val="32"/>
        </w:rPr>
      </w:pPr>
      <w:r>
        <w:rPr>
          <w:rFonts w:hint="eastAsia" w:ascii="楷体_GB2312" w:hAnsi="楷体_GB2312" w:eastAsia="楷体_GB2312" w:cs="楷体_GB2312"/>
          <w:b/>
          <w:bCs/>
          <w:kern w:val="2"/>
          <w:sz w:val="32"/>
          <w:szCs w:val="32"/>
          <w:lang w:val="en-US" w:eastAsia="zh-CN" w:bidi="ar-SA"/>
        </w:rPr>
        <w:t>（十）主动推动各类中心工作。</w:t>
      </w:r>
      <w:r>
        <w:rPr>
          <w:rStyle w:val="14"/>
          <w:rFonts w:hint="eastAsia" w:ascii="仿宋_GB2312" w:hAnsi="仿宋_GB2312" w:eastAsia="仿宋_GB2312" w:cs="仿宋_GB2312"/>
          <w:color w:val="000000"/>
          <w:sz w:val="32"/>
          <w:szCs w:val="32"/>
        </w:rPr>
        <w:t>推动脱贫攻坚与乡村振兴的无缝连接，继续参与</w:t>
      </w:r>
      <w:r>
        <w:rPr>
          <w:rStyle w:val="14"/>
          <w:rFonts w:hint="eastAsia" w:ascii="仿宋_GB2312" w:hAnsi="仿宋_GB2312" w:eastAsia="仿宋_GB2312" w:cs="仿宋_GB2312"/>
          <w:color w:val="000000"/>
          <w:sz w:val="32"/>
          <w:szCs w:val="32"/>
          <w:lang w:val="en-US" w:eastAsia="zh-CN"/>
        </w:rPr>
        <w:t>江茸</w:t>
      </w:r>
      <w:r>
        <w:rPr>
          <w:rStyle w:val="14"/>
          <w:rFonts w:hint="eastAsia" w:ascii="仿宋_GB2312" w:hAnsi="仿宋_GB2312" w:eastAsia="仿宋_GB2312" w:cs="仿宋_GB2312"/>
          <w:color w:val="000000"/>
          <w:sz w:val="32"/>
          <w:szCs w:val="32"/>
        </w:rPr>
        <w:t>乡村基础设施建设，稳固和提升脱贫成效；着力</w:t>
      </w:r>
      <w:r>
        <w:rPr>
          <w:rStyle w:val="14"/>
          <w:rFonts w:hint="eastAsia" w:ascii="仿宋_GB2312" w:hAnsi="仿宋_GB2312" w:eastAsia="仿宋_GB2312" w:cs="仿宋_GB2312"/>
          <w:color w:val="000000"/>
          <w:sz w:val="32"/>
          <w:szCs w:val="32"/>
          <w:lang w:val="en-US" w:eastAsia="zh-CN"/>
        </w:rPr>
        <w:t>民族团结、</w:t>
      </w:r>
      <w:r>
        <w:rPr>
          <w:rStyle w:val="14"/>
          <w:rFonts w:hint="eastAsia" w:ascii="仿宋_GB2312" w:hAnsi="仿宋_GB2312" w:eastAsia="仿宋_GB2312" w:cs="仿宋_GB2312"/>
          <w:color w:val="000000"/>
          <w:sz w:val="32"/>
          <w:szCs w:val="32"/>
        </w:rPr>
        <w:t>综治、</w:t>
      </w:r>
      <w:r>
        <w:rPr>
          <w:rStyle w:val="14"/>
          <w:rFonts w:hint="eastAsia" w:ascii="仿宋_GB2312" w:hAnsi="仿宋_GB2312" w:eastAsia="仿宋_GB2312" w:cs="仿宋_GB2312"/>
          <w:color w:val="000000"/>
          <w:sz w:val="32"/>
          <w:szCs w:val="32"/>
          <w:lang w:val="en-US" w:eastAsia="zh-CN"/>
        </w:rPr>
        <w:t>依法治县</w:t>
      </w:r>
      <w:r>
        <w:rPr>
          <w:rStyle w:val="14"/>
          <w:rFonts w:hint="eastAsia" w:ascii="仿宋_GB2312" w:hAnsi="仿宋_GB2312" w:eastAsia="仿宋_GB2312" w:cs="仿宋_GB2312"/>
          <w:color w:val="000000"/>
          <w:sz w:val="32"/>
          <w:szCs w:val="32"/>
        </w:rPr>
        <w:t>等工作完成，提升单位综合实力和</w:t>
      </w:r>
      <w:r>
        <w:rPr>
          <w:rStyle w:val="14"/>
          <w:rFonts w:hint="eastAsia" w:ascii="仿宋_GB2312" w:hAnsi="仿宋_GB2312" w:eastAsia="仿宋_GB2312" w:cs="仿宋_GB2312"/>
          <w:color w:val="000000"/>
          <w:sz w:val="32"/>
          <w:szCs w:val="32"/>
          <w:lang w:eastAsia="zh-CN"/>
        </w:rPr>
        <w:t>县</w:t>
      </w:r>
      <w:r>
        <w:rPr>
          <w:rStyle w:val="14"/>
          <w:rFonts w:hint="eastAsia" w:ascii="仿宋_GB2312" w:hAnsi="仿宋_GB2312" w:eastAsia="仿宋_GB2312" w:cs="仿宋_GB2312"/>
          <w:color w:val="000000"/>
          <w:sz w:val="32"/>
          <w:szCs w:val="32"/>
        </w:rPr>
        <w:t>域影响力；抓好疫情常态化精准防控工作。</w:t>
      </w:r>
    </w:p>
    <w:p>
      <w:pPr>
        <w:pStyle w:val="5"/>
        <w:pageBreakBefore w:val="0"/>
        <w:kinsoku/>
        <w:wordWrap/>
        <w:overflowPunct/>
        <w:topLinePunct w:val="0"/>
        <w:bidi w:val="0"/>
        <w:spacing w:before="0" w:after="0" w:line="520" w:lineRule="exact"/>
        <w:ind w:firstLine="640" w:firstLineChars="200"/>
        <w:rPr>
          <w:rStyle w:val="19"/>
          <w:rFonts w:hint="eastAsia" w:ascii="黑体" w:hAnsi="黑体" w:eastAsia="黑体" w:cs="黑体"/>
          <w:b w:val="0"/>
          <w:bCs w:val="0"/>
          <w:color w:val="auto"/>
          <w:sz w:val="32"/>
          <w:szCs w:val="32"/>
        </w:rPr>
      </w:pPr>
      <w:r>
        <w:rPr>
          <w:rFonts w:hint="eastAsia" w:ascii="黑体" w:hAnsi="黑体" w:eastAsia="黑体" w:cs="黑体"/>
          <w:b w:val="0"/>
          <w:color w:val="auto"/>
          <w:sz w:val="32"/>
          <w:szCs w:val="32"/>
          <w:lang w:val="en-US" w:eastAsia="zh-CN"/>
        </w:rPr>
        <w:t>三</w:t>
      </w:r>
      <w:r>
        <w:rPr>
          <w:rFonts w:hint="eastAsia" w:ascii="黑体" w:hAnsi="黑体" w:eastAsia="黑体" w:cs="黑体"/>
          <w:b w:val="0"/>
          <w:color w:val="auto"/>
          <w:sz w:val="32"/>
          <w:szCs w:val="32"/>
        </w:rPr>
        <w:t>、机</w:t>
      </w:r>
      <w:r>
        <w:rPr>
          <w:rStyle w:val="19"/>
          <w:rFonts w:hint="eastAsia" w:ascii="黑体" w:hAnsi="黑体" w:eastAsia="黑体" w:cs="黑体"/>
          <w:b w:val="0"/>
          <w:bCs w:val="0"/>
          <w:color w:val="auto"/>
          <w:sz w:val="32"/>
          <w:szCs w:val="32"/>
        </w:rPr>
        <w:t>构设置</w:t>
      </w:r>
      <w:bookmarkEnd w:id="33"/>
      <w:bookmarkEnd w:id="34"/>
      <w:bookmarkEnd w:id="35"/>
    </w:p>
    <w:p>
      <w:pPr>
        <w:pStyle w:val="4"/>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b w:val="0"/>
          <w:bCs w:val="0"/>
          <w:color w:val="auto"/>
          <w:sz w:val="32"/>
          <w:szCs w:val="32"/>
          <w:lang w:val="en-US" w:eastAsia="zh-CN"/>
        </w:rPr>
      </w:pPr>
      <w:bookmarkStart w:id="36" w:name="_Toc27857"/>
      <w:bookmarkStart w:id="37" w:name="_Toc2431"/>
      <w:bookmarkStart w:id="38" w:name="_Toc26140"/>
      <w:r>
        <w:rPr>
          <w:rFonts w:hint="eastAsia" w:ascii="仿宋_GB2312" w:hAnsi="仿宋_GB2312" w:eastAsia="仿宋_GB2312" w:cs="仿宋_GB2312"/>
          <w:b w:val="0"/>
          <w:bCs w:val="0"/>
          <w:color w:val="auto"/>
          <w:sz w:val="32"/>
          <w:szCs w:val="32"/>
        </w:rPr>
        <w:t>县</w:t>
      </w:r>
      <w:r>
        <w:rPr>
          <w:rFonts w:hint="eastAsia" w:ascii="仿宋_GB2312" w:hAnsi="仿宋_GB2312" w:eastAsia="仿宋_GB2312" w:cs="仿宋_GB2312"/>
          <w:b w:val="0"/>
          <w:bCs w:val="0"/>
          <w:color w:val="auto"/>
          <w:sz w:val="32"/>
          <w:szCs w:val="32"/>
          <w:lang w:eastAsia="zh-CN"/>
        </w:rPr>
        <w:t>行政审批局</w:t>
      </w:r>
      <w:r>
        <w:rPr>
          <w:rFonts w:hint="eastAsia" w:ascii="仿宋_GB2312" w:hAnsi="仿宋_GB2312" w:eastAsia="仿宋_GB2312" w:cs="仿宋_GB2312"/>
          <w:b w:val="0"/>
          <w:bCs w:val="0"/>
          <w:color w:val="auto"/>
          <w:sz w:val="32"/>
          <w:szCs w:val="32"/>
        </w:rPr>
        <w:t>设</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个内设机构；</w:t>
      </w:r>
      <w:r>
        <w:rPr>
          <w:rFonts w:hint="eastAsia" w:ascii="仿宋_GB2312" w:hAnsi="仿宋_GB2312" w:eastAsia="仿宋_GB2312" w:cs="仿宋_GB2312"/>
          <w:b w:val="0"/>
          <w:bCs w:val="0"/>
          <w:color w:val="auto"/>
          <w:sz w:val="32"/>
          <w:szCs w:val="32"/>
          <w:lang w:eastAsia="zh-CN"/>
        </w:rPr>
        <w:t>政务服务和</w:t>
      </w:r>
      <w:r>
        <w:rPr>
          <w:rFonts w:hint="eastAsia" w:ascii="仿宋_GB2312" w:hAnsi="仿宋_GB2312" w:eastAsia="仿宋_GB2312" w:cs="仿宋_GB2312"/>
          <w:b w:val="0"/>
          <w:bCs w:val="0"/>
          <w:color w:val="auto"/>
          <w:sz w:val="32"/>
          <w:szCs w:val="32"/>
        </w:rPr>
        <w:t>公共资源交易中心</w:t>
      </w:r>
      <w:r>
        <w:rPr>
          <w:rFonts w:hint="eastAsia" w:ascii="仿宋_GB2312" w:hAnsi="仿宋_GB2312" w:eastAsia="仿宋_GB2312" w:cs="仿宋_GB2312"/>
          <w:b w:val="0"/>
          <w:bCs w:val="0"/>
          <w:color w:val="auto"/>
          <w:sz w:val="32"/>
          <w:szCs w:val="32"/>
          <w:lang w:eastAsia="zh-CN"/>
        </w:rPr>
        <w:t>、行政审批局本级，政务服务和公共资源交易中心下设招投标和采购股、招拍挂股、政务服务股、网络管理股</w:t>
      </w:r>
      <w:r>
        <w:rPr>
          <w:rFonts w:hint="eastAsia" w:ascii="仿宋_GB2312" w:hAnsi="仿宋_GB2312" w:eastAsia="仿宋_GB2312" w:cs="仿宋_GB2312"/>
          <w:b w:val="0"/>
          <w:bCs w:val="0"/>
          <w:color w:val="auto"/>
          <w:sz w:val="32"/>
          <w:szCs w:val="32"/>
          <w:lang w:val="en-US" w:eastAsia="zh-CN"/>
        </w:rPr>
        <w:t>4个内设机构</w:t>
      </w:r>
      <w:r>
        <w:rPr>
          <w:rFonts w:hint="eastAsia" w:ascii="仿宋_GB2312" w:hAnsi="仿宋_GB2312" w:eastAsia="仿宋_GB2312" w:cs="仿宋_GB2312"/>
          <w:b w:val="0"/>
          <w:bCs w:val="0"/>
          <w:color w:val="auto"/>
          <w:sz w:val="32"/>
          <w:szCs w:val="32"/>
        </w:rPr>
        <w:t>。</w:t>
      </w:r>
      <w:bookmarkStart w:id="39" w:name="_Toc15396602"/>
      <w:bookmarkStart w:id="40" w:name="_Toc15377204"/>
      <w:r>
        <w:rPr>
          <w:rFonts w:hint="eastAsia" w:ascii="仿宋_GB2312" w:hAnsi="仿宋_GB2312" w:eastAsia="仿宋_GB2312" w:cs="仿宋_GB2312"/>
          <w:b w:val="0"/>
          <w:bCs w:val="0"/>
          <w:color w:val="auto"/>
          <w:sz w:val="32"/>
          <w:szCs w:val="32"/>
          <w:lang w:eastAsia="zh-CN"/>
        </w:rPr>
        <w:t>行政审批局</w:t>
      </w:r>
      <w:r>
        <w:rPr>
          <w:rFonts w:hint="eastAsia" w:ascii="仿宋_GB2312" w:hAnsi="仿宋_GB2312" w:eastAsia="仿宋_GB2312" w:cs="仿宋_GB2312"/>
          <w:b w:val="0"/>
          <w:bCs w:val="0"/>
          <w:color w:val="auto"/>
          <w:sz w:val="32"/>
          <w:szCs w:val="32"/>
        </w:rPr>
        <w:t>核定行政编制4名。其中：设</w:t>
      </w:r>
      <w:r>
        <w:rPr>
          <w:rFonts w:hint="eastAsia" w:ascii="仿宋_GB2312" w:hAnsi="仿宋_GB2312" w:eastAsia="仿宋_GB2312" w:cs="仿宋_GB2312"/>
          <w:b w:val="0"/>
          <w:bCs w:val="0"/>
          <w:color w:val="auto"/>
          <w:sz w:val="32"/>
          <w:szCs w:val="32"/>
          <w:lang w:eastAsia="zh-CN"/>
        </w:rPr>
        <w:t>局长</w:t>
      </w:r>
      <w:r>
        <w:rPr>
          <w:rFonts w:hint="eastAsia" w:ascii="仿宋_GB2312" w:hAnsi="仿宋_GB2312" w:eastAsia="仿宋_GB2312" w:cs="仿宋_GB2312"/>
          <w:b w:val="0"/>
          <w:bCs w:val="0"/>
          <w:color w:val="auto"/>
          <w:sz w:val="32"/>
          <w:szCs w:val="32"/>
        </w:rPr>
        <w:t>1名、副</w:t>
      </w:r>
      <w:r>
        <w:rPr>
          <w:rFonts w:hint="eastAsia" w:ascii="仿宋_GB2312" w:hAnsi="仿宋_GB2312" w:eastAsia="仿宋_GB2312" w:cs="仿宋_GB2312"/>
          <w:b w:val="0"/>
          <w:bCs w:val="0"/>
          <w:color w:val="auto"/>
          <w:sz w:val="32"/>
          <w:szCs w:val="32"/>
          <w:lang w:eastAsia="zh-CN"/>
        </w:rPr>
        <w:t>局长</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名;股级领导职数</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名。机关工勤人员事业编制1名。红原县公共资源交易中心核定事业编制</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名，其中：主任1名（副科级），股级领导数</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名。</w:t>
      </w:r>
      <w:bookmarkEnd w:id="36"/>
      <w:r>
        <w:rPr>
          <w:rFonts w:hint="eastAsia" w:ascii="仿宋_GB2312" w:hAnsi="仿宋_GB2312" w:eastAsia="仿宋_GB2312" w:cs="仿宋_GB2312"/>
          <w:b w:val="0"/>
          <w:bCs w:val="0"/>
          <w:color w:val="auto"/>
          <w:sz w:val="32"/>
          <w:szCs w:val="32"/>
          <w:lang w:eastAsia="zh-CN"/>
        </w:rPr>
        <w:t>截止</w:t>
      </w:r>
      <w:r>
        <w:rPr>
          <w:rFonts w:hint="eastAsia" w:ascii="仿宋_GB2312" w:hAnsi="仿宋_GB2312" w:eastAsia="仿宋_GB2312" w:cs="仿宋_GB2312"/>
          <w:b w:val="0"/>
          <w:bCs w:val="0"/>
          <w:color w:val="auto"/>
          <w:sz w:val="32"/>
          <w:szCs w:val="32"/>
          <w:lang w:val="en-US" w:eastAsia="zh-CN"/>
        </w:rPr>
        <w:t>2021年底我局在职13人，其中行政4人，行政工勤1人，事业8人</w:t>
      </w:r>
      <w:bookmarkEnd w:id="37"/>
      <w:bookmarkEnd w:id="38"/>
      <w:r>
        <w:rPr>
          <w:rFonts w:hint="eastAsia" w:ascii="仿宋_GB2312" w:hAnsi="仿宋_GB2312" w:eastAsia="仿宋_GB2312" w:cs="仿宋_GB2312"/>
          <w:b w:val="0"/>
          <w:bCs w:val="0"/>
          <w:color w:val="auto"/>
          <w:sz w:val="32"/>
          <w:szCs w:val="32"/>
          <w:lang w:val="en-US" w:eastAsia="zh-CN"/>
        </w:rPr>
        <w:t>。</w:t>
      </w:r>
    </w:p>
    <w:p>
      <w:pPr>
        <w:rPr>
          <w:rFonts w:hint="eastAsia"/>
        </w:rPr>
      </w:pPr>
    </w:p>
    <w:p>
      <w:pPr>
        <w:pStyle w:val="4"/>
        <w:pageBreakBefore w:val="0"/>
        <w:kinsoku/>
        <w:wordWrap/>
        <w:overflowPunct/>
        <w:topLinePunct w:val="0"/>
        <w:bidi w:val="0"/>
        <w:spacing w:before="0" w:after="0" w:line="520" w:lineRule="exact"/>
        <w:ind w:firstLine="640" w:firstLineChars="200"/>
        <w:jc w:val="center"/>
        <w:rPr>
          <w:rFonts w:hint="eastAsia" w:ascii="黑体" w:hAnsi="黑体" w:eastAsia="黑体" w:cs="黑体"/>
          <w:color w:val="auto"/>
          <w:sz w:val="32"/>
          <w:szCs w:val="32"/>
        </w:rPr>
      </w:pPr>
      <w:bookmarkStart w:id="41" w:name="_Toc16190"/>
      <w:r>
        <w:rPr>
          <w:rFonts w:hint="eastAsia" w:ascii="黑体" w:hAnsi="黑体" w:eastAsia="黑体" w:cs="黑体"/>
          <w:b w:val="0"/>
          <w:color w:val="auto"/>
          <w:sz w:val="32"/>
          <w:szCs w:val="32"/>
        </w:rPr>
        <w:t>第二部分</w:t>
      </w:r>
      <w:r>
        <w:rPr>
          <w:rFonts w:hint="eastAsia" w:ascii="黑体" w:hAnsi="黑体" w:eastAsia="黑体" w:cs="黑体"/>
          <w:color w:val="auto"/>
          <w:sz w:val="32"/>
          <w:szCs w:val="32"/>
        </w:rPr>
        <w:t xml:space="preserve"> </w:t>
      </w:r>
      <w:r>
        <w:rPr>
          <w:rStyle w:val="18"/>
          <w:rFonts w:hint="eastAsia" w:ascii="黑体" w:hAnsi="黑体" w:eastAsia="黑体" w:cs="黑体"/>
          <w:b w:val="0"/>
          <w:bCs w:val="0"/>
          <w:color w:val="auto"/>
          <w:sz w:val="32"/>
          <w:szCs w:val="32"/>
        </w:rPr>
        <w:t>2</w:t>
      </w:r>
      <w:r>
        <w:rPr>
          <w:rStyle w:val="18"/>
          <w:rFonts w:hint="eastAsia" w:ascii="黑体" w:hAnsi="黑体" w:eastAsia="黑体" w:cs="黑体"/>
          <w:b w:val="0"/>
          <w:bCs w:val="0"/>
          <w:color w:val="auto"/>
          <w:sz w:val="32"/>
          <w:szCs w:val="32"/>
          <w:lang w:val="en-US" w:eastAsia="zh-CN"/>
        </w:rPr>
        <w:t>021</w:t>
      </w:r>
      <w:r>
        <w:rPr>
          <w:rStyle w:val="18"/>
          <w:rFonts w:hint="eastAsia" w:ascii="黑体" w:hAnsi="黑体" w:eastAsia="黑体" w:cs="黑体"/>
          <w:b w:val="0"/>
          <w:bCs w:val="0"/>
          <w:color w:val="auto"/>
          <w:sz w:val="32"/>
          <w:szCs w:val="32"/>
        </w:rPr>
        <w:t>年度部门决算情况说明</w:t>
      </w:r>
      <w:bookmarkEnd w:id="39"/>
      <w:bookmarkEnd w:id="40"/>
      <w:bookmarkEnd w:id="41"/>
    </w:p>
    <w:p>
      <w:pPr>
        <w:pStyle w:val="20"/>
        <w:pageBreakBefore w:val="0"/>
        <w:numPr>
          <w:ilvl w:val="0"/>
          <w:numId w:val="0"/>
        </w:numPr>
        <w:kinsoku/>
        <w:wordWrap/>
        <w:overflowPunct/>
        <w:topLinePunct w:val="0"/>
        <w:bidi w:val="0"/>
        <w:spacing w:line="520" w:lineRule="exact"/>
        <w:ind w:firstLine="640" w:firstLineChars="200"/>
        <w:outlineLvl w:val="1"/>
        <w:rPr>
          <w:rStyle w:val="19"/>
          <w:rFonts w:hint="eastAsia" w:ascii="黑体" w:hAnsi="黑体" w:eastAsia="黑体" w:cs="黑体"/>
          <w:b w:val="0"/>
          <w:color w:val="auto"/>
          <w:sz w:val="32"/>
          <w:szCs w:val="32"/>
        </w:rPr>
      </w:pPr>
      <w:bookmarkStart w:id="42" w:name="_Toc15396603"/>
      <w:bookmarkStart w:id="43" w:name="_Toc15377205"/>
      <w:bookmarkStart w:id="44" w:name="_Toc18434"/>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收</w:t>
      </w:r>
      <w:r>
        <w:rPr>
          <w:rStyle w:val="19"/>
          <w:rFonts w:hint="eastAsia" w:ascii="黑体" w:hAnsi="黑体" w:eastAsia="黑体" w:cs="黑体"/>
          <w:b w:val="0"/>
          <w:color w:val="auto"/>
          <w:sz w:val="32"/>
          <w:szCs w:val="32"/>
        </w:rPr>
        <w:t>入支出决算总体情况说明</w:t>
      </w:r>
      <w:bookmarkEnd w:id="42"/>
      <w:bookmarkEnd w:id="43"/>
      <w:bookmarkEnd w:id="44"/>
    </w:p>
    <w:p>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379.21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388.78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320.62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366.95</w:t>
      </w:r>
      <w:r>
        <w:rPr>
          <w:rFonts w:hint="eastAsia" w:ascii="仿宋_GB2312" w:hAnsi="仿宋_GB2312" w:eastAsia="仿宋_GB2312" w:cs="仿宋_GB2312"/>
          <w:color w:val="auto"/>
          <w:sz w:val="32"/>
          <w:szCs w:val="32"/>
        </w:rPr>
        <w:t>万元。与20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lang w:val="en-US" w:eastAsia="zh-CN"/>
        </w:rPr>
        <w:t>58.59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lang w:val="en-US" w:eastAsia="zh-CN"/>
        </w:rPr>
        <w:t>18.27</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58.59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18.27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主要变动原因</w:t>
      </w:r>
      <w:r>
        <w:rPr>
          <w:rFonts w:hint="eastAsia" w:ascii="仿宋_GB2312" w:hAnsi="仿宋_GB2312" w:eastAsia="仿宋_GB2312" w:cs="仿宋_GB2312"/>
          <w:color w:val="auto"/>
          <w:sz w:val="32"/>
          <w:szCs w:val="32"/>
          <w:lang w:val="en-US" w:eastAsia="zh-CN"/>
        </w:rPr>
        <w:t>为2021年目标绩效增加、人员增加，工资及社会保障、医疗卫生与计划生育等各项保障支出增加，电费水费等办公费用相应增加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388.78万</w:t>
      </w:r>
      <w:r>
        <w:rPr>
          <w:rFonts w:hint="eastAsia" w:ascii="仿宋_GB2312" w:hAnsi="仿宋_GB2312" w:eastAsia="仿宋_GB2312" w:cs="仿宋_GB2312"/>
          <w:color w:val="000000"/>
          <w:sz w:val="32"/>
          <w:szCs w:val="32"/>
          <w:lang w:eastAsia="zh-CN"/>
        </w:rPr>
        <w:t>元（含存量安排支出</w:t>
      </w:r>
      <w:r>
        <w:rPr>
          <w:rFonts w:hint="eastAsia" w:ascii="仿宋_GB2312" w:hAnsi="仿宋_GB2312" w:eastAsia="仿宋_GB2312" w:cs="仿宋_GB2312"/>
          <w:color w:val="000000"/>
          <w:sz w:val="32"/>
          <w:szCs w:val="32"/>
          <w:lang w:val="en-US" w:eastAsia="zh-CN"/>
        </w:rPr>
        <w:t>9.57万元，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324.34万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主要为人员工资、体检费、工伤失业保险、办公费、邮电费、电费、差旅费、印刷费、劳务费等；</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31.43万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rPr>
        <w:t>医疗卫生支出</w:t>
      </w:r>
      <w:r>
        <w:rPr>
          <w:rFonts w:hint="eastAsia" w:ascii="仿宋_GB2312" w:hAnsi="仿宋_GB2312" w:eastAsia="仿宋_GB2312" w:cs="仿宋_GB2312"/>
          <w:color w:val="000000"/>
          <w:sz w:val="32"/>
          <w:szCs w:val="32"/>
          <w:lang w:val="en-US" w:eastAsia="zh-CN"/>
        </w:rPr>
        <w:t>12.48万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全部为医疗保险、公务员医疗补助；住房保障支出20.53万元，全部为住房公积金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年相比，支出</w:t>
      </w:r>
      <w:r>
        <w:rPr>
          <w:rFonts w:hint="eastAsia" w:ascii="仿宋_GB2312" w:hAnsi="仿宋_GB2312" w:eastAsia="仿宋_GB2312" w:cs="仿宋_GB2312"/>
          <w:color w:val="000000"/>
          <w:sz w:val="32"/>
          <w:szCs w:val="32"/>
          <w:lang w:val="en-US" w:eastAsia="zh-CN"/>
        </w:rPr>
        <w:t>增加了</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21.83</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themeColor="text1"/>
          <w:sz w:val="32"/>
          <w:szCs w:val="32"/>
          <w14:textFill>
            <w14:solidFill>
              <w14:schemeClr w14:val="tx1"/>
            </w14:solidFill>
          </w14:textFill>
        </w:rPr>
        <w:t>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5.94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主要变动原因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2021年目标绩效增加、人员增加，工资及社会保障、医疗卫生与计划生育等各项保障支出增加，电费水费等办公费用相应增加。</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（图1：收、支决算总计变动情况图）（柱状图）</w:t>
      </w:r>
    </w:p>
    <w:p>
      <w:pPr>
        <w:pStyle w:val="2"/>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drawing>
          <wp:anchor distT="0" distB="0" distL="114300" distR="114300" simplePos="0" relativeHeight="251666432" behindDoc="0" locked="0" layoutInCell="1" allowOverlap="1">
            <wp:simplePos x="0" y="0"/>
            <wp:positionH relativeFrom="column">
              <wp:posOffset>728345</wp:posOffset>
            </wp:positionH>
            <wp:positionV relativeFrom="paragraph">
              <wp:posOffset>246380</wp:posOffset>
            </wp:positionV>
            <wp:extent cx="4099560" cy="2683510"/>
            <wp:effectExtent l="4445" t="4445" r="10795" b="1714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auto"/>
          <w:sz w:val="32"/>
          <w:szCs w:val="32"/>
          <w:lang w:eastAsia="zh-CN"/>
        </w:rPr>
        <w:object>
          <v:shape id="_x0000_i1030" o:spt="75" type="#_x0000_t75" style="height:0.05pt;width:0.05pt;" o:ole="t" filled="f" stroked="f" coordsize="21600,21600">
            <v:path/>
            <v:fill on="f" focussize="0,0"/>
            <v:stroke on="f"/>
            <v:imagedata o:title=""/>
            <o:lock v:ext="edit" aspectratio="t"/>
            <w10:wrap type="none"/>
            <w10:anchorlock/>
          </v:shape>
          <o:OLEObject Type="Embed" ProgID="Excel.Chart.8" ShapeID="_x0000_i1030" DrawAspect="Content" ObjectID="_1468075730" r:id="rId12">
            <o:LockedField>false</o:LockedField>
          </o:OLEObject>
        </w:object>
      </w:r>
      <w:r>
        <w:rPr>
          <w:rFonts w:hint="eastAsia" w:ascii="仿宋_GB2312" w:hAnsi="仿宋_GB2312" w:eastAsia="仿宋_GB2312" w:cs="仿宋_GB2312"/>
          <w:color w:val="auto"/>
          <w:sz w:val="32"/>
          <w:szCs w:val="32"/>
          <w:lang w:eastAsia="zh-CN"/>
        </w:rPr>
        <w:object>
          <v:shape id="_x0000_i1031" o:spt="75" type="#_x0000_t75" style="height:0.05pt;width:0.05pt;" o:ole="t" filled="f" stroked="f" coordsize="21600,21600">
            <v:path/>
            <v:fill on="f" focussize="0,0"/>
            <v:stroke on="f"/>
            <v:imagedata o:title=""/>
            <o:lock v:ext="edit" aspectratio="t"/>
            <w10:wrap type="none"/>
            <w10:anchorlock/>
          </v:shape>
          <o:OLEObject Type="Embed" ProgID="Excel.Chart.8" ShapeID="_x0000_i1031" DrawAspect="Content" ObjectID="_1468075731" r:id="rId13">
            <o:LockedField>false</o:LockedField>
          </o:OLEObject>
        </w:object>
      </w:r>
    </w:p>
    <w:p>
      <w:pPr>
        <w:pStyle w:val="7"/>
        <w:pageBreakBefore w:val="0"/>
        <w:kinsoku/>
        <w:wordWrap/>
        <w:overflowPunct/>
        <w:topLinePunct w:val="0"/>
        <w:bidi w:val="0"/>
        <w:spacing w:line="520" w:lineRule="exact"/>
        <w:ind w:firstLine="640" w:firstLineChars="200"/>
        <w:rPr>
          <w:rFonts w:hint="eastAsia" w:ascii="仿宋_GB2312" w:hAnsi="仿宋_GB2312" w:eastAsia="仿宋_GB2312" w:cs="仿宋_GB2312"/>
          <w:sz w:val="32"/>
          <w:szCs w:val="32"/>
          <w:lang w:eastAsia="zh-CN"/>
        </w:rPr>
      </w:pPr>
    </w:p>
    <w:p>
      <w:pPr>
        <w:pStyle w:val="2"/>
        <w:pageBreakBefore w:val="0"/>
        <w:kinsoku/>
        <w:wordWrap/>
        <w:overflowPunct/>
        <w:topLinePunct w:val="0"/>
        <w:bidi w:val="0"/>
        <w:spacing w:after="0" w:line="52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object>
          <v:shape id="_x0000_i1032" o:spt="75" type="#_x0000_t75" style="height:0.05pt;width:0.05pt;" o:ole="t" filled="f" stroked="f" coordsize="21600,21600">
            <v:path/>
            <v:fill on="f" focussize="0,0"/>
            <v:stroke on="f"/>
            <v:imagedata o:title=""/>
            <o:lock v:ext="edit" aspectratio="t"/>
            <w10:wrap type="none"/>
            <w10:anchorlock/>
          </v:shape>
          <o:OLEObject Type="Embed" ProgID="Excel.Chart.8" ShapeID="_x0000_i1032" DrawAspect="Content" ObjectID="_1468075732" r:id="rId14">
            <o:LockedField>false</o:LockedField>
          </o:OLEObject>
        </w:object>
      </w:r>
    </w:p>
    <w:p>
      <w:pPr>
        <w:pStyle w:val="20"/>
        <w:pageBreakBefore w:val="0"/>
        <w:numPr>
          <w:ilvl w:val="0"/>
          <w:numId w:val="0"/>
        </w:numPr>
        <w:kinsoku/>
        <w:wordWrap/>
        <w:overflowPunct/>
        <w:topLinePunct w:val="0"/>
        <w:bidi w:val="0"/>
        <w:spacing w:line="520" w:lineRule="exact"/>
        <w:ind w:leftChars="200"/>
        <w:outlineLvl w:val="1"/>
        <w:rPr>
          <w:rStyle w:val="19"/>
          <w:rFonts w:hint="eastAsia" w:ascii="仿宋_GB2312" w:hAnsi="仿宋_GB2312" w:eastAsia="仿宋_GB2312" w:cs="仿宋_GB2312"/>
          <w:b w:val="0"/>
          <w:color w:val="auto"/>
          <w:sz w:val="32"/>
          <w:szCs w:val="32"/>
        </w:rPr>
      </w:pPr>
      <w:bookmarkStart w:id="45" w:name="_Toc15396604"/>
      <w:bookmarkStart w:id="46" w:name="_Toc12898"/>
      <w:bookmarkStart w:id="47" w:name="_Toc15377206"/>
    </w:p>
    <w:p>
      <w:pPr>
        <w:pStyle w:val="20"/>
        <w:pageBreakBefore w:val="0"/>
        <w:numPr>
          <w:ilvl w:val="0"/>
          <w:numId w:val="0"/>
        </w:numPr>
        <w:kinsoku/>
        <w:wordWrap/>
        <w:overflowPunct/>
        <w:topLinePunct w:val="0"/>
        <w:bidi w:val="0"/>
        <w:spacing w:line="520" w:lineRule="exact"/>
        <w:ind w:leftChars="200"/>
        <w:outlineLvl w:val="1"/>
        <w:rPr>
          <w:rStyle w:val="19"/>
          <w:rFonts w:hint="eastAsia" w:ascii="仿宋_GB2312" w:hAnsi="仿宋_GB2312" w:eastAsia="仿宋_GB2312" w:cs="仿宋_GB2312"/>
          <w:b w:val="0"/>
          <w:color w:val="auto"/>
          <w:sz w:val="32"/>
          <w:szCs w:val="32"/>
        </w:rPr>
      </w:pPr>
    </w:p>
    <w:p>
      <w:pPr>
        <w:pStyle w:val="20"/>
        <w:pageBreakBefore w:val="0"/>
        <w:numPr>
          <w:ilvl w:val="0"/>
          <w:numId w:val="0"/>
        </w:numPr>
        <w:kinsoku/>
        <w:wordWrap/>
        <w:overflowPunct/>
        <w:topLinePunct w:val="0"/>
        <w:bidi w:val="0"/>
        <w:spacing w:line="520" w:lineRule="exact"/>
        <w:ind w:leftChars="200"/>
        <w:outlineLvl w:val="1"/>
        <w:rPr>
          <w:rStyle w:val="19"/>
          <w:rFonts w:hint="eastAsia" w:ascii="仿宋_GB2312" w:hAnsi="仿宋_GB2312" w:eastAsia="仿宋_GB2312" w:cs="仿宋_GB2312"/>
          <w:b w:val="0"/>
          <w:color w:val="auto"/>
          <w:sz w:val="32"/>
          <w:szCs w:val="32"/>
        </w:rPr>
      </w:pPr>
    </w:p>
    <w:p>
      <w:pPr>
        <w:pStyle w:val="20"/>
        <w:pageBreakBefore w:val="0"/>
        <w:numPr>
          <w:ilvl w:val="0"/>
          <w:numId w:val="0"/>
        </w:numPr>
        <w:kinsoku/>
        <w:wordWrap/>
        <w:overflowPunct/>
        <w:topLinePunct w:val="0"/>
        <w:bidi w:val="0"/>
        <w:spacing w:line="520" w:lineRule="exact"/>
        <w:ind w:leftChars="200"/>
        <w:outlineLvl w:val="1"/>
        <w:rPr>
          <w:rStyle w:val="19"/>
          <w:rFonts w:hint="eastAsia" w:ascii="仿宋_GB2312" w:hAnsi="仿宋_GB2312" w:eastAsia="仿宋_GB2312" w:cs="仿宋_GB2312"/>
          <w:b w:val="0"/>
          <w:color w:val="auto"/>
          <w:sz w:val="32"/>
          <w:szCs w:val="32"/>
        </w:rPr>
      </w:pPr>
    </w:p>
    <w:p>
      <w:pPr>
        <w:pStyle w:val="20"/>
        <w:pageBreakBefore w:val="0"/>
        <w:numPr>
          <w:ilvl w:val="0"/>
          <w:numId w:val="0"/>
        </w:numPr>
        <w:kinsoku/>
        <w:wordWrap/>
        <w:overflowPunct/>
        <w:topLinePunct w:val="0"/>
        <w:bidi w:val="0"/>
        <w:spacing w:line="520" w:lineRule="exact"/>
        <w:ind w:leftChars="200"/>
        <w:outlineLvl w:val="1"/>
        <w:rPr>
          <w:rStyle w:val="19"/>
          <w:rFonts w:hint="eastAsia" w:ascii="仿宋_GB2312" w:hAnsi="仿宋_GB2312" w:eastAsia="仿宋_GB2312" w:cs="仿宋_GB2312"/>
          <w:b w:val="0"/>
          <w:color w:val="auto"/>
          <w:sz w:val="32"/>
          <w:szCs w:val="32"/>
        </w:rPr>
      </w:pPr>
    </w:p>
    <w:p>
      <w:pPr>
        <w:pStyle w:val="20"/>
        <w:pageBreakBefore w:val="0"/>
        <w:numPr>
          <w:ilvl w:val="0"/>
          <w:numId w:val="0"/>
        </w:numPr>
        <w:kinsoku/>
        <w:wordWrap/>
        <w:overflowPunct/>
        <w:topLinePunct w:val="0"/>
        <w:bidi w:val="0"/>
        <w:spacing w:line="520" w:lineRule="exact"/>
        <w:outlineLvl w:val="1"/>
        <w:rPr>
          <w:rStyle w:val="19"/>
          <w:rFonts w:hint="eastAsia" w:ascii="仿宋_GB2312" w:hAnsi="仿宋_GB2312" w:eastAsia="仿宋_GB2312" w:cs="仿宋_GB2312"/>
          <w:b w:val="0"/>
          <w:color w:val="auto"/>
          <w:sz w:val="32"/>
          <w:szCs w:val="32"/>
        </w:rPr>
      </w:pPr>
    </w:p>
    <w:p>
      <w:pPr>
        <w:pStyle w:val="20"/>
        <w:pageBreakBefore w:val="0"/>
        <w:numPr>
          <w:ilvl w:val="0"/>
          <w:numId w:val="1"/>
        </w:numPr>
        <w:kinsoku/>
        <w:wordWrap/>
        <w:overflowPunct/>
        <w:topLinePunct w:val="0"/>
        <w:bidi w:val="0"/>
        <w:spacing w:line="520" w:lineRule="exact"/>
        <w:ind w:left="0" w:firstLine="640" w:firstLineChars="200"/>
        <w:outlineLvl w:val="1"/>
        <w:rPr>
          <w:rStyle w:val="19"/>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收</w:t>
      </w:r>
      <w:r>
        <w:rPr>
          <w:rStyle w:val="19"/>
          <w:rFonts w:hint="eastAsia" w:ascii="仿宋_GB2312" w:hAnsi="仿宋_GB2312" w:eastAsia="仿宋_GB2312" w:cs="仿宋_GB2312"/>
          <w:b w:val="0"/>
          <w:color w:val="auto"/>
          <w:sz w:val="32"/>
          <w:szCs w:val="32"/>
        </w:rPr>
        <w:t>入决算情况说明</w:t>
      </w:r>
      <w:bookmarkEnd w:id="45"/>
      <w:bookmarkEnd w:id="46"/>
      <w:bookmarkEnd w:id="47"/>
    </w:p>
    <w:p>
      <w:pPr>
        <w:pageBreakBefore w:val="0"/>
        <w:kinsoku/>
        <w:wordWrap/>
        <w:overflowPunct/>
        <w:topLinePunct w:val="0"/>
        <w:bidi w:val="0"/>
        <w:spacing w:line="520" w:lineRule="exact"/>
        <w:ind w:firstLine="640" w:firstLineChars="200"/>
        <w:outlineLvl w:val="1"/>
        <w:rPr>
          <w:rFonts w:hint="eastAsia" w:ascii="仿宋_GB2312" w:hAnsi="仿宋_GB2312" w:eastAsia="仿宋_GB2312" w:cs="仿宋_GB2312"/>
          <w:color w:val="auto"/>
          <w:sz w:val="32"/>
          <w:szCs w:val="32"/>
          <w:lang w:val="en-US" w:eastAsia="zh-CN"/>
        </w:rPr>
      </w:pPr>
      <w:bookmarkStart w:id="48" w:name="_Toc7466"/>
      <w:bookmarkStart w:id="49" w:name="_Toc12702"/>
      <w:bookmarkStart w:id="50" w:name="_Toc18577"/>
      <w:r>
        <w:rPr>
          <w:rFonts w:hint="eastAsia" w:ascii="仿宋_GB2312" w:hAnsi="仿宋_GB2312" w:eastAsia="仿宋_GB2312" w:cs="仿宋_GB2312"/>
          <w:color w:val="auto"/>
          <w:sz w:val="32"/>
          <w:szCs w:val="32"/>
          <w:lang w:val="en-US" w:eastAsia="zh-CN"/>
        </w:rPr>
        <w:t>2021年本年收入合计379.21万元，</w:t>
      </w:r>
      <w:r>
        <w:rPr>
          <w:rFonts w:hint="eastAsia" w:ascii="仿宋_GB2312" w:hAnsi="仿宋_GB2312" w:eastAsia="仿宋_GB2312" w:cs="仿宋_GB2312"/>
          <w:color w:val="auto"/>
          <w:sz w:val="32"/>
          <w:szCs w:val="32"/>
        </w:rPr>
        <w:t>其中：一般公共预算财政拨款</w:t>
      </w:r>
      <w:r>
        <w:rPr>
          <w:rFonts w:hint="eastAsia" w:ascii="仿宋_GB2312" w:hAnsi="仿宋_GB2312" w:eastAsia="仿宋_GB2312" w:cs="仿宋_GB2312"/>
          <w:color w:val="auto"/>
          <w:sz w:val="32"/>
          <w:szCs w:val="32"/>
          <w:lang w:val="en-US" w:eastAsia="zh-CN"/>
        </w:rPr>
        <w:t>支出314.77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83.01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社会保障和就业支出31.43万元，占8.28%；卫生健康支出12.48万元，占3.29%；住房保障支出20.53万元，占</w:t>
      </w:r>
      <w:bookmarkEnd w:id="48"/>
      <w:bookmarkEnd w:id="49"/>
      <w:bookmarkEnd w:id="50"/>
      <w:r>
        <w:rPr>
          <w:rFonts w:hint="eastAsia" w:ascii="仿宋_GB2312" w:hAnsi="仿宋_GB2312" w:eastAsia="仿宋_GB2312" w:cs="仿宋_GB2312"/>
          <w:color w:val="auto"/>
          <w:sz w:val="32"/>
          <w:szCs w:val="32"/>
          <w:lang w:val="en-US" w:eastAsia="zh-CN"/>
        </w:rPr>
        <w:t>5.42%</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（图2：收入决算结构图）（饼状图）</w:t>
      </w:r>
    </w:p>
    <w:p>
      <w:pPr>
        <w:pStyle w:val="2"/>
        <w:pageBreakBefore w:val="0"/>
        <w:kinsoku/>
        <w:wordWrap/>
        <w:overflowPunct/>
        <w:topLinePunct w:val="0"/>
        <w:bidi w:val="0"/>
        <w:spacing w:line="520" w:lineRule="exact"/>
        <w:ind w:left="31680" w:firstLine="640" w:firstLineChars="200"/>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sz w:val="32"/>
          <w:szCs w:val="32"/>
          <w:lang w:eastAsia="zh-CN"/>
        </w:rPr>
        <w:drawing>
          <wp:anchor distT="0" distB="0" distL="114300" distR="114300" simplePos="0" relativeHeight="251667456" behindDoc="0" locked="0" layoutInCell="1" allowOverlap="1">
            <wp:simplePos x="0" y="0"/>
            <wp:positionH relativeFrom="column">
              <wp:posOffset>394970</wp:posOffset>
            </wp:positionH>
            <wp:positionV relativeFrom="paragraph">
              <wp:posOffset>-7898765</wp:posOffset>
            </wp:positionV>
            <wp:extent cx="4537710" cy="3478530"/>
            <wp:effectExtent l="4445" t="4445" r="10795" b="2222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_GB2312" w:eastAsia="仿宋_GB2312" w:cs="仿宋_GB2312"/>
          <w:color w:val="auto"/>
          <w:sz w:val="32"/>
          <w:szCs w:val="32"/>
          <w:lang w:eastAsia="zh-CN"/>
        </w:rPr>
        <w:object>
          <v:shape id="_x0000_i1033" o:spt="75" type="#_x0000_t75" style="height:0.05pt;width:0.05pt;" o:ole="t" filled="f" stroked="f" coordsize="21600,21600">
            <v:path/>
            <v:fill on="f" focussize="0,0"/>
            <v:stroke on="f"/>
            <v:imagedata o:title=""/>
            <o:lock v:ext="edit" aspectratio="t"/>
            <w10:wrap type="none"/>
            <w10:anchorlock/>
          </v:shape>
          <o:OLEObject Type="Embed" ProgID="Excel.Chart.8" ShapeID="_x0000_i1033" DrawAspect="Content" ObjectID="_1468075733" r:id="rId16">
            <o:LockedField>false</o:LockedField>
          </o:OLEObject>
        </w:object>
      </w:r>
      <w:bookmarkStart w:id="51" w:name="_Toc15377207"/>
      <w:bookmarkStart w:id="52" w:name="_Toc15396605"/>
      <w:bookmarkStart w:id="53" w:name="_Toc30536"/>
    </w:p>
    <w:p>
      <w:pPr>
        <w:pStyle w:val="20"/>
        <w:pageBreakBefore w:val="0"/>
        <w:numPr>
          <w:ilvl w:val="0"/>
          <w:numId w:val="0"/>
        </w:numPr>
        <w:kinsoku/>
        <w:wordWrap/>
        <w:overflowPunct/>
        <w:topLinePunct w:val="0"/>
        <w:bidi w:val="0"/>
        <w:spacing w:line="520" w:lineRule="exact"/>
        <w:ind w:leftChars="200" w:firstLine="640" w:firstLineChars="200"/>
        <w:outlineLvl w:val="1"/>
        <w:rPr>
          <w:rStyle w:val="19"/>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支</w:t>
      </w:r>
      <w:r>
        <w:rPr>
          <w:rStyle w:val="19"/>
          <w:rFonts w:hint="eastAsia" w:ascii="黑体" w:hAnsi="黑体" w:eastAsia="黑体" w:cs="黑体"/>
          <w:b w:val="0"/>
          <w:bCs w:val="0"/>
          <w:color w:val="000000" w:themeColor="text1"/>
          <w:sz w:val="32"/>
          <w:szCs w:val="32"/>
          <w14:textFill>
            <w14:solidFill>
              <w14:schemeClr w14:val="tx1"/>
            </w14:solidFill>
          </w14:textFill>
        </w:rPr>
        <w:t>出决算情况说明</w:t>
      </w:r>
      <w:bookmarkEnd w:id="51"/>
      <w:bookmarkEnd w:id="52"/>
      <w:bookmarkEnd w:id="53"/>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2021年本年支出合计388.78万元，其中：一般公共服务支出324.34万元，占83.42%；社会保障和就业支出31.43万元，占8.08%；卫生健康支出12.48万元，占3.21%；住房保障支出20.53万元，占5.29%。</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（图3：支出决算结构图）（饼状图）</w:t>
      </w:r>
    </w:p>
    <w:p>
      <w:pPr>
        <w:pStyle w:val="2"/>
        <w:pageBreakBefore w:val="0"/>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drawing>
          <wp:anchor distT="0" distB="0" distL="114300" distR="114300" simplePos="0" relativeHeight="251668480" behindDoc="0" locked="0" layoutInCell="1" allowOverlap="1">
            <wp:simplePos x="0" y="0"/>
            <wp:positionH relativeFrom="column">
              <wp:posOffset>-62230</wp:posOffset>
            </wp:positionH>
            <wp:positionV relativeFrom="paragraph">
              <wp:posOffset>243205</wp:posOffset>
            </wp:positionV>
            <wp:extent cx="5375910" cy="3086735"/>
            <wp:effectExtent l="4445" t="4445" r="10795" b="13970"/>
            <wp:wrapSquare wrapText="bothSides"/>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pStyle w:val="2"/>
        <w:pageBreakBefore w:val="0"/>
        <w:kinsoku/>
        <w:wordWrap/>
        <w:overflowPunct/>
        <w:topLinePunct w:val="0"/>
        <w:bidi w:val="0"/>
        <w:spacing w:line="520" w:lineRule="exact"/>
        <w:ind w:left="3168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object>
          <v:shape id="_x0000_i1034" o:spt="75" type="#_x0000_t75" style="height:0.05pt;width:0.05pt;" o:ole="t" filled="f" stroked="f" coordsize="21600,21600">
            <v:path/>
            <v:fill on="f" focussize="0,0"/>
            <v:stroke on="f"/>
            <v:imagedata o:title=""/>
            <o:lock v:ext="edit" aspectratio="t"/>
            <w10:wrap type="none"/>
            <w10:anchorlock/>
          </v:shape>
          <o:OLEObject Type="Embed" ProgID="Excel.Chart.8" ShapeID="_x0000_i1034" DrawAspect="Content" ObjectID="_1468075734" r:id="rId18">
            <o:LockedField>false</o:LockedField>
          </o:OLEObject>
        </w:object>
      </w:r>
      <w:bookmarkStart w:id="54" w:name="_Toc15377208"/>
      <w:bookmarkStart w:id="55" w:name="_Toc15396606"/>
    </w:p>
    <w:p>
      <w:pPr>
        <w:pageBreakBefore w:val="0"/>
        <w:kinsoku/>
        <w:wordWrap/>
        <w:overflowPunct/>
        <w:topLinePunct w:val="0"/>
        <w:bidi w:val="0"/>
        <w:spacing w:line="520" w:lineRule="exact"/>
        <w:ind w:firstLine="640" w:firstLineChars="200"/>
        <w:outlineLvl w:val="1"/>
        <w:rPr>
          <w:rFonts w:hint="eastAsia" w:ascii="仿宋_GB2312" w:hAnsi="仿宋_GB2312" w:eastAsia="仿宋_GB2312" w:cs="仿宋_GB2312"/>
          <w:color w:val="auto"/>
          <w:sz w:val="32"/>
          <w:szCs w:val="32"/>
        </w:rPr>
      </w:pPr>
    </w:p>
    <w:p>
      <w:pPr>
        <w:pageBreakBefore w:val="0"/>
        <w:kinsoku/>
        <w:wordWrap/>
        <w:overflowPunct/>
        <w:topLinePunct w:val="0"/>
        <w:bidi w:val="0"/>
        <w:spacing w:line="520" w:lineRule="exact"/>
        <w:ind w:firstLine="640" w:firstLineChars="200"/>
        <w:outlineLvl w:val="1"/>
        <w:rPr>
          <w:rStyle w:val="19"/>
          <w:rFonts w:hint="eastAsia" w:ascii="黑体" w:hAnsi="黑体" w:eastAsia="黑体" w:cs="黑体"/>
          <w:b w:val="0"/>
          <w:color w:val="auto"/>
          <w:sz w:val="32"/>
          <w:szCs w:val="32"/>
        </w:rPr>
      </w:pPr>
      <w:bookmarkStart w:id="56" w:name="_Toc4347"/>
      <w:r>
        <w:rPr>
          <w:rFonts w:hint="eastAsia" w:ascii="黑体" w:hAnsi="黑体" w:eastAsia="黑体" w:cs="黑体"/>
          <w:color w:val="auto"/>
          <w:sz w:val="32"/>
          <w:szCs w:val="32"/>
        </w:rPr>
        <w:t>四、财</w:t>
      </w:r>
      <w:r>
        <w:rPr>
          <w:rStyle w:val="19"/>
          <w:rFonts w:hint="eastAsia" w:ascii="黑体" w:hAnsi="黑体" w:eastAsia="黑体" w:cs="黑体"/>
          <w:b w:val="0"/>
          <w:color w:val="auto"/>
          <w:sz w:val="32"/>
          <w:szCs w:val="32"/>
        </w:rPr>
        <w:t>政拨款收入支出决算总体情况说明</w:t>
      </w:r>
      <w:bookmarkEnd w:id="54"/>
      <w:bookmarkEnd w:id="55"/>
      <w:bookmarkEnd w:id="56"/>
    </w:p>
    <w:p>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379.21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388.78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年度收入</w:t>
      </w:r>
      <w:r>
        <w:rPr>
          <w:rFonts w:hint="eastAsia" w:ascii="仿宋_GB2312" w:hAnsi="仿宋_GB2312" w:eastAsia="仿宋_GB2312" w:cs="仿宋_GB2312"/>
          <w:color w:val="auto"/>
          <w:sz w:val="32"/>
          <w:szCs w:val="32"/>
          <w:lang w:val="en-US" w:eastAsia="zh-CN"/>
        </w:rPr>
        <w:t xml:space="preserve">320.62 </w:t>
      </w:r>
      <w:r>
        <w:rPr>
          <w:rFonts w:hint="eastAsia" w:ascii="仿宋_GB2312" w:hAnsi="仿宋_GB2312" w:eastAsia="仿宋_GB2312" w:cs="仿宋_GB2312"/>
          <w:color w:val="auto"/>
          <w:sz w:val="32"/>
          <w:szCs w:val="32"/>
        </w:rPr>
        <w:t>万元、支出</w:t>
      </w:r>
      <w:r>
        <w:rPr>
          <w:rFonts w:hint="eastAsia" w:ascii="仿宋_GB2312" w:hAnsi="仿宋_GB2312" w:eastAsia="仿宋_GB2312" w:cs="仿宋_GB2312"/>
          <w:color w:val="auto"/>
          <w:sz w:val="32"/>
          <w:szCs w:val="32"/>
          <w:lang w:val="en-US" w:eastAsia="zh-CN"/>
        </w:rPr>
        <w:t>366.95</w:t>
      </w:r>
      <w:r>
        <w:rPr>
          <w:rFonts w:hint="eastAsia" w:ascii="仿宋_GB2312" w:hAnsi="仿宋_GB2312" w:eastAsia="仿宋_GB2312" w:cs="仿宋_GB2312"/>
          <w:color w:val="auto"/>
          <w:sz w:val="32"/>
          <w:szCs w:val="32"/>
        </w:rPr>
        <w:t>万元。与20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lang w:val="en-US" w:eastAsia="zh-CN"/>
        </w:rPr>
        <w:t>58.59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lang w:val="en-US" w:eastAsia="zh-CN"/>
        </w:rPr>
        <w:t>18.27</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58.6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rPr>
        <w:t>了</w:t>
      </w:r>
      <w:r>
        <w:rPr>
          <w:rFonts w:hint="eastAsia" w:ascii="仿宋_GB2312" w:hAnsi="仿宋_GB2312" w:eastAsia="仿宋_GB2312" w:cs="仿宋_GB2312"/>
          <w:color w:val="auto"/>
          <w:sz w:val="32"/>
          <w:szCs w:val="32"/>
          <w:lang w:val="en-US" w:eastAsia="zh-CN"/>
        </w:rPr>
        <w:t>18.27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主要变动原因</w:t>
      </w:r>
      <w:r>
        <w:rPr>
          <w:rFonts w:hint="eastAsia" w:ascii="仿宋_GB2312" w:hAnsi="仿宋_GB2312" w:eastAsia="仿宋_GB2312" w:cs="仿宋_GB2312"/>
          <w:color w:val="auto"/>
          <w:sz w:val="32"/>
          <w:szCs w:val="32"/>
          <w:lang w:val="en-US" w:eastAsia="zh-CN"/>
        </w:rPr>
        <w:t>为2021年目标绩效增加、人员增加，工资及社会保障、医疗卫生与计划生育等各项保障支出增加，电费水费等办公费用相应增加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388.78万</w:t>
      </w:r>
      <w:r>
        <w:rPr>
          <w:rFonts w:hint="eastAsia" w:ascii="仿宋_GB2312" w:hAnsi="仿宋_GB2312" w:eastAsia="仿宋_GB2312" w:cs="仿宋_GB2312"/>
          <w:color w:val="000000"/>
          <w:sz w:val="32"/>
          <w:szCs w:val="32"/>
          <w:lang w:eastAsia="zh-CN"/>
        </w:rPr>
        <w:t>元（含存量安排支出</w:t>
      </w:r>
      <w:r>
        <w:rPr>
          <w:rFonts w:hint="eastAsia" w:ascii="仿宋_GB2312" w:hAnsi="仿宋_GB2312" w:eastAsia="仿宋_GB2312" w:cs="仿宋_GB2312"/>
          <w:color w:val="000000"/>
          <w:sz w:val="32"/>
          <w:szCs w:val="32"/>
          <w:lang w:val="en-US" w:eastAsia="zh-CN"/>
        </w:rPr>
        <w:t>9.57万元，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324.34万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主要为人员工资、体检费、工伤失业保险、办公费、邮电费、电费、差旅费、印刷费、劳务费等；</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31.43万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rPr>
        <w:t>医疗卫生支出</w:t>
      </w:r>
      <w:r>
        <w:rPr>
          <w:rFonts w:hint="eastAsia" w:ascii="仿宋_GB2312" w:hAnsi="仿宋_GB2312" w:eastAsia="仿宋_GB2312" w:cs="仿宋_GB2312"/>
          <w:color w:val="000000"/>
          <w:sz w:val="32"/>
          <w:szCs w:val="32"/>
          <w:lang w:val="en-US" w:eastAsia="zh-CN"/>
        </w:rPr>
        <w:t>12.48万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全部为医疗保险、公务员医疗补助；住房保障支出20.53万元，全部为住房公积金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年相比，支出</w:t>
      </w:r>
      <w:r>
        <w:rPr>
          <w:rFonts w:hint="eastAsia" w:ascii="仿宋_GB2312" w:hAnsi="仿宋_GB2312" w:eastAsia="仿宋_GB2312" w:cs="仿宋_GB2312"/>
          <w:color w:val="000000"/>
          <w:sz w:val="32"/>
          <w:szCs w:val="32"/>
          <w:lang w:val="en-US" w:eastAsia="zh-CN"/>
        </w:rPr>
        <w:t>增加了</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21.83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增加</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5.94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2021年目标绩效增加、人员增加，工资及社会保障、医疗卫生与计划生育等各项保障支出增加，电费水费等办公费用相应增加。</w:t>
      </w:r>
    </w:p>
    <w:p>
      <w:pPr>
        <w:pStyle w:val="16"/>
        <w:rPr>
          <w:rFonts w:hint="eastAsia"/>
        </w:rPr>
      </w:pPr>
      <w:r>
        <w:rPr>
          <w:rFonts w:hint="eastAsia" w:ascii="仿宋_GB2312" w:hAnsi="仿宋_GB2312" w:eastAsia="仿宋_GB2312" w:cs="仿宋_GB2312"/>
          <w:color w:val="auto"/>
          <w:sz w:val="32"/>
          <w:szCs w:val="32"/>
        </w:rPr>
        <w:t>（图4：财政拨款收、支决算总计变动情况）（柱状图）</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Style w:val="19"/>
          <w:rFonts w:hint="eastAsia" w:ascii="仿宋_GB2312" w:hAnsi="仿宋_GB2312" w:eastAsia="仿宋_GB2312" w:cs="仿宋_GB2312"/>
          <w:b w:val="0"/>
          <w:color w:val="auto"/>
          <w:sz w:val="32"/>
          <w:szCs w:val="32"/>
        </w:rPr>
      </w:pPr>
      <w:bookmarkStart w:id="57" w:name="_Toc15396607"/>
      <w:bookmarkStart w:id="58" w:name="_Toc15377209"/>
      <w:r>
        <w:rPr>
          <w:rFonts w:hint="eastAsia" w:ascii="仿宋_GB2312" w:hAnsi="仿宋_GB2312" w:eastAsia="仿宋_GB2312" w:cs="仿宋_GB2312"/>
          <w:color w:val="auto"/>
          <w:sz w:val="32"/>
          <w:szCs w:val="32"/>
          <w:lang w:eastAsia="zh-CN"/>
        </w:rPr>
        <w:drawing>
          <wp:anchor distT="0" distB="0" distL="114300" distR="114300" simplePos="0" relativeHeight="251669504" behindDoc="0" locked="0" layoutInCell="1" allowOverlap="1">
            <wp:simplePos x="0" y="0"/>
            <wp:positionH relativeFrom="column">
              <wp:posOffset>-54610</wp:posOffset>
            </wp:positionH>
            <wp:positionV relativeFrom="paragraph">
              <wp:posOffset>-6853555</wp:posOffset>
            </wp:positionV>
            <wp:extent cx="5612130" cy="4058285"/>
            <wp:effectExtent l="5080" t="4445" r="21590" b="13970"/>
            <wp:wrapSquare wrapText="bothSides"/>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bookmarkStart w:id="59" w:name="_Toc9586"/>
      <w:r>
        <w:rPr>
          <w:rFonts w:hint="eastAsia" w:ascii="仿宋_GB2312" w:hAnsi="仿宋_GB2312" w:eastAsia="仿宋_GB2312" w:cs="仿宋_GB2312"/>
          <w:color w:val="auto"/>
          <w:sz w:val="32"/>
          <w:szCs w:val="32"/>
          <w:lang w:val="en-US" w:eastAsia="zh-CN"/>
        </w:rPr>
        <w:t xml:space="preserve">     </w:t>
      </w:r>
      <w:r>
        <w:rPr>
          <w:rFonts w:hint="eastAsia" w:ascii="黑体" w:hAnsi="黑体" w:eastAsia="黑体" w:cs="黑体"/>
          <w:color w:val="auto"/>
          <w:sz w:val="32"/>
          <w:szCs w:val="32"/>
        </w:rPr>
        <w:t>五、</w:t>
      </w:r>
      <w:r>
        <w:rPr>
          <w:rFonts w:hint="eastAsia" w:ascii="黑体" w:hAnsi="黑体" w:eastAsia="黑体" w:cs="黑体"/>
          <w:b/>
          <w:color w:val="auto"/>
          <w:sz w:val="32"/>
          <w:szCs w:val="32"/>
        </w:rPr>
        <w:t>一</w:t>
      </w:r>
      <w:r>
        <w:rPr>
          <w:rStyle w:val="19"/>
          <w:rFonts w:hint="eastAsia" w:ascii="黑体" w:hAnsi="黑体" w:eastAsia="黑体" w:cs="黑体"/>
          <w:b w:val="0"/>
          <w:color w:val="auto"/>
          <w:sz w:val="32"/>
          <w:szCs w:val="32"/>
        </w:rPr>
        <w:t>般公共预算财政拨款支出决算情况说明</w:t>
      </w:r>
      <w:bookmarkEnd w:id="57"/>
      <w:bookmarkEnd w:id="58"/>
      <w:bookmarkEnd w:id="59"/>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outlineLvl w:val="2"/>
        <w:rPr>
          <w:rFonts w:hint="eastAsia" w:ascii="楷体_GB2312" w:hAnsi="楷体_GB2312" w:eastAsia="楷体_GB2312" w:cs="楷体_GB2312"/>
          <w:b/>
          <w:bCs w:val="0"/>
          <w:color w:val="auto"/>
          <w:sz w:val="32"/>
          <w:szCs w:val="32"/>
        </w:rPr>
      </w:pPr>
      <w:bookmarkStart w:id="60" w:name="_Toc15377210"/>
      <w:r>
        <w:rPr>
          <w:rFonts w:hint="eastAsia" w:ascii="楷体_GB2312" w:hAnsi="楷体_GB2312" w:eastAsia="楷体_GB2312" w:cs="楷体_GB2312"/>
          <w:b/>
          <w:bCs w:val="0"/>
          <w:color w:val="auto"/>
          <w:sz w:val="32"/>
          <w:szCs w:val="32"/>
        </w:rPr>
        <w:t>（一）一般公共预算财政拨款支出决算总体情况</w:t>
      </w:r>
      <w:bookmarkEnd w:id="60"/>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2021年</w:t>
      </w:r>
      <w:r>
        <w:rPr>
          <w:rFonts w:hint="eastAsia" w:ascii="仿宋_GB2312" w:hAnsi="仿宋_GB2312" w:eastAsia="仿宋_GB2312" w:cs="仿宋_GB2312"/>
          <w:color w:val="auto"/>
          <w:sz w:val="32"/>
          <w:szCs w:val="32"/>
        </w:rPr>
        <w:t>一般公共预算财政拨款支出支出</w:t>
      </w:r>
      <w:r>
        <w:rPr>
          <w:rFonts w:hint="eastAsia" w:ascii="仿宋_GB2312" w:hAnsi="仿宋_GB2312" w:eastAsia="仿宋_GB2312" w:cs="仿宋_GB2312"/>
          <w:color w:val="auto"/>
          <w:sz w:val="32"/>
          <w:szCs w:val="32"/>
          <w:lang w:val="en-US" w:eastAsia="zh-CN"/>
        </w:rPr>
        <w:t>388.78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年一般公共预算财政拨款支出</w:t>
      </w:r>
      <w:r>
        <w:rPr>
          <w:rFonts w:hint="eastAsia" w:ascii="仿宋_GB2312" w:hAnsi="仿宋_GB2312" w:eastAsia="仿宋_GB2312" w:cs="仿宋_GB2312"/>
          <w:color w:val="auto"/>
          <w:sz w:val="32"/>
          <w:szCs w:val="32"/>
          <w:lang w:val="en-US" w:eastAsia="zh-CN"/>
        </w:rPr>
        <w:t>366.95</w:t>
      </w:r>
      <w:r>
        <w:rPr>
          <w:rFonts w:hint="eastAsia" w:ascii="仿宋_GB2312" w:hAnsi="仿宋_GB2312" w:eastAsia="仿宋_GB2312" w:cs="仿宋_GB2312"/>
          <w:color w:val="auto"/>
          <w:sz w:val="32"/>
          <w:szCs w:val="32"/>
        </w:rPr>
        <w:t>万元相比，</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themeColor="text1"/>
          <w:sz w:val="32"/>
          <w:szCs w:val="32"/>
          <w14:textFill>
            <w14:solidFill>
              <w14:schemeClr w14:val="tx1"/>
            </w14:solidFill>
          </w14:textFill>
        </w:rPr>
        <w:t>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21.83</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5.94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主要变动原因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2021年目标绩效增加、人员增加，工资及社会保障、医疗卫生与计划生育等各项保障支出增加，电费水费等办公费用相应增加。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（图5：一般公共预算财政拨款支出决算变动情况）（柱状图）</w:t>
      </w:r>
      <w:r>
        <w:rPr>
          <w:rFonts w:hint="eastAsia" w:ascii="仿宋_GB2312" w:hAnsi="仿宋_GB2312" w:eastAsia="仿宋_GB2312" w:cs="仿宋_GB2312"/>
          <w:color w:val="auto"/>
          <w:sz w:val="32"/>
          <w:szCs w:val="32"/>
        </w:rPr>
        <w:object>
          <v:shape id="_x0000_i1035" o:spt="75" type="#_x0000_t75" style="height:0.05pt;width:0.05pt;" o:ole="t" filled="f" stroked="f" coordsize="21600,21600">
            <v:path/>
            <v:fill on="f" focussize="0,0"/>
            <v:stroke on="f"/>
            <v:imagedata o:title=""/>
            <o:lock v:ext="edit" aspectratio="t"/>
            <w10:wrap type="none"/>
            <w10:anchorlock/>
          </v:shape>
          <o:OLEObject Type="Embed" ProgID="Excel.Chart.8" ShapeID="_x0000_i1035" DrawAspect="Content" ObjectID="_1468075735" r:id="rId20">
            <o:LockedField>false</o:LockedField>
          </o:OLEObject>
        </w:object>
      </w:r>
    </w:p>
    <w:p>
      <w:pPr>
        <w:pStyle w:val="2"/>
        <w:pageBreakBefore w:val="0"/>
        <w:kinsoku/>
        <w:wordWrap/>
        <w:overflowPunct/>
        <w:topLinePunct w:val="0"/>
        <w:bidi w:val="0"/>
        <w:spacing w:after="0" w:line="520" w:lineRule="exact"/>
        <w:ind w:left="0" w:leftChars="0" w:firstLine="0" w:firstLineChars="0"/>
        <w:rPr>
          <w:rFonts w:hint="eastAsia" w:ascii="仿宋_GB2312" w:hAnsi="仿宋_GB2312" w:eastAsia="仿宋_GB2312" w:cs="仿宋_GB2312"/>
          <w:b/>
          <w:color w:val="auto"/>
          <w:sz w:val="32"/>
          <w:szCs w:val="32"/>
        </w:rPr>
      </w:pPr>
      <w:bookmarkStart w:id="61" w:name="_Toc15377211"/>
      <w:r>
        <w:rPr>
          <w:rFonts w:hint="eastAsia" w:ascii="仿宋_GB2312" w:hAnsi="仿宋_GB2312" w:eastAsia="仿宋_GB2312" w:cs="仿宋_GB2312"/>
          <w:b/>
          <w:color w:val="auto"/>
          <w:sz w:val="32"/>
          <w:szCs w:val="32"/>
          <w:lang w:eastAsia="zh-CN"/>
        </w:rPr>
        <w:drawing>
          <wp:anchor distT="0" distB="0" distL="114300" distR="114300" simplePos="0" relativeHeight="251670528" behindDoc="0" locked="0" layoutInCell="1" allowOverlap="1">
            <wp:simplePos x="0" y="0"/>
            <wp:positionH relativeFrom="column">
              <wp:posOffset>-36830</wp:posOffset>
            </wp:positionH>
            <wp:positionV relativeFrom="paragraph">
              <wp:posOffset>255905</wp:posOffset>
            </wp:positionV>
            <wp:extent cx="5375275" cy="1877060"/>
            <wp:effectExtent l="4445" t="4445" r="11430" b="2349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pPr>
        <w:pageBreakBefore w:val="0"/>
        <w:kinsoku/>
        <w:wordWrap/>
        <w:overflowPunct/>
        <w:topLinePunct w:val="0"/>
        <w:bidi w:val="0"/>
        <w:spacing w:line="520" w:lineRule="exact"/>
        <w:ind w:firstLine="640" w:firstLineChars="200"/>
        <w:outlineLvl w:val="2"/>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（二）一般公共预算财政拨款支出决算结构情况</w:t>
      </w:r>
      <w:bookmarkEnd w:id="61"/>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w:t>
      </w:r>
      <w:r>
        <w:rPr>
          <w:rFonts w:hint="eastAsia" w:ascii="仿宋_GB2312" w:hAnsi="仿宋_GB2312" w:eastAsia="仿宋_GB2312" w:cs="仿宋_GB2312"/>
          <w:color w:val="000000" w:themeColor="text1"/>
          <w:sz w:val="32"/>
          <w:szCs w:val="32"/>
          <w14:textFill>
            <w14:solidFill>
              <w14:schemeClr w14:val="tx1"/>
            </w14:solidFill>
          </w14:textFill>
        </w:rPr>
        <w:t>年一般公共预算财政拨款支出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388.78</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一一般公共服务支出324.34万元，占83.42%；208-社会保障和就业支出31.43万元，占8.08%；210-卫生健康支出12.48万元，占3.21%；221-住房保障支出20.53万元，占5.29%。</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drawing>
          <wp:anchor distT="0" distB="0" distL="114300" distR="114300" simplePos="0" relativeHeight="251671552" behindDoc="0" locked="0" layoutInCell="1" allowOverlap="1">
            <wp:simplePos x="0" y="0"/>
            <wp:positionH relativeFrom="column">
              <wp:posOffset>363220</wp:posOffset>
            </wp:positionH>
            <wp:positionV relativeFrom="paragraph">
              <wp:posOffset>370205</wp:posOffset>
            </wp:positionV>
            <wp:extent cx="5080000" cy="2820670"/>
            <wp:effectExtent l="4445" t="4445" r="20955" b="1333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：一般公共预算财政拨款支出</w:t>
      </w:r>
      <w:r>
        <w:rPr>
          <w:rFonts w:hint="eastAsia" w:ascii="仿宋_GB2312" w:hAnsi="仿宋_GB2312" w:eastAsia="仿宋_GB2312" w:cs="仿宋_GB2312"/>
          <w:color w:val="auto"/>
          <w:sz w:val="32"/>
          <w:szCs w:val="32"/>
          <w:lang w:eastAsia="zh-CN"/>
        </w:rPr>
        <w:t>结构图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饼状</w:t>
      </w: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rPr>
        <w:object>
          <v:shape id="_x0000_i1036" o:spt="75" type="#_x0000_t75" style="height:0.05pt;width:0.05pt;" o:ole="t" filled="f" stroked="f" coordsize="21600,21600">
            <v:path/>
            <v:fill on="f" focussize="0,0"/>
            <v:stroke on="f"/>
            <v:imagedata o:title=""/>
            <o:lock v:ext="edit" aspectratio="t"/>
            <w10:wrap type="none"/>
            <w10:anchorlock/>
          </v:shape>
          <o:OLEObject Type="Embed" ProgID="Excel.Chart.8" ShapeID="_x0000_i1036" DrawAspect="Content" ObjectID="_1468075736" r:id="rId23">
            <o:LockedField>false</o:LockedField>
          </o:OLEObject>
        </w:object>
      </w:r>
    </w:p>
    <w:p>
      <w:pPr>
        <w:pStyle w:val="2"/>
        <w:pageBreakBefore w:val="0"/>
        <w:kinsoku/>
        <w:wordWrap/>
        <w:overflowPunct/>
        <w:topLinePunct w:val="0"/>
        <w:bidi w:val="0"/>
        <w:spacing w:line="520" w:lineRule="exact"/>
        <w:ind w:left="0" w:leftChars="0" w:firstLine="0" w:firstLineChars="0"/>
        <w:rPr>
          <w:rFonts w:hint="eastAsia" w:ascii="仿宋_GB2312" w:hAnsi="仿宋_GB2312" w:eastAsia="仿宋_GB2312" w:cs="仿宋_GB2312"/>
          <w:sz w:val="32"/>
          <w:szCs w:val="32"/>
          <w:lang w:val="en-US"/>
        </w:rPr>
      </w:pPr>
    </w:p>
    <w:p>
      <w:pPr>
        <w:pStyle w:val="2"/>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sz w:val="32"/>
          <w:szCs w:val="32"/>
          <w:lang w:val="en-US"/>
        </w:rPr>
      </w:pPr>
    </w:p>
    <w:p>
      <w:pPr>
        <w:pageBreakBefore w:val="0"/>
        <w:kinsoku/>
        <w:wordWrap/>
        <w:overflowPunct/>
        <w:topLinePunct w:val="0"/>
        <w:bidi w:val="0"/>
        <w:spacing w:line="520" w:lineRule="exact"/>
        <w:ind w:firstLine="643" w:firstLineChars="200"/>
        <w:outlineLvl w:val="2"/>
        <w:rPr>
          <w:rFonts w:hint="eastAsia" w:ascii="仿宋_GB2312" w:hAnsi="仿宋_GB2312" w:eastAsia="仿宋_GB2312" w:cs="仿宋_GB2312"/>
          <w:b/>
          <w:color w:val="FFC000"/>
          <w:sz w:val="32"/>
          <w:szCs w:val="32"/>
        </w:rPr>
      </w:pPr>
      <w:bookmarkStart w:id="62" w:name="_Toc15377212"/>
    </w:p>
    <w:p>
      <w:pPr>
        <w:pStyle w:val="16"/>
        <w:rPr>
          <w:rFonts w:hint="eastAsia"/>
        </w:rPr>
      </w:pPr>
    </w:p>
    <w:p>
      <w:pPr>
        <w:pStyle w:val="16"/>
        <w:rPr>
          <w:rFonts w:hint="eastAsia" w:ascii="仿宋_GB2312" w:hAnsi="仿宋_GB2312" w:eastAsia="仿宋_GB2312" w:cs="仿宋_GB2312"/>
          <w:b/>
          <w:color w:val="FFC000"/>
          <w:sz w:val="32"/>
          <w:szCs w:val="32"/>
        </w:rPr>
      </w:pPr>
    </w:p>
    <w:p>
      <w:pPr>
        <w:pStyle w:val="16"/>
        <w:rPr>
          <w:rFonts w:hint="eastAsia" w:ascii="仿宋_GB2312" w:hAnsi="仿宋_GB2312" w:eastAsia="仿宋_GB2312" w:cs="仿宋_GB2312"/>
          <w:b/>
          <w:color w:val="FFC000"/>
          <w:sz w:val="32"/>
          <w:szCs w:val="32"/>
        </w:rPr>
      </w:pPr>
    </w:p>
    <w:p>
      <w:pPr>
        <w:pStyle w:val="16"/>
        <w:rPr>
          <w:rFonts w:hint="eastAsia" w:ascii="仿宋_GB2312" w:hAnsi="仿宋_GB2312" w:eastAsia="仿宋_GB2312" w:cs="仿宋_GB2312"/>
          <w:b/>
          <w:color w:val="FFC000"/>
          <w:sz w:val="32"/>
          <w:szCs w:val="32"/>
        </w:rPr>
      </w:pPr>
    </w:p>
    <w:p>
      <w:pPr>
        <w:pStyle w:val="16"/>
        <w:rPr>
          <w:rFonts w:hint="eastAsia" w:ascii="仿宋_GB2312" w:hAnsi="仿宋_GB2312" w:eastAsia="仿宋_GB2312" w:cs="仿宋_GB2312"/>
          <w:b/>
          <w:color w:val="FFC000"/>
          <w:sz w:val="32"/>
          <w:szCs w:val="32"/>
        </w:rPr>
      </w:pPr>
    </w:p>
    <w:p>
      <w:pPr>
        <w:pageBreakBefore w:val="0"/>
        <w:kinsoku/>
        <w:wordWrap/>
        <w:overflowPunct/>
        <w:topLinePunct w:val="0"/>
        <w:bidi w:val="0"/>
        <w:spacing w:line="520" w:lineRule="exact"/>
        <w:ind w:firstLine="643" w:firstLineChars="200"/>
        <w:outlineLvl w:val="2"/>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（三）一般公共预算财政拨款支出决算具体情况</w:t>
      </w:r>
      <w:bookmarkEnd w:id="62"/>
    </w:p>
    <w:p>
      <w:pPr>
        <w:pageBreakBefore w:val="0"/>
        <w:kinsoku/>
        <w:wordWrap/>
        <w:overflowPunct/>
        <w:topLinePunct w:val="0"/>
        <w:bidi w:val="0"/>
        <w:spacing w:line="520" w:lineRule="exact"/>
        <w:ind w:firstLine="640" w:firstLineChars="200"/>
        <w:outlineLvl w:val="2"/>
        <w:rPr>
          <w:rFonts w:hint="eastAsia" w:ascii="仿宋_GB2312" w:hAnsi="仿宋_GB2312" w:eastAsia="仿宋_GB2312" w:cs="仿宋_GB2312"/>
          <w:color w:val="auto"/>
          <w:sz w:val="32"/>
          <w:szCs w:val="32"/>
        </w:rPr>
      </w:pPr>
      <w:bookmarkStart w:id="63" w:name="_Toc15377213"/>
      <w:bookmarkStart w:id="64" w:name="_Toc15378460"/>
      <w:bookmarkStart w:id="65" w:name="_Toc15377444"/>
      <w:r>
        <w:rPr>
          <w:rFonts w:hint="eastAsia" w:ascii="仿宋_GB2312" w:hAnsi="仿宋_GB2312" w:eastAsia="仿宋_GB2312" w:cs="仿宋_GB2312"/>
          <w:b w:val="0"/>
          <w:bCs/>
          <w:color w:val="auto"/>
          <w:sz w:val="32"/>
          <w:szCs w:val="32"/>
        </w:rPr>
        <w:t>20</w:t>
      </w:r>
      <w:r>
        <w:rPr>
          <w:rFonts w:hint="eastAsia" w:ascii="仿宋_GB2312" w:hAnsi="仿宋_GB2312" w:eastAsia="仿宋_GB2312" w:cs="仿宋_GB2312"/>
          <w:b w:val="0"/>
          <w:bCs/>
          <w:color w:val="auto"/>
          <w:sz w:val="32"/>
          <w:szCs w:val="32"/>
          <w:lang w:val="en-US" w:eastAsia="zh-CN"/>
        </w:rPr>
        <w:t>21</w:t>
      </w:r>
      <w:r>
        <w:rPr>
          <w:rFonts w:hint="eastAsia" w:ascii="仿宋_GB2312" w:hAnsi="仿宋_GB2312" w:eastAsia="仿宋_GB2312" w:cs="仿宋_GB2312"/>
          <w:b w:val="0"/>
          <w:bCs/>
          <w:color w:val="auto"/>
          <w:sz w:val="32"/>
          <w:szCs w:val="32"/>
        </w:rPr>
        <w:t>年一般公共预算支出决算数为</w:t>
      </w:r>
      <w:r>
        <w:rPr>
          <w:rFonts w:hint="eastAsia" w:ascii="仿宋_GB2312" w:hAnsi="仿宋_GB2312" w:eastAsia="仿宋_GB2312" w:cs="仿宋_GB2312"/>
          <w:b w:val="0"/>
          <w:bCs/>
          <w:color w:val="auto"/>
          <w:sz w:val="32"/>
          <w:szCs w:val="32"/>
          <w:lang w:val="en-US" w:eastAsia="zh-CN"/>
        </w:rPr>
        <w:t>388.78</w:t>
      </w:r>
      <w:r>
        <w:rPr>
          <w:rFonts w:hint="eastAsia" w:ascii="仿宋_GB2312" w:hAnsi="仿宋_GB2312" w:eastAsia="仿宋_GB2312" w:cs="仿宋_GB2312"/>
          <w:b w:val="0"/>
          <w:bCs/>
          <w:color w:val="auto"/>
          <w:sz w:val="32"/>
          <w:szCs w:val="32"/>
        </w:rPr>
        <w:t>万元，</w:t>
      </w:r>
      <w:r>
        <w:rPr>
          <w:rStyle w:val="15"/>
          <w:rFonts w:hint="eastAsia" w:ascii="仿宋_GB2312" w:hAnsi="仿宋_GB2312" w:eastAsia="仿宋_GB2312" w:cs="仿宋_GB2312"/>
          <w:b w:val="0"/>
          <w:bCs/>
          <w:color w:val="auto"/>
          <w:sz w:val="32"/>
          <w:szCs w:val="32"/>
        </w:rPr>
        <w:t>完成预算</w:t>
      </w:r>
      <w:r>
        <w:rPr>
          <w:rStyle w:val="15"/>
          <w:rFonts w:hint="eastAsia" w:ascii="仿宋_GB2312" w:hAnsi="仿宋_GB2312" w:eastAsia="仿宋_GB2312" w:cs="仿宋_GB2312"/>
          <w:b w:val="0"/>
          <w:bCs/>
          <w:color w:val="auto"/>
          <w:sz w:val="32"/>
          <w:szCs w:val="32"/>
          <w:lang w:val="en-US" w:eastAsia="zh-CN"/>
        </w:rPr>
        <w:t>100</w:t>
      </w:r>
      <w:r>
        <w:rPr>
          <w:rStyle w:val="15"/>
          <w:rFonts w:hint="eastAsia" w:ascii="仿宋_GB2312" w:hAnsi="仿宋_GB2312" w:eastAsia="仿宋_GB2312" w:cs="仿宋_GB2312"/>
          <w:b w:val="0"/>
          <w:bCs/>
          <w:color w:val="auto"/>
          <w:sz w:val="32"/>
          <w:szCs w:val="32"/>
        </w:rPr>
        <w:t>%。其中：</w:t>
      </w:r>
      <w:bookmarkEnd w:id="63"/>
      <w:bookmarkEnd w:id="64"/>
      <w:bookmarkEnd w:id="65"/>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bookmarkStart w:id="66" w:name="_Toc15377214"/>
      <w:bookmarkStart w:id="67" w:name="_Toc15396608"/>
      <w:r>
        <w:rPr>
          <w:rFonts w:hint="eastAsia" w:ascii="仿宋_GB2312" w:hAnsi="仿宋_GB2312" w:eastAsia="仿宋_GB2312" w:cs="仿宋_GB2312"/>
          <w:color w:val="auto"/>
          <w:sz w:val="32"/>
          <w:szCs w:val="32"/>
        </w:rPr>
        <w:t>2010301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行政运行支出</w:t>
      </w:r>
      <w:r>
        <w:rPr>
          <w:rFonts w:hint="eastAsia" w:ascii="仿宋_GB2312" w:hAnsi="仿宋_GB2312" w:eastAsia="仿宋_GB2312" w:cs="仿宋_GB2312"/>
          <w:color w:val="auto"/>
          <w:sz w:val="32"/>
          <w:szCs w:val="32"/>
          <w:lang w:val="en-US" w:eastAsia="zh-CN"/>
        </w:rPr>
        <w:t>87.15</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，主要用于行政在职职工工资，奖金及公用经费等；</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2010302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一般行政管理事务支出</w:t>
      </w:r>
      <w:r>
        <w:rPr>
          <w:rFonts w:hint="eastAsia" w:ascii="仿宋_GB2312" w:hAnsi="仿宋_GB2312" w:eastAsia="仿宋_GB2312" w:cs="仿宋_GB2312"/>
          <w:color w:val="auto"/>
          <w:sz w:val="32"/>
          <w:szCs w:val="32"/>
          <w:lang w:val="en-US" w:eastAsia="zh-CN"/>
        </w:rPr>
        <w:t>107.36</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2010350--事业运行支出129.83万元，</w:t>
      </w:r>
      <w:r>
        <w:rPr>
          <w:rFonts w:hint="eastAsia" w:ascii="仿宋_GB2312" w:hAnsi="仿宋_GB2312" w:eastAsia="仿宋_GB2312" w:cs="仿宋_GB2312"/>
          <w:color w:val="auto"/>
          <w:sz w:val="32"/>
          <w:szCs w:val="32"/>
        </w:rPr>
        <w:t>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，主要用于事业在职职工工资，奖金及公用经费等；</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2080505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机关事业单位基本养老保险缴费支出</w:t>
      </w:r>
      <w:r>
        <w:rPr>
          <w:rFonts w:hint="eastAsia" w:ascii="仿宋_GB2312" w:hAnsi="仿宋_GB2312" w:eastAsia="仿宋_GB2312" w:cs="仿宋_GB2312"/>
          <w:color w:val="auto"/>
          <w:sz w:val="32"/>
          <w:szCs w:val="32"/>
          <w:lang w:val="en-US" w:eastAsia="zh-CN"/>
        </w:rPr>
        <w:t>20.95</w:t>
      </w:r>
      <w:r>
        <w:rPr>
          <w:rFonts w:hint="eastAsia" w:ascii="仿宋_GB2312" w:hAnsi="仿宋_GB2312" w:eastAsia="仿宋_GB2312" w:cs="仿宋_GB2312"/>
          <w:color w:val="auto"/>
          <w:sz w:val="32"/>
          <w:szCs w:val="32"/>
        </w:rPr>
        <w:t>万元，完成预算数的100%</w:t>
      </w:r>
      <w:r>
        <w:rPr>
          <w:rFonts w:hint="eastAsia" w:ascii="仿宋_GB2312" w:hAnsi="仿宋_GB2312" w:eastAsia="仿宋_GB2312" w:cs="仿宋_GB2312"/>
          <w:color w:val="auto"/>
          <w:sz w:val="32"/>
          <w:szCs w:val="32"/>
          <w:lang w:eastAsia="zh-CN"/>
        </w:rPr>
        <w:t>，全部用于缴纳在职职工养老保险单位部分；</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2080506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机关事业单位职业年金缴费支出</w:t>
      </w:r>
      <w:r>
        <w:rPr>
          <w:rFonts w:hint="eastAsia" w:ascii="仿宋_GB2312" w:hAnsi="仿宋_GB2312" w:eastAsia="仿宋_GB2312" w:cs="仿宋_GB2312"/>
          <w:color w:val="auto"/>
          <w:sz w:val="32"/>
          <w:szCs w:val="32"/>
          <w:lang w:val="en-US" w:eastAsia="zh-CN"/>
        </w:rPr>
        <w:t>10.48</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，全部用于缴纳在职职工职业年金单位部分；</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2101101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行政单位医疗</w:t>
      </w:r>
      <w:r>
        <w:rPr>
          <w:rFonts w:hint="eastAsia" w:ascii="仿宋_GB2312" w:hAnsi="仿宋_GB2312" w:eastAsia="仿宋_GB2312" w:cs="仿宋_GB2312"/>
          <w:color w:val="auto"/>
          <w:sz w:val="32"/>
          <w:szCs w:val="32"/>
          <w:lang w:val="en-US" w:eastAsia="zh-CN"/>
        </w:rPr>
        <w:t>4.10</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，全部用于行政在职职工缴纳基本医疗保险单位部分；</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2101102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事业单位医疗</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color w:val="auto"/>
          <w:sz w:val="32"/>
          <w:szCs w:val="32"/>
          <w:lang w:val="en-US" w:eastAsia="zh-CN"/>
        </w:rPr>
        <w:t>5.83万元，</w:t>
      </w:r>
      <w:r>
        <w:rPr>
          <w:rFonts w:hint="eastAsia" w:ascii="仿宋_GB2312" w:hAnsi="仿宋_GB2312" w:eastAsia="仿宋_GB2312" w:cs="仿宋_GB2312"/>
          <w:color w:val="auto"/>
          <w:sz w:val="32"/>
          <w:szCs w:val="32"/>
        </w:rPr>
        <w:t>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，全部用于事业在职职工缴纳基本医疗保险单位部分；</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2101103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公务员医疗补助</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color w:val="auto"/>
          <w:sz w:val="32"/>
          <w:szCs w:val="32"/>
          <w:lang w:val="en-US" w:eastAsia="zh-CN"/>
        </w:rPr>
        <w:t>0.91万元，</w:t>
      </w:r>
      <w:r>
        <w:rPr>
          <w:rFonts w:hint="eastAsia" w:ascii="仿宋_GB2312" w:hAnsi="仿宋_GB2312" w:eastAsia="仿宋_GB2312" w:cs="仿宋_GB2312"/>
          <w:color w:val="auto"/>
          <w:sz w:val="32"/>
          <w:szCs w:val="32"/>
        </w:rPr>
        <w:t>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，全部用于行政在职职工</w:t>
      </w:r>
      <w:r>
        <w:rPr>
          <w:rFonts w:hint="eastAsia" w:ascii="仿宋_GB2312" w:hAnsi="仿宋_GB2312" w:eastAsia="仿宋_GB2312" w:cs="仿宋_GB2312"/>
          <w:color w:val="auto"/>
          <w:sz w:val="32"/>
          <w:szCs w:val="32"/>
        </w:rPr>
        <w:t>公务员医疗补助</w:t>
      </w:r>
      <w:r>
        <w:rPr>
          <w:rFonts w:hint="eastAsia" w:ascii="仿宋_GB2312" w:hAnsi="仿宋_GB2312" w:eastAsia="仿宋_GB2312" w:cs="仿宋_GB2312"/>
          <w:color w:val="auto"/>
          <w:sz w:val="32"/>
          <w:szCs w:val="32"/>
          <w:lang w:eastAsia="zh-CN"/>
        </w:rPr>
        <w:t>缴费；</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2101199</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其他行政事业单位医疗支出</w:t>
      </w:r>
      <w:r>
        <w:rPr>
          <w:rFonts w:hint="eastAsia" w:ascii="仿宋_GB2312" w:hAnsi="仿宋_GB2312" w:eastAsia="仿宋_GB2312" w:cs="仿宋_GB2312"/>
          <w:color w:val="auto"/>
          <w:sz w:val="32"/>
          <w:szCs w:val="32"/>
          <w:lang w:val="en-US" w:eastAsia="zh-CN"/>
        </w:rPr>
        <w:t>1.64万元，</w:t>
      </w:r>
      <w:r>
        <w:rPr>
          <w:rFonts w:hint="eastAsia" w:ascii="仿宋_GB2312" w:hAnsi="仿宋_GB2312" w:eastAsia="仿宋_GB2312" w:cs="仿宋_GB2312"/>
          <w:color w:val="auto"/>
          <w:sz w:val="32"/>
          <w:szCs w:val="32"/>
        </w:rPr>
        <w:t>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，全部用于事业在职职工</w:t>
      </w:r>
      <w:r>
        <w:rPr>
          <w:rFonts w:hint="eastAsia" w:ascii="仿宋_GB2312" w:hAnsi="仿宋_GB2312" w:eastAsia="仿宋_GB2312" w:cs="仿宋_GB2312"/>
          <w:color w:val="auto"/>
          <w:sz w:val="32"/>
          <w:szCs w:val="32"/>
        </w:rPr>
        <w:t>公务员医疗补助</w:t>
      </w:r>
      <w:r>
        <w:rPr>
          <w:rFonts w:hint="eastAsia" w:ascii="仿宋_GB2312" w:hAnsi="仿宋_GB2312" w:eastAsia="仿宋_GB2312" w:cs="仿宋_GB2312"/>
          <w:color w:val="auto"/>
          <w:sz w:val="32"/>
          <w:szCs w:val="32"/>
          <w:lang w:eastAsia="zh-CN"/>
        </w:rPr>
        <w:t>缴费；</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2210201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住房公积金</w:t>
      </w:r>
      <w:r>
        <w:rPr>
          <w:rFonts w:hint="eastAsia" w:ascii="仿宋_GB2312" w:hAnsi="仿宋_GB2312" w:eastAsia="仿宋_GB2312" w:cs="仿宋_GB2312"/>
          <w:color w:val="auto"/>
          <w:sz w:val="32"/>
          <w:szCs w:val="32"/>
          <w:lang w:val="en-US" w:eastAsia="zh-CN"/>
        </w:rPr>
        <w:t>20.53</w:t>
      </w:r>
      <w:r>
        <w:rPr>
          <w:rFonts w:hint="eastAsia" w:ascii="仿宋_GB2312" w:hAnsi="仿宋_GB2312" w:eastAsia="仿宋_GB2312" w:cs="仿宋_GB2312"/>
          <w:color w:val="auto"/>
          <w:sz w:val="32"/>
          <w:szCs w:val="32"/>
        </w:rPr>
        <w:t>万元，完成预算数的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，主要用于在职职工缴纳公积金单位部分。</w:t>
      </w:r>
    </w:p>
    <w:p>
      <w:pPr>
        <w:pageBreakBefore w:val="0"/>
        <w:tabs>
          <w:tab w:val="right" w:pos="8306"/>
        </w:tabs>
        <w:kinsoku/>
        <w:wordWrap/>
        <w:overflowPunct/>
        <w:topLinePunct w:val="0"/>
        <w:bidi w:val="0"/>
        <w:spacing w:line="520" w:lineRule="exact"/>
        <w:ind w:firstLine="640" w:firstLineChars="200"/>
        <w:outlineLvl w:val="1"/>
        <w:rPr>
          <w:rStyle w:val="19"/>
          <w:rFonts w:hint="eastAsia" w:ascii="仿宋_GB2312" w:hAnsi="仿宋_GB2312" w:eastAsia="仿宋_GB2312" w:cs="仿宋_GB2312"/>
          <w:color w:val="auto"/>
          <w:sz w:val="32"/>
          <w:szCs w:val="32"/>
        </w:rPr>
      </w:pPr>
      <w:bookmarkStart w:id="68" w:name="_Toc30283"/>
      <w:r>
        <w:rPr>
          <w:rFonts w:hint="eastAsia" w:ascii="黑体" w:hAnsi="黑体" w:eastAsia="黑体" w:cs="黑体"/>
          <w:color w:val="auto"/>
          <w:sz w:val="32"/>
          <w:szCs w:val="32"/>
        </w:rPr>
        <w:t>六</w:t>
      </w:r>
      <w:r>
        <w:rPr>
          <w:rFonts w:hint="eastAsia" w:ascii="黑体" w:hAnsi="黑体" w:eastAsia="黑体" w:cs="黑体"/>
          <w:b/>
          <w:color w:val="auto"/>
          <w:sz w:val="32"/>
          <w:szCs w:val="32"/>
        </w:rPr>
        <w:t>、一</w:t>
      </w:r>
      <w:r>
        <w:rPr>
          <w:rStyle w:val="19"/>
          <w:rFonts w:hint="eastAsia" w:ascii="黑体" w:hAnsi="黑体" w:eastAsia="黑体" w:cs="黑体"/>
          <w:b w:val="0"/>
          <w:color w:val="auto"/>
          <w:sz w:val="32"/>
          <w:szCs w:val="32"/>
        </w:rPr>
        <w:t>般公共预算财政拨款基本支出决算情况说明</w:t>
      </w:r>
      <w:bookmarkEnd w:id="66"/>
      <w:bookmarkEnd w:id="67"/>
      <w:bookmarkEnd w:id="68"/>
      <w:r>
        <w:rPr>
          <w:rStyle w:val="19"/>
          <w:rFonts w:hint="eastAsia" w:ascii="仿宋_GB2312" w:hAnsi="仿宋_GB2312" w:eastAsia="仿宋_GB2312" w:cs="仿宋_GB2312"/>
          <w:b w:val="0"/>
          <w:color w:val="auto"/>
          <w:sz w:val="32"/>
          <w:szCs w:val="32"/>
        </w:rPr>
        <w:tab/>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年一般公共预算财政拨款基本支出</w:t>
      </w:r>
      <w:r>
        <w:rPr>
          <w:rFonts w:hint="eastAsia" w:ascii="仿宋_GB2312" w:hAnsi="仿宋_GB2312" w:eastAsia="仿宋_GB2312" w:cs="仿宋_GB2312"/>
          <w:color w:val="auto"/>
          <w:sz w:val="32"/>
          <w:szCs w:val="32"/>
          <w:lang w:val="en-US" w:eastAsia="zh-CN"/>
        </w:rPr>
        <w:t>388.78</w:t>
      </w:r>
      <w:r>
        <w:rPr>
          <w:rFonts w:hint="eastAsia" w:ascii="仿宋_GB2312" w:hAnsi="仿宋_GB2312" w:eastAsia="仿宋_GB2312" w:cs="仿宋_GB2312"/>
          <w:color w:val="auto"/>
          <w:sz w:val="32"/>
          <w:szCs w:val="32"/>
        </w:rPr>
        <w:t>万元，其中：</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265.94</w:t>
      </w:r>
      <w:r>
        <w:rPr>
          <w:rFonts w:hint="eastAsia" w:ascii="仿宋_GB2312" w:hAnsi="仿宋_GB2312" w:eastAsia="仿宋_GB2312" w:cs="仿宋_GB2312"/>
          <w:color w:val="auto"/>
          <w:sz w:val="32"/>
          <w:szCs w:val="32"/>
        </w:rPr>
        <w:t>万元，包括：基本工资</w:t>
      </w:r>
      <w:r>
        <w:rPr>
          <w:rFonts w:hint="eastAsia" w:ascii="仿宋_GB2312" w:hAnsi="仿宋_GB2312" w:eastAsia="仿宋_GB2312" w:cs="仿宋_GB2312"/>
          <w:color w:val="auto"/>
          <w:sz w:val="32"/>
          <w:szCs w:val="32"/>
          <w:lang w:val="en-US" w:eastAsia="zh-CN"/>
        </w:rPr>
        <w:t>47.86</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137.2</w:t>
      </w:r>
      <w:r>
        <w:rPr>
          <w:rFonts w:hint="eastAsia" w:ascii="仿宋_GB2312" w:hAnsi="仿宋_GB2312" w:eastAsia="仿宋_GB2312" w:cs="仿宋_GB2312"/>
          <w:color w:val="auto"/>
          <w:sz w:val="32"/>
          <w:szCs w:val="32"/>
        </w:rPr>
        <w:t>万元、奖金</w:t>
      </w:r>
      <w:r>
        <w:rPr>
          <w:rFonts w:hint="eastAsia" w:ascii="仿宋_GB2312" w:hAnsi="仿宋_GB2312" w:eastAsia="仿宋_GB2312" w:cs="仿宋_GB2312"/>
          <w:color w:val="auto"/>
          <w:sz w:val="32"/>
          <w:szCs w:val="32"/>
          <w:lang w:val="en-US" w:eastAsia="zh-CN"/>
        </w:rPr>
        <w:t>1.76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绩效工资</w:t>
      </w:r>
      <w:r>
        <w:rPr>
          <w:rFonts w:hint="eastAsia" w:ascii="仿宋_GB2312" w:hAnsi="仿宋_GB2312" w:eastAsia="仿宋_GB2312" w:cs="仿宋_GB2312"/>
          <w:color w:val="auto"/>
          <w:sz w:val="32"/>
          <w:szCs w:val="32"/>
          <w:lang w:val="en-US" w:eastAsia="zh-CN"/>
        </w:rPr>
        <w:t>10.07万元，</w:t>
      </w:r>
      <w:r>
        <w:rPr>
          <w:rFonts w:hint="eastAsia" w:ascii="仿宋_GB2312" w:hAnsi="仿宋_GB2312" w:eastAsia="仿宋_GB2312" w:cs="仿宋_GB2312"/>
          <w:color w:val="auto"/>
          <w:sz w:val="32"/>
          <w:szCs w:val="32"/>
        </w:rPr>
        <w:t>机关事业单位基本养老保险缴费</w:t>
      </w:r>
      <w:r>
        <w:rPr>
          <w:rFonts w:hint="eastAsia" w:ascii="仿宋_GB2312" w:hAnsi="仿宋_GB2312" w:eastAsia="仿宋_GB2312" w:cs="仿宋_GB2312"/>
          <w:color w:val="auto"/>
          <w:sz w:val="32"/>
          <w:szCs w:val="32"/>
          <w:lang w:val="en-US" w:eastAsia="zh-CN"/>
        </w:rPr>
        <w:t>20.95</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10.48</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9.93</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2.56</w:t>
      </w:r>
      <w:r>
        <w:rPr>
          <w:rFonts w:hint="eastAsia" w:ascii="仿宋_GB2312" w:hAnsi="仿宋_GB2312" w:eastAsia="仿宋_GB2312" w:cs="仿宋_GB2312"/>
          <w:color w:val="auto"/>
          <w:sz w:val="32"/>
          <w:szCs w:val="32"/>
        </w:rPr>
        <w:t>万元、医疗费</w:t>
      </w:r>
      <w:r>
        <w:rPr>
          <w:rFonts w:hint="eastAsia" w:ascii="仿宋_GB2312" w:hAnsi="仿宋_GB2312" w:eastAsia="仿宋_GB2312" w:cs="仿宋_GB2312"/>
          <w:color w:val="auto"/>
          <w:sz w:val="32"/>
          <w:szCs w:val="32"/>
          <w:lang w:val="en-US" w:eastAsia="zh-CN"/>
        </w:rPr>
        <w:t>1.36</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20.53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，生活补助</w:t>
      </w:r>
      <w:r>
        <w:rPr>
          <w:rFonts w:hint="eastAsia" w:ascii="仿宋_GB2312" w:hAnsi="仿宋_GB2312" w:eastAsia="仿宋_GB2312" w:cs="仿宋_GB2312"/>
          <w:color w:val="auto"/>
          <w:sz w:val="32"/>
          <w:szCs w:val="32"/>
          <w:lang w:val="en-US" w:eastAsia="zh-CN"/>
        </w:rPr>
        <w:t>0.73万元，奖励金0.01万元</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15.49</w:t>
      </w:r>
      <w:r>
        <w:rPr>
          <w:rFonts w:hint="eastAsia" w:ascii="仿宋_GB2312" w:hAnsi="仿宋_GB2312" w:eastAsia="仿宋_GB2312" w:cs="仿宋_GB2312"/>
          <w:color w:val="auto"/>
          <w:sz w:val="32"/>
          <w:szCs w:val="32"/>
        </w:rPr>
        <w:t>万元，包括：办公费</w:t>
      </w:r>
      <w:r>
        <w:rPr>
          <w:rFonts w:hint="eastAsia" w:ascii="仿宋_GB2312" w:hAnsi="仿宋_GB2312" w:eastAsia="仿宋_GB2312" w:cs="仿宋_GB2312"/>
          <w:color w:val="auto"/>
          <w:sz w:val="32"/>
          <w:szCs w:val="32"/>
          <w:lang w:val="en-US" w:eastAsia="zh-CN"/>
        </w:rPr>
        <w:t>0.61</w:t>
      </w:r>
      <w:r>
        <w:rPr>
          <w:rFonts w:hint="eastAsia" w:ascii="仿宋_GB2312" w:hAnsi="仿宋_GB2312" w:eastAsia="仿宋_GB2312" w:cs="仿宋_GB2312"/>
          <w:color w:val="auto"/>
          <w:sz w:val="32"/>
          <w:szCs w:val="32"/>
        </w:rPr>
        <w:t>万元、印刷费</w:t>
      </w:r>
      <w:r>
        <w:rPr>
          <w:rFonts w:hint="eastAsia" w:ascii="仿宋_GB2312" w:hAnsi="仿宋_GB2312" w:eastAsia="仿宋_GB2312" w:cs="仿宋_GB2312"/>
          <w:color w:val="auto"/>
          <w:sz w:val="32"/>
          <w:szCs w:val="32"/>
          <w:lang w:val="en-US" w:eastAsia="zh-CN"/>
        </w:rPr>
        <w:t>2.42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水费</w:t>
      </w:r>
      <w:r>
        <w:rPr>
          <w:rFonts w:hint="eastAsia" w:ascii="仿宋_GB2312" w:hAnsi="仿宋_GB2312" w:eastAsia="仿宋_GB2312" w:cs="仿宋_GB2312"/>
          <w:color w:val="auto"/>
          <w:sz w:val="32"/>
          <w:szCs w:val="32"/>
          <w:lang w:val="en-US" w:eastAsia="zh-CN"/>
        </w:rPr>
        <w:t>0.59</w:t>
      </w:r>
      <w:r>
        <w:rPr>
          <w:rFonts w:hint="eastAsia" w:ascii="仿宋_GB2312" w:hAnsi="仿宋_GB2312" w:eastAsia="仿宋_GB2312" w:cs="仿宋_GB2312"/>
          <w:color w:val="auto"/>
          <w:sz w:val="32"/>
          <w:szCs w:val="32"/>
        </w:rPr>
        <w:t>万元、邮电费</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万元、维修（护）费</w:t>
      </w:r>
      <w:r>
        <w:rPr>
          <w:rFonts w:hint="eastAsia" w:ascii="仿宋_GB2312" w:hAnsi="仿宋_GB2312" w:eastAsia="仿宋_GB2312" w:cs="仿宋_GB2312"/>
          <w:color w:val="auto"/>
          <w:sz w:val="32"/>
          <w:szCs w:val="32"/>
          <w:lang w:val="en-US" w:eastAsia="zh-CN"/>
        </w:rPr>
        <w:t>0.20</w:t>
      </w:r>
      <w:r>
        <w:rPr>
          <w:rFonts w:hint="eastAsia" w:ascii="仿宋_GB2312" w:hAnsi="仿宋_GB2312" w:eastAsia="仿宋_GB2312" w:cs="仿宋_GB2312"/>
          <w:color w:val="auto"/>
          <w:sz w:val="32"/>
          <w:szCs w:val="32"/>
        </w:rPr>
        <w:t>万元、培训费</w:t>
      </w:r>
      <w:r>
        <w:rPr>
          <w:rFonts w:hint="eastAsia" w:ascii="仿宋_GB2312" w:hAnsi="仿宋_GB2312" w:eastAsia="仿宋_GB2312" w:cs="仿宋_GB2312"/>
          <w:color w:val="auto"/>
          <w:sz w:val="32"/>
          <w:szCs w:val="32"/>
          <w:lang w:val="en-US" w:eastAsia="zh-CN"/>
        </w:rPr>
        <w:t>0.38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其他交通费用</w:t>
      </w:r>
      <w:r>
        <w:rPr>
          <w:rFonts w:hint="eastAsia" w:ascii="仿宋_GB2312" w:hAnsi="仿宋_GB2312" w:eastAsia="仿宋_GB2312" w:cs="仿宋_GB2312"/>
          <w:color w:val="auto"/>
          <w:sz w:val="32"/>
          <w:szCs w:val="32"/>
          <w:lang w:val="en-US" w:eastAsia="zh-CN"/>
        </w:rPr>
        <w:t>5.10万元、接待费</w:t>
      </w:r>
      <w:r>
        <w:rPr>
          <w:rFonts w:hint="eastAsia" w:ascii="仿宋_GB2312" w:hAnsi="仿宋_GB2312" w:eastAsia="仿宋_GB2312" w:cs="仿宋_GB2312"/>
          <w:b w:val="0"/>
          <w:bCs w:val="0"/>
          <w:color w:val="auto"/>
          <w:sz w:val="32"/>
          <w:szCs w:val="32"/>
          <w:lang w:val="en-US" w:eastAsia="zh-CN"/>
        </w:rPr>
        <w:t>0.07万元</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20" w:lineRule="exact"/>
        <w:ind w:firstLine="640" w:firstLineChars="200"/>
        <w:outlineLvl w:val="1"/>
        <w:rPr>
          <w:rStyle w:val="19"/>
          <w:rFonts w:hint="eastAsia" w:ascii="黑体" w:hAnsi="黑体" w:eastAsia="黑体" w:cs="黑体"/>
          <w:b w:val="0"/>
          <w:bCs w:val="0"/>
          <w:color w:val="auto"/>
          <w:sz w:val="32"/>
          <w:szCs w:val="32"/>
        </w:rPr>
      </w:pPr>
      <w:bookmarkStart w:id="69" w:name="_Toc47"/>
      <w:bookmarkStart w:id="70" w:name="_Toc15377215"/>
      <w:bookmarkStart w:id="71" w:name="_Toc15396609"/>
      <w:r>
        <w:rPr>
          <w:rStyle w:val="19"/>
          <w:rFonts w:hint="eastAsia" w:ascii="黑体" w:hAnsi="黑体" w:eastAsia="黑体" w:cs="黑体"/>
          <w:b w:val="0"/>
          <w:bCs w:val="0"/>
          <w:color w:val="auto"/>
          <w:sz w:val="32"/>
          <w:szCs w:val="32"/>
          <w:lang w:val="en-US" w:eastAsia="zh-CN"/>
        </w:rPr>
        <w:t>七、</w:t>
      </w:r>
      <w:r>
        <w:rPr>
          <w:rStyle w:val="19"/>
          <w:rFonts w:hint="eastAsia" w:ascii="黑体" w:hAnsi="黑体" w:eastAsia="黑体" w:cs="黑体"/>
          <w:b w:val="0"/>
          <w:bCs w:val="0"/>
          <w:color w:val="auto"/>
          <w:sz w:val="32"/>
          <w:szCs w:val="32"/>
        </w:rPr>
        <w:t>“三公”经费财政拨款支出决算情况说明</w:t>
      </w:r>
      <w:bookmarkEnd w:id="69"/>
      <w:bookmarkEnd w:id="70"/>
      <w:bookmarkEnd w:id="71"/>
    </w:p>
    <w:p>
      <w:pPr>
        <w:pageBreakBefore w:val="0"/>
        <w:kinsoku/>
        <w:wordWrap/>
        <w:overflowPunct/>
        <w:topLinePunct w:val="0"/>
        <w:bidi w:val="0"/>
        <w:spacing w:line="520" w:lineRule="exact"/>
        <w:ind w:firstLine="643" w:firstLineChars="200"/>
        <w:outlineLvl w:val="2"/>
        <w:rPr>
          <w:rFonts w:hint="eastAsia" w:ascii="楷体_GB2312" w:hAnsi="楷体_GB2312" w:eastAsia="楷体_GB2312" w:cs="楷体_GB2312"/>
          <w:b/>
          <w:color w:val="auto"/>
          <w:sz w:val="32"/>
          <w:szCs w:val="32"/>
        </w:rPr>
      </w:pPr>
      <w:bookmarkStart w:id="72" w:name="_Toc15377216"/>
      <w:r>
        <w:rPr>
          <w:rFonts w:hint="eastAsia" w:ascii="楷体_GB2312" w:hAnsi="楷体_GB2312" w:eastAsia="楷体_GB2312" w:cs="楷体_GB2312"/>
          <w:b/>
          <w:color w:val="auto"/>
          <w:sz w:val="32"/>
          <w:szCs w:val="32"/>
        </w:rPr>
        <w:t>（一）“三公”经费财政拨款支出决算总体情况说明</w:t>
      </w:r>
      <w:bookmarkEnd w:id="72"/>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年“三公”经费财政拨款支出决算为</w:t>
      </w:r>
      <w:r>
        <w:rPr>
          <w:rFonts w:hint="eastAsia" w:ascii="仿宋_GB2312" w:hAnsi="仿宋_GB2312" w:eastAsia="仿宋_GB2312" w:cs="仿宋_GB2312"/>
          <w:color w:val="auto"/>
          <w:sz w:val="32"/>
          <w:szCs w:val="32"/>
          <w:lang w:val="en-US" w:eastAsia="zh-CN"/>
        </w:rPr>
        <w:t>0.07</w:t>
      </w:r>
      <w:r>
        <w:rPr>
          <w:rFonts w:hint="eastAsia" w:ascii="仿宋_GB2312" w:hAnsi="仿宋_GB2312" w:eastAsia="仿宋_GB2312" w:cs="仿宋_GB2312"/>
          <w:color w:val="auto"/>
          <w:sz w:val="32"/>
          <w:szCs w:val="32"/>
        </w:rPr>
        <w:t>万元，完成预算100%，决算数与预算数持平。</w:t>
      </w:r>
    </w:p>
    <w:p>
      <w:pPr>
        <w:pageBreakBefore w:val="0"/>
        <w:kinsoku/>
        <w:wordWrap/>
        <w:overflowPunct/>
        <w:topLinePunct w:val="0"/>
        <w:bidi w:val="0"/>
        <w:spacing w:line="520" w:lineRule="exact"/>
        <w:ind w:firstLine="643" w:firstLineChars="200"/>
        <w:outlineLvl w:val="2"/>
        <w:rPr>
          <w:rFonts w:hint="eastAsia" w:ascii="楷体_GB2312" w:hAnsi="楷体_GB2312" w:eastAsia="楷体_GB2312" w:cs="楷体_GB2312"/>
          <w:b/>
          <w:color w:val="auto"/>
          <w:sz w:val="32"/>
          <w:szCs w:val="32"/>
        </w:rPr>
      </w:pPr>
      <w:bookmarkStart w:id="73" w:name="_Toc15377217"/>
      <w:r>
        <w:rPr>
          <w:rFonts w:hint="eastAsia" w:ascii="楷体_GB2312" w:hAnsi="楷体_GB2312" w:eastAsia="楷体_GB2312" w:cs="楷体_GB2312"/>
          <w:b/>
          <w:color w:val="auto"/>
          <w:sz w:val="32"/>
          <w:szCs w:val="32"/>
        </w:rPr>
        <w:t>（二）“三公”经费财政拨款支出决算具体情况说明</w:t>
      </w:r>
      <w:bookmarkEnd w:id="73"/>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年“三公”经费财政拨款支出决算中，因公出国（境）费支出决算0万元，占0%；公务用车购置及运行维护费支出决算0万元，占0%；公务接待费支出决算</w:t>
      </w:r>
      <w:r>
        <w:rPr>
          <w:rFonts w:hint="eastAsia" w:ascii="仿宋_GB2312" w:hAnsi="仿宋_GB2312" w:eastAsia="仿宋_GB2312" w:cs="仿宋_GB2312"/>
          <w:color w:val="auto"/>
          <w:sz w:val="32"/>
          <w:szCs w:val="32"/>
          <w:lang w:val="en-US" w:eastAsia="zh-CN"/>
        </w:rPr>
        <w:t>0.07</w:t>
      </w:r>
      <w:r>
        <w:rPr>
          <w:rFonts w:hint="eastAsia" w:ascii="仿宋_GB2312" w:hAnsi="仿宋_GB2312" w:eastAsia="仿宋_GB2312" w:cs="仿宋_GB2312"/>
          <w:color w:val="auto"/>
          <w:sz w:val="32"/>
          <w:szCs w:val="32"/>
        </w:rPr>
        <w:t>万元，占100%。具体情况如下：</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（图</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：“三公”经费财政拨款支出结构）（饼状图）</w:t>
      </w:r>
    </w:p>
    <w:p>
      <w:pPr>
        <w:pStyle w:val="16"/>
        <w:pageBreakBefore w:val="0"/>
        <w:kinsoku/>
        <w:wordWrap/>
        <w:overflowPunct/>
        <w:topLinePunct w:val="0"/>
        <w:bidi w:val="0"/>
        <w:spacing w:line="520" w:lineRule="exac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drawing>
          <wp:anchor distT="0" distB="0" distL="114300" distR="114300" simplePos="0" relativeHeight="251659264" behindDoc="0" locked="0" layoutInCell="1" allowOverlap="1">
            <wp:simplePos x="0" y="0"/>
            <wp:positionH relativeFrom="column">
              <wp:posOffset>-65405</wp:posOffset>
            </wp:positionH>
            <wp:positionV relativeFrom="paragraph">
              <wp:posOffset>-8094980</wp:posOffset>
            </wp:positionV>
            <wp:extent cx="5412740" cy="2952750"/>
            <wp:effectExtent l="4445" t="4445" r="12065" b="14605"/>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pPr>
        <w:pStyle w:val="16"/>
        <w:pageBreakBefore w:val="0"/>
        <w:kinsoku/>
        <w:wordWrap/>
        <w:overflowPunct/>
        <w:topLinePunct w:val="0"/>
        <w:bidi w:val="0"/>
        <w:spacing w:line="520" w:lineRule="exact"/>
        <w:ind w:left="0" w:leftChars="0" w:firstLine="0" w:firstLineChars="0"/>
        <w:rPr>
          <w:rFonts w:hint="eastAsia" w:ascii="仿宋_GB2312" w:hAnsi="仿宋_GB2312" w:eastAsia="仿宋_GB2312" w:cs="仿宋_GB2312"/>
          <w:color w:val="auto"/>
          <w:sz w:val="32"/>
          <w:szCs w:val="32"/>
          <w:lang w:eastAsia="zh-CN"/>
        </w:rPr>
      </w:pPr>
    </w:p>
    <w:p>
      <w:pPr>
        <w:pStyle w:val="16"/>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color w:val="auto"/>
          <w:sz w:val="32"/>
          <w:szCs w:val="32"/>
          <w:lang w:eastAsia="zh-CN"/>
        </w:rPr>
      </w:pPr>
    </w:p>
    <w:p>
      <w:pPr>
        <w:pageBreakBefore w:val="0"/>
        <w:numPr>
          <w:ilvl w:val="0"/>
          <w:numId w:val="0"/>
        </w:numPr>
        <w:kinsoku/>
        <w:wordWrap/>
        <w:overflowPunct/>
        <w:topLinePunct w:val="0"/>
        <w:bidi w:val="0"/>
        <w:spacing w:line="52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lang w:val="en-US" w:eastAsia="zh-CN"/>
        </w:rPr>
        <w:t>1.</w:t>
      </w:r>
      <w:r>
        <w:rPr>
          <w:rFonts w:hint="eastAsia" w:ascii="仿宋_GB2312" w:hAnsi="仿宋_GB2312" w:eastAsia="仿宋_GB2312" w:cs="仿宋_GB2312"/>
          <w:b/>
          <w:color w:val="auto"/>
          <w:sz w:val="32"/>
          <w:szCs w:val="32"/>
        </w:rPr>
        <w:t>因公出国（境）经费支出</w:t>
      </w:r>
      <w:r>
        <w:rPr>
          <w:rFonts w:hint="eastAsia" w:ascii="仿宋_GB2312" w:hAnsi="仿宋_GB2312" w:eastAsia="仿宋_GB2312" w:cs="仿宋_GB2312"/>
          <w:color w:val="auto"/>
          <w:sz w:val="32"/>
          <w:szCs w:val="32"/>
        </w:rPr>
        <w:t>0万元，</w:t>
      </w:r>
      <w:r>
        <w:rPr>
          <w:rStyle w:val="15"/>
          <w:rFonts w:hint="eastAsia" w:ascii="仿宋_GB2312" w:hAnsi="仿宋_GB2312" w:eastAsia="仿宋_GB2312" w:cs="仿宋_GB2312"/>
          <w:b w:val="0"/>
          <w:bCs/>
          <w:color w:val="auto"/>
          <w:sz w:val="32"/>
          <w:szCs w:val="32"/>
        </w:rPr>
        <w:t>完成预算100%。</w:t>
      </w:r>
      <w:r>
        <w:rPr>
          <w:rFonts w:hint="eastAsia" w:ascii="仿宋_GB2312" w:hAnsi="仿宋_GB2312" w:eastAsia="仿宋_GB2312" w:cs="仿宋_GB2312"/>
          <w:color w:val="auto"/>
          <w:sz w:val="32"/>
          <w:szCs w:val="32"/>
        </w:rPr>
        <w:t>全年安排因公出国（境）团组0次，出国（境）0人。因公出国（境）支出决算与上年持平。</w:t>
      </w:r>
    </w:p>
    <w:p>
      <w:pPr>
        <w:pageBreakBefore w:val="0"/>
        <w:kinsoku/>
        <w:wordWrap/>
        <w:overflowPunct/>
        <w:topLinePunct w:val="0"/>
        <w:bidi w:val="0"/>
        <w:spacing w:line="520" w:lineRule="exact"/>
        <w:ind w:firstLine="643"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2.公务用车购置及运行维护费支出</w:t>
      </w:r>
      <w:r>
        <w:rPr>
          <w:rFonts w:hint="eastAsia" w:ascii="仿宋_GB2312" w:hAnsi="仿宋_GB2312" w:eastAsia="仿宋_GB2312" w:cs="仿宋_GB2312"/>
          <w:color w:val="auto"/>
          <w:sz w:val="32"/>
          <w:szCs w:val="32"/>
        </w:rPr>
        <w:t>0万元,</w:t>
      </w:r>
      <w:r>
        <w:rPr>
          <w:rStyle w:val="15"/>
          <w:rFonts w:hint="eastAsia" w:ascii="仿宋_GB2312" w:hAnsi="仿宋_GB2312" w:eastAsia="仿宋_GB2312" w:cs="仿宋_GB2312"/>
          <w:b w:val="0"/>
          <w:bCs/>
          <w:color w:val="auto"/>
          <w:sz w:val="32"/>
          <w:szCs w:val="32"/>
        </w:rPr>
        <w:t>完成预算100%。</w:t>
      </w:r>
      <w:r>
        <w:rPr>
          <w:rFonts w:hint="eastAsia" w:ascii="仿宋_GB2312" w:hAnsi="仿宋_GB2312" w:eastAsia="仿宋_GB2312" w:cs="仿宋_GB2312"/>
          <w:color w:val="auto"/>
          <w:sz w:val="32"/>
          <w:szCs w:val="32"/>
        </w:rPr>
        <w:t>公务用车购置及运行维护费支出决算与20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年持平。</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b/>
          <w:color w:val="auto"/>
          <w:sz w:val="32"/>
          <w:szCs w:val="32"/>
        </w:rPr>
        <w:t>公务用车购置支出</w:t>
      </w:r>
      <w:r>
        <w:rPr>
          <w:rFonts w:hint="eastAsia" w:ascii="仿宋_GB2312" w:hAnsi="仿宋_GB2312" w:eastAsia="仿宋_GB2312" w:cs="仿宋_GB2312"/>
          <w:color w:val="auto"/>
          <w:sz w:val="32"/>
          <w:szCs w:val="32"/>
        </w:rPr>
        <w:t>0万元。全年按规定更新购置公务用车0辆，其中：轿车0辆、金额0万元，越野车0辆、金额0万元，载客汽车0辆、金额0万元。</w:t>
      </w:r>
    </w:p>
    <w:p>
      <w:pPr>
        <w:pageBreakBefore w:val="0"/>
        <w:kinsoku/>
        <w:wordWrap/>
        <w:overflowPunct/>
        <w:topLinePunct w:val="0"/>
        <w:bidi w:val="0"/>
        <w:spacing w:line="52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公务用车运行维护费支出</w:t>
      </w:r>
      <w:r>
        <w:rPr>
          <w:rFonts w:hint="eastAsia" w:ascii="仿宋_GB2312" w:hAnsi="仿宋_GB2312" w:eastAsia="仿宋_GB2312" w:cs="仿宋_GB2312"/>
          <w:color w:val="auto"/>
          <w:sz w:val="32"/>
          <w:szCs w:val="32"/>
        </w:rPr>
        <w:t>0万元。</w:t>
      </w:r>
    </w:p>
    <w:p>
      <w:pPr>
        <w:pageBreakBefore w:val="0"/>
        <w:kinsoku/>
        <w:wordWrap/>
        <w:overflowPunct/>
        <w:topLinePunct w:val="0"/>
        <w:bidi w:val="0"/>
        <w:spacing w:line="52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3.公务接待费支出</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07</w:t>
      </w:r>
      <w:r>
        <w:rPr>
          <w:rFonts w:hint="eastAsia" w:ascii="仿宋_GB2312" w:hAnsi="仿宋_GB2312" w:eastAsia="仿宋_GB2312" w:cs="仿宋_GB2312"/>
          <w:color w:val="auto"/>
          <w:sz w:val="32"/>
          <w:szCs w:val="32"/>
        </w:rPr>
        <w:t>万元，</w:t>
      </w:r>
      <w:r>
        <w:rPr>
          <w:rStyle w:val="15"/>
          <w:rFonts w:hint="eastAsia" w:ascii="仿宋_GB2312" w:hAnsi="仿宋_GB2312" w:eastAsia="仿宋_GB2312" w:cs="仿宋_GB2312"/>
          <w:b w:val="0"/>
          <w:bCs/>
          <w:color w:val="auto"/>
          <w:sz w:val="32"/>
          <w:szCs w:val="32"/>
        </w:rPr>
        <w:t>完成预算100%。</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具体内容包括：上级部门检查工作及周边县交流等。</w:t>
      </w:r>
    </w:p>
    <w:p>
      <w:pPr>
        <w:pageBreakBefore w:val="0"/>
        <w:kinsoku/>
        <w:wordWrap/>
        <w:overflowPunct/>
        <w:topLinePunct w:val="0"/>
        <w:bidi w:val="0"/>
        <w:spacing w:line="52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外事接待支出</w:t>
      </w:r>
      <w:r>
        <w:rPr>
          <w:rFonts w:hint="eastAsia" w:ascii="仿宋_GB2312" w:hAnsi="仿宋_GB2312" w:eastAsia="仿宋_GB2312" w:cs="仿宋_GB2312"/>
          <w:color w:val="auto"/>
          <w:sz w:val="32"/>
          <w:szCs w:val="32"/>
        </w:rPr>
        <w:t>0万元，外事接待0批次，0人，共计支出0万元。</w:t>
      </w:r>
    </w:p>
    <w:p>
      <w:pPr>
        <w:pageBreakBefore w:val="0"/>
        <w:kinsoku/>
        <w:wordWrap/>
        <w:overflowPunct/>
        <w:topLinePunct w:val="0"/>
        <w:bidi w:val="0"/>
        <w:spacing w:line="52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其他国内公务接待支出</w:t>
      </w:r>
      <w:r>
        <w:rPr>
          <w:rFonts w:hint="eastAsia" w:ascii="仿宋_GB2312" w:hAnsi="仿宋_GB2312" w:eastAsia="仿宋_GB2312" w:cs="仿宋_GB2312"/>
          <w:color w:val="auto"/>
          <w:sz w:val="32"/>
          <w:szCs w:val="32"/>
        </w:rPr>
        <w:t>0万元。</w:t>
      </w:r>
      <w:bookmarkStart w:id="74" w:name="_Toc15396610"/>
      <w:bookmarkStart w:id="75" w:name="_Toc15377218"/>
    </w:p>
    <w:p>
      <w:pPr>
        <w:pageBreakBefore w:val="0"/>
        <w:kinsoku/>
        <w:wordWrap/>
        <w:overflowPunct/>
        <w:topLinePunct w:val="0"/>
        <w:bidi w:val="0"/>
        <w:spacing w:line="520" w:lineRule="exact"/>
        <w:ind w:firstLine="640" w:firstLineChars="200"/>
        <w:outlineLvl w:val="1"/>
        <w:rPr>
          <w:rStyle w:val="19"/>
          <w:rFonts w:hint="eastAsia" w:ascii="黑体" w:hAnsi="黑体" w:eastAsia="黑体" w:cs="黑体"/>
          <w:color w:val="auto"/>
          <w:sz w:val="32"/>
          <w:szCs w:val="32"/>
        </w:rPr>
      </w:pPr>
      <w:bookmarkStart w:id="76" w:name="_Toc14244"/>
      <w:r>
        <w:rPr>
          <w:rFonts w:hint="eastAsia" w:ascii="黑体" w:hAnsi="黑体" w:eastAsia="黑体" w:cs="黑体"/>
          <w:color w:val="auto"/>
          <w:sz w:val="32"/>
          <w:szCs w:val="32"/>
        </w:rPr>
        <w:t>八、</w:t>
      </w:r>
      <w:r>
        <w:rPr>
          <w:rStyle w:val="19"/>
          <w:rFonts w:hint="eastAsia" w:ascii="黑体" w:hAnsi="黑体" w:eastAsia="黑体" w:cs="黑体"/>
          <w:b w:val="0"/>
          <w:color w:val="auto"/>
          <w:sz w:val="32"/>
          <w:szCs w:val="32"/>
        </w:rPr>
        <w:t>政府性基金预算支出决算情况说明</w:t>
      </w:r>
      <w:bookmarkEnd w:id="74"/>
      <w:bookmarkEnd w:id="75"/>
      <w:bookmarkEnd w:id="76"/>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年政府性基金预算拨款支出</w:t>
      </w:r>
      <w:r>
        <w:rPr>
          <w:rFonts w:hint="eastAsia" w:ascii="仿宋_GB2312" w:hAnsi="仿宋_GB2312" w:eastAsia="仿宋_GB2312" w:cs="仿宋_GB2312"/>
          <w:color w:val="auto"/>
          <w:sz w:val="32"/>
          <w:szCs w:val="32"/>
          <w:lang w:val="en-US" w:eastAsia="zh-CN"/>
        </w:rPr>
        <w:t>0.00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pPr>
        <w:pageBreakBefore w:val="0"/>
        <w:numPr>
          <w:ilvl w:val="0"/>
          <w:numId w:val="0"/>
        </w:numPr>
        <w:kinsoku/>
        <w:wordWrap/>
        <w:overflowPunct/>
        <w:topLinePunct w:val="0"/>
        <w:bidi w:val="0"/>
        <w:spacing w:line="520" w:lineRule="exact"/>
        <w:ind w:firstLine="640" w:firstLineChars="200"/>
        <w:outlineLvl w:val="1"/>
        <w:rPr>
          <w:rStyle w:val="19"/>
          <w:rFonts w:hint="eastAsia" w:ascii="黑体" w:hAnsi="黑体" w:eastAsia="黑体" w:cs="黑体"/>
          <w:b w:val="0"/>
          <w:color w:val="auto"/>
          <w:sz w:val="32"/>
          <w:szCs w:val="32"/>
        </w:rPr>
      </w:pPr>
      <w:bookmarkStart w:id="77" w:name="_Toc29334"/>
      <w:bookmarkStart w:id="78" w:name="_Toc15377219"/>
      <w:bookmarkStart w:id="79" w:name="_Toc15396611"/>
      <w:r>
        <w:rPr>
          <w:rStyle w:val="19"/>
          <w:rFonts w:hint="eastAsia" w:ascii="黑体" w:hAnsi="黑体" w:eastAsia="黑体" w:cs="黑体"/>
          <w:b w:val="0"/>
          <w:color w:val="auto"/>
          <w:sz w:val="32"/>
          <w:szCs w:val="32"/>
          <w:lang w:val="en-US" w:eastAsia="zh-CN"/>
        </w:rPr>
        <w:t>九、</w:t>
      </w:r>
      <w:r>
        <w:rPr>
          <w:rStyle w:val="19"/>
          <w:rFonts w:hint="eastAsia" w:ascii="黑体" w:hAnsi="黑体" w:eastAsia="黑体" w:cs="黑体"/>
          <w:b w:val="0"/>
          <w:color w:val="auto"/>
          <w:sz w:val="32"/>
          <w:szCs w:val="32"/>
        </w:rPr>
        <w:t>国有资本经营预算支出决算情况说明</w:t>
      </w:r>
      <w:bookmarkEnd w:id="77"/>
      <w:bookmarkEnd w:id="78"/>
      <w:bookmarkEnd w:id="79"/>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年国有资本经营预算拨款支出0万元。</w:t>
      </w:r>
    </w:p>
    <w:p>
      <w:pPr>
        <w:pStyle w:val="20"/>
        <w:pageBreakBefore w:val="0"/>
        <w:numPr>
          <w:ilvl w:val="0"/>
          <w:numId w:val="0"/>
        </w:numPr>
        <w:kinsoku/>
        <w:wordWrap/>
        <w:overflowPunct/>
        <w:topLinePunct w:val="0"/>
        <w:bidi w:val="0"/>
        <w:spacing w:line="520" w:lineRule="exact"/>
        <w:ind w:firstLine="640" w:firstLineChars="200"/>
        <w:rPr>
          <w:rStyle w:val="19"/>
          <w:rFonts w:hint="eastAsia" w:ascii="黑体" w:hAnsi="黑体" w:eastAsia="黑体" w:cs="黑体"/>
          <w:b w:val="0"/>
          <w:color w:val="auto"/>
          <w:sz w:val="32"/>
          <w:szCs w:val="32"/>
        </w:rPr>
      </w:pPr>
      <w:bookmarkStart w:id="80" w:name="_Toc15299"/>
      <w:r>
        <w:rPr>
          <w:rStyle w:val="19"/>
          <w:rFonts w:hint="eastAsia" w:ascii="黑体" w:hAnsi="黑体" w:eastAsia="黑体" w:cs="黑体"/>
          <w:b w:val="0"/>
          <w:color w:val="auto"/>
          <w:sz w:val="32"/>
          <w:szCs w:val="32"/>
          <w:lang w:val="en-US" w:eastAsia="zh-CN"/>
        </w:rPr>
        <w:t>十、</w:t>
      </w:r>
      <w:r>
        <w:rPr>
          <w:rStyle w:val="19"/>
          <w:rFonts w:hint="eastAsia" w:ascii="黑体" w:hAnsi="黑体" w:eastAsia="黑体" w:cs="黑体"/>
          <w:b w:val="0"/>
          <w:color w:val="auto"/>
          <w:sz w:val="32"/>
          <w:szCs w:val="32"/>
        </w:rPr>
        <w:t>预算绩效情况说明</w:t>
      </w:r>
    </w:p>
    <w:bookmarkEnd w:id="80"/>
    <w:p>
      <w:pPr>
        <w:pageBreakBefore w:val="0"/>
        <w:numPr>
          <w:ilvl w:val="0"/>
          <w:numId w:val="0"/>
        </w:numPr>
        <w:kinsoku/>
        <w:wordWrap/>
        <w:overflowPunct/>
        <w:topLinePunct w:val="0"/>
        <w:bidi w:val="0"/>
        <w:spacing w:line="520" w:lineRule="exact"/>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预算绩效管理工作开展情况</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个项目开展了绩效目标完成情况梳理填报。</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auto"/>
          <w:sz w:val="32"/>
          <w:szCs w:val="32"/>
        </w:rPr>
        <w:t>本部门按要求对</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kern w:val="0"/>
          <w:sz w:val="32"/>
          <w:szCs w:val="32"/>
        </w:rPr>
        <w:t>我局整体支出绩效目标良好，较好完成今年预定工作目标，严格按照预算管理进行支付并做到节能降耗，“三公”经费严格按照年初预算执行。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color w:val="auto"/>
          <w:sz w:val="32"/>
          <w:szCs w:val="32"/>
        </w:rPr>
        <w:t>在全面贯彻落实党的十九大精神,坚持以习近平新时代中国特色社会主义思想为指导,努力实现人民群众满意。</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pageBreakBefore w:val="0"/>
        <w:kinsoku/>
        <w:wordWrap/>
        <w:overflowPunct/>
        <w:topLinePunct w:val="0"/>
        <w:bidi w:val="0"/>
        <w:spacing w:line="520" w:lineRule="exact"/>
        <w:ind w:firstLine="643" w:firstLineChars="200"/>
        <w:rPr>
          <w:rFonts w:hint="eastAsia" w:ascii="楷体_GB2312" w:hAnsi="楷体_GB2312" w:eastAsia="楷体_GB2312" w:cs="楷体_GB2312"/>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rPr>
        <w:t>项目绩效目标完成情况</w:t>
      </w:r>
    </w:p>
    <w:p>
      <w:pPr>
        <w:pageBreakBefore w:val="0"/>
        <w:numPr>
          <w:ilvl w:val="0"/>
          <w:numId w:val="0"/>
        </w:numPr>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本部门在</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val="en-US" w:eastAsia="zh-CN"/>
        </w:rPr>
        <w:t>一体化政务服务平台“好差评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系统建设</w:t>
      </w:r>
      <w:r>
        <w:rPr>
          <w:rFonts w:hint="eastAsia" w:ascii="仿宋_GB2312" w:hAnsi="仿宋_GB2312" w:eastAsia="仿宋_GB2312" w:cs="仿宋_GB2312"/>
          <w:color w:val="auto"/>
          <w:sz w:val="32"/>
          <w:szCs w:val="32"/>
        </w:rPr>
        <w:t>项目绩效目标实际完成情况。</w:t>
      </w:r>
    </w:p>
    <w:p>
      <w:pPr>
        <w:pageBreakBefore w:val="0"/>
        <w:numPr>
          <w:ilvl w:val="0"/>
          <w:numId w:val="0"/>
        </w:numPr>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2021年一体化政务服务平台“好差评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系统建设</w:t>
      </w:r>
      <w:r>
        <w:rPr>
          <w:rFonts w:hint="eastAsia" w:ascii="仿宋_GB2312" w:hAnsi="仿宋_GB2312" w:eastAsia="仿宋_GB2312" w:cs="仿宋_GB2312"/>
          <w:color w:val="auto"/>
          <w:sz w:val="32"/>
          <w:szCs w:val="32"/>
        </w:rPr>
        <w:t>项目目标完成情况综述。</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15.75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14.89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93.33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w:t>
      </w:r>
      <w:r>
        <w:rPr>
          <w:rFonts w:hint="eastAsia" w:ascii="仿宋_GB2312" w:hAnsi="仿宋_GB2312" w:eastAsia="仿宋_GB2312" w:cs="仿宋_GB2312"/>
          <w:color w:val="auto"/>
          <w:sz w:val="32"/>
          <w:szCs w:val="32"/>
          <w:lang w:val="en-US" w:eastAsia="zh-CN"/>
        </w:rPr>
        <w:t>一体化政务服务平台“好差评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系统建设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推进政务服务标准化建设，</w:t>
      </w:r>
      <w:r>
        <w:rPr>
          <w:rFonts w:hint="eastAsia" w:ascii="仿宋_GB2312" w:hAnsi="仿宋_GB2312" w:eastAsia="仿宋_GB2312" w:cs="仿宋_GB2312"/>
          <w:sz w:val="32"/>
          <w:szCs w:val="32"/>
          <w:lang w:val="en-US" w:eastAsia="zh-CN"/>
        </w:rPr>
        <w:t>更好的为办事群众服务，提升政府形象。</w:t>
      </w:r>
    </w:p>
    <w:tbl>
      <w:tblPr>
        <w:tblStyle w:val="13"/>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项目支出绩效目标完成情况表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项目名称</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一体化政务服务平台“好差评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系统建设项目</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预算单位</w:t>
            </w:r>
          </w:p>
        </w:tc>
        <w:tc>
          <w:tcPr>
            <w:tcW w:w="72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红原县</w:t>
            </w:r>
            <w:r>
              <w:rPr>
                <w:rFonts w:hint="eastAsia" w:ascii="仿宋_GB2312" w:hAnsi="仿宋_GB2312" w:eastAsia="仿宋_GB2312" w:cs="仿宋_GB2312"/>
                <w:color w:val="auto"/>
                <w:sz w:val="32"/>
                <w:szCs w:val="32"/>
                <w:lang w:eastAsia="zh-CN"/>
              </w:rPr>
              <w:t>行政审批局</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预算执行情况(万元</w:t>
            </w: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预算数:</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15.75</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执行数:</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14.70</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98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15.75</w:t>
            </w:r>
            <w:r>
              <w:rPr>
                <w:rFonts w:hint="eastAsia" w:ascii="仿宋_GB2312" w:hAnsi="仿宋_GB2312" w:eastAsia="仿宋_GB2312" w:cs="仿宋_GB2312"/>
                <w:color w:val="auto"/>
                <w:sz w:val="32"/>
                <w:szCs w:val="32"/>
              </w:rPr>
              <w:t>万元</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14.70</w:t>
            </w:r>
            <w:r>
              <w:rPr>
                <w:rFonts w:hint="eastAsia" w:ascii="仿宋_GB2312" w:hAnsi="仿宋_GB2312" w:eastAsia="仿宋_GB2312" w:cs="仿宋_GB2312"/>
                <w:color w:val="auto"/>
                <w:sz w:val="32"/>
                <w:szCs w:val="32"/>
              </w:rPr>
              <w:t>万元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18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其它资金:</w:t>
            </w:r>
          </w:p>
        </w:tc>
        <w:tc>
          <w:tcPr>
            <w:tcW w:w="19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其它资金:</w:t>
            </w:r>
          </w:p>
        </w:tc>
        <w:tc>
          <w:tcPr>
            <w:tcW w:w="3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预期目标</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3" w:firstLineChars="200"/>
              <w:jc w:val="center"/>
              <w:textAlignment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实际完成目标</w:t>
            </w:r>
          </w:p>
        </w:tc>
      </w:tr>
      <w:tr>
        <w:tblPrEx>
          <w:tblCellMar>
            <w:top w:w="0" w:type="dxa"/>
            <w:left w:w="0" w:type="dxa"/>
            <w:bottom w:w="0" w:type="dxa"/>
            <w:right w:w="0" w:type="dxa"/>
          </w:tblCellMar>
        </w:tblPrEx>
        <w:trPr>
          <w:trHeight w:val="9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262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color w:val="auto"/>
                <w:sz w:val="32"/>
                <w:szCs w:val="32"/>
                <w:lang w:eastAsia="zh-CN"/>
              </w:rPr>
              <w:t>保障政务大厅的正常运转</w:t>
            </w:r>
          </w:p>
        </w:tc>
        <w:tc>
          <w:tcPr>
            <w:tcW w:w="645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sz w:val="32"/>
                <w:szCs w:val="32"/>
                <w:lang w:val="en-US" w:eastAsia="zh-CN"/>
              </w:rPr>
              <w:t>21年建成全县政务服务一体化“好差评”系统建设</w:t>
            </w:r>
          </w:p>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r>
      <w:tr>
        <w:tblPrEx>
          <w:tblCellMar>
            <w:top w:w="0" w:type="dxa"/>
            <w:left w:w="0" w:type="dxa"/>
            <w:bottom w:w="0" w:type="dxa"/>
            <w:right w:w="0" w:type="dxa"/>
          </w:tblCellMar>
        </w:tblPrEx>
        <w:trPr>
          <w:trHeight w:val="560"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直接连接符_10"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直接连接符_8"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直接连接符_9"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336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直接连接符_7" descr="/"/>
                          <pic:cNvPicPr>
                            <a:picLocks noChangeAspect="1"/>
                          </pic:cNvPicPr>
                        </pic:nvPicPr>
                        <pic:blipFill>
                          <a:blip r:embed="rId25"/>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b/>
                <w:color w:val="auto"/>
                <w:kern w:val="0"/>
                <w:sz w:val="32"/>
                <w:szCs w:val="32"/>
              </w:rPr>
              <w:t>一级指标</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二级指标</w:t>
            </w: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三级指标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numPr>
                <w:ilvl w:val="0"/>
                <w:numId w:val="0"/>
              </w:numPr>
              <w:kinsoku/>
              <w:wordWrap/>
              <w:overflowPunct/>
              <w:topLinePunct w:val="0"/>
              <w:bidi w:val="0"/>
              <w:spacing w:line="520" w:lineRule="exact"/>
              <w:ind w:leftChars="0"/>
              <w:jc w:val="left"/>
              <w:textAlignment w:val="bottom"/>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kern w:val="0"/>
                <w:sz w:val="32"/>
                <w:szCs w:val="32"/>
              </w:rPr>
              <w:t>实际完成指标值(包含数字及文字描述)</w:t>
            </w:r>
          </w:p>
        </w:tc>
      </w:tr>
      <w:tr>
        <w:tblPrEx>
          <w:tblCellMar>
            <w:top w:w="0" w:type="dxa"/>
            <w:left w:w="0" w:type="dxa"/>
            <w:bottom w:w="0" w:type="dxa"/>
            <w:right w:w="0" w:type="dxa"/>
          </w:tblCellMar>
        </w:tblPrEx>
        <w:trPr>
          <w:trHeight w:val="5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80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c>
          <w:tcPr>
            <w:tcW w:w="17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3" w:firstLineChars="200"/>
              <w:jc w:val="center"/>
              <w:rPr>
                <w:rFonts w:hint="eastAsia" w:ascii="仿宋_GB2312" w:hAnsi="仿宋_GB2312" w:eastAsia="仿宋_GB2312" w:cs="仿宋_GB2312"/>
                <w:b/>
                <w:color w:val="auto"/>
                <w:sz w:val="32"/>
                <w:szCs w:val="32"/>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项目决策</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绩效目标</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目标内容</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sz w:val="32"/>
                <w:szCs w:val="32"/>
                <w:lang w:val="en-US" w:eastAsia="zh-CN"/>
              </w:rPr>
              <w:t>21年建成全县政务服务一体化“好差评”系统建设</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sz w:val="32"/>
                <w:szCs w:val="32"/>
                <w:lang w:val="en-US" w:eastAsia="zh-CN"/>
              </w:rPr>
              <w:t>21年建成全县政务服务一体化“好差评”系统建设</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进度计划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项目计划实施进度明确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明确</w:t>
            </w:r>
          </w:p>
        </w:tc>
      </w:tr>
      <w:tr>
        <w:tblPrEx>
          <w:tblCellMar>
            <w:top w:w="0" w:type="dxa"/>
            <w:left w:w="0" w:type="dxa"/>
            <w:bottom w:w="0" w:type="dxa"/>
            <w:right w:w="0" w:type="dxa"/>
          </w:tblCellMar>
        </w:tblPrEx>
        <w:trPr>
          <w:trHeight w:val="89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center"/>
              <w:textAlignment w:val="bottom"/>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目标匹配</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1</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决策依据</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政策依据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实施规划</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管理制度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制定项目资金管理办法</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71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明确</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明确</w:t>
            </w:r>
          </w:p>
        </w:tc>
      </w:tr>
      <w:tr>
        <w:tblPrEx>
          <w:tblCellMar>
            <w:top w:w="0" w:type="dxa"/>
            <w:left w:w="0" w:type="dxa"/>
            <w:bottom w:w="0" w:type="dxa"/>
            <w:right w:w="0" w:type="dxa"/>
          </w:tblCellMar>
        </w:tblPrEx>
        <w:trPr>
          <w:trHeight w:val="8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资金分配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分配方法</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分配过程</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分配过程符合相关规定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分配结果</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审核把关</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1</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1</w:t>
            </w:r>
          </w:p>
        </w:tc>
      </w:tr>
      <w:tr>
        <w:tblPrEx>
          <w:tblCellMar>
            <w:top w:w="0" w:type="dxa"/>
            <w:left w:w="0" w:type="dxa"/>
            <w:bottom w:w="0" w:type="dxa"/>
            <w:right w:w="0" w:type="dxa"/>
          </w:tblCellMar>
        </w:tblPrEx>
        <w:trPr>
          <w:trHeight w:val="19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资金集中</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集中</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0</w:t>
            </w:r>
          </w:p>
        </w:tc>
      </w:tr>
      <w:tr>
        <w:tblPrEx>
          <w:tblCellMar>
            <w:top w:w="0" w:type="dxa"/>
            <w:left w:w="0" w:type="dxa"/>
            <w:bottom w:w="0" w:type="dxa"/>
            <w:right w:w="0" w:type="dxa"/>
          </w:tblCellMar>
        </w:tblPrEx>
        <w:trPr>
          <w:trHeight w:val="9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均衡）</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均衡</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合理</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项目管理</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 xml:space="preserve"> 资金到位</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分配时效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及时</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及时</w:t>
            </w:r>
          </w:p>
        </w:tc>
      </w:tr>
      <w:tr>
        <w:tblPrEx>
          <w:tblCellMar>
            <w:top w:w="0" w:type="dxa"/>
            <w:left w:w="0" w:type="dxa"/>
            <w:bottom w:w="0" w:type="dxa"/>
            <w:right w:w="0" w:type="dxa"/>
          </w:tblCellMar>
        </w:tblPrEx>
        <w:trPr>
          <w:trHeight w:val="219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资金拨付</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按规定及时拨付资金</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left="0" w:leftChars="0" w:firstLine="0" w:firstLineChars="0"/>
              <w:jc w:val="both"/>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 xml:space="preserve">资金管理  </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使用范围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资金使用是否合规</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支付依据</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开支标准</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firstLine="640" w:firstLineChars="200"/>
              <w:jc w:val="center"/>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财务管理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财务制度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财务制度健全，管理规范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会计核算</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会计核算规范</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组织实施（4分）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项目调整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该项目未存在调整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投资变更</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该项目未存在调整</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该项目未存在调整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制度执行</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widowControl/>
              <w:kinsoku/>
              <w:wordWrap/>
              <w:overflowPunct/>
              <w:topLinePunct w:val="0"/>
              <w:bidi w:val="0"/>
              <w:spacing w:line="5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6438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直接连接符_6" descr="/"/>
                          <pic:cNvPicPr>
                            <a:picLocks noChangeAspect="1"/>
                          </pic:cNvPicPr>
                        </pic:nvPicPr>
                        <pic:blipFill>
                          <a:blip r:embed="rId26"/>
                          <a:stretch>
                            <a:fillRect/>
                          </a:stretch>
                        </pic:blipFill>
                        <pic:spPr>
                          <a:xfrm>
                            <a:off x="0" y="0"/>
                            <a:ext cx="28575" cy="9525"/>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540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直接连接符_5" descr="/"/>
                          <pic:cNvPicPr>
                            <a:picLocks noChangeAspect="1"/>
                          </pic:cNvPicPr>
                        </pic:nvPicPr>
                        <pic:blipFill>
                          <a:blip r:embed="rId27"/>
                          <a:stretch>
                            <a:fillRect/>
                          </a:stretch>
                        </pic:blipFill>
                        <pic:spPr>
                          <a:xfrm>
                            <a:off x="0" y="0"/>
                            <a:ext cx="9525" cy="9525"/>
                          </a:xfrm>
                          <a:prstGeom prst="rect">
                            <a:avLst/>
                          </a:prstGeom>
                          <a:noFill/>
                          <a:ln>
                            <a:noFill/>
                          </a:ln>
                        </pic:spPr>
                      </pic:pic>
                    </a:graphicData>
                  </a:graphic>
                </wp:anchor>
              </w:drawing>
            </w:r>
            <w:r>
              <w:rPr>
                <w:rFonts w:hint="eastAsia" w:ascii="仿宋_GB2312" w:hAnsi="仿宋_GB2312" w:eastAsia="仿宋_GB2312" w:cs="仿宋_GB2312"/>
                <w:color w:val="auto"/>
                <w:kern w:val="0"/>
                <w:sz w:val="32"/>
                <w:szCs w:val="32"/>
              </w:rPr>
              <w:t>项目绩效</w:t>
            </w: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项目完成</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完成数量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93.33%</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完成质量</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完成时效</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完成成本</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100%</w:t>
            </w:r>
          </w:p>
        </w:tc>
      </w:tr>
      <w:tr>
        <w:tblPrEx>
          <w:tblCellMar>
            <w:top w:w="0" w:type="dxa"/>
            <w:left w:w="0" w:type="dxa"/>
            <w:bottom w:w="0" w:type="dxa"/>
            <w:right w:w="0" w:type="dxa"/>
          </w:tblCellMar>
        </w:tblPrEx>
        <w:trPr>
          <w:trHeight w:val="151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widowControl/>
              <w:kinsoku/>
              <w:wordWrap/>
              <w:overflowPunct/>
              <w:topLinePunct w:val="0"/>
              <w:bidi w:val="0"/>
              <w:spacing w:line="520" w:lineRule="exact"/>
              <w:ind w:firstLine="640" w:firstLineChars="200"/>
              <w:jc w:val="center"/>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项目效益</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经济效益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推进了政务大厅标准化建设</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推进了政务大厅标准化建设</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社会效益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提升政府形象</w:t>
            </w:r>
            <w:r>
              <w:rPr>
                <w:rFonts w:hint="eastAsia" w:ascii="仿宋_GB2312" w:hAnsi="仿宋_GB2312" w:eastAsia="仿宋_GB2312" w:cs="仿宋_GB2312"/>
                <w:color w:val="auto"/>
                <w:sz w:val="32"/>
                <w:szCs w:val="32"/>
              </w:rPr>
              <w:t>。</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提升政府形象</w:t>
            </w:r>
            <w:r>
              <w:rPr>
                <w:rFonts w:hint="eastAsia" w:ascii="仿宋_GB2312" w:hAnsi="仿宋_GB2312" w:eastAsia="仿宋_GB2312" w:cs="仿宋_GB2312"/>
                <w:color w:val="auto"/>
                <w:sz w:val="32"/>
                <w:szCs w:val="32"/>
              </w:rPr>
              <w:t>。</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both"/>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生态效益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可持续效益</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widowControl/>
              <w:kinsoku/>
              <w:wordWrap/>
              <w:overflowPunct/>
              <w:topLinePunct w:val="0"/>
              <w:bidi w:val="0"/>
              <w:spacing w:line="520" w:lineRule="exact"/>
              <w:ind w:firstLine="640" w:firstLineChars="200"/>
              <w:jc w:val="left"/>
              <w:textAlignment w:val="bottom"/>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推进了政务大厅标准化建设</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推进了政务大厅标准化建设</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textDirection w:val="tbRlV"/>
            <w:vAlign w:val="center"/>
          </w:tcPr>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p>
        </w:tc>
        <w:tc>
          <w:tcPr>
            <w:tcW w:w="10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满意度</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jc w:val="both"/>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服务对象满意度</w:t>
            </w:r>
          </w:p>
        </w:tc>
        <w:tc>
          <w:tcPr>
            <w:tcW w:w="29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ageBreakBefore w:val="0"/>
              <w:widowControl/>
              <w:kinsoku/>
              <w:wordWrap/>
              <w:overflowPunct/>
              <w:topLinePunct w:val="0"/>
              <w:bidi w:val="0"/>
              <w:spacing w:line="5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提高群众满意度</w:t>
            </w:r>
          </w:p>
        </w:tc>
        <w:tc>
          <w:tcPr>
            <w:tcW w:w="17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pageBreakBefore w:val="0"/>
              <w:kinsoku/>
              <w:wordWrap/>
              <w:overflowPunct/>
              <w:topLinePunct w:val="0"/>
              <w:bidi w:val="0"/>
              <w:spacing w:line="520" w:lineRule="exact"/>
              <w:ind w:firstLine="640" w:firstLineChars="20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提高群众满意度</w:t>
            </w:r>
          </w:p>
        </w:tc>
      </w:tr>
    </w:tbl>
    <w:p>
      <w:pPr>
        <w:pageBreakBefore w:val="0"/>
        <w:numPr>
          <w:ilvl w:val="0"/>
          <w:numId w:val="0"/>
        </w:numPr>
        <w:kinsoku/>
        <w:wordWrap/>
        <w:overflowPunct/>
        <w:topLinePunct w:val="0"/>
        <w:bidi w:val="0"/>
        <w:spacing w:line="52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bCs/>
          <w:color w:val="auto"/>
          <w:sz w:val="32"/>
          <w:szCs w:val="32"/>
          <w:lang w:eastAsia="zh-CN"/>
        </w:rPr>
        <w:t>（三）</w:t>
      </w:r>
      <w:r>
        <w:rPr>
          <w:rFonts w:hint="eastAsia" w:ascii="楷体_GB2312" w:hAnsi="楷体_GB2312" w:eastAsia="楷体_GB2312" w:cs="楷体_GB2312"/>
          <w:b/>
          <w:bCs/>
          <w:color w:val="auto"/>
          <w:sz w:val="32"/>
          <w:szCs w:val="32"/>
        </w:rPr>
        <w:t>部门开展绩效评价结果</w:t>
      </w:r>
    </w:p>
    <w:p>
      <w:pPr>
        <w:pageBreakBefore w:val="0"/>
        <w:kinsoku/>
        <w:wordWrap/>
        <w:overflowPunct/>
        <w:topLinePunct w:val="0"/>
        <w:bidi w:val="0"/>
        <w:spacing w:line="520" w:lineRule="exact"/>
        <w:ind w:right="-932" w:rightChars="-444"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年部门整体支出绩效评价情况开</w:t>
      </w:r>
    </w:p>
    <w:p>
      <w:pPr>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展自评，红原县行政审批局关于报送《2</w:t>
      </w:r>
      <w:r>
        <w:rPr>
          <w:rFonts w:hint="eastAsia" w:ascii="仿宋_GB2312" w:hAnsi="仿宋_GB2312" w:eastAsia="仿宋_GB2312" w:cs="仿宋_GB2312"/>
          <w:color w:val="auto"/>
          <w:sz w:val="32"/>
          <w:szCs w:val="32"/>
          <w:lang w:val="en-US" w:eastAsia="zh-CN"/>
        </w:rPr>
        <w:t>021</w:t>
      </w:r>
      <w:r>
        <w:rPr>
          <w:rFonts w:hint="eastAsia" w:ascii="仿宋_GB2312" w:hAnsi="仿宋_GB2312" w:eastAsia="仿宋_GB2312" w:cs="仿宋_GB2312"/>
          <w:color w:val="auto"/>
          <w:sz w:val="32"/>
          <w:szCs w:val="32"/>
        </w:rPr>
        <w:t>年部门整体支出绩效报告》的函见附件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sz w:val="32"/>
          <w:szCs w:val="32"/>
          <w:lang w:eastAsia="zh-CN"/>
        </w:rPr>
      </w:pPr>
      <w:bookmarkStart w:id="81" w:name="_Toc15396612"/>
      <w:bookmarkStart w:id="82" w:name="_Toc15377221"/>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pageBreakBefore w:val="0"/>
        <w:kinsoku/>
        <w:wordWrap/>
        <w:overflowPunct/>
        <w:topLinePunct w:val="0"/>
        <w:bidi w:val="0"/>
        <w:spacing w:line="520" w:lineRule="exact"/>
        <w:ind w:firstLine="640" w:firstLineChars="200"/>
        <w:outlineLvl w:val="1"/>
        <w:rPr>
          <w:rStyle w:val="19"/>
          <w:rFonts w:hint="eastAsia" w:ascii="黑体" w:hAnsi="黑体" w:eastAsia="黑体" w:cs="黑体"/>
          <w:color w:val="auto"/>
          <w:sz w:val="32"/>
          <w:szCs w:val="32"/>
        </w:rPr>
      </w:pPr>
      <w:bookmarkStart w:id="83" w:name="_Toc22624"/>
      <w:r>
        <w:rPr>
          <w:rFonts w:hint="eastAsia" w:ascii="黑体" w:hAnsi="黑体" w:eastAsia="黑体" w:cs="黑体"/>
          <w:color w:val="auto"/>
          <w:sz w:val="32"/>
          <w:szCs w:val="32"/>
        </w:rPr>
        <w:t>十</w:t>
      </w:r>
      <w:r>
        <w:rPr>
          <w:rStyle w:val="19"/>
          <w:rFonts w:hint="eastAsia" w:ascii="黑体" w:hAnsi="黑体" w:eastAsia="黑体" w:cs="黑体"/>
          <w:color w:val="auto"/>
          <w:sz w:val="32"/>
          <w:szCs w:val="32"/>
        </w:rPr>
        <w:t>一、</w:t>
      </w:r>
      <w:r>
        <w:rPr>
          <w:rStyle w:val="19"/>
          <w:rFonts w:hint="eastAsia" w:ascii="黑体" w:hAnsi="黑体" w:eastAsia="黑体" w:cs="黑体"/>
          <w:b w:val="0"/>
          <w:color w:val="auto"/>
          <w:sz w:val="32"/>
          <w:szCs w:val="32"/>
        </w:rPr>
        <w:t>其他重要事项的情况说明</w:t>
      </w:r>
      <w:bookmarkEnd w:id="81"/>
      <w:bookmarkEnd w:id="82"/>
      <w:bookmarkEnd w:id="83"/>
    </w:p>
    <w:p>
      <w:pPr>
        <w:pageBreakBefore w:val="0"/>
        <w:kinsoku/>
        <w:wordWrap/>
        <w:overflowPunct/>
        <w:topLinePunct w:val="0"/>
        <w:bidi w:val="0"/>
        <w:spacing w:line="520" w:lineRule="exact"/>
        <w:ind w:firstLine="643" w:firstLineChars="200"/>
        <w:outlineLvl w:val="2"/>
        <w:rPr>
          <w:rFonts w:hint="eastAsia" w:ascii="楷体_GB2312" w:hAnsi="楷体_GB2312" w:eastAsia="楷体_GB2312" w:cs="楷体_GB2312"/>
          <w:color w:val="auto"/>
          <w:sz w:val="32"/>
          <w:szCs w:val="32"/>
        </w:rPr>
      </w:pPr>
      <w:bookmarkStart w:id="84" w:name="_Toc15377222"/>
      <w:r>
        <w:rPr>
          <w:rFonts w:hint="eastAsia" w:ascii="楷体_GB2312" w:hAnsi="楷体_GB2312" w:eastAsia="楷体_GB2312" w:cs="楷体_GB2312"/>
          <w:b/>
          <w:color w:val="auto"/>
          <w:sz w:val="32"/>
          <w:szCs w:val="32"/>
        </w:rPr>
        <w:t>（一）机关运行经费支出情况</w:t>
      </w:r>
      <w:bookmarkEnd w:id="84"/>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年，红原县</w:t>
      </w:r>
      <w:r>
        <w:rPr>
          <w:rFonts w:hint="eastAsia" w:ascii="仿宋_GB2312" w:hAnsi="仿宋_GB2312" w:eastAsia="仿宋_GB2312" w:cs="仿宋_GB2312"/>
          <w:color w:val="auto"/>
          <w:sz w:val="32"/>
          <w:szCs w:val="32"/>
          <w:lang w:eastAsia="zh-CN"/>
        </w:rPr>
        <w:t>行政审批局</w:t>
      </w:r>
      <w:r>
        <w:rPr>
          <w:rFonts w:hint="eastAsia" w:ascii="仿宋_GB2312" w:hAnsi="仿宋_GB2312" w:eastAsia="仿宋_GB2312" w:cs="仿宋_GB2312"/>
          <w:color w:val="auto"/>
          <w:sz w:val="32"/>
          <w:szCs w:val="32"/>
          <w:lang w:val="en-US" w:eastAsia="zh-CN"/>
        </w:rPr>
        <w:t>一般行政管理事务97.79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严格按照厉行节约，减少不必要的开支。</w:t>
      </w:r>
    </w:p>
    <w:p>
      <w:pPr>
        <w:pageBreakBefore w:val="0"/>
        <w:kinsoku/>
        <w:wordWrap/>
        <w:overflowPunct/>
        <w:topLinePunct w:val="0"/>
        <w:autoSpaceDE w:val="0"/>
        <w:autoSpaceDN w:val="0"/>
        <w:bidi w:val="0"/>
        <w:adjustRightInd w:val="0"/>
        <w:spacing w:line="520" w:lineRule="exact"/>
        <w:ind w:firstLine="643" w:firstLineChars="200"/>
        <w:jc w:val="left"/>
        <w:outlineLvl w:val="2"/>
        <w:rPr>
          <w:rFonts w:hint="eastAsia" w:ascii="楷体_GB2312" w:hAnsi="楷体_GB2312" w:eastAsia="楷体_GB2312" w:cs="楷体_GB2312"/>
          <w:b/>
          <w:color w:val="auto"/>
          <w:sz w:val="32"/>
          <w:szCs w:val="32"/>
        </w:rPr>
      </w:pPr>
      <w:bookmarkStart w:id="85" w:name="_Toc15377223"/>
      <w:r>
        <w:rPr>
          <w:rFonts w:hint="eastAsia" w:ascii="楷体_GB2312" w:hAnsi="楷体_GB2312" w:eastAsia="楷体_GB2312" w:cs="楷体_GB2312"/>
          <w:b/>
          <w:color w:val="auto"/>
          <w:sz w:val="32"/>
          <w:szCs w:val="32"/>
        </w:rPr>
        <w:t>（二）政府采购支出情况</w:t>
      </w:r>
      <w:bookmarkEnd w:id="85"/>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b/>
          <w:color w:val="auto"/>
          <w:sz w:val="32"/>
          <w:szCs w:val="32"/>
          <w:lang w:val="en-US"/>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年，红原县</w:t>
      </w:r>
      <w:r>
        <w:rPr>
          <w:rFonts w:hint="eastAsia" w:ascii="仿宋_GB2312" w:hAnsi="仿宋_GB2312" w:eastAsia="仿宋_GB2312" w:cs="仿宋_GB2312"/>
          <w:color w:val="auto"/>
          <w:sz w:val="32"/>
          <w:szCs w:val="32"/>
          <w:lang w:val="en-US" w:eastAsia="zh-CN"/>
        </w:rPr>
        <w:t>行政审批局</w:t>
      </w:r>
      <w:r>
        <w:rPr>
          <w:rFonts w:hint="eastAsia" w:ascii="仿宋_GB2312" w:hAnsi="仿宋_GB2312" w:eastAsia="仿宋_GB2312" w:cs="仿宋_GB2312"/>
          <w:color w:val="auto"/>
          <w:sz w:val="32"/>
          <w:szCs w:val="32"/>
        </w:rPr>
        <w:t>政府采购支出总额</w:t>
      </w:r>
      <w:r>
        <w:rPr>
          <w:rFonts w:hint="eastAsia" w:ascii="仿宋_GB2312" w:hAnsi="仿宋_GB2312" w:eastAsia="仿宋_GB2312" w:cs="仿宋_GB2312"/>
          <w:color w:val="auto"/>
          <w:sz w:val="32"/>
          <w:szCs w:val="32"/>
          <w:lang w:val="en-US" w:eastAsia="zh-CN"/>
        </w:rPr>
        <w:t>0.00万元。</w:t>
      </w:r>
    </w:p>
    <w:p>
      <w:pPr>
        <w:pageBreakBefore w:val="0"/>
        <w:kinsoku/>
        <w:wordWrap/>
        <w:overflowPunct/>
        <w:topLinePunct w:val="0"/>
        <w:autoSpaceDE w:val="0"/>
        <w:autoSpaceDN w:val="0"/>
        <w:bidi w:val="0"/>
        <w:adjustRightInd w:val="0"/>
        <w:spacing w:line="520" w:lineRule="exact"/>
        <w:ind w:firstLine="643" w:firstLineChars="200"/>
        <w:jc w:val="left"/>
        <w:outlineLvl w:val="2"/>
        <w:rPr>
          <w:rFonts w:hint="eastAsia" w:ascii="楷体_GB2312" w:hAnsi="楷体_GB2312" w:eastAsia="楷体_GB2312" w:cs="楷体_GB2312"/>
          <w:b/>
          <w:color w:val="auto"/>
          <w:sz w:val="32"/>
          <w:szCs w:val="32"/>
        </w:rPr>
      </w:pPr>
      <w:bookmarkStart w:id="86" w:name="_Toc15377224"/>
      <w:r>
        <w:rPr>
          <w:rFonts w:hint="eastAsia" w:ascii="楷体_GB2312" w:hAnsi="楷体_GB2312" w:eastAsia="楷体_GB2312" w:cs="楷体_GB2312"/>
          <w:b/>
          <w:color w:val="auto"/>
          <w:sz w:val="32"/>
          <w:szCs w:val="32"/>
        </w:rPr>
        <w:t>（三）国有资产占有使用情况</w:t>
      </w:r>
      <w:bookmarkEnd w:id="86"/>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年12月31日，红原县</w:t>
      </w:r>
      <w:r>
        <w:rPr>
          <w:rFonts w:hint="eastAsia" w:ascii="仿宋_GB2312" w:hAnsi="仿宋_GB2312" w:eastAsia="仿宋_GB2312" w:cs="仿宋_GB2312"/>
          <w:color w:val="auto"/>
          <w:sz w:val="32"/>
          <w:szCs w:val="32"/>
          <w:lang w:val="en-US" w:eastAsia="zh-CN"/>
        </w:rPr>
        <w:t>行政审批局</w:t>
      </w:r>
      <w:r>
        <w:rPr>
          <w:rFonts w:hint="eastAsia" w:ascii="仿宋_GB2312" w:hAnsi="仿宋_GB2312" w:eastAsia="仿宋_GB2312" w:cs="仿宋_GB2312"/>
          <w:color w:val="auto"/>
          <w:sz w:val="32"/>
          <w:szCs w:val="32"/>
        </w:rPr>
        <w:t>共有车辆0辆，其中：一般公务用车0辆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配置固定资产</w:t>
      </w:r>
      <w:r>
        <w:rPr>
          <w:rFonts w:hint="eastAsia" w:ascii="仿宋_GB2312" w:hAnsi="仿宋_GB2312" w:eastAsia="仿宋_GB2312" w:cs="仿宋_GB2312"/>
          <w:sz w:val="32"/>
          <w:szCs w:val="32"/>
          <w:lang w:val="en-US" w:eastAsia="zh-CN"/>
        </w:rPr>
        <w:t>186.29</w:t>
      </w:r>
      <w:r>
        <w:rPr>
          <w:rFonts w:hint="eastAsia" w:ascii="仿宋_GB2312" w:hAnsi="仿宋_GB2312" w:eastAsia="仿宋_GB2312" w:cs="仿宋_GB2312"/>
          <w:sz w:val="32"/>
          <w:szCs w:val="32"/>
        </w:rPr>
        <w:t>万元（账面原值，下同）。从资产类别分析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配置通用设备</w:t>
      </w:r>
      <w:r>
        <w:rPr>
          <w:rFonts w:hint="eastAsia" w:ascii="仿宋_GB2312" w:hAnsi="仿宋_GB2312" w:eastAsia="仿宋_GB2312" w:cs="仿宋_GB2312"/>
          <w:sz w:val="32"/>
          <w:szCs w:val="32"/>
          <w:lang w:val="en-US" w:eastAsia="zh-CN"/>
        </w:rPr>
        <w:t>161.83</w:t>
      </w:r>
      <w:r>
        <w:rPr>
          <w:rFonts w:hint="eastAsia" w:ascii="仿宋_GB2312" w:hAnsi="仿宋_GB2312" w:eastAsia="仿宋_GB2312" w:cs="仿宋_GB2312"/>
          <w:sz w:val="32"/>
          <w:szCs w:val="32"/>
        </w:rPr>
        <w:t xml:space="preserve">万元，占 </w:t>
      </w:r>
      <w:r>
        <w:rPr>
          <w:rFonts w:hint="eastAsia" w:ascii="仿宋_GB2312" w:hAnsi="仿宋_GB2312" w:eastAsia="仿宋_GB2312" w:cs="仿宋_GB2312"/>
          <w:sz w:val="32"/>
          <w:szCs w:val="32"/>
          <w:lang w:val="en-US" w:eastAsia="zh-CN"/>
        </w:rPr>
        <w:t>86.87</w:t>
      </w:r>
      <w:r>
        <w:rPr>
          <w:rFonts w:hint="eastAsia" w:ascii="仿宋_GB2312" w:hAnsi="仿宋_GB2312" w:eastAsia="仿宋_GB2312" w:cs="仿宋_GB2312"/>
          <w:sz w:val="32"/>
          <w:szCs w:val="32"/>
        </w:rPr>
        <w:t>% ； 配置专用设备</w:t>
      </w: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万元，占 0</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 ；配置家具、用具、装具及动植物</w:t>
      </w:r>
      <w:r>
        <w:rPr>
          <w:rFonts w:hint="eastAsia" w:ascii="仿宋_GB2312" w:hAnsi="仿宋_GB2312" w:eastAsia="仿宋_GB2312" w:cs="仿宋_GB2312"/>
          <w:sz w:val="32"/>
          <w:szCs w:val="32"/>
          <w:lang w:val="en-US" w:eastAsia="zh-CN"/>
        </w:rPr>
        <w:t>23.32</w:t>
      </w:r>
      <w:r>
        <w:rPr>
          <w:rFonts w:hint="eastAsia" w:ascii="仿宋_GB2312" w:hAnsi="仿宋_GB2312" w:eastAsia="仿宋_GB2312" w:cs="仿宋_GB2312"/>
          <w:sz w:val="32"/>
          <w:szCs w:val="32"/>
        </w:rPr>
        <w:t xml:space="preserve">万元，占 </w:t>
      </w:r>
      <w:r>
        <w:rPr>
          <w:rFonts w:hint="eastAsia" w:ascii="仿宋_GB2312" w:hAnsi="仿宋_GB2312" w:eastAsia="仿宋_GB2312" w:cs="仿宋_GB2312"/>
          <w:sz w:val="32"/>
          <w:szCs w:val="32"/>
          <w:lang w:val="en-US" w:eastAsia="zh-CN"/>
        </w:rPr>
        <w:t>12.51</w:t>
      </w:r>
      <w:r>
        <w:rPr>
          <w:rFonts w:hint="eastAsia" w:ascii="仿宋_GB2312" w:hAnsi="仿宋_GB2312" w:eastAsia="仿宋_GB2312" w:cs="仿宋_GB2312"/>
          <w:sz w:val="32"/>
          <w:szCs w:val="32"/>
        </w:rPr>
        <w:t>% 。</w:t>
      </w:r>
    </w:p>
    <w:p>
      <w:pPr>
        <w:pageBreakBefore w:val="0"/>
        <w:widowControl/>
        <w:kinsoku/>
        <w:wordWrap/>
        <w:overflowPunct/>
        <w:topLinePunct w:val="0"/>
        <w:bidi w:val="0"/>
        <w:spacing w:line="52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br w:type="page"/>
      </w:r>
    </w:p>
    <w:p>
      <w:pPr>
        <w:pageBreakBefore w:val="0"/>
        <w:numPr>
          <w:ilvl w:val="0"/>
          <w:numId w:val="2"/>
        </w:numPr>
        <w:kinsoku/>
        <w:wordWrap/>
        <w:overflowPunct/>
        <w:topLinePunct w:val="0"/>
        <w:bidi w:val="0"/>
        <w:spacing w:line="520" w:lineRule="exact"/>
        <w:ind w:firstLine="643" w:firstLineChars="200"/>
        <w:jc w:val="center"/>
        <w:outlineLvl w:val="0"/>
        <w:rPr>
          <w:rStyle w:val="18"/>
          <w:rFonts w:hint="eastAsia" w:ascii="黑体" w:hAnsi="黑体" w:eastAsia="黑体" w:cs="黑体"/>
          <w:b w:val="0"/>
          <w:color w:val="auto"/>
          <w:sz w:val="32"/>
          <w:szCs w:val="32"/>
        </w:rPr>
      </w:pPr>
      <w:bookmarkStart w:id="87" w:name="_Toc10123"/>
      <w:bookmarkStart w:id="88" w:name="_Toc15396613"/>
      <w:bookmarkStart w:id="89" w:name="_Toc15377225"/>
      <w:r>
        <w:rPr>
          <w:rFonts w:hint="eastAsia" w:ascii="黑体" w:hAnsi="黑体" w:eastAsia="黑体" w:cs="黑体"/>
          <w:b/>
          <w:color w:val="auto"/>
          <w:sz w:val="32"/>
          <w:szCs w:val="32"/>
        </w:rPr>
        <w:t>名</w:t>
      </w:r>
      <w:r>
        <w:rPr>
          <w:rStyle w:val="18"/>
          <w:rFonts w:hint="eastAsia" w:ascii="黑体" w:hAnsi="黑体" w:eastAsia="黑体" w:cs="黑体"/>
          <w:b w:val="0"/>
          <w:color w:val="auto"/>
          <w:sz w:val="32"/>
          <w:szCs w:val="32"/>
        </w:rPr>
        <w:t>词解释</w:t>
      </w:r>
      <w:bookmarkEnd w:id="87"/>
      <w:bookmarkEnd w:id="88"/>
      <w:bookmarkEnd w:id="89"/>
    </w:p>
    <w:p>
      <w:pPr>
        <w:pageBreakBefore w:val="0"/>
        <w:kinsoku/>
        <w:wordWrap/>
        <w:overflowPunct/>
        <w:topLinePunct w:val="0"/>
        <w:bidi w:val="0"/>
        <w:spacing w:line="520" w:lineRule="exact"/>
        <w:ind w:firstLine="643" w:firstLineChars="200"/>
        <w:jc w:val="left"/>
        <w:rPr>
          <w:rFonts w:hint="eastAsia" w:ascii="仿宋_GB2312" w:hAnsi="仿宋_GB2312" w:eastAsia="仿宋_GB2312" w:cs="仿宋_GB2312"/>
          <w:b/>
          <w:color w:val="auto"/>
          <w:sz w:val="32"/>
          <w:szCs w:val="32"/>
        </w:rPr>
      </w:pP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2.事业收入：指事业单位开展专业业务活动及辅助活动取得的收入。</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4.经营收入：指事业单位在专业业务活动及其辅助活动之外开展非独立核算经营活动取得的收入。</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5.其他收入：指单位取得的除上述收入以外的各项收入。主要是利息收入。 </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7.年初结转和结余：指以前年度尚未完成、结转到本年按有关规定继续使用的资金。 </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8.结余分配：指事业单位按照事业单位会计制度的规定从非财政补助结余中分配的事业基金和职工福利基金等。</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9、年末结转和结余：指单位按有关规定结转到下年或以后年度继续使用的资金。</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10.社会保障和就业：指政府在社会保障与就业方面的支出。</w:t>
      </w:r>
    </w:p>
    <w:p>
      <w:pPr>
        <w:pStyle w:val="2"/>
        <w:pageBreakBefore w:val="0"/>
        <w:kinsoku/>
        <w:wordWrap/>
        <w:overflowPunct/>
        <w:topLinePunct w:val="0"/>
        <w:bidi w:val="0"/>
        <w:spacing w:after="0" w:line="52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11.行政事业单位医疗：指行政事业单位医疗方面的支出。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.201一般公共服务支出：指政府提供一般公共服务的支出。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val="en-US" w:eastAsia="zh-CN"/>
        </w:rPr>
      </w:pP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2010301行政运行：指行政单位（包括实行公务员管理的事业单位）的基本支出。</w:t>
      </w:r>
    </w:p>
    <w:p>
      <w:pPr>
        <w:pStyle w:val="2"/>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14.2010302一般行政管理实务：反映行政单位未单独设置项级科目的其他项目支出。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15.2010350 事业运行：</w:t>
      </w:r>
      <w:r>
        <w:rPr>
          <w:rFonts w:hint="eastAsia" w:ascii="仿宋_GB2312" w:hAnsi="仿宋_GB2312" w:eastAsia="仿宋_GB2312" w:cs="仿宋_GB2312"/>
          <w:color w:val="auto"/>
          <w:sz w:val="32"/>
          <w:szCs w:val="32"/>
        </w:rPr>
        <w:t>指</w:t>
      </w:r>
      <w:r>
        <w:rPr>
          <w:rFonts w:hint="eastAsia" w:ascii="仿宋_GB2312" w:hAnsi="仿宋_GB2312" w:eastAsia="仿宋_GB2312" w:cs="仿宋_GB2312"/>
          <w:color w:val="auto"/>
          <w:sz w:val="32"/>
          <w:szCs w:val="32"/>
          <w:lang w:eastAsia="zh-CN"/>
        </w:rPr>
        <w:t>事业</w:t>
      </w:r>
      <w:r>
        <w:rPr>
          <w:rFonts w:hint="eastAsia" w:ascii="仿宋_GB2312" w:hAnsi="仿宋_GB2312" w:eastAsia="仿宋_GB2312" w:cs="仿宋_GB2312"/>
          <w:color w:val="auto"/>
          <w:sz w:val="32"/>
          <w:szCs w:val="32"/>
        </w:rPr>
        <w:t>单位的基本支出</w:t>
      </w:r>
      <w:r>
        <w:rPr>
          <w:rFonts w:hint="eastAsia" w:ascii="仿宋_GB2312" w:hAnsi="仿宋_GB2312" w:eastAsia="仿宋_GB2312" w:cs="仿宋_GB2312"/>
          <w:color w:val="auto"/>
          <w:sz w:val="32"/>
          <w:szCs w:val="32"/>
          <w:lang w:eastAsia="zh-CN"/>
        </w:rPr>
        <w:t>。</w:t>
      </w:r>
    </w:p>
    <w:p>
      <w:pPr>
        <w:pStyle w:val="2"/>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16.2010399 其他政府办公厅（室）及相关机构事务支出：反映除上述项目外的其他政府办公厅（室）及相关机构事务支出。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.221住房保障支出：指集中反映政府用于住房方面的支出。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.2210201住房公积金：指反映行政事业单位按人力资源和社会保障部、财政部规定的基本工资和津贴补贴以及规定比例为职工缴纳的住房公积金。</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.2101103公务员医疗补助支出：指财政部门安排的公务员医疗补助经费。</w:t>
      </w:r>
    </w:p>
    <w:p>
      <w:pPr>
        <w:pStyle w:val="2"/>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20.2101102事业单位医疗：反映事业单位基本医疗保险经费。</w:t>
      </w:r>
    </w:p>
    <w:p>
      <w:pPr>
        <w:pStyle w:val="7"/>
        <w:pageBreakBefore w:val="0"/>
        <w:kinsoku/>
        <w:wordWrap/>
        <w:overflowPunct/>
        <w:topLinePunct w:val="0"/>
        <w:bidi w:val="0"/>
        <w:spacing w:line="520" w:lineRule="exact"/>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 xml:space="preserve">  21.2101199其他行政事业单位医疗支出：反映其他用于行政事业单位医疗方面的支出。</w:t>
      </w:r>
    </w:p>
    <w:p>
      <w:pPr>
        <w:pageBreakBefore w:val="0"/>
        <w:numPr>
          <w:ilvl w:val="0"/>
          <w:numId w:val="0"/>
        </w:numPr>
        <w:kinsoku/>
        <w:wordWrap/>
        <w:overflowPunct/>
        <w:topLinePunct w:val="0"/>
        <w:bidi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2080505</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机关事业单位基本养老保险缴费支出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2080506指机关事业单位职业年金缴费支出。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pPr>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pPr>
        <w:pStyle w:val="2"/>
        <w:pageBreakBefore w:val="0"/>
        <w:kinsoku/>
        <w:wordWrap/>
        <w:overflowPunct/>
        <w:topLinePunct w:val="0"/>
        <w:bidi w:val="0"/>
        <w:spacing w:after="0" w:line="52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.对个人和家庭的补助：指政府用于对个人和家庭的补助支出。</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pageBreakBefore w:val="0"/>
        <w:kinsoku/>
        <w:wordWrap/>
        <w:overflowPunct/>
        <w:topLinePunct w:val="0"/>
        <w:bidi w:val="0"/>
        <w:spacing w:line="520" w:lineRule="exact"/>
        <w:ind w:firstLine="643" w:firstLineChars="200"/>
        <w:jc w:val="center"/>
        <w:rPr>
          <w:rStyle w:val="18"/>
          <w:rFonts w:hint="eastAsia" w:ascii="仿宋_GB2312" w:hAnsi="仿宋_GB2312" w:eastAsia="仿宋_GB2312" w:cs="仿宋_GB2312"/>
          <w:color w:val="auto"/>
          <w:sz w:val="32"/>
          <w:szCs w:val="32"/>
        </w:rPr>
      </w:pPr>
      <w:bookmarkStart w:id="90" w:name="_Toc15377226"/>
      <w:r>
        <w:rPr>
          <w:rFonts w:hint="eastAsia" w:ascii="仿宋_GB2312" w:hAnsi="仿宋_GB2312" w:eastAsia="仿宋_GB2312" w:cs="仿宋_GB2312"/>
          <w:b/>
          <w:color w:val="auto"/>
          <w:sz w:val="32"/>
          <w:szCs w:val="32"/>
        </w:rPr>
        <w:br w:type="page"/>
      </w:r>
      <w:bookmarkStart w:id="91" w:name="_Toc15396614"/>
      <w:r>
        <w:rPr>
          <w:rFonts w:hint="eastAsia" w:ascii="仿宋_GB2312" w:hAnsi="仿宋_GB2312" w:eastAsia="仿宋_GB2312" w:cs="仿宋_GB2312"/>
          <w:b/>
          <w:bCs/>
          <w:color w:val="auto"/>
          <w:sz w:val="32"/>
          <w:szCs w:val="32"/>
        </w:rPr>
        <w:t>第</w:t>
      </w:r>
      <w:r>
        <w:rPr>
          <w:rStyle w:val="18"/>
          <w:rFonts w:hint="eastAsia" w:ascii="仿宋_GB2312" w:hAnsi="仿宋_GB2312" w:eastAsia="仿宋_GB2312" w:cs="仿宋_GB2312"/>
          <w:b/>
          <w:bCs/>
          <w:color w:val="auto"/>
          <w:sz w:val="32"/>
          <w:szCs w:val="32"/>
        </w:rPr>
        <w:t>四部分 附件</w:t>
      </w:r>
      <w:bookmarkEnd w:id="91"/>
    </w:p>
    <w:p>
      <w:pPr>
        <w:keepNext w:val="0"/>
        <w:keepLines w:val="0"/>
        <w:pageBreakBefore w:val="0"/>
        <w:widowControl/>
        <w:kinsoku/>
        <w:wordWrap/>
        <w:overflowPunct/>
        <w:topLinePunct w:val="0"/>
        <w:autoSpaceDE/>
        <w:autoSpaceDN/>
        <w:bidi w:val="0"/>
        <w:spacing w:line="520" w:lineRule="exact"/>
        <w:ind w:firstLine="640" w:firstLineChars="200"/>
        <w:jc w:val="both"/>
        <w:textAlignment w:val="auto"/>
        <w:rPr>
          <w:rStyle w:val="18"/>
          <w:rFonts w:hint="eastAsia" w:ascii="仿宋_GB2312" w:hAnsi="仿宋_GB2312" w:eastAsia="仿宋_GB2312" w:cs="仿宋_GB2312"/>
          <w:b w:val="0"/>
          <w:bCs w:val="0"/>
          <w:color w:val="auto"/>
          <w:sz w:val="32"/>
          <w:szCs w:val="32"/>
        </w:rPr>
      </w:pPr>
      <w:bookmarkStart w:id="92" w:name="_Toc15396615"/>
      <w:bookmarkStart w:id="93" w:name="_Toc25268"/>
      <w:bookmarkStart w:id="94" w:name="_Toc15396618"/>
      <w:r>
        <w:rPr>
          <w:rStyle w:val="18"/>
          <w:rFonts w:hint="eastAsia" w:ascii="仿宋_GB2312" w:hAnsi="仿宋_GB2312" w:eastAsia="仿宋_GB2312" w:cs="仿宋_GB2312"/>
          <w:b w:val="0"/>
          <w:bCs w:val="0"/>
          <w:color w:val="auto"/>
          <w:sz w:val="32"/>
          <w:szCs w:val="32"/>
        </w:rPr>
        <w:t>附件</w:t>
      </w:r>
      <w:bookmarkEnd w:id="92"/>
      <w:bookmarkStart w:id="95" w:name="_Toc15396617"/>
      <w:r>
        <w:rPr>
          <w:rStyle w:val="18"/>
          <w:rFonts w:hint="eastAsia" w:ascii="仿宋_GB2312" w:hAnsi="仿宋_GB2312" w:eastAsia="仿宋_GB2312" w:cs="仿宋_GB2312"/>
          <w:b w:val="0"/>
          <w:bCs w:val="0"/>
          <w:color w:val="auto"/>
          <w:sz w:val="32"/>
          <w:szCs w:val="32"/>
        </w:rPr>
        <w:t>：</w:t>
      </w:r>
      <w:bookmarkEnd w:id="93"/>
    </w:p>
    <w:p>
      <w:pPr>
        <w:keepNext w:val="0"/>
        <w:keepLines w:val="0"/>
        <w:pageBreakBefore w:val="0"/>
        <w:widowControl/>
        <w:kinsoku/>
        <w:wordWrap/>
        <w:overflowPunct/>
        <w:topLinePunct w:val="0"/>
        <w:autoSpaceDE/>
        <w:autoSpaceDN/>
        <w:bidi w:val="0"/>
        <w:spacing w:line="520" w:lineRule="exact"/>
        <w:ind w:firstLine="883" w:firstLineChars="200"/>
        <w:jc w:val="center"/>
        <w:textAlignment w:val="auto"/>
        <w:rPr>
          <w:rFonts w:hint="eastAsia" w:ascii="楷体_GB2312" w:hAnsi="楷体_GB2312" w:eastAsia="楷体_GB2312" w:cs="楷体_GB2312"/>
          <w:b/>
          <w:bCs/>
          <w:sz w:val="44"/>
          <w:szCs w:val="44"/>
        </w:rPr>
      </w:pPr>
      <w:r>
        <w:rPr>
          <w:rFonts w:hint="eastAsia" w:ascii="楷体_GB2312" w:hAnsi="楷体_GB2312" w:eastAsia="楷体_GB2312" w:cs="楷体_GB2312"/>
          <w:b/>
          <w:bCs/>
          <w:sz w:val="44"/>
          <w:szCs w:val="44"/>
          <w:lang w:eastAsia="zh-CN"/>
        </w:rPr>
        <w:t>红原县行政审批局</w:t>
      </w:r>
      <w:r>
        <w:rPr>
          <w:rFonts w:hint="eastAsia" w:ascii="楷体_GB2312" w:hAnsi="楷体_GB2312" w:eastAsia="楷体_GB2312" w:cs="楷体_GB2312"/>
          <w:b/>
          <w:bCs/>
          <w:sz w:val="44"/>
          <w:szCs w:val="44"/>
        </w:rPr>
        <w:t>202</w:t>
      </w:r>
      <w:r>
        <w:rPr>
          <w:rFonts w:hint="eastAsia" w:ascii="楷体_GB2312" w:hAnsi="楷体_GB2312" w:eastAsia="楷体_GB2312" w:cs="楷体_GB2312"/>
          <w:b/>
          <w:bCs/>
          <w:sz w:val="44"/>
          <w:szCs w:val="44"/>
          <w:lang w:val="en-US" w:eastAsia="zh-CN"/>
        </w:rPr>
        <w:t>1</w:t>
      </w:r>
      <w:r>
        <w:rPr>
          <w:rFonts w:hint="eastAsia" w:ascii="楷体_GB2312" w:hAnsi="楷体_GB2312" w:eastAsia="楷体_GB2312" w:cs="楷体_GB2312"/>
          <w:b/>
          <w:bCs/>
          <w:sz w:val="44"/>
          <w:szCs w:val="44"/>
        </w:rPr>
        <w:t>年部门</w:t>
      </w:r>
    </w:p>
    <w:p>
      <w:pPr>
        <w:keepNext w:val="0"/>
        <w:keepLines w:val="0"/>
        <w:pageBreakBefore w:val="0"/>
        <w:widowControl/>
        <w:kinsoku/>
        <w:wordWrap/>
        <w:overflowPunct/>
        <w:topLinePunct w:val="0"/>
        <w:autoSpaceDE/>
        <w:autoSpaceDN/>
        <w:bidi w:val="0"/>
        <w:spacing w:line="520" w:lineRule="exact"/>
        <w:ind w:firstLine="883" w:firstLineChars="200"/>
        <w:jc w:val="center"/>
        <w:textAlignment w:val="auto"/>
        <w:rPr>
          <w:rFonts w:hint="eastAsia" w:ascii="楷体_GB2312" w:hAnsi="楷体_GB2312" w:eastAsia="楷体_GB2312" w:cs="楷体_GB2312"/>
          <w:b/>
          <w:bCs/>
          <w:sz w:val="44"/>
          <w:szCs w:val="44"/>
        </w:rPr>
      </w:pPr>
      <w:r>
        <w:rPr>
          <w:rFonts w:hint="eastAsia" w:ascii="楷体_GB2312" w:hAnsi="楷体_GB2312" w:eastAsia="楷体_GB2312" w:cs="楷体_GB2312"/>
          <w:b/>
          <w:bCs/>
          <w:sz w:val="44"/>
          <w:szCs w:val="44"/>
          <w:lang w:eastAsia="zh-CN"/>
        </w:rPr>
        <w:t>整体</w:t>
      </w:r>
      <w:r>
        <w:rPr>
          <w:rFonts w:hint="eastAsia" w:ascii="楷体_GB2312" w:hAnsi="楷体_GB2312" w:eastAsia="楷体_GB2312" w:cs="楷体_GB2312"/>
          <w:b/>
          <w:bCs/>
          <w:sz w:val="44"/>
          <w:szCs w:val="44"/>
        </w:rPr>
        <w:t>支出绩效报告</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eastAsia="zh-CN"/>
        </w:rPr>
        <w:t>县行政审批局为</w:t>
      </w:r>
      <w:r>
        <w:rPr>
          <w:rFonts w:hint="eastAsia" w:ascii="仿宋_GB2312" w:hAnsi="仿宋_GB2312" w:eastAsia="仿宋_GB2312" w:cs="仿宋_GB2312"/>
          <w:bCs/>
          <w:sz w:val="32"/>
          <w:szCs w:val="32"/>
        </w:rPr>
        <w:t>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个，即：</w:t>
      </w:r>
      <w:r>
        <w:rPr>
          <w:rFonts w:hint="eastAsia" w:ascii="仿宋_GB2312" w:hAnsi="仿宋_GB2312" w:eastAsia="仿宋_GB2312" w:cs="仿宋_GB2312"/>
          <w:bCs/>
          <w:sz w:val="32"/>
          <w:szCs w:val="32"/>
          <w:lang w:val="en-US" w:eastAsia="zh-CN"/>
        </w:rPr>
        <w:t>红原</w:t>
      </w:r>
      <w:r>
        <w:rPr>
          <w:rFonts w:hint="eastAsia" w:ascii="仿宋_GB2312" w:hAnsi="仿宋_GB2312" w:eastAsia="仿宋_GB2312" w:cs="仿宋_GB2312"/>
          <w:bCs/>
          <w:sz w:val="32"/>
          <w:szCs w:val="32"/>
          <w:lang w:eastAsia="zh-CN"/>
        </w:rPr>
        <w:t>县行政审批局及</w:t>
      </w:r>
      <w:r>
        <w:rPr>
          <w:rFonts w:hint="eastAsia" w:ascii="仿宋_GB2312" w:hAnsi="仿宋_GB2312" w:eastAsia="仿宋_GB2312" w:cs="仿宋_GB2312"/>
          <w:bCs/>
          <w:sz w:val="32"/>
          <w:szCs w:val="32"/>
          <w:lang w:val="en-US" w:eastAsia="zh-CN"/>
        </w:rPr>
        <w:t>红原县政务服务和</w:t>
      </w:r>
      <w:r>
        <w:rPr>
          <w:rFonts w:hint="eastAsia" w:ascii="仿宋_GB2312" w:hAnsi="仿宋_GB2312" w:eastAsia="仿宋_GB2312" w:cs="仿宋_GB2312"/>
          <w:bCs/>
          <w:sz w:val="32"/>
          <w:szCs w:val="32"/>
          <w:lang w:eastAsia="zh-CN"/>
        </w:rPr>
        <w:t>公共资源交易</w:t>
      </w:r>
      <w:r>
        <w:rPr>
          <w:rFonts w:hint="eastAsia" w:ascii="仿宋_GB2312" w:hAnsi="仿宋_GB2312" w:eastAsia="仿宋_GB2312" w:cs="仿宋_GB2312"/>
          <w:bCs/>
          <w:sz w:val="32"/>
          <w:szCs w:val="32"/>
          <w:lang w:val="en-US" w:eastAsia="zh-CN"/>
        </w:rPr>
        <w:t>服务</w:t>
      </w:r>
      <w:r>
        <w:rPr>
          <w:rFonts w:hint="eastAsia" w:ascii="仿宋_GB2312" w:hAnsi="仿宋_GB2312" w:eastAsia="仿宋_GB2312" w:cs="仿宋_GB2312"/>
          <w:bCs/>
          <w:sz w:val="32"/>
          <w:szCs w:val="32"/>
          <w:lang w:eastAsia="zh-CN"/>
        </w:rPr>
        <w:t>中心（事业）。</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（二）机构职能</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1.</w:t>
      </w:r>
      <w:r>
        <w:rPr>
          <w:rFonts w:hint="eastAsia" w:ascii="仿宋_GB2312" w:hAnsi="仿宋_GB2312" w:eastAsia="仿宋_GB2312" w:cs="仿宋_GB2312"/>
          <w:bCs/>
          <w:color w:val="auto"/>
          <w:sz w:val="32"/>
          <w:szCs w:val="32"/>
          <w:lang w:eastAsia="zh-CN"/>
        </w:rPr>
        <w:t>负责深化行政审批制度改革和“放管服”改革工作，拟定全县行政审批制度和“放管服”改革相关政策和规范性文件，承担县本级行政权力清单和责任清单的动态调整，指导全县行政权力清单和责任清单工作，建立完善相关工作机制。</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2.</w:t>
      </w:r>
      <w:r>
        <w:rPr>
          <w:rFonts w:hint="eastAsia" w:ascii="仿宋_GB2312" w:hAnsi="仿宋_GB2312" w:eastAsia="仿宋_GB2312" w:cs="仿宋_GB2312"/>
          <w:bCs/>
          <w:color w:val="auto"/>
          <w:sz w:val="32"/>
          <w:szCs w:val="32"/>
          <w:lang w:eastAsia="zh-CN"/>
        </w:rPr>
        <w:t>负责县本级行政审批工作，承办县直部门划入的涉及投资项目、市场准入、建设工程、交通水利、文教卫生、社会事业、涉农事务等方面的行政审批事项，及时通知行政审批事项的实施情况，逐步实行“一枚印章管审批”。</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3.</w:t>
      </w:r>
      <w:r>
        <w:rPr>
          <w:rFonts w:hint="eastAsia" w:ascii="仿宋_GB2312" w:hAnsi="仿宋_GB2312" w:eastAsia="仿宋_GB2312" w:cs="仿宋_GB2312"/>
          <w:bCs/>
          <w:color w:val="auto"/>
          <w:sz w:val="32"/>
          <w:szCs w:val="32"/>
          <w:lang w:eastAsia="zh-CN"/>
        </w:rPr>
        <w:t>负责协调、指导入驻县大厅各部门和驻县州直部门的审批工作。对进驻大厅服务机构办理事项进行规范、管理和监督。建立行政审批、公共服务运行规程和考核体系。</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4.</w:t>
      </w:r>
      <w:r>
        <w:rPr>
          <w:rFonts w:hint="eastAsia" w:ascii="仿宋_GB2312" w:hAnsi="仿宋_GB2312" w:eastAsia="仿宋_GB2312" w:cs="仿宋_GB2312"/>
          <w:bCs/>
          <w:color w:val="auto"/>
          <w:sz w:val="32"/>
          <w:szCs w:val="32"/>
          <w:lang w:eastAsia="zh-CN"/>
        </w:rPr>
        <w:t>指导乡镇便民服务中心工作</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5.</w:t>
      </w:r>
      <w:r>
        <w:rPr>
          <w:rFonts w:hint="eastAsia" w:ascii="仿宋_GB2312" w:hAnsi="仿宋_GB2312" w:eastAsia="仿宋_GB2312" w:cs="仿宋_GB2312"/>
          <w:bCs/>
          <w:color w:val="auto"/>
          <w:sz w:val="32"/>
          <w:szCs w:val="32"/>
        </w:rPr>
        <w:t>负责</w:t>
      </w:r>
      <w:r>
        <w:rPr>
          <w:rFonts w:hint="eastAsia" w:ascii="仿宋_GB2312" w:hAnsi="仿宋_GB2312" w:eastAsia="仿宋_GB2312" w:cs="仿宋_GB2312"/>
          <w:bCs/>
          <w:color w:val="auto"/>
          <w:sz w:val="32"/>
          <w:szCs w:val="32"/>
          <w:lang w:eastAsia="zh-CN"/>
        </w:rPr>
        <w:t>全县政务服务管理工作，指导全县政务服务体系建设。</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6.</w:t>
      </w:r>
      <w:r>
        <w:rPr>
          <w:rFonts w:hint="eastAsia" w:ascii="仿宋_GB2312" w:hAnsi="仿宋_GB2312" w:eastAsia="仿宋_GB2312" w:cs="仿宋_GB2312"/>
          <w:bCs/>
          <w:color w:val="auto"/>
          <w:sz w:val="32"/>
          <w:szCs w:val="32"/>
        </w:rPr>
        <w:t>负责</w:t>
      </w:r>
      <w:r>
        <w:rPr>
          <w:rFonts w:hint="eastAsia" w:ascii="仿宋_GB2312" w:hAnsi="仿宋_GB2312" w:eastAsia="仿宋_GB2312" w:cs="仿宋_GB2312"/>
          <w:bCs/>
          <w:color w:val="auto"/>
          <w:sz w:val="32"/>
          <w:szCs w:val="32"/>
          <w:lang w:eastAsia="zh-CN"/>
        </w:rPr>
        <w:t>对全县公共资源交易管理工作，指导全县公共资源交易服务体系建设。</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bCs/>
          <w:color w:val="auto"/>
          <w:sz w:val="32"/>
          <w:szCs w:val="32"/>
          <w:lang w:eastAsia="zh-CN"/>
        </w:rPr>
      </w:pPr>
      <w:r>
        <w:rPr>
          <w:rFonts w:hint="eastAsia" w:hAnsi="仿宋_GB2312" w:cs="仿宋_GB2312"/>
          <w:b/>
          <w:bCs w:val="0"/>
          <w:color w:val="auto"/>
          <w:sz w:val="32"/>
          <w:szCs w:val="32"/>
          <w:lang w:val="en-US" w:eastAsia="zh-CN"/>
        </w:rPr>
        <w:t>7.</w:t>
      </w:r>
      <w:r>
        <w:rPr>
          <w:rFonts w:hint="eastAsia" w:ascii="仿宋_GB2312" w:hAnsi="仿宋_GB2312" w:eastAsia="仿宋_GB2312" w:cs="仿宋_GB2312"/>
          <w:bCs/>
          <w:color w:val="auto"/>
          <w:sz w:val="32"/>
          <w:szCs w:val="32"/>
          <w:lang w:eastAsia="zh-CN"/>
        </w:rPr>
        <w:t>负责对涉及县政务服务大厅，县公共资源交易中心，县行政审批服务机构的投诉举报的承办，转办和督办工作。</w:t>
      </w:r>
    </w:p>
    <w:p>
      <w:pPr>
        <w:pStyle w:val="6"/>
        <w:pageBreakBefore w:val="0"/>
        <w:kinsoku/>
        <w:wordWrap/>
        <w:overflowPunct/>
        <w:topLinePunct w:val="0"/>
        <w:bidi w:val="0"/>
        <w:adjustRightInd w:val="0"/>
        <w:snapToGrid w:val="0"/>
        <w:spacing w:beforeLines="0" w:line="520" w:lineRule="exact"/>
        <w:ind w:firstLine="643" w:firstLineChars="200"/>
        <w:outlineLvl w:val="2"/>
        <w:rPr>
          <w:rFonts w:hint="eastAsia" w:ascii="仿宋_GB2312" w:hAnsi="仿宋_GB2312" w:eastAsia="仿宋_GB2312" w:cs="仿宋_GB2312"/>
          <w:sz w:val="32"/>
          <w:szCs w:val="32"/>
        </w:rPr>
      </w:pPr>
      <w:r>
        <w:rPr>
          <w:rFonts w:hint="eastAsia" w:hAnsi="仿宋_GB2312" w:cs="仿宋_GB2312"/>
          <w:b/>
          <w:bCs w:val="0"/>
          <w:color w:val="auto"/>
          <w:sz w:val="32"/>
          <w:szCs w:val="32"/>
          <w:lang w:val="en-US" w:eastAsia="zh-CN"/>
        </w:rPr>
        <w:t xml:space="preserve"> </w:t>
      </w:r>
      <w:r>
        <w:rPr>
          <w:rFonts w:hint="eastAsia" w:ascii="仿宋_GB2312" w:hAnsi="仿宋_GB2312" w:eastAsia="仿宋_GB2312" w:cs="仿宋_GB2312"/>
          <w:bCs/>
          <w:color w:val="auto"/>
          <w:sz w:val="32"/>
          <w:szCs w:val="32"/>
          <w:lang w:eastAsia="zh-CN"/>
        </w:rPr>
        <w:t>完成县委、县政府交办的其他任务。</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rPr>
        <w:t>本单位截止</w:t>
      </w:r>
      <w:r>
        <w:rPr>
          <w:rFonts w:hint="eastAsia" w:ascii="仿宋_GB2312" w:hAnsi="仿宋_GB2312" w:eastAsia="仿宋_GB2312" w:cs="仿宋_GB2312"/>
          <w:bCs/>
          <w:sz w:val="32"/>
          <w:szCs w:val="32"/>
          <w:lang w:val="en-US" w:eastAsia="zh-CN"/>
        </w:rPr>
        <w:t>2021年底共有</w:t>
      </w:r>
      <w:r>
        <w:rPr>
          <w:rFonts w:hint="eastAsia" w:ascii="仿宋_GB2312" w:hAnsi="仿宋_GB2312" w:eastAsia="仿宋_GB2312" w:cs="仿宋_GB2312"/>
          <w:bCs/>
          <w:sz w:val="32"/>
          <w:szCs w:val="32"/>
        </w:rPr>
        <w:t>在职</w:t>
      </w:r>
      <w:r>
        <w:rPr>
          <w:rFonts w:hint="eastAsia" w:ascii="仿宋_GB2312" w:hAnsi="仿宋_GB2312" w:eastAsia="仿宋_GB2312" w:cs="仿宋_GB2312"/>
          <w:bCs/>
          <w:sz w:val="32"/>
          <w:szCs w:val="32"/>
          <w:lang w:eastAsia="zh-CN"/>
        </w:rPr>
        <w:t>职工</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，事业人员</w:t>
      </w:r>
      <w:r>
        <w:rPr>
          <w:rFonts w:hint="eastAsia" w:ascii="仿宋_GB2312" w:hAnsi="仿宋_GB2312" w:eastAsia="仿宋_GB2312" w:cs="仿宋_GB2312"/>
          <w:bCs/>
          <w:sz w:val="32"/>
          <w:szCs w:val="32"/>
          <w:lang w:val="en-US" w:eastAsia="zh-CN"/>
        </w:rPr>
        <w:t>8人</w:t>
      </w:r>
      <w:r>
        <w:rPr>
          <w:rFonts w:hint="eastAsia" w:ascii="仿宋_GB2312" w:hAnsi="仿宋_GB2312" w:eastAsia="仿宋_GB2312" w:cs="仿宋_GB2312"/>
          <w:bCs/>
          <w:sz w:val="32"/>
          <w:szCs w:val="32"/>
        </w:rPr>
        <w:t>。</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379.21万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其中：一般公共服务支出314.77万元，主要为人员工资、体检费、工伤失业保险、办公费、邮电费、电费、差旅费、印刷费、劳务费等；社会保障和就业支出31.43万元，主要为各项保险；医疗卫生与计划生育支出12.48万元，全部为医疗保险、公务员医疗补助；住房保障支出20.53万元，全部为住房公积金）。</w:t>
      </w:r>
      <w:r>
        <w:rPr>
          <w:rFonts w:hint="eastAsia" w:ascii="仿宋_GB2312" w:hAnsi="仿宋_GB2312" w:eastAsia="仿宋_GB2312" w:cs="仿宋_GB2312"/>
          <w:color w:val="auto"/>
          <w:sz w:val="32"/>
          <w:szCs w:val="32"/>
        </w:rPr>
        <w:t>与20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年相比，收入</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lang w:val="en-US" w:eastAsia="zh-CN"/>
        </w:rPr>
        <w:t>58.59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上升</w:t>
      </w:r>
      <w:r>
        <w:rPr>
          <w:rFonts w:hint="eastAsia" w:ascii="仿宋_GB2312" w:hAnsi="仿宋_GB2312" w:eastAsia="仿宋_GB2312" w:cs="仿宋_GB2312"/>
          <w:color w:val="auto"/>
          <w:sz w:val="32"/>
          <w:szCs w:val="32"/>
          <w:lang w:val="en-US" w:eastAsia="zh-CN"/>
        </w:rPr>
        <w:t>18.27</w:t>
      </w:r>
      <w:r>
        <w:rPr>
          <w:rFonts w:hint="eastAsia" w:ascii="仿宋_GB2312" w:hAnsi="仿宋_GB2312" w:eastAsia="仿宋_GB2312" w:cs="仿宋_GB2312"/>
          <w:color w:val="auto"/>
          <w:sz w:val="32"/>
          <w:szCs w:val="32"/>
        </w:rPr>
        <w:t>%。主要变动原因</w:t>
      </w:r>
      <w:r>
        <w:rPr>
          <w:rFonts w:hint="eastAsia" w:ascii="仿宋_GB2312" w:hAnsi="仿宋_GB2312" w:eastAsia="仿宋_GB2312" w:cs="仿宋_GB2312"/>
          <w:color w:val="auto"/>
          <w:sz w:val="32"/>
          <w:szCs w:val="32"/>
          <w:lang w:val="en-US" w:eastAsia="zh-CN"/>
        </w:rPr>
        <w:t>为2021年目标绩效增加、人员增加，工资及社会保障、医疗卫生与计划生育等各项保障支出增加，电费水费等办公费用相应增加</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388.78万</w:t>
      </w:r>
      <w:r>
        <w:rPr>
          <w:rFonts w:hint="eastAsia" w:ascii="仿宋_GB2312" w:hAnsi="仿宋_GB2312" w:eastAsia="仿宋_GB2312" w:cs="仿宋_GB2312"/>
          <w:color w:val="000000"/>
          <w:sz w:val="32"/>
          <w:szCs w:val="32"/>
          <w:lang w:eastAsia="zh-CN"/>
        </w:rPr>
        <w:t>元（含存量安排支出</w:t>
      </w:r>
      <w:r>
        <w:rPr>
          <w:rFonts w:hint="eastAsia" w:ascii="仿宋_GB2312" w:hAnsi="仿宋_GB2312" w:eastAsia="仿宋_GB2312" w:cs="仿宋_GB2312"/>
          <w:color w:val="000000"/>
          <w:sz w:val="32"/>
          <w:szCs w:val="32"/>
          <w:lang w:val="en-US" w:eastAsia="zh-CN"/>
        </w:rPr>
        <w:t>9.57万元，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324.34万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主要为人员工资、体检费、工伤失业保险、办公费、邮电费、电费、差旅费、印刷费、劳务费等；</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31.43万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主要为各项保险；</w:t>
      </w:r>
      <w:r>
        <w:rPr>
          <w:rFonts w:hint="eastAsia" w:ascii="仿宋_GB2312" w:hAnsi="仿宋_GB2312" w:eastAsia="仿宋_GB2312" w:cs="仿宋_GB2312"/>
          <w:color w:val="000000"/>
          <w:sz w:val="32"/>
          <w:szCs w:val="32"/>
        </w:rPr>
        <w:t>医疗卫生支出</w:t>
      </w:r>
      <w:r>
        <w:rPr>
          <w:rFonts w:hint="eastAsia" w:ascii="仿宋_GB2312" w:hAnsi="仿宋_GB2312" w:eastAsia="仿宋_GB2312" w:cs="仿宋_GB2312"/>
          <w:color w:val="000000"/>
          <w:sz w:val="32"/>
          <w:szCs w:val="32"/>
          <w:lang w:val="en-US" w:eastAsia="zh-CN"/>
        </w:rPr>
        <w:t>12.48万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全部为医疗保险、公务员医疗补助；住房保障支出20.53万元，全部为住房公积金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年相比，支出</w:t>
      </w:r>
      <w:r>
        <w:rPr>
          <w:rFonts w:hint="eastAsia" w:ascii="仿宋_GB2312" w:hAnsi="仿宋_GB2312" w:eastAsia="仿宋_GB2312" w:cs="仿宋_GB2312"/>
          <w:color w:val="000000"/>
          <w:sz w:val="32"/>
          <w:szCs w:val="32"/>
          <w:lang w:val="en-US" w:eastAsia="zh-CN"/>
        </w:rPr>
        <w:t>增加了</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21.83</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themeColor="text1"/>
          <w:sz w:val="32"/>
          <w:szCs w:val="32"/>
          <w14:textFill>
            <w14:solidFill>
              <w14:schemeClr w14:val="tx1"/>
            </w14:solidFill>
          </w14:textFill>
        </w:rPr>
        <w:t>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5.94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主要变动原因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2021年目标绩效增加、人员增加，工资及社会保障、医疗卫生与计划生育等各项保障支出增加，电费水费等办公费用相应增加。</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eastAsia="仿宋_GB2312" w:cs="仿宋_GB2312"/>
          <w:b w:val="0"/>
          <w:bCs w:val="0"/>
          <w:color w:val="000000"/>
          <w:sz w:val="32"/>
          <w:szCs w:val="32"/>
          <w:lang w:eastAsia="zh-CN"/>
        </w:rPr>
        <w:t>行政审批局</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红原县行政审批局</w:t>
      </w:r>
      <w:r>
        <w:rPr>
          <w:rFonts w:hint="eastAsia" w:ascii="仿宋_GB2312" w:hAnsi="仿宋_GB2312" w:eastAsia="仿宋_GB2312" w:cs="仿宋_GB2312"/>
          <w:b w:val="0"/>
          <w:bCs w:val="0"/>
          <w:color w:val="000000"/>
          <w:sz w:val="32"/>
          <w:szCs w:val="32"/>
        </w:rPr>
        <w:t>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eastAsia="仿宋_GB2312" w:cs="仿宋_GB2312"/>
          <w:b w:val="0"/>
          <w:bCs w:val="0"/>
          <w:color w:val="000000"/>
          <w:sz w:val="32"/>
          <w:szCs w:val="32"/>
          <w:lang w:eastAsia="zh-CN"/>
        </w:rPr>
        <w:t>红原县行政审批局</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培训费、政务中心窗口补贴及专项办公费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（二）执行管理情况</w:t>
      </w:r>
      <w:r>
        <w:rPr>
          <w:rFonts w:hint="eastAsia" w:ascii="楷体_GB2312" w:hAnsi="楷体_GB2312" w:eastAsia="楷体_GB2312" w:cs="楷体_GB2312"/>
          <w:b/>
          <w:bCs/>
          <w:color w:val="000000"/>
          <w:kern w:val="0"/>
          <w:sz w:val="32"/>
          <w:szCs w:val="32"/>
          <w:lang w:val="zh-CN"/>
        </w:rPr>
        <w:tab/>
      </w:r>
    </w:p>
    <w:p>
      <w:pPr>
        <w:keepNext w:val="0"/>
        <w:keepLines w:val="0"/>
        <w:pageBreakBefore w:val="0"/>
        <w:widowControl w:val="0"/>
        <w:numPr>
          <w:ilvl w:val="0"/>
          <w:numId w:val="0"/>
        </w:numPr>
        <w:kinsoku/>
        <w:wordWrap/>
        <w:overflowPunct/>
        <w:topLinePunct w:val="0"/>
        <w:autoSpaceDE/>
        <w:autoSpaceDN/>
        <w:bidi w:val="0"/>
        <w:spacing w:line="52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2021</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0.00</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r>
        <w:rPr>
          <w:rFonts w:hint="eastAsia" w:ascii="仿宋_GB2312" w:hAnsi="仿宋_GB2312" w:eastAsia="仿宋_GB2312" w:cs="仿宋_GB2312"/>
          <w:b w:val="0"/>
          <w:bCs w:val="0"/>
          <w:color w:val="000000"/>
          <w:sz w:val="32"/>
          <w:szCs w:val="32"/>
          <w:lang w:eastAsia="zh-CN"/>
        </w:rPr>
        <w:t>，与上年持平</w:t>
      </w:r>
      <w:r>
        <w:rPr>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spacing w:line="52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2020</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eastAsia="仿宋_GB2312" w:cs="仿宋_GB2312"/>
          <w:b w:val="0"/>
          <w:bCs w:val="0"/>
          <w:color w:val="000000"/>
          <w:sz w:val="32"/>
          <w:szCs w:val="32"/>
          <w:lang w:val="en-US" w:eastAsia="zh-CN"/>
        </w:rPr>
        <w:t>0.07万</w:t>
      </w:r>
      <w:r>
        <w:rPr>
          <w:rFonts w:hint="eastAsia" w:ascii="仿宋_GB2312" w:hAnsi="仿宋_GB2312" w:eastAsia="仿宋_GB2312" w:cs="仿宋_GB2312"/>
          <w:b w:val="0"/>
          <w:bCs w:val="0"/>
          <w:color w:val="000000"/>
          <w:sz w:val="32"/>
          <w:szCs w:val="32"/>
        </w:rPr>
        <w:t>元</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sz w:val="32"/>
          <w:szCs w:val="32"/>
          <w:lang w:val="en-US" w:eastAsia="zh-CN"/>
        </w:rPr>
        <w:t>本年度我们严格执行“八项规定、六项禁令”，结合本年度工作需要，减少不必要的开支，严格审批管理接待费。</w:t>
      </w:r>
    </w:p>
    <w:p>
      <w:pPr>
        <w:keepNext w:val="0"/>
        <w:keepLines w:val="0"/>
        <w:pageBreakBefore w:val="0"/>
        <w:widowControl w:val="0"/>
        <w:kinsoku/>
        <w:wordWrap/>
        <w:overflowPunct/>
        <w:topLinePunct w:val="0"/>
        <w:autoSpaceDE/>
        <w:autoSpaceDN/>
        <w:bidi w:val="0"/>
        <w:spacing w:line="52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lang w:val="en-US" w:eastAsia="zh-CN"/>
        </w:rPr>
        <w:t>2021</w:t>
      </w:r>
      <w:r>
        <w:rPr>
          <w:rFonts w:hint="eastAsia" w:ascii="仿宋_GB2312" w:hAnsi="仿宋_GB2312" w:eastAsia="仿宋_GB2312" w:cs="仿宋_GB2312"/>
          <w:b w:val="0"/>
          <w:bCs w:val="0"/>
          <w:color w:val="000000"/>
          <w:sz w:val="32"/>
          <w:szCs w:val="32"/>
        </w:rPr>
        <w:t>年公务用车运行维护费</w:t>
      </w:r>
      <w:r>
        <w:rPr>
          <w:rFonts w:hint="eastAsia" w:ascii="仿宋_GB2312" w:hAnsi="仿宋_GB2312" w:eastAsia="仿宋_GB2312" w:cs="仿宋_GB2312"/>
          <w:color w:val="000000"/>
          <w:sz w:val="32"/>
          <w:szCs w:val="32"/>
          <w:lang w:val="en-US" w:eastAsia="zh-CN"/>
        </w:rPr>
        <w:t>0万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val="0"/>
          <w:bCs w:val="0"/>
          <w:color w:val="000000"/>
          <w:sz w:val="32"/>
          <w:szCs w:val="32"/>
          <w:lang w:eastAsia="zh-CN"/>
        </w:rPr>
        <w:t>公务用车购置支出</w:t>
      </w:r>
      <w:r>
        <w:rPr>
          <w:rFonts w:hint="eastAsia" w:ascii="仿宋_GB2312" w:hAnsi="仿宋_GB2312" w:eastAsia="仿宋_GB2312" w:cs="仿宋_GB2312"/>
          <w:b w:val="0"/>
          <w:bCs w:val="0"/>
          <w:color w:val="000000"/>
          <w:sz w:val="32"/>
          <w:szCs w:val="32"/>
          <w:lang w:val="en-US" w:eastAsia="zh-CN"/>
        </w:rPr>
        <w:t>0万</w:t>
      </w:r>
      <w:r>
        <w:rPr>
          <w:rFonts w:hint="eastAsia" w:ascii="仿宋_GB2312" w:hAnsi="仿宋_GB2312" w:eastAsia="仿宋_GB2312" w:cs="仿宋_GB2312"/>
          <w:b w:val="0"/>
          <w:bCs w:val="0"/>
          <w:color w:val="000000"/>
          <w:sz w:val="32"/>
          <w:szCs w:val="32"/>
          <w:lang w:eastAsia="zh-CN"/>
        </w:rPr>
        <w:t>元</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lang w:eastAsia="zh-CN"/>
        </w:rPr>
        <w:t>公务用车运行维护费支出</w:t>
      </w:r>
      <w:r>
        <w:rPr>
          <w:rFonts w:hint="eastAsia" w:ascii="仿宋_GB2312" w:hAnsi="仿宋_GB2312" w:eastAsia="仿宋_GB2312" w:cs="仿宋_GB2312"/>
          <w:b w:val="0"/>
          <w:bCs w:val="0"/>
          <w:color w:val="000000"/>
          <w:sz w:val="32"/>
          <w:szCs w:val="32"/>
          <w:lang w:val="en-US" w:eastAsia="zh-CN"/>
        </w:rPr>
        <w:t>0万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公务用车购置及运行维护费</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23"/>
        <w:keepNext w:val="0"/>
        <w:keepLines w:val="0"/>
        <w:pageBreakBefore w:val="0"/>
        <w:numPr>
          <w:ilvl w:val="0"/>
          <w:numId w:val="0"/>
        </w:numPr>
        <w:tabs>
          <w:tab w:val="left" w:pos="0"/>
        </w:tabs>
        <w:kinsoku/>
        <w:wordWrap/>
        <w:overflowPunct/>
        <w:topLinePunct w:val="0"/>
        <w:autoSpaceDE/>
        <w:autoSpaceDN/>
        <w:bidi w:val="0"/>
        <w:spacing w:line="52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资产管理</w:t>
      </w:r>
    </w:p>
    <w:p>
      <w:pPr>
        <w:pStyle w:val="23"/>
        <w:keepNext w:val="0"/>
        <w:keepLines w:val="0"/>
        <w:pageBreakBefore w:val="0"/>
        <w:kinsoku/>
        <w:wordWrap/>
        <w:overflowPunct/>
        <w:topLinePunct w:val="0"/>
        <w:autoSpaceDE/>
        <w:autoSpaceDN/>
        <w:bidi w:val="0"/>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23"/>
        <w:keepNext w:val="0"/>
        <w:keepLines w:val="0"/>
        <w:pageBreakBefore w:val="0"/>
        <w:numPr>
          <w:ilvl w:val="0"/>
          <w:numId w:val="0"/>
        </w:numPr>
        <w:tabs>
          <w:tab w:val="left" w:pos="0"/>
        </w:tabs>
        <w:kinsoku/>
        <w:wordWrap/>
        <w:overflowPunct/>
        <w:topLinePunct w:val="0"/>
        <w:autoSpaceDE/>
        <w:autoSpaceDN/>
        <w:bidi w:val="0"/>
        <w:spacing w:line="52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单位内控管理</w:t>
      </w:r>
    </w:p>
    <w:p>
      <w:pPr>
        <w:keepNext w:val="0"/>
        <w:keepLines w:val="0"/>
        <w:pageBreakBefore w:val="0"/>
        <w:kinsoku/>
        <w:wordWrap/>
        <w:overflowPunct/>
        <w:topLinePunct w:val="0"/>
        <w:autoSpaceDE/>
        <w:autoSpaceDN/>
        <w:bidi w:val="0"/>
        <w:spacing w:before="72"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2"/>
        <w:keepNext w:val="0"/>
        <w:keepLines w:val="0"/>
        <w:pageBreakBefore w:val="0"/>
        <w:kinsoku/>
        <w:wordWrap/>
        <w:overflowPunct/>
        <w:topLinePunct w:val="0"/>
        <w:autoSpaceDE/>
        <w:autoSpaceDN/>
        <w:bidi w:val="0"/>
        <w:spacing w:before="0" w:beforeAutospacing="0" w:after="0" w:afterAutospacing="0"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部门预算管理</w:t>
      </w:r>
    </w:p>
    <w:p>
      <w:pPr>
        <w:pStyle w:val="2"/>
        <w:keepNext w:val="0"/>
        <w:keepLines w:val="0"/>
        <w:pageBreakBefore w:val="0"/>
        <w:kinsoku/>
        <w:wordWrap/>
        <w:overflowPunct/>
        <w:topLinePunct w:val="0"/>
        <w:autoSpaceDE/>
        <w:autoSpaceDN/>
        <w:bidi w:val="0"/>
        <w:spacing w:line="52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left"/>
        <w:textAlignment w:val="auto"/>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en-US" w:eastAsia="zh-CN" w:bidi="ar"/>
        </w:rPr>
        <w:t>4.</w:t>
      </w:r>
      <w:r>
        <w:rPr>
          <w:rFonts w:hint="eastAsia" w:ascii="仿宋_GB2312" w:hAnsi="仿宋_GB2312" w:eastAsia="仿宋_GB2312" w:cs="仿宋_GB2312"/>
          <w:b/>
          <w:bCs/>
          <w:color w:val="000000"/>
          <w:kern w:val="0"/>
          <w:sz w:val="32"/>
          <w:szCs w:val="32"/>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我单位领导高度重视绩效评价工作，成立了绩效评价工作领导小组，采取座谈等方式听取相关情况，检查基本支出、项目支出有关账目，收集整理相关资料，并对资料进行分析，形成评价结论。</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（1）部门预算严格按照上级部门预算编制通知和有关要求，结合单位具体工作及县级相关规定编制，按时完成基础、项目报送工作，单位预算按时在红原门户网站公开。</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（2）严格执行支出预算，“三公经费”本着节约、高效的原则严格控制支出，严格把握“三公经费”只减不增的原则。</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 w:val="0"/>
          <w:bCs w:val="0"/>
          <w:color w:val="000000"/>
          <w:sz w:val="32"/>
          <w:szCs w:val="32"/>
          <w:lang w:val="en-US" w:eastAsia="zh-CN"/>
        </w:rPr>
        <w:t xml:space="preserve">（3）认真开展部门绩效评价工作，绩效评价规章制度逐渐健全;严格按照相关法律、法规进行会计核算，严格资金管理，专款专用，资金拨付严格按相关程序报批后支付。认真开展整体绩效评价工作，绩效评价工作正逐步完善。    </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通过整体绩效自评，反映本部门能按照行政审批及公共资源交易管理相关职责要求有效履行职责，圆满完成了各项工作任务，绩效评价结果为优，群众及相关部门等对县行政审批局的各项工作满意度较高。</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（一）评价结论</w:t>
      </w:r>
    </w:p>
    <w:p>
      <w:pPr>
        <w:pStyle w:val="2"/>
        <w:keepNext w:val="0"/>
        <w:keepLines w:val="0"/>
        <w:pageBreakBefore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根据《红原县部门整体支出绩效评价指标体系》自查的分97.9分，总体评价较好。</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（二）存在问题</w:t>
      </w:r>
    </w:p>
    <w:p>
      <w:pPr>
        <w:pStyle w:val="2"/>
        <w:keepNext w:val="0"/>
        <w:keepLines w:val="0"/>
        <w:pageBreakBefore w:val="0"/>
        <w:numPr>
          <w:ilvl w:val="0"/>
          <w:numId w:val="0"/>
        </w:numPr>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由于财政支出的多样性和复杂性，绩效评价指标体系设置难度大，即使可以量化，但实际操作中很多项目间缺乏可比性且指标本身也在逐步变化，需要逐步完善。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40" w:firstLineChars="200"/>
        <w:textAlignment w:val="auto"/>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存在的问题:在平时工作推进过程中，缺乏技术人员进行专业指导及培训，工作推进存在一定困难，预算编制还需更加精准。</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Cs/>
          <w:sz w:val="32"/>
          <w:szCs w:val="32"/>
          <w:lang w:val="en-US" w:eastAsia="zh-CN"/>
        </w:rPr>
        <w:t>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Cs/>
          <w:sz w:val="32"/>
          <w:szCs w:val="32"/>
          <w:lang w:val="en-US" w:eastAsia="zh-CN"/>
        </w:rPr>
        <w:t>规范账务处理，提高财务信息质量。</w:t>
      </w:r>
    </w:p>
    <w:bookmarkEnd w:id="95"/>
    <w:p>
      <w:pPr>
        <w:pageBreakBefore w:val="0"/>
        <w:kinsoku/>
        <w:wordWrap/>
        <w:overflowPunct/>
        <w:topLinePunct w:val="0"/>
        <w:bidi w:val="0"/>
        <w:spacing w:line="520" w:lineRule="exact"/>
        <w:outlineLvl w:val="0"/>
        <w:rPr>
          <w:rStyle w:val="18"/>
          <w:rFonts w:hint="eastAsia" w:ascii="仿宋_GB2312" w:hAnsi="仿宋_GB2312" w:eastAsia="仿宋_GB2312" w:cs="仿宋_GB2312"/>
          <w:b w:val="0"/>
          <w:color w:val="auto"/>
          <w:sz w:val="32"/>
          <w:szCs w:val="32"/>
        </w:rPr>
      </w:pPr>
    </w:p>
    <w:p>
      <w:pPr>
        <w:pageBreakBefore w:val="0"/>
        <w:kinsoku/>
        <w:wordWrap/>
        <w:overflowPunct/>
        <w:topLinePunct w:val="0"/>
        <w:bidi w:val="0"/>
        <w:spacing w:line="520" w:lineRule="exact"/>
        <w:ind w:firstLine="643" w:firstLineChars="200"/>
        <w:jc w:val="center"/>
        <w:outlineLvl w:val="0"/>
        <w:rPr>
          <w:rFonts w:hint="eastAsia" w:ascii="仿宋_GB2312" w:hAnsi="仿宋_GB2312" w:eastAsia="仿宋_GB2312" w:cs="仿宋_GB2312"/>
          <w:b/>
          <w:color w:val="auto"/>
          <w:sz w:val="32"/>
          <w:szCs w:val="32"/>
        </w:rPr>
      </w:pPr>
      <w:bookmarkStart w:id="96" w:name="_Toc12332"/>
      <w:r>
        <w:rPr>
          <w:rStyle w:val="18"/>
          <w:rFonts w:hint="eastAsia" w:ascii="仿宋_GB2312" w:hAnsi="仿宋_GB2312" w:eastAsia="仿宋_GB2312" w:cs="仿宋_GB2312"/>
          <w:b/>
          <w:bCs w:val="0"/>
          <w:color w:val="auto"/>
          <w:sz w:val="32"/>
          <w:szCs w:val="32"/>
        </w:rPr>
        <w:t>第五部分 附表</w:t>
      </w:r>
      <w:bookmarkEnd w:id="90"/>
      <w:bookmarkEnd w:id="94"/>
      <w:bookmarkEnd w:id="96"/>
    </w:p>
    <w:p>
      <w:pPr>
        <w:pStyle w:val="5"/>
        <w:pageBreakBefore w:val="0"/>
        <w:numPr>
          <w:ilvl w:val="0"/>
          <w:numId w:val="3"/>
        </w:numPr>
        <w:kinsoku/>
        <w:wordWrap/>
        <w:overflowPunct/>
        <w:topLinePunct w:val="0"/>
        <w:bidi w:val="0"/>
        <w:spacing w:before="0" w:after="0" w:line="520" w:lineRule="exact"/>
        <w:ind w:firstLine="640" w:firstLineChars="200"/>
        <w:rPr>
          <w:rFonts w:hint="eastAsia" w:ascii="仿宋_GB2312" w:hAnsi="仿宋_GB2312" w:eastAsia="仿宋_GB2312" w:cs="仿宋_GB2312"/>
          <w:b w:val="0"/>
          <w:color w:val="auto"/>
          <w:sz w:val="32"/>
          <w:szCs w:val="32"/>
        </w:rPr>
      </w:pPr>
      <w:bookmarkStart w:id="97" w:name="_Toc6684"/>
      <w:bookmarkStart w:id="98" w:name="_Toc8217"/>
      <w:bookmarkStart w:id="99" w:name="_Toc29814"/>
      <w:bookmarkStart w:id="100" w:name="_Toc15396620"/>
      <w:r>
        <w:rPr>
          <w:rFonts w:hint="eastAsia" w:ascii="仿宋_GB2312" w:hAnsi="仿宋_GB2312" w:eastAsia="仿宋_GB2312" w:cs="仿宋_GB2312"/>
          <w:b w:val="0"/>
          <w:color w:val="auto"/>
          <w:sz w:val="32"/>
          <w:szCs w:val="32"/>
        </w:rPr>
        <w:t>收入支出决算总表</w:t>
      </w:r>
      <w:bookmarkEnd w:id="97"/>
      <w:bookmarkEnd w:id="98"/>
      <w:bookmarkEnd w:id="99"/>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01" w:name="_Toc1985"/>
      <w:bookmarkStart w:id="102" w:name="_Toc8551"/>
      <w:bookmarkStart w:id="103" w:name="_Toc4195"/>
      <w:r>
        <w:rPr>
          <w:rFonts w:hint="eastAsia" w:ascii="仿宋_GB2312" w:hAnsi="仿宋_GB2312" w:eastAsia="仿宋_GB2312" w:cs="仿宋_GB2312"/>
          <w:b w:val="0"/>
          <w:color w:val="auto"/>
          <w:sz w:val="32"/>
          <w:szCs w:val="32"/>
        </w:rPr>
        <w:t>二、收</w:t>
      </w:r>
      <w:r>
        <w:rPr>
          <w:rStyle w:val="19"/>
          <w:rFonts w:hint="eastAsia" w:ascii="仿宋_GB2312" w:hAnsi="仿宋_GB2312" w:eastAsia="仿宋_GB2312" w:cs="仿宋_GB2312"/>
          <w:b w:val="0"/>
          <w:bCs w:val="0"/>
          <w:color w:val="auto"/>
          <w:sz w:val="32"/>
          <w:szCs w:val="32"/>
        </w:rPr>
        <w:t>入总表</w:t>
      </w:r>
      <w:bookmarkEnd w:id="100"/>
      <w:bookmarkEnd w:id="101"/>
      <w:bookmarkEnd w:id="102"/>
      <w:bookmarkEnd w:id="103"/>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04" w:name="_Toc15396621"/>
      <w:bookmarkStart w:id="105" w:name="_Toc3381"/>
      <w:bookmarkStart w:id="106" w:name="_Toc11931"/>
      <w:bookmarkStart w:id="107" w:name="_Toc10538"/>
      <w:r>
        <w:rPr>
          <w:rStyle w:val="19"/>
          <w:rFonts w:hint="eastAsia" w:ascii="仿宋_GB2312" w:hAnsi="仿宋_GB2312" w:eastAsia="仿宋_GB2312" w:cs="仿宋_GB2312"/>
          <w:b w:val="0"/>
          <w:bCs w:val="0"/>
          <w:color w:val="auto"/>
          <w:sz w:val="32"/>
          <w:szCs w:val="32"/>
        </w:rPr>
        <w:t>三、</w:t>
      </w:r>
      <w:r>
        <w:rPr>
          <w:rFonts w:hint="eastAsia" w:ascii="仿宋_GB2312" w:hAnsi="仿宋_GB2312" w:eastAsia="仿宋_GB2312" w:cs="仿宋_GB2312"/>
          <w:b w:val="0"/>
          <w:color w:val="auto"/>
          <w:sz w:val="32"/>
          <w:szCs w:val="32"/>
        </w:rPr>
        <w:t>支</w:t>
      </w:r>
      <w:r>
        <w:rPr>
          <w:rStyle w:val="19"/>
          <w:rFonts w:hint="eastAsia" w:ascii="仿宋_GB2312" w:hAnsi="仿宋_GB2312" w:eastAsia="仿宋_GB2312" w:cs="仿宋_GB2312"/>
          <w:b w:val="0"/>
          <w:bCs w:val="0"/>
          <w:color w:val="auto"/>
          <w:sz w:val="32"/>
          <w:szCs w:val="32"/>
        </w:rPr>
        <w:t>出总表</w:t>
      </w:r>
      <w:bookmarkEnd w:id="104"/>
      <w:bookmarkEnd w:id="105"/>
      <w:bookmarkEnd w:id="106"/>
      <w:bookmarkEnd w:id="107"/>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b w:val="0"/>
          <w:color w:val="auto"/>
          <w:sz w:val="32"/>
          <w:szCs w:val="32"/>
        </w:rPr>
      </w:pPr>
      <w:bookmarkStart w:id="108" w:name="_Toc32703"/>
      <w:bookmarkStart w:id="109" w:name="_Toc15396622"/>
      <w:bookmarkStart w:id="110" w:name="_Toc18297"/>
      <w:bookmarkStart w:id="111" w:name="_Toc8469"/>
      <w:r>
        <w:rPr>
          <w:rStyle w:val="19"/>
          <w:rFonts w:hint="eastAsia" w:ascii="仿宋_GB2312" w:hAnsi="仿宋_GB2312" w:eastAsia="仿宋_GB2312" w:cs="仿宋_GB2312"/>
          <w:b w:val="0"/>
          <w:bCs w:val="0"/>
          <w:color w:val="auto"/>
          <w:sz w:val="32"/>
          <w:szCs w:val="32"/>
        </w:rPr>
        <w:t>四、</w:t>
      </w:r>
      <w:r>
        <w:rPr>
          <w:rFonts w:hint="eastAsia" w:ascii="仿宋_GB2312" w:hAnsi="仿宋_GB2312" w:eastAsia="仿宋_GB2312" w:cs="仿宋_GB2312"/>
          <w:b w:val="0"/>
          <w:color w:val="auto"/>
          <w:sz w:val="32"/>
          <w:szCs w:val="32"/>
        </w:rPr>
        <w:t>财</w:t>
      </w:r>
      <w:r>
        <w:rPr>
          <w:rStyle w:val="19"/>
          <w:rFonts w:hint="eastAsia" w:ascii="仿宋_GB2312" w:hAnsi="仿宋_GB2312" w:eastAsia="仿宋_GB2312" w:cs="仿宋_GB2312"/>
          <w:b w:val="0"/>
          <w:bCs w:val="0"/>
          <w:color w:val="auto"/>
          <w:sz w:val="32"/>
          <w:szCs w:val="32"/>
        </w:rPr>
        <w:t>政拨款收入支出决算总表</w:t>
      </w:r>
      <w:bookmarkEnd w:id="108"/>
      <w:bookmarkEnd w:id="109"/>
      <w:bookmarkEnd w:id="110"/>
      <w:bookmarkEnd w:id="111"/>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12" w:name="_Toc15396623"/>
      <w:bookmarkStart w:id="113" w:name="_Toc4617"/>
      <w:bookmarkStart w:id="114" w:name="_Toc32318"/>
      <w:bookmarkStart w:id="115" w:name="_Toc16323"/>
      <w:r>
        <w:rPr>
          <w:rStyle w:val="19"/>
          <w:rFonts w:hint="eastAsia" w:ascii="仿宋_GB2312" w:hAnsi="仿宋_GB2312" w:eastAsia="仿宋_GB2312" w:cs="仿宋_GB2312"/>
          <w:b w:val="0"/>
          <w:bCs w:val="0"/>
          <w:color w:val="auto"/>
          <w:sz w:val="32"/>
          <w:szCs w:val="32"/>
        </w:rPr>
        <w:t>五、</w:t>
      </w:r>
      <w:r>
        <w:rPr>
          <w:rFonts w:hint="eastAsia" w:ascii="仿宋_GB2312" w:hAnsi="仿宋_GB2312" w:eastAsia="仿宋_GB2312" w:cs="仿宋_GB2312"/>
          <w:b w:val="0"/>
          <w:color w:val="auto"/>
          <w:sz w:val="32"/>
          <w:szCs w:val="32"/>
        </w:rPr>
        <w:t>财</w:t>
      </w:r>
      <w:r>
        <w:rPr>
          <w:rStyle w:val="19"/>
          <w:rFonts w:hint="eastAsia" w:ascii="仿宋_GB2312" w:hAnsi="仿宋_GB2312" w:eastAsia="仿宋_GB2312" w:cs="仿宋_GB2312"/>
          <w:b w:val="0"/>
          <w:bCs w:val="0"/>
          <w:color w:val="auto"/>
          <w:sz w:val="32"/>
          <w:szCs w:val="32"/>
        </w:rPr>
        <w:t>政拨款支出决算明细表（经济分类科目）</w:t>
      </w:r>
      <w:bookmarkEnd w:id="112"/>
      <w:bookmarkEnd w:id="113"/>
      <w:bookmarkEnd w:id="114"/>
      <w:bookmarkEnd w:id="115"/>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16" w:name="_Toc25124"/>
      <w:bookmarkStart w:id="117" w:name="_Toc518"/>
      <w:bookmarkStart w:id="118" w:name="_Toc6111"/>
      <w:bookmarkStart w:id="119" w:name="_Toc15396624"/>
      <w:r>
        <w:rPr>
          <w:rStyle w:val="19"/>
          <w:rFonts w:hint="eastAsia" w:ascii="仿宋_GB2312" w:hAnsi="仿宋_GB2312" w:eastAsia="仿宋_GB2312" w:cs="仿宋_GB2312"/>
          <w:b w:val="0"/>
          <w:bCs w:val="0"/>
          <w:color w:val="auto"/>
          <w:sz w:val="32"/>
          <w:szCs w:val="32"/>
        </w:rPr>
        <w:t>六、</w:t>
      </w:r>
      <w:r>
        <w:rPr>
          <w:rFonts w:hint="eastAsia" w:ascii="仿宋_GB2312" w:hAnsi="仿宋_GB2312" w:eastAsia="仿宋_GB2312" w:cs="仿宋_GB2312"/>
          <w:b w:val="0"/>
          <w:color w:val="auto"/>
          <w:sz w:val="32"/>
          <w:szCs w:val="32"/>
        </w:rPr>
        <w:t>一</w:t>
      </w:r>
      <w:r>
        <w:rPr>
          <w:rStyle w:val="19"/>
          <w:rFonts w:hint="eastAsia" w:ascii="仿宋_GB2312" w:hAnsi="仿宋_GB2312" w:eastAsia="仿宋_GB2312" w:cs="仿宋_GB2312"/>
          <w:b w:val="0"/>
          <w:bCs w:val="0"/>
          <w:color w:val="auto"/>
          <w:sz w:val="32"/>
          <w:szCs w:val="32"/>
        </w:rPr>
        <w:t>般公共预算财政拨款支出决算表</w:t>
      </w:r>
      <w:bookmarkEnd w:id="116"/>
      <w:bookmarkEnd w:id="117"/>
      <w:bookmarkEnd w:id="118"/>
      <w:bookmarkEnd w:id="119"/>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20" w:name="_Toc15396625"/>
      <w:bookmarkStart w:id="121" w:name="_Toc20185"/>
      <w:bookmarkStart w:id="122" w:name="_Toc23744"/>
      <w:bookmarkStart w:id="123" w:name="_Toc14807"/>
      <w:r>
        <w:rPr>
          <w:rStyle w:val="19"/>
          <w:rFonts w:hint="eastAsia" w:ascii="仿宋_GB2312" w:hAnsi="仿宋_GB2312" w:eastAsia="仿宋_GB2312" w:cs="仿宋_GB2312"/>
          <w:b w:val="0"/>
          <w:bCs w:val="0"/>
          <w:color w:val="auto"/>
          <w:sz w:val="32"/>
          <w:szCs w:val="32"/>
        </w:rPr>
        <w:t>七、</w:t>
      </w:r>
      <w:r>
        <w:rPr>
          <w:rFonts w:hint="eastAsia" w:ascii="仿宋_GB2312" w:hAnsi="仿宋_GB2312" w:eastAsia="仿宋_GB2312" w:cs="仿宋_GB2312"/>
          <w:b w:val="0"/>
          <w:color w:val="auto"/>
          <w:sz w:val="32"/>
          <w:szCs w:val="32"/>
        </w:rPr>
        <w:t>一</w:t>
      </w:r>
      <w:r>
        <w:rPr>
          <w:rStyle w:val="19"/>
          <w:rFonts w:hint="eastAsia" w:ascii="仿宋_GB2312" w:hAnsi="仿宋_GB2312" w:eastAsia="仿宋_GB2312" w:cs="仿宋_GB2312"/>
          <w:b w:val="0"/>
          <w:bCs w:val="0"/>
          <w:color w:val="auto"/>
          <w:sz w:val="32"/>
          <w:szCs w:val="32"/>
        </w:rPr>
        <w:t>般公共预算财政拨款支出决算明细表</w:t>
      </w:r>
      <w:bookmarkEnd w:id="120"/>
      <w:bookmarkEnd w:id="121"/>
      <w:bookmarkEnd w:id="122"/>
      <w:bookmarkEnd w:id="123"/>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24" w:name="_Toc22172"/>
      <w:bookmarkStart w:id="125" w:name="_Toc9588"/>
      <w:bookmarkStart w:id="126" w:name="_Toc24538"/>
      <w:bookmarkStart w:id="127" w:name="_Toc15396626"/>
      <w:r>
        <w:rPr>
          <w:rStyle w:val="19"/>
          <w:rFonts w:hint="eastAsia" w:ascii="仿宋_GB2312" w:hAnsi="仿宋_GB2312" w:eastAsia="仿宋_GB2312" w:cs="仿宋_GB2312"/>
          <w:b w:val="0"/>
          <w:bCs w:val="0"/>
          <w:color w:val="auto"/>
          <w:sz w:val="32"/>
          <w:szCs w:val="32"/>
        </w:rPr>
        <w:t>八、</w:t>
      </w:r>
      <w:r>
        <w:rPr>
          <w:rFonts w:hint="eastAsia" w:ascii="仿宋_GB2312" w:hAnsi="仿宋_GB2312" w:eastAsia="仿宋_GB2312" w:cs="仿宋_GB2312"/>
          <w:b w:val="0"/>
          <w:color w:val="auto"/>
          <w:sz w:val="32"/>
          <w:szCs w:val="32"/>
        </w:rPr>
        <w:t>一</w:t>
      </w:r>
      <w:r>
        <w:rPr>
          <w:rStyle w:val="19"/>
          <w:rFonts w:hint="eastAsia" w:ascii="仿宋_GB2312" w:hAnsi="仿宋_GB2312" w:eastAsia="仿宋_GB2312" w:cs="仿宋_GB2312"/>
          <w:b w:val="0"/>
          <w:bCs w:val="0"/>
          <w:color w:val="auto"/>
          <w:sz w:val="32"/>
          <w:szCs w:val="32"/>
        </w:rPr>
        <w:t>般公共预算财政拨款基本支出决算表</w:t>
      </w:r>
      <w:bookmarkEnd w:id="124"/>
      <w:bookmarkEnd w:id="125"/>
      <w:bookmarkEnd w:id="126"/>
      <w:bookmarkEnd w:id="127"/>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28" w:name="_Toc18562"/>
      <w:bookmarkStart w:id="129" w:name="_Toc15396627"/>
      <w:bookmarkStart w:id="130" w:name="_Toc19090"/>
      <w:bookmarkStart w:id="131" w:name="_Toc7404"/>
      <w:r>
        <w:rPr>
          <w:rStyle w:val="19"/>
          <w:rFonts w:hint="eastAsia" w:ascii="仿宋_GB2312" w:hAnsi="仿宋_GB2312" w:eastAsia="仿宋_GB2312" w:cs="仿宋_GB2312"/>
          <w:b w:val="0"/>
          <w:bCs w:val="0"/>
          <w:color w:val="auto"/>
          <w:sz w:val="32"/>
          <w:szCs w:val="32"/>
        </w:rPr>
        <w:t>九、</w:t>
      </w:r>
      <w:r>
        <w:rPr>
          <w:rFonts w:hint="eastAsia" w:ascii="仿宋_GB2312" w:hAnsi="仿宋_GB2312" w:eastAsia="仿宋_GB2312" w:cs="仿宋_GB2312"/>
          <w:b w:val="0"/>
          <w:color w:val="auto"/>
          <w:sz w:val="32"/>
          <w:szCs w:val="32"/>
        </w:rPr>
        <w:t>一</w:t>
      </w:r>
      <w:r>
        <w:rPr>
          <w:rStyle w:val="19"/>
          <w:rFonts w:hint="eastAsia" w:ascii="仿宋_GB2312" w:hAnsi="仿宋_GB2312" w:eastAsia="仿宋_GB2312" w:cs="仿宋_GB2312"/>
          <w:b w:val="0"/>
          <w:bCs w:val="0"/>
          <w:color w:val="auto"/>
          <w:sz w:val="32"/>
          <w:szCs w:val="32"/>
        </w:rPr>
        <w:t>般公共预算财政拨款项目支出决算表</w:t>
      </w:r>
      <w:bookmarkEnd w:id="128"/>
      <w:bookmarkEnd w:id="129"/>
      <w:bookmarkEnd w:id="130"/>
      <w:bookmarkEnd w:id="131"/>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32" w:name="_Toc29993"/>
      <w:bookmarkStart w:id="133" w:name="_Toc2832"/>
      <w:bookmarkStart w:id="134" w:name="_Toc15396628"/>
      <w:bookmarkStart w:id="135" w:name="_Toc24135"/>
      <w:r>
        <w:rPr>
          <w:rStyle w:val="19"/>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color w:val="auto"/>
          <w:sz w:val="32"/>
          <w:szCs w:val="32"/>
        </w:rPr>
        <w:t>一</w:t>
      </w:r>
      <w:r>
        <w:rPr>
          <w:rStyle w:val="19"/>
          <w:rFonts w:hint="eastAsia" w:ascii="仿宋_GB2312" w:hAnsi="仿宋_GB2312" w:eastAsia="仿宋_GB2312" w:cs="仿宋_GB2312"/>
          <w:b w:val="0"/>
          <w:bCs w:val="0"/>
          <w:color w:val="auto"/>
          <w:sz w:val="32"/>
          <w:szCs w:val="32"/>
        </w:rPr>
        <w:t>般公共预算财政拨款“三公”经费支出决算表</w:t>
      </w:r>
      <w:bookmarkEnd w:id="132"/>
      <w:bookmarkEnd w:id="133"/>
      <w:bookmarkEnd w:id="134"/>
      <w:bookmarkEnd w:id="135"/>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36" w:name="_Toc31962"/>
      <w:bookmarkStart w:id="137" w:name="_Toc17125"/>
      <w:bookmarkStart w:id="138" w:name="_Toc24326"/>
      <w:bookmarkStart w:id="139" w:name="_Toc15396629"/>
      <w:r>
        <w:rPr>
          <w:rStyle w:val="19"/>
          <w:rFonts w:hint="eastAsia" w:ascii="仿宋_GB2312" w:hAnsi="仿宋_GB2312" w:eastAsia="仿宋_GB2312" w:cs="仿宋_GB2312"/>
          <w:b w:val="0"/>
          <w:bCs w:val="0"/>
          <w:color w:val="auto"/>
          <w:sz w:val="32"/>
          <w:szCs w:val="32"/>
        </w:rPr>
        <w:t>十一、</w:t>
      </w:r>
      <w:r>
        <w:rPr>
          <w:rFonts w:hint="eastAsia" w:ascii="仿宋_GB2312" w:hAnsi="仿宋_GB2312" w:eastAsia="仿宋_GB2312" w:cs="仿宋_GB2312"/>
          <w:b w:val="0"/>
          <w:color w:val="auto"/>
          <w:sz w:val="32"/>
          <w:szCs w:val="32"/>
        </w:rPr>
        <w:t>政</w:t>
      </w:r>
      <w:r>
        <w:rPr>
          <w:rStyle w:val="19"/>
          <w:rFonts w:hint="eastAsia" w:ascii="仿宋_GB2312" w:hAnsi="仿宋_GB2312" w:eastAsia="仿宋_GB2312" w:cs="仿宋_GB2312"/>
          <w:b w:val="0"/>
          <w:bCs w:val="0"/>
          <w:color w:val="auto"/>
          <w:sz w:val="32"/>
          <w:szCs w:val="32"/>
        </w:rPr>
        <w:t>府性基金预算财政拨款收入支出决算表</w:t>
      </w:r>
      <w:bookmarkEnd w:id="136"/>
      <w:bookmarkEnd w:id="137"/>
      <w:bookmarkEnd w:id="138"/>
      <w:bookmarkEnd w:id="139"/>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color w:val="auto"/>
          <w:sz w:val="32"/>
          <w:szCs w:val="32"/>
        </w:rPr>
      </w:pPr>
      <w:bookmarkStart w:id="140" w:name="_Toc1068"/>
      <w:bookmarkStart w:id="141" w:name="_Toc9952"/>
      <w:bookmarkStart w:id="142" w:name="_Toc11114"/>
      <w:bookmarkStart w:id="143" w:name="_Toc15396630"/>
      <w:r>
        <w:rPr>
          <w:rStyle w:val="19"/>
          <w:rFonts w:hint="eastAsia" w:ascii="仿宋_GB2312" w:hAnsi="仿宋_GB2312" w:eastAsia="仿宋_GB2312" w:cs="仿宋_GB2312"/>
          <w:b w:val="0"/>
          <w:bCs w:val="0"/>
          <w:color w:val="auto"/>
          <w:sz w:val="32"/>
          <w:szCs w:val="32"/>
        </w:rPr>
        <w:t>十二、</w:t>
      </w:r>
      <w:r>
        <w:rPr>
          <w:rFonts w:hint="eastAsia" w:ascii="仿宋_GB2312" w:hAnsi="仿宋_GB2312" w:eastAsia="仿宋_GB2312" w:cs="仿宋_GB2312"/>
          <w:b w:val="0"/>
          <w:color w:val="auto"/>
          <w:sz w:val="32"/>
          <w:szCs w:val="32"/>
        </w:rPr>
        <w:t>政</w:t>
      </w:r>
      <w:r>
        <w:rPr>
          <w:rStyle w:val="19"/>
          <w:rFonts w:hint="eastAsia" w:ascii="仿宋_GB2312" w:hAnsi="仿宋_GB2312" w:eastAsia="仿宋_GB2312" w:cs="仿宋_GB2312"/>
          <w:b w:val="0"/>
          <w:bCs w:val="0"/>
          <w:color w:val="auto"/>
          <w:sz w:val="32"/>
          <w:szCs w:val="32"/>
        </w:rPr>
        <w:t>府性基金预算财政拨款“三公”经费支出决算表</w:t>
      </w:r>
      <w:bookmarkEnd w:id="140"/>
      <w:bookmarkEnd w:id="141"/>
      <w:bookmarkEnd w:id="142"/>
      <w:bookmarkEnd w:id="143"/>
    </w:p>
    <w:p>
      <w:pPr>
        <w:pStyle w:val="5"/>
        <w:pageBreakBefore w:val="0"/>
        <w:kinsoku/>
        <w:wordWrap/>
        <w:overflowPunct/>
        <w:topLinePunct w:val="0"/>
        <w:bidi w:val="0"/>
        <w:spacing w:before="0" w:after="0" w:line="520" w:lineRule="exact"/>
        <w:ind w:firstLine="640" w:firstLineChars="200"/>
        <w:rPr>
          <w:rFonts w:hint="eastAsia" w:ascii="仿宋_GB2312" w:hAnsi="仿宋_GB2312" w:eastAsia="仿宋_GB2312" w:cs="仿宋_GB2312"/>
          <w:b w:val="0"/>
          <w:color w:val="auto"/>
          <w:sz w:val="32"/>
          <w:szCs w:val="32"/>
        </w:rPr>
      </w:pPr>
      <w:bookmarkStart w:id="144" w:name="_Toc15396631"/>
      <w:bookmarkStart w:id="145" w:name="_Toc18417"/>
      <w:bookmarkStart w:id="146" w:name="_Toc26484"/>
      <w:bookmarkStart w:id="147" w:name="_Toc17162"/>
      <w:r>
        <w:rPr>
          <w:rStyle w:val="19"/>
          <w:rFonts w:hint="eastAsia" w:ascii="仿宋_GB2312" w:hAnsi="仿宋_GB2312" w:eastAsia="仿宋_GB2312" w:cs="仿宋_GB2312"/>
          <w:b w:val="0"/>
          <w:bCs w:val="0"/>
          <w:color w:val="auto"/>
          <w:sz w:val="32"/>
          <w:szCs w:val="32"/>
        </w:rPr>
        <w:t>十三、</w:t>
      </w:r>
      <w:bookmarkEnd w:id="144"/>
      <w:bookmarkEnd w:id="145"/>
      <w:r>
        <w:rPr>
          <w:rFonts w:hint="eastAsia" w:ascii="仿宋_GB2312" w:hAnsi="仿宋_GB2312" w:eastAsia="仿宋_GB2312" w:cs="仿宋_GB2312"/>
          <w:b w:val="0"/>
          <w:color w:val="auto"/>
          <w:sz w:val="32"/>
          <w:szCs w:val="32"/>
        </w:rPr>
        <w:t>国有资本经营预算财政拨款收入支出决算表</w:t>
      </w:r>
      <w:bookmarkEnd w:id="146"/>
      <w:bookmarkEnd w:id="147"/>
    </w:p>
    <w:p>
      <w:pPr>
        <w:pageBreakBefore w:val="0"/>
        <w:kinsoku/>
        <w:wordWrap/>
        <w:overflowPunct/>
        <w:topLinePunct w:val="0"/>
        <w:bidi w:val="0"/>
        <w:spacing w:line="520" w:lineRule="exact"/>
        <w:ind w:firstLine="640" w:firstLineChars="200"/>
        <w:rPr>
          <w:rStyle w:val="19"/>
          <w:rFonts w:hint="eastAsia" w:ascii="仿宋_GB2312" w:hAnsi="仿宋_GB2312" w:eastAsia="仿宋_GB2312" w:cs="仿宋_GB2312"/>
          <w:b w:val="0"/>
          <w:bCs w:val="0"/>
          <w:color w:val="auto"/>
          <w:kern w:val="2"/>
          <w:sz w:val="32"/>
          <w:szCs w:val="32"/>
          <w:lang w:val="en-US" w:eastAsia="zh-CN" w:bidi="ar-SA"/>
        </w:rPr>
      </w:pPr>
      <w:bookmarkStart w:id="148" w:name="_Toc2988"/>
      <w:bookmarkStart w:id="149" w:name="_Toc9218"/>
      <w:r>
        <w:rPr>
          <w:rStyle w:val="19"/>
          <w:rFonts w:hint="eastAsia" w:ascii="仿宋_GB2312" w:hAnsi="仿宋_GB2312" w:eastAsia="仿宋_GB2312" w:cs="仿宋_GB2312"/>
          <w:b w:val="0"/>
          <w:bCs w:val="0"/>
          <w:color w:val="auto"/>
          <w:kern w:val="2"/>
          <w:sz w:val="32"/>
          <w:szCs w:val="32"/>
          <w:lang w:val="en-US" w:eastAsia="zh-CN" w:bidi="ar-SA"/>
        </w:rPr>
        <w:t>十四、国有资本经营预算财政拨款支出决算表</w:t>
      </w:r>
    </w:p>
    <w:bookmarkEnd w:id="148"/>
    <w:bookmarkEnd w:id="149"/>
    <w:p>
      <w:pPr>
        <w:pageBreakBefore w:val="0"/>
        <w:kinsoku/>
        <w:wordWrap/>
        <w:overflowPunct/>
        <w:topLinePunct w:val="0"/>
        <w:bidi w:val="0"/>
        <w:spacing w:line="520" w:lineRule="exact"/>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center"/>
                          </w:pPr>
                          <w:r>
                            <w:fldChar w:fldCharType="begin"/>
                          </w:r>
                          <w:r>
                            <w:instrText xml:space="preserve">PAGE   \* MERGEFORMAT</w:instrText>
                          </w:r>
                          <w:r>
                            <w:fldChar w:fldCharType="separate"/>
                          </w:r>
                          <w:r>
                            <w:rPr>
                              <w:lang w:val="zh-CN"/>
                            </w:rPr>
                            <w:t>42</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42</w:t>
                    </w:r>
                    <w:r>
                      <w:rPr>
                        <w:lang w:val="zh-CN"/>
                      </w:rP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D5382B5"/>
    <w:multiLevelType w:val="singleLevel"/>
    <w:tmpl w:val="5D5382B5"/>
    <w:lvl w:ilvl="0" w:tentative="0">
      <w:start w:val="1"/>
      <w:numFmt w:val="chineseCounting"/>
      <w:suff w:val="nothing"/>
      <w:lvlText w:val="%1、"/>
      <w:lvlJc w:val="left"/>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MmE1NTM5OTI0MWM2NWZiNjlkYTFmNDI5MGJlNGIifQ=="/>
  </w:docVars>
  <w:rsids>
    <w:rsidRoot w:val="00000000"/>
    <w:rsid w:val="00010C11"/>
    <w:rsid w:val="002235CA"/>
    <w:rsid w:val="009D6218"/>
    <w:rsid w:val="023A3BE4"/>
    <w:rsid w:val="03683A70"/>
    <w:rsid w:val="03BB74EC"/>
    <w:rsid w:val="04920235"/>
    <w:rsid w:val="04B969D1"/>
    <w:rsid w:val="08FF201E"/>
    <w:rsid w:val="09310F40"/>
    <w:rsid w:val="09925BAF"/>
    <w:rsid w:val="0A314614"/>
    <w:rsid w:val="0B2C1993"/>
    <w:rsid w:val="0BA84F92"/>
    <w:rsid w:val="0BDC42B4"/>
    <w:rsid w:val="0CAC4613"/>
    <w:rsid w:val="107C7598"/>
    <w:rsid w:val="108C228F"/>
    <w:rsid w:val="132003EC"/>
    <w:rsid w:val="14266A94"/>
    <w:rsid w:val="148E31E3"/>
    <w:rsid w:val="149F447D"/>
    <w:rsid w:val="14B117F9"/>
    <w:rsid w:val="17C9137B"/>
    <w:rsid w:val="18B5255E"/>
    <w:rsid w:val="199E4703"/>
    <w:rsid w:val="1D6C348C"/>
    <w:rsid w:val="1E652798"/>
    <w:rsid w:val="1ED02286"/>
    <w:rsid w:val="1F72557D"/>
    <w:rsid w:val="1FAD2A59"/>
    <w:rsid w:val="1FB96B88"/>
    <w:rsid w:val="21892883"/>
    <w:rsid w:val="238E494F"/>
    <w:rsid w:val="23D41B1B"/>
    <w:rsid w:val="244362A8"/>
    <w:rsid w:val="252D73CB"/>
    <w:rsid w:val="25E64AF0"/>
    <w:rsid w:val="277C522B"/>
    <w:rsid w:val="284B13BF"/>
    <w:rsid w:val="28604DA2"/>
    <w:rsid w:val="28956209"/>
    <w:rsid w:val="29023E15"/>
    <w:rsid w:val="291D731C"/>
    <w:rsid w:val="2A5F69EF"/>
    <w:rsid w:val="2DA03CEB"/>
    <w:rsid w:val="2E2436C9"/>
    <w:rsid w:val="30AC1A79"/>
    <w:rsid w:val="30CB7EA2"/>
    <w:rsid w:val="311A5A74"/>
    <w:rsid w:val="320F422B"/>
    <w:rsid w:val="32145A1D"/>
    <w:rsid w:val="33A72170"/>
    <w:rsid w:val="345179FF"/>
    <w:rsid w:val="345C0152"/>
    <w:rsid w:val="35050DD3"/>
    <w:rsid w:val="35EF65E1"/>
    <w:rsid w:val="379D7E87"/>
    <w:rsid w:val="38476878"/>
    <w:rsid w:val="39EB42B4"/>
    <w:rsid w:val="3AE80991"/>
    <w:rsid w:val="3BD66C55"/>
    <w:rsid w:val="3C283C3F"/>
    <w:rsid w:val="3D8D1F44"/>
    <w:rsid w:val="3F42234D"/>
    <w:rsid w:val="3FA85D8B"/>
    <w:rsid w:val="4177477A"/>
    <w:rsid w:val="41946B8D"/>
    <w:rsid w:val="42A65B70"/>
    <w:rsid w:val="44B10051"/>
    <w:rsid w:val="461B5134"/>
    <w:rsid w:val="4746348E"/>
    <w:rsid w:val="475C24EB"/>
    <w:rsid w:val="47A75F6D"/>
    <w:rsid w:val="482568B1"/>
    <w:rsid w:val="48B8212E"/>
    <w:rsid w:val="49B652A4"/>
    <w:rsid w:val="4A0B00C3"/>
    <w:rsid w:val="4A0B01F8"/>
    <w:rsid w:val="4AC80F83"/>
    <w:rsid w:val="4AF350C3"/>
    <w:rsid w:val="4B1F03FF"/>
    <w:rsid w:val="4CC823D1"/>
    <w:rsid w:val="4D700028"/>
    <w:rsid w:val="4D8E61E9"/>
    <w:rsid w:val="4DA72294"/>
    <w:rsid w:val="4E6323B1"/>
    <w:rsid w:val="5032737D"/>
    <w:rsid w:val="51096A81"/>
    <w:rsid w:val="528A4184"/>
    <w:rsid w:val="55464EF7"/>
    <w:rsid w:val="55ED1449"/>
    <w:rsid w:val="55F82067"/>
    <w:rsid w:val="57106577"/>
    <w:rsid w:val="57D55747"/>
    <w:rsid w:val="58631791"/>
    <w:rsid w:val="58AA033D"/>
    <w:rsid w:val="594302D2"/>
    <w:rsid w:val="599E2FD1"/>
    <w:rsid w:val="59FD35BA"/>
    <w:rsid w:val="5A2D3159"/>
    <w:rsid w:val="5AAE12BF"/>
    <w:rsid w:val="5B413B13"/>
    <w:rsid w:val="5BE248BC"/>
    <w:rsid w:val="5CC87F31"/>
    <w:rsid w:val="5E7B2B51"/>
    <w:rsid w:val="5EBD5323"/>
    <w:rsid w:val="5F49629E"/>
    <w:rsid w:val="60AE19C2"/>
    <w:rsid w:val="61527177"/>
    <w:rsid w:val="618943CD"/>
    <w:rsid w:val="63075AEF"/>
    <w:rsid w:val="63200B52"/>
    <w:rsid w:val="65557D1B"/>
    <w:rsid w:val="66EB643A"/>
    <w:rsid w:val="67B9286D"/>
    <w:rsid w:val="685A568A"/>
    <w:rsid w:val="68754926"/>
    <w:rsid w:val="69B67D29"/>
    <w:rsid w:val="6A3771F7"/>
    <w:rsid w:val="6AAC1E7F"/>
    <w:rsid w:val="6B221995"/>
    <w:rsid w:val="6E186163"/>
    <w:rsid w:val="6FE9543B"/>
    <w:rsid w:val="7032023F"/>
    <w:rsid w:val="721C23B7"/>
    <w:rsid w:val="7462159B"/>
    <w:rsid w:val="754937FF"/>
    <w:rsid w:val="77910416"/>
    <w:rsid w:val="7A625724"/>
    <w:rsid w:val="7BA2010D"/>
    <w:rsid w:val="7C9C7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 w:cs="Times New Roman"/>
      <w:kern w:val="2"/>
      <w:sz w:val="21"/>
      <w:szCs w:val="24"/>
      <w:lang w:val="en-US" w:eastAsia="zh-CN" w:bidi="ar-SA"/>
    </w:rPr>
  </w:style>
  <w:style w:type="paragraph" w:styleId="4">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2"/>
    <w:qFormat/>
    <w:uiPriority w:val="99"/>
    <w:pPr>
      <w:spacing w:after="120"/>
      <w:ind w:left="420" w:leftChars="200"/>
    </w:pPr>
    <w:rPr>
      <w:szCs w:val="20"/>
    </w:rPr>
  </w:style>
  <w:style w:type="paragraph" w:styleId="6">
    <w:name w:val="Body Text"/>
    <w:basedOn w:val="1"/>
    <w:qFormat/>
    <w:uiPriority w:val="99"/>
    <w:pPr>
      <w:spacing w:beforeLines="30"/>
    </w:pPr>
    <w:rPr>
      <w:rFonts w:ascii="仿宋_GB2312" w:eastAsia="仿宋_GB2312"/>
      <w:kern w:val="0"/>
      <w:sz w:val="24"/>
      <w:szCs w:val="20"/>
    </w:rPr>
  </w:style>
  <w:style w:type="paragraph" w:styleId="7">
    <w:name w:val="Plain Text"/>
    <w:basedOn w:val="1"/>
    <w:unhideWhenUsed/>
    <w:qFormat/>
    <w:uiPriority w:val="99"/>
    <w:rPr>
      <w:rFonts w:ascii="宋体" w:hAnsi="Courier New"/>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rFonts w:cs="Times New Roman"/>
      <w:b/>
    </w:rPr>
  </w:style>
  <w:style w:type="paragraph" w:customStyle="1" w:styleId="16">
    <w:name w:val="正文首行缩进 21"/>
    <w:basedOn w:val="1"/>
    <w:qFormat/>
    <w:uiPriority w:val="0"/>
    <w:pPr>
      <w:spacing w:line="540" w:lineRule="exact"/>
      <w:ind w:firstLine="200" w:firstLineChars="200"/>
      <w:textAlignment w:val="baseline"/>
    </w:pPr>
    <w:rPr>
      <w:kern w:val="0"/>
      <w:szCs w:val="32"/>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Heading 1 Char"/>
    <w:basedOn w:val="14"/>
    <w:link w:val="4"/>
    <w:qFormat/>
    <w:locked/>
    <w:uiPriority w:val="99"/>
    <w:rPr>
      <w:b/>
      <w:bCs/>
      <w:kern w:val="44"/>
      <w:sz w:val="44"/>
      <w:szCs w:val="44"/>
    </w:rPr>
  </w:style>
  <w:style w:type="character" w:customStyle="1" w:styleId="19">
    <w:name w:val="Heading 2 Char"/>
    <w:basedOn w:val="14"/>
    <w:link w:val="5"/>
    <w:qFormat/>
    <w:locked/>
    <w:uiPriority w:val="99"/>
    <w:rPr>
      <w:rFonts w:ascii="Cambria" w:hAnsi="Cambria"/>
      <w:b/>
      <w:bCs/>
      <w:sz w:val="32"/>
      <w:szCs w:val="32"/>
    </w:rPr>
  </w:style>
  <w:style w:type="paragraph" w:styleId="20">
    <w:name w:val="List Paragraph"/>
    <w:basedOn w:val="1"/>
    <w:qFormat/>
    <w:uiPriority w:val="99"/>
    <w:pPr>
      <w:ind w:firstLine="420" w:firstLineChars="200"/>
    </w:pPr>
  </w:style>
  <w:style w:type="paragraph" w:customStyle="1" w:styleId="21">
    <w:name w:val="四号正文"/>
    <w:basedOn w:val="1"/>
    <w:qFormat/>
    <w:uiPriority w:val="99"/>
    <w:pPr>
      <w:spacing w:line="360" w:lineRule="auto"/>
    </w:pPr>
    <w:rPr>
      <w:rFonts w:ascii="??" w:hAnsi="??"/>
      <w:color w:val="000000"/>
      <w:kern w:val="0"/>
      <w:sz w:val="28"/>
      <w:szCs w:val="21"/>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3">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24">
    <w:name w:val="正文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4.bin"/><Relationship Id="rId8" Type="http://schemas.openxmlformats.org/officeDocument/2006/relationships/oleObject" Target="embeddings/oleObject3.bin"/><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chart" Target="charts/chart7.xml"/><Relationship Id="rId23" Type="http://schemas.openxmlformats.org/officeDocument/2006/relationships/oleObject" Target="embeddings/oleObject12.bin"/><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oleObject" Target="embeddings/oleObject11.bin"/><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oleObject" Target="embeddings/oleObject10.bin"/><Relationship Id="rId17" Type="http://schemas.openxmlformats.org/officeDocument/2006/relationships/chart" Target="charts/chart3.xml"/><Relationship Id="rId16" Type="http://schemas.openxmlformats.org/officeDocument/2006/relationships/oleObject" Target="embeddings/oleObject9.bin"/><Relationship Id="rId15" Type="http://schemas.openxmlformats.org/officeDocument/2006/relationships/chart" Target="charts/chart2.xml"/><Relationship Id="rId14" Type="http://schemas.openxmlformats.org/officeDocument/2006/relationships/oleObject" Target="embeddings/oleObject8.bin"/><Relationship Id="rId13" Type="http://schemas.openxmlformats.org/officeDocument/2006/relationships/oleObject" Target="embeddings/oleObject7.bin"/><Relationship Id="rId12" Type="http://schemas.openxmlformats.org/officeDocument/2006/relationships/oleObject" Target="embeddings/oleObject6.bin"/><Relationship Id="rId11" Type="http://schemas.openxmlformats.org/officeDocument/2006/relationships/chart" Target="charts/chart1.xml"/><Relationship Id="rId10" Type="http://schemas.openxmlformats.org/officeDocument/2006/relationships/oleObject" Target="embeddings/oleObject5.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收支变动图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收入（万元）</c:v>
                </c:pt>
                <c:pt idx="1">
                  <c:v>支出（万元）</c:v>
                </c:pt>
              </c:strCache>
            </c:strRef>
          </c:cat>
          <c:val>
            <c:numRef>
              <c:f>Sheet1!$B$2:$B$3</c:f>
              <c:numCache>
                <c:formatCode>General</c:formatCode>
                <c:ptCount val="2"/>
                <c:pt idx="0">
                  <c:v>320.62</c:v>
                </c:pt>
                <c:pt idx="1">
                  <c:v>366.95</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收入（万元）</c:v>
                </c:pt>
                <c:pt idx="1">
                  <c:v>支出（万元）</c:v>
                </c:pt>
              </c:strCache>
            </c:strRef>
          </c:cat>
          <c:val>
            <c:numRef>
              <c:f>Sheet1!$C$2:$C$3</c:f>
              <c:numCache>
                <c:formatCode>General</c:formatCode>
                <c:ptCount val="2"/>
                <c:pt idx="0">
                  <c:v>379.21</c:v>
                </c:pt>
                <c:pt idx="1">
                  <c:v>388.78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收入（万元）</c:v>
                </c:pt>
                <c:pt idx="1">
                  <c:v>支出（万元）</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5229606"/>
        <c:axId val="436689268"/>
      </c:barChart>
      <c:catAx>
        <c:axId val="1352296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689268"/>
        <c:crosses val="autoZero"/>
        <c:auto val="1"/>
        <c:lblAlgn val="ctr"/>
        <c:lblOffset val="100"/>
        <c:noMultiLvlLbl val="0"/>
      </c:catAx>
      <c:valAx>
        <c:axId val="4366892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229606"/>
        <c:crosses val="autoZero"/>
        <c:crossBetween val="between"/>
      </c:valAx>
      <c:spPr>
        <a:noFill/>
        <a:ln>
          <a:noFill/>
        </a:ln>
        <a:effectLst/>
      </c:spPr>
    </c:plotArea>
    <c:legend>
      <c:legendPos val="b"/>
      <c:legendEntry>
        <c:idx val="2"/>
        <c:delete val="1"/>
      </c:legendEntry>
      <c:layout>
        <c:manualLayout>
          <c:xMode val="edge"/>
          <c:yMode val="edge"/>
          <c:x val="0.378762414056532"/>
          <c:y val="0.86035422343324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3813481071099"/>
          <c:y val="0.010145417653026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一般公共预算财政拨款支出</c:v>
                </c:pt>
                <c:pt idx="1">
                  <c:v>社会保障和就业支出</c:v>
                </c:pt>
                <c:pt idx="2">
                  <c:v>卫生健康支出</c:v>
                </c:pt>
                <c:pt idx="3">
                  <c:v>住房保障支出</c:v>
                </c:pt>
              </c:strCache>
            </c:strRef>
          </c:cat>
          <c:val>
            <c:numRef>
              <c:f>Sheet1!$B$2:$B$5</c:f>
              <c:numCache>
                <c:formatCode>General</c:formatCode>
                <c:ptCount val="4"/>
                <c:pt idx="0">
                  <c:v>314.77</c:v>
                </c:pt>
                <c:pt idx="1">
                  <c:v>31.43</c:v>
                </c:pt>
                <c:pt idx="2">
                  <c:v>12.48</c:v>
                </c:pt>
                <c:pt idx="3">
                  <c:v>20.53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324.34</c:v>
                </c:pt>
                <c:pt idx="1">
                  <c:v>31.43</c:v>
                </c:pt>
                <c:pt idx="2">
                  <c:v>12.48</c:v>
                </c:pt>
                <c:pt idx="3">
                  <c:v>20.53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年与</a:t>
            </a:r>
            <a:r>
              <a:rPr lang="en-US" altLang="zh-CN"/>
              <a:t>2020</a:t>
            </a:r>
            <a:r>
              <a:rPr altLang="en-US"/>
              <a:t>年收入支出（万元）</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379.21</c:v>
                </c:pt>
                <c:pt idx="1">
                  <c:v>388.78</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320.62</c:v>
                </c:pt>
                <c:pt idx="1">
                  <c:v>366.95</c:v>
                </c:pt>
              </c:numCache>
            </c:numRef>
          </c:val>
        </c:ser>
        <c:dLbls>
          <c:showLegendKey val="0"/>
          <c:showVal val="0"/>
          <c:showCatName val="0"/>
          <c:showSerName val="0"/>
          <c:showPercent val="0"/>
          <c:showBubbleSize val="0"/>
        </c:dLbls>
        <c:gapWidth val="219"/>
        <c:overlap val="-27"/>
        <c:axId val="236523041"/>
        <c:axId val="354338055"/>
      </c:barChart>
      <c:catAx>
        <c:axId val="2365230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4338055"/>
        <c:crosses val="autoZero"/>
        <c:auto val="1"/>
        <c:lblAlgn val="ctr"/>
        <c:lblOffset val="100"/>
        <c:noMultiLvlLbl val="0"/>
      </c:catAx>
      <c:valAx>
        <c:axId val="354338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5230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一般公共财政拨款支出决算变动图</a:t>
            </a:r>
          </a:p>
        </c:rich>
      </c:tx>
      <c:layout>
        <c:manualLayout>
          <c:xMode val="edge"/>
          <c:yMode val="edge"/>
          <c:x val="0.209875"/>
          <c:y val="0.0615174299384826"/>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一般公共财政拨款支出（万元）</c:v>
                </c:pt>
              </c:strCache>
            </c:strRef>
          </c:cat>
          <c:val>
            <c:numRef>
              <c:f>Sheet1!$B$2</c:f>
              <c:numCache>
                <c:formatCode>General</c:formatCode>
                <c:ptCount val="1"/>
                <c:pt idx="0">
                  <c:v>388.78</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一般公共财政拨款支出（万元）</c:v>
                </c:pt>
              </c:strCache>
            </c:strRef>
          </c:cat>
          <c:val>
            <c:numRef>
              <c:f>Sheet1!$C$2</c:f>
              <c:numCache>
                <c:formatCode>General</c:formatCode>
                <c:ptCount val="1"/>
                <c:pt idx="0">
                  <c:v>366.86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一般公共财政拨款支出（万元）</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94433422"/>
        <c:axId val="516896314"/>
      </c:barChart>
      <c:catAx>
        <c:axId val="8944334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6896314"/>
        <c:crosses val="autoZero"/>
        <c:auto val="1"/>
        <c:lblAlgn val="ctr"/>
        <c:lblOffset val="100"/>
        <c:noMultiLvlLbl val="0"/>
      </c:catAx>
      <c:valAx>
        <c:axId val="5168963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443342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一般公共财政拨款支出结构图</a:t>
            </a:r>
          </a:p>
        </c:rich>
      </c:tx>
      <c:layout/>
      <c:overlay val="0"/>
      <c:spPr>
        <a:noFill/>
        <a:ln>
          <a:noFill/>
        </a:ln>
        <a:effectLst/>
      </c:spPr>
    </c:title>
    <c:autoTitleDeleted val="0"/>
    <c:plotArea>
      <c:layout/>
      <c:pieChart>
        <c:varyColors val="1"/>
        <c:ser>
          <c:idx val="0"/>
          <c:order val="0"/>
          <c:tx>
            <c:strRef>
              <c:f>Sheet1!$B$1</c:f>
              <c:strCache>
                <c:ptCount val="1"/>
                <c:pt idx="0">
                  <c:v>2021年支出结构图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numRef>
              <c:f>Sheet1!$A$2:$A$5</c:f>
              <c:numCache>
                <c:formatCode>General</c:formatCode>
                <c:ptCount val="4"/>
                <c:pt idx="0">
                  <c:v>201</c:v>
                </c:pt>
                <c:pt idx="1">
                  <c:v>208</c:v>
                </c:pt>
                <c:pt idx="2">
                  <c:v>210</c:v>
                </c:pt>
                <c:pt idx="3">
                  <c:v>221</c:v>
                </c:pt>
              </c:numCache>
            </c:numRef>
          </c:cat>
          <c:val>
            <c:numRef>
              <c:f>Sheet1!$B$2:$B$5</c:f>
              <c:numCache>
                <c:formatCode>General</c:formatCode>
                <c:ptCount val="4"/>
                <c:pt idx="0">
                  <c:v>324.34</c:v>
                </c:pt>
                <c:pt idx="1">
                  <c:v>31.43</c:v>
                </c:pt>
                <c:pt idx="2">
                  <c:v>12.48</c:v>
                </c:pt>
                <c:pt idx="3">
                  <c:v>20.53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manualLayout>
          <c:xMode val="edge"/>
          <c:yMode val="edge"/>
          <c:x val="0.247375"/>
          <c:y val="0.0507246376811594"/>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接待费</c:v>
                </c:pt>
              </c:strCache>
            </c:strRef>
          </c:cat>
          <c:val>
            <c:numRef>
              <c:f>Sheet1!$B$2</c:f>
              <c:numCache>
                <c:formatCode>General</c:formatCode>
                <c:ptCount val="1"/>
                <c:pt idx="0">
                  <c:v>0.07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11802</Words>
  <Characters>12904</Characters>
  <Lines>0</Lines>
  <Paragraphs>0</Paragraphs>
  <TotalTime>0</TotalTime>
  <ScaleCrop>false</ScaleCrop>
  <LinksUpToDate>false</LinksUpToDate>
  <CharactersWithSpaces>12980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2023-10-24T08:21:19Z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3B52B08B0D684E808CF4B7E462E4069A</vt:lpwstr>
  </property>
</Properties>
</file>