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outlineLvl w:val="0"/>
        <w:rPr>
          <w:rFonts w:ascii="方正小标宋简体" w:hAnsi="宋体" w:eastAsia="方正小标宋简体"/>
          <w:color w:val="auto"/>
          <w:sz w:val="72"/>
          <w:szCs w:val="72"/>
          <w:highlight w:val="none"/>
        </w:rPr>
      </w:pPr>
      <w:bookmarkStart w:id="0" w:name="_Toc15306267"/>
      <w:bookmarkStart w:id="118" w:name="_GoBack"/>
      <w:bookmarkEnd w:id="118"/>
    </w:p>
    <w:p>
      <w:pPr>
        <w:spacing w:line="600" w:lineRule="exact"/>
        <w:jc w:val="center"/>
        <w:outlineLvl w:val="0"/>
        <w:rPr>
          <w:rFonts w:ascii="方正小标宋简体" w:hAnsi="宋体" w:eastAsia="方正小标宋简体"/>
          <w:color w:val="auto"/>
          <w:sz w:val="72"/>
          <w:szCs w:val="72"/>
          <w:highlight w:val="none"/>
        </w:rPr>
      </w:pPr>
    </w:p>
    <w:p>
      <w:pPr>
        <w:spacing w:line="600" w:lineRule="exact"/>
        <w:jc w:val="center"/>
        <w:outlineLvl w:val="0"/>
        <w:rPr>
          <w:rFonts w:ascii="方正小标宋简体" w:hAnsi="宋体" w:eastAsia="方正小标宋简体"/>
          <w:color w:val="auto"/>
          <w:sz w:val="72"/>
          <w:szCs w:val="72"/>
          <w:highlight w:val="none"/>
        </w:rPr>
      </w:pPr>
    </w:p>
    <w:p>
      <w:pPr>
        <w:spacing w:line="600" w:lineRule="exact"/>
        <w:jc w:val="center"/>
        <w:outlineLvl w:val="0"/>
        <w:rPr>
          <w:rFonts w:ascii="方正小标宋简体" w:hAnsi="宋体" w:eastAsia="方正小标宋简体"/>
          <w:color w:val="auto"/>
          <w:sz w:val="72"/>
          <w:szCs w:val="72"/>
          <w:highlight w:val="none"/>
        </w:rPr>
      </w:pPr>
    </w:p>
    <w:p>
      <w:pPr>
        <w:adjustRightInd w:val="0"/>
        <w:snapToGrid w:val="0"/>
        <w:spacing w:line="360" w:lineRule="auto"/>
        <w:jc w:val="center"/>
        <w:outlineLvl w:val="0"/>
        <w:rPr>
          <w:rFonts w:ascii="方正小标宋简体" w:hAnsi="宋体" w:eastAsia="方正小标宋简体"/>
          <w:color w:val="auto"/>
          <w:sz w:val="72"/>
          <w:szCs w:val="72"/>
          <w:highlight w:val="none"/>
        </w:rPr>
      </w:pPr>
      <w:bookmarkStart w:id="1" w:name="_Toc15377193"/>
      <w:bookmarkStart w:id="2" w:name="_Toc15396597"/>
      <w:bookmarkStart w:id="3" w:name="_Toc15378441"/>
      <w:bookmarkStart w:id="4" w:name="_Toc15377425"/>
      <w:bookmarkStart w:id="5" w:name="_Toc57146351"/>
      <w:bookmarkStart w:id="6" w:name="_Toc15396475"/>
      <w:r>
        <w:rPr>
          <w:rFonts w:hint="eastAsia" w:ascii="黑体" w:hAnsi="黑体" w:eastAsia="黑体"/>
          <w:color w:val="auto"/>
          <w:sz w:val="72"/>
          <w:szCs w:val="72"/>
          <w:highlight w:val="none"/>
          <w:lang w:eastAsia="zh-CN"/>
        </w:rPr>
        <w:t>202</w:t>
      </w:r>
      <w:r>
        <w:rPr>
          <w:rFonts w:hint="eastAsia" w:ascii="黑体" w:hAnsi="黑体" w:eastAsia="黑体"/>
          <w:color w:val="auto"/>
          <w:sz w:val="72"/>
          <w:szCs w:val="72"/>
          <w:highlight w:val="none"/>
          <w:lang w:val="en-US" w:eastAsia="zh-CN"/>
        </w:rPr>
        <w:t>1</w:t>
      </w:r>
      <w:r>
        <w:rPr>
          <w:rFonts w:hint="eastAsia" w:ascii="黑体" w:hAnsi="黑体" w:eastAsia="黑体"/>
          <w:color w:val="auto"/>
          <w:sz w:val="72"/>
          <w:szCs w:val="72"/>
          <w:highlight w:val="none"/>
          <w:lang w:eastAsia="zh-CN"/>
        </w:rPr>
        <w:t>年</w:t>
      </w:r>
      <w:r>
        <w:rPr>
          <w:rFonts w:hint="eastAsia" w:ascii="方正小标宋简体" w:hAnsi="宋体" w:eastAsia="方正小标宋简体"/>
          <w:color w:val="auto"/>
          <w:sz w:val="72"/>
          <w:szCs w:val="72"/>
          <w:highlight w:val="none"/>
        </w:rPr>
        <w:t>度</w:t>
      </w:r>
      <w:bookmarkEnd w:id="1"/>
      <w:bookmarkEnd w:id="2"/>
      <w:bookmarkEnd w:id="3"/>
      <w:bookmarkEnd w:id="4"/>
      <w:bookmarkEnd w:id="5"/>
      <w:bookmarkEnd w:id="6"/>
    </w:p>
    <w:p>
      <w:pPr>
        <w:adjustRightInd w:val="0"/>
        <w:snapToGrid w:val="0"/>
        <w:spacing w:line="360" w:lineRule="auto"/>
        <w:jc w:val="center"/>
        <w:outlineLvl w:val="0"/>
        <w:rPr>
          <w:rFonts w:ascii="方正小标宋简体" w:hAnsi="宋体" w:eastAsia="方正小标宋简体"/>
          <w:color w:val="auto"/>
          <w:sz w:val="72"/>
          <w:szCs w:val="72"/>
          <w:highlight w:val="none"/>
        </w:rPr>
      </w:pPr>
      <w:bookmarkStart w:id="7" w:name="_Toc57146352"/>
      <w:bookmarkStart w:id="8" w:name="_Toc15396476"/>
      <w:bookmarkStart w:id="9" w:name="_Toc15378442"/>
      <w:bookmarkStart w:id="10" w:name="_Toc15396598"/>
      <w:bookmarkStart w:id="11" w:name="_Toc15377426"/>
      <w:bookmarkStart w:id="12" w:name="_Toc15377194"/>
      <w:r>
        <w:rPr>
          <w:rFonts w:hint="eastAsia" w:ascii="方正小标宋简体" w:hAnsi="宋体" w:eastAsia="方正小标宋简体"/>
          <w:color w:val="auto"/>
          <w:sz w:val="72"/>
          <w:szCs w:val="72"/>
          <w:highlight w:val="none"/>
        </w:rPr>
        <w:t>四川省阿坝州红原县</w:t>
      </w:r>
      <w:bookmarkEnd w:id="0"/>
      <w:bookmarkEnd w:id="7"/>
      <w:bookmarkStart w:id="13" w:name="_Toc15306268"/>
    </w:p>
    <w:p>
      <w:pPr>
        <w:adjustRightInd w:val="0"/>
        <w:snapToGrid w:val="0"/>
        <w:spacing w:line="360" w:lineRule="auto"/>
        <w:jc w:val="center"/>
        <w:outlineLvl w:val="0"/>
        <w:rPr>
          <w:rFonts w:hint="eastAsia" w:ascii="方正小标宋简体" w:hAnsi="宋体" w:eastAsia="方正小标宋简体"/>
          <w:color w:val="auto"/>
          <w:sz w:val="72"/>
          <w:szCs w:val="72"/>
          <w:highlight w:val="none"/>
        </w:rPr>
      </w:pPr>
      <w:bookmarkStart w:id="14" w:name="_Toc57146353"/>
      <w:r>
        <w:rPr>
          <w:rFonts w:hint="eastAsia" w:ascii="方正小标宋简体" w:hAnsi="宋体" w:eastAsia="方正小标宋简体"/>
          <w:color w:val="auto"/>
          <w:sz w:val="72"/>
          <w:szCs w:val="72"/>
          <w:highlight w:val="none"/>
        </w:rPr>
        <w:t>邛溪镇部门决算</w:t>
      </w:r>
      <w:bookmarkEnd w:id="8"/>
      <w:bookmarkEnd w:id="9"/>
      <w:bookmarkEnd w:id="10"/>
      <w:bookmarkEnd w:id="11"/>
      <w:bookmarkEnd w:id="12"/>
      <w:bookmarkEnd w:id="13"/>
      <w:bookmarkEnd w:id="14"/>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color w:val="auto"/>
          <w:highlight w:val="none"/>
        </w:rPr>
      </w:pPr>
    </w:p>
    <w:p>
      <w:pPr>
        <w:autoSpaceDE w:val="0"/>
        <w:autoSpaceDN w:val="0"/>
        <w:adjustRightInd w:val="0"/>
        <w:ind w:firstLine="1280" w:firstLineChars="400"/>
        <w:jc w:val="left"/>
        <w:rPr>
          <w:rFonts w:eastAsia="仿宋_GB2312"/>
          <w:color w:val="auto"/>
          <w:sz w:val="32"/>
          <w:szCs w:val="32"/>
          <w:highlight w:val="none"/>
        </w:rPr>
      </w:pPr>
      <w:r>
        <w:rPr>
          <w:rFonts w:hint="eastAsia" w:ascii="仿宋_GB2312" w:hAnsi="Calibri" w:eastAsia="仿宋_GB2312" w:cs="仿宋_GB2312"/>
          <w:color w:val="auto"/>
          <w:sz w:val="32"/>
          <w:szCs w:val="32"/>
          <w:highlight w:val="none"/>
        </w:rPr>
        <w:t>保密审查情况：已审查，内容审定</w:t>
      </w:r>
    </w:p>
    <w:p>
      <w:pPr>
        <w:autoSpaceDE w:val="0"/>
        <w:autoSpaceDN w:val="0"/>
        <w:adjustRightInd w:val="0"/>
        <w:ind w:firstLine="1276"/>
        <w:jc w:val="left"/>
        <w:rPr>
          <w:rFonts w:eastAsia="仿宋_GB2312"/>
          <w:color w:val="auto"/>
          <w:sz w:val="32"/>
          <w:szCs w:val="32"/>
          <w:highlight w:val="none"/>
        </w:rPr>
      </w:pPr>
      <w:r>
        <w:rPr>
          <w:rFonts w:hint="eastAsia" w:ascii="仿宋_GB2312" w:eastAsia="仿宋_GB2312" w:cs="仿宋_GB2312"/>
          <w:color w:val="auto"/>
          <w:sz w:val="32"/>
          <w:szCs w:val="32"/>
          <w:highlight w:val="none"/>
        </w:rPr>
        <w:t>部门主要负责人审签情况：已审签</w:t>
      </w:r>
      <w:r>
        <w:rPr>
          <w:rFonts w:hint="eastAsia" w:ascii="仿宋_GB2312" w:hAnsi="Calibri" w:eastAsia="仿宋_GB2312" w:cs="仿宋_GB2312"/>
          <w:color w:val="auto"/>
          <w:sz w:val="32"/>
          <w:szCs w:val="32"/>
          <w:highlight w:val="none"/>
        </w:rPr>
        <w:t>，同意对外公开</w:t>
      </w:r>
      <w:bookmarkStart w:id="15" w:name="_Toc15396599"/>
      <w:bookmarkStart w:id="16" w:name="_Toc15377196"/>
      <w:r>
        <w:rPr>
          <w:rFonts w:ascii="仿宋" w:hAnsi="仿宋" w:eastAsia="仿宋"/>
          <w:b/>
          <w:color w:val="auto"/>
          <w:sz w:val="24"/>
          <w:highlight w:val="none"/>
        </w:rPr>
        <w:br w:type="page"/>
      </w:r>
    </w:p>
    <w:sdt>
      <w:sdtPr>
        <w:rPr>
          <w:color w:val="auto"/>
          <w:highlight w:val="none"/>
          <w:lang w:val="zh-CN"/>
        </w:rPr>
        <w:id w:val="3615105"/>
        <w:docPartObj>
          <w:docPartGallery w:val="Table of Contents"/>
          <w:docPartUnique/>
        </w:docPartObj>
      </w:sdtPr>
      <w:sdtEndPr>
        <w:rPr>
          <w:color w:val="auto"/>
          <w:highlight w:val="none"/>
          <w:lang w:val="en-US"/>
        </w:rPr>
      </w:sdtEndPr>
      <w:sdtContent>
        <w:p>
          <w:pPr>
            <w:widowControl/>
            <w:jc w:val="center"/>
            <w:rPr>
              <w:rFonts w:ascii="黑体" w:hAnsi="黑体" w:eastAsia="黑体"/>
              <w:color w:val="auto"/>
              <w:sz w:val="48"/>
              <w:szCs w:val="48"/>
              <w:highlight w:val="none"/>
            </w:rPr>
          </w:pPr>
          <w:r>
            <w:rPr>
              <w:rFonts w:hint="eastAsia" w:ascii="黑体" w:hAnsi="黑体" w:eastAsia="黑体"/>
              <w:color w:val="auto"/>
              <w:sz w:val="48"/>
              <w:szCs w:val="48"/>
              <w:highlight w:val="none"/>
            </w:rPr>
            <w:t>目录</w:t>
          </w:r>
        </w:p>
        <w:p>
          <w:pPr>
            <w:pStyle w:val="32"/>
            <w:jc w:val="center"/>
            <w:rPr>
              <w:rFonts w:hint="eastAsia"/>
              <w:color w:val="auto"/>
              <w:highlight w:val="none"/>
              <w:lang w:val="zh-CN"/>
            </w:rPr>
          </w:pPr>
          <w:r>
            <w:rPr>
              <w:rFonts w:hint="eastAsia"/>
              <w:color w:val="auto"/>
              <w:highlight w:val="none"/>
            </w:rPr>
            <w:t>公开时间：202</w:t>
          </w:r>
          <w:r>
            <w:rPr>
              <w:rFonts w:hint="eastAsia"/>
              <w:color w:val="auto"/>
              <w:highlight w:val="none"/>
              <w:lang w:val="en-US" w:eastAsia="zh-CN"/>
            </w:rPr>
            <w:t>2</w:t>
          </w:r>
          <w:r>
            <w:rPr>
              <w:rFonts w:hint="eastAsia"/>
              <w:color w:val="auto"/>
              <w:highlight w:val="none"/>
            </w:rPr>
            <w:t>年</w:t>
          </w:r>
          <w:r>
            <w:rPr>
              <w:rFonts w:hint="eastAsia"/>
              <w:color w:val="auto"/>
              <w:highlight w:val="none"/>
              <w:lang w:val="en-US" w:eastAsia="zh-CN"/>
            </w:rPr>
            <w:t>12</w:t>
          </w:r>
          <w:r>
            <w:rPr>
              <w:rFonts w:hint="eastAsia"/>
              <w:color w:val="auto"/>
              <w:highlight w:val="none"/>
            </w:rPr>
            <w:t>月</w:t>
          </w:r>
          <w:r>
            <w:rPr>
              <w:rFonts w:hint="eastAsia"/>
              <w:color w:val="auto"/>
              <w:highlight w:val="none"/>
              <w:lang w:val="en-US" w:eastAsia="zh-CN"/>
            </w:rPr>
            <w:t>15</w:t>
          </w:r>
          <w:r>
            <w:rPr>
              <w:rFonts w:hint="eastAsia"/>
              <w:color w:val="auto"/>
              <w:highlight w:val="none"/>
            </w:rPr>
            <w:t>日</w:t>
          </w:r>
        </w:p>
        <w:p>
          <w:pPr>
            <w:pStyle w:val="32"/>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"_Toc57146354" </w:instrText>
          </w:r>
          <w:r>
            <w:rPr>
              <w:color w:val="auto"/>
              <w:highlight w:val="none"/>
            </w:rPr>
            <w:fldChar w:fldCharType="separate"/>
          </w:r>
          <w:r>
            <w:rPr>
              <w:rStyle w:val="17"/>
              <w:rFonts w:hint="eastAsia" w:ascii="黑体" w:hAnsi="黑体" w:eastAsia="黑体"/>
              <w:color w:val="auto"/>
              <w:highlight w:val="none"/>
            </w:rPr>
            <w:t>第一部分</w:t>
          </w:r>
          <w:r>
            <w:rPr>
              <w:rStyle w:val="17"/>
              <w:rFonts w:ascii="黑体" w:hAnsi="黑体" w:eastAsia="黑体"/>
              <w:color w:val="auto"/>
              <w:highlight w:val="none"/>
            </w:rPr>
            <w:t xml:space="preserve"> </w:t>
          </w:r>
          <w:r>
            <w:rPr>
              <w:rStyle w:val="17"/>
              <w:rFonts w:hint="eastAsia" w:ascii="黑体" w:hAnsi="黑体" w:eastAsia="黑体"/>
              <w:color w:val="auto"/>
              <w:highlight w:val="none"/>
            </w:rPr>
            <w:t>部门概况</w:t>
          </w:r>
          <w:r>
            <w:rPr>
              <w:color w:val="auto"/>
              <w:highlight w:val="none"/>
            </w:rPr>
            <w:tab/>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"_Toc57146355" </w:instrText>
          </w:r>
          <w:r>
            <w:rPr>
              <w:color w:val="auto"/>
              <w:highlight w:val="none"/>
            </w:rPr>
            <w:fldChar w:fldCharType="separate"/>
          </w:r>
          <w:r>
            <w:rPr>
              <w:rStyle w:val="17"/>
              <w:rFonts w:hint="eastAsia" w:ascii="黑体" w:hAnsi="黑体" w:eastAsia="黑体"/>
              <w:color w:val="auto"/>
              <w:highlight w:val="none"/>
            </w:rPr>
            <w:t>一、基本职能及主要工作</w:t>
          </w:r>
          <w:r>
            <w:rPr>
              <w:color w:val="auto"/>
              <w:highlight w:val="none"/>
            </w:rPr>
            <w:tab/>
          </w:r>
          <w:r>
            <w:rPr>
              <w:color w:val="auto"/>
              <w:highlight w:val="none"/>
            </w:rPr>
            <w:fldChar w:fldCharType="begin"/>
          </w:r>
          <w:r>
            <w:rPr>
              <w:color w:val="auto"/>
              <w:highlight w:val="none"/>
            </w:rPr>
            <w:instrText xml:space="preserve"> PAGEREF _Toc57146355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"_Toc57146359" </w:instrText>
          </w:r>
          <w:r>
            <w:rPr>
              <w:color w:val="auto"/>
              <w:highlight w:val="none"/>
            </w:rPr>
            <w:fldChar w:fldCharType="separate"/>
          </w:r>
          <w:r>
            <w:rPr>
              <w:rStyle w:val="17"/>
              <w:rFonts w:hint="eastAsia" w:ascii="黑体" w:eastAsia="黑体"/>
              <w:color w:val="auto"/>
              <w:highlight w:val="none"/>
            </w:rPr>
            <w:t>二、</w:t>
          </w:r>
          <w:r>
            <w:rPr>
              <w:rStyle w:val="17"/>
              <w:rFonts w:hint="eastAsia" w:ascii="黑体" w:hAnsi="黑体" w:eastAsia="黑体"/>
              <w:color w:val="auto"/>
              <w:highlight w:val="none"/>
            </w:rPr>
            <w:t>机构设置</w:t>
          </w:r>
          <w:r>
            <w:rPr>
              <w:color w:val="auto"/>
              <w:highlight w:val="none"/>
            </w:rPr>
            <w:tab/>
          </w:r>
          <w:r>
            <w:rPr>
              <w:rFonts w:hint="eastAsia"/>
              <w:color w:val="auto"/>
              <w:highlight w:val="none"/>
              <w:lang w:val="en-US" w:eastAsia="zh-CN"/>
            </w:rPr>
            <w:t>8</w:t>
          </w:r>
          <w:r>
            <w:rPr>
              <w:color w:val="auto"/>
              <w:highlight w:val="none"/>
            </w:rPr>
            <w:fldChar w:fldCharType="end"/>
          </w:r>
        </w:p>
        <w:p>
          <w:pPr>
            <w:pStyle w:val="11"/>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"_Toc57146360" </w:instrText>
          </w:r>
          <w:r>
            <w:rPr>
              <w:color w:val="auto"/>
              <w:highlight w:val="none"/>
            </w:rPr>
            <w:fldChar w:fldCharType="separate"/>
          </w:r>
          <w:r>
            <w:rPr>
              <w:rStyle w:val="17"/>
              <w:rFonts w:hint="eastAsia" w:ascii="黑体" w:hAnsi="黑体" w:eastAsia="黑体"/>
              <w:color w:val="auto"/>
              <w:highlight w:val="none"/>
            </w:rPr>
            <w:t>第二部分</w:t>
          </w:r>
          <w:r>
            <w:rPr>
              <w:rStyle w:val="17"/>
              <w:rFonts w:ascii="黑体" w:hAnsi="黑体" w:eastAsia="黑体"/>
              <w:color w:val="auto"/>
              <w:highlight w:val="none"/>
            </w:rPr>
            <w:t xml:space="preserve"> </w:t>
          </w:r>
          <w:r>
            <w:rPr>
              <w:rStyle w:val="17"/>
              <w:rFonts w:hint="eastAsia" w:ascii="黑体" w:hAnsi="黑体" w:eastAsia="黑体"/>
              <w:color w:val="auto"/>
              <w:highlight w:val="none"/>
              <w:lang w:eastAsia="zh-CN"/>
            </w:rPr>
            <w:t>202</w:t>
          </w:r>
          <w:r>
            <w:rPr>
              <w:rStyle w:val="17"/>
              <w:rFonts w:hint="eastAsia" w:ascii="黑体" w:hAnsi="黑体" w:eastAsia="黑体"/>
              <w:color w:val="auto"/>
              <w:highlight w:val="none"/>
              <w:lang w:val="en-US" w:eastAsia="zh-CN"/>
            </w:rPr>
            <w:t>1</w:t>
          </w:r>
          <w:r>
            <w:rPr>
              <w:rStyle w:val="17"/>
              <w:rFonts w:hint="eastAsia" w:ascii="黑体" w:hAnsi="黑体" w:eastAsia="黑体"/>
              <w:color w:val="auto"/>
              <w:highlight w:val="none"/>
              <w:lang w:eastAsia="zh-CN"/>
            </w:rPr>
            <w:t>年</w:t>
          </w:r>
          <w:r>
            <w:rPr>
              <w:rStyle w:val="17"/>
              <w:rFonts w:hint="eastAsia" w:ascii="黑体" w:hAnsi="黑体" w:eastAsia="黑体"/>
              <w:color w:val="auto"/>
              <w:highlight w:val="none"/>
            </w:rPr>
            <w:t>度部门决算情况说明</w:t>
          </w:r>
          <w:r>
            <w:rPr>
              <w:color w:val="auto"/>
              <w:highlight w:val="none"/>
            </w:rPr>
            <w:tab/>
          </w:r>
          <w:r>
            <w:rPr>
              <w:color w:val="auto"/>
              <w:highlight w:val="none"/>
            </w:rPr>
            <w:fldChar w:fldCharType="begin"/>
          </w:r>
          <w:r>
            <w:rPr>
              <w:color w:val="auto"/>
              <w:highlight w:val="none"/>
            </w:rPr>
            <w:instrText xml:space="preserve"> PAGEREF _Toc57146360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12"/>
            <w:tabs>
              <w:tab w:val="left" w:pos="1260"/>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"_Toc57146361" </w:instrText>
          </w:r>
          <w:r>
            <w:rPr>
              <w:color w:val="auto"/>
              <w:highlight w:val="none"/>
            </w:rPr>
            <w:fldChar w:fldCharType="separate"/>
          </w:r>
          <w:r>
            <w:rPr>
              <w:rStyle w:val="17"/>
              <w:rFonts w:hint="eastAsia" w:ascii="黑体" w:hAnsi="黑体" w:eastAsia="黑体" w:cstheme="majorBidi"/>
              <w:bCs/>
              <w:color w:val="auto"/>
              <w:highlight w:val="none"/>
            </w:rPr>
            <w:t>一、</w:t>
          </w:r>
          <w:r>
            <w:rPr>
              <w:rFonts w:asciiTheme="minorHAnsi" w:hAnsiTheme="minorHAnsi" w:eastAsiaTheme="minorEastAsia" w:cstheme="minorBidi"/>
              <w:color w:val="auto"/>
              <w:szCs w:val="22"/>
              <w:highlight w:val="none"/>
            </w:rPr>
            <w:tab/>
          </w:r>
          <w:r>
            <w:rPr>
              <w:rStyle w:val="17"/>
              <w:rFonts w:hint="eastAsia" w:ascii="黑体" w:hAnsi="黑体" w:eastAsia="黑体"/>
              <w:color w:val="auto"/>
              <w:highlight w:val="none"/>
            </w:rPr>
            <w:t>收</w:t>
          </w:r>
          <w:r>
            <w:rPr>
              <w:rStyle w:val="17"/>
              <w:rFonts w:hint="eastAsia" w:ascii="黑体" w:hAnsi="黑体" w:eastAsia="黑体" w:cstheme="majorBidi"/>
              <w:bCs/>
              <w:color w:val="auto"/>
              <w:highlight w:val="none"/>
            </w:rPr>
            <w:t>入支出决算总体情况说明</w:t>
          </w:r>
          <w:r>
            <w:rPr>
              <w:color w:val="auto"/>
              <w:highlight w:val="none"/>
            </w:rPr>
            <w:tab/>
          </w:r>
          <w:r>
            <w:rPr>
              <w:color w:val="auto"/>
              <w:highlight w:val="none"/>
            </w:rPr>
            <w:fldChar w:fldCharType="begin"/>
          </w:r>
          <w:r>
            <w:rPr>
              <w:color w:val="auto"/>
              <w:highlight w:val="none"/>
            </w:rPr>
            <w:instrText xml:space="preserve"> PAGEREF _Toc57146361 \h </w:instrText>
          </w:r>
          <w:r>
            <w:rPr>
              <w:color w:val="auto"/>
              <w:highlight w:val="none"/>
            </w:rPr>
            <w:fldChar w:fldCharType="separate"/>
          </w:r>
          <w:r>
            <w:rPr>
              <w:color w:val="auto"/>
              <w:highlight w:val="none"/>
            </w:rPr>
            <w:t>8</w:t>
          </w:r>
          <w:r>
            <w:rPr>
              <w:color w:val="auto"/>
              <w:highlight w:val="none"/>
            </w:rPr>
            <w:fldChar w:fldCharType="end"/>
          </w:r>
          <w:r>
            <w:rPr>
              <w:color w:val="auto"/>
              <w:highlight w:val="none"/>
            </w:rPr>
            <w:fldChar w:fldCharType="end"/>
          </w:r>
        </w:p>
        <w:p>
          <w:pPr>
            <w:pStyle w:val="12"/>
            <w:tabs>
              <w:tab w:val="left" w:pos="1260"/>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"_Toc57146362" </w:instrText>
          </w:r>
          <w:r>
            <w:rPr>
              <w:color w:val="auto"/>
              <w:highlight w:val="none"/>
            </w:rPr>
            <w:fldChar w:fldCharType="separate"/>
          </w:r>
          <w:r>
            <w:rPr>
              <w:rStyle w:val="17"/>
              <w:rFonts w:hint="eastAsia" w:ascii="黑体" w:hAnsi="黑体" w:eastAsia="黑体" w:cstheme="majorBidi"/>
              <w:bCs/>
              <w:color w:val="auto"/>
              <w:highlight w:val="none"/>
            </w:rPr>
            <w:t>二、</w:t>
          </w:r>
          <w:r>
            <w:rPr>
              <w:rFonts w:asciiTheme="minorHAnsi" w:hAnsiTheme="minorHAnsi" w:eastAsiaTheme="minorEastAsia" w:cstheme="minorBidi"/>
              <w:color w:val="auto"/>
              <w:szCs w:val="22"/>
              <w:highlight w:val="none"/>
            </w:rPr>
            <w:tab/>
          </w:r>
          <w:r>
            <w:rPr>
              <w:rStyle w:val="17"/>
              <w:rFonts w:hint="eastAsia" w:ascii="黑体" w:hAnsi="黑体" w:eastAsia="黑体"/>
              <w:color w:val="auto"/>
              <w:highlight w:val="none"/>
            </w:rPr>
            <w:t>收</w:t>
          </w:r>
          <w:r>
            <w:rPr>
              <w:rStyle w:val="17"/>
              <w:rFonts w:hint="eastAsia" w:ascii="黑体" w:hAnsi="黑体" w:eastAsia="黑体" w:cstheme="majorBidi"/>
              <w:bCs/>
              <w:color w:val="auto"/>
              <w:highlight w:val="none"/>
            </w:rPr>
            <w:t>入决算情况说明</w:t>
          </w:r>
          <w:r>
            <w:rPr>
              <w:color w:val="auto"/>
              <w:highlight w:val="none"/>
            </w:rPr>
            <w:tab/>
          </w:r>
          <w:r>
            <w:rPr>
              <w:color w:val="auto"/>
              <w:highlight w:val="none"/>
            </w:rPr>
            <w:fldChar w:fldCharType="begin"/>
          </w:r>
          <w:r>
            <w:rPr>
              <w:color w:val="auto"/>
              <w:highlight w:val="none"/>
            </w:rPr>
            <w:instrText xml:space="preserve"> PAGEREF _Toc57146362 \h </w:instrText>
          </w:r>
          <w:r>
            <w:rPr>
              <w:color w:val="auto"/>
              <w:highlight w:val="none"/>
            </w:rPr>
            <w:fldChar w:fldCharType="separate"/>
          </w:r>
          <w:r>
            <w:rPr>
              <w:color w:val="auto"/>
              <w:highlight w:val="none"/>
            </w:rPr>
            <w:t>9</w:t>
          </w:r>
          <w:r>
            <w:rPr>
              <w:color w:val="auto"/>
              <w:highlight w:val="none"/>
            </w:rPr>
            <w:fldChar w:fldCharType="end"/>
          </w:r>
          <w:r>
            <w:rPr>
              <w:color w:val="auto"/>
              <w:highlight w:val="none"/>
            </w:rPr>
            <w:fldChar w:fldCharType="end"/>
          </w:r>
        </w:p>
        <w:p>
          <w:pPr>
            <w:pStyle w:val="12"/>
            <w:tabs>
              <w:tab w:val="left" w:pos="1260"/>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"_Toc57146363" </w:instrText>
          </w:r>
          <w:r>
            <w:rPr>
              <w:color w:val="auto"/>
              <w:highlight w:val="none"/>
            </w:rPr>
            <w:fldChar w:fldCharType="separate"/>
          </w:r>
          <w:r>
            <w:rPr>
              <w:rStyle w:val="17"/>
              <w:rFonts w:hint="eastAsia" w:ascii="黑体" w:hAnsi="黑体" w:eastAsia="黑体" w:cstheme="majorBidi"/>
              <w:bCs/>
              <w:color w:val="auto"/>
              <w:highlight w:val="none"/>
            </w:rPr>
            <w:t>三、</w:t>
          </w:r>
          <w:r>
            <w:rPr>
              <w:rFonts w:asciiTheme="minorHAnsi" w:hAnsiTheme="minorHAnsi" w:eastAsiaTheme="minorEastAsia" w:cstheme="minorBidi"/>
              <w:color w:val="auto"/>
              <w:szCs w:val="22"/>
              <w:highlight w:val="none"/>
            </w:rPr>
            <w:tab/>
          </w:r>
          <w:r>
            <w:rPr>
              <w:rStyle w:val="17"/>
              <w:rFonts w:hint="eastAsia" w:ascii="黑体" w:hAnsi="黑体" w:eastAsia="黑体"/>
              <w:color w:val="auto"/>
              <w:highlight w:val="none"/>
            </w:rPr>
            <w:t>支</w:t>
          </w:r>
          <w:r>
            <w:rPr>
              <w:rStyle w:val="17"/>
              <w:rFonts w:hint="eastAsia" w:ascii="黑体" w:hAnsi="黑体" w:eastAsia="黑体" w:cstheme="majorBidi"/>
              <w:bCs/>
              <w:color w:val="auto"/>
              <w:highlight w:val="none"/>
            </w:rPr>
            <w:t>出决算情况说明</w:t>
          </w:r>
          <w:r>
            <w:rPr>
              <w:color w:val="auto"/>
              <w:highlight w:val="none"/>
            </w:rPr>
            <w:tab/>
          </w:r>
          <w:r>
            <w:rPr>
              <w:rFonts w:hint="eastAsia"/>
              <w:color w:val="auto"/>
              <w:highlight w:val="none"/>
              <w:lang w:val="en-US" w:eastAsia="zh-CN"/>
            </w:rPr>
            <w:t>9</w:t>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"_Toc57146364" </w:instrText>
          </w:r>
          <w:r>
            <w:rPr>
              <w:color w:val="auto"/>
              <w:highlight w:val="none"/>
            </w:rPr>
            <w:fldChar w:fldCharType="separate"/>
          </w:r>
          <w:r>
            <w:rPr>
              <w:rStyle w:val="17"/>
              <w:rFonts w:hint="eastAsia" w:ascii="黑体" w:hAnsi="黑体" w:eastAsia="黑体"/>
              <w:color w:val="auto"/>
              <w:highlight w:val="none"/>
            </w:rPr>
            <w:t>四、财</w:t>
          </w:r>
          <w:r>
            <w:rPr>
              <w:rStyle w:val="17"/>
              <w:rFonts w:hint="eastAsia" w:ascii="黑体" w:hAnsi="黑体" w:eastAsia="黑体" w:cstheme="majorBidi"/>
              <w:bCs/>
              <w:color w:val="auto"/>
              <w:highlight w:val="none"/>
            </w:rPr>
            <w:t>政拨款收入支出决算总体情况说明</w:t>
          </w:r>
          <w:r>
            <w:rPr>
              <w:color w:val="auto"/>
              <w:highlight w:val="none"/>
            </w:rPr>
            <w:tab/>
          </w:r>
          <w:r>
            <w:rPr>
              <w:color w:val="auto"/>
              <w:highlight w:val="none"/>
            </w:rPr>
            <w:fldChar w:fldCharType="begin"/>
          </w:r>
          <w:r>
            <w:rPr>
              <w:color w:val="auto"/>
              <w:highlight w:val="none"/>
            </w:rPr>
            <w:instrText xml:space="preserve"> PAGEREF _Toc57146364 \h </w:instrText>
          </w:r>
          <w:r>
            <w:rPr>
              <w:color w:val="auto"/>
              <w:highlight w:val="none"/>
            </w:rPr>
            <w:fldChar w:fldCharType="separate"/>
          </w:r>
          <w:r>
            <w:rPr>
              <w:color w:val="auto"/>
              <w:highlight w:val="none"/>
            </w:rPr>
            <w:t>10</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"_Toc57146365" </w:instrText>
          </w:r>
          <w:r>
            <w:rPr>
              <w:color w:val="auto"/>
              <w:highlight w:val="none"/>
            </w:rPr>
            <w:fldChar w:fldCharType="separate"/>
          </w:r>
          <w:r>
            <w:rPr>
              <w:rStyle w:val="17"/>
              <w:rFonts w:hint="eastAsia" w:ascii="黑体" w:hAnsi="黑体" w:eastAsia="黑体"/>
              <w:color w:val="auto"/>
              <w:highlight w:val="none"/>
            </w:rPr>
            <w:t>五、</w:t>
          </w:r>
          <w:r>
            <w:rPr>
              <w:rStyle w:val="17"/>
              <w:rFonts w:hint="eastAsia" w:ascii="黑体" w:hAnsi="黑体" w:eastAsia="黑体"/>
              <w:b/>
              <w:color w:val="auto"/>
              <w:highlight w:val="none"/>
            </w:rPr>
            <w:t>一</w:t>
          </w:r>
          <w:r>
            <w:rPr>
              <w:rStyle w:val="17"/>
              <w:rFonts w:hint="eastAsia" w:ascii="黑体" w:hAnsi="黑体" w:eastAsia="黑体" w:cstheme="majorBidi"/>
              <w:bCs/>
              <w:color w:val="auto"/>
              <w:highlight w:val="none"/>
            </w:rPr>
            <w:t>般公共预算财政拨款支出决算情况说明</w:t>
          </w:r>
          <w:r>
            <w:rPr>
              <w:color w:val="auto"/>
              <w:highlight w:val="none"/>
            </w:rPr>
            <w:tab/>
          </w:r>
          <w:r>
            <w:rPr>
              <w:color w:val="auto"/>
              <w:highlight w:val="none"/>
            </w:rPr>
            <w:fldChar w:fldCharType="begin"/>
          </w:r>
          <w:r>
            <w:rPr>
              <w:color w:val="auto"/>
              <w:highlight w:val="none"/>
            </w:rPr>
            <w:instrText xml:space="preserve"> PAGEREF _Toc57146365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"_Toc57146370" </w:instrText>
          </w:r>
          <w:r>
            <w:rPr>
              <w:color w:val="auto"/>
              <w:highlight w:val="none"/>
            </w:rPr>
            <w:fldChar w:fldCharType="separate"/>
          </w:r>
          <w:r>
            <w:rPr>
              <w:rStyle w:val="17"/>
              <w:rFonts w:hint="eastAsia" w:ascii="黑体" w:eastAsia="黑体"/>
              <w:color w:val="auto"/>
              <w:highlight w:val="none"/>
            </w:rPr>
            <w:t>六</w:t>
          </w:r>
          <w:r>
            <w:rPr>
              <w:rStyle w:val="17"/>
              <w:rFonts w:hint="eastAsia" w:ascii="黑体" w:eastAsia="黑体"/>
              <w:b/>
              <w:color w:val="auto"/>
              <w:highlight w:val="none"/>
            </w:rPr>
            <w:t>、</w:t>
          </w:r>
          <w:r>
            <w:rPr>
              <w:rStyle w:val="17"/>
              <w:rFonts w:hint="eastAsia" w:ascii="黑体" w:hAnsi="黑体" w:eastAsia="黑体"/>
              <w:b/>
              <w:color w:val="auto"/>
              <w:highlight w:val="none"/>
            </w:rPr>
            <w:t>一</w:t>
          </w:r>
          <w:r>
            <w:rPr>
              <w:rStyle w:val="17"/>
              <w:rFonts w:hint="eastAsia" w:ascii="黑体" w:hAnsi="黑体" w:eastAsia="黑体" w:cstheme="majorBidi"/>
              <w:bCs/>
              <w:color w:val="auto"/>
              <w:highlight w:val="none"/>
            </w:rPr>
            <w:t>般公共预算财政拨款基本支出决算情况说明</w:t>
          </w:r>
          <w:r>
            <w:rPr>
              <w:color w:val="auto"/>
              <w:highlight w:val="none"/>
            </w:rPr>
            <w:tab/>
          </w:r>
          <w:r>
            <w:rPr>
              <w:color w:val="auto"/>
              <w:highlight w:val="none"/>
            </w:rPr>
            <w:fldChar w:fldCharType="begin"/>
          </w:r>
          <w:r>
            <w:rPr>
              <w:color w:val="auto"/>
              <w:highlight w:val="none"/>
            </w:rPr>
            <w:instrText xml:space="preserve"> PAGEREF _Toc57146370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"_Toc57146371" </w:instrText>
          </w:r>
          <w:r>
            <w:rPr>
              <w:color w:val="auto"/>
              <w:highlight w:val="none"/>
            </w:rPr>
            <w:fldChar w:fldCharType="separate"/>
          </w:r>
          <w:r>
            <w:rPr>
              <w:rStyle w:val="17"/>
              <w:rFonts w:hint="eastAsia" w:ascii="黑体" w:eastAsia="黑体"/>
              <w:color w:val="auto"/>
              <w:highlight w:val="none"/>
            </w:rPr>
            <w:t>七、</w:t>
          </w:r>
          <w:r>
            <w:rPr>
              <w:rStyle w:val="17"/>
              <w:rFonts w:ascii="黑体" w:hAnsi="黑体" w:eastAsia="黑体" w:cstheme="majorBidi"/>
              <w:b/>
              <w:bCs/>
              <w:color w:val="auto"/>
              <w:highlight w:val="none"/>
            </w:rPr>
            <w:t>“</w:t>
          </w:r>
          <w:r>
            <w:rPr>
              <w:rStyle w:val="17"/>
              <w:rFonts w:hint="eastAsia" w:ascii="黑体" w:hAnsi="黑体" w:eastAsia="黑体" w:cstheme="majorBidi"/>
              <w:bCs/>
              <w:color w:val="auto"/>
              <w:highlight w:val="none"/>
            </w:rPr>
            <w:t>三公”经费财政拨款支出决算情况说明</w:t>
          </w:r>
          <w:r>
            <w:rPr>
              <w:color w:val="auto"/>
              <w:highlight w:val="none"/>
            </w:rPr>
            <w:tab/>
          </w:r>
          <w:r>
            <w:rPr>
              <w:color w:val="auto"/>
              <w:highlight w:val="none"/>
            </w:rPr>
            <w:fldChar w:fldCharType="begin"/>
          </w:r>
          <w:r>
            <w:rPr>
              <w:color w:val="auto"/>
              <w:highlight w:val="none"/>
            </w:rPr>
            <w:instrText xml:space="preserve"> PAGEREF _Toc57146371 \h </w:instrText>
          </w:r>
          <w:r>
            <w:rPr>
              <w:color w:val="auto"/>
              <w:highlight w:val="none"/>
            </w:rPr>
            <w:fldChar w:fldCharType="separate"/>
          </w:r>
          <w:r>
            <w:rPr>
              <w:color w:val="auto"/>
              <w:highlight w:val="none"/>
            </w:rPr>
            <w:t>14</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"_Toc57146374" </w:instrText>
          </w:r>
          <w:r>
            <w:rPr>
              <w:color w:val="auto"/>
              <w:highlight w:val="none"/>
            </w:rPr>
            <w:fldChar w:fldCharType="separate"/>
          </w:r>
          <w:r>
            <w:rPr>
              <w:rStyle w:val="17"/>
              <w:rFonts w:hint="eastAsia" w:ascii="黑体" w:eastAsia="黑体"/>
              <w:color w:val="auto"/>
              <w:highlight w:val="none"/>
            </w:rPr>
            <w:t>八、</w:t>
          </w:r>
          <w:r>
            <w:rPr>
              <w:rStyle w:val="17"/>
              <w:rFonts w:hint="eastAsia" w:ascii="黑体" w:hAnsi="黑体" w:eastAsia="黑体" w:cstheme="majorBidi"/>
              <w:bCs/>
              <w:color w:val="auto"/>
              <w:highlight w:val="none"/>
            </w:rPr>
            <w:t>政府性基金预算支出决算情况说明</w:t>
          </w:r>
          <w:r>
            <w:rPr>
              <w:color w:val="auto"/>
              <w:highlight w:val="none"/>
            </w:rPr>
            <w:tab/>
          </w:r>
          <w:r>
            <w:rPr>
              <w:color w:val="auto"/>
              <w:highlight w:val="none"/>
            </w:rPr>
            <w:fldChar w:fldCharType="begin"/>
          </w:r>
          <w:r>
            <w:rPr>
              <w:color w:val="auto"/>
              <w:highlight w:val="none"/>
            </w:rPr>
            <w:instrText xml:space="preserve"> PAGEREF _Toc57146374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"_Toc57146375" </w:instrText>
          </w:r>
          <w:r>
            <w:rPr>
              <w:color w:val="auto"/>
              <w:highlight w:val="none"/>
            </w:rPr>
            <w:fldChar w:fldCharType="separate"/>
          </w:r>
          <w:r>
            <w:rPr>
              <w:rStyle w:val="17"/>
              <w:rFonts w:hint="eastAsia" w:ascii="黑体" w:hAnsi="黑体" w:eastAsia="黑体" w:cstheme="majorBidi"/>
              <w:bCs/>
              <w:color w:val="auto"/>
              <w:highlight w:val="none"/>
            </w:rPr>
            <w:t>九、 国有资本经营预算支出决算情况说明</w:t>
          </w:r>
          <w:r>
            <w:rPr>
              <w:color w:val="auto"/>
              <w:highlight w:val="none"/>
            </w:rPr>
            <w:tab/>
          </w:r>
          <w:r>
            <w:rPr>
              <w:color w:val="auto"/>
              <w:highlight w:val="none"/>
            </w:rPr>
            <w:fldChar w:fldCharType="begin"/>
          </w:r>
          <w:r>
            <w:rPr>
              <w:color w:val="auto"/>
              <w:highlight w:val="none"/>
            </w:rPr>
            <w:instrText xml:space="preserve"> PAGEREF _Toc57146375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"_Toc57146376" </w:instrText>
          </w:r>
          <w:r>
            <w:rPr>
              <w:color w:val="auto"/>
              <w:highlight w:val="none"/>
            </w:rPr>
            <w:fldChar w:fldCharType="separate"/>
          </w:r>
          <w:r>
            <w:rPr>
              <w:rStyle w:val="17"/>
              <w:rFonts w:hint="eastAsia" w:ascii="黑体" w:hAnsi="黑体" w:eastAsia="黑体"/>
              <w:color w:val="auto"/>
              <w:highlight w:val="none"/>
            </w:rPr>
            <w:t>十</w:t>
          </w:r>
          <w:r>
            <w:rPr>
              <w:rStyle w:val="17"/>
              <w:rFonts w:hint="eastAsia" w:ascii="黑体" w:hAnsi="黑体" w:eastAsia="黑体" w:cstheme="majorBidi"/>
              <w:b/>
              <w:bCs/>
              <w:color w:val="auto"/>
              <w:highlight w:val="none"/>
            </w:rPr>
            <w:t>、</w:t>
          </w:r>
          <w:r>
            <w:rPr>
              <w:rStyle w:val="17"/>
              <w:rFonts w:hint="eastAsia" w:ascii="黑体" w:hAnsi="黑体" w:eastAsia="黑体" w:cstheme="majorBidi"/>
              <w:bCs/>
              <w:color w:val="auto"/>
              <w:highlight w:val="none"/>
            </w:rPr>
            <w:t>其他重要事项的情况说明</w:t>
          </w:r>
          <w:r>
            <w:rPr>
              <w:color w:val="auto"/>
              <w:highlight w:val="none"/>
            </w:rPr>
            <w:tab/>
          </w:r>
          <w:r>
            <w:rPr>
              <w:color w:val="auto"/>
              <w:highlight w:val="none"/>
            </w:rPr>
            <w:fldChar w:fldCharType="begin"/>
          </w:r>
          <w:r>
            <w:rPr>
              <w:color w:val="auto"/>
              <w:highlight w:val="none"/>
            </w:rPr>
            <w:instrText xml:space="preserve"> PAGEREF _Toc57146376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11"/>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"_Toc57146381" </w:instrText>
          </w:r>
          <w:r>
            <w:rPr>
              <w:color w:val="auto"/>
              <w:highlight w:val="none"/>
            </w:rPr>
            <w:fldChar w:fldCharType="separate"/>
          </w:r>
          <w:r>
            <w:rPr>
              <w:rStyle w:val="17"/>
              <w:rFonts w:hint="eastAsia" w:ascii="黑体" w:hAnsi="黑体" w:eastAsia="黑体"/>
              <w:bCs/>
              <w:color w:val="auto"/>
              <w:kern w:val="44"/>
              <w:highlight w:val="none"/>
            </w:rPr>
            <w:t>第三部分</w:t>
          </w:r>
          <w:r>
            <w:rPr>
              <w:rStyle w:val="17"/>
              <w:rFonts w:hint="eastAsia" w:ascii="黑体" w:hAnsi="黑体" w:eastAsia="黑体"/>
              <w:color w:val="auto"/>
              <w:highlight w:val="none"/>
            </w:rPr>
            <w:t xml:space="preserve"> 名</w:t>
          </w:r>
          <w:r>
            <w:rPr>
              <w:rStyle w:val="17"/>
              <w:rFonts w:hint="eastAsia" w:ascii="黑体" w:hAnsi="黑体" w:eastAsia="黑体"/>
              <w:bCs/>
              <w:color w:val="auto"/>
              <w:kern w:val="44"/>
              <w:highlight w:val="none"/>
            </w:rPr>
            <w:t>词解释</w:t>
          </w:r>
          <w:r>
            <w:rPr>
              <w:color w:val="auto"/>
              <w:highlight w:val="none"/>
            </w:rPr>
            <w:tab/>
          </w:r>
          <w:r>
            <w:rPr>
              <w:color w:val="auto"/>
              <w:highlight w:val="none"/>
            </w:rPr>
            <w:fldChar w:fldCharType="begin"/>
          </w:r>
          <w:r>
            <w:rPr>
              <w:color w:val="auto"/>
              <w:highlight w:val="none"/>
            </w:rPr>
            <w:instrText xml:space="preserve"> PAGEREF _Toc57146381 \h </w:instrText>
          </w:r>
          <w:r>
            <w:rPr>
              <w:color w:val="auto"/>
              <w:highlight w:val="none"/>
            </w:rPr>
            <w:fldChar w:fldCharType="separate"/>
          </w:r>
          <w:r>
            <w:rPr>
              <w:color w:val="auto"/>
              <w:highlight w:val="none"/>
            </w:rPr>
            <w:t>33</w:t>
          </w:r>
          <w:r>
            <w:rPr>
              <w:color w:val="auto"/>
              <w:highlight w:val="none"/>
            </w:rPr>
            <w:fldChar w:fldCharType="end"/>
          </w:r>
          <w:r>
            <w:rPr>
              <w:color w:val="auto"/>
              <w:highlight w:val="none"/>
            </w:rPr>
            <w:fldChar w:fldCharType="end"/>
          </w:r>
        </w:p>
        <w:p>
          <w:pPr>
            <w:pStyle w:val="11"/>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"_Toc57146382" </w:instrText>
          </w:r>
          <w:r>
            <w:rPr>
              <w:color w:val="auto"/>
              <w:highlight w:val="none"/>
            </w:rPr>
            <w:fldChar w:fldCharType="separate"/>
          </w:r>
          <w:r>
            <w:rPr>
              <w:rStyle w:val="17"/>
              <w:rFonts w:hint="eastAsia" w:ascii="黑体" w:hAnsi="黑体" w:eastAsia="黑体"/>
              <w:color w:val="auto"/>
              <w:highlight w:val="none"/>
            </w:rPr>
            <w:t>第</w:t>
          </w:r>
          <w:r>
            <w:rPr>
              <w:rStyle w:val="17"/>
              <w:rFonts w:hint="eastAsia" w:ascii="黑体" w:hAnsi="黑体" w:eastAsia="黑体"/>
              <w:bCs/>
              <w:color w:val="auto"/>
              <w:kern w:val="44"/>
              <w:highlight w:val="none"/>
            </w:rPr>
            <w:t>四部分</w:t>
          </w:r>
          <w:r>
            <w:rPr>
              <w:rStyle w:val="17"/>
              <w:rFonts w:ascii="黑体" w:hAnsi="黑体" w:eastAsia="黑体"/>
              <w:bCs/>
              <w:color w:val="auto"/>
              <w:kern w:val="44"/>
              <w:highlight w:val="none"/>
            </w:rPr>
            <w:t xml:space="preserve"> </w:t>
          </w:r>
          <w:r>
            <w:rPr>
              <w:rStyle w:val="17"/>
              <w:rFonts w:hint="eastAsia" w:ascii="黑体" w:hAnsi="黑体" w:eastAsia="黑体"/>
              <w:bCs/>
              <w:color w:val="auto"/>
              <w:kern w:val="44"/>
              <w:highlight w:val="none"/>
            </w:rPr>
            <w:t>附件</w:t>
          </w:r>
          <w:r>
            <w:rPr>
              <w:color w:val="auto"/>
              <w:highlight w:val="none"/>
            </w:rPr>
            <w:tab/>
          </w:r>
          <w:r>
            <w:rPr>
              <w:color w:val="auto"/>
              <w:highlight w:val="none"/>
            </w:rPr>
            <w:fldChar w:fldCharType="begin"/>
          </w:r>
          <w:r>
            <w:rPr>
              <w:color w:val="auto"/>
              <w:highlight w:val="none"/>
            </w:rPr>
            <w:instrText xml:space="preserve"> PAGEREF _Toc57146382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pPr>
            <w:pStyle w:val="11"/>
            <w:rPr>
              <w:rStyle w:val="17"/>
              <w:rFonts w:hint="eastAsia"/>
              <w:color w:val="auto"/>
              <w:highlight w:val="none"/>
            </w:rPr>
          </w:pPr>
          <w:r>
            <w:rPr>
              <w:color w:val="auto"/>
              <w:highlight w:val="none"/>
            </w:rPr>
            <w:fldChar w:fldCharType="begin"/>
          </w:r>
          <w:r>
            <w:rPr>
              <w:color w:val="auto"/>
              <w:highlight w:val="none"/>
            </w:rPr>
            <w:instrText xml:space="preserve"> HYPERLINK \l "_Toc57146383" </w:instrText>
          </w:r>
          <w:r>
            <w:rPr>
              <w:color w:val="auto"/>
              <w:highlight w:val="none"/>
            </w:rPr>
            <w:fldChar w:fldCharType="separate"/>
          </w:r>
          <w:r>
            <w:rPr>
              <w:rStyle w:val="17"/>
              <w:rFonts w:hint="eastAsia" w:ascii="黑体" w:hAnsi="黑体" w:eastAsia="黑体" w:cs="黑体"/>
              <w:color w:val="auto"/>
              <w:highlight w:val="none"/>
            </w:rPr>
            <w:t>附件</w:t>
          </w:r>
          <w:r>
            <w:rPr>
              <w:rStyle w:val="17"/>
              <w:rFonts w:ascii="黑体" w:hAnsi="黑体" w:eastAsia="黑体" w:cs="黑体"/>
              <w:color w:val="auto"/>
              <w:highlight w:val="none"/>
            </w:rPr>
            <w:t>1</w:t>
          </w:r>
          <w:r>
            <w:rPr>
              <w:color w:val="auto"/>
              <w:highlight w:val="none"/>
            </w:rPr>
            <w:tab/>
          </w:r>
          <w:r>
            <w:rPr>
              <w:color w:val="auto"/>
              <w:highlight w:val="none"/>
            </w:rPr>
            <w:fldChar w:fldCharType="begin"/>
          </w:r>
          <w:r>
            <w:rPr>
              <w:color w:val="auto"/>
              <w:highlight w:val="none"/>
            </w:rPr>
            <w:instrText xml:space="preserve"> PAGEREF _Toc57146383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pPr>
            <w:rPr>
              <w:rStyle w:val="17"/>
              <w:rFonts w:hint="default" w:ascii="黑体" w:hAnsi="黑体" w:eastAsia="黑体" w:cs="黑体"/>
              <w:color w:val="auto"/>
              <w:sz w:val="28"/>
              <w:szCs w:val="28"/>
              <w:highlight w:val="none"/>
              <w:u w:val="none"/>
              <w:lang w:val="en-US" w:eastAsia="zh-CN"/>
            </w:rPr>
          </w:pPr>
          <w:r>
            <w:rPr>
              <w:rStyle w:val="17"/>
              <w:rFonts w:hint="eastAsia" w:ascii="黑体" w:hAnsi="黑体" w:eastAsia="黑体" w:cs="黑体"/>
              <w:color w:val="auto"/>
              <w:sz w:val="28"/>
              <w:szCs w:val="28"/>
              <w:highlight w:val="none"/>
              <w:u w:val="none"/>
            </w:rPr>
            <w:t>附件2……………………………………………………………………</w:t>
          </w:r>
          <w:r>
            <w:rPr>
              <w:rStyle w:val="17"/>
              <w:rFonts w:hint="eastAsia" w:ascii="黑体" w:hAnsi="黑体" w:eastAsia="黑体" w:cs="黑体"/>
              <w:color w:val="auto"/>
              <w:sz w:val="28"/>
              <w:szCs w:val="28"/>
              <w:highlight w:val="none"/>
              <w:u w:val="none"/>
              <w:lang w:val="en-US" w:eastAsia="zh-CN"/>
            </w:rPr>
            <w:t>42</w:t>
          </w:r>
        </w:p>
        <w:p>
          <w:pPr>
            <w:pStyle w:val="11"/>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"_Toc57146386" </w:instrText>
          </w:r>
          <w:r>
            <w:rPr>
              <w:color w:val="auto"/>
              <w:highlight w:val="none"/>
            </w:rPr>
            <w:fldChar w:fldCharType="separate"/>
          </w:r>
          <w:r>
            <w:rPr>
              <w:rStyle w:val="17"/>
              <w:rFonts w:hint="eastAsia" w:ascii="黑体" w:hAnsi="黑体" w:eastAsia="黑体"/>
              <w:color w:val="auto"/>
              <w:highlight w:val="none"/>
            </w:rPr>
            <w:t>第</w:t>
          </w:r>
          <w:r>
            <w:rPr>
              <w:rStyle w:val="17"/>
              <w:rFonts w:hint="eastAsia" w:ascii="黑体" w:hAnsi="黑体" w:eastAsia="黑体"/>
              <w:bCs/>
              <w:color w:val="auto"/>
              <w:kern w:val="44"/>
              <w:highlight w:val="none"/>
            </w:rPr>
            <w:t>五部分</w:t>
          </w:r>
          <w:r>
            <w:rPr>
              <w:rStyle w:val="17"/>
              <w:rFonts w:ascii="黑体" w:hAnsi="黑体" w:eastAsia="黑体"/>
              <w:bCs/>
              <w:color w:val="auto"/>
              <w:kern w:val="44"/>
              <w:highlight w:val="none"/>
            </w:rPr>
            <w:t xml:space="preserve"> </w:t>
          </w:r>
          <w:r>
            <w:rPr>
              <w:rStyle w:val="17"/>
              <w:rFonts w:hint="eastAsia" w:ascii="黑体" w:hAnsi="黑体" w:eastAsia="黑体"/>
              <w:bCs/>
              <w:color w:val="auto"/>
              <w:kern w:val="44"/>
              <w:highlight w:val="none"/>
            </w:rPr>
            <w:t>附表</w:t>
          </w:r>
          <w:r>
            <w:rPr>
              <w:color w:val="auto"/>
              <w:highlight w:val="none"/>
            </w:rPr>
            <w:tab/>
          </w:r>
          <w:r>
            <w:rPr>
              <w:color w:val="auto"/>
              <w:highlight w:val="none"/>
            </w:rPr>
            <w:fldChar w:fldCharType="begin"/>
          </w:r>
          <w:r>
            <w:rPr>
              <w:color w:val="auto"/>
              <w:highlight w:val="none"/>
            </w:rPr>
            <w:instrText xml:space="preserve"> PAGEREF _Toc57146386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"_Toc57146387" </w:instrText>
          </w:r>
          <w:r>
            <w:rPr>
              <w:color w:val="auto"/>
              <w:highlight w:val="none"/>
            </w:rPr>
            <w:fldChar w:fldCharType="separate"/>
          </w:r>
          <w:r>
            <w:rPr>
              <w:rStyle w:val="17"/>
              <w:rFonts w:hint="eastAsia" w:ascii="仿宋" w:hAnsi="仿宋" w:eastAsia="仿宋"/>
              <w:color w:val="auto"/>
              <w:highlight w:val="none"/>
            </w:rPr>
            <w:t>一、收入支出决算总表</w:t>
          </w:r>
          <w:r>
            <w:rPr>
              <w:color w:val="auto"/>
              <w:highlight w:val="none"/>
            </w:rPr>
            <w:tab/>
          </w:r>
          <w:r>
            <w:rPr>
              <w:color w:val="auto"/>
              <w:highlight w:val="none"/>
            </w:rPr>
            <w:fldChar w:fldCharType="begin"/>
          </w:r>
          <w:r>
            <w:rPr>
              <w:color w:val="auto"/>
              <w:highlight w:val="none"/>
            </w:rPr>
            <w:instrText xml:space="preserve"> PAGEREF _Toc57146387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"_Toc57146388" </w:instrText>
          </w:r>
          <w:r>
            <w:rPr>
              <w:color w:val="auto"/>
              <w:highlight w:val="none"/>
            </w:rPr>
            <w:fldChar w:fldCharType="separate"/>
          </w:r>
          <w:r>
            <w:rPr>
              <w:rStyle w:val="17"/>
              <w:rFonts w:hint="eastAsia" w:ascii="仿宋" w:hAnsi="仿宋" w:eastAsia="仿宋"/>
              <w:color w:val="auto"/>
              <w:highlight w:val="none"/>
            </w:rPr>
            <w:t>二、收入决算表</w:t>
          </w:r>
          <w:r>
            <w:rPr>
              <w:color w:val="auto"/>
              <w:highlight w:val="none"/>
            </w:rPr>
            <w:tab/>
          </w:r>
          <w:r>
            <w:rPr>
              <w:color w:val="auto"/>
              <w:highlight w:val="none"/>
            </w:rPr>
            <w:fldChar w:fldCharType="begin"/>
          </w:r>
          <w:r>
            <w:rPr>
              <w:color w:val="auto"/>
              <w:highlight w:val="none"/>
            </w:rPr>
            <w:instrText xml:space="preserve"> PAGEREF _Toc57146388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"_Toc57146389" </w:instrText>
          </w:r>
          <w:r>
            <w:rPr>
              <w:color w:val="auto"/>
              <w:highlight w:val="none"/>
            </w:rPr>
            <w:fldChar w:fldCharType="separate"/>
          </w:r>
          <w:r>
            <w:rPr>
              <w:rStyle w:val="17"/>
              <w:rFonts w:hint="eastAsia" w:ascii="仿宋" w:hAnsi="仿宋" w:eastAsia="仿宋"/>
              <w:color w:val="auto"/>
              <w:highlight w:val="none"/>
            </w:rPr>
            <w:t>三、支出决算表</w:t>
          </w:r>
          <w:r>
            <w:rPr>
              <w:color w:val="auto"/>
              <w:highlight w:val="none"/>
            </w:rPr>
            <w:tab/>
          </w:r>
          <w:r>
            <w:rPr>
              <w:color w:val="auto"/>
              <w:highlight w:val="none"/>
            </w:rPr>
            <w:fldChar w:fldCharType="begin"/>
          </w:r>
          <w:r>
            <w:rPr>
              <w:color w:val="auto"/>
              <w:highlight w:val="none"/>
            </w:rPr>
            <w:instrText xml:space="preserve"> PAGEREF _Toc57146389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"_Toc57146390" </w:instrText>
          </w:r>
          <w:r>
            <w:rPr>
              <w:color w:val="auto"/>
              <w:highlight w:val="none"/>
            </w:rPr>
            <w:fldChar w:fldCharType="separate"/>
          </w:r>
          <w:r>
            <w:rPr>
              <w:rStyle w:val="17"/>
              <w:rFonts w:hint="eastAsia" w:ascii="仿宋" w:hAnsi="仿宋" w:eastAsia="仿宋"/>
              <w:color w:val="auto"/>
              <w:highlight w:val="none"/>
            </w:rPr>
            <w:t>四、财政拨款收入支出决算总表</w:t>
          </w:r>
          <w:r>
            <w:rPr>
              <w:color w:val="auto"/>
              <w:highlight w:val="none"/>
            </w:rPr>
            <w:tab/>
          </w:r>
          <w:r>
            <w:rPr>
              <w:color w:val="auto"/>
              <w:highlight w:val="none"/>
            </w:rPr>
            <w:fldChar w:fldCharType="begin"/>
          </w:r>
          <w:r>
            <w:rPr>
              <w:color w:val="auto"/>
              <w:highlight w:val="none"/>
            </w:rPr>
            <w:instrText xml:space="preserve"> PAGEREF _Toc57146390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"_Toc57146391" </w:instrText>
          </w:r>
          <w:r>
            <w:rPr>
              <w:color w:val="auto"/>
              <w:highlight w:val="none"/>
            </w:rPr>
            <w:fldChar w:fldCharType="separate"/>
          </w:r>
          <w:r>
            <w:rPr>
              <w:rStyle w:val="17"/>
              <w:rFonts w:hint="eastAsia" w:ascii="仿宋" w:hAnsi="仿宋" w:eastAsia="仿宋"/>
              <w:color w:val="auto"/>
              <w:highlight w:val="none"/>
            </w:rPr>
            <w:t>五、财政拨款支出决算明细表</w:t>
          </w:r>
          <w:r>
            <w:rPr>
              <w:color w:val="auto"/>
              <w:highlight w:val="none"/>
            </w:rPr>
            <w:tab/>
          </w:r>
          <w:r>
            <w:rPr>
              <w:color w:val="auto"/>
              <w:highlight w:val="none"/>
            </w:rPr>
            <w:fldChar w:fldCharType="begin"/>
          </w:r>
          <w:r>
            <w:rPr>
              <w:color w:val="auto"/>
              <w:highlight w:val="none"/>
            </w:rPr>
            <w:instrText xml:space="preserve"> PAGEREF _Toc57146391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"_Toc57146392" </w:instrText>
          </w:r>
          <w:r>
            <w:rPr>
              <w:color w:val="auto"/>
              <w:highlight w:val="none"/>
            </w:rPr>
            <w:fldChar w:fldCharType="separate"/>
          </w:r>
          <w:r>
            <w:rPr>
              <w:rStyle w:val="17"/>
              <w:rFonts w:hint="eastAsia" w:ascii="仿宋" w:hAnsi="仿宋" w:eastAsia="仿宋"/>
              <w:color w:val="auto"/>
              <w:highlight w:val="none"/>
            </w:rPr>
            <w:t>六、一般公共预算财政拨款支出决算表</w:t>
          </w:r>
          <w:r>
            <w:rPr>
              <w:color w:val="auto"/>
              <w:highlight w:val="none"/>
            </w:rPr>
            <w:tab/>
          </w:r>
          <w:r>
            <w:rPr>
              <w:color w:val="auto"/>
              <w:highlight w:val="none"/>
            </w:rPr>
            <w:fldChar w:fldCharType="begin"/>
          </w:r>
          <w:r>
            <w:rPr>
              <w:color w:val="auto"/>
              <w:highlight w:val="none"/>
            </w:rPr>
            <w:instrText xml:space="preserve"> PAGEREF _Toc57146392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"_Toc57146393" </w:instrText>
          </w:r>
          <w:r>
            <w:rPr>
              <w:color w:val="auto"/>
              <w:highlight w:val="none"/>
            </w:rPr>
            <w:fldChar w:fldCharType="separate"/>
          </w:r>
          <w:r>
            <w:rPr>
              <w:rStyle w:val="17"/>
              <w:rFonts w:hint="eastAsia" w:ascii="仿宋" w:hAnsi="仿宋" w:eastAsia="仿宋"/>
              <w:color w:val="auto"/>
              <w:highlight w:val="none"/>
            </w:rPr>
            <w:t>七、一般公共预算财政拨款支出决算明细表</w:t>
          </w:r>
          <w:r>
            <w:rPr>
              <w:color w:val="auto"/>
              <w:highlight w:val="none"/>
            </w:rPr>
            <w:tab/>
          </w:r>
          <w:r>
            <w:rPr>
              <w:color w:val="auto"/>
              <w:highlight w:val="none"/>
            </w:rPr>
            <w:fldChar w:fldCharType="begin"/>
          </w:r>
          <w:r>
            <w:rPr>
              <w:color w:val="auto"/>
              <w:highlight w:val="none"/>
            </w:rPr>
            <w:instrText xml:space="preserve"> PAGEREF _Toc57146393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"_Toc57146394" </w:instrText>
          </w:r>
          <w:r>
            <w:rPr>
              <w:color w:val="auto"/>
              <w:highlight w:val="none"/>
            </w:rPr>
            <w:fldChar w:fldCharType="separate"/>
          </w:r>
          <w:r>
            <w:rPr>
              <w:rStyle w:val="17"/>
              <w:rFonts w:hint="eastAsia" w:ascii="仿宋" w:hAnsi="仿宋" w:eastAsia="仿宋"/>
              <w:color w:val="auto"/>
              <w:highlight w:val="none"/>
            </w:rPr>
            <w:t>八、一般公共预算财政拨款基本支出决算表</w:t>
          </w:r>
          <w:r>
            <w:rPr>
              <w:color w:val="auto"/>
              <w:highlight w:val="none"/>
            </w:rPr>
            <w:tab/>
          </w:r>
          <w:r>
            <w:rPr>
              <w:color w:val="auto"/>
              <w:highlight w:val="none"/>
            </w:rPr>
            <w:fldChar w:fldCharType="begin"/>
          </w:r>
          <w:r>
            <w:rPr>
              <w:color w:val="auto"/>
              <w:highlight w:val="none"/>
            </w:rPr>
            <w:instrText xml:space="preserve"> PAGEREF _Toc57146394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"_Toc57146395" </w:instrText>
          </w:r>
          <w:r>
            <w:rPr>
              <w:color w:val="auto"/>
              <w:highlight w:val="none"/>
            </w:rPr>
            <w:fldChar w:fldCharType="separate"/>
          </w:r>
          <w:r>
            <w:rPr>
              <w:rStyle w:val="17"/>
              <w:rFonts w:hint="eastAsia" w:ascii="仿宋" w:hAnsi="仿宋" w:eastAsia="仿宋"/>
              <w:color w:val="auto"/>
              <w:highlight w:val="none"/>
            </w:rPr>
            <w:t>九、一般公共预算财政拨款项目支出决算表</w:t>
          </w:r>
          <w:r>
            <w:rPr>
              <w:color w:val="auto"/>
              <w:highlight w:val="none"/>
            </w:rPr>
            <w:tab/>
          </w:r>
          <w:r>
            <w:rPr>
              <w:color w:val="auto"/>
              <w:highlight w:val="none"/>
            </w:rPr>
            <w:fldChar w:fldCharType="begin"/>
          </w:r>
          <w:r>
            <w:rPr>
              <w:color w:val="auto"/>
              <w:highlight w:val="none"/>
            </w:rPr>
            <w:instrText xml:space="preserve"> PAGEREF _Toc57146395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"_Toc57146396" </w:instrText>
          </w:r>
          <w:r>
            <w:rPr>
              <w:color w:val="auto"/>
              <w:highlight w:val="none"/>
            </w:rPr>
            <w:fldChar w:fldCharType="separate"/>
          </w:r>
          <w:r>
            <w:rPr>
              <w:rStyle w:val="17"/>
              <w:rFonts w:hint="eastAsia" w:ascii="仿宋" w:hAnsi="仿宋" w:eastAsia="仿宋"/>
              <w:color w:val="auto"/>
              <w:highlight w:val="none"/>
            </w:rPr>
            <w:t>十、一般公共预算财政拨款“三公”经费支出决算表</w:t>
          </w:r>
          <w:r>
            <w:rPr>
              <w:color w:val="auto"/>
              <w:highlight w:val="none"/>
            </w:rPr>
            <w:tab/>
          </w:r>
          <w:r>
            <w:rPr>
              <w:color w:val="auto"/>
              <w:highlight w:val="none"/>
            </w:rPr>
            <w:fldChar w:fldCharType="begin"/>
          </w:r>
          <w:r>
            <w:rPr>
              <w:color w:val="auto"/>
              <w:highlight w:val="none"/>
            </w:rPr>
            <w:instrText xml:space="preserve"> PAGEREF _Toc57146396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"_Toc57146397" </w:instrText>
          </w:r>
          <w:r>
            <w:rPr>
              <w:color w:val="auto"/>
              <w:highlight w:val="none"/>
            </w:rPr>
            <w:fldChar w:fldCharType="separate"/>
          </w:r>
          <w:r>
            <w:rPr>
              <w:rStyle w:val="17"/>
              <w:rFonts w:hint="eastAsia" w:ascii="仿宋" w:hAnsi="仿宋" w:eastAsia="仿宋"/>
              <w:color w:val="auto"/>
              <w:highlight w:val="none"/>
            </w:rPr>
            <w:t>十一、政府性基金预算财政拨款收入支出决算表</w:t>
          </w:r>
          <w:r>
            <w:rPr>
              <w:color w:val="auto"/>
              <w:highlight w:val="none"/>
            </w:rPr>
            <w:tab/>
          </w:r>
          <w:r>
            <w:rPr>
              <w:color w:val="auto"/>
              <w:highlight w:val="none"/>
            </w:rPr>
            <w:fldChar w:fldCharType="begin"/>
          </w:r>
          <w:r>
            <w:rPr>
              <w:color w:val="auto"/>
              <w:highlight w:val="none"/>
            </w:rPr>
            <w:instrText xml:space="preserve"> PAGEREF _Toc57146397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"_Toc57146398" </w:instrText>
          </w:r>
          <w:r>
            <w:rPr>
              <w:color w:val="auto"/>
              <w:highlight w:val="none"/>
            </w:rPr>
            <w:fldChar w:fldCharType="separate"/>
          </w:r>
          <w:r>
            <w:rPr>
              <w:rStyle w:val="17"/>
              <w:rFonts w:hint="eastAsia" w:ascii="仿宋" w:hAnsi="仿宋" w:eastAsia="仿宋"/>
              <w:color w:val="auto"/>
              <w:highlight w:val="none"/>
            </w:rPr>
            <w:t>十二、政府性基金预算财政拨款“三公”经费支出决算表</w:t>
          </w:r>
          <w:r>
            <w:rPr>
              <w:color w:val="auto"/>
              <w:highlight w:val="none"/>
            </w:rPr>
            <w:tab/>
          </w:r>
          <w:r>
            <w:rPr>
              <w:color w:val="auto"/>
              <w:highlight w:val="none"/>
            </w:rPr>
            <w:fldChar w:fldCharType="begin"/>
          </w:r>
          <w:r>
            <w:rPr>
              <w:color w:val="auto"/>
              <w:highlight w:val="none"/>
            </w:rPr>
            <w:instrText xml:space="preserve"> PAGEREF _Toc57146398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pStyle w:val="12"/>
            <w:rPr>
              <w:color w:val="auto"/>
              <w:highlight w:val="none"/>
              <w:u w:val="single"/>
            </w:rPr>
          </w:pPr>
          <w:r>
            <w:rPr>
              <w:color w:val="auto"/>
              <w:highlight w:val="none"/>
            </w:rPr>
            <w:fldChar w:fldCharType="begin"/>
          </w:r>
          <w:r>
            <w:rPr>
              <w:color w:val="auto"/>
              <w:highlight w:val="none"/>
            </w:rPr>
            <w:instrText xml:space="preserve"> HYPERLINK \l "_Toc57146399" </w:instrText>
          </w:r>
          <w:r>
            <w:rPr>
              <w:color w:val="auto"/>
              <w:highlight w:val="none"/>
            </w:rPr>
            <w:fldChar w:fldCharType="separate"/>
          </w:r>
          <w:r>
            <w:rPr>
              <w:rStyle w:val="17"/>
              <w:rFonts w:hint="eastAsia" w:ascii="仿宋" w:hAnsi="仿宋" w:eastAsia="仿宋"/>
              <w:color w:val="auto"/>
              <w:highlight w:val="none"/>
            </w:rPr>
            <w:t>十三、国有资本经营预算支出决算表</w:t>
          </w:r>
          <w:r>
            <w:rPr>
              <w:color w:val="auto"/>
              <w:highlight w:val="none"/>
            </w:rPr>
            <w:tab/>
          </w:r>
          <w:r>
            <w:rPr>
              <w:color w:val="auto"/>
              <w:highlight w:val="none"/>
            </w:rPr>
            <w:fldChar w:fldCharType="begin"/>
          </w:r>
          <w:r>
            <w:rPr>
              <w:color w:val="auto"/>
              <w:highlight w:val="none"/>
            </w:rPr>
            <w:instrText xml:space="preserve"> PAGEREF _Toc57146399 \h </w:instrText>
          </w:r>
          <w:r>
            <w:rPr>
              <w:color w:val="auto"/>
              <w:highlight w:val="none"/>
            </w:rPr>
            <w:fldChar w:fldCharType="separate"/>
          </w:r>
          <w:r>
            <w:rPr>
              <w:color w:val="auto"/>
              <w:highlight w:val="none"/>
            </w:rPr>
            <w:t>47</w:t>
          </w:r>
          <w:r>
            <w:rPr>
              <w:color w:val="auto"/>
              <w:highlight w:val="none"/>
            </w:rPr>
            <w:fldChar w:fldCharType="end"/>
          </w:r>
          <w:r>
            <w:rPr>
              <w:color w:val="auto"/>
              <w:highlight w:val="none"/>
            </w:rPr>
            <w:fldChar w:fldCharType="end"/>
          </w:r>
        </w:p>
        <w:p>
          <w:pPr>
            <w:rPr>
              <w:color w:val="auto"/>
              <w:highlight w:val="none"/>
            </w:rPr>
          </w:pPr>
          <w:r>
            <w:rPr>
              <w:color w:val="auto"/>
              <w:highlight w:val="none"/>
            </w:rPr>
            <w:fldChar w:fldCharType="end"/>
          </w:r>
        </w:p>
      </w:sdtContent>
    </w:sdt>
    <w:p>
      <w:pPr>
        <w:rPr>
          <w:rStyle w:val="26"/>
          <w:rFonts w:hint="eastAsia" w:ascii="黑体" w:hAnsi="黑体"/>
          <w:b w:val="0"/>
          <w:color w:val="auto"/>
          <w:highlight w:val="none"/>
        </w:rPr>
      </w:pPr>
      <w:bookmarkStart w:id="17" w:name="_Toc57146354"/>
    </w:p>
    <w:p>
      <w:pPr>
        <w:rPr>
          <w:rStyle w:val="26"/>
          <w:rFonts w:hint="eastAsia" w:ascii="黑体" w:hAnsi="黑体"/>
          <w:b w:val="0"/>
          <w:color w:val="auto"/>
          <w:highlight w:val="none"/>
        </w:rPr>
      </w:pPr>
    </w:p>
    <w:p>
      <w:pPr>
        <w:rPr>
          <w:rStyle w:val="26"/>
          <w:rFonts w:hint="eastAsia" w:ascii="黑体" w:hAnsi="黑体"/>
          <w:b w:val="0"/>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pStyle w:val="2"/>
        <w:rPr>
          <w:rFonts w:hint="eastAsia"/>
          <w:color w:val="auto"/>
          <w:highlight w:val="none"/>
        </w:rPr>
      </w:pPr>
    </w:p>
    <w:p>
      <w:pPr>
        <w:jc w:val="center"/>
        <w:rPr>
          <w:rStyle w:val="26"/>
          <w:b w:val="0"/>
          <w:bCs w:val="0"/>
          <w:color w:val="auto"/>
          <w:kern w:val="2"/>
          <w:sz w:val="21"/>
          <w:szCs w:val="24"/>
          <w:highlight w:val="none"/>
        </w:rPr>
      </w:pPr>
      <w:r>
        <w:rPr>
          <w:rStyle w:val="26"/>
          <w:rFonts w:hint="eastAsia" w:ascii="黑体" w:hAnsi="黑体"/>
          <w:b w:val="0"/>
          <w:color w:val="auto"/>
          <w:highlight w:val="none"/>
        </w:rPr>
        <w:t xml:space="preserve">第一部分 </w:t>
      </w:r>
      <w:r>
        <w:rPr>
          <w:rStyle w:val="26"/>
          <w:rFonts w:hint="eastAsia" w:ascii="黑体" w:hAnsi="黑体" w:eastAsia="黑体"/>
          <w:color w:val="auto"/>
          <w:highlight w:val="none"/>
        </w:rPr>
        <w:t>部门概况</w:t>
      </w:r>
      <w:bookmarkEnd w:id="15"/>
      <w:bookmarkEnd w:id="16"/>
      <w:bookmarkEnd w:id="17"/>
    </w:p>
    <w:p>
      <w:pPr>
        <w:widowControl/>
        <w:spacing w:line="576" w:lineRule="exact"/>
        <w:jc w:val="left"/>
        <w:rPr>
          <w:rFonts w:ascii="黑体" w:eastAsia="黑体"/>
          <w:color w:val="auto"/>
          <w:sz w:val="32"/>
          <w:szCs w:val="32"/>
          <w:highlight w:val="none"/>
        </w:rPr>
      </w:pPr>
    </w:p>
    <w:p>
      <w:pPr>
        <w:pStyle w:val="4"/>
        <w:spacing w:line="576" w:lineRule="exact"/>
        <w:rPr>
          <w:rStyle w:val="27"/>
          <w:rFonts w:ascii="仿宋" w:hAnsi="仿宋" w:eastAsia="仿宋"/>
          <w:b w:val="0"/>
          <w:bCs w:val="0"/>
          <w:color w:val="auto"/>
          <w:highlight w:val="none"/>
        </w:rPr>
      </w:pPr>
      <w:bookmarkStart w:id="18" w:name="_Toc15377197"/>
      <w:bookmarkStart w:id="19" w:name="_Toc15396600"/>
      <w:bookmarkStart w:id="20" w:name="_Toc57146355"/>
      <w:r>
        <w:rPr>
          <w:rFonts w:hint="eastAsia" w:ascii="黑体" w:hAnsi="黑体" w:eastAsia="黑体"/>
          <w:b w:val="0"/>
          <w:color w:val="auto"/>
          <w:highlight w:val="none"/>
        </w:rPr>
        <w:t>一、基</w:t>
      </w:r>
      <w:r>
        <w:rPr>
          <w:rStyle w:val="27"/>
          <w:rFonts w:hint="eastAsia" w:ascii="黑体" w:hAnsi="黑体" w:eastAsia="黑体"/>
          <w:b w:val="0"/>
          <w:bCs w:val="0"/>
          <w:color w:val="auto"/>
          <w:highlight w:val="none"/>
        </w:rPr>
        <w:t>本职能及主要工作</w:t>
      </w:r>
      <w:bookmarkEnd w:id="18"/>
      <w:bookmarkEnd w:id="19"/>
      <w:bookmarkEnd w:id="20"/>
    </w:p>
    <w:p>
      <w:pPr>
        <w:pStyle w:val="7"/>
        <w:adjustRightInd w:val="0"/>
        <w:snapToGrid w:val="0"/>
        <w:spacing w:before="93" w:line="576" w:lineRule="exact"/>
        <w:ind w:firstLine="675" w:firstLineChars="210"/>
        <w:outlineLvl w:val="2"/>
        <w:rPr>
          <w:rFonts w:hAnsi="仿宋_GB2312" w:cs="仿宋_GB2312"/>
          <w:b/>
          <w:color w:val="auto"/>
          <w:sz w:val="32"/>
          <w:szCs w:val="32"/>
          <w:highlight w:val="none"/>
        </w:rPr>
      </w:pPr>
      <w:bookmarkStart w:id="21" w:name="_Toc57146356"/>
      <w:bookmarkStart w:id="22" w:name="_Toc15378445"/>
      <w:bookmarkStart w:id="23" w:name="_Toc15377198"/>
      <w:r>
        <w:rPr>
          <w:rFonts w:hint="eastAsia" w:hAnsi="仿宋_GB2312" w:cs="仿宋_GB2312"/>
          <w:b/>
          <w:color w:val="auto"/>
          <w:sz w:val="32"/>
          <w:szCs w:val="32"/>
          <w:highlight w:val="none"/>
        </w:rPr>
        <w:t>（一）主要职能。</w:t>
      </w:r>
      <w:bookmarkEnd w:id="21"/>
      <w:bookmarkEnd w:id="22"/>
      <w:bookmarkEnd w:id="23"/>
    </w:p>
    <w:p>
      <w:pPr>
        <w:pStyle w:val="7"/>
        <w:adjustRightInd w:val="0"/>
        <w:snapToGrid w:val="0"/>
        <w:spacing w:before="93" w:line="576" w:lineRule="exact"/>
        <w:ind w:firstLine="672" w:firstLineChars="210"/>
        <w:outlineLvl w:val="2"/>
        <w:rPr>
          <w:rFonts w:hAnsi="仿宋_GB2312" w:cs="仿宋_GB2312"/>
          <w:color w:val="auto"/>
          <w:kern w:val="2"/>
          <w:sz w:val="32"/>
          <w:szCs w:val="32"/>
          <w:highlight w:val="none"/>
        </w:rPr>
      </w:pPr>
      <w:bookmarkStart w:id="24" w:name="_Toc57146357"/>
      <w:r>
        <w:rPr>
          <w:rFonts w:hint="eastAsia" w:hAnsi="仿宋_GB2312" w:cs="仿宋_GB2312"/>
          <w:color w:val="auto"/>
          <w:kern w:val="2"/>
          <w:sz w:val="32"/>
          <w:szCs w:val="32"/>
          <w:highlight w:val="none"/>
        </w:rPr>
        <w:t>邛溪镇具有党委、政府两种职能，党委领导政府工作。主要是政治思想和方针政策的领导，干部的选拔，考核和监督，经济和行政工作中的重大问题的决策。乡政府属于基层国家行政机关，行使本行政区的行政职能。</w:t>
      </w:r>
      <w:bookmarkEnd w:id="24"/>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8" w:lineRule="atLeast"/>
        <w:ind w:right="0" w:firstLine="643" w:firstLineChars="200"/>
        <w:jc w:val="left"/>
        <w:rPr>
          <w:rFonts w:hint="eastAsia" w:ascii="仿宋_GB2312" w:hAnsi="仿宋_GB2312" w:eastAsia="仿宋_GB2312" w:cs="仿宋_GB2312"/>
          <w:b/>
          <w:color w:val="auto"/>
          <w:kern w:val="0"/>
          <w:sz w:val="32"/>
          <w:szCs w:val="32"/>
          <w:highlight w:val="none"/>
          <w:lang w:val="en-US" w:eastAsia="zh-CN" w:bidi="ar-SA"/>
        </w:rPr>
      </w:pPr>
      <w:bookmarkStart w:id="25" w:name="_Toc15396601"/>
      <w:bookmarkStart w:id="26" w:name="_Toc15377200"/>
      <w:bookmarkStart w:id="27" w:name="_Toc57146359"/>
      <w:r>
        <w:rPr>
          <w:rFonts w:hint="eastAsia" w:ascii="仿宋_GB2312" w:hAnsi="仿宋_GB2312" w:eastAsia="仿宋_GB2312" w:cs="仿宋_GB2312"/>
          <w:b/>
          <w:color w:val="auto"/>
          <w:kern w:val="0"/>
          <w:sz w:val="32"/>
          <w:szCs w:val="32"/>
          <w:highlight w:val="none"/>
          <w:lang w:val="en-US" w:eastAsia="zh-CN" w:bidi="ar-SA"/>
        </w:rPr>
        <w:t>（二）2021年工作总结</w:t>
      </w:r>
    </w:p>
    <w:p>
      <w:pPr>
        <w:keepNext w:val="0"/>
        <w:keepLines w:val="0"/>
        <w:pageBreakBefore w:val="0"/>
        <w:kinsoku/>
        <w:wordWrap/>
        <w:overflowPunct/>
        <w:topLinePunct w:val="0"/>
        <w:spacing w:line="576" w:lineRule="exact"/>
        <w:ind w:firstLine="640" w:firstLineChars="200"/>
        <w:textAlignment w:val="auto"/>
        <w:rPr>
          <w:rFonts w:hint="eastAsia" w:ascii="仿宋_GB2312" w:eastAsia="仿宋_GB2312"/>
          <w:b/>
          <w:sz w:val="32"/>
          <w:szCs w:val="32"/>
          <w:lang w:eastAsia="zh-CN"/>
        </w:rPr>
      </w:pPr>
      <w:r>
        <w:rPr>
          <w:rFonts w:hint="eastAsia" w:ascii="仿宋_GB2312" w:hAnsi="宋体" w:eastAsia="仿宋_GB2312" w:cs="宋体"/>
          <w:color w:val="000000"/>
          <w:kern w:val="0"/>
          <w:sz w:val="32"/>
          <w:szCs w:val="32"/>
          <w:lang w:val="en-US" w:eastAsia="zh-CN"/>
        </w:rPr>
        <w:t>2021年</w:t>
      </w:r>
      <w:r>
        <w:rPr>
          <w:rFonts w:hint="eastAsia" w:ascii="仿宋_GB2312" w:hAnsi="宋体" w:eastAsia="仿宋_GB2312" w:cs="宋体"/>
          <w:color w:val="000000"/>
          <w:kern w:val="0"/>
          <w:sz w:val="32"/>
          <w:szCs w:val="32"/>
        </w:rPr>
        <w:t>镇政府紧扣发展，统筹全局，团结协作，实干兴镇，</w:t>
      </w:r>
      <w:r>
        <w:rPr>
          <w:rFonts w:hint="eastAsia" w:ascii="楷体_GB2312" w:hAnsi="楷体_GB2312" w:eastAsia="楷体_GB2312" w:cs="楷体_GB2312"/>
          <w:b/>
          <w:sz w:val="32"/>
          <w:lang w:val="en-US" w:eastAsia="zh-CN"/>
        </w:rPr>
        <w:t>一是</w:t>
      </w:r>
      <w:r>
        <w:rPr>
          <w:rStyle w:val="33"/>
          <w:rFonts w:hint="eastAsia" w:ascii="楷体_GB2312" w:hAnsi="楷体_GB2312" w:eastAsia="楷体_GB2312" w:cs="楷体_GB2312"/>
          <w:b/>
          <w:sz w:val="32"/>
          <w:szCs w:val="32"/>
        </w:rPr>
        <w:t>整合项目，进一步完善基础设施。</w:t>
      </w:r>
      <w:r>
        <w:rPr>
          <w:rFonts w:hint="eastAsia" w:ascii="仿宋_GB2312" w:hAnsi="仿宋_GB2312" w:eastAsia="仿宋_GB2312" w:cs="仿宋_GB2312"/>
          <w:sz w:val="32"/>
          <w:szCs w:val="32"/>
          <w:lang w:val="en-US" w:eastAsia="zh-CN"/>
        </w:rPr>
        <w:t>积极规划完善乡村城市布局，加强与省州县发改、交通、水务、农牧等部门对接、申报项目，先后实施了幸福美丽家园巩固提升工程、牧道和暖棚、农村公路、安全饮水等重大基础设施建设工程，全镇各村社基础设施得到进一步完善，经济发展基础进一步夯实。五年来，新建牧道80公里；维修牧道12公里;新建8座板涵桥；投资1545万元实施热坤村、达格龙村通村通畅工程；安装太阳能路灯36盏；新建暖棚231个；对两个社区427户居民进行棚户区改造；实施藏区新居建设，共补助287.43万元，解决了116户无房户、特困户的住房问题。</w:t>
      </w:r>
      <w:r>
        <w:rPr>
          <w:rFonts w:hint="eastAsia" w:ascii="楷体_GB2312" w:hAnsi="楷体_GB2312" w:eastAsia="楷体_GB2312" w:cs="楷体_GB2312"/>
          <w:b/>
          <w:sz w:val="32"/>
          <w:lang w:val="en-US" w:eastAsia="zh-CN"/>
        </w:rPr>
        <w:t>二是深挖潜力，进一步</w:t>
      </w:r>
      <w:r>
        <w:rPr>
          <w:rStyle w:val="33"/>
          <w:rFonts w:hint="eastAsia" w:ascii="楷体_GB2312" w:hAnsi="楷体_GB2312" w:eastAsia="楷体_GB2312" w:cs="楷体_GB2312"/>
          <w:b/>
          <w:sz w:val="32"/>
          <w:szCs w:val="32"/>
        </w:rPr>
        <w:t>抓好畜牧</w:t>
      </w:r>
      <w:r>
        <w:rPr>
          <w:rStyle w:val="33"/>
          <w:rFonts w:hint="eastAsia" w:ascii="楷体_GB2312" w:hAnsi="楷体_GB2312" w:eastAsia="楷体_GB2312" w:cs="楷体_GB2312"/>
          <w:b/>
          <w:sz w:val="32"/>
          <w:szCs w:val="32"/>
          <w:lang w:eastAsia="zh-CN"/>
        </w:rPr>
        <w:t>产</w:t>
      </w:r>
      <w:r>
        <w:rPr>
          <w:rStyle w:val="33"/>
          <w:rFonts w:hint="eastAsia" w:ascii="楷体_GB2312" w:hAnsi="楷体_GB2312" w:eastAsia="楷体_GB2312" w:cs="楷体_GB2312"/>
          <w:b/>
          <w:sz w:val="32"/>
          <w:szCs w:val="32"/>
        </w:rPr>
        <w:t>业</w:t>
      </w:r>
      <w:r>
        <w:rPr>
          <w:rStyle w:val="33"/>
          <w:rFonts w:hint="eastAsia" w:ascii="楷体_GB2312" w:hAnsi="仿宋_GB2312" w:eastAsia="楷体_GB2312" w:cs="仿宋_GB2312"/>
          <w:b/>
          <w:sz w:val="32"/>
          <w:szCs w:val="32"/>
        </w:rPr>
        <w:t>。</w:t>
      </w:r>
      <w:r>
        <w:rPr>
          <w:rFonts w:hint="eastAsia" w:ascii="仿宋_GB2312" w:hAnsi="仿宋_GB2312" w:eastAsia="仿宋_GB2312" w:cs="仿宋_GB2312"/>
          <w:sz w:val="32"/>
          <w:szCs w:val="32"/>
          <w:lang w:val="en-US" w:eastAsia="zh-CN"/>
        </w:rPr>
        <w:t>全面整合资源优势，深入分析全镇产业发展形势，提出重点围绕“稳畜调结构、增收奔小康”的工作思路，大力实施“科技兴牧”战略。截止“十二五”末，全镇种植人工草地1.96万亩，储备冬草16.8亿公斤；冻精改良牦牛800头，免疫各类牲畜6.5万头次；牲畜存栏6.9万混合头、出栏1.7万混合头，出栏率达25.8%、商品率达20%；肉类产量147.16万公斤，奶类产量2280吨，收入1596万元，出售酥油5456公斤，收入31.259万元，出售奶渣6741公斤，收入37.434万元。牦牛保险参保55361头，参保率89%。</w:t>
      </w:r>
      <w:r>
        <w:rPr>
          <w:rFonts w:hint="eastAsia" w:ascii="楷体_GB2312" w:hAnsi="楷体_GB2312" w:eastAsia="楷体_GB2312" w:cs="楷体_GB2312"/>
          <w:b/>
          <w:sz w:val="32"/>
          <w:lang w:val="en-US" w:eastAsia="zh-CN"/>
        </w:rPr>
        <w:t>三是创新思维，进一步</w:t>
      </w:r>
      <w:r>
        <w:rPr>
          <w:rStyle w:val="33"/>
          <w:rFonts w:hint="eastAsia" w:ascii="楷体_GB2312" w:hAnsi="楷体_GB2312" w:eastAsia="楷体_GB2312" w:cs="楷体_GB2312"/>
          <w:b/>
          <w:sz w:val="32"/>
          <w:szCs w:val="32"/>
        </w:rPr>
        <w:t>拓展经济增</w:t>
      </w:r>
      <w:r>
        <w:rPr>
          <w:rStyle w:val="33"/>
          <w:rFonts w:hint="eastAsia" w:ascii="楷体_GB2312" w:hAnsi="楷体_GB2312" w:eastAsia="楷体_GB2312" w:cs="楷体_GB2312"/>
          <w:b/>
          <w:sz w:val="32"/>
          <w:szCs w:val="32"/>
          <w:lang w:eastAsia="zh-CN"/>
        </w:rPr>
        <w:t>长</w:t>
      </w:r>
      <w:r>
        <w:rPr>
          <w:rStyle w:val="33"/>
          <w:rFonts w:hint="eastAsia" w:ascii="楷体_GB2312" w:hAnsi="楷体_GB2312" w:eastAsia="楷体_GB2312" w:cs="楷体_GB2312"/>
          <w:b/>
          <w:sz w:val="32"/>
          <w:szCs w:val="32"/>
        </w:rPr>
        <w:t>点</w:t>
      </w:r>
      <w:r>
        <w:rPr>
          <w:rStyle w:val="33"/>
          <w:rFonts w:hint="eastAsia" w:ascii="楷体_GB2312" w:hAnsi="仿宋_GB2312" w:eastAsia="楷体_GB2312" w:cs="仿宋_GB2312"/>
          <w:b/>
          <w:sz w:val="32"/>
          <w:szCs w:val="32"/>
        </w:rPr>
        <w:t>。</w:t>
      </w:r>
      <w:r>
        <w:rPr>
          <w:rFonts w:hint="eastAsia" w:ascii="仿宋_GB2312" w:hAnsi="仿宋_GB2312" w:eastAsia="仿宋_GB2312" w:cs="仿宋_GB2312"/>
          <w:sz w:val="32"/>
          <w:szCs w:val="32"/>
          <w:lang w:val="en-US" w:eastAsia="zh-CN"/>
        </w:rPr>
        <w:t>坚持以“做强现代畜牧业、做大中心城镇、做优旅游经济”三大板块为重点，以发展畜产品精深加工和“两园两场四基地”建设为抓手，统筹抓好现代草原畜牧业建设，规划完成邛溪镇生态养殖种植休闲观光园区，带领社区“两委”牵头组建以“社区党支部+公司”为模式的家政服务公司，着力解决了社区困难群众就业问题，运营后解决了120余人的就业问题。</w:t>
      </w:r>
      <w:r>
        <w:rPr>
          <w:rStyle w:val="33"/>
          <w:rFonts w:hint="eastAsia" w:ascii="仿宋_GB2312" w:hAnsi="华文仿宋" w:eastAsia="仿宋_GB2312" w:cs="华文仿宋"/>
          <w:sz w:val="32"/>
          <w:szCs w:val="32"/>
        </w:rPr>
        <w:t>大胆探索第三产业发展，以增加农牧群众收入和解决剩余劳动力为工作出发点和落脚点，</w:t>
      </w:r>
      <w:r>
        <w:rPr>
          <w:rStyle w:val="33"/>
          <w:rFonts w:hint="eastAsia" w:ascii="仿宋_GB2312" w:hAnsi="Adobe 仿宋 Std R" w:eastAsia="仿宋_GB2312"/>
          <w:sz w:val="32"/>
          <w:szCs w:val="32"/>
        </w:rPr>
        <w:t>多渠道宣传我镇自驾游和牧家乐，多形式培训提高其业务水平和管理水平，全力提升旅游整体形象和旅游接待服务能力。</w:t>
      </w:r>
      <w:r>
        <w:rPr>
          <w:rStyle w:val="33"/>
          <w:rFonts w:hint="eastAsia" w:ascii="仿宋_GB2312" w:hAnsi="Adobe 仿宋 Std R" w:eastAsia="仿宋_GB2312"/>
          <w:sz w:val="32"/>
          <w:szCs w:val="32"/>
          <w:lang w:eastAsia="zh-CN"/>
        </w:rPr>
        <w:t>截至目前</w:t>
      </w:r>
      <w:r>
        <w:rPr>
          <w:rStyle w:val="33"/>
          <w:rFonts w:hint="eastAsia" w:ascii="仿宋_GB2312" w:hAnsi="Adobe 仿宋 Std R" w:eastAsia="仿宋_GB2312"/>
          <w:sz w:val="32"/>
          <w:szCs w:val="32"/>
        </w:rPr>
        <w:t>，</w:t>
      </w:r>
      <w:r>
        <w:rPr>
          <w:rStyle w:val="33"/>
          <w:rFonts w:hint="eastAsia" w:ascii="仿宋_GB2312" w:eastAsia="仿宋_GB2312"/>
          <w:sz w:val="32"/>
          <w:szCs w:val="32"/>
        </w:rPr>
        <w:t>全镇</w:t>
      </w:r>
      <w:r>
        <w:rPr>
          <w:rStyle w:val="33"/>
          <w:rFonts w:hint="eastAsia" w:ascii="仿宋_GB2312" w:eastAsia="仿宋_GB2312"/>
          <w:sz w:val="32"/>
          <w:szCs w:val="32"/>
          <w:lang w:eastAsia="zh-CN"/>
        </w:rPr>
        <w:t>共发展</w:t>
      </w:r>
      <w:r>
        <w:rPr>
          <w:rStyle w:val="33"/>
          <w:rFonts w:hint="eastAsia" w:ascii="仿宋_GB2312" w:eastAsia="仿宋_GB2312"/>
          <w:sz w:val="32"/>
          <w:szCs w:val="32"/>
        </w:rPr>
        <w:t>11</w:t>
      </w:r>
      <w:r>
        <w:rPr>
          <w:rStyle w:val="33"/>
          <w:rFonts w:hint="eastAsia" w:ascii="仿宋_GB2312" w:eastAsia="仿宋_GB2312"/>
          <w:sz w:val="32"/>
          <w:szCs w:val="32"/>
          <w:lang w:eastAsia="zh-CN"/>
        </w:rPr>
        <w:t>家</w:t>
      </w:r>
      <w:r>
        <w:rPr>
          <w:rStyle w:val="33"/>
          <w:rFonts w:hint="eastAsia" w:ascii="仿宋_GB2312" w:eastAsia="仿宋_GB2312"/>
          <w:sz w:val="32"/>
          <w:szCs w:val="32"/>
        </w:rPr>
        <w:t>牧家乐，</w:t>
      </w:r>
      <w:r>
        <w:rPr>
          <w:rStyle w:val="33"/>
          <w:rFonts w:hint="eastAsia" w:ascii="仿宋_GB2312" w:eastAsia="仿宋_GB2312"/>
          <w:color w:val="000000"/>
          <w:sz w:val="32"/>
          <w:szCs w:val="32"/>
        </w:rPr>
        <w:t>28家庭宾馆、49</w:t>
      </w:r>
      <w:r>
        <w:rPr>
          <w:rStyle w:val="33"/>
          <w:rFonts w:hint="eastAsia" w:ascii="仿宋_GB2312" w:eastAsia="仿宋_GB2312"/>
          <w:sz w:val="32"/>
          <w:szCs w:val="32"/>
        </w:rPr>
        <w:t>户餐饮经营户</w:t>
      </w:r>
      <w:r>
        <w:rPr>
          <w:rStyle w:val="33"/>
          <w:rFonts w:hint="eastAsia" w:ascii="仿宋_GB2312" w:eastAsia="仿宋_GB2312"/>
          <w:sz w:val="32"/>
          <w:szCs w:val="32"/>
          <w:lang w:eastAsia="zh-CN"/>
        </w:rPr>
        <w:t>，</w:t>
      </w:r>
      <w:r>
        <w:rPr>
          <w:rStyle w:val="33"/>
          <w:rFonts w:hint="eastAsia" w:ascii="仿宋_GB2312" w:eastAsia="仿宋_GB2312"/>
          <w:sz w:val="32"/>
          <w:szCs w:val="32"/>
        </w:rPr>
        <w:t>共接待游客28万人次，实现产值2204.4万元。鼓励群众转移富余劳动力，从事采药、旅游和劳务服务等行业，</w:t>
      </w:r>
      <w:r>
        <w:rPr>
          <w:rStyle w:val="33"/>
          <w:rFonts w:hint="eastAsia" w:ascii="仿宋_GB2312" w:eastAsia="仿宋_GB2312"/>
          <w:sz w:val="32"/>
          <w:szCs w:val="32"/>
          <w:lang w:eastAsia="zh-CN"/>
        </w:rPr>
        <w:t>仅</w:t>
      </w:r>
      <w:r>
        <w:rPr>
          <w:rStyle w:val="33"/>
          <w:rFonts w:hint="eastAsia" w:ascii="仿宋_GB2312" w:eastAsia="仿宋_GB2312"/>
          <w:sz w:val="32"/>
          <w:szCs w:val="32"/>
        </w:rPr>
        <w:t>今年</w:t>
      </w:r>
      <w:r>
        <w:rPr>
          <w:rFonts w:hint="eastAsia" w:ascii="仿宋_GB2312" w:eastAsia="仿宋_GB2312"/>
          <w:sz w:val="32"/>
          <w:szCs w:val="32"/>
        </w:rPr>
        <w:t>劳务输出309人，</w:t>
      </w:r>
      <w:r>
        <w:rPr>
          <w:rFonts w:hint="eastAsia" w:ascii="仿宋_GB2312" w:eastAsia="仿宋_GB2312"/>
          <w:sz w:val="32"/>
          <w:szCs w:val="32"/>
          <w:lang w:eastAsia="zh-CN"/>
        </w:rPr>
        <w:t>实现</w:t>
      </w:r>
      <w:r>
        <w:rPr>
          <w:rFonts w:hint="eastAsia" w:ascii="仿宋_GB2312" w:eastAsia="仿宋_GB2312"/>
          <w:sz w:val="32"/>
          <w:szCs w:val="32"/>
        </w:rPr>
        <w:t>虫草、贝母、甘松等药材收入146.5172万元</w:t>
      </w:r>
      <w:r>
        <w:rPr>
          <w:rFonts w:hint="eastAsia" w:ascii="仿宋_GB2312" w:eastAsia="仿宋_GB2312"/>
          <w:sz w:val="32"/>
          <w:szCs w:val="32"/>
          <w:lang w:eastAsia="zh-CN"/>
        </w:rPr>
        <w:t>。</w:t>
      </w:r>
    </w:p>
    <w:p>
      <w:pPr>
        <w:keepNext w:val="0"/>
        <w:keepLines w:val="0"/>
        <w:pageBreakBefore w:val="0"/>
        <w:kinsoku/>
        <w:wordWrap/>
        <w:overflowPunct/>
        <w:topLinePunct w:val="0"/>
        <w:spacing w:line="576" w:lineRule="exact"/>
        <w:ind w:firstLine="643" w:firstLineChars="200"/>
        <w:textAlignment w:val="auto"/>
        <w:rPr>
          <w:rFonts w:hint="eastAsia" w:ascii="仿宋_GB2312" w:hAnsi="仿宋_GB2312" w:eastAsia="仿宋_GB2312"/>
          <w:sz w:val="32"/>
        </w:rPr>
      </w:pPr>
      <w:r>
        <w:rPr>
          <w:rFonts w:hint="eastAsia" w:ascii="楷体_GB2312" w:hAnsi="楷体_GB2312" w:eastAsia="楷体_GB2312" w:cs="楷体_GB2312"/>
          <w:b/>
          <w:sz w:val="32"/>
          <w:szCs w:val="32"/>
        </w:rPr>
        <w:t>教育工作再上新台阶。</w:t>
      </w:r>
      <w:r>
        <w:rPr>
          <w:rStyle w:val="33"/>
          <w:rFonts w:hint="eastAsia" w:ascii="仿宋_GB2312" w:hAnsi="仿宋" w:eastAsia="仿宋_GB2312"/>
          <w:sz w:val="32"/>
          <w:szCs w:val="32"/>
        </w:rPr>
        <w:t>全面贯彻教育方针，切实加强教育工作，认真贯彻落实《阿坝州教育条例》，全面实施学前三年义务教育，加强学前教育发展的领导，制订切实可行的学前教育发展规划，认真做好省、州、县三级学前教育督导评估工作，</w:t>
      </w:r>
      <w:r>
        <w:rPr>
          <w:rFonts w:hint="eastAsia" w:ascii="仿宋_GB2312" w:hAnsi="仿宋_GB2312" w:eastAsia="仿宋_GB2312"/>
          <w:sz w:val="32"/>
        </w:rPr>
        <w:t>全镇正常适龄儿童1010人，入学1010人,小学入学率达99%，初中阶段入学率达98%，非文盲率达98.5%。</w:t>
      </w:r>
    </w:p>
    <w:p>
      <w:pPr>
        <w:keepNext w:val="0"/>
        <w:keepLines w:val="0"/>
        <w:pageBreakBefore w:val="0"/>
        <w:kinsoku/>
        <w:wordWrap/>
        <w:overflowPunct/>
        <w:topLinePunct w:val="0"/>
        <w:spacing w:line="576" w:lineRule="exact"/>
        <w:ind w:firstLine="643" w:firstLineChars="200"/>
        <w:textAlignment w:val="auto"/>
        <w:rPr>
          <w:rFonts w:hint="eastAsia" w:ascii="仿宋_GB2312" w:hAnsi="仿宋_GB2312" w:eastAsia="仿宋_GB2312" w:cs="仿宋_GB2312"/>
          <w:color w:val="auto"/>
          <w:sz w:val="32"/>
          <w:szCs w:val="32"/>
        </w:rPr>
      </w:pPr>
      <w:r>
        <w:rPr>
          <w:rFonts w:hint="eastAsia" w:ascii="楷体_GB2312" w:hAnsi="楷体_GB2312" w:eastAsia="楷体_GB2312" w:cs="楷体_GB2312"/>
          <w:b/>
          <w:color w:val="000000"/>
          <w:sz w:val="32"/>
          <w:szCs w:val="32"/>
        </w:rPr>
        <w:t>卫生、计生工作取得新成效。</w:t>
      </w:r>
      <w:r>
        <w:rPr>
          <w:rFonts w:hint="eastAsia" w:ascii="仿宋_GB2312" w:hAnsi="仿宋_GB2312" w:eastAsia="仿宋_GB2312" w:cs="仿宋_GB2312"/>
          <w:color w:val="auto"/>
          <w:sz w:val="32"/>
          <w:szCs w:val="32"/>
        </w:rPr>
        <w:t>全力配合上级相关部门深入各村社区大力宣传艾滋病、结核病、包虫病、鼠疫、炭疽疫等疾病防治措施，医疗服务能力和水平显著提高。赴远牧点开展巡回义诊6次，共有1000余名妇女接受检查； 2015年新型农村合作医疗参合率达100 %。不断完善计划生育工作机制，稳定低生育水平，确保了人口自然增长率</w:t>
      </w:r>
      <w:r>
        <w:rPr>
          <w:rFonts w:hint="eastAsia" w:ascii="仿宋_GB2312" w:hAnsi="仿宋_GB2312" w:eastAsia="仿宋_GB2312" w:cs="仿宋_GB2312"/>
          <w:color w:val="auto"/>
          <w:sz w:val="32"/>
          <w:szCs w:val="32"/>
          <w:lang w:val="en-US" w:eastAsia="zh-CN"/>
        </w:rPr>
        <w:t>13.5</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2015年</w:t>
      </w:r>
      <w:r>
        <w:rPr>
          <w:rFonts w:hint="eastAsia" w:ascii="仿宋_GB2312" w:hAnsi="仿宋_GB2312" w:eastAsia="仿宋_GB2312" w:cs="仿宋_GB2312"/>
          <w:color w:val="auto"/>
          <w:sz w:val="32"/>
          <w:szCs w:val="32"/>
        </w:rPr>
        <w:t>全镇新生婴儿137人。</w:t>
      </w:r>
    </w:p>
    <w:p>
      <w:pPr>
        <w:keepNext w:val="0"/>
        <w:keepLines w:val="0"/>
        <w:pageBreakBefore w:val="0"/>
        <w:kinsoku/>
        <w:wordWrap/>
        <w:overflowPunct/>
        <w:topLinePunct w:val="0"/>
        <w:spacing w:line="576" w:lineRule="exact"/>
        <w:ind w:firstLine="643" w:firstLineChars="200"/>
        <w:textAlignment w:val="auto"/>
        <w:rPr>
          <w:rFonts w:hint="eastAsia" w:ascii="仿宋_GB2312" w:hAnsi="仿宋" w:eastAsia="仿宋_GB2312" w:cs="方正仿宋简体"/>
          <w:color w:val="000000"/>
          <w:sz w:val="32"/>
          <w:szCs w:val="32"/>
        </w:rPr>
      </w:pPr>
      <w:r>
        <w:rPr>
          <w:rFonts w:hint="eastAsia" w:ascii="楷体_GB2312" w:hAnsi="楷体_GB2312" w:eastAsia="楷体_GB2312" w:cs="楷体_GB2312"/>
          <w:b/>
          <w:color w:val="auto"/>
          <w:sz w:val="32"/>
          <w:szCs w:val="32"/>
        </w:rPr>
        <w:t>全面落实就业再就业政策。</w:t>
      </w:r>
      <w:r>
        <w:rPr>
          <w:rFonts w:hint="eastAsia" w:ascii="仿宋_GB2312" w:eastAsia="仿宋_GB2312"/>
          <w:color w:val="auto"/>
          <w:sz w:val="33"/>
          <w:szCs w:val="33"/>
        </w:rPr>
        <w:t>积极扩大就业规模，提高就业质量。</w:t>
      </w:r>
      <w:r>
        <w:rPr>
          <w:rFonts w:hint="eastAsia" w:ascii="仿宋_GB2312" w:eastAsia="仿宋_GB2312"/>
          <w:color w:val="auto"/>
          <w:sz w:val="33"/>
          <w:szCs w:val="33"/>
          <w:lang w:val="en-US" w:eastAsia="zh-CN"/>
        </w:rPr>
        <w:t>2015</w:t>
      </w:r>
      <w:r>
        <w:rPr>
          <w:rFonts w:hint="eastAsia" w:ascii="仿宋_GB2312" w:eastAsia="仿宋_GB2312"/>
          <w:color w:val="auto"/>
          <w:sz w:val="33"/>
          <w:szCs w:val="33"/>
        </w:rPr>
        <w:t>年，</w:t>
      </w:r>
      <w:r>
        <w:rPr>
          <w:rFonts w:hint="eastAsia" w:ascii="仿宋_GB2312" w:eastAsia="仿宋_GB2312" w:cs="方正仿宋简体"/>
          <w:color w:val="auto"/>
          <w:sz w:val="32"/>
          <w:szCs w:val="32"/>
        </w:rPr>
        <w:t>镇党委、政府精心谋划，精心组织，</w:t>
      </w:r>
      <w:r>
        <w:rPr>
          <w:rFonts w:hint="eastAsia" w:ascii="仿宋_GB2312" w:hAnsi="方正仿宋简体" w:eastAsia="仿宋_GB2312" w:cs="方正仿宋简体"/>
          <w:color w:val="auto"/>
          <w:sz w:val="32"/>
          <w:szCs w:val="32"/>
        </w:rPr>
        <w:t>对邛溪镇现代农业种养园区建设进行总体规划，争取项目资金88万元，用于大棚蔬菜的基础设施建设，实现群众转产转业增收。成立</w:t>
      </w:r>
      <w:r>
        <w:rPr>
          <w:rFonts w:hint="eastAsia" w:ascii="仿宋_GB2312" w:hAnsi="仿宋" w:eastAsia="仿宋_GB2312" w:cs="方正仿宋简体"/>
          <w:color w:val="auto"/>
          <w:sz w:val="32"/>
          <w:szCs w:val="32"/>
        </w:rPr>
        <w:t>家政服</w:t>
      </w:r>
      <w:r>
        <w:rPr>
          <w:rFonts w:hint="eastAsia" w:ascii="仿宋_GB2312" w:hAnsi="仿宋" w:eastAsia="仿宋_GB2312" w:cs="方正仿宋简体"/>
          <w:color w:val="000000"/>
          <w:sz w:val="32"/>
          <w:szCs w:val="32"/>
        </w:rPr>
        <w:t>务公司，主营家政、环卫、物业管理、会议会</w:t>
      </w:r>
      <w:r>
        <w:rPr>
          <w:rFonts w:hint="eastAsia" w:ascii="仿宋_GB2312" w:hAnsi="仿宋" w:eastAsia="仿宋_GB2312" w:cs="方正仿宋简体"/>
          <w:color w:val="000000"/>
          <w:sz w:val="32"/>
          <w:szCs w:val="32"/>
          <w:lang w:eastAsia="zh-CN"/>
        </w:rPr>
        <w:t>务</w:t>
      </w:r>
      <w:r>
        <w:rPr>
          <w:rFonts w:hint="eastAsia" w:ascii="仿宋_GB2312" w:hAnsi="仿宋" w:eastAsia="仿宋_GB2312" w:cs="方正仿宋简体"/>
          <w:color w:val="000000"/>
          <w:sz w:val="32"/>
          <w:szCs w:val="32"/>
        </w:rPr>
        <w:t>服务等业务，服务人员从社区及各村人员中招聘，通过培训择优竞争上岗，着力解决了社区困难群众就业问题。</w:t>
      </w:r>
    </w:p>
    <w:p>
      <w:pPr>
        <w:keepNext w:val="0"/>
        <w:keepLines w:val="0"/>
        <w:pageBreakBefore w:val="0"/>
        <w:kinsoku/>
        <w:wordWrap/>
        <w:overflowPunct/>
        <w:topLinePunct w:val="0"/>
        <w:spacing w:line="576" w:lineRule="exact"/>
        <w:ind w:firstLine="643" w:firstLineChars="200"/>
        <w:textAlignment w:val="auto"/>
        <w:rPr>
          <w:rFonts w:hint="eastAsia" w:ascii="仿宋_GB2312" w:eastAsia="仿宋_GB2312"/>
          <w:color w:val="C00000"/>
          <w:sz w:val="32"/>
          <w:szCs w:val="32"/>
        </w:rPr>
      </w:pPr>
      <w:r>
        <w:rPr>
          <w:rFonts w:hint="eastAsia" w:ascii="楷体_GB2312" w:hAnsi="楷体_GB2312" w:eastAsia="楷体_GB2312" w:cs="楷体_GB2312"/>
          <w:b/>
          <w:sz w:val="32"/>
          <w:szCs w:val="32"/>
        </w:rPr>
        <w:t>全面提高社会保障水平。</w:t>
      </w:r>
      <w:r>
        <w:rPr>
          <w:rFonts w:hint="eastAsia" w:ascii="仿宋_GB2312" w:hAnsi="仿宋_GB2312" w:eastAsia="仿宋_GB2312" w:cs="仿宋_GB2312"/>
          <w:sz w:val="33"/>
          <w:szCs w:val="33"/>
        </w:rPr>
        <w:t>全镇享受农村低保共965人，全额发放补助金93.6894万余元；享受城镇低保615人，全额发放补助金142.065万元；享受大骨节患者生活补助311人，发放生活补助金35.9205万元；全镇五保户11人，发放生活补助金3.432万元，</w:t>
      </w:r>
      <w:r>
        <w:rPr>
          <w:rFonts w:hint="eastAsia" w:ascii="仿宋_GB2312" w:eastAsia="仿宋_GB2312"/>
          <w:sz w:val="32"/>
          <w:szCs w:val="32"/>
        </w:rPr>
        <w:t>发放高龄补贴103人6.432万元；</w:t>
      </w:r>
      <w:r>
        <w:rPr>
          <w:rFonts w:hint="eastAsia" w:ascii="仿宋_GB2312" w:hAnsi="仿宋_GB2312" w:eastAsia="仿宋_GB2312" w:cs="仿宋_GB2312"/>
          <w:sz w:val="33"/>
          <w:szCs w:val="33"/>
        </w:rPr>
        <w:t>新型农村养老保险牧民参保1329人，享受待遇456人;</w:t>
      </w:r>
      <w:r>
        <w:rPr>
          <w:rFonts w:hint="eastAsia" w:ascii="仿宋_GB2312" w:hAnsi="仿宋" w:eastAsia="仿宋_GB2312"/>
          <w:sz w:val="32"/>
          <w:szCs w:val="32"/>
        </w:rPr>
        <w:t xml:space="preserve"> </w:t>
      </w:r>
      <w:r>
        <w:rPr>
          <w:rFonts w:hint="eastAsia" w:ascii="仿宋_GB2312" w:eastAsia="仿宋_GB2312"/>
          <w:sz w:val="32"/>
          <w:szCs w:val="32"/>
        </w:rPr>
        <w:t>发放城乡医疗救助38人10.8011万元</w:t>
      </w:r>
      <w:r>
        <w:rPr>
          <w:rFonts w:hint="eastAsia" w:ascii="仿宋_GB2312" w:hAnsi="仿宋_GB2312" w:eastAsia="仿宋_GB2312" w:cs="仿宋_GB2312"/>
          <w:sz w:val="33"/>
          <w:szCs w:val="33"/>
        </w:rPr>
        <w:t>。</w:t>
      </w:r>
      <w:r>
        <w:rPr>
          <w:rFonts w:hint="eastAsia" w:ascii="仿宋_GB2312" w:hAnsi="仿宋" w:eastAsia="仿宋_GB2312"/>
          <w:sz w:val="32"/>
          <w:szCs w:val="32"/>
        </w:rPr>
        <w:t>城镇登记失业率控制在7.8%以内</w:t>
      </w:r>
      <w:r>
        <w:rPr>
          <w:rFonts w:hint="eastAsia" w:ascii="仿宋_GB2312" w:eastAsia="仿宋_GB2312"/>
          <w:sz w:val="32"/>
          <w:szCs w:val="32"/>
        </w:rPr>
        <w:t>。</w:t>
      </w:r>
    </w:p>
    <w:p>
      <w:pPr>
        <w:keepNext w:val="0"/>
        <w:keepLines w:val="0"/>
        <w:pageBreakBefore w:val="0"/>
        <w:shd w:val="clear" w:color="auto" w:fill="auto"/>
        <w:kinsoku/>
        <w:wordWrap/>
        <w:overflowPunct/>
        <w:topLinePunct w:val="0"/>
        <w:adjustRightInd w:val="0"/>
        <w:snapToGrid w:val="0"/>
        <w:spacing w:line="576" w:lineRule="exact"/>
        <w:ind w:firstLine="643" w:firstLineChars="200"/>
        <w:textAlignment w:val="auto"/>
        <w:rPr>
          <w:rFonts w:hint="eastAsia" w:ascii="仿宋_GB2312" w:hAnsi="仿宋" w:eastAsia="仿宋_GB2312" w:cs="方正仿宋简体"/>
          <w:color w:val="000000"/>
          <w:sz w:val="32"/>
          <w:szCs w:val="32"/>
        </w:rPr>
      </w:pPr>
      <w:r>
        <w:rPr>
          <w:rFonts w:hint="eastAsia" w:ascii="楷体_GB2312" w:hAnsi="楷体_GB2312" w:eastAsia="楷体_GB2312" w:cs="楷体_GB2312"/>
          <w:b/>
          <w:sz w:val="32"/>
          <w:szCs w:val="32"/>
        </w:rPr>
        <w:t>加大环境整治整治力度。</w:t>
      </w:r>
      <w:r>
        <w:rPr>
          <w:rFonts w:hint="eastAsia" w:ascii="仿宋_GB2312" w:eastAsia="仿宋_GB2312"/>
          <w:sz w:val="32"/>
          <w:szCs w:val="32"/>
        </w:rPr>
        <w:t>为进一步加强我镇城市规划管理，全面遏制违法建设和违法用地行为。</w:t>
      </w:r>
      <w:r>
        <w:rPr>
          <w:rFonts w:hint="eastAsia" w:ascii="仿宋_GB2312" w:eastAsia="仿宋_GB2312"/>
          <w:color w:val="auto"/>
          <w:sz w:val="32"/>
          <w:szCs w:val="32"/>
          <w:lang w:val="en-US" w:eastAsia="zh-CN"/>
        </w:rPr>
        <w:t>2015</w:t>
      </w:r>
      <w:r>
        <w:rPr>
          <w:rFonts w:hint="eastAsia" w:ascii="仿宋_GB2312" w:eastAsia="仿宋_GB2312"/>
          <w:color w:val="auto"/>
          <w:sz w:val="32"/>
          <w:szCs w:val="32"/>
        </w:rPr>
        <w:t>年共拆除违建房屋2栋，违建围墙35处。</w:t>
      </w:r>
      <w:r>
        <w:rPr>
          <w:rFonts w:hint="eastAsia" w:ascii="仿宋_GB2312" w:eastAsia="仿宋_GB2312"/>
          <w:color w:val="auto"/>
          <w:sz w:val="32"/>
          <w:szCs w:val="32"/>
          <w:lang w:eastAsia="zh-CN"/>
        </w:rPr>
        <w:t>同时，</w:t>
      </w:r>
      <w:r>
        <w:rPr>
          <w:rFonts w:hint="eastAsia" w:ascii="仿宋_GB2312" w:eastAsia="仿宋_GB2312"/>
          <w:color w:val="auto"/>
          <w:sz w:val="32"/>
          <w:szCs w:val="32"/>
        </w:rPr>
        <w:t>加</w:t>
      </w:r>
      <w:r>
        <w:rPr>
          <w:rFonts w:hint="eastAsia" w:ascii="仿宋_GB2312" w:eastAsia="仿宋_GB2312"/>
          <w:sz w:val="32"/>
          <w:szCs w:val="32"/>
        </w:rPr>
        <w:t>强辖区环境整治力度。</w:t>
      </w:r>
      <w:r>
        <w:rPr>
          <w:rFonts w:hint="eastAsia" w:ascii="仿宋_GB2312" w:eastAsia="仿宋_GB2312"/>
          <w:sz w:val="32"/>
          <w:szCs w:val="32"/>
          <w:lang w:eastAsia="zh-CN"/>
        </w:rPr>
        <w:t>每年</w:t>
      </w:r>
      <w:r>
        <w:rPr>
          <w:rFonts w:hint="eastAsia" w:ascii="仿宋_GB2312" w:eastAsia="仿宋_GB2312"/>
          <w:sz w:val="32"/>
          <w:szCs w:val="32"/>
        </w:rPr>
        <w:t>年初与每个村（社区）签订环境整治工作责任书，落实专人负责此项工作；</w:t>
      </w:r>
      <w:r>
        <w:rPr>
          <w:rFonts w:hint="eastAsia" w:ascii="仿宋_GB2312" w:eastAsia="仿宋_GB2312"/>
          <w:sz w:val="32"/>
          <w:szCs w:val="32"/>
          <w:lang w:eastAsia="zh-CN"/>
        </w:rPr>
        <w:t>实行常态化</w:t>
      </w:r>
      <w:r>
        <w:rPr>
          <w:rFonts w:hint="eastAsia" w:ascii="仿宋_GB2312" w:eastAsia="仿宋_GB2312"/>
          <w:sz w:val="32"/>
          <w:szCs w:val="32"/>
        </w:rPr>
        <w:t>整治，</w:t>
      </w:r>
      <w:r>
        <w:rPr>
          <w:rFonts w:hint="eastAsia" w:ascii="仿宋_GB2312" w:eastAsia="仿宋_GB2312"/>
          <w:sz w:val="32"/>
          <w:szCs w:val="32"/>
          <w:lang w:eastAsia="zh-CN"/>
        </w:rPr>
        <w:t>解决</w:t>
      </w:r>
      <w:r>
        <w:rPr>
          <w:rFonts w:hint="eastAsia" w:ascii="仿宋_GB2312" w:eastAsia="仿宋_GB2312"/>
          <w:sz w:val="32"/>
          <w:szCs w:val="32"/>
        </w:rPr>
        <w:t>重点区域、死角</w:t>
      </w:r>
      <w:r>
        <w:rPr>
          <w:rFonts w:hint="eastAsia" w:ascii="仿宋_GB2312" w:eastAsia="仿宋_GB2312"/>
          <w:sz w:val="32"/>
          <w:szCs w:val="32"/>
          <w:lang w:eastAsia="zh-CN"/>
        </w:rPr>
        <w:t>的环境卫生</w:t>
      </w:r>
      <w:r>
        <w:rPr>
          <w:rFonts w:hint="eastAsia" w:ascii="仿宋_GB2312" w:eastAsia="仿宋_GB2312"/>
          <w:sz w:val="32"/>
          <w:szCs w:val="32"/>
        </w:rPr>
        <w:t>。</w:t>
      </w:r>
    </w:p>
    <w:p>
      <w:pPr>
        <w:keepNext w:val="0"/>
        <w:keepLines w:val="0"/>
        <w:pageBreakBefore w:val="0"/>
        <w:kinsoku/>
        <w:wordWrap/>
        <w:overflowPunct/>
        <w:topLinePunct w:val="0"/>
        <w:spacing w:line="576" w:lineRule="exact"/>
        <w:ind w:firstLine="643" w:firstLineChars="200"/>
        <w:textAlignment w:val="auto"/>
        <w:rPr>
          <w:rFonts w:hint="eastAsia" w:ascii="仿宋_GB2312" w:eastAsia="仿宋_GB2312"/>
          <w:color w:val="0000FF"/>
          <w:sz w:val="33"/>
          <w:szCs w:val="33"/>
        </w:rPr>
      </w:pPr>
      <w:r>
        <w:rPr>
          <w:rFonts w:hint="eastAsia" w:ascii="楷体_GB2312" w:hAnsi="楷体_GB2312" w:eastAsia="楷体_GB2312" w:cs="楷体_GB2312"/>
          <w:b/>
          <w:sz w:val="32"/>
          <w:szCs w:val="32"/>
        </w:rPr>
        <w:t>维护社会稳定及社会治安综合治理工作成效显著。</w:t>
      </w:r>
      <w:r>
        <w:rPr>
          <w:rFonts w:hint="eastAsia" w:ascii="仿宋_GB2312" w:hAnsi="仿宋_GB2312" w:eastAsia="仿宋_GB2312" w:cs="仿宋_GB2312"/>
          <w:color w:val="auto"/>
          <w:sz w:val="32"/>
          <w:szCs w:val="32"/>
        </w:rPr>
        <w:t>坚</w:t>
      </w:r>
      <w:r>
        <w:rPr>
          <w:rFonts w:hint="eastAsia" w:ascii="仿宋_GB2312" w:eastAsia="仿宋_GB2312"/>
          <w:color w:val="auto"/>
          <w:sz w:val="32"/>
          <w:szCs w:val="32"/>
        </w:rPr>
        <w:t>持“安全第一、预防为主、综合治理”，通过深化“平安创建”活动，大力推进“平安邛溪”建设，全面加强“大调解”工作力度，从源头上预防和化解了社会矛盾。在工作中及时排查调处影响民族团结、社会稳定的隐患和民间纠纷以及各类突发事件，加强边界联防协作机制，有效维护了草场边界稳定，社会政治稳定，社会治安形势趋好。截止</w:t>
      </w:r>
      <w:r>
        <w:rPr>
          <w:rFonts w:hint="eastAsia" w:ascii="仿宋_GB2312" w:eastAsia="仿宋_GB2312"/>
          <w:color w:val="auto"/>
          <w:sz w:val="32"/>
          <w:szCs w:val="32"/>
          <w:lang w:val="en-US" w:eastAsia="zh-CN"/>
        </w:rPr>
        <w:t>2016年5</w:t>
      </w:r>
      <w:r>
        <w:rPr>
          <w:rFonts w:hint="eastAsia" w:ascii="仿宋_GB2312" w:eastAsia="仿宋_GB2312"/>
          <w:color w:val="auto"/>
          <w:sz w:val="32"/>
          <w:szCs w:val="32"/>
        </w:rPr>
        <w:t>月，调</w:t>
      </w:r>
      <w:r>
        <w:rPr>
          <w:rFonts w:hint="eastAsia" w:ascii="仿宋_GB2312" w:hAnsi="仿宋_GB2312" w:eastAsia="仿宋_GB2312"/>
          <w:color w:val="auto"/>
          <w:sz w:val="32"/>
          <w:szCs w:val="32"/>
        </w:rPr>
        <w:t>解纠纷</w:t>
      </w:r>
      <w:r>
        <w:rPr>
          <w:rFonts w:hint="eastAsia" w:ascii="仿宋_GB2312" w:hAnsi="仿宋_GB2312" w:eastAsia="仿宋_GB2312"/>
          <w:color w:val="auto"/>
          <w:sz w:val="32"/>
          <w:szCs w:val="32"/>
          <w:lang w:val="en-US" w:eastAsia="zh-CN"/>
        </w:rPr>
        <w:t>120</w:t>
      </w:r>
      <w:r>
        <w:rPr>
          <w:rFonts w:hint="eastAsia" w:ascii="仿宋_GB2312" w:hAnsi="仿宋_GB2312" w:eastAsia="仿宋_GB2312"/>
          <w:color w:val="auto"/>
          <w:sz w:val="32"/>
          <w:szCs w:val="32"/>
        </w:rPr>
        <w:t>件，成功率达</w:t>
      </w:r>
      <w:r>
        <w:rPr>
          <w:rFonts w:hint="eastAsia" w:ascii="仿宋_GB2312" w:hAnsi="仿宋_GB2312" w:eastAsia="仿宋_GB2312"/>
          <w:color w:val="auto"/>
          <w:sz w:val="32"/>
          <w:szCs w:val="32"/>
          <w:lang w:val="en-US" w:eastAsia="zh-CN"/>
        </w:rPr>
        <w:t>92.5</w:t>
      </w:r>
      <w:r>
        <w:rPr>
          <w:rFonts w:hint="eastAsia" w:ascii="仿宋_GB2312" w:hAnsi="仿宋_GB2312" w:eastAsia="仿宋_GB2312"/>
          <w:color w:val="auto"/>
          <w:sz w:val="32"/>
          <w:szCs w:val="32"/>
        </w:rPr>
        <w:t>%；</w:t>
      </w:r>
      <w:r>
        <w:rPr>
          <w:rFonts w:hint="eastAsia" w:ascii="仿宋_GB2312" w:hAnsi="仿宋_GB2312" w:eastAsia="仿宋_GB2312" w:cs="仿宋_GB2312"/>
          <w:color w:val="auto"/>
          <w:sz w:val="32"/>
          <w:szCs w:val="32"/>
        </w:rPr>
        <w:t>依托我镇网格化管理，对网格内群众的全覆盖、全方位、全过程动态管理和服务。</w:t>
      </w:r>
      <w:r>
        <w:rPr>
          <w:rFonts w:hint="eastAsia" w:ascii="仿宋_GB2312" w:hAnsi="仿宋_GB2312" w:eastAsia="仿宋_GB2312" w:cs="仿宋_GB2312"/>
          <w:color w:val="auto"/>
          <w:sz w:val="32"/>
          <w:szCs w:val="32"/>
          <w:lang w:eastAsia="zh-CN"/>
        </w:rPr>
        <w:t>仅</w:t>
      </w:r>
      <w:r>
        <w:rPr>
          <w:rFonts w:hint="eastAsia" w:ascii="仿宋_GB2312" w:hAnsi="仿宋_GB2312" w:eastAsia="仿宋_GB2312" w:cs="仿宋_GB2312"/>
          <w:color w:val="auto"/>
          <w:sz w:val="32"/>
          <w:szCs w:val="32"/>
          <w:lang w:val="en-US" w:eastAsia="zh-CN"/>
        </w:rPr>
        <w:t>2015</w:t>
      </w:r>
      <w:r>
        <w:rPr>
          <w:rFonts w:hint="eastAsia" w:ascii="仿宋_GB2312" w:hAnsi="仿宋_GB2312" w:eastAsia="仿宋_GB2312" w:cs="仿宋_GB2312"/>
          <w:color w:val="auto"/>
          <w:sz w:val="32"/>
          <w:szCs w:val="32"/>
        </w:rPr>
        <w:t>年，</w:t>
      </w:r>
      <w:r>
        <w:rPr>
          <w:rFonts w:hint="eastAsia" w:ascii="仿宋_GB2312" w:eastAsia="仿宋_GB2312"/>
          <w:color w:val="auto"/>
          <w:sz w:val="32"/>
          <w:szCs w:val="32"/>
        </w:rPr>
        <w:t>共登记流动人口1221人，为群众用时解决困难682件。</w:t>
      </w:r>
      <w:r>
        <w:rPr>
          <w:rFonts w:hint="eastAsia" w:ascii="仿宋_GB2312" w:eastAsia="仿宋_GB2312"/>
          <w:color w:val="auto"/>
          <w:sz w:val="33"/>
          <w:szCs w:val="33"/>
        </w:rPr>
        <w:t>认真实施“六五”普法规划 ，推进普法依法治理，加强法制宣传教育，宣传面达到98%，切实做好人民调解、社区矫正和安置帮教工作，</w:t>
      </w:r>
      <w:r>
        <w:rPr>
          <w:rFonts w:hint="eastAsia" w:ascii="仿宋_GB2312" w:eastAsia="仿宋_GB2312"/>
          <w:color w:val="auto"/>
          <w:sz w:val="33"/>
          <w:szCs w:val="33"/>
          <w:lang w:val="en-US" w:eastAsia="zh-CN"/>
        </w:rPr>
        <w:t>2015</w:t>
      </w:r>
      <w:r>
        <w:rPr>
          <w:rFonts w:hint="eastAsia" w:ascii="仿宋_GB2312" w:eastAsia="仿宋_GB2312"/>
          <w:color w:val="auto"/>
          <w:sz w:val="33"/>
          <w:szCs w:val="33"/>
        </w:rPr>
        <w:t>年，法律咨询、援助50余件。</w:t>
      </w:r>
    </w:p>
    <w:p>
      <w:pPr>
        <w:keepNext w:val="0"/>
        <w:keepLines w:val="0"/>
        <w:pageBreakBefore w:val="0"/>
        <w:kinsoku/>
        <w:wordWrap/>
        <w:overflowPunct/>
        <w:topLinePunct w:val="0"/>
        <w:adjustRightInd w:val="0"/>
        <w:snapToGrid w:val="0"/>
        <w:spacing w:line="576" w:lineRule="exact"/>
        <w:ind w:firstLine="643" w:firstLineChars="200"/>
        <w:textAlignment w:val="auto"/>
        <w:rPr>
          <w:rFonts w:hint="eastAsia" w:ascii="仿宋_GB2312" w:hAnsi="方正仿宋简体" w:eastAsia="仿宋_GB2312" w:cs="方正仿宋简体"/>
          <w:b/>
          <w:color w:val="000000"/>
          <w:sz w:val="32"/>
          <w:szCs w:val="32"/>
        </w:rPr>
      </w:pPr>
      <w:r>
        <w:rPr>
          <w:rFonts w:hint="eastAsia" w:ascii="楷体_GB2312" w:hAnsi="楷体_GB2312" w:eastAsia="楷体_GB2312" w:cs="楷体_GB2312"/>
          <w:b/>
          <w:sz w:val="32"/>
          <w:szCs w:val="32"/>
        </w:rPr>
        <w:t>全面落实民族宗教政策。</w:t>
      </w:r>
      <w:r>
        <w:rPr>
          <w:rFonts w:hint="eastAsia" w:ascii="仿宋_GB2312" w:hAnsi="方正仿宋简体" w:eastAsia="仿宋_GB2312" w:cs="方正仿宋简体"/>
          <w:color w:val="000000"/>
          <w:sz w:val="32"/>
          <w:szCs w:val="32"/>
        </w:rPr>
        <w:t>为深化寺庙群众工作，镇党委、村“两委”按照“居家僧尼、寺庙僧尼、辖区外僧尼”三个类区，落实三项举措，努力推进藏传佛教与社会主义社会相适应</w:t>
      </w:r>
      <w:r>
        <w:rPr>
          <w:rFonts w:hint="eastAsia" w:ascii="仿宋_GB2312" w:hAnsi="方正仿宋简体" w:eastAsia="仿宋_GB2312" w:cs="方正仿宋简体"/>
          <w:color w:val="000000"/>
          <w:sz w:val="32"/>
          <w:szCs w:val="32"/>
          <w:lang w:eastAsia="zh-CN"/>
        </w:rPr>
        <w:t>，实现寺庙管理规范化。</w:t>
      </w:r>
      <w:r>
        <w:rPr>
          <w:rFonts w:hint="eastAsia" w:ascii="仿宋_GB2312" w:hAnsi="仿宋" w:eastAsia="仿宋_GB2312" w:cs="方正仿宋简体"/>
          <w:color w:val="000000"/>
          <w:sz w:val="32"/>
          <w:szCs w:val="32"/>
        </w:rPr>
        <w:t>加强</w:t>
      </w:r>
      <w:r>
        <w:rPr>
          <w:rFonts w:hint="eastAsia" w:ascii="仿宋_GB2312" w:hAnsi="方正仿宋简体" w:eastAsia="仿宋_GB2312" w:cs="方正仿宋简体"/>
          <w:color w:val="000000"/>
          <w:sz w:val="32"/>
          <w:szCs w:val="32"/>
        </w:rPr>
        <w:t>镇寺管所与村“两委”每月进行研判分析，针对性制定工作举措。采取帮助搞生产，纳入低保、医保、社会救助，捐钱送物等形式，切实帮扶困难僧尼家庭，</w:t>
      </w:r>
      <w:r>
        <w:rPr>
          <w:rFonts w:hint="eastAsia" w:ascii="仿宋_GB2312" w:hAnsi="方正仿宋简体" w:eastAsia="仿宋_GB2312" w:cs="方正仿宋简体"/>
          <w:color w:val="000000"/>
          <w:sz w:val="32"/>
          <w:szCs w:val="32"/>
          <w:lang w:val="en-US" w:eastAsia="zh-CN"/>
        </w:rPr>
        <w:t>2015</w:t>
      </w:r>
      <w:r>
        <w:rPr>
          <w:rFonts w:hint="eastAsia" w:ascii="仿宋_GB2312" w:hAnsi="方正仿宋简体" w:eastAsia="仿宋_GB2312" w:cs="方正仿宋简体"/>
          <w:color w:val="000000"/>
          <w:sz w:val="32"/>
          <w:szCs w:val="32"/>
        </w:rPr>
        <w:t>年建立僧人档案164份，</w:t>
      </w:r>
      <w:r>
        <w:rPr>
          <w:rFonts w:hint="eastAsia" w:ascii="仿宋_GB2312" w:hAnsi="方正仿宋简体" w:eastAsia="仿宋_GB2312" w:cs="方正仿宋简体"/>
          <w:sz w:val="32"/>
          <w:szCs w:val="32"/>
        </w:rPr>
        <w:t>发放大骨节10人，低保21人，五保户6人，享受老龄津贴</w:t>
      </w:r>
      <w:r>
        <w:rPr>
          <w:rFonts w:hint="eastAsia" w:ascii="仿宋_GB2312" w:hAnsi="方正仿宋简体" w:eastAsia="仿宋_GB2312" w:cs="方正仿宋简体"/>
          <w:color w:val="000000"/>
          <w:sz w:val="32"/>
          <w:szCs w:val="32"/>
        </w:rPr>
        <w:t>1人。</w:t>
      </w:r>
    </w:p>
    <w:p>
      <w:pPr>
        <w:pStyle w:val="4"/>
        <w:spacing w:line="576" w:lineRule="exact"/>
        <w:ind w:firstLine="640" w:firstLineChars="200"/>
        <w:rPr>
          <w:rStyle w:val="27"/>
          <w:b w:val="0"/>
          <w:bCs w:val="0"/>
          <w:color w:val="auto"/>
          <w:highlight w:val="none"/>
        </w:rPr>
      </w:pPr>
      <w:r>
        <w:rPr>
          <w:rFonts w:hint="eastAsia" w:ascii="黑体" w:eastAsia="黑体"/>
          <w:b w:val="0"/>
          <w:color w:val="auto"/>
          <w:highlight w:val="none"/>
        </w:rPr>
        <w:t>二、</w:t>
      </w:r>
      <w:r>
        <w:rPr>
          <w:rFonts w:hint="eastAsia" w:ascii="黑体" w:hAnsi="黑体" w:eastAsia="黑体"/>
          <w:b w:val="0"/>
          <w:color w:val="auto"/>
          <w:highlight w:val="none"/>
        </w:rPr>
        <w:t>机</w:t>
      </w:r>
      <w:r>
        <w:rPr>
          <w:rStyle w:val="27"/>
          <w:rFonts w:hint="eastAsia" w:ascii="黑体" w:hAnsi="黑体" w:eastAsia="黑体"/>
          <w:b w:val="0"/>
          <w:bCs w:val="0"/>
          <w:color w:val="auto"/>
          <w:highlight w:val="none"/>
        </w:rPr>
        <w:t>构设置</w:t>
      </w:r>
      <w:bookmarkEnd w:id="25"/>
      <w:bookmarkEnd w:id="26"/>
      <w:bookmarkEnd w:id="27"/>
    </w:p>
    <w:p>
      <w:pPr>
        <w:spacing w:line="576" w:lineRule="exact"/>
        <w:ind w:firstLine="640" w:firstLineChars="200"/>
        <w:jc w:val="left"/>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shd w:val="clear" w:color="auto" w:fill="FFFFFF"/>
        </w:rPr>
        <w:t>我单位为独立核算全额拨款行政单位，截止</w:t>
      </w:r>
      <w:r>
        <w:rPr>
          <w:rFonts w:hint="eastAsia" w:ascii="仿宋_GB2312" w:hAnsi="仿宋_GB2312" w:eastAsia="仿宋_GB2312" w:cs="仿宋_GB2312"/>
          <w:color w:val="auto"/>
          <w:sz w:val="32"/>
          <w:szCs w:val="32"/>
          <w:highlight w:val="none"/>
          <w:shd w:val="clear" w:color="auto" w:fill="FFFFFF"/>
          <w:lang w:val="en-US" w:eastAsia="zh-CN"/>
        </w:rPr>
        <w:t>2021</w:t>
      </w:r>
      <w:r>
        <w:rPr>
          <w:rFonts w:hint="eastAsia" w:ascii="仿宋_GB2312" w:hAnsi="仿宋_GB2312" w:eastAsia="仿宋_GB2312" w:cs="仿宋_GB2312"/>
          <w:color w:val="auto"/>
          <w:sz w:val="32"/>
          <w:szCs w:val="32"/>
          <w:highlight w:val="none"/>
          <w:shd w:val="clear" w:color="auto" w:fill="FFFFFF"/>
        </w:rPr>
        <w:t>年底我单位共有编制</w:t>
      </w:r>
      <w:r>
        <w:rPr>
          <w:rFonts w:hint="eastAsia" w:ascii="仿宋_GB2312" w:hAnsi="仿宋_GB2312" w:eastAsia="仿宋_GB2312" w:cs="仿宋_GB2312"/>
          <w:color w:val="auto"/>
          <w:sz w:val="32"/>
          <w:szCs w:val="32"/>
          <w:highlight w:val="none"/>
          <w:shd w:val="clear" w:color="auto" w:fill="FFFFFF"/>
          <w:lang w:val="en-US" w:eastAsia="zh-CN"/>
        </w:rPr>
        <w:t>44</w:t>
      </w:r>
      <w:r>
        <w:rPr>
          <w:rFonts w:hint="eastAsia" w:ascii="仿宋_GB2312" w:hAnsi="仿宋_GB2312" w:eastAsia="仿宋_GB2312" w:cs="仿宋_GB2312"/>
          <w:color w:val="auto"/>
          <w:sz w:val="32"/>
          <w:szCs w:val="32"/>
          <w:highlight w:val="none"/>
          <w:shd w:val="clear" w:color="auto" w:fill="FFFFFF"/>
        </w:rPr>
        <w:t>个，其中公务员编制</w:t>
      </w:r>
      <w:r>
        <w:rPr>
          <w:rFonts w:hint="eastAsia" w:ascii="仿宋_GB2312" w:hAnsi="仿宋_GB2312" w:eastAsia="仿宋_GB2312" w:cs="仿宋_GB2312"/>
          <w:color w:val="auto"/>
          <w:sz w:val="32"/>
          <w:szCs w:val="32"/>
          <w:highlight w:val="none"/>
          <w:shd w:val="clear" w:color="auto" w:fill="FFFFFF"/>
          <w:lang w:val="en-US" w:eastAsia="zh-CN"/>
        </w:rPr>
        <w:t>27</w:t>
      </w:r>
      <w:r>
        <w:rPr>
          <w:rFonts w:hint="eastAsia" w:ascii="仿宋_GB2312" w:hAnsi="仿宋_GB2312" w:eastAsia="仿宋_GB2312" w:cs="仿宋_GB2312"/>
          <w:color w:val="auto"/>
          <w:sz w:val="32"/>
          <w:szCs w:val="32"/>
          <w:highlight w:val="none"/>
          <w:shd w:val="clear" w:color="auto" w:fill="FFFFFF"/>
        </w:rPr>
        <w:t>个，行政工勤编制</w:t>
      </w:r>
      <w:r>
        <w:rPr>
          <w:rFonts w:hint="eastAsia" w:ascii="仿宋_GB2312" w:hAnsi="仿宋_GB2312" w:eastAsia="仿宋_GB2312" w:cs="仿宋_GB2312"/>
          <w:color w:val="auto"/>
          <w:sz w:val="32"/>
          <w:szCs w:val="32"/>
          <w:highlight w:val="none"/>
          <w:shd w:val="clear" w:color="auto" w:fill="FFFFFF"/>
          <w:lang w:val="en-US" w:eastAsia="zh-CN"/>
        </w:rPr>
        <w:t>2</w:t>
      </w:r>
      <w:r>
        <w:rPr>
          <w:rFonts w:hint="eastAsia" w:ascii="仿宋_GB2312" w:hAnsi="仿宋_GB2312" w:eastAsia="仿宋_GB2312" w:cs="仿宋_GB2312"/>
          <w:color w:val="auto"/>
          <w:sz w:val="32"/>
          <w:szCs w:val="32"/>
          <w:highlight w:val="none"/>
          <w:shd w:val="clear" w:color="auto" w:fill="FFFFFF"/>
        </w:rPr>
        <w:t>个，事业编制</w:t>
      </w:r>
      <w:r>
        <w:rPr>
          <w:rFonts w:hint="eastAsia" w:ascii="仿宋_GB2312" w:hAnsi="仿宋_GB2312" w:eastAsia="仿宋_GB2312" w:cs="仿宋_GB2312"/>
          <w:color w:val="auto"/>
          <w:sz w:val="32"/>
          <w:szCs w:val="32"/>
          <w:highlight w:val="none"/>
          <w:shd w:val="clear" w:color="auto" w:fill="FFFFFF"/>
          <w:lang w:val="en-US" w:eastAsia="zh-CN"/>
        </w:rPr>
        <w:t>15</w:t>
      </w:r>
      <w:r>
        <w:rPr>
          <w:rFonts w:hint="eastAsia" w:ascii="仿宋_GB2312" w:hAnsi="仿宋_GB2312" w:eastAsia="仿宋_GB2312" w:cs="仿宋_GB2312"/>
          <w:color w:val="auto"/>
          <w:sz w:val="32"/>
          <w:szCs w:val="32"/>
          <w:highlight w:val="none"/>
          <w:shd w:val="clear" w:color="auto" w:fill="FFFFFF"/>
        </w:rPr>
        <w:t>个，在职</w:t>
      </w:r>
      <w:r>
        <w:rPr>
          <w:rFonts w:hint="eastAsia" w:ascii="仿宋_GB2312" w:hAnsi="仿宋_GB2312" w:eastAsia="仿宋_GB2312" w:cs="仿宋_GB2312"/>
          <w:color w:val="auto"/>
          <w:sz w:val="32"/>
          <w:szCs w:val="32"/>
          <w:highlight w:val="none"/>
          <w:shd w:val="clear" w:color="auto" w:fill="FFFFFF"/>
          <w:lang w:val="en-US" w:eastAsia="zh-CN"/>
        </w:rPr>
        <w:t>44</w:t>
      </w:r>
      <w:r>
        <w:rPr>
          <w:rFonts w:hint="eastAsia" w:ascii="仿宋_GB2312" w:hAnsi="仿宋_GB2312" w:eastAsia="仿宋_GB2312" w:cs="仿宋_GB2312"/>
          <w:color w:val="auto"/>
          <w:sz w:val="32"/>
          <w:szCs w:val="32"/>
          <w:highlight w:val="none"/>
          <w:shd w:val="clear" w:color="auto" w:fill="FFFFFF"/>
        </w:rPr>
        <w:t>人，其中公务员</w:t>
      </w:r>
      <w:r>
        <w:rPr>
          <w:rFonts w:hint="eastAsia" w:ascii="仿宋_GB2312" w:hAnsi="仿宋_GB2312" w:eastAsia="仿宋_GB2312" w:cs="仿宋_GB2312"/>
          <w:color w:val="auto"/>
          <w:sz w:val="32"/>
          <w:szCs w:val="32"/>
          <w:highlight w:val="none"/>
          <w:shd w:val="clear" w:color="auto" w:fill="FFFFFF"/>
          <w:lang w:val="en-US" w:eastAsia="zh-CN"/>
        </w:rPr>
        <w:t>27</w:t>
      </w:r>
      <w:r>
        <w:rPr>
          <w:rFonts w:hint="eastAsia" w:ascii="仿宋_GB2312" w:hAnsi="仿宋_GB2312" w:eastAsia="仿宋_GB2312" w:cs="仿宋_GB2312"/>
          <w:color w:val="auto"/>
          <w:sz w:val="32"/>
          <w:szCs w:val="32"/>
          <w:highlight w:val="none"/>
          <w:shd w:val="clear" w:color="auto" w:fill="FFFFFF"/>
        </w:rPr>
        <w:t>人，行政工勤</w:t>
      </w:r>
      <w:r>
        <w:rPr>
          <w:rFonts w:hint="eastAsia" w:ascii="仿宋_GB2312" w:hAnsi="仿宋_GB2312" w:eastAsia="仿宋_GB2312" w:cs="仿宋_GB2312"/>
          <w:color w:val="auto"/>
          <w:sz w:val="32"/>
          <w:szCs w:val="32"/>
          <w:highlight w:val="none"/>
          <w:shd w:val="clear" w:color="auto" w:fill="FFFFFF"/>
          <w:lang w:val="en-US" w:eastAsia="zh-CN"/>
        </w:rPr>
        <w:t>2</w:t>
      </w:r>
      <w:r>
        <w:rPr>
          <w:rFonts w:hint="eastAsia" w:ascii="仿宋_GB2312" w:hAnsi="仿宋_GB2312" w:eastAsia="仿宋_GB2312" w:cs="仿宋_GB2312"/>
          <w:color w:val="auto"/>
          <w:sz w:val="32"/>
          <w:szCs w:val="32"/>
          <w:highlight w:val="none"/>
          <w:shd w:val="clear" w:color="auto" w:fill="FFFFFF"/>
        </w:rPr>
        <w:t>人、事业</w:t>
      </w:r>
      <w:r>
        <w:rPr>
          <w:rFonts w:hint="eastAsia" w:ascii="仿宋_GB2312" w:hAnsi="仿宋_GB2312" w:eastAsia="仿宋_GB2312" w:cs="仿宋_GB2312"/>
          <w:color w:val="auto"/>
          <w:sz w:val="32"/>
          <w:szCs w:val="32"/>
          <w:highlight w:val="none"/>
          <w:shd w:val="clear" w:color="auto" w:fill="FFFFFF"/>
          <w:lang w:val="en-US" w:eastAsia="zh-CN"/>
        </w:rPr>
        <w:t>15</w:t>
      </w:r>
      <w:r>
        <w:rPr>
          <w:rFonts w:hint="eastAsia" w:ascii="仿宋_GB2312" w:hAnsi="仿宋_GB2312" w:eastAsia="仿宋_GB2312" w:cs="仿宋_GB2312"/>
          <w:color w:val="auto"/>
          <w:sz w:val="32"/>
          <w:szCs w:val="32"/>
          <w:highlight w:val="none"/>
          <w:shd w:val="clear" w:color="auto" w:fill="FFFFFF"/>
        </w:rPr>
        <w:t>人。</w:t>
      </w:r>
    </w:p>
    <w:p>
      <w:pPr>
        <w:pStyle w:val="3"/>
        <w:ind w:right="440"/>
        <w:jc w:val="right"/>
        <w:rPr>
          <w:color w:val="auto"/>
          <w:highlight w:val="none"/>
        </w:rPr>
      </w:pPr>
      <w:bookmarkStart w:id="28" w:name="_Toc15377204"/>
      <w:bookmarkStart w:id="29" w:name="_Toc15396602"/>
      <w:bookmarkStart w:id="30" w:name="_Toc57146360"/>
      <w:r>
        <w:rPr>
          <w:rFonts w:hint="eastAsia" w:ascii="黑体" w:hAnsi="黑体" w:eastAsia="黑体"/>
          <w:b w:val="0"/>
          <w:color w:val="auto"/>
          <w:highlight w:val="none"/>
        </w:rPr>
        <w:t>第二部分</w:t>
      </w:r>
      <w:r>
        <w:rPr>
          <w:rFonts w:hint="eastAsia" w:ascii="黑体" w:hAnsi="黑体" w:eastAsia="黑体"/>
          <w:color w:val="auto"/>
          <w:highlight w:val="none"/>
        </w:rPr>
        <w:t xml:space="preserve"> </w:t>
      </w:r>
      <w:r>
        <w:rPr>
          <w:rStyle w:val="26"/>
          <w:rFonts w:hint="eastAsia" w:ascii="黑体" w:hAnsi="黑体" w:eastAsia="黑体"/>
          <w:b w:val="0"/>
          <w:bCs w:val="0"/>
          <w:color w:val="auto"/>
          <w:highlight w:val="none"/>
          <w:lang w:eastAsia="zh-CN"/>
        </w:rPr>
        <w:t>202</w:t>
      </w:r>
      <w:r>
        <w:rPr>
          <w:rStyle w:val="26"/>
          <w:rFonts w:hint="eastAsia" w:ascii="黑体" w:hAnsi="黑体" w:eastAsia="黑体"/>
          <w:b w:val="0"/>
          <w:bCs w:val="0"/>
          <w:color w:val="auto"/>
          <w:highlight w:val="none"/>
          <w:lang w:val="en-US" w:eastAsia="zh-CN"/>
        </w:rPr>
        <w:t>1</w:t>
      </w:r>
      <w:r>
        <w:rPr>
          <w:rStyle w:val="26"/>
          <w:rFonts w:hint="eastAsia" w:ascii="黑体" w:hAnsi="黑体" w:eastAsia="黑体"/>
          <w:b w:val="0"/>
          <w:bCs w:val="0"/>
          <w:color w:val="auto"/>
          <w:highlight w:val="none"/>
          <w:lang w:eastAsia="zh-CN"/>
        </w:rPr>
        <w:t>年</w:t>
      </w:r>
      <w:r>
        <w:rPr>
          <w:rStyle w:val="26"/>
          <w:rFonts w:hint="eastAsia" w:ascii="黑体" w:hAnsi="黑体" w:eastAsia="黑体"/>
          <w:b w:val="0"/>
          <w:bCs w:val="0"/>
          <w:color w:val="auto"/>
          <w:highlight w:val="none"/>
        </w:rPr>
        <w:t>度部门决算情况说明</w:t>
      </w:r>
      <w:bookmarkEnd w:id="28"/>
      <w:bookmarkEnd w:id="29"/>
      <w:bookmarkEnd w:id="30"/>
    </w:p>
    <w:p>
      <w:pPr>
        <w:pStyle w:val="25"/>
        <w:numPr>
          <w:ilvl w:val="0"/>
          <w:numId w:val="1"/>
        </w:numPr>
        <w:spacing w:line="600" w:lineRule="exact"/>
        <w:ind w:firstLineChars="0"/>
        <w:outlineLvl w:val="1"/>
        <w:rPr>
          <w:rStyle w:val="27"/>
          <w:rFonts w:ascii="黑体" w:hAnsi="黑体" w:eastAsia="黑体"/>
          <w:b w:val="0"/>
          <w:color w:val="auto"/>
          <w:highlight w:val="none"/>
        </w:rPr>
      </w:pPr>
      <w:bookmarkStart w:id="31" w:name="_Toc15396603"/>
      <w:bookmarkStart w:id="32" w:name="_Toc57146361"/>
      <w:bookmarkStart w:id="33" w:name="_Toc15377205"/>
      <w:r>
        <w:rPr>
          <w:rFonts w:hint="eastAsia" w:ascii="黑体" w:hAnsi="黑体" w:eastAsia="黑体"/>
          <w:color w:val="auto"/>
          <w:sz w:val="32"/>
          <w:szCs w:val="32"/>
          <w:highlight w:val="none"/>
        </w:rPr>
        <w:t>收</w:t>
      </w:r>
      <w:r>
        <w:rPr>
          <w:rStyle w:val="27"/>
          <w:rFonts w:hint="eastAsia" w:ascii="黑体" w:hAnsi="黑体" w:eastAsia="黑体"/>
          <w:b w:val="0"/>
          <w:color w:val="auto"/>
          <w:highlight w:val="none"/>
        </w:rPr>
        <w:t>入支出决算总体情况说明</w:t>
      </w:r>
      <w:bookmarkEnd w:id="31"/>
      <w:bookmarkEnd w:id="32"/>
      <w:bookmarkEnd w:id="33"/>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度收入1790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w:t>
      </w:r>
      <w:r>
        <w:rPr>
          <w:rFonts w:hint="eastAsia" w:ascii="仿宋_GB2312" w:hAnsi="仿宋_GB2312" w:eastAsia="仿宋_GB2312" w:cs="仿宋_GB2312"/>
          <w:color w:val="auto"/>
          <w:sz w:val="32"/>
          <w:szCs w:val="32"/>
          <w:highlight w:val="none"/>
          <w:shd w:val="clear" w:color="auto" w:fill="FFFFFF"/>
          <w:lang w:val="en-US" w:eastAsia="zh-CN"/>
        </w:rPr>
        <w:t xml:space="preserve"> </w:t>
      </w:r>
      <w:r>
        <w:rPr>
          <w:rFonts w:hint="eastAsia" w:ascii="仿宋_GB2312" w:hAnsi="仿宋_GB2312" w:eastAsia="仿宋_GB2312" w:cs="仿宋_GB2312"/>
          <w:color w:val="auto"/>
          <w:sz w:val="32"/>
          <w:szCs w:val="32"/>
          <w:highlight w:val="none"/>
          <w:shd w:val="clear" w:color="auto" w:fill="FFFFFF"/>
        </w:rPr>
        <w:t>万元。与</w:t>
      </w:r>
      <w:r>
        <w:rPr>
          <w:rFonts w:hint="eastAsia" w:ascii="仿宋_GB2312" w:hAnsi="仿宋_GB2312" w:eastAsia="仿宋_GB2312" w:cs="仿宋_GB2312"/>
          <w:color w:val="auto"/>
          <w:sz w:val="32"/>
          <w:szCs w:val="32"/>
          <w:highlight w:val="none"/>
          <w:shd w:val="clear" w:color="auto" w:fill="FFFFFF"/>
          <w:lang w:eastAsia="zh-CN"/>
        </w:rPr>
        <w:t>20</w:t>
      </w:r>
      <w:r>
        <w:rPr>
          <w:rFonts w:hint="eastAsia" w:ascii="仿宋_GB2312" w:hAnsi="仿宋_GB2312" w:eastAsia="仿宋_GB2312" w:cs="仿宋_GB2312"/>
          <w:color w:val="auto"/>
          <w:sz w:val="32"/>
          <w:szCs w:val="32"/>
          <w:highlight w:val="none"/>
          <w:shd w:val="clear" w:color="auto" w:fill="FFFFFF"/>
          <w:lang w:val="en-US" w:eastAsia="zh-CN"/>
        </w:rPr>
        <w:t>20</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相比，</w:t>
      </w:r>
      <w:r>
        <w:rPr>
          <w:rFonts w:hint="eastAsia" w:ascii="仿宋_GB2312" w:hAnsi="仿宋_GB2312" w:eastAsia="仿宋_GB2312" w:cs="仿宋_GB2312"/>
          <w:color w:val="auto"/>
          <w:sz w:val="32"/>
          <w:szCs w:val="32"/>
          <w:highlight w:val="none"/>
          <w:shd w:val="clear" w:color="auto" w:fill="FFFFFF"/>
          <w:lang w:val="en-US" w:eastAsia="zh-CN"/>
        </w:rPr>
        <w:t>增加498.67</w:t>
      </w:r>
      <w:r>
        <w:rPr>
          <w:rFonts w:hint="eastAsia" w:ascii="仿宋_GB2312" w:hAnsi="仿宋_GB2312" w:eastAsia="仿宋_GB2312" w:cs="仿宋_GB2312"/>
          <w:color w:val="auto"/>
          <w:sz w:val="32"/>
          <w:szCs w:val="32"/>
          <w:highlight w:val="none"/>
          <w:shd w:val="clear" w:color="auto" w:fill="FFFFFF"/>
        </w:rPr>
        <w:t>万元，</w:t>
      </w:r>
      <w:r>
        <w:rPr>
          <w:rFonts w:hint="eastAsia" w:ascii="仿宋_GB2312" w:hAnsi="仿宋_GB2312" w:eastAsia="仿宋_GB2312" w:cs="仿宋_GB2312"/>
          <w:color w:val="auto"/>
          <w:sz w:val="32"/>
          <w:szCs w:val="32"/>
          <w:highlight w:val="none"/>
          <w:shd w:val="clear" w:color="auto" w:fill="FFFFFF"/>
          <w:lang w:eastAsia="zh-CN"/>
        </w:rPr>
        <w:t>增长</w:t>
      </w:r>
      <w:r>
        <w:rPr>
          <w:rFonts w:hint="eastAsia" w:ascii="仿宋_GB2312" w:hAnsi="仿宋_GB2312" w:eastAsia="仿宋_GB2312" w:cs="仿宋_GB2312"/>
          <w:color w:val="auto"/>
          <w:sz w:val="32"/>
          <w:szCs w:val="32"/>
          <w:highlight w:val="none"/>
          <w:shd w:val="clear" w:color="auto" w:fill="FFFFFF"/>
          <w:lang w:val="en-US" w:eastAsia="zh-CN"/>
        </w:rPr>
        <w:t>27</w:t>
      </w:r>
      <w:r>
        <w:rPr>
          <w:rFonts w:hint="eastAsia" w:ascii="仿宋_GB2312" w:hAnsi="仿宋_GB2312" w:eastAsia="仿宋_GB2312" w:cs="仿宋_GB2312"/>
          <w:color w:val="auto"/>
          <w:sz w:val="32"/>
          <w:szCs w:val="32"/>
          <w:highlight w:val="none"/>
          <w:shd w:val="clear" w:color="auto" w:fill="FFFFFF"/>
        </w:rPr>
        <w:t>%。主要原因是人员</w:t>
      </w:r>
      <w:r>
        <w:rPr>
          <w:rFonts w:hint="eastAsia" w:ascii="仿宋_GB2312" w:hAnsi="仿宋_GB2312" w:eastAsia="仿宋_GB2312" w:cs="仿宋_GB2312"/>
          <w:color w:val="auto"/>
          <w:sz w:val="32"/>
          <w:szCs w:val="32"/>
          <w:highlight w:val="none"/>
          <w:shd w:val="clear" w:color="auto" w:fill="FFFFFF"/>
          <w:lang w:eastAsia="zh-CN"/>
        </w:rPr>
        <w:t>及项目增减</w:t>
      </w:r>
      <w:r>
        <w:rPr>
          <w:rFonts w:hint="eastAsia" w:ascii="仿宋_GB2312" w:hAnsi="仿宋_GB2312" w:eastAsia="仿宋_GB2312" w:cs="仿宋_GB2312"/>
          <w:color w:val="auto"/>
          <w:sz w:val="32"/>
          <w:szCs w:val="32"/>
          <w:highlight w:val="none"/>
          <w:shd w:val="clear" w:color="auto" w:fill="FFFFFF"/>
        </w:rPr>
        <w:t>。支出总计1790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w:t>
      </w:r>
      <w:r>
        <w:rPr>
          <w:rFonts w:hint="eastAsia" w:ascii="仿宋_GB2312" w:hAnsi="仿宋_GB2312" w:eastAsia="仿宋_GB2312" w:cs="仿宋_GB2312"/>
          <w:color w:val="auto"/>
          <w:sz w:val="32"/>
          <w:szCs w:val="32"/>
          <w:highlight w:val="none"/>
          <w:shd w:val="clear" w:color="auto" w:fill="FFFFFF"/>
          <w:lang w:val="en-US" w:eastAsia="zh-CN"/>
        </w:rPr>
        <w:t xml:space="preserve"> 万元</w:t>
      </w:r>
      <w:r>
        <w:rPr>
          <w:rFonts w:hint="eastAsia" w:ascii="仿宋_GB2312" w:hAnsi="仿宋_GB2312" w:eastAsia="仿宋_GB2312" w:cs="仿宋_GB2312"/>
          <w:color w:val="auto"/>
          <w:sz w:val="32"/>
          <w:szCs w:val="32"/>
          <w:highlight w:val="none"/>
          <w:shd w:val="clear" w:color="auto" w:fill="FFFFFF"/>
        </w:rPr>
        <w:t>。与</w:t>
      </w:r>
      <w:r>
        <w:rPr>
          <w:rFonts w:hint="eastAsia" w:ascii="仿宋_GB2312" w:hAnsi="仿宋_GB2312" w:eastAsia="仿宋_GB2312" w:cs="仿宋_GB2312"/>
          <w:color w:val="auto"/>
          <w:sz w:val="32"/>
          <w:szCs w:val="32"/>
          <w:highlight w:val="none"/>
          <w:shd w:val="clear" w:color="auto" w:fill="FFFFFF"/>
          <w:lang w:eastAsia="zh-CN"/>
        </w:rPr>
        <w:t>20</w:t>
      </w:r>
      <w:r>
        <w:rPr>
          <w:rFonts w:hint="eastAsia" w:ascii="仿宋_GB2312" w:hAnsi="仿宋_GB2312" w:eastAsia="仿宋_GB2312" w:cs="仿宋_GB2312"/>
          <w:color w:val="auto"/>
          <w:sz w:val="32"/>
          <w:szCs w:val="32"/>
          <w:highlight w:val="none"/>
          <w:shd w:val="clear" w:color="auto" w:fill="FFFFFF"/>
          <w:lang w:val="en-US" w:eastAsia="zh-CN"/>
        </w:rPr>
        <w:t>20</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相比，</w:t>
      </w:r>
      <w:r>
        <w:rPr>
          <w:rFonts w:hint="eastAsia" w:ascii="仿宋_GB2312" w:hAnsi="仿宋_GB2312" w:eastAsia="仿宋_GB2312" w:cs="仿宋_GB2312"/>
          <w:color w:val="auto"/>
          <w:sz w:val="32"/>
          <w:szCs w:val="32"/>
          <w:highlight w:val="none"/>
          <w:shd w:val="clear" w:color="auto" w:fill="FFFFFF"/>
          <w:lang w:eastAsia="zh-CN"/>
        </w:rPr>
        <w:t>减少</w:t>
      </w:r>
      <w:r>
        <w:rPr>
          <w:rFonts w:hint="eastAsia" w:ascii="仿宋_GB2312" w:hAnsi="仿宋_GB2312" w:eastAsia="仿宋_GB2312" w:cs="仿宋_GB2312"/>
          <w:color w:val="auto"/>
          <w:sz w:val="32"/>
          <w:szCs w:val="32"/>
          <w:highlight w:val="none"/>
          <w:shd w:val="clear" w:color="auto" w:fill="FFFFFF"/>
        </w:rPr>
        <w:t>了</w:t>
      </w:r>
      <w:r>
        <w:rPr>
          <w:rFonts w:hint="eastAsia" w:ascii="仿宋_GB2312" w:hAnsi="仿宋_GB2312" w:eastAsia="仿宋_GB2312" w:cs="仿宋_GB2312"/>
          <w:color w:val="auto"/>
          <w:sz w:val="32"/>
          <w:szCs w:val="32"/>
          <w:highlight w:val="none"/>
          <w:shd w:val="clear" w:color="auto" w:fill="FFFFFF"/>
          <w:lang w:val="en-US" w:eastAsia="zh-CN"/>
        </w:rPr>
        <w:t>82.63</w:t>
      </w:r>
      <w:r>
        <w:rPr>
          <w:rFonts w:hint="eastAsia" w:ascii="仿宋_GB2312" w:hAnsi="仿宋_GB2312" w:eastAsia="仿宋_GB2312" w:cs="仿宋_GB2312"/>
          <w:color w:val="auto"/>
          <w:sz w:val="32"/>
          <w:szCs w:val="32"/>
          <w:highlight w:val="none"/>
          <w:shd w:val="clear" w:color="auto" w:fill="FFFFFF"/>
        </w:rPr>
        <w:t>万元，</w:t>
      </w:r>
      <w:r>
        <w:rPr>
          <w:rFonts w:hint="eastAsia" w:ascii="仿宋_GB2312" w:hAnsi="仿宋_GB2312" w:eastAsia="仿宋_GB2312" w:cs="仿宋_GB2312"/>
          <w:color w:val="auto"/>
          <w:sz w:val="32"/>
          <w:szCs w:val="32"/>
          <w:highlight w:val="none"/>
          <w:shd w:val="clear" w:color="auto" w:fill="FFFFFF"/>
          <w:lang w:val="en-US" w:eastAsia="zh-CN"/>
        </w:rPr>
        <w:t>下降0.4</w:t>
      </w:r>
      <w:r>
        <w:rPr>
          <w:rFonts w:hint="eastAsia" w:ascii="仿宋_GB2312" w:hAnsi="仿宋_GB2312" w:eastAsia="仿宋_GB2312" w:cs="仿宋_GB2312"/>
          <w:color w:val="auto"/>
          <w:sz w:val="32"/>
          <w:szCs w:val="32"/>
          <w:highlight w:val="none"/>
          <w:shd w:val="clear" w:color="auto" w:fill="FFFFFF"/>
        </w:rPr>
        <w:t>%。主要变动原因是</w:t>
      </w:r>
      <w:r>
        <w:rPr>
          <w:rFonts w:hint="eastAsia" w:ascii="仿宋_GB2312" w:hAnsi="仿宋_GB2312" w:eastAsia="仿宋_GB2312" w:cs="仿宋_GB2312"/>
          <w:color w:val="auto"/>
          <w:sz w:val="32"/>
          <w:szCs w:val="32"/>
          <w:highlight w:val="none"/>
          <w:shd w:val="clear" w:color="auto" w:fill="FFFFFF"/>
          <w:lang w:eastAsia="zh-CN"/>
        </w:rPr>
        <w:t>厉行节约</w:t>
      </w:r>
      <w:r>
        <w:rPr>
          <w:rFonts w:hint="eastAsia" w:ascii="仿宋_GB2312" w:hAnsi="仿宋_GB2312" w:eastAsia="仿宋_GB2312" w:cs="仿宋_GB2312"/>
          <w:color w:val="auto"/>
          <w:sz w:val="32"/>
          <w:szCs w:val="32"/>
          <w:highlight w:val="none"/>
          <w:shd w:val="clear" w:color="auto" w:fill="FFFFFF"/>
        </w:rPr>
        <w:t>。</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（图1：收、支决算总计变动情况图）（柱状图）</w:t>
      </w:r>
    </w:p>
    <w:p>
      <w:pPr>
        <w:spacing w:line="600" w:lineRule="exact"/>
        <w:ind w:firstLine="640" w:firstLineChars="200"/>
        <w:jc w:val="left"/>
        <w:rPr>
          <w:rFonts w:ascii="仿宋_GB2312" w:eastAsia="仿宋_GB2312"/>
          <w:color w:val="auto"/>
          <w:sz w:val="32"/>
          <w:szCs w:val="32"/>
          <w:highlight w:val="none"/>
        </w:rPr>
      </w:pPr>
      <w:r>
        <w:rPr>
          <w:rFonts w:hint="eastAsia" w:ascii="仿宋" w:hAnsi="仿宋" w:eastAsia="仿宋"/>
          <w:color w:val="auto"/>
          <w:sz w:val="32"/>
          <w:szCs w:val="32"/>
          <w:highlight w:val="none"/>
        </w:rPr>
        <w:drawing>
          <wp:anchor distT="0" distB="0" distL="114300" distR="114300" simplePos="0" relativeHeight="251659264" behindDoc="1" locked="0" layoutInCell="1" allowOverlap="1">
            <wp:simplePos x="0" y="0"/>
            <wp:positionH relativeFrom="column">
              <wp:posOffset>398145</wp:posOffset>
            </wp:positionH>
            <wp:positionV relativeFrom="paragraph">
              <wp:posOffset>219075</wp:posOffset>
            </wp:positionV>
            <wp:extent cx="4686935" cy="2821940"/>
            <wp:effectExtent l="4445" t="5080" r="13970" b="11430"/>
            <wp:wrapTight wrapText="bothSides">
              <wp:wrapPolygon>
                <wp:start x="-20" y="-39"/>
                <wp:lineTo x="-20" y="21542"/>
                <wp:lineTo x="21577" y="21542"/>
                <wp:lineTo x="21577" y="-39"/>
                <wp:lineTo x="-20" y="-39"/>
              </wp:wrapPolygon>
            </wp:wrapTight>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pStyle w:val="25"/>
        <w:numPr>
          <w:ilvl w:val="0"/>
          <w:numId w:val="1"/>
        </w:numPr>
        <w:spacing w:line="600" w:lineRule="exact"/>
        <w:ind w:firstLineChars="0"/>
        <w:outlineLvl w:val="1"/>
        <w:rPr>
          <w:rStyle w:val="27"/>
          <w:rFonts w:ascii="黑体" w:hAnsi="黑体" w:eastAsia="黑体"/>
          <w:b w:val="0"/>
          <w:color w:val="auto"/>
          <w:highlight w:val="none"/>
        </w:rPr>
      </w:pPr>
      <w:bookmarkStart w:id="34" w:name="_Toc15396604"/>
      <w:bookmarkStart w:id="35" w:name="_Toc57146362"/>
      <w:bookmarkStart w:id="36" w:name="_Toc15377206"/>
      <w:r>
        <w:rPr>
          <w:rFonts w:hint="eastAsia" w:ascii="黑体" w:hAnsi="黑体" w:eastAsia="黑体"/>
          <w:color w:val="auto"/>
          <w:sz w:val="32"/>
          <w:szCs w:val="32"/>
          <w:highlight w:val="none"/>
        </w:rPr>
        <w:t>收</w:t>
      </w:r>
      <w:r>
        <w:rPr>
          <w:rStyle w:val="27"/>
          <w:rFonts w:hint="eastAsia" w:ascii="黑体" w:hAnsi="黑体" w:eastAsia="黑体"/>
          <w:b w:val="0"/>
          <w:color w:val="auto"/>
          <w:highlight w:val="none"/>
        </w:rPr>
        <w:t>入决算情况说明</w:t>
      </w:r>
      <w:bookmarkEnd w:id="34"/>
      <w:bookmarkEnd w:id="35"/>
      <w:bookmarkEnd w:id="36"/>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本年收入合计1790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93万元，其中：一般公共预算财政拨款收入1790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93万元，占</w:t>
      </w:r>
      <w:r>
        <w:rPr>
          <w:rFonts w:hint="eastAsia" w:ascii="仿宋_GB2312" w:hAnsi="仿宋_GB2312" w:eastAsia="仿宋_GB2312" w:cs="仿宋_GB2312"/>
          <w:color w:val="auto"/>
          <w:sz w:val="32"/>
          <w:szCs w:val="32"/>
          <w:highlight w:val="none"/>
          <w:shd w:val="clear" w:color="auto" w:fill="FFFFFF"/>
          <w:lang w:val="en-US" w:eastAsia="zh-CN"/>
        </w:rPr>
        <w:t>100</w:t>
      </w:r>
      <w:r>
        <w:rPr>
          <w:rFonts w:hint="eastAsia" w:ascii="仿宋_GB2312" w:hAnsi="仿宋_GB2312" w:eastAsia="仿宋_GB2312" w:cs="仿宋_GB2312"/>
          <w:color w:val="auto"/>
          <w:sz w:val="32"/>
          <w:szCs w:val="32"/>
          <w:highlight w:val="none"/>
          <w:shd w:val="clear" w:color="auto" w:fill="FFFFFF"/>
        </w:rPr>
        <w:t>%；政府性基金预算财政拨款收入0万元，占0%；上级补助收入0万元，占0%；事业收入0万元，占0%；经营收入0万元，占0%；附属单位上缴收入0万元，占0%；其他收入</w:t>
      </w:r>
      <w:r>
        <w:rPr>
          <w:rFonts w:hint="eastAsia" w:ascii="仿宋_GB2312" w:hAnsi="仿宋_GB2312" w:eastAsia="仿宋_GB2312" w:cs="仿宋_GB2312"/>
          <w:color w:val="auto"/>
          <w:sz w:val="32"/>
          <w:szCs w:val="32"/>
          <w:highlight w:val="none"/>
          <w:shd w:val="clear" w:color="auto" w:fill="FFFFFF"/>
          <w:lang w:val="en-US" w:eastAsia="zh-CN"/>
        </w:rPr>
        <w:t>0</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0</w:t>
      </w:r>
      <w:r>
        <w:rPr>
          <w:rFonts w:hint="eastAsia" w:ascii="仿宋_GB2312" w:hAnsi="仿宋_GB2312" w:eastAsia="仿宋_GB2312" w:cs="仿宋_GB2312"/>
          <w:color w:val="auto"/>
          <w:sz w:val="32"/>
          <w:szCs w:val="32"/>
          <w:highlight w:val="none"/>
          <w:shd w:val="clear" w:color="auto" w:fill="FFFFFF"/>
        </w:rPr>
        <w:t>%。</w:t>
      </w:r>
    </w:p>
    <w:p>
      <w:pPr>
        <w:spacing w:line="600" w:lineRule="exact"/>
        <w:ind w:firstLine="640" w:firstLineChars="200"/>
        <w:outlineLvl w:val="1"/>
        <w:rPr>
          <w:rFonts w:ascii="仿宋" w:hAnsi="仿宋" w:eastAsia="仿宋"/>
          <w:color w:val="auto"/>
          <w:sz w:val="32"/>
          <w:szCs w:val="32"/>
          <w:highlight w:val="none"/>
        </w:rPr>
      </w:pPr>
    </w:p>
    <w:p>
      <w:pPr>
        <w:spacing w:line="6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t>（图2：收入决算结构图）（饼状图）</w:t>
      </w:r>
    </w:p>
    <w:p>
      <w:pPr>
        <w:spacing w:line="600" w:lineRule="exact"/>
        <w:ind w:firstLine="640" w:firstLineChars="200"/>
        <w:rPr>
          <w:rFonts w:ascii="仿宋_GB2312" w:eastAsia="仿宋_GB2312"/>
          <w:color w:val="auto"/>
          <w:sz w:val="32"/>
          <w:szCs w:val="32"/>
          <w:highlight w:val="none"/>
        </w:rPr>
      </w:pPr>
      <w:r>
        <w:rPr>
          <w:rFonts w:hint="eastAsia" w:ascii="仿宋" w:hAnsi="仿宋" w:eastAsia="仿宋"/>
          <w:color w:val="auto"/>
          <w:sz w:val="32"/>
          <w:szCs w:val="32"/>
          <w:highlight w:val="none"/>
        </w:rPr>
        <w:drawing>
          <wp:anchor distT="0" distB="0" distL="114300" distR="114300" simplePos="0" relativeHeight="251660288" behindDoc="1" locked="0" layoutInCell="1" allowOverlap="1">
            <wp:simplePos x="0" y="0"/>
            <wp:positionH relativeFrom="column">
              <wp:posOffset>399415</wp:posOffset>
            </wp:positionH>
            <wp:positionV relativeFrom="paragraph">
              <wp:posOffset>42545</wp:posOffset>
            </wp:positionV>
            <wp:extent cx="3902075" cy="2214245"/>
            <wp:effectExtent l="4445" t="4445" r="17780" b="10160"/>
            <wp:wrapTight wrapText="bothSides">
              <wp:wrapPolygon>
                <wp:start x="-25" y="-43"/>
                <wp:lineTo x="-25" y="21513"/>
                <wp:lineTo x="21488" y="21513"/>
                <wp:lineTo x="21488" y="-43"/>
                <wp:lineTo x="-25" y="-43"/>
              </wp:wrapPolygon>
            </wp:wrapTight>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pStyle w:val="25"/>
        <w:numPr>
          <w:ilvl w:val="0"/>
          <w:numId w:val="1"/>
        </w:numPr>
        <w:spacing w:line="600" w:lineRule="exact"/>
        <w:ind w:firstLineChars="0"/>
        <w:outlineLvl w:val="1"/>
        <w:rPr>
          <w:rStyle w:val="27"/>
          <w:rFonts w:ascii="黑体" w:hAnsi="黑体" w:eastAsia="黑体"/>
          <w:b w:val="0"/>
          <w:color w:val="auto"/>
          <w:highlight w:val="none"/>
        </w:rPr>
      </w:pPr>
      <w:bookmarkStart w:id="37" w:name="_Toc15377207"/>
      <w:bookmarkStart w:id="38" w:name="_Toc57146363"/>
      <w:bookmarkStart w:id="39" w:name="_Toc15396605"/>
      <w:r>
        <w:rPr>
          <w:rFonts w:hint="eastAsia" w:ascii="黑体" w:hAnsi="黑体" w:eastAsia="黑体"/>
          <w:color w:val="auto"/>
          <w:sz w:val="32"/>
          <w:szCs w:val="32"/>
          <w:highlight w:val="none"/>
        </w:rPr>
        <w:t>支</w:t>
      </w:r>
      <w:r>
        <w:rPr>
          <w:rStyle w:val="27"/>
          <w:rFonts w:hint="eastAsia" w:ascii="黑体" w:hAnsi="黑体" w:eastAsia="黑体"/>
          <w:b w:val="0"/>
          <w:color w:val="auto"/>
          <w:highlight w:val="none"/>
        </w:rPr>
        <w:t>出决算情况说明</w:t>
      </w:r>
      <w:bookmarkEnd w:id="37"/>
      <w:bookmarkEnd w:id="38"/>
      <w:bookmarkEnd w:id="39"/>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本年支出合计1790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93万元，其中：基本支出</w:t>
      </w:r>
      <w:r>
        <w:rPr>
          <w:rFonts w:hint="eastAsia" w:ascii="仿宋_GB2312" w:hAnsi="仿宋_GB2312" w:eastAsia="仿宋_GB2312" w:cs="仿宋_GB2312"/>
          <w:color w:val="auto"/>
          <w:sz w:val="32"/>
          <w:szCs w:val="32"/>
          <w:highlight w:val="none"/>
          <w:shd w:val="clear" w:color="auto" w:fill="FFFFFF"/>
          <w:lang w:val="en-US" w:eastAsia="zh-CN"/>
        </w:rPr>
        <w:t>1056.68</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59</w:t>
      </w:r>
      <w:r>
        <w:rPr>
          <w:rFonts w:hint="eastAsia" w:ascii="仿宋_GB2312" w:hAnsi="仿宋_GB2312" w:eastAsia="仿宋_GB2312" w:cs="仿宋_GB2312"/>
          <w:color w:val="auto"/>
          <w:sz w:val="32"/>
          <w:szCs w:val="32"/>
          <w:highlight w:val="none"/>
          <w:shd w:val="clear" w:color="auto" w:fill="FFFFFF"/>
        </w:rPr>
        <w:t>%；项目支出</w:t>
      </w:r>
      <w:r>
        <w:rPr>
          <w:rFonts w:hint="eastAsia" w:ascii="仿宋_GB2312" w:hAnsi="仿宋_GB2312" w:eastAsia="仿宋_GB2312" w:cs="仿宋_GB2312"/>
          <w:color w:val="auto"/>
          <w:sz w:val="32"/>
          <w:szCs w:val="32"/>
          <w:highlight w:val="none"/>
          <w:shd w:val="clear" w:color="auto" w:fill="FFFFFF"/>
          <w:lang w:val="en-US" w:eastAsia="zh-CN"/>
        </w:rPr>
        <w:t>734.25</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41</w:t>
      </w:r>
      <w:r>
        <w:rPr>
          <w:rFonts w:hint="eastAsia" w:ascii="仿宋_GB2312" w:hAnsi="仿宋_GB2312" w:eastAsia="仿宋_GB2312" w:cs="仿宋_GB2312"/>
          <w:color w:val="auto"/>
          <w:sz w:val="32"/>
          <w:szCs w:val="32"/>
          <w:highlight w:val="none"/>
          <w:shd w:val="clear" w:color="auto" w:fill="FFFFFF"/>
        </w:rPr>
        <w:t>%；上缴上级支出0万元，占0%；经营支出0万元，占0%；对附属单位补助支出0万元，占0%。</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drawing>
          <wp:anchor distT="0" distB="0" distL="114300" distR="114300" simplePos="0" relativeHeight="251661312" behindDoc="1" locked="0" layoutInCell="1" allowOverlap="1">
            <wp:simplePos x="0" y="0"/>
            <wp:positionH relativeFrom="column">
              <wp:posOffset>445135</wp:posOffset>
            </wp:positionH>
            <wp:positionV relativeFrom="paragraph">
              <wp:posOffset>373380</wp:posOffset>
            </wp:positionV>
            <wp:extent cx="4247515" cy="2262505"/>
            <wp:effectExtent l="4445" t="4445" r="15240" b="19050"/>
            <wp:wrapTight wrapText="bothSides">
              <wp:wrapPolygon>
                <wp:start x="-23" y="-42"/>
                <wp:lineTo x="-23" y="21418"/>
                <wp:lineTo x="21484" y="21418"/>
                <wp:lineTo x="21484" y="-42"/>
                <wp:lineTo x="-23" y="-42"/>
              </wp:wrapPolygon>
            </wp:wrapTight>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ascii="仿宋_GB2312" w:hAnsi="仿宋_GB2312" w:eastAsia="仿宋_GB2312" w:cs="仿宋_GB2312"/>
          <w:color w:val="auto"/>
          <w:sz w:val="32"/>
          <w:szCs w:val="32"/>
          <w:highlight w:val="none"/>
          <w:shd w:val="clear" w:color="auto" w:fill="FFFFFF"/>
        </w:rPr>
        <w:t>（图3：支出决算结构图）（饼状图）</w:t>
      </w:r>
    </w:p>
    <w:p>
      <w:pPr>
        <w:pStyle w:val="2"/>
        <w:rPr>
          <w:rFonts w:eastAsia="仿宋"/>
          <w:color w:val="auto"/>
          <w:highlight w:val="none"/>
        </w:rPr>
      </w:pPr>
    </w:p>
    <w:p>
      <w:pPr>
        <w:spacing w:line="600" w:lineRule="exact"/>
        <w:ind w:firstLine="640" w:firstLineChars="200"/>
        <w:rPr>
          <w:rFonts w:ascii="仿宋_GB2312" w:eastAsia="仿宋_GB2312"/>
          <w:color w:val="auto"/>
          <w:sz w:val="32"/>
          <w:szCs w:val="32"/>
          <w:highlight w:val="none"/>
        </w:rPr>
      </w:pPr>
    </w:p>
    <w:p>
      <w:pPr>
        <w:spacing w:line="600" w:lineRule="exact"/>
        <w:ind w:firstLine="640" w:firstLineChars="200"/>
        <w:outlineLvl w:val="1"/>
        <w:rPr>
          <w:rStyle w:val="27"/>
          <w:rFonts w:ascii="黑体" w:hAnsi="黑体" w:eastAsia="黑体"/>
          <w:b w:val="0"/>
          <w:color w:val="auto"/>
          <w:highlight w:val="none"/>
        </w:rPr>
      </w:pPr>
      <w:bookmarkStart w:id="40" w:name="_Toc15377208"/>
      <w:bookmarkStart w:id="41" w:name="_Toc15396606"/>
      <w:bookmarkStart w:id="42" w:name="_Toc57146364"/>
      <w:r>
        <w:rPr>
          <w:rFonts w:hint="eastAsia" w:ascii="黑体" w:hAnsi="黑体" w:eastAsia="黑体"/>
          <w:color w:val="auto"/>
          <w:sz w:val="32"/>
          <w:szCs w:val="32"/>
          <w:highlight w:val="none"/>
        </w:rPr>
        <w:t>四、财</w:t>
      </w:r>
      <w:r>
        <w:rPr>
          <w:rStyle w:val="27"/>
          <w:rFonts w:hint="eastAsia" w:ascii="黑体" w:hAnsi="黑体" w:eastAsia="黑体"/>
          <w:b w:val="0"/>
          <w:color w:val="auto"/>
          <w:highlight w:val="none"/>
        </w:rPr>
        <w:t>政拨款收入支出决算总体情况说明</w:t>
      </w:r>
      <w:bookmarkEnd w:id="40"/>
      <w:bookmarkEnd w:id="41"/>
      <w:bookmarkEnd w:id="42"/>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财政拨款收入总计1790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w:t>
      </w:r>
      <w:r>
        <w:rPr>
          <w:rFonts w:hint="eastAsia" w:ascii="仿宋_GB2312" w:hAnsi="仿宋_GB2312" w:eastAsia="仿宋_GB2312" w:cs="仿宋_GB2312"/>
          <w:color w:val="auto"/>
          <w:sz w:val="32"/>
          <w:szCs w:val="32"/>
          <w:highlight w:val="none"/>
          <w:shd w:val="clear" w:color="auto" w:fill="FFFFFF"/>
          <w:lang w:eastAsia="zh-CN"/>
        </w:rPr>
        <w:t>万元</w:t>
      </w:r>
      <w:r>
        <w:rPr>
          <w:rFonts w:hint="eastAsia" w:ascii="仿宋_GB2312" w:hAnsi="仿宋_GB2312" w:eastAsia="仿宋_GB2312" w:cs="仿宋_GB2312"/>
          <w:color w:val="auto"/>
          <w:sz w:val="32"/>
          <w:szCs w:val="32"/>
          <w:highlight w:val="none"/>
          <w:shd w:val="clear" w:color="auto" w:fill="FFFFFF"/>
        </w:rPr>
        <w:t>。与</w:t>
      </w:r>
      <w:r>
        <w:rPr>
          <w:rFonts w:hint="eastAsia" w:ascii="仿宋_GB2312" w:hAnsi="仿宋_GB2312" w:eastAsia="仿宋_GB2312" w:cs="仿宋_GB2312"/>
          <w:color w:val="auto"/>
          <w:sz w:val="32"/>
          <w:szCs w:val="32"/>
          <w:highlight w:val="none"/>
          <w:shd w:val="clear" w:color="auto" w:fill="FFFFFF"/>
          <w:lang w:eastAsia="zh-CN"/>
        </w:rPr>
        <w:t>20</w:t>
      </w:r>
      <w:r>
        <w:rPr>
          <w:rFonts w:hint="eastAsia" w:ascii="仿宋_GB2312" w:hAnsi="仿宋_GB2312" w:eastAsia="仿宋_GB2312" w:cs="仿宋_GB2312"/>
          <w:color w:val="auto"/>
          <w:sz w:val="32"/>
          <w:szCs w:val="32"/>
          <w:highlight w:val="none"/>
          <w:shd w:val="clear" w:color="auto" w:fill="FFFFFF"/>
          <w:lang w:val="en-US" w:eastAsia="zh-CN"/>
        </w:rPr>
        <w:t>20</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相比，财政拨款收入减少</w:t>
      </w:r>
      <w:r>
        <w:rPr>
          <w:rFonts w:hint="eastAsia" w:ascii="仿宋_GB2312" w:hAnsi="仿宋_GB2312" w:eastAsia="仿宋_GB2312" w:cs="仿宋_GB2312"/>
          <w:color w:val="auto"/>
          <w:sz w:val="32"/>
          <w:szCs w:val="32"/>
          <w:highlight w:val="none"/>
          <w:shd w:val="clear" w:color="auto" w:fill="FFFFFF"/>
          <w:lang w:val="en-US" w:eastAsia="zh-CN"/>
        </w:rPr>
        <w:t>498.67</w:t>
      </w:r>
      <w:r>
        <w:rPr>
          <w:rFonts w:hint="eastAsia" w:ascii="仿宋_GB2312" w:hAnsi="仿宋_GB2312" w:eastAsia="仿宋_GB2312" w:cs="仿宋_GB2312"/>
          <w:color w:val="auto"/>
          <w:sz w:val="32"/>
          <w:szCs w:val="32"/>
          <w:highlight w:val="none"/>
          <w:shd w:val="clear" w:color="auto" w:fill="FFFFFF"/>
        </w:rPr>
        <w:t>万元，</w:t>
      </w:r>
      <w:r>
        <w:rPr>
          <w:rFonts w:hint="eastAsia" w:ascii="仿宋_GB2312" w:hAnsi="仿宋_GB2312" w:eastAsia="仿宋_GB2312" w:cs="仿宋_GB2312"/>
          <w:color w:val="auto"/>
          <w:sz w:val="32"/>
          <w:szCs w:val="32"/>
          <w:highlight w:val="none"/>
          <w:shd w:val="clear" w:color="auto" w:fill="FFFFFF"/>
          <w:lang w:eastAsia="zh-CN"/>
        </w:rPr>
        <w:t>增长</w:t>
      </w:r>
      <w:r>
        <w:rPr>
          <w:rFonts w:hint="eastAsia" w:ascii="仿宋_GB2312" w:hAnsi="仿宋_GB2312" w:eastAsia="仿宋_GB2312" w:cs="仿宋_GB2312"/>
          <w:color w:val="auto"/>
          <w:sz w:val="32"/>
          <w:szCs w:val="32"/>
          <w:highlight w:val="none"/>
          <w:shd w:val="clear" w:color="auto" w:fill="FFFFFF"/>
          <w:lang w:val="en-US" w:eastAsia="zh-CN"/>
        </w:rPr>
        <w:t>27</w:t>
      </w:r>
      <w:r>
        <w:rPr>
          <w:rFonts w:hint="eastAsia" w:ascii="仿宋_GB2312" w:hAnsi="仿宋_GB2312" w:eastAsia="仿宋_GB2312" w:cs="仿宋_GB2312"/>
          <w:color w:val="auto"/>
          <w:sz w:val="32"/>
          <w:szCs w:val="32"/>
          <w:highlight w:val="none"/>
          <w:shd w:val="clear" w:color="auto" w:fill="FFFFFF"/>
        </w:rPr>
        <w:t>%。主要原因是人员</w:t>
      </w:r>
      <w:r>
        <w:rPr>
          <w:rFonts w:hint="eastAsia" w:ascii="仿宋_GB2312" w:hAnsi="仿宋_GB2312" w:eastAsia="仿宋_GB2312" w:cs="仿宋_GB2312"/>
          <w:color w:val="auto"/>
          <w:sz w:val="32"/>
          <w:szCs w:val="32"/>
          <w:highlight w:val="none"/>
          <w:shd w:val="clear" w:color="auto" w:fill="FFFFFF"/>
          <w:lang w:eastAsia="zh-CN"/>
        </w:rPr>
        <w:t>及项目</w:t>
      </w:r>
      <w:r>
        <w:rPr>
          <w:rFonts w:hint="eastAsia" w:ascii="仿宋_GB2312" w:hAnsi="仿宋_GB2312" w:eastAsia="仿宋_GB2312" w:cs="仿宋_GB2312"/>
          <w:color w:val="auto"/>
          <w:sz w:val="32"/>
          <w:szCs w:val="32"/>
          <w:highlight w:val="none"/>
          <w:shd w:val="clear" w:color="auto" w:fill="FFFFFF"/>
        </w:rPr>
        <w:t>减少。</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财政拨款支出总计1790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w:t>
      </w:r>
      <w:r>
        <w:rPr>
          <w:rFonts w:hint="eastAsia" w:ascii="仿宋_GB2312" w:hAnsi="仿宋_GB2312" w:eastAsia="仿宋_GB2312" w:cs="仿宋_GB2312"/>
          <w:color w:val="auto"/>
          <w:sz w:val="32"/>
          <w:szCs w:val="32"/>
          <w:highlight w:val="none"/>
          <w:shd w:val="clear" w:color="auto" w:fill="FFFFFF"/>
          <w:lang w:eastAsia="zh-CN"/>
        </w:rPr>
        <w:t>万元</w:t>
      </w:r>
      <w:r>
        <w:rPr>
          <w:rFonts w:hint="eastAsia" w:ascii="仿宋_GB2312" w:hAnsi="仿宋_GB2312" w:eastAsia="仿宋_GB2312" w:cs="仿宋_GB2312"/>
          <w:color w:val="auto"/>
          <w:sz w:val="32"/>
          <w:szCs w:val="32"/>
          <w:highlight w:val="none"/>
          <w:shd w:val="clear" w:color="auto" w:fill="FFFFFF"/>
        </w:rPr>
        <w:t>。与</w:t>
      </w:r>
      <w:r>
        <w:rPr>
          <w:rFonts w:hint="eastAsia" w:ascii="仿宋_GB2312" w:hAnsi="仿宋_GB2312" w:eastAsia="仿宋_GB2312" w:cs="仿宋_GB2312"/>
          <w:color w:val="auto"/>
          <w:sz w:val="32"/>
          <w:szCs w:val="32"/>
          <w:highlight w:val="none"/>
          <w:shd w:val="clear" w:color="auto" w:fill="FFFFFF"/>
          <w:lang w:val="en-US" w:eastAsia="zh-CN"/>
        </w:rPr>
        <w:t>2020</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相比，财政拨款支出</w:t>
      </w:r>
      <w:r>
        <w:rPr>
          <w:rFonts w:hint="eastAsia" w:ascii="仿宋_GB2312" w:hAnsi="仿宋_GB2312" w:eastAsia="仿宋_GB2312" w:cs="仿宋_GB2312"/>
          <w:color w:val="auto"/>
          <w:sz w:val="32"/>
          <w:szCs w:val="32"/>
          <w:highlight w:val="none"/>
          <w:shd w:val="clear" w:color="auto" w:fill="FFFFFF"/>
          <w:lang w:eastAsia="zh-CN"/>
        </w:rPr>
        <w:t>减少</w:t>
      </w:r>
      <w:r>
        <w:rPr>
          <w:rFonts w:hint="eastAsia" w:ascii="仿宋_GB2312" w:hAnsi="仿宋_GB2312" w:eastAsia="仿宋_GB2312" w:cs="仿宋_GB2312"/>
          <w:color w:val="auto"/>
          <w:sz w:val="32"/>
          <w:szCs w:val="32"/>
          <w:highlight w:val="none"/>
          <w:shd w:val="clear" w:color="auto" w:fill="FFFFFF"/>
          <w:lang w:val="en-US" w:eastAsia="zh-CN"/>
        </w:rPr>
        <w:t>82.63</w:t>
      </w:r>
      <w:r>
        <w:rPr>
          <w:rFonts w:hint="eastAsia" w:ascii="仿宋_GB2312" w:hAnsi="仿宋_GB2312" w:eastAsia="仿宋_GB2312" w:cs="仿宋_GB2312"/>
          <w:color w:val="auto"/>
          <w:sz w:val="32"/>
          <w:szCs w:val="32"/>
          <w:highlight w:val="none"/>
          <w:shd w:val="clear" w:color="auto" w:fill="FFFFFF"/>
        </w:rPr>
        <w:t>万元，</w:t>
      </w:r>
      <w:r>
        <w:rPr>
          <w:rFonts w:hint="eastAsia" w:ascii="仿宋_GB2312" w:hAnsi="仿宋_GB2312" w:eastAsia="仿宋_GB2312" w:cs="仿宋_GB2312"/>
          <w:color w:val="auto"/>
          <w:sz w:val="32"/>
          <w:szCs w:val="32"/>
          <w:highlight w:val="none"/>
          <w:shd w:val="clear" w:color="auto" w:fill="FFFFFF"/>
          <w:lang w:val="en-US" w:eastAsia="zh-CN"/>
        </w:rPr>
        <w:t>下降0.4</w:t>
      </w:r>
      <w:r>
        <w:rPr>
          <w:rFonts w:hint="eastAsia" w:ascii="仿宋_GB2312" w:hAnsi="仿宋_GB2312" w:eastAsia="仿宋_GB2312" w:cs="仿宋_GB2312"/>
          <w:color w:val="auto"/>
          <w:sz w:val="32"/>
          <w:szCs w:val="32"/>
          <w:highlight w:val="none"/>
          <w:shd w:val="clear" w:color="auto" w:fill="FFFFFF"/>
        </w:rPr>
        <w:t>%。主要变动原因是</w:t>
      </w:r>
      <w:r>
        <w:rPr>
          <w:rFonts w:hint="eastAsia" w:ascii="仿宋_GB2312" w:hAnsi="仿宋_GB2312" w:eastAsia="仿宋_GB2312" w:cs="仿宋_GB2312"/>
          <w:color w:val="auto"/>
          <w:sz w:val="32"/>
          <w:szCs w:val="32"/>
          <w:highlight w:val="none"/>
          <w:shd w:val="clear" w:color="auto" w:fill="FFFFFF"/>
          <w:lang w:eastAsia="zh-CN"/>
        </w:rPr>
        <w:t>厉行节约</w:t>
      </w:r>
      <w:r>
        <w:rPr>
          <w:rFonts w:hint="eastAsia" w:ascii="仿宋_GB2312" w:hAnsi="仿宋_GB2312" w:eastAsia="仿宋_GB2312" w:cs="仿宋_GB2312"/>
          <w:color w:val="auto"/>
          <w:sz w:val="32"/>
          <w:szCs w:val="32"/>
          <w:highlight w:val="none"/>
          <w:shd w:val="clear" w:color="auto" w:fill="FFFFFF"/>
        </w:rPr>
        <w:t>。</w:t>
      </w:r>
    </w:p>
    <w:p>
      <w:pPr>
        <w:pStyle w:val="2"/>
        <w:rPr>
          <w:color w:val="auto"/>
          <w:highlight w:val="none"/>
        </w:rPr>
      </w:pPr>
      <w:r>
        <w:rPr>
          <w:rFonts w:hint="eastAsia"/>
          <w:color w:val="auto"/>
          <w:highlight w:val="none"/>
        </w:rPr>
        <w:drawing>
          <wp:anchor distT="0" distB="0" distL="114300" distR="114300" simplePos="0" relativeHeight="251662336" behindDoc="1" locked="0" layoutInCell="1" allowOverlap="1">
            <wp:simplePos x="0" y="0"/>
            <wp:positionH relativeFrom="column">
              <wp:posOffset>183515</wp:posOffset>
            </wp:positionH>
            <wp:positionV relativeFrom="paragraph">
              <wp:posOffset>17145</wp:posOffset>
            </wp:positionV>
            <wp:extent cx="4686935" cy="2334260"/>
            <wp:effectExtent l="5080" t="5080" r="13335" b="22860"/>
            <wp:wrapTight wrapText="bothSides">
              <wp:wrapPolygon>
                <wp:start x="-23" y="-47"/>
                <wp:lineTo x="-23" y="21459"/>
                <wp:lineTo x="21574" y="21459"/>
                <wp:lineTo x="21574" y="-47"/>
                <wp:lineTo x="-23" y="-47"/>
              </wp:wrapPolygon>
            </wp:wrapTight>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spacing w:line="600" w:lineRule="exact"/>
        <w:rPr>
          <w:rFonts w:ascii="仿宋" w:hAnsi="仿宋" w:eastAsia="仿宋"/>
          <w:color w:val="auto"/>
          <w:sz w:val="32"/>
          <w:szCs w:val="32"/>
          <w:highlight w:val="none"/>
        </w:rPr>
      </w:pP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（图4：财政拨款收、支决算总计变动情况）（柱状图）</w:t>
      </w:r>
    </w:p>
    <w:p>
      <w:pPr>
        <w:spacing w:line="600" w:lineRule="exact"/>
        <w:ind w:firstLine="640" w:firstLineChars="200"/>
        <w:outlineLvl w:val="1"/>
        <w:rPr>
          <w:rStyle w:val="27"/>
          <w:rFonts w:ascii="黑体" w:hAnsi="黑体" w:eastAsia="黑体"/>
          <w:b w:val="0"/>
          <w:color w:val="auto"/>
          <w:highlight w:val="none"/>
        </w:rPr>
      </w:pPr>
      <w:bookmarkStart w:id="43" w:name="_Toc15396607"/>
      <w:bookmarkStart w:id="44" w:name="_Toc57146365"/>
      <w:bookmarkStart w:id="45" w:name="_Toc15377209"/>
      <w:r>
        <w:rPr>
          <w:rFonts w:hint="eastAsia" w:ascii="黑体" w:hAnsi="黑体" w:eastAsia="黑体"/>
          <w:color w:val="auto"/>
          <w:sz w:val="32"/>
          <w:szCs w:val="32"/>
          <w:highlight w:val="none"/>
        </w:rPr>
        <w:t>五、</w:t>
      </w:r>
      <w:r>
        <w:rPr>
          <w:rFonts w:hint="eastAsia" w:ascii="黑体" w:hAnsi="黑体" w:eastAsia="黑体"/>
          <w:b/>
          <w:color w:val="auto"/>
          <w:sz w:val="32"/>
          <w:szCs w:val="32"/>
          <w:highlight w:val="none"/>
        </w:rPr>
        <w:t>一</w:t>
      </w:r>
      <w:r>
        <w:rPr>
          <w:rStyle w:val="27"/>
          <w:rFonts w:hint="eastAsia" w:ascii="黑体" w:hAnsi="黑体" w:eastAsia="黑体"/>
          <w:b w:val="0"/>
          <w:color w:val="auto"/>
          <w:highlight w:val="none"/>
        </w:rPr>
        <w:t>般公共预算财政拨款支出决算情况说明</w:t>
      </w:r>
      <w:bookmarkEnd w:id="43"/>
      <w:bookmarkEnd w:id="44"/>
      <w:bookmarkEnd w:id="45"/>
    </w:p>
    <w:p>
      <w:pPr>
        <w:spacing w:line="600" w:lineRule="exact"/>
        <w:ind w:firstLine="643" w:firstLineChars="200"/>
        <w:outlineLvl w:val="2"/>
        <w:rPr>
          <w:rFonts w:ascii="仿宋" w:hAnsi="仿宋" w:eastAsia="仿宋"/>
          <w:b/>
          <w:color w:val="auto"/>
          <w:sz w:val="32"/>
          <w:szCs w:val="32"/>
          <w:highlight w:val="none"/>
        </w:rPr>
      </w:pPr>
      <w:bookmarkStart w:id="46" w:name="_Toc57146366"/>
      <w:bookmarkStart w:id="47" w:name="_Toc15377210"/>
      <w:r>
        <w:rPr>
          <w:rFonts w:hint="eastAsia" w:ascii="仿宋" w:hAnsi="仿宋" w:eastAsia="仿宋"/>
          <w:b/>
          <w:color w:val="auto"/>
          <w:sz w:val="32"/>
          <w:szCs w:val="32"/>
          <w:highlight w:val="none"/>
        </w:rPr>
        <w:t>（一）一般公共预算财政拨款支出决算总体情况</w:t>
      </w:r>
      <w:bookmarkEnd w:id="46"/>
      <w:bookmarkEnd w:id="47"/>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一般公共预算财政拨款支出1790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93万元，占本年支出合计的100%。与</w:t>
      </w:r>
      <w:r>
        <w:rPr>
          <w:rFonts w:hint="eastAsia" w:ascii="仿宋_GB2312" w:hAnsi="仿宋_GB2312" w:eastAsia="仿宋_GB2312" w:cs="仿宋_GB2312"/>
          <w:color w:val="auto"/>
          <w:sz w:val="32"/>
          <w:szCs w:val="32"/>
          <w:highlight w:val="none"/>
          <w:shd w:val="clear" w:color="auto" w:fill="FFFFFF"/>
          <w:lang w:val="en-US" w:eastAsia="zh-CN"/>
        </w:rPr>
        <w:t>2020</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相比，一般公共预算财政拨款</w:t>
      </w:r>
      <w:r>
        <w:rPr>
          <w:rFonts w:hint="eastAsia" w:ascii="仿宋_GB2312" w:hAnsi="仿宋_GB2312" w:eastAsia="仿宋_GB2312" w:cs="仿宋_GB2312"/>
          <w:color w:val="auto"/>
          <w:sz w:val="32"/>
          <w:szCs w:val="32"/>
          <w:highlight w:val="none"/>
          <w:shd w:val="clear" w:color="auto" w:fill="FFFFFF"/>
          <w:lang w:eastAsia="zh-CN"/>
        </w:rPr>
        <w:t>减少</w:t>
      </w:r>
      <w:r>
        <w:rPr>
          <w:rFonts w:hint="eastAsia" w:ascii="仿宋_GB2312" w:hAnsi="仿宋_GB2312" w:eastAsia="仿宋_GB2312" w:cs="仿宋_GB2312"/>
          <w:color w:val="auto"/>
          <w:sz w:val="32"/>
          <w:szCs w:val="32"/>
          <w:highlight w:val="none"/>
          <w:shd w:val="clear" w:color="auto" w:fill="FFFFFF"/>
          <w:lang w:val="en-US" w:eastAsia="zh-CN"/>
        </w:rPr>
        <w:t>82.63</w:t>
      </w:r>
      <w:r>
        <w:rPr>
          <w:rFonts w:hint="eastAsia" w:ascii="仿宋_GB2312" w:hAnsi="仿宋_GB2312" w:eastAsia="仿宋_GB2312" w:cs="仿宋_GB2312"/>
          <w:color w:val="auto"/>
          <w:sz w:val="32"/>
          <w:szCs w:val="32"/>
          <w:highlight w:val="none"/>
          <w:shd w:val="clear" w:color="auto" w:fill="FFFFFF"/>
        </w:rPr>
        <w:t>万元，</w:t>
      </w:r>
      <w:r>
        <w:rPr>
          <w:rFonts w:hint="eastAsia" w:ascii="仿宋_GB2312" w:hAnsi="仿宋_GB2312" w:eastAsia="仿宋_GB2312" w:cs="仿宋_GB2312"/>
          <w:color w:val="auto"/>
          <w:sz w:val="32"/>
          <w:szCs w:val="32"/>
          <w:highlight w:val="none"/>
          <w:shd w:val="clear" w:color="auto" w:fill="FFFFFF"/>
          <w:lang w:val="en-US" w:eastAsia="zh-CN"/>
        </w:rPr>
        <w:t>下降0.4</w:t>
      </w:r>
      <w:r>
        <w:rPr>
          <w:rFonts w:hint="eastAsia" w:ascii="仿宋_GB2312" w:hAnsi="仿宋_GB2312" w:eastAsia="仿宋_GB2312" w:cs="仿宋_GB2312"/>
          <w:color w:val="auto"/>
          <w:sz w:val="32"/>
          <w:szCs w:val="32"/>
          <w:highlight w:val="none"/>
          <w:shd w:val="clear" w:color="auto" w:fill="FFFFFF"/>
        </w:rPr>
        <w:t>%。主要变动原因是</w:t>
      </w:r>
      <w:r>
        <w:rPr>
          <w:rFonts w:hint="eastAsia" w:ascii="仿宋_GB2312" w:hAnsi="仿宋_GB2312" w:eastAsia="仿宋_GB2312" w:cs="仿宋_GB2312"/>
          <w:color w:val="auto"/>
          <w:sz w:val="32"/>
          <w:szCs w:val="32"/>
          <w:highlight w:val="none"/>
          <w:shd w:val="clear" w:color="auto" w:fill="FFFFFF"/>
          <w:lang w:eastAsia="zh-CN"/>
        </w:rPr>
        <w:t>厉行节约</w:t>
      </w:r>
      <w:r>
        <w:rPr>
          <w:rFonts w:hint="eastAsia" w:ascii="仿宋_GB2312" w:hAnsi="仿宋_GB2312" w:eastAsia="仿宋_GB2312" w:cs="仿宋_GB2312"/>
          <w:color w:val="auto"/>
          <w:sz w:val="32"/>
          <w:szCs w:val="32"/>
          <w:highlight w:val="none"/>
          <w:shd w:val="clear" w:color="auto" w:fill="FFFFFF"/>
        </w:rPr>
        <w:t>。</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（图5：一般公共预算财政拨款支出决算变动情况）（柱状图）</w:t>
      </w:r>
    </w:p>
    <w:p>
      <w:pPr>
        <w:pStyle w:val="2"/>
        <w:rPr>
          <w:rFonts w:ascii="仿宋" w:hAnsi="仿宋" w:eastAsia="仿宋"/>
          <w:color w:val="auto"/>
          <w:sz w:val="32"/>
          <w:szCs w:val="32"/>
          <w:highlight w:val="none"/>
        </w:rPr>
      </w:pPr>
      <w:r>
        <w:rPr>
          <w:rFonts w:ascii="仿宋" w:hAnsi="仿宋" w:eastAsia="仿宋"/>
          <w:color w:val="auto"/>
          <w:sz w:val="32"/>
          <w:szCs w:val="32"/>
          <w:highlight w:val="none"/>
        </w:rPr>
        <w:drawing>
          <wp:anchor distT="0" distB="0" distL="114300" distR="114300" simplePos="0" relativeHeight="251663360" behindDoc="1" locked="0" layoutInCell="1" allowOverlap="1">
            <wp:simplePos x="0" y="0"/>
            <wp:positionH relativeFrom="column">
              <wp:posOffset>18415</wp:posOffset>
            </wp:positionH>
            <wp:positionV relativeFrom="paragraph">
              <wp:posOffset>26670</wp:posOffset>
            </wp:positionV>
            <wp:extent cx="4925060" cy="1779270"/>
            <wp:effectExtent l="19050" t="0" r="27940" b="0"/>
            <wp:wrapTight wrapText="bothSides">
              <wp:wrapPolygon>
                <wp:start x="-84" y="0"/>
                <wp:lineTo x="-84" y="21507"/>
                <wp:lineTo x="21723" y="21507"/>
                <wp:lineTo x="21723" y="0"/>
                <wp:lineTo x="-84" y="0"/>
              </wp:wrapPolygon>
            </wp:wrapTight>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spacing w:line="600" w:lineRule="exact"/>
        <w:ind w:firstLine="640" w:firstLineChars="200"/>
        <w:rPr>
          <w:rFonts w:ascii="仿宋" w:hAnsi="仿宋" w:eastAsia="仿宋"/>
          <w:color w:val="auto"/>
          <w:sz w:val="32"/>
          <w:szCs w:val="32"/>
          <w:highlight w:val="none"/>
        </w:rPr>
      </w:pPr>
    </w:p>
    <w:p>
      <w:pPr>
        <w:spacing w:line="600" w:lineRule="exact"/>
        <w:ind w:firstLine="643" w:firstLineChars="200"/>
        <w:outlineLvl w:val="2"/>
        <w:rPr>
          <w:rFonts w:ascii="仿宋" w:hAnsi="仿宋" w:eastAsia="仿宋"/>
          <w:b/>
          <w:color w:val="auto"/>
          <w:sz w:val="32"/>
          <w:szCs w:val="32"/>
          <w:highlight w:val="none"/>
        </w:rPr>
      </w:pPr>
      <w:bookmarkStart w:id="48" w:name="_Toc57146367"/>
      <w:bookmarkStart w:id="49" w:name="_Toc15377211"/>
      <w:r>
        <w:rPr>
          <w:rFonts w:hint="eastAsia" w:ascii="仿宋" w:hAnsi="仿宋" w:eastAsia="仿宋"/>
          <w:b/>
          <w:color w:val="auto"/>
          <w:sz w:val="32"/>
          <w:szCs w:val="32"/>
          <w:highlight w:val="none"/>
        </w:rPr>
        <w:t>（二）一般公共预算财政拨款支出决算结构情况</w:t>
      </w:r>
      <w:bookmarkEnd w:id="48"/>
      <w:bookmarkEnd w:id="49"/>
    </w:p>
    <w:p>
      <w:pPr>
        <w:spacing w:line="576" w:lineRule="exact"/>
        <w:ind w:firstLine="640" w:firstLineChars="200"/>
        <w:jc w:val="left"/>
        <w:rPr>
          <w:rFonts w:hint="default"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一般公共预算财政拨款支出</w:t>
      </w:r>
      <w:r>
        <w:rPr>
          <w:rFonts w:hint="eastAsia" w:ascii="仿宋_GB2312" w:hAnsi="仿宋_GB2312" w:eastAsia="仿宋_GB2312" w:cs="仿宋_GB2312"/>
          <w:color w:val="auto"/>
          <w:sz w:val="32"/>
          <w:szCs w:val="32"/>
          <w:highlight w:val="none"/>
          <w:shd w:val="clear" w:color="auto" w:fill="FFFFFF"/>
          <w:lang w:val="en-US" w:eastAsia="zh-CN"/>
        </w:rPr>
        <w:t>1790.93</w:t>
      </w:r>
      <w:r>
        <w:rPr>
          <w:rFonts w:hint="eastAsia" w:ascii="仿宋_GB2312" w:hAnsi="仿宋_GB2312" w:eastAsia="仿宋_GB2312" w:cs="仿宋_GB2312"/>
          <w:color w:val="auto"/>
          <w:sz w:val="32"/>
          <w:szCs w:val="32"/>
          <w:highlight w:val="none"/>
          <w:shd w:val="clear" w:color="auto" w:fill="FFFFFF"/>
        </w:rPr>
        <w:t>万元，主要用于以下方面:一般公共服务（类）支出</w:t>
      </w:r>
      <w:r>
        <w:rPr>
          <w:rFonts w:hint="eastAsia" w:ascii="仿宋_GB2312" w:hAnsi="仿宋_GB2312" w:eastAsia="仿宋_GB2312" w:cs="仿宋_GB2312"/>
          <w:color w:val="auto"/>
          <w:sz w:val="32"/>
          <w:szCs w:val="32"/>
          <w:highlight w:val="none"/>
          <w:shd w:val="clear" w:color="auto" w:fill="FFFFFF"/>
          <w:lang w:val="en-US" w:eastAsia="zh-CN"/>
        </w:rPr>
        <w:t>921.45</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52</w:t>
      </w:r>
      <w:r>
        <w:rPr>
          <w:rFonts w:hint="eastAsia" w:ascii="仿宋_GB2312" w:hAnsi="仿宋_GB2312" w:eastAsia="仿宋_GB2312" w:cs="仿宋_GB2312"/>
          <w:color w:val="auto"/>
          <w:sz w:val="32"/>
          <w:szCs w:val="32"/>
          <w:highlight w:val="none"/>
          <w:shd w:val="clear" w:color="auto" w:fill="FFFFFF"/>
        </w:rPr>
        <w:t>%；公共安全支出</w:t>
      </w:r>
      <w:r>
        <w:rPr>
          <w:rFonts w:hint="eastAsia" w:ascii="仿宋_GB2312" w:hAnsi="仿宋_GB2312" w:eastAsia="仿宋_GB2312" w:cs="仿宋_GB2312"/>
          <w:color w:val="auto"/>
          <w:sz w:val="32"/>
          <w:szCs w:val="32"/>
          <w:highlight w:val="none"/>
          <w:shd w:val="clear" w:color="auto" w:fill="FFFFFF"/>
          <w:lang w:eastAsia="zh-CN"/>
        </w:rPr>
        <w:t>（类）</w:t>
      </w:r>
      <w:r>
        <w:rPr>
          <w:rFonts w:hint="eastAsia" w:ascii="仿宋_GB2312" w:hAnsi="仿宋_GB2312" w:eastAsia="仿宋_GB2312" w:cs="仿宋_GB2312"/>
          <w:color w:val="auto"/>
          <w:sz w:val="32"/>
          <w:szCs w:val="32"/>
          <w:highlight w:val="none"/>
          <w:shd w:val="clear" w:color="auto" w:fill="FFFFFF"/>
          <w:lang w:val="en-US" w:eastAsia="zh-CN"/>
        </w:rPr>
        <w:t>3万元，</w:t>
      </w:r>
      <w:r>
        <w:rPr>
          <w:rFonts w:hint="eastAsia" w:ascii="仿宋_GB2312" w:hAnsi="仿宋_GB2312" w:eastAsia="仿宋_GB2312" w:cs="仿宋_GB2312"/>
          <w:color w:val="auto"/>
          <w:sz w:val="32"/>
          <w:szCs w:val="32"/>
          <w:highlight w:val="none"/>
          <w:shd w:val="clear" w:color="auto" w:fill="FFFFFF"/>
        </w:rPr>
        <w:t>占</w:t>
      </w:r>
      <w:r>
        <w:rPr>
          <w:rFonts w:hint="eastAsia" w:ascii="仿宋_GB2312" w:hAnsi="仿宋_GB2312" w:eastAsia="仿宋_GB2312" w:cs="仿宋_GB2312"/>
          <w:color w:val="auto"/>
          <w:sz w:val="32"/>
          <w:szCs w:val="32"/>
          <w:highlight w:val="none"/>
          <w:shd w:val="clear" w:color="auto" w:fill="FFFFFF"/>
          <w:lang w:val="en-US" w:eastAsia="zh-CN"/>
        </w:rPr>
        <w:t>0.2</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教育支出（类）0万元，占0%；科学技术（类）支出0万元，占0%；文化旅游体育与传媒（类）支出</w:t>
      </w:r>
      <w:r>
        <w:rPr>
          <w:rFonts w:hint="eastAsia" w:ascii="仿宋_GB2312" w:hAnsi="仿宋_GB2312" w:eastAsia="仿宋_GB2312" w:cs="仿宋_GB2312"/>
          <w:color w:val="auto"/>
          <w:sz w:val="32"/>
          <w:szCs w:val="32"/>
          <w:highlight w:val="none"/>
          <w:shd w:val="clear" w:color="auto" w:fill="FFFFFF"/>
          <w:lang w:val="en-US" w:eastAsia="zh-CN"/>
        </w:rPr>
        <w:t>5</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0.3</w:t>
      </w:r>
      <w:r>
        <w:rPr>
          <w:rFonts w:hint="eastAsia" w:ascii="仿宋_GB2312" w:hAnsi="仿宋_GB2312" w:eastAsia="仿宋_GB2312" w:cs="仿宋_GB2312"/>
          <w:color w:val="auto"/>
          <w:sz w:val="32"/>
          <w:szCs w:val="32"/>
          <w:highlight w:val="none"/>
          <w:shd w:val="clear" w:color="auto" w:fill="FFFFFF"/>
        </w:rPr>
        <w:t>%；社会保障和就业（类）支出</w:t>
      </w:r>
      <w:r>
        <w:rPr>
          <w:rFonts w:hint="eastAsia" w:ascii="仿宋_GB2312" w:hAnsi="仿宋_GB2312" w:eastAsia="仿宋_GB2312" w:cs="仿宋_GB2312"/>
          <w:color w:val="auto"/>
          <w:sz w:val="32"/>
          <w:szCs w:val="32"/>
          <w:highlight w:val="none"/>
          <w:shd w:val="clear" w:color="auto" w:fill="FFFFFF"/>
          <w:lang w:val="en-US" w:eastAsia="zh-CN"/>
        </w:rPr>
        <w:t>107.32</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6</w:t>
      </w:r>
      <w:r>
        <w:rPr>
          <w:rFonts w:hint="eastAsia" w:ascii="仿宋_GB2312" w:hAnsi="仿宋_GB2312" w:eastAsia="仿宋_GB2312" w:cs="仿宋_GB2312"/>
          <w:color w:val="auto"/>
          <w:sz w:val="32"/>
          <w:szCs w:val="32"/>
          <w:highlight w:val="none"/>
          <w:shd w:val="clear" w:color="auto" w:fill="FFFFFF"/>
        </w:rPr>
        <w:t>%；卫生健康支出</w:t>
      </w:r>
      <w:r>
        <w:rPr>
          <w:rFonts w:hint="eastAsia" w:ascii="仿宋_GB2312" w:hAnsi="仿宋_GB2312" w:eastAsia="仿宋_GB2312" w:cs="仿宋_GB2312"/>
          <w:color w:val="auto"/>
          <w:sz w:val="32"/>
          <w:szCs w:val="32"/>
          <w:highlight w:val="none"/>
          <w:shd w:val="clear" w:color="auto" w:fill="FFFFFF"/>
          <w:lang w:val="en-US" w:eastAsia="zh-CN"/>
        </w:rPr>
        <w:t>56.46</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3.2</w:t>
      </w:r>
      <w:r>
        <w:rPr>
          <w:rFonts w:hint="eastAsia" w:ascii="仿宋_GB2312" w:hAnsi="仿宋_GB2312" w:eastAsia="仿宋_GB2312" w:cs="仿宋_GB2312"/>
          <w:color w:val="auto"/>
          <w:sz w:val="32"/>
          <w:szCs w:val="32"/>
          <w:highlight w:val="none"/>
          <w:shd w:val="clear" w:color="auto" w:fill="FFFFFF"/>
        </w:rPr>
        <w:t>%；住房保障支出</w:t>
      </w:r>
      <w:r>
        <w:rPr>
          <w:rFonts w:hint="eastAsia" w:ascii="仿宋_GB2312" w:hAnsi="仿宋_GB2312" w:eastAsia="仿宋_GB2312" w:cs="仿宋_GB2312"/>
          <w:color w:val="auto"/>
          <w:sz w:val="32"/>
          <w:szCs w:val="32"/>
          <w:highlight w:val="none"/>
          <w:shd w:val="clear" w:color="auto" w:fill="FFFFFF"/>
          <w:lang w:val="en-US" w:eastAsia="zh-CN"/>
        </w:rPr>
        <w:t>71.60</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3</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节能环保（类）支出</w:t>
      </w:r>
      <w:r>
        <w:rPr>
          <w:rFonts w:hint="eastAsia" w:ascii="仿宋_GB2312" w:hAnsi="仿宋_GB2312" w:eastAsia="仿宋_GB2312" w:cs="仿宋_GB2312"/>
          <w:color w:val="auto"/>
          <w:sz w:val="32"/>
          <w:szCs w:val="32"/>
          <w:highlight w:val="none"/>
          <w:shd w:val="clear" w:color="auto" w:fill="FFFFFF"/>
          <w:lang w:val="en-US" w:eastAsia="zh-CN"/>
        </w:rPr>
        <w:t>0万元，占0%；城乡社区（类）支出5.02万元，占0.3%；农林水支出621.04万元，占35%。</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支出</w:t>
      </w:r>
      <w:r>
        <w:rPr>
          <w:rFonts w:hint="eastAsia" w:ascii="仿宋_GB2312" w:hAnsi="仿宋_GB2312" w:eastAsia="仿宋_GB2312" w:cs="仿宋_GB2312"/>
          <w:color w:val="auto"/>
          <w:sz w:val="32"/>
          <w:szCs w:val="32"/>
          <w:highlight w:val="none"/>
          <w:shd w:val="clear" w:color="auto" w:fill="FFFFFF"/>
        </w:rPr>
        <w:t>（图6：一般公共预算财政拨款支出决算结构）（饼状图）</w:t>
      </w:r>
    </w:p>
    <w:p>
      <w:pPr>
        <w:spacing w:line="600" w:lineRule="exact"/>
        <w:ind w:firstLine="640" w:firstLineChars="200"/>
        <w:rPr>
          <w:rFonts w:ascii="仿宋" w:hAnsi="仿宋" w:eastAsia="仿宋"/>
          <w:color w:val="auto"/>
          <w:sz w:val="32"/>
          <w:szCs w:val="32"/>
          <w:highlight w:val="none"/>
        </w:rPr>
      </w:pPr>
      <w:r>
        <w:rPr>
          <w:rFonts w:hint="eastAsia" w:ascii="仿宋" w:hAnsi="仿宋" w:eastAsia="仿宋"/>
          <w:color w:val="auto"/>
          <w:sz w:val="32"/>
          <w:szCs w:val="32"/>
          <w:highlight w:val="none"/>
        </w:rPr>
        <w:drawing>
          <wp:anchor distT="0" distB="0" distL="114300" distR="114300" simplePos="0" relativeHeight="251664384" behindDoc="1" locked="0" layoutInCell="1" allowOverlap="1">
            <wp:simplePos x="0" y="0"/>
            <wp:positionH relativeFrom="column">
              <wp:posOffset>387985</wp:posOffset>
            </wp:positionH>
            <wp:positionV relativeFrom="paragraph">
              <wp:posOffset>189230</wp:posOffset>
            </wp:positionV>
            <wp:extent cx="4496435" cy="2857500"/>
            <wp:effectExtent l="5080" t="4445" r="51435" b="71755"/>
            <wp:wrapTight wrapText="bothSides">
              <wp:wrapPolygon>
                <wp:start x="-24" y="-34"/>
                <wp:lineTo x="-24" y="21566"/>
                <wp:lineTo x="21573" y="21566"/>
                <wp:lineTo x="21573" y="-34"/>
                <wp:lineTo x="-24" y="-34"/>
              </wp:wrapPolygon>
            </wp:wrapTight>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spacing w:line="600" w:lineRule="exact"/>
        <w:ind w:firstLine="643" w:firstLineChars="200"/>
        <w:outlineLvl w:val="2"/>
        <w:rPr>
          <w:rFonts w:hint="eastAsia" w:ascii="仿宋" w:hAnsi="仿宋" w:eastAsia="仿宋"/>
          <w:b/>
          <w:color w:val="auto"/>
          <w:sz w:val="32"/>
          <w:szCs w:val="32"/>
          <w:highlight w:val="none"/>
        </w:rPr>
      </w:pPr>
      <w:bookmarkStart w:id="50" w:name="_Toc57146368"/>
      <w:bookmarkStart w:id="51" w:name="_Toc15377212"/>
    </w:p>
    <w:p>
      <w:pPr>
        <w:spacing w:line="600" w:lineRule="exact"/>
        <w:ind w:firstLine="643" w:firstLineChars="200"/>
        <w:outlineLvl w:val="2"/>
        <w:rPr>
          <w:rFonts w:hint="eastAsia" w:ascii="仿宋" w:hAnsi="仿宋" w:eastAsia="仿宋"/>
          <w:b/>
          <w:color w:val="auto"/>
          <w:sz w:val="32"/>
          <w:szCs w:val="32"/>
          <w:highlight w:val="none"/>
        </w:rPr>
      </w:pPr>
    </w:p>
    <w:p>
      <w:pPr>
        <w:spacing w:line="600" w:lineRule="exact"/>
        <w:ind w:firstLine="643" w:firstLineChars="200"/>
        <w:outlineLvl w:val="2"/>
        <w:rPr>
          <w:rFonts w:hint="eastAsia" w:ascii="仿宋" w:hAnsi="仿宋" w:eastAsia="仿宋"/>
          <w:b/>
          <w:color w:val="auto"/>
          <w:sz w:val="32"/>
          <w:szCs w:val="32"/>
          <w:highlight w:val="none"/>
        </w:rPr>
      </w:pPr>
    </w:p>
    <w:p>
      <w:pPr>
        <w:spacing w:line="600" w:lineRule="exact"/>
        <w:ind w:firstLine="643" w:firstLineChars="200"/>
        <w:outlineLvl w:val="2"/>
        <w:rPr>
          <w:rFonts w:hint="eastAsia" w:ascii="仿宋" w:hAnsi="仿宋" w:eastAsia="仿宋"/>
          <w:b/>
          <w:color w:val="auto"/>
          <w:sz w:val="32"/>
          <w:szCs w:val="32"/>
          <w:highlight w:val="none"/>
        </w:rPr>
      </w:pPr>
    </w:p>
    <w:p>
      <w:pPr>
        <w:spacing w:line="600" w:lineRule="exact"/>
        <w:ind w:firstLine="643" w:firstLineChars="200"/>
        <w:outlineLvl w:val="2"/>
        <w:rPr>
          <w:rFonts w:hint="eastAsia" w:ascii="仿宋" w:hAnsi="仿宋" w:eastAsia="仿宋"/>
          <w:b/>
          <w:color w:val="auto"/>
          <w:sz w:val="32"/>
          <w:szCs w:val="32"/>
          <w:highlight w:val="none"/>
        </w:rPr>
      </w:pPr>
    </w:p>
    <w:p>
      <w:pPr>
        <w:spacing w:line="600" w:lineRule="exact"/>
        <w:ind w:firstLine="643" w:firstLineChars="200"/>
        <w:outlineLvl w:val="2"/>
        <w:rPr>
          <w:rFonts w:hint="eastAsia" w:ascii="仿宋" w:hAnsi="仿宋" w:eastAsia="仿宋"/>
          <w:b/>
          <w:color w:val="auto"/>
          <w:sz w:val="32"/>
          <w:szCs w:val="32"/>
          <w:highlight w:val="none"/>
        </w:rPr>
      </w:pPr>
    </w:p>
    <w:p>
      <w:pPr>
        <w:spacing w:line="600" w:lineRule="exact"/>
        <w:outlineLvl w:val="2"/>
        <w:rPr>
          <w:rFonts w:hint="eastAsia" w:ascii="仿宋" w:hAnsi="仿宋" w:eastAsia="仿宋"/>
          <w:b/>
          <w:color w:val="auto"/>
          <w:sz w:val="32"/>
          <w:szCs w:val="32"/>
          <w:highlight w:val="none"/>
        </w:rPr>
      </w:pPr>
    </w:p>
    <w:p>
      <w:pPr>
        <w:spacing w:line="600" w:lineRule="exact"/>
        <w:ind w:firstLine="643" w:firstLineChars="200"/>
        <w:outlineLvl w:val="2"/>
        <w:rPr>
          <w:rFonts w:ascii="仿宋" w:hAnsi="仿宋" w:eastAsia="仿宋"/>
          <w:b/>
          <w:color w:val="auto"/>
          <w:sz w:val="32"/>
          <w:szCs w:val="32"/>
          <w:highlight w:val="none"/>
        </w:rPr>
      </w:pPr>
      <w:r>
        <w:rPr>
          <w:rFonts w:hint="eastAsia" w:ascii="仿宋" w:hAnsi="仿宋" w:eastAsia="仿宋"/>
          <w:b/>
          <w:color w:val="auto"/>
          <w:sz w:val="32"/>
          <w:szCs w:val="32"/>
          <w:highlight w:val="none"/>
        </w:rPr>
        <w:t>（三）一般公共预算财政拨款支出决算具体情况</w:t>
      </w:r>
      <w:bookmarkEnd w:id="50"/>
      <w:bookmarkEnd w:id="51"/>
    </w:p>
    <w:p>
      <w:pPr>
        <w:spacing w:line="600" w:lineRule="exact"/>
        <w:ind w:firstLine="643" w:firstLineChars="200"/>
        <w:outlineLvl w:val="2"/>
        <w:rPr>
          <w:rFonts w:ascii="仿宋" w:hAnsi="仿宋" w:eastAsia="仿宋"/>
          <w:color w:val="auto"/>
          <w:sz w:val="32"/>
          <w:szCs w:val="32"/>
          <w:highlight w:val="none"/>
        </w:rPr>
      </w:pPr>
      <w:bookmarkStart w:id="52" w:name="_Toc57146369"/>
      <w:bookmarkStart w:id="53" w:name="_Toc15377213"/>
      <w:bookmarkStart w:id="54" w:name="_Toc15377444"/>
      <w:bookmarkStart w:id="55" w:name="_Toc15378460"/>
      <w:r>
        <w:rPr>
          <w:rFonts w:hint="eastAsia" w:ascii="仿宋" w:hAnsi="仿宋" w:eastAsia="仿宋"/>
          <w:b/>
          <w:color w:val="auto"/>
          <w:sz w:val="32"/>
          <w:szCs w:val="32"/>
          <w:highlight w:val="none"/>
          <w:lang w:eastAsia="zh-CN"/>
        </w:rPr>
        <w:t>202</w:t>
      </w:r>
      <w:r>
        <w:rPr>
          <w:rFonts w:hint="eastAsia" w:ascii="仿宋" w:hAnsi="仿宋" w:eastAsia="仿宋"/>
          <w:b/>
          <w:color w:val="auto"/>
          <w:sz w:val="32"/>
          <w:szCs w:val="32"/>
          <w:highlight w:val="none"/>
          <w:lang w:val="en-US" w:eastAsia="zh-CN"/>
        </w:rPr>
        <w:t>1</w:t>
      </w:r>
      <w:r>
        <w:rPr>
          <w:rFonts w:hint="eastAsia" w:ascii="仿宋" w:hAnsi="仿宋" w:eastAsia="仿宋"/>
          <w:b/>
          <w:color w:val="auto"/>
          <w:sz w:val="32"/>
          <w:szCs w:val="32"/>
          <w:highlight w:val="none"/>
          <w:lang w:eastAsia="zh-CN"/>
        </w:rPr>
        <w:t>年</w:t>
      </w:r>
      <w:r>
        <w:rPr>
          <w:rFonts w:hint="eastAsia" w:ascii="仿宋" w:hAnsi="仿宋" w:eastAsia="仿宋"/>
          <w:b/>
          <w:color w:val="auto"/>
          <w:sz w:val="32"/>
          <w:szCs w:val="32"/>
          <w:highlight w:val="none"/>
        </w:rPr>
        <w:t>一般公共预算支出决算数为</w:t>
      </w:r>
      <w:r>
        <w:rPr>
          <w:rFonts w:hint="eastAsia" w:ascii="仿宋" w:hAnsi="仿宋" w:eastAsia="仿宋"/>
          <w:b/>
          <w:color w:val="auto"/>
          <w:sz w:val="32"/>
          <w:szCs w:val="32"/>
          <w:highlight w:val="none"/>
          <w:lang w:val="en-US" w:eastAsia="zh-CN"/>
        </w:rPr>
        <w:t>921.45万元</w:t>
      </w:r>
      <w:r>
        <w:rPr>
          <w:rFonts w:hint="eastAsia" w:ascii="仿宋" w:hAnsi="仿宋" w:eastAsia="仿宋"/>
          <w:color w:val="auto"/>
          <w:sz w:val="32"/>
          <w:szCs w:val="32"/>
          <w:highlight w:val="none"/>
        </w:rPr>
        <w:t>，</w:t>
      </w:r>
      <w:r>
        <w:rPr>
          <w:rStyle w:val="16"/>
          <w:rFonts w:hint="eastAsia" w:ascii="仿宋" w:hAnsi="仿宋" w:eastAsia="仿宋"/>
          <w:bCs/>
          <w:color w:val="auto"/>
          <w:sz w:val="32"/>
          <w:szCs w:val="32"/>
          <w:highlight w:val="none"/>
        </w:rPr>
        <w:t>完成预算100</w:t>
      </w:r>
      <w:r>
        <w:rPr>
          <w:rStyle w:val="16"/>
          <w:rFonts w:ascii="仿宋" w:hAnsi="仿宋" w:eastAsia="仿宋"/>
          <w:bCs/>
          <w:color w:val="auto"/>
          <w:sz w:val="32"/>
          <w:szCs w:val="32"/>
          <w:highlight w:val="none"/>
        </w:rPr>
        <w:t>%</w:t>
      </w:r>
      <w:r>
        <w:rPr>
          <w:rStyle w:val="16"/>
          <w:rFonts w:hint="eastAsia" w:ascii="仿宋" w:hAnsi="仿宋" w:eastAsia="仿宋"/>
          <w:bCs/>
          <w:color w:val="auto"/>
          <w:sz w:val="32"/>
          <w:szCs w:val="32"/>
          <w:highlight w:val="none"/>
        </w:rPr>
        <w:t>。其中：</w:t>
      </w:r>
      <w:bookmarkEnd w:id="52"/>
      <w:bookmarkEnd w:id="53"/>
      <w:bookmarkEnd w:id="54"/>
      <w:bookmarkEnd w:id="55"/>
    </w:p>
    <w:p>
      <w:pPr>
        <w:spacing w:line="600" w:lineRule="exact"/>
        <w:ind w:firstLine="643" w:firstLineChars="200"/>
        <w:rPr>
          <w:rStyle w:val="16"/>
          <w:rFonts w:ascii="仿宋" w:hAnsi="仿宋" w:eastAsia="仿宋"/>
          <w:b w:val="0"/>
          <w:bCs/>
          <w:color w:val="auto"/>
          <w:sz w:val="32"/>
          <w:szCs w:val="32"/>
          <w:highlight w:val="none"/>
        </w:rPr>
      </w:pPr>
      <w:r>
        <w:rPr>
          <w:rStyle w:val="16"/>
          <w:rFonts w:hint="eastAsia" w:ascii="仿宋" w:hAnsi="仿宋" w:eastAsia="仿宋"/>
          <w:bCs/>
          <w:color w:val="auto"/>
          <w:sz w:val="32"/>
          <w:szCs w:val="32"/>
          <w:highlight w:val="none"/>
        </w:rPr>
        <w:t>1.一般公共服务（类）</w:t>
      </w:r>
      <w:r>
        <w:rPr>
          <w:rStyle w:val="16"/>
          <w:rFonts w:ascii="仿宋" w:hAnsi="仿宋" w:eastAsia="仿宋"/>
          <w:bCs/>
          <w:color w:val="auto"/>
          <w:sz w:val="32"/>
          <w:szCs w:val="32"/>
          <w:highlight w:val="none"/>
        </w:rPr>
        <w:t>:</w:t>
      </w:r>
      <w:r>
        <w:rPr>
          <w:rStyle w:val="16"/>
          <w:rFonts w:ascii="仿宋" w:hAnsi="仿宋" w:eastAsia="仿宋"/>
          <w:b w:val="0"/>
          <w:bCs/>
          <w:color w:val="auto"/>
          <w:sz w:val="32"/>
          <w:szCs w:val="32"/>
          <w:highlight w:val="none"/>
        </w:rPr>
        <w:t xml:space="preserve"> </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2010101-行政运行：79.34万元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2010104</w:t>
      </w:r>
      <w:r>
        <w:rPr>
          <w:rFonts w:hint="eastAsia" w:ascii="仿宋_GB2312" w:hAnsi="仿宋_GB2312" w:eastAsia="仿宋_GB2312" w:cs="仿宋_GB2312"/>
          <w:color w:val="auto"/>
          <w:sz w:val="32"/>
          <w:szCs w:val="32"/>
          <w:highlight w:val="none"/>
          <w:shd w:val="clear" w:color="auto" w:fill="FFFFFF"/>
          <w:lang w:val="en-US" w:eastAsia="zh-CN"/>
        </w:rPr>
        <w:t>- 人大会议：3.47万元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2010107-人大代表履职能力提升：2.4万元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2010108- 代表工作：1万元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2010301-行政运行：468.85万元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20103</w:t>
      </w:r>
      <w:r>
        <w:rPr>
          <w:rFonts w:hint="eastAsia" w:ascii="仿宋_GB2312" w:hAnsi="仿宋_GB2312" w:eastAsia="仿宋_GB2312" w:cs="仿宋_GB2312"/>
          <w:color w:val="auto"/>
          <w:sz w:val="32"/>
          <w:szCs w:val="32"/>
          <w:highlight w:val="none"/>
          <w:shd w:val="clear" w:color="auto" w:fill="FFFFFF"/>
        </w:rPr>
        <w:t>02-一般行政管理事务：</w:t>
      </w:r>
      <w:r>
        <w:rPr>
          <w:rFonts w:hint="eastAsia" w:ascii="仿宋_GB2312" w:hAnsi="仿宋_GB2312" w:eastAsia="仿宋_GB2312" w:cs="仿宋_GB2312"/>
          <w:color w:val="auto"/>
          <w:sz w:val="32"/>
          <w:szCs w:val="32"/>
          <w:highlight w:val="none"/>
          <w:shd w:val="clear" w:color="auto" w:fill="FFFFFF"/>
          <w:lang w:val="en-US" w:eastAsia="zh-CN"/>
        </w:rPr>
        <w:t>61.57万元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2010350-事业运行：</w:t>
      </w:r>
      <w:r>
        <w:rPr>
          <w:rFonts w:hint="eastAsia" w:ascii="仿宋_GB2312" w:hAnsi="仿宋_GB2312" w:eastAsia="仿宋_GB2312" w:cs="仿宋_GB2312"/>
          <w:color w:val="auto"/>
          <w:sz w:val="32"/>
          <w:szCs w:val="32"/>
          <w:highlight w:val="none"/>
          <w:shd w:val="clear" w:color="auto" w:fill="FFFFFF"/>
          <w:lang w:val="en-US" w:eastAsia="zh-CN"/>
        </w:rPr>
        <w:t>221.51万元</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2010601-行政运行：</w:t>
      </w:r>
      <w:r>
        <w:rPr>
          <w:rFonts w:hint="eastAsia" w:ascii="仿宋_GB2312" w:hAnsi="仿宋_GB2312" w:eastAsia="仿宋_GB2312" w:cs="仿宋_GB2312"/>
          <w:color w:val="auto"/>
          <w:sz w:val="32"/>
          <w:szCs w:val="32"/>
          <w:highlight w:val="none"/>
          <w:shd w:val="clear" w:color="auto" w:fill="FFFFFF"/>
          <w:lang w:val="en-US" w:eastAsia="zh-CN"/>
        </w:rPr>
        <w:t>22.87万元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2013101-行政运行：</w:t>
      </w:r>
      <w:r>
        <w:rPr>
          <w:rFonts w:hint="eastAsia" w:ascii="仿宋_GB2312" w:hAnsi="仿宋_GB2312" w:eastAsia="仿宋_GB2312" w:cs="仿宋_GB2312"/>
          <w:color w:val="auto"/>
          <w:sz w:val="32"/>
          <w:szCs w:val="32"/>
          <w:highlight w:val="none"/>
          <w:shd w:val="clear" w:color="auto" w:fill="FFFFFF"/>
          <w:lang w:val="en-US" w:eastAsia="zh-CN"/>
        </w:rPr>
        <w:t>46.44万元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2013102</w:t>
      </w:r>
      <w:r>
        <w:rPr>
          <w:rFonts w:hint="eastAsia" w:ascii="仿宋_GB2312" w:hAnsi="仿宋_GB2312" w:eastAsia="仿宋_GB2312" w:cs="仿宋_GB2312"/>
          <w:color w:val="auto"/>
          <w:sz w:val="32"/>
          <w:szCs w:val="32"/>
          <w:highlight w:val="none"/>
          <w:shd w:val="clear" w:color="auto" w:fill="FFFFFF"/>
          <w:lang w:val="en-US" w:eastAsia="zh-CN"/>
        </w:rPr>
        <w:t>-一般行政管理事务：14万元</w:t>
      </w:r>
    </w:p>
    <w:p>
      <w:pPr>
        <w:pStyle w:val="2"/>
        <w:ind w:firstLine="640" w:firstLineChars="200"/>
        <w:rPr>
          <w:rFonts w:hint="eastAsia" w:ascii="仿宋_GB2312" w:hAnsi="仿宋_GB2312" w:eastAsia="仿宋_GB2312" w:cs="仿宋_GB2312"/>
          <w:color w:val="auto"/>
          <w:kern w:val="2"/>
          <w:sz w:val="32"/>
          <w:szCs w:val="32"/>
          <w:highlight w:val="none"/>
          <w:shd w:val="clear" w:color="auto" w:fill="FFFFFF"/>
        </w:rPr>
      </w:pPr>
    </w:p>
    <w:p>
      <w:pPr>
        <w:pStyle w:val="2"/>
        <w:ind w:firstLine="640" w:firstLineChars="200"/>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支出决算为</w:t>
      </w:r>
      <w:r>
        <w:rPr>
          <w:rFonts w:hint="eastAsia" w:ascii="仿宋_GB2312" w:hAnsi="仿宋_GB2312" w:eastAsia="仿宋_GB2312" w:cs="仿宋_GB2312"/>
          <w:color w:val="auto"/>
          <w:sz w:val="32"/>
          <w:szCs w:val="32"/>
          <w:highlight w:val="none"/>
          <w:shd w:val="clear" w:color="auto" w:fill="FFFFFF"/>
          <w:lang w:val="en-US" w:eastAsia="zh-CN"/>
        </w:rPr>
        <w:t>921.45</w:t>
      </w:r>
      <w:r>
        <w:rPr>
          <w:rFonts w:hint="eastAsia" w:ascii="仿宋_GB2312" w:hAnsi="仿宋_GB2312" w:eastAsia="仿宋_GB2312" w:cs="仿宋_GB2312"/>
          <w:color w:val="auto"/>
          <w:kern w:val="2"/>
          <w:sz w:val="32"/>
          <w:szCs w:val="32"/>
          <w:highlight w:val="none"/>
          <w:shd w:val="clear" w:color="auto" w:fill="FFFFFF"/>
        </w:rPr>
        <w:t>万元，完成预算100%，决算数等于预算数。</w:t>
      </w:r>
    </w:p>
    <w:p>
      <w:pPr>
        <w:spacing w:line="600" w:lineRule="exact"/>
        <w:ind w:firstLine="643" w:firstLineChars="200"/>
        <w:rPr>
          <w:rStyle w:val="16"/>
          <w:rFonts w:hint="eastAsia" w:ascii="仿宋" w:hAnsi="仿宋" w:eastAsia="仿宋"/>
          <w:bCs/>
          <w:color w:val="auto"/>
          <w:sz w:val="32"/>
          <w:szCs w:val="32"/>
          <w:highlight w:val="none"/>
          <w:lang w:val="en-US" w:eastAsia="zh-CN"/>
        </w:rPr>
      </w:pPr>
      <w:r>
        <w:rPr>
          <w:rStyle w:val="16"/>
          <w:rFonts w:hint="eastAsia" w:ascii="仿宋" w:hAnsi="仿宋" w:eastAsia="仿宋"/>
          <w:bCs/>
          <w:color w:val="auto"/>
          <w:sz w:val="32"/>
          <w:szCs w:val="32"/>
          <w:highlight w:val="none"/>
          <w:lang w:val="en-US" w:eastAsia="zh-CN"/>
        </w:rPr>
        <w:t>2.公共安全支出（类）</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2040299-其他公安支出：3万元</w:t>
      </w:r>
    </w:p>
    <w:p>
      <w:pPr>
        <w:spacing w:line="600" w:lineRule="exact"/>
        <w:ind w:firstLine="643" w:firstLineChars="200"/>
        <w:rPr>
          <w:rStyle w:val="16"/>
          <w:rFonts w:ascii="仿宋" w:hAnsi="仿宋" w:eastAsia="仿宋"/>
          <w:b w:val="0"/>
          <w:bCs/>
          <w:color w:val="auto"/>
          <w:sz w:val="32"/>
          <w:szCs w:val="32"/>
          <w:highlight w:val="none"/>
        </w:rPr>
      </w:pPr>
      <w:r>
        <w:rPr>
          <w:rStyle w:val="16"/>
          <w:rFonts w:hint="eastAsia" w:ascii="仿宋" w:hAnsi="仿宋" w:eastAsia="仿宋"/>
          <w:bCs/>
          <w:color w:val="auto"/>
          <w:sz w:val="32"/>
          <w:szCs w:val="32"/>
          <w:highlight w:val="none"/>
          <w:lang w:val="en-US" w:eastAsia="zh-CN"/>
        </w:rPr>
        <w:t>3</w:t>
      </w:r>
      <w:r>
        <w:rPr>
          <w:rStyle w:val="16"/>
          <w:rFonts w:ascii="仿宋" w:hAnsi="仿宋" w:eastAsia="仿宋"/>
          <w:bCs/>
          <w:color w:val="auto"/>
          <w:sz w:val="32"/>
          <w:szCs w:val="32"/>
          <w:highlight w:val="none"/>
        </w:rPr>
        <w:t>.</w:t>
      </w:r>
      <w:r>
        <w:rPr>
          <w:rStyle w:val="16"/>
          <w:rFonts w:hint="eastAsia" w:ascii="仿宋" w:hAnsi="仿宋" w:eastAsia="仿宋"/>
          <w:bCs/>
          <w:color w:val="auto"/>
          <w:sz w:val="32"/>
          <w:szCs w:val="32"/>
          <w:highlight w:val="none"/>
          <w:lang w:eastAsia="zh-CN"/>
        </w:rPr>
        <w:t>其他</w:t>
      </w:r>
      <w:r>
        <w:rPr>
          <w:rStyle w:val="16"/>
          <w:rFonts w:hint="eastAsia" w:ascii="仿宋" w:hAnsi="仿宋" w:eastAsia="仿宋"/>
          <w:bCs/>
          <w:color w:val="auto"/>
          <w:sz w:val="32"/>
          <w:szCs w:val="32"/>
          <w:highlight w:val="none"/>
        </w:rPr>
        <w:t>文化旅游体育与传媒（类）</w:t>
      </w:r>
      <w:r>
        <w:rPr>
          <w:rStyle w:val="16"/>
          <w:rFonts w:ascii="仿宋" w:hAnsi="仿宋" w:eastAsia="仿宋"/>
          <w:bCs/>
          <w:color w:val="auto"/>
          <w:sz w:val="32"/>
          <w:szCs w:val="32"/>
          <w:highlight w:val="none"/>
        </w:rPr>
        <w:t>:</w:t>
      </w:r>
      <w:r>
        <w:rPr>
          <w:rStyle w:val="16"/>
          <w:rFonts w:ascii="仿宋" w:hAnsi="仿宋" w:eastAsia="仿宋"/>
          <w:b w:val="0"/>
          <w:bCs/>
          <w:color w:val="auto"/>
          <w:sz w:val="32"/>
          <w:szCs w:val="32"/>
          <w:highlight w:val="none"/>
        </w:rPr>
        <w:t xml:space="preserve"> </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2070199- 其他文化和旅游支出：</w:t>
      </w:r>
      <w:r>
        <w:rPr>
          <w:rFonts w:hint="eastAsia" w:ascii="仿宋_GB2312" w:hAnsi="仿宋_GB2312" w:eastAsia="仿宋_GB2312" w:cs="仿宋_GB2312"/>
          <w:color w:val="auto"/>
          <w:sz w:val="32"/>
          <w:szCs w:val="32"/>
          <w:highlight w:val="none"/>
          <w:shd w:val="clear" w:color="auto" w:fill="FFFFFF"/>
          <w:lang w:val="en-US" w:eastAsia="zh-CN"/>
        </w:rPr>
        <w:t>5</w:t>
      </w:r>
      <w:r>
        <w:rPr>
          <w:rFonts w:hint="eastAsia" w:ascii="仿宋_GB2312" w:hAnsi="仿宋_GB2312" w:eastAsia="仿宋_GB2312" w:cs="仿宋_GB2312"/>
          <w:color w:val="auto"/>
          <w:sz w:val="32"/>
          <w:szCs w:val="32"/>
          <w:highlight w:val="none"/>
          <w:shd w:val="clear" w:color="auto" w:fill="FFFFFF"/>
        </w:rPr>
        <w:t>万元</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支出决算为</w:t>
      </w:r>
      <w:r>
        <w:rPr>
          <w:rFonts w:hint="eastAsia" w:ascii="仿宋_GB2312" w:hAnsi="仿宋_GB2312" w:eastAsia="仿宋_GB2312" w:cs="仿宋_GB2312"/>
          <w:color w:val="auto"/>
          <w:sz w:val="32"/>
          <w:szCs w:val="32"/>
          <w:highlight w:val="none"/>
          <w:shd w:val="clear" w:color="auto" w:fill="FFFFFF"/>
          <w:lang w:val="en-US" w:eastAsia="zh-CN"/>
        </w:rPr>
        <w:t>5</w:t>
      </w:r>
      <w:r>
        <w:rPr>
          <w:rFonts w:hint="eastAsia" w:ascii="仿宋_GB2312" w:hAnsi="仿宋_GB2312" w:eastAsia="仿宋_GB2312" w:cs="仿宋_GB2312"/>
          <w:color w:val="auto"/>
          <w:sz w:val="32"/>
          <w:szCs w:val="32"/>
          <w:highlight w:val="none"/>
          <w:shd w:val="clear" w:color="auto" w:fill="FFFFFF"/>
        </w:rPr>
        <w:t>万元，完成预算100%，决算数等于预算数。</w:t>
      </w:r>
    </w:p>
    <w:p>
      <w:pPr>
        <w:spacing w:line="600" w:lineRule="exact"/>
        <w:ind w:left="672"/>
        <w:rPr>
          <w:rStyle w:val="16"/>
          <w:rFonts w:ascii="仿宋" w:hAnsi="仿宋" w:eastAsia="仿宋"/>
          <w:b w:val="0"/>
          <w:bCs/>
          <w:color w:val="auto"/>
          <w:sz w:val="32"/>
          <w:szCs w:val="32"/>
          <w:highlight w:val="none"/>
        </w:rPr>
      </w:pPr>
      <w:r>
        <w:rPr>
          <w:rStyle w:val="16"/>
          <w:rFonts w:hint="eastAsia" w:ascii="仿宋" w:hAnsi="仿宋" w:eastAsia="仿宋"/>
          <w:bCs/>
          <w:color w:val="auto"/>
          <w:sz w:val="32"/>
          <w:szCs w:val="32"/>
          <w:highlight w:val="none"/>
          <w:lang w:val="en-US" w:eastAsia="zh-CN"/>
        </w:rPr>
        <w:t>4</w:t>
      </w:r>
      <w:r>
        <w:rPr>
          <w:rStyle w:val="16"/>
          <w:rFonts w:hint="eastAsia" w:ascii="仿宋" w:hAnsi="仿宋" w:eastAsia="仿宋"/>
          <w:bCs/>
          <w:color w:val="auto"/>
          <w:sz w:val="32"/>
          <w:szCs w:val="32"/>
          <w:highlight w:val="none"/>
        </w:rPr>
        <w:t>.社会保障和就业（类）</w:t>
      </w:r>
      <w:r>
        <w:rPr>
          <w:rStyle w:val="16"/>
          <w:rFonts w:ascii="仿宋" w:hAnsi="仿宋" w:eastAsia="仿宋"/>
          <w:bCs/>
          <w:color w:val="auto"/>
          <w:sz w:val="32"/>
          <w:szCs w:val="32"/>
          <w:highlight w:val="none"/>
        </w:rPr>
        <w:t>:</w:t>
      </w:r>
      <w:r>
        <w:rPr>
          <w:rStyle w:val="16"/>
          <w:rFonts w:ascii="仿宋" w:hAnsi="仿宋" w:eastAsia="仿宋"/>
          <w:b w:val="0"/>
          <w:bCs/>
          <w:color w:val="auto"/>
          <w:sz w:val="32"/>
          <w:szCs w:val="32"/>
          <w:highlight w:val="none"/>
        </w:rPr>
        <w:t xml:space="preserve"> </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2080208-基层政权和社区建设：6</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12万元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eastAsia="zh-CN"/>
        </w:rPr>
      </w:pPr>
      <w:r>
        <w:rPr>
          <w:rFonts w:hint="eastAsia" w:ascii="仿宋_GB2312" w:hAnsi="仿宋_GB2312" w:eastAsia="仿宋_GB2312" w:cs="仿宋_GB2312"/>
          <w:color w:val="auto"/>
          <w:sz w:val="32"/>
          <w:szCs w:val="32"/>
          <w:highlight w:val="none"/>
          <w:shd w:val="clear" w:color="auto" w:fill="FFFFFF"/>
        </w:rPr>
        <w:t>2080505-机关事业单位基本养老保险缴费支出：</w:t>
      </w:r>
      <w:r>
        <w:rPr>
          <w:rFonts w:hint="eastAsia" w:ascii="仿宋_GB2312" w:hAnsi="仿宋_GB2312" w:eastAsia="仿宋_GB2312" w:cs="仿宋_GB2312"/>
          <w:color w:val="auto"/>
          <w:sz w:val="32"/>
          <w:szCs w:val="32"/>
          <w:highlight w:val="none"/>
          <w:shd w:val="clear" w:color="auto" w:fill="FFFFFF"/>
          <w:lang w:val="en-US" w:eastAsia="zh-CN"/>
        </w:rPr>
        <w:t>67.27</w:t>
      </w:r>
      <w:r>
        <w:rPr>
          <w:rFonts w:hint="eastAsia" w:ascii="仿宋_GB2312" w:hAnsi="仿宋_GB2312" w:eastAsia="仿宋_GB2312" w:cs="仿宋_GB2312"/>
          <w:color w:val="auto"/>
          <w:sz w:val="32"/>
          <w:szCs w:val="32"/>
          <w:highlight w:val="none"/>
          <w:shd w:val="clear" w:color="auto" w:fill="FFFFFF"/>
        </w:rPr>
        <w:t>万元</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2080506-机关事业单位职业年金缴费支出：</w:t>
      </w:r>
      <w:r>
        <w:rPr>
          <w:rFonts w:hint="eastAsia" w:ascii="仿宋_GB2312" w:hAnsi="仿宋_GB2312" w:eastAsia="仿宋_GB2312" w:cs="仿宋_GB2312"/>
          <w:color w:val="auto"/>
          <w:sz w:val="32"/>
          <w:szCs w:val="32"/>
          <w:highlight w:val="none"/>
          <w:shd w:val="clear" w:color="auto" w:fill="FFFFFF"/>
          <w:lang w:val="en-US" w:eastAsia="zh-CN"/>
        </w:rPr>
        <w:t>33.64</w:t>
      </w:r>
      <w:r>
        <w:rPr>
          <w:rFonts w:hint="eastAsia" w:ascii="仿宋_GB2312" w:hAnsi="仿宋_GB2312" w:eastAsia="仿宋_GB2312" w:cs="仿宋_GB2312"/>
          <w:color w:val="auto"/>
          <w:sz w:val="32"/>
          <w:szCs w:val="32"/>
          <w:highlight w:val="none"/>
          <w:shd w:val="clear" w:color="auto" w:fill="FFFFFF"/>
        </w:rPr>
        <w:t>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2082802</w:t>
      </w:r>
      <w:r>
        <w:rPr>
          <w:rFonts w:hint="eastAsia" w:ascii="仿宋_GB2312" w:hAnsi="仿宋_GB2312" w:eastAsia="仿宋_GB2312" w:cs="仿宋_GB2312"/>
          <w:color w:val="auto"/>
          <w:sz w:val="32"/>
          <w:szCs w:val="32"/>
          <w:highlight w:val="none"/>
          <w:shd w:val="clear" w:color="auto" w:fill="FFFFFF"/>
          <w:lang w:val="en-US" w:eastAsia="zh-CN"/>
        </w:rPr>
        <w:t>-一般行政管理事务：0.3万元</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支出决算为</w:t>
      </w:r>
      <w:r>
        <w:rPr>
          <w:rFonts w:hint="eastAsia" w:ascii="仿宋_GB2312" w:hAnsi="仿宋_GB2312" w:eastAsia="仿宋_GB2312" w:cs="仿宋_GB2312"/>
          <w:color w:val="auto"/>
          <w:sz w:val="32"/>
          <w:szCs w:val="32"/>
          <w:highlight w:val="none"/>
          <w:shd w:val="clear" w:color="auto" w:fill="FFFFFF"/>
          <w:lang w:val="en-US" w:eastAsia="zh-CN"/>
        </w:rPr>
        <w:t>107.33</w:t>
      </w:r>
      <w:r>
        <w:rPr>
          <w:rFonts w:hint="eastAsia" w:ascii="仿宋_GB2312" w:hAnsi="仿宋_GB2312" w:eastAsia="仿宋_GB2312" w:cs="仿宋_GB2312"/>
          <w:color w:val="auto"/>
          <w:sz w:val="32"/>
          <w:szCs w:val="32"/>
          <w:highlight w:val="none"/>
          <w:shd w:val="clear" w:color="auto" w:fill="FFFFFF"/>
        </w:rPr>
        <w:t>万元，完成预算100%，决算数等于预算数。</w:t>
      </w:r>
    </w:p>
    <w:p>
      <w:pPr>
        <w:spacing w:line="600" w:lineRule="exact"/>
        <w:ind w:left="672"/>
        <w:rPr>
          <w:rStyle w:val="16"/>
          <w:rFonts w:ascii="仿宋" w:hAnsi="仿宋" w:eastAsia="仿宋"/>
          <w:b w:val="0"/>
          <w:bCs/>
          <w:color w:val="auto"/>
          <w:sz w:val="32"/>
          <w:szCs w:val="32"/>
          <w:highlight w:val="none"/>
        </w:rPr>
      </w:pPr>
      <w:r>
        <w:rPr>
          <w:rFonts w:hint="eastAsia" w:ascii="仿宋" w:hAnsi="仿宋" w:eastAsia="仿宋"/>
          <w:b/>
          <w:bCs/>
          <w:color w:val="auto"/>
          <w:sz w:val="32"/>
          <w:szCs w:val="32"/>
          <w:highlight w:val="none"/>
          <w:lang w:val="en-US" w:eastAsia="zh-CN"/>
        </w:rPr>
        <w:t>5</w:t>
      </w:r>
      <w:r>
        <w:rPr>
          <w:rFonts w:hint="eastAsia" w:ascii="仿宋" w:hAnsi="仿宋" w:eastAsia="仿宋"/>
          <w:b/>
          <w:bCs/>
          <w:color w:val="auto"/>
          <w:sz w:val="32"/>
          <w:szCs w:val="32"/>
          <w:highlight w:val="none"/>
        </w:rPr>
        <w:t>.卫生健康</w:t>
      </w:r>
      <w:r>
        <w:rPr>
          <w:rStyle w:val="16"/>
          <w:rFonts w:hint="eastAsia" w:ascii="仿宋" w:hAnsi="仿宋" w:eastAsia="仿宋"/>
          <w:bCs/>
          <w:color w:val="auto"/>
          <w:sz w:val="32"/>
          <w:szCs w:val="32"/>
          <w:highlight w:val="none"/>
        </w:rPr>
        <w:t>（类）</w:t>
      </w:r>
      <w:r>
        <w:rPr>
          <w:rStyle w:val="16"/>
          <w:rFonts w:ascii="仿宋" w:hAnsi="仿宋" w:eastAsia="仿宋"/>
          <w:bCs/>
          <w:color w:val="auto"/>
          <w:sz w:val="32"/>
          <w:szCs w:val="32"/>
          <w:highlight w:val="none"/>
        </w:rPr>
        <w:t>:</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2100201</w:t>
      </w:r>
      <w:r>
        <w:rPr>
          <w:rFonts w:hint="eastAsia" w:ascii="仿宋_GB2312" w:hAnsi="仿宋_GB2312" w:eastAsia="仿宋_GB2312" w:cs="仿宋_GB2312"/>
          <w:color w:val="auto"/>
          <w:sz w:val="32"/>
          <w:szCs w:val="32"/>
          <w:highlight w:val="none"/>
          <w:shd w:val="clear" w:color="auto" w:fill="FFFFFF"/>
          <w:lang w:val="en-US" w:eastAsia="zh-CN"/>
        </w:rPr>
        <w:t>-综合医院：9.33万元</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2100409-重大公共卫生专项:</w:t>
      </w:r>
      <w:r>
        <w:rPr>
          <w:rFonts w:hint="eastAsia" w:ascii="仿宋_GB2312" w:hAnsi="仿宋_GB2312" w:eastAsia="仿宋_GB2312" w:cs="仿宋_GB2312"/>
          <w:color w:val="auto"/>
          <w:sz w:val="32"/>
          <w:szCs w:val="32"/>
          <w:highlight w:val="none"/>
          <w:shd w:val="clear" w:color="auto" w:fill="FFFFFF"/>
          <w:lang w:val="en-US" w:eastAsia="zh-CN"/>
        </w:rPr>
        <w:t>2</w:t>
      </w:r>
      <w:r>
        <w:rPr>
          <w:rFonts w:hint="eastAsia" w:ascii="仿宋_GB2312" w:hAnsi="仿宋_GB2312" w:eastAsia="仿宋_GB2312" w:cs="仿宋_GB2312"/>
          <w:color w:val="auto"/>
          <w:sz w:val="32"/>
          <w:szCs w:val="32"/>
          <w:highlight w:val="none"/>
          <w:shd w:val="clear" w:color="auto" w:fill="FFFFFF"/>
        </w:rPr>
        <w:t>万元</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2101101-行政单位医疗：</w:t>
      </w:r>
      <w:r>
        <w:rPr>
          <w:rFonts w:hint="eastAsia" w:ascii="仿宋_GB2312" w:hAnsi="仿宋_GB2312" w:eastAsia="仿宋_GB2312" w:cs="仿宋_GB2312"/>
          <w:color w:val="auto"/>
          <w:sz w:val="32"/>
          <w:szCs w:val="32"/>
          <w:highlight w:val="none"/>
          <w:shd w:val="clear" w:color="auto" w:fill="FFFFFF"/>
          <w:lang w:val="en-US" w:eastAsia="zh-CN"/>
        </w:rPr>
        <w:t>24.25</w:t>
      </w:r>
      <w:r>
        <w:rPr>
          <w:rFonts w:hint="eastAsia" w:ascii="仿宋_GB2312" w:hAnsi="仿宋_GB2312" w:eastAsia="仿宋_GB2312" w:cs="仿宋_GB2312"/>
          <w:color w:val="auto"/>
          <w:sz w:val="32"/>
          <w:szCs w:val="32"/>
          <w:highlight w:val="none"/>
          <w:shd w:val="clear" w:color="auto" w:fill="FFFFFF"/>
        </w:rPr>
        <w:t>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2101103-公务员医疗补助：</w:t>
      </w:r>
      <w:r>
        <w:rPr>
          <w:rFonts w:hint="eastAsia" w:ascii="仿宋_GB2312" w:hAnsi="仿宋_GB2312" w:eastAsia="仿宋_GB2312" w:cs="仿宋_GB2312"/>
          <w:color w:val="auto"/>
          <w:sz w:val="32"/>
          <w:szCs w:val="32"/>
          <w:highlight w:val="none"/>
          <w:shd w:val="clear" w:color="auto" w:fill="FFFFFF"/>
          <w:lang w:val="en-US" w:eastAsia="zh-CN"/>
        </w:rPr>
        <w:t>10.35</w:t>
      </w:r>
      <w:r>
        <w:rPr>
          <w:rFonts w:hint="eastAsia" w:ascii="仿宋_GB2312" w:hAnsi="仿宋_GB2312" w:eastAsia="仿宋_GB2312" w:cs="仿宋_GB2312"/>
          <w:color w:val="auto"/>
          <w:sz w:val="32"/>
          <w:szCs w:val="32"/>
          <w:highlight w:val="none"/>
          <w:shd w:val="clear" w:color="auto" w:fill="FFFFFF"/>
        </w:rPr>
        <w:t>万元</w:t>
      </w:r>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lang w:val="en-US" w:eastAsia="zh-CN"/>
        </w:rPr>
      </w:pPr>
      <w:r>
        <w:rPr>
          <w:rFonts w:hint="eastAsia" w:ascii="仿宋_GB2312" w:hAnsi="仿宋_GB2312" w:eastAsia="仿宋_GB2312" w:cs="仿宋_GB2312"/>
          <w:color w:val="auto"/>
          <w:sz w:val="32"/>
          <w:szCs w:val="32"/>
          <w:highlight w:val="none"/>
          <w:shd w:val="clear" w:color="auto" w:fill="FFFFFF"/>
        </w:rPr>
        <w:t>2101103</w:t>
      </w:r>
      <w:r>
        <w:rPr>
          <w:rFonts w:hint="eastAsia" w:ascii="仿宋_GB2312" w:hAnsi="仿宋_GB2312" w:eastAsia="仿宋_GB2312" w:cs="仿宋_GB2312"/>
          <w:color w:val="auto"/>
          <w:sz w:val="32"/>
          <w:szCs w:val="32"/>
          <w:highlight w:val="none"/>
          <w:shd w:val="clear" w:color="auto" w:fill="FFFFFF"/>
          <w:lang w:val="en-US" w:eastAsia="zh-CN"/>
        </w:rPr>
        <w:t>-公务员医疗补助：8.79万元</w:t>
      </w:r>
    </w:p>
    <w:p>
      <w:pPr>
        <w:spacing w:line="576" w:lineRule="exact"/>
        <w:ind w:firstLine="640" w:firstLineChars="200"/>
        <w:jc w:val="left"/>
        <w:rPr>
          <w:rFonts w:hint="default"/>
          <w:lang w:val="en-US" w:eastAsia="zh-CN"/>
        </w:rPr>
      </w:pPr>
      <w:r>
        <w:rPr>
          <w:rFonts w:hint="eastAsia" w:ascii="仿宋_GB2312" w:hAnsi="仿宋_GB2312" w:eastAsia="仿宋_GB2312" w:cs="仿宋_GB2312"/>
          <w:color w:val="auto"/>
          <w:sz w:val="32"/>
          <w:szCs w:val="32"/>
          <w:highlight w:val="none"/>
          <w:shd w:val="clear" w:color="auto" w:fill="FFFFFF"/>
          <w:lang w:val="en-US" w:eastAsia="zh-CN"/>
        </w:rPr>
        <w:t>2101199-其他行政事业单位医疗支出1.75万元</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支出决算为</w:t>
      </w:r>
      <w:r>
        <w:rPr>
          <w:rFonts w:hint="eastAsia" w:ascii="仿宋_GB2312" w:hAnsi="仿宋_GB2312" w:eastAsia="仿宋_GB2312" w:cs="仿宋_GB2312"/>
          <w:color w:val="auto"/>
          <w:sz w:val="32"/>
          <w:szCs w:val="32"/>
          <w:highlight w:val="none"/>
          <w:shd w:val="clear" w:color="auto" w:fill="FFFFFF"/>
          <w:lang w:val="en-US" w:eastAsia="zh-CN"/>
        </w:rPr>
        <w:t>56.47</w:t>
      </w:r>
      <w:r>
        <w:rPr>
          <w:rFonts w:hint="eastAsia" w:ascii="仿宋_GB2312" w:hAnsi="仿宋_GB2312" w:eastAsia="仿宋_GB2312" w:cs="仿宋_GB2312"/>
          <w:color w:val="auto"/>
          <w:sz w:val="32"/>
          <w:szCs w:val="32"/>
          <w:highlight w:val="none"/>
          <w:shd w:val="clear" w:color="auto" w:fill="FFFFFF"/>
        </w:rPr>
        <w:t>万元，完成预算100%，决算数等于预算数。</w:t>
      </w:r>
    </w:p>
    <w:p>
      <w:pPr>
        <w:pStyle w:val="2"/>
        <w:ind w:left="672"/>
        <w:rPr>
          <w:color w:val="auto"/>
          <w:highlight w:val="none"/>
        </w:rPr>
      </w:pPr>
    </w:p>
    <w:p>
      <w:pPr>
        <w:spacing w:line="600" w:lineRule="exact"/>
        <w:ind w:left="672"/>
        <w:rPr>
          <w:rFonts w:ascii="仿宋" w:hAnsi="仿宋" w:eastAsia="仿宋"/>
          <w:b/>
          <w:bCs/>
          <w:color w:val="auto"/>
          <w:sz w:val="32"/>
          <w:szCs w:val="32"/>
          <w:highlight w:val="none"/>
        </w:rPr>
      </w:pPr>
      <w:r>
        <w:rPr>
          <w:rFonts w:hint="eastAsia" w:ascii="仿宋" w:hAnsi="仿宋" w:eastAsia="仿宋"/>
          <w:b/>
          <w:bCs/>
          <w:color w:val="auto"/>
          <w:sz w:val="32"/>
          <w:szCs w:val="32"/>
          <w:highlight w:val="none"/>
          <w:lang w:val="en-US" w:eastAsia="zh-CN"/>
        </w:rPr>
        <w:t>6</w:t>
      </w:r>
      <w:r>
        <w:rPr>
          <w:rFonts w:hint="eastAsia" w:ascii="仿宋" w:hAnsi="仿宋" w:eastAsia="仿宋"/>
          <w:b/>
          <w:bCs/>
          <w:color w:val="auto"/>
          <w:sz w:val="32"/>
          <w:szCs w:val="32"/>
          <w:highlight w:val="none"/>
        </w:rPr>
        <w:t>.城乡社区支出（类）</w:t>
      </w:r>
    </w:p>
    <w:p>
      <w:pPr>
        <w:pStyle w:val="2"/>
        <w:ind w:firstLine="640" w:firstLineChars="200"/>
        <w:rPr>
          <w:rFonts w:hint="eastAsia"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2120501-城乡社区环境卫生：</w:t>
      </w:r>
      <w:r>
        <w:rPr>
          <w:rFonts w:hint="eastAsia" w:ascii="仿宋_GB2312" w:hAnsi="仿宋_GB2312" w:eastAsia="仿宋_GB2312" w:cs="仿宋_GB2312"/>
          <w:color w:val="auto"/>
          <w:kern w:val="2"/>
          <w:sz w:val="32"/>
          <w:szCs w:val="32"/>
          <w:highlight w:val="none"/>
          <w:shd w:val="clear" w:color="auto" w:fill="FFFFFF"/>
          <w:lang w:val="en-US" w:eastAsia="zh-CN"/>
        </w:rPr>
        <w:t>5.03</w:t>
      </w:r>
      <w:r>
        <w:rPr>
          <w:rFonts w:hint="eastAsia" w:ascii="仿宋_GB2312" w:hAnsi="仿宋_GB2312" w:eastAsia="仿宋_GB2312" w:cs="仿宋_GB2312"/>
          <w:color w:val="auto"/>
          <w:kern w:val="2"/>
          <w:sz w:val="32"/>
          <w:szCs w:val="32"/>
          <w:highlight w:val="none"/>
          <w:shd w:val="clear" w:color="auto" w:fill="FFFFFF"/>
        </w:rPr>
        <w:t>万元</w:t>
      </w:r>
    </w:p>
    <w:p>
      <w:pPr>
        <w:pStyle w:val="2"/>
        <w:ind w:left="672"/>
        <w:rPr>
          <w:rFonts w:ascii="仿宋" w:hAnsi="仿宋" w:eastAsia="仿宋"/>
          <w:b/>
          <w:bCs/>
          <w:color w:val="auto"/>
          <w:kern w:val="2"/>
          <w:sz w:val="32"/>
          <w:szCs w:val="32"/>
          <w:highlight w:val="none"/>
        </w:rPr>
      </w:pPr>
      <w:r>
        <w:rPr>
          <w:rFonts w:hint="eastAsia" w:ascii="仿宋" w:hAnsi="仿宋" w:eastAsia="仿宋"/>
          <w:b/>
          <w:bCs/>
          <w:color w:val="auto"/>
          <w:kern w:val="2"/>
          <w:sz w:val="32"/>
          <w:szCs w:val="32"/>
          <w:highlight w:val="none"/>
        </w:rPr>
        <w:t>7.</w:t>
      </w:r>
      <w:r>
        <w:rPr>
          <w:rFonts w:ascii="仿宋" w:hAnsi="仿宋" w:eastAsia="仿宋"/>
          <w:b/>
          <w:bCs/>
          <w:color w:val="auto"/>
          <w:kern w:val="2"/>
          <w:sz w:val="32"/>
          <w:szCs w:val="32"/>
          <w:highlight w:val="none"/>
        </w:rPr>
        <w:t>农林水支出</w:t>
      </w:r>
      <w:r>
        <w:rPr>
          <w:rFonts w:hint="eastAsia" w:ascii="仿宋" w:hAnsi="仿宋" w:eastAsia="仿宋"/>
          <w:b/>
          <w:bCs/>
          <w:color w:val="auto"/>
          <w:kern w:val="2"/>
          <w:sz w:val="32"/>
          <w:szCs w:val="32"/>
          <w:highlight w:val="none"/>
        </w:rPr>
        <w:t>（类）</w:t>
      </w:r>
    </w:p>
    <w:p>
      <w:pPr>
        <w:pStyle w:val="2"/>
        <w:ind w:firstLine="640" w:firstLineChars="200"/>
        <w:rPr>
          <w:rFonts w:hint="default" w:ascii="仿宋_GB2312" w:hAnsi="仿宋_GB2312" w:eastAsia="仿宋_GB2312" w:cs="仿宋_GB2312"/>
          <w:color w:val="auto"/>
          <w:kern w:val="2"/>
          <w:sz w:val="32"/>
          <w:szCs w:val="32"/>
          <w:highlight w:val="none"/>
          <w:shd w:val="clear" w:color="auto" w:fill="FFFFFF"/>
          <w:lang w:val="en-US" w:eastAsia="zh-CN"/>
        </w:rPr>
      </w:pPr>
      <w:r>
        <w:rPr>
          <w:rFonts w:hint="eastAsia" w:ascii="仿宋_GB2312" w:hAnsi="仿宋_GB2312" w:eastAsia="仿宋_GB2312" w:cs="仿宋_GB2312"/>
          <w:color w:val="auto"/>
          <w:kern w:val="2"/>
          <w:sz w:val="32"/>
          <w:szCs w:val="32"/>
          <w:highlight w:val="none"/>
          <w:shd w:val="clear" w:color="auto" w:fill="FFFFFF"/>
        </w:rPr>
        <w:t>2130199</w:t>
      </w:r>
      <w:r>
        <w:rPr>
          <w:rFonts w:hint="eastAsia" w:ascii="仿宋_GB2312" w:hAnsi="仿宋_GB2312" w:eastAsia="仿宋_GB2312" w:cs="仿宋_GB2312"/>
          <w:color w:val="auto"/>
          <w:kern w:val="2"/>
          <w:sz w:val="32"/>
          <w:szCs w:val="32"/>
          <w:highlight w:val="none"/>
          <w:shd w:val="clear" w:color="auto" w:fill="FFFFFF"/>
          <w:lang w:val="en-US" w:eastAsia="zh-CN"/>
        </w:rPr>
        <w:t>-其他农业农村支出:77.60万元</w:t>
      </w:r>
    </w:p>
    <w:p>
      <w:pPr>
        <w:pStyle w:val="2"/>
        <w:ind w:firstLine="640" w:firstLineChars="200"/>
        <w:rPr>
          <w:rFonts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2130504-农村基础设施建设：</w:t>
      </w:r>
      <w:r>
        <w:rPr>
          <w:rFonts w:hint="eastAsia" w:ascii="仿宋_GB2312" w:hAnsi="仿宋_GB2312" w:eastAsia="仿宋_GB2312" w:cs="仿宋_GB2312"/>
          <w:color w:val="auto"/>
          <w:kern w:val="2"/>
          <w:sz w:val="32"/>
          <w:szCs w:val="32"/>
          <w:highlight w:val="none"/>
          <w:shd w:val="clear" w:color="auto" w:fill="FFFFFF"/>
          <w:lang w:val="en-US" w:eastAsia="zh-CN"/>
        </w:rPr>
        <w:t>362.19</w:t>
      </w:r>
      <w:r>
        <w:rPr>
          <w:rFonts w:hint="eastAsia" w:ascii="仿宋_GB2312" w:hAnsi="仿宋_GB2312" w:eastAsia="仿宋_GB2312" w:cs="仿宋_GB2312"/>
          <w:color w:val="auto"/>
          <w:kern w:val="2"/>
          <w:sz w:val="32"/>
          <w:szCs w:val="32"/>
          <w:highlight w:val="none"/>
          <w:shd w:val="clear" w:color="auto" w:fill="FFFFFF"/>
        </w:rPr>
        <w:t>万元</w:t>
      </w:r>
    </w:p>
    <w:p>
      <w:pPr>
        <w:pStyle w:val="2"/>
        <w:ind w:firstLine="640" w:firstLineChars="200"/>
        <w:rPr>
          <w:rFonts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2130705-对村民委员会和村党支部的补助：</w:t>
      </w:r>
      <w:r>
        <w:rPr>
          <w:rFonts w:hint="eastAsia" w:ascii="仿宋_GB2312" w:hAnsi="仿宋_GB2312" w:eastAsia="仿宋_GB2312" w:cs="仿宋_GB2312"/>
          <w:color w:val="auto"/>
          <w:kern w:val="2"/>
          <w:sz w:val="32"/>
          <w:szCs w:val="32"/>
          <w:highlight w:val="none"/>
          <w:shd w:val="clear" w:color="auto" w:fill="FFFFFF"/>
          <w:lang w:val="en-US" w:eastAsia="zh-CN"/>
        </w:rPr>
        <w:t>181.25</w:t>
      </w:r>
      <w:r>
        <w:rPr>
          <w:rFonts w:hint="eastAsia" w:ascii="仿宋_GB2312" w:hAnsi="仿宋_GB2312" w:eastAsia="仿宋_GB2312" w:cs="仿宋_GB2312"/>
          <w:color w:val="auto"/>
          <w:kern w:val="2"/>
          <w:sz w:val="32"/>
          <w:szCs w:val="32"/>
          <w:highlight w:val="none"/>
          <w:shd w:val="clear" w:color="auto" w:fill="FFFFFF"/>
        </w:rPr>
        <w:t>万元</w:t>
      </w:r>
    </w:p>
    <w:p>
      <w:pPr>
        <w:pStyle w:val="2"/>
        <w:ind w:firstLine="640" w:firstLineChars="200"/>
        <w:rPr>
          <w:rFonts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支出决算为</w:t>
      </w:r>
      <w:r>
        <w:rPr>
          <w:rFonts w:hint="eastAsia" w:ascii="仿宋_GB2312" w:hAnsi="仿宋_GB2312" w:eastAsia="仿宋_GB2312" w:cs="仿宋_GB2312"/>
          <w:color w:val="auto"/>
          <w:sz w:val="32"/>
          <w:szCs w:val="32"/>
          <w:highlight w:val="none"/>
          <w:shd w:val="clear" w:color="auto" w:fill="FFFFFF"/>
          <w:lang w:val="en-US" w:eastAsia="zh-CN"/>
        </w:rPr>
        <w:t>621.04</w:t>
      </w:r>
      <w:r>
        <w:rPr>
          <w:rFonts w:hint="eastAsia" w:ascii="仿宋_GB2312" w:hAnsi="仿宋_GB2312" w:eastAsia="仿宋_GB2312" w:cs="仿宋_GB2312"/>
          <w:color w:val="auto"/>
          <w:kern w:val="2"/>
          <w:sz w:val="32"/>
          <w:szCs w:val="32"/>
          <w:highlight w:val="none"/>
          <w:shd w:val="clear" w:color="auto" w:fill="FFFFFF"/>
        </w:rPr>
        <w:t>万元，完成预算100%，决算数等于预算数。</w:t>
      </w:r>
    </w:p>
    <w:p>
      <w:pPr>
        <w:pStyle w:val="2"/>
        <w:ind w:left="672"/>
        <w:rPr>
          <w:color w:val="auto"/>
          <w:highlight w:val="none"/>
        </w:rPr>
      </w:pPr>
      <w:r>
        <w:rPr>
          <w:rFonts w:hint="eastAsia" w:ascii="仿宋" w:hAnsi="仿宋" w:eastAsia="仿宋"/>
          <w:b/>
          <w:bCs/>
          <w:color w:val="auto"/>
          <w:kern w:val="2"/>
          <w:sz w:val="32"/>
          <w:szCs w:val="32"/>
          <w:highlight w:val="none"/>
        </w:rPr>
        <w:t>8.住房保障支出（类）</w:t>
      </w:r>
    </w:p>
    <w:p>
      <w:pPr>
        <w:pStyle w:val="2"/>
        <w:ind w:firstLine="640" w:firstLineChars="200"/>
        <w:rPr>
          <w:rFonts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2210201-住房公积金：</w:t>
      </w:r>
      <w:r>
        <w:rPr>
          <w:rFonts w:hint="eastAsia" w:ascii="仿宋_GB2312" w:hAnsi="仿宋_GB2312" w:eastAsia="仿宋_GB2312" w:cs="仿宋_GB2312"/>
          <w:color w:val="auto"/>
          <w:kern w:val="2"/>
          <w:sz w:val="32"/>
          <w:szCs w:val="32"/>
          <w:highlight w:val="none"/>
          <w:shd w:val="clear" w:color="auto" w:fill="FFFFFF"/>
          <w:lang w:val="en-US" w:eastAsia="zh-CN"/>
        </w:rPr>
        <w:t>71.61</w:t>
      </w:r>
      <w:r>
        <w:rPr>
          <w:rFonts w:hint="eastAsia" w:ascii="仿宋_GB2312" w:hAnsi="仿宋_GB2312" w:eastAsia="仿宋_GB2312" w:cs="仿宋_GB2312"/>
          <w:color w:val="auto"/>
          <w:kern w:val="2"/>
          <w:sz w:val="32"/>
          <w:szCs w:val="32"/>
          <w:highlight w:val="none"/>
          <w:shd w:val="clear" w:color="auto" w:fill="FFFFFF"/>
        </w:rPr>
        <w:t>万元</w:t>
      </w:r>
    </w:p>
    <w:p>
      <w:pPr>
        <w:pStyle w:val="2"/>
        <w:ind w:firstLine="640" w:firstLineChars="200"/>
        <w:rPr>
          <w:rFonts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支出决算为</w:t>
      </w:r>
      <w:r>
        <w:rPr>
          <w:rFonts w:hint="eastAsia" w:ascii="仿宋_GB2312" w:hAnsi="仿宋_GB2312" w:eastAsia="仿宋_GB2312" w:cs="仿宋_GB2312"/>
          <w:color w:val="auto"/>
          <w:sz w:val="32"/>
          <w:szCs w:val="32"/>
          <w:highlight w:val="none"/>
          <w:shd w:val="clear" w:color="auto" w:fill="FFFFFF"/>
          <w:lang w:val="en-US" w:eastAsia="zh-CN"/>
        </w:rPr>
        <w:t>71.61</w:t>
      </w:r>
      <w:r>
        <w:rPr>
          <w:rFonts w:hint="eastAsia" w:ascii="仿宋_GB2312" w:hAnsi="仿宋_GB2312" w:eastAsia="仿宋_GB2312" w:cs="仿宋_GB2312"/>
          <w:color w:val="auto"/>
          <w:kern w:val="2"/>
          <w:sz w:val="32"/>
          <w:szCs w:val="32"/>
          <w:highlight w:val="none"/>
          <w:shd w:val="clear" w:color="auto" w:fill="FFFFFF"/>
        </w:rPr>
        <w:t>万元，完成预算100%，决算数等于预算数。</w:t>
      </w:r>
    </w:p>
    <w:p>
      <w:pPr>
        <w:tabs>
          <w:tab w:val="right" w:pos="8306"/>
        </w:tabs>
        <w:spacing w:line="600" w:lineRule="exact"/>
        <w:ind w:firstLine="640"/>
        <w:outlineLvl w:val="1"/>
        <w:rPr>
          <w:rStyle w:val="27"/>
          <w:color w:val="auto"/>
          <w:highlight w:val="none"/>
        </w:rPr>
      </w:pPr>
      <w:bookmarkStart w:id="56" w:name="_Toc15396608"/>
      <w:bookmarkStart w:id="57" w:name="_Toc57146370"/>
      <w:bookmarkStart w:id="58" w:name="_Toc15377214"/>
      <w:r>
        <w:rPr>
          <w:rFonts w:hint="eastAsia" w:ascii="黑体" w:eastAsia="黑体"/>
          <w:color w:val="auto"/>
          <w:sz w:val="32"/>
          <w:szCs w:val="32"/>
          <w:highlight w:val="none"/>
        </w:rPr>
        <w:t>六</w:t>
      </w:r>
      <w:r>
        <w:rPr>
          <w:rFonts w:hint="eastAsia" w:ascii="黑体" w:eastAsia="黑体"/>
          <w:b/>
          <w:color w:val="auto"/>
          <w:sz w:val="32"/>
          <w:szCs w:val="32"/>
          <w:highlight w:val="none"/>
        </w:rPr>
        <w:t>、</w:t>
      </w:r>
      <w:r>
        <w:rPr>
          <w:rFonts w:hint="eastAsia" w:ascii="黑体" w:hAnsi="黑体" w:eastAsia="黑体"/>
          <w:b/>
          <w:color w:val="auto"/>
          <w:sz w:val="32"/>
          <w:szCs w:val="32"/>
          <w:highlight w:val="none"/>
        </w:rPr>
        <w:t>一</w:t>
      </w:r>
      <w:r>
        <w:rPr>
          <w:rStyle w:val="27"/>
          <w:rFonts w:hint="eastAsia" w:ascii="黑体" w:hAnsi="黑体" w:eastAsia="黑体"/>
          <w:b w:val="0"/>
          <w:color w:val="auto"/>
          <w:highlight w:val="none"/>
        </w:rPr>
        <w:t>般公共预算财政拨款基本支出决算情况说明</w:t>
      </w:r>
      <w:bookmarkEnd w:id="56"/>
      <w:bookmarkEnd w:id="57"/>
      <w:bookmarkEnd w:id="58"/>
      <w:r>
        <w:rPr>
          <w:rStyle w:val="27"/>
          <w:rFonts w:ascii="黑体" w:hAnsi="黑体" w:eastAsia="黑体"/>
          <w:b w:val="0"/>
          <w:color w:val="auto"/>
          <w:highlight w:val="none"/>
        </w:rPr>
        <w:tab/>
      </w:r>
    </w:p>
    <w:p>
      <w:pPr>
        <w:pStyle w:val="2"/>
        <w:spacing w:line="576" w:lineRule="exact"/>
        <w:ind w:firstLine="640" w:firstLineChars="200"/>
        <w:rPr>
          <w:rFonts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lang w:eastAsia="zh-CN"/>
        </w:rPr>
        <w:t>202</w:t>
      </w:r>
      <w:r>
        <w:rPr>
          <w:rFonts w:hint="eastAsia" w:ascii="仿宋_GB2312" w:hAnsi="仿宋_GB2312" w:eastAsia="仿宋_GB2312" w:cs="仿宋_GB2312"/>
          <w:color w:val="auto"/>
          <w:kern w:val="2"/>
          <w:sz w:val="32"/>
          <w:szCs w:val="32"/>
          <w:highlight w:val="none"/>
          <w:shd w:val="clear" w:color="auto" w:fill="FFFFFF"/>
          <w:lang w:val="en-US" w:eastAsia="zh-CN"/>
        </w:rPr>
        <w:t>1</w:t>
      </w:r>
      <w:r>
        <w:rPr>
          <w:rFonts w:hint="eastAsia" w:ascii="仿宋_GB2312" w:hAnsi="仿宋_GB2312" w:eastAsia="仿宋_GB2312" w:cs="仿宋_GB2312"/>
          <w:color w:val="auto"/>
          <w:kern w:val="2"/>
          <w:sz w:val="32"/>
          <w:szCs w:val="32"/>
          <w:highlight w:val="none"/>
          <w:shd w:val="clear" w:color="auto" w:fill="FFFFFF"/>
          <w:lang w:eastAsia="zh-CN"/>
        </w:rPr>
        <w:t>年</w:t>
      </w:r>
      <w:r>
        <w:rPr>
          <w:rFonts w:hint="eastAsia" w:ascii="仿宋_GB2312" w:hAnsi="仿宋_GB2312" w:eastAsia="仿宋_GB2312" w:cs="仿宋_GB2312"/>
          <w:color w:val="auto"/>
          <w:kern w:val="2"/>
          <w:sz w:val="32"/>
          <w:szCs w:val="32"/>
          <w:highlight w:val="none"/>
          <w:shd w:val="clear" w:color="auto" w:fill="FFFFFF"/>
        </w:rPr>
        <w:t>一般公共预算财政拨款基本支出</w:t>
      </w:r>
      <w:r>
        <w:rPr>
          <w:rFonts w:hint="eastAsia" w:ascii="仿宋_GB2312" w:hAnsi="仿宋_GB2312" w:eastAsia="仿宋_GB2312" w:cs="仿宋_GB2312"/>
          <w:color w:val="auto"/>
          <w:kern w:val="2"/>
          <w:sz w:val="32"/>
          <w:szCs w:val="32"/>
          <w:highlight w:val="none"/>
          <w:shd w:val="clear" w:color="auto" w:fill="FFFFFF"/>
          <w:lang w:val="en-US" w:eastAsia="zh-CN"/>
        </w:rPr>
        <w:t>1056.68</w:t>
      </w:r>
      <w:r>
        <w:rPr>
          <w:rFonts w:hint="eastAsia" w:ascii="仿宋_GB2312" w:hAnsi="仿宋_GB2312" w:eastAsia="仿宋_GB2312" w:cs="仿宋_GB2312"/>
          <w:color w:val="auto"/>
          <w:kern w:val="2"/>
          <w:sz w:val="32"/>
          <w:szCs w:val="32"/>
          <w:highlight w:val="none"/>
          <w:shd w:val="clear" w:color="auto" w:fill="FFFFFF"/>
        </w:rPr>
        <w:t>万元，其中：</w:t>
      </w:r>
    </w:p>
    <w:p>
      <w:pPr>
        <w:pStyle w:val="2"/>
        <w:spacing w:line="576" w:lineRule="exact"/>
        <w:ind w:firstLine="640" w:firstLineChars="200"/>
        <w:rPr>
          <w:rFonts w:hint="eastAsia" w:ascii="仿宋_GB2312" w:hAnsi="仿宋_GB2312" w:eastAsia="仿宋_GB2312" w:cs="仿宋_GB2312"/>
          <w:color w:val="auto"/>
          <w:kern w:val="2"/>
          <w:sz w:val="32"/>
          <w:szCs w:val="32"/>
          <w:highlight w:val="none"/>
          <w:shd w:val="clear" w:color="auto" w:fill="FFFFFF"/>
          <w:lang w:eastAsia="zh-CN"/>
        </w:rPr>
      </w:pPr>
      <w:r>
        <w:rPr>
          <w:rFonts w:hint="eastAsia" w:ascii="仿宋_GB2312" w:hAnsi="仿宋_GB2312" w:eastAsia="仿宋_GB2312" w:cs="仿宋_GB2312"/>
          <w:color w:val="auto"/>
          <w:kern w:val="2"/>
          <w:sz w:val="32"/>
          <w:szCs w:val="32"/>
          <w:highlight w:val="none"/>
          <w:shd w:val="clear" w:color="auto" w:fill="FFFFFF"/>
        </w:rPr>
        <w:t>人员经费</w:t>
      </w:r>
      <w:r>
        <w:rPr>
          <w:rFonts w:hint="eastAsia" w:ascii="仿宋_GB2312" w:hAnsi="仿宋_GB2312" w:eastAsia="仿宋_GB2312" w:cs="仿宋_GB2312"/>
          <w:color w:val="auto"/>
          <w:kern w:val="2"/>
          <w:sz w:val="32"/>
          <w:szCs w:val="32"/>
          <w:highlight w:val="none"/>
          <w:shd w:val="clear" w:color="auto" w:fill="FFFFFF"/>
          <w:lang w:val="en-US" w:eastAsia="zh-CN"/>
        </w:rPr>
        <w:t>975.75</w:t>
      </w:r>
      <w:r>
        <w:rPr>
          <w:rFonts w:hint="eastAsia" w:ascii="仿宋_GB2312" w:hAnsi="仿宋_GB2312" w:eastAsia="仿宋_GB2312" w:cs="仿宋_GB2312"/>
          <w:color w:val="auto"/>
          <w:kern w:val="2"/>
          <w:sz w:val="32"/>
          <w:szCs w:val="32"/>
          <w:highlight w:val="none"/>
          <w:shd w:val="clear" w:color="auto" w:fill="FFFFFF"/>
        </w:rPr>
        <w:t>万元，主要包括：基本工资</w:t>
      </w:r>
      <w:r>
        <w:rPr>
          <w:rFonts w:hint="eastAsia" w:ascii="仿宋_GB2312" w:hAnsi="仿宋_GB2312" w:eastAsia="仿宋_GB2312" w:cs="仿宋_GB2312"/>
          <w:color w:val="auto"/>
          <w:kern w:val="2"/>
          <w:sz w:val="32"/>
          <w:szCs w:val="32"/>
          <w:highlight w:val="none"/>
          <w:shd w:val="clear" w:color="auto" w:fill="FFFFFF"/>
          <w:lang w:val="en-US" w:eastAsia="zh-CN"/>
        </w:rPr>
        <w:t>149.16</w:t>
      </w:r>
      <w:r>
        <w:rPr>
          <w:rFonts w:hint="eastAsia" w:ascii="仿宋_GB2312" w:hAnsi="仿宋_GB2312" w:eastAsia="仿宋_GB2312" w:cs="仿宋_GB2312"/>
          <w:color w:val="auto"/>
          <w:kern w:val="2"/>
          <w:sz w:val="32"/>
          <w:szCs w:val="32"/>
          <w:highlight w:val="none"/>
          <w:shd w:val="clear" w:color="auto" w:fill="FFFFFF"/>
        </w:rPr>
        <w:t>万元、津贴补贴</w:t>
      </w:r>
      <w:r>
        <w:rPr>
          <w:rFonts w:hint="eastAsia" w:ascii="仿宋_GB2312" w:hAnsi="仿宋_GB2312" w:eastAsia="仿宋_GB2312" w:cs="仿宋_GB2312"/>
          <w:color w:val="auto"/>
          <w:kern w:val="2"/>
          <w:sz w:val="32"/>
          <w:szCs w:val="32"/>
          <w:highlight w:val="none"/>
          <w:shd w:val="clear" w:color="auto" w:fill="FFFFFF"/>
          <w:lang w:val="en-US" w:eastAsia="zh-CN"/>
        </w:rPr>
        <w:t>564.19</w:t>
      </w:r>
      <w:r>
        <w:rPr>
          <w:rFonts w:hint="eastAsia" w:ascii="仿宋_GB2312" w:hAnsi="仿宋_GB2312" w:eastAsia="仿宋_GB2312" w:cs="仿宋_GB2312"/>
          <w:color w:val="auto"/>
          <w:kern w:val="2"/>
          <w:sz w:val="32"/>
          <w:szCs w:val="32"/>
          <w:highlight w:val="none"/>
          <w:shd w:val="clear" w:color="auto" w:fill="FFFFFF"/>
        </w:rPr>
        <w:t>万元、奖金</w:t>
      </w:r>
      <w:r>
        <w:rPr>
          <w:rFonts w:hint="eastAsia" w:ascii="仿宋_GB2312" w:hAnsi="仿宋_GB2312" w:eastAsia="仿宋_GB2312" w:cs="仿宋_GB2312"/>
          <w:color w:val="auto"/>
          <w:kern w:val="2"/>
          <w:sz w:val="32"/>
          <w:szCs w:val="32"/>
          <w:highlight w:val="none"/>
          <w:shd w:val="clear" w:color="auto" w:fill="FFFFFF"/>
          <w:lang w:val="en-US" w:eastAsia="zh-CN"/>
        </w:rPr>
        <w:t>8.62</w:t>
      </w:r>
      <w:r>
        <w:rPr>
          <w:rFonts w:hint="eastAsia" w:ascii="仿宋_GB2312" w:hAnsi="仿宋_GB2312" w:eastAsia="仿宋_GB2312" w:cs="仿宋_GB2312"/>
          <w:color w:val="auto"/>
          <w:kern w:val="2"/>
          <w:sz w:val="32"/>
          <w:szCs w:val="32"/>
          <w:highlight w:val="none"/>
          <w:shd w:val="clear" w:color="auto" w:fill="FFFFFF"/>
        </w:rPr>
        <w:t>万元、绩效工资</w:t>
      </w:r>
      <w:r>
        <w:rPr>
          <w:rFonts w:hint="eastAsia" w:ascii="仿宋_GB2312" w:hAnsi="仿宋_GB2312" w:eastAsia="仿宋_GB2312" w:cs="仿宋_GB2312"/>
          <w:color w:val="auto"/>
          <w:kern w:val="2"/>
          <w:sz w:val="32"/>
          <w:szCs w:val="32"/>
          <w:highlight w:val="none"/>
          <w:shd w:val="clear" w:color="auto" w:fill="FFFFFF"/>
          <w:lang w:val="en-US" w:eastAsia="zh-CN"/>
        </w:rPr>
        <w:t>23.12</w:t>
      </w:r>
      <w:r>
        <w:rPr>
          <w:rFonts w:hint="eastAsia" w:ascii="仿宋_GB2312" w:hAnsi="仿宋_GB2312" w:eastAsia="仿宋_GB2312" w:cs="仿宋_GB2312"/>
          <w:color w:val="auto"/>
          <w:kern w:val="2"/>
          <w:sz w:val="32"/>
          <w:szCs w:val="32"/>
          <w:highlight w:val="none"/>
          <w:shd w:val="clear" w:color="auto" w:fill="FFFFFF"/>
        </w:rPr>
        <w:t>万元、机关事业单位基本养老保险缴费</w:t>
      </w:r>
      <w:r>
        <w:rPr>
          <w:rFonts w:hint="eastAsia" w:ascii="仿宋_GB2312" w:hAnsi="仿宋_GB2312" w:eastAsia="仿宋_GB2312" w:cs="仿宋_GB2312"/>
          <w:color w:val="auto"/>
          <w:kern w:val="2"/>
          <w:sz w:val="32"/>
          <w:szCs w:val="32"/>
          <w:highlight w:val="none"/>
          <w:shd w:val="clear" w:color="auto" w:fill="FFFFFF"/>
          <w:lang w:val="en-US" w:eastAsia="zh-CN"/>
        </w:rPr>
        <w:t>67.27</w:t>
      </w:r>
      <w:r>
        <w:rPr>
          <w:rFonts w:hint="eastAsia" w:ascii="仿宋_GB2312" w:hAnsi="仿宋_GB2312" w:eastAsia="仿宋_GB2312" w:cs="仿宋_GB2312"/>
          <w:color w:val="auto"/>
          <w:kern w:val="2"/>
          <w:sz w:val="32"/>
          <w:szCs w:val="32"/>
          <w:highlight w:val="none"/>
          <w:shd w:val="clear" w:color="auto" w:fill="FFFFFF"/>
        </w:rPr>
        <w:t>万元、职业年金缴费</w:t>
      </w:r>
      <w:r>
        <w:rPr>
          <w:rFonts w:hint="eastAsia" w:ascii="仿宋_GB2312" w:hAnsi="仿宋_GB2312" w:eastAsia="仿宋_GB2312" w:cs="仿宋_GB2312"/>
          <w:color w:val="auto"/>
          <w:kern w:val="2"/>
          <w:sz w:val="32"/>
          <w:szCs w:val="32"/>
          <w:highlight w:val="none"/>
          <w:shd w:val="clear" w:color="auto" w:fill="FFFFFF"/>
          <w:lang w:val="en-US" w:eastAsia="zh-CN"/>
        </w:rPr>
        <w:t>33.64</w:t>
      </w:r>
      <w:r>
        <w:rPr>
          <w:rFonts w:hint="eastAsia" w:ascii="仿宋_GB2312" w:hAnsi="仿宋_GB2312" w:eastAsia="仿宋_GB2312" w:cs="仿宋_GB2312"/>
          <w:color w:val="auto"/>
          <w:kern w:val="2"/>
          <w:sz w:val="32"/>
          <w:szCs w:val="32"/>
          <w:highlight w:val="none"/>
          <w:shd w:val="clear" w:color="auto" w:fill="FFFFFF"/>
        </w:rPr>
        <w:t>万元、</w:t>
      </w:r>
      <w:r>
        <w:rPr>
          <w:rFonts w:hint="eastAsia" w:ascii="仿宋_GB2312" w:hAnsi="仿宋_GB2312" w:eastAsia="仿宋_GB2312" w:cs="仿宋_GB2312"/>
          <w:color w:val="auto"/>
          <w:kern w:val="2"/>
          <w:sz w:val="32"/>
          <w:szCs w:val="32"/>
          <w:highlight w:val="none"/>
          <w:shd w:val="clear" w:color="auto" w:fill="FFFFFF"/>
          <w:lang w:eastAsia="zh-CN"/>
        </w:rPr>
        <w:t>职工基本医疗保险缴费</w:t>
      </w:r>
      <w:r>
        <w:rPr>
          <w:rFonts w:hint="eastAsia" w:ascii="仿宋_GB2312" w:hAnsi="仿宋_GB2312" w:eastAsia="仿宋_GB2312" w:cs="仿宋_GB2312"/>
          <w:color w:val="auto"/>
          <w:kern w:val="2"/>
          <w:sz w:val="32"/>
          <w:szCs w:val="32"/>
          <w:highlight w:val="none"/>
          <w:shd w:val="clear" w:color="auto" w:fill="FFFFFF"/>
          <w:lang w:val="en-US" w:eastAsia="zh-CN"/>
        </w:rPr>
        <w:t>34.60万元、公务员医疗补助缴费10.54万元、</w:t>
      </w:r>
      <w:r>
        <w:rPr>
          <w:rFonts w:hint="eastAsia" w:ascii="仿宋_GB2312" w:hAnsi="仿宋_GB2312" w:eastAsia="仿宋_GB2312" w:cs="仿宋_GB2312"/>
          <w:color w:val="auto"/>
          <w:kern w:val="2"/>
          <w:sz w:val="32"/>
          <w:szCs w:val="32"/>
          <w:highlight w:val="none"/>
          <w:shd w:val="clear" w:color="auto" w:fill="FFFFFF"/>
        </w:rPr>
        <w:t>其他社会保障缴费</w:t>
      </w:r>
      <w:r>
        <w:rPr>
          <w:rFonts w:hint="eastAsia" w:ascii="仿宋_GB2312" w:hAnsi="仿宋_GB2312" w:eastAsia="仿宋_GB2312" w:cs="仿宋_GB2312"/>
          <w:color w:val="auto"/>
          <w:kern w:val="2"/>
          <w:sz w:val="32"/>
          <w:szCs w:val="32"/>
          <w:highlight w:val="none"/>
          <w:shd w:val="clear" w:color="auto" w:fill="FFFFFF"/>
          <w:lang w:val="en-US" w:eastAsia="zh-CN"/>
        </w:rPr>
        <w:t>7.72</w:t>
      </w:r>
      <w:r>
        <w:rPr>
          <w:rFonts w:hint="eastAsia" w:ascii="仿宋_GB2312" w:hAnsi="仿宋_GB2312" w:eastAsia="仿宋_GB2312" w:cs="仿宋_GB2312"/>
          <w:color w:val="auto"/>
          <w:kern w:val="2"/>
          <w:sz w:val="32"/>
          <w:szCs w:val="32"/>
          <w:highlight w:val="none"/>
          <w:shd w:val="clear" w:color="auto" w:fill="FFFFFF"/>
        </w:rPr>
        <w:t>万元、住房公积金</w:t>
      </w:r>
      <w:r>
        <w:rPr>
          <w:rFonts w:hint="eastAsia" w:ascii="仿宋_GB2312" w:hAnsi="仿宋_GB2312" w:eastAsia="仿宋_GB2312" w:cs="仿宋_GB2312"/>
          <w:color w:val="auto"/>
          <w:kern w:val="2"/>
          <w:sz w:val="32"/>
          <w:szCs w:val="32"/>
          <w:highlight w:val="none"/>
          <w:shd w:val="clear" w:color="auto" w:fill="FFFFFF"/>
          <w:lang w:val="en-US" w:eastAsia="zh-CN"/>
        </w:rPr>
        <w:t>71.61</w:t>
      </w:r>
      <w:r>
        <w:rPr>
          <w:rFonts w:hint="eastAsia" w:ascii="仿宋_GB2312" w:hAnsi="仿宋_GB2312" w:eastAsia="仿宋_GB2312" w:cs="仿宋_GB2312"/>
          <w:color w:val="auto"/>
          <w:kern w:val="2"/>
          <w:sz w:val="32"/>
          <w:szCs w:val="32"/>
          <w:highlight w:val="none"/>
          <w:shd w:val="clear" w:color="auto" w:fill="FFFFFF"/>
        </w:rPr>
        <w:t>万元</w:t>
      </w:r>
      <w:r>
        <w:rPr>
          <w:rFonts w:hint="eastAsia" w:ascii="仿宋_GB2312" w:hAnsi="仿宋_GB2312" w:eastAsia="仿宋_GB2312" w:cs="仿宋_GB2312"/>
          <w:color w:val="auto"/>
          <w:kern w:val="2"/>
          <w:sz w:val="32"/>
          <w:szCs w:val="32"/>
          <w:highlight w:val="none"/>
          <w:shd w:val="clear" w:color="auto" w:fill="FFFFFF"/>
          <w:lang w:eastAsia="zh-CN"/>
        </w:rPr>
        <w:t>、</w:t>
      </w:r>
      <w:r>
        <w:rPr>
          <w:rFonts w:hint="eastAsia" w:ascii="仿宋_GB2312" w:hAnsi="仿宋_GB2312" w:eastAsia="仿宋_GB2312" w:cs="仿宋_GB2312"/>
          <w:color w:val="auto"/>
          <w:kern w:val="2"/>
          <w:sz w:val="32"/>
          <w:szCs w:val="32"/>
          <w:highlight w:val="none"/>
          <w:shd w:val="clear" w:color="auto" w:fill="FFFFFF"/>
        </w:rPr>
        <w:t>医疗费</w:t>
      </w:r>
      <w:r>
        <w:rPr>
          <w:rFonts w:hint="eastAsia" w:ascii="仿宋_GB2312" w:hAnsi="仿宋_GB2312" w:eastAsia="仿宋_GB2312" w:cs="仿宋_GB2312"/>
          <w:color w:val="auto"/>
          <w:kern w:val="2"/>
          <w:sz w:val="32"/>
          <w:szCs w:val="32"/>
          <w:highlight w:val="none"/>
          <w:shd w:val="clear" w:color="auto" w:fill="FFFFFF"/>
          <w:lang w:val="en-US" w:eastAsia="zh-CN"/>
        </w:rPr>
        <w:t>5.28</w:t>
      </w:r>
      <w:r>
        <w:rPr>
          <w:rFonts w:hint="eastAsia" w:ascii="仿宋_GB2312" w:hAnsi="仿宋_GB2312" w:eastAsia="仿宋_GB2312" w:cs="仿宋_GB2312"/>
          <w:color w:val="auto"/>
          <w:kern w:val="2"/>
          <w:sz w:val="32"/>
          <w:szCs w:val="32"/>
          <w:highlight w:val="none"/>
          <w:shd w:val="clear" w:color="auto" w:fill="FFFFFF"/>
        </w:rPr>
        <w:t>万元</w:t>
      </w:r>
      <w:r>
        <w:rPr>
          <w:rFonts w:hint="eastAsia" w:ascii="仿宋_GB2312" w:hAnsi="仿宋_GB2312" w:eastAsia="仿宋_GB2312" w:cs="仿宋_GB2312"/>
          <w:color w:val="auto"/>
          <w:kern w:val="2"/>
          <w:sz w:val="32"/>
          <w:szCs w:val="32"/>
          <w:highlight w:val="none"/>
          <w:shd w:val="clear" w:color="auto" w:fill="FFFFFF"/>
          <w:lang w:eastAsia="zh-CN"/>
        </w:rPr>
        <w:t>。</w:t>
      </w:r>
    </w:p>
    <w:p>
      <w:pPr>
        <w:pStyle w:val="2"/>
        <w:spacing w:line="576" w:lineRule="exact"/>
        <w:ind w:firstLine="640" w:firstLineChars="200"/>
        <w:rPr>
          <w:rFonts w:ascii="仿宋_GB2312" w:hAnsi="仿宋_GB2312" w:eastAsia="仿宋_GB2312" w:cs="仿宋_GB2312"/>
          <w:color w:val="auto"/>
          <w:kern w:val="2"/>
          <w:sz w:val="32"/>
          <w:szCs w:val="32"/>
          <w:highlight w:val="none"/>
          <w:shd w:val="clear" w:color="auto" w:fill="FFFFFF"/>
        </w:rPr>
      </w:pPr>
      <w:r>
        <w:rPr>
          <w:rFonts w:hint="eastAsia" w:ascii="仿宋_GB2312" w:hAnsi="仿宋_GB2312" w:eastAsia="仿宋_GB2312" w:cs="仿宋_GB2312"/>
          <w:color w:val="auto"/>
          <w:kern w:val="2"/>
          <w:sz w:val="32"/>
          <w:szCs w:val="32"/>
          <w:highlight w:val="none"/>
          <w:shd w:val="clear" w:color="auto" w:fill="FFFFFF"/>
        </w:rPr>
        <w:t>日常公用经费</w:t>
      </w:r>
      <w:r>
        <w:rPr>
          <w:rFonts w:hint="eastAsia" w:ascii="仿宋_GB2312" w:hAnsi="仿宋_GB2312" w:eastAsia="仿宋_GB2312" w:cs="仿宋_GB2312"/>
          <w:color w:val="auto"/>
          <w:kern w:val="2"/>
          <w:sz w:val="32"/>
          <w:szCs w:val="32"/>
          <w:highlight w:val="none"/>
          <w:shd w:val="clear" w:color="auto" w:fill="FFFFFF"/>
          <w:lang w:val="en-US" w:eastAsia="zh-CN"/>
        </w:rPr>
        <w:t>55.87</w:t>
      </w:r>
      <w:r>
        <w:rPr>
          <w:rFonts w:hint="eastAsia" w:ascii="仿宋_GB2312" w:hAnsi="仿宋_GB2312" w:eastAsia="仿宋_GB2312" w:cs="仿宋_GB2312"/>
          <w:color w:val="auto"/>
          <w:kern w:val="2"/>
          <w:sz w:val="32"/>
          <w:szCs w:val="32"/>
          <w:highlight w:val="none"/>
          <w:shd w:val="clear" w:color="auto" w:fill="FFFFFF"/>
        </w:rPr>
        <w:t>万元，主要包括：办公费</w:t>
      </w:r>
      <w:r>
        <w:rPr>
          <w:rFonts w:hint="eastAsia" w:ascii="仿宋_GB2312" w:hAnsi="仿宋_GB2312" w:eastAsia="仿宋_GB2312" w:cs="仿宋_GB2312"/>
          <w:color w:val="auto"/>
          <w:kern w:val="2"/>
          <w:sz w:val="32"/>
          <w:szCs w:val="32"/>
          <w:highlight w:val="none"/>
          <w:shd w:val="clear" w:color="auto" w:fill="FFFFFF"/>
          <w:lang w:val="en-US" w:eastAsia="zh-CN"/>
        </w:rPr>
        <w:t>14.07</w:t>
      </w:r>
      <w:r>
        <w:rPr>
          <w:rFonts w:hint="eastAsia" w:ascii="仿宋_GB2312" w:hAnsi="仿宋_GB2312" w:eastAsia="仿宋_GB2312" w:cs="仿宋_GB2312"/>
          <w:color w:val="auto"/>
          <w:kern w:val="2"/>
          <w:sz w:val="32"/>
          <w:szCs w:val="32"/>
          <w:highlight w:val="none"/>
          <w:shd w:val="clear" w:color="auto" w:fill="FFFFFF"/>
        </w:rPr>
        <w:t>万元、印刷费</w:t>
      </w:r>
      <w:r>
        <w:rPr>
          <w:rFonts w:hint="eastAsia" w:ascii="仿宋_GB2312" w:hAnsi="仿宋_GB2312" w:eastAsia="仿宋_GB2312" w:cs="仿宋_GB2312"/>
          <w:color w:val="auto"/>
          <w:kern w:val="2"/>
          <w:sz w:val="32"/>
          <w:szCs w:val="32"/>
          <w:highlight w:val="none"/>
          <w:shd w:val="clear" w:color="auto" w:fill="FFFFFF"/>
          <w:lang w:val="en-US" w:eastAsia="zh-CN"/>
        </w:rPr>
        <w:t>5.2</w:t>
      </w:r>
      <w:r>
        <w:rPr>
          <w:rFonts w:hint="eastAsia" w:ascii="仿宋_GB2312" w:hAnsi="仿宋_GB2312" w:eastAsia="仿宋_GB2312" w:cs="仿宋_GB2312"/>
          <w:color w:val="auto"/>
          <w:kern w:val="2"/>
          <w:sz w:val="32"/>
          <w:szCs w:val="32"/>
          <w:highlight w:val="none"/>
          <w:shd w:val="clear" w:color="auto" w:fill="FFFFFF"/>
        </w:rPr>
        <w:t>万元、水费</w:t>
      </w:r>
      <w:r>
        <w:rPr>
          <w:rFonts w:hint="eastAsia" w:ascii="仿宋_GB2312" w:hAnsi="仿宋_GB2312" w:eastAsia="仿宋_GB2312" w:cs="仿宋_GB2312"/>
          <w:color w:val="auto"/>
          <w:kern w:val="2"/>
          <w:sz w:val="32"/>
          <w:szCs w:val="32"/>
          <w:highlight w:val="none"/>
          <w:shd w:val="clear" w:color="auto" w:fill="FFFFFF"/>
          <w:lang w:val="en-US" w:eastAsia="zh-CN"/>
        </w:rPr>
        <w:t>0.</w:t>
      </w:r>
      <w:r>
        <w:rPr>
          <w:rFonts w:hint="eastAsia" w:ascii="仿宋_GB2312" w:hAnsi="仿宋_GB2312" w:eastAsia="仿宋_GB2312" w:cs="仿宋_GB2312"/>
          <w:color w:val="auto"/>
          <w:kern w:val="2"/>
          <w:sz w:val="32"/>
          <w:szCs w:val="32"/>
          <w:highlight w:val="none"/>
          <w:shd w:val="clear" w:color="auto" w:fill="FFFFFF"/>
        </w:rPr>
        <w:t>7万元、电费</w:t>
      </w:r>
      <w:r>
        <w:rPr>
          <w:rFonts w:hint="eastAsia" w:ascii="仿宋_GB2312" w:hAnsi="仿宋_GB2312" w:eastAsia="仿宋_GB2312" w:cs="仿宋_GB2312"/>
          <w:color w:val="auto"/>
          <w:kern w:val="2"/>
          <w:sz w:val="32"/>
          <w:szCs w:val="32"/>
          <w:highlight w:val="none"/>
          <w:shd w:val="clear" w:color="auto" w:fill="FFFFFF"/>
          <w:lang w:val="en-US" w:eastAsia="zh-CN"/>
        </w:rPr>
        <w:t>5.8</w:t>
      </w:r>
      <w:r>
        <w:rPr>
          <w:rFonts w:hint="eastAsia" w:ascii="仿宋_GB2312" w:hAnsi="仿宋_GB2312" w:eastAsia="仿宋_GB2312" w:cs="仿宋_GB2312"/>
          <w:color w:val="auto"/>
          <w:kern w:val="2"/>
          <w:sz w:val="32"/>
          <w:szCs w:val="32"/>
          <w:highlight w:val="none"/>
          <w:shd w:val="clear" w:color="auto" w:fill="FFFFFF"/>
        </w:rPr>
        <w:t>万元、邮电费3</w:t>
      </w:r>
      <w:r>
        <w:rPr>
          <w:rFonts w:hint="eastAsia" w:ascii="仿宋_GB2312" w:hAnsi="仿宋_GB2312" w:eastAsia="仿宋_GB2312" w:cs="仿宋_GB2312"/>
          <w:color w:val="auto"/>
          <w:kern w:val="2"/>
          <w:sz w:val="32"/>
          <w:szCs w:val="32"/>
          <w:highlight w:val="none"/>
          <w:shd w:val="clear" w:color="auto" w:fill="FFFFFF"/>
          <w:lang w:val="en-US" w:eastAsia="zh-CN"/>
        </w:rPr>
        <w:t>.</w:t>
      </w:r>
      <w:r>
        <w:rPr>
          <w:rFonts w:hint="eastAsia" w:ascii="仿宋_GB2312" w:hAnsi="仿宋_GB2312" w:eastAsia="仿宋_GB2312" w:cs="仿宋_GB2312"/>
          <w:color w:val="auto"/>
          <w:kern w:val="2"/>
          <w:sz w:val="32"/>
          <w:szCs w:val="32"/>
          <w:highlight w:val="none"/>
          <w:shd w:val="clear" w:color="auto" w:fill="FFFFFF"/>
        </w:rPr>
        <w:t>7万元、差旅费4</w:t>
      </w:r>
      <w:r>
        <w:rPr>
          <w:rFonts w:hint="eastAsia" w:ascii="仿宋_GB2312" w:hAnsi="仿宋_GB2312" w:eastAsia="仿宋_GB2312" w:cs="仿宋_GB2312"/>
          <w:color w:val="auto"/>
          <w:kern w:val="2"/>
          <w:sz w:val="32"/>
          <w:szCs w:val="32"/>
          <w:highlight w:val="none"/>
          <w:shd w:val="clear" w:color="auto" w:fill="FFFFFF"/>
          <w:lang w:val="en-US" w:eastAsia="zh-CN"/>
        </w:rPr>
        <w:t>.</w:t>
      </w:r>
      <w:r>
        <w:rPr>
          <w:rFonts w:hint="eastAsia" w:ascii="仿宋_GB2312" w:hAnsi="仿宋_GB2312" w:eastAsia="仿宋_GB2312" w:cs="仿宋_GB2312"/>
          <w:color w:val="auto"/>
          <w:kern w:val="2"/>
          <w:sz w:val="32"/>
          <w:szCs w:val="32"/>
          <w:highlight w:val="none"/>
          <w:shd w:val="clear" w:color="auto" w:fill="FFFFFF"/>
        </w:rPr>
        <w:t>4万元、培训费4</w:t>
      </w:r>
      <w:r>
        <w:rPr>
          <w:rFonts w:hint="eastAsia" w:ascii="仿宋_GB2312" w:hAnsi="仿宋_GB2312" w:eastAsia="仿宋_GB2312" w:cs="仿宋_GB2312"/>
          <w:color w:val="auto"/>
          <w:kern w:val="2"/>
          <w:sz w:val="32"/>
          <w:szCs w:val="32"/>
          <w:highlight w:val="none"/>
          <w:shd w:val="clear" w:color="auto" w:fill="FFFFFF"/>
          <w:lang w:val="en-US" w:eastAsia="zh-CN"/>
        </w:rPr>
        <w:t>.</w:t>
      </w:r>
      <w:r>
        <w:rPr>
          <w:rFonts w:hint="eastAsia" w:ascii="仿宋_GB2312" w:hAnsi="仿宋_GB2312" w:eastAsia="仿宋_GB2312" w:cs="仿宋_GB2312"/>
          <w:color w:val="auto"/>
          <w:kern w:val="2"/>
          <w:sz w:val="32"/>
          <w:szCs w:val="32"/>
          <w:highlight w:val="none"/>
          <w:shd w:val="clear" w:color="auto" w:fill="FFFFFF"/>
        </w:rPr>
        <w:t>6万元、公务接待费</w:t>
      </w:r>
      <w:r>
        <w:rPr>
          <w:rFonts w:hint="eastAsia" w:ascii="仿宋_GB2312" w:hAnsi="仿宋_GB2312" w:eastAsia="仿宋_GB2312" w:cs="仿宋_GB2312"/>
          <w:color w:val="auto"/>
          <w:kern w:val="2"/>
          <w:sz w:val="32"/>
          <w:szCs w:val="32"/>
          <w:highlight w:val="none"/>
          <w:shd w:val="clear" w:color="auto" w:fill="FFFFFF"/>
          <w:lang w:val="en-US" w:eastAsia="zh-CN"/>
        </w:rPr>
        <w:t>0.</w:t>
      </w:r>
      <w:r>
        <w:rPr>
          <w:rFonts w:hint="eastAsia" w:ascii="仿宋_GB2312" w:hAnsi="仿宋_GB2312" w:eastAsia="仿宋_GB2312" w:cs="仿宋_GB2312"/>
          <w:color w:val="auto"/>
          <w:kern w:val="2"/>
          <w:sz w:val="32"/>
          <w:szCs w:val="32"/>
          <w:highlight w:val="none"/>
          <w:shd w:val="clear" w:color="auto" w:fill="FFFFFF"/>
        </w:rPr>
        <w:t>6万元、劳务费2</w:t>
      </w:r>
      <w:r>
        <w:rPr>
          <w:rFonts w:hint="eastAsia" w:ascii="仿宋_GB2312" w:hAnsi="仿宋_GB2312" w:eastAsia="仿宋_GB2312" w:cs="仿宋_GB2312"/>
          <w:color w:val="auto"/>
          <w:kern w:val="2"/>
          <w:sz w:val="32"/>
          <w:szCs w:val="32"/>
          <w:highlight w:val="none"/>
          <w:shd w:val="clear" w:color="auto" w:fill="FFFFFF"/>
          <w:lang w:val="en-US" w:eastAsia="zh-CN"/>
        </w:rPr>
        <w:t>.</w:t>
      </w:r>
      <w:r>
        <w:rPr>
          <w:rFonts w:hint="eastAsia" w:ascii="仿宋_GB2312" w:hAnsi="仿宋_GB2312" w:eastAsia="仿宋_GB2312" w:cs="仿宋_GB2312"/>
          <w:color w:val="auto"/>
          <w:kern w:val="2"/>
          <w:sz w:val="32"/>
          <w:szCs w:val="32"/>
          <w:highlight w:val="none"/>
          <w:shd w:val="clear" w:color="auto" w:fill="FFFFFF"/>
        </w:rPr>
        <w:t>5万元、公务用车运行维护费14</w:t>
      </w:r>
      <w:r>
        <w:rPr>
          <w:rFonts w:hint="eastAsia" w:ascii="仿宋_GB2312" w:hAnsi="仿宋_GB2312" w:eastAsia="仿宋_GB2312" w:cs="仿宋_GB2312"/>
          <w:color w:val="auto"/>
          <w:kern w:val="2"/>
          <w:sz w:val="32"/>
          <w:szCs w:val="32"/>
          <w:highlight w:val="none"/>
          <w:shd w:val="clear" w:color="auto" w:fill="FFFFFF"/>
          <w:lang w:val="en-US" w:eastAsia="zh-CN"/>
        </w:rPr>
        <w:t>.</w:t>
      </w:r>
      <w:r>
        <w:rPr>
          <w:rFonts w:hint="eastAsia" w:ascii="仿宋_GB2312" w:hAnsi="仿宋_GB2312" w:eastAsia="仿宋_GB2312" w:cs="仿宋_GB2312"/>
          <w:color w:val="auto"/>
          <w:kern w:val="2"/>
          <w:sz w:val="32"/>
          <w:szCs w:val="32"/>
          <w:highlight w:val="none"/>
          <w:shd w:val="clear" w:color="auto" w:fill="FFFFFF"/>
        </w:rPr>
        <w:t>3万元。</w:t>
      </w:r>
    </w:p>
    <w:p>
      <w:pPr>
        <w:spacing w:line="600" w:lineRule="exact"/>
        <w:ind w:firstLine="640"/>
        <w:outlineLvl w:val="1"/>
        <w:rPr>
          <w:rStyle w:val="27"/>
          <w:rFonts w:ascii="黑体" w:hAnsi="黑体" w:eastAsia="黑体"/>
          <w:b w:val="0"/>
          <w:color w:val="auto"/>
          <w:highlight w:val="none"/>
        </w:rPr>
      </w:pPr>
      <w:bookmarkStart w:id="59" w:name="_Toc15396609"/>
      <w:bookmarkStart w:id="60" w:name="_Toc57146371"/>
      <w:bookmarkStart w:id="61" w:name="_Toc15377215"/>
      <w:r>
        <w:rPr>
          <w:rFonts w:hint="eastAsia" w:ascii="黑体" w:eastAsia="黑体"/>
          <w:color w:val="auto"/>
          <w:sz w:val="32"/>
          <w:szCs w:val="32"/>
          <w:highlight w:val="none"/>
        </w:rPr>
        <w:t>七、</w:t>
      </w:r>
      <w:r>
        <w:rPr>
          <w:rStyle w:val="27"/>
          <w:rFonts w:hint="eastAsia" w:ascii="黑体" w:hAnsi="黑体" w:eastAsia="黑体"/>
          <w:color w:val="auto"/>
          <w:highlight w:val="none"/>
        </w:rPr>
        <w:t>“</w:t>
      </w:r>
      <w:r>
        <w:rPr>
          <w:rStyle w:val="27"/>
          <w:rFonts w:hint="eastAsia" w:ascii="黑体" w:hAnsi="黑体" w:eastAsia="黑体"/>
          <w:b w:val="0"/>
          <w:color w:val="auto"/>
          <w:highlight w:val="none"/>
        </w:rPr>
        <w:t>三公”经费财政拨款支出决算情况说明</w:t>
      </w:r>
      <w:bookmarkEnd w:id="59"/>
      <w:bookmarkEnd w:id="60"/>
      <w:bookmarkEnd w:id="61"/>
    </w:p>
    <w:p>
      <w:pPr>
        <w:spacing w:line="576" w:lineRule="exact"/>
        <w:ind w:firstLine="643" w:firstLineChars="200"/>
        <w:jc w:val="left"/>
        <w:rPr>
          <w:rFonts w:ascii="仿宋" w:hAnsi="仿宋" w:eastAsia="仿宋"/>
          <w:b/>
          <w:color w:val="auto"/>
          <w:sz w:val="32"/>
          <w:szCs w:val="32"/>
          <w:highlight w:val="none"/>
        </w:rPr>
      </w:pPr>
      <w:bookmarkStart w:id="62" w:name="_Toc15377216"/>
      <w:bookmarkStart w:id="63" w:name="_Toc57146372"/>
      <w:r>
        <w:rPr>
          <w:rFonts w:hint="eastAsia" w:ascii="仿宋" w:hAnsi="仿宋" w:eastAsia="仿宋"/>
          <w:b/>
          <w:color w:val="auto"/>
          <w:sz w:val="32"/>
          <w:szCs w:val="32"/>
          <w:highlight w:val="none"/>
        </w:rPr>
        <w:t>（一）“三公”经费财政拨款支出决算总体情况说明</w:t>
      </w:r>
      <w:bookmarkEnd w:id="62"/>
      <w:bookmarkEnd w:id="63"/>
    </w:p>
    <w:p>
      <w:pPr>
        <w:spacing w:line="576" w:lineRule="exact"/>
        <w:ind w:firstLine="640" w:firstLineChars="200"/>
        <w:jc w:val="left"/>
        <w:rPr>
          <w:rFonts w:hint="eastAsia"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“三公”经费财政拨款支出决算为</w:t>
      </w:r>
      <w:r>
        <w:rPr>
          <w:rFonts w:hint="eastAsia" w:ascii="仿宋_GB2312" w:hAnsi="仿宋_GB2312" w:eastAsia="仿宋_GB2312" w:cs="仿宋_GB2312"/>
          <w:color w:val="auto"/>
          <w:sz w:val="32"/>
          <w:szCs w:val="32"/>
          <w:highlight w:val="none"/>
          <w:shd w:val="clear" w:color="auto" w:fill="FFFFFF"/>
          <w:lang w:val="en-US" w:eastAsia="zh-CN"/>
        </w:rPr>
        <w:t>14.9</w:t>
      </w:r>
      <w:r>
        <w:rPr>
          <w:rFonts w:hint="eastAsia" w:ascii="仿宋_GB2312" w:hAnsi="仿宋_GB2312" w:eastAsia="仿宋_GB2312" w:cs="仿宋_GB2312"/>
          <w:color w:val="auto"/>
          <w:sz w:val="32"/>
          <w:szCs w:val="32"/>
          <w:highlight w:val="none"/>
          <w:shd w:val="clear" w:color="auto" w:fill="FFFFFF"/>
        </w:rPr>
        <w:t>万元，完成预算100%，决算数与预算数持平。</w:t>
      </w:r>
    </w:p>
    <w:p>
      <w:pPr>
        <w:spacing w:line="600" w:lineRule="exact"/>
        <w:ind w:firstLine="640"/>
        <w:outlineLvl w:val="2"/>
        <w:rPr>
          <w:rFonts w:ascii="仿宋" w:hAnsi="仿宋" w:eastAsia="仿宋"/>
          <w:b/>
          <w:color w:val="auto"/>
          <w:sz w:val="32"/>
          <w:szCs w:val="32"/>
          <w:highlight w:val="none"/>
        </w:rPr>
      </w:pPr>
      <w:bookmarkStart w:id="64" w:name="_Toc15377217"/>
      <w:bookmarkStart w:id="65" w:name="_Toc57146373"/>
      <w:r>
        <w:rPr>
          <w:rFonts w:hint="eastAsia" w:ascii="仿宋" w:hAnsi="仿宋" w:eastAsia="仿宋"/>
          <w:b/>
          <w:color w:val="auto"/>
          <w:sz w:val="32"/>
          <w:szCs w:val="32"/>
          <w:highlight w:val="none"/>
        </w:rPr>
        <w:t>（二）“三公”经费财政拨款支出决算具体情况说明</w:t>
      </w:r>
      <w:bookmarkEnd w:id="64"/>
      <w:bookmarkEnd w:id="65"/>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“三公”经费财政拨款支出决算中，因公出国（境）费支出决算0万元，占0%；公务用车购置及运行维护费支出决算</w:t>
      </w:r>
      <w:r>
        <w:rPr>
          <w:rFonts w:hint="eastAsia" w:ascii="仿宋_GB2312" w:hAnsi="仿宋_GB2312" w:eastAsia="仿宋_GB2312" w:cs="仿宋_GB2312"/>
          <w:color w:val="auto"/>
          <w:kern w:val="2"/>
          <w:sz w:val="32"/>
          <w:szCs w:val="32"/>
          <w:highlight w:val="none"/>
          <w:shd w:val="clear" w:color="auto" w:fill="FFFFFF"/>
        </w:rPr>
        <w:t>14</w:t>
      </w:r>
      <w:r>
        <w:rPr>
          <w:rFonts w:hint="eastAsia" w:ascii="仿宋_GB2312" w:hAnsi="仿宋_GB2312" w:eastAsia="仿宋_GB2312" w:cs="仿宋_GB2312"/>
          <w:color w:val="auto"/>
          <w:kern w:val="2"/>
          <w:sz w:val="32"/>
          <w:szCs w:val="32"/>
          <w:highlight w:val="none"/>
          <w:shd w:val="clear" w:color="auto" w:fill="FFFFFF"/>
          <w:lang w:val="en-US" w:eastAsia="zh-CN"/>
        </w:rPr>
        <w:t>.</w:t>
      </w:r>
      <w:r>
        <w:rPr>
          <w:rFonts w:hint="eastAsia" w:ascii="仿宋_GB2312" w:hAnsi="仿宋_GB2312" w:eastAsia="仿宋_GB2312" w:cs="仿宋_GB2312"/>
          <w:color w:val="auto"/>
          <w:kern w:val="2"/>
          <w:sz w:val="32"/>
          <w:szCs w:val="32"/>
          <w:highlight w:val="none"/>
          <w:shd w:val="clear" w:color="auto" w:fill="FFFFFF"/>
        </w:rPr>
        <w:t>3</w:t>
      </w:r>
      <w:r>
        <w:rPr>
          <w:rFonts w:hint="eastAsia" w:ascii="仿宋_GB2312" w:hAnsi="仿宋_GB2312" w:eastAsia="仿宋_GB2312" w:cs="仿宋_GB2312"/>
          <w:color w:val="auto"/>
          <w:sz w:val="32"/>
          <w:szCs w:val="32"/>
          <w:highlight w:val="none"/>
          <w:shd w:val="clear" w:color="auto" w:fill="FFFFFF"/>
        </w:rPr>
        <w:t>万元，占9</w:t>
      </w:r>
      <w:r>
        <w:rPr>
          <w:rFonts w:hint="eastAsia" w:ascii="仿宋_GB2312" w:hAnsi="仿宋_GB2312" w:eastAsia="仿宋_GB2312" w:cs="仿宋_GB2312"/>
          <w:color w:val="auto"/>
          <w:sz w:val="32"/>
          <w:szCs w:val="32"/>
          <w:highlight w:val="none"/>
          <w:shd w:val="clear" w:color="auto" w:fill="FFFFFF"/>
          <w:lang w:val="en-US" w:eastAsia="zh-CN"/>
        </w:rPr>
        <w:t>6</w:t>
      </w:r>
      <w:r>
        <w:rPr>
          <w:rFonts w:hint="eastAsia" w:ascii="仿宋_GB2312" w:hAnsi="仿宋_GB2312" w:eastAsia="仿宋_GB2312" w:cs="仿宋_GB2312"/>
          <w:color w:val="auto"/>
          <w:sz w:val="32"/>
          <w:szCs w:val="32"/>
          <w:highlight w:val="none"/>
          <w:shd w:val="clear" w:color="auto" w:fill="FFFFFF"/>
        </w:rPr>
        <w:t>%；公务接待费支出决算0.6万元，占</w:t>
      </w:r>
      <w:r>
        <w:rPr>
          <w:rFonts w:hint="eastAsia" w:ascii="仿宋_GB2312" w:hAnsi="仿宋_GB2312" w:eastAsia="仿宋_GB2312" w:cs="仿宋_GB2312"/>
          <w:color w:val="auto"/>
          <w:sz w:val="32"/>
          <w:szCs w:val="32"/>
          <w:highlight w:val="none"/>
          <w:shd w:val="clear" w:color="auto" w:fill="FFFFFF"/>
          <w:lang w:val="en-US" w:eastAsia="zh-CN"/>
        </w:rPr>
        <w:t>4</w:t>
      </w:r>
      <w:r>
        <w:rPr>
          <w:rFonts w:hint="eastAsia" w:ascii="仿宋_GB2312" w:hAnsi="仿宋_GB2312" w:eastAsia="仿宋_GB2312" w:cs="仿宋_GB2312"/>
          <w:color w:val="auto"/>
          <w:sz w:val="32"/>
          <w:szCs w:val="32"/>
          <w:highlight w:val="none"/>
          <w:shd w:val="clear" w:color="auto" w:fill="FFFFFF"/>
        </w:rPr>
        <w:t>%。具体情况如下：</w:t>
      </w:r>
    </w:p>
    <w:p>
      <w:pPr>
        <w:pStyle w:val="2"/>
        <w:rPr>
          <w:color w:val="auto"/>
          <w:highlight w:val="none"/>
        </w:rPr>
      </w:pPr>
      <w:r>
        <w:rPr>
          <w:rFonts w:hint="eastAsia" w:ascii="仿宋" w:hAnsi="仿宋" w:eastAsia="仿宋"/>
          <w:color w:val="auto"/>
          <w:sz w:val="32"/>
          <w:szCs w:val="32"/>
          <w:highlight w:val="none"/>
        </w:rPr>
        <w:drawing>
          <wp:anchor distT="0" distB="0" distL="114300" distR="114300" simplePos="0" relativeHeight="251665408" behindDoc="1" locked="0" layoutInCell="1" allowOverlap="1">
            <wp:simplePos x="0" y="0"/>
            <wp:positionH relativeFrom="column">
              <wp:posOffset>170815</wp:posOffset>
            </wp:positionH>
            <wp:positionV relativeFrom="paragraph">
              <wp:posOffset>114300</wp:posOffset>
            </wp:positionV>
            <wp:extent cx="4657090" cy="2202180"/>
            <wp:effectExtent l="5080" t="4445" r="5080" b="22225"/>
            <wp:wrapTight wrapText="bothSides">
              <wp:wrapPolygon>
                <wp:start x="-24" y="-44"/>
                <wp:lineTo x="-24" y="21444"/>
                <wp:lineTo x="21535" y="21444"/>
                <wp:lineTo x="21535" y="-44"/>
                <wp:lineTo x="-24" y="-44"/>
              </wp:wrapPolygon>
            </wp:wrapTight>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pStyle w:val="2"/>
        <w:rPr>
          <w:rFonts w:ascii="仿宋" w:hAnsi="仿宋" w:eastAsia="仿宋"/>
          <w:color w:val="auto"/>
          <w:sz w:val="32"/>
          <w:szCs w:val="32"/>
          <w:highlight w:val="none"/>
        </w:rPr>
      </w:pPr>
    </w:p>
    <w:p>
      <w:pPr>
        <w:spacing w:line="600" w:lineRule="exact"/>
        <w:ind w:firstLine="643" w:firstLineChars="200"/>
        <w:rPr>
          <w:rFonts w:ascii="仿宋_GB2312" w:eastAsia="仿宋_GB2312"/>
          <w:color w:val="auto"/>
          <w:sz w:val="32"/>
          <w:szCs w:val="32"/>
          <w:highlight w:val="none"/>
        </w:rPr>
      </w:pPr>
      <w:r>
        <w:rPr>
          <w:rFonts w:hint="eastAsia" w:ascii="仿宋_GB2312" w:eastAsia="仿宋_GB2312"/>
          <w:b/>
          <w:color w:val="auto"/>
          <w:sz w:val="32"/>
          <w:szCs w:val="32"/>
          <w:highlight w:val="none"/>
        </w:rPr>
        <w:t>1.因公出国（境）经费支出</w:t>
      </w:r>
      <w:r>
        <w:rPr>
          <w:rFonts w:hint="eastAsia" w:ascii="仿宋_GB2312" w:eastAsia="仿宋_GB2312"/>
          <w:color w:val="auto"/>
          <w:sz w:val="32"/>
          <w:szCs w:val="32"/>
          <w:highlight w:val="none"/>
        </w:rPr>
        <w:t>0万元.</w:t>
      </w:r>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ascii="仿宋_GB2312" w:eastAsia="仿宋_GB2312"/>
          <w:b/>
          <w:color w:val="auto"/>
          <w:sz w:val="32"/>
          <w:szCs w:val="32"/>
          <w:highlight w:val="none"/>
        </w:rPr>
        <w:t>2.</w:t>
      </w:r>
      <w:r>
        <w:rPr>
          <w:rFonts w:hint="eastAsia" w:ascii="仿宋_GB2312" w:eastAsia="仿宋_GB2312"/>
          <w:b/>
          <w:color w:val="auto"/>
          <w:sz w:val="32"/>
          <w:szCs w:val="32"/>
          <w:highlight w:val="none"/>
        </w:rPr>
        <w:t>公务用车购置及运行维护费支出</w:t>
      </w:r>
      <w:r>
        <w:rPr>
          <w:rFonts w:hint="eastAsia" w:ascii="仿宋_GB2312" w:hAnsi="仿宋_GB2312" w:eastAsia="仿宋_GB2312" w:cs="仿宋_GB2312"/>
          <w:color w:val="auto"/>
          <w:sz w:val="32"/>
          <w:szCs w:val="32"/>
          <w:highlight w:val="none"/>
          <w:shd w:val="clear" w:color="auto" w:fill="FFFFFF"/>
          <w:lang w:val="en-US" w:eastAsia="zh-CN"/>
        </w:rPr>
        <w:t>14.3</w:t>
      </w:r>
      <w:r>
        <w:rPr>
          <w:rFonts w:hint="eastAsia" w:ascii="仿宋_GB2312" w:hAnsi="仿宋_GB2312" w:eastAsia="仿宋_GB2312" w:cs="仿宋_GB2312"/>
          <w:color w:val="auto"/>
          <w:sz w:val="32"/>
          <w:szCs w:val="32"/>
          <w:highlight w:val="none"/>
          <w:shd w:val="clear" w:color="auto" w:fill="FFFFFF"/>
        </w:rPr>
        <w:t>万元,完成预算100%。公务用车购置及运行维护费支出决算比</w:t>
      </w:r>
      <w:r>
        <w:rPr>
          <w:rFonts w:hint="eastAsia" w:ascii="仿宋_GB2312" w:hAnsi="仿宋_GB2312" w:eastAsia="仿宋_GB2312" w:cs="仿宋_GB2312"/>
          <w:color w:val="auto"/>
          <w:sz w:val="32"/>
          <w:szCs w:val="32"/>
          <w:highlight w:val="none"/>
          <w:shd w:val="clear" w:color="auto" w:fill="FFFFFF"/>
          <w:lang w:val="en-US" w:eastAsia="zh-CN"/>
        </w:rPr>
        <w:t>2020</w:t>
      </w:r>
      <w:r>
        <w:rPr>
          <w:rFonts w:hint="eastAsia" w:ascii="仿宋_GB2312" w:hAnsi="仿宋_GB2312" w:eastAsia="仿宋_GB2312" w:cs="仿宋_GB2312"/>
          <w:color w:val="auto"/>
          <w:sz w:val="32"/>
          <w:szCs w:val="32"/>
          <w:highlight w:val="none"/>
          <w:shd w:val="clear" w:color="auto" w:fill="FFFFFF"/>
          <w:lang w:eastAsia="zh-CN"/>
        </w:rPr>
        <w:t>年增加</w:t>
      </w:r>
      <w:r>
        <w:rPr>
          <w:rFonts w:hint="eastAsia" w:ascii="仿宋_GB2312" w:hAnsi="仿宋_GB2312" w:eastAsia="仿宋_GB2312" w:cs="仿宋_GB2312"/>
          <w:color w:val="auto"/>
          <w:sz w:val="32"/>
          <w:szCs w:val="32"/>
          <w:highlight w:val="none"/>
          <w:shd w:val="clear" w:color="auto" w:fill="FFFFFF"/>
          <w:lang w:val="en-US" w:eastAsia="zh-CN"/>
        </w:rPr>
        <w:t>7</w:t>
      </w:r>
      <w:r>
        <w:rPr>
          <w:rFonts w:hint="eastAsia" w:ascii="仿宋_GB2312" w:hAnsi="仿宋_GB2312" w:eastAsia="仿宋_GB2312" w:cs="仿宋_GB2312"/>
          <w:color w:val="auto"/>
          <w:sz w:val="32"/>
          <w:szCs w:val="32"/>
          <w:highlight w:val="none"/>
          <w:shd w:val="clear" w:color="auto" w:fill="FFFFFF"/>
        </w:rPr>
        <w:t>万元，主要原因是</w:t>
      </w:r>
      <w:r>
        <w:rPr>
          <w:rFonts w:hint="eastAsia" w:ascii="仿宋_GB2312" w:hAnsi="仿宋_GB2312" w:eastAsia="仿宋_GB2312" w:cs="仿宋_GB2312"/>
          <w:color w:val="auto"/>
          <w:sz w:val="32"/>
          <w:szCs w:val="32"/>
          <w:highlight w:val="none"/>
          <w:shd w:val="clear" w:color="auto" w:fill="FFFFFF"/>
          <w:lang w:eastAsia="zh-CN"/>
        </w:rPr>
        <w:t>人员增加</w:t>
      </w:r>
      <w:r>
        <w:rPr>
          <w:rFonts w:hint="eastAsia" w:ascii="仿宋_GB2312" w:hAnsi="仿宋_GB2312" w:eastAsia="仿宋_GB2312" w:cs="仿宋_GB2312"/>
          <w:color w:val="auto"/>
          <w:sz w:val="32"/>
          <w:szCs w:val="32"/>
          <w:highlight w:val="none"/>
          <w:shd w:val="clear" w:color="auto" w:fill="FFFFFF"/>
        </w:rPr>
        <w:t>。</w:t>
      </w:r>
    </w:p>
    <w:p>
      <w:pPr>
        <w:spacing w:line="600" w:lineRule="exact"/>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其中：</w:t>
      </w:r>
      <w:r>
        <w:rPr>
          <w:rFonts w:hint="eastAsia" w:ascii="仿宋_GB2312" w:eastAsia="仿宋_GB2312"/>
          <w:b/>
          <w:color w:val="auto"/>
          <w:sz w:val="32"/>
          <w:szCs w:val="32"/>
          <w:highlight w:val="none"/>
        </w:rPr>
        <w:t>公务用车购置支出</w:t>
      </w:r>
      <w:r>
        <w:rPr>
          <w:rFonts w:hint="eastAsia" w:ascii="仿宋_GB2312" w:eastAsia="仿宋_GB2312"/>
          <w:color w:val="auto"/>
          <w:sz w:val="32"/>
          <w:szCs w:val="32"/>
          <w:highlight w:val="none"/>
        </w:rPr>
        <w:t>0万元。</w:t>
      </w:r>
    </w:p>
    <w:p>
      <w:pPr>
        <w:spacing w:line="600" w:lineRule="exact"/>
        <w:ind w:firstLine="640"/>
        <w:rPr>
          <w:rFonts w:ascii="仿宋_GB2312" w:eastAsia="仿宋_GB2312"/>
          <w:color w:val="auto"/>
          <w:sz w:val="32"/>
          <w:szCs w:val="32"/>
          <w:highlight w:val="none"/>
        </w:rPr>
      </w:pPr>
      <w:r>
        <w:rPr>
          <w:rFonts w:hint="eastAsia" w:ascii="仿宋_GB2312" w:eastAsia="仿宋_GB2312"/>
          <w:b/>
          <w:color w:val="auto"/>
          <w:sz w:val="32"/>
          <w:szCs w:val="32"/>
          <w:highlight w:val="none"/>
        </w:rPr>
        <w:t>公务用车运行维护费支出</w:t>
      </w:r>
      <w:r>
        <w:rPr>
          <w:rFonts w:hint="eastAsia" w:ascii="仿宋_GB2312" w:eastAsia="仿宋_GB2312"/>
          <w:b/>
          <w:color w:val="auto"/>
          <w:sz w:val="32"/>
          <w:szCs w:val="32"/>
          <w:highlight w:val="none"/>
          <w:lang w:val="en-US" w:eastAsia="zh-CN"/>
        </w:rPr>
        <w:t>14.3</w:t>
      </w:r>
      <w:r>
        <w:rPr>
          <w:rFonts w:hint="eastAsia" w:ascii="仿宋_GB2312" w:eastAsia="仿宋_GB2312"/>
          <w:color w:val="auto"/>
          <w:sz w:val="32"/>
          <w:szCs w:val="32"/>
          <w:highlight w:val="none"/>
        </w:rPr>
        <w:t>万元。主要用于下村、出差等所需的公务用车燃料费、维修费、过路过桥费、保险费等支出。</w:t>
      </w:r>
    </w:p>
    <w:p>
      <w:pPr>
        <w:numPr>
          <w:ilvl w:val="0"/>
          <w:numId w:val="2"/>
        </w:numPr>
        <w:spacing w:line="600" w:lineRule="exact"/>
        <w:ind w:firstLine="640"/>
        <w:rPr>
          <w:rFonts w:hint="eastAsia" w:ascii="仿宋_GB2312" w:hAnsi="仿宋_GB2312" w:eastAsia="仿宋_GB2312" w:cs="仿宋_GB2312"/>
          <w:color w:val="auto"/>
          <w:sz w:val="32"/>
          <w:szCs w:val="32"/>
          <w:highlight w:val="none"/>
          <w:shd w:val="clear" w:color="auto" w:fill="FFFFFF"/>
          <w:lang w:eastAsia="zh-CN"/>
        </w:rPr>
      </w:pPr>
      <w:r>
        <w:rPr>
          <w:rFonts w:hint="eastAsia" w:ascii="仿宋_GB2312" w:eastAsia="仿宋_GB2312"/>
          <w:b/>
          <w:color w:val="auto"/>
          <w:sz w:val="32"/>
          <w:szCs w:val="32"/>
          <w:highlight w:val="none"/>
        </w:rPr>
        <w:t>公务接待费支出</w:t>
      </w:r>
      <w:r>
        <w:rPr>
          <w:rFonts w:hint="eastAsia" w:ascii="仿宋_GB2312" w:hAnsi="仿宋_GB2312" w:eastAsia="仿宋_GB2312" w:cs="仿宋_GB2312"/>
          <w:color w:val="auto"/>
          <w:sz w:val="32"/>
          <w:szCs w:val="32"/>
          <w:highlight w:val="none"/>
          <w:shd w:val="clear" w:color="auto" w:fill="FFFFFF"/>
        </w:rPr>
        <w:t>0.6万元，完成预算100%。公务接待费支出决算</w:t>
      </w:r>
      <w:r>
        <w:rPr>
          <w:rFonts w:hint="eastAsia" w:ascii="仿宋_GB2312" w:hAnsi="仿宋_GB2312" w:eastAsia="仿宋_GB2312" w:cs="仿宋_GB2312"/>
          <w:color w:val="auto"/>
          <w:sz w:val="32"/>
          <w:szCs w:val="32"/>
          <w:highlight w:val="none"/>
          <w:shd w:val="clear" w:color="auto" w:fill="FFFFFF"/>
          <w:lang w:eastAsia="zh-CN"/>
        </w:rPr>
        <w:t>与</w:t>
      </w:r>
      <w:r>
        <w:rPr>
          <w:rFonts w:hint="eastAsia" w:ascii="仿宋_GB2312" w:hAnsi="仿宋_GB2312" w:eastAsia="仿宋_GB2312" w:cs="仿宋_GB2312"/>
          <w:color w:val="auto"/>
          <w:sz w:val="32"/>
          <w:szCs w:val="32"/>
          <w:highlight w:val="none"/>
          <w:shd w:val="clear" w:color="auto" w:fill="FFFFFF"/>
          <w:lang w:val="en-US" w:eastAsia="zh-CN"/>
        </w:rPr>
        <w:t>2020</w:t>
      </w:r>
      <w:r>
        <w:rPr>
          <w:rFonts w:hint="eastAsia" w:ascii="仿宋_GB2312" w:hAnsi="仿宋_GB2312" w:eastAsia="仿宋_GB2312" w:cs="仿宋_GB2312"/>
          <w:color w:val="auto"/>
          <w:sz w:val="32"/>
          <w:szCs w:val="32"/>
          <w:highlight w:val="none"/>
          <w:shd w:val="clear" w:color="auto" w:fill="FFFFFF"/>
          <w:lang w:eastAsia="zh-CN"/>
        </w:rPr>
        <w:t>年</w:t>
      </w:r>
      <w:bookmarkStart w:id="66" w:name="_Toc15377218"/>
      <w:bookmarkStart w:id="67" w:name="_Toc15396610"/>
      <w:r>
        <w:rPr>
          <w:rFonts w:hint="eastAsia" w:ascii="仿宋_GB2312" w:hAnsi="仿宋_GB2312" w:eastAsia="仿宋_GB2312" w:cs="仿宋_GB2312"/>
          <w:color w:val="auto"/>
          <w:sz w:val="32"/>
          <w:szCs w:val="32"/>
          <w:highlight w:val="none"/>
          <w:shd w:val="clear" w:color="auto" w:fill="FFFFFF"/>
          <w:lang w:eastAsia="zh-CN"/>
        </w:rPr>
        <w:t>持平。</w:t>
      </w:r>
    </w:p>
    <w:p>
      <w:pPr>
        <w:numPr>
          <w:ilvl w:val="0"/>
          <w:numId w:val="0"/>
        </w:numPr>
        <w:spacing w:line="600" w:lineRule="exact"/>
        <w:ind w:firstLine="640" w:firstLineChars="20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主要用于执行公务、开展业务活动开支的</w:t>
      </w:r>
      <w:r>
        <w:rPr>
          <w:rFonts w:hint="eastAsia" w:ascii="仿宋_GB2312" w:hAnsi="仿宋_GB2312" w:eastAsia="仿宋_GB2312" w:cs="仿宋_GB2312"/>
          <w:color w:val="auto"/>
          <w:sz w:val="32"/>
          <w:szCs w:val="32"/>
          <w:highlight w:val="none"/>
          <w:shd w:val="clear" w:color="auto" w:fill="FFFFFF"/>
          <w:lang w:eastAsia="zh-CN"/>
        </w:rPr>
        <w:t>办公费。</w:t>
      </w:r>
    </w:p>
    <w:p>
      <w:pPr>
        <w:spacing w:line="600" w:lineRule="exact"/>
        <w:ind w:firstLine="640"/>
        <w:outlineLvl w:val="1"/>
        <w:rPr>
          <w:rStyle w:val="27"/>
          <w:rFonts w:ascii="黑体" w:hAnsi="黑体" w:eastAsia="黑体"/>
          <w:color w:val="auto"/>
          <w:highlight w:val="none"/>
        </w:rPr>
      </w:pPr>
      <w:bookmarkStart w:id="68" w:name="_Toc57146374"/>
      <w:r>
        <w:rPr>
          <w:rFonts w:hint="eastAsia" w:ascii="黑体" w:eastAsia="黑体"/>
          <w:color w:val="auto"/>
          <w:sz w:val="32"/>
          <w:szCs w:val="32"/>
          <w:highlight w:val="none"/>
        </w:rPr>
        <w:t>八、</w:t>
      </w:r>
      <w:r>
        <w:rPr>
          <w:rStyle w:val="27"/>
          <w:rFonts w:hint="eastAsia" w:ascii="黑体" w:hAnsi="黑体" w:eastAsia="黑体"/>
          <w:b w:val="0"/>
          <w:color w:val="auto"/>
          <w:highlight w:val="none"/>
        </w:rPr>
        <w:t>政府性基金预算支出决算情况说明</w:t>
      </w:r>
      <w:bookmarkEnd w:id="66"/>
      <w:bookmarkEnd w:id="67"/>
      <w:bookmarkEnd w:id="68"/>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政府性基金预算拨款支出0万元。</w:t>
      </w:r>
    </w:p>
    <w:p>
      <w:pPr>
        <w:numPr>
          <w:ilvl w:val="0"/>
          <w:numId w:val="3"/>
        </w:numPr>
        <w:spacing w:line="600" w:lineRule="exact"/>
        <w:ind w:firstLine="640"/>
        <w:outlineLvl w:val="1"/>
        <w:rPr>
          <w:rStyle w:val="27"/>
          <w:rFonts w:ascii="黑体" w:hAnsi="黑体" w:eastAsia="黑体"/>
          <w:b w:val="0"/>
          <w:color w:val="auto"/>
          <w:highlight w:val="none"/>
        </w:rPr>
      </w:pPr>
      <w:bookmarkStart w:id="69" w:name="_Toc15396611"/>
      <w:bookmarkStart w:id="70" w:name="_Toc57146375"/>
      <w:bookmarkStart w:id="71" w:name="_Toc15377219"/>
      <w:r>
        <w:rPr>
          <w:rStyle w:val="27"/>
          <w:rFonts w:hint="eastAsia" w:ascii="黑体" w:hAnsi="黑体" w:eastAsia="黑体"/>
          <w:b w:val="0"/>
          <w:color w:val="auto"/>
          <w:highlight w:val="none"/>
        </w:rPr>
        <w:t>国有资本经营预算支出决算情况说明</w:t>
      </w:r>
      <w:bookmarkEnd w:id="69"/>
      <w:bookmarkEnd w:id="70"/>
      <w:bookmarkEnd w:id="71"/>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国有资本经营预算拨款支出0万元。</w:t>
      </w:r>
    </w:p>
    <w:p>
      <w:pPr>
        <w:spacing w:line="600" w:lineRule="exact"/>
        <w:ind w:firstLine="800" w:firstLineChars="250"/>
        <w:outlineLvl w:val="1"/>
        <w:rPr>
          <w:rStyle w:val="27"/>
          <w:rFonts w:ascii="黑体" w:hAnsi="黑体" w:eastAsia="黑体"/>
          <w:color w:val="auto"/>
          <w:highlight w:val="none"/>
        </w:rPr>
      </w:pPr>
      <w:bookmarkStart w:id="72" w:name="_Toc15396612"/>
      <w:bookmarkStart w:id="73" w:name="_Toc57146376"/>
      <w:bookmarkStart w:id="74" w:name="_Toc15377221"/>
      <w:r>
        <w:rPr>
          <w:rFonts w:hint="eastAsia" w:ascii="黑体" w:hAnsi="黑体" w:eastAsia="黑体"/>
          <w:color w:val="auto"/>
          <w:sz w:val="32"/>
          <w:szCs w:val="32"/>
          <w:highlight w:val="none"/>
        </w:rPr>
        <w:t>十</w:t>
      </w:r>
      <w:r>
        <w:rPr>
          <w:rStyle w:val="27"/>
          <w:rFonts w:hint="eastAsia" w:ascii="黑体" w:hAnsi="黑体" w:eastAsia="黑体"/>
          <w:color w:val="auto"/>
          <w:highlight w:val="none"/>
        </w:rPr>
        <w:t>、</w:t>
      </w:r>
      <w:r>
        <w:rPr>
          <w:rStyle w:val="27"/>
          <w:rFonts w:hint="eastAsia" w:ascii="黑体" w:hAnsi="黑体" w:eastAsia="黑体"/>
          <w:b w:val="0"/>
          <w:color w:val="auto"/>
          <w:highlight w:val="none"/>
        </w:rPr>
        <w:t>其他重要事项的情况说明</w:t>
      </w:r>
      <w:bookmarkEnd w:id="72"/>
      <w:bookmarkEnd w:id="73"/>
      <w:bookmarkEnd w:id="74"/>
    </w:p>
    <w:p>
      <w:pPr>
        <w:spacing w:line="600" w:lineRule="exact"/>
        <w:ind w:firstLine="643" w:firstLineChars="200"/>
        <w:outlineLvl w:val="2"/>
        <w:rPr>
          <w:rFonts w:ascii="仿宋" w:hAnsi="仿宋" w:eastAsia="仿宋"/>
          <w:color w:val="auto"/>
          <w:sz w:val="32"/>
          <w:szCs w:val="32"/>
          <w:highlight w:val="none"/>
        </w:rPr>
      </w:pPr>
      <w:bookmarkStart w:id="75" w:name="_Toc15377222"/>
      <w:bookmarkStart w:id="76" w:name="_Toc57146377"/>
      <w:r>
        <w:rPr>
          <w:rFonts w:hint="eastAsia" w:ascii="仿宋" w:hAnsi="仿宋" w:eastAsia="仿宋"/>
          <w:b/>
          <w:color w:val="auto"/>
          <w:sz w:val="32"/>
          <w:szCs w:val="32"/>
          <w:highlight w:val="none"/>
        </w:rPr>
        <w:t>（一）机关运行经费支出情况</w:t>
      </w:r>
      <w:bookmarkEnd w:id="75"/>
      <w:bookmarkEnd w:id="76"/>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，机关运行经费支出</w:t>
      </w:r>
      <w:r>
        <w:rPr>
          <w:rFonts w:hint="eastAsia" w:ascii="仿宋_GB2312" w:hAnsi="仿宋_GB2312" w:eastAsia="仿宋_GB2312" w:cs="仿宋_GB2312"/>
          <w:color w:val="auto"/>
          <w:sz w:val="32"/>
          <w:szCs w:val="32"/>
          <w:highlight w:val="none"/>
          <w:shd w:val="clear" w:color="auto" w:fill="FFFFFF"/>
          <w:lang w:val="en-US" w:eastAsia="zh-CN"/>
        </w:rPr>
        <w:t>14.3</w:t>
      </w:r>
      <w:r>
        <w:rPr>
          <w:rFonts w:hint="eastAsia" w:ascii="仿宋_GB2312" w:hAnsi="仿宋_GB2312" w:eastAsia="仿宋_GB2312" w:cs="仿宋_GB2312"/>
          <w:color w:val="auto"/>
          <w:sz w:val="32"/>
          <w:szCs w:val="32"/>
          <w:highlight w:val="none"/>
          <w:shd w:val="clear" w:color="auto" w:fill="FFFFFF"/>
        </w:rPr>
        <w:t>万元，比</w:t>
      </w:r>
      <w:r>
        <w:rPr>
          <w:rFonts w:hint="eastAsia" w:ascii="仿宋_GB2312" w:hAnsi="仿宋_GB2312" w:eastAsia="仿宋_GB2312" w:cs="仿宋_GB2312"/>
          <w:color w:val="auto"/>
          <w:sz w:val="32"/>
          <w:szCs w:val="32"/>
          <w:highlight w:val="none"/>
          <w:shd w:val="clear" w:color="auto" w:fill="FFFFFF"/>
          <w:lang w:val="en-US" w:eastAsia="zh-CN"/>
        </w:rPr>
        <w:t>2020</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增加</w:t>
      </w:r>
      <w:r>
        <w:rPr>
          <w:rFonts w:hint="eastAsia" w:ascii="仿宋_GB2312" w:hAnsi="仿宋_GB2312" w:eastAsia="仿宋_GB2312" w:cs="仿宋_GB2312"/>
          <w:color w:val="auto"/>
          <w:sz w:val="32"/>
          <w:szCs w:val="32"/>
          <w:highlight w:val="none"/>
          <w:shd w:val="clear" w:color="auto" w:fill="FFFFFF"/>
          <w:lang w:val="en-US" w:eastAsia="zh-CN"/>
        </w:rPr>
        <w:t>7</w:t>
      </w:r>
      <w:r>
        <w:rPr>
          <w:rFonts w:hint="eastAsia" w:ascii="仿宋_GB2312" w:hAnsi="仿宋_GB2312" w:eastAsia="仿宋_GB2312" w:cs="仿宋_GB2312"/>
          <w:color w:val="auto"/>
          <w:sz w:val="32"/>
          <w:szCs w:val="32"/>
          <w:highlight w:val="none"/>
          <w:shd w:val="clear" w:color="auto" w:fill="FFFFFF"/>
        </w:rPr>
        <w:t>万元，增长</w:t>
      </w:r>
      <w:r>
        <w:rPr>
          <w:rFonts w:hint="eastAsia" w:ascii="仿宋_GB2312" w:hAnsi="仿宋_GB2312" w:eastAsia="仿宋_GB2312" w:cs="仿宋_GB2312"/>
          <w:color w:val="auto"/>
          <w:sz w:val="32"/>
          <w:szCs w:val="32"/>
          <w:highlight w:val="none"/>
          <w:shd w:val="clear" w:color="auto" w:fill="FFFFFF"/>
          <w:lang w:val="en-US" w:eastAsia="zh-CN"/>
        </w:rPr>
        <w:t>48</w:t>
      </w:r>
      <w:r>
        <w:rPr>
          <w:rFonts w:hint="eastAsia" w:ascii="仿宋_GB2312" w:hAnsi="仿宋_GB2312" w:eastAsia="仿宋_GB2312" w:cs="仿宋_GB2312"/>
          <w:color w:val="auto"/>
          <w:sz w:val="32"/>
          <w:szCs w:val="32"/>
          <w:highlight w:val="none"/>
          <w:shd w:val="clear" w:color="auto" w:fill="FFFFFF"/>
        </w:rPr>
        <w:t>%。主要原因是今年为公务用车时间增加，导致公务用车维修维护费用增加。</w:t>
      </w:r>
    </w:p>
    <w:p>
      <w:pPr>
        <w:autoSpaceDE w:val="0"/>
        <w:autoSpaceDN w:val="0"/>
        <w:adjustRightInd w:val="0"/>
        <w:spacing w:line="600" w:lineRule="exact"/>
        <w:ind w:firstLine="643" w:firstLineChars="200"/>
        <w:jc w:val="left"/>
        <w:outlineLvl w:val="2"/>
        <w:rPr>
          <w:rFonts w:ascii="仿宋" w:hAnsi="仿宋" w:eastAsia="仿宋"/>
          <w:b/>
          <w:color w:val="auto"/>
          <w:sz w:val="32"/>
          <w:szCs w:val="32"/>
          <w:highlight w:val="none"/>
        </w:rPr>
      </w:pPr>
      <w:bookmarkStart w:id="77" w:name="_Toc15377223"/>
      <w:bookmarkStart w:id="78" w:name="_Toc57146378"/>
      <w:r>
        <w:rPr>
          <w:rFonts w:hint="eastAsia" w:ascii="仿宋" w:hAnsi="仿宋" w:eastAsia="仿宋"/>
          <w:b/>
          <w:color w:val="auto"/>
          <w:sz w:val="32"/>
          <w:szCs w:val="32"/>
          <w:highlight w:val="none"/>
        </w:rPr>
        <w:t>（二）政府采购支出情况</w:t>
      </w:r>
      <w:bookmarkEnd w:id="77"/>
      <w:bookmarkEnd w:id="78"/>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政府采购支出总额0万元。</w:t>
      </w:r>
    </w:p>
    <w:p>
      <w:pPr>
        <w:autoSpaceDE w:val="0"/>
        <w:autoSpaceDN w:val="0"/>
        <w:adjustRightInd w:val="0"/>
        <w:spacing w:line="600" w:lineRule="exact"/>
        <w:ind w:firstLine="643" w:firstLineChars="200"/>
        <w:jc w:val="left"/>
        <w:outlineLvl w:val="2"/>
        <w:rPr>
          <w:rFonts w:ascii="仿宋" w:hAnsi="仿宋" w:eastAsia="仿宋"/>
          <w:b/>
          <w:color w:val="auto"/>
          <w:sz w:val="32"/>
          <w:szCs w:val="32"/>
          <w:highlight w:val="none"/>
        </w:rPr>
      </w:pPr>
      <w:bookmarkStart w:id="79" w:name="_Toc15377224"/>
      <w:bookmarkStart w:id="80" w:name="_Toc57146379"/>
      <w:r>
        <w:rPr>
          <w:rFonts w:hint="eastAsia" w:ascii="仿宋" w:hAnsi="仿宋" w:eastAsia="仿宋"/>
          <w:b/>
          <w:color w:val="auto"/>
          <w:sz w:val="32"/>
          <w:szCs w:val="32"/>
          <w:highlight w:val="none"/>
        </w:rPr>
        <w:t>（三）国有资产占有使用情况</w:t>
      </w:r>
      <w:bookmarkEnd w:id="79"/>
      <w:bookmarkEnd w:id="80"/>
    </w:p>
    <w:p>
      <w:pPr>
        <w:spacing w:line="600" w:lineRule="exact"/>
        <w:ind w:firstLine="640" w:firstLineChars="20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截至</w:t>
      </w: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12月31日，邛溪镇共有车辆2辆，其中：主要领导干部用车0辆、一般公务用车2辆，主要是用于日常出差、下村开展工作等方面使用。</w:t>
      </w:r>
    </w:p>
    <w:p>
      <w:pPr>
        <w:autoSpaceDE w:val="0"/>
        <w:autoSpaceDN w:val="0"/>
        <w:adjustRightInd w:val="0"/>
        <w:spacing w:line="600" w:lineRule="exact"/>
        <w:ind w:firstLine="643" w:firstLineChars="200"/>
        <w:jc w:val="left"/>
        <w:outlineLvl w:val="2"/>
        <w:rPr>
          <w:rFonts w:ascii="仿宋" w:hAnsi="仿宋" w:eastAsia="仿宋"/>
          <w:b/>
          <w:color w:val="auto"/>
          <w:sz w:val="32"/>
          <w:szCs w:val="32"/>
          <w:highlight w:val="none"/>
        </w:rPr>
      </w:pPr>
      <w:bookmarkStart w:id="81" w:name="_Toc57146380"/>
      <w:r>
        <w:rPr>
          <w:rFonts w:hint="eastAsia" w:ascii="仿宋" w:hAnsi="仿宋" w:eastAsia="仿宋"/>
          <w:b/>
          <w:color w:val="auto"/>
          <w:sz w:val="32"/>
          <w:szCs w:val="32"/>
          <w:highlight w:val="none"/>
        </w:rPr>
        <w:t>（四）预算绩效管理情况。</w:t>
      </w:r>
      <w:bookmarkEnd w:id="81"/>
    </w:p>
    <w:p>
      <w:pPr>
        <w:spacing w:line="600" w:lineRule="exact"/>
        <w:ind w:firstLine="640" w:firstLineChars="20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根据预算绩效管理要求，本部门在年初预算编制阶段，组织对</w:t>
      </w:r>
      <w:r>
        <w:rPr>
          <w:rFonts w:hint="eastAsia" w:ascii="仿宋_GB2312" w:hAnsi="宋体" w:eastAsia="仿宋_GB2312" w:cs="仿宋_GB2312"/>
          <w:color w:val="auto"/>
          <w:kern w:val="2"/>
          <w:sz w:val="32"/>
          <w:szCs w:val="24"/>
          <w:highlight w:val="none"/>
          <w:lang w:val="en-US" w:eastAsia="zh-CN" w:bidi="ar"/>
        </w:rPr>
        <w:t>邛溪镇牧业生产点道路（草原森林防火通道）维修</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宋体" w:eastAsia="仿宋_GB2312" w:cs="仿宋_GB2312"/>
          <w:color w:val="auto"/>
          <w:kern w:val="2"/>
          <w:sz w:val="32"/>
          <w:szCs w:val="24"/>
          <w:highlight w:val="none"/>
          <w:lang w:val="en-US" w:eastAsia="zh-CN" w:bidi="ar"/>
        </w:rPr>
        <w:t>邛溪镇玛萨村、达格龙村乡村振兴游步道建设</w:t>
      </w:r>
      <w:r>
        <w:rPr>
          <w:rFonts w:hint="eastAsia" w:ascii="仿宋_GB2312" w:hAnsi="仿宋_GB2312" w:eastAsia="仿宋_GB2312" w:cs="仿宋_GB2312"/>
          <w:color w:val="auto"/>
          <w:sz w:val="32"/>
          <w:szCs w:val="32"/>
          <w:highlight w:val="none"/>
          <w:shd w:val="clear" w:color="auto" w:fill="FFFFFF"/>
        </w:rPr>
        <w:t>、</w:t>
      </w:r>
      <w:r>
        <w:rPr>
          <w:rFonts w:hint="eastAsia" w:ascii="仿宋" w:hAnsi="仿宋" w:eastAsia="仿宋" w:cs="仿宋"/>
          <w:b w:val="0"/>
          <w:bCs w:val="0"/>
          <w:color w:val="auto"/>
          <w:sz w:val="32"/>
          <w:szCs w:val="32"/>
          <w:highlight w:val="none"/>
          <w:lang w:val="en-US" w:eastAsia="zh-CN"/>
        </w:rPr>
        <w:t>热坤村活动中心设施设备采购、</w:t>
      </w:r>
      <w:r>
        <w:rPr>
          <w:rFonts w:hint="eastAsia" w:ascii="仿宋_GB2312" w:hAnsi="宋体" w:eastAsia="仿宋_GB2312" w:cs="仿宋_GB2312"/>
          <w:color w:val="auto"/>
          <w:kern w:val="2"/>
          <w:sz w:val="32"/>
          <w:szCs w:val="24"/>
          <w:highlight w:val="none"/>
          <w:lang w:val="en-US" w:eastAsia="zh-CN" w:bidi="ar"/>
        </w:rPr>
        <w:t>邛溪镇热坤村栈道建设及基础设施提升项目、邛溪镇热坤村综合活动中心建设，</w:t>
      </w:r>
      <w:r>
        <w:rPr>
          <w:rFonts w:hint="eastAsia" w:ascii="仿宋_GB2312" w:hAnsi="仿宋_GB2312" w:eastAsia="仿宋_GB2312" w:cs="仿宋_GB2312"/>
          <w:color w:val="auto"/>
          <w:sz w:val="32"/>
          <w:szCs w:val="32"/>
          <w:highlight w:val="none"/>
          <w:shd w:val="clear" w:color="auto" w:fill="FFFFFF"/>
        </w:rPr>
        <w:t>开展了预算事前绩效评估，对5个项目编制了绩效目标，预算执行过程中，选取5个项目开展绩效监控，年终执行完毕后，对5个项目开展了绩效目标完成情况自评。</w:t>
      </w:r>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本部门按要求对</w:t>
      </w: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部门整体支出开展绩效自评，从评价情况来看完成效果较好。本部门还自行组织了1个项目支出绩效评价，从评价情况来看完成情况较好。</w:t>
      </w:r>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1.项目绩效目标完成情况。</w:t>
      </w:r>
      <w:r>
        <w:rPr>
          <w:rFonts w:hint="eastAsia" w:ascii="仿宋_GB2312" w:hAnsi="仿宋_GB2312" w:eastAsia="仿宋_GB2312" w:cs="仿宋_GB2312"/>
          <w:color w:val="auto"/>
          <w:sz w:val="32"/>
          <w:szCs w:val="32"/>
          <w:highlight w:val="none"/>
          <w:shd w:val="clear" w:color="auto" w:fill="FFFFFF"/>
        </w:rPr>
        <w:br w:type="textWrapping"/>
      </w:r>
      <w:r>
        <w:rPr>
          <w:rFonts w:hint="eastAsia" w:ascii="仿宋_GB2312" w:hAnsi="仿宋_GB2312" w:eastAsia="仿宋_GB2312" w:cs="仿宋_GB2312"/>
          <w:color w:val="auto"/>
          <w:sz w:val="32"/>
          <w:szCs w:val="32"/>
          <w:highlight w:val="none"/>
          <w:shd w:val="clear" w:color="auto" w:fill="FFFFFF"/>
        </w:rPr>
        <w:t xml:space="preserve">    本部门在</w:t>
      </w: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度部门决算中反映</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宋体" w:eastAsia="仿宋_GB2312" w:cs="仿宋_GB2312"/>
          <w:color w:val="auto"/>
          <w:kern w:val="2"/>
          <w:sz w:val="32"/>
          <w:szCs w:val="24"/>
          <w:highlight w:val="none"/>
          <w:lang w:val="en-US" w:eastAsia="zh-CN" w:bidi="ar"/>
        </w:rPr>
        <w:t>邛溪镇牧业生产点道路（草原森林防火通道）维修</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宋体" w:eastAsia="仿宋_GB2312" w:cs="仿宋_GB2312"/>
          <w:color w:val="auto"/>
          <w:kern w:val="2"/>
          <w:sz w:val="32"/>
          <w:szCs w:val="24"/>
          <w:highlight w:val="none"/>
          <w:lang w:val="en-US" w:eastAsia="zh-CN" w:bidi="ar"/>
        </w:rPr>
        <w:t>邛溪镇玛萨村、达格龙村乡村振兴游步道建设</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 w:hAnsi="仿宋" w:eastAsia="仿宋" w:cs="仿宋"/>
          <w:b w:val="0"/>
          <w:bCs w:val="0"/>
          <w:color w:val="auto"/>
          <w:sz w:val="32"/>
          <w:szCs w:val="32"/>
          <w:highlight w:val="none"/>
          <w:lang w:val="en-US" w:eastAsia="zh-CN"/>
        </w:rPr>
        <w:t>热坤村活动中心设施设备采购</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 w:hAnsi="仿宋" w:eastAsia="仿宋" w:cs="仿宋"/>
          <w:b w:val="0"/>
          <w:bCs w:val="0"/>
          <w:color w:val="auto"/>
          <w:sz w:val="32"/>
          <w:szCs w:val="32"/>
          <w:highlight w:val="none"/>
          <w:lang w:val="en-US" w:eastAsia="zh-CN"/>
        </w:rPr>
        <w:t>、“</w:t>
      </w:r>
      <w:r>
        <w:rPr>
          <w:rFonts w:hint="eastAsia" w:ascii="仿宋_GB2312" w:hAnsi="宋体" w:eastAsia="仿宋_GB2312" w:cs="仿宋_GB2312"/>
          <w:color w:val="auto"/>
          <w:kern w:val="2"/>
          <w:sz w:val="32"/>
          <w:szCs w:val="24"/>
          <w:highlight w:val="none"/>
          <w:lang w:val="en-US" w:eastAsia="zh-CN" w:bidi="ar"/>
        </w:rPr>
        <w:t>邛溪镇热坤村栈道建设及基础设施提升项目</w:t>
      </w:r>
      <w:r>
        <w:rPr>
          <w:rFonts w:hint="eastAsia" w:ascii="仿宋" w:hAnsi="仿宋" w:eastAsia="仿宋" w:cs="仿宋"/>
          <w:b w:val="0"/>
          <w:bCs w:val="0"/>
          <w:color w:val="auto"/>
          <w:sz w:val="32"/>
          <w:szCs w:val="32"/>
          <w:highlight w:val="none"/>
          <w:lang w:val="en-US" w:eastAsia="zh-CN"/>
        </w:rPr>
        <w:t>”</w:t>
      </w:r>
      <w:r>
        <w:rPr>
          <w:rFonts w:hint="eastAsia" w:ascii="仿宋_GB2312" w:hAnsi="宋体" w:eastAsia="仿宋_GB2312" w:cs="仿宋_GB2312"/>
          <w:color w:val="auto"/>
          <w:kern w:val="2"/>
          <w:sz w:val="32"/>
          <w:szCs w:val="24"/>
          <w:highlight w:val="none"/>
          <w:lang w:val="en-US" w:eastAsia="zh-CN" w:bidi="ar"/>
        </w:rPr>
        <w:t>、“邛溪镇热坤村综合活动中心建设”</w:t>
      </w:r>
      <w:r>
        <w:rPr>
          <w:rFonts w:hint="eastAsia" w:ascii="仿宋_GB2312" w:hAnsi="仿宋_GB2312" w:eastAsia="仿宋_GB2312" w:cs="仿宋_GB2312"/>
          <w:color w:val="auto"/>
          <w:sz w:val="32"/>
          <w:szCs w:val="32"/>
          <w:highlight w:val="none"/>
          <w:shd w:val="clear" w:color="auto" w:fill="FFFFFF"/>
        </w:rPr>
        <w:t>等5个项目绩效目标实际完成情况。</w:t>
      </w:r>
    </w:p>
    <w:p>
      <w:pPr>
        <w:spacing w:line="600" w:lineRule="exact"/>
        <w:ind w:firstLine="640"/>
        <w:rPr>
          <w:rFonts w:hint="eastAsia" w:ascii="仿宋_GB2312" w:hAnsi="仿宋_GB2312" w:eastAsia="仿宋_GB2312" w:cs="仿宋_GB2312"/>
          <w:color w:val="auto"/>
          <w:sz w:val="32"/>
          <w:szCs w:val="32"/>
          <w:highlight w:val="none"/>
          <w:shd w:val="clear" w:color="auto" w:fill="FFFFFF"/>
        </w:rPr>
      </w:pPr>
    </w:p>
    <w:p>
      <w:pPr>
        <w:pStyle w:val="2"/>
        <w:rPr>
          <w:rFonts w:hint="eastAsia" w:ascii="仿宋_GB2312" w:hAnsi="仿宋_GB2312" w:eastAsia="仿宋_GB2312" w:cs="仿宋_GB2312"/>
          <w:color w:val="auto"/>
          <w:sz w:val="32"/>
          <w:szCs w:val="32"/>
          <w:highlight w:val="none"/>
          <w:shd w:val="clear" w:color="auto" w:fill="FFFFFF"/>
        </w:rPr>
      </w:pPr>
    </w:p>
    <w:p>
      <w:pPr>
        <w:pStyle w:val="2"/>
        <w:rPr>
          <w:rFonts w:hint="eastAsia" w:ascii="仿宋_GB2312" w:hAnsi="仿宋_GB2312" w:eastAsia="仿宋_GB2312" w:cs="仿宋_GB2312"/>
          <w:color w:val="auto"/>
          <w:sz w:val="32"/>
          <w:szCs w:val="32"/>
          <w:highlight w:val="none"/>
          <w:shd w:val="clear" w:color="auto" w:fill="FFFFFF"/>
        </w:rPr>
      </w:pPr>
    </w:p>
    <w:p>
      <w:pPr>
        <w:pStyle w:val="2"/>
        <w:rPr>
          <w:rFonts w:hint="eastAsia" w:ascii="仿宋_GB2312" w:hAnsi="仿宋_GB2312" w:eastAsia="仿宋_GB2312" w:cs="仿宋_GB2312"/>
          <w:color w:val="auto"/>
          <w:sz w:val="32"/>
          <w:szCs w:val="32"/>
          <w:highlight w:val="none"/>
          <w:shd w:val="clear" w:color="auto" w:fill="FFFFFF"/>
        </w:rPr>
      </w:pPr>
    </w:p>
    <w:p>
      <w:pPr>
        <w:pStyle w:val="2"/>
        <w:rPr>
          <w:rFonts w:hint="eastAsia" w:ascii="仿宋_GB2312" w:hAnsi="仿宋_GB2312" w:eastAsia="仿宋_GB2312" w:cs="仿宋_GB2312"/>
          <w:color w:val="auto"/>
          <w:sz w:val="32"/>
          <w:szCs w:val="32"/>
          <w:highlight w:val="none"/>
          <w:shd w:val="clear" w:color="auto" w:fill="FFFFFF"/>
        </w:rPr>
      </w:pPr>
    </w:p>
    <w:p>
      <w:pPr>
        <w:spacing w:line="600" w:lineRule="exact"/>
        <w:ind w:firstLine="640"/>
        <w:rPr>
          <w:rFonts w:hint="eastAsia" w:ascii="仿宋_GB2312" w:hAnsi="仿宋_GB2312" w:eastAsia="仿宋_GB2312" w:cs="仿宋_GB2312"/>
          <w:color w:val="auto"/>
          <w:sz w:val="32"/>
          <w:szCs w:val="32"/>
          <w:highlight w:val="none"/>
          <w:shd w:val="clear" w:color="auto" w:fill="FFFFFF"/>
        </w:rPr>
      </w:pPr>
    </w:p>
    <w:p>
      <w:pPr>
        <w:spacing w:line="600" w:lineRule="exact"/>
        <w:ind w:firstLine="640"/>
        <w:rPr>
          <w:rFonts w:hint="eastAsia" w:ascii="仿宋_GB2312" w:hAnsi="仿宋_GB2312" w:eastAsia="仿宋_GB2312" w:cs="仿宋_GB2312"/>
          <w:color w:val="auto"/>
          <w:sz w:val="32"/>
          <w:szCs w:val="32"/>
          <w:highlight w:val="none"/>
          <w:shd w:val="clear" w:color="auto" w:fill="FFFFFF"/>
        </w:rPr>
      </w:pPr>
    </w:p>
    <w:p>
      <w:pPr>
        <w:spacing w:line="600" w:lineRule="exact"/>
        <w:ind w:firstLine="640"/>
        <w:rPr>
          <w:rFonts w:hint="eastAsia" w:ascii="仿宋_GB2312" w:hAnsi="仿宋_GB2312" w:eastAsia="仿宋_GB2312" w:cs="仿宋_GB2312"/>
          <w:color w:val="auto"/>
          <w:sz w:val="32"/>
          <w:szCs w:val="32"/>
          <w:highlight w:val="none"/>
          <w:shd w:val="clear" w:color="auto" w:fill="FFFFFF"/>
        </w:rPr>
      </w:pPr>
    </w:p>
    <w:p>
      <w:pPr>
        <w:spacing w:line="600" w:lineRule="exact"/>
        <w:ind w:firstLine="640"/>
        <w:rPr>
          <w:rFonts w:hint="eastAsia" w:ascii="仿宋_GB2312" w:hAnsi="仿宋_GB2312" w:eastAsia="仿宋_GB2312" w:cs="仿宋_GB2312"/>
          <w:color w:val="auto"/>
          <w:sz w:val="32"/>
          <w:szCs w:val="32"/>
          <w:highlight w:val="none"/>
          <w:shd w:val="clear" w:color="auto" w:fill="FFFFFF"/>
        </w:rPr>
      </w:pPr>
    </w:p>
    <w:p>
      <w:pPr>
        <w:spacing w:line="600" w:lineRule="exact"/>
        <w:ind w:firstLine="640"/>
        <w:rPr>
          <w:rFonts w:hint="eastAsia" w:ascii="仿宋_GB2312" w:hAnsi="仿宋_GB2312" w:eastAsia="仿宋_GB2312" w:cs="仿宋_GB2312"/>
          <w:color w:val="auto"/>
          <w:sz w:val="32"/>
          <w:szCs w:val="32"/>
          <w:highlight w:val="none"/>
          <w:shd w:val="clear" w:color="auto" w:fill="FFFFFF"/>
        </w:rPr>
      </w:pPr>
    </w:p>
    <w:p>
      <w:pPr>
        <w:keepNext w:val="0"/>
        <w:keepLines w:val="0"/>
        <w:widowControl w:val="0"/>
        <w:suppressLineNumbers w:val="0"/>
        <w:adjustRightInd w:val="0"/>
        <w:snapToGrid w:val="0"/>
        <w:spacing w:before="0" w:beforeAutospacing="0" w:after="0" w:afterAutospacing="0" w:line="580" w:lineRule="exact"/>
        <w:ind w:left="0" w:right="0" w:firstLine="720"/>
        <w:jc w:val="both"/>
        <w:rPr>
          <w:color w:val="auto"/>
          <w:highlight w:val="none"/>
        </w:rPr>
      </w:pPr>
      <w:r>
        <w:rPr>
          <w:rFonts w:hint="eastAsia" w:ascii="仿宋_GB2312" w:hAnsi="仿宋_GB2312" w:eastAsia="仿宋_GB2312" w:cs="仿宋_GB2312"/>
          <w:color w:val="auto"/>
          <w:sz w:val="32"/>
          <w:szCs w:val="32"/>
          <w:highlight w:val="none"/>
          <w:shd w:val="clear" w:color="auto" w:fill="FFFFFF"/>
        </w:rPr>
        <w:t>（1）</w:t>
      </w:r>
      <w:r>
        <w:rPr>
          <w:rFonts w:hint="eastAsia" w:ascii="仿宋_GB2312" w:hAnsi="宋体" w:eastAsia="仿宋_GB2312" w:cs="仿宋_GB2312"/>
          <w:color w:val="auto"/>
          <w:kern w:val="2"/>
          <w:sz w:val="32"/>
          <w:szCs w:val="24"/>
          <w:highlight w:val="none"/>
          <w:lang w:val="en-US" w:eastAsia="zh-CN" w:bidi="ar"/>
        </w:rPr>
        <w:t>邛溪镇牧业生产点道路（草原森林防火通道）维修项目</w:t>
      </w:r>
      <w:r>
        <w:rPr>
          <w:rFonts w:hint="eastAsia" w:ascii="仿宋_GB2312" w:hAnsi="仿宋_GB2312" w:eastAsia="仿宋_GB2312" w:cs="仿宋_GB2312"/>
          <w:color w:val="auto"/>
          <w:sz w:val="32"/>
          <w:szCs w:val="32"/>
          <w:highlight w:val="none"/>
          <w:shd w:val="clear" w:color="auto" w:fill="FFFFFF"/>
        </w:rPr>
        <w:t>绩效目标完成情况综述。</w:t>
      </w:r>
      <w:r>
        <w:rPr>
          <w:rFonts w:hint="eastAsia" w:ascii="仿宋_GB2312" w:hAnsi="宋体" w:eastAsia="仿宋_GB2312" w:cs="仿宋_GB2312"/>
          <w:color w:val="auto"/>
          <w:kern w:val="2"/>
          <w:sz w:val="32"/>
          <w:szCs w:val="24"/>
          <w:highlight w:val="none"/>
          <w:lang w:val="zh-CN" w:eastAsia="zh-CN" w:bidi="ar"/>
        </w:rPr>
        <w:t>下达资金</w:t>
      </w:r>
      <w:r>
        <w:rPr>
          <w:rFonts w:hint="eastAsia" w:ascii="仿宋_GB2312" w:hAnsi="宋体" w:eastAsia="仿宋_GB2312" w:cs="仿宋_GB2312"/>
          <w:color w:val="auto"/>
          <w:kern w:val="2"/>
          <w:sz w:val="32"/>
          <w:szCs w:val="24"/>
          <w:highlight w:val="none"/>
          <w:lang w:val="en-US" w:eastAsia="zh-CN" w:bidi="ar"/>
        </w:rPr>
        <w:t>15万元。</w:t>
      </w:r>
      <w:r>
        <w:rPr>
          <w:rFonts w:hint="eastAsia" w:ascii="仿宋_GB2312" w:hAnsi="仿宋_GB2312" w:eastAsia="仿宋_GB2312" w:cs="仿宋_GB2312"/>
          <w:color w:val="auto"/>
          <w:sz w:val="32"/>
          <w:szCs w:val="32"/>
          <w:highlight w:val="none"/>
          <w:shd w:val="clear" w:color="auto" w:fill="FFFFFF"/>
        </w:rPr>
        <w:t>通过项目实施，</w:t>
      </w:r>
      <w:r>
        <w:rPr>
          <w:rFonts w:hint="eastAsia" w:ascii="仿宋_GB2312" w:hAnsi="宋体" w:eastAsia="仿宋_GB2312" w:cs="仿宋_GB2312"/>
          <w:color w:val="auto"/>
          <w:kern w:val="2"/>
          <w:sz w:val="32"/>
          <w:szCs w:val="24"/>
          <w:highlight w:val="none"/>
          <w:lang w:val="en-US" w:eastAsia="zh-CN" w:bidi="ar"/>
        </w:rPr>
        <w:t>用于邛溪镇牧业生产点道路（草原森林防火通道）维修，</w:t>
      </w:r>
      <w:r>
        <w:rPr>
          <w:rFonts w:hint="eastAsia" w:ascii="仿宋_GB2312" w:hAnsi="宋体" w:eastAsia="仿宋_GB2312" w:cs="仿宋_GB2312"/>
          <w:color w:val="auto"/>
          <w:kern w:val="2"/>
          <w:sz w:val="32"/>
          <w:szCs w:val="24"/>
          <w:highlight w:val="none"/>
          <w:lang w:val="zh-CN" w:eastAsia="zh-CN" w:bidi="ar"/>
        </w:rPr>
        <w:t>符合资金管理办法等相关规定。</w:t>
      </w:r>
    </w:p>
    <w:tbl>
      <w:tblPr>
        <w:tblStyle w:val="14"/>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703"/>
        <w:gridCol w:w="2079"/>
        <w:gridCol w:w="2392"/>
        <w:gridCol w:w="2394"/>
        <w:gridCol w:w="2392"/>
      </w:tblGrid>
      <w:tr>
        <w:tblPrEx>
          <w:tblCellMar>
            <w:top w:w="0" w:type="dxa"/>
            <w:left w:w="0" w:type="dxa"/>
            <w:bottom w:w="0" w:type="dxa"/>
            <w:right w:w="0" w:type="dxa"/>
          </w:tblCellMar>
        </w:tblPrEx>
        <w:trPr>
          <w:trHeight w:val="1034" w:hRule="atLeast"/>
        </w:trPr>
        <w:tc>
          <w:tcPr>
            <w:tcW w:w="9960" w:type="dxa"/>
            <w:gridSpan w:val="5"/>
            <w:tcMar>
              <w:top w:w="15" w:type="dxa"/>
              <w:left w:w="15" w:type="dxa"/>
              <w:bottom w:w="0" w:type="dxa"/>
              <w:right w:w="15" w:type="dxa"/>
            </w:tcMar>
            <w:vAlign w:val="center"/>
          </w:tcPr>
          <w:p>
            <w:pPr>
              <w:pStyle w:val="25"/>
              <w:widowControl/>
              <w:ind w:left="4173" w:leftChars="1310" w:hanging="1422" w:hangingChars="395"/>
              <w:textAlignment w:val="center"/>
              <w:rPr>
                <w:rFonts w:ascii="宋体" w:hAnsi="宋体" w:cs="宋体"/>
                <w:color w:val="auto"/>
                <w:sz w:val="36"/>
                <w:szCs w:val="36"/>
                <w:highlight w:val="none"/>
              </w:rPr>
            </w:pPr>
            <w:r>
              <w:rPr>
                <w:rFonts w:hint="eastAsia" w:ascii="黑体" w:hAnsi="黑体" w:eastAsia="黑体" w:cs="宋体"/>
                <w:bCs/>
                <w:color w:val="auto"/>
                <w:kern w:val="0"/>
                <w:sz w:val="36"/>
                <w:szCs w:val="36"/>
                <w:highlight w:val="none"/>
              </w:rPr>
              <w:t>项目支出绩效目标完成情况表</w:t>
            </w:r>
            <w:r>
              <w:rPr>
                <w:rFonts w:hint="eastAsia" w:ascii="宋体" w:hAnsi="宋体" w:cs="宋体"/>
                <w:b/>
                <w:bCs/>
                <w:color w:val="auto"/>
                <w:kern w:val="0"/>
                <w:sz w:val="36"/>
                <w:szCs w:val="36"/>
                <w:highlight w:val="none"/>
              </w:rPr>
              <w:br w:type="textWrapping"/>
            </w:r>
            <w:r>
              <w:rPr>
                <w:rFonts w:hint="eastAsia" w:ascii="宋体" w:hAnsi="宋体" w:cs="宋体"/>
                <w:color w:val="auto"/>
                <w:kern w:val="0"/>
                <w:sz w:val="36"/>
                <w:szCs w:val="36"/>
                <w:highlight w:val="none"/>
              </w:rPr>
              <w:t>(20</w:t>
            </w:r>
            <w:r>
              <w:rPr>
                <w:rFonts w:hint="eastAsia" w:ascii="宋体" w:hAnsi="宋体" w:cs="宋体"/>
                <w:color w:val="auto"/>
                <w:kern w:val="0"/>
                <w:sz w:val="36"/>
                <w:szCs w:val="36"/>
                <w:highlight w:val="none"/>
                <w:lang w:val="en-US" w:eastAsia="zh-CN"/>
              </w:rPr>
              <w:t>21</w:t>
            </w:r>
            <w:r>
              <w:rPr>
                <w:rFonts w:hint="eastAsia" w:ascii="宋体" w:hAnsi="宋体" w:cs="宋体"/>
                <w:color w:val="auto"/>
                <w:kern w:val="0"/>
                <w:sz w:val="36"/>
                <w:szCs w:val="36"/>
                <w:highlight w:val="none"/>
              </w:rPr>
              <w:t>年度)</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邛溪镇牧业生产点道路（草原森林防火通道）维修</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红原县邛溪镇人民政府</w:t>
            </w: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预算执行情况(万元)</w:t>
            </w: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ind w:firstLine="960" w:firstLineChars="400"/>
              <w:jc w:val="both"/>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执行数: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276"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 xml:space="preserve">   15</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870"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年度目标完成情况</w:t>
            </w: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实际完成目标</w:t>
            </w:r>
          </w:p>
        </w:tc>
      </w:tr>
      <w:tr>
        <w:tblPrEx>
          <w:tblCellMar>
            <w:top w:w="0" w:type="dxa"/>
            <w:left w:w="0" w:type="dxa"/>
            <w:bottom w:w="0" w:type="dxa"/>
            <w:right w:w="0" w:type="dxa"/>
          </w:tblCellMar>
        </w:tblPrEx>
        <w:trPr>
          <w:trHeight w:val="1155"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sz w:val="24"/>
                <w:highlight w:val="none"/>
              </w:rPr>
              <w:t>该项目总投资</w:t>
            </w:r>
            <w:r>
              <w:rPr>
                <w:rFonts w:hint="eastAsia" w:ascii="宋体" w:hAnsi="宋体" w:cs="宋体"/>
                <w:color w:val="auto"/>
                <w:sz w:val="24"/>
                <w:highlight w:val="none"/>
                <w:lang w:val="en-US" w:eastAsia="zh-CN"/>
              </w:rPr>
              <w:t>15</w:t>
            </w:r>
            <w:r>
              <w:rPr>
                <w:rFonts w:hint="eastAsia" w:ascii="宋体" w:hAnsi="宋体" w:cs="宋体"/>
                <w:color w:val="auto"/>
                <w:sz w:val="24"/>
                <w:highlight w:val="none"/>
              </w:rPr>
              <w:t>万元</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sz w:val="24"/>
                <w:highlight w:val="none"/>
                <w:lang w:val="en-US" w:eastAsia="zh-CN"/>
              </w:rPr>
              <w:t>用于邛溪镇牧业生产点道路（草原森林防火通道）维修</w:t>
            </w:r>
          </w:p>
        </w:tc>
      </w:tr>
    </w:tbl>
    <w:tbl>
      <w:tblPr>
        <w:tblStyle w:val="14"/>
        <w:tblW w:w="9983" w:type="dxa"/>
        <w:tblInd w:w="-820" w:type="dxa"/>
        <w:tblLayout w:type="fixed"/>
        <w:tblCellMar>
          <w:top w:w="15" w:type="dxa"/>
          <w:left w:w="15" w:type="dxa"/>
          <w:bottom w:w="15" w:type="dxa"/>
          <w:right w:w="15" w:type="dxa"/>
        </w:tblCellMar>
      </w:tblPr>
      <w:tblGrid>
        <w:gridCol w:w="683"/>
        <w:gridCol w:w="983"/>
        <w:gridCol w:w="850"/>
        <w:gridCol w:w="1329"/>
        <w:gridCol w:w="1182"/>
        <w:gridCol w:w="1657"/>
        <w:gridCol w:w="1727"/>
        <w:gridCol w:w="1572"/>
      </w:tblGrid>
      <w:tr>
        <w:tblPrEx>
          <w:tblCellMar>
            <w:top w:w="15" w:type="dxa"/>
            <w:left w:w="15" w:type="dxa"/>
            <w:bottom w:w="15" w:type="dxa"/>
            <w:right w:w="15" w:type="dxa"/>
          </w:tblCellMar>
        </w:tblPrEx>
        <w:trPr>
          <w:trHeight w:val="624" w:hRule="atLeast"/>
        </w:trPr>
        <w:tc>
          <w:tcPr>
            <w:tcW w:w="68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auto"/>
                <w:sz w:val="24"/>
                <w:highlight w:val="none"/>
              </w:rPr>
            </w:pPr>
            <w:r>
              <w:rPr>
                <w:rFonts w:hint="eastAsia" w:ascii="仿宋_GB2312" w:hAnsi="宋体" w:eastAsia="仿宋_GB2312" w:cs="仿宋_GB2312"/>
                <w:color w:val="auto"/>
                <w:kern w:val="0"/>
                <w:sz w:val="24"/>
                <w:highlight w:val="none"/>
              </w:rPr>
              <w:t>绩效指标完成情况</w:t>
            </w:r>
          </w:p>
        </w:tc>
        <w:tc>
          <w:tcPr>
            <w:tcW w:w="983" w:type="dxa"/>
            <w:vMerge w:val="restart"/>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一级指标</w:t>
            </w:r>
          </w:p>
        </w:tc>
        <w:tc>
          <w:tcPr>
            <w:tcW w:w="850"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二级指标</w:t>
            </w: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both"/>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三级指标</w:t>
            </w:r>
          </w:p>
        </w:tc>
        <w:tc>
          <w:tcPr>
            <w:tcW w:w="2839"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指标评价内容</w:t>
            </w:r>
          </w:p>
        </w:tc>
        <w:tc>
          <w:tcPr>
            <w:tcW w:w="1727"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预期指标值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c>
          <w:tcPr>
            <w:tcW w:w="157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实际完成指标值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r>
      <w:tr>
        <w:tblPrEx>
          <w:tblCellMar>
            <w:top w:w="15" w:type="dxa"/>
            <w:left w:w="15" w:type="dxa"/>
            <w:bottom w:w="15" w:type="dxa"/>
            <w:right w:w="15" w:type="dxa"/>
          </w:tblCellMar>
        </w:tblPrEx>
        <w:trPr>
          <w:trHeight w:val="624"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839"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727"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312"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839"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727"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ind w:firstLine="1400" w:firstLineChars="700"/>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项目决策</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目标内容</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项目预期提供的产品、服务、效益或其他目标明确</w:t>
            </w:r>
            <w:r>
              <w:rPr>
                <w:rFonts w:ascii="宋体" w:cs="宋体"/>
                <w:color w:val="auto"/>
                <w:kern w:val="0"/>
                <w:sz w:val="20"/>
                <w:szCs w:val="20"/>
                <w:highlight w:val="none"/>
              </w:rPr>
              <w:t>,</w:t>
            </w:r>
            <w:r>
              <w:rPr>
                <w:rFonts w:hint="eastAsia" w:ascii="宋体" w:hAnsi="宋体" w:cs="宋体"/>
                <w:color w:val="auto"/>
                <w:kern w:val="0"/>
                <w:sz w:val="20"/>
                <w:szCs w:val="20"/>
                <w:highlight w:val="none"/>
              </w:rPr>
              <w:t>即绩效目标实际明确个数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应当明确个数×</w:t>
            </w:r>
            <w:r>
              <w:rPr>
                <w:rFonts w:ascii="宋体" w:hAnsi="宋体" w:cs="宋体"/>
                <w:color w:val="auto"/>
                <w:kern w:val="0"/>
                <w:sz w:val="20"/>
                <w:szCs w:val="20"/>
                <w:highlight w:val="none"/>
              </w:rPr>
              <w:t>100%</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403"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进度计划</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项目计划实施进度明确</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69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目标匹配</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绩效目标设定符合实际需求的抽样项目点个数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决策依据</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政策依据</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项目符合党中央、国务院和省委、省政府决策部署；符合当前经济社会发展需要</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符合</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符合</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连续性项目根据需要制定中长期实施规划</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实施规划符合实际，并根据情况变化适时调整</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管理制度</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制定项目资金管理办法</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57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项目资金分配决策程序明确</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r>
      <w:tr>
        <w:tblPrEx>
          <w:tblCellMar>
            <w:top w:w="15" w:type="dxa"/>
            <w:left w:w="15" w:type="dxa"/>
            <w:bottom w:w="15" w:type="dxa"/>
            <w:right w:w="15" w:type="dxa"/>
          </w:tblCellMar>
        </w:tblPrEx>
        <w:trPr>
          <w:trHeight w:val="304"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分配方法</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资金分配方法是否科学合理</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分配过程符合相关规定</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分配结果</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审核把关</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符合申报条件的抽样项目点个数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727"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10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集中</w:t>
            </w:r>
          </w:p>
        </w:tc>
        <w:tc>
          <w:tcPr>
            <w:tcW w:w="165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财政资金占项目资金总额比重较小项目个数/项目总数×100%</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2328"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65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按实际分配结果选择客观因素测算验证资金分配方法制定、分配要素设定、基础数据应用、测算依据选取等是否科学合理（2分）</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54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项目管理</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ascii="宋体" w:hAnsi="宋体" w:cs="宋体"/>
                <w:color w:val="auto"/>
                <w:kern w:val="0"/>
                <w:sz w:val="20"/>
                <w:szCs w:val="20"/>
                <w:highlight w:val="none"/>
              </w:rPr>
              <w:t xml:space="preserve"> </w:t>
            </w:r>
            <w:r>
              <w:rPr>
                <w:rFonts w:hint="eastAsia" w:ascii="宋体" w:hAnsi="宋体" w:cs="宋体"/>
                <w:color w:val="auto"/>
                <w:kern w:val="0"/>
                <w:sz w:val="20"/>
                <w:szCs w:val="20"/>
                <w:highlight w:val="none"/>
              </w:rPr>
              <w:t>资金到位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分配时效</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县级主管部门按规定及时分配资金</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669"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资金拨付</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按规定及时拨付资金</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资金管理</w:t>
            </w:r>
            <w:r>
              <w:rPr>
                <w:rFonts w:ascii="宋体" w:hAnsi="宋体" w:cs="宋体"/>
                <w:color w:val="auto"/>
                <w:kern w:val="0"/>
                <w:sz w:val="20"/>
                <w:szCs w:val="20"/>
                <w:highlight w:val="none"/>
              </w:rPr>
              <w:t xml:space="preserve">  </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使用范围</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资金使用是否合规</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支付依据</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资金支付依据符合规定，即支付依旧合规资金量/资金总量×100%</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开支标准</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资金开支标准符合规定，即开支标准合规资金量/资金总量×100%</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财务管理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财务制度健全，管理规范</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会计核算规范</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组织实施（</w:t>
            </w:r>
            <w:r>
              <w:rPr>
                <w:rFonts w:ascii="宋体" w:hAnsi="宋体" w:cs="宋体"/>
                <w:color w:val="auto"/>
                <w:kern w:val="0"/>
                <w:sz w:val="20"/>
                <w:szCs w:val="20"/>
                <w:highlight w:val="none"/>
              </w:rPr>
              <w:t>4</w:t>
            </w:r>
            <w:r>
              <w:rPr>
                <w:rFonts w:hint="eastAsia" w:ascii="宋体" w:hAnsi="宋体" w:cs="宋体"/>
                <w:color w:val="auto"/>
                <w:kern w:val="0"/>
                <w:sz w:val="20"/>
                <w:szCs w:val="20"/>
                <w:highlight w:val="none"/>
              </w:rPr>
              <w:t>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项目调整严格履行相关手续</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8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投资变更</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项目投资变更额/项目总投入×100%</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未出现更改</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未出现更改</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制度执行</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严格执行项目有关制度规定</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hint="eastAsia" w:ascii="宋体" w:eastAsia="宋体" w:cs="宋体"/>
                <w:color w:val="auto"/>
                <w:sz w:val="20"/>
                <w:szCs w:val="20"/>
                <w:highlight w:val="none"/>
                <w:lang w:val="en-US" w:eastAsia="zh-CN"/>
              </w:rPr>
            </w:pPr>
            <w:r>
              <w:rPr>
                <w:rFonts w:hint="eastAsia" w:ascii="宋体" w:hAnsi="宋体" w:cs="宋体"/>
                <w:color w:val="auto"/>
                <w:kern w:val="0"/>
                <w:sz w:val="20"/>
                <w:szCs w:val="20"/>
                <w:highlight w:val="none"/>
              </w:rPr>
              <w:t>项目绩效</w:t>
            </w:r>
            <w:r>
              <w:rPr>
                <w:rFonts w:hint="eastAsia" w:ascii="宋体" w:hAnsi="宋体" w:cs="宋体"/>
                <w:color w:val="auto"/>
                <w:kern w:val="0"/>
                <w:sz w:val="20"/>
                <w:szCs w:val="20"/>
                <w:highlight w:val="none"/>
                <w:lang w:val="en-US" w:eastAsia="zh-CN"/>
              </w:rPr>
              <w:t xml:space="preserve"> </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项目完成</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完成数量</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实际完成任务量/绩效目标设定任务量×100%</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完成质量</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符合绩效目标设定的验收标准，达到行业基准水平</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9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完成时效</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（实际完成时间-绩效目标设定完成时间）/绩效目标设定完成时间×100%</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完成成本</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（实际完成成本-预计完成成本）/预计完成成本×100%</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项目效益</w:t>
            </w:r>
          </w:p>
        </w:tc>
        <w:tc>
          <w:tcPr>
            <w:tcW w:w="1329" w:type="dxa"/>
            <w:tcBorders>
              <w:top w:val="single" w:color="000000" w:sz="4" w:space="0"/>
              <w:left w:val="single" w:color="000000" w:sz="4" w:space="0"/>
              <w:bottom w:val="single" w:color="000000" w:sz="4" w:space="0"/>
              <w:right w:val="single" w:color="000000" w:sz="4" w:space="0"/>
            </w:tcBorders>
            <w:vAlign w:val="bottom"/>
          </w:tcPr>
          <w:p>
            <w:pPr>
              <w:rPr>
                <w:rFonts w:ascii="宋体" w:cs="宋体"/>
                <w:color w:val="auto"/>
                <w:sz w:val="20"/>
                <w:szCs w:val="20"/>
                <w:highlight w:val="none"/>
              </w:rPr>
            </w:pPr>
            <w:r>
              <w:rPr>
                <w:rFonts w:hint="eastAsia" w:ascii="宋体" w:hAnsi="宋体" w:cs="宋体"/>
                <w:color w:val="auto"/>
                <w:kern w:val="0"/>
                <w:sz w:val="20"/>
                <w:szCs w:val="20"/>
                <w:highlight w:val="none"/>
                <w:lang w:val="en-US" w:eastAsia="zh-CN"/>
              </w:rPr>
              <w:t>社会效益</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反映相关产出对社会发展带来的影响和效果，根据项目实际细化具体指标。</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开展森林防火工作有助于提高群众的防火意识、防火观念深入人心</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ascii="宋体" w:hAnsi="宋体" w:cs="宋体"/>
                <w:color w:val="auto"/>
                <w:kern w:val="0"/>
                <w:sz w:val="20"/>
                <w:szCs w:val="20"/>
                <w:highlight w:val="none"/>
              </w:rPr>
            </w:pPr>
            <w:r>
              <w:rPr>
                <w:rFonts w:hint="eastAsia" w:ascii="宋体" w:hAnsi="宋体" w:cs="宋体"/>
                <w:color w:val="auto"/>
                <w:kern w:val="0"/>
                <w:sz w:val="20"/>
                <w:szCs w:val="20"/>
                <w:highlight w:val="none"/>
                <w:lang w:val="en-US" w:eastAsia="zh-CN"/>
              </w:rPr>
              <w:t>开展森林防火工作有助于提高群众的防火意识、防火观念深入人心</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hint="eastAsia" w:ascii="宋体" w:hAnsi="宋体" w:cs="宋体"/>
                <w:color w:val="auto"/>
                <w:kern w:val="0"/>
                <w:sz w:val="20"/>
                <w:szCs w:val="20"/>
                <w:highlight w:val="none"/>
                <w:lang w:val="en-US" w:eastAsia="zh-CN"/>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rPr>
                <w:rFonts w:hint="eastAsia" w:ascii="宋体" w:hAnsi="宋体" w:cs="宋体"/>
                <w:color w:val="auto"/>
                <w:kern w:val="0"/>
                <w:sz w:val="20"/>
                <w:szCs w:val="20"/>
                <w:highlight w:val="none"/>
                <w:lang w:val="en-US" w:eastAsia="zh-CN"/>
              </w:rPr>
            </w:pPr>
          </w:p>
        </w:tc>
        <w:tc>
          <w:tcPr>
            <w:tcW w:w="1329"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生态效益</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反映相关产出对自然环境带来的影响和效果，根据项目实际细化具体指标。</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针对森林防火工作开展修建防火通道，对森林保护的具有促进作用。</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针对森林防火工作开展修建防火通道，对森林保护的具有促进作用。</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hint="eastAsia" w:ascii="宋体" w:hAnsi="宋体" w:cs="宋体"/>
                <w:color w:val="auto"/>
                <w:kern w:val="0"/>
                <w:sz w:val="20"/>
                <w:szCs w:val="20"/>
                <w:highlight w:val="none"/>
                <w:lang w:val="en-US" w:eastAsia="zh-CN"/>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rPr>
                <w:rFonts w:hint="eastAsia" w:ascii="宋体" w:hAnsi="宋体" w:cs="宋体"/>
                <w:color w:val="auto"/>
                <w:kern w:val="0"/>
                <w:sz w:val="20"/>
                <w:szCs w:val="20"/>
                <w:highlight w:val="none"/>
                <w:lang w:val="en-US" w:eastAsia="zh-CN"/>
              </w:rPr>
            </w:pPr>
          </w:p>
        </w:tc>
        <w:tc>
          <w:tcPr>
            <w:tcW w:w="1329"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可持续效益</w:t>
            </w:r>
          </w:p>
        </w:tc>
        <w:tc>
          <w:tcPr>
            <w:tcW w:w="2839" w:type="dxa"/>
            <w:gridSpan w:val="2"/>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反映相关产出带来影响的可持续期限，根据项目实际细化具体指标。</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结合实际，制定了年度处置森林火灾安全措施工作方案，对处置森林火灾的基本原则、扑火指挥、扑救方式作了规定，提高安全扑火。夯实了村级能力建设，保证了扑火需要</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结合实际，制定了年度处置森林火灾安全措施工作方案，对处置森林火灾的基本原则、扑火指挥、扑救方式作了规定，提高安全扑火。夯实了村级能力建设，保证了扑火需要</w:t>
            </w:r>
          </w:p>
        </w:tc>
      </w:tr>
      <w:tr>
        <w:tblPrEx>
          <w:tblCellMar>
            <w:top w:w="15" w:type="dxa"/>
            <w:left w:w="15" w:type="dxa"/>
            <w:bottom w:w="15" w:type="dxa"/>
            <w:right w:w="15" w:type="dxa"/>
          </w:tblCellMar>
        </w:tblPrEx>
        <w:trPr>
          <w:trHeight w:val="75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hint="eastAsia" w:ascii="宋体" w:hAnsi="宋体" w:cs="宋体"/>
                <w:color w:val="auto"/>
                <w:kern w:val="0"/>
                <w:sz w:val="20"/>
                <w:szCs w:val="20"/>
                <w:highlight w:val="none"/>
                <w:lang w:val="en-US" w:eastAsia="zh-CN"/>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rPr>
                <w:rFonts w:hint="eastAsia" w:ascii="宋体" w:hAnsi="宋体" w:cs="宋体"/>
                <w:color w:val="auto"/>
                <w:kern w:val="0"/>
                <w:sz w:val="20"/>
                <w:szCs w:val="20"/>
                <w:highlight w:val="none"/>
                <w:lang w:val="en-US" w:eastAsia="zh-CN"/>
              </w:rPr>
            </w:pPr>
          </w:p>
        </w:tc>
        <w:tc>
          <w:tcPr>
            <w:tcW w:w="132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服务对象满意度</w:t>
            </w:r>
          </w:p>
        </w:tc>
        <w:tc>
          <w:tcPr>
            <w:tcW w:w="2839" w:type="dxa"/>
            <w:gridSpan w:val="2"/>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反映服务对象或项目受益人对相关产出及其影响的认可程度，根据项目实际细化具体指标。</w:t>
            </w: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对本项目事实满意度好。无异议</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对本项目事实满意度好。无异议</w:t>
            </w:r>
          </w:p>
        </w:tc>
      </w:tr>
      <w:tr>
        <w:tblPrEx>
          <w:tblCellMar>
            <w:top w:w="15" w:type="dxa"/>
            <w:left w:w="15" w:type="dxa"/>
            <w:bottom w:w="15" w:type="dxa"/>
            <w:right w:w="15" w:type="dxa"/>
          </w:tblCellMar>
        </w:tblPrEx>
        <w:trPr>
          <w:trHeight w:val="108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hint="eastAsia" w:ascii="宋体" w:hAnsi="宋体" w:cs="宋体"/>
                <w:color w:val="auto"/>
                <w:kern w:val="0"/>
                <w:sz w:val="20"/>
                <w:szCs w:val="20"/>
                <w:highlight w:val="none"/>
                <w:lang w:val="en-US" w:eastAsia="zh-CN"/>
              </w:rPr>
            </w:pPr>
          </w:p>
        </w:tc>
        <w:tc>
          <w:tcPr>
            <w:tcW w:w="850"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满意度</w:t>
            </w:r>
          </w:p>
        </w:tc>
        <w:tc>
          <w:tcPr>
            <w:tcW w:w="1329" w:type="dxa"/>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p>
        </w:tc>
        <w:tc>
          <w:tcPr>
            <w:tcW w:w="2839" w:type="dxa"/>
            <w:gridSpan w:val="2"/>
            <w:tcBorders>
              <w:top w:val="single" w:color="000000" w:sz="4" w:space="0"/>
              <w:left w:val="single" w:color="000000" w:sz="4" w:space="0"/>
              <w:bottom w:val="single" w:color="000000" w:sz="4" w:space="0"/>
              <w:right w:val="single" w:color="000000" w:sz="4" w:space="0"/>
            </w:tcBorders>
            <w:vAlign w:val="center"/>
          </w:tcPr>
          <w:p>
            <w:pPr>
              <w:rPr>
                <w:rFonts w:hint="eastAsia" w:ascii="宋体" w:hAnsi="宋体" w:cs="宋体"/>
                <w:color w:val="auto"/>
                <w:kern w:val="0"/>
                <w:sz w:val="20"/>
                <w:szCs w:val="20"/>
                <w:highlight w:val="none"/>
                <w:lang w:val="en-US" w:eastAsia="zh-CN"/>
              </w:rPr>
            </w:pPr>
          </w:p>
        </w:tc>
        <w:tc>
          <w:tcPr>
            <w:tcW w:w="1727"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cs="宋体"/>
                <w:color w:val="auto"/>
                <w:kern w:val="0"/>
                <w:sz w:val="20"/>
                <w:szCs w:val="20"/>
                <w:highlight w:val="none"/>
                <w:lang w:val="en-US" w:eastAsia="zh-CN"/>
              </w:rPr>
            </w:pPr>
          </w:p>
        </w:tc>
      </w:tr>
    </w:tbl>
    <w:p>
      <w:pPr>
        <w:spacing w:line="600" w:lineRule="exact"/>
        <w:ind w:firstLine="640" w:firstLineChars="200"/>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t>（2）</w:t>
      </w:r>
      <w:r>
        <w:rPr>
          <w:rFonts w:hint="eastAsia" w:ascii="仿宋_GB2312" w:hAnsi="宋体" w:eastAsia="仿宋_GB2312" w:cs="仿宋_GB2312"/>
          <w:color w:val="auto"/>
          <w:kern w:val="2"/>
          <w:sz w:val="32"/>
          <w:szCs w:val="24"/>
          <w:highlight w:val="none"/>
          <w:lang w:val="en-US" w:eastAsia="zh-CN" w:bidi="ar"/>
        </w:rPr>
        <w:t>邛溪镇玛萨村、达格龙村乡村振兴游步道建设</w:t>
      </w:r>
      <w:r>
        <w:rPr>
          <w:rFonts w:hint="eastAsia" w:ascii="仿宋_GB2312" w:hAnsi="仿宋_GB2312" w:eastAsia="仿宋_GB2312" w:cs="仿宋_GB2312"/>
          <w:color w:val="auto"/>
          <w:sz w:val="32"/>
          <w:szCs w:val="32"/>
          <w:highlight w:val="none"/>
          <w:shd w:val="clear" w:color="auto" w:fill="FFFFFF"/>
        </w:rPr>
        <w:t>绩效目标完成情况综述。</w:t>
      </w:r>
      <w:r>
        <w:rPr>
          <w:rFonts w:hint="eastAsia" w:ascii="仿宋_GB2312" w:hAnsi="宋体" w:eastAsia="仿宋_GB2312" w:cs="仿宋_GB2312"/>
          <w:color w:val="auto"/>
          <w:kern w:val="2"/>
          <w:sz w:val="32"/>
          <w:szCs w:val="24"/>
          <w:highlight w:val="none"/>
          <w:lang w:val="en-US" w:eastAsia="zh-CN" w:bidi="ar"/>
        </w:rPr>
        <w:t>该</w:t>
      </w:r>
      <w:r>
        <w:rPr>
          <w:rFonts w:hint="eastAsia" w:ascii="仿宋_GB2312" w:hAnsi="宋体" w:eastAsia="仿宋_GB2312" w:cs="仿宋_GB2312"/>
          <w:color w:val="auto"/>
          <w:kern w:val="2"/>
          <w:sz w:val="32"/>
          <w:szCs w:val="24"/>
          <w:highlight w:val="none"/>
          <w:lang w:val="zh-CN" w:eastAsia="zh-CN" w:bidi="ar"/>
        </w:rPr>
        <w:t>项目总投资</w:t>
      </w:r>
      <w:r>
        <w:rPr>
          <w:rFonts w:hint="eastAsia" w:ascii="仿宋_GB2312" w:hAnsi="宋体" w:eastAsia="仿宋_GB2312" w:cs="仿宋_GB2312"/>
          <w:color w:val="auto"/>
          <w:kern w:val="2"/>
          <w:sz w:val="32"/>
          <w:szCs w:val="24"/>
          <w:highlight w:val="none"/>
          <w:lang w:val="en-US" w:eastAsia="zh-CN" w:bidi="ar"/>
        </w:rPr>
        <w:t>1000万元，新建村内游步道4千米，宽度1.5m-1.8m，配套步道服务点10个、休息观光亭11个，治理步道水域及景观打造2处，配套排水暗渠1000米，新建游步道出发中心1个，建筑面积300㎡。</w:t>
      </w:r>
    </w:p>
    <w:tbl>
      <w:tblPr>
        <w:tblStyle w:val="14"/>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703"/>
        <w:gridCol w:w="2079"/>
        <w:gridCol w:w="2392"/>
        <w:gridCol w:w="2394"/>
        <w:gridCol w:w="2392"/>
      </w:tblGrid>
      <w:tr>
        <w:tblPrEx>
          <w:tblCellMar>
            <w:top w:w="0" w:type="dxa"/>
            <w:left w:w="0" w:type="dxa"/>
            <w:bottom w:w="0" w:type="dxa"/>
            <w:right w:w="0" w:type="dxa"/>
          </w:tblCellMar>
        </w:tblPrEx>
        <w:trPr>
          <w:trHeight w:val="1034" w:hRule="atLeast"/>
        </w:trPr>
        <w:tc>
          <w:tcPr>
            <w:tcW w:w="9960" w:type="dxa"/>
            <w:gridSpan w:val="5"/>
            <w:tcMar>
              <w:top w:w="15" w:type="dxa"/>
              <w:left w:w="15" w:type="dxa"/>
              <w:bottom w:w="0" w:type="dxa"/>
              <w:right w:w="15" w:type="dxa"/>
            </w:tcMar>
            <w:vAlign w:val="center"/>
          </w:tcPr>
          <w:p>
            <w:pPr>
              <w:pStyle w:val="25"/>
              <w:widowControl/>
              <w:ind w:left="4173" w:leftChars="1310" w:hanging="1422" w:hangingChars="395"/>
              <w:textAlignment w:val="center"/>
              <w:rPr>
                <w:rFonts w:ascii="宋体" w:hAnsi="宋体" w:cs="宋体"/>
                <w:color w:val="auto"/>
                <w:sz w:val="36"/>
                <w:szCs w:val="36"/>
                <w:highlight w:val="none"/>
              </w:rPr>
            </w:pPr>
            <w:r>
              <w:rPr>
                <w:rFonts w:hint="eastAsia" w:ascii="黑体" w:hAnsi="黑体" w:eastAsia="黑体" w:cs="宋体"/>
                <w:bCs/>
                <w:color w:val="auto"/>
                <w:kern w:val="0"/>
                <w:sz w:val="36"/>
                <w:szCs w:val="36"/>
                <w:highlight w:val="none"/>
              </w:rPr>
              <w:t>项目支出绩效目标完成情况表</w:t>
            </w:r>
            <w:r>
              <w:rPr>
                <w:rFonts w:hint="eastAsia" w:ascii="宋体" w:hAnsi="宋体" w:cs="宋体"/>
                <w:b/>
                <w:bCs/>
                <w:color w:val="auto"/>
                <w:kern w:val="0"/>
                <w:sz w:val="36"/>
                <w:szCs w:val="36"/>
                <w:highlight w:val="none"/>
              </w:rPr>
              <w:br w:type="textWrapping"/>
            </w:r>
            <w:r>
              <w:rPr>
                <w:rFonts w:hint="eastAsia" w:ascii="宋体" w:hAnsi="宋体" w:cs="宋体"/>
                <w:color w:val="auto"/>
                <w:kern w:val="0"/>
                <w:sz w:val="36"/>
                <w:szCs w:val="36"/>
                <w:highlight w:val="none"/>
              </w:rPr>
              <w:t>(</w:t>
            </w:r>
            <w:r>
              <w:rPr>
                <w:rFonts w:hint="eastAsia" w:ascii="宋体" w:hAnsi="宋体" w:cs="宋体"/>
                <w:color w:val="auto"/>
                <w:kern w:val="0"/>
                <w:sz w:val="36"/>
                <w:szCs w:val="36"/>
                <w:highlight w:val="none"/>
                <w:lang w:val="en-US" w:eastAsia="zh-CN"/>
              </w:rPr>
              <w:t>2021</w:t>
            </w:r>
            <w:r>
              <w:rPr>
                <w:rFonts w:hint="eastAsia" w:ascii="宋体" w:hAnsi="宋体" w:cs="宋体"/>
                <w:color w:val="auto"/>
                <w:kern w:val="0"/>
                <w:sz w:val="36"/>
                <w:szCs w:val="36"/>
                <w:highlight w:val="none"/>
              </w:rPr>
              <w:t>年度)</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邛溪镇玛萨村、达格龙村乡村振兴游步道建设</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红原县邛溪镇人民政府</w:t>
            </w: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预算执行情况(万元)</w:t>
            </w: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1000</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执行数: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1000</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276"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1000</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1000</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870"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年度目标完成情况</w:t>
            </w: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实际完成目标</w:t>
            </w:r>
          </w:p>
        </w:tc>
      </w:tr>
      <w:tr>
        <w:tblPrEx>
          <w:tblCellMar>
            <w:top w:w="0" w:type="dxa"/>
            <w:left w:w="0" w:type="dxa"/>
            <w:bottom w:w="0" w:type="dxa"/>
            <w:right w:w="0" w:type="dxa"/>
          </w:tblCellMar>
        </w:tblPrEx>
        <w:trPr>
          <w:trHeight w:val="1155"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sz w:val="24"/>
                <w:highlight w:val="none"/>
              </w:rPr>
              <w:t>该项目总投资</w:t>
            </w:r>
            <w:r>
              <w:rPr>
                <w:rFonts w:hint="eastAsia" w:ascii="宋体" w:hAnsi="宋体" w:cs="宋体"/>
                <w:color w:val="auto"/>
                <w:sz w:val="24"/>
                <w:highlight w:val="none"/>
                <w:lang w:val="en-US" w:eastAsia="zh-CN"/>
              </w:rPr>
              <w:t>1000</w:t>
            </w:r>
            <w:r>
              <w:rPr>
                <w:rFonts w:hint="eastAsia" w:ascii="宋体" w:hAnsi="宋体" w:cs="宋体"/>
                <w:color w:val="auto"/>
                <w:kern w:val="0"/>
                <w:sz w:val="24"/>
                <w:highlight w:val="none"/>
              </w:rPr>
              <w:t>万元</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default" w:ascii="宋体" w:hAnsi="宋体" w:cs="宋体"/>
                <w:color w:val="auto"/>
                <w:kern w:val="0"/>
                <w:sz w:val="24"/>
                <w:highlight w:val="none"/>
                <w:lang w:val="en-US" w:eastAsia="zh-CN"/>
              </w:rPr>
            </w:pPr>
            <w:r>
              <w:rPr>
                <w:rFonts w:hint="default" w:ascii="宋体" w:hAnsi="宋体" w:cs="宋体"/>
                <w:color w:val="auto"/>
                <w:kern w:val="0"/>
                <w:sz w:val="24"/>
                <w:highlight w:val="none"/>
                <w:lang w:val="en-US" w:eastAsia="zh-CN"/>
              </w:rPr>
              <w:t>主要用于：</w:t>
            </w:r>
            <w:r>
              <w:rPr>
                <w:rFonts w:hint="eastAsia" w:ascii="宋体" w:hAnsi="宋体" w:cs="宋体"/>
                <w:color w:val="auto"/>
                <w:kern w:val="0"/>
                <w:sz w:val="24"/>
                <w:highlight w:val="none"/>
                <w:lang w:val="en-US" w:eastAsia="zh-CN"/>
              </w:rPr>
              <w:t>新建村内游步道4千米，宽度1.5m-1.8m，配套步道服务点10个、休息观光亭11个，治理步道水域及景观打造2处，配套排水暗渠1000米，新建游步道出发中心1个，建筑面积300㎡。</w:t>
            </w:r>
          </w:p>
          <w:p>
            <w:pPr>
              <w:widowControl/>
              <w:jc w:val="center"/>
              <w:textAlignment w:val="center"/>
              <w:rPr>
                <w:rFonts w:ascii="宋体" w:hAnsi="宋体" w:cs="宋体"/>
                <w:color w:val="auto"/>
                <w:kern w:val="0"/>
                <w:sz w:val="24"/>
                <w:highlight w:val="none"/>
              </w:rPr>
            </w:pPr>
          </w:p>
        </w:tc>
      </w:tr>
    </w:tbl>
    <w:tbl>
      <w:tblPr>
        <w:tblStyle w:val="14"/>
        <w:tblW w:w="9983" w:type="dxa"/>
        <w:tblInd w:w="-820" w:type="dxa"/>
        <w:tblLayout w:type="fixed"/>
        <w:tblCellMar>
          <w:top w:w="15" w:type="dxa"/>
          <w:left w:w="15" w:type="dxa"/>
          <w:bottom w:w="15" w:type="dxa"/>
          <w:right w:w="15" w:type="dxa"/>
        </w:tblCellMar>
      </w:tblPr>
      <w:tblGrid>
        <w:gridCol w:w="683"/>
        <w:gridCol w:w="983"/>
        <w:gridCol w:w="850"/>
        <w:gridCol w:w="1329"/>
        <w:gridCol w:w="1182"/>
        <w:gridCol w:w="1752"/>
        <w:gridCol w:w="1632"/>
        <w:gridCol w:w="1572"/>
      </w:tblGrid>
      <w:tr>
        <w:tblPrEx>
          <w:tblCellMar>
            <w:top w:w="15" w:type="dxa"/>
            <w:left w:w="15" w:type="dxa"/>
            <w:bottom w:w="15" w:type="dxa"/>
            <w:right w:w="15" w:type="dxa"/>
          </w:tblCellMar>
        </w:tblPrEx>
        <w:trPr>
          <w:trHeight w:val="624" w:hRule="atLeast"/>
        </w:trPr>
        <w:tc>
          <w:tcPr>
            <w:tcW w:w="68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auto"/>
                <w:sz w:val="24"/>
                <w:highlight w:val="none"/>
              </w:rPr>
            </w:pPr>
            <w:r>
              <w:rPr>
                <w:rFonts w:hint="eastAsia" w:ascii="仿宋_GB2312" w:hAnsi="宋体" w:eastAsia="仿宋_GB2312" w:cs="仿宋_GB2312"/>
                <w:color w:val="auto"/>
                <w:kern w:val="0"/>
                <w:sz w:val="24"/>
                <w:highlight w:val="none"/>
              </w:rPr>
              <w:t>绩效指标完成情况</w:t>
            </w:r>
          </w:p>
        </w:tc>
        <w:tc>
          <w:tcPr>
            <w:tcW w:w="983" w:type="dxa"/>
            <w:vMerge w:val="restart"/>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一级指标</w:t>
            </w:r>
          </w:p>
        </w:tc>
        <w:tc>
          <w:tcPr>
            <w:tcW w:w="850"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二级指标</w:t>
            </w: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ind w:firstLine="602" w:firstLineChars="300"/>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预期指标值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c>
          <w:tcPr>
            <w:tcW w:w="157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实际完成指标值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r>
      <w:tr>
        <w:tblPrEx>
          <w:tblCellMar>
            <w:top w:w="15" w:type="dxa"/>
            <w:left w:w="15" w:type="dxa"/>
            <w:bottom w:w="15" w:type="dxa"/>
            <w:right w:w="15" w:type="dxa"/>
          </w:tblCellMar>
        </w:tblPrEx>
        <w:trPr>
          <w:trHeight w:val="624"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312"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ind w:firstLine="1400" w:firstLineChars="700"/>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项目决策</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项目预期提供的产品、服务、效益或其他目标明确</w:t>
            </w:r>
            <w:r>
              <w:rPr>
                <w:rFonts w:ascii="宋体" w:cs="宋体"/>
                <w:color w:val="auto"/>
                <w:kern w:val="0"/>
                <w:sz w:val="20"/>
                <w:szCs w:val="20"/>
                <w:highlight w:val="none"/>
              </w:rPr>
              <w:t>,</w:t>
            </w:r>
            <w:r>
              <w:rPr>
                <w:rFonts w:hint="eastAsia" w:ascii="宋体" w:hAnsi="宋体" w:cs="宋体"/>
                <w:color w:val="auto"/>
                <w:kern w:val="0"/>
                <w:sz w:val="20"/>
                <w:szCs w:val="20"/>
                <w:highlight w:val="none"/>
              </w:rPr>
              <w:t>即绩效目标实际明确个数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应当明确个数×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64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69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绩效目标设定符合实际需求的抽样项目点个数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决策依据</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符合</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符合</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57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r>
      <w:tr>
        <w:tblPrEx>
          <w:tblCellMar>
            <w:top w:w="15" w:type="dxa"/>
            <w:left w:w="15" w:type="dxa"/>
            <w:bottom w:w="15" w:type="dxa"/>
            <w:right w:w="15" w:type="dxa"/>
          </w:tblCellMar>
        </w:tblPrEx>
        <w:trPr>
          <w:trHeight w:val="82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分配结果</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符合申报条件的抽样项目点个数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10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财政资金占项目资金总额比重较小项目个数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按实际分配结果选择客观因素测算验证资金分配方法制定、分配要素设定、基础数据应用、测算依据选取等是否科学合理（</w:t>
            </w:r>
            <w:r>
              <w:rPr>
                <w:rFonts w:ascii="宋体" w:hAnsi="宋体" w:cs="宋体"/>
                <w:color w:val="auto"/>
                <w:kern w:val="0"/>
                <w:sz w:val="20"/>
                <w:szCs w:val="20"/>
                <w:highlight w:val="none"/>
              </w:rPr>
              <w:t>2</w:t>
            </w:r>
            <w:r>
              <w:rPr>
                <w:rFonts w:hint="eastAsia" w:ascii="宋体" w:hAnsi="宋体" w:cs="宋体"/>
                <w:color w:val="auto"/>
                <w:kern w:val="0"/>
                <w:sz w:val="20"/>
                <w:szCs w:val="20"/>
                <w:highlight w:val="none"/>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54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项目管理</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ascii="宋体" w:hAnsi="宋体" w:cs="宋体"/>
                <w:color w:val="auto"/>
                <w:kern w:val="0"/>
                <w:sz w:val="20"/>
                <w:szCs w:val="20"/>
                <w:highlight w:val="none"/>
              </w:rPr>
              <w:t xml:space="preserve"> </w:t>
            </w:r>
            <w:r>
              <w:rPr>
                <w:rFonts w:hint="eastAsia" w:ascii="宋体" w:hAnsi="宋体" w:cs="宋体"/>
                <w:color w:val="auto"/>
                <w:kern w:val="0"/>
                <w:sz w:val="20"/>
                <w:szCs w:val="20"/>
                <w:highlight w:val="none"/>
              </w:rPr>
              <w:t>资金到位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11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资金管理</w:t>
            </w:r>
            <w:r>
              <w:rPr>
                <w:rFonts w:ascii="宋体" w:hAnsi="宋体" w:cs="宋体"/>
                <w:color w:val="auto"/>
                <w:kern w:val="0"/>
                <w:sz w:val="20"/>
                <w:szCs w:val="20"/>
                <w:highlight w:val="none"/>
              </w:rPr>
              <w:t xml:space="preserve">  </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资金支付依据符合规定，即支付依旧合规资金量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资金开支标准符合规定，即开支标准合规资金量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财务管理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组织实施（</w:t>
            </w:r>
            <w:r>
              <w:rPr>
                <w:rFonts w:ascii="宋体" w:hAnsi="宋体" w:cs="宋体"/>
                <w:color w:val="auto"/>
                <w:kern w:val="0"/>
                <w:sz w:val="20"/>
                <w:szCs w:val="20"/>
                <w:highlight w:val="none"/>
              </w:rPr>
              <w:t>4</w:t>
            </w:r>
            <w:r>
              <w:rPr>
                <w:rFonts w:hint="eastAsia" w:ascii="宋体" w:hAnsi="宋体" w:cs="宋体"/>
                <w:color w:val="auto"/>
                <w:kern w:val="0"/>
                <w:sz w:val="20"/>
                <w:szCs w:val="20"/>
                <w:highlight w:val="none"/>
              </w:rPr>
              <w:t>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8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项目投资变更额</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项目总投入×</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未出现更改</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未出现更改</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项目绩效</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项目完成</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实际完成任务量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绩效目标设定任务量×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9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（实际完成时间</w:t>
            </w:r>
            <w:r>
              <w:rPr>
                <w:rFonts w:asci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（实际完成成本</w:t>
            </w:r>
            <w:r>
              <w:rPr>
                <w:rFonts w:asci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项目效益</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lang w:val="en-US" w:eastAsia="zh-CN"/>
              </w:rPr>
              <w:t>发展生态旅游，可以有效调整当地以畜牧业为主的产业结构，降低当地经济对传统产业的依赖度。</w:t>
            </w:r>
          </w:p>
        </w:tc>
        <w:tc>
          <w:tcPr>
            <w:tcW w:w="157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lang w:val="en-US" w:eastAsia="zh-CN"/>
              </w:rPr>
              <w:t>发展生态旅游，可以有效调整当地以畜牧业为主的产业结构，降低当地经济对传统产业的依赖度。</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auto"/>
                <w:kern w:val="0"/>
                <w:sz w:val="20"/>
                <w:szCs w:val="20"/>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bottom"/>
              <w:rPr>
                <w:rFonts w:hint="eastAsia" w:ascii="宋体" w:hAnsi="宋体" w:cs="宋体"/>
                <w:color w:val="auto"/>
                <w:kern w:val="0"/>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widowControl/>
              <w:jc w:val="left"/>
              <w:textAlignment w:val="bottom"/>
              <w:rPr>
                <w:rFonts w:hint="eastAsia" w:ascii="宋体" w:hAnsi="宋体" w:cs="宋体"/>
                <w:color w:val="auto"/>
                <w:kern w:val="0"/>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ind w:firstLine="200" w:firstLineChars="100"/>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lang w:val="en-US" w:eastAsia="zh-CN"/>
              </w:rPr>
              <w:t>通过项目实施，发展乡村旅游，提高旅游经济效益。</w:t>
            </w:r>
          </w:p>
        </w:tc>
        <w:tc>
          <w:tcPr>
            <w:tcW w:w="157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lang w:val="en-US" w:eastAsia="zh-CN"/>
              </w:rPr>
              <w:t>通过项目实施，发展乡村旅游，提高旅游经济效益。</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auto"/>
                <w:kern w:val="0"/>
                <w:sz w:val="20"/>
                <w:szCs w:val="20"/>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bottom"/>
              <w:rPr>
                <w:rFonts w:hint="eastAsia" w:ascii="宋体" w:hAnsi="宋体" w:cs="宋体"/>
                <w:color w:val="auto"/>
                <w:kern w:val="0"/>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widowControl/>
              <w:jc w:val="left"/>
              <w:textAlignment w:val="bottom"/>
              <w:rPr>
                <w:rFonts w:hint="eastAsia" w:ascii="宋体" w:hAnsi="宋体" w:cs="宋体"/>
                <w:color w:val="auto"/>
                <w:kern w:val="0"/>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ind w:firstLine="200" w:firstLineChars="100"/>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lang w:val="en-US" w:eastAsia="zh-CN"/>
              </w:rPr>
              <w:t>发展生态旅游，可以有效调整当地以畜牧业为主的产业结构，降低当地经济对传统产业的依赖度。</w:t>
            </w:r>
          </w:p>
        </w:tc>
        <w:tc>
          <w:tcPr>
            <w:tcW w:w="157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eastAsia="宋体" w:cs="宋体"/>
                <w:color w:val="auto"/>
                <w:kern w:val="0"/>
                <w:sz w:val="20"/>
                <w:szCs w:val="20"/>
                <w:highlight w:val="none"/>
                <w:lang w:val="en-US" w:eastAsia="zh-CN" w:bidi="ar-SA"/>
              </w:rPr>
            </w:pPr>
            <w:r>
              <w:rPr>
                <w:rFonts w:hint="eastAsia" w:ascii="宋体" w:hAnsi="宋体" w:cs="宋体"/>
                <w:color w:val="auto"/>
                <w:kern w:val="0"/>
                <w:sz w:val="20"/>
                <w:szCs w:val="20"/>
                <w:highlight w:val="none"/>
                <w:lang w:val="en-US" w:eastAsia="zh-CN"/>
              </w:rPr>
              <w:t>发展生态旅游，可以有效调整当地以畜牧业为主的产业结构，降低当地经济对传统产业的依赖度。</w:t>
            </w:r>
          </w:p>
        </w:tc>
      </w:tr>
      <w:tr>
        <w:tblPrEx>
          <w:tblCellMar>
            <w:top w:w="15" w:type="dxa"/>
            <w:left w:w="15" w:type="dxa"/>
            <w:bottom w:w="15" w:type="dxa"/>
            <w:right w:w="15" w:type="dxa"/>
          </w:tblCellMar>
        </w:tblPrEx>
        <w:trPr>
          <w:trHeight w:val="75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auto"/>
                <w:kern w:val="0"/>
                <w:sz w:val="20"/>
                <w:szCs w:val="20"/>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bottom"/>
              <w:rPr>
                <w:rFonts w:hint="eastAsia" w:ascii="宋体" w:hAnsi="宋体" w:cs="宋体"/>
                <w:color w:val="auto"/>
                <w:kern w:val="0"/>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widowControl/>
              <w:jc w:val="left"/>
              <w:textAlignment w:val="bottom"/>
              <w:rPr>
                <w:rFonts w:hint="eastAsia" w:ascii="宋体" w:hAnsi="宋体" w:cs="宋体"/>
                <w:color w:val="auto"/>
                <w:kern w:val="0"/>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ind w:firstLine="200" w:firstLineChars="100"/>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改善旅游硬件环境，以适应旅游业快速发展的需求，修建观光厅等</w:t>
            </w:r>
          </w:p>
        </w:tc>
        <w:tc>
          <w:tcPr>
            <w:tcW w:w="157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default" w:ascii="宋体" w:hAnsi="宋体" w:cs="宋体"/>
                <w:color w:val="auto"/>
                <w:kern w:val="0"/>
                <w:sz w:val="20"/>
                <w:szCs w:val="20"/>
                <w:highlight w:val="none"/>
                <w:lang w:val="en-US" w:eastAsia="zh-CN"/>
              </w:rPr>
            </w:pPr>
            <w:r>
              <w:rPr>
                <w:rFonts w:hint="eastAsia" w:ascii="宋体" w:hAnsi="宋体" w:cs="宋体"/>
                <w:color w:val="auto"/>
                <w:kern w:val="0"/>
                <w:sz w:val="20"/>
                <w:szCs w:val="20"/>
                <w:highlight w:val="none"/>
                <w:lang w:val="en-US" w:eastAsia="zh-CN"/>
              </w:rPr>
              <w:t>改善旅游硬件环境，以适应旅游业快速发展的需求，修建观光厅等</w:t>
            </w:r>
          </w:p>
        </w:tc>
      </w:tr>
      <w:tr>
        <w:tblPrEx>
          <w:tblCellMar>
            <w:top w:w="15" w:type="dxa"/>
            <w:left w:w="15" w:type="dxa"/>
            <w:bottom w:w="15" w:type="dxa"/>
            <w:right w:w="15" w:type="dxa"/>
          </w:tblCellMar>
        </w:tblPrEx>
        <w:trPr>
          <w:trHeight w:val="108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auto"/>
                <w:kern w:val="0"/>
                <w:sz w:val="20"/>
                <w:szCs w:val="20"/>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bottom"/>
              <w:rPr>
                <w:rFonts w:hint="eastAsia" w:ascii="宋体" w:hAnsi="宋体" w:cs="宋体"/>
                <w:color w:val="auto"/>
                <w:kern w:val="0"/>
                <w:sz w:val="20"/>
                <w:szCs w:val="20"/>
                <w:highlight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满意度</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对本项目事实满意度好。无异议</w:t>
            </w:r>
          </w:p>
        </w:tc>
        <w:tc>
          <w:tcPr>
            <w:tcW w:w="157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对本项目事实满意度好。无异议</w:t>
            </w:r>
          </w:p>
        </w:tc>
      </w:tr>
    </w:tbl>
    <w:p>
      <w:pPr>
        <w:adjustRightInd w:val="0"/>
        <w:snapToGrid w:val="0"/>
        <w:spacing w:line="600" w:lineRule="exact"/>
        <w:ind w:firstLine="640" w:firstLineChars="200"/>
        <w:rPr>
          <w:rFonts w:hint="eastAsia" w:ascii="仿宋_GB2312" w:hAnsi="仿宋_GB2312" w:eastAsia="仿宋_GB2312" w:cs="仿宋_GB2312"/>
          <w:color w:val="auto"/>
          <w:kern w:val="0"/>
          <w:sz w:val="32"/>
          <w:szCs w:val="32"/>
          <w:highlight w:val="none"/>
        </w:rPr>
      </w:pPr>
      <w:r>
        <w:rPr>
          <w:rFonts w:hint="eastAsia" w:ascii="仿宋_GB2312" w:hAnsi="仿宋_GB2312" w:eastAsia="仿宋_GB2312" w:cs="仿宋_GB2312"/>
          <w:color w:val="auto"/>
          <w:kern w:val="0"/>
          <w:sz w:val="32"/>
          <w:szCs w:val="32"/>
          <w:highlight w:val="none"/>
        </w:rPr>
        <w:t>（3）</w:t>
      </w:r>
      <w:r>
        <w:rPr>
          <w:rFonts w:hint="eastAsia" w:ascii="仿宋" w:hAnsi="仿宋" w:eastAsia="仿宋" w:cs="仿宋"/>
          <w:b w:val="0"/>
          <w:bCs w:val="0"/>
          <w:color w:val="auto"/>
          <w:sz w:val="32"/>
          <w:szCs w:val="32"/>
          <w:highlight w:val="none"/>
          <w:lang w:val="en-US" w:eastAsia="zh-CN"/>
        </w:rPr>
        <w:t>热坤村活动中心设施设备采购项目</w:t>
      </w:r>
      <w:r>
        <w:rPr>
          <w:rFonts w:hint="eastAsia" w:ascii="仿宋_GB2312" w:hAnsi="仿宋_GB2312" w:eastAsia="仿宋_GB2312" w:cs="仿宋_GB2312"/>
          <w:color w:val="auto"/>
          <w:kern w:val="0"/>
          <w:sz w:val="32"/>
          <w:szCs w:val="32"/>
          <w:highlight w:val="none"/>
        </w:rPr>
        <w:t>绩效目标完成情况综述。</w:t>
      </w:r>
      <w:r>
        <w:rPr>
          <w:rFonts w:hint="eastAsia" w:ascii="仿宋" w:hAnsi="仿宋" w:eastAsia="仿宋" w:cs="仿宋"/>
          <w:color w:val="auto"/>
          <w:sz w:val="32"/>
          <w:szCs w:val="32"/>
          <w:highlight w:val="none"/>
          <w:lang w:eastAsia="zh-CN"/>
        </w:rPr>
        <w:t>该</w:t>
      </w:r>
      <w:r>
        <w:rPr>
          <w:rFonts w:hint="eastAsia" w:ascii="仿宋_GB2312" w:hAnsi="仿宋_GB2312" w:eastAsia="仿宋_GB2312" w:cs="仿宋_GB2312"/>
          <w:color w:val="auto"/>
          <w:kern w:val="0"/>
          <w:sz w:val="32"/>
          <w:szCs w:val="32"/>
          <w:highlight w:val="none"/>
          <w:lang w:eastAsia="zh-CN"/>
        </w:rPr>
        <w:t>项目总投资</w:t>
      </w:r>
      <w:r>
        <w:rPr>
          <w:rFonts w:hint="eastAsia" w:ascii="仿宋_GB2312" w:hAnsi="仿宋_GB2312" w:eastAsia="仿宋_GB2312" w:cs="仿宋_GB2312"/>
          <w:color w:val="auto"/>
          <w:kern w:val="0"/>
          <w:sz w:val="32"/>
          <w:szCs w:val="32"/>
          <w:highlight w:val="none"/>
          <w:lang w:val="en-US" w:eastAsia="zh-CN"/>
        </w:rPr>
        <w:t>16</w:t>
      </w:r>
      <w:r>
        <w:rPr>
          <w:rFonts w:hint="eastAsia" w:ascii="仿宋_GB2312" w:hAnsi="仿宋_GB2312" w:eastAsia="仿宋_GB2312" w:cs="仿宋_GB2312"/>
          <w:color w:val="auto"/>
          <w:kern w:val="0"/>
          <w:sz w:val="32"/>
          <w:szCs w:val="32"/>
          <w:highlight w:val="none"/>
        </w:rPr>
        <w:t>万元</w:t>
      </w:r>
      <w:r>
        <w:rPr>
          <w:rFonts w:hint="eastAsia" w:ascii="仿宋_GB2312" w:hAnsi="仿宋_GB2312" w:eastAsia="仿宋_GB2312" w:cs="仿宋_GB2312"/>
          <w:color w:val="auto"/>
          <w:kern w:val="0"/>
          <w:sz w:val="32"/>
          <w:szCs w:val="32"/>
          <w:highlight w:val="none"/>
          <w:lang w:eastAsia="zh-CN"/>
        </w:rPr>
        <w:t>。</w:t>
      </w:r>
      <w:r>
        <w:rPr>
          <w:rFonts w:hint="eastAsia" w:ascii="仿宋_GB2312" w:hAnsi="仿宋_GB2312" w:eastAsia="仿宋_GB2312" w:cs="仿宋_GB2312"/>
          <w:color w:val="auto"/>
          <w:kern w:val="0"/>
          <w:sz w:val="32"/>
          <w:szCs w:val="32"/>
          <w:highlight w:val="none"/>
        </w:rPr>
        <w:t>活动中心采购音响设备、篮球架、led屏等。</w:t>
      </w:r>
    </w:p>
    <w:tbl>
      <w:tblPr>
        <w:tblStyle w:val="14"/>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703"/>
        <w:gridCol w:w="2079"/>
        <w:gridCol w:w="2392"/>
        <w:gridCol w:w="2394"/>
        <w:gridCol w:w="2392"/>
      </w:tblGrid>
      <w:tr>
        <w:tblPrEx>
          <w:tblCellMar>
            <w:top w:w="0" w:type="dxa"/>
            <w:left w:w="0" w:type="dxa"/>
            <w:bottom w:w="0" w:type="dxa"/>
            <w:right w:w="0" w:type="dxa"/>
          </w:tblCellMar>
        </w:tblPrEx>
        <w:trPr>
          <w:trHeight w:val="1034" w:hRule="atLeast"/>
        </w:trPr>
        <w:tc>
          <w:tcPr>
            <w:tcW w:w="9960" w:type="dxa"/>
            <w:gridSpan w:val="5"/>
            <w:tcMar>
              <w:top w:w="15" w:type="dxa"/>
              <w:left w:w="15" w:type="dxa"/>
              <w:bottom w:w="0" w:type="dxa"/>
              <w:right w:w="15" w:type="dxa"/>
            </w:tcMar>
            <w:vAlign w:val="center"/>
          </w:tcPr>
          <w:p>
            <w:pPr>
              <w:widowControl/>
              <w:jc w:val="center"/>
              <w:textAlignment w:val="bottom"/>
              <w:rPr>
                <w:rFonts w:hint="eastAsia" w:ascii="宋体" w:hAnsi="宋体" w:cs="宋体"/>
                <w:color w:val="auto"/>
                <w:kern w:val="0"/>
                <w:sz w:val="20"/>
                <w:szCs w:val="20"/>
                <w:highlight w:val="none"/>
              </w:rPr>
            </w:pPr>
            <w:r>
              <w:rPr>
                <w:rFonts w:hint="eastAsia" w:ascii="黑体" w:hAnsi="黑体" w:eastAsia="黑体" w:cs="宋体"/>
                <w:bCs/>
                <w:color w:val="auto"/>
                <w:kern w:val="0"/>
                <w:sz w:val="36"/>
                <w:szCs w:val="36"/>
                <w:highlight w:val="none"/>
                <w:lang w:val="en-US" w:eastAsia="zh-CN" w:bidi="ar-SA"/>
              </w:rPr>
              <w:t>项目支出绩效目标完成情况表</w:t>
            </w:r>
            <w:r>
              <w:rPr>
                <w:rFonts w:hint="eastAsia" w:ascii="黑体" w:hAnsi="黑体" w:eastAsia="黑体" w:cs="宋体"/>
                <w:bCs/>
                <w:color w:val="auto"/>
                <w:kern w:val="0"/>
                <w:sz w:val="36"/>
                <w:szCs w:val="36"/>
                <w:highlight w:val="none"/>
                <w:lang w:val="en-US" w:eastAsia="zh-CN" w:bidi="ar-SA"/>
              </w:rPr>
              <w:br w:type="textWrapping"/>
            </w:r>
            <w:r>
              <w:rPr>
                <w:rFonts w:hint="eastAsia" w:ascii="黑体" w:hAnsi="黑体" w:eastAsia="黑体" w:cs="宋体"/>
                <w:bCs/>
                <w:color w:val="auto"/>
                <w:kern w:val="0"/>
                <w:sz w:val="36"/>
                <w:szCs w:val="36"/>
                <w:highlight w:val="none"/>
                <w:lang w:val="en-US" w:eastAsia="zh-CN" w:bidi="ar-SA"/>
              </w:rPr>
              <w:t>(2021 年度)</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热坤村活动中心设施设备采购</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红原县邛溪镇人民政府</w:t>
            </w: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预算执行情况(万元)</w:t>
            </w: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预算数: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16</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执行数: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16</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276"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16</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16</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870"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年度目标完成情况</w:t>
            </w: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实际完成目标</w:t>
            </w:r>
          </w:p>
        </w:tc>
      </w:tr>
      <w:tr>
        <w:tblPrEx>
          <w:tblCellMar>
            <w:top w:w="0" w:type="dxa"/>
            <w:left w:w="0" w:type="dxa"/>
            <w:bottom w:w="0" w:type="dxa"/>
            <w:right w:w="0" w:type="dxa"/>
          </w:tblCellMar>
        </w:tblPrEx>
        <w:trPr>
          <w:trHeight w:val="1155"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sz w:val="24"/>
                <w:highlight w:val="none"/>
              </w:rPr>
              <w:t>该项目总投资</w:t>
            </w:r>
            <w:r>
              <w:rPr>
                <w:rFonts w:hint="eastAsia" w:ascii="宋体" w:hAnsi="宋体" w:cs="宋体"/>
                <w:color w:val="auto"/>
                <w:sz w:val="24"/>
                <w:highlight w:val="none"/>
                <w:lang w:val="en-US" w:eastAsia="zh-CN"/>
              </w:rPr>
              <w:t>16</w:t>
            </w:r>
            <w:r>
              <w:rPr>
                <w:rFonts w:hint="eastAsia" w:ascii="宋体" w:hAnsi="宋体" w:cs="宋体"/>
                <w:color w:val="auto"/>
                <w:sz w:val="24"/>
                <w:highlight w:val="none"/>
              </w:rPr>
              <w:t>万</w:t>
            </w:r>
            <w:r>
              <w:rPr>
                <w:rFonts w:hint="eastAsia" w:ascii="宋体" w:hAnsi="宋体" w:cs="宋体"/>
                <w:color w:val="auto"/>
                <w:kern w:val="0"/>
                <w:sz w:val="24"/>
                <w:highlight w:val="none"/>
              </w:rPr>
              <w:t>元</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0"/>
                <w:szCs w:val="20"/>
                <w:highlight w:val="none"/>
                <w:lang w:val="en-US" w:eastAsia="zh-CN"/>
              </w:rPr>
              <w:t>活动中心采购音响设备、篮球架、led屏等</w:t>
            </w:r>
          </w:p>
        </w:tc>
      </w:tr>
    </w:tbl>
    <w:tbl>
      <w:tblPr>
        <w:tblStyle w:val="14"/>
        <w:tblW w:w="9983" w:type="dxa"/>
        <w:tblInd w:w="-820" w:type="dxa"/>
        <w:tblLayout w:type="fixed"/>
        <w:tblCellMar>
          <w:top w:w="15" w:type="dxa"/>
          <w:left w:w="15" w:type="dxa"/>
          <w:bottom w:w="15" w:type="dxa"/>
          <w:right w:w="15" w:type="dxa"/>
        </w:tblCellMar>
      </w:tblPr>
      <w:tblGrid>
        <w:gridCol w:w="683"/>
        <w:gridCol w:w="983"/>
        <w:gridCol w:w="850"/>
        <w:gridCol w:w="1329"/>
        <w:gridCol w:w="1182"/>
        <w:gridCol w:w="1752"/>
        <w:gridCol w:w="1632"/>
        <w:gridCol w:w="1572"/>
      </w:tblGrid>
      <w:tr>
        <w:tblPrEx>
          <w:tblCellMar>
            <w:top w:w="15" w:type="dxa"/>
            <w:left w:w="15" w:type="dxa"/>
            <w:bottom w:w="15" w:type="dxa"/>
            <w:right w:w="15" w:type="dxa"/>
          </w:tblCellMar>
        </w:tblPrEx>
        <w:trPr>
          <w:trHeight w:val="624" w:hRule="atLeast"/>
        </w:trPr>
        <w:tc>
          <w:tcPr>
            <w:tcW w:w="68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auto"/>
                <w:sz w:val="24"/>
                <w:highlight w:val="none"/>
              </w:rPr>
            </w:pPr>
            <w:r>
              <w:rPr>
                <w:rFonts w:hint="eastAsia" w:ascii="仿宋_GB2312" w:hAnsi="宋体" w:eastAsia="仿宋_GB2312" w:cs="仿宋_GB2312"/>
                <w:color w:val="auto"/>
                <w:kern w:val="0"/>
                <w:sz w:val="24"/>
                <w:highlight w:val="none"/>
              </w:rPr>
              <w:t>绩效指标完成情况</w:t>
            </w:r>
          </w:p>
        </w:tc>
        <w:tc>
          <w:tcPr>
            <w:tcW w:w="983" w:type="dxa"/>
            <w:vMerge w:val="restart"/>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一级指标</w:t>
            </w:r>
          </w:p>
        </w:tc>
        <w:tc>
          <w:tcPr>
            <w:tcW w:w="850"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二级指标</w:t>
            </w: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ind w:firstLine="602" w:firstLineChars="300"/>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预期指标值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c>
          <w:tcPr>
            <w:tcW w:w="157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实际完成指标值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r>
      <w:tr>
        <w:tblPrEx>
          <w:tblCellMar>
            <w:top w:w="15" w:type="dxa"/>
            <w:left w:w="15" w:type="dxa"/>
            <w:bottom w:w="15" w:type="dxa"/>
            <w:right w:w="15" w:type="dxa"/>
          </w:tblCellMar>
        </w:tblPrEx>
        <w:trPr>
          <w:trHeight w:val="624"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312"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ind w:firstLine="1400" w:firstLineChars="700"/>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项目决策</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项目预期提供的产品、服务、效益或其他目标明确</w:t>
            </w:r>
            <w:r>
              <w:rPr>
                <w:rFonts w:ascii="宋体" w:cs="宋体"/>
                <w:color w:val="auto"/>
                <w:kern w:val="0"/>
                <w:sz w:val="20"/>
                <w:szCs w:val="20"/>
                <w:highlight w:val="none"/>
              </w:rPr>
              <w:t>,</w:t>
            </w:r>
            <w:r>
              <w:rPr>
                <w:rFonts w:hint="eastAsia" w:ascii="宋体" w:hAnsi="宋体" w:cs="宋体"/>
                <w:color w:val="auto"/>
                <w:kern w:val="0"/>
                <w:sz w:val="20"/>
                <w:szCs w:val="20"/>
                <w:highlight w:val="none"/>
              </w:rPr>
              <w:t>即绩效目标实际明确个数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应当明确个数×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64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69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绩效目标设定符合实际需求的抽样项目点个数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决策依据</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符合</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符合</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57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r>
      <w:tr>
        <w:tblPrEx>
          <w:tblCellMar>
            <w:top w:w="15" w:type="dxa"/>
            <w:left w:w="15" w:type="dxa"/>
            <w:bottom w:w="15" w:type="dxa"/>
            <w:right w:w="15" w:type="dxa"/>
          </w:tblCellMar>
        </w:tblPrEx>
        <w:trPr>
          <w:trHeight w:val="82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分配结果</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符合申报条件的抽样项目点个数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10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财政资金占项目资金总额比重较小项目个数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按实际分配结果选择客观因素测算验证资金分配方法制定、分配要素设定、基础数据应用、测算依据选取等是否科学合理（</w:t>
            </w:r>
            <w:r>
              <w:rPr>
                <w:rFonts w:ascii="宋体" w:hAnsi="宋体" w:cs="宋体"/>
                <w:color w:val="auto"/>
                <w:kern w:val="0"/>
                <w:sz w:val="20"/>
                <w:szCs w:val="20"/>
                <w:highlight w:val="none"/>
              </w:rPr>
              <w:t>2</w:t>
            </w:r>
            <w:r>
              <w:rPr>
                <w:rFonts w:hint="eastAsia" w:ascii="宋体" w:hAnsi="宋体" w:cs="宋体"/>
                <w:color w:val="auto"/>
                <w:kern w:val="0"/>
                <w:sz w:val="20"/>
                <w:szCs w:val="20"/>
                <w:highlight w:val="none"/>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54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项目管理</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ascii="宋体" w:hAnsi="宋体" w:cs="宋体"/>
                <w:color w:val="auto"/>
                <w:kern w:val="0"/>
                <w:sz w:val="20"/>
                <w:szCs w:val="20"/>
                <w:highlight w:val="none"/>
              </w:rPr>
              <w:t xml:space="preserve"> </w:t>
            </w:r>
            <w:r>
              <w:rPr>
                <w:rFonts w:hint="eastAsia" w:ascii="宋体" w:hAnsi="宋体" w:cs="宋体"/>
                <w:color w:val="auto"/>
                <w:kern w:val="0"/>
                <w:sz w:val="20"/>
                <w:szCs w:val="20"/>
                <w:highlight w:val="none"/>
              </w:rPr>
              <w:t>资金到位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11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资金管理</w:t>
            </w:r>
            <w:r>
              <w:rPr>
                <w:rFonts w:ascii="宋体" w:hAnsi="宋体" w:cs="宋体"/>
                <w:color w:val="auto"/>
                <w:kern w:val="0"/>
                <w:sz w:val="20"/>
                <w:szCs w:val="20"/>
                <w:highlight w:val="none"/>
              </w:rPr>
              <w:t xml:space="preserve">  </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资金支付依据符合规定，即支付依旧合规资金量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资金开支标准符合规定，即开支标准合规资金量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财务管理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组织实施（</w:t>
            </w:r>
            <w:r>
              <w:rPr>
                <w:rFonts w:ascii="宋体" w:hAnsi="宋体" w:cs="宋体"/>
                <w:color w:val="auto"/>
                <w:kern w:val="0"/>
                <w:sz w:val="20"/>
                <w:szCs w:val="20"/>
                <w:highlight w:val="none"/>
              </w:rPr>
              <w:t>4</w:t>
            </w:r>
            <w:r>
              <w:rPr>
                <w:rFonts w:hint="eastAsia" w:ascii="宋体" w:hAnsi="宋体" w:cs="宋体"/>
                <w:color w:val="auto"/>
                <w:kern w:val="0"/>
                <w:sz w:val="20"/>
                <w:szCs w:val="20"/>
                <w:highlight w:val="none"/>
              </w:rPr>
              <w:t>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8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项目投资变更额</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项目总投入×</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未出现更改</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未出现更改</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项目绩效</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项目完成</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实际完成任务量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绩效目标设定任务量×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9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（实际完成时间</w:t>
            </w:r>
            <w:r>
              <w:rPr>
                <w:rFonts w:asci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（实际完成成本</w:t>
            </w:r>
            <w:r>
              <w:rPr>
                <w:rFonts w:asci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r>
      <w:tr>
        <w:tblPrEx>
          <w:tblCellMar>
            <w:top w:w="15" w:type="dxa"/>
            <w:left w:w="15" w:type="dxa"/>
            <w:bottom w:w="15" w:type="dxa"/>
            <w:right w:w="15" w:type="dxa"/>
          </w:tblCellMar>
        </w:tblPrEx>
        <w:trPr>
          <w:trHeight w:val="2723"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项目效益</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both"/>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Style w:val="6"/>
              <w:keepNext w:val="0"/>
              <w:keepLines w:val="0"/>
              <w:pageBreakBefore w:val="0"/>
              <w:widowControl w:val="0"/>
              <w:kinsoku/>
              <w:wordWrap/>
              <w:overflowPunct/>
              <w:topLinePunct w:val="0"/>
              <w:autoSpaceDE/>
              <w:autoSpaceDN/>
              <w:bidi w:val="0"/>
              <w:adjustRightInd/>
              <w:snapToGrid/>
              <w:spacing w:before="0" w:line="260" w:lineRule="exact"/>
              <w:ind w:right="0" w:rightChars="0"/>
              <w:textAlignment w:val="auto"/>
              <w:outlineLvl w:val="9"/>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通过项目的实施，将有效改善当地生产生活条件，形成以畜牧业为主导产业的产业结构，可实现人均增收602元，有效带动96户339人贫困群众率先摆脱贫困带头奔康。</w:t>
            </w:r>
          </w:p>
        </w:tc>
        <w:tc>
          <w:tcPr>
            <w:tcW w:w="1572" w:type="dxa"/>
            <w:tcBorders>
              <w:top w:val="single" w:color="000000" w:sz="4" w:space="0"/>
              <w:left w:val="single" w:color="000000" w:sz="4" w:space="0"/>
              <w:bottom w:val="single" w:color="000000" w:sz="4" w:space="0"/>
              <w:right w:val="single" w:color="000000" w:sz="4" w:space="0"/>
            </w:tcBorders>
            <w:vAlign w:val="bottom"/>
          </w:tcPr>
          <w:p>
            <w:pPr>
              <w:pStyle w:val="6"/>
              <w:keepNext w:val="0"/>
              <w:keepLines w:val="0"/>
              <w:pageBreakBefore w:val="0"/>
              <w:widowControl w:val="0"/>
              <w:kinsoku/>
              <w:wordWrap/>
              <w:overflowPunct/>
              <w:topLinePunct w:val="0"/>
              <w:autoSpaceDE/>
              <w:autoSpaceDN/>
              <w:bidi w:val="0"/>
              <w:adjustRightInd/>
              <w:snapToGrid/>
              <w:spacing w:before="0" w:line="260" w:lineRule="exact"/>
              <w:ind w:left="0" w:leftChars="0" w:right="0" w:rightChars="0" w:firstLine="400" w:firstLineChars="200"/>
              <w:textAlignment w:val="auto"/>
              <w:outlineLvl w:val="9"/>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通过项目的实施，将有效改善当地生产生活条件，形成以畜牧业为主导产业的产业结构，可实现人均增收602元，有效带动96户339人贫困群众率先摆脱贫困带头奔康。</w:t>
            </w:r>
          </w:p>
          <w:p>
            <w:pPr>
              <w:rPr>
                <w:rFonts w:hint="eastAsia" w:ascii="宋体" w:hAnsi="宋体" w:eastAsia="宋体" w:cs="宋体"/>
                <w:color w:val="auto"/>
                <w:kern w:val="0"/>
                <w:sz w:val="20"/>
                <w:szCs w:val="20"/>
                <w:highlight w:val="none"/>
                <w:lang w:val="en-US" w:eastAsia="zh-CN" w:bidi="ar-SA"/>
              </w:rPr>
            </w:pP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hAnsi="宋体" w:cs="宋体"/>
                <w:color w:val="auto"/>
                <w:kern w:val="0"/>
                <w:sz w:val="20"/>
                <w:szCs w:val="20"/>
                <w:highlight w:val="none"/>
              </w:rPr>
            </w:pPr>
            <w:r>
              <w:rPr>
                <w:rFonts w:ascii="瀹嬩綋" w:hAnsi="瀹嬩綋" w:eastAsia="瀹嬩綋" w:cs="瀹嬩綋"/>
                <w:i w:val="0"/>
                <w:iCs w:val="0"/>
                <w:caps w:val="0"/>
                <w:color w:val="000000"/>
                <w:spacing w:val="0"/>
                <w:sz w:val="21"/>
                <w:szCs w:val="21"/>
                <w:shd w:val="clear" w:fill="FFFFFF"/>
              </w:rPr>
              <w:t>能够不断满足</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的精神文化生活需要</w:t>
            </w:r>
            <w:r>
              <w:rPr>
                <w:rFonts w:hint="eastAsia" w:ascii="瀹嬩綋" w:hAnsi="瀹嬩綋" w:eastAsia="宋体" w:cs="瀹嬩綋"/>
                <w:i w:val="0"/>
                <w:iCs w:val="0"/>
                <w:caps w:val="0"/>
                <w:color w:val="000000"/>
                <w:spacing w:val="0"/>
                <w:sz w:val="21"/>
                <w:szCs w:val="21"/>
                <w:shd w:val="clear" w:fill="FFFFFF"/>
                <w:lang w:eastAsia="zh-CN"/>
              </w:rPr>
              <w:t>，</w:t>
            </w:r>
            <w:r>
              <w:rPr>
                <w:rFonts w:ascii="瀹嬩綋" w:hAnsi="瀹嬩綋" w:eastAsia="瀹嬩綋" w:cs="瀹嬩綋"/>
                <w:i w:val="0"/>
                <w:iCs w:val="0"/>
                <w:caps w:val="0"/>
                <w:color w:val="000000"/>
                <w:spacing w:val="0"/>
                <w:sz w:val="21"/>
                <w:szCs w:val="21"/>
                <w:shd w:val="clear" w:fill="FFFFFF"/>
              </w:rPr>
              <w:t>为</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学习、娱乐、休闲、健身等活动提供了一个安全、舒适、宽松、优美的场所</w:t>
            </w:r>
          </w:p>
        </w:tc>
        <w:tc>
          <w:tcPr>
            <w:tcW w:w="157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hAnsi="宋体" w:cs="宋体"/>
                <w:color w:val="auto"/>
                <w:kern w:val="0"/>
                <w:sz w:val="20"/>
                <w:szCs w:val="20"/>
                <w:highlight w:val="none"/>
              </w:rPr>
            </w:pPr>
            <w:r>
              <w:rPr>
                <w:rFonts w:ascii="瀹嬩綋" w:hAnsi="瀹嬩綋" w:eastAsia="瀹嬩綋" w:cs="瀹嬩綋"/>
                <w:i w:val="0"/>
                <w:iCs w:val="0"/>
                <w:caps w:val="0"/>
                <w:color w:val="000000"/>
                <w:spacing w:val="0"/>
                <w:sz w:val="21"/>
                <w:szCs w:val="21"/>
                <w:shd w:val="clear" w:fill="FFFFFF"/>
              </w:rPr>
              <w:t>能够不断满足</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的精神文化生活需要</w:t>
            </w:r>
            <w:r>
              <w:rPr>
                <w:rFonts w:hint="eastAsia" w:ascii="瀹嬩綋" w:hAnsi="瀹嬩綋" w:eastAsia="宋体" w:cs="瀹嬩綋"/>
                <w:i w:val="0"/>
                <w:iCs w:val="0"/>
                <w:caps w:val="0"/>
                <w:color w:val="000000"/>
                <w:spacing w:val="0"/>
                <w:sz w:val="21"/>
                <w:szCs w:val="21"/>
                <w:shd w:val="clear" w:fill="FFFFFF"/>
                <w:lang w:eastAsia="zh-CN"/>
              </w:rPr>
              <w:t>，</w:t>
            </w:r>
            <w:r>
              <w:rPr>
                <w:rFonts w:ascii="瀹嬩綋" w:hAnsi="瀹嬩綋" w:eastAsia="瀹嬩綋" w:cs="瀹嬩綋"/>
                <w:i w:val="0"/>
                <w:iCs w:val="0"/>
                <w:caps w:val="0"/>
                <w:color w:val="000000"/>
                <w:spacing w:val="0"/>
                <w:sz w:val="21"/>
                <w:szCs w:val="21"/>
                <w:shd w:val="clear" w:fill="FFFFFF"/>
              </w:rPr>
              <w:t>为</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学习、娱乐、休闲、健身等活动提供了一个安全、舒适、宽松、优美的场所</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ind w:firstLine="200" w:firstLineChars="100"/>
              <w:textAlignment w:val="bottom"/>
              <w:rPr>
                <w:rFonts w:ascii="宋体" w:cs="宋体"/>
                <w:color w:val="auto"/>
                <w:sz w:val="20"/>
                <w:szCs w:val="20"/>
                <w:highlight w:val="none"/>
              </w:rPr>
            </w:pPr>
            <w:r>
              <w:rPr>
                <w:rFonts w:hint="eastAsia" w:ascii="宋体" w:hAnsi="宋体" w:cs="宋体"/>
                <w:color w:val="auto"/>
                <w:kern w:val="0"/>
                <w:sz w:val="20"/>
                <w:szCs w:val="20"/>
                <w:highlight w:val="none"/>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rPr>
                <w:rFonts w:ascii="宋体" w:cs="宋体"/>
                <w:color w:val="auto"/>
                <w:sz w:val="20"/>
                <w:szCs w:val="20"/>
                <w:highlight w:val="none"/>
              </w:rPr>
            </w:pPr>
            <w:r>
              <w:rPr>
                <w:rFonts w:ascii="瀹嬩綋" w:hAnsi="瀹嬩綋" w:eastAsia="瀹嬩綋" w:cs="瀹嬩綋"/>
                <w:i w:val="0"/>
                <w:iCs w:val="0"/>
                <w:caps w:val="0"/>
                <w:color w:val="000000"/>
                <w:spacing w:val="0"/>
                <w:sz w:val="21"/>
                <w:szCs w:val="21"/>
                <w:shd w:val="clear" w:fill="FFFFFF"/>
              </w:rPr>
              <w:t>通过此项目实施，为</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提供了一个安全、舒适、宽松、优美的场所，能够满足</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的精神文化生活需要。</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ascii="宋体" w:cs="宋体"/>
                <w:color w:val="auto"/>
                <w:sz w:val="20"/>
                <w:szCs w:val="20"/>
                <w:highlight w:val="none"/>
              </w:rPr>
            </w:pPr>
            <w:r>
              <w:rPr>
                <w:rFonts w:ascii="瀹嬩綋" w:hAnsi="瀹嬩綋" w:eastAsia="瀹嬩綋" w:cs="瀹嬩綋"/>
                <w:i w:val="0"/>
                <w:iCs w:val="0"/>
                <w:caps w:val="0"/>
                <w:color w:val="000000"/>
                <w:spacing w:val="0"/>
                <w:sz w:val="21"/>
                <w:szCs w:val="21"/>
                <w:shd w:val="clear" w:fill="FFFFFF"/>
              </w:rPr>
              <w:t>通过此项目实施，为</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提供了一个安全、舒适、宽松、优美的场所，能够满足</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的精神文化生活需要。</w:t>
            </w:r>
          </w:p>
        </w:tc>
      </w:tr>
      <w:tr>
        <w:tblPrEx>
          <w:tblCellMar>
            <w:top w:w="15" w:type="dxa"/>
            <w:left w:w="15" w:type="dxa"/>
            <w:bottom w:w="15" w:type="dxa"/>
            <w:right w:w="15" w:type="dxa"/>
          </w:tblCellMar>
        </w:tblPrEx>
        <w:trPr>
          <w:trHeight w:val="75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rPr>
                <w:rFonts w:ascii="瀹嬩綋" w:hAnsi="瀹嬩綋" w:eastAsia="瀹嬩綋" w:cs="瀹嬩綋"/>
                <w:i w:val="0"/>
                <w:iCs w:val="0"/>
                <w:caps w:val="0"/>
                <w:color w:val="000000"/>
                <w:spacing w:val="0"/>
                <w:sz w:val="21"/>
                <w:szCs w:val="21"/>
                <w:shd w:val="clear" w:fill="FFFFFF"/>
              </w:rPr>
            </w:pPr>
            <w:r>
              <w:rPr>
                <w:rFonts w:hint="eastAsia" w:ascii="瀹嬩綋" w:hAnsi="瀹嬩綋" w:eastAsia="瀹嬩綋" w:cs="瀹嬩綋"/>
                <w:i w:val="0"/>
                <w:iCs w:val="0"/>
                <w:caps w:val="0"/>
                <w:color w:val="000000"/>
                <w:spacing w:val="0"/>
                <w:sz w:val="21"/>
                <w:szCs w:val="21"/>
                <w:shd w:val="clear" w:fill="FFFFFF"/>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rPr>
                <w:rFonts w:ascii="瀹嬩綋" w:hAnsi="瀹嬩綋" w:eastAsia="瀹嬩綋" w:cs="瀹嬩綋"/>
                <w:i w:val="0"/>
                <w:iCs w:val="0"/>
                <w:caps w:val="0"/>
                <w:color w:val="000000"/>
                <w:spacing w:val="0"/>
                <w:sz w:val="21"/>
                <w:szCs w:val="21"/>
                <w:shd w:val="clear" w:fill="FFFFFF"/>
              </w:rPr>
            </w:pPr>
            <w:r>
              <w:rPr>
                <w:rFonts w:ascii="瀹嬩綋" w:hAnsi="瀹嬩綋" w:eastAsia="瀹嬩綋" w:cs="瀹嬩綋"/>
                <w:i w:val="0"/>
                <w:iCs w:val="0"/>
                <w:caps w:val="0"/>
                <w:color w:val="000000"/>
                <w:spacing w:val="0"/>
                <w:sz w:val="21"/>
                <w:szCs w:val="21"/>
                <w:shd w:val="clear" w:fill="FFFFFF"/>
              </w:rPr>
              <w:t>对</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的</w:t>
            </w:r>
            <w:r>
              <w:rPr>
                <w:rFonts w:hint="eastAsia" w:ascii="瀹嬩綋" w:hAnsi="瀹嬩綋" w:eastAsia="宋体" w:cs="瀹嬩綋"/>
                <w:i w:val="0"/>
                <w:iCs w:val="0"/>
                <w:caps w:val="0"/>
                <w:color w:val="000000"/>
                <w:spacing w:val="0"/>
                <w:sz w:val="21"/>
                <w:szCs w:val="21"/>
                <w:shd w:val="clear" w:fill="FFFFFF"/>
                <w:lang w:eastAsia="zh-CN"/>
              </w:rPr>
              <w:t>精神文化需要提供长期的基础支撑。</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ascii="瀹嬩綋" w:hAnsi="瀹嬩綋" w:eastAsia="瀹嬩綋" w:cs="瀹嬩綋"/>
                <w:i w:val="0"/>
                <w:iCs w:val="0"/>
                <w:caps w:val="0"/>
                <w:color w:val="000000"/>
                <w:spacing w:val="0"/>
                <w:sz w:val="21"/>
                <w:szCs w:val="21"/>
                <w:shd w:val="clear" w:fill="FFFFFF"/>
              </w:rPr>
            </w:pPr>
            <w:r>
              <w:rPr>
                <w:rFonts w:ascii="瀹嬩綋" w:hAnsi="瀹嬩綋" w:eastAsia="瀹嬩綋" w:cs="瀹嬩綋"/>
                <w:i w:val="0"/>
                <w:iCs w:val="0"/>
                <w:caps w:val="0"/>
                <w:color w:val="000000"/>
                <w:spacing w:val="0"/>
                <w:sz w:val="21"/>
                <w:szCs w:val="21"/>
                <w:shd w:val="clear" w:fill="FFFFFF"/>
              </w:rPr>
              <w:t>对</w:t>
            </w:r>
            <w:r>
              <w:rPr>
                <w:rFonts w:hint="eastAsia" w:ascii="瀹嬩綋" w:hAnsi="瀹嬩綋" w:eastAsia="宋体" w:cs="瀹嬩綋"/>
                <w:i w:val="0"/>
                <w:iCs w:val="0"/>
                <w:caps w:val="0"/>
                <w:color w:val="000000"/>
                <w:spacing w:val="0"/>
                <w:sz w:val="21"/>
                <w:szCs w:val="21"/>
                <w:shd w:val="clear" w:fill="FFFFFF"/>
                <w:lang w:eastAsia="zh-CN"/>
              </w:rPr>
              <w:t>群众</w:t>
            </w:r>
            <w:r>
              <w:rPr>
                <w:rFonts w:ascii="瀹嬩綋" w:hAnsi="瀹嬩綋" w:eastAsia="瀹嬩綋" w:cs="瀹嬩綋"/>
                <w:i w:val="0"/>
                <w:iCs w:val="0"/>
                <w:caps w:val="0"/>
                <w:color w:val="000000"/>
                <w:spacing w:val="0"/>
                <w:sz w:val="21"/>
                <w:szCs w:val="21"/>
                <w:shd w:val="clear" w:fill="FFFFFF"/>
              </w:rPr>
              <w:t>的</w:t>
            </w:r>
            <w:r>
              <w:rPr>
                <w:rFonts w:hint="eastAsia" w:ascii="瀹嬩綋" w:hAnsi="瀹嬩綋" w:eastAsia="宋体" w:cs="瀹嬩綋"/>
                <w:i w:val="0"/>
                <w:iCs w:val="0"/>
                <w:caps w:val="0"/>
                <w:color w:val="000000"/>
                <w:spacing w:val="0"/>
                <w:sz w:val="21"/>
                <w:szCs w:val="21"/>
                <w:shd w:val="clear" w:fill="FFFFFF"/>
                <w:lang w:eastAsia="zh-CN"/>
              </w:rPr>
              <w:t>精神文化需要提供长期的基础支撑。</w:t>
            </w:r>
          </w:p>
        </w:tc>
      </w:tr>
      <w:tr>
        <w:tblPrEx>
          <w:tblCellMar>
            <w:top w:w="15" w:type="dxa"/>
            <w:left w:w="15" w:type="dxa"/>
            <w:bottom w:w="15" w:type="dxa"/>
            <w:right w:w="15" w:type="dxa"/>
          </w:tblCellMar>
        </w:tblPrEx>
        <w:trPr>
          <w:trHeight w:val="108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满意度</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对本项目事实满意度好。无异议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bCs/>
                <w:color w:val="auto"/>
                <w:sz w:val="20"/>
                <w:szCs w:val="20"/>
                <w:highlight w:val="none"/>
              </w:rPr>
            </w:pPr>
            <w:r>
              <w:rPr>
                <w:rFonts w:hint="eastAsia" w:ascii="宋体" w:hAnsi="宋体" w:cs="宋体"/>
                <w:color w:val="auto"/>
                <w:sz w:val="20"/>
                <w:szCs w:val="20"/>
                <w:highlight w:val="none"/>
              </w:rPr>
              <w:t>对本项目事实满意度好。无异议</w:t>
            </w:r>
          </w:p>
        </w:tc>
      </w:tr>
    </w:tbl>
    <w:p>
      <w:pPr>
        <w:numPr>
          <w:ilvl w:val="0"/>
          <w:numId w:val="4"/>
        </w:numPr>
        <w:spacing w:line="580" w:lineRule="exact"/>
        <w:ind w:firstLine="640" w:firstLineChars="200"/>
        <w:rPr>
          <w:rFonts w:ascii="仿宋_GB2312" w:hAnsi="仿宋_GB2312" w:eastAsia="仿宋_GB2312" w:cs="仿宋_GB2312"/>
          <w:color w:val="auto"/>
          <w:sz w:val="32"/>
          <w:szCs w:val="32"/>
          <w:highlight w:val="none"/>
        </w:rPr>
      </w:pPr>
      <w:r>
        <w:rPr>
          <w:rFonts w:hint="eastAsia" w:ascii="仿宋_GB2312" w:hAnsi="宋体" w:eastAsia="仿宋_GB2312" w:cs="仿宋_GB2312"/>
          <w:color w:val="auto"/>
          <w:kern w:val="2"/>
          <w:sz w:val="32"/>
          <w:szCs w:val="24"/>
          <w:highlight w:val="none"/>
          <w:lang w:val="en-US" w:eastAsia="zh-CN" w:bidi="ar"/>
        </w:rPr>
        <w:t>邛溪镇热坤村栈道建设及基础设施提升项目,该项目总投资50万元，活动中心黑化120平方米、新建栈道410米及环境整治。</w:t>
      </w:r>
    </w:p>
    <w:tbl>
      <w:tblPr>
        <w:tblStyle w:val="14"/>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703"/>
        <w:gridCol w:w="2079"/>
        <w:gridCol w:w="2392"/>
        <w:gridCol w:w="2394"/>
        <w:gridCol w:w="2392"/>
      </w:tblGrid>
      <w:tr>
        <w:tblPrEx>
          <w:tblCellMar>
            <w:top w:w="0" w:type="dxa"/>
            <w:left w:w="0" w:type="dxa"/>
            <w:bottom w:w="0" w:type="dxa"/>
            <w:right w:w="0" w:type="dxa"/>
          </w:tblCellMar>
        </w:tblPrEx>
        <w:trPr>
          <w:trHeight w:val="1034" w:hRule="atLeast"/>
        </w:trPr>
        <w:tc>
          <w:tcPr>
            <w:tcW w:w="9960" w:type="dxa"/>
            <w:gridSpan w:val="5"/>
            <w:tcMar>
              <w:top w:w="15" w:type="dxa"/>
              <w:left w:w="15" w:type="dxa"/>
              <w:bottom w:w="0" w:type="dxa"/>
              <w:right w:w="15" w:type="dxa"/>
            </w:tcMar>
            <w:vAlign w:val="center"/>
          </w:tcPr>
          <w:p>
            <w:pPr>
              <w:pStyle w:val="25"/>
              <w:widowControl/>
              <w:ind w:left="4173" w:leftChars="1310" w:hanging="1422" w:hangingChars="395"/>
              <w:textAlignment w:val="center"/>
              <w:rPr>
                <w:rFonts w:ascii="宋体" w:hAnsi="宋体" w:cs="宋体"/>
                <w:color w:val="auto"/>
                <w:sz w:val="36"/>
                <w:szCs w:val="36"/>
                <w:highlight w:val="none"/>
              </w:rPr>
            </w:pPr>
            <w:r>
              <w:rPr>
                <w:rFonts w:hint="eastAsia" w:ascii="黑体" w:hAnsi="黑体" w:eastAsia="黑体" w:cs="宋体"/>
                <w:bCs/>
                <w:color w:val="auto"/>
                <w:kern w:val="0"/>
                <w:sz w:val="36"/>
                <w:szCs w:val="36"/>
                <w:highlight w:val="none"/>
              </w:rPr>
              <w:t>项目支出绩效目标完成情况表</w:t>
            </w:r>
            <w:r>
              <w:rPr>
                <w:rFonts w:hint="eastAsia" w:ascii="宋体" w:hAnsi="宋体" w:cs="宋体"/>
                <w:b/>
                <w:bCs/>
                <w:color w:val="auto"/>
                <w:kern w:val="0"/>
                <w:sz w:val="36"/>
                <w:szCs w:val="36"/>
                <w:highlight w:val="none"/>
              </w:rPr>
              <w:br w:type="textWrapping"/>
            </w:r>
            <w:r>
              <w:rPr>
                <w:rFonts w:hint="eastAsia" w:ascii="宋体" w:hAnsi="宋体" w:cs="宋体"/>
                <w:color w:val="auto"/>
                <w:kern w:val="0"/>
                <w:sz w:val="36"/>
                <w:szCs w:val="36"/>
                <w:highlight w:val="none"/>
              </w:rPr>
              <w:t>(</w:t>
            </w:r>
            <w:r>
              <w:rPr>
                <w:rFonts w:hint="eastAsia" w:ascii="宋体" w:hAnsi="宋体" w:cs="宋体"/>
                <w:color w:val="auto"/>
                <w:kern w:val="0"/>
                <w:sz w:val="36"/>
                <w:szCs w:val="36"/>
                <w:highlight w:val="none"/>
                <w:lang w:val="en-US" w:eastAsia="zh-CN"/>
              </w:rPr>
              <w:t>2021</w:t>
            </w:r>
            <w:r>
              <w:rPr>
                <w:rFonts w:hint="eastAsia" w:ascii="宋体" w:hAnsi="宋体" w:cs="宋体"/>
                <w:color w:val="auto"/>
                <w:kern w:val="0"/>
                <w:sz w:val="36"/>
                <w:szCs w:val="36"/>
                <w:highlight w:val="none"/>
              </w:rPr>
              <w:t>年度)</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kern w:val="0"/>
                <w:sz w:val="24"/>
                <w:highlight w:val="none"/>
              </w:rPr>
            </w:pPr>
            <w:r>
              <w:rPr>
                <w:rFonts w:hint="eastAsia" w:ascii="宋体" w:hAnsi="宋体" w:cs="宋体"/>
                <w:color w:val="auto"/>
                <w:kern w:val="0"/>
                <w:sz w:val="24"/>
                <w:highlight w:val="none"/>
                <w:lang w:val="en-US" w:eastAsia="zh-CN"/>
              </w:rPr>
              <w:t>邛溪镇热坤村栈道建设及基础设施提升项目</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红原县邛溪镇人民政府</w:t>
            </w: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预算执行情况(万元)</w:t>
            </w: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50</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执行数: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50</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276"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50</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50</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870"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年度目标完成情况</w:t>
            </w: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实际完成目标</w:t>
            </w:r>
          </w:p>
        </w:tc>
      </w:tr>
      <w:tr>
        <w:tblPrEx>
          <w:tblCellMar>
            <w:top w:w="0" w:type="dxa"/>
            <w:left w:w="0" w:type="dxa"/>
            <w:bottom w:w="0" w:type="dxa"/>
            <w:right w:w="0" w:type="dxa"/>
          </w:tblCellMar>
        </w:tblPrEx>
        <w:trPr>
          <w:trHeight w:val="1155"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rPr>
              <w:t>该项目总投资</w:t>
            </w:r>
            <w:r>
              <w:rPr>
                <w:rFonts w:hint="eastAsia" w:ascii="宋体" w:hAnsi="宋体" w:cs="宋体"/>
                <w:color w:val="auto"/>
                <w:sz w:val="24"/>
                <w:highlight w:val="none"/>
                <w:lang w:val="en-US" w:eastAsia="zh-CN"/>
              </w:rPr>
              <w:t>50</w:t>
            </w:r>
            <w:r>
              <w:rPr>
                <w:rFonts w:hint="eastAsia" w:ascii="宋体" w:hAnsi="宋体" w:cs="宋体"/>
                <w:color w:val="auto"/>
                <w:sz w:val="24"/>
                <w:highlight w:val="none"/>
              </w:rPr>
              <w:t>万元</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活动中心黑化120平方米、新建栈道410米及环境整治</w:t>
            </w:r>
          </w:p>
        </w:tc>
      </w:tr>
    </w:tbl>
    <w:tbl>
      <w:tblPr>
        <w:tblStyle w:val="14"/>
        <w:tblW w:w="9983" w:type="dxa"/>
        <w:tblInd w:w="-820" w:type="dxa"/>
        <w:tblLayout w:type="fixed"/>
        <w:tblCellMar>
          <w:top w:w="15" w:type="dxa"/>
          <w:left w:w="15" w:type="dxa"/>
          <w:bottom w:w="15" w:type="dxa"/>
          <w:right w:w="15" w:type="dxa"/>
        </w:tblCellMar>
      </w:tblPr>
      <w:tblGrid>
        <w:gridCol w:w="683"/>
        <w:gridCol w:w="983"/>
        <w:gridCol w:w="850"/>
        <w:gridCol w:w="1329"/>
        <w:gridCol w:w="1182"/>
        <w:gridCol w:w="1752"/>
        <w:gridCol w:w="1632"/>
        <w:gridCol w:w="1572"/>
      </w:tblGrid>
      <w:tr>
        <w:tblPrEx>
          <w:tblCellMar>
            <w:top w:w="15" w:type="dxa"/>
            <w:left w:w="15" w:type="dxa"/>
            <w:bottom w:w="15" w:type="dxa"/>
            <w:right w:w="15" w:type="dxa"/>
          </w:tblCellMar>
        </w:tblPrEx>
        <w:trPr>
          <w:trHeight w:val="624" w:hRule="atLeast"/>
        </w:trPr>
        <w:tc>
          <w:tcPr>
            <w:tcW w:w="68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auto"/>
                <w:sz w:val="24"/>
                <w:highlight w:val="none"/>
              </w:rPr>
            </w:pPr>
            <w:r>
              <w:rPr>
                <w:rFonts w:hint="eastAsia" w:ascii="仿宋_GB2312" w:hAnsi="宋体" w:eastAsia="仿宋_GB2312" w:cs="仿宋_GB2312"/>
                <w:color w:val="auto"/>
                <w:kern w:val="0"/>
                <w:sz w:val="24"/>
                <w:highlight w:val="none"/>
              </w:rPr>
              <w:t>绩效指标完成情况</w:t>
            </w:r>
          </w:p>
        </w:tc>
        <w:tc>
          <w:tcPr>
            <w:tcW w:w="983" w:type="dxa"/>
            <w:vMerge w:val="restart"/>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一级指标</w:t>
            </w:r>
          </w:p>
        </w:tc>
        <w:tc>
          <w:tcPr>
            <w:tcW w:w="850"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二级指标</w:t>
            </w: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ind w:firstLine="602" w:firstLineChars="300"/>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预期指标值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c>
          <w:tcPr>
            <w:tcW w:w="157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实际完成指标值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r>
      <w:tr>
        <w:tblPrEx>
          <w:tblCellMar>
            <w:top w:w="15" w:type="dxa"/>
            <w:left w:w="15" w:type="dxa"/>
            <w:bottom w:w="15" w:type="dxa"/>
            <w:right w:w="15" w:type="dxa"/>
          </w:tblCellMar>
        </w:tblPrEx>
        <w:trPr>
          <w:trHeight w:val="624"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312"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ind w:firstLine="1400" w:firstLineChars="700"/>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项目决策</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项目预期提供的产品、服务、效益或其他目标明确</w:t>
            </w:r>
            <w:r>
              <w:rPr>
                <w:rFonts w:ascii="宋体" w:cs="宋体"/>
                <w:color w:val="auto"/>
                <w:kern w:val="0"/>
                <w:sz w:val="20"/>
                <w:szCs w:val="20"/>
                <w:highlight w:val="none"/>
              </w:rPr>
              <w:t>,</w:t>
            </w:r>
            <w:r>
              <w:rPr>
                <w:rFonts w:hint="eastAsia" w:ascii="宋体" w:hAnsi="宋体" w:cs="宋体"/>
                <w:color w:val="auto"/>
                <w:kern w:val="0"/>
                <w:sz w:val="20"/>
                <w:szCs w:val="20"/>
                <w:highlight w:val="none"/>
              </w:rPr>
              <w:t>即绩效目标实际明确个数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应当明确个数×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64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69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绩效目标设定符合实际需求的抽样项目点个数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决策依据</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符合</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符合</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57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r>
      <w:tr>
        <w:tblPrEx>
          <w:tblCellMar>
            <w:top w:w="15" w:type="dxa"/>
            <w:left w:w="15" w:type="dxa"/>
            <w:bottom w:w="15" w:type="dxa"/>
            <w:right w:w="15" w:type="dxa"/>
          </w:tblCellMar>
        </w:tblPrEx>
        <w:trPr>
          <w:trHeight w:val="82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分配结果</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符合申报条件的抽样项目点个数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10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财政资金占项目资金总额比重较小项目个数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按实际分配结果选择客观因素测算验证资金分配方法制定、分配要素设定、基础数据应用、测算依据选取等是否科学合理（</w:t>
            </w:r>
            <w:r>
              <w:rPr>
                <w:rFonts w:ascii="宋体" w:hAnsi="宋体" w:cs="宋体"/>
                <w:color w:val="auto"/>
                <w:kern w:val="0"/>
                <w:sz w:val="20"/>
                <w:szCs w:val="20"/>
                <w:highlight w:val="none"/>
              </w:rPr>
              <w:t>2</w:t>
            </w:r>
            <w:r>
              <w:rPr>
                <w:rFonts w:hint="eastAsia" w:ascii="宋体" w:hAnsi="宋体" w:cs="宋体"/>
                <w:color w:val="auto"/>
                <w:kern w:val="0"/>
                <w:sz w:val="20"/>
                <w:szCs w:val="20"/>
                <w:highlight w:val="none"/>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54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项目管理</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ascii="宋体" w:hAnsi="宋体" w:cs="宋体"/>
                <w:color w:val="auto"/>
                <w:kern w:val="0"/>
                <w:sz w:val="20"/>
                <w:szCs w:val="20"/>
                <w:highlight w:val="none"/>
              </w:rPr>
              <w:t xml:space="preserve"> </w:t>
            </w:r>
            <w:r>
              <w:rPr>
                <w:rFonts w:hint="eastAsia" w:ascii="宋体" w:hAnsi="宋体" w:cs="宋体"/>
                <w:color w:val="auto"/>
                <w:kern w:val="0"/>
                <w:sz w:val="20"/>
                <w:szCs w:val="20"/>
                <w:highlight w:val="none"/>
              </w:rPr>
              <w:t>资金到位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11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资金管理</w:t>
            </w:r>
            <w:r>
              <w:rPr>
                <w:rFonts w:ascii="宋体" w:hAnsi="宋体" w:cs="宋体"/>
                <w:color w:val="auto"/>
                <w:kern w:val="0"/>
                <w:sz w:val="20"/>
                <w:szCs w:val="20"/>
                <w:highlight w:val="none"/>
              </w:rPr>
              <w:t xml:space="preserve">  </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资金支付依据符合规定，即支付依旧合规资金量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资金开支标准符合规定，即开支标准合规资金量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财务管理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组织实施（</w:t>
            </w:r>
            <w:r>
              <w:rPr>
                <w:rFonts w:ascii="宋体" w:hAnsi="宋体" w:cs="宋体"/>
                <w:color w:val="auto"/>
                <w:kern w:val="0"/>
                <w:sz w:val="20"/>
                <w:szCs w:val="20"/>
                <w:highlight w:val="none"/>
              </w:rPr>
              <w:t>4</w:t>
            </w:r>
            <w:r>
              <w:rPr>
                <w:rFonts w:hint="eastAsia" w:ascii="宋体" w:hAnsi="宋体" w:cs="宋体"/>
                <w:color w:val="auto"/>
                <w:kern w:val="0"/>
                <w:sz w:val="20"/>
                <w:szCs w:val="20"/>
                <w:highlight w:val="none"/>
              </w:rPr>
              <w:t>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8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项目投资变更额</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项目总投入×</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未出现更改</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未出现更改</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项目绩效</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项目完成</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实际完成任务量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绩效目标设定任务量×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9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（实际完成时间</w:t>
            </w:r>
            <w:r>
              <w:rPr>
                <w:rFonts w:asci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（实际完成成本</w:t>
            </w:r>
            <w:r>
              <w:rPr>
                <w:rFonts w:asci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项目效益</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此项目的建设和投入使用，从经济效益上看，可拉动区域经济，建成后可盘活周边地块商业价值和商业，刺激区内旅游消费</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此项目的建设和投入使用，从经济效益上看，可拉动区域经济，建成后可盘活周边地块商业价值和商业，刺激区内旅游消费</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此项目的建设，为群众增加了一处</w:t>
            </w:r>
            <w:r>
              <w:rPr>
                <w:rFonts w:hint="eastAsia" w:ascii="宋体" w:hAnsi="宋体" w:cs="宋体"/>
                <w:color w:val="auto"/>
                <w:kern w:val="0"/>
                <w:sz w:val="20"/>
                <w:szCs w:val="20"/>
                <w:highlight w:val="none"/>
                <w:lang w:val="en-US" w:eastAsia="zh-CN" w:bidi="ar-SA"/>
              </w:rPr>
              <w:t>文化活动场地</w:t>
            </w:r>
            <w:r>
              <w:rPr>
                <w:rFonts w:hint="eastAsia" w:ascii="宋体" w:hAnsi="宋体" w:eastAsia="宋体" w:cs="宋体"/>
                <w:color w:val="auto"/>
                <w:kern w:val="0"/>
                <w:sz w:val="20"/>
                <w:szCs w:val="20"/>
                <w:highlight w:val="none"/>
                <w:lang w:val="en-US" w:eastAsia="zh-CN" w:bidi="ar-SA"/>
              </w:rPr>
              <w:t>，完善了基础设施建设。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hint="eastAsia" w:ascii="宋体" w:hAnsi="宋体" w:eastAsia="宋体" w:cs="宋体"/>
                <w:color w:val="auto"/>
                <w:kern w:val="0"/>
                <w:sz w:val="20"/>
                <w:szCs w:val="20"/>
                <w:highlight w:val="none"/>
                <w:lang w:val="en-US" w:eastAsia="zh-CN" w:bidi="ar-SA"/>
              </w:rPr>
            </w:pPr>
            <w:r>
              <w:rPr>
                <w:rFonts w:hint="eastAsia" w:ascii="宋体" w:hAnsi="宋体" w:eastAsia="宋体" w:cs="宋体"/>
                <w:color w:val="auto"/>
                <w:kern w:val="0"/>
                <w:sz w:val="20"/>
                <w:szCs w:val="20"/>
                <w:highlight w:val="none"/>
                <w:lang w:val="en-US" w:eastAsia="zh-CN" w:bidi="ar-SA"/>
              </w:rPr>
              <w:t>此项目的建设，为群众增加了一处</w:t>
            </w:r>
            <w:r>
              <w:rPr>
                <w:rFonts w:hint="eastAsia" w:ascii="宋体" w:hAnsi="宋体" w:cs="宋体"/>
                <w:color w:val="auto"/>
                <w:kern w:val="0"/>
                <w:sz w:val="20"/>
                <w:szCs w:val="20"/>
                <w:highlight w:val="none"/>
                <w:lang w:val="en-US" w:eastAsia="zh-CN" w:bidi="ar-SA"/>
              </w:rPr>
              <w:t>文化活动场地</w:t>
            </w:r>
            <w:r>
              <w:rPr>
                <w:rFonts w:hint="eastAsia" w:ascii="宋体" w:hAnsi="宋体" w:eastAsia="宋体" w:cs="宋体"/>
                <w:color w:val="auto"/>
                <w:kern w:val="0"/>
                <w:sz w:val="20"/>
                <w:szCs w:val="20"/>
                <w:highlight w:val="none"/>
                <w:lang w:val="en-US" w:eastAsia="zh-CN" w:bidi="ar-SA"/>
              </w:rPr>
              <w:t>，完善了基础设施建设。</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ind w:firstLine="200" w:firstLineChars="100"/>
              <w:textAlignment w:val="bottom"/>
              <w:rPr>
                <w:rFonts w:ascii="宋体" w:cs="宋体"/>
                <w:color w:val="auto"/>
                <w:sz w:val="20"/>
                <w:szCs w:val="20"/>
                <w:highlight w:val="none"/>
              </w:rPr>
            </w:pPr>
            <w:r>
              <w:rPr>
                <w:rFonts w:hint="eastAsia" w:ascii="宋体" w:hAnsi="宋体" w:cs="宋体"/>
                <w:color w:val="auto"/>
                <w:kern w:val="0"/>
                <w:sz w:val="20"/>
                <w:szCs w:val="20"/>
                <w:highlight w:val="none"/>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此项目的建设，为群众增加了一处</w:t>
            </w:r>
            <w:r>
              <w:rPr>
                <w:rFonts w:hint="eastAsia" w:ascii="宋体" w:hAnsi="宋体" w:cs="宋体"/>
                <w:color w:val="auto"/>
                <w:kern w:val="0"/>
                <w:sz w:val="20"/>
                <w:szCs w:val="20"/>
                <w:highlight w:val="none"/>
                <w:lang w:val="en-US" w:eastAsia="zh-CN" w:bidi="ar-SA"/>
              </w:rPr>
              <w:t>文化活动场地</w:t>
            </w:r>
            <w:r>
              <w:rPr>
                <w:rFonts w:hint="eastAsia" w:ascii="宋体" w:hAnsi="宋体" w:eastAsia="宋体" w:cs="宋体"/>
                <w:color w:val="auto"/>
                <w:kern w:val="0"/>
                <w:sz w:val="20"/>
                <w:szCs w:val="20"/>
                <w:highlight w:val="none"/>
                <w:lang w:val="en-US" w:eastAsia="zh-CN" w:bidi="ar-SA"/>
              </w:rPr>
              <w:t>，完善了基础设施建设。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此项目的建设，为群众增加了一处</w:t>
            </w:r>
            <w:r>
              <w:rPr>
                <w:rFonts w:hint="eastAsia" w:ascii="宋体" w:hAnsi="宋体" w:cs="宋体"/>
                <w:color w:val="auto"/>
                <w:kern w:val="0"/>
                <w:sz w:val="20"/>
                <w:szCs w:val="20"/>
                <w:highlight w:val="none"/>
                <w:lang w:val="en-US" w:eastAsia="zh-CN" w:bidi="ar-SA"/>
              </w:rPr>
              <w:t>文化活动场地</w:t>
            </w:r>
            <w:r>
              <w:rPr>
                <w:rFonts w:hint="eastAsia" w:ascii="宋体" w:hAnsi="宋体" w:eastAsia="宋体" w:cs="宋体"/>
                <w:color w:val="auto"/>
                <w:kern w:val="0"/>
                <w:sz w:val="20"/>
                <w:szCs w:val="20"/>
                <w:highlight w:val="none"/>
                <w:lang w:val="en-US" w:eastAsia="zh-CN" w:bidi="ar-SA"/>
              </w:rPr>
              <w:t>，完善了基础设施建设。</w:t>
            </w:r>
          </w:p>
        </w:tc>
      </w:tr>
      <w:tr>
        <w:tblPrEx>
          <w:tblCellMar>
            <w:top w:w="15" w:type="dxa"/>
            <w:left w:w="15" w:type="dxa"/>
            <w:bottom w:w="15" w:type="dxa"/>
            <w:right w:w="15" w:type="dxa"/>
          </w:tblCellMar>
        </w:tblPrEx>
        <w:trPr>
          <w:trHeight w:val="75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此项目无污染产生，建成后将促进我</w:t>
            </w:r>
            <w:r>
              <w:rPr>
                <w:rFonts w:hint="eastAsia" w:ascii="宋体" w:hAnsi="宋体" w:cs="宋体"/>
                <w:color w:val="auto"/>
                <w:kern w:val="0"/>
                <w:sz w:val="20"/>
                <w:szCs w:val="20"/>
                <w:highlight w:val="none"/>
                <w:lang w:val="en-US" w:eastAsia="zh-CN" w:bidi="ar-SA"/>
              </w:rPr>
              <w:t>镇</w:t>
            </w:r>
            <w:r>
              <w:rPr>
                <w:rFonts w:hint="eastAsia" w:ascii="宋体" w:hAnsi="宋体" w:eastAsia="宋体" w:cs="宋体"/>
                <w:color w:val="auto"/>
                <w:kern w:val="0"/>
                <w:sz w:val="20"/>
                <w:szCs w:val="20"/>
                <w:highlight w:val="none"/>
                <w:lang w:val="en-US" w:eastAsia="zh-CN" w:bidi="ar-SA"/>
              </w:rPr>
              <w:t>生态文明建设。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此项目无污染产生，建成后将促进我</w:t>
            </w:r>
            <w:r>
              <w:rPr>
                <w:rFonts w:hint="eastAsia" w:ascii="宋体" w:hAnsi="宋体" w:cs="宋体"/>
                <w:color w:val="auto"/>
                <w:kern w:val="0"/>
                <w:sz w:val="20"/>
                <w:szCs w:val="20"/>
                <w:highlight w:val="none"/>
                <w:lang w:val="en-US" w:eastAsia="zh-CN" w:bidi="ar-SA"/>
              </w:rPr>
              <w:t>镇</w:t>
            </w:r>
            <w:r>
              <w:rPr>
                <w:rFonts w:hint="eastAsia" w:ascii="宋体" w:hAnsi="宋体" w:eastAsia="宋体" w:cs="宋体"/>
                <w:color w:val="auto"/>
                <w:kern w:val="0"/>
                <w:sz w:val="20"/>
                <w:szCs w:val="20"/>
                <w:highlight w:val="none"/>
                <w:lang w:val="en-US" w:eastAsia="zh-CN" w:bidi="ar-SA"/>
              </w:rPr>
              <w:t>生态文明建设。</w:t>
            </w:r>
          </w:p>
        </w:tc>
      </w:tr>
      <w:tr>
        <w:tblPrEx>
          <w:tblCellMar>
            <w:top w:w="15" w:type="dxa"/>
            <w:left w:w="15" w:type="dxa"/>
            <w:bottom w:w="15" w:type="dxa"/>
            <w:right w:w="15" w:type="dxa"/>
          </w:tblCellMar>
        </w:tblPrEx>
        <w:trPr>
          <w:trHeight w:val="108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满意度</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对本项目事实满意度好。无异议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bCs/>
                <w:color w:val="auto"/>
                <w:sz w:val="20"/>
                <w:szCs w:val="20"/>
                <w:highlight w:val="none"/>
              </w:rPr>
            </w:pPr>
            <w:r>
              <w:rPr>
                <w:rFonts w:hint="eastAsia" w:ascii="宋体" w:hAnsi="宋体" w:cs="宋体"/>
                <w:color w:val="auto"/>
                <w:sz w:val="20"/>
                <w:szCs w:val="20"/>
                <w:highlight w:val="none"/>
              </w:rPr>
              <w:t>对本项目事实满意度好。无异议</w:t>
            </w:r>
          </w:p>
        </w:tc>
      </w:tr>
    </w:tbl>
    <w:p>
      <w:pPr>
        <w:spacing w:line="580" w:lineRule="exact"/>
        <w:rPr>
          <w:rFonts w:ascii="仿宋_GB2312" w:hAnsi="仿宋_GB2312" w:eastAsia="仿宋_GB2312" w:cs="仿宋_GB2312"/>
          <w:color w:val="auto"/>
          <w:sz w:val="32"/>
          <w:szCs w:val="32"/>
          <w:highlight w:val="none"/>
        </w:rPr>
      </w:pP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rFonts w:ascii="仿宋_GB2312" w:hAnsi="仿宋_GB2312" w:eastAsia="仿宋_GB2312" w:cs="仿宋_GB2312"/>
          <w:color w:val="auto"/>
          <w:sz w:val="32"/>
          <w:szCs w:val="32"/>
          <w:highlight w:val="none"/>
        </w:rPr>
      </w:pPr>
      <w:r>
        <w:rPr>
          <w:rFonts w:hint="eastAsia" w:ascii="仿宋_GB2312" w:hAnsi="宋体" w:eastAsia="仿宋_GB2312" w:cs="仿宋_GB2312"/>
          <w:color w:val="auto"/>
          <w:kern w:val="2"/>
          <w:sz w:val="32"/>
          <w:szCs w:val="24"/>
          <w:highlight w:val="none"/>
          <w:lang w:val="en-US" w:eastAsia="zh-CN" w:bidi="ar"/>
        </w:rPr>
        <w:t>（5）邛溪镇热坤村综合活动中心建设项目，该项目总投资250万元，主要新建室内综合活动中心800平方米及附属设施</w:t>
      </w:r>
      <w:r>
        <w:rPr>
          <w:rFonts w:hint="eastAsia" w:ascii="仿宋_GB2312" w:hAnsi="仿宋_GB2312" w:eastAsia="仿宋_GB2312" w:cs="仿宋_GB2312"/>
          <w:b w:val="0"/>
          <w:bCs w:val="0"/>
          <w:color w:val="auto"/>
          <w:sz w:val="32"/>
          <w:szCs w:val="32"/>
          <w:highlight w:val="none"/>
          <w:lang w:val="en-US" w:eastAsia="zh-CN"/>
        </w:rPr>
        <w:t>。</w:t>
      </w:r>
    </w:p>
    <w:tbl>
      <w:tblPr>
        <w:tblStyle w:val="14"/>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703"/>
        <w:gridCol w:w="2079"/>
        <w:gridCol w:w="2392"/>
        <w:gridCol w:w="2394"/>
        <w:gridCol w:w="2392"/>
      </w:tblGrid>
      <w:tr>
        <w:tblPrEx>
          <w:tblCellMar>
            <w:top w:w="0" w:type="dxa"/>
            <w:left w:w="0" w:type="dxa"/>
            <w:bottom w:w="0" w:type="dxa"/>
            <w:right w:w="0" w:type="dxa"/>
          </w:tblCellMar>
        </w:tblPrEx>
        <w:trPr>
          <w:trHeight w:val="1034" w:hRule="atLeast"/>
        </w:trPr>
        <w:tc>
          <w:tcPr>
            <w:tcW w:w="9960" w:type="dxa"/>
            <w:gridSpan w:val="5"/>
            <w:tcMar>
              <w:top w:w="15" w:type="dxa"/>
              <w:left w:w="15" w:type="dxa"/>
              <w:bottom w:w="0" w:type="dxa"/>
              <w:right w:w="15" w:type="dxa"/>
            </w:tcMar>
            <w:vAlign w:val="center"/>
          </w:tcPr>
          <w:p>
            <w:pPr>
              <w:pStyle w:val="25"/>
              <w:widowControl/>
              <w:ind w:left="4173" w:leftChars="1310" w:hanging="1422" w:hangingChars="395"/>
              <w:textAlignment w:val="center"/>
              <w:rPr>
                <w:rFonts w:ascii="宋体" w:hAnsi="宋体" w:cs="宋体"/>
                <w:color w:val="auto"/>
                <w:sz w:val="36"/>
                <w:szCs w:val="36"/>
                <w:highlight w:val="none"/>
              </w:rPr>
            </w:pPr>
            <w:r>
              <w:rPr>
                <w:rFonts w:hint="eastAsia" w:ascii="黑体" w:hAnsi="黑体" w:eastAsia="黑体" w:cs="宋体"/>
                <w:bCs/>
                <w:color w:val="auto"/>
                <w:kern w:val="0"/>
                <w:sz w:val="36"/>
                <w:szCs w:val="36"/>
                <w:highlight w:val="none"/>
              </w:rPr>
              <w:t>项目支出绩效目标完成情况表</w:t>
            </w:r>
            <w:r>
              <w:rPr>
                <w:rFonts w:hint="eastAsia" w:ascii="宋体" w:hAnsi="宋体" w:cs="宋体"/>
                <w:b/>
                <w:bCs/>
                <w:color w:val="auto"/>
                <w:kern w:val="0"/>
                <w:sz w:val="36"/>
                <w:szCs w:val="36"/>
                <w:highlight w:val="none"/>
              </w:rPr>
              <w:br w:type="textWrapping"/>
            </w:r>
            <w:r>
              <w:rPr>
                <w:rFonts w:hint="eastAsia" w:ascii="宋体" w:hAnsi="宋体" w:cs="宋体"/>
                <w:color w:val="auto"/>
                <w:kern w:val="0"/>
                <w:sz w:val="36"/>
                <w:szCs w:val="36"/>
                <w:highlight w:val="none"/>
              </w:rPr>
              <w:t>(20</w:t>
            </w:r>
            <w:r>
              <w:rPr>
                <w:rFonts w:hint="eastAsia" w:ascii="宋体" w:hAnsi="宋体" w:cs="宋体"/>
                <w:color w:val="auto"/>
                <w:kern w:val="0"/>
                <w:sz w:val="36"/>
                <w:szCs w:val="36"/>
                <w:highlight w:val="none"/>
                <w:lang w:val="en-US" w:eastAsia="zh-CN"/>
              </w:rPr>
              <w:t>21</w:t>
            </w:r>
            <w:r>
              <w:rPr>
                <w:rFonts w:hint="eastAsia" w:ascii="宋体" w:hAnsi="宋体" w:cs="宋体"/>
                <w:color w:val="auto"/>
                <w:kern w:val="0"/>
                <w:sz w:val="36"/>
                <w:szCs w:val="36"/>
                <w:highlight w:val="none"/>
              </w:rPr>
              <w:t>年度)</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项目名称</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邛溪镇热坤村综合活动中心建设项目</w:t>
            </w:r>
          </w:p>
        </w:tc>
      </w:tr>
      <w:tr>
        <w:tblPrEx>
          <w:tblCellMar>
            <w:top w:w="0" w:type="dxa"/>
            <w:left w:w="0" w:type="dxa"/>
            <w:bottom w:w="0" w:type="dxa"/>
            <w:right w:w="0" w:type="dxa"/>
          </w:tblCellMar>
        </w:tblPrEx>
        <w:trPr>
          <w:trHeight w:val="276" w:hRule="atLeast"/>
        </w:trPr>
        <w:tc>
          <w:tcPr>
            <w:tcW w:w="278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预算单位</w:t>
            </w:r>
          </w:p>
        </w:tc>
        <w:tc>
          <w:tcPr>
            <w:tcW w:w="7178"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textAlignment w:val="center"/>
              <w:rPr>
                <w:rFonts w:ascii="宋体" w:hAnsi="宋体" w:cs="宋体"/>
                <w:color w:val="auto"/>
                <w:kern w:val="0"/>
                <w:sz w:val="24"/>
                <w:highlight w:val="none"/>
              </w:rPr>
            </w:pPr>
            <w:r>
              <w:rPr>
                <w:rFonts w:hint="eastAsia" w:ascii="宋体" w:hAnsi="宋体" w:cs="宋体"/>
                <w:color w:val="auto"/>
                <w:kern w:val="0"/>
                <w:sz w:val="24"/>
                <w:highlight w:val="none"/>
              </w:rPr>
              <w:t>红原县邛溪镇人民政府</w:t>
            </w: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预算执行情况(万元)</w:t>
            </w: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预算数: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250</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执行数:</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250</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276"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250</w:t>
            </w:r>
            <w:r>
              <w:rPr>
                <w:rFonts w:hint="eastAsia" w:ascii="宋体" w:hAnsi="宋体" w:cs="宋体"/>
                <w:color w:val="auto"/>
                <w:kern w:val="0"/>
                <w:sz w:val="24"/>
                <w:highlight w:val="none"/>
              </w:rPr>
              <w:t>万元</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其中-财政拨款:</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250</w:t>
            </w:r>
            <w:r>
              <w:rPr>
                <w:rFonts w:hint="eastAsia" w:ascii="宋体" w:hAnsi="宋体" w:cs="宋体"/>
                <w:color w:val="auto"/>
                <w:kern w:val="0"/>
                <w:sz w:val="24"/>
                <w:highlight w:val="none"/>
              </w:rPr>
              <w:t>万元</w:t>
            </w:r>
          </w:p>
        </w:tc>
      </w:tr>
      <w:tr>
        <w:tblPrEx>
          <w:tblCellMar>
            <w:top w:w="0" w:type="dxa"/>
            <w:left w:w="0" w:type="dxa"/>
            <w:bottom w:w="0" w:type="dxa"/>
            <w:right w:w="0" w:type="dxa"/>
          </w:tblCellMar>
        </w:tblPrEx>
        <w:trPr>
          <w:trHeight w:val="870"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2079"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0</w:t>
            </w:r>
          </w:p>
        </w:tc>
        <w:tc>
          <w:tcPr>
            <w:tcW w:w="2394"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其它资金:</w:t>
            </w:r>
          </w:p>
        </w:tc>
        <w:tc>
          <w:tcPr>
            <w:tcW w:w="2392"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p>
        </w:tc>
      </w:tr>
      <w:tr>
        <w:tblPrEx>
          <w:tblCellMar>
            <w:top w:w="0" w:type="dxa"/>
            <w:left w:w="0" w:type="dxa"/>
            <w:bottom w:w="0" w:type="dxa"/>
            <w:right w:w="0" w:type="dxa"/>
          </w:tblCellMar>
        </w:tblPrEx>
        <w:trPr>
          <w:trHeight w:val="276" w:hRule="atLeast"/>
        </w:trPr>
        <w:tc>
          <w:tcPr>
            <w:tcW w:w="703"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年度目标完成情况</w:t>
            </w: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预期目标</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kern w:val="0"/>
                <w:sz w:val="24"/>
                <w:highlight w:val="none"/>
              </w:rPr>
              <w:t>实际完成目标</w:t>
            </w:r>
          </w:p>
        </w:tc>
      </w:tr>
      <w:tr>
        <w:tblPrEx>
          <w:tblCellMar>
            <w:top w:w="0" w:type="dxa"/>
            <w:left w:w="0" w:type="dxa"/>
            <w:bottom w:w="0" w:type="dxa"/>
            <w:right w:w="0" w:type="dxa"/>
          </w:tblCellMar>
        </w:tblPrEx>
        <w:trPr>
          <w:trHeight w:val="1155" w:hRule="atLeast"/>
        </w:trPr>
        <w:tc>
          <w:tcPr>
            <w:tcW w:w="70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kern w:val="0"/>
                <w:sz w:val="24"/>
                <w:highlight w:val="none"/>
              </w:rPr>
            </w:pPr>
          </w:p>
        </w:tc>
        <w:tc>
          <w:tcPr>
            <w:tcW w:w="4471"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center"/>
              <w:textAlignment w:val="center"/>
              <w:rPr>
                <w:rFonts w:ascii="宋体" w:hAnsi="宋体" w:cs="宋体"/>
                <w:color w:val="auto"/>
                <w:kern w:val="0"/>
                <w:sz w:val="24"/>
                <w:highlight w:val="none"/>
              </w:rPr>
            </w:pPr>
            <w:r>
              <w:rPr>
                <w:rFonts w:hint="eastAsia" w:ascii="宋体" w:hAnsi="宋体" w:cs="宋体"/>
                <w:color w:val="auto"/>
                <w:sz w:val="24"/>
                <w:highlight w:val="none"/>
              </w:rPr>
              <w:t>该项目总投资</w:t>
            </w:r>
            <w:r>
              <w:rPr>
                <w:rFonts w:hint="eastAsia" w:ascii="宋体" w:hAnsi="宋体" w:cs="宋体"/>
                <w:color w:val="auto"/>
                <w:sz w:val="24"/>
                <w:highlight w:val="none"/>
                <w:lang w:val="en-US" w:eastAsia="zh-CN"/>
              </w:rPr>
              <w:t>250</w:t>
            </w:r>
            <w:r>
              <w:rPr>
                <w:rFonts w:hint="eastAsia" w:ascii="宋体" w:hAnsi="宋体" w:cs="宋体"/>
                <w:color w:val="auto"/>
                <w:sz w:val="24"/>
                <w:highlight w:val="none"/>
              </w:rPr>
              <w:t>万</w:t>
            </w:r>
            <w:r>
              <w:rPr>
                <w:rFonts w:hint="eastAsia" w:ascii="宋体" w:hAnsi="宋体" w:cs="宋体"/>
                <w:color w:val="auto"/>
                <w:kern w:val="0"/>
                <w:sz w:val="24"/>
                <w:highlight w:val="none"/>
              </w:rPr>
              <w:t>元</w:t>
            </w:r>
          </w:p>
        </w:tc>
        <w:tc>
          <w:tcPr>
            <w:tcW w:w="4786"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pPr>
              <w:widowControl/>
              <w:jc w:val="left"/>
              <w:textAlignment w:val="bottom"/>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lang w:val="en-US" w:eastAsia="zh-CN"/>
              </w:rPr>
              <w:t>主要新建室内综合活动中心800平方米及附属设施。</w:t>
            </w:r>
          </w:p>
          <w:p>
            <w:pPr>
              <w:rPr>
                <w:rFonts w:hint="eastAsia" w:ascii="宋体" w:hAnsi="宋体" w:eastAsia="宋体" w:cs="宋体"/>
                <w:color w:val="auto"/>
                <w:kern w:val="0"/>
                <w:sz w:val="20"/>
                <w:szCs w:val="20"/>
                <w:highlight w:val="none"/>
                <w:lang w:val="en-US" w:eastAsia="zh-CN" w:bidi="ar-SA"/>
              </w:rPr>
            </w:pPr>
          </w:p>
          <w:p>
            <w:pPr>
              <w:widowControl/>
              <w:jc w:val="center"/>
              <w:textAlignment w:val="center"/>
              <w:rPr>
                <w:rFonts w:ascii="宋体" w:hAnsi="宋体" w:cs="宋体"/>
                <w:color w:val="auto"/>
                <w:kern w:val="0"/>
                <w:sz w:val="24"/>
                <w:highlight w:val="none"/>
              </w:rPr>
            </w:pPr>
          </w:p>
        </w:tc>
      </w:tr>
    </w:tbl>
    <w:tbl>
      <w:tblPr>
        <w:tblStyle w:val="14"/>
        <w:tblW w:w="9983" w:type="dxa"/>
        <w:tblInd w:w="-820" w:type="dxa"/>
        <w:tblLayout w:type="fixed"/>
        <w:tblCellMar>
          <w:top w:w="15" w:type="dxa"/>
          <w:left w:w="15" w:type="dxa"/>
          <w:bottom w:w="15" w:type="dxa"/>
          <w:right w:w="15" w:type="dxa"/>
        </w:tblCellMar>
      </w:tblPr>
      <w:tblGrid>
        <w:gridCol w:w="683"/>
        <w:gridCol w:w="983"/>
        <w:gridCol w:w="850"/>
        <w:gridCol w:w="1329"/>
        <w:gridCol w:w="1182"/>
        <w:gridCol w:w="1752"/>
        <w:gridCol w:w="1632"/>
        <w:gridCol w:w="1572"/>
      </w:tblGrid>
      <w:tr>
        <w:tblPrEx>
          <w:tblCellMar>
            <w:top w:w="15" w:type="dxa"/>
            <w:left w:w="15" w:type="dxa"/>
            <w:bottom w:w="15" w:type="dxa"/>
            <w:right w:w="15" w:type="dxa"/>
          </w:tblCellMar>
        </w:tblPrEx>
        <w:trPr>
          <w:trHeight w:val="624" w:hRule="atLeast"/>
        </w:trPr>
        <w:tc>
          <w:tcPr>
            <w:tcW w:w="68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仿宋_GB2312" w:hAnsi="宋体" w:eastAsia="仿宋_GB2312" w:cs="仿宋_GB2312"/>
                <w:color w:val="auto"/>
                <w:sz w:val="24"/>
                <w:highlight w:val="none"/>
              </w:rPr>
            </w:pPr>
            <w:r>
              <w:rPr>
                <w:rFonts w:hint="eastAsia" w:ascii="仿宋_GB2312" w:hAnsi="宋体" w:eastAsia="仿宋_GB2312" w:cs="仿宋_GB2312"/>
                <w:color w:val="auto"/>
                <w:kern w:val="0"/>
                <w:sz w:val="24"/>
                <w:highlight w:val="none"/>
              </w:rPr>
              <w:t>绩效指标完成情况</w:t>
            </w:r>
          </w:p>
        </w:tc>
        <w:tc>
          <w:tcPr>
            <w:tcW w:w="983" w:type="dxa"/>
            <w:vMerge w:val="restart"/>
            <w:tcBorders>
              <w:top w:val="single" w:color="000000" w:sz="4" w:space="0"/>
              <w:left w:val="single" w:color="000000" w:sz="4" w:space="0"/>
              <w:bottom w:val="single" w:color="000000" w:sz="4" w:space="0"/>
              <w:right w:val="single" w:color="000000" w:sz="4" w:space="0"/>
            </w:tcBorders>
            <w:vAlign w:val="bottom"/>
          </w:tcPr>
          <w:p>
            <w:pPr>
              <w:widowControl/>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一级指标</w:t>
            </w:r>
          </w:p>
        </w:tc>
        <w:tc>
          <w:tcPr>
            <w:tcW w:w="850"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二级指标</w:t>
            </w: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vAlign w:val="bottom"/>
          </w:tcPr>
          <w:p>
            <w:pPr>
              <w:widowControl/>
              <w:ind w:firstLine="602" w:firstLineChars="300"/>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预期指标值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c>
          <w:tcPr>
            <w:tcW w:w="1572"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b/>
                <w:color w:val="auto"/>
                <w:sz w:val="20"/>
                <w:szCs w:val="20"/>
                <w:highlight w:val="none"/>
              </w:rPr>
            </w:pPr>
            <w:r>
              <w:rPr>
                <w:rFonts w:hint="eastAsia" w:ascii="宋体" w:hAnsi="宋体" w:cs="宋体"/>
                <w:b/>
                <w:color w:val="auto"/>
                <w:kern w:val="0"/>
                <w:sz w:val="20"/>
                <w:szCs w:val="20"/>
                <w:highlight w:val="none"/>
              </w:rPr>
              <w:t>实际完成指标值</w:t>
            </w:r>
            <w:r>
              <w:rPr>
                <w:rFonts w:ascii="宋体" w:hAnsi="宋体" w:cs="宋体"/>
                <w:b/>
                <w:color w:val="auto"/>
                <w:kern w:val="0"/>
                <w:sz w:val="20"/>
                <w:szCs w:val="20"/>
                <w:highlight w:val="none"/>
              </w:rPr>
              <w:t>(</w:t>
            </w:r>
            <w:r>
              <w:rPr>
                <w:rFonts w:hint="eastAsia" w:ascii="宋体" w:hAnsi="宋体" w:cs="宋体"/>
                <w:b/>
                <w:color w:val="auto"/>
                <w:kern w:val="0"/>
                <w:sz w:val="20"/>
                <w:szCs w:val="20"/>
                <w:highlight w:val="none"/>
              </w:rPr>
              <w:t>包含数字及文字描述</w:t>
            </w:r>
            <w:r>
              <w:rPr>
                <w:rFonts w:ascii="宋体" w:hAnsi="宋体" w:cs="宋体"/>
                <w:b/>
                <w:color w:val="auto"/>
                <w:kern w:val="0"/>
                <w:sz w:val="20"/>
                <w:szCs w:val="20"/>
                <w:highlight w:val="none"/>
              </w:rPr>
              <w:t>)</w:t>
            </w:r>
          </w:p>
        </w:tc>
      </w:tr>
      <w:tr>
        <w:tblPrEx>
          <w:tblCellMar>
            <w:top w:w="15" w:type="dxa"/>
            <w:left w:w="15" w:type="dxa"/>
            <w:bottom w:w="15" w:type="dxa"/>
            <w:right w:w="15" w:type="dxa"/>
          </w:tblCellMar>
        </w:tblPrEx>
        <w:trPr>
          <w:trHeight w:val="624"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624"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63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c>
          <w:tcPr>
            <w:tcW w:w="1572"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color w:val="auto"/>
                <w:sz w:val="20"/>
                <w:szCs w:val="20"/>
                <w:highlight w:val="none"/>
              </w:rPr>
            </w:pP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ind w:firstLine="1400" w:firstLineChars="700"/>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项目决策</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目标内容</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项目预期提供的产品、服务、效益或其他目标明确</w:t>
            </w:r>
            <w:r>
              <w:rPr>
                <w:rFonts w:ascii="宋体" w:cs="宋体"/>
                <w:color w:val="auto"/>
                <w:kern w:val="0"/>
                <w:sz w:val="20"/>
                <w:szCs w:val="20"/>
                <w:highlight w:val="none"/>
              </w:rPr>
              <w:t>,</w:t>
            </w:r>
            <w:r>
              <w:rPr>
                <w:rFonts w:hint="eastAsia" w:ascii="宋体" w:hAnsi="宋体" w:cs="宋体"/>
                <w:color w:val="auto"/>
                <w:kern w:val="0"/>
                <w:sz w:val="20"/>
                <w:szCs w:val="20"/>
                <w:highlight w:val="none"/>
              </w:rPr>
              <w:t>即绩效目标实际明确个数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应当明确个数×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64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进度计划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项目计划实施进度明确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69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目标匹配</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绩效目标设定符合实际需求的抽样项目点个数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决策依据</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政策依据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符合</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符合</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restart"/>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管理制度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制定项目资金管理办法</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是</w:t>
            </w:r>
          </w:p>
        </w:tc>
      </w:tr>
      <w:tr>
        <w:tblPrEx>
          <w:tblCellMar>
            <w:top w:w="15" w:type="dxa"/>
            <w:left w:w="15" w:type="dxa"/>
            <w:bottom w:w="15" w:type="dxa"/>
            <w:right w:w="15" w:type="dxa"/>
          </w:tblCellMar>
        </w:tblPrEx>
        <w:trPr>
          <w:trHeight w:val="57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vMerge w:val="continue"/>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明确</w:t>
            </w:r>
          </w:p>
        </w:tc>
      </w:tr>
      <w:tr>
        <w:tblPrEx>
          <w:tblCellMar>
            <w:top w:w="15" w:type="dxa"/>
            <w:left w:w="15" w:type="dxa"/>
            <w:bottom w:w="15" w:type="dxa"/>
            <w:right w:w="15" w:type="dxa"/>
          </w:tblCellMar>
        </w:tblPrEx>
        <w:trPr>
          <w:trHeight w:val="82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分配方法</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分配过程符合相关规定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分配结果</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审核把关</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符合申报条件的抽样项目点个数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抽样项目点总数×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10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资金集中</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集中</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财政资金占项目资金总额比重较小项目个数</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项目总数×</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18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均衡</w:t>
            </w:r>
          </w:p>
        </w:tc>
        <w:tc>
          <w:tcPr>
            <w:tcW w:w="175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按实际分配结果选择客观因素测算验证资金分配方法制定、分配要素设定、基础数据应用、测算依据选取等是否科学合理（</w:t>
            </w:r>
            <w:r>
              <w:rPr>
                <w:rFonts w:ascii="宋体" w:hAnsi="宋体" w:cs="宋体"/>
                <w:color w:val="auto"/>
                <w:kern w:val="0"/>
                <w:sz w:val="20"/>
                <w:szCs w:val="20"/>
                <w:highlight w:val="none"/>
              </w:rPr>
              <w:t>2</w:t>
            </w:r>
            <w:r>
              <w:rPr>
                <w:rFonts w:hint="eastAsia" w:ascii="宋体" w:hAnsi="宋体" w:cs="宋体"/>
                <w:color w:val="auto"/>
                <w:kern w:val="0"/>
                <w:sz w:val="20"/>
                <w:szCs w:val="20"/>
                <w:highlight w:val="none"/>
              </w:rPr>
              <w:t>分）</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54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项目管理</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ascii="宋体" w:hAnsi="宋体" w:cs="宋体"/>
                <w:color w:val="auto"/>
                <w:kern w:val="0"/>
                <w:sz w:val="20"/>
                <w:szCs w:val="20"/>
                <w:highlight w:val="none"/>
              </w:rPr>
              <w:t xml:space="preserve"> </w:t>
            </w:r>
            <w:r>
              <w:rPr>
                <w:rFonts w:hint="eastAsia" w:ascii="宋体" w:hAnsi="宋体" w:cs="宋体"/>
                <w:color w:val="auto"/>
                <w:kern w:val="0"/>
                <w:sz w:val="20"/>
                <w:szCs w:val="20"/>
                <w:highlight w:val="none"/>
              </w:rPr>
              <w:t>资金到位</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分配时效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11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资金拨付</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按规定及时拨付资金</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资金管理</w:t>
            </w:r>
            <w:r>
              <w:rPr>
                <w:rFonts w:ascii="宋体" w:hAnsi="宋体" w:cs="宋体"/>
                <w:color w:val="auto"/>
                <w:kern w:val="0"/>
                <w:sz w:val="20"/>
                <w:szCs w:val="20"/>
                <w:highlight w:val="none"/>
              </w:rPr>
              <w:t xml:space="preserve">  </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使用范围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资金使用是否合规</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支付依据</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资金支付依据符合规定，即支付依旧合规资金量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开支标准</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资金开支标准符合规定，即开支标准合规资金量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资金总量×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财务管理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财务制度健全，管理规范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会计核算规范</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组织实施（</w:t>
            </w:r>
            <w:r>
              <w:rPr>
                <w:rFonts w:ascii="宋体" w:hAnsi="宋体" w:cs="宋体"/>
                <w:color w:val="auto"/>
                <w:kern w:val="0"/>
                <w:sz w:val="20"/>
                <w:szCs w:val="20"/>
                <w:highlight w:val="none"/>
              </w:rPr>
              <w:t>4</w:t>
            </w:r>
            <w:r>
              <w:rPr>
                <w:rFonts w:hint="eastAsia" w:ascii="宋体" w:hAnsi="宋体" w:cs="宋体"/>
                <w:color w:val="auto"/>
                <w:kern w:val="0"/>
                <w:sz w:val="20"/>
                <w:szCs w:val="20"/>
                <w:highlight w:val="none"/>
              </w:rPr>
              <w:t>分）</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85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投资变更</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项目投资变更额</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项目总投入×</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未出现更改</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cs="宋体"/>
                <w:color w:val="auto"/>
                <w:sz w:val="20"/>
                <w:szCs w:val="20"/>
                <w:highlight w:val="none"/>
              </w:rPr>
              <w:t>未出现更改</w:t>
            </w:r>
          </w:p>
        </w:tc>
      </w:tr>
      <w:tr>
        <w:tblPrEx>
          <w:tblCellMar>
            <w:top w:w="15" w:type="dxa"/>
            <w:left w:w="15" w:type="dxa"/>
            <w:bottom w:w="15" w:type="dxa"/>
            <w:right w:w="15" w:type="dxa"/>
          </w:tblCellMar>
        </w:tblPrEx>
        <w:trPr>
          <w:trHeight w:val="76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制度执行</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restart"/>
            <w:tcBorders>
              <w:top w:val="single" w:color="000000" w:sz="4" w:space="0"/>
              <w:left w:val="single" w:color="000000" w:sz="4" w:space="0"/>
              <w:bottom w:val="single" w:color="000000" w:sz="4" w:space="0"/>
              <w:right w:val="single" w:color="000000" w:sz="4" w:space="0"/>
            </w:tcBorders>
            <w:textDirection w:val="tbRlV"/>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项目绩效</w:t>
            </w: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项目完成</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完成数量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实际完成任务量</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绩效目标设定任务量×</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 w:cs="宋?"/>
                <w:color w:val="auto"/>
                <w:kern w:val="0"/>
                <w:sz w:val="20"/>
                <w:szCs w:val="20"/>
                <w:highlight w:val="none"/>
              </w:rPr>
              <w:t>完成设施设备采购建设</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完成质量</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是</w:t>
            </w:r>
          </w:p>
        </w:tc>
      </w:tr>
      <w:tr>
        <w:tblPrEx>
          <w:tblCellMar>
            <w:top w:w="15" w:type="dxa"/>
            <w:left w:w="15" w:type="dxa"/>
            <w:bottom w:w="15" w:type="dxa"/>
            <w:right w:w="15" w:type="dxa"/>
          </w:tblCellMar>
        </w:tblPrEx>
        <w:trPr>
          <w:trHeight w:val="79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完成时效</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（实际完成时间</w:t>
            </w:r>
            <w:r>
              <w:rPr>
                <w:rFonts w:asci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绩效目标设定完成时间×</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100%</w:t>
            </w:r>
          </w:p>
        </w:tc>
      </w:tr>
      <w:tr>
        <w:tblPrEx>
          <w:tblCellMar>
            <w:top w:w="15" w:type="dxa"/>
            <w:left w:w="15" w:type="dxa"/>
            <w:bottom w:w="15" w:type="dxa"/>
            <w:right w:w="15" w:type="dxa"/>
          </w:tblCellMar>
        </w:tblPrEx>
        <w:trPr>
          <w:trHeight w:val="28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完成成本</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（实际完成成本</w:t>
            </w:r>
            <w:r>
              <w:rPr>
                <w:rFonts w:asci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w:t>
            </w:r>
            <w:r>
              <w:rPr>
                <w:rFonts w:hint="eastAsia" w:ascii="宋体" w:hAnsi="宋体" w:cs="宋体"/>
                <w:color w:val="auto"/>
                <w:kern w:val="0"/>
                <w:sz w:val="20"/>
                <w:szCs w:val="20"/>
                <w:highlight w:val="none"/>
              </w:rPr>
              <w:t>预计完成成本×</w:t>
            </w:r>
            <w:r>
              <w:rPr>
                <w:rFonts w:ascii="宋体" w:hAnsi="宋体" w:cs="宋体"/>
                <w:color w:val="auto"/>
                <w:kern w:val="0"/>
                <w:sz w:val="20"/>
                <w:szCs w:val="20"/>
                <w:highlight w:val="none"/>
              </w:rPr>
              <w:t>100%</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ascii="宋体" w:hAnsi="宋体" w:cs="宋体"/>
                <w:color w:val="auto"/>
                <w:sz w:val="20"/>
                <w:szCs w:val="20"/>
                <w:highlight w:val="none"/>
              </w:rPr>
              <w:t>100%</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restart"/>
            <w:tcBorders>
              <w:top w:val="single" w:color="000000" w:sz="4" w:space="0"/>
              <w:left w:val="single" w:color="000000" w:sz="4" w:space="0"/>
              <w:bottom w:val="single" w:color="000000" w:sz="4" w:space="0"/>
              <w:right w:val="single" w:color="000000" w:sz="4" w:space="0"/>
            </w:tcBorders>
            <w:textDirection w:val="tbRlV"/>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项目效益</w:t>
            </w: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经济效益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Style w:val="6"/>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本项目</w:t>
            </w:r>
            <w:r>
              <w:rPr>
                <w:rFonts w:hint="eastAsia" w:ascii="宋体" w:hAnsi="宋体" w:cs="宋体"/>
                <w:color w:val="auto"/>
                <w:kern w:val="0"/>
                <w:sz w:val="20"/>
                <w:szCs w:val="20"/>
                <w:highlight w:val="none"/>
                <w:lang w:val="en-US" w:eastAsia="zh-CN" w:bidi="ar-SA"/>
              </w:rPr>
              <w:t>建设，</w:t>
            </w:r>
            <w:r>
              <w:rPr>
                <w:rFonts w:hint="eastAsia" w:ascii="宋体" w:hAnsi="宋体" w:eastAsia="宋体" w:cs="宋体"/>
                <w:color w:val="auto"/>
                <w:kern w:val="0"/>
                <w:sz w:val="20"/>
                <w:szCs w:val="20"/>
                <w:highlight w:val="none"/>
                <w:lang w:val="en-US" w:eastAsia="zh-CN" w:bidi="ar-SA"/>
              </w:rPr>
              <w:t>可以有效地带动文化、教育、旅游的发展，可产生较好的经济效益</w:t>
            </w:r>
          </w:p>
        </w:tc>
        <w:tc>
          <w:tcPr>
            <w:tcW w:w="1572" w:type="dxa"/>
            <w:tcBorders>
              <w:top w:val="single" w:color="000000" w:sz="4" w:space="0"/>
              <w:left w:val="single" w:color="000000" w:sz="4" w:space="0"/>
              <w:bottom w:val="single" w:color="000000" w:sz="4" w:space="0"/>
              <w:right w:val="single" w:color="000000" w:sz="4" w:space="0"/>
            </w:tcBorders>
            <w:vAlign w:val="bottom"/>
          </w:tcPr>
          <w:p>
            <w:pPr>
              <w:pStyle w:val="6"/>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本项目</w:t>
            </w:r>
            <w:r>
              <w:rPr>
                <w:rFonts w:hint="eastAsia" w:ascii="宋体" w:hAnsi="宋体" w:cs="宋体"/>
                <w:color w:val="auto"/>
                <w:kern w:val="0"/>
                <w:sz w:val="20"/>
                <w:szCs w:val="20"/>
                <w:highlight w:val="none"/>
                <w:lang w:val="en-US" w:eastAsia="zh-CN" w:bidi="ar-SA"/>
              </w:rPr>
              <w:t>建设，</w:t>
            </w:r>
            <w:r>
              <w:rPr>
                <w:rFonts w:hint="eastAsia" w:ascii="宋体" w:hAnsi="宋体" w:eastAsia="宋体" w:cs="宋体"/>
                <w:color w:val="auto"/>
                <w:kern w:val="0"/>
                <w:sz w:val="20"/>
                <w:szCs w:val="20"/>
                <w:highlight w:val="none"/>
                <w:lang w:val="en-US" w:eastAsia="zh-CN" w:bidi="ar-SA"/>
              </w:rPr>
              <w:t>可以有效地带动文化、教育、旅游的发展，可产生较好的经济效益</w:t>
            </w:r>
          </w:p>
        </w:tc>
      </w:tr>
      <w:tr>
        <w:tblPrEx>
          <w:tblCellMar>
            <w:top w:w="15" w:type="dxa"/>
            <w:left w:w="15" w:type="dxa"/>
            <w:bottom w:w="15" w:type="dxa"/>
            <w:right w:w="15" w:type="dxa"/>
          </w:tblCellMar>
        </w:tblPrEx>
        <w:trPr>
          <w:trHeight w:val="735"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center"/>
              <w:textAlignment w:val="bottom"/>
              <w:rPr>
                <w:rFonts w:ascii="宋体" w:cs="宋体"/>
                <w:color w:val="auto"/>
                <w:sz w:val="20"/>
                <w:szCs w:val="20"/>
                <w:highlight w:val="none"/>
              </w:rPr>
            </w:pPr>
            <w:r>
              <w:rPr>
                <w:rFonts w:hint="eastAsia" w:ascii="宋体" w:hAnsi="宋体" w:cs="宋体"/>
                <w:color w:val="auto"/>
                <w:kern w:val="0"/>
                <w:sz w:val="20"/>
                <w:szCs w:val="20"/>
                <w:highlight w:val="none"/>
              </w:rPr>
              <w:t>社会效益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widowControl w:val="0"/>
              <w:kinsoku/>
              <w:wordWrap/>
              <w:overflowPunct/>
              <w:topLinePunct w:val="0"/>
              <w:autoSpaceDE/>
              <w:autoSpaceDN/>
              <w:bidi w:val="0"/>
              <w:adjustRightInd/>
              <w:snapToGrid/>
              <w:spacing w:before="0" w:line="260" w:lineRule="exact"/>
              <w:ind w:left="0" w:leftChars="0" w:right="0" w:rightChars="0" w:firstLine="400" w:firstLineChars="200"/>
              <w:textAlignment w:val="auto"/>
              <w:outlineLvl w:val="9"/>
              <w:rPr>
                <w:rFonts w:ascii="宋体" w:hAnsi="宋体" w:cs="宋体"/>
                <w:color w:val="auto"/>
                <w:kern w:val="0"/>
                <w:sz w:val="20"/>
                <w:szCs w:val="20"/>
                <w:highlight w:val="none"/>
              </w:rPr>
            </w:pPr>
            <w:r>
              <w:rPr>
                <w:rFonts w:hint="eastAsia" w:ascii="宋体" w:hAnsi="宋体" w:eastAsia="宋体" w:cs="宋体"/>
                <w:color w:val="auto"/>
                <w:kern w:val="0"/>
                <w:sz w:val="20"/>
                <w:szCs w:val="20"/>
                <w:highlight w:val="none"/>
                <w:lang w:val="en-US" w:eastAsia="zh-CN" w:bidi="ar-SA"/>
              </w:rPr>
              <w:t>本项目</w:t>
            </w:r>
            <w:r>
              <w:rPr>
                <w:rFonts w:hint="eastAsia" w:ascii="宋体" w:hAnsi="宋体" w:cs="宋体"/>
                <w:color w:val="auto"/>
                <w:kern w:val="0"/>
                <w:sz w:val="20"/>
                <w:szCs w:val="20"/>
                <w:highlight w:val="none"/>
                <w:lang w:val="en-US" w:eastAsia="zh-CN" w:bidi="ar-SA"/>
              </w:rPr>
              <w:t>建设，</w:t>
            </w:r>
            <w:r>
              <w:rPr>
                <w:rFonts w:hint="eastAsia" w:ascii="宋体" w:hAnsi="宋体" w:eastAsia="宋体" w:cs="宋体"/>
                <w:color w:val="auto"/>
                <w:kern w:val="0"/>
                <w:sz w:val="20"/>
                <w:szCs w:val="20"/>
                <w:highlight w:val="none"/>
                <w:lang w:val="en-US" w:eastAsia="zh-CN" w:bidi="ar-SA"/>
              </w:rPr>
              <w:t>可以有效地带动文化、教育、旅游的发展，可产生较好的经济效益</w:t>
            </w:r>
          </w:p>
        </w:tc>
        <w:tc>
          <w:tcPr>
            <w:tcW w:w="1572" w:type="dxa"/>
            <w:tcBorders>
              <w:top w:val="single" w:color="000000" w:sz="4" w:space="0"/>
              <w:left w:val="single" w:color="000000" w:sz="4" w:space="0"/>
              <w:bottom w:val="single" w:color="000000" w:sz="4" w:space="0"/>
              <w:right w:val="single" w:color="000000" w:sz="4" w:space="0"/>
            </w:tcBorders>
            <w:vAlign w:val="bottom"/>
          </w:tcPr>
          <w:p>
            <w:pPr>
              <w:keepNext w:val="0"/>
              <w:keepLines w:val="0"/>
              <w:pageBreakBefore w:val="0"/>
              <w:widowControl w:val="0"/>
              <w:kinsoku/>
              <w:wordWrap/>
              <w:overflowPunct/>
              <w:topLinePunct w:val="0"/>
              <w:autoSpaceDE/>
              <w:autoSpaceDN/>
              <w:bidi w:val="0"/>
              <w:adjustRightInd/>
              <w:snapToGrid/>
              <w:spacing w:before="0" w:line="260" w:lineRule="exact"/>
              <w:ind w:left="0" w:leftChars="0" w:right="0" w:rightChars="0" w:firstLine="400" w:firstLineChars="200"/>
              <w:textAlignment w:val="auto"/>
              <w:outlineLvl w:val="9"/>
              <w:rPr>
                <w:rFonts w:ascii="宋体" w:hAnsi="宋体" w:cs="宋体"/>
                <w:color w:val="auto"/>
                <w:kern w:val="0"/>
                <w:sz w:val="20"/>
                <w:szCs w:val="20"/>
                <w:highlight w:val="none"/>
              </w:rPr>
            </w:pPr>
            <w:r>
              <w:rPr>
                <w:rFonts w:hint="eastAsia" w:ascii="宋体" w:hAnsi="宋体" w:eastAsia="宋体" w:cs="宋体"/>
                <w:color w:val="auto"/>
                <w:kern w:val="0"/>
                <w:sz w:val="20"/>
                <w:szCs w:val="20"/>
                <w:highlight w:val="none"/>
                <w:lang w:val="en-US" w:eastAsia="zh-CN" w:bidi="ar-SA"/>
              </w:rPr>
              <w:t>本项目</w:t>
            </w:r>
            <w:r>
              <w:rPr>
                <w:rFonts w:hint="eastAsia" w:ascii="宋体" w:hAnsi="宋体" w:cs="宋体"/>
                <w:color w:val="auto"/>
                <w:kern w:val="0"/>
                <w:sz w:val="20"/>
                <w:szCs w:val="20"/>
                <w:highlight w:val="none"/>
                <w:lang w:val="en-US" w:eastAsia="zh-CN" w:bidi="ar-SA"/>
              </w:rPr>
              <w:t>建设，</w:t>
            </w:r>
            <w:r>
              <w:rPr>
                <w:rFonts w:hint="eastAsia" w:ascii="宋体" w:hAnsi="宋体" w:eastAsia="宋体" w:cs="宋体"/>
                <w:color w:val="auto"/>
                <w:kern w:val="0"/>
                <w:sz w:val="20"/>
                <w:szCs w:val="20"/>
                <w:highlight w:val="none"/>
                <w:lang w:val="en-US" w:eastAsia="zh-CN" w:bidi="ar-SA"/>
              </w:rPr>
              <w:t>可以有效地带动文化、教育、旅游的发展，可产生较好的经济效益</w:t>
            </w:r>
          </w:p>
        </w:tc>
      </w:tr>
      <w:tr>
        <w:tblPrEx>
          <w:tblCellMar>
            <w:top w:w="15" w:type="dxa"/>
            <w:left w:w="15" w:type="dxa"/>
            <w:bottom w:w="15" w:type="dxa"/>
            <w:right w:w="15" w:type="dxa"/>
          </w:tblCellMar>
        </w:tblPrEx>
        <w:trPr>
          <w:trHeight w:val="72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ind w:firstLine="200" w:firstLineChars="100"/>
              <w:textAlignment w:val="bottom"/>
              <w:rPr>
                <w:rFonts w:ascii="宋体" w:cs="宋体"/>
                <w:color w:val="auto"/>
                <w:sz w:val="20"/>
                <w:szCs w:val="20"/>
                <w:highlight w:val="none"/>
              </w:rPr>
            </w:pPr>
            <w:r>
              <w:rPr>
                <w:rFonts w:hint="eastAsia" w:ascii="宋体" w:hAnsi="宋体" w:cs="宋体"/>
                <w:color w:val="auto"/>
                <w:kern w:val="0"/>
                <w:sz w:val="20"/>
                <w:szCs w:val="20"/>
                <w:highlight w:val="none"/>
              </w:rPr>
              <w:t>生态效益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此项目无污染产生，建成后将促进我</w:t>
            </w:r>
            <w:r>
              <w:rPr>
                <w:rFonts w:hint="eastAsia" w:ascii="宋体" w:hAnsi="宋体" w:cs="宋体"/>
                <w:color w:val="auto"/>
                <w:kern w:val="0"/>
                <w:sz w:val="20"/>
                <w:szCs w:val="20"/>
                <w:highlight w:val="none"/>
                <w:lang w:val="en-US" w:eastAsia="zh-CN" w:bidi="ar-SA"/>
              </w:rPr>
              <w:t>镇</w:t>
            </w:r>
            <w:r>
              <w:rPr>
                <w:rFonts w:hint="eastAsia" w:ascii="宋体" w:hAnsi="宋体" w:eastAsia="宋体" w:cs="宋体"/>
                <w:color w:val="auto"/>
                <w:kern w:val="0"/>
                <w:sz w:val="20"/>
                <w:szCs w:val="20"/>
                <w:highlight w:val="none"/>
                <w:lang w:val="en-US" w:eastAsia="zh-CN" w:bidi="ar-SA"/>
              </w:rPr>
              <w:t>生态文明建设。</w:t>
            </w:r>
          </w:p>
        </w:tc>
        <w:tc>
          <w:tcPr>
            <w:tcW w:w="1572" w:type="dxa"/>
            <w:tcBorders>
              <w:top w:val="single" w:color="000000" w:sz="4" w:space="0"/>
              <w:left w:val="single" w:color="000000" w:sz="4" w:space="0"/>
              <w:bottom w:val="single" w:color="000000" w:sz="4" w:space="0"/>
              <w:right w:val="single" w:color="000000" w:sz="4" w:space="0"/>
            </w:tcBorders>
            <w:vAlign w:val="bottom"/>
          </w:tcPr>
          <w:p>
            <w:pPr>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此项目无污染产生，建成后将促进我</w:t>
            </w:r>
            <w:r>
              <w:rPr>
                <w:rFonts w:hint="eastAsia" w:ascii="宋体" w:hAnsi="宋体" w:cs="宋体"/>
                <w:color w:val="auto"/>
                <w:kern w:val="0"/>
                <w:sz w:val="20"/>
                <w:szCs w:val="20"/>
                <w:highlight w:val="none"/>
                <w:lang w:val="en-US" w:eastAsia="zh-CN" w:bidi="ar-SA"/>
              </w:rPr>
              <w:t>镇</w:t>
            </w:r>
            <w:r>
              <w:rPr>
                <w:rFonts w:hint="eastAsia" w:ascii="宋体" w:hAnsi="宋体" w:eastAsia="宋体" w:cs="宋体"/>
                <w:color w:val="auto"/>
                <w:kern w:val="0"/>
                <w:sz w:val="20"/>
                <w:szCs w:val="20"/>
                <w:highlight w:val="none"/>
                <w:lang w:val="en-US" w:eastAsia="zh-CN" w:bidi="ar-SA"/>
              </w:rPr>
              <w:t>生态文明建设。</w:t>
            </w:r>
          </w:p>
        </w:tc>
      </w:tr>
      <w:tr>
        <w:tblPrEx>
          <w:tblCellMar>
            <w:top w:w="15" w:type="dxa"/>
            <w:left w:w="15" w:type="dxa"/>
            <w:bottom w:w="15" w:type="dxa"/>
            <w:right w:w="15" w:type="dxa"/>
          </w:tblCellMar>
        </w:tblPrEx>
        <w:trPr>
          <w:trHeight w:val="75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vMerge w:val="continue"/>
            <w:tcBorders>
              <w:top w:val="single" w:color="000000" w:sz="4" w:space="0"/>
              <w:left w:val="single" w:color="000000" w:sz="4" w:space="0"/>
              <w:bottom w:val="single" w:color="000000" w:sz="4" w:space="0"/>
              <w:right w:val="single" w:color="000000" w:sz="4" w:space="0"/>
            </w:tcBorders>
            <w:textDirection w:val="tbRlV"/>
            <w:vAlign w:val="bottom"/>
          </w:tcPr>
          <w:p>
            <w:pPr>
              <w:jc w:val="center"/>
              <w:rPr>
                <w:rFonts w:ascii="宋体" w:cs="宋体"/>
                <w:color w:val="auto"/>
                <w:sz w:val="20"/>
                <w:szCs w:val="20"/>
                <w:highlight w:val="none"/>
              </w:rPr>
            </w:pPr>
          </w:p>
        </w:tc>
        <w:tc>
          <w:tcPr>
            <w:tcW w:w="1329" w:type="dxa"/>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vAlign w:val="bottom"/>
          </w:tcPr>
          <w:p>
            <w:pPr>
              <w:widowControl/>
              <w:jc w:val="left"/>
              <w:textAlignment w:val="bottom"/>
              <w:rPr>
                <w:rFonts w:ascii="宋体" w:cs="宋体"/>
                <w:color w:val="auto"/>
                <w:sz w:val="20"/>
                <w:szCs w:val="20"/>
                <w:highlight w:val="none"/>
              </w:rPr>
            </w:pPr>
            <w:r>
              <w:rPr>
                <w:rFonts w:hint="eastAsia" w:ascii="宋体" w:hAnsi="宋体" w:cs="宋体"/>
                <w:color w:val="auto"/>
                <w:kern w:val="0"/>
                <w:sz w:val="20"/>
                <w:szCs w:val="20"/>
                <w:highlight w:val="none"/>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pStyle w:val="6"/>
              <w:keepNext w:val="0"/>
              <w:keepLines w:val="0"/>
              <w:pageBreakBefore w:val="0"/>
              <w:widowControl w:val="0"/>
              <w:kinsoku/>
              <w:wordWrap/>
              <w:overflowPunct/>
              <w:topLinePunct w:val="0"/>
              <w:autoSpaceDE/>
              <w:autoSpaceDN/>
              <w:bidi w:val="0"/>
              <w:adjustRightInd/>
              <w:snapToGrid/>
              <w:spacing w:before="0" w:line="260" w:lineRule="exact"/>
              <w:ind w:left="0" w:leftChars="0" w:right="0" w:rightChars="0" w:firstLine="400" w:firstLineChars="200"/>
              <w:textAlignment w:val="auto"/>
              <w:outlineLvl w:val="9"/>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使邛溪镇热坤村加速形成红原县城的综合生活区，显著扩大城镇规模、提升城市品质。</w:t>
            </w:r>
          </w:p>
        </w:tc>
        <w:tc>
          <w:tcPr>
            <w:tcW w:w="1572" w:type="dxa"/>
            <w:tcBorders>
              <w:top w:val="single" w:color="000000" w:sz="4" w:space="0"/>
              <w:left w:val="single" w:color="000000" w:sz="4" w:space="0"/>
              <w:bottom w:val="single" w:color="000000" w:sz="4" w:space="0"/>
              <w:right w:val="single" w:color="000000" w:sz="4" w:space="0"/>
            </w:tcBorders>
            <w:vAlign w:val="bottom"/>
          </w:tcPr>
          <w:p>
            <w:pPr>
              <w:pStyle w:val="6"/>
              <w:keepNext w:val="0"/>
              <w:keepLines w:val="0"/>
              <w:pageBreakBefore w:val="0"/>
              <w:widowControl w:val="0"/>
              <w:kinsoku/>
              <w:wordWrap/>
              <w:overflowPunct/>
              <w:topLinePunct w:val="0"/>
              <w:autoSpaceDE/>
              <w:autoSpaceDN/>
              <w:bidi w:val="0"/>
              <w:adjustRightInd/>
              <w:snapToGrid/>
              <w:spacing w:before="0" w:line="260" w:lineRule="exact"/>
              <w:ind w:left="0" w:leftChars="0" w:right="0" w:rightChars="0" w:firstLine="400" w:firstLineChars="200"/>
              <w:textAlignment w:val="auto"/>
              <w:outlineLvl w:val="9"/>
              <w:rPr>
                <w:rFonts w:ascii="宋体" w:cs="宋体"/>
                <w:color w:val="auto"/>
                <w:sz w:val="20"/>
                <w:szCs w:val="20"/>
                <w:highlight w:val="none"/>
              </w:rPr>
            </w:pPr>
            <w:r>
              <w:rPr>
                <w:rFonts w:hint="eastAsia" w:ascii="宋体" w:hAnsi="宋体" w:eastAsia="宋体" w:cs="宋体"/>
                <w:color w:val="auto"/>
                <w:kern w:val="0"/>
                <w:sz w:val="20"/>
                <w:szCs w:val="20"/>
                <w:highlight w:val="none"/>
                <w:lang w:val="en-US" w:eastAsia="zh-CN" w:bidi="ar-SA"/>
              </w:rPr>
              <w:t>使邛溪镇热坤村加速形成红原县城的综合生活区，显著扩大城镇规模、提升城市品质。</w:t>
            </w:r>
          </w:p>
        </w:tc>
      </w:tr>
      <w:tr>
        <w:tblPrEx>
          <w:tblCellMar>
            <w:top w:w="15" w:type="dxa"/>
            <w:left w:w="15" w:type="dxa"/>
            <w:bottom w:w="15" w:type="dxa"/>
            <w:right w:w="15" w:type="dxa"/>
          </w:tblCellMar>
        </w:tblPrEx>
        <w:trPr>
          <w:trHeight w:val="1080" w:hRule="atLeast"/>
        </w:trPr>
        <w:tc>
          <w:tcPr>
            <w:tcW w:w="68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仿宋_GB2312" w:hAnsi="宋体" w:eastAsia="仿宋_GB2312" w:cs="仿宋_GB2312"/>
                <w:color w:val="auto"/>
                <w:sz w:val="24"/>
                <w:highlight w:val="none"/>
              </w:rPr>
            </w:pPr>
          </w:p>
        </w:tc>
        <w:tc>
          <w:tcPr>
            <w:tcW w:w="983" w:type="dxa"/>
            <w:vMerge w:val="continue"/>
            <w:tcBorders>
              <w:top w:val="single" w:color="000000" w:sz="4" w:space="0"/>
              <w:left w:val="single" w:color="000000" w:sz="4" w:space="0"/>
              <w:bottom w:val="single" w:color="000000" w:sz="4" w:space="0"/>
              <w:right w:val="single" w:color="000000" w:sz="4" w:space="0"/>
            </w:tcBorders>
            <w:textDirection w:val="tbRlV"/>
            <w:vAlign w:val="center"/>
          </w:tcPr>
          <w:p>
            <w:pPr>
              <w:rPr>
                <w:rFonts w:ascii="宋体" w:cs="宋体"/>
                <w:color w:val="auto"/>
                <w:sz w:val="20"/>
                <w:szCs w:val="20"/>
                <w:highlight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满意度</w:t>
            </w:r>
          </w:p>
        </w:tc>
        <w:tc>
          <w:tcPr>
            <w:tcW w:w="1329"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cs="宋体"/>
                <w:color w:val="auto"/>
                <w:sz w:val="20"/>
                <w:szCs w:val="20"/>
                <w:highlight w:val="none"/>
              </w:rPr>
            </w:pPr>
            <w:r>
              <w:rPr>
                <w:rFonts w:hint="eastAsia" w:ascii="宋体" w:hAnsi="宋体" w:cs="宋体"/>
                <w:color w:val="auto"/>
                <w:kern w:val="0"/>
                <w:sz w:val="20"/>
                <w:szCs w:val="20"/>
                <w:highlight w:val="none"/>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宋体"/>
                <w:color w:val="auto"/>
                <w:sz w:val="20"/>
                <w:szCs w:val="20"/>
                <w:highlight w:val="none"/>
              </w:rPr>
            </w:pPr>
            <w:r>
              <w:rPr>
                <w:rFonts w:hint="eastAsia" w:ascii="宋体" w:hAnsi="宋体" w:cs="宋体"/>
                <w:color w:val="auto"/>
                <w:kern w:val="0"/>
                <w:sz w:val="20"/>
                <w:szCs w:val="20"/>
                <w:highlight w:val="none"/>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color w:val="auto"/>
                <w:sz w:val="20"/>
                <w:szCs w:val="20"/>
                <w:highlight w:val="none"/>
              </w:rPr>
            </w:pPr>
            <w:r>
              <w:rPr>
                <w:rFonts w:hint="eastAsia" w:ascii="宋体" w:hAnsi="宋体" w:cs="宋体"/>
                <w:color w:val="auto"/>
                <w:sz w:val="20"/>
                <w:szCs w:val="20"/>
                <w:highlight w:val="none"/>
              </w:rPr>
              <w:t>对本项目事实满意度好。无异议</w:t>
            </w:r>
          </w:p>
        </w:tc>
        <w:tc>
          <w:tcPr>
            <w:tcW w:w="1572" w:type="dxa"/>
            <w:tcBorders>
              <w:top w:val="single" w:color="000000" w:sz="4" w:space="0"/>
              <w:left w:val="single" w:color="000000" w:sz="4" w:space="0"/>
              <w:bottom w:val="single" w:color="000000" w:sz="4" w:space="0"/>
              <w:right w:val="single" w:color="000000" w:sz="4" w:space="0"/>
            </w:tcBorders>
            <w:vAlign w:val="bottom"/>
          </w:tcPr>
          <w:p>
            <w:pPr>
              <w:jc w:val="center"/>
              <w:rPr>
                <w:rFonts w:ascii="宋体" w:cs="宋体"/>
                <w:b/>
                <w:bCs/>
                <w:color w:val="auto"/>
                <w:sz w:val="20"/>
                <w:szCs w:val="20"/>
                <w:highlight w:val="none"/>
              </w:rPr>
            </w:pPr>
            <w:r>
              <w:rPr>
                <w:rFonts w:hint="eastAsia" w:ascii="宋体" w:hAnsi="宋体" w:cs="宋体"/>
                <w:color w:val="auto"/>
                <w:sz w:val="20"/>
                <w:szCs w:val="20"/>
                <w:highlight w:val="none"/>
              </w:rPr>
              <w:t>对本项目事实满意度好。无异议</w:t>
            </w:r>
          </w:p>
        </w:tc>
      </w:tr>
    </w:tbl>
    <w:p>
      <w:pPr>
        <w:pStyle w:val="2"/>
        <w:rPr>
          <w:color w:val="auto"/>
          <w:highlight w:val="none"/>
        </w:rPr>
      </w:pPr>
    </w:p>
    <w:p>
      <w:pPr>
        <w:spacing w:line="580" w:lineRule="exact"/>
        <w:ind w:left="630"/>
        <w:rPr>
          <w:rFonts w:ascii="仿宋_GB2312" w:hAnsi="仿宋_GB2312" w:eastAsia="仿宋_GB2312" w:cs="仿宋_GB2312"/>
          <w:color w:val="auto"/>
          <w:sz w:val="32"/>
          <w:szCs w:val="32"/>
          <w:highlight w:val="none"/>
        </w:rPr>
      </w:pPr>
      <w:r>
        <w:rPr>
          <w:rFonts w:hint="eastAsia" w:ascii="楷体_GB2312" w:hAnsi="楷体_GB2312" w:eastAsia="楷体_GB2312" w:cs="楷体_GB2312"/>
          <w:color w:val="auto"/>
          <w:sz w:val="32"/>
          <w:szCs w:val="32"/>
          <w:highlight w:val="none"/>
        </w:rPr>
        <w:t>2.部门绩效评价结果。</w:t>
      </w:r>
    </w:p>
    <w:p>
      <w:pPr>
        <w:spacing w:line="580"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本部门按要求对</w:t>
      </w: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年</w:t>
      </w:r>
      <w:r>
        <w:rPr>
          <w:rFonts w:hint="eastAsia" w:ascii="仿宋_GB2312" w:hAnsi="仿宋_GB2312" w:eastAsia="仿宋_GB2312" w:cs="仿宋_GB2312"/>
          <w:color w:val="auto"/>
          <w:sz w:val="32"/>
          <w:szCs w:val="32"/>
          <w:highlight w:val="none"/>
        </w:rPr>
        <w:t>部门整体支出绩效评价情况开展自评，《邛溪镇人民政府</w:t>
      </w: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年</w:t>
      </w:r>
      <w:r>
        <w:rPr>
          <w:rFonts w:hint="eastAsia" w:ascii="仿宋_GB2312" w:hAnsi="仿宋_GB2312" w:eastAsia="仿宋_GB2312" w:cs="仿宋_GB2312"/>
          <w:color w:val="auto"/>
          <w:sz w:val="32"/>
          <w:szCs w:val="32"/>
          <w:highlight w:val="none"/>
        </w:rPr>
        <w:t>部门整体支出绩效评价报告》见附件（附件1）。</w:t>
      </w:r>
    </w:p>
    <w:p>
      <w:pPr>
        <w:spacing w:line="580" w:lineRule="exact"/>
        <w:ind w:firstLine="640" w:firstLineChars="200"/>
        <w:rPr>
          <w:rFonts w:ascii="仿宋_GB2312" w:eastAsia="仿宋_GB2312"/>
          <w:b/>
          <w:color w:val="auto"/>
          <w:sz w:val="32"/>
          <w:szCs w:val="32"/>
          <w:highlight w:val="none"/>
        </w:rPr>
      </w:pPr>
      <w:r>
        <w:rPr>
          <w:rFonts w:hint="eastAsia" w:ascii="仿宋_GB2312" w:hAnsi="仿宋_GB2312" w:eastAsia="仿宋_GB2312" w:cs="仿宋_GB2312"/>
          <w:color w:val="auto"/>
          <w:sz w:val="32"/>
          <w:szCs w:val="32"/>
          <w:highlight w:val="none"/>
        </w:rPr>
        <w:t>本部门自行组织</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宋体" w:eastAsia="仿宋_GB2312" w:cs="仿宋_GB2312"/>
          <w:color w:val="auto"/>
          <w:kern w:val="2"/>
          <w:sz w:val="32"/>
          <w:szCs w:val="24"/>
          <w:highlight w:val="none"/>
          <w:lang w:val="en-US" w:eastAsia="zh-CN" w:bidi="ar"/>
        </w:rPr>
        <w:t>邛溪镇牧业生产点道路（草原森林防火通道）维修</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宋体" w:eastAsia="仿宋_GB2312" w:cs="仿宋_GB2312"/>
          <w:color w:val="auto"/>
          <w:kern w:val="2"/>
          <w:sz w:val="32"/>
          <w:szCs w:val="24"/>
          <w:highlight w:val="none"/>
          <w:lang w:val="en-US" w:eastAsia="zh-CN" w:bidi="ar"/>
        </w:rPr>
        <w:t>邛溪镇玛萨村、达格龙村乡村振兴游步道建设</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 w:hAnsi="仿宋" w:eastAsia="仿宋" w:cs="仿宋"/>
          <w:b w:val="0"/>
          <w:bCs w:val="0"/>
          <w:color w:val="auto"/>
          <w:sz w:val="32"/>
          <w:szCs w:val="32"/>
          <w:highlight w:val="none"/>
          <w:lang w:val="en-US" w:eastAsia="zh-CN"/>
        </w:rPr>
        <w:t>热坤村活动中心设施设备采购</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 w:hAnsi="仿宋" w:eastAsia="仿宋" w:cs="仿宋"/>
          <w:b w:val="0"/>
          <w:bCs w:val="0"/>
          <w:color w:val="auto"/>
          <w:sz w:val="32"/>
          <w:szCs w:val="32"/>
          <w:highlight w:val="none"/>
          <w:lang w:val="en-US" w:eastAsia="zh-CN"/>
        </w:rPr>
        <w:t>、“</w:t>
      </w:r>
      <w:r>
        <w:rPr>
          <w:rFonts w:hint="eastAsia" w:ascii="仿宋_GB2312" w:hAnsi="宋体" w:eastAsia="仿宋_GB2312" w:cs="仿宋_GB2312"/>
          <w:color w:val="auto"/>
          <w:kern w:val="2"/>
          <w:sz w:val="32"/>
          <w:szCs w:val="24"/>
          <w:highlight w:val="none"/>
          <w:lang w:val="en-US" w:eastAsia="zh-CN" w:bidi="ar"/>
        </w:rPr>
        <w:t>邛溪镇热坤村栈道建设及基础设施提升项目</w:t>
      </w:r>
      <w:r>
        <w:rPr>
          <w:rFonts w:hint="eastAsia" w:ascii="仿宋" w:hAnsi="仿宋" w:eastAsia="仿宋" w:cs="仿宋"/>
          <w:b w:val="0"/>
          <w:bCs w:val="0"/>
          <w:color w:val="auto"/>
          <w:sz w:val="32"/>
          <w:szCs w:val="32"/>
          <w:highlight w:val="none"/>
          <w:lang w:val="en-US" w:eastAsia="zh-CN"/>
        </w:rPr>
        <w:t>”</w:t>
      </w:r>
      <w:r>
        <w:rPr>
          <w:rFonts w:hint="eastAsia" w:ascii="仿宋_GB2312" w:hAnsi="宋体" w:eastAsia="仿宋_GB2312" w:cs="仿宋_GB2312"/>
          <w:color w:val="auto"/>
          <w:kern w:val="2"/>
          <w:sz w:val="32"/>
          <w:szCs w:val="24"/>
          <w:highlight w:val="none"/>
          <w:lang w:val="en-US" w:eastAsia="zh-CN" w:bidi="ar"/>
        </w:rPr>
        <w:t>、“邛溪镇热坤村综合活动中心建设”</w:t>
      </w:r>
      <w:r>
        <w:rPr>
          <w:rFonts w:hint="eastAsia" w:ascii="仿宋_GB2312" w:hAnsi="仿宋_GB2312" w:eastAsia="仿宋_GB2312" w:cs="仿宋_GB2312"/>
          <w:color w:val="auto"/>
          <w:sz w:val="32"/>
          <w:szCs w:val="32"/>
          <w:highlight w:val="none"/>
        </w:rPr>
        <w:t>开展了绩效评价，《邛溪镇</w:t>
      </w: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年</w:t>
      </w:r>
      <w:r>
        <w:rPr>
          <w:rFonts w:hint="eastAsia" w:ascii="仿宋_GB2312" w:hAnsi="仿宋_GB2312" w:eastAsia="仿宋_GB2312" w:cs="仿宋_GB2312"/>
          <w:color w:val="auto"/>
          <w:sz w:val="32"/>
          <w:szCs w:val="32"/>
          <w:highlight w:val="none"/>
        </w:rPr>
        <w:t>绩效评价报告》见附件（附件2）。</w:t>
      </w:r>
    </w:p>
    <w:p>
      <w:pPr>
        <w:spacing w:line="600" w:lineRule="exact"/>
        <w:ind w:firstLine="640"/>
        <w:rPr>
          <w:rFonts w:ascii="仿宋_GB2312" w:hAnsi="仿宋_GB2312" w:eastAsia="仿宋_GB2312" w:cs="仿宋_GB2312"/>
          <w:color w:val="auto"/>
          <w:sz w:val="32"/>
          <w:szCs w:val="32"/>
          <w:highlight w:val="none"/>
          <w:shd w:val="clear" w:color="auto" w:fill="FFFFFF"/>
        </w:rPr>
      </w:pPr>
      <w:r>
        <w:rPr>
          <w:rFonts w:ascii="仿宋_GB2312" w:eastAsia="仿宋_GB2312"/>
          <w:b/>
          <w:color w:val="auto"/>
          <w:sz w:val="32"/>
          <w:szCs w:val="32"/>
          <w:highlight w:val="none"/>
        </w:rPr>
        <w:br w:type="page"/>
      </w:r>
    </w:p>
    <w:p>
      <w:pPr>
        <w:widowControl/>
        <w:jc w:val="left"/>
        <w:rPr>
          <w:rFonts w:ascii="仿宋_GB2312" w:eastAsia="仿宋_GB2312"/>
          <w:b/>
          <w:color w:val="auto"/>
          <w:sz w:val="32"/>
          <w:szCs w:val="32"/>
          <w:highlight w:val="none"/>
        </w:rPr>
      </w:pPr>
    </w:p>
    <w:p>
      <w:pPr>
        <w:numPr>
          <w:ilvl w:val="0"/>
          <w:numId w:val="5"/>
        </w:numPr>
        <w:spacing w:line="600" w:lineRule="exact"/>
        <w:ind w:firstLine="660" w:firstLineChars="150"/>
        <w:jc w:val="center"/>
        <w:outlineLvl w:val="0"/>
        <w:rPr>
          <w:rStyle w:val="26"/>
          <w:rFonts w:ascii="黑体" w:hAnsi="黑体" w:eastAsia="黑体"/>
          <w:b w:val="0"/>
          <w:color w:val="auto"/>
          <w:highlight w:val="none"/>
        </w:rPr>
      </w:pPr>
      <w:bookmarkStart w:id="82" w:name="_Toc15396613"/>
      <w:bookmarkStart w:id="83" w:name="_Toc57146381"/>
      <w:bookmarkStart w:id="84" w:name="_Toc15377225"/>
      <w:r>
        <w:rPr>
          <w:rFonts w:hint="eastAsia" w:ascii="黑体" w:hAnsi="黑体" w:eastAsia="黑体"/>
          <w:color w:val="auto"/>
          <w:sz w:val="44"/>
          <w:szCs w:val="44"/>
          <w:highlight w:val="none"/>
        </w:rPr>
        <w:t>名</w:t>
      </w:r>
      <w:r>
        <w:rPr>
          <w:rStyle w:val="26"/>
          <w:rFonts w:hint="eastAsia" w:ascii="黑体" w:hAnsi="黑体" w:eastAsia="黑体"/>
          <w:b w:val="0"/>
          <w:color w:val="auto"/>
          <w:highlight w:val="none"/>
        </w:rPr>
        <w:t>词解释</w:t>
      </w:r>
      <w:bookmarkEnd w:id="82"/>
      <w:bookmarkEnd w:id="83"/>
      <w:bookmarkEnd w:id="84"/>
    </w:p>
    <w:p>
      <w:pPr>
        <w:spacing w:line="600" w:lineRule="exact"/>
        <w:jc w:val="left"/>
        <w:rPr>
          <w:rFonts w:ascii="宋体"/>
          <w:b/>
          <w:color w:val="auto"/>
          <w:sz w:val="44"/>
          <w:szCs w:val="44"/>
          <w:highlight w:val="none"/>
        </w:rPr>
      </w:pP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1.财政拨款收入：指单位从同级财政部门取得的财政预算资金。</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2.其他收入：指单位取得财政拨款收入以外的各项收入。主要是眉山援建项目收入等。</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3.年初结转和结余：指以前年度尚未完成、结转到本年按有关规定继续使用的资金。</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4、年末结转和结余：指单位按有关规定结转到下年或以后年度继续使用的资金。</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5. 一般公共服务（类）201（款）01（项）01——行政运行：反映行政单位（包括实行公务员管理的事业单位）的基本支出反映行政单位（包括实行公务员管理的事业单位）的基本支出。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6. 一般公共服务（类）201（款）01（项）04——人大会议费：反映各级人大召开"人代会"等专门会议的支出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7. 一般公共服务（类）201（款03（项）01——行政运行：反映各级政府办公厅（室）及相关机构的支出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8. 一般公共服务（类）201（款）03（项）99——其他政府办公厅（室）及相关机构事务支出：反映除上述项目以外的其他政府办公厅（室）及相关机构事务支出。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9. 一般公共服务（类）201（款）06（项）01—行政运行: 反映财政事务方面的支出。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10. 一般公共服务（类）201（款）31（项）01—其它政府办公厅及相关事务支出:反映行政单位（包括实行公务员管理的事业单位）的基本支出 </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11.社会保障和就业支出（类）208（款）05（项）05——机关事业单位基本养老保险缴费支出：反映机关事业单位实施养老保险制度的单位缴纳的基本养老保险费支出。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12. 社会保障和就业支出（类）208（款）05（项）06——机关事业单位职业年金缴费支出：反映机关事业单位实施养老保险制度匝单位缴纳的职业年金支出。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13.医疗卫生与计划生育支出(类）210（款）11（项）01——行政单位医疗：反映财政部门集中安排的公务员医疗补助经费。</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14.医疗卫生与计划生育支出(类）210（款）11（项）02——事业单位医疗：反映除为行政单位（包括实行公务员管理的事业单位）提供后勤服务的各类后勤服务中心、医务室等附属事业单位外的其他事业单位基本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15.农林水支出（类）213（款）01（项）42—农村道路建设：反映用于农村公路、乡村道路建设方面的支出。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16.农林水支出（类）213（款）01（项）52—对高校毕业生到基层任职补助：反映按规定对高校毕业生到基层任职的补助支出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17.农林水支出（类）213（款）02（项）04—林业事业机构：反映用于林业事业单位的基本支出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18.农林水支出（类）213（款）03（项）14—防汛：反映防汛业务支出。有关事项包括防汛物资购置管护，防汛通信设施设备、网络系统、车船设备运行维护，防汛值班、水情报汛、防汛指挥系统运行维护、水毁修复以及防汛组织（如防汛预案编制、检查、演习、宣传、培训、会议等），汛期调用民工及劳动保护，水利设施灾后重建，退田还湖，蓄滞洪区补偿、水情、雨情、决策支持，防汛视频会商，山洪灾害防治等。。</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19.农林水支出（类）213（款）07（项）05—对村民委员会和党支部补助：反映各级财政对村民委员会和村党支部的补助支出，以及支持建立县级基本财力保障机制安排的村级组织运转奖补资金</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20.住房保障支出(类）221（款）02（项）01—住房公积金：反映行政事业单位按人力资源和社会保障部、财政部规定的基本工资和津贴补贴以及规定比例为职工缴纳的住房公积金。</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21.其他支出(类）229（款）99（项）01—其他支出：反映除上述项目以外其他不能划分到具体功能科目中的支出项目</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22.年末结转和结余：指本年度或以前年度预算安排、因客观条件发生变化无法按原计划实施，需延迟到以后年度按有关规定继续使用的资金。</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23.基本支出：指为保障机构正常运转、完成日常工作任务而发生的人员支出和公用支出。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24.项目支出：指在基本支出之外为完成特定行政任务和事业发展目标所发生的支出。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25.“三公”经费：纳入县级财政预决算管理的“三公”经费，是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26.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公务用车运行维护费以及其他费用。</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27.基本支出：指为保障机构正常运转、完成日常工作任务而发生的人员支出和公用支出。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 xml:space="preserve">28.项目支出：指在基本支出之外为完成特定行政任务和事业发展目标所发生的支出。 </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29.经营支出：指事业单位在专业业务活动及其辅助活动之外开展非独立核算经营活动发生的支出。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autoSpaceDE w:val="0"/>
        <w:autoSpaceDN w:val="0"/>
        <w:adjustRightInd w:val="0"/>
        <w:spacing w:line="600" w:lineRule="exact"/>
        <w:ind w:firstLine="640" w:firstLineChars="200"/>
        <w:jc w:val="left"/>
        <w:rPr>
          <w:rFonts w:ascii="仿宋_GB2312" w:eastAsia="仿宋_GB2312"/>
          <w:color w:val="auto"/>
          <w:sz w:val="32"/>
          <w:szCs w:val="32"/>
          <w:highlight w:val="none"/>
        </w:rPr>
      </w:pPr>
      <w:r>
        <w:rPr>
          <w:rFonts w:hint="eastAsia" w:ascii="仿宋_GB2312" w:eastAsia="仿宋_GB2312"/>
          <w:color w:val="auto"/>
          <w:sz w:val="32"/>
          <w:szCs w:val="32"/>
          <w:highlight w:val="none"/>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4"/>
        <w:spacing w:line="560" w:lineRule="exact"/>
        <w:ind w:firstLine="640" w:firstLineChars="200"/>
        <w:rPr>
          <w:rFonts w:ascii="仿宋_GB2312" w:eastAsia="仿宋_GB2312" w:cs="黑体"/>
          <w:color w:val="auto"/>
          <w:sz w:val="32"/>
          <w:szCs w:val="32"/>
          <w:highlight w:val="none"/>
        </w:rPr>
      </w:pPr>
    </w:p>
    <w:p>
      <w:pPr>
        <w:spacing w:line="600" w:lineRule="exact"/>
        <w:jc w:val="center"/>
        <w:outlineLvl w:val="0"/>
        <w:rPr>
          <w:rFonts w:ascii="黑体" w:hAnsi="黑体" w:eastAsia="黑体"/>
          <w:color w:val="auto"/>
          <w:sz w:val="44"/>
          <w:szCs w:val="44"/>
          <w:highlight w:val="none"/>
        </w:rPr>
      </w:pPr>
      <w:bookmarkStart w:id="85" w:name="_Toc15396614"/>
      <w:bookmarkStart w:id="86" w:name="_Toc15377226"/>
    </w:p>
    <w:p>
      <w:pPr>
        <w:spacing w:line="600" w:lineRule="exact"/>
        <w:jc w:val="center"/>
        <w:outlineLvl w:val="0"/>
        <w:rPr>
          <w:rFonts w:ascii="黑体" w:hAnsi="黑体" w:eastAsia="黑体"/>
          <w:color w:val="auto"/>
          <w:sz w:val="44"/>
          <w:szCs w:val="44"/>
          <w:highlight w:val="none"/>
        </w:rPr>
      </w:pPr>
    </w:p>
    <w:p>
      <w:pPr>
        <w:spacing w:line="600" w:lineRule="exact"/>
        <w:jc w:val="center"/>
        <w:outlineLvl w:val="0"/>
        <w:rPr>
          <w:rFonts w:ascii="黑体" w:hAnsi="黑体" w:eastAsia="黑体"/>
          <w:color w:val="auto"/>
          <w:sz w:val="44"/>
          <w:szCs w:val="44"/>
          <w:highlight w:val="none"/>
        </w:rPr>
      </w:pPr>
    </w:p>
    <w:p>
      <w:pPr>
        <w:spacing w:line="600" w:lineRule="exact"/>
        <w:jc w:val="center"/>
        <w:outlineLvl w:val="0"/>
        <w:rPr>
          <w:rFonts w:ascii="黑体" w:hAnsi="黑体" w:eastAsia="黑体"/>
          <w:color w:val="auto"/>
          <w:sz w:val="44"/>
          <w:szCs w:val="44"/>
          <w:highlight w:val="none"/>
        </w:rPr>
      </w:pPr>
    </w:p>
    <w:p>
      <w:pPr>
        <w:spacing w:line="600" w:lineRule="exact"/>
        <w:jc w:val="center"/>
        <w:outlineLvl w:val="0"/>
        <w:rPr>
          <w:rFonts w:ascii="黑体" w:hAnsi="黑体" w:eastAsia="黑体"/>
          <w:color w:val="auto"/>
          <w:sz w:val="44"/>
          <w:szCs w:val="44"/>
          <w:highlight w:val="none"/>
        </w:rPr>
      </w:pPr>
    </w:p>
    <w:p>
      <w:pPr>
        <w:spacing w:line="600" w:lineRule="exact"/>
        <w:jc w:val="center"/>
        <w:outlineLvl w:val="0"/>
        <w:rPr>
          <w:rFonts w:ascii="黑体" w:hAnsi="黑体" w:eastAsia="黑体"/>
          <w:color w:val="auto"/>
          <w:sz w:val="44"/>
          <w:szCs w:val="44"/>
          <w:highlight w:val="none"/>
        </w:rPr>
      </w:pPr>
    </w:p>
    <w:p>
      <w:pPr>
        <w:pStyle w:val="2"/>
        <w:rPr>
          <w:color w:val="auto"/>
          <w:highlight w:val="none"/>
        </w:rPr>
      </w:pPr>
    </w:p>
    <w:p>
      <w:pPr>
        <w:spacing w:line="600" w:lineRule="exact"/>
        <w:jc w:val="center"/>
        <w:outlineLvl w:val="0"/>
        <w:rPr>
          <w:rFonts w:ascii="黑体" w:hAnsi="黑体" w:eastAsia="黑体"/>
          <w:color w:val="auto"/>
          <w:sz w:val="44"/>
          <w:szCs w:val="44"/>
          <w:highlight w:val="none"/>
        </w:rPr>
      </w:pPr>
    </w:p>
    <w:p>
      <w:pPr>
        <w:spacing w:line="600" w:lineRule="exact"/>
        <w:jc w:val="center"/>
        <w:outlineLvl w:val="0"/>
        <w:rPr>
          <w:rStyle w:val="26"/>
          <w:rFonts w:ascii="黑体" w:hAnsi="黑体" w:eastAsia="黑体"/>
          <w:b w:val="0"/>
          <w:color w:val="auto"/>
          <w:highlight w:val="none"/>
        </w:rPr>
      </w:pPr>
      <w:bookmarkStart w:id="87" w:name="_Toc57146382"/>
      <w:r>
        <w:rPr>
          <w:rFonts w:hint="eastAsia" w:ascii="黑体" w:hAnsi="黑体" w:eastAsia="黑体"/>
          <w:color w:val="auto"/>
          <w:sz w:val="44"/>
          <w:szCs w:val="44"/>
          <w:highlight w:val="none"/>
        </w:rPr>
        <w:t>第</w:t>
      </w:r>
      <w:r>
        <w:rPr>
          <w:rStyle w:val="26"/>
          <w:rFonts w:hint="eastAsia" w:ascii="黑体" w:hAnsi="黑体" w:eastAsia="黑体"/>
          <w:b w:val="0"/>
          <w:color w:val="auto"/>
          <w:highlight w:val="none"/>
        </w:rPr>
        <w:t>四部分 附件</w:t>
      </w:r>
      <w:bookmarkEnd w:id="85"/>
      <w:bookmarkEnd w:id="87"/>
    </w:p>
    <w:p>
      <w:pPr>
        <w:spacing w:line="600" w:lineRule="exact"/>
        <w:jc w:val="left"/>
        <w:outlineLvl w:val="0"/>
        <w:rPr>
          <w:rFonts w:ascii="方正小标宋简体" w:hAnsi="方正小标宋简体" w:eastAsia="方正小标宋简体" w:cs="方正小标宋简体"/>
          <w:color w:val="auto"/>
          <w:sz w:val="32"/>
          <w:szCs w:val="32"/>
          <w:highlight w:val="none"/>
        </w:rPr>
      </w:pPr>
      <w:bookmarkStart w:id="88" w:name="_Toc57146383"/>
      <w:r>
        <w:rPr>
          <w:rFonts w:hint="eastAsia" w:ascii="黑体" w:hAnsi="黑体" w:eastAsia="黑体" w:cs="黑体"/>
          <w:color w:val="auto"/>
          <w:sz w:val="32"/>
          <w:szCs w:val="32"/>
          <w:highlight w:val="none"/>
        </w:rPr>
        <w:t>附件1</w:t>
      </w:r>
      <w:bookmarkEnd w:id="88"/>
    </w:p>
    <w:p>
      <w:pPr>
        <w:spacing w:line="580" w:lineRule="exact"/>
        <w:jc w:val="center"/>
        <w:rPr>
          <w:rFonts w:ascii="方正小标宋简体" w:hAnsi="方正小标宋简体" w:eastAsia="方正小标宋简体" w:cs="方正小标宋简体"/>
          <w:color w:val="auto"/>
          <w:sz w:val="44"/>
          <w:szCs w:val="44"/>
          <w:highlight w:val="none"/>
        </w:rPr>
      </w:pPr>
    </w:p>
    <w:p>
      <w:pPr>
        <w:spacing w:line="600" w:lineRule="exact"/>
        <w:jc w:val="center"/>
        <w:rPr>
          <w:rFonts w:ascii="方正小标宋简体" w:hAnsi="宋体" w:eastAsia="方正小标宋简体"/>
          <w:color w:val="auto"/>
          <w:kern w:val="0"/>
          <w:sz w:val="40"/>
          <w:szCs w:val="44"/>
          <w:highlight w:val="none"/>
          <w:lang w:val="zh-CN"/>
        </w:rPr>
      </w:pPr>
      <w:r>
        <w:rPr>
          <w:rFonts w:hint="eastAsia" w:ascii="方正小标宋简体" w:hAnsi="宋体" w:eastAsia="方正小标宋简体"/>
          <w:color w:val="auto"/>
          <w:kern w:val="0"/>
          <w:sz w:val="40"/>
          <w:szCs w:val="44"/>
          <w:highlight w:val="none"/>
        </w:rPr>
        <w:t>邛溪镇</w:t>
      </w:r>
      <w:r>
        <w:rPr>
          <w:rFonts w:hint="eastAsia" w:ascii="方正小标宋简体" w:hAnsi="宋体" w:eastAsia="方正小标宋简体"/>
          <w:color w:val="auto"/>
          <w:kern w:val="0"/>
          <w:sz w:val="40"/>
          <w:szCs w:val="44"/>
          <w:highlight w:val="none"/>
          <w:lang w:eastAsia="zh-CN"/>
        </w:rPr>
        <w:t>2020年</w:t>
      </w:r>
      <w:r>
        <w:rPr>
          <w:rFonts w:ascii="方正小标宋简体" w:hAnsi="宋体" w:eastAsia="方正小标宋简体"/>
          <w:color w:val="auto"/>
          <w:kern w:val="0"/>
          <w:sz w:val="40"/>
          <w:szCs w:val="44"/>
          <w:highlight w:val="none"/>
        </w:rPr>
        <w:t>部门</w:t>
      </w:r>
      <w:r>
        <w:rPr>
          <w:rFonts w:hint="eastAsia" w:ascii="方正小标宋简体" w:hAnsi="宋体" w:eastAsia="方正小标宋简体"/>
          <w:color w:val="auto"/>
          <w:kern w:val="0"/>
          <w:sz w:val="40"/>
          <w:szCs w:val="44"/>
          <w:highlight w:val="none"/>
          <w:lang w:val="zh-CN"/>
        </w:rPr>
        <w:t>整体支出绩效评价报告</w:t>
      </w:r>
    </w:p>
    <w:p>
      <w:pPr>
        <w:widowControl/>
        <w:adjustRightInd w:val="0"/>
        <w:snapToGrid w:val="0"/>
        <w:spacing w:line="580" w:lineRule="exact"/>
        <w:ind w:firstLine="480" w:firstLineChars="200"/>
        <w:contextualSpacing/>
        <w:jc w:val="left"/>
        <w:rPr>
          <w:rFonts w:ascii="黑体" w:hAnsi="宋体" w:eastAsia="黑体" w:cs="宋体"/>
          <w:color w:val="auto"/>
          <w:kern w:val="0"/>
          <w:sz w:val="24"/>
          <w:szCs w:val="32"/>
          <w:highlight w:val="none"/>
          <w:shd w:val="clear" w:color="auto" w:fill="FFFFFF"/>
        </w:rPr>
      </w:pPr>
    </w:p>
    <w:p>
      <w:pPr>
        <w:widowControl/>
        <w:adjustRightInd w:val="0"/>
        <w:snapToGrid w:val="0"/>
        <w:spacing w:line="580" w:lineRule="exact"/>
        <w:ind w:firstLine="640" w:firstLineChars="200"/>
        <w:contextualSpacing/>
        <w:jc w:val="left"/>
        <w:rPr>
          <w:rFonts w:ascii="黑体" w:hAnsi="宋体" w:eastAsia="黑体" w:cs="宋体"/>
          <w:color w:val="auto"/>
          <w:kern w:val="0"/>
          <w:sz w:val="32"/>
          <w:szCs w:val="32"/>
          <w:highlight w:val="none"/>
          <w:shd w:val="clear" w:color="auto" w:fill="FFFFFF"/>
          <w:lang w:val="zh-CN"/>
        </w:rPr>
      </w:pPr>
      <w:r>
        <w:rPr>
          <w:rFonts w:hint="eastAsia" w:ascii="黑体" w:hAnsi="宋体" w:eastAsia="黑体" w:cs="宋体"/>
          <w:color w:val="auto"/>
          <w:kern w:val="0"/>
          <w:sz w:val="32"/>
          <w:szCs w:val="32"/>
          <w:highlight w:val="none"/>
          <w:shd w:val="clear" w:color="auto" w:fill="FFFFFF"/>
        </w:rPr>
        <w:t>一、</w:t>
      </w:r>
      <w:r>
        <w:rPr>
          <w:rFonts w:hint="eastAsia" w:ascii="黑体" w:hAnsi="宋体" w:eastAsia="黑体" w:cs="宋体"/>
          <w:color w:val="auto"/>
          <w:kern w:val="0"/>
          <w:sz w:val="32"/>
          <w:szCs w:val="32"/>
          <w:highlight w:val="none"/>
          <w:shd w:val="clear" w:color="auto" w:fill="FFFFFF"/>
          <w:lang w:val="zh-CN"/>
        </w:rPr>
        <w:t>部门（单位）概况</w:t>
      </w:r>
    </w:p>
    <w:p>
      <w:pPr>
        <w:ind w:firstLine="640" w:firstLineChars="200"/>
        <w:rPr>
          <w:rFonts w:ascii="仿宋_GB2312" w:eastAsia="仿宋_GB2312"/>
          <w:color w:val="auto"/>
          <w:sz w:val="32"/>
          <w:szCs w:val="32"/>
          <w:highlight w:val="none"/>
        </w:rPr>
      </w:pPr>
      <w:r>
        <w:rPr>
          <w:rFonts w:hint="eastAsia" w:ascii="仿宋_GB2312" w:eastAsia="仿宋_GB2312"/>
          <w:color w:val="auto"/>
          <w:sz w:val="32"/>
          <w:szCs w:val="32"/>
          <w:highlight w:val="none"/>
        </w:rPr>
        <w:t>红原县邛溪镇人民政府</w:t>
      </w:r>
      <w:r>
        <w:rPr>
          <w:rFonts w:hint="eastAsia" w:ascii="仿宋_GB2312" w:hAnsi="华文中宋" w:eastAsia="仿宋_GB2312"/>
          <w:color w:val="auto"/>
          <w:sz w:val="32"/>
          <w:szCs w:val="32"/>
          <w:highlight w:val="none"/>
        </w:rPr>
        <w:t>是</w:t>
      </w:r>
      <w:r>
        <w:rPr>
          <w:rFonts w:hint="eastAsia" w:ascii="仿宋_GB2312" w:eastAsia="仿宋_GB2312"/>
          <w:color w:val="auto"/>
          <w:sz w:val="32"/>
          <w:szCs w:val="32"/>
          <w:highlight w:val="none"/>
        </w:rPr>
        <w:t>独立核算的机构，是独立编报预算的单位。下设6个内设机构分别为：党政办、综合办公室、维稳办、便民服务中心、财务室。</w:t>
      </w:r>
    </w:p>
    <w:p>
      <w:pPr>
        <w:spacing w:line="580" w:lineRule="exact"/>
        <w:ind w:firstLine="643" w:firstLineChars="200"/>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（二）机构职能。</w:t>
      </w:r>
    </w:p>
    <w:p>
      <w:pPr>
        <w:spacing w:line="580" w:lineRule="exact"/>
        <w:ind w:left="420" w:leftChars="200"/>
        <w:rPr>
          <w:rFonts w:ascii="仿宋_GB2312" w:eastAsia="仿宋_GB2312"/>
          <w:color w:val="auto"/>
          <w:sz w:val="32"/>
          <w:szCs w:val="32"/>
          <w:highlight w:val="none"/>
        </w:rPr>
      </w:pPr>
      <w:r>
        <w:rPr>
          <w:rFonts w:hint="eastAsia" w:ascii="宋体" w:hAnsi="宋体" w:cs="宋体"/>
          <w:color w:val="auto"/>
          <w:szCs w:val="21"/>
          <w:highlight w:val="none"/>
        </w:rPr>
        <w:t xml:space="preserve">　  </w:t>
      </w:r>
      <w:r>
        <w:rPr>
          <w:rFonts w:hint="eastAsia" w:ascii="仿宋_GB2312" w:eastAsia="仿宋_GB2312"/>
          <w:color w:val="auto"/>
          <w:sz w:val="32"/>
          <w:szCs w:val="32"/>
          <w:highlight w:val="none"/>
        </w:rPr>
        <w:t xml:space="preserve"> 维护社会稳定，促进经济发展，不断提高人民群众的生活水平，全心全意为人民服务。 </w:t>
      </w:r>
    </w:p>
    <w:p>
      <w:pPr>
        <w:numPr>
          <w:ilvl w:val="0"/>
          <w:numId w:val="6"/>
        </w:numPr>
        <w:spacing w:line="580" w:lineRule="exact"/>
        <w:ind w:firstLine="643" w:firstLineChars="200"/>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人员概况。</w:t>
      </w:r>
    </w:p>
    <w:p>
      <w:pPr>
        <w:spacing w:line="576" w:lineRule="exact"/>
        <w:ind w:firstLine="640" w:firstLineChars="200"/>
        <w:jc w:val="left"/>
        <w:rPr>
          <w:rFonts w:ascii="仿宋_GB2312" w:eastAsia="仿宋_GB2312"/>
          <w:color w:val="auto"/>
          <w:sz w:val="32"/>
          <w:szCs w:val="32"/>
          <w:highlight w:val="none"/>
        </w:rPr>
      </w:pPr>
      <w:r>
        <w:rPr>
          <w:rFonts w:hint="eastAsia" w:ascii="仿宋" w:hAnsi="仿宋" w:eastAsia="仿宋" w:cs="仿宋_GB2312"/>
          <w:color w:val="auto"/>
          <w:sz w:val="32"/>
          <w:szCs w:val="32"/>
          <w:highlight w:val="none"/>
        </w:rPr>
        <w:t xml:space="preserve">  </w:t>
      </w:r>
      <w:r>
        <w:rPr>
          <w:rFonts w:hint="eastAsia" w:ascii="仿宋_GB2312" w:eastAsia="仿宋_GB2312"/>
          <w:color w:val="auto"/>
          <w:sz w:val="32"/>
          <w:szCs w:val="32"/>
          <w:highlight w:val="none"/>
        </w:rPr>
        <w:t xml:space="preserve"> 单位编制人数</w:t>
      </w:r>
      <w:r>
        <w:rPr>
          <w:rFonts w:hint="eastAsia" w:ascii="仿宋_GB2312" w:eastAsia="仿宋_GB2312"/>
          <w:color w:val="auto"/>
          <w:sz w:val="32"/>
          <w:szCs w:val="32"/>
          <w:highlight w:val="none"/>
          <w:lang w:val="en-US" w:eastAsia="zh-CN"/>
        </w:rPr>
        <w:t>44</w:t>
      </w:r>
      <w:r>
        <w:rPr>
          <w:rFonts w:hint="eastAsia" w:ascii="仿宋_GB2312" w:eastAsia="仿宋_GB2312"/>
          <w:color w:val="auto"/>
          <w:sz w:val="32"/>
          <w:szCs w:val="32"/>
          <w:highlight w:val="none"/>
        </w:rPr>
        <w:t>人，</w:t>
      </w:r>
      <w:r>
        <w:rPr>
          <w:rFonts w:hint="eastAsia" w:ascii="仿宋_GB2312" w:hAnsi="仿宋_GB2312" w:eastAsia="仿宋_GB2312" w:cs="仿宋_GB2312"/>
          <w:color w:val="auto"/>
          <w:sz w:val="32"/>
          <w:szCs w:val="32"/>
          <w:highlight w:val="none"/>
          <w:shd w:val="clear" w:color="auto" w:fill="FFFFFF"/>
        </w:rPr>
        <w:t>其中公务员编制</w:t>
      </w:r>
      <w:r>
        <w:rPr>
          <w:rFonts w:hint="eastAsia" w:ascii="仿宋_GB2312" w:hAnsi="仿宋_GB2312" w:eastAsia="仿宋_GB2312" w:cs="仿宋_GB2312"/>
          <w:color w:val="auto"/>
          <w:sz w:val="32"/>
          <w:szCs w:val="32"/>
          <w:highlight w:val="none"/>
          <w:shd w:val="clear" w:color="auto" w:fill="FFFFFF"/>
          <w:lang w:val="en-US" w:eastAsia="zh-CN"/>
        </w:rPr>
        <w:t>27</w:t>
      </w:r>
      <w:r>
        <w:rPr>
          <w:rFonts w:hint="eastAsia" w:ascii="仿宋_GB2312" w:hAnsi="仿宋_GB2312" w:eastAsia="仿宋_GB2312" w:cs="仿宋_GB2312"/>
          <w:color w:val="auto"/>
          <w:sz w:val="32"/>
          <w:szCs w:val="32"/>
          <w:highlight w:val="none"/>
          <w:shd w:val="clear" w:color="auto" w:fill="FFFFFF"/>
        </w:rPr>
        <w:t>个，行政工勤编制</w:t>
      </w:r>
      <w:r>
        <w:rPr>
          <w:rFonts w:hint="eastAsia" w:ascii="仿宋_GB2312" w:hAnsi="仿宋_GB2312" w:eastAsia="仿宋_GB2312" w:cs="仿宋_GB2312"/>
          <w:color w:val="auto"/>
          <w:sz w:val="32"/>
          <w:szCs w:val="32"/>
          <w:highlight w:val="none"/>
          <w:shd w:val="clear" w:color="auto" w:fill="FFFFFF"/>
          <w:lang w:val="en-US" w:eastAsia="zh-CN"/>
        </w:rPr>
        <w:t>2</w:t>
      </w:r>
      <w:r>
        <w:rPr>
          <w:rFonts w:hint="eastAsia" w:ascii="仿宋_GB2312" w:hAnsi="仿宋_GB2312" w:eastAsia="仿宋_GB2312" w:cs="仿宋_GB2312"/>
          <w:color w:val="auto"/>
          <w:sz w:val="32"/>
          <w:szCs w:val="32"/>
          <w:highlight w:val="none"/>
          <w:shd w:val="clear" w:color="auto" w:fill="FFFFFF"/>
        </w:rPr>
        <w:t>个，事业编制</w:t>
      </w:r>
      <w:r>
        <w:rPr>
          <w:rFonts w:hint="eastAsia" w:ascii="仿宋_GB2312" w:hAnsi="仿宋_GB2312" w:eastAsia="仿宋_GB2312" w:cs="仿宋_GB2312"/>
          <w:color w:val="auto"/>
          <w:sz w:val="32"/>
          <w:szCs w:val="32"/>
          <w:highlight w:val="none"/>
          <w:shd w:val="clear" w:color="auto" w:fill="FFFFFF"/>
          <w:lang w:val="en-US" w:eastAsia="zh-CN"/>
        </w:rPr>
        <w:t>15</w:t>
      </w:r>
      <w:r>
        <w:rPr>
          <w:rFonts w:hint="eastAsia" w:ascii="仿宋_GB2312" w:hAnsi="仿宋_GB2312" w:eastAsia="仿宋_GB2312" w:cs="仿宋_GB2312"/>
          <w:color w:val="auto"/>
          <w:sz w:val="32"/>
          <w:szCs w:val="32"/>
          <w:highlight w:val="none"/>
          <w:shd w:val="clear" w:color="auto" w:fill="FFFFFF"/>
        </w:rPr>
        <w:t>个，在职</w:t>
      </w:r>
      <w:r>
        <w:rPr>
          <w:rFonts w:hint="eastAsia" w:ascii="仿宋_GB2312" w:hAnsi="仿宋_GB2312" w:eastAsia="仿宋_GB2312" w:cs="仿宋_GB2312"/>
          <w:color w:val="auto"/>
          <w:sz w:val="32"/>
          <w:szCs w:val="32"/>
          <w:highlight w:val="none"/>
          <w:shd w:val="clear" w:color="auto" w:fill="FFFFFF"/>
          <w:lang w:val="en-US" w:eastAsia="zh-CN"/>
        </w:rPr>
        <w:t>44</w:t>
      </w:r>
      <w:r>
        <w:rPr>
          <w:rFonts w:hint="eastAsia" w:ascii="仿宋_GB2312" w:hAnsi="仿宋_GB2312" w:eastAsia="仿宋_GB2312" w:cs="仿宋_GB2312"/>
          <w:color w:val="auto"/>
          <w:sz w:val="32"/>
          <w:szCs w:val="32"/>
          <w:highlight w:val="none"/>
          <w:shd w:val="clear" w:color="auto" w:fill="FFFFFF"/>
        </w:rPr>
        <w:t>人，其中公务员2</w:t>
      </w:r>
      <w:r>
        <w:rPr>
          <w:rFonts w:hint="eastAsia" w:ascii="仿宋_GB2312" w:hAnsi="仿宋_GB2312" w:eastAsia="仿宋_GB2312" w:cs="仿宋_GB2312"/>
          <w:color w:val="auto"/>
          <w:sz w:val="32"/>
          <w:szCs w:val="32"/>
          <w:highlight w:val="none"/>
          <w:shd w:val="clear" w:color="auto" w:fill="FFFFFF"/>
          <w:lang w:val="en-US" w:eastAsia="zh-CN"/>
        </w:rPr>
        <w:t>7</w:t>
      </w:r>
      <w:r>
        <w:rPr>
          <w:rFonts w:hint="eastAsia" w:ascii="仿宋_GB2312" w:hAnsi="仿宋_GB2312" w:eastAsia="仿宋_GB2312" w:cs="仿宋_GB2312"/>
          <w:color w:val="auto"/>
          <w:sz w:val="32"/>
          <w:szCs w:val="32"/>
          <w:highlight w:val="none"/>
          <w:shd w:val="clear" w:color="auto" w:fill="FFFFFF"/>
        </w:rPr>
        <w:t>人，行政工勤</w:t>
      </w:r>
      <w:r>
        <w:rPr>
          <w:rFonts w:hint="eastAsia" w:ascii="仿宋_GB2312" w:hAnsi="仿宋_GB2312" w:eastAsia="仿宋_GB2312" w:cs="仿宋_GB2312"/>
          <w:color w:val="auto"/>
          <w:sz w:val="32"/>
          <w:szCs w:val="32"/>
          <w:highlight w:val="none"/>
          <w:shd w:val="clear" w:color="auto" w:fill="FFFFFF"/>
          <w:lang w:val="en-US" w:eastAsia="zh-CN"/>
        </w:rPr>
        <w:t>2</w:t>
      </w:r>
      <w:r>
        <w:rPr>
          <w:rFonts w:hint="eastAsia" w:ascii="仿宋_GB2312" w:hAnsi="仿宋_GB2312" w:eastAsia="仿宋_GB2312" w:cs="仿宋_GB2312"/>
          <w:color w:val="auto"/>
          <w:sz w:val="32"/>
          <w:szCs w:val="32"/>
          <w:highlight w:val="none"/>
          <w:shd w:val="clear" w:color="auto" w:fill="FFFFFF"/>
        </w:rPr>
        <w:t>人、事业</w:t>
      </w:r>
      <w:r>
        <w:rPr>
          <w:rFonts w:hint="eastAsia" w:ascii="仿宋_GB2312" w:hAnsi="仿宋_GB2312" w:eastAsia="仿宋_GB2312" w:cs="仿宋_GB2312"/>
          <w:color w:val="auto"/>
          <w:sz w:val="32"/>
          <w:szCs w:val="32"/>
          <w:highlight w:val="none"/>
          <w:shd w:val="clear" w:color="auto" w:fill="FFFFFF"/>
          <w:lang w:val="en-US" w:eastAsia="zh-CN"/>
        </w:rPr>
        <w:t>15</w:t>
      </w:r>
      <w:r>
        <w:rPr>
          <w:rFonts w:hint="eastAsia" w:ascii="仿宋_GB2312" w:hAnsi="仿宋_GB2312" w:eastAsia="仿宋_GB2312" w:cs="仿宋_GB2312"/>
          <w:color w:val="auto"/>
          <w:sz w:val="32"/>
          <w:szCs w:val="32"/>
          <w:highlight w:val="none"/>
          <w:shd w:val="clear" w:color="auto" w:fill="FFFFFF"/>
        </w:rPr>
        <w:t>人。</w:t>
      </w:r>
    </w:p>
    <w:p>
      <w:pPr>
        <w:widowControl/>
        <w:adjustRightInd w:val="0"/>
        <w:snapToGrid w:val="0"/>
        <w:spacing w:line="580" w:lineRule="exact"/>
        <w:ind w:firstLine="640" w:firstLineChars="200"/>
        <w:contextualSpacing/>
        <w:jc w:val="left"/>
        <w:rPr>
          <w:rFonts w:ascii="黑体" w:hAnsi="宋体" w:eastAsia="黑体" w:cs="宋体"/>
          <w:color w:val="auto"/>
          <w:kern w:val="0"/>
          <w:sz w:val="32"/>
          <w:szCs w:val="32"/>
          <w:highlight w:val="none"/>
          <w:shd w:val="clear" w:color="auto" w:fill="FFFFFF"/>
        </w:rPr>
      </w:pPr>
      <w:r>
        <w:rPr>
          <w:rFonts w:hint="eastAsia" w:ascii="黑体" w:hAnsi="宋体" w:eastAsia="黑体" w:cs="宋体"/>
          <w:color w:val="auto"/>
          <w:kern w:val="0"/>
          <w:sz w:val="32"/>
          <w:szCs w:val="32"/>
          <w:highlight w:val="none"/>
          <w:shd w:val="clear" w:color="auto" w:fill="FFFFFF"/>
        </w:rPr>
        <w:t>二、部门财政资金收支情况</w:t>
      </w:r>
    </w:p>
    <w:p>
      <w:pPr>
        <w:widowControl/>
        <w:adjustRightInd w:val="0"/>
        <w:snapToGrid w:val="0"/>
        <w:spacing w:line="580" w:lineRule="exact"/>
        <w:ind w:firstLine="643" w:firstLineChars="200"/>
        <w:contextualSpacing/>
        <w:jc w:val="left"/>
        <w:rPr>
          <w:rFonts w:ascii="楷体_GB2312" w:hAnsi="楷体_GB2312" w:eastAsia="楷体_GB2312" w:cs="楷体_GB2312"/>
          <w:b/>
          <w:bCs/>
          <w:color w:val="auto"/>
          <w:kern w:val="0"/>
          <w:sz w:val="32"/>
          <w:szCs w:val="32"/>
          <w:highlight w:val="none"/>
          <w:shd w:val="clear" w:color="auto" w:fill="FFFFFF"/>
          <w:lang w:val="zh-CN"/>
        </w:rPr>
      </w:pPr>
      <w:r>
        <w:rPr>
          <w:rFonts w:hint="eastAsia" w:ascii="楷体_GB2312" w:hAnsi="楷体_GB2312" w:eastAsia="楷体_GB2312" w:cs="楷体_GB2312"/>
          <w:b/>
          <w:bCs/>
          <w:color w:val="auto"/>
          <w:kern w:val="0"/>
          <w:sz w:val="32"/>
          <w:szCs w:val="32"/>
          <w:highlight w:val="none"/>
          <w:shd w:val="clear" w:color="auto" w:fill="FFFFFF"/>
          <w:lang w:val="zh-CN"/>
        </w:rPr>
        <w:t>（一）部门财政资金收入情况。</w:t>
      </w:r>
    </w:p>
    <w:p>
      <w:pPr>
        <w:spacing w:line="576" w:lineRule="exact"/>
        <w:ind w:firstLine="640" w:firstLineChars="200"/>
        <w:jc w:val="left"/>
        <w:rPr>
          <w:rFonts w:ascii="仿宋_GB2312" w:hAnsi="仿宋_GB2312" w:eastAsia="仿宋_GB2312" w:cs="仿宋_GB2312"/>
          <w:color w:val="auto"/>
          <w:sz w:val="32"/>
          <w:szCs w:val="32"/>
          <w:highlight w:val="none"/>
          <w:shd w:val="clear" w:color="auto" w:fill="FFFFFF"/>
        </w:rPr>
      </w:pPr>
      <w:bookmarkStart w:id="89" w:name="_Toc57146384"/>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本年收入合计1790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93万元，其中：一般公共预算财政拨款收入1790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93万元，占</w:t>
      </w:r>
      <w:r>
        <w:rPr>
          <w:rFonts w:hint="eastAsia" w:ascii="仿宋_GB2312" w:hAnsi="仿宋_GB2312" w:eastAsia="仿宋_GB2312" w:cs="仿宋_GB2312"/>
          <w:color w:val="auto"/>
          <w:sz w:val="32"/>
          <w:szCs w:val="32"/>
          <w:highlight w:val="none"/>
          <w:shd w:val="clear" w:color="auto" w:fill="FFFFFF"/>
          <w:lang w:val="en-US" w:eastAsia="zh-CN"/>
        </w:rPr>
        <w:t>100</w:t>
      </w:r>
      <w:r>
        <w:rPr>
          <w:rFonts w:hint="eastAsia" w:ascii="仿宋_GB2312" w:hAnsi="仿宋_GB2312" w:eastAsia="仿宋_GB2312" w:cs="仿宋_GB2312"/>
          <w:color w:val="auto"/>
          <w:sz w:val="32"/>
          <w:szCs w:val="32"/>
          <w:highlight w:val="none"/>
          <w:shd w:val="clear" w:color="auto" w:fill="FFFFFF"/>
        </w:rPr>
        <w:t>%；政府性基金预算财政拨款收入0万元，占0%；上级补助收入0万元，占0%；事业收入0万元，占0%；经营收入0万元，占0%；附属单位上缴收入0万元，占0%；其他收入</w:t>
      </w:r>
      <w:r>
        <w:rPr>
          <w:rFonts w:hint="eastAsia" w:ascii="仿宋_GB2312" w:hAnsi="仿宋_GB2312" w:eastAsia="仿宋_GB2312" w:cs="仿宋_GB2312"/>
          <w:color w:val="auto"/>
          <w:sz w:val="32"/>
          <w:szCs w:val="32"/>
          <w:highlight w:val="none"/>
          <w:shd w:val="clear" w:color="auto" w:fill="FFFFFF"/>
          <w:lang w:val="en-US" w:eastAsia="zh-CN"/>
        </w:rPr>
        <w:t>0</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0</w:t>
      </w:r>
      <w:r>
        <w:rPr>
          <w:rFonts w:hint="eastAsia" w:ascii="仿宋_GB2312" w:hAnsi="仿宋_GB2312" w:eastAsia="仿宋_GB2312" w:cs="仿宋_GB2312"/>
          <w:color w:val="auto"/>
          <w:sz w:val="32"/>
          <w:szCs w:val="32"/>
          <w:highlight w:val="none"/>
          <w:shd w:val="clear" w:color="auto" w:fill="FFFFFF"/>
        </w:rPr>
        <w:t>%。</w:t>
      </w:r>
    </w:p>
    <w:bookmarkEnd w:id="89"/>
    <w:p>
      <w:pPr>
        <w:pStyle w:val="2"/>
        <w:rPr>
          <w:color w:val="auto"/>
          <w:highlight w:val="none"/>
          <w:lang w:val="zh-CN"/>
        </w:rPr>
      </w:pPr>
    </w:p>
    <w:p>
      <w:pPr>
        <w:widowControl/>
        <w:numPr>
          <w:ilvl w:val="0"/>
          <w:numId w:val="6"/>
        </w:numPr>
        <w:adjustRightInd w:val="0"/>
        <w:snapToGrid w:val="0"/>
        <w:spacing w:line="580" w:lineRule="exact"/>
        <w:ind w:firstLine="643" w:firstLineChars="200"/>
        <w:contextualSpacing/>
        <w:jc w:val="left"/>
        <w:rPr>
          <w:rFonts w:ascii="楷体_GB2312" w:hAnsi="楷体_GB2312" w:eastAsia="楷体_GB2312" w:cs="楷体_GB2312"/>
          <w:b/>
          <w:bCs/>
          <w:color w:val="auto"/>
          <w:kern w:val="0"/>
          <w:sz w:val="32"/>
          <w:szCs w:val="32"/>
          <w:highlight w:val="none"/>
          <w:shd w:val="clear" w:color="auto" w:fill="FFFFFF"/>
          <w:lang w:val="zh-CN"/>
        </w:rPr>
      </w:pPr>
      <w:r>
        <w:rPr>
          <w:rFonts w:hint="eastAsia" w:ascii="楷体_GB2312" w:hAnsi="楷体_GB2312" w:eastAsia="楷体_GB2312" w:cs="楷体_GB2312"/>
          <w:b/>
          <w:bCs/>
          <w:color w:val="auto"/>
          <w:kern w:val="0"/>
          <w:sz w:val="32"/>
          <w:szCs w:val="32"/>
          <w:highlight w:val="none"/>
          <w:shd w:val="clear" w:color="auto" w:fill="FFFFFF"/>
          <w:lang w:val="zh-CN"/>
        </w:rPr>
        <w:t>部门财政资金支出情况。</w:t>
      </w:r>
    </w:p>
    <w:p>
      <w:pPr>
        <w:pStyle w:val="2"/>
        <w:ind w:firstLine="640" w:firstLineChars="200"/>
        <w:rPr>
          <w:color w:val="auto"/>
          <w:highlight w:val="none"/>
          <w:lang w:val="zh-CN"/>
        </w:rPr>
      </w:pPr>
      <w:r>
        <w:rPr>
          <w:rFonts w:hint="eastAsia" w:ascii="仿宋_GB2312" w:hAnsi="仿宋_GB2312" w:eastAsia="仿宋_GB2312" w:cs="仿宋_GB2312"/>
          <w:color w:val="auto"/>
          <w:sz w:val="32"/>
          <w:szCs w:val="32"/>
          <w:highlight w:val="none"/>
          <w:shd w:val="clear" w:color="auto" w:fill="FFFFFF"/>
          <w:lang w:eastAsia="zh-CN"/>
        </w:rPr>
        <w:t>202</w:t>
      </w:r>
      <w:r>
        <w:rPr>
          <w:rFonts w:hint="eastAsia" w:ascii="仿宋_GB2312" w:hAnsi="仿宋_GB2312" w:eastAsia="仿宋_GB2312" w:cs="仿宋_GB2312"/>
          <w:color w:val="auto"/>
          <w:sz w:val="32"/>
          <w:szCs w:val="32"/>
          <w:highlight w:val="none"/>
          <w:shd w:val="clear" w:color="auto" w:fill="FFFFFF"/>
          <w:lang w:val="en-US" w:eastAsia="zh-CN"/>
        </w:rPr>
        <w:t>1</w:t>
      </w:r>
      <w:r>
        <w:rPr>
          <w:rFonts w:hint="eastAsia" w:ascii="仿宋_GB2312" w:hAnsi="仿宋_GB2312" w:eastAsia="仿宋_GB2312" w:cs="仿宋_GB2312"/>
          <w:color w:val="auto"/>
          <w:sz w:val="32"/>
          <w:szCs w:val="32"/>
          <w:highlight w:val="none"/>
          <w:shd w:val="clear" w:color="auto" w:fill="FFFFFF"/>
          <w:lang w:eastAsia="zh-CN"/>
        </w:rPr>
        <w:t>年</w:t>
      </w:r>
      <w:r>
        <w:rPr>
          <w:rFonts w:hint="eastAsia" w:ascii="仿宋_GB2312" w:hAnsi="仿宋_GB2312" w:eastAsia="仿宋_GB2312" w:cs="仿宋_GB2312"/>
          <w:color w:val="auto"/>
          <w:sz w:val="32"/>
          <w:szCs w:val="32"/>
          <w:highlight w:val="none"/>
          <w:shd w:val="clear" w:color="auto" w:fill="FFFFFF"/>
        </w:rPr>
        <w:t>本年支出合计1790</w:t>
      </w:r>
      <w:r>
        <w:rPr>
          <w:rFonts w:hint="eastAsia" w:ascii="仿宋_GB2312" w:hAnsi="仿宋_GB2312" w:eastAsia="仿宋_GB2312" w:cs="仿宋_GB2312"/>
          <w:color w:val="auto"/>
          <w:sz w:val="32"/>
          <w:szCs w:val="32"/>
          <w:highlight w:val="none"/>
          <w:shd w:val="clear" w:color="auto" w:fill="FFFFFF"/>
          <w:lang w:val="en-US" w:eastAsia="zh-CN"/>
        </w:rPr>
        <w:t>.</w:t>
      </w:r>
      <w:r>
        <w:rPr>
          <w:rFonts w:hint="eastAsia" w:ascii="仿宋_GB2312" w:hAnsi="仿宋_GB2312" w:eastAsia="仿宋_GB2312" w:cs="仿宋_GB2312"/>
          <w:color w:val="auto"/>
          <w:sz w:val="32"/>
          <w:szCs w:val="32"/>
          <w:highlight w:val="none"/>
          <w:shd w:val="clear" w:color="auto" w:fill="FFFFFF"/>
        </w:rPr>
        <w:t>93万元，其中：基本支出</w:t>
      </w:r>
      <w:r>
        <w:rPr>
          <w:rFonts w:hint="eastAsia" w:ascii="仿宋_GB2312" w:hAnsi="仿宋_GB2312" w:eastAsia="仿宋_GB2312" w:cs="仿宋_GB2312"/>
          <w:color w:val="auto"/>
          <w:sz w:val="32"/>
          <w:szCs w:val="32"/>
          <w:highlight w:val="none"/>
          <w:shd w:val="clear" w:color="auto" w:fill="FFFFFF"/>
          <w:lang w:val="en-US" w:eastAsia="zh-CN"/>
        </w:rPr>
        <w:t>1056.68</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59</w:t>
      </w:r>
      <w:r>
        <w:rPr>
          <w:rFonts w:hint="eastAsia" w:ascii="仿宋_GB2312" w:hAnsi="仿宋_GB2312" w:eastAsia="仿宋_GB2312" w:cs="仿宋_GB2312"/>
          <w:color w:val="auto"/>
          <w:sz w:val="32"/>
          <w:szCs w:val="32"/>
          <w:highlight w:val="none"/>
          <w:shd w:val="clear" w:color="auto" w:fill="FFFFFF"/>
        </w:rPr>
        <w:t>%；项目支出</w:t>
      </w:r>
      <w:r>
        <w:rPr>
          <w:rFonts w:hint="eastAsia" w:ascii="仿宋_GB2312" w:hAnsi="仿宋_GB2312" w:eastAsia="仿宋_GB2312" w:cs="仿宋_GB2312"/>
          <w:color w:val="auto"/>
          <w:sz w:val="32"/>
          <w:szCs w:val="32"/>
          <w:highlight w:val="none"/>
          <w:shd w:val="clear" w:color="auto" w:fill="FFFFFF"/>
          <w:lang w:val="en-US" w:eastAsia="zh-CN"/>
        </w:rPr>
        <w:t>734.25</w:t>
      </w:r>
      <w:r>
        <w:rPr>
          <w:rFonts w:hint="eastAsia" w:ascii="仿宋_GB2312" w:hAnsi="仿宋_GB2312" w:eastAsia="仿宋_GB2312" w:cs="仿宋_GB2312"/>
          <w:color w:val="auto"/>
          <w:sz w:val="32"/>
          <w:szCs w:val="32"/>
          <w:highlight w:val="none"/>
          <w:shd w:val="clear" w:color="auto" w:fill="FFFFFF"/>
        </w:rPr>
        <w:t>万元，占</w:t>
      </w:r>
      <w:r>
        <w:rPr>
          <w:rFonts w:hint="eastAsia" w:ascii="仿宋_GB2312" w:hAnsi="仿宋_GB2312" w:eastAsia="仿宋_GB2312" w:cs="仿宋_GB2312"/>
          <w:color w:val="auto"/>
          <w:sz w:val="32"/>
          <w:szCs w:val="32"/>
          <w:highlight w:val="none"/>
          <w:shd w:val="clear" w:color="auto" w:fill="FFFFFF"/>
          <w:lang w:val="en-US" w:eastAsia="zh-CN"/>
        </w:rPr>
        <w:t>41</w:t>
      </w:r>
      <w:r>
        <w:rPr>
          <w:rFonts w:hint="eastAsia" w:ascii="仿宋_GB2312" w:hAnsi="仿宋_GB2312" w:eastAsia="仿宋_GB2312" w:cs="仿宋_GB2312"/>
          <w:color w:val="auto"/>
          <w:sz w:val="32"/>
          <w:szCs w:val="32"/>
          <w:highlight w:val="none"/>
          <w:shd w:val="clear" w:color="auto" w:fill="FFFFFF"/>
        </w:rPr>
        <w:t>%；上缴上级支出0万元，占0%；经营支出0万元，占0%；对附属单位补助支出0万元，占0%。</w:t>
      </w:r>
    </w:p>
    <w:p>
      <w:pPr>
        <w:widowControl/>
        <w:adjustRightInd w:val="0"/>
        <w:snapToGrid w:val="0"/>
        <w:spacing w:line="580" w:lineRule="exact"/>
        <w:ind w:firstLine="640" w:firstLineChars="200"/>
        <w:contextualSpacing/>
        <w:jc w:val="left"/>
        <w:rPr>
          <w:rFonts w:ascii="黑体" w:hAnsi="宋体" w:eastAsia="黑体" w:cs="宋体"/>
          <w:color w:val="auto"/>
          <w:kern w:val="0"/>
          <w:sz w:val="32"/>
          <w:szCs w:val="32"/>
          <w:highlight w:val="none"/>
          <w:shd w:val="clear" w:color="auto" w:fill="FFFFFF"/>
        </w:rPr>
      </w:pPr>
      <w:r>
        <w:rPr>
          <w:rFonts w:hint="eastAsia" w:ascii="黑体" w:hAnsi="宋体" w:eastAsia="黑体" w:cs="宋体"/>
          <w:color w:val="auto"/>
          <w:kern w:val="0"/>
          <w:sz w:val="32"/>
          <w:szCs w:val="32"/>
          <w:highlight w:val="none"/>
          <w:shd w:val="clear" w:color="auto" w:fill="FFFFFF"/>
        </w:rPr>
        <w:t>三、部门整体预算绩效管理情况</w:t>
      </w:r>
    </w:p>
    <w:p>
      <w:pPr>
        <w:pStyle w:val="7"/>
        <w:numPr>
          <w:ilvl w:val="0"/>
          <w:numId w:val="7"/>
        </w:numPr>
        <w:spacing w:before="93"/>
        <w:ind w:left="420" w:leftChars="200"/>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预算编制情况</w:t>
      </w:r>
    </w:p>
    <w:p>
      <w:pPr>
        <w:pStyle w:val="7"/>
        <w:spacing w:before="93"/>
        <w:rPr>
          <w:rFonts w:hAnsi="仿宋_GB2312" w:cs="仿宋_GB2312"/>
          <w:color w:val="auto"/>
          <w:sz w:val="32"/>
          <w:szCs w:val="32"/>
          <w:highlight w:val="none"/>
        </w:rPr>
      </w:pPr>
      <w:r>
        <w:rPr>
          <w:rFonts w:hint="eastAsia" w:ascii="楷体" w:hAnsi="楷体" w:eastAsia="楷体" w:cs="楷体"/>
          <w:color w:val="auto"/>
          <w:sz w:val="32"/>
          <w:szCs w:val="32"/>
          <w:highlight w:val="none"/>
        </w:rPr>
        <w:t xml:space="preserve">    </w:t>
      </w:r>
      <w:r>
        <w:rPr>
          <w:rFonts w:hint="eastAsia" w:hAnsi="仿宋_GB2312" w:cs="仿宋_GB2312"/>
          <w:color w:val="auto"/>
          <w:sz w:val="32"/>
          <w:szCs w:val="32"/>
          <w:highlight w:val="none"/>
        </w:rPr>
        <w:t>按照县财政预算编制工作要求，我镇组织财务人员积极参与预算编制培训会，及时掌握预算编制口径等相关知识，结合单位工作实际，按照“两上两下”编制方式，全面、及时、完整地编制了单位预算，并经财政部门审核下达。</w:t>
      </w:r>
    </w:p>
    <w:p>
      <w:pPr>
        <w:pStyle w:val="7"/>
        <w:numPr>
          <w:ilvl w:val="0"/>
          <w:numId w:val="7"/>
        </w:numPr>
        <w:spacing w:before="93"/>
        <w:ind w:left="420" w:leftChars="200"/>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执行管理情况</w:t>
      </w:r>
    </w:p>
    <w:p>
      <w:pPr>
        <w:pStyle w:val="7"/>
        <w:spacing w:before="93"/>
        <w:ind w:firstLine="640"/>
        <w:rPr>
          <w:rFonts w:hAnsi="仿宋_GB2312" w:cs="仿宋_GB2312"/>
          <w:color w:val="auto"/>
          <w:sz w:val="32"/>
          <w:szCs w:val="32"/>
          <w:highlight w:val="none"/>
        </w:rPr>
      </w:pPr>
      <w:r>
        <w:rPr>
          <w:rFonts w:hint="eastAsia" w:hAnsi="仿宋_GB2312" w:cs="仿宋_GB2312"/>
          <w:color w:val="auto"/>
          <w:sz w:val="32"/>
          <w:szCs w:val="32"/>
          <w:highlight w:val="none"/>
        </w:rPr>
        <w:t>在预算执行中，我镇严格按工作开展进度、预算资金计划等执行，分管财务领导定期不定期督查单位预算执行情况，并加强与财政部门的衔接沟通。对涉及的项目资金严格按项目实施进度拨付预算资金，加强了财政资金的事前、事中、事后监管，无超进度、超预算拨付资金。</w:t>
      </w:r>
    </w:p>
    <w:p>
      <w:pPr>
        <w:pStyle w:val="7"/>
        <w:spacing w:before="93"/>
        <w:ind w:firstLine="640"/>
        <w:rPr>
          <w:rFonts w:hAnsi="仿宋_GB2312" w:cs="仿宋_GB2312"/>
          <w:color w:val="auto"/>
          <w:sz w:val="32"/>
          <w:szCs w:val="32"/>
          <w:highlight w:val="none"/>
        </w:rPr>
      </w:pPr>
      <w:r>
        <w:rPr>
          <w:rFonts w:hint="eastAsia" w:hAnsi="仿宋_GB2312" w:cs="仿宋_GB2312"/>
          <w:color w:val="auto"/>
          <w:sz w:val="32"/>
          <w:szCs w:val="32"/>
          <w:highlight w:val="none"/>
          <w:lang w:eastAsia="zh-CN"/>
        </w:rPr>
        <w:t>202</w:t>
      </w:r>
      <w:r>
        <w:rPr>
          <w:rFonts w:hint="eastAsia" w:hAnsi="仿宋_GB2312" w:cs="仿宋_GB2312"/>
          <w:color w:val="auto"/>
          <w:sz w:val="32"/>
          <w:szCs w:val="32"/>
          <w:highlight w:val="none"/>
          <w:lang w:val="en-US" w:eastAsia="zh-CN"/>
        </w:rPr>
        <w:t>1</w:t>
      </w:r>
      <w:r>
        <w:rPr>
          <w:rFonts w:hint="eastAsia" w:hAnsi="仿宋_GB2312" w:cs="仿宋_GB2312"/>
          <w:color w:val="auto"/>
          <w:sz w:val="32"/>
          <w:szCs w:val="32"/>
          <w:highlight w:val="none"/>
          <w:lang w:eastAsia="zh-CN"/>
        </w:rPr>
        <w:t>年</w:t>
      </w:r>
      <w:r>
        <w:rPr>
          <w:rFonts w:hint="eastAsia" w:hAnsi="仿宋_GB2312" w:cs="仿宋_GB2312"/>
          <w:color w:val="auto"/>
          <w:sz w:val="32"/>
          <w:szCs w:val="32"/>
          <w:highlight w:val="none"/>
        </w:rPr>
        <w:t>度“三公“经费支出情况：无出国出境及接待费用；公务用车运行费为</w:t>
      </w:r>
      <w:r>
        <w:rPr>
          <w:rFonts w:hint="eastAsia" w:ascii="仿宋" w:hAnsi="仿宋" w:eastAsia="仿宋"/>
          <w:color w:val="auto"/>
          <w:sz w:val="32"/>
          <w:szCs w:val="32"/>
          <w:highlight w:val="none"/>
          <w:lang w:val="en-US" w:eastAsia="zh-CN"/>
        </w:rPr>
        <w:t>14.3</w:t>
      </w:r>
      <w:r>
        <w:rPr>
          <w:rFonts w:hint="eastAsia" w:hAnsi="仿宋_GB2312" w:cs="仿宋_GB2312"/>
          <w:color w:val="auto"/>
          <w:sz w:val="32"/>
          <w:szCs w:val="32"/>
          <w:highlight w:val="none"/>
        </w:rPr>
        <w:t>元。</w:t>
      </w:r>
    </w:p>
    <w:p>
      <w:pPr>
        <w:widowControl/>
        <w:adjustRightInd w:val="0"/>
        <w:snapToGrid w:val="0"/>
        <w:spacing w:line="580" w:lineRule="exact"/>
        <w:ind w:firstLine="640" w:firstLineChars="200"/>
        <w:contextualSpacing/>
        <w:jc w:val="left"/>
        <w:rPr>
          <w:rFonts w:ascii="仿宋_GB2312" w:hAnsi="宋体" w:eastAsia="仿宋_GB2312" w:cs="宋体"/>
          <w:color w:val="auto"/>
          <w:kern w:val="0"/>
          <w:sz w:val="32"/>
          <w:szCs w:val="32"/>
          <w:highlight w:val="none"/>
          <w:shd w:val="clear" w:color="auto" w:fill="FFFFFF"/>
          <w:lang w:val="zh-CN"/>
        </w:rPr>
      </w:pPr>
      <w:r>
        <w:rPr>
          <w:rFonts w:hint="eastAsia" w:ascii="仿宋_GB2312" w:hAnsi="宋体" w:eastAsia="仿宋_GB2312" w:cs="宋体"/>
          <w:color w:val="auto"/>
          <w:kern w:val="0"/>
          <w:sz w:val="32"/>
          <w:szCs w:val="32"/>
          <w:highlight w:val="none"/>
          <w:shd w:val="clear" w:color="auto" w:fill="FFFFFF"/>
          <w:lang w:val="zh-CN"/>
        </w:rPr>
        <w:t>包括部门绩效目标制定、目标实现、预算编制准确、支出控制、预算动态调整、执行进度、预算完成情况和违规记录等情况。</w:t>
      </w:r>
    </w:p>
    <w:p>
      <w:pPr>
        <w:widowControl/>
        <w:adjustRightInd w:val="0"/>
        <w:snapToGrid w:val="0"/>
        <w:spacing w:line="580" w:lineRule="exact"/>
        <w:ind w:firstLine="643" w:firstLineChars="200"/>
        <w:contextualSpacing/>
        <w:jc w:val="left"/>
        <w:rPr>
          <w:rFonts w:ascii="楷体_GB2312" w:hAnsi="楷体_GB2312" w:eastAsia="楷体_GB2312" w:cs="楷体_GB2312"/>
          <w:b/>
          <w:bCs/>
          <w:color w:val="auto"/>
          <w:kern w:val="0"/>
          <w:sz w:val="32"/>
          <w:szCs w:val="32"/>
          <w:highlight w:val="none"/>
          <w:shd w:val="clear" w:color="auto" w:fill="FFFFFF"/>
          <w:lang w:val="zh-CN"/>
        </w:rPr>
      </w:pPr>
      <w:r>
        <w:rPr>
          <w:rFonts w:hint="eastAsia" w:ascii="楷体_GB2312" w:hAnsi="楷体_GB2312" w:eastAsia="楷体_GB2312" w:cs="楷体_GB2312"/>
          <w:b/>
          <w:bCs/>
          <w:color w:val="auto"/>
          <w:kern w:val="0"/>
          <w:sz w:val="32"/>
          <w:szCs w:val="32"/>
          <w:highlight w:val="none"/>
          <w:shd w:val="clear" w:color="auto" w:fill="FFFFFF"/>
          <w:lang w:val="zh-CN"/>
        </w:rPr>
        <w:t>（</w:t>
      </w:r>
      <w:r>
        <w:rPr>
          <w:rFonts w:hint="eastAsia" w:ascii="楷体_GB2312" w:hAnsi="楷体_GB2312" w:eastAsia="楷体_GB2312" w:cs="楷体_GB2312"/>
          <w:b/>
          <w:bCs/>
          <w:color w:val="auto"/>
          <w:kern w:val="0"/>
          <w:sz w:val="32"/>
          <w:szCs w:val="32"/>
          <w:highlight w:val="none"/>
          <w:shd w:val="clear" w:color="auto" w:fill="FFFFFF"/>
        </w:rPr>
        <w:t>三</w:t>
      </w:r>
      <w:r>
        <w:rPr>
          <w:rFonts w:hint="eastAsia" w:ascii="楷体_GB2312" w:hAnsi="楷体_GB2312" w:eastAsia="楷体_GB2312" w:cs="楷体_GB2312"/>
          <w:b/>
          <w:bCs/>
          <w:color w:val="auto"/>
          <w:kern w:val="0"/>
          <w:sz w:val="32"/>
          <w:szCs w:val="32"/>
          <w:highlight w:val="none"/>
          <w:shd w:val="clear" w:color="auto" w:fill="FFFFFF"/>
          <w:lang w:val="zh-CN"/>
        </w:rPr>
        <w:t>）结果应用情况。</w:t>
      </w:r>
    </w:p>
    <w:p>
      <w:pPr>
        <w:widowControl/>
        <w:adjustRightInd w:val="0"/>
        <w:snapToGrid w:val="0"/>
        <w:spacing w:line="580" w:lineRule="exact"/>
        <w:ind w:firstLine="640" w:firstLineChars="200"/>
        <w:contextualSpacing/>
        <w:jc w:val="left"/>
        <w:rPr>
          <w:rFonts w:ascii="仿宋_GB2312" w:hAnsi="宋体" w:eastAsia="仿宋_GB2312" w:cs="宋体"/>
          <w:color w:val="auto"/>
          <w:kern w:val="0"/>
          <w:sz w:val="32"/>
          <w:szCs w:val="32"/>
          <w:highlight w:val="none"/>
          <w:shd w:val="clear" w:color="auto" w:fill="FFFFFF"/>
          <w:lang w:val="zh-CN"/>
        </w:rPr>
      </w:pPr>
      <w:r>
        <w:rPr>
          <w:rFonts w:hint="eastAsia" w:ascii="仿宋_GB2312" w:hAnsi="宋体" w:eastAsia="仿宋_GB2312" w:cs="宋体"/>
          <w:color w:val="auto"/>
          <w:kern w:val="0"/>
          <w:sz w:val="32"/>
          <w:szCs w:val="32"/>
          <w:highlight w:val="none"/>
          <w:shd w:val="clear" w:color="auto" w:fill="FFFFFF"/>
          <w:lang w:val="zh-CN"/>
        </w:rPr>
        <w:t>包括绩效自评公开、评价结果整改和应用结果反馈等情况。</w:t>
      </w:r>
    </w:p>
    <w:p>
      <w:pPr>
        <w:spacing w:line="580" w:lineRule="exact"/>
        <w:ind w:firstLine="640" w:firstLineChars="200"/>
        <w:rPr>
          <w:rFonts w:ascii="黑体" w:hAnsi="黑体" w:eastAsia="黑体" w:cs="黑体"/>
          <w:color w:val="auto"/>
          <w:sz w:val="32"/>
          <w:szCs w:val="32"/>
          <w:highlight w:val="none"/>
        </w:rPr>
      </w:pPr>
      <w:r>
        <w:rPr>
          <w:rFonts w:ascii="黑体" w:hAnsi="黑体" w:eastAsia="黑体" w:cs="黑体"/>
          <w:color w:val="auto"/>
          <w:sz w:val="32"/>
          <w:szCs w:val="32"/>
          <w:highlight w:val="none"/>
        </w:rPr>
        <w:t>四、评价结论及建议</w:t>
      </w:r>
    </w:p>
    <w:p>
      <w:pPr>
        <w:spacing w:line="580" w:lineRule="exact"/>
        <w:ind w:firstLine="643" w:firstLineChars="200"/>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（一）评价结论。</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1、本年预算配置控制较好。财政供养人员控制在预算编制以内，编制内在职人员控制率为100%；“三公经费”控制在年初预算以内。</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2、预算执行情况控制较好。支出总额控制在年初预算总额以内，本年部门预算完成率达到了100%，未进行预算相关事项的调整，预算控制良好。</w:t>
      </w:r>
    </w:p>
    <w:p>
      <w:pPr>
        <w:widowControl/>
        <w:adjustRightInd w:val="0"/>
        <w:snapToGrid w:val="0"/>
        <w:spacing w:line="560" w:lineRule="exact"/>
        <w:ind w:firstLine="640" w:firstLineChars="200"/>
        <w:jc w:val="left"/>
        <w:rPr>
          <w:rFonts w:ascii="楷体" w:hAnsi="楷体" w:eastAsia="楷体" w:cs="宋体"/>
          <w:color w:val="auto"/>
          <w:kern w:val="0"/>
          <w:sz w:val="32"/>
          <w:highlight w:val="none"/>
          <w:lang w:val="zh-CN"/>
        </w:rPr>
      </w:pPr>
      <w:r>
        <w:rPr>
          <w:rFonts w:hint="eastAsia" w:ascii="仿宋_GB2312" w:eastAsia="仿宋_GB2312"/>
          <w:color w:val="auto"/>
          <w:sz w:val="32"/>
          <w:szCs w:val="32"/>
          <w:highlight w:val="none"/>
          <w:lang w:val="zh-CN"/>
        </w:rPr>
        <w:t>3、预算管理较为理想。由于严格执行财政相关法律、法规的规定，我单位的预算管理工作取得了较好的成绩，全年人员经费支出、日常用公用经费支出的控制率均达到了100%</w:t>
      </w:r>
      <w:r>
        <w:rPr>
          <w:rFonts w:hint="eastAsia" w:ascii="楷体" w:hAnsi="楷体" w:eastAsia="楷体" w:cs="宋体"/>
          <w:color w:val="auto"/>
          <w:kern w:val="0"/>
          <w:sz w:val="32"/>
          <w:highlight w:val="none"/>
          <w:lang w:val="zh-CN"/>
        </w:rPr>
        <w:t>。</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财政预算安排在很大程度上保障了本单位基本支出及公用经费支出的正常工作运转。预算安排的项目支出也是非常必要的。财政预算安排大大提财政资金的使用效率，财政资金的安全性得到了有效保障，我们在执行预算过程中是严格按照财政各项制度规定来办理，单位在项目资金的使用上也是安全的。</w:t>
      </w:r>
    </w:p>
    <w:p>
      <w:pPr>
        <w:spacing w:line="580" w:lineRule="exact"/>
        <w:ind w:left="420" w:leftChars="200"/>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（二）存在问题。</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1、预算编制欠严谨</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预算编制欠全面，项目有临时追加不够完整、细化</w:t>
      </w:r>
      <w:r>
        <w:rPr>
          <w:rFonts w:hint="eastAsia" w:ascii="仿宋_GB2312"/>
          <w:color w:val="auto"/>
          <w:sz w:val="32"/>
          <w:szCs w:val="32"/>
          <w:highlight w:val="none"/>
          <w:lang w:val="zh-CN"/>
        </w:rPr>
        <w:t>。</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2、预算执行存在偏差</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在实际经费列支中，未严格按照预算科目进行列支，部分基本支出挤占了项目支出。</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3、会计核算欠规范</w:t>
      </w:r>
    </w:p>
    <w:p>
      <w:pPr>
        <w:widowControl/>
        <w:adjustRightInd w:val="0"/>
        <w:snapToGrid w:val="0"/>
        <w:spacing w:line="560" w:lineRule="exact"/>
        <w:ind w:firstLine="640" w:firstLineChars="200"/>
        <w:jc w:val="left"/>
        <w:rPr>
          <w:rFonts w:ascii="仿宋" w:hAnsi="仿宋" w:eastAsia="仿宋" w:cs="仿宋_GB2312"/>
          <w:color w:val="auto"/>
          <w:sz w:val="32"/>
          <w:szCs w:val="32"/>
          <w:highlight w:val="none"/>
        </w:rPr>
      </w:pPr>
      <w:r>
        <w:rPr>
          <w:rFonts w:hint="eastAsia" w:ascii="仿宋_GB2312" w:eastAsia="仿宋_GB2312"/>
          <w:color w:val="auto"/>
          <w:sz w:val="32"/>
          <w:szCs w:val="32"/>
          <w:highlight w:val="none"/>
          <w:lang w:val="zh-CN"/>
        </w:rPr>
        <w:t>经费支出核算过程中，部分存在部分大额办公支出无明细、发票内容填写不规范等现象。</w:t>
      </w:r>
    </w:p>
    <w:p>
      <w:pPr>
        <w:spacing w:line="580" w:lineRule="exact"/>
        <w:ind w:firstLine="643" w:firstLineChars="200"/>
        <w:rPr>
          <w:rFonts w:ascii="楷体_GB2312" w:hAnsi="楷体_GB2312" w:eastAsia="楷体_GB2312" w:cs="楷体_GB2312"/>
          <w:b/>
          <w:bCs/>
          <w:color w:val="auto"/>
          <w:sz w:val="32"/>
          <w:szCs w:val="32"/>
          <w:highlight w:val="none"/>
        </w:rPr>
      </w:pPr>
      <w:r>
        <w:rPr>
          <w:rFonts w:hint="eastAsia" w:ascii="楷体_GB2312" w:hAnsi="楷体_GB2312" w:eastAsia="楷体_GB2312" w:cs="楷体_GB2312"/>
          <w:b/>
          <w:bCs/>
          <w:color w:val="auto"/>
          <w:sz w:val="32"/>
          <w:szCs w:val="32"/>
          <w:highlight w:val="none"/>
        </w:rPr>
        <w:t>（三）改进建议。</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1、科学合理编制预算，严格执行预算</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建议按照《预算法》及其实施条例的相关规定，参考上一年的预算执行情况和年度的收支预测科学编制预算，避免年中大幅追加以及超预算。在预算执行中，严格按照预算科目支出，避免预算科目间的预算资金调剂，确需调剂的，按规定程序报经批准。</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2、规范账务处理，提高财务信息质量</w:t>
      </w:r>
    </w:p>
    <w:p>
      <w:pPr>
        <w:widowControl/>
        <w:adjustRightInd w:val="0"/>
        <w:snapToGrid w:val="0"/>
        <w:spacing w:line="560" w:lineRule="exact"/>
        <w:ind w:firstLine="640" w:firstLineChars="200"/>
        <w:jc w:val="left"/>
        <w:rPr>
          <w:rFonts w:ascii="仿宋_GB2312" w:eastAsia="仿宋_GB2312"/>
          <w:color w:val="auto"/>
          <w:sz w:val="32"/>
          <w:szCs w:val="32"/>
          <w:highlight w:val="none"/>
          <w:lang w:val="zh-CN"/>
        </w:rPr>
      </w:pPr>
      <w:r>
        <w:rPr>
          <w:rFonts w:hint="eastAsia" w:ascii="仿宋_GB2312" w:eastAsia="仿宋_GB2312"/>
          <w:color w:val="auto"/>
          <w:sz w:val="32"/>
          <w:szCs w:val="32"/>
          <w:highlight w:val="none"/>
          <w:lang w:val="zh-CN"/>
        </w:rPr>
        <w:t>严格按照《会计法》、《行政单位会计制度》、《行政单位财务规则》等规定，结合实际情况，科学设置支出科目，规范财务核算，完整披露相关信息。</w:t>
      </w:r>
    </w:p>
    <w:p>
      <w:pPr>
        <w:spacing w:line="580" w:lineRule="exact"/>
        <w:ind w:firstLine="640" w:firstLineChars="200"/>
        <w:rPr>
          <w:rFonts w:ascii="仿宋_GB2312" w:hAnsi="仿宋_GB2312" w:eastAsia="仿宋_GB2312" w:cs="仿宋_GB2312"/>
          <w:color w:val="auto"/>
          <w:sz w:val="32"/>
          <w:szCs w:val="32"/>
          <w:highlight w:val="none"/>
        </w:rPr>
      </w:pPr>
    </w:p>
    <w:p>
      <w:pPr>
        <w:spacing w:line="580" w:lineRule="exact"/>
        <w:ind w:firstLine="640" w:firstLineChars="200"/>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pStyle w:val="2"/>
        <w:rPr>
          <w:rFonts w:ascii="仿宋_GB2312" w:hAnsi="仿宋_GB2312" w:eastAsia="仿宋_GB2312" w:cs="仿宋_GB2312"/>
          <w:color w:val="auto"/>
          <w:sz w:val="32"/>
          <w:szCs w:val="32"/>
          <w:highlight w:val="none"/>
        </w:rPr>
      </w:pPr>
    </w:p>
    <w:p>
      <w:pPr>
        <w:spacing w:line="580" w:lineRule="exact"/>
        <w:rPr>
          <w:rFonts w:ascii="仿宋_GB2312" w:hAnsi="仿宋_GB2312" w:eastAsia="仿宋_GB2312" w:cs="仿宋_GB2312"/>
          <w:color w:val="auto"/>
          <w:sz w:val="32"/>
          <w:szCs w:val="32"/>
          <w:highlight w:val="none"/>
        </w:rPr>
      </w:pPr>
      <w:r>
        <w:rPr>
          <w:rFonts w:hint="eastAsia" w:ascii="黑体" w:hAnsi="黑体" w:eastAsia="黑体" w:cs="黑体"/>
          <w:color w:val="auto"/>
          <w:sz w:val="32"/>
          <w:szCs w:val="32"/>
          <w:highlight w:val="none"/>
        </w:rPr>
        <w:t>附件2</w:t>
      </w:r>
    </w:p>
    <w:p>
      <w:pPr>
        <w:spacing w:line="580" w:lineRule="exact"/>
        <w:ind w:firstLine="640" w:firstLineChars="200"/>
        <w:rPr>
          <w:rFonts w:ascii="仿宋_GB2312" w:hAnsi="仿宋_GB2312" w:eastAsia="仿宋_GB2312" w:cs="仿宋_GB2312"/>
          <w:color w:val="auto"/>
          <w:sz w:val="32"/>
          <w:szCs w:val="32"/>
          <w:highlight w:val="none"/>
        </w:rPr>
      </w:pPr>
    </w:p>
    <w:p>
      <w:pPr>
        <w:spacing w:line="576" w:lineRule="exact"/>
        <w:jc w:val="center"/>
        <w:rPr>
          <w:rFonts w:ascii="方正小标宋简体" w:hAnsi="宋体" w:eastAsia="方正小标宋简体"/>
          <w:color w:val="auto"/>
          <w:kern w:val="0"/>
          <w:sz w:val="44"/>
          <w:szCs w:val="44"/>
          <w:highlight w:val="none"/>
          <w:lang w:val="zh-CN"/>
        </w:rPr>
      </w:pPr>
      <w:r>
        <w:rPr>
          <w:rFonts w:hint="eastAsia" w:ascii="方正小标宋简体" w:hAnsi="宋体" w:eastAsia="方正小标宋简体"/>
          <w:color w:val="auto"/>
          <w:kern w:val="0"/>
          <w:sz w:val="44"/>
          <w:szCs w:val="44"/>
          <w:highlight w:val="none"/>
        </w:rPr>
        <w:t>邛溪镇</w:t>
      </w:r>
      <w:r>
        <w:rPr>
          <w:rFonts w:hint="eastAsia" w:ascii="方正小标宋简体" w:hAnsi="宋体" w:eastAsia="方正小标宋简体"/>
          <w:color w:val="auto"/>
          <w:kern w:val="0"/>
          <w:sz w:val="44"/>
          <w:szCs w:val="44"/>
          <w:highlight w:val="none"/>
          <w:lang w:val="zh-CN"/>
        </w:rPr>
        <w:t>项目</w:t>
      </w:r>
      <w:r>
        <w:rPr>
          <w:rFonts w:hint="eastAsia" w:ascii="方正小标宋简体" w:hAnsi="宋体" w:eastAsia="方正小标宋简体"/>
          <w:color w:val="auto"/>
          <w:kern w:val="0"/>
          <w:sz w:val="44"/>
          <w:szCs w:val="44"/>
          <w:highlight w:val="none"/>
          <w:lang w:eastAsia="zh-CN"/>
        </w:rPr>
        <w:t>202</w:t>
      </w:r>
      <w:r>
        <w:rPr>
          <w:rFonts w:hint="eastAsia" w:ascii="方正小标宋简体" w:hAnsi="宋体" w:eastAsia="方正小标宋简体"/>
          <w:color w:val="auto"/>
          <w:kern w:val="0"/>
          <w:sz w:val="44"/>
          <w:szCs w:val="44"/>
          <w:highlight w:val="none"/>
          <w:lang w:val="en-US" w:eastAsia="zh-CN"/>
        </w:rPr>
        <w:t>1</w:t>
      </w:r>
      <w:r>
        <w:rPr>
          <w:rFonts w:hint="eastAsia" w:ascii="方正小标宋简体" w:hAnsi="宋体" w:eastAsia="方正小标宋简体"/>
          <w:color w:val="auto"/>
          <w:kern w:val="0"/>
          <w:sz w:val="44"/>
          <w:szCs w:val="44"/>
          <w:highlight w:val="none"/>
          <w:lang w:eastAsia="zh-CN"/>
        </w:rPr>
        <w:t>年</w:t>
      </w:r>
      <w:r>
        <w:rPr>
          <w:rFonts w:hint="eastAsia" w:ascii="方正小标宋简体" w:hAnsi="宋体" w:eastAsia="方正小标宋简体"/>
          <w:color w:val="auto"/>
          <w:kern w:val="0"/>
          <w:sz w:val="44"/>
          <w:szCs w:val="44"/>
          <w:highlight w:val="none"/>
          <w:lang w:val="zh-CN"/>
        </w:rPr>
        <w:t>绩效评价报告</w:t>
      </w:r>
    </w:p>
    <w:p>
      <w:pPr>
        <w:spacing w:line="576" w:lineRule="exact"/>
        <w:rPr>
          <w:rFonts w:ascii="宋体" w:hAnsi="宋体"/>
          <w:color w:val="auto"/>
          <w:sz w:val="32"/>
          <w:szCs w:val="32"/>
          <w:highlight w:val="none"/>
          <w:lang w:val="zh-CN"/>
        </w:rPr>
      </w:pPr>
    </w:p>
    <w:p>
      <w:pPr>
        <w:spacing w:line="576" w:lineRule="exact"/>
        <w:ind w:firstLine="640" w:firstLineChars="200"/>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一、项目背景及原则</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1.突出重点,统筹推进。从广大群众最关心、最切实的</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利益出发,着力解决影响广大群众生产生活的瓶颈因素,力争通过实施项目使全镇的“给排水、交通、旅游基础设施”等基础有一个大的提升,同时群众的家居环境也有大的改善,产业发展有一个明确思路和目标。</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2.整合资金,量力而行。积极向县级部门争取项目支持,按照集中统一规划,分步投入实施的原则,高效利用每一笔项目资金。建设规划中,在充分前瞻考虑的基础上,切实结合资金等现实情况,不好大求全,不好高骛远。</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3.政府引导,群众主体。坚持自力更生为主,国家帮扶相结合,充分调动广大群众的积极性,着力落实落地邛溪镇</w:t>
      </w:r>
      <w:r>
        <w:rPr>
          <w:rFonts w:hint="eastAsia" w:ascii="仿宋_GB2312" w:hAnsi="仿宋_GB2312" w:eastAsia="仿宋_GB2312" w:cs="仿宋_GB2312"/>
          <w:color w:val="auto"/>
          <w:sz w:val="32"/>
          <w:szCs w:val="32"/>
          <w:highlight w:val="none"/>
          <w:lang w:eastAsia="zh-CN"/>
        </w:rPr>
        <w:t>202</w:t>
      </w:r>
      <w:r>
        <w:rPr>
          <w:rFonts w:hint="eastAsia" w:ascii="仿宋_GB2312" w:hAnsi="仿宋_GB2312" w:eastAsia="仿宋_GB2312" w:cs="仿宋_GB2312"/>
          <w:color w:val="auto"/>
          <w:sz w:val="32"/>
          <w:szCs w:val="32"/>
          <w:highlight w:val="none"/>
          <w:lang w:val="en-US" w:eastAsia="zh-CN"/>
        </w:rPr>
        <w:t>1</w:t>
      </w:r>
      <w:r>
        <w:rPr>
          <w:rFonts w:hint="eastAsia" w:ascii="仿宋_GB2312" w:hAnsi="仿宋_GB2312" w:eastAsia="仿宋_GB2312" w:cs="仿宋_GB2312"/>
          <w:color w:val="auto"/>
          <w:sz w:val="32"/>
          <w:szCs w:val="32"/>
          <w:highlight w:val="none"/>
          <w:lang w:eastAsia="zh-CN"/>
        </w:rPr>
        <w:t>年</w:t>
      </w:r>
      <w:r>
        <w:rPr>
          <w:rFonts w:hint="eastAsia" w:ascii="仿宋_GB2312" w:hAnsi="仿宋_GB2312" w:eastAsia="仿宋_GB2312" w:cs="仿宋_GB2312"/>
          <w:color w:val="auto"/>
          <w:sz w:val="32"/>
          <w:szCs w:val="32"/>
          <w:highlight w:val="none"/>
        </w:rPr>
        <w:t>建设项目,为全县脱贫奠定坚实的基础。</w:t>
      </w:r>
    </w:p>
    <w:p>
      <w:pPr>
        <w:adjustRightInd w:val="0"/>
        <w:snapToGrid w:val="0"/>
        <w:spacing w:line="576" w:lineRule="exact"/>
        <w:ind w:firstLine="720"/>
        <w:rPr>
          <w:rFonts w:ascii="仿宋" w:hAnsi="仿宋" w:eastAsia="仿宋" w:cs="仿宋"/>
          <w:color w:val="auto"/>
          <w:sz w:val="32"/>
          <w:szCs w:val="32"/>
          <w:highlight w:val="none"/>
        </w:rPr>
      </w:pPr>
      <w:r>
        <w:rPr>
          <w:rFonts w:hint="eastAsia" w:ascii="黑体" w:hAnsi="宋体" w:eastAsia="黑体"/>
          <w:color w:val="auto"/>
          <w:sz w:val="32"/>
          <w:szCs w:val="32"/>
          <w:highlight w:val="none"/>
        </w:rPr>
        <w:t>二、项目资金申报及使用情况</w:t>
      </w:r>
    </w:p>
    <w:p>
      <w:pPr>
        <w:spacing w:line="576" w:lineRule="exact"/>
        <w:ind w:firstLine="643" w:firstLineChars="200"/>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（1）</w:t>
      </w:r>
      <w:r>
        <w:rPr>
          <w:rFonts w:hint="eastAsia" w:ascii="仿宋_GB2312" w:hAnsi="仿宋_GB2312" w:eastAsia="仿宋_GB2312" w:cs="仿宋_GB2312"/>
          <w:b/>
          <w:bCs/>
          <w:color w:val="auto"/>
          <w:sz w:val="32"/>
          <w:szCs w:val="32"/>
          <w:highlight w:val="none"/>
          <w:lang w:val="en-US" w:eastAsia="zh-CN"/>
        </w:rPr>
        <w:t>邛溪镇牧业生产点道路（草原森林防火通道）维修</w:t>
      </w:r>
    </w:p>
    <w:p>
      <w:pPr>
        <w:keepNext w:val="0"/>
        <w:keepLines w:val="0"/>
        <w:widowControl w:val="0"/>
        <w:suppressLineNumbers w:val="0"/>
        <w:adjustRightInd w:val="0"/>
        <w:snapToGrid w:val="0"/>
        <w:spacing w:before="0" w:beforeAutospacing="0" w:after="0" w:afterAutospacing="0" w:line="580" w:lineRule="exact"/>
        <w:ind w:left="0" w:right="0" w:firstLine="720"/>
        <w:jc w:val="both"/>
        <w:rPr>
          <w:rFonts w:hint="eastAsia" w:ascii="宋体" w:hAnsi="宋体" w:eastAsia="宋体" w:cs="宋体"/>
          <w:b w:val="0"/>
          <w:i w:val="0"/>
          <w:caps w:val="0"/>
          <w:color w:val="auto"/>
          <w:spacing w:val="0"/>
          <w:sz w:val="21"/>
          <w:szCs w:val="21"/>
          <w:highlight w:val="none"/>
          <w:lang w:val="en-US"/>
        </w:rPr>
      </w:pPr>
      <w:r>
        <w:rPr>
          <w:rFonts w:hint="eastAsia" w:ascii="仿宋_GB2312" w:hAnsi="宋体" w:eastAsia="仿宋_GB2312" w:cs="仿宋_GB2312"/>
          <w:b w:val="0"/>
          <w:i w:val="0"/>
          <w:caps w:val="0"/>
          <w:color w:val="auto"/>
          <w:spacing w:val="0"/>
          <w:kern w:val="0"/>
          <w:sz w:val="32"/>
          <w:szCs w:val="32"/>
          <w:highlight w:val="none"/>
          <w:shd w:val="clear" w:color="auto" w:fill="FFFFFF"/>
          <w:lang w:val="en-US" w:eastAsia="zh-CN" w:bidi="ar"/>
        </w:rPr>
        <w:t>维修牧业生产点（草原防火通道）道路15公里，于2021年7月6日完工并验收。</w:t>
      </w:r>
    </w:p>
    <w:p>
      <w:pPr>
        <w:keepNext w:val="0"/>
        <w:keepLines w:val="0"/>
        <w:widowControl w:val="0"/>
        <w:numPr>
          <w:ilvl w:val="0"/>
          <w:numId w:val="8"/>
        </w:numPr>
        <w:suppressLineNumbers w:val="0"/>
        <w:adjustRightInd w:val="0"/>
        <w:snapToGrid w:val="0"/>
        <w:spacing w:before="0" w:beforeAutospacing="0" w:after="0" w:afterAutospacing="0" w:line="580" w:lineRule="exact"/>
        <w:ind w:left="0" w:right="0" w:firstLine="720"/>
        <w:jc w:val="both"/>
        <w:rPr>
          <w:rFonts w:hint="eastAsia" w:ascii="仿宋_GB2312" w:hAnsi="仿宋_GB2312" w:eastAsia="仿宋_GB2312" w:cs="仿宋_GB2312"/>
          <w:b/>
          <w:bCs/>
          <w:color w:val="auto"/>
          <w:sz w:val="32"/>
          <w:szCs w:val="32"/>
          <w:highlight w:val="none"/>
          <w:lang w:val="en-US" w:eastAsia="zh-CN"/>
        </w:rPr>
      </w:pPr>
      <w:r>
        <w:rPr>
          <w:rFonts w:hint="eastAsia" w:ascii="仿宋_GB2312" w:hAnsi="仿宋_GB2312" w:eastAsia="仿宋_GB2312" w:cs="仿宋_GB2312"/>
          <w:b/>
          <w:bCs/>
          <w:color w:val="auto"/>
          <w:sz w:val="32"/>
          <w:szCs w:val="32"/>
          <w:highlight w:val="none"/>
          <w:lang w:val="en-US" w:eastAsia="zh-CN"/>
        </w:rPr>
        <w:t>邛溪镇玛萨村、达格龙村乡村振兴游步道建设</w:t>
      </w:r>
    </w:p>
    <w:p>
      <w:pPr>
        <w:keepNext w:val="0"/>
        <w:keepLines w:val="0"/>
        <w:widowControl w:val="0"/>
        <w:numPr>
          <w:ilvl w:val="0"/>
          <w:numId w:val="0"/>
        </w:numPr>
        <w:suppressLineNumbers w:val="0"/>
        <w:adjustRightInd w:val="0"/>
        <w:snapToGrid w:val="0"/>
        <w:spacing w:before="0" w:beforeAutospacing="0" w:after="0" w:afterAutospacing="0" w:line="580" w:lineRule="exact"/>
        <w:ind w:right="0" w:rightChars="0" w:firstLine="640" w:firstLineChars="200"/>
        <w:jc w:val="both"/>
        <w:rPr>
          <w:rFonts w:hint="default" w:ascii="仿宋_GB2312" w:hAnsi="宋体" w:eastAsia="仿宋_GB2312" w:cs="仿宋_GB2312"/>
          <w:color w:val="auto"/>
          <w:highlight w:val="none"/>
          <w:lang w:val="en-US" w:eastAsia="zh-CN"/>
        </w:rPr>
      </w:pPr>
      <w:r>
        <w:rPr>
          <w:rFonts w:hint="eastAsia" w:ascii="仿宋_GB2312" w:hAnsi="宋体" w:eastAsia="仿宋_GB2312" w:cs="仿宋_GB2312"/>
          <w:b w:val="0"/>
          <w:i w:val="0"/>
          <w:caps w:val="0"/>
          <w:color w:val="auto"/>
          <w:spacing w:val="0"/>
          <w:kern w:val="0"/>
          <w:sz w:val="32"/>
          <w:szCs w:val="32"/>
          <w:highlight w:val="none"/>
          <w:shd w:val="clear" w:color="auto" w:fill="FFFFFF"/>
          <w:lang w:val="en-US" w:eastAsia="zh-CN" w:bidi="ar"/>
        </w:rPr>
        <w:t>主要用于</w:t>
      </w:r>
      <w:r>
        <w:rPr>
          <w:rFonts w:hint="default" w:ascii="仿宋_GB2312" w:hAnsi="宋体" w:eastAsia="仿宋_GB2312" w:cs="仿宋_GB2312"/>
          <w:b w:val="0"/>
          <w:i w:val="0"/>
          <w:caps w:val="0"/>
          <w:color w:val="auto"/>
          <w:spacing w:val="0"/>
          <w:kern w:val="0"/>
          <w:sz w:val="32"/>
          <w:szCs w:val="32"/>
          <w:highlight w:val="none"/>
          <w:shd w:val="clear" w:color="auto" w:fill="FFFFFF"/>
          <w:lang w:val="en-US" w:eastAsia="zh-CN" w:bidi="ar"/>
        </w:rPr>
        <w:t>新建村内游步道4千米，宽度1.5m-1.8m，配套步道服务点10个、休息观光亭11个，治理步道水域及景观打造2处，配套排水暗渠1000米，新建游步道出发中心1个，建筑面积300㎡。</w:t>
      </w:r>
    </w:p>
    <w:p>
      <w:pPr>
        <w:numPr>
          <w:ilvl w:val="0"/>
          <w:numId w:val="0"/>
        </w:numPr>
        <w:spacing w:line="576" w:lineRule="exact"/>
        <w:ind w:firstLine="643" w:firstLineChars="200"/>
        <w:rPr>
          <w:rFonts w:hint="eastAsia" w:ascii="仿宋_GB2312" w:hAnsi="仿宋_GB2312" w:eastAsia="仿宋_GB2312" w:cs="仿宋_GB2312"/>
          <w:b/>
          <w:bCs/>
          <w:color w:val="auto"/>
          <w:sz w:val="32"/>
          <w:szCs w:val="32"/>
          <w:highlight w:val="none"/>
          <w:lang w:val="zh-CN" w:eastAsia="zh-CN"/>
        </w:rPr>
      </w:pP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en-US" w:eastAsia="zh-CN"/>
        </w:rPr>
        <w:t>3</w:t>
      </w: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zh-CN" w:eastAsia="zh-CN"/>
        </w:rPr>
        <w:t>热坤村活动中心设施设备采购</w:t>
      </w:r>
    </w:p>
    <w:p>
      <w:pPr>
        <w:numPr>
          <w:ilvl w:val="0"/>
          <w:numId w:val="0"/>
        </w:numPr>
        <w:spacing w:line="576" w:lineRule="exact"/>
        <w:ind w:firstLine="640" w:firstLineChars="200"/>
        <w:rPr>
          <w:rFonts w:hint="default" w:ascii="仿宋_GB2312" w:hAnsi="宋体" w:eastAsia="仿宋_GB2312" w:cs="仿宋_GB2312"/>
          <w:b w:val="0"/>
          <w:i w:val="0"/>
          <w:caps w:val="0"/>
          <w:color w:val="auto"/>
          <w:spacing w:val="0"/>
          <w:kern w:val="0"/>
          <w:sz w:val="32"/>
          <w:szCs w:val="32"/>
          <w:highlight w:val="none"/>
          <w:shd w:val="clear" w:color="auto" w:fill="FFFFFF"/>
          <w:lang w:val="en-US" w:eastAsia="zh-CN" w:bidi="ar"/>
        </w:rPr>
      </w:pPr>
      <w:r>
        <w:rPr>
          <w:rFonts w:hint="eastAsia" w:ascii="仿宋_GB2312" w:hAnsi="宋体" w:eastAsia="仿宋_GB2312" w:cs="仿宋_GB2312"/>
          <w:b w:val="0"/>
          <w:i w:val="0"/>
          <w:caps w:val="0"/>
          <w:color w:val="auto"/>
          <w:spacing w:val="0"/>
          <w:kern w:val="0"/>
          <w:sz w:val="32"/>
          <w:szCs w:val="32"/>
          <w:highlight w:val="none"/>
          <w:shd w:val="clear" w:color="auto" w:fill="FFFFFF"/>
          <w:lang w:val="en-US" w:eastAsia="zh-CN" w:bidi="ar"/>
        </w:rPr>
        <w:t>主要用于</w:t>
      </w:r>
      <w:r>
        <w:rPr>
          <w:rFonts w:hint="default" w:ascii="仿宋_GB2312" w:hAnsi="宋体" w:eastAsia="仿宋_GB2312" w:cs="仿宋_GB2312"/>
          <w:b w:val="0"/>
          <w:i w:val="0"/>
          <w:caps w:val="0"/>
          <w:color w:val="auto"/>
          <w:spacing w:val="0"/>
          <w:kern w:val="0"/>
          <w:sz w:val="32"/>
          <w:szCs w:val="32"/>
          <w:highlight w:val="none"/>
          <w:shd w:val="clear" w:color="auto" w:fill="FFFFFF"/>
          <w:lang w:val="en-US" w:eastAsia="zh-CN" w:bidi="ar"/>
        </w:rPr>
        <w:t>活动中心采购音响设备、篮球架、led屏等</w:t>
      </w:r>
    </w:p>
    <w:p>
      <w:pPr>
        <w:numPr>
          <w:ilvl w:val="0"/>
          <w:numId w:val="0"/>
        </w:numPr>
        <w:spacing w:line="576" w:lineRule="exact"/>
        <w:ind w:firstLine="643" w:firstLineChars="200"/>
        <w:rPr>
          <w:rFonts w:hint="eastAsia" w:ascii="仿宋_GB2312" w:hAnsi="仿宋_GB2312" w:eastAsia="仿宋_GB2312" w:cs="仿宋_GB2312"/>
          <w:b/>
          <w:bCs/>
          <w:color w:val="auto"/>
          <w:sz w:val="32"/>
          <w:szCs w:val="32"/>
          <w:highlight w:val="none"/>
          <w:lang w:val="zh-CN" w:eastAsia="zh-CN"/>
        </w:rPr>
      </w:pP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en-US" w:eastAsia="zh-CN"/>
        </w:rPr>
        <w:t>4</w:t>
      </w: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zh-CN" w:eastAsia="zh-CN"/>
        </w:rPr>
        <w:t>邛溪镇热坤村栈道建设及基础设施提升项目</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6" w:lineRule="exact"/>
        <w:ind w:left="0" w:right="0" w:firstLine="720"/>
        <w:jc w:val="left"/>
        <w:textAlignment w:val="auto"/>
        <w:rPr>
          <w:rFonts w:hint="default" w:ascii="仿宋_GB2312" w:hAnsi="宋体" w:eastAsia="仿宋_GB2312" w:cs="仿宋_GB2312"/>
          <w:b w:val="0"/>
          <w:i w:val="0"/>
          <w:caps w:val="0"/>
          <w:color w:val="auto"/>
          <w:spacing w:val="0"/>
          <w:kern w:val="0"/>
          <w:sz w:val="32"/>
          <w:szCs w:val="32"/>
          <w:highlight w:val="none"/>
          <w:shd w:val="clear" w:color="auto" w:fill="FFFFFF"/>
          <w:lang w:val="en-US" w:eastAsia="zh-CN" w:bidi="ar"/>
        </w:rPr>
      </w:pPr>
      <w:r>
        <w:rPr>
          <w:rFonts w:hint="eastAsia" w:ascii="仿宋_GB2312" w:hAnsi="宋体" w:eastAsia="仿宋_GB2312" w:cs="仿宋_GB2312"/>
          <w:b w:val="0"/>
          <w:i w:val="0"/>
          <w:caps w:val="0"/>
          <w:color w:val="auto"/>
          <w:spacing w:val="0"/>
          <w:kern w:val="0"/>
          <w:sz w:val="32"/>
          <w:szCs w:val="32"/>
          <w:highlight w:val="none"/>
          <w:shd w:val="clear" w:color="auto" w:fill="FFFFFF"/>
          <w:lang w:val="en-US" w:eastAsia="zh-CN" w:bidi="ar"/>
        </w:rPr>
        <w:t>主要用于</w:t>
      </w:r>
      <w:r>
        <w:rPr>
          <w:rFonts w:hint="default" w:ascii="仿宋_GB2312" w:hAnsi="宋体" w:eastAsia="仿宋_GB2312" w:cs="仿宋_GB2312"/>
          <w:b w:val="0"/>
          <w:i w:val="0"/>
          <w:caps w:val="0"/>
          <w:color w:val="auto"/>
          <w:spacing w:val="0"/>
          <w:kern w:val="0"/>
          <w:sz w:val="32"/>
          <w:szCs w:val="32"/>
          <w:highlight w:val="none"/>
          <w:shd w:val="clear" w:color="auto" w:fill="FFFFFF"/>
          <w:lang w:val="en-US" w:eastAsia="zh-CN" w:bidi="ar"/>
        </w:rPr>
        <w:t>活动中心黑化120平方米、新建栈道410米及环境整治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576" w:lineRule="exact"/>
        <w:ind w:left="0" w:right="0" w:firstLine="720"/>
        <w:jc w:val="left"/>
        <w:textAlignment w:val="auto"/>
        <w:rPr>
          <w:rFonts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en-US" w:eastAsia="zh-CN"/>
        </w:rPr>
        <w:t>5</w:t>
      </w:r>
      <w:r>
        <w:rPr>
          <w:rFonts w:hint="eastAsia" w:ascii="仿宋_GB2312" w:hAnsi="仿宋_GB2312" w:eastAsia="仿宋_GB2312" w:cs="仿宋_GB2312"/>
          <w:b/>
          <w:bCs/>
          <w:color w:val="auto"/>
          <w:sz w:val="32"/>
          <w:szCs w:val="32"/>
          <w:highlight w:val="none"/>
          <w:lang w:eastAsia="zh-CN"/>
        </w:rPr>
        <w:t>）</w:t>
      </w:r>
      <w:r>
        <w:rPr>
          <w:rFonts w:hint="eastAsia" w:ascii="仿宋_GB2312" w:hAnsi="仿宋_GB2312" w:eastAsia="仿宋_GB2312" w:cs="仿宋_GB2312"/>
          <w:b/>
          <w:bCs/>
          <w:color w:val="auto"/>
          <w:sz w:val="32"/>
          <w:szCs w:val="32"/>
          <w:highlight w:val="none"/>
          <w:lang w:val="en-US" w:eastAsia="zh-CN"/>
        </w:rPr>
        <w:t>邛溪镇热坤村综合活动中心建设</w:t>
      </w:r>
    </w:p>
    <w:p>
      <w:pPr>
        <w:pageBreakBefore w:val="0"/>
        <w:kinsoku/>
        <w:wordWrap/>
        <w:overflowPunct/>
        <w:topLinePunct w:val="0"/>
        <w:autoSpaceDE/>
        <w:autoSpaceDN/>
        <w:bidi w:val="0"/>
        <w:spacing w:line="576" w:lineRule="exact"/>
        <w:ind w:left="0" w:firstLine="600"/>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楷体_GB2312" w:hAnsi="楷体_GB2312" w:eastAsia="楷体_GB2312" w:cs="楷体_GB2312"/>
          <w:b w:val="0"/>
          <w:bCs w:val="0"/>
          <w:color w:val="auto"/>
          <w:sz w:val="32"/>
          <w:szCs w:val="32"/>
          <w:highlight w:val="none"/>
          <w:lang w:val="en-US" w:eastAsia="zh-CN"/>
        </w:rPr>
        <w:t>主要用于新建室内综合活动中心800平方米及附属设施，于2021年4月15日开工，基础已完工。</w:t>
      </w:r>
    </w:p>
    <w:p>
      <w:pPr>
        <w:adjustRightInd w:val="0"/>
        <w:snapToGrid w:val="0"/>
        <w:spacing w:line="576" w:lineRule="exact"/>
        <w:ind w:firstLine="720"/>
        <w:rPr>
          <w:rFonts w:ascii="黑体" w:hAnsi="宋体" w:eastAsia="黑体"/>
          <w:color w:val="auto"/>
          <w:sz w:val="32"/>
          <w:szCs w:val="32"/>
          <w:highlight w:val="none"/>
          <w:lang w:val="zh-CN"/>
        </w:rPr>
      </w:pPr>
      <w:r>
        <w:rPr>
          <w:rFonts w:hint="eastAsia" w:ascii="黑体" w:hAnsi="宋体" w:eastAsia="黑体"/>
          <w:color w:val="auto"/>
          <w:sz w:val="32"/>
          <w:szCs w:val="32"/>
          <w:highlight w:val="none"/>
          <w:lang w:val="zh-CN"/>
        </w:rPr>
        <w:t>三、项目自评步骤及方法</w:t>
      </w:r>
    </w:p>
    <w:p>
      <w:pPr>
        <w:adjustRightInd w:val="0"/>
        <w:snapToGrid w:val="0"/>
        <w:spacing w:line="576" w:lineRule="exact"/>
        <w:ind w:firstLine="640" w:firstLineChars="200"/>
        <w:rPr>
          <w:rFonts w:ascii="仿宋_GB2312" w:hAnsi="宋体" w:eastAsia="仿宋_GB2312" w:cs="仿宋_GB2312"/>
          <w:color w:val="auto"/>
          <w:sz w:val="32"/>
          <w:szCs w:val="32"/>
          <w:highlight w:val="none"/>
          <w:shd w:val="clear" w:color="auto" w:fill="FFFFFF"/>
        </w:rPr>
      </w:pPr>
      <w:r>
        <w:rPr>
          <w:rFonts w:ascii="仿宋_GB2312" w:hAnsi="宋体" w:eastAsia="仿宋_GB2312" w:cs="仿宋_GB2312"/>
          <w:color w:val="auto"/>
          <w:sz w:val="32"/>
          <w:szCs w:val="32"/>
          <w:highlight w:val="none"/>
          <w:shd w:val="clear" w:color="auto" w:fill="FFFFFF"/>
        </w:rPr>
        <w:t>项目采取自评方式，成立项目自评</w:t>
      </w:r>
      <w:r>
        <w:rPr>
          <w:rFonts w:hint="eastAsia" w:ascii="仿宋_GB2312" w:hAnsi="宋体" w:eastAsia="仿宋_GB2312" w:cs="仿宋_GB2312"/>
          <w:color w:val="auto"/>
          <w:sz w:val="32"/>
          <w:szCs w:val="32"/>
          <w:highlight w:val="none"/>
          <w:shd w:val="clear" w:color="auto" w:fill="FFFFFF"/>
        </w:rPr>
        <w:t>领导</w:t>
      </w:r>
      <w:r>
        <w:rPr>
          <w:rFonts w:ascii="仿宋_GB2312" w:hAnsi="宋体" w:eastAsia="仿宋_GB2312" w:cs="仿宋_GB2312"/>
          <w:color w:val="auto"/>
          <w:sz w:val="32"/>
          <w:szCs w:val="32"/>
          <w:highlight w:val="none"/>
          <w:shd w:val="clear" w:color="auto" w:fill="FFFFFF"/>
        </w:rPr>
        <w:t>小组，结合评价内容，做到有计划，有安排，扎实开展本次自评工作。按照上级下达的项目支出绩效评价指标体系，自评小组针对申报内容、实施情况、资金兑现、财务管理、社会效益等做出自我评价。</w:t>
      </w:r>
      <w:r>
        <w:rPr>
          <w:rFonts w:hint="eastAsia" w:ascii="仿宋_GB2312" w:hAnsi="宋体" w:eastAsia="仿宋_GB2312" w:cs="仿宋_GB2312"/>
          <w:color w:val="auto"/>
          <w:sz w:val="32"/>
          <w:szCs w:val="32"/>
          <w:highlight w:val="none"/>
          <w:shd w:val="clear" w:color="auto" w:fill="FFFFFF"/>
        </w:rPr>
        <w:t>领导小组如下：</w:t>
      </w:r>
    </w:p>
    <w:p>
      <w:pPr>
        <w:spacing w:line="576" w:lineRule="exact"/>
        <w:ind w:firstLine="643" w:firstLineChars="200"/>
        <w:rPr>
          <w:rFonts w:hint="eastAsia"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b/>
          <w:bCs/>
          <w:color w:val="auto"/>
          <w:sz w:val="32"/>
          <w:szCs w:val="32"/>
          <w:highlight w:val="none"/>
          <w:lang w:val="en-US" w:eastAsia="zh-CN"/>
        </w:rPr>
        <w:t>组 </w:t>
      </w:r>
      <w:r>
        <w:rPr>
          <w:rFonts w:hint="eastAsia" w:ascii="仿宋_GB2312" w:hAnsi="仿宋_GB2312" w:eastAsia="仿宋_GB2312" w:cs="仿宋_GB2312"/>
          <w:b/>
          <w:bCs/>
          <w:color w:val="auto"/>
          <w:sz w:val="32"/>
          <w:szCs w:val="32"/>
          <w:highlight w:val="none"/>
          <w:lang w:val="en-US" w:eastAsia="zh-CN"/>
        </w:rPr>
        <w:t xml:space="preserve">   </w:t>
      </w:r>
      <w:r>
        <w:rPr>
          <w:rFonts w:hint="default" w:ascii="仿宋_GB2312" w:hAnsi="仿宋_GB2312" w:eastAsia="仿宋_GB2312" w:cs="仿宋_GB2312"/>
          <w:b/>
          <w:bCs/>
          <w:color w:val="auto"/>
          <w:sz w:val="32"/>
          <w:szCs w:val="32"/>
          <w:highlight w:val="none"/>
          <w:lang w:val="en-US" w:eastAsia="zh-CN"/>
        </w:rPr>
        <w:t> 长：</w:t>
      </w:r>
      <w:r>
        <w:rPr>
          <w:rFonts w:hint="eastAsia" w:ascii="仿宋_GB2312" w:hAnsi="仿宋_GB2312" w:eastAsia="仿宋_GB2312" w:cs="仿宋_GB2312"/>
          <w:color w:val="auto"/>
          <w:sz w:val="32"/>
          <w:szCs w:val="32"/>
          <w:highlight w:val="none"/>
          <w:lang w:val="en-US" w:eastAsia="zh-CN"/>
        </w:rPr>
        <w:t xml:space="preserve">刚  尖  </w:t>
      </w:r>
      <w:r>
        <w:rPr>
          <w:rFonts w:hint="default" w:ascii="仿宋_GB2312" w:hAnsi="仿宋_GB2312" w:eastAsia="仿宋_GB2312" w:cs="仿宋_GB2312"/>
          <w:color w:val="auto"/>
          <w:sz w:val="32"/>
          <w:szCs w:val="32"/>
          <w:highlight w:val="none"/>
          <w:lang w:val="en-US" w:eastAsia="zh-CN"/>
        </w:rPr>
        <w:t>   </w:t>
      </w:r>
      <w:r>
        <w:rPr>
          <w:rFonts w:hint="eastAsia" w:ascii="仿宋_GB2312" w:hAnsi="仿宋_GB2312" w:eastAsia="仿宋_GB2312" w:cs="仿宋_GB2312"/>
          <w:color w:val="auto"/>
          <w:sz w:val="32"/>
          <w:szCs w:val="32"/>
          <w:highlight w:val="none"/>
          <w:lang w:val="en-US" w:eastAsia="zh-CN"/>
        </w:rPr>
        <w:t xml:space="preserve">    </w:t>
      </w:r>
      <w:r>
        <w:rPr>
          <w:rFonts w:hint="default" w:ascii="仿宋_GB2312" w:hAnsi="仿宋_GB2312" w:eastAsia="仿宋_GB2312" w:cs="仿宋_GB2312"/>
          <w:color w:val="auto"/>
          <w:sz w:val="32"/>
          <w:szCs w:val="32"/>
          <w:highlight w:val="none"/>
          <w:lang w:val="en-US" w:eastAsia="zh-CN"/>
        </w:rPr>
        <w:t>镇党委</w:t>
      </w:r>
      <w:r>
        <w:rPr>
          <w:rFonts w:hint="eastAsia" w:ascii="仿宋_GB2312" w:hAnsi="仿宋_GB2312" w:eastAsia="仿宋_GB2312" w:cs="仿宋_GB2312"/>
          <w:color w:val="auto"/>
          <w:sz w:val="32"/>
          <w:szCs w:val="32"/>
          <w:highlight w:val="none"/>
          <w:lang w:val="en-US" w:eastAsia="zh-CN"/>
        </w:rPr>
        <w:t>副</w:t>
      </w:r>
      <w:r>
        <w:rPr>
          <w:rFonts w:hint="default" w:ascii="仿宋_GB2312" w:hAnsi="仿宋_GB2312" w:eastAsia="仿宋_GB2312" w:cs="仿宋_GB2312"/>
          <w:color w:val="auto"/>
          <w:sz w:val="32"/>
          <w:szCs w:val="32"/>
          <w:highlight w:val="none"/>
          <w:lang w:val="en-US" w:eastAsia="zh-CN"/>
        </w:rPr>
        <w:t>书记</w:t>
      </w:r>
      <w:r>
        <w:rPr>
          <w:rFonts w:hint="eastAsia" w:ascii="仿宋_GB2312" w:hAnsi="仿宋_GB2312" w:eastAsia="仿宋_GB2312" w:cs="仿宋_GB2312"/>
          <w:color w:val="auto"/>
          <w:sz w:val="32"/>
          <w:szCs w:val="32"/>
          <w:highlight w:val="none"/>
          <w:lang w:val="en-US" w:eastAsia="zh-CN"/>
        </w:rPr>
        <w:t>、镇长</w:t>
      </w:r>
    </w:p>
    <w:p>
      <w:pPr>
        <w:spacing w:line="576" w:lineRule="exact"/>
        <w:ind w:firstLine="643" w:firstLineChars="200"/>
        <w:rPr>
          <w:rFonts w:hint="eastAsia" w:ascii="仿宋_GB2312" w:hAnsi="仿宋_GB2312" w:eastAsia="仿宋_GB2312" w:cs="仿宋_GB2312"/>
          <w:color w:val="auto"/>
          <w:sz w:val="32"/>
          <w:szCs w:val="32"/>
          <w:highlight w:val="none"/>
        </w:rPr>
      </w:pPr>
      <w:r>
        <w:rPr>
          <w:rFonts w:hint="default" w:ascii="仿宋_GB2312" w:hAnsi="仿宋_GB2312" w:eastAsia="仿宋_GB2312" w:cs="仿宋_GB2312"/>
          <w:b/>
          <w:bCs/>
          <w:color w:val="auto"/>
          <w:sz w:val="32"/>
          <w:szCs w:val="32"/>
          <w:highlight w:val="none"/>
          <w:lang w:val="en-US" w:eastAsia="zh-CN"/>
        </w:rPr>
        <w:t>副</w:t>
      </w:r>
      <w:r>
        <w:rPr>
          <w:rFonts w:hint="eastAsia" w:ascii="仿宋_GB2312" w:hAnsi="仿宋_GB2312" w:eastAsia="仿宋_GB2312" w:cs="仿宋_GB2312"/>
          <w:b/>
          <w:bCs/>
          <w:color w:val="auto"/>
          <w:sz w:val="32"/>
          <w:szCs w:val="32"/>
          <w:highlight w:val="none"/>
          <w:lang w:val="en-US" w:eastAsia="zh-CN"/>
        </w:rPr>
        <w:t xml:space="preserve"> </w:t>
      </w:r>
      <w:r>
        <w:rPr>
          <w:rFonts w:hint="default" w:ascii="仿宋_GB2312" w:hAnsi="仿宋_GB2312" w:eastAsia="仿宋_GB2312" w:cs="仿宋_GB2312"/>
          <w:b/>
          <w:bCs/>
          <w:color w:val="auto"/>
          <w:sz w:val="32"/>
          <w:szCs w:val="32"/>
          <w:highlight w:val="none"/>
          <w:lang w:val="en-US" w:eastAsia="zh-CN"/>
        </w:rPr>
        <w:t>组</w:t>
      </w:r>
      <w:r>
        <w:rPr>
          <w:rFonts w:hint="eastAsia" w:ascii="仿宋_GB2312" w:hAnsi="仿宋_GB2312" w:eastAsia="仿宋_GB2312" w:cs="仿宋_GB2312"/>
          <w:b/>
          <w:bCs/>
          <w:color w:val="auto"/>
          <w:sz w:val="32"/>
          <w:szCs w:val="32"/>
          <w:highlight w:val="none"/>
          <w:lang w:val="en-US" w:eastAsia="zh-CN"/>
        </w:rPr>
        <w:t xml:space="preserve"> </w:t>
      </w:r>
      <w:r>
        <w:rPr>
          <w:rFonts w:hint="default" w:ascii="仿宋_GB2312" w:hAnsi="仿宋_GB2312" w:eastAsia="仿宋_GB2312" w:cs="仿宋_GB2312"/>
          <w:b/>
          <w:bCs/>
          <w:color w:val="auto"/>
          <w:sz w:val="32"/>
          <w:szCs w:val="32"/>
          <w:highlight w:val="none"/>
          <w:lang w:val="en-US" w:eastAsia="zh-CN"/>
        </w:rPr>
        <w:t>长：</w:t>
      </w:r>
      <w:r>
        <w:rPr>
          <w:rFonts w:hint="eastAsia" w:ascii="仿宋_GB2312" w:hAnsi="仿宋_GB2312" w:eastAsia="仿宋_GB2312" w:cs="仿宋_GB2312"/>
          <w:color w:val="auto"/>
          <w:sz w:val="32"/>
          <w:szCs w:val="32"/>
          <w:highlight w:val="none"/>
          <w:lang w:val="en-US" w:eastAsia="zh-CN"/>
        </w:rPr>
        <w:t>华尔让</w:t>
      </w:r>
      <w:r>
        <w:rPr>
          <w:rFonts w:hint="default" w:ascii="仿宋_GB2312" w:hAnsi="仿宋_GB2312" w:eastAsia="仿宋_GB2312" w:cs="仿宋_GB2312"/>
          <w:color w:val="auto"/>
          <w:sz w:val="32"/>
          <w:szCs w:val="32"/>
          <w:highlight w:val="none"/>
          <w:lang w:val="en-US" w:eastAsia="zh-CN"/>
        </w:rPr>
        <w:t>    </w:t>
      </w:r>
      <w:r>
        <w:rPr>
          <w:rFonts w:hint="eastAsia" w:ascii="仿宋_GB2312" w:hAnsi="仿宋_GB2312" w:eastAsia="仿宋_GB2312" w:cs="仿宋_GB2312"/>
          <w:color w:val="auto"/>
          <w:sz w:val="32"/>
          <w:szCs w:val="32"/>
          <w:highlight w:val="none"/>
          <w:lang w:val="en-US" w:eastAsia="zh-CN"/>
        </w:rPr>
        <w:t xml:space="preserve">     </w:t>
      </w:r>
      <w:r>
        <w:rPr>
          <w:rFonts w:hint="default" w:ascii="仿宋_GB2312" w:hAnsi="仿宋_GB2312" w:eastAsia="仿宋_GB2312" w:cs="仿宋_GB2312"/>
          <w:color w:val="auto"/>
          <w:sz w:val="32"/>
          <w:szCs w:val="32"/>
          <w:highlight w:val="none"/>
          <w:lang w:val="en-US" w:eastAsia="zh-CN"/>
        </w:rPr>
        <w:t>人大主席</w:t>
      </w:r>
    </w:p>
    <w:p>
      <w:pPr>
        <w:spacing w:line="576" w:lineRule="exact"/>
        <w:ind w:firstLine="640" w:firstLineChars="200"/>
        <w:rPr>
          <w:rFonts w:hint="eastAsia"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lang w:val="en-US" w:eastAsia="zh-CN"/>
        </w:rPr>
        <w:t>  </w:t>
      </w:r>
      <w:r>
        <w:rPr>
          <w:rFonts w:hint="eastAsia" w:ascii="仿宋_GB2312" w:hAnsi="仿宋_GB2312" w:eastAsia="仿宋_GB2312" w:cs="仿宋_GB2312"/>
          <w:color w:val="auto"/>
          <w:sz w:val="32"/>
          <w:szCs w:val="32"/>
          <w:highlight w:val="none"/>
          <w:lang w:val="en-US" w:eastAsia="zh-CN"/>
        </w:rPr>
        <w:t xml:space="preserve">         让   俄</w:t>
      </w:r>
      <w:r>
        <w:rPr>
          <w:rFonts w:hint="default" w:ascii="仿宋_GB2312" w:hAnsi="仿宋_GB2312" w:eastAsia="仿宋_GB2312" w:cs="仿宋_GB2312"/>
          <w:color w:val="auto"/>
          <w:sz w:val="32"/>
          <w:szCs w:val="32"/>
          <w:highlight w:val="none"/>
          <w:lang w:val="en-US" w:eastAsia="zh-CN"/>
        </w:rPr>
        <w:t>    </w:t>
      </w:r>
      <w:r>
        <w:rPr>
          <w:rFonts w:hint="eastAsia" w:ascii="仿宋_GB2312" w:hAnsi="仿宋_GB2312" w:eastAsia="仿宋_GB2312" w:cs="仿宋_GB2312"/>
          <w:color w:val="auto"/>
          <w:sz w:val="32"/>
          <w:szCs w:val="32"/>
          <w:highlight w:val="none"/>
          <w:lang w:val="en-US" w:eastAsia="zh-CN"/>
        </w:rPr>
        <w:t xml:space="preserve">    </w:t>
      </w:r>
      <w:r>
        <w:rPr>
          <w:rFonts w:hint="default" w:ascii="仿宋_GB2312" w:hAnsi="仿宋_GB2312" w:eastAsia="仿宋_GB2312" w:cs="仿宋_GB2312"/>
          <w:color w:val="auto"/>
          <w:sz w:val="32"/>
          <w:szCs w:val="32"/>
          <w:highlight w:val="none"/>
          <w:lang w:val="en-US" w:eastAsia="zh-CN"/>
        </w:rPr>
        <w:t>镇纪委书记</w:t>
      </w:r>
    </w:p>
    <w:p>
      <w:pPr>
        <w:spacing w:line="576" w:lineRule="exact"/>
        <w:ind w:firstLine="640" w:firstLineChars="200"/>
        <w:rPr>
          <w:rFonts w:hint="eastAsia"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lang w:val="en-US" w:eastAsia="zh-CN"/>
        </w:rPr>
        <w:t>  </w:t>
      </w:r>
      <w:r>
        <w:rPr>
          <w:rFonts w:hint="eastAsia" w:ascii="仿宋_GB2312" w:hAnsi="仿宋_GB2312" w:eastAsia="仿宋_GB2312" w:cs="仿宋_GB2312"/>
          <w:color w:val="auto"/>
          <w:sz w:val="32"/>
          <w:szCs w:val="32"/>
          <w:highlight w:val="none"/>
          <w:lang w:val="en-US" w:eastAsia="zh-CN"/>
        </w:rPr>
        <w:t xml:space="preserve">         文   东 </w:t>
      </w:r>
      <w:r>
        <w:rPr>
          <w:rFonts w:hint="default" w:ascii="仿宋_GB2312" w:hAnsi="仿宋_GB2312" w:eastAsia="仿宋_GB2312" w:cs="仿宋_GB2312"/>
          <w:color w:val="auto"/>
          <w:sz w:val="32"/>
          <w:szCs w:val="32"/>
          <w:highlight w:val="none"/>
          <w:lang w:val="en-US" w:eastAsia="zh-CN"/>
        </w:rPr>
        <w:t>     </w:t>
      </w:r>
      <w:r>
        <w:rPr>
          <w:rFonts w:hint="eastAsia" w:ascii="仿宋_GB2312" w:hAnsi="仿宋_GB2312" w:eastAsia="仿宋_GB2312" w:cs="仿宋_GB2312"/>
          <w:color w:val="auto"/>
          <w:sz w:val="32"/>
          <w:szCs w:val="32"/>
          <w:highlight w:val="none"/>
          <w:lang w:val="en-US" w:eastAsia="zh-CN"/>
        </w:rPr>
        <w:t xml:space="preserve">   </w:t>
      </w:r>
      <w:r>
        <w:rPr>
          <w:rFonts w:hint="default" w:ascii="仿宋_GB2312" w:hAnsi="仿宋_GB2312" w:eastAsia="仿宋_GB2312" w:cs="仿宋_GB2312"/>
          <w:color w:val="auto"/>
          <w:sz w:val="32"/>
          <w:szCs w:val="32"/>
          <w:highlight w:val="none"/>
          <w:lang w:val="en-US" w:eastAsia="zh-CN"/>
        </w:rPr>
        <w:t>镇党委委员、副镇长</w:t>
      </w:r>
    </w:p>
    <w:p>
      <w:pPr>
        <w:adjustRightInd w:val="0"/>
        <w:snapToGrid w:val="0"/>
        <w:spacing w:line="576" w:lineRule="exact"/>
        <w:ind w:firstLine="960" w:firstLineChars="300"/>
        <w:rPr>
          <w:rFonts w:ascii="仿宋_GB2312" w:hAnsi="宋体" w:eastAsia="仿宋_GB2312" w:cs="仿宋_GB2312"/>
          <w:color w:val="auto"/>
          <w:sz w:val="32"/>
          <w:szCs w:val="32"/>
          <w:highlight w:val="none"/>
          <w:shd w:val="clear" w:color="auto" w:fill="FFFFFF"/>
        </w:rPr>
      </w:pPr>
      <w:r>
        <w:rPr>
          <w:rFonts w:hint="eastAsia" w:ascii="仿宋_GB2312" w:hAnsi="宋体" w:eastAsia="仿宋_GB2312" w:cs="仿宋_GB2312"/>
          <w:color w:val="auto"/>
          <w:sz w:val="32"/>
          <w:szCs w:val="32"/>
          <w:highlight w:val="none"/>
          <w:shd w:val="clear" w:color="auto" w:fill="FFFFFF"/>
        </w:rPr>
        <w:t>办公室设在项目办，由</w:t>
      </w:r>
      <w:r>
        <w:rPr>
          <w:rFonts w:hint="eastAsia" w:ascii="仿宋_GB2312" w:hAnsi="宋体" w:eastAsia="仿宋_GB2312" w:cs="仿宋_GB2312"/>
          <w:color w:val="auto"/>
          <w:sz w:val="32"/>
          <w:szCs w:val="32"/>
          <w:highlight w:val="none"/>
          <w:shd w:val="clear" w:color="auto" w:fill="FFFFFF"/>
          <w:lang w:eastAsia="zh-CN"/>
        </w:rPr>
        <w:t>索朗严扎</w:t>
      </w:r>
      <w:r>
        <w:rPr>
          <w:rFonts w:hint="eastAsia" w:ascii="仿宋_GB2312" w:hAnsi="宋体" w:eastAsia="仿宋_GB2312" w:cs="仿宋_GB2312"/>
          <w:color w:val="auto"/>
          <w:sz w:val="32"/>
          <w:szCs w:val="32"/>
          <w:highlight w:val="none"/>
          <w:shd w:val="clear" w:color="auto" w:fill="FFFFFF"/>
        </w:rPr>
        <w:t>负责日常工作。</w:t>
      </w:r>
    </w:p>
    <w:p>
      <w:pPr>
        <w:adjustRightInd w:val="0"/>
        <w:snapToGrid w:val="0"/>
        <w:spacing w:line="576" w:lineRule="exact"/>
        <w:ind w:firstLine="640" w:firstLineChars="200"/>
        <w:rPr>
          <w:rFonts w:ascii="黑体" w:hAnsi="宋体" w:eastAsia="黑体" w:cs="黑体"/>
          <w:color w:val="auto"/>
          <w:highlight w:val="none"/>
        </w:rPr>
      </w:pPr>
      <w:r>
        <w:rPr>
          <w:rFonts w:hint="eastAsia" w:ascii="黑体" w:hAnsi="宋体" w:eastAsia="黑体" w:cs="黑体"/>
          <w:color w:val="auto"/>
          <w:sz w:val="32"/>
          <w:highlight w:val="none"/>
        </w:rPr>
        <w:t>五、项目实施及管理情况</w:t>
      </w:r>
    </w:p>
    <w:p>
      <w:pPr>
        <w:spacing w:line="576" w:lineRule="exact"/>
        <w:ind w:firstLine="643" w:firstLineChars="200"/>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(一)资金使用和监管</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建立资金管理责任制。资金安排的建设项目实行县级管理责任制度,坚持资金跟着项目走,项目跟着规划走,规划跟着贫病群众走的分配管理原则,统筹兼顾、整合资源、突出重点、分类实施。实行项目、资金管理部门和项目实施单</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位法人代表责任制。</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2.建立资金使用公示制。按照公开、公平、公正的原则对专项资金的分配和使用进行公告、公示。在项目实施地对具体项目实行张榜公布,自觉接受社会和群众监督。</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3.建立资金管理专账核算制。严格按照国家和省资金管理办法和有关资金管理规定,对试点工作资金实行专账管理、专账核算、专款专用、封闭运行,努力提高资金使用效益。</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4.建立资金管理报账制。资金实行县级财政报账制管理,做到资金安排到项目、日常管理到项目、支出核算到项目，按项目建设进度核拨资金,确保资金及时足额到位。</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5.建立资金管理审计制。工程完工后,相关审计部门应及时会同财政、纪检、监察部门对资金使用情况进行专项审计。对转移、挪用、拖欠、挤占、贪污等违纪违法行为,要严肃查处,并追究相关责任人的责任。</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6.建立资金检查验收制。年度计划完成后,上级有关部门要按项目实施方案组织检查验收,进行绩效评估</w:t>
      </w:r>
    </w:p>
    <w:p>
      <w:pPr>
        <w:spacing w:line="576" w:lineRule="exact"/>
        <w:ind w:firstLine="643" w:firstLineChars="200"/>
        <w:rPr>
          <w:rFonts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(二)项目建设监督管理</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1.项目将在自觉接受县委县政府督察室、县纪委、监察局、县财政局、县审计局以及其他相关部门的监督进行实</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施;邛溪镇党委、镇政府将积极指导、引导和管理好该项目,镇党委、镇政府主要负责人是项目的第一责任人,镇具体管副职和村两委负责人是项目的具体责任人。</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2.项目建设协调管理。镇政府将指派专人进行项目的监督和监理;村委会将积极组织牧民群众投工投劳,共建美好家园,并在建设工程中,积极配合施工单位,积极主动协调建设事项,妥善协调配合解决施工中的困难和问题。</w:t>
      </w:r>
    </w:p>
    <w:p>
      <w:pPr>
        <w:adjustRightInd w:val="0"/>
        <w:snapToGrid w:val="0"/>
        <w:spacing w:line="576" w:lineRule="exact"/>
        <w:ind w:firstLine="640" w:firstLineChars="200"/>
        <w:rPr>
          <w:rFonts w:ascii="仿宋_GB2312" w:hAnsi="宋体" w:eastAsia="仿宋_GB2312" w:cs="仿宋_GB2312"/>
          <w:color w:val="auto"/>
          <w:highlight w:val="none"/>
          <w:lang w:val="zh-CN"/>
        </w:rPr>
      </w:pPr>
      <w:r>
        <w:rPr>
          <w:rFonts w:hint="eastAsia" w:ascii="黑体" w:hAnsi="宋体" w:eastAsia="黑体" w:cs="黑体"/>
          <w:color w:val="auto"/>
          <w:sz w:val="32"/>
          <w:highlight w:val="none"/>
        </w:rPr>
        <w:t>六、项目绩效情况</w:t>
      </w:r>
      <w:r>
        <w:rPr>
          <w:rFonts w:hint="eastAsia" w:ascii="仿宋_GB2312" w:hAnsi="宋体" w:eastAsia="仿宋_GB2312" w:cs="仿宋_GB2312"/>
          <w:color w:val="auto"/>
          <w:sz w:val="32"/>
          <w:highlight w:val="none"/>
          <w:lang w:val="zh-CN"/>
        </w:rPr>
        <w:tab/>
      </w:r>
    </w:p>
    <w:p>
      <w:pPr>
        <w:adjustRightInd w:val="0"/>
        <w:snapToGrid w:val="0"/>
        <w:spacing w:line="576" w:lineRule="exact"/>
        <w:ind w:firstLine="643" w:firstLineChars="200"/>
        <w:rPr>
          <w:rFonts w:ascii="楷体_GB2312" w:hAnsi="宋体" w:eastAsia="楷体_GB2312" w:cs="楷体_GB2312"/>
          <w:b/>
          <w:color w:val="auto"/>
          <w:highlight w:val="none"/>
          <w:lang w:val="zh-CN"/>
        </w:rPr>
      </w:pPr>
      <w:r>
        <w:rPr>
          <w:rFonts w:hint="eastAsia" w:ascii="楷体_GB2312" w:hAnsi="宋体" w:eastAsia="楷体_GB2312" w:cs="楷体_GB2312"/>
          <w:b/>
          <w:color w:val="auto"/>
          <w:sz w:val="32"/>
          <w:highlight w:val="none"/>
          <w:lang w:val="zh-CN"/>
        </w:rPr>
        <w:t>（一）项目完成情况。</w:t>
      </w:r>
    </w:p>
    <w:p>
      <w:pPr>
        <w:adjustRightInd w:val="0"/>
        <w:snapToGrid w:val="0"/>
        <w:spacing w:line="576" w:lineRule="exact"/>
        <w:ind w:firstLine="720"/>
        <w:rPr>
          <w:rFonts w:ascii="楷体_GB2312" w:hAnsi="宋体" w:eastAsia="楷体_GB2312"/>
          <w:b/>
          <w:color w:val="auto"/>
          <w:sz w:val="32"/>
          <w:szCs w:val="32"/>
          <w:highlight w:val="none"/>
          <w:lang w:val="zh-CN"/>
        </w:rPr>
      </w:pPr>
      <w:r>
        <w:rPr>
          <w:rFonts w:hint="eastAsia" w:ascii="仿宋_GB2312" w:hAnsi="宋体" w:eastAsia="仿宋_GB2312"/>
          <w:color w:val="auto"/>
          <w:sz w:val="32"/>
          <w:szCs w:val="32"/>
          <w:highlight w:val="none"/>
          <w:lang w:val="zh-CN"/>
        </w:rPr>
        <w:t>严格按照实施方案，</w:t>
      </w:r>
      <w:r>
        <w:rPr>
          <w:rFonts w:hint="eastAsia" w:ascii="仿宋_GB2312" w:hAnsi="仿宋_GB2312" w:eastAsia="仿宋_GB2312" w:cs="仿宋_GB2312"/>
          <w:color w:val="auto"/>
          <w:sz w:val="32"/>
          <w:szCs w:val="32"/>
          <w:highlight w:val="none"/>
        </w:rPr>
        <w:t>以上五个项目已完成建设并通过验收</w:t>
      </w:r>
      <w:r>
        <w:rPr>
          <w:rFonts w:hint="eastAsia" w:ascii="仿宋_GB2312" w:hAnsi="宋体" w:eastAsia="仿宋_GB2312"/>
          <w:color w:val="auto"/>
          <w:sz w:val="32"/>
          <w:szCs w:val="32"/>
          <w:highlight w:val="none"/>
          <w:lang w:val="zh-CN"/>
        </w:rPr>
        <w:t>，完成绩效目标设定的任务量。符合绩效目标设定的验收标准，达到行业基准水平。</w:t>
      </w:r>
    </w:p>
    <w:p>
      <w:pPr>
        <w:numPr>
          <w:ilvl w:val="0"/>
          <w:numId w:val="7"/>
        </w:numPr>
        <w:adjustRightInd w:val="0"/>
        <w:snapToGrid w:val="0"/>
        <w:spacing w:line="576" w:lineRule="exact"/>
        <w:ind w:left="420" w:leftChars="200" w:firstLine="0" w:firstLineChars="0"/>
        <w:rPr>
          <w:rFonts w:hint="eastAsia" w:ascii="楷体_GB2312" w:hAnsi="宋体" w:eastAsia="楷体_GB2312" w:cs="楷体_GB2312"/>
          <w:b/>
          <w:bCs w:val="0"/>
          <w:color w:val="auto"/>
          <w:sz w:val="32"/>
          <w:highlight w:val="none"/>
          <w:lang w:val="zh-CN"/>
        </w:rPr>
      </w:pPr>
      <w:r>
        <w:rPr>
          <w:rFonts w:hint="eastAsia" w:ascii="楷体_GB2312" w:hAnsi="宋体" w:eastAsia="楷体_GB2312" w:cs="楷体_GB2312"/>
          <w:b/>
          <w:bCs w:val="0"/>
          <w:color w:val="auto"/>
          <w:sz w:val="32"/>
          <w:highlight w:val="none"/>
          <w:lang w:val="zh-CN"/>
        </w:rPr>
        <w:t>项目</w:t>
      </w:r>
      <w:r>
        <w:rPr>
          <w:rFonts w:hint="eastAsia" w:ascii="仿宋_GB2312" w:hAnsi="宋体" w:eastAsia="仿宋_GB2312"/>
          <w:b/>
          <w:bCs w:val="0"/>
          <w:color w:val="auto"/>
          <w:sz w:val="32"/>
          <w:szCs w:val="32"/>
          <w:highlight w:val="none"/>
          <w:lang w:val="zh-CN"/>
        </w:rPr>
        <w:t>效益</w:t>
      </w:r>
      <w:r>
        <w:rPr>
          <w:rFonts w:hint="eastAsia" w:ascii="楷体_GB2312" w:hAnsi="宋体" w:eastAsia="楷体_GB2312" w:cs="楷体_GB2312"/>
          <w:b/>
          <w:bCs w:val="0"/>
          <w:color w:val="auto"/>
          <w:sz w:val="32"/>
          <w:highlight w:val="none"/>
          <w:lang w:val="zh-CN"/>
        </w:rPr>
        <w:t>情况。</w:t>
      </w:r>
    </w:p>
    <w:p>
      <w:pPr>
        <w:spacing w:line="576"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通过</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热坤村活动中心设施设备采购</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、“邛溪镇热坤村栈道建设及基础设施提升项目”、“邛溪镇热坤村综合活动中心建设”项目的实施，建成后能发挥显著的社会效益，具体有：</w:t>
      </w:r>
    </w:p>
    <w:p>
      <w:pPr>
        <w:spacing w:line="576"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1）有利于加快推进邛溪镇热坤村旅游新村建设，扩大红原城市规模和提升城市品位。通过本项目建设，邛溪镇热坤村民的基础设施及急需的公共服务设施建设得到改善。这将有力推动邛溪镇热坤村的整体开发，使邛溪镇热坤村加速形成红原县城的综合生活区，显著扩大城镇规模、提升城市品质。</w:t>
      </w:r>
    </w:p>
    <w:p>
      <w:pPr>
        <w:spacing w:line="576" w:lineRule="exact"/>
        <w:ind w:firstLine="640"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2）有利于改善邛溪镇热坤村民生活品质，构建社会主义和谐社会。通过本项目建设，村容村貌等基础设施配套完善，将使村民居住及生活条件得到显著改善。可较大幅度提高收入水平，改善生活条件，形成安居乐业的社会主义和谐新村。</w:t>
      </w:r>
    </w:p>
    <w:p>
      <w:pPr>
        <w:spacing w:line="576" w:lineRule="exact"/>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通过邛溪镇</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z w:val="32"/>
          <w:szCs w:val="32"/>
          <w:highlight w:val="none"/>
          <w:lang w:val="en-US" w:eastAsia="zh-CN"/>
        </w:rPr>
        <w:t>邛溪镇玛萨村、达格龙村乡村振兴游步道建设</w:t>
      </w:r>
      <w:r>
        <w:rPr>
          <w:rFonts w:hint="eastAsia" w:ascii="仿宋_GB2312" w:hAnsi="仿宋_GB2312" w:eastAsia="仿宋_GB2312" w:cs="仿宋_GB2312"/>
          <w:color w:val="auto"/>
          <w:sz w:val="32"/>
          <w:szCs w:val="32"/>
          <w:highlight w:val="none"/>
          <w:lang w:eastAsia="zh-CN"/>
        </w:rPr>
        <w:t>”项目</w:t>
      </w:r>
      <w:r>
        <w:rPr>
          <w:rFonts w:hint="eastAsia" w:ascii="仿宋_GB2312" w:hAnsi="仿宋_GB2312" w:eastAsia="仿宋_GB2312" w:cs="仿宋_GB2312"/>
          <w:color w:val="auto"/>
          <w:sz w:val="32"/>
          <w:szCs w:val="32"/>
          <w:highlight w:val="none"/>
          <w:lang w:val="en-US" w:eastAsia="zh-CN"/>
        </w:rPr>
        <w:t>的实施，</w:t>
      </w:r>
      <w:r>
        <w:rPr>
          <w:rFonts w:hint="eastAsia" w:ascii="仿宋_GB2312" w:hAnsi="仿宋_GB2312" w:eastAsia="仿宋_GB2312" w:cs="仿宋_GB2312"/>
          <w:color w:val="auto"/>
          <w:sz w:val="32"/>
          <w:szCs w:val="32"/>
          <w:highlight w:val="none"/>
        </w:rPr>
        <w:t>进一步加强美丽乡村建设，促进乡村体育产业快速发展，依托当地地域特色，通过美丽城镇建设，修建游步道路线，将美丽的乡村风景、体育健身与游步道建设串联起来，助推乡村经济发展</w:t>
      </w:r>
      <w:r>
        <w:rPr>
          <w:rFonts w:hint="eastAsia" w:ascii="仿宋_GB2312" w:hAnsi="仿宋_GB2312" w:eastAsia="仿宋_GB2312" w:cs="仿宋_GB2312"/>
          <w:color w:val="auto"/>
          <w:sz w:val="32"/>
          <w:szCs w:val="32"/>
          <w:highlight w:val="none"/>
          <w:lang w:eastAsia="zh-CN"/>
        </w:rPr>
        <w:t>。</w:t>
      </w:r>
    </w:p>
    <w:p>
      <w:pPr>
        <w:spacing w:line="576" w:lineRule="exact"/>
        <w:ind w:firstLine="640" w:firstLineChars="20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通过邛溪镇牧业生产点道路（草原森林防火通道）维修项目的实施，开展森林防火工作有助于提高群众的防火意识、防火观念深入人心，针对森林防火工作开展修建防火通道，对森林保护的具有促进作用。</w:t>
      </w:r>
    </w:p>
    <w:p>
      <w:pPr>
        <w:adjustRightInd w:val="0"/>
        <w:snapToGrid w:val="0"/>
        <w:spacing w:line="576" w:lineRule="exact"/>
        <w:ind w:firstLine="640" w:firstLineChars="200"/>
        <w:rPr>
          <w:rFonts w:ascii="黑体" w:hAnsi="宋体" w:eastAsia="黑体" w:cs="黑体"/>
          <w:color w:val="auto"/>
          <w:highlight w:val="none"/>
        </w:rPr>
      </w:pPr>
      <w:r>
        <w:rPr>
          <w:rFonts w:hint="eastAsia" w:ascii="黑体" w:hAnsi="宋体" w:eastAsia="黑体" w:cs="黑体"/>
          <w:color w:val="auto"/>
          <w:sz w:val="32"/>
          <w:highlight w:val="none"/>
        </w:rPr>
        <w:t>七、评价结论及建议</w:t>
      </w:r>
    </w:p>
    <w:p>
      <w:pPr>
        <w:spacing w:line="576" w:lineRule="exact"/>
        <w:ind w:firstLine="640" w:firstLineChars="200"/>
        <w:rPr>
          <w:rFonts w:hint="eastAsia" w:ascii="仿宋_GB2312" w:hAnsi="宋体" w:eastAsia="仿宋_GB2312" w:cs="仿宋_GB2312"/>
          <w:color w:val="auto"/>
          <w:kern w:val="2"/>
          <w:sz w:val="32"/>
          <w:szCs w:val="24"/>
          <w:highlight w:val="none"/>
          <w:lang w:val="en-US" w:eastAsia="zh-CN" w:bidi="ar"/>
        </w:rPr>
      </w:pP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宋体" w:eastAsia="仿宋_GB2312" w:cs="仿宋_GB2312"/>
          <w:color w:val="auto"/>
          <w:kern w:val="2"/>
          <w:sz w:val="32"/>
          <w:szCs w:val="24"/>
          <w:highlight w:val="none"/>
          <w:lang w:val="en-US" w:eastAsia="zh-CN" w:bidi="ar"/>
        </w:rPr>
        <w:t>邛溪镇牧业生产点道路（草原森林防火通道）维修</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宋体" w:eastAsia="仿宋_GB2312" w:cs="仿宋_GB2312"/>
          <w:color w:val="auto"/>
          <w:kern w:val="2"/>
          <w:sz w:val="32"/>
          <w:szCs w:val="24"/>
          <w:highlight w:val="none"/>
          <w:lang w:val="en-US" w:eastAsia="zh-CN" w:bidi="ar"/>
        </w:rPr>
        <w:t>邛溪镇玛萨村、达格龙村乡村振兴游步道建设</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_GB2312" w:hAnsi="仿宋_GB2312" w:eastAsia="仿宋_GB2312" w:cs="仿宋_GB2312"/>
          <w:color w:val="auto"/>
          <w:sz w:val="32"/>
          <w:szCs w:val="32"/>
          <w:highlight w:val="none"/>
          <w:shd w:val="clear" w:color="auto" w:fill="FFFFFF"/>
        </w:rPr>
        <w:t>、</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 w:hAnsi="仿宋" w:eastAsia="仿宋" w:cs="仿宋"/>
          <w:b w:val="0"/>
          <w:bCs w:val="0"/>
          <w:color w:val="auto"/>
          <w:sz w:val="32"/>
          <w:szCs w:val="32"/>
          <w:highlight w:val="none"/>
          <w:lang w:val="en-US" w:eastAsia="zh-CN"/>
        </w:rPr>
        <w:t>热坤村活动中心设施设备采购</w:t>
      </w:r>
      <w:r>
        <w:rPr>
          <w:rFonts w:hint="eastAsia" w:ascii="仿宋_GB2312" w:hAnsi="仿宋_GB2312" w:eastAsia="仿宋_GB2312" w:cs="仿宋_GB2312"/>
          <w:color w:val="auto"/>
          <w:sz w:val="32"/>
          <w:szCs w:val="32"/>
          <w:highlight w:val="none"/>
          <w:shd w:val="clear" w:color="auto" w:fill="FFFFFF"/>
          <w:lang w:eastAsia="zh-CN"/>
        </w:rPr>
        <w:t>”</w:t>
      </w:r>
      <w:r>
        <w:rPr>
          <w:rFonts w:hint="eastAsia" w:ascii="仿宋" w:hAnsi="仿宋" w:eastAsia="仿宋" w:cs="仿宋"/>
          <w:b w:val="0"/>
          <w:bCs w:val="0"/>
          <w:color w:val="auto"/>
          <w:sz w:val="32"/>
          <w:szCs w:val="32"/>
          <w:highlight w:val="none"/>
          <w:lang w:val="en-US" w:eastAsia="zh-CN"/>
        </w:rPr>
        <w:t>、“</w:t>
      </w:r>
      <w:r>
        <w:rPr>
          <w:rFonts w:hint="eastAsia" w:ascii="仿宋_GB2312" w:hAnsi="宋体" w:eastAsia="仿宋_GB2312" w:cs="仿宋_GB2312"/>
          <w:color w:val="auto"/>
          <w:kern w:val="2"/>
          <w:sz w:val="32"/>
          <w:szCs w:val="24"/>
          <w:highlight w:val="none"/>
          <w:lang w:val="en-US" w:eastAsia="zh-CN" w:bidi="ar"/>
        </w:rPr>
        <w:t>邛溪镇热坤村栈道建设及基础设施提升项目</w:t>
      </w:r>
      <w:r>
        <w:rPr>
          <w:rFonts w:hint="eastAsia" w:ascii="仿宋" w:hAnsi="仿宋" w:eastAsia="仿宋" w:cs="仿宋"/>
          <w:b w:val="0"/>
          <w:bCs w:val="0"/>
          <w:color w:val="auto"/>
          <w:sz w:val="32"/>
          <w:szCs w:val="32"/>
          <w:highlight w:val="none"/>
          <w:lang w:val="en-US" w:eastAsia="zh-CN"/>
        </w:rPr>
        <w:t>”</w:t>
      </w:r>
      <w:r>
        <w:rPr>
          <w:rFonts w:hint="eastAsia" w:ascii="仿宋_GB2312" w:hAnsi="宋体" w:eastAsia="仿宋_GB2312" w:cs="仿宋_GB2312"/>
          <w:color w:val="auto"/>
          <w:kern w:val="2"/>
          <w:sz w:val="32"/>
          <w:szCs w:val="24"/>
          <w:highlight w:val="none"/>
          <w:lang w:val="en-US" w:eastAsia="zh-CN" w:bidi="ar"/>
        </w:rPr>
        <w:t>、“邛溪镇热坤村综合活动中心建设”</w:t>
      </w:r>
      <w:r>
        <w:rPr>
          <w:rFonts w:hint="eastAsia" w:ascii="仿宋_GB2312" w:hAnsi="仿宋_GB2312" w:eastAsia="仿宋_GB2312" w:cs="仿宋_GB2312"/>
          <w:color w:val="0000FF"/>
          <w:sz w:val="32"/>
          <w:szCs w:val="32"/>
          <w:highlight w:val="none"/>
        </w:rPr>
        <w:t>，</w:t>
      </w:r>
      <w:r>
        <w:rPr>
          <w:rFonts w:hint="eastAsia" w:ascii="仿宋_GB2312" w:hAnsi="宋体" w:eastAsia="仿宋_GB2312" w:cs="仿宋_GB2312"/>
          <w:color w:val="auto"/>
          <w:kern w:val="2"/>
          <w:sz w:val="32"/>
          <w:szCs w:val="24"/>
          <w:highlight w:val="none"/>
          <w:lang w:val="en-US" w:eastAsia="zh-CN" w:bidi="ar"/>
        </w:rPr>
        <w:t>通过这五个项目的实施，提升了邛溪镇的形象、维护社会安定团结起到十分重要的作用，也必将给红原县经济的腾飞，人民生活质量的提高带来新的变化。</w:t>
      </w:r>
    </w:p>
    <w:p>
      <w:pPr>
        <w:spacing w:line="576" w:lineRule="exact"/>
        <w:jc w:val="center"/>
        <w:outlineLvl w:val="0"/>
        <w:rPr>
          <w:rFonts w:ascii="黑体" w:hAnsi="黑体" w:eastAsia="黑体"/>
          <w:color w:val="auto"/>
          <w:sz w:val="44"/>
          <w:szCs w:val="44"/>
          <w:highlight w:val="none"/>
        </w:rPr>
      </w:pPr>
    </w:p>
    <w:p>
      <w:pPr>
        <w:widowControl/>
        <w:jc w:val="left"/>
        <w:rPr>
          <w:rStyle w:val="26"/>
          <w:rFonts w:ascii="黑体" w:hAnsi="黑体" w:eastAsia="黑体"/>
          <w:b w:val="0"/>
          <w:color w:val="auto"/>
          <w:highlight w:val="none"/>
        </w:rPr>
      </w:pPr>
    </w:p>
    <w:p>
      <w:pPr>
        <w:widowControl/>
        <w:jc w:val="center"/>
        <w:rPr>
          <w:rStyle w:val="26"/>
          <w:rFonts w:ascii="黑体" w:hAnsi="黑体" w:eastAsia="黑体"/>
          <w:b w:val="0"/>
          <w:color w:val="auto"/>
          <w:highlight w:val="none"/>
        </w:rPr>
      </w:pPr>
      <w:bookmarkStart w:id="90" w:name="_Toc57146386"/>
      <w:bookmarkStart w:id="91" w:name="_Toc15396618"/>
      <w:r>
        <w:rPr>
          <w:rFonts w:hint="eastAsia" w:ascii="黑体" w:hAnsi="黑体" w:eastAsia="黑体"/>
          <w:color w:val="auto"/>
          <w:sz w:val="44"/>
          <w:szCs w:val="44"/>
          <w:highlight w:val="none"/>
        </w:rPr>
        <w:t>第</w:t>
      </w:r>
      <w:r>
        <w:rPr>
          <w:rStyle w:val="26"/>
          <w:rFonts w:hint="eastAsia" w:ascii="黑体" w:hAnsi="黑体" w:eastAsia="黑体"/>
          <w:b w:val="0"/>
          <w:color w:val="auto"/>
          <w:highlight w:val="none"/>
        </w:rPr>
        <w:t>五部分 附表</w:t>
      </w:r>
      <w:bookmarkEnd w:id="86"/>
      <w:bookmarkEnd w:id="90"/>
      <w:bookmarkEnd w:id="91"/>
    </w:p>
    <w:p>
      <w:pPr>
        <w:spacing w:line="600" w:lineRule="exact"/>
        <w:jc w:val="center"/>
        <w:outlineLvl w:val="0"/>
        <w:rPr>
          <w:rFonts w:ascii="仿宋" w:hAnsi="仿宋" w:eastAsia="仿宋"/>
          <w:b/>
          <w:color w:val="auto"/>
          <w:sz w:val="44"/>
          <w:szCs w:val="44"/>
          <w:highlight w:val="none"/>
        </w:rPr>
      </w:pPr>
    </w:p>
    <w:p>
      <w:pPr>
        <w:pStyle w:val="4"/>
        <w:rPr>
          <w:rFonts w:ascii="仿宋" w:hAnsi="仿宋" w:eastAsia="仿宋"/>
          <w:color w:val="auto"/>
          <w:highlight w:val="none"/>
        </w:rPr>
      </w:pPr>
      <w:bookmarkStart w:id="92" w:name="_Toc15396619"/>
      <w:bookmarkStart w:id="93" w:name="_Toc57146387"/>
      <w:r>
        <w:rPr>
          <w:rFonts w:hint="eastAsia" w:ascii="仿宋" w:hAnsi="仿宋" w:eastAsia="仿宋"/>
          <w:b w:val="0"/>
          <w:color w:val="auto"/>
          <w:highlight w:val="none"/>
        </w:rPr>
        <w:t>一、收</w:t>
      </w:r>
      <w:r>
        <w:rPr>
          <w:rStyle w:val="27"/>
          <w:rFonts w:hint="eastAsia" w:ascii="仿宋" w:hAnsi="仿宋" w:eastAsia="仿宋"/>
          <w:b w:val="0"/>
          <w:bCs w:val="0"/>
          <w:color w:val="auto"/>
          <w:highlight w:val="none"/>
        </w:rPr>
        <w:t>入支出决算总表</w:t>
      </w:r>
      <w:bookmarkEnd w:id="92"/>
      <w:bookmarkEnd w:id="93"/>
    </w:p>
    <w:p>
      <w:pPr>
        <w:pStyle w:val="4"/>
        <w:rPr>
          <w:rFonts w:ascii="仿宋" w:hAnsi="仿宋" w:eastAsia="仿宋"/>
          <w:color w:val="auto"/>
          <w:highlight w:val="none"/>
        </w:rPr>
      </w:pPr>
      <w:bookmarkStart w:id="94" w:name="_Toc57146388"/>
      <w:bookmarkStart w:id="95" w:name="_Toc15396620"/>
      <w:r>
        <w:rPr>
          <w:rFonts w:hint="eastAsia" w:ascii="仿宋" w:hAnsi="仿宋" w:eastAsia="仿宋"/>
          <w:b w:val="0"/>
          <w:color w:val="auto"/>
          <w:highlight w:val="none"/>
        </w:rPr>
        <w:t>二、收</w:t>
      </w:r>
      <w:r>
        <w:rPr>
          <w:rStyle w:val="27"/>
          <w:rFonts w:hint="eastAsia" w:ascii="仿宋" w:hAnsi="仿宋" w:eastAsia="仿宋"/>
          <w:b w:val="0"/>
          <w:bCs w:val="0"/>
          <w:color w:val="auto"/>
          <w:highlight w:val="none"/>
        </w:rPr>
        <w:t>入决算表</w:t>
      </w:r>
      <w:bookmarkEnd w:id="94"/>
      <w:bookmarkEnd w:id="95"/>
    </w:p>
    <w:p>
      <w:pPr>
        <w:pStyle w:val="4"/>
        <w:rPr>
          <w:rFonts w:ascii="仿宋" w:hAnsi="仿宋" w:eastAsia="仿宋"/>
          <w:color w:val="auto"/>
          <w:highlight w:val="none"/>
        </w:rPr>
      </w:pPr>
      <w:bookmarkStart w:id="96" w:name="_Toc15396621"/>
      <w:bookmarkStart w:id="97" w:name="_Toc57146389"/>
      <w:r>
        <w:rPr>
          <w:rStyle w:val="27"/>
          <w:rFonts w:hint="eastAsia" w:ascii="仿宋" w:hAnsi="仿宋" w:eastAsia="仿宋"/>
          <w:b w:val="0"/>
          <w:bCs w:val="0"/>
          <w:color w:val="auto"/>
          <w:highlight w:val="none"/>
        </w:rPr>
        <w:t>三、</w:t>
      </w:r>
      <w:r>
        <w:rPr>
          <w:rFonts w:hint="eastAsia" w:ascii="仿宋" w:hAnsi="仿宋" w:eastAsia="仿宋"/>
          <w:b w:val="0"/>
          <w:color w:val="auto"/>
          <w:highlight w:val="none"/>
        </w:rPr>
        <w:t>支</w:t>
      </w:r>
      <w:r>
        <w:rPr>
          <w:rStyle w:val="27"/>
          <w:rFonts w:hint="eastAsia" w:ascii="仿宋" w:hAnsi="仿宋" w:eastAsia="仿宋"/>
          <w:b w:val="0"/>
          <w:bCs w:val="0"/>
          <w:color w:val="auto"/>
          <w:highlight w:val="none"/>
        </w:rPr>
        <w:t>出决算表</w:t>
      </w:r>
      <w:bookmarkEnd w:id="96"/>
      <w:bookmarkEnd w:id="97"/>
    </w:p>
    <w:p>
      <w:pPr>
        <w:pStyle w:val="4"/>
        <w:rPr>
          <w:rFonts w:ascii="仿宋" w:hAnsi="仿宋" w:eastAsia="仿宋"/>
          <w:b w:val="0"/>
          <w:color w:val="auto"/>
          <w:highlight w:val="none"/>
        </w:rPr>
      </w:pPr>
      <w:bookmarkStart w:id="98" w:name="_Toc15396622"/>
      <w:bookmarkStart w:id="99" w:name="_Toc57146390"/>
      <w:r>
        <w:rPr>
          <w:rStyle w:val="27"/>
          <w:rFonts w:hint="eastAsia" w:ascii="仿宋" w:hAnsi="仿宋" w:eastAsia="仿宋"/>
          <w:b w:val="0"/>
          <w:bCs w:val="0"/>
          <w:color w:val="auto"/>
          <w:highlight w:val="none"/>
        </w:rPr>
        <w:t>四、</w:t>
      </w:r>
      <w:r>
        <w:rPr>
          <w:rFonts w:hint="eastAsia" w:ascii="仿宋" w:hAnsi="仿宋" w:eastAsia="仿宋"/>
          <w:b w:val="0"/>
          <w:color w:val="auto"/>
          <w:highlight w:val="none"/>
        </w:rPr>
        <w:t>财</w:t>
      </w:r>
      <w:r>
        <w:rPr>
          <w:rStyle w:val="27"/>
          <w:rFonts w:hint="eastAsia" w:ascii="仿宋" w:hAnsi="仿宋" w:eastAsia="仿宋"/>
          <w:b w:val="0"/>
          <w:bCs w:val="0"/>
          <w:color w:val="auto"/>
          <w:highlight w:val="none"/>
        </w:rPr>
        <w:t>政拨款收入支出决算总表</w:t>
      </w:r>
      <w:bookmarkEnd w:id="98"/>
      <w:bookmarkEnd w:id="99"/>
    </w:p>
    <w:p>
      <w:pPr>
        <w:pStyle w:val="4"/>
        <w:rPr>
          <w:rStyle w:val="27"/>
          <w:rFonts w:ascii="仿宋" w:hAnsi="仿宋" w:eastAsia="仿宋"/>
          <w:b w:val="0"/>
          <w:bCs w:val="0"/>
          <w:color w:val="auto"/>
          <w:highlight w:val="none"/>
        </w:rPr>
      </w:pPr>
      <w:bookmarkStart w:id="100" w:name="_Toc57146391"/>
      <w:bookmarkStart w:id="101" w:name="_Toc15396623"/>
      <w:r>
        <w:rPr>
          <w:rStyle w:val="27"/>
          <w:rFonts w:hint="eastAsia" w:ascii="仿宋" w:hAnsi="仿宋" w:eastAsia="仿宋"/>
          <w:b w:val="0"/>
          <w:bCs w:val="0"/>
          <w:color w:val="auto"/>
          <w:highlight w:val="none"/>
        </w:rPr>
        <w:t>五、</w:t>
      </w:r>
      <w:r>
        <w:rPr>
          <w:rFonts w:hint="eastAsia" w:ascii="仿宋" w:hAnsi="仿宋" w:eastAsia="仿宋"/>
          <w:b w:val="0"/>
          <w:color w:val="auto"/>
          <w:highlight w:val="none"/>
        </w:rPr>
        <w:t>财</w:t>
      </w:r>
      <w:r>
        <w:rPr>
          <w:rStyle w:val="27"/>
          <w:rFonts w:hint="eastAsia" w:ascii="仿宋" w:hAnsi="仿宋" w:eastAsia="仿宋"/>
          <w:b w:val="0"/>
          <w:bCs w:val="0"/>
          <w:color w:val="auto"/>
          <w:highlight w:val="none"/>
        </w:rPr>
        <w:t>政拨款支出决算明细表</w:t>
      </w:r>
      <w:bookmarkEnd w:id="100"/>
      <w:bookmarkEnd w:id="101"/>
      <w:bookmarkStart w:id="102" w:name="_Toc15396624"/>
    </w:p>
    <w:p>
      <w:pPr>
        <w:pStyle w:val="4"/>
        <w:rPr>
          <w:rFonts w:ascii="仿宋" w:hAnsi="仿宋" w:eastAsia="仿宋"/>
          <w:color w:val="auto"/>
          <w:highlight w:val="none"/>
        </w:rPr>
      </w:pPr>
      <w:bookmarkStart w:id="103" w:name="_Toc57146392"/>
      <w:r>
        <w:rPr>
          <w:rStyle w:val="27"/>
          <w:rFonts w:hint="eastAsia" w:ascii="仿宋" w:hAnsi="仿宋" w:eastAsia="仿宋"/>
          <w:b w:val="0"/>
          <w:bCs w:val="0"/>
          <w:color w:val="auto"/>
          <w:highlight w:val="none"/>
        </w:rPr>
        <w:t>六、</w:t>
      </w:r>
      <w:r>
        <w:rPr>
          <w:rFonts w:hint="eastAsia" w:ascii="仿宋" w:hAnsi="仿宋" w:eastAsia="仿宋"/>
          <w:b w:val="0"/>
          <w:color w:val="auto"/>
          <w:highlight w:val="none"/>
        </w:rPr>
        <w:t>一</w:t>
      </w:r>
      <w:r>
        <w:rPr>
          <w:rStyle w:val="27"/>
          <w:rFonts w:hint="eastAsia" w:ascii="仿宋" w:hAnsi="仿宋" w:eastAsia="仿宋"/>
          <w:b w:val="0"/>
          <w:bCs w:val="0"/>
          <w:color w:val="auto"/>
          <w:highlight w:val="none"/>
        </w:rPr>
        <w:t>般公共预算财政拨款支出决算表</w:t>
      </w:r>
      <w:bookmarkEnd w:id="102"/>
      <w:bookmarkEnd w:id="103"/>
    </w:p>
    <w:p>
      <w:pPr>
        <w:pStyle w:val="4"/>
        <w:rPr>
          <w:rFonts w:ascii="仿宋" w:hAnsi="仿宋" w:eastAsia="仿宋"/>
          <w:color w:val="auto"/>
          <w:highlight w:val="none"/>
        </w:rPr>
      </w:pPr>
      <w:bookmarkStart w:id="104" w:name="_Toc57146393"/>
      <w:bookmarkStart w:id="105" w:name="_Toc15396625"/>
      <w:r>
        <w:rPr>
          <w:rStyle w:val="27"/>
          <w:rFonts w:hint="eastAsia" w:ascii="仿宋" w:hAnsi="仿宋" w:eastAsia="仿宋"/>
          <w:b w:val="0"/>
          <w:bCs w:val="0"/>
          <w:color w:val="auto"/>
          <w:highlight w:val="none"/>
        </w:rPr>
        <w:t>七、</w:t>
      </w:r>
      <w:r>
        <w:rPr>
          <w:rFonts w:hint="eastAsia" w:ascii="仿宋" w:hAnsi="仿宋" w:eastAsia="仿宋"/>
          <w:b w:val="0"/>
          <w:color w:val="auto"/>
          <w:highlight w:val="none"/>
        </w:rPr>
        <w:t>一</w:t>
      </w:r>
      <w:r>
        <w:rPr>
          <w:rStyle w:val="27"/>
          <w:rFonts w:hint="eastAsia" w:ascii="仿宋" w:hAnsi="仿宋" w:eastAsia="仿宋"/>
          <w:b w:val="0"/>
          <w:bCs w:val="0"/>
          <w:color w:val="auto"/>
          <w:highlight w:val="none"/>
        </w:rPr>
        <w:t>般公共预算财政拨款支出决算明细表</w:t>
      </w:r>
      <w:bookmarkEnd w:id="104"/>
      <w:bookmarkEnd w:id="105"/>
    </w:p>
    <w:p>
      <w:pPr>
        <w:pStyle w:val="4"/>
        <w:rPr>
          <w:rFonts w:ascii="仿宋" w:hAnsi="仿宋" w:eastAsia="仿宋"/>
          <w:color w:val="auto"/>
          <w:highlight w:val="none"/>
        </w:rPr>
      </w:pPr>
      <w:bookmarkStart w:id="106" w:name="_Toc57146394"/>
      <w:bookmarkStart w:id="107" w:name="_Toc15396626"/>
      <w:r>
        <w:rPr>
          <w:rStyle w:val="27"/>
          <w:rFonts w:hint="eastAsia" w:ascii="仿宋" w:hAnsi="仿宋" w:eastAsia="仿宋"/>
          <w:b w:val="0"/>
          <w:bCs w:val="0"/>
          <w:color w:val="auto"/>
          <w:highlight w:val="none"/>
        </w:rPr>
        <w:t>八、</w:t>
      </w:r>
      <w:r>
        <w:rPr>
          <w:rFonts w:hint="eastAsia" w:ascii="仿宋" w:hAnsi="仿宋" w:eastAsia="仿宋"/>
          <w:b w:val="0"/>
          <w:color w:val="auto"/>
          <w:highlight w:val="none"/>
        </w:rPr>
        <w:t>一</w:t>
      </w:r>
      <w:r>
        <w:rPr>
          <w:rStyle w:val="27"/>
          <w:rFonts w:hint="eastAsia" w:ascii="仿宋" w:hAnsi="仿宋" w:eastAsia="仿宋"/>
          <w:b w:val="0"/>
          <w:bCs w:val="0"/>
          <w:color w:val="auto"/>
          <w:highlight w:val="none"/>
        </w:rPr>
        <w:t>般公共预算财政拨款基本支出决算表</w:t>
      </w:r>
      <w:bookmarkEnd w:id="106"/>
      <w:bookmarkEnd w:id="107"/>
    </w:p>
    <w:p>
      <w:pPr>
        <w:pStyle w:val="4"/>
        <w:rPr>
          <w:rFonts w:ascii="仿宋" w:hAnsi="仿宋" w:eastAsia="仿宋"/>
          <w:color w:val="auto"/>
          <w:highlight w:val="none"/>
        </w:rPr>
      </w:pPr>
      <w:bookmarkStart w:id="108" w:name="_Toc57146395"/>
      <w:bookmarkStart w:id="109" w:name="_Toc15396627"/>
      <w:r>
        <w:rPr>
          <w:rStyle w:val="27"/>
          <w:rFonts w:hint="eastAsia" w:ascii="仿宋" w:hAnsi="仿宋" w:eastAsia="仿宋"/>
          <w:b w:val="0"/>
          <w:bCs w:val="0"/>
          <w:color w:val="auto"/>
          <w:highlight w:val="none"/>
        </w:rPr>
        <w:t>九、</w:t>
      </w:r>
      <w:r>
        <w:rPr>
          <w:rFonts w:hint="eastAsia" w:ascii="仿宋" w:hAnsi="仿宋" w:eastAsia="仿宋"/>
          <w:b w:val="0"/>
          <w:color w:val="auto"/>
          <w:highlight w:val="none"/>
        </w:rPr>
        <w:t>一</w:t>
      </w:r>
      <w:r>
        <w:rPr>
          <w:rStyle w:val="27"/>
          <w:rFonts w:hint="eastAsia" w:ascii="仿宋" w:hAnsi="仿宋" w:eastAsia="仿宋"/>
          <w:b w:val="0"/>
          <w:bCs w:val="0"/>
          <w:color w:val="auto"/>
          <w:highlight w:val="none"/>
        </w:rPr>
        <w:t>般公共预算财政拨款项目支出决算表</w:t>
      </w:r>
      <w:bookmarkEnd w:id="108"/>
      <w:bookmarkEnd w:id="109"/>
    </w:p>
    <w:p>
      <w:pPr>
        <w:pStyle w:val="4"/>
        <w:rPr>
          <w:rFonts w:ascii="仿宋" w:hAnsi="仿宋" w:eastAsia="仿宋"/>
          <w:color w:val="auto"/>
          <w:highlight w:val="none"/>
        </w:rPr>
      </w:pPr>
      <w:bookmarkStart w:id="110" w:name="_Toc15396628"/>
      <w:bookmarkStart w:id="111" w:name="_Toc57146396"/>
      <w:r>
        <w:rPr>
          <w:rStyle w:val="27"/>
          <w:rFonts w:hint="eastAsia" w:ascii="仿宋" w:hAnsi="仿宋" w:eastAsia="仿宋"/>
          <w:b w:val="0"/>
          <w:bCs w:val="0"/>
          <w:color w:val="auto"/>
          <w:highlight w:val="none"/>
        </w:rPr>
        <w:t>十、</w:t>
      </w:r>
      <w:r>
        <w:rPr>
          <w:rFonts w:hint="eastAsia" w:ascii="仿宋" w:hAnsi="仿宋" w:eastAsia="仿宋"/>
          <w:b w:val="0"/>
          <w:color w:val="auto"/>
          <w:highlight w:val="none"/>
        </w:rPr>
        <w:t>一</w:t>
      </w:r>
      <w:r>
        <w:rPr>
          <w:rStyle w:val="27"/>
          <w:rFonts w:hint="eastAsia" w:ascii="仿宋" w:hAnsi="仿宋" w:eastAsia="仿宋"/>
          <w:b w:val="0"/>
          <w:bCs w:val="0"/>
          <w:color w:val="auto"/>
          <w:highlight w:val="none"/>
        </w:rPr>
        <w:t>般公共预算财政拨款“三公”经费支出决算表</w:t>
      </w:r>
      <w:bookmarkEnd w:id="110"/>
      <w:bookmarkEnd w:id="111"/>
    </w:p>
    <w:p>
      <w:pPr>
        <w:pStyle w:val="4"/>
        <w:rPr>
          <w:rFonts w:ascii="仿宋" w:hAnsi="仿宋" w:eastAsia="仿宋"/>
          <w:color w:val="auto"/>
          <w:highlight w:val="none"/>
        </w:rPr>
      </w:pPr>
      <w:bookmarkStart w:id="112" w:name="_Toc15396629"/>
      <w:bookmarkStart w:id="113" w:name="_Toc57146397"/>
      <w:r>
        <w:rPr>
          <w:rStyle w:val="27"/>
          <w:rFonts w:hint="eastAsia" w:ascii="仿宋" w:hAnsi="仿宋" w:eastAsia="仿宋"/>
          <w:b w:val="0"/>
          <w:bCs w:val="0"/>
          <w:color w:val="auto"/>
          <w:highlight w:val="none"/>
        </w:rPr>
        <w:t>十一、</w:t>
      </w:r>
      <w:r>
        <w:rPr>
          <w:rFonts w:hint="eastAsia" w:ascii="仿宋" w:hAnsi="仿宋" w:eastAsia="仿宋"/>
          <w:b w:val="0"/>
          <w:color w:val="auto"/>
          <w:highlight w:val="none"/>
        </w:rPr>
        <w:t>政</w:t>
      </w:r>
      <w:r>
        <w:rPr>
          <w:rStyle w:val="27"/>
          <w:rFonts w:hint="eastAsia" w:ascii="仿宋" w:hAnsi="仿宋" w:eastAsia="仿宋"/>
          <w:b w:val="0"/>
          <w:bCs w:val="0"/>
          <w:color w:val="auto"/>
          <w:highlight w:val="none"/>
        </w:rPr>
        <w:t>府性基金预算财政拨款收入支出决算表</w:t>
      </w:r>
      <w:bookmarkEnd w:id="112"/>
      <w:bookmarkEnd w:id="113"/>
    </w:p>
    <w:p>
      <w:pPr>
        <w:pStyle w:val="4"/>
        <w:rPr>
          <w:rFonts w:ascii="仿宋" w:hAnsi="仿宋" w:eastAsia="仿宋"/>
          <w:color w:val="auto"/>
          <w:highlight w:val="none"/>
        </w:rPr>
      </w:pPr>
      <w:bookmarkStart w:id="114" w:name="_Toc57146398"/>
      <w:bookmarkStart w:id="115" w:name="_Toc15396630"/>
      <w:r>
        <w:rPr>
          <w:rStyle w:val="27"/>
          <w:rFonts w:hint="eastAsia" w:ascii="仿宋" w:hAnsi="仿宋" w:eastAsia="仿宋"/>
          <w:b w:val="0"/>
          <w:bCs w:val="0"/>
          <w:color w:val="auto"/>
          <w:highlight w:val="none"/>
        </w:rPr>
        <w:t>十二、</w:t>
      </w:r>
      <w:r>
        <w:rPr>
          <w:rFonts w:hint="eastAsia" w:ascii="仿宋" w:hAnsi="仿宋" w:eastAsia="仿宋"/>
          <w:b w:val="0"/>
          <w:color w:val="auto"/>
          <w:highlight w:val="none"/>
        </w:rPr>
        <w:t>政</w:t>
      </w:r>
      <w:r>
        <w:rPr>
          <w:rStyle w:val="27"/>
          <w:rFonts w:hint="eastAsia" w:ascii="仿宋" w:hAnsi="仿宋" w:eastAsia="仿宋"/>
          <w:b w:val="0"/>
          <w:bCs w:val="0"/>
          <w:color w:val="auto"/>
          <w:highlight w:val="none"/>
        </w:rPr>
        <w:t>府性基金预算财政拨款“三公”经费支出决算表</w:t>
      </w:r>
      <w:bookmarkEnd w:id="114"/>
      <w:bookmarkEnd w:id="115"/>
    </w:p>
    <w:p>
      <w:pPr>
        <w:pStyle w:val="4"/>
        <w:rPr>
          <w:rFonts w:ascii="仿宋" w:hAnsi="仿宋" w:eastAsia="仿宋"/>
          <w:color w:val="auto"/>
          <w:highlight w:val="none"/>
        </w:rPr>
      </w:pPr>
      <w:bookmarkStart w:id="116" w:name="_Toc57146399"/>
      <w:bookmarkStart w:id="117" w:name="_Toc15396631"/>
      <w:r>
        <w:rPr>
          <w:rStyle w:val="27"/>
          <w:rFonts w:hint="eastAsia" w:ascii="仿宋" w:hAnsi="仿宋" w:eastAsia="仿宋"/>
          <w:b w:val="0"/>
          <w:bCs w:val="0"/>
          <w:color w:val="auto"/>
          <w:highlight w:val="none"/>
        </w:rPr>
        <w:t>十三、</w:t>
      </w:r>
      <w:r>
        <w:rPr>
          <w:rFonts w:hint="eastAsia" w:ascii="仿宋" w:hAnsi="仿宋" w:eastAsia="仿宋"/>
          <w:b w:val="0"/>
          <w:color w:val="auto"/>
          <w:highlight w:val="none"/>
        </w:rPr>
        <w:t>国</w:t>
      </w:r>
      <w:r>
        <w:rPr>
          <w:rStyle w:val="27"/>
          <w:rFonts w:hint="eastAsia" w:ascii="仿宋" w:hAnsi="仿宋" w:eastAsia="仿宋"/>
          <w:b w:val="0"/>
          <w:bCs w:val="0"/>
          <w:color w:val="auto"/>
          <w:highlight w:val="none"/>
        </w:rPr>
        <w:t>有资本经营预算支出决算表</w:t>
      </w:r>
      <w:bookmarkEnd w:id="116"/>
      <w:bookmarkEnd w:id="117"/>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Adobe 仿宋 Std R">
    <w:altName w:val="微软雅黑"/>
    <w:panose1 w:val="00000000000000000000"/>
    <w:charset w:val="00"/>
    <w:family w:val="auto"/>
    <w:pitch w:val="default"/>
    <w:sig w:usb0="00000000" w:usb1="00000000" w:usb2="00000016" w:usb3="00000000" w:csb0="00060007" w:csb1="00000000"/>
  </w:font>
  <w:font w:name="方正仿宋简体">
    <w:altName w:val="微软雅黑"/>
    <w:panose1 w:val="00000000000000000000"/>
    <w:charset w:val="00"/>
    <w:family w:val="auto"/>
    <w:pitch w:val="default"/>
    <w:sig w:usb0="00000000" w:usb1="00000000" w:usb2="00000000" w:usb3="00000000" w:csb0="00040000" w:csb1="00000000"/>
  </w:font>
  <w:font w:name="宋?">
    <w:altName w:val="Malgun Gothic"/>
    <w:panose1 w:val="00000000000000000000"/>
    <w:charset w:val="81"/>
    <w:family w:val="roman"/>
    <w:pitch w:val="default"/>
    <w:sig w:usb0="00000000" w:usb1="00000000" w:usb2="00000010" w:usb3="00000000" w:csb0="00080000" w:csb1="00000000"/>
  </w:font>
  <w:font w:name="瀹嬩綋">
    <w:altName w:val="Segoe Print"/>
    <w:panose1 w:val="00000000000000000000"/>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2"/>
          <w:jc w:val="center"/>
        </w:pPr>
        <w:r>
          <w:fldChar w:fldCharType="begin"/>
        </w:r>
        <w:r>
          <w:instrText xml:space="preserve">PAGE   \* MERGEFORMAT</w:instrText>
        </w:r>
        <w:r>
          <w:fldChar w:fldCharType="separate"/>
        </w:r>
        <w:r>
          <w:rPr>
            <w:lang w:val="zh-CN"/>
          </w:rPr>
          <w:t>3</w:t>
        </w:r>
        <w:r>
          <w:rPr>
            <w:lang w:val="zh-CN"/>
          </w:rPr>
          <w:fldChar w:fldCharType="end"/>
        </w:r>
      </w:p>
    </w:sdtContent>
  </w:sdt>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5360DF"/>
    <w:multiLevelType w:val="singleLevel"/>
    <w:tmpl w:val="A95360DF"/>
    <w:lvl w:ilvl="0" w:tentative="0">
      <w:start w:val="2"/>
      <w:numFmt w:val="chineseCounting"/>
      <w:suff w:val="nothing"/>
      <w:lvlText w:val="（%1）"/>
      <w:lvlJc w:val="left"/>
      <w:rPr>
        <w:rFonts w:hint="eastAsia"/>
      </w:rPr>
    </w:lvl>
  </w:abstractNum>
  <w:abstractNum w:abstractNumId="1">
    <w:nsid w:val="ACED3BBE"/>
    <w:multiLevelType w:val="singleLevel"/>
    <w:tmpl w:val="ACED3BBE"/>
    <w:lvl w:ilvl="0" w:tentative="0">
      <w:start w:val="3"/>
      <w:numFmt w:val="decimal"/>
      <w:lvlText w:val="%1."/>
      <w:lvlJc w:val="left"/>
      <w:pPr>
        <w:tabs>
          <w:tab w:val="left" w:pos="312"/>
        </w:tabs>
      </w:pPr>
    </w:lvl>
  </w:abstractNum>
  <w:abstractNum w:abstractNumId="2">
    <w:nsid w:val="CF652CEC"/>
    <w:multiLevelType w:val="singleLevel"/>
    <w:tmpl w:val="CF652CEC"/>
    <w:lvl w:ilvl="0" w:tentative="0">
      <w:start w:val="9"/>
      <w:numFmt w:val="chineseCounting"/>
      <w:suff w:val="nothing"/>
      <w:lvlText w:val="%1、"/>
      <w:lvlJc w:val="left"/>
      <w:rPr>
        <w:rFonts w:hint="eastAsia"/>
      </w:rPr>
    </w:lvl>
  </w:abstractNum>
  <w:abstractNum w:abstractNumId="3">
    <w:nsid w:val="E2FA047D"/>
    <w:multiLevelType w:val="singleLevel"/>
    <w:tmpl w:val="E2FA047D"/>
    <w:lvl w:ilvl="0" w:tentative="0">
      <w:start w:val="3"/>
      <w:numFmt w:val="chineseCounting"/>
      <w:suff w:val="space"/>
      <w:lvlText w:val="第%1部分"/>
      <w:lvlJc w:val="left"/>
      <w:rPr>
        <w:rFonts w:hint="eastAsia"/>
      </w:rPr>
    </w:lvl>
  </w:abstractNum>
  <w:abstractNum w:abstractNumId="4">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5">
    <w:nsid w:val="3FA80C38"/>
    <w:multiLevelType w:val="singleLevel"/>
    <w:tmpl w:val="3FA80C38"/>
    <w:lvl w:ilvl="0" w:tentative="0">
      <w:start w:val="2"/>
      <w:numFmt w:val="decimal"/>
      <w:suff w:val="nothing"/>
      <w:lvlText w:val="（%1）"/>
      <w:lvlJc w:val="left"/>
    </w:lvl>
  </w:abstractNum>
  <w:abstractNum w:abstractNumId="6">
    <w:nsid w:val="4D9AF260"/>
    <w:multiLevelType w:val="singleLevel"/>
    <w:tmpl w:val="4D9AF260"/>
    <w:lvl w:ilvl="0" w:tentative="0">
      <w:start w:val="1"/>
      <w:numFmt w:val="chineseCounting"/>
      <w:suff w:val="nothing"/>
      <w:lvlText w:val="（%1）"/>
      <w:lvlJc w:val="left"/>
      <w:rPr>
        <w:rFonts w:hint="eastAsia"/>
        <w:lang w:val="en-US"/>
      </w:rPr>
    </w:lvl>
  </w:abstractNum>
  <w:abstractNum w:abstractNumId="7">
    <w:nsid w:val="5D09A95E"/>
    <w:multiLevelType w:val="singleLevel"/>
    <w:tmpl w:val="5D09A95E"/>
    <w:lvl w:ilvl="0" w:tentative="0">
      <w:start w:val="4"/>
      <w:numFmt w:val="decimal"/>
      <w:suff w:val="nothing"/>
      <w:lvlText w:val="（%1）"/>
      <w:lvlJc w:val="left"/>
    </w:lvl>
  </w:abstractNum>
  <w:num w:numId="1">
    <w:abstractNumId w:val="4"/>
  </w:num>
  <w:num w:numId="2">
    <w:abstractNumId w:val="1"/>
  </w:num>
  <w:num w:numId="3">
    <w:abstractNumId w:val="2"/>
  </w:num>
  <w:num w:numId="4">
    <w:abstractNumId w:val="7"/>
  </w:num>
  <w:num w:numId="5">
    <w:abstractNumId w:val="3"/>
  </w:num>
  <w:num w:numId="6">
    <w:abstractNumId w:val="0"/>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YTFjNTNhMzUyMThkNDY5OGMyYWYyMDQxYzlhMTMifQ=="/>
  </w:docVars>
  <w:rsids>
    <w:rsidRoot w:val="00F1361C"/>
    <w:rsid w:val="00001013"/>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42F7"/>
    <w:rsid w:val="00157BAB"/>
    <w:rsid w:val="001654D1"/>
    <w:rsid w:val="00167791"/>
    <w:rsid w:val="00174518"/>
    <w:rsid w:val="0018106D"/>
    <w:rsid w:val="001877A7"/>
    <w:rsid w:val="00191536"/>
    <w:rsid w:val="00196687"/>
    <w:rsid w:val="001C0962"/>
    <w:rsid w:val="001D7531"/>
    <w:rsid w:val="001E737D"/>
    <w:rsid w:val="001F0592"/>
    <w:rsid w:val="001F7506"/>
    <w:rsid w:val="002006CD"/>
    <w:rsid w:val="00202B36"/>
    <w:rsid w:val="002047EF"/>
    <w:rsid w:val="00204B7A"/>
    <w:rsid w:val="00204CDE"/>
    <w:rsid w:val="0021101A"/>
    <w:rsid w:val="00220536"/>
    <w:rsid w:val="00235629"/>
    <w:rsid w:val="00260C38"/>
    <w:rsid w:val="002613B6"/>
    <w:rsid w:val="002616C0"/>
    <w:rsid w:val="00265372"/>
    <w:rsid w:val="002662AA"/>
    <w:rsid w:val="00280496"/>
    <w:rsid w:val="00294DC9"/>
    <w:rsid w:val="00295495"/>
    <w:rsid w:val="002A31DE"/>
    <w:rsid w:val="002B2613"/>
    <w:rsid w:val="002D19B0"/>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AD3"/>
    <w:rsid w:val="003C7B60"/>
    <w:rsid w:val="003D0C0F"/>
    <w:rsid w:val="003D1FB2"/>
    <w:rsid w:val="003D66DA"/>
    <w:rsid w:val="003E1310"/>
    <w:rsid w:val="003E6F55"/>
    <w:rsid w:val="003F6619"/>
    <w:rsid w:val="00406254"/>
    <w:rsid w:val="00416CD4"/>
    <w:rsid w:val="004223DE"/>
    <w:rsid w:val="00434489"/>
    <w:rsid w:val="00437085"/>
    <w:rsid w:val="00443880"/>
    <w:rsid w:val="004464F4"/>
    <w:rsid w:val="0045625A"/>
    <w:rsid w:val="00471401"/>
    <w:rsid w:val="00473F31"/>
    <w:rsid w:val="0048263A"/>
    <w:rsid w:val="00487E5D"/>
    <w:rsid w:val="004A711F"/>
    <w:rsid w:val="004B199D"/>
    <w:rsid w:val="004B4690"/>
    <w:rsid w:val="004E0A2D"/>
    <w:rsid w:val="004E206B"/>
    <w:rsid w:val="004E6DF7"/>
    <w:rsid w:val="004F0FBD"/>
    <w:rsid w:val="004F403E"/>
    <w:rsid w:val="00505A47"/>
    <w:rsid w:val="00512FDA"/>
    <w:rsid w:val="00520DA0"/>
    <w:rsid w:val="005664BB"/>
    <w:rsid w:val="00566FFA"/>
    <w:rsid w:val="0057481D"/>
    <w:rsid w:val="00575F0B"/>
    <w:rsid w:val="0058486E"/>
    <w:rsid w:val="00585B33"/>
    <w:rsid w:val="0059014D"/>
    <w:rsid w:val="005B5C64"/>
    <w:rsid w:val="005C6BD0"/>
    <w:rsid w:val="005C6C4C"/>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A6EB2"/>
    <w:rsid w:val="006B2422"/>
    <w:rsid w:val="006B2B9A"/>
    <w:rsid w:val="006C1937"/>
    <w:rsid w:val="006F020C"/>
    <w:rsid w:val="007127B7"/>
    <w:rsid w:val="00716762"/>
    <w:rsid w:val="0071798E"/>
    <w:rsid w:val="00727533"/>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F1991"/>
    <w:rsid w:val="007F2C2F"/>
    <w:rsid w:val="007F55FC"/>
    <w:rsid w:val="007F5665"/>
    <w:rsid w:val="007F5EB4"/>
    <w:rsid w:val="00800112"/>
    <w:rsid w:val="00813348"/>
    <w:rsid w:val="008253BB"/>
    <w:rsid w:val="00833962"/>
    <w:rsid w:val="0083706E"/>
    <w:rsid w:val="008408F6"/>
    <w:rsid w:val="008418AF"/>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B94"/>
    <w:rsid w:val="009B2C43"/>
    <w:rsid w:val="009B4EAE"/>
    <w:rsid w:val="009B7573"/>
    <w:rsid w:val="009C22F4"/>
    <w:rsid w:val="009C2E98"/>
    <w:rsid w:val="009C37FB"/>
    <w:rsid w:val="009D3447"/>
    <w:rsid w:val="009D4711"/>
    <w:rsid w:val="009F1185"/>
    <w:rsid w:val="009F18CD"/>
    <w:rsid w:val="009F2A13"/>
    <w:rsid w:val="009F7527"/>
    <w:rsid w:val="00A039ED"/>
    <w:rsid w:val="00A04EB0"/>
    <w:rsid w:val="00A13CC1"/>
    <w:rsid w:val="00A16847"/>
    <w:rsid w:val="00A237D8"/>
    <w:rsid w:val="00A268C4"/>
    <w:rsid w:val="00A307CD"/>
    <w:rsid w:val="00A331C8"/>
    <w:rsid w:val="00A35117"/>
    <w:rsid w:val="00A40A00"/>
    <w:rsid w:val="00A4142F"/>
    <w:rsid w:val="00A422EB"/>
    <w:rsid w:val="00A45BB7"/>
    <w:rsid w:val="00A56A13"/>
    <w:rsid w:val="00A56DF2"/>
    <w:rsid w:val="00A56E6E"/>
    <w:rsid w:val="00A67AB5"/>
    <w:rsid w:val="00A733B2"/>
    <w:rsid w:val="00A741C2"/>
    <w:rsid w:val="00A91760"/>
    <w:rsid w:val="00A93B00"/>
    <w:rsid w:val="00A93C21"/>
    <w:rsid w:val="00AB64C9"/>
    <w:rsid w:val="00AC3C6A"/>
    <w:rsid w:val="00AD0F83"/>
    <w:rsid w:val="00AD5620"/>
    <w:rsid w:val="00AD656B"/>
    <w:rsid w:val="00AD7C1B"/>
    <w:rsid w:val="00AE16BA"/>
    <w:rsid w:val="00AE1EBE"/>
    <w:rsid w:val="00AE372F"/>
    <w:rsid w:val="00AF37A0"/>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0FD2"/>
    <w:rsid w:val="00BC289F"/>
    <w:rsid w:val="00BC2D50"/>
    <w:rsid w:val="00BC5361"/>
    <w:rsid w:val="00BC5460"/>
    <w:rsid w:val="00BC6B50"/>
    <w:rsid w:val="00BD0E25"/>
    <w:rsid w:val="00BD689C"/>
    <w:rsid w:val="00BF5BD6"/>
    <w:rsid w:val="00C03E31"/>
    <w:rsid w:val="00C30E69"/>
    <w:rsid w:val="00C33E72"/>
    <w:rsid w:val="00C354B2"/>
    <w:rsid w:val="00C35554"/>
    <w:rsid w:val="00C42709"/>
    <w:rsid w:val="00C431CD"/>
    <w:rsid w:val="00C533CC"/>
    <w:rsid w:val="00C5751C"/>
    <w:rsid w:val="00C61BFC"/>
    <w:rsid w:val="00C62B85"/>
    <w:rsid w:val="00C65438"/>
    <w:rsid w:val="00C87BFF"/>
    <w:rsid w:val="00C91CBB"/>
    <w:rsid w:val="00CB4E70"/>
    <w:rsid w:val="00CC09B6"/>
    <w:rsid w:val="00CC666F"/>
    <w:rsid w:val="00CD1E3F"/>
    <w:rsid w:val="00CE44F6"/>
    <w:rsid w:val="00CE49DA"/>
    <w:rsid w:val="00CE7B61"/>
    <w:rsid w:val="00CF45DC"/>
    <w:rsid w:val="00D00095"/>
    <w:rsid w:val="00D114F0"/>
    <w:rsid w:val="00D179F5"/>
    <w:rsid w:val="00D20620"/>
    <w:rsid w:val="00D2207C"/>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DF7548"/>
    <w:rsid w:val="00E01053"/>
    <w:rsid w:val="00E07ACF"/>
    <w:rsid w:val="00E331A1"/>
    <w:rsid w:val="00E33202"/>
    <w:rsid w:val="00E336A9"/>
    <w:rsid w:val="00E472B1"/>
    <w:rsid w:val="00E50624"/>
    <w:rsid w:val="00E568DF"/>
    <w:rsid w:val="00E64269"/>
    <w:rsid w:val="00E66797"/>
    <w:rsid w:val="00E82267"/>
    <w:rsid w:val="00E853CE"/>
    <w:rsid w:val="00E867B6"/>
    <w:rsid w:val="00E87F08"/>
    <w:rsid w:val="00EA010F"/>
    <w:rsid w:val="00EB3FD3"/>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066A48"/>
    <w:rsid w:val="03E64B52"/>
    <w:rsid w:val="044227EB"/>
    <w:rsid w:val="074A1EB0"/>
    <w:rsid w:val="08FC2F68"/>
    <w:rsid w:val="0B3619BB"/>
    <w:rsid w:val="0B414480"/>
    <w:rsid w:val="0C272694"/>
    <w:rsid w:val="0C3721AC"/>
    <w:rsid w:val="0FBA7AC9"/>
    <w:rsid w:val="0FCA4813"/>
    <w:rsid w:val="103877CF"/>
    <w:rsid w:val="10C055FF"/>
    <w:rsid w:val="10E541AD"/>
    <w:rsid w:val="12D5789E"/>
    <w:rsid w:val="13C52A22"/>
    <w:rsid w:val="1427495D"/>
    <w:rsid w:val="16BB723D"/>
    <w:rsid w:val="17DD7CF2"/>
    <w:rsid w:val="18F71640"/>
    <w:rsid w:val="1D106873"/>
    <w:rsid w:val="1DB45D52"/>
    <w:rsid w:val="22EC38C3"/>
    <w:rsid w:val="240371BF"/>
    <w:rsid w:val="28102959"/>
    <w:rsid w:val="28662E9A"/>
    <w:rsid w:val="29FD04D3"/>
    <w:rsid w:val="2BB20A2E"/>
    <w:rsid w:val="2C2B71BE"/>
    <w:rsid w:val="30DD5E51"/>
    <w:rsid w:val="319F7F4E"/>
    <w:rsid w:val="31C003CA"/>
    <w:rsid w:val="349D2E02"/>
    <w:rsid w:val="34DF6612"/>
    <w:rsid w:val="36406FBD"/>
    <w:rsid w:val="376E26BB"/>
    <w:rsid w:val="37A94362"/>
    <w:rsid w:val="38B279B7"/>
    <w:rsid w:val="3C9E39FD"/>
    <w:rsid w:val="3CA919A4"/>
    <w:rsid w:val="3DC12AD8"/>
    <w:rsid w:val="3E763BAA"/>
    <w:rsid w:val="3EEF0DA1"/>
    <w:rsid w:val="40C357E1"/>
    <w:rsid w:val="42C9624E"/>
    <w:rsid w:val="461523DE"/>
    <w:rsid w:val="46902940"/>
    <w:rsid w:val="470C0864"/>
    <w:rsid w:val="49945598"/>
    <w:rsid w:val="49BC3EBF"/>
    <w:rsid w:val="4AC760B6"/>
    <w:rsid w:val="4B1931D8"/>
    <w:rsid w:val="4CC21A70"/>
    <w:rsid w:val="4ECE2238"/>
    <w:rsid w:val="4F0F09C3"/>
    <w:rsid w:val="4F196EBC"/>
    <w:rsid w:val="51F872B4"/>
    <w:rsid w:val="545F7F56"/>
    <w:rsid w:val="552A59D6"/>
    <w:rsid w:val="55547B9B"/>
    <w:rsid w:val="57A70DE1"/>
    <w:rsid w:val="5ACD0594"/>
    <w:rsid w:val="5AD3197D"/>
    <w:rsid w:val="5B6375A5"/>
    <w:rsid w:val="5B8676B6"/>
    <w:rsid w:val="5E394EDC"/>
    <w:rsid w:val="5EE50BC0"/>
    <w:rsid w:val="5EF95654"/>
    <w:rsid w:val="5FB204DF"/>
    <w:rsid w:val="60784902"/>
    <w:rsid w:val="608068E9"/>
    <w:rsid w:val="614970F3"/>
    <w:rsid w:val="61B72D1C"/>
    <w:rsid w:val="624C6396"/>
    <w:rsid w:val="637220CE"/>
    <w:rsid w:val="64071FC7"/>
    <w:rsid w:val="67D36880"/>
    <w:rsid w:val="69A42A3E"/>
    <w:rsid w:val="6BB80D1A"/>
    <w:rsid w:val="6C8E6D3B"/>
    <w:rsid w:val="6EBE2201"/>
    <w:rsid w:val="6FD84D05"/>
    <w:rsid w:val="70622071"/>
    <w:rsid w:val="7097254F"/>
    <w:rsid w:val="72734D90"/>
    <w:rsid w:val="73961B89"/>
    <w:rsid w:val="75477DD4"/>
    <w:rsid w:val="756065D6"/>
    <w:rsid w:val="75880AD1"/>
    <w:rsid w:val="7A8A3AF1"/>
    <w:rsid w:val="7DA0242A"/>
    <w:rsid w:val="7DD70D0B"/>
    <w:rsid w:val="7DED69C9"/>
    <w:rsid w:val="7DFA0E35"/>
    <w:rsid w:val="7E3007A2"/>
    <w:rsid w:val="7E403AE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0"/>
    <w:unhideWhenUsed/>
    <w:qFormat/>
    <w:uiPriority w:val="9"/>
    <w:pPr>
      <w:keepNext/>
      <w:keepLines/>
      <w:spacing w:before="260" w:after="260" w:line="416" w:lineRule="auto"/>
      <w:outlineLvl w:val="2"/>
    </w:pPr>
    <w:rPr>
      <w:b/>
      <w:bCs/>
      <w:sz w:val="32"/>
      <w:szCs w:val="32"/>
    </w:rPr>
  </w:style>
  <w:style w:type="character" w:default="1" w:styleId="15">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1"/>
    <w:qFormat/>
    <w:uiPriority w:val="99"/>
    <w:pPr>
      <w:tabs>
        <w:tab w:val="center" w:pos="4153"/>
        <w:tab w:val="right" w:pos="8306"/>
      </w:tabs>
      <w:snapToGrid w:val="0"/>
      <w:jc w:val="left"/>
    </w:pPr>
    <w:rPr>
      <w:rFonts w:ascii="Calibri" w:hAnsi="Calibri"/>
      <w:kern w:val="0"/>
      <w:sz w:val="18"/>
      <w:szCs w:val="18"/>
    </w:rPr>
  </w:style>
  <w:style w:type="paragraph" w:styleId="6">
    <w:name w:val="toa heading"/>
    <w:basedOn w:val="1"/>
    <w:next w:val="1"/>
    <w:unhideWhenUsed/>
    <w:qFormat/>
    <w:uiPriority w:val="0"/>
    <w:pPr>
      <w:spacing w:before="120"/>
    </w:pPr>
    <w:rPr>
      <w:rFonts w:ascii="Arial" w:hAnsi="Arial" w:cs="Arial"/>
      <w:sz w:val="24"/>
      <w:szCs w:val="24"/>
    </w:rPr>
  </w:style>
  <w:style w:type="paragraph" w:styleId="7">
    <w:name w:val="Body Text"/>
    <w:basedOn w:val="1"/>
    <w:link w:val="23"/>
    <w:qFormat/>
    <w:uiPriority w:val="99"/>
    <w:pPr>
      <w:spacing w:beforeLines="30"/>
    </w:pPr>
    <w:rPr>
      <w:rFonts w:ascii="仿宋_GB2312" w:eastAsia="仿宋_GB2312"/>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29"/>
    <w:unhideWhenUsed/>
    <w:qFormat/>
    <w:uiPriority w:val="99"/>
    <w:rPr>
      <w:sz w:val="18"/>
      <w:szCs w:val="18"/>
    </w:rPr>
  </w:style>
  <w:style w:type="paragraph" w:styleId="10">
    <w:name w:val="header"/>
    <w:basedOn w:val="1"/>
    <w:link w:val="19"/>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1">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2">
    <w:name w:val="toc 2"/>
    <w:basedOn w:val="1"/>
    <w:next w:val="1"/>
    <w:unhideWhenUsed/>
    <w:qFormat/>
    <w:uiPriority w:val="39"/>
    <w:pPr>
      <w:tabs>
        <w:tab w:val="right" w:leader="dot" w:pos="8296"/>
      </w:tabs>
      <w:ind w:left="420" w:leftChars="200"/>
    </w:pPr>
  </w:style>
  <w:style w:type="paragraph" w:styleId="13">
    <w:name w:val="Body Text First Indent"/>
    <w:basedOn w:val="7"/>
    <w:next w:val="1"/>
    <w:qFormat/>
    <w:uiPriority w:val="0"/>
    <w:pPr>
      <w:ind w:firstLine="640" w:firstLineChars="200"/>
    </w:pPr>
    <w:rPr>
      <w:rFonts w:ascii="Times New Roman" w:hAnsi="Times New Roman" w:eastAsia="仿宋_GB2312" w:cs="Times New Roman"/>
    </w:rPr>
  </w:style>
  <w:style w:type="character" w:styleId="16">
    <w:name w:val="Strong"/>
    <w:basedOn w:val="15"/>
    <w:qFormat/>
    <w:uiPriority w:val="99"/>
    <w:rPr>
      <w:b/>
    </w:rPr>
  </w:style>
  <w:style w:type="character" w:styleId="17">
    <w:name w:val="Hyperlink"/>
    <w:basedOn w:val="15"/>
    <w:unhideWhenUsed/>
    <w:qFormat/>
    <w:uiPriority w:val="99"/>
    <w:rPr>
      <w:color w:val="0000FF" w:themeColor="hyperlink"/>
      <w:u w:val="single"/>
    </w:rPr>
  </w:style>
  <w:style w:type="character" w:customStyle="1" w:styleId="18">
    <w:name w:val="Header Char"/>
    <w:basedOn w:val="15"/>
    <w:semiHidden/>
    <w:qFormat/>
    <w:uiPriority w:val="99"/>
    <w:rPr>
      <w:rFonts w:ascii="Times New Roman" w:hAnsi="Times New Roman"/>
      <w:sz w:val="18"/>
      <w:szCs w:val="18"/>
    </w:rPr>
  </w:style>
  <w:style w:type="character" w:customStyle="1" w:styleId="19">
    <w:name w:val="页眉 Char"/>
    <w:link w:val="10"/>
    <w:semiHidden/>
    <w:qFormat/>
    <w:locked/>
    <w:uiPriority w:val="99"/>
    <w:rPr>
      <w:sz w:val="18"/>
    </w:rPr>
  </w:style>
  <w:style w:type="character" w:customStyle="1" w:styleId="20">
    <w:name w:val="Footer Char"/>
    <w:basedOn w:val="15"/>
    <w:semiHidden/>
    <w:qFormat/>
    <w:uiPriority w:val="99"/>
    <w:rPr>
      <w:rFonts w:ascii="Times New Roman" w:hAnsi="Times New Roman"/>
      <w:sz w:val="18"/>
      <w:szCs w:val="18"/>
    </w:rPr>
  </w:style>
  <w:style w:type="character" w:customStyle="1" w:styleId="21">
    <w:name w:val="页脚 Char"/>
    <w:link w:val="2"/>
    <w:qFormat/>
    <w:locked/>
    <w:uiPriority w:val="99"/>
    <w:rPr>
      <w:sz w:val="18"/>
    </w:rPr>
  </w:style>
  <w:style w:type="character" w:customStyle="1" w:styleId="22">
    <w:name w:val="Body Text Char"/>
    <w:basedOn w:val="15"/>
    <w:semiHidden/>
    <w:qFormat/>
    <w:uiPriority w:val="99"/>
    <w:rPr>
      <w:rFonts w:ascii="Times New Roman" w:hAnsi="Times New Roman"/>
      <w:szCs w:val="24"/>
    </w:rPr>
  </w:style>
  <w:style w:type="character" w:customStyle="1" w:styleId="23">
    <w:name w:val="正文文本 Char"/>
    <w:link w:val="7"/>
    <w:qFormat/>
    <w:locked/>
    <w:uiPriority w:val="99"/>
    <w:rPr>
      <w:rFonts w:ascii="仿宋_GB2312" w:hAnsi="Times New Roman" w:eastAsia="仿宋_GB2312"/>
      <w:sz w:val="24"/>
    </w:rPr>
  </w:style>
  <w:style w:type="paragraph" w:customStyle="1" w:styleId="24">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5">
    <w:name w:val="List Paragraph"/>
    <w:basedOn w:val="1"/>
    <w:qFormat/>
    <w:uiPriority w:val="34"/>
    <w:pPr>
      <w:ind w:firstLine="420" w:firstLineChars="200"/>
    </w:pPr>
  </w:style>
  <w:style w:type="character" w:customStyle="1" w:styleId="26">
    <w:name w:val="标题 1 Char"/>
    <w:basedOn w:val="15"/>
    <w:link w:val="3"/>
    <w:qFormat/>
    <w:uiPriority w:val="9"/>
    <w:rPr>
      <w:rFonts w:ascii="Times New Roman" w:hAnsi="Times New Roman"/>
      <w:b/>
      <w:bCs/>
      <w:kern w:val="44"/>
      <w:sz w:val="44"/>
      <w:szCs w:val="44"/>
    </w:rPr>
  </w:style>
  <w:style w:type="character" w:customStyle="1" w:styleId="27">
    <w:name w:val="标题 2 Char"/>
    <w:basedOn w:val="15"/>
    <w:link w:val="4"/>
    <w:qFormat/>
    <w:uiPriority w:val="9"/>
    <w:rPr>
      <w:rFonts w:asciiTheme="majorHAnsi" w:hAnsiTheme="majorHAnsi" w:eastAsiaTheme="majorEastAsia" w:cstheme="majorBidi"/>
      <w:b/>
      <w:bCs/>
      <w:kern w:val="2"/>
      <w:sz w:val="32"/>
      <w:szCs w:val="32"/>
    </w:rPr>
  </w:style>
  <w:style w:type="paragraph" w:customStyle="1" w:styleId="28">
    <w:name w:val="TOC 标题1"/>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9">
    <w:name w:val="批注框文本 Char"/>
    <w:basedOn w:val="15"/>
    <w:link w:val="9"/>
    <w:semiHidden/>
    <w:qFormat/>
    <w:uiPriority w:val="99"/>
    <w:rPr>
      <w:rFonts w:ascii="Times New Roman" w:hAnsi="Times New Roman"/>
      <w:kern w:val="2"/>
      <w:sz w:val="18"/>
      <w:szCs w:val="18"/>
    </w:rPr>
  </w:style>
  <w:style w:type="character" w:customStyle="1" w:styleId="30">
    <w:name w:val="标题 3 Char"/>
    <w:basedOn w:val="15"/>
    <w:link w:val="5"/>
    <w:qFormat/>
    <w:uiPriority w:val="9"/>
    <w:rPr>
      <w:rFonts w:ascii="Times New Roman" w:hAnsi="Times New Roman"/>
      <w:b/>
      <w:bCs/>
      <w:kern w:val="2"/>
      <w:sz w:val="32"/>
      <w:szCs w:val="32"/>
    </w:rPr>
  </w:style>
  <w:style w:type="paragraph" w:customStyle="1" w:styleId="31">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2">
    <w:name w:val="TOC Heading"/>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33">
    <w:name w:val="15"/>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7.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6.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2020</a:t>
            </a:r>
            <a:r>
              <a:rPr altLang="en-US"/>
              <a:t>年、</a:t>
            </a:r>
            <a:r>
              <a:rPr lang="en-US" altLang="zh-CN"/>
              <a:t>2021</a:t>
            </a:r>
            <a:r>
              <a:rPr altLang="en-US"/>
              <a:t>年收支对比</a:t>
            </a:r>
            <a:endParaRPr altLang="en-US"/>
          </a:p>
        </c:rich>
      </c:tx>
      <c:layout/>
      <c:overlay val="0"/>
      <c:spPr>
        <a:noFill/>
        <a:ln>
          <a:noFill/>
        </a:ln>
        <a:effectLst/>
      </c:spPr>
    </c:title>
    <c:autoTitleDeleted val="0"/>
    <c:plotArea>
      <c:layout>
        <c:manualLayout>
          <c:layoutTarget val="inner"/>
          <c:xMode val="edge"/>
          <c:yMode val="edge"/>
          <c:x val="0.0758162850562255"/>
          <c:y val="0.187663756375637"/>
          <c:w val="0.927925"/>
          <c:h val="0.716566666666667"/>
        </c:manualLayout>
      </c:layout>
      <c:barChart>
        <c:barDir val="col"/>
        <c:grouping val="clustered"/>
        <c:varyColors val="0"/>
        <c:ser>
          <c:idx val="0"/>
          <c:order val="0"/>
          <c:tx>
            <c:strRef>
              <c:f>Sheet1!$B$1</c:f>
              <c:strCache>
                <c:ptCount val="1"/>
                <c:pt idx="0">
                  <c:v>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errBars>
            <c:errBarType val="both"/>
            <c:errValType val="stdErr"/>
            <c:noEndCap val="0"/>
            <c:spPr>
              <a:noFill/>
              <a:ln w="9525" cap="flat" cmpd="sng" algn="ctr">
                <a:solidFill>
                  <a:schemeClr val="tx1">
                    <a:lumMod val="65000"/>
                    <a:lumOff val="35000"/>
                  </a:schemeClr>
                </a:solidFill>
                <a:prstDash val="solid"/>
                <a:round/>
              </a:ln>
              <a:effectLst/>
            </c:spPr>
          </c:errBars>
          <c:cat>
            <c:strRef>
              <c:f>Sheet1!$A$2:$A$3</c:f>
              <c:strCache>
                <c:ptCount val="2"/>
                <c:pt idx="0">
                  <c:v>2020年</c:v>
                </c:pt>
                <c:pt idx="1">
                  <c:v>2021年</c:v>
                </c:pt>
              </c:strCache>
            </c:strRef>
          </c:cat>
          <c:val>
            <c:numRef>
              <c:f>Sheet1!$B$2:$B$3</c:f>
              <c:numCache>
                <c:formatCode>General</c:formatCode>
                <c:ptCount val="2"/>
                <c:pt idx="0">
                  <c:v>1873.56</c:v>
                </c:pt>
                <c:pt idx="1">
                  <c:v>1790.93</c:v>
                </c:pt>
              </c:numCache>
            </c:numRef>
          </c:val>
        </c:ser>
        <c:ser>
          <c:idx val="1"/>
          <c:order val="1"/>
          <c:tx>
            <c:strRef>
              <c:f>Sheet1!$C$1</c:f>
              <c:strCache>
                <c:ptCount val="1"/>
                <c:pt idx="0">
                  <c:v>收入</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errBars>
            <c:errBarType val="both"/>
            <c:errValType val="stdErr"/>
            <c:noEndCap val="0"/>
            <c:spPr>
              <a:noFill/>
              <a:ln w="9525" cap="flat" cmpd="sng" algn="ctr">
                <a:solidFill>
                  <a:schemeClr val="tx1">
                    <a:lumMod val="65000"/>
                    <a:lumOff val="35000"/>
                  </a:schemeClr>
                </a:solidFill>
                <a:prstDash val="solid"/>
                <a:round/>
              </a:ln>
              <a:effectLst/>
            </c:spPr>
          </c:errBars>
          <c:cat>
            <c:strRef>
              <c:f>Sheet1!$A$2:$A$3</c:f>
              <c:strCache>
                <c:ptCount val="2"/>
                <c:pt idx="0">
                  <c:v>2020年</c:v>
                </c:pt>
                <c:pt idx="1">
                  <c:v>2021年</c:v>
                </c:pt>
              </c:strCache>
            </c:strRef>
          </c:cat>
          <c:val>
            <c:numRef>
              <c:f>Sheet1!$C$2:$C$3</c:f>
              <c:numCache>
                <c:formatCode>General</c:formatCode>
                <c:ptCount val="2"/>
                <c:pt idx="0">
                  <c:v>1292.26</c:v>
                </c:pt>
                <c:pt idx="1">
                  <c:v>1790.93</c:v>
                </c:pt>
              </c:numCache>
            </c:numRef>
          </c:val>
        </c:ser>
        <c:ser>
          <c:idx val="2"/>
          <c:order val="2"/>
          <c:tx>
            <c:strRef>
              <c:f>Sheet1!#REF!</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errBars>
            <c:errBarType val="both"/>
            <c:errValType val="stdErr"/>
            <c:noEndCap val="0"/>
            <c:spPr>
              <a:noFill/>
              <a:ln w="9525" cap="flat" cmpd="sng" algn="ctr">
                <a:solidFill>
                  <a:schemeClr val="tx1">
                    <a:lumMod val="65000"/>
                    <a:lumOff val="35000"/>
                  </a:schemeClr>
                </a:solidFill>
                <a:prstDash val="solid"/>
                <a:round/>
              </a:ln>
              <a:effectLst/>
            </c:spPr>
          </c:errBars>
          <c:cat>
            <c:strRef>
              <c:f>Sheet1!$A$2:$A$3</c:f>
              <c:strCache>
                <c:ptCount val="2"/>
                <c:pt idx="0">
                  <c:v>2020年</c:v>
                </c:pt>
                <c:pt idx="1">
                  <c:v>2021年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133179264"/>
        <c:axId val="133205376"/>
      </c:barChart>
      <c:catAx>
        <c:axId val="133179264"/>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3205376"/>
        <c:crosses val="autoZero"/>
        <c:auto val="1"/>
        <c:lblAlgn val="ctr"/>
        <c:lblOffset val="100"/>
        <c:noMultiLvlLbl val="0"/>
      </c:catAx>
      <c:valAx>
        <c:axId val="133205376"/>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33179264"/>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altLang="en-US"/>
              <a:t>各类收入占比</a:t>
            </a:r>
            <a:endParaRPr altLang="en-US"/>
          </a:p>
        </c:rich>
      </c:tx>
      <c:layout/>
      <c:overlay val="0"/>
      <c:spPr>
        <a:noFill/>
        <a:ln>
          <a:noFill/>
        </a:ln>
        <a:effectLst/>
      </c:spPr>
    </c:title>
    <c:autoTitleDeleted val="0"/>
    <c:plotArea>
      <c:layout/>
      <c:pieChart>
        <c:varyColors val="1"/>
        <c:ser>
          <c:idx val="0"/>
          <c:order val="0"/>
          <c:tx>
            <c:strRef>
              <c:f>Sheet1!$B$1</c:f>
              <c:strCache>
                <c:ptCount val="1"/>
                <c:pt idx="0">
                  <c:v>列1</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Sheet1!$A$2:$A$3</c:f>
              <c:strCache>
                <c:ptCount val="2"/>
                <c:pt idx="0">
                  <c:v>一般公共预算财政拨款收入</c:v>
                </c:pt>
                <c:pt idx="1">
                  <c:v>其他收入</c:v>
                </c:pt>
              </c:strCache>
            </c:strRef>
          </c:cat>
          <c:val>
            <c:numRef>
              <c:f>Sheet1!$B$2:$B$3</c:f>
              <c:numCache>
                <c:formatCode>General</c:formatCode>
                <c:ptCount val="2"/>
                <c:pt idx="0">
                  <c:v>1790.93</c:v>
                </c:pt>
                <c:pt idx="1">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各类支出占比</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Sheet1!$A$2:$A$3</c:f>
              <c:strCache>
                <c:ptCount val="2"/>
                <c:pt idx="0">
                  <c:v>基本支出</c:v>
                </c:pt>
                <c:pt idx="1">
                  <c:v>项目支出</c:v>
                </c:pt>
              </c:strCache>
            </c:strRef>
          </c:cat>
          <c:val>
            <c:numRef>
              <c:f>Sheet1!$B$2:$B$3</c:f>
              <c:numCache>
                <c:formatCode>General</c:formatCode>
                <c:ptCount val="2"/>
                <c:pt idx="0">
                  <c:v>1056.68</c:v>
                </c:pt>
                <c:pt idx="1">
                  <c:v>734.25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财政拨款收、支对比</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errBars>
            <c:errBarType val="both"/>
            <c:errValType val="stdErr"/>
            <c:noEndCap val="0"/>
            <c:spPr>
              <a:noFill/>
              <a:ln w="9525" cap="flat" cmpd="sng" algn="ctr">
                <a:solidFill>
                  <a:schemeClr val="tx1">
                    <a:lumMod val="65000"/>
                    <a:lumOff val="35000"/>
                  </a:schemeClr>
                </a:solidFill>
                <a:prstDash val="solid"/>
                <a:round/>
              </a:ln>
              <a:effectLst/>
            </c:spPr>
          </c:errBars>
          <c:cat>
            <c:strRef>
              <c:f>Sheet1!$A$2:$A$3</c:f>
              <c:strCache>
                <c:ptCount val="2"/>
                <c:pt idx="0">
                  <c:v>2020年</c:v>
                </c:pt>
                <c:pt idx="1">
                  <c:v>2021年</c:v>
                </c:pt>
              </c:strCache>
            </c:strRef>
          </c:cat>
          <c:val>
            <c:numRef>
              <c:f>Sheet1!$B$2:$B$3</c:f>
              <c:numCache>
                <c:formatCode>General</c:formatCode>
                <c:ptCount val="2"/>
                <c:pt idx="0">
                  <c:v>1292.26</c:v>
                </c:pt>
                <c:pt idx="1">
                  <c:v>1790.93</c:v>
                </c:pt>
              </c:numCache>
            </c:numRef>
          </c:val>
        </c:ser>
        <c:ser>
          <c:idx val="1"/>
          <c:order val="1"/>
          <c:tx>
            <c:strRef>
              <c:f>Sheet1!$C$1</c:f>
              <c:strCache>
                <c:ptCount val="1"/>
                <c:pt idx="0">
                  <c:v>支出</c:v>
                </c:pt>
              </c:strCache>
            </c:strRef>
          </c:tx>
          <c:spPr>
            <a:solidFill>
              <a:schemeClr val="accent2"/>
            </a:solidFill>
            <a:ln>
              <a:noFill/>
            </a:ln>
            <a:effectLst/>
          </c:spPr>
          <c:invertIfNegative val="0"/>
          <c:dLbls>
            <c:dLbl>
              <c:idx val="1"/>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rPr lang="en-US" altLang="zh-CN"/>
                      <a:t>2156.86</a:t>
                    </a:r>
                    <a:endParaRPr lang="en-US" altLang="zh-CN"/>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errBars>
            <c:errBarType val="both"/>
            <c:errValType val="stdErr"/>
            <c:noEndCap val="0"/>
            <c:spPr>
              <a:noFill/>
              <a:ln w="9525" cap="flat" cmpd="sng" algn="ctr">
                <a:solidFill>
                  <a:schemeClr val="tx1">
                    <a:lumMod val="65000"/>
                    <a:lumOff val="35000"/>
                  </a:schemeClr>
                </a:solidFill>
                <a:prstDash val="solid"/>
                <a:round/>
              </a:ln>
              <a:effectLst/>
            </c:spPr>
          </c:errBars>
          <c:cat>
            <c:strRef>
              <c:f>Sheet1!$A$2:$A$3</c:f>
              <c:strCache>
                <c:ptCount val="2"/>
                <c:pt idx="0">
                  <c:v>2020年</c:v>
                </c:pt>
                <c:pt idx="1">
                  <c:v>2021年</c:v>
                </c:pt>
              </c:strCache>
            </c:strRef>
          </c:cat>
          <c:val>
            <c:numRef>
              <c:f>Sheet1!$C$2:$C$3</c:f>
              <c:numCache>
                <c:formatCode>General</c:formatCode>
                <c:ptCount val="2"/>
                <c:pt idx="0">
                  <c:v>1873.56</c:v>
                </c:pt>
                <c:pt idx="1">
                  <c:v>1790.93</c:v>
                </c:pt>
              </c:numCache>
            </c:numRef>
          </c:val>
        </c:ser>
        <c:dLbls>
          <c:showLegendKey val="0"/>
          <c:showVal val="1"/>
          <c:showCatName val="0"/>
          <c:showSerName val="0"/>
          <c:showPercent val="0"/>
          <c:showBubbleSize val="0"/>
        </c:dLbls>
        <c:gapWidth val="219"/>
        <c:overlap val="-27"/>
        <c:axId val="157756032"/>
        <c:axId val="157762304"/>
      </c:barChart>
      <c:catAx>
        <c:axId val="157756032"/>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7762304"/>
        <c:crosses val="autoZero"/>
        <c:auto val="1"/>
        <c:lblAlgn val="ctr"/>
        <c:lblOffset val="100"/>
        <c:noMultiLvlLbl val="0"/>
      </c:catAx>
      <c:valAx>
        <c:axId val="157762304"/>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775603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803350031696489"/>
          <c:y val="0.235429688821111"/>
          <c:w val="0.925848765432099"/>
          <c:h val="0.580202419155764"/>
        </c:manualLayout>
      </c:layout>
      <c:barChart>
        <c:barDir val="col"/>
        <c:grouping val="clustered"/>
        <c:varyColors val="0"/>
        <c:ser>
          <c:idx val="0"/>
          <c:order val="0"/>
          <c:tx>
            <c:strRef>
              <c:f>Sheet1!$B$1</c:f>
              <c:strCache>
                <c:ptCount val="1"/>
                <c:pt idx="0">
                  <c:v>2020年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Sheet1!$A$2</c:f>
              <c:strCache>
                <c:ptCount val="1"/>
                <c:pt idx="0">
                  <c:v>支出</c:v>
                </c:pt>
              </c:strCache>
            </c:strRef>
          </c:cat>
          <c:val>
            <c:numRef>
              <c:f>Sheet1!$B$2</c:f>
              <c:numCache>
                <c:formatCode>General</c:formatCode>
                <c:ptCount val="1"/>
                <c:pt idx="0">
                  <c:v>1873.56</c:v>
                </c:pt>
              </c:numCache>
            </c:numRef>
          </c:val>
        </c:ser>
        <c:ser>
          <c:idx val="1"/>
          <c:order val="1"/>
          <c:tx>
            <c:strRef>
              <c:f>Sheet1!$C$1</c:f>
              <c:strCache>
                <c:ptCount val="1"/>
                <c:pt idx="0">
                  <c:v>2021年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Sheet1!$A$2</c:f>
              <c:strCache>
                <c:ptCount val="1"/>
                <c:pt idx="0">
                  <c:v>支出</c:v>
                </c:pt>
              </c:strCache>
            </c:strRef>
          </c:cat>
          <c:val>
            <c:numRef>
              <c:f>Sheet1!$C$2</c:f>
              <c:numCache>
                <c:formatCode>General</c:formatCode>
                <c:ptCount val="1"/>
                <c:pt idx="0">
                  <c:v>1790.93</c:v>
                </c:pt>
              </c:numCache>
            </c:numRef>
          </c:val>
        </c:ser>
        <c:dLbls>
          <c:showLegendKey val="0"/>
          <c:showVal val="1"/>
          <c:showCatName val="0"/>
          <c:showSerName val="0"/>
          <c:showPercent val="0"/>
          <c:showBubbleSize val="0"/>
        </c:dLbls>
        <c:gapWidth val="219"/>
        <c:overlap val="-27"/>
        <c:axId val="158072832"/>
        <c:axId val="158074368"/>
      </c:barChart>
      <c:catAx>
        <c:axId val="158072832"/>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8074368"/>
        <c:crosses val="autoZero"/>
        <c:auto val="1"/>
        <c:lblAlgn val="ctr"/>
        <c:lblOffset val="100"/>
        <c:noMultiLvlLbl val="0"/>
      </c:catAx>
      <c:valAx>
        <c:axId val="158074368"/>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58072832"/>
        <c:crosses val="autoZero"/>
        <c:crossBetween val="between"/>
      </c:valAx>
      <c:spPr>
        <a:noFill/>
        <a:ln>
          <a:noFill/>
        </a:ln>
        <a:effectLst/>
      </c:spPr>
    </c:plotArea>
    <c:legend>
      <c:legendPos val="b"/>
      <c:layout>
        <c:manualLayout>
          <c:xMode val="edge"/>
          <c:yMode val="edge"/>
          <c:x val="0.352243424445591"/>
          <c:y val="0.846538187009279"/>
          <c:w val="0.352759154203198"/>
          <c:h val="0.11955745895788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一般公共预算财政拨款支出决算结构</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dPt>
          <c:dPt>
            <c:idx val="4"/>
            <c:bubble3D val="0"/>
          </c:dPt>
          <c:dPt>
            <c:idx val="5"/>
            <c:bubble3D val="0"/>
          </c:dPt>
          <c:dPt>
            <c:idx val="6"/>
            <c:bubble3D val="0"/>
          </c:dPt>
          <c:dPt>
            <c:idx val="7"/>
            <c:bubble3D val="0"/>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一般公共服务（类）</c:v>
                </c:pt>
                <c:pt idx="1">
                  <c:v>社会保障和就业（类）</c:v>
                </c:pt>
                <c:pt idx="2">
                  <c:v>卫生健康支出</c:v>
                </c:pt>
                <c:pt idx="3">
                  <c:v>文化旅游体育与传媒</c:v>
                </c:pt>
                <c:pt idx="4">
                  <c:v>住房保障支出</c:v>
                </c:pt>
                <c:pt idx="5">
                  <c:v>公共安全支出</c:v>
                </c:pt>
                <c:pt idx="6">
                  <c:v>城乡社区（类）支出</c:v>
                </c:pt>
                <c:pt idx="7">
                  <c:v>农林水支出</c:v>
                </c:pt>
              </c:strCache>
            </c:strRef>
          </c:cat>
          <c:val>
            <c:numRef>
              <c:f>Sheet1!$B$2:$B$9</c:f>
              <c:numCache>
                <c:formatCode>General</c:formatCode>
                <c:ptCount val="8"/>
                <c:pt idx="0">
                  <c:v>921.45</c:v>
                </c:pt>
                <c:pt idx="1">
                  <c:v>107.32</c:v>
                </c:pt>
                <c:pt idx="2">
                  <c:v>56.46</c:v>
                </c:pt>
                <c:pt idx="3">
                  <c:v>5</c:v>
                </c:pt>
                <c:pt idx="4">
                  <c:v>71.6</c:v>
                </c:pt>
                <c:pt idx="5">
                  <c:v>3</c:v>
                </c:pt>
                <c:pt idx="6">
                  <c:v>5.02</c:v>
                </c:pt>
                <c:pt idx="7">
                  <c:v>621.04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“三公”经费财政拨款支出结构</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公务用车运行维护费</c:v>
                </c:pt>
                <c:pt idx="1">
                  <c:v>公务接待费</c:v>
                </c:pt>
              </c:strCache>
            </c:strRef>
          </c:cat>
          <c:val>
            <c:numRef>
              <c:f>Sheet1!$B$2:$B$3</c:f>
              <c:numCache>
                <c:formatCode>0%</c:formatCode>
                <c:ptCount val="2"/>
                <c:pt idx="0">
                  <c:v>0.96</c:v>
                </c:pt>
                <c:pt idx="1">
                  <c:v>0.04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461DE8-E01D-4E72-8988-0900DBB13783}">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47</Pages>
  <Words>20720</Words>
  <Characters>22264</Characters>
  <Lines>212</Lines>
  <Paragraphs>59</Paragraphs>
  <TotalTime>11</TotalTime>
  <ScaleCrop>false</ScaleCrop>
  <LinksUpToDate>false</LinksUpToDate>
  <CharactersWithSpaces>23918</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2020-11-05T09:15:00Z</dcterms:created>
  <dc:creator>曹颖</dc:creator>
  <cp:lastModifiedBy>目纹</cp:lastModifiedBy>
  <cp:lastPrinted>2022-12-15T03:00:00Z</cp:lastPrinted>
  <dcterms:modified xsi:type="dcterms:W3CDTF">2023-09-18T03:40:38Z</dcterms:modified>
  <dc:title>四川省***</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20E4584959BA4F988CFDBA95F2AA119A_13</vt:lpwstr>
  </property>
</Properties>
</file>