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红原县麦洼乡人民政府</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（1）贯彻执行党的路线方针政策和国家法律法规，贯彻执行上级行政机关的决议、命令及同级党委的决定，执行</w:t>
      </w:r>
      <w:r>
        <w:rPr>
          <w:rFonts w:hint="eastAsia"/>
          <w:bCs/>
          <w:sz w:val="32"/>
          <w:szCs w:val="32"/>
          <w:lang w:eastAsia="zh-CN"/>
        </w:rPr>
        <w:t>乡</w:t>
      </w:r>
      <w:r>
        <w:rPr>
          <w:rFonts w:hint="eastAsia"/>
          <w:bCs/>
          <w:sz w:val="32"/>
          <w:szCs w:val="32"/>
        </w:rPr>
        <w:t>人民代表大会的决议；</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（2）对</w:t>
      </w:r>
      <w:r>
        <w:rPr>
          <w:rFonts w:hint="eastAsia"/>
          <w:bCs/>
          <w:sz w:val="32"/>
          <w:szCs w:val="32"/>
          <w:lang w:eastAsia="zh-CN"/>
        </w:rPr>
        <w:t>乡</w:t>
      </w:r>
      <w:r>
        <w:rPr>
          <w:rFonts w:hint="eastAsia"/>
          <w:bCs/>
          <w:sz w:val="32"/>
          <w:szCs w:val="32"/>
        </w:rPr>
        <w:t>人民代表大会及其主席团和上级行政机关负责人报告工作；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（3）编制和执行</w:t>
      </w:r>
      <w:r>
        <w:rPr>
          <w:rFonts w:hint="eastAsia"/>
          <w:bCs/>
          <w:sz w:val="32"/>
          <w:szCs w:val="32"/>
          <w:lang w:eastAsia="zh-CN"/>
        </w:rPr>
        <w:t>乡</w:t>
      </w:r>
      <w:r>
        <w:rPr>
          <w:rFonts w:hint="eastAsia"/>
          <w:bCs/>
          <w:sz w:val="32"/>
          <w:szCs w:val="32"/>
        </w:rPr>
        <w:t>国民经济和社会发展计划，编制并执行财政预算；</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（4）管理本行政区域经济和各项社会事业的行政工作；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（5）负责辖区内行政执法工作，维护社会秩序，保护公民人身、民主、财产等合法权利，保护各种经济组织的合法权利；</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（6）指导、支持和帮助村民委员会工作；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（7）法律功能赋予的其他职责。</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keepNext w:val="0"/>
        <w:keepLines w:val="0"/>
        <w:pageBreakBefore w:val="0"/>
        <w:numPr>
          <w:ilvl w:val="0"/>
          <w:numId w:val="0"/>
        </w:numPr>
        <w:kinsoku/>
        <w:wordWrap/>
        <w:overflowPunct/>
        <w:topLinePunct w:val="0"/>
        <w:autoSpaceDE/>
        <w:autoSpaceDN/>
        <w:bidi w:val="0"/>
        <w:adjustRightInd/>
        <w:snapToGrid/>
        <w:spacing w:line="576" w:lineRule="exact"/>
        <w:ind w:left="630" w:leftChars="0"/>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一、持续加强生态环境保护工作</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黑体" w:hAnsi="黑体" w:eastAsia="黑体" w:cs="黑体"/>
          <w:sz w:val="32"/>
          <w:szCs w:val="32"/>
        </w:rPr>
      </w:pPr>
      <w:r>
        <w:rPr>
          <w:rFonts w:hint="eastAsia" w:ascii="仿宋_GB2312" w:hAnsi="仿宋_GB2312" w:eastAsia="仿宋_GB2312" w:cs="仿宋_GB2312"/>
          <w:b w:val="0"/>
          <w:i w:val="0"/>
          <w:caps w:val="0"/>
          <w:color w:val="191919"/>
          <w:spacing w:val="0"/>
          <w:kern w:val="0"/>
          <w:sz w:val="32"/>
          <w:szCs w:val="32"/>
          <w:shd w:val="clear" w:color="auto" w:fill="FFFFFF"/>
          <w:lang w:val="en-US" w:eastAsia="zh-CN" w:bidi="ar"/>
        </w:rPr>
        <w:t>坚持绿水青山就是金山银山，冰川雪山也是金山银山的理念。在严格遵守生态保护红线的基础上，积极融入若尔盖国家公园建设，稳妥推进湿地自然区保护区、湿地公园建设，加大天然草原保护力度，严格落实草畜平衡制度。坚决打好蓝天、碧水、净土“保卫战”和固废“歼灭战”，健全环境治理体系，持续改善环境质量，建设生态美丽麦洼。</w:t>
      </w:r>
    </w:p>
    <w:p>
      <w:pPr>
        <w:keepNext w:val="0"/>
        <w:keepLines w:val="0"/>
        <w:pageBreakBefore w:val="0"/>
        <w:kinsoku/>
        <w:wordWrap/>
        <w:overflowPunct/>
        <w:topLinePunct w:val="0"/>
        <w:autoSpaceDE/>
        <w:autoSpaceDN/>
        <w:bidi w:val="0"/>
        <w:adjustRightInd/>
        <w:snapToGrid/>
        <w:spacing w:line="576" w:lineRule="exact"/>
        <w:ind w:firstLine="643" w:firstLineChars="200"/>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二、扎实做好常态化疫情防控工作</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b w:val="0"/>
          <w:i w:val="0"/>
          <w:caps w:val="0"/>
          <w:color w:val="191919"/>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191919"/>
          <w:spacing w:val="0"/>
          <w:kern w:val="0"/>
          <w:sz w:val="32"/>
          <w:szCs w:val="32"/>
          <w:shd w:val="clear" w:color="auto" w:fill="FFFFFF"/>
          <w:lang w:val="en-US" w:eastAsia="zh-CN" w:bidi="ar"/>
        </w:rPr>
        <w:t>切实提高政治站位，增强抓好常态化疫情防控的责任感和紧迫感，时刻绷紧疫情防控这根弦，深入贯彻落实习近平总书记关于新冠肺炎疫情防控工作的重要讲话和指示批示精神，毫不松懈抓好“外防输入、内防反弹”工作，坚持人民至上、生命至上，有序有力推进全民核酸、疫苗接种工作，抓实抓细抓好常态化疫情防控工作，织密扎牢疫情防控网络，为全乡经济社会发展提供安全稳定的发展环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楷体_GBK" w:cs="方正楷体_GBK"/>
          <w:b/>
          <w:bCs/>
          <w:sz w:val="32"/>
          <w:szCs w:val="32"/>
          <w:lang w:val="en-US" w:eastAsia="zh-CN"/>
        </w:rPr>
      </w:pPr>
      <w:r>
        <w:rPr>
          <w:rFonts w:hint="eastAsia" w:ascii="Times New Roman" w:hAnsi="Times New Roman" w:eastAsia="方正楷体_GBK" w:cs="方正楷体_GBK"/>
          <w:b/>
          <w:bCs/>
          <w:sz w:val="32"/>
          <w:szCs w:val="32"/>
          <w:lang w:val="en-US" w:eastAsia="zh-CN"/>
        </w:rPr>
        <w:t>三、以宣传引导，筑牢安全生产防线</w:t>
      </w:r>
    </w:p>
    <w:p>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以有效防范、坚决遏制安全生产事故为目标，继续深入开展查隐患、抓整改工作，促进安全生产形势稳定好转。</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以安全生产月活动为载体，广泛开展安全生产宣传教育行动，着力增强辖区群众安全发展意识;</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以隐患排查治理为重点，深入开展安全生产隐患排查工作，着力解决薄弱环节和突出问题;</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以动态加强火源管理为核心。组织护林、护草员全覆盖动态巡查监管，排查火灾隐患，</w:t>
      </w:r>
      <w:r>
        <w:rPr>
          <w:rFonts w:hint="default" w:ascii="仿宋_GB2312" w:hAnsi="仿宋_GB2312" w:eastAsia="仿宋_GB2312" w:cs="仿宋_GB2312"/>
          <w:sz w:val="32"/>
          <w:szCs w:val="32"/>
          <w:lang w:val="en-US" w:eastAsia="zh-CN"/>
        </w:rPr>
        <w:t>严格落实24小时值班制度</w:t>
      </w:r>
      <w:r>
        <w:rPr>
          <w:rFonts w:hint="eastAsia" w:ascii="仿宋_GB2312" w:hAnsi="仿宋_GB2312" w:eastAsia="仿宋_GB2312" w:cs="仿宋_GB2312"/>
          <w:sz w:val="32"/>
          <w:szCs w:val="32"/>
          <w:lang w:val="en-US" w:eastAsia="zh-CN"/>
        </w:rPr>
        <w:t>，组</w:t>
      </w:r>
      <w:r>
        <w:rPr>
          <w:rFonts w:hint="default" w:ascii="仿宋_GB2312" w:hAnsi="仿宋_GB2312" w:eastAsia="仿宋_GB2312" w:cs="仿宋_GB2312"/>
          <w:sz w:val="32"/>
          <w:szCs w:val="32"/>
          <w:lang w:val="en-US" w:eastAsia="zh-CN"/>
        </w:rPr>
        <w:t>织</w:t>
      </w:r>
      <w:r>
        <w:rPr>
          <w:rFonts w:hint="eastAsia" w:ascii="仿宋_GB2312" w:hAnsi="仿宋_GB2312" w:eastAsia="仿宋_GB2312" w:cs="仿宋_GB2312"/>
          <w:sz w:val="32"/>
          <w:szCs w:val="32"/>
          <w:lang w:val="en-US" w:eastAsia="zh-CN"/>
        </w:rPr>
        <w:t>护林（草）员高质量完成应急演练，并全力抓好林区、牧场、牧户、输电线路等火灾隐患排查工作，坚决防范安全事故发生。</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方正楷体_GBK" w:cs="方正楷体_GBK"/>
          <w:b/>
          <w:bCs/>
          <w:sz w:val="32"/>
          <w:szCs w:val="32"/>
          <w:lang w:val="en-US" w:eastAsia="zh-CN"/>
        </w:rPr>
        <w:t>四、以“三家园”建设为抓手，全面推进乡村振兴工作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964"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压紧压实目标任务。严格落实乡党政“一把手”负总责的乡村振兴责任制，层层分解落实乡村振兴目标任务，压实责任，精准施策，严格督导。</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跟紧项目建设。牢固树立“发展为重”的理念，立足麦洼实际，结合乡村旅游发展需求，推动滚塘村乡村振兴“三家园”重点帮扶优秀村建设。着力做好产业发展、生态环保、乡村旅游发展等基础设施建设的入库、申报和建设。</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巩固脱贫成效，持续推进政策保障。继续开展“回头看、回头帮”确保收入达标，持续推进政策兜底，做到“应保尽保”、“应助尽助”。</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方正楷体_GBK"/>
          <w:b/>
          <w:bCs/>
          <w:sz w:val="32"/>
          <w:szCs w:val="32"/>
          <w:lang w:val="en-US" w:eastAsia="zh-CN"/>
        </w:rPr>
      </w:pPr>
      <w:r>
        <w:rPr>
          <w:rFonts w:hint="eastAsia" w:ascii="Times New Roman" w:hAnsi="Times New Roman" w:eastAsia="方正楷体_GBK" w:cs="方正楷体_GBK"/>
          <w:b/>
          <w:bCs/>
          <w:sz w:val="32"/>
          <w:szCs w:val="32"/>
          <w:lang w:val="en-US" w:eastAsia="zh-CN"/>
        </w:rPr>
        <w:t>五、推进服务型组织建设，强化党员队伍建设</w:t>
      </w:r>
    </w:p>
    <w:p>
      <w:pPr>
        <w:keepNext w:val="0"/>
        <w:keepLines w:val="0"/>
        <w:pageBreakBefore w:val="0"/>
        <w:kinsoku/>
        <w:wordWrap/>
        <w:overflowPunct/>
        <w:topLinePunct w:val="0"/>
        <w:autoSpaceDE/>
        <w:autoSpaceDN/>
        <w:bidi w:val="0"/>
        <w:adjustRightInd/>
        <w:snapToGrid/>
        <w:spacing w:line="576"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深入学习贯彻党的二十大会议精神，引导党员干部坚定理想信念，站稳政治立场。</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加强组织建设，筑牢战斗堡垒，以创建服务型党组织为载体，开展便民利民服务，构建全新的党组织和党员服务群众体系。</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加强党员队伍教育管理，落实“三会一课”、党员活动日为重点，确保基层党员教育培训常态化，开展“党员亮身份，公开承诺”活动，在公开承诺中增强党员意识。</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人民政府下属二级预算单位0个，其中行政单位1个，参照公务员法管理的事业单位0个，其他事业单位0个。总编制</w:t>
      </w:r>
      <w:r>
        <w:rPr>
          <w:rFonts w:hint="eastAsia" w:ascii="仿宋_GB2312" w:eastAsia="仿宋_GB2312" w:cstheme="minorBidi"/>
          <w:kern w:val="2"/>
          <w:sz w:val="32"/>
          <w:szCs w:val="32"/>
          <w:lang w:val="en-US" w:eastAsia="zh-CN" w:bidi="ar-SA"/>
        </w:rPr>
        <w:t>36</w:t>
      </w:r>
      <w:r>
        <w:rPr>
          <w:rFonts w:hint="eastAsia" w:ascii="仿宋_GB2312" w:eastAsia="仿宋_GB2312" w:hAnsiTheme="minorHAnsi" w:cstheme="minorBidi"/>
          <w:kern w:val="2"/>
          <w:sz w:val="32"/>
          <w:szCs w:val="32"/>
          <w:lang w:val="en-US" w:eastAsia="zh-CN" w:bidi="ar-SA"/>
        </w:rPr>
        <w:t>名,其中:行政编制</w:t>
      </w:r>
      <w:r>
        <w:rPr>
          <w:rFonts w:hint="eastAsia" w:ascii="仿宋_GB2312" w:eastAsia="仿宋_GB2312" w:cstheme="minorBidi"/>
          <w:kern w:val="2"/>
          <w:sz w:val="32"/>
          <w:szCs w:val="32"/>
          <w:lang w:val="en-US" w:eastAsia="zh-CN" w:bidi="ar-SA"/>
        </w:rPr>
        <w:t>24</w:t>
      </w:r>
      <w:r>
        <w:rPr>
          <w:rFonts w:hint="eastAsia" w:ascii="仿宋_GB2312" w:eastAsia="仿宋_GB2312" w:hAnsiTheme="minorHAnsi" w:cstheme="minorBidi"/>
          <w:kern w:val="2"/>
          <w:sz w:val="32"/>
          <w:szCs w:val="32"/>
          <w:lang w:val="en-US" w:eastAsia="zh-CN" w:bidi="ar-SA"/>
        </w:rPr>
        <w:t>名,参照公务员法管理的事业编制0名，行政工勤</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名，其他事业编制</w:t>
      </w:r>
      <w:r>
        <w:rPr>
          <w:rFonts w:hint="eastAsia" w:ascii="仿宋_GB2312" w:eastAsia="仿宋_GB2312" w:cstheme="minorBidi"/>
          <w:kern w:val="2"/>
          <w:sz w:val="32"/>
          <w:szCs w:val="32"/>
          <w:lang w:val="en-US" w:eastAsia="zh-CN" w:bidi="ar-SA"/>
        </w:rPr>
        <w:t>11</w:t>
      </w:r>
      <w:r>
        <w:rPr>
          <w:rFonts w:hint="eastAsia" w:ascii="仿宋_GB2312" w:eastAsia="仿宋_GB2312" w:hAnsiTheme="minorHAnsi" w:cstheme="minorBidi"/>
          <w:kern w:val="2"/>
          <w:sz w:val="32"/>
          <w:szCs w:val="32"/>
          <w:lang w:val="en-US" w:eastAsia="zh-CN" w:bidi="ar-SA"/>
        </w:rPr>
        <w:t>名。在职人员总数</w:t>
      </w:r>
      <w:r>
        <w:rPr>
          <w:rFonts w:hint="eastAsia" w:ascii="仿宋_GB2312" w:eastAsia="仿宋_GB2312" w:cstheme="minorBidi"/>
          <w:kern w:val="2"/>
          <w:sz w:val="32"/>
          <w:szCs w:val="32"/>
          <w:lang w:val="en-US" w:eastAsia="zh-CN" w:bidi="ar-SA"/>
        </w:rPr>
        <w:t>35</w:t>
      </w:r>
      <w:r>
        <w:rPr>
          <w:rFonts w:hint="eastAsia" w:ascii="仿宋_GB2312" w:eastAsia="仿宋_GB2312" w:hAnsiTheme="minorHAnsi" w:cstheme="minorBidi"/>
          <w:kern w:val="2"/>
          <w:sz w:val="32"/>
          <w:szCs w:val="32"/>
          <w:lang w:val="en-US" w:eastAsia="zh-CN" w:bidi="ar-SA"/>
        </w:rPr>
        <w:t>名，其中：行政人员</w:t>
      </w:r>
      <w:r>
        <w:rPr>
          <w:rFonts w:hint="eastAsia" w:ascii="仿宋_GB2312" w:eastAsia="仿宋_GB2312" w:cstheme="minorBidi"/>
          <w:kern w:val="2"/>
          <w:sz w:val="32"/>
          <w:szCs w:val="32"/>
          <w:lang w:val="en-US" w:eastAsia="zh-CN" w:bidi="ar-SA"/>
        </w:rPr>
        <w:t>24</w:t>
      </w:r>
      <w:r>
        <w:rPr>
          <w:rFonts w:hint="eastAsia" w:ascii="仿宋_GB2312" w:eastAsia="仿宋_GB2312" w:hAnsiTheme="minorHAnsi" w:cstheme="minorBidi"/>
          <w:kern w:val="2"/>
          <w:sz w:val="32"/>
          <w:szCs w:val="32"/>
          <w:lang w:val="en-US" w:eastAsia="zh-CN" w:bidi="ar-SA"/>
        </w:rPr>
        <w:t>名，参照公务员法管理的事业人员0名，行政工勤</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名，其他事业编制</w:t>
      </w:r>
      <w:r>
        <w:rPr>
          <w:rFonts w:hint="eastAsia" w:ascii="仿宋_GB2312" w:eastAsia="仿宋_GB2312" w:cstheme="minorBidi"/>
          <w:kern w:val="2"/>
          <w:sz w:val="32"/>
          <w:szCs w:val="32"/>
          <w:lang w:val="en-US" w:eastAsia="zh-CN" w:bidi="ar-SA"/>
        </w:rPr>
        <w:t>10</w:t>
      </w:r>
      <w:r>
        <w:rPr>
          <w:rFonts w:hint="eastAsia" w:ascii="仿宋_GB2312" w:eastAsia="仿宋_GB2312" w:hAnsiTheme="minorHAnsi" w:cstheme="minorBidi"/>
          <w:kern w:val="2"/>
          <w:sz w:val="32"/>
          <w:szCs w:val="32"/>
          <w:lang w:val="en-US" w:eastAsia="zh-CN" w:bidi="ar-SA"/>
        </w:rPr>
        <w:t>名；离休人员0人，退休人员</w:t>
      </w:r>
      <w:r>
        <w:rPr>
          <w:rFonts w:hint="eastAsia" w:ascii="仿宋_GB2312" w:eastAsia="仿宋_GB2312" w:cstheme="minorBidi"/>
          <w:kern w:val="2"/>
          <w:sz w:val="32"/>
          <w:szCs w:val="32"/>
          <w:lang w:val="en-US" w:eastAsia="zh-CN" w:bidi="ar-SA"/>
        </w:rPr>
        <w:t>4</w:t>
      </w:r>
      <w:r>
        <w:rPr>
          <w:rFonts w:hint="eastAsia" w:ascii="仿宋_GB2312" w:eastAsia="仿宋_GB2312" w:hAnsiTheme="minorHAnsi" w:cstheme="minorBidi"/>
          <w:kern w:val="2"/>
          <w:sz w:val="32"/>
          <w:szCs w:val="32"/>
          <w:lang w:val="en-US" w:eastAsia="zh-CN" w:bidi="ar-SA"/>
        </w:rPr>
        <w:t>人；编外长期聘用人员</w:t>
      </w:r>
      <w:r>
        <w:rPr>
          <w:rFonts w:hint="eastAsia" w:ascii="仿宋_GB2312" w:eastAsia="仿宋_GB2312" w:cstheme="minorBidi"/>
          <w:kern w:val="2"/>
          <w:sz w:val="32"/>
          <w:szCs w:val="32"/>
          <w:lang w:val="en-US" w:eastAsia="zh-CN" w:bidi="ar-SA"/>
        </w:rPr>
        <w:t>0</w:t>
      </w:r>
      <w:r>
        <w:rPr>
          <w:rFonts w:hint="eastAsia" w:ascii="仿宋_GB2312" w:eastAsia="仿宋_GB2312" w:hAnsiTheme="minorHAnsi" w:cstheme="minorBidi"/>
          <w:kern w:val="2"/>
          <w:sz w:val="32"/>
          <w:szCs w:val="32"/>
          <w:lang w:val="en-US" w:eastAsia="zh-CN" w:bidi="ar-SA"/>
        </w:rPr>
        <w:t>名。</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w:t>
      </w:r>
      <w:r>
        <w:rPr>
          <w:rFonts w:hint="eastAsia" w:ascii="仿宋_GB2312" w:eastAsia="仿宋_GB2312"/>
          <w:sz w:val="32"/>
          <w:szCs w:val="32"/>
        </w:rPr>
        <w:t>收入预算总额为</w:t>
      </w:r>
      <w:r>
        <w:rPr>
          <w:rFonts w:hint="eastAsia" w:ascii="仿宋_GB2312" w:eastAsia="仿宋_GB2312"/>
          <w:sz w:val="32"/>
          <w:szCs w:val="32"/>
          <w:lang w:val="en-US" w:eastAsia="zh-CN"/>
        </w:rPr>
        <w:t>994.07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994.07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994.07</w:t>
      </w:r>
      <w:r>
        <w:rPr>
          <w:rFonts w:hint="eastAsia" w:ascii="仿宋_GB2312" w:eastAsia="仿宋_GB2312"/>
          <w:sz w:val="32"/>
          <w:szCs w:val="32"/>
        </w:rPr>
        <w:t>万元，其中：一般公共服务</w:t>
      </w:r>
      <w:r>
        <w:rPr>
          <w:rFonts w:hint="eastAsia" w:ascii="仿宋_GB2312" w:eastAsia="仿宋_GB2312"/>
          <w:sz w:val="32"/>
          <w:szCs w:val="32"/>
          <w:lang w:val="en-US" w:eastAsia="zh-CN"/>
        </w:rPr>
        <w:t>669.85</w:t>
      </w:r>
      <w:r>
        <w:rPr>
          <w:rFonts w:hint="eastAsia" w:ascii="仿宋_GB2312" w:eastAsia="仿宋_GB2312"/>
          <w:sz w:val="32"/>
          <w:szCs w:val="32"/>
        </w:rPr>
        <w:t>万元，社会保障和就业</w:t>
      </w:r>
      <w:r>
        <w:rPr>
          <w:rFonts w:hint="eastAsia" w:ascii="仿宋_GB2312" w:eastAsia="仿宋_GB2312"/>
          <w:sz w:val="32"/>
          <w:szCs w:val="32"/>
          <w:lang w:val="en-US" w:eastAsia="zh-CN"/>
        </w:rPr>
        <w:t>123.80</w:t>
      </w:r>
      <w:r>
        <w:rPr>
          <w:rFonts w:hint="eastAsia" w:ascii="仿宋_GB2312" w:eastAsia="仿宋_GB2312"/>
          <w:sz w:val="32"/>
          <w:szCs w:val="32"/>
        </w:rPr>
        <w:t>万元，医疗卫生</w:t>
      </w:r>
      <w:r>
        <w:rPr>
          <w:rFonts w:hint="eastAsia" w:ascii="仿宋_GB2312" w:eastAsia="仿宋_GB2312"/>
          <w:sz w:val="32"/>
          <w:szCs w:val="32"/>
          <w:lang w:val="en-US" w:eastAsia="zh-CN"/>
        </w:rPr>
        <w:t>43.08</w:t>
      </w:r>
      <w:r>
        <w:rPr>
          <w:rFonts w:hint="eastAsia" w:ascii="仿宋_GB2312" w:eastAsia="仿宋_GB2312"/>
          <w:sz w:val="32"/>
          <w:szCs w:val="32"/>
        </w:rPr>
        <w:t>万元，住房保障支出</w:t>
      </w:r>
      <w:r>
        <w:rPr>
          <w:rFonts w:hint="eastAsia" w:ascii="仿宋_GB2312" w:eastAsia="仿宋_GB2312"/>
          <w:sz w:val="32"/>
          <w:szCs w:val="32"/>
          <w:lang w:val="en-US" w:eastAsia="zh-CN"/>
        </w:rPr>
        <w:t>69.48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城乡社区支出8万元、农林水支出79.86万元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970.35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915.80万元，机关运行经费54.55万元，其中：办公费35.35万元，差旅费0.6万元，工会经费6.19万元，公务用车运行维护费9.2万元，</w:t>
      </w:r>
      <w:r>
        <w:rPr>
          <w:rFonts w:hint="eastAsia" w:ascii="仿宋_GB2312" w:eastAsia="仿宋_GB2312"/>
          <w:color w:val="auto"/>
          <w:sz w:val="32"/>
          <w:szCs w:val="32"/>
          <w:lang w:val="en-US" w:eastAsia="zh-CN"/>
        </w:rPr>
        <w:t>  维修（护）费0.8万元，劳务费0.8万元，会议费0.2万元，培训费0.5万元</w:t>
      </w:r>
      <w:r>
        <w:rPr>
          <w:rFonts w:hint="eastAsia" w:ascii="仿宋_GB2312" w:eastAsia="仿宋_GB2312"/>
          <w:sz w:val="32"/>
          <w:szCs w:val="32"/>
          <w:lang w:val="en-US"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669.85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123.80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43.08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69.48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rPr>
        <w:t>（五）</w:t>
      </w:r>
      <w:r>
        <w:rPr>
          <w:rFonts w:hint="eastAsia" w:ascii="仿宋_GB2312" w:eastAsia="仿宋_GB2312"/>
          <w:sz w:val="32"/>
          <w:szCs w:val="32"/>
          <w:lang w:val="en-US" w:eastAsia="zh-CN"/>
        </w:rPr>
        <w:t>城乡社区支出</w:t>
      </w:r>
      <w:r>
        <w:rPr>
          <w:rFonts w:hint="eastAsia" w:ascii="仿宋_GB2312" w:eastAsia="仿宋_GB2312"/>
          <w:sz w:val="32"/>
          <w:szCs w:val="32"/>
          <w:highlight w:val="none"/>
          <w:lang w:val="en-US" w:eastAsia="zh-CN"/>
        </w:rPr>
        <w:t>8万元，主要用于城乡社区环境卫生支出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lang w:val="en-US" w:eastAsia="zh-CN"/>
        </w:rPr>
        <w:t>（六）农林水支出79.86万元，主要用于农业农村开发扶贫农村综合改革相关项目支出。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994.07万元较上年度预算759.98万元增加了23.47%，其中基本行政运行经费预算915.80万元，占全部总预算的92.13%，较上年680.79万元增加了25.66%，原因为人员变动，增加了基本支出；专项业务工作经费预算54.55万元，占总预算的5.49%，较上年预算59.23万元减少了7.90%，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9.2万元，其中：出国费0万元，与上年持平，主要原因为未安排因公出国；公车购置费0元，与上年持平；公务用车维护费支出9.2万元，较上年度预算9.2万元持平，主要原因严格执行“八项规定、六项禁令”；二是将有关股室的工作有机地结合起来，减少不必要的资源浪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2023年没有使用政府采购预算拨款安排的支出。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截止2022年底，实际共有固定资产价值227.95</w:t>
      </w:r>
      <w:r>
        <w:rPr>
          <w:rFonts w:hint="eastAsia" w:ascii="仿宋_GB2312" w:eastAsia="仿宋_GB2312"/>
          <w:color w:val="auto"/>
          <w:sz w:val="32"/>
          <w:szCs w:val="32"/>
          <w:lang w:eastAsia="zh-CN"/>
        </w:rPr>
        <w:t>万元：其中：公务用车</w:t>
      </w:r>
      <w:r>
        <w:rPr>
          <w:rFonts w:hint="eastAsia" w:ascii="仿宋_GB2312" w:eastAsia="仿宋_GB2312"/>
          <w:color w:val="auto"/>
          <w:sz w:val="32"/>
          <w:szCs w:val="32"/>
          <w:lang w:val="en-US" w:eastAsia="zh-CN"/>
        </w:rPr>
        <w:t>25.76</w:t>
      </w:r>
      <w:r>
        <w:rPr>
          <w:rFonts w:hint="eastAsia" w:ascii="仿宋_GB2312" w:eastAsia="仿宋_GB2312"/>
          <w:color w:val="auto"/>
          <w:sz w:val="32"/>
          <w:szCs w:val="32"/>
          <w:lang w:eastAsia="zh-CN"/>
        </w:rPr>
        <w:t>万元；业务用房</w:t>
      </w:r>
      <w:r>
        <w:rPr>
          <w:rFonts w:hint="eastAsia" w:ascii="仿宋_GB2312" w:eastAsia="仿宋_GB2312"/>
          <w:color w:val="auto"/>
          <w:sz w:val="32"/>
          <w:szCs w:val="32"/>
          <w:lang w:val="en-US" w:eastAsia="zh-CN"/>
        </w:rPr>
        <w:t>20.00</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办公用房141.58万元</w:t>
      </w:r>
      <w:r>
        <w:rPr>
          <w:rFonts w:hint="eastAsia" w:ascii="仿宋_GB2312" w:eastAsia="仿宋_GB2312"/>
          <w:color w:val="auto"/>
          <w:sz w:val="32"/>
          <w:szCs w:val="32"/>
          <w:lang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pStyle w:val="2"/>
        <w:rPr>
          <w:rFonts w:hint="eastAsia" w:ascii="仿宋_GB2312" w:eastAsia="仿宋_GB2312"/>
          <w:sz w:val="32"/>
          <w:szCs w:val="32"/>
          <w:lang w:val="en-US" w:eastAsia="zh-CN"/>
        </w:rPr>
      </w:pPr>
    </w:p>
    <w:p>
      <w:pPr>
        <w:pStyle w:val="2"/>
        <w:rPr>
          <w:rFonts w:hint="eastAsia" w:ascii="仿宋_GB2312" w:eastAsia="仿宋_GB2312"/>
          <w:sz w:val="32"/>
          <w:szCs w:val="32"/>
          <w:lang w:val="en-US" w:eastAsia="zh-CN"/>
        </w:rPr>
      </w:pPr>
    </w:p>
    <w:p>
      <w:pPr>
        <w:pStyle w:val="2"/>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红原县麦洼乡人民政府</w:t>
      </w:r>
    </w:p>
    <w:p>
      <w:pPr>
        <w:pStyle w:val="2"/>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2023年4月24日</w:t>
      </w:r>
    </w:p>
    <w:p>
      <w:pPr>
        <w:pStyle w:val="2"/>
        <w:ind w:left="0" w:leftChars="0" w:firstLine="0" w:firstLineChars="0"/>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bookmarkStart w:id="0" w:name="_GoBack"/>
      <w:bookmarkEnd w:id="0"/>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01532"/>
    <w:rsid w:val="0A6E1F7B"/>
    <w:rsid w:val="10B92046"/>
    <w:rsid w:val="18870CA9"/>
    <w:rsid w:val="18DE7327"/>
    <w:rsid w:val="238C589B"/>
    <w:rsid w:val="2D241839"/>
    <w:rsid w:val="41C14C68"/>
    <w:rsid w:val="44870E60"/>
    <w:rsid w:val="4FED1520"/>
    <w:rsid w:val="546703A6"/>
    <w:rsid w:val="555E53B0"/>
    <w:rsid w:val="56F015BA"/>
    <w:rsid w:val="636966A0"/>
    <w:rsid w:val="670175BB"/>
    <w:rsid w:val="6FBF4B32"/>
    <w:rsid w:val="70F00356"/>
    <w:rsid w:val="74C63F35"/>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99"/>
    <w:rPr>
      <w:rFonts w:eastAsia="宋体"/>
    </w:rPr>
  </w:style>
  <w:style w:type="paragraph" w:styleId="3">
    <w:name w:val="Body Text Indent"/>
    <w:basedOn w:val="1"/>
    <w:next w:val="2"/>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4">
    <w:name w:val="Body Text"/>
    <w:basedOn w:val="1"/>
    <w:qFormat/>
    <w:uiPriority w:val="0"/>
    <w:pPr>
      <w:spacing w:before="93" w:beforeLines="3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1741</Words>
  <Characters>1852</Characters>
  <Lines>0</Lines>
  <Paragraphs>0</Paragraphs>
  <TotalTime>18</TotalTime>
  <ScaleCrop>false</ScaleCrop>
  <LinksUpToDate>false</LinksUpToDate>
  <CharactersWithSpaces>1898</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2023-04-24T02:50:24Z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59505230702C4604AA3B4C64035EE4D0_13</vt:lpwstr>
  </property>
</Properties>
</file>