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7EE67">
      <w:pPr>
        <w:keepNext w:val="0"/>
        <w:keepLines w:val="0"/>
        <w:widowControl/>
        <w:suppressLineNumbers w:val="0"/>
        <w:spacing w:before="0" w:beforeAutospacing="1" w:after="0" w:afterAutospacing="1"/>
        <w:ind w:left="0" w:right="0"/>
        <w:jc w:val="center"/>
      </w:pPr>
      <w:r>
        <w:rPr>
          <w:rFonts w:hint="eastAsia" w:ascii="方正小标宋简体" w:hAnsi="方正小标宋简体" w:eastAsia="方正小标宋简体" w:cs="方正小标宋简体"/>
          <w:bCs/>
          <w:color w:val="000000"/>
          <w:kern w:val="0"/>
          <w:sz w:val="44"/>
          <w:szCs w:val="44"/>
          <w:lang w:val="en-US" w:eastAsia="zh-CN" w:bidi="ar"/>
        </w:rPr>
        <w:t>红原县查尔</w:t>
      </w:r>
      <w:bookmarkStart w:id="0" w:name="_GoBack"/>
      <w:bookmarkEnd w:id="0"/>
      <w:r>
        <w:rPr>
          <w:rFonts w:hint="eastAsia" w:ascii="方正小标宋简体" w:hAnsi="方正小标宋简体" w:eastAsia="方正小标宋简体" w:cs="方正小标宋简体"/>
          <w:bCs/>
          <w:color w:val="000000"/>
          <w:kern w:val="0"/>
          <w:sz w:val="44"/>
          <w:szCs w:val="44"/>
          <w:lang w:val="en-US" w:eastAsia="zh-CN" w:bidi="ar"/>
        </w:rPr>
        <w:t>玛乡人民政府</w:t>
      </w:r>
    </w:p>
    <w:p w14:paraId="6F8BE073">
      <w:pPr>
        <w:keepNext w:val="0"/>
        <w:keepLines w:val="0"/>
        <w:widowControl/>
        <w:suppressLineNumbers w:val="0"/>
        <w:spacing w:before="0" w:beforeAutospacing="1" w:after="0" w:afterAutospacing="1"/>
        <w:ind w:left="0" w:right="0"/>
        <w:jc w:val="center"/>
      </w:pPr>
      <w:r>
        <w:rPr>
          <w:rFonts w:ascii="方正小标宋简体" w:hAnsi="方正小标宋简体" w:eastAsia="方正小标宋简体" w:cs="方正小标宋简体"/>
          <w:bCs/>
          <w:color w:val="000000"/>
          <w:kern w:val="0"/>
          <w:sz w:val="44"/>
          <w:szCs w:val="44"/>
          <w:lang w:val="en-US" w:eastAsia="zh-CN" w:bidi="ar"/>
        </w:rPr>
        <w:t>关于</w:t>
      </w:r>
      <w:r>
        <w:rPr>
          <w:rFonts w:hint="eastAsia" w:ascii="方正小标宋简体" w:hAnsi="方正小标宋简体" w:eastAsia="方正小标宋简体" w:cs="方正小标宋简体"/>
          <w:bCs/>
          <w:color w:val="000000"/>
          <w:kern w:val="0"/>
          <w:sz w:val="44"/>
          <w:szCs w:val="44"/>
          <w:lang w:val="en-US" w:eastAsia="zh-CN" w:bidi="ar"/>
        </w:rPr>
        <w:t>2023年部门预算编制的说明</w:t>
      </w:r>
    </w:p>
    <w:p w14:paraId="40DFE370">
      <w:pPr>
        <w:keepNext w:val="0"/>
        <w:keepLines w:val="0"/>
        <w:widowControl/>
        <w:suppressLineNumbers w:val="0"/>
        <w:spacing w:before="0" w:beforeAutospacing="1" w:after="0" w:afterAutospacing="1"/>
        <w:ind w:left="0" w:right="0" w:firstLine="640" w:firstLineChars="200"/>
        <w:jc w:val="left"/>
      </w:pPr>
      <w:r>
        <w:rPr>
          <w:rFonts w:ascii="仿宋_GB2312" w:hAnsi="宋体" w:eastAsia="仿宋_GB2312" w:cs="仿宋_GB2312"/>
          <w:bCs/>
          <w:color w:val="000000"/>
          <w:kern w:val="0"/>
          <w:sz w:val="32"/>
          <w:szCs w:val="32"/>
          <w:lang w:val="en-US" w:eastAsia="zh-CN" w:bidi="ar"/>
        </w:rPr>
        <w:t>按照预算管理有关规定，目前部门预算的编制实行综合预算</w:t>
      </w:r>
      <w:r>
        <w:rPr>
          <w:rFonts w:hint="eastAsia" w:ascii="仿宋_GB2312" w:hAnsi="宋体" w:eastAsia="仿宋_GB2312" w:cs="仿宋_GB2312"/>
          <w:bCs/>
          <w:color w:val="000000"/>
          <w:kern w:val="0"/>
          <w:sz w:val="32"/>
          <w:szCs w:val="32"/>
          <w:lang w:val="en-US" w:eastAsia="zh-CN" w:bidi="ar"/>
        </w:rPr>
        <w:t xml:space="preserve">制度，即全部收入和支出都反映在预算中。 </w:t>
      </w:r>
    </w:p>
    <w:p w14:paraId="20EFCB4A">
      <w:pPr>
        <w:keepNext w:val="0"/>
        <w:keepLines w:val="0"/>
        <w:widowControl/>
        <w:suppressLineNumbers w:val="0"/>
        <w:spacing w:before="0" w:beforeAutospacing="1" w:after="0" w:afterAutospacing="1"/>
        <w:ind w:left="0" w:right="0"/>
        <w:jc w:val="left"/>
      </w:pPr>
      <w:r>
        <w:rPr>
          <w:rFonts w:ascii="黑体" w:hAnsi="宋体" w:eastAsia="黑体" w:cs="黑体"/>
          <w:bCs/>
          <w:color w:val="000000"/>
          <w:kern w:val="0"/>
          <w:sz w:val="32"/>
          <w:szCs w:val="32"/>
          <w:lang w:val="en-US" w:eastAsia="zh-CN" w:bidi="ar"/>
        </w:rPr>
        <w:t>一、基本职能及主要工作</w:t>
      </w:r>
    </w:p>
    <w:p w14:paraId="088940CF">
      <w:pPr>
        <w:keepNext w:val="0"/>
        <w:keepLines w:val="0"/>
        <w:widowControl/>
        <w:suppressLineNumbers w:val="0"/>
        <w:spacing w:before="0" w:beforeAutospacing="1" w:after="0" w:afterAutospacing="1"/>
        <w:ind w:left="0" w:right="0"/>
        <w:jc w:val="left"/>
      </w:pPr>
      <w:r>
        <w:rPr>
          <w:rFonts w:ascii="楷体_GB2312" w:hAnsi="宋体" w:eastAsia="楷体_GB2312" w:cs="楷体_GB2312"/>
          <w:bCs/>
          <w:color w:val="000000"/>
          <w:kern w:val="0"/>
          <w:sz w:val="32"/>
          <w:szCs w:val="32"/>
          <w:lang w:val="en-US" w:eastAsia="zh-CN" w:bidi="ar"/>
        </w:rPr>
        <w:t>（一）基本职能</w:t>
      </w:r>
    </w:p>
    <w:p w14:paraId="29E0C5E4">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1.乡党委工作职责</w:t>
      </w:r>
    </w:p>
    <w:p w14:paraId="4CDFAA0C">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（1）宣传和贯彻执行党的路线方针政策和党中央、上级党组织及本乡党员代表大会（党员大会）的决议;</w:t>
      </w:r>
    </w:p>
    <w:p w14:paraId="1544B1E0">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2）讨论和决定本乡经济建设、政治建设、文化建设、社会建设、生态文明建设和党的建设以及乡村振兴中的重大问题。需由乡政权机关或者集体经济组织决定的重要事项，经乡党委研究讨论后,由乡政权机关或者集体经济组织依照法律和有关规定作出决定;</w:t>
      </w:r>
    </w:p>
    <w:p w14:paraId="2DC94782">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（3）领导乡政权机关、群团组织和其他各类组织，加强指导和规范,支持和保证这些机关和组织依照国家法律法规以及各自章程履行职责;</w:t>
      </w:r>
    </w:p>
    <w:p w14:paraId="65ACEABF">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（4）加强乡党委自身建设和村党组织建设，以及其他隶属乡党委的党组织建设，抓好发展党员工作，加强党员队伍建设。维护和执行党的纪律,监督党员干部和其他任何工作人员严格遵守国家法律法规;</w:t>
      </w:r>
    </w:p>
    <w:p w14:paraId="715DEF3F">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（5）按照干部管理权限，负责对干部的教育、培训、选拔、考核和监督工作。协助管理上级有关部门驻乡单位的干部。做好人才服务和引进工作;</w:t>
      </w:r>
    </w:p>
    <w:p w14:paraId="710C410E">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（6）领导本乡的基层治理，加强社会主义民主法治建设和精神文明建设，加强社会治安综合治理，做好生态环保、美丽乡村建设、民生保障、脱贫致富、民族宗教等工作;</w:t>
      </w:r>
    </w:p>
    <w:p w14:paraId="4A32EC43">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（7）完成上级党委、人民政府交办的其他工作任务。</w:t>
      </w:r>
    </w:p>
    <w:p w14:paraId="01435B86">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2.乡人民代表大会工作职责</w:t>
      </w:r>
    </w:p>
    <w:p w14:paraId="019F950D">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（1）检查和督促宪法、法律、法规和上级人民代表大会及其常务委员会决议在本乡内的执行;</w:t>
      </w:r>
    </w:p>
    <w:p w14:paraId="7743FF1E">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（2）决定召集和主持本届人民代表大会会议，对本届人民代表大会负责并报告工作,决定召集下届人民代表大会第一次会议;</w:t>
      </w:r>
    </w:p>
    <w:p w14:paraId="7F96E495">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（3）听取乡人民政府工作情况的报告，检查和督促乡人民政府对乡人民代表大会决议、决定的贯彻执行;</w:t>
      </w:r>
    </w:p>
    <w:p w14:paraId="66C3D1A2">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（4）讨论本乡内的重大事项，向乡人民政府提出建议或者提请乡人民代表大会会议审议决定;</w:t>
      </w:r>
    </w:p>
    <w:p w14:paraId="72DD1AAE">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（5）根据乡人民政府的建议，决定乡人民代表大会通过的建设计划、财政预算的部分变更;</w:t>
      </w:r>
    </w:p>
    <w:p w14:paraId="66AAB088">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（6）督促乡人民政府研究办理乡人民代表大会代表的视察和调查，指导代表小组开展活动，密切联系代表，听取和反映他们的意见和要求;</w:t>
      </w:r>
    </w:p>
    <w:p w14:paraId="748CB16E">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（7）受理人民群众对本级国家机关和工作人员的申诉和意见;</w:t>
      </w:r>
    </w:p>
    <w:p w14:paraId="5D329795">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（8）决定接受乡长、副乡长的辞职，并报下一次人民代表大会会议备案。乡长因故不能担任职务的时候，从副乡长中决定代理人选;</w:t>
      </w:r>
    </w:p>
    <w:p w14:paraId="0CB33C06">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（9）指导选区依法罢免和补选人民代表大会代表;</w:t>
      </w:r>
    </w:p>
    <w:p w14:paraId="51C727C7">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（10）办理乡人民代表大会和上级人民代表大会常务委员会交办的其他事项。</w:t>
      </w:r>
    </w:p>
    <w:p w14:paraId="7AA465BE">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3.乡人民政府工作职责</w:t>
      </w:r>
    </w:p>
    <w:p w14:paraId="47FFD9BA">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1）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4BE8629E">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（2）执行本级人民代表大会的决议和上级国家行政机关的决定和命令，发布决定和命令;</w:t>
      </w:r>
    </w:p>
    <w:p w14:paraId="1FE9CD2A">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（3）执行本行政区域内的经济和社会发展计划、预算，管理本行政区域内的经济、教育、科学、文化、卫生、体育事业和财政、民政、公安、司法行政、计划生育等行政工作;</w:t>
      </w:r>
    </w:p>
    <w:p w14:paraId="22D11DEA">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（4）保护社会主义的全民所有的财产和劳动群众集体所有的财产，保护公民私人所有的合法财产，维护社会秩序，保障公民的人身权利、民主权利和其他权利;</w:t>
      </w:r>
    </w:p>
    <w:p w14:paraId="7ADDAE59">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（5）保护各种经济组织的合法权益;</w:t>
      </w:r>
    </w:p>
    <w:p w14:paraId="2CA53B22">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（6）保障少数民族的权利和尊重少数民族的风俗习惯;</w:t>
      </w:r>
    </w:p>
    <w:p w14:paraId="61492978">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（7）办理上级人民政府交办的其他事项。</w:t>
      </w:r>
    </w:p>
    <w:p w14:paraId="32C9F89E">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4.乡纪检监察工作职责</w:t>
      </w:r>
    </w:p>
    <w:p w14:paraId="5AB66C81">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（1）监督检查基层党支部、党员干部贯彻执行国家的法律法规、党的方针政策、乡党委、政府各种规章制度的情况;</w:t>
      </w:r>
    </w:p>
    <w:p w14:paraId="394EF3F9">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（2）协助乡党委抓好农村基层党风廉政建设工作，监督检查落实党风廉政建设责任制的情况;</w:t>
      </w:r>
    </w:p>
    <w:p w14:paraId="16C94789">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（3）受理基层党支部、党员和领导干部违反党纪政纪的信访和举报;</w:t>
      </w:r>
    </w:p>
    <w:p w14:paraId="47E2BA91">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（4）调查处理基层党支部和党员、领导干部违反党纪政纪的行为或提出处理建议;</w:t>
      </w:r>
    </w:p>
    <w:p w14:paraId="6B9F2BCF">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（5）受理党员、党员领导干部及行政干部不服党纪政纪处分的申诉;</w:t>
      </w:r>
    </w:p>
    <w:p w14:paraId="4639582A">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（6）会同有关部门做好党风党纪和廉洁从政的教育、宣传、调研等工作;</w:t>
      </w:r>
    </w:p>
    <w:p w14:paraId="229B30B2">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（7）做好执法监察工作;</w:t>
      </w:r>
    </w:p>
    <w:p w14:paraId="4B465DEF">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（8）承办好乡党委、政府和上级纪检监察机关交办的有关工作。</w:t>
      </w:r>
    </w:p>
    <w:p w14:paraId="6EF2D615">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5.乡人民武装部工作职责</w:t>
      </w:r>
    </w:p>
    <w:p w14:paraId="04028471">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（1）负责本区域的民兵组织建设、政治建设、军事训练和武装装备管理;</w:t>
      </w:r>
    </w:p>
    <w:p w14:paraId="3B549C4E">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（2）组织带领民兵完成战备执勤任务，配合公安部门维护社会治安;</w:t>
      </w:r>
    </w:p>
    <w:p w14:paraId="43038B4B">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（3）发动和组织民兵参加两个文明建设，开展以劳养武活动，完成急难险重任务;</w:t>
      </w:r>
    </w:p>
    <w:p w14:paraId="35A00491">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（4）战时组织带领民兵参军参战，支援前线;</w:t>
      </w:r>
    </w:p>
    <w:p w14:paraId="24842A04">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（5）负责本区域的征兵工作和预备役士兵，预备役军官登记统计工作;</w:t>
      </w:r>
    </w:p>
    <w:p w14:paraId="578041B2">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（6）会同有关部门进行战争潜力调查，做好相关的动员准备工作;</w:t>
      </w:r>
    </w:p>
    <w:p w14:paraId="0F1A3C29">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（7）协同预备役部(分)队落实参训人员，做好兵役管理、动员集结等工作;</w:t>
      </w:r>
    </w:p>
    <w:p w14:paraId="3A724362">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（8）协助有关部门开展国防教育，做好退伍军人的安置和烈军属的优抚工作;</w:t>
      </w:r>
    </w:p>
    <w:p w14:paraId="785FB9C6">
      <w:pPr>
        <w:pStyle w:val="6"/>
        <w:keepNext w:val="0"/>
        <w:keepLines w:val="0"/>
        <w:widowControl/>
        <w:suppressLineNumbers w:val="0"/>
        <w:adjustRightInd w:val="0"/>
        <w:snapToGrid w:val="0"/>
        <w:spacing w:before="0" w:beforeAutospacing="1" w:after="0" w:afterAutospacing="1" w:line="576" w:lineRule="exact"/>
        <w:ind w:left="0" w:right="0" w:firstLine="640" w:firstLineChars="200"/>
      </w:pPr>
      <w:r>
        <w:rPr>
          <w:rFonts w:hint="eastAsia" w:ascii="仿宋_GB2312" w:hAnsi="Calibri" w:eastAsia="仿宋_GB2312" w:cs="仿宋_GB2312"/>
          <w:bCs/>
          <w:kern w:val="2"/>
          <w:sz w:val="32"/>
          <w:szCs w:val="32"/>
        </w:rPr>
        <w:t>（9）协助军队做好本区域的军事设施保护工作;</w:t>
      </w:r>
    </w:p>
    <w:p w14:paraId="5AD5399C">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（10）完成地方党委、政府和上级军事机关交办的其他工作任务。</w:t>
      </w:r>
    </w:p>
    <w:p w14:paraId="1CD0FB1F">
      <w:pPr>
        <w:keepNext w:val="0"/>
        <w:keepLines w:val="0"/>
        <w:widowControl/>
        <w:suppressLineNumbers w:val="0"/>
        <w:spacing w:before="0" w:beforeAutospacing="1" w:after="0" w:afterAutospacing="1"/>
        <w:ind w:left="0" w:right="0"/>
        <w:jc w:val="left"/>
      </w:pPr>
      <w:r>
        <w:rPr>
          <w:rFonts w:hint="eastAsia" w:ascii="楷体_GB2312" w:hAnsi="宋体" w:eastAsia="楷体_GB2312" w:cs="楷体_GB2312"/>
          <w:bCs/>
          <w:color w:val="000000"/>
          <w:kern w:val="0"/>
          <w:sz w:val="32"/>
          <w:szCs w:val="32"/>
          <w:lang w:val="en-US" w:eastAsia="zh-CN" w:bidi="ar"/>
        </w:rPr>
        <w:t>（二）2023 年重点工作任务</w:t>
      </w:r>
    </w:p>
    <w:p w14:paraId="0AF081E4">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1.2023发展畜牧业经济，在发展集体经济上下功夫</w:t>
      </w:r>
    </w:p>
    <w:p w14:paraId="2AD63800">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聚焦集体经济发展，改变传统落后的养殖观念和模式，推广科学养殖技术，做强畜牧产业，发挥带动示范作用。争取改善牧业发展条件，搞好畜种改良，提升牦牛品质，增加有效出栏，形成稳定供给买卖链条，有效实现牧民增收。</w:t>
      </w:r>
    </w:p>
    <w:p w14:paraId="51C9EC04">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2.发展旅游服务业，在完善旅游基础上下功夫</w:t>
      </w:r>
    </w:p>
    <w:p w14:paraId="5B618861">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积极争取文化旅游部门支持，加大国家投入，对接申报查龙AAA景区建设，完善旅游基础配套设施建设。加大招商引资力度，打造景点，开发景点，宣传景点，提升从业人员旅游服务水平，做优做靓全域旅游。</w:t>
      </w:r>
    </w:p>
    <w:p w14:paraId="1F2FBE26">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3.巩固脱贫成果，在乡村振兴战略上下功夫</w:t>
      </w:r>
    </w:p>
    <w:p w14:paraId="5CCBA3CA">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编制和争取对产业发展、集体经济起支撑作用的项目，继续实施产业、教育、卫生、文化等基础项目，不断巩固脱贫成效，持续夯实乡村振兴底部发展基础。全面推进产业扶贫、就业扶贫、易地搬迁扶贫、生态扶贫、教育扶贫、健康扶贫和社保兜底等各项政策措施。加强经济人培养，树立发展榜样标兵，加大种养大户等人才的引进和培养，做实村级建制调整改革“后半篇”文章，协同推进五大振兴。</w:t>
      </w:r>
    </w:p>
    <w:p w14:paraId="5454BA90">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楷体_GB2312" w:hAnsi="宋体" w:eastAsia="楷体_GB2312" w:cs="楷体_GB2312"/>
          <w:bCs/>
          <w:color w:val="000000"/>
          <w:kern w:val="0"/>
          <w:sz w:val="32"/>
          <w:szCs w:val="32"/>
        </w:rPr>
        <w:t>⠼/span&gt;</w:t>
      </w:r>
      <w:r>
        <w:rPr>
          <w:rFonts w:hint="eastAsia" w:ascii="仿宋_GB2312" w:hAnsi="Calibri" w:eastAsia="仿宋_GB2312" w:cs="仿宋_GB2312"/>
          <w:b/>
          <w:bCs/>
          <w:color w:val="000000"/>
          <w:kern w:val="2"/>
          <w:sz w:val="32"/>
          <w:szCs w:val="32"/>
        </w:rPr>
        <w:t>4.构建和谐社会，在创新基层治理上下功夫</w:t>
      </w:r>
    </w:p>
    <w:p w14:paraId="130E3543">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充分发挥基层组织的作用，落实综合治理措施，维护社会稳定大局，贯彻落实宗教政策，加强民族团结教育。积极宣传党和政府的惠民政策，加强民众的法治意识，开展社会矛盾和安全隐患大排查大整治工作，对各类安全隐患稳定隐患做到发现在早、预防在先、处置在小。着力推进各项工作信息资源的互通共享，创新利用网络化治理，通过“互联网＋网格化”等方式提高社会治理水平，深化网格化管理服务，夯实社会治理的基础。加强安全生产和应急管理，切实保障人民群众生命财产安全。</w:t>
      </w:r>
    </w:p>
    <w:p w14:paraId="6073F6CB">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5.做到统筹兼顾，在推动社会事业上下功夫</w:t>
      </w:r>
    </w:p>
    <w:p w14:paraId="5FC62556">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加强教育工作支持力度，创造良好的教育教学环境；提升医疗卫生服务，常态化做好疫情防控工作，确保人民群众健康有保障；开展文化体育活动，丰富日常生活，满足人民群众日益增长的精神需求；做好社会救助，切实保障好社会救助兜底保障对象的基本生活；推动妇女儿童事业健康发展，支持群团部门依法依章开展工作，促进社会全面发展。</w:t>
      </w:r>
    </w:p>
    <w:p w14:paraId="387DFB30">
      <w:pPr>
        <w:pStyle w:val="6"/>
        <w:keepNext w:val="0"/>
        <w:keepLines w:val="0"/>
        <w:widowControl/>
        <w:suppressLineNumbers w:val="0"/>
        <w:adjustRightInd w:val="0"/>
        <w:snapToGrid w:val="0"/>
        <w:spacing w:before="0" w:beforeLines="0" w:beforeAutospacing="0" w:after="0" w:afterAutospacing="1" w:line="576" w:lineRule="exact"/>
        <w:ind w:left="0" w:right="0" w:firstLine="643" w:firstLineChars="200"/>
      </w:pPr>
      <w:r>
        <w:rPr>
          <w:rFonts w:hint="eastAsia" w:ascii="仿宋_GB2312" w:hAnsi="Calibri" w:eastAsia="仿宋_GB2312" w:cs="仿宋_GB2312"/>
          <w:b/>
          <w:bCs/>
          <w:kern w:val="2"/>
          <w:sz w:val="32"/>
          <w:szCs w:val="32"/>
        </w:rPr>
        <w:t>6.完善运行机制，在加强自身建设上下功夫</w:t>
      </w:r>
    </w:p>
    <w:p w14:paraId="1A8D1FDE">
      <w:pPr>
        <w:pStyle w:val="6"/>
        <w:keepNext w:val="0"/>
        <w:keepLines w:val="0"/>
        <w:widowControl/>
        <w:suppressLineNumbers w:val="0"/>
        <w:adjustRightInd w:val="0"/>
        <w:snapToGrid w:val="0"/>
        <w:spacing w:before="0" w:beforeLines="0" w:beforeAutospacing="0" w:after="0" w:afterAutospacing="1" w:line="576" w:lineRule="exact"/>
        <w:ind w:left="0" w:right="0" w:firstLine="640" w:firstLineChars="200"/>
      </w:pPr>
      <w:r>
        <w:rPr>
          <w:rFonts w:hint="eastAsia" w:ascii="仿宋_GB2312" w:hAnsi="Calibri" w:eastAsia="仿宋_GB2312" w:cs="仿宋_GB2312"/>
          <w:bCs/>
          <w:kern w:val="2"/>
          <w:sz w:val="32"/>
          <w:szCs w:val="32"/>
        </w:rPr>
        <w:t>坚持科学民主决策，健全三重一大制度，完善运行机制。围绕群众关心、基层关注的热点难点，扎实开展“两联一进”活动，帮助群众排忧解难。深入开展“放管服”改革，扎实推进政务公开，严格落实“一岗双责”，坚决执行“八项规定”，模范遵守廉洁自律各项规定。提升人大政协议案提案办理质量和效率。</w:t>
      </w:r>
    </w:p>
    <w:p w14:paraId="4D6A31F8">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000000"/>
          <w:kern w:val="0"/>
          <w:sz w:val="32"/>
          <w:szCs w:val="32"/>
          <w:lang w:val="en-US" w:eastAsia="zh-CN" w:bidi="ar"/>
        </w:rPr>
        <w:t xml:space="preserve">二、部门预算单位构成 </w:t>
      </w:r>
    </w:p>
    <w:p w14:paraId="05A0C587">
      <w:pPr>
        <w:keepNext w:val="0"/>
        <w:keepLines w:val="0"/>
        <w:widowControl w:val="0"/>
        <w:suppressLineNumbers w:val="0"/>
        <w:autoSpaceDE w:val="0"/>
        <w:autoSpaceDN/>
        <w:spacing w:before="0" w:beforeAutospacing="1" w:after="0" w:afterAutospacing="1" w:line="560" w:lineRule="exact"/>
        <w:ind w:left="0" w:leftChars="0" w:right="0" w:rightChars="0" w:firstLine="640" w:firstLineChars="200"/>
        <w:jc w:val="left"/>
      </w:pPr>
      <w:r>
        <w:rPr>
          <w:rFonts w:hint="eastAsia" w:ascii="宋体" w:hAnsi="宋体" w:eastAsia="宋体" w:cs="宋体"/>
          <w:bCs/>
          <w:kern w:val="2"/>
          <w:sz w:val="32"/>
          <w:szCs w:val="32"/>
          <w:lang w:val="en-US" w:eastAsia="zh-CN" w:bidi="ar"/>
        </w:rPr>
        <w:t>查尔玛乡人民政府下设</w:t>
      </w:r>
      <w:r>
        <w:rPr>
          <w:rFonts w:ascii="仿宋" w:hAnsi="仿宋" w:eastAsia="仿宋" w:cs="仿宋"/>
          <w:bCs/>
          <w:kern w:val="2"/>
          <w:sz w:val="32"/>
          <w:szCs w:val="32"/>
          <w:lang w:val="en-US" w:eastAsia="zh-CN" w:bidi="ar"/>
        </w:rPr>
        <w:t>党政综合办事机构</w:t>
      </w:r>
      <w:r>
        <w:rPr>
          <w:rFonts w:hint="eastAsia" w:ascii="仿宋" w:hAnsi="仿宋" w:eastAsia="仿宋" w:cs="仿宋"/>
          <w:bCs/>
          <w:kern w:val="2"/>
          <w:sz w:val="32"/>
          <w:szCs w:val="32"/>
          <w:lang w:val="en-US" w:eastAsia="zh-CN" w:bidi="ar"/>
        </w:rPr>
        <w:t>5个、直属事业机构4个和查尔玛乡寺庙管理所1个。</w:t>
      </w:r>
    </w:p>
    <w:p w14:paraId="77D56D75">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000000"/>
          <w:kern w:val="0"/>
          <w:sz w:val="32"/>
          <w:szCs w:val="32"/>
          <w:lang w:val="en-US" w:eastAsia="zh-CN" w:bidi="ar"/>
        </w:rPr>
        <w:t xml:space="preserve">三、收支预算总体情况 </w:t>
      </w:r>
    </w:p>
    <w:p w14:paraId="5D8C2A07">
      <w:pPr>
        <w:keepNext w:val="0"/>
        <w:keepLines w:val="0"/>
        <w:widowControl/>
        <w:suppressLineNumbers w:val="0"/>
        <w:spacing w:before="0" w:beforeAutospacing="1" w:after="0" w:afterAutospacing="1"/>
        <w:ind w:left="0" w:right="0" w:firstLine="640" w:firstLineChars="200"/>
        <w:jc w:val="left"/>
        <w:rPr>
          <w:rFonts w:hint="default" w:ascii="仿宋_GB2312" w:hAnsi="宋体" w:eastAsia="仿宋_GB2312" w:cs="仿宋_GB2312"/>
          <w:bCs/>
          <w:color w:val="000000"/>
          <w:kern w:val="0"/>
          <w:sz w:val="32"/>
          <w:szCs w:val="32"/>
          <w:lang w:val="en-US" w:eastAsia="zh-CN" w:bidi="ar"/>
        </w:rPr>
      </w:pPr>
      <w:r>
        <w:rPr>
          <w:rFonts w:hint="eastAsia" w:ascii="仿宋_GB2312" w:hAnsi="宋体" w:eastAsia="仿宋_GB2312" w:cs="仿宋_GB2312"/>
          <w:bCs/>
          <w:color w:val="000000"/>
          <w:kern w:val="0"/>
          <w:sz w:val="32"/>
          <w:szCs w:val="32"/>
          <w:lang w:val="en-US" w:eastAsia="zh-CN" w:bidi="ar"/>
        </w:rPr>
        <w:t>2023 查尔玛乡人民政府收入预算总额为855.84万元，其中：当年财政拨款收入855.84万元。相应安排支出预算855.84万元，其中：一般公共服务562.13万元，国防支出2万元，社会保障和就业103.76万元，医疗卫生35.76万元,城乡社区支出5.96万元，农林水支出87.83万元，住房保障支出58.4万元。中央提前通知专项转移支付为0万元，</w:t>
      </w:r>
      <w:r>
        <w:rPr>
          <w:rFonts w:hint="eastAsia" w:ascii="仿宋_GB2312" w:hAnsi="宋体" w:eastAsia="仿宋_GB2312" w:cs="仿宋_GB2312"/>
          <w:bCs/>
          <w:color w:val="000000"/>
          <w:kern w:val="0"/>
          <w:sz w:val="32"/>
          <w:szCs w:val="32"/>
          <w:lang w:val="en-US" w:eastAsia="zh-CN" w:bidi="ar"/>
        </w:rPr>
        <w:t>我乡不存在举债政府债务情况。</w:t>
      </w:r>
    </w:p>
    <w:p w14:paraId="1BBE95DE">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000000"/>
          <w:kern w:val="0"/>
          <w:sz w:val="32"/>
          <w:szCs w:val="32"/>
          <w:lang w:val="en-US" w:eastAsia="zh-CN" w:bidi="ar"/>
        </w:rPr>
        <w:t xml:space="preserve">四、支出预算安排情况 </w:t>
      </w:r>
    </w:p>
    <w:p w14:paraId="5AE6E5F1">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查尔玛乡人民政府预算安排支出主要用于保障该部门机构正常运转、完成日常工作任务以及承担</w:t>
      </w:r>
      <w:r>
        <w:rPr>
          <w:rFonts w:hint="eastAsia" w:ascii="仿宋_GB2312" w:hAnsi="Calibri" w:eastAsia="仿宋_GB2312" w:cs="仿宋_GB2312"/>
          <w:bCs/>
          <w:kern w:val="2"/>
          <w:sz w:val="32"/>
          <w:szCs w:val="32"/>
          <w:lang w:val="en-US" w:eastAsia="zh-CN" w:bidi="ar"/>
        </w:rPr>
        <w:t>乡村</w:t>
      </w:r>
      <w:r>
        <w:rPr>
          <w:rFonts w:hint="eastAsia" w:ascii="仿宋_GB2312" w:hAnsi="宋体" w:eastAsia="仿宋_GB2312" w:cs="仿宋_GB2312"/>
          <w:bCs/>
          <w:color w:val="000000"/>
          <w:kern w:val="0"/>
          <w:sz w:val="32"/>
          <w:szCs w:val="32"/>
          <w:lang w:val="en-US" w:eastAsia="zh-CN" w:bidi="ar"/>
        </w:rPr>
        <w:t xml:space="preserve">事业发展相关工作。 </w:t>
      </w:r>
    </w:p>
    <w:p w14:paraId="182529FD">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 xml:space="preserve">基本支出834.15万元。其中人员经费支出788.46万元，机关运行经费45.69万元，其中：办公费17.2万元，印刷费5.2万元，电费5.2万元，差旅费3.7万元，工会经费5.19万元， 公务用车运行维护费9.2万元。 按支出功能分类主要用于以下方面: </w:t>
      </w:r>
    </w:p>
    <w:p w14:paraId="4B95BF98">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 xml:space="preserve">（一）一般公共服务562.13万元，主要用于机关及下属事业单位人员工资、日常运转以及为完成特定行政工作任务和事业发展目标而安排的年度项目支出。 </w:t>
      </w:r>
    </w:p>
    <w:p w14:paraId="7711F0AB">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 xml:space="preserve">（二）社会保障和就业103.76万元，主要用于机关及下属事业单位养老保险及职业年金缴费。 </w:t>
      </w:r>
    </w:p>
    <w:p w14:paraId="43C314A5">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 xml:space="preserve">（三）医疗卫生35.76万元，主要用于机关及下属事业单位按 照规定标准为职工缴纳的基本医疗保险及公务员医疗补助等支出。 </w:t>
      </w:r>
    </w:p>
    <w:p w14:paraId="21C3FB1E">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 xml:space="preserve">（四）住房保障支出 58.4万元，用于机关及下属事业单位按 照规定标准为职工缴纳住房公积金等支出。 </w:t>
      </w:r>
    </w:p>
    <w:p w14:paraId="50300629">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Calibri" w:eastAsia="仿宋_GB2312" w:cs="仿宋_GB2312"/>
          <w:bCs/>
          <w:kern w:val="2"/>
          <w:sz w:val="32"/>
          <w:szCs w:val="32"/>
          <w:lang w:val="en-US" w:eastAsia="zh-CN" w:bidi="ar"/>
        </w:rPr>
        <w:t>（五）农林水支出87.83万元，主要用于村公用经费及生活补助支持。</w:t>
      </w:r>
    </w:p>
    <w:p w14:paraId="24848BF9">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Calibri" w:eastAsia="仿宋_GB2312" w:cs="仿宋_GB2312"/>
          <w:bCs/>
          <w:kern w:val="2"/>
          <w:sz w:val="32"/>
          <w:szCs w:val="32"/>
          <w:lang w:val="en-US" w:eastAsia="zh-CN" w:bidi="ar"/>
        </w:rPr>
        <w:t>（六）城乡社区支出5.96万元，主要用于城乡环境卫生支出。</w:t>
      </w:r>
    </w:p>
    <w:p w14:paraId="0C9FC6FA">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Calibri" w:eastAsia="仿宋_GB2312" w:cs="仿宋_GB2312"/>
          <w:bCs/>
          <w:kern w:val="2"/>
          <w:sz w:val="32"/>
          <w:szCs w:val="32"/>
          <w:lang w:val="en-US" w:eastAsia="zh-CN" w:bidi="ar"/>
        </w:rPr>
        <w:t>（七）国防支出2万元，主要用于国防建设和保卫国家安全的支出。</w:t>
      </w:r>
    </w:p>
    <w:p w14:paraId="784DF606">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333333"/>
          <w:kern w:val="0"/>
          <w:sz w:val="32"/>
          <w:szCs w:val="32"/>
          <w:lang w:val="en-US" w:eastAsia="zh-CN" w:bidi="ar"/>
        </w:rPr>
        <w:t xml:space="preserve">五、较上年度增减变化 </w:t>
      </w:r>
    </w:p>
    <w:p w14:paraId="2584E2D4">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本年度预算拨款收入855.84万元较上年度预算</w:t>
      </w:r>
      <w:r>
        <w:rPr>
          <w:rFonts w:hint="eastAsia" w:ascii="仿宋_GB2312" w:hAnsi="Calibri" w:eastAsia="仿宋_GB2312" w:cs="仿宋_GB2312"/>
          <w:bCs/>
          <w:kern w:val="2"/>
          <w:sz w:val="32"/>
          <w:szCs w:val="32"/>
          <w:lang w:val="en-US" w:eastAsia="zh-CN" w:bidi="ar"/>
        </w:rPr>
        <w:t>681.92</w:t>
      </w:r>
      <w:r>
        <w:rPr>
          <w:rFonts w:hint="eastAsia" w:ascii="仿宋_GB2312" w:hAnsi="宋体" w:eastAsia="仿宋_GB2312" w:cs="仿宋_GB2312"/>
          <w:bCs/>
          <w:color w:val="000000"/>
          <w:kern w:val="0"/>
          <w:sz w:val="32"/>
          <w:szCs w:val="32"/>
          <w:lang w:val="en-US" w:eastAsia="zh-CN" w:bidi="ar"/>
        </w:rPr>
        <w:t>万元增加了25.5%，其中基本行政运行经费预算834.15万元，占全部总预算的97.47%，较上年</w:t>
      </w:r>
      <w:r>
        <w:rPr>
          <w:rFonts w:hint="eastAsia" w:ascii="仿宋_GB2312" w:hAnsi="Calibri" w:eastAsia="仿宋_GB2312" w:cs="仿宋_GB2312"/>
          <w:bCs/>
          <w:kern w:val="2"/>
          <w:sz w:val="32"/>
          <w:szCs w:val="32"/>
          <w:lang w:val="en-US" w:eastAsia="zh-CN" w:bidi="ar"/>
        </w:rPr>
        <w:t>663.85</w:t>
      </w:r>
      <w:r>
        <w:rPr>
          <w:rFonts w:hint="eastAsia" w:ascii="仿宋_GB2312" w:hAnsi="宋体" w:eastAsia="仿宋_GB2312" w:cs="仿宋_GB2312"/>
          <w:bCs/>
          <w:color w:val="000000"/>
          <w:kern w:val="0"/>
          <w:sz w:val="32"/>
          <w:szCs w:val="32"/>
          <w:lang w:val="en-US" w:eastAsia="zh-CN" w:bidi="ar"/>
        </w:rPr>
        <w:t>万元增加了25.65%，原因为</w:t>
      </w:r>
      <w:r>
        <w:rPr>
          <w:rFonts w:hint="eastAsia" w:ascii="仿宋_GB2312" w:hAnsi="Calibri" w:eastAsia="仿宋_GB2312" w:cs="仿宋_GB2312"/>
          <w:bCs/>
          <w:kern w:val="2"/>
          <w:sz w:val="32"/>
          <w:szCs w:val="32"/>
          <w:lang w:val="en-US" w:eastAsia="zh-CN" w:bidi="ar"/>
        </w:rPr>
        <w:t>人员增加，基本支出增加</w:t>
      </w:r>
      <w:r>
        <w:rPr>
          <w:rFonts w:hint="eastAsia" w:ascii="仿宋_GB2312" w:hAnsi="宋体" w:eastAsia="仿宋_GB2312" w:cs="仿宋_GB2312"/>
          <w:bCs/>
          <w:color w:val="000000"/>
          <w:kern w:val="0"/>
          <w:sz w:val="32"/>
          <w:szCs w:val="32"/>
          <w:lang w:val="en-US" w:eastAsia="zh-CN" w:bidi="ar"/>
        </w:rPr>
        <w:t>；专项业务工作经费预算21.69万元，占总预算的2.53%，较上年预算</w:t>
      </w:r>
      <w:r>
        <w:rPr>
          <w:rFonts w:hint="eastAsia" w:ascii="仿宋_GB2312" w:hAnsi="Calibri" w:eastAsia="仿宋_GB2312" w:cs="仿宋_GB2312"/>
          <w:bCs/>
          <w:kern w:val="2"/>
          <w:sz w:val="32"/>
          <w:szCs w:val="32"/>
          <w:lang w:val="en-US" w:eastAsia="zh-CN" w:bidi="ar"/>
        </w:rPr>
        <w:t>20.97</w:t>
      </w:r>
      <w:r>
        <w:rPr>
          <w:rFonts w:hint="eastAsia" w:ascii="仿宋_GB2312" w:hAnsi="宋体" w:eastAsia="仿宋_GB2312" w:cs="仿宋_GB2312"/>
          <w:bCs/>
          <w:color w:val="000000"/>
          <w:kern w:val="0"/>
          <w:sz w:val="32"/>
          <w:szCs w:val="32"/>
          <w:lang w:val="en-US" w:eastAsia="zh-CN" w:bidi="ar"/>
        </w:rPr>
        <w:t>万元增加了3.43%，主要原因为</w:t>
      </w:r>
      <w:r>
        <w:rPr>
          <w:rFonts w:hint="eastAsia" w:ascii="仿宋_GB2312" w:hAnsi="Calibri" w:eastAsia="仿宋_GB2312" w:cs="仿宋_GB2312"/>
          <w:bCs/>
          <w:kern w:val="2"/>
          <w:sz w:val="32"/>
          <w:szCs w:val="32"/>
          <w:lang w:val="en-US" w:eastAsia="zh-CN" w:bidi="ar"/>
        </w:rPr>
        <w:t>增加了项目经费开支，增加相关支出</w:t>
      </w:r>
      <w:r>
        <w:rPr>
          <w:rFonts w:hint="eastAsia" w:ascii="仿宋_GB2312" w:hAnsi="宋体" w:eastAsia="仿宋_GB2312" w:cs="仿宋_GB2312"/>
          <w:bCs/>
          <w:color w:val="000000"/>
          <w:kern w:val="0"/>
          <w:sz w:val="32"/>
          <w:szCs w:val="32"/>
          <w:lang w:val="en-US" w:eastAsia="zh-CN" w:bidi="ar"/>
        </w:rPr>
        <w:t xml:space="preserve">。 </w:t>
      </w:r>
    </w:p>
    <w:p w14:paraId="73987F0B">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333333"/>
          <w:kern w:val="0"/>
          <w:sz w:val="32"/>
          <w:szCs w:val="32"/>
          <w:lang w:val="en-US" w:eastAsia="zh-CN" w:bidi="ar"/>
        </w:rPr>
        <w:t xml:space="preserve">六、 “三公”经费预算 </w:t>
      </w:r>
    </w:p>
    <w:p w14:paraId="252E3EE2">
      <w:pPr>
        <w:keepNext w:val="0"/>
        <w:keepLines w:val="0"/>
        <w:widowControl/>
        <w:suppressLineNumbers w:val="0"/>
        <w:spacing w:before="0" w:beforeAutospacing="1" w:after="0" w:afterAutospacing="1" w:line="560" w:lineRule="exact"/>
        <w:ind w:left="0" w:right="0" w:firstLine="640" w:firstLineChars="200"/>
        <w:jc w:val="left"/>
        <w:rPr>
          <w:rFonts w:hint="eastAsia" w:ascii="仿宋_GB2312" w:hAnsi="宋体" w:eastAsia="仿宋_GB2312" w:cs="仿宋_GB2312"/>
          <w:bCs/>
          <w:color w:val="000000"/>
          <w:kern w:val="0"/>
          <w:sz w:val="32"/>
          <w:szCs w:val="32"/>
          <w:lang w:val="en-US" w:eastAsia="zh-CN" w:bidi="ar"/>
        </w:rPr>
      </w:pPr>
      <w:r>
        <w:rPr>
          <w:rFonts w:hint="eastAsia" w:ascii="仿宋_GB2312" w:hAnsi="宋体" w:eastAsia="仿宋_GB2312" w:cs="仿宋_GB2312"/>
          <w:bCs/>
          <w:color w:val="000000"/>
          <w:kern w:val="0"/>
          <w:sz w:val="32"/>
          <w:szCs w:val="32"/>
          <w:lang w:val="en-US" w:eastAsia="zh-CN" w:bidi="ar"/>
        </w:rPr>
        <w:t>本年度三公经费预算安排支出为9.2万元，其中：出国费 0 万元，与上年持平，主要原因为未安排因公出国；公车购置费0元，与</w:t>
      </w:r>
      <w:r>
        <w:rPr>
          <w:rFonts w:hint="eastAsia" w:ascii="仿宋_GB2312" w:hAnsi="宋体" w:eastAsia="仿宋_GB2312" w:cs="仿宋_GB2312"/>
          <w:bCs/>
          <w:color w:val="000000"/>
          <w:kern w:val="0"/>
          <w:sz w:val="32"/>
          <w:szCs w:val="32"/>
          <w:lang w:val="en-US" w:eastAsia="zh-CN" w:bidi="ar"/>
        </w:rPr>
        <w:t xml:space="preserve">上年持平；公务用车维护费支出9.2万元，与上年持平，公务用车购置费支出预算数为0.00万元，公务用车运行维护费支出决算数为9.2万元；公务接待费0万元，较上年度预算持平。以上原因为厉行节约。 </w:t>
      </w:r>
    </w:p>
    <w:p w14:paraId="422EBD4F">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333333"/>
          <w:kern w:val="0"/>
          <w:sz w:val="32"/>
          <w:szCs w:val="32"/>
          <w:lang w:val="en-US" w:eastAsia="zh-CN" w:bidi="ar"/>
        </w:rPr>
        <w:t xml:space="preserve">七、政府性基金预算收支情况说明 </w:t>
      </w:r>
    </w:p>
    <w:p w14:paraId="0BE2352F">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 xml:space="preserve">2023 年没有使用政府性基金预算拨款安排的支出。 </w:t>
      </w:r>
    </w:p>
    <w:p w14:paraId="4705522B">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333333"/>
          <w:kern w:val="0"/>
          <w:sz w:val="32"/>
          <w:szCs w:val="32"/>
          <w:lang w:val="en-US" w:eastAsia="zh-CN" w:bidi="ar"/>
        </w:rPr>
        <w:t xml:space="preserve">八、国有资本经营预算收支情况说明 </w:t>
      </w:r>
    </w:p>
    <w:p w14:paraId="5C1AEB7C">
      <w:pPr>
        <w:keepNext w:val="0"/>
        <w:keepLines w:val="0"/>
        <w:widowControl/>
        <w:suppressLineNumbers w:val="0"/>
        <w:spacing w:before="0" w:beforeAutospacing="1" w:after="0" w:afterAutospacing="1"/>
        <w:ind w:left="0" w:right="0" w:firstLine="640" w:firstLineChars="200"/>
        <w:jc w:val="left"/>
      </w:pPr>
      <w:r>
        <w:rPr>
          <w:rFonts w:hint="eastAsia" w:ascii="仿宋_GB2312" w:hAnsi="宋体" w:eastAsia="仿宋_GB2312" w:cs="仿宋_GB2312"/>
          <w:bCs/>
          <w:color w:val="000000"/>
          <w:kern w:val="0"/>
          <w:sz w:val="32"/>
          <w:szCs w:val="32"/>
          <w:lang w:val="en-US" w:eastAsia="zh-CN" w:bidi="ar"/>
        </w:rPr>
        <w:t xml:space="preserve">2023年没有使用国有资本经营预算拨款安排的支出。 </w:t>
      </w:r>
    </w:p>
    <w:p w14:paraId="17EF7B72">
      <w:pPr>
        <w:keepNext w:val="0"/>
        <w:keepLines w:val="0"/>
        <w:widowControl/>
        <w:suppressLineNumbers w:val="0"/>
        <w:spacing w:before="0" w:beforeAutospacing="1" w:after="0" w:afterAutospacing="1"/>
        <w:ind w:left="0" w:right="0"/>
        <w:jc w:val="left"/>
      </w:pPr>
      <w:r>
        <w:rPr>
          <w:rFonts w:hint="eastAsia" w:ascii="黑体" w:hAnsi="宋体" w:eastAsia="黑体" w:cs="黑体"/>
          <w:bCs/>
          <w:color w:val="333333"/>
          <w:kern w:val="0"/>
          <w:sz w:val="32"/>
          <w:szCs w:val="32"/>
          <w:lang w:val="en-US" w:eastAsia="zh-CN" w:bidi="ar"/>
        </w:rPr>
        <w:t xml:space="preserve">九、其他重要事项的情况说明 </w:t>
      </w:r>
    </w:p>
    <w:p w14:paraId="43B55630">
      <w:pPr>
        <w:keepNext w:val="0"/>
        <w:keepLines w:val="0"/>
        <w:widowControl/>
        <w:suppressLineNumbers w:val="0"/>
        <w:spacing w:before="0" w:beforeAutospacing="1" w:after="0" w:afterAutospacing="1"/>
        <w:ind w:left="0" w:right="0"/>
        <w:jc w:val="left"/>
      </w:pPr>
      <w:r>
        <w:rPr>
          <w:rFonts w:hint="eastAsia" w:ascii="楷体_GB2312" w:hAnsi="宋体" w:eastAsia="楷体_GB2312" w:cs="楷体_GB2312"/>
          <w:bCs/>
          <w:color w:val="333333"/>
          <w:kern w:val="0"/>
          <w:sz w:val="32"/>
          <w:szCs w:val="32"/>
          <w:lang w:val="en-US" w:eastAsia="zh-CN" w:bidi="ar"/>
        </w:rPr>
        <w:t xml:space="preserve">（一）政府采购预算情况 </w:t>
      </w:r>
    </w:p>
    <w:p w14:paraId="07814BC5">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Calibri" w:eastAsia="仿宋_GB2312" w:cs="仿宋_GB2312"/>
          <w:bCs/>
          <w:kern w:val="2"/>
          <w:sz w:val="32"/>
          <w:szCs w:val="32"/>
          <w:lang w:val="en-US" w:eastAsia="zh-CN" w:bidi="ar"/>
        </w:rPr>
        <w:t>2023年度安排政府采购预算0万元，无采购安排。</w:t>
      </w:r>
    </w:p>
    <w:p w14:paraId="5C8FDE64">
      <w:pPr>
        <w:keepNext w:val="0"/>
        <w:keepLines w:val="0"/>
        <w:widowControl/>
        <w:suppressLineNumbers w:val="0"/>
        <w:spacing w:before="0" w:beforeAutospacing="1" w:after="0" w:afterAutospacing="1"/>
        <w:ind w:left="0" w:right="0"/>
        <w:jc w:val="left"/>
      </w:pPr>
      <w:r>
        <w:rPr>
          <w:rFonts w:hint="eastAsia" w:ascii="楷体_GB2312" w:hAnsi="宋体" w:eastAsia="楷体_GB2312" w:cs="楷体_GB2312"/>
          <w:bCs/>
          <w:color w:val="333333"/>
          <w:kern w:val="0"/>
          <w:sz w:val="32"/>
          <w:szCs w:val="32"/>
          <w:lang w:val="en-US" w:eastAsia="zh-CN" w:bidi="ar"/>
        </w:rPr>
        <w:t xml:space="preserve">（二）政府财政国有资产占用情况 </w:t>
      </w:r>
    </w:p>
    <w:p w14:paraId="3E044026">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Calibri" w:eastAsia="仿宋_GB2312" w:cs="仿宋_GB2312"/>
          <w:bCs/>
          <w:kern w:val="2"/>
          <w:sz w:val="32"/>
          <w:szCs w:val="32"/>
          <w:lang w:val="en-US" w:eastAsia="zh-CN" w:bidi="ar"/>
        </w:rPr>
        <w:t>截止2022年底，实际共有固定资产价值124.63万元：其中：公务用车22.69万元；业务用房101.94万元。</w:t>
      </w:r>
    </w:p>
    <w:p w14:paraId="75FE54FD">
      <w:pPr>
        <w:keepNext w:val="0"/>
        <w:keepLines w:val="0"/>
        <w:widowControl/>
        <w:suppressLineNumbers w:val="0"/>
        <w:spacing w:before="0" w:beforeAutospacing="1" w:after="0" w:afterAutospacing="1"/>
        <w:ind w:left="0" w:right="0"/>
        <w:jc w:val="left"/>
      </w:pPr>
      <w:r>
        <w:rPr>
          <w:rFonts w:hint="eastAsia" w:ascii="楷体_GB2312" w:hAnsi="宋体" w:eastAsia="楷体_GB2312" w:cs="楷体_GB2312"/>
          <w:bCs/>
          <w:color w:val="333333"/>
          <w:kern w:val="0"/>
          <w:sz w:val="32"/>
          <w:szCs w:val="32"/>
          <w:lang w:val="en-US" w:eastAsia="zh-CN" w:bidi="ar"/>
        </w:rPr>
        <w:t>（三）绩效目标设置情况</w:t>
      </w:r>
    </w:p>
    <w:p w14:paraId="67B2FDC5">
      <w:pPr>
        <w:numPr>
          <w:ilvl w:val="0"/>
          <w:numId w:val="0"/>
        </w:numPr>
        <w:spacing w:line="560" w:lineRule="exact"/>
        <w:ind w:firstLine="640" w:firstLineChars="200"/>
      </w:pPr>
      <w:r>
        <w:rPr>
          <w:rFonts w:hint="eastAsia" w:ascii="仿宋_GB2312" w:hAnsi="Calibri" w:eastAsia="仿宋_GB2312" w:cs="仿宋_GB2312"/>
          <w:bCs/>
          <w:kern w:val="2"/>
          <w:sz w:val="32"/>
          <w:szCs w:val="32"/>
          <w:lang w:val="en-US" w:eastAsia="zh-CN" w:bidi="ar"/>
        </w:rPr>
        <w:t>绩效目标是预算编制的前提和基础，按照“费随事定”的原则，2023年我单位项目支出按要求编制了绩效目标，从项目完成、项目效益、满意度。</w:t>
      </w:r>
      <w:r>
        <w:rPr>
          <w:rFonts w:hint="eastAsia" w:ascii="仿宋_GB2312" w:hAnsi="仿宋_GB2312" w:eastAsia="仿宋_GB2312"/>
          <w:sz w:val="32"/>
          <w:szCs w:val="32"/>
          <w:highlight w:val="none"/>
          <w:lang w:val="en-US" w:eastAsia="zh-CN"/>
        </w:rPr>
        <w:t>2023</w:t>
      </w:r>
      <w:r>
        <w:rPr>
          <w:rFonts w:hint="eastAsia" w:ascii="仿宋_GB2312" w:eastAsia="仿宋_GB2312"/>
          <w:bCs/>
          <w:sz w:val="32"/>
          <w:szCs w:val="32"/>
          <w:highlight w:val="none"/>
        </w:rPr>
        <w:t xml:space="preserve"> 年开展绩效目标管理的项目</w:t>
      </w:r>
      <w:r>
        <w:rPr>
          <w:rFonts w:hint="eastAsia" w:ascii="仿宋_GB2312" w:hAnsi="仿宋_GB2312" w:eastAsia="仿宋_GB2312"/>
          <w:sz w:val="32"/>
          <w:szCs w:val="32"/>
          <w:highlight w:val="none"/>
          <w:lang w:val="en-US" w:eastAsia="zh-CN"/>
        </w:rPr>
        <w:t>36</w:t>
      </w:r>
      <w:r>
        <w:rPr>
          <w:rFonts w:hint="eastAsia" w:ascii="仿宋_GB2312" w:eastAsia="仿宋_GB2312"/>
          <w:bCs/>
          <w:sz w:val="32"/>
          <w:szCs w:val="32"/>
          <w:highlight w:val="none"/>
        </w:rPr>
        <w:t xml:space="preserve">个，涉及预算 </w:t>
      </w:r>
      <w:r>
        <w:rPr>
          <w:rFonts w:hint="eastAsia" w:ascii="仿宋_GB2312" w:eastAsia="仿宋_GB2312"/>
          <w:sz w:val="32"/>
          <w:szCs w:val="32"/>
          <w:highlight w:val="none"/>
        </w:rPr>
        <w:t>1074.631528</w:t>
      </w:r>
      <w:r>
        <w:rPr>
          <w:rFonts w:hint="eastAsia" w:ascii="仿宋_GB2312" w:eastAsia="仿宋_GB2312"/>
          <w:sz w:val="32"/>
          <w:szCs w:val="32"/>
          <w:highlight w:val="none"/>
          <w:lang w:val="en-US" w:eastAsia="zh-CN"/>
        </w:rPr>
        <w:t>万</w:t>
      </w:r>
      <w:r>
        <w:rPr>
          <w:rFonts w:hint="eastAsia" w:ascii="仿宋_GB2312" w:eastAsia="仿宋_GB2312"/>
          <w:bCs/>
          <w:sz w:val="32"/>
          <w:szCs w:val="32"/>
          <w:highlight w:val="none"/>
        </w:rPr>
        <w:t>元。</w:t>
      </w:r>
    </w:p>
    <w:p w14:paraId="450F2DFB">
      <w:pPr>
        <w:keepNext w:val="0"/>
        <w:keepLines w:val="0"/>
        <w:widowControl/>
        <w:suppressLineNumbers w:val="0"/>
        <w:autoSpaceDE w:val="0"/>
        <w:autoSpaceDN/>
        <w:spacing w:before="0" w:beforeAutospacing="1" w:after="0" w:afterAutospacing="1" w:line="560" w:lineRule="exact"/>
        <w:ind w:left="0" w:right="0"/>
        <w:jc w:val="left"/>
      </w:pPr>
      <w:r>
        <w:rPr>
          <w:rFonts w:hint="eastAsia" w:ascii="黑体" w:hAnsi="宋体" w:eastAsia="黑体" w:cs="黑体"/>
          <w:bCs/>
          <w:color w:val="333333"/>
          <w:kern w:val="0"/>
          <w:sz w:val="32"/>
          <w:szCs w:val="32"/>
          <w:lang w:val="en-US" w:eastAsia="zh-CN" w:bidi="ar"/>
        </w:rPr>
        <w:t xml:space="preserve">十、名词解释 </w:t>
      </w:r>
    </w:p>
    <w:p w14:paraId="77421E7A">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1.财政拨款收入：指财政部门核拨给单位的财政预算资金。 </w:t>
      </w:r>
    </w:p>
    <w:p w14:paraId="7D0DC350">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2.其他收入：指除上述财政部门拨付单位以外的收入。 </w:t>
      </w:r>
    </w:p>
    <w:p w14:paraId="1A754E38">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3.基本支出：指为保障单位机关正常运转、完成日常工作任 </w:t>
      </w:r>
    </w:p>
    <w:p w14:paraId="45E92535">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务而发生的人员支出和公用支出。 </w:t>
      </w:r>
    </w:p>
    <w:p w14:paraId="71A90742">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4.项目支出：指在基本支出之外为完成特定行政任务和事业 </w:t>
      </w:r>
    </w:p>
    <w:p w14:paraId="442EDE08">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发展目标所发生的支出。 </w:t>
      </w:r>
    </w:p>
    <w:p w14:paraId="1BB2CEBB">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5、机关运行经费：为保障单位机关运行用于购买货物和服 </w:t>
      </w:r>
    </w:p>
    <w:p w14:paraId="6CB05C77">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务的各项资金，包括办公及印刷费、邮电费、差旅费、会议费、福利费、日常维修费、专用材料及一般设备购置费、办公用房水电费、办公用房取暖费、办公用房物业管理费、公务用车运行维护费以及其他费用。 </w:t>
      </w:r>
    </w:p>
    <w:p w14:paraId="19C53A11">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附件：表 1.部门收支总表</w:t>
      </w:r>
    </w:p>
    <w:p w14:paraId="360C0477">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表 2.部门收入总表</w:t>
      </w:r>
    </w:p>
    <w:p w14:paraId="0812F4C7">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3.部门支出总表 </w:t>
      </w:r>
    </w:p>
    <w:p w14:paraId="15E6F73B">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4. 财政拨款收支预算总表 </w:t>
      </w:r>
    </w:p>
    <w:p w14:paraId="14C74D31">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5. 财政拨款收支预算总表（部门经济分类科目） </w:t>
      </w:r>
    </w:p>
    <w:p w14:paraId="7F63F1BA">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6.一般公共预算支出预算表 </w:t>
      </w:r>
    </w:p>
    <w:p w14:paraId="0A838CD8">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7.一般公共预算基本支出预算表 </w:t>
      </w:r>
    </w:p>
    <w:p w14:paraId="25781DE4">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8.一般公共预算项目支出预算表 </w:t>
      </w:r>
    </w:p>
    <w:p w14:paraId="29C82B8B">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9.一般公共预算“三公”经费支出预算表 </w:t>
      </w:r>
    </w:p>
    <w:p w14:paraId="68821822">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表 10.政府性基金支出预算表</w:t>
      </w:r>
    </w:p>
    <w:p w14:paraId="13A04F88">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 xml:space="preserve">表 11. 政府性基金预算“三公”经费支出预算表 </w:t>
      </w:r>
    </w:p>
    <w:p w14:paraId="7202A5BC">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表 12.国有资本经营预算支出预算表</w:t>
      </w:r>
    </w:p>
    <w:p w14:paraId="20B9FD2E">
      <w:pPr>
        <w:keepNext w:val="0"/>
        <w:keepLines w:val="0"/>
        <w:widowControl/>
        <w:suppressLineNumbers w:val="0"/>
        <w:autoSpaceDE w:val="0"/>
        <w:autoSpaceDN/>
        <w:spacing w:before="0" w:beforeAutospacing="1" w:after="0" w:afterAutospacing="1" w:line="560" w:lineRule="exact"/>
        <w:ind w:left="0" w:right="0"/>
        <w:jc w:val="left"/>
      </w:pPr>
      <w:r>
        <w:rPr>
          <w:rFonts w:hint="eastAsia" w:ascii="仿宋_GB2312" w:hAnsi="宋体" w:eastAsia="仿宋_GB2312" w:cs="仿宋_GB2312"/>
          <w:bCs/>
          <w:color w:val="000000"/>
          <w:kern w:val="0"/>
          <w:sz w:val="32"/>
          <w:szCs w:val="32"/>
          <w:lang w:val="en-US" w:eastAsia="zh-CN" w:bidi="ar"/>
        </w:rPr>
        <w:t>表 13.部门项目支出绩效目标表（2023 年度）</w:t>
      </w:r>
    </w:p>
    <w:p w14:paraId="146059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kNGFlNGNjMWFlNDYyYzQzMDllYWZhNmI3MzY2MDgifQ=="/>
  </w:docVars>
  <w:rsids>
    <w:rsidRoot w:val="3D503C08"/>
    <w:rsid w:val="3D503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snapToGrid w:val="0"/>
      <w:jc w:val="left"/>
    </w:pPr>
    <w:rPr>
      <w:sz w:val="18"/>
      <w:szCs w:val="18"/>
      <w:lang w:val="zh-CN" w:eastAsia="zh-CN"/>
    </w:rPr>
  </w:style>
  <w:style w:type="paragraph" w:styleId="4">
    <w:name w:val="Body Text Indent"/>
    <w:basedOn w:val="1"/>
    <w:next w:val="5"/>
    <w:qFormat/>
    <w:uiPriority w:val="0"/>
    <w:pPr>
      <w:spacing w:after="120"/>
      <w:ind w:leftChars="200"/>
    </w:pPr>
    <w:rPr>
      <w:rFonts w:ascii="仿宋_GB2312"/>
      <w:szCs w:val="32"/>
    </w:rPr>
  </w:style>
  <w:style w:type="paragraph" w:styleId="5">
    <w:name w:val="Body Text First Indent 2"/>
    <w:basedOn w:val="4"/>
    <w:next w:val="1"/>
    <w:unhideWhenUsed/>
    <w:qFormat/>
    <w:uiPriority w:val="99"/>
    <w:pPr>
      <w:ind w:firstLine="420" w:firstLineChars="20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2024-08-15T09:30:00Z</dcterms:created>
  <dc:creator>盒子精</dc:creator>
  <cp:lastModifiedBy>盒子精</cp:lastModifiedBy>
  <dcterms:modified xsi:type="dcterms:W3CDTF">2024-08-15T10:45:33Z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AE4011D5B5234739B33C24F8152D6609_11</vt:lpwstr>
  </property>
</Properties>
</file>