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pStyle w:val="2"/>
        <w:bidi w:val="0"/>
        <w:jc w:val="center"/>
        <w:rPr>
          <w:rFonts w:hint="eastAsia" w:eastAsia="宋体"/>
          <w:lang w:eastAsia="zh-CN"/>
        </w:rPr>
      </w:pPr>
      <w:r>
        <w:rPr>
          <w:rFonts w:hint="eastAsia"/>
        </w:rPr>
        <w:t>关于红原县社会保险</w:t>
      </w:r>
      <w:r>
        <w:rPr>
          <w:rFonts w:hint="eastAsia"/>
          <w:lang w:val="en-US" w:eastAsia="zh-CN"/>
        </w:rPr>
        <w:t>事务中心</w:t>
      </w:r>
    </w:p>
    <w:p>
      <w:pPr>
        <w:pStyle w:val="2"/>
        <w:bidi w:val="0"/>
        <w:jc w:val="center"/>
      </w:pPr>
      <w:r>
        <w:rPr>
          <w:rFonts w:hint="eastAsia"/>
        </w:rPr>
        <w:t>202</w:t>
      </w:r>
      <w:r>
        <w:rPr>
          <w:rFonts w:hint="eastAsia"/>
          <w:lang w:val="en-US" w:eastAsia="zh-CN"/>
        </w:rPr>
        <w:t>3</w:t>
      </w:r>
      <w:r>
        <w:rPr>
          <w:rFonts w:hint="eastAsia"/>
        </w:rPr>
        <w:t>年部门预算编制的说明</w:t>
      </w:r>
      <w:bookmarkStart w:id="0" w:name="_GoBack"/>
      <w:bookmarkEnd w:id="0"/>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spacing w:line="580" w:lineRule="exact"/>
        <w:ind w:firstLine="640" w:firstLineChars="200"/>
        <w:rPr>
          <w:rFonts w:ascii="仿宋" w:hAnsi="仿宋" w:eastAsia="仿宋" w:cs="楷体_GB2312"/>
          <w:b/>
          <w:sz w:val="32"/>
          <w:szCs w:val="32"/>
        </w:rPr>
      </w:pPr>
      <w:r>
        <w:rPr>
          <w:rFonts w:hint="eastAsia" w:ascii="仿宋" w:hAnsi="仿宋" w:eastAsia="仿宋" w:cs="仿宋"/>
          <w:sz w:val="32"/>
          <w:szCs w:val="32"/>
        </w:rPr>
        <w:t>充分发挥社会保险职能优势，夯实各项基础管理工作，规范管理工作和服务机制，推动我县社会保险工作取得更大发展。加大社保政策的宣传力度，扩大全县社保征缴面，着重抓好职业年金征收工作；做好退休人员验证和待遇发放工作，验证数据全部进入全省验证审核系统，更好的为参保对象服好务；加强社会保险稽核工作力度，确保基金收支的安全性。</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numPr>
          <w:ilvl w:val="0"/>
          <w:numId w:val="1"/>
        </w:num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继续扎实推进社保精准扩面。继续实施“社保精准扩面行动”，推动实现城镇职工养老保险和工伤保险应参尽参、应保尽保。加强数据共享比对和数据筛查清理，进一步摸清参保底数，通过申报核定、审计稽核等工作措施，精准推进农民工、灵活就业人员、新就业形态从业人员等重点群体参加企业职工养老保险。全面实施《四川省工伤保险条例》，持续推进建筑施工单位按工程建设项目参加工伤保险，同时结合我县实际，开展尘肺病等重点行业工伤保险扩面专项行动。</w:t>
      </w:r>
    </w:p>
    <w:p>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（二）有序推进久马高速被征地农民养老保险工作。积极向被征地农民宣传养老保险政策，与久马高速协调小组和自然资源局等部门联系对接，按照相关文件规定开展被征地农民养老保险预交金额核算。</w:t>
      </w:r>
    </w:p>
    <w:p>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（三）扩大政策宣传面，创新宣传方式。对我县群众关心的工伤保险、养老保险关系转移接续</w:t>
      </w:r>
      <w:r>
        <w:rPr>
          <w:rFonts w:hint="eastAsia" w:ascii="仿宋" w:hAnsi="仿宋" w:eastAsia="仿宋" w:cs="仿宋"/>
          <w:sz w:val="32"/>
          <w:szCs w:val="32"/>
          <w:lang w:eastAsia="zh-CN"/>
        </w:rPr>
        <w:t>、养老金资格领取认证、社保费征收职责划转移交经办、</w:t>
      </w:r>
      <w:r>
        <w:rPr>
          <w:rFonts w:hint="eastAsia" w:ascii="仿宋" w:hAnsi="仿宋" w:eastAsia="仿宋" w:cs="仿宋"/>
          <w:sz w:val="32"/>
          <w:szCs w:val="32"/>
        </w:rPr>
        <w:t>社会保险经办工作业务流程</w:t>
      </w:r>
      <w:r>
        <w:rPr>
          <w:rFonts w:hint="eastAsia" w:ascii="仿宋" w:hAnsi="仿宋" w:eastAsia="仿宋" w:cs="仿宋"/>
          <w:sz w:val="32"/>
          <w:szCs w:val="32"/>
          <w:lang w:eastAsia="zh-CN"/>
        </w:rPr>
        <w:t>等热点问题</w:t>
      </w:r>
      <w:r>
        <w:rPr>
          <w:rFonts w:hint="eastAsia" w:ascii="仿宋" w:hAnsi="仿宋" w:eastAsia="仿宋" w:cs="仿宋"/>
          <w:sz w:val="32"/>
          <w:szCs w:val="32"/>
          <w:lang w:val="en-US" w:eastAsia="zh-CN"/>
        </w:rPr>
        <w:t>开展系列有针对性的宣传活动</w:t>
      </w:r>
      <w:r>
        <w:rPr>
          <w:rFonts w:hint="eastAsia" w:ascii="仿宋" w:hAnsi="仿宋" w:eastAsia="仿宋" w:cs="仿宋"/>
          <w:sz w:val="32"/>
          <w:szCs w:val="32"/>
          <w:lang w:eastAsia="zh-CN"/>
        </w:rPr>
        <w:t>，切实提升我县社保政策宣传的有效性。</w:t>
      </w:r>
    </w:p>
    <w:p>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（四</w:t>
      </w:r>
      <w:r>
        <w:rPr>
          <w:rFonts w:hint="eastAsia" w:ascii="仿宋" w:hAnsi="仿宋" w:eastAsia="仿宋" w:cs="仿宋"/>
          <w:sz w:val="32"/>
          <w:szCs w:val="32"/>
          <w:lang w:val="en-US" w:eastAsia="zh-CN"/>
        </w:rPr>
        <w:t>）继续扎实推进养老保险关系无障碍转移。优化社保费征收职责划转工作，积极宣传职业年金电子发票的使用；加强与税务对接，提高征收业务经办服务水平和社保公共服务能力，让办事群众少跑路。</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spacing w:line="560" w:lineRule="exact"/>
        <w:ind w:firstLine="640" w:firstLineChars="200"/>
        <w:rPr>
          <w:rFonts w:hint="eastAsia"/>
          <w:sz w:val="32"/>
          <w:szCs w:val="32"/>
        </w:rPr>
      </w:pPr>
      <w:r>
        <w:rPr>
          <w:rFonts w:hint="eastAsia" w:ascii="仿宋" w:hAnsi="仿宋" w:eastAsia="仿宋" w:cs="仿宋"/>
          <w:sz w:val="32"/>
          <w:szCs w:val="32"/>
        </w:rPr>
        <w:t>红原县社会保险事业管理局现有办公室、财务股、统征股、养老保险股、稽核股、退管股、工伤生育股共7个股室组成。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年红原县社会保险事业管理局收入预算总额为</w:t>
      </w:r>
      <w:r>
        <w:rPr>
          <w:rFonts w:hint="eastAsia" w:ascii="仿宋" w:hAnsi="仿宋" w:eastAsia="仿宋"/>
          <w:sz w:val="32"/>
          <w:szCs w:val="32"/>
          <w:lang w:val="en-US" w:eastAsia="zh-CN"/>
        </w:rPr>
        <w:t>425.63</w:t>
      </w:r>
      <w:r>
        <w:rPr>
          <w:rFonts w:hint="eastAsia" w:ascii="仿宋" w:hAnsi="仿宋" w:eastAsia="仿宋"/>
          <w:sz w:val="32"/>
          <w:szCs w:val="32"/>
        </w:rPr>
        <w:t>万元，其中：当年财政拨款收入</w:t>
      </w:r>
      <w:r>
        <w:rPr>
          <w:rFonts w:hint="eastAsia" w:ascii="仿宋" w:hAnsi="仿宋" w:eastAsia="仿宋"/>
          <w:sz w:val="32"/>
          <w:szCs w:val="32"/>
          <w:lang w:val="en-US" w:eastAsia="zh-CN"/>
        </w:rPr>
        <w:t>425.63</w:t>
      </w:r>
      <w:r>
        <w:rPr>
          <w:rFonts w:hint="eastAsia" w:ascii="仿宋" w:hAnsi="仿宋" w:eastAsia="仿宋"/>
          <w:sz w:val="32"/>
          <w:szCs w:val="32"/>
        </w:rPr>
        <w:t>万元。相应安排支出预算</w:t>
      </w:r>
      <w:r>
        <w:rPr>
          <w:rFonts w:hint="eastAsia" w:ascii="仿宋" w:hAnsi="仿宋" w:eastAsia="仿宋"/>
          <w:sz w:val="32"/>
          <w:szCs w:val="32"/>
          <w:lang w:val="en-US" w:eastAsia="zh-CN"/>
        </w:rPr>
        <w:t>425.63</w:t>
      </w:r>
      <w:r>
        <w:rPr>
          <w:rFonts w:hint="eastAsia" w:ascii="仿宋" w:hAnsi="仿宋" w:eastAsia="仿宋"/>
          <w:sz w:val="32"/>
          <w:szCs w:val="32"/>
        </w:rPr>
        <w:t>万元，其中：社会保障和就业</w:t>
      </w:r>
      <w:r>
        <w:rPr>
          <w:rFonts w:hint="eastAsia" w:ascii="仿宋" w:hAnsi="仿宋" w:eastAsia="仿宋"/>
          <w:sz w:val="32"/>
          <w:szCs w:val="32"/>
          <w:lang w:val="en-US" w:eastAsia="zh-CN"/>
        </w:rPr>
        <w:t>377.16</w:t>
      </w:r>
      <w:r>
        <w:rPr>
          <w:rFonts w:hint="eastAsia" w:ascii="仿宋" w:hAnsi="仿宋" w:eastAsia="仿宋"/>
          <w:sz w:val="32"/>
          <w:szCs w:val="32"/>
        </w:rPr>
        <w:t>万元，医疗卫生</w:t>
      </w:r>
      <w:r>
        <w:rPr>
          <w:rFonts w:hint="eastAsia" w:ascii="仿宋" w:hAnsi="仿宋" w:eastAsia="仿宋"/>
          <w:sz w:val="32"/>
          <w:szCs w:val="32"/>
          <w:lang w:val="en-US" w:eastAsia="zh-CN"/>
        </w:rPr>
        <w:t>19.01</w:t>
      </w:r>
      <w:r>
        <w:rPr>
          <w:rFonts w:hint="eastAsia" w:ascii="仿宋" w:hAnsi="仿宋" w:eastAsia="仿宋"/>
          <w:sz w:val="32"/>
          <w:szCs w:val="32"/>
        </w:rPr>
        <w:t>万元，住房保障支出</w:t>
      </w:r>
      <w:r>
        <w:rPr>
          <w:rFonts w:hint="eastAsia" w:ascii="仿宋" w:hAnsi="仿宋" w:eastAsia="仿宋"/>
          <w:sz w:val="32"/>
          <w:szCs w:val="32"/>
          <w:lang w:val="en-US" w:eastAsia="zh-CN"/>
        </w:rPr>
        <w:t>29.45</w:t>
      </w:r>
      <w:r>
        <w:rPr>
          <w:rFonts w:hint="eastAsia" w:ascii="仿宋" w:hAnsi="仿宋" w:eastAsia="仿宋"/>
          <w:sz w:val="32"/>
          <w:szCs w:val="32"/>
        </w:rPr>
        <w:t>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红原县社会保险事业管理局预算安排支出主要用于保障该部门机构正常运转、完成日常工作任务以及承担社会保险事业发展相关工作。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基本支出</w:t>
      </w:r>
      <w:r>
        <w:rPr>
          <w:rFonts w:hint="eastAsia" w:ascii="仿宋" w:hAnsi="仿宋" w:eastAsia="仿宋"/>
          <w:sz w:val="32"/>
          <w:szCs w:val="32"/>
          <w:lang w:val="en-US" w:eastAsia="zh-CN"/>
        </w:rPr>
        <w:t>264.26</w:t>
      </w:r>
      <w:r>
        <w:rPr>
          <w:rFonts w:hint="eastAsia" w:ascii="仿宋" w:hAnsi="仿宋" w:eastAsia="仿宋"/>
          <w:sz w:val="32"/>
          <w:szCs w:val="32"/>
        </w:rPr>
        <w:t>万元。其中人员经费支出</w:t>
      </w:r>
      <w:r>
        <w:rPr>
          <w:rFonts w:hint="eastAsia" w:ascii="仿宋" w:hAnsi="仿宋" w:eastAsia="仿宋"/>
          <w:sz w:val="32"/>
          <w:szCs w:val="32"/>
          <w:lang w:val="en-US" w:eastAsia="zh-CN"/>
        </w:rPr>
        <w:t>241.26</w:t>
      </w:r>
      <w:r>
        <w:rPr>
          <w:rFonts w:hint="eastAsia" w:ascii="仿宋" w:hAnsi="仿宋" w:eastAsia="仿宋"/>
          <w:sz w:val="32"/>
          <w:szCs w:val="32"/>
        </w:rPr>
        <w:t>万元，机关运行经费</w:t>
      </w:r>
      <w:r>
        <w:rPr>
          <w:rFonts w:hint="eastAsia" w:ascii="仿宋" w:hAnsi="仿宋" w:eastAsia="仿宋"/>
          <w:sz w:val="32"/>
          <w:szCs w:val="32"/>
          <w:lang w:val="en-US" w:eastAsia="zh-CN"/>
        </w:rPr>
        <w:t>24.28</w:t>
      </w:r>
      <w:r>
        <w:rPr>
          <w:rFonts w:hint="eastAsia" w:ascii="仿宋" w:hAnsi="仿宋" w:eastAsia="仿宋"/>
          <w:sz w:val="32"/>
          <w:szCs w:val="32"/>
        </w:rPr>
        <w:t>万元，其中：办公费</w:t>
      </w:r>
      <w:r>
        <w:rPr>
          <w:rFonts w:hint="eastAsia" w:ascii="仿宋" w:hAnsi="仿宋" w:eastAsia="仿宋"/>
          <w:sz w:val="32"/>
          <w:szCs w:val="32"/>
          <w:lang w:val="en-US" w:eastAsia="zh-CN"/>
        </w:rPr>
        <w:t>11.52</w:t>
      </w:r>
      <w:r>
        <w:rPr>
          <w:rFonts w:hint="eastAsia" w:ascii="仿宋" w:hAnsi="仿宋" w:eastAsia="仿宋"/>
          <w:sz w:val="32"/>
          <w:szCs w:val="32"/>
        </w:rPr>
        <w:t>万元，差旅费</w:t>
      </w:r>
      <w:r>
        <w:rPr>
          <w:rFonts w:hint="eastAsia" w:ascii="仿宋" w:hAnsi="仿宋" w:eastAsia="仿宋"/>
          <w:sz w:val="32"/>
          <w:szCs w:val="32"/>
          <w:lang w:val="en-US" w:eastAsia="zh-CN"/>
        </w:rPr>
        <w:t>2</w:t>
      </w:r>
      <w:r>
        <w:rPr>
          <w:rFonts w:hint="eastAsia" w:ascii="仿宋" w:hAnsi="仿宋" w:eastAsia="仿宋"/>
          <w:sz w:val="32"/>
          <w:szCs w:val="32"/>
        </w:rPr>
        <w:t>万元，公务用车运行维护费2.62万元。水电费</w:t>
      </w:r>
      <w:r>
        <w:rPr>
          <w:rFonts w:hint="eastAsia" w:ascii="仿宋" w:hAnsi="仿宋" w:eastAsia="仿宋"/>
          <w:sz w:val="32"/>
          <w:szCs w:val="32"/>
          <w:lang w:val="en-US" w:eastAsia="zh-CN"/>
        </w:rPr>
        <w:t>4.2</w:t>
      </w:r>
      <w:r>
        <w:rPr>
          <w:rFonts w:hint="eastAsia" w:ascii="仿宋" w:hAnsi="仿宋" w:eastAsia="仿宋"/>
          <w:sz w:val="32"/>
          <w:szCs w:val="32"/>
        </w:rPr>
        <w:t>万元，公务接待费0.2万元。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150.89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养老保险及职业年金缴费，以及企业养老保险省级统筹政府兜底、企改前退休职共统筹项目外生活补贴资金。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19.01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29.45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425.63万元较上年度预算666.74万元减少了36%，其中基本行政运行经费预算241.26万元，占全部总预算的56.68%，较上年264.25万元减少了8.7%，原因为在职人员减少；专项业务工作经费预算40.52万元，占总预算的9.52%，主要原因为按四川省人力资源和社会保障厅文件要求对工伤保险省级统筹的责任承担机制，此项目为新增项目。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2.82万元，其中：出国费0万元，与上年持平，主要原因为未安排因公出国；公车购置费0元，与上年持平；公务用车维护费支出2.62万元，较上年度预算2.62万元持平，主要原因严格执行“八项规定、六项禁令”；二是将有关股室的工作有机地结合起来，减少不必要的资源浪费。公务接待费0.2万元，较上年度预算持平，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截止2021年底，实际共有固定资产价值55.9</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8.6</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15.77</w:t>
      </w:r>
      <w:r>
        <w:rPr>
          <w:rFonts w:hint="eastAsia" w:ascii="仿宋_GB2312" w:eastAsia="仿宋_GB2312"/>
          <w:sz w:val="32"/>
          <w:szCs w:val="32"/>
          <w:lang w:eastAsia="zh-CN"/>
        </w:rPr>
        <w:t>万元；其他固定资产</w:t>
      </w:r>
      <w:r>
        <w:rPr>
          <w:rFonts w:hint="eastAsia" w:ascii="仿宋_GB2312" w:eastAsia="仿宋_GB2312"/>
          <w:sz w:val="32"/>
          <w:szCs w:val="32"/>
          <w:lang w:val="en-US" w:eastAsia="zh-CN"/>
        </w:rPr>
        <w:t>31.53万元。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9E05B"/>
    <w:multiLevelType w:val="singleLevel"/>
    <w:tmpl w:val="19A9E05B"/>
    <w:lvl w:ilvl="0" w:tentative="0">
      <w:start w:val="1"/>
      <w:numFmt w:val="chineseCounting"/>
      <w:suff w:val="nothing"/>
      <w:lvlText w:val="（%1）"/>
      <w:lvlJc w:val="left"/>
      <w:rPr>
        <w:rFonts w:hint="eastAsia"/>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3ODIwZGJiNDM5MzgyM2ViN2E5NTIxZDgwMTk3ODIifQ=="/>
  </w:docVars>
  <w:rsids>
    <w:rsidRoot w:val="00172A27"/>
    <w:rsid w:val="008C55E2"/>
    <w:rsid w:val="0ABF7C33"/>
    <w:rsid w:val="0DDC6C36"/>
    <w:rsid w:val="0DDD369F"/>
    <w:rsid w:val="10B92046"/>
    <w:rsid w:val="15667E2E"/>
    <w:rsid w:val="166359F7"/>
    <w:rsid w:val="18870CA9"/>
    <w:rsid w:val="19CA6221"/>
    <w:rsid w:val="1C87767A"/>
    <w:rsid w:val="1D813287"/>
    <w:rsid w:val="21977105"/>
    <w:rsid w:val="23B705A0"/>
    <w:rsid w:val="261411D9"/>
    <w:rsid w:val="2752557E"/>
    <w:rsid w:val="29D22A31"/>
    <w:rsid w:val="29F077A7"/>
    <w:rsid w:val="2B8B2A44"/>
    <w:rsid w:val="2C611C9B"/>
    <w:rsid w:val="2D241839"/>
    <w:rsid w:val="2D517681"/>
    <w:rsid w:val="2FBB13A7"/>
    <w:rsid w:val="32D51732"/>
    <w:rsid w:val="33893D79"/>
    <w:rsid w:val="3410528F"/>
    <w:rsid w:val="399B3B93"/>
    <w:rsid w:val="39BC18A6"/>
    <w:rsid w:val="3B1A42CC"/>
    <w:rsid w:val="3D7A5551"/>
    <w:rsid w:val="3FA05B48"/>
    <w:rsid w:val="402F3AF8"/>
    <w:rsid w:val="40A37B71"/>
    <w:rsid w:val="41C14C68"/>
    <w:rsid w:val="448B46D2"/>
    <w:rsid w:val="45107919"/>
    <w:rsid w:val="45CB512C"/>
    <w:rsid w:val="45EB15F4"/>
    <w:rsid w:val="48E87DFF"/>
    <w:rsid w:val="4D23689E"/>
    <w:rsid w:val="4E6D3932"/>
    <w:rsid w:val="4FA70A4B"/>
    <w:rsid w:val="526C07D3"/>
    <w:rsid w:val="54C81D0F"/>
    <w:rsid w:val="555E53B0"/>
    <w:rsid w:val="55947F09"/>
    <w:rsid w:val="56B17EBA"/>
    <w:rsid w:val="56F015BA"/>
    <w:rsid w:val="58502D96"/>
    <w:rsid w:val="594107F6"/>
    <w:rsid w:val="5E4E5B0D"/>
    <w:rsid w:val="5FE03C9F"/>
    <w:rsid w:val="603234CA"/>
    <w:rsid w:val="636966A0"/>
    <w:rsid w:val="670175BB"/>
    <w:rsid w:val="6A987C04"/>
    <w:rsid w:val="6FBF4B32"/>
    <w:rsid w:val="7025663B"/>
    <w:rsid w:val="70F00356"/>
    <w:rsid w:val="70F12491"/>
    <w:rsid w:val="722E4859"/>
    <w:rsid w:val="766D19F7"/>
    <w:rsid w:val="77EB3B18"/>
    <w:rsid w:val="7B08568D"/>
    <w:rsid w:val="7B312348"/>
    <w:rsid w:val="7B8F3E8F"/>
    <w:rsid w:val="7DDB7760"/>
    <w:rsid w:val="7F797D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2236</Words>
  <Characters>2407</Characters>
  <Lines>0</Lines>
  <Paragraphs>0</Paragraphs>
  <TotalTime>57</TotalTime>
  <ScaleCrop>false</ScaleCrop>
  <LinksUpToDate>false</LinksUpToDate>
  <CharactersWithSpaces>2454</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2023-04-19T03:34:37Z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8540F434690140B29DEE163182A94F6D_13</vt:lpwstr>
  </property>
</Properties>
</file>