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红原县住房和城乡建设局</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bookmarkStart w:id="0" w:name="_GoBack"/>
      <w:bookmarkEnd w:id="0"/>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3</w:t>
      </w:r>
      <w:r>
        <w:rPr>
          <w:rFonts w:hint="eastAsia" w:ascii="方正小标宋简体" w:hAnsi="方正小标宋简体" w:eastAsia="方正小标宋简体" w:cs="方正小标宋简体"/>
          <w:b w:val="0"/>
          <w:bCs/>
          <w:sz w:val="44"/>
          <w:szCs w:val="44"/>
        </w:rPr>
        <w:t>年部门预算编制的说明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2" w:firstLineChars="210"/>
        <w:textAlignment w:val="auto"/>
        <w:rPr>
          <w:rFonts w:hint="eastAsia"/>
          <w:sz w:val="32"/>
          <w:szCs w:val="32"/>
          <w:lang w:eastAsia="zh-CN"/>
        </w:rPr>
      </w:pPr>
      <w:r>
        <w:rPr>
          <w:rFonts w:hint="eastAsia"/>
          <w:sz w:val="32"/>
          <w:szCs w:val="32"/>
          <w:lang w:val="en-US" w:eastAsia="zh-CN"/>
        </w:rPr>
        <w:t xml:space="preserve"> 红原县</w:t>
      </w:r>
      <w:r>
        <w:rPr>
          <w:rFonts w:hint="eastAsia"/>
          <w:sz w:val="32"/>
          <w:szCs w:val="32"/>
          <w:lang w:eastAsia="zh-CN"/>
        </w:rPr>
        <w:t>住建局贯彻落实党中央关于住房和城乡建设、城市管理、城乡环境综合治理工作的方针政策和州委、县委的决策部署，在履行职责过程中坚持和加强党对住房和城乡建设工作的集中统一领导。主要职责是:贯彻执行国家、省、州住房和城乡建设、城市管理、城乡环境综合治理、住房保障、工程建设、城乡建设、建筑业、房屋装饰装修业、住宅与房地产业、市政公用事业的法律、法规、地方性规章和方针、政策，负责本系统、本部门依法行政工作，落实行政执法责任制；承担推进住房制度改革、保障城镇低收入家庭住房的责任。贯彻落实省、州住房及住房保障相关政策，指导住房建设，推进住房制度改革。会同有关部门加强保障性住房资金的管理。拟定全县住房保障发展规划和年度计划并监督实施；承担贯彻执行全县工程建设标准体系的责任。按照工程建设实施阶段的国家标准、四川省统一定额和行业标准定额以及工程建设的地方标准规定，监督各类工程建设标准定额的实施和工程造价计价，组织发布工程造价信息；承担规范房地产市场秩序、监督管理房地产市场的责任。会同有关部门组织拟订房地产市场监督管理政策并监督执行，提出房地产业的发展规划、发展计划和房地产市场监督管理措施，并监督执行。制定危房鉴定、白蚁防治、房地产估价物业管理、房屋征收拆迁的规谁制度并监督执行；承担监督管理建筑市场、规范市场各方主体行为的责任，指导全县建筑活动，拟订工程建设、建筑业及装饰装修业发展战略、中长期规划、改革方案、产业政策、规章制度并监督执行。配合相关部门汗展房屋建筑和市政基础设施工程项目招投标活动的监督。监督执行建设工程施工、监理以及规范建筑市场各方主体行为的规章倒度。负贵建筑工程质量安全的监督管理工作，监督执行建筑工程质量、建筑安全生产和竣工验收备案的政策、规章制度，组织或参与工程重大质量、安全事故的调查处理；承担监督管理勘察设计咨询市场秩序和勘察设计咨询质量的责任。指导实施工程勘察设计咨询业的发展战略、中长期规划、改革方案、产业和技术政策、规章制度。指导建设工程抗震设防工作，组织汗展城镇建筑物抗震性能普查、鉴定加固和改造工作，指导村镇和农村建设抗震工作，指导和组织灾后恢复重建工作；承担规范和指导村镇建设的责任。指导实施村庄和小城镇建设，指导农村住房建设管理和危房改造，指导小城镇和村庄人居生态环境的改善工作，指导和组织各类村镇建设试点工作，指导管理受灾村镇及国家大型重点建设项目地区村镇迁建、重建工作。指导城镇供水、节水、排水、燃气、污水和垃圾处理等市政公用设施的建设管理， 指导城镇市容环境综合整治工作，指导城镇防汛排涝工作，指导城镇建设档案管理工作。会同有关部门做好城市维护资金监管使用，并组织实施；承担推进建筑节能、城镇减排的责任。负责推进行业科学发展和建筑节能工作，推广应用新技术、新材料、新工艺，组织实施重大建筑节能项目，推进城镇减排。组织实施重点科技项目成果转化工作，承担推进墙体材料革新的责任；制订建设行业人才培养和教育发展规划并组织实施，指导建设行业科技人才队伍建设和执业资格管理工作。负责指导住房和城乡建设系统的信访工作，督查督办重大信访案件。开展住房和城乡建设方面的交流与合作；依据城乡管理方面的法律、法规、规章，对城乡市政工程设施、城市公用事业、市容环境、城市燃气、供水、排水、户外广告设施进行监察，查处和纠正违法违章行为;负责对城区道路路面、桥梁、路灯、下水道、公厕、广场、喷泉和文化雕塑墙等的管理与维护;审批和办理道路破挖、临时占用道路，设立杆、管、线、排水等许可手续。组织实施城市基础设施的建设和维修改造，负责全县地下管线的综合协调工作；负贵对城乡市容和环境卫生工作的指导、协调、检查、监督和管理;负责城区主次街道、背街小巷的清扫保洁:负责城区生活垃投的收集运输和处置; 负贵对城区建筑垃圾、 工业垃圾、医疗垃圾等有害废弃物的监管;负责对城区环卫设施的规</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2" w:firstLineChars="210"/>
        <w:textAlignment w:val="auto"/>
        <w:rPr>
          <w:rFonts w:hint="eastAsia" w:ascii="楷体_GB2312" w:hAnsi="楷体_GB2312" w:eastAsia="楷体_GB2312" w:cs="楷体_GB2312"/>
          <w:b/>
          <w:bCs w:val="0"/>
          <w:sz w:val="32"/>
          <w:szCs w:val="32"/>
          <w:lang w:eastAsia="zh-CN"/>
        </w:rPr>
      </w:pPr>
      <w:r>
        <w:rPr>
          <w:rFonts w:hint="eastAsia"/>
          <w:sz w:val="32"/>
          <w:szCs w:val="32"/>
          <w:lang w:eastAsia="zh-CN"/>
        </w:rPr>
        <w:t>划建设与管理，组织协调专项治理等重大活动；负责督促、指导全县各乡镇、各部门开展城乡环境综合治理工作，对二作开展情况进行考核；完成县委、县政府交办的其他任务。</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lang w:eastAsia="zh-CN"/>
        </w:rPr>
        <w:t>年重点工作任务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以党的二十大精神为指导，按照“补短板、抓提升、强管理”总体思路，以项目建设为重点，精细化管理为保障，完善城市基础设施、提升城市品质，统筹城乡发展、保障改善民生、丰富城市元素，通过城市双修等工作推动供给侧结构性改革，促进城市发展，提升城市空间品质，塑造整洁、美丽、精致的城市空间环境。</w:t>
      </w:r>
      <w:r>
        <w:rPr>
          <w:rFonts w:hint="eastAsia" w:ascii="仿宋_GB2312" w:hAnsi="仿宋_GB2312" w:eastAsia="仿宋_GB2312" w:cs="仿宋_GB2312"/>
          <w:b/>
          <w:bCs/>
          <w:color w:val="auto"/>
          <w:sz w:val="32"/>
          <w:szCs w:val="32"/>
          <w:lang w:val="en-US" w:eastAsia="zh-CN"/>
        </w:rPr>
        <w:t>一是高标准、高质量完成项目建设任务</w:t>
      </w:r>
      <w:r>
        <w:rPr>
          <w:rFonts w:hint="eastAsia" w:ascii="仿宋_GB2312" w:hAnsi="仿宋_GB2312" w:eastAsia="仿宋_GB2312" w:cs="仿宋_GB2312"/>
          <w:b/>
          <w:bCs/>
          <w:kern w:val="2"/>
          <w:sz w:val="32"/>
          <w:szCs w:val="32"/>
          <w:lang w:val="en-US" w:eastAsia="zh-CN" w:bidi="ar-SA"/>
        </w:rPr>
        <w:t>。</w:t>
      </w:r>
      <w:r>
        <w:rPr>
          <w:rFonts w:hint="eastAsia" w:ascii="仿宋_GB2312" w:hAnsi="仿宋_GB2312" w:eastAsia="仿宋_GB2312" w:cs="仿宋_GB2312"/>
          <w:b w:val="0"/>
          <w:color w:val="auto"/>
          <w:kern w:val="2"/>
          <w:sz w:val="32"/>
          <w:szCs w:val="32"/>
          <w:lang w:val="en-US" w:eastAsia="zh-CN" w:bidi="ar-SA"/>
        </w:rPr>
        <w:t>截至目前，拟定了2023年将实施的4个项目，分别为红原县热坤村草场恢复工程建设项目、红原县白河支流瑞庆湿地修复建设项目、红原县瓦切镇红军村红色文化节点打造项目、红原县城区高原试点供氧项目；在下一步工作中，我局将</w:t>
      </w:r>
      <w:r>
        <w:rPr>
          <w:rFonts w:hint="eastAsia" w:ascii="仿宋_GB2312" w:hAnsi="仿宋_GB2312" w:eastAsia="仿宋_GB2312" w:cs="仿宋_GB2312"/>
          <w:b w:val="0"/>
          <w:bCs w:val="0"/>
          <w:color w:val="auto"/>
          <w:kern w:val="2"/>
          <w:sz w:val="32"/>
          <w:szCs w:val="32"/>
          <w:lang w:val="en-US" w:eastAsia="zh-CN" w:bidi="ar-SA"/>
        </w:rPr>
        <w:t>主动梳理各个项目前期工作要点和流程，明确建设任务、建设时限、建设要求，科学制定合理可行的项目推进计划，加强项目推进力度，定期分析前期要件办理中存在的规划、建设、土地、环保、资金等突出问题，对项目推进情况进行研判分析，及时上报项目建设实时情况，如期完成项目推进任务，确保项目顺利推进并开工建设。</w:t>
      </w:r>
      <w:r>
        <w:rPr>
          <w:rFonts w:hint="eastAsia" w:ascii="仿宋_GB2312" w:hAnsi="仿宋_GB2312" w:eastAsia="仿宋_GB2312" w:cs="仿宋_GB2312"/>
          <w:b/>
          <w:bCs/>
          <w:color w:val="auto"/>
          <w:kern w:val="0"/>
          <w:sz w:val="32"/>
          <w:szCs w:val="32"/>
          <w:lang w:val="en-US" w:eastAsia="zh-CN" w:bidi="ar"/>
        </w:rPr>
        <w:t>二是扎实推进安全意识入脑、入心。</w:t>
      </w:r>
      <w:r>
        <w:rPr>
          <w:rFonts w:hint="eastAsia" w:ascii="仿宋_GB2312" w:hAnsi="仿宋_GB2312" w:eastAsia="仿宋_GB2312" w:cs="仿宋_GB2312"/>
          <w:b w:val="0"/>
          <w:bCs w:val="0"/>
          <w:color w:val="auto"/>
          <w:kern w:val="2"/>
          <w:sz w:val="32"/>
          <w:szCs w:val="32"/>
          <w:lang w:val="en-US" w:eastAsia="zh-CN" w:bidi="ar-SA"/>
        </w:rPr>
        <w:t>以安全管理为核心，以抓隐患整改为重点，坚持“安全第一、预防为主”的工作思路，强化“四个意识”，按照“管行业必须管安全、管业务必须管安全、管生产经营必须管安全”原则，狠抓安全生产主体责任制的落实，强化监督检查力度，确保全县建筑、市政运营平稳、健康、快速发展。</w:t>
      </w:r>
      <w:r>
        <w:rPr>
          <w:rFonts w:hint="eastAsia" w:ascii="仿宋_GB2312" w:hAnsi="仿宋_GB2312" w:eastAsia="仿宋_GB2312" w:cs="仿宋_GB2312"/>
          <w:b/>
          <w:bCs/>
          <w:color w:val="auto"/>
          <w:kern w:val="0"/>
          <w:sz w:val="32"/>
          <w:szCs w:val="32"/>
          <w:lang w:val="en-US" w:eastAsia="zh-CN" w:bidi="ar"/>
        </w:rPr>
        <w:t>三是加大力度规范建设管理工作。</w:t>
      </w:r>
      <w:r>
        <w:rPr>
          <w:rFonts w:hint="eastAsia" w:ascii="仿宋_GB2312" w:hAnsi="仿宋_GB2312" w:eastAsia="仿宋_GB2312" w:cs="仿宋_GB2312"/>
          <w:sz w:val="32"/>
          <w:szCs w:val="32"/>
          <w:lang w:val="en-US" w:eastAsia="zh-CN"/>
        </w:rPr>
        <w:t>严格</w:t>
      </w:r>
      <w:r>
        <w:rPr>
          <w:rFonts w:hint="eastAsia" w:ascii="仿宋_GB2312" w:hAnsi="仿宋_GB2312" w:eastAsia="仿宋_GB2312" w:cs="仿宋_GB2312"/>
          <w:sz w:val="32"/>
          <w:szCs w:val="32"/>
        </w:rPr>
        <w:t>落实各工地安全生产责任制，强化质量管理，规范监理行为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及时将文件及各项资料整理归档，圆满</w:t>
      </w:r>
      <w:r>
        <w:rPr>
          <w:rFonts w:hint="eastAsia" w:ascii="仿宋_GB2312" w:hAnsi="仿宋_GB2312" w:eastAsia="仿宋_GB2312" w:cs="仿宋_GB2312"/>
          <w:color w:val="auto"/>
          <w:sz w:val="32"/>
          <w:szCs w:val="32"/>
        </w:rPr>
        <w:t>完成</w:t>
      </w:r>
      <w:r>
        <w:rPr>
          <w:rFonts w:hint="eastAsia" w:ascii="仿宋_GB2312" w:hAnsi="仿宋_GB2312" w:eastAsia="仿宋_GB2312" w:cs="仿宋_GB2312"/>
          <w:color w:val="auto"/>
          <w:sz w:val="32"/>
          <w:szCs w:val="32"/>
          <w:lang w:val="en-US" w:eastAsia="zh-CN"/>
        </w:rPr>
        <w:t>各项</w:t>
      </w:r>
      <w:r>
        <w:rPr>
          <w:rFonts w:hint="eastAsia" w:ascii="仿宋_GB2312" w:hAnsi="仿宋_GB2312" w:eastAsia="仿宋_GB2312" w:cs="仿宋_GB2312"/>
          <w:color w:val="auto"/>
          <w:sz w:val="32"/>
          <w:szCs w:val="32"/>
        </w:rPr>
        <w:t>任务，进一步规范我县</w:t>
      </w:r>
      <w:r>
        <w:rPr>
          <w:rFonts w:hint="eastAsia" w:ascii="仿宋_GB2312" w:hAnsi="仿宋_GB2312" w:eastAsia="仿宋_GB2312" w:cs="仿宋_GB2312"/>
          <w:color w:val="auto"/>
          <w:sz w:val="32"/>
          <w:szCs w:val="32"/>
          <w:lang w:val="en-US" w:eastAsia="zh-CN"/>
        </w:rPr>
        <w:t>住建领域管理制度</w:t>
      </w:r>
      <w:r>
        <w:rPr>
          <w:rFonts w:hint="eastAsia" w:ascii="仿宋_GB2312" w:hAnsi="仿宋_GB2312" w:eastAsia="仿宋_GB2312" w:cs="仿宋_GB2312"/>
          <w:color w:val="auto"/>
          <w:sz w:val="32"/>
          <w:szCs w:val="32"/>
        </w:rPr>
        <w:t>，提升我县建筑管理水平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努力实现工程质量总体达标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施工安全生产“死亡事故零指标”的总体目标。</w:t>
      </w:r>
      <w:r>
        <w:rPr>
          <w:rFonts w:hint="eastAsia" w:ascii="仿宋_GB2312" w:hAnsi="仿宋_GB2312" w:eastAsia="仿宋_GB2312" w:cs="仿宋_GB2312"/>
          <w:b/>
          <w:bCs/>
          <w:color w:val="auto"/>
          <w:kern w:val="2"/>
          <w:sz w:val="32"/>
          <w:szCs w:val="32"/>
          <w:lang w:val="en-US" w:eastAsia="zh-CN" w:bidi="ar-SA"/>
        </w:rPr>
        <w:t>四是加快构建住建保障体系长效机制。</w:t>
      </w:r>
      <w:r>
        <w:rPr>
          <w:rFonts w:hint="eastAsia" w:ascii="仿宋_GB2312" w:hAnsi="仿宋_GB2312" w:eastAsia="仿宋_GB2312" w:cs="仿宋_GB2312"/>
          <w:color w:val="auto"/>
          <w:sz w:val="32"/>
          <w:szCs w:val="32"/>
          <w:lang w:val="en-US" w:eastAsia="zh-CN"/>
        </w:rPr>
        <w:t>首先，切实做好巩固脱贫攻坚成果同乡村振兴有效衔接工作，保障农村住</w:t>
      </w:r>
      <w:r>
        <w:rPr>
          <w:rFonts w:hint="eastAsia" w:ascii="仿宋_GB2312" w:hAnsi="仿宋_GB2312" w:eastAsia="仿宋_GB2312" w:cs="仿宋_GB2312"/>
          <w:sz w:val="32"/>
          <w:szCs w:val="32"/>
          <w:lang w:val="en-US" w:eastAsia="zh-CN"/>
        </w:rPr>
        <w:t>房安全，按照分配推进、重点实施的要求，属事属地管理原则，细化分工、压实责任，确保1户农村危房改造，10户抗震加固改造任务顺利完成；其次，严格按照房地产市场管理办法和省、州关于房地产市场管理要求开展好对房地产市场稳定、延期交房、不能办证等情况的监管和查处，确保房地产市场的健康发展。</w:t>
      </w:r>
      <w:r>
        <w:rPr>
          <w:rFonts w:hint="eastAsia" w:ascii="仿宋_GB2312" w:hAnsi="仿宋_GB2312" w:eastAsia="仿宋_GB2312" w:cs="仿宋_GB2312"/>
          <w:b/>
          <w:bCs/>
          <w:color w:val="auto"/>
          <w:kern w:val="2"/>
          <w:sz w:val="32"/>
          <w:szCs w:val="32"/>
          <w:lang w:val="en-US" w:eastAsia="zh-CN" w:bidi="ar-SA"/>
        </w:rPr>
        <w:t>五是纵深推进城乡环境综合治理工作。</w:t>
      </w:r>
      <w:r>
        <w:rPr>
          <w:rFonts w:hint="eastAsia" w:ascii="仿宋_GB2312" w:hAnsi="仿宋_GB2312" w:eastAsia="仿宋_GB2312" w:cs="仿宋_GB2312"/>
          <w:b w:val="0"/>
          <w:bCs w:val="0"/>
          <w:color w:val="auto"/>
          <w:kern w:val="2"/>
          <w:sz w:val="32"/>
          <w:szCs w:val="32"/>
          <w:lang w:val="en-US" w:eastAsia="zh-CN" w:bidi="ar-SA"/>
        </w:rPr>
        <w:t>坚持把环境整治作为筑牢生态屏障、维护生态安全、引领经济高质量发展、促进社会长治久安的有力举措，不断完善全域环境治理长效机制，加快建立“全民发动、全员参与、全面整治、全域保洁”的工作新格局。</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2" w:firstLineChars="210"/>
        <w:textAlignment w:val="auto"/>
        <w:rPr>
          <w:rFonts w:hint="eastAsia"/>
          <w:sz w:val="32"/>
          <w:szCs w:val="32"/>
        </w:rPr>
      </w:pPr>
      <w:r>
        <w:rPr>
          <w:rFonts w:hint="eastAsia" w:ascii="仿宋_GB2312" w:hAnsi="仿宋_GB2312" w:eastAsia="仿宋_GB2312" w:cs="仿宋_GB2312"/>
          <w:kern w:val="2"/>
          <w:sz w:val="32"/>
          <w:szCs w:val="32"/>
          <w:lang w:val="en-US" w:eastAsia="zh-CN" w:bidi="ar-SA"/>
        </w:rPr>
        <w:t>红原县住房和城乡建设局下设股室9个，其中行政单位0个，参照公务员法管理的事业单位0个，其他事业单位0个。</w:t>
      </w:r>
      <w:r>
        <w:rPr>
          <w:rFonts w:hint="eastAsia"/>
          <w:sz w:val="32"/>
          <w:szCs w:val="32"/>
          <w:lang w:eastAsia="zh-CN"/>
        </w:rPr>
        <w:t>分别是：红原县城乡公共服务管理局、红原县城乡环境综合治理服务中心、红原县建筑设计室、红原县质监站、行政办公室、建管股、住保股、项目股、财务室。</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红原县住房和城乡建设局</w:t>
      </w:r>
      <w:r>
        <w:rPr>
          <w:rFonts w:hint="eastAsia" w:ascii="仿宋_GB2312" w:eastAsia="仿宋_GB2312"/>
          <w:sz w:val="32"/>
          <w:szCs w:val="32"/>
        </w:rPr>
        <w:t>收入预算总额为7227</w:t>
      </w:r>
      <w:r>
        <w:rPr>
          <w:rFonts w:hint="eastAsia" w:ascii="仿宋_GB2312" w:eastAsia="仿宋_GB2312"/>
          <w:sz w:val="32"/>
          <w:szCs w:val="32"/>
          <w:lang w:val="en-US" w:eastAsia="zh-CN"/>
        </w:rPr>
        <w:t>.</w:t>
      </w:r>
      <w:r>
        <w:rPr>
          <w:rFonts w:hint="eastAsia" w:ascii="仿宋_GB2312" w:eastAsia="仿宋_GB2312"/>
          <w:sz w:val="32"/>
          <w:szCs w:val="32"/>
        </w:rPr>
        <w:t>115604万元，其中：当年财政拨款收入3662</w:t>
      </w:r>
      <w:r>
        <w:rPr>
          <w:rFonts w:hint="eastAsia" w:ascii="仿宋_GB2312" w:eastAsia="仿宋_GB2312"/>
          <w:sz w:val="32"/>
          <w:szCs w:val="32"/>
          <w:lang w:val="en-US" w:eastAsia="zh-CN"/>
        </w:rPr>
        <w:t>.</w:t>
      </w:r>
      <w:r>
        <w:rPr>
          <w:rFonts w:hint="eastAsia" w:ascii="仿宋_GB2312" w:eastAsia="仿宋_GB2312"/>
          <w:sz w:val="32"/>
          <w:szCs w:val="32"/>
        </w:rPr>
        <w:t>028857万元。相应安排支出预算7227</w:t>
      </w:r>
      <w:r>
        <w:rPr>
          <w:rFonts w:hint="eastAsia" w:ascii="仿宋_GB2312" w:eastAsia="仿宋_GB2312"/>
          <w:sz w:val="32"/>
          <w:szCs w:val="32"/>
          <w:lang w:val="en-US" w:eastAsia="zh-CN"/>
        </w:rPr>
        <w:t>.</w:t>
      </w:r>
      <w:r>
        <w:rPr>
          <w:rFonts w:hint="eastAsia" w:ascii="仿宋_GB2312" w:eastAsia="仿宋_GB2312"/>
          <w:sz w:val="32"/>
          <w:szCs w:val="32"/>
        </w:rPr>
        <w:t>115604万元，其中：社会保障和就业支出125</w:t>
      </w:r>
      <w:r>
        <w:rPr>
          <w:rFonts w:hint="eastAsia" w:ascii="仿宋_GB2312" w:eastAsia="仿宋_GB2312"/>
          <w:sz w:val="32"/>
          <w:szCs w:val="32"/>
          <w:lang w:val="en-US" w:eastAsia="zh-CN"/>
        </w:rPr>
        <w:t>.</w:t>
      </w:r>
      <w:r>
        <w:rPr>
          <w:rFonts w:hint="eastAsia" w:ascii="仿宋_GB2312" w:eastAsia="仿宋_GB2312"/>
          <w:sz w:val="32"/>
          <w:szCs w:val="32"/>
        </w:rPr>
        <w:t>431976</w:t>
      </w:r>
      <w:r>
        <w:rPr>
          <w:rFonts w:hint="eastAsia" w:ascii="仿宋_GB2312" w:eastAsia="仿宋_GB2312"/>
          <w:sz w:val="32"/>
          <w:szCs w:val="32"/>
          <w:lang w:eastAsia="zh-CN"/>
        </w:rPr>
        <w:t>万元，卫生健康支出45</w:t>
      </w:r>
      <w:r>
        <w:rPr>
          <w:rFonts w:hint="eastAsia" w:ascii="仿宋_GB2312" w:eastAsia="仿宋_GB2312"/>
          <w:sz w:val="32"/>
          <w:szCs w:val="32"/>
          <w:lang w:val="en-US" w:eastAsia="zh-CN"/>
        </w:rPr>
        <w:t>.</w:t>
      </w:r>
      <w:r>
        <w:rPr>
          <w:rFonts w:hint="eastAsia" w:ascii="仿宋_GB2312" w:eastAsia="仿宋_GB2312"/>
          <w:sz w:val="32"/>
          <w:szCs w:val="32"/>
          <w:lang w:eastAsia="zh-CN"/>
        </w:rPr>
        <w:t>0</w:t>
      </w:r>
      <w:r>
        <w:rPr>
          <w:rFonts w:hint="eastAsia" w:ascii="仿宋_GB2312" w:eastAsia="仿宋_GB2312"/>
          <w:sz w:val="32"/>
          <w:szCs w:val="32"/>
          <w:lang w:val="en-US" w:eastAsia="zh-CN"/>
        </w:rPr>
        <w:t>3</w:t>
      </w:r>
      <w:r>
        <w:rPr>
          <w:rFonts w:hint="eastAsia" w:ascii="仿宋_GB2312" w:eastAsia="仿宋_GB2312"/>
          <w:sz w:val="32"/>
          <w:szCs w:val="32"/>
          <w:lang w:eastAsia="zh-CN"/>
        </w:rPr>
        <w:t>万元，节能环保支出656万元，城乡社区支出6114</w:t>
      </w:r>
      <w:r>
        <w:rPr>
          <w:rFonts w:hint="eastAsia" w:ascii="仿宋_GB2312" w:eastAsia="仿宋_GB2312"/>
          <w:sz w:val="32"/>
          <w:szCs w:val="32"/>
          <w:lang w:val="en-US" w:eastAsia="zh-CN"/>
        </w:rPr>
        <w:t>.</w:t>
      </w:r>
      <w:r>
        <w:rPr>
          <w:rFonts w:hint="eastAsia" w:ascii="仿宋_GB2312" w:eastAsia="仿宋_GB2312"/>
          <w:sz w:val="32"/>
          <w:szCs w:val="32"/>
          <w:lang w:eastAsia="zh-CN"/>
        </w:rPr>
        <w:t>425485万元，农林水支出81</w:t>
      </w:r>
      <w:r>
        <w:rPr>
          <w:rFonts w:hint="eastAsia" w:ascii="仿宋_GB2312" w:eastAsia="仿宋_GB2312"/>
          <w:sz w:val="32"/>
          <w:szCs w:val="32"/>
          <w:lang w:val="en-US" w:eastAsia="zh-CN"/>
        </w:rPr>
        <w:t>.</w:t>
      </w:r>
      <w:r>
        <w:rPr>
          <w:rFonts w:hint="eastAsia" w:ascii="仿宋_GB2312" w:eastAsia="仿宋_GB2312"/>
          <w:sz w:val="32"/>
          <w:szCs w:val="32"/>
          <w:lang w:eastAsia="zh-CN"/>
        </w:rPr>
        <w:t>886451万元，自然资源海洋气象等支出</w:t>
      </w:r>
      <w:r>
        <w:rPr>
          <w:rFonts w:hint="eastAsia" w:ascii="仿宋_GB2312" w:eastAsia="仿宋_GB2312"/>
          <w:sz w:val="32"/>
          <w:szCs w:val="32"/>
          <w:lang w:val="en-US" w:eastAsia="zh-CN"/>
        </w:rPr>
        <w:t>0.</w:t>
      </w:r>
      <w:r>
        <w:rPr>
          <w:rFonts w:hint="eastAsia" w:ascii="仿宋_GB2312" w:eastAsia="仿宋_GB2312"/>
          <w:sz w:val="32"/>
          <w:szCs w:val="32"/>
          <w:lang w:eastAsia="zh-CN"/>
        </w:rPr>
        <w:t>745235万元，住房保障支出203</w:t>
      </w:r>
      <w:r>
        <w:rPr>
          <w:rFonts w:hint="eastAsia" w:ascii="仿宋_GB2312" w:eastAsia="仿宋_GB2312"/>
          <w:sz w:val="32"/>
          <w:szCs w:val="32"/>
          <w:lang w:val="en-US" w:eastAsia="zh-CN"/>
        </w:rPr>
        <w:t>.6</w:t>
      </w:r>
      <w:r>
        <w:rPr>
          <w:rFonts w:hint="eastAsia" w:ascii="仿宋_GB2312" w:eastAsia="仿宋_GB2312"/>
          <w:sz w:val="32"/>
          <w:szCs w:val="32"/>
          <w:lang w:eastAsia="zh-CN"/>
        </w:rPr>
        <w:t>万元</w:t>
      </w:r>
      <w:r>
        <w:rPr>
          <w:rFonts w:hint="eastAsia" w:ascii="仿宋_GB2312" w:eastAsia="仿宋_GB2312"/>
          <w:sz w:val="32"/>
          <w:szCs w:val="32"/>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红原县住房和城乡建设局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建筑</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905.45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846.74万元，机关运行经费58.72万元，其中：办公费16.7万元，差旅费20万元，工会经费6.27万元，公务用车运行维护费7.22万元，培训费1万元，办公室电费4万元，公务接待费0.53万元，印刷费3万元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（一）社会保障和就业125</w:t>
      </w:r>
      <w:r>
        <w:rPr>
          <w:rFonts w:hint="eastAsia" w:ascii="仿宋_GB2312" w:eastAsia="仿宋_GB2312"/>
          <w:sz w:val="32"/>
          <w:szCs w:val="32"/>
          <w:lang w:val="en-US" w:eastAsia="zh-CN"/>
        </w:rPr>
        <w:t>.</w:t>
      </w:r>
      <w:r>
        <w:rPr>
          <w:rFonts w:hint="eastAsia" w:ascii="仿宋_GB2312" w:eastAsia="仿宋_GB2312"/>
          <w:sz w:val="32"/>
          <w:szCs w:val="32"/>
        </w:rPr>
        <w:t>43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eastAsia="zh-CN"/>
        </w:rPr>
        <w:t>45</w:t>
      </w:r>
      <w:r>
        <w:rPr>
          <w:rFonts w:hint="eastAsia" w:ascii="仿宋_GB2312" w:eastAsia="仿宋_GB2312"/>
          <w:sz w:val="32"/>
          <w:szCs w:val="32"/>
          <w:lang w:val="en-US" w:eastAsia="zh-CN"/>
        </w:rPr>
        <w:t>.</w:t>
      </w:r>
      <w:r>
        <w:rPr>
          <w:rFonts w:hint="eastAsia" w:ascii="仿宋_GB2312" w:eastAsia="仿宋_GB2312"/>
          <w:sz w:val="32"/>
          <w:szCs w:val="32"/>
          <w:lang w:eastAsia="zh-CN"/>
        </w:rPr>
        <w:t>0</w:t>
      </w:r>
      <w:r>
        <w:rPr>
          <w:rFonts w:hint="eastAsia" w:ascii="仿宋_GB2312" w:eastAsia="仿宋_GB2312"/>
          <w:sz w:val="32"/>
          <w:szCs w:val="32"/>
          <w:lang w:val="en-US" w:eastAsia="zh-CN"/>
        </w:rPr>
        <w:t>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eastAsia="zh-CN"/>
        </w:rPr>
        <w:t>203</w:t>
      </w:r>
      <w:r>
        <w:rPr>
          <w:rFonts w:hint="eastAsia" w:ascii="仿宋_GB2312" w:eastAsia="仿宋_GB2312"/>
          <w:sz w:val="32"/>
          <w:szCs w:val="32"/>
          <w:lang w:val="en-US" w:eastAsia="zh-CN"/>
        </w:rPr>
        <w:t>.6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3662</w:t>
      </w:r>
      <w:r>
        <w:rPr>
          <w:rFonts w:hint="eastAsia" w:ascii="仿宋_GB2312" w:eastAsia="仿宋_GB2312"/>
          <w:sz w:val="32"/>
          <w:szCs w:val="32"/>
          <w:lang w:val="en-US" w:eastAsia="zh-CN"/>
        </w:rPr>
        <w:t>.</w:t>
      </w:r>
      <w:r>
        <w:rPr>
          <w:rFonts w:hint="eastAsia" w:ascii="仿宋_GB2312" w:eastAsia="仿宋_GB2312"/>
          <w:sz w:val="32"/>
          <w:szCs w:val="32"/>
        </w:rPr>
        <w:t>0</w:t>
      </w:r>
      <w:r>
        <w:rPr>
          <w:rFonts w:hint="eastAsia" w:ascii="仿宋_GB2312" w:eastAsia="仿宋_GB2312"/>
          <w:sz w:val="32"/>
          <w:szCs w:val="32"/>
          <w:lang w:val="en-US" w:eastAsia="zh-CN"/>
        </w:rPr>
        <w:t>3万元较上年度预算</w:t>
      </w:r>
      <w:r>
        <w:rPr>
          <w:rFonts w:hint="eastAsia" w:ascii="仿宋_GB2312" w:hAnsi="仿宋_GB2312" w:eastAsia="仿宋_GB2312" w:cs="仿宋_GB2312"/>
          <w:sz w:val="32"/>
          <w:szCs w:val="32"/>
          <w:lang w:val="en-US" w:eastAsia="zh-CN"/>
        </w:rPr>
        <w:t>2068.37</w:t>
      </w:r>
      <w:r>
        <w:rPr>
          <w:rFonts w:hint="eastAsia" w:ascii="仿宋_GB2312" w:eastAsia="仿宋_GB2312"/>
          <w:sz w:val="32"/>
          <w:szCs w:val="32"/>
          <w:lang w:val="en-US" w:eastAsia="zh-CN"/>
        </w:rPr>
        <w:t>万元增加了77.05%，</w:t>
      </w:r>
      <w:r>
        <w:rPr>
          <w:rFonts w:hint="eastAsia" w:ascii="仿宋_GB2312" w:hAnsi="仿宋_GB2312" w:eastAsia="仿宋_GB2312" w:cs="仿宋_GB2312"/>
          <w:sz w:val="32"/>
          <w:szCs w:val="32"/>
          <w:lang w:val="en-US" w:eastAsia="zh-CN"/>
        </w:rPr>
        <w:t>主要原因为红原县城市基础设施特许经营项目支出增加。</w:t>
      </w:r>
      <w:r>
        <w:rPr>
          <w:rFonts w:hint="eastAsia" w:ascii="仿宋_GB2312" w:eastAsia="仿宋_GB2312"/>
          <w:sz w:val="32"/>
          <w:szCs w:val="32"/>
          <w:lang w:val="en-US" w:eastAsia="zh-CN"/>
        </w:rPr>
        <w:t>其中基本行政运行经费预算905.45万元，占全部总预算的24.73%，较上年</w:t>
      </w:r>
      <w:r>
        <w:rPr>
          <w:rFonts w:hint="eastAsia" w:ascii="仿宋_GB2312" w:hAnsi="仿宋_GB2312" w:eastAsia="仿宋_GB2312"/>
          <w:b w:val="0"/>
          <w:bCs/>
          <w:spacing w:val="6"/>
          <w:sz w:val="32"/>
          <w:szCs w:val="32"/>
          <w:lang w:val="en-US" w:eastAsia="zh-CN"/>
        </w:rPr>
        <w:t>581</w:t>
      </w:r>
      <w:r>
        <w:rPr>
          <w:rFonts w:hint="eastAsia" w:ascii="仿宋_GB2312" w:eastAsia="仿宋_GB2312"/>
          <w:sz w:val="32"/>
          <w:szCs w:val="32"/>
          <w:lang w:val="en-US" w:eastAsia="zh-CN"/>
        </w:rPr>
        <w:t>万元增加了55.84%，原因为</w:t>
      </w:r>
      <w:r>
        <w:rPr>
          <w:rFonts w:hint="eastAsia" w:ascii="仿宋_GB2312" w:hAnsi="仿宋_GB2312" w:eastAsia="仿宋_GB2312" w:cs="仿宋_GB2312"/>
          <w:sz w:val="32"/>
          <w:szCs w:val="32"/>
          <w:lang w:val="en-US" w:eastAsia="zh-CN"/>
        </w:rPr>
        <w:t>支付协管人员工资、执法车油料费及维修维护费、城乡环境综合治理、</w:t>
      </w:r>
      <w:r>
        <w:rPr>
          <w:rFonts w:hint="eastAsia" w:ascii="仿宋_GB2312" w:eastAsia="仿宋_GB2312"/>
          <w:sz w:val="32"/>
          <w:szCs w:val="32"/>
          <w:lang w:val="en-US" w:eastAsia="zh-CN"/>
        </w:rPr>
        <w:t xml:space="preserve">基本支出增加。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本年度三公经费预算安排支出为7.75万元，其中：出国费0万元，与上年持平，主要原因为未安排因公出国；公车购置费0元，与上年0持平0；公务用车维护费支出7.22万元，较上年度预算</w:t>
      </w:r>
      <w:r>
        <w:rPr>
          <w:rFonts w:hint="eastAsia" w:ascii="仿宋_GB2312" w:hAnsi="仿宋_GB2312" w:eastAsia="仿宋_GB2312"/>
          <w:b w:val="0"/>
          <w:bCs/>
          <w:spacing w:val="6"/>
          <w:sz w:val="32"/>
          <w:szCs w:val="32"/>
          <w:lang w:val="en-US" w:eastAsia="zh-CN"/>
        </w:rPr>
        <w:t>5.24</w:t>
      </w:r>
      <w:r>
        <w:rPr>
          <w:rFonts w:hint="eastAsia" w:ascii="仿宋_GB2312" w:eastAsia="仿宋_GB2312"/>
          <w:sz w:val="32"/>
          <w:szCs w:val="32"/>
          <w:lang w:val="en-US" w:eastAsia="zh-CN"/>
        </w:rPr>
        <w:t>万元略有增加，主要原因车辆老旧，维修次数及费用均增多；公务接待费0.53万元，较上年度</w:t>
      </w:r>
      <w:r>
        <w:rPr>
          <w:rFonts w:hint="eastAsia" w:ascii="仿宋_GB2312" w:hAnsi="仿宋_GB2312" w:eastAsia="仿宋_GB2312"/>
          <w:b w:val="0"/>
          <w:bCs/>
          <w:spacing w:val="6"/>
          <w:sz w:val="32"/>
          <w:szCs w:val="32"/>
          <w:lang w:val="en-US" w:eastAsia="zh-CN"/>
        </w:rPr>
        <w:t>0.67万元</w:t>
      </w:r>
      <w:r>
        <w:rPr>
          <w:rFonts w:hint="eastAsia" w:ascii="仿宋_GB2312" w:eastAsia="仿宋_GB2312"/>
          <w:sz w:val="32"/>
          <w:szCs w:val="32"/>
          <w:lang w:val="en-US" w:eastAsia="zh-CN"/>
        </w:rPr>
        <w:t xml:space="preserve">预算减少，本年度我们将严格执行“八项规定、六项禁令”，结合本年度工作需要，减少不必要的开支。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截止2022年底，实际共有固定资产价值114.3</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0</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114.3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绩效目标是预算编制的前提和基础，按照“费随事定”的原则，2023年我单位项目支出按要求编制了绩效目标，从项目完成、项目效益、满意度。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十、名词解释 </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4.项目支出：指在基本支出之外为完成特定行政任务和事业发展目标所发生的支出。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表13.部门项目支出绩效目标表（2023年度）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mMWZiMzllZTQ2M2Q5YmFjYTE1NDIxNjkzNTc1MDAifQ=="/>
  </w:docVars>
  <w:rsids>
    <w:rsidRoot w:val="00172A27"/>
    <w:rsid w:val="01964270"/>
    <w:rsid w:val="0A6E1F7B"/>
    <w:rsid w:val="10B92046"/>
    <w:rsid w:val="126551F9"/>
    <w:rsid w:val="15335AEB"/>
    <w:rsid w:val="18870CA9"/>
    <w:rsid w:val="18DE7327"/>
    <w:rsid w:val="1E0057B7"/>
    <w:rsid w:val="1F383B45"/>
    <w:rsid w:val="1FD2088D"/>
    <w:rsid w:val="205E1FA5"/>
    <w:rsid w:val="245B311E"/>
    <w:rsid w:val="292F3BA8"/>
    <w:rsid w:val="2D241839"/>
    <w:rsid w:val="2F356D09"/>
    <w:rsid w:val="33DE4BF8"/>
    <w:rsid w:val="35FC7E3E"/>
    <w:rsid w:val="3AB111F7"/>
    <w:rsid w:val="41C14C68"/>
    <w:rsid w:val="440B5E1C"/>
    <w:rsid w:val="459F25AF"/>
    <w:rsid w:val="49BD2527"/>
    <w:rsid w:val="4BD24171"/>
    <w:rsid w:val="4CCA1CD4"/>
    <w:rsid w:val="4D2C6E03"/>
    <w:rsid w:val="4DCC33BD"/>
    <w:rsid w:val="4E9661C9"/>
    <w:rsid w:val="522E717A"/>
    <w:rsid w:val="531D6D64"/>
    <w:rsid w:val="546703A6"/>
    <w:rsid w:val="555E53B0"/>
    <w:rsid w:val="56F015BA"/>
    <w:rsid w:val="58E04348"/>
    <w:rsid w:val="5A2739C7"/>
    <w:rsid w:val="60304378"/>
    <w:rsid w:val="636966A0"/>
    <w:rsid w:val="670175BB"/>
    <w:rsid w:val="6AA231B1"/>
    <w:rsid w:val="6E3D1FD3"/>
    <w:rsid w:val="6EE40E94"/>
    <w:rsid w:val="6FBF4B32"/>
    <w:rsid w:val="70F00356"/>
    <w:rsid w:val="76D10CAC"/>
    <w:rsid w:val="77565935"/>
    <w:rsid w:val="7A6C06BC"/>
    <w:rsid w:val="7B312348"/>
    <w:rsid w:val="7F427C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 Text Indent 2_2f75ddf9-7586-465d-b894-cacca03ef0a7"/>
    <w:basedOn w:val="1"/>
    <w:qFormat/>
    <w:uiPriority w:val="0"/>
    <w:pPr>
      <w:spacing w:line="19997" w:lineRule="auto"/>
      <w:ind w:left="420" w:leftChars="200"/>
    </w:pPr>
  </w:style>
  <w:style w:type="paragraph" w:styleId="3">
    <w:name w:val="Body Text"/>
    <w:basedOn w:val="1"/>
    <w:qFormat/>
    <w:uiPriority w:val="0"/>
    <w:pPr>
      <w:spacing w:before="93" w:beforeLines="30"/>
    </w:pPr>
    <w:rPr>
      <w:rFonts w:ascii="仿宋_GB2312"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line number"/>
    <w:basedOn w:val="8"/>
    <w:qFormat/>
    <w:uiPriority w:val="0"/>
    <w:rPr>
      <w:rFonts w:hint="default"/>
      <w:sz w:val="22"/>
    </w:rPr>
  </w:style>
  <w:style w:type="character" w:styleId="11">
    <w:name w:val="Hyperlink"/>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4356</Words>
  <Characters>4579</Characters>
  <Lines>0</Lines>
  <Paragraphs>0</Paragraphs>
  <TotalTime>3</TotalTime>
  <ScaleCrop>false</ScaleCrop>
  <LinksUpToDate>false</LinksUpToDate>
  <CharactersWithSpaces>4630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2023-04-19T03:02:13Z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B921219AA9C74C8A98459158592107CE_13</vt:lpwstr>
  </property>
</Properties>
</file>