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hd w:val="clear" w:color="auto" w:fill="FFFFFF"/>
        <w:jc w:val="center"/>
      </w:pPr>
      <w:r>
        <w:rPr>
          <w:sz w:val="42"/>
          <w:szCs w:val="42"/>
        </w:rPr>
        <w:t>2021年度</w:t>
      </w:r>
    </w:p>
    <w:p>
      <w:pPr>
        <w:pStyle w:val="11"/>
        <w:shd w:val="clear" w:color="auto" w:fill="FFFFFF"/>
        <w:jc w:val="center"/>
      </w:pPr>
      <w:r>
        <w:rPr>
          <w:sz w:val="42"/>
          <w:szCs w:val="42"/>
        </w:rPr>
        <w:t>阿坝州红原县城乡规划建设和住房保障局部门决算</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已经保密审查、内容审定，同意对外公开</w:t>
      </w:r>
    </w:p>
    <w:p>
      <w:pPr>
        <w:pStyle w:val="11"/>
        <w:shd w:val="clear" w:color="auto" w:fill="FFFFFF"/>
      </w:pPr>
      <w:r>
        <w:t> </w:t>
      </w:r>
    </w:p>
    <w:p>
      <w:pPr>
        <w:pStyle w:val="11"/>
        <w:shd w:val="clear" w:color="auto" w:fill="FFFFFF"/>
      </w:pPr>
      <w:r>
        <w:t> </w:t>
      </w:r>
    </w:p>
    <w:p>
      <w:pPr>
        <w:pStyle w:val="11"/>
        <w:shd w:val="clear" w:color="auto" w:fill="FFFFFF"/>
        <w:jc w:val="center"/>
      </w:pPr>
      <w:r>
        <w:t> </w:t>
      </w:r>
    </w:p>
    <w:p>
      <w:pPr>
        <w:pStyle w:val="11"/>
        <w:shd w:val="clear" w:color="auto" w:fill="FFFFFF"/>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pPr>
      <w:r>
        <w:t> </w:t>
      </w:r>
    </w:p>
    <w:p>
      <w:pPr>
        <w:pStyle w:val="11"/>
        <w:shd w:val="clear" w:color="auto" w:fill="FFFFFF"/>
        <w:jc w:val="center"/>
        <w:rPr>
          <w:rFonts w:hint="eastAsia" w:eastAsia="宋体"/>
          <w:lang w:eastAsia="zh-CN"/>
        </w:rPr>
      </w:pPr>
    </w:p>
    <w:p>
      <w:pPr>
        <w:pStyle w:val="11"/>
        <w:shd w:val="clear" w:color="auto" w:fill="FFFFFF"/>
        <w:jc w:val="center"/>
      </w:pPr>
      <w:r>
        <w:t>目录</w:t>
      </w:r>
    </w:p>
    <w:p>
      <w:pPr>
        <w:pStyle w:val="11"/>
        <w:shd w:val="clear" w:color="auto" w:fill="FFFFFF"/>
        <w:jc w:val="center"/>
      </w:pPr>
      <w:r>
        <w:t> </w:t>
      </w:r>
    </w:p>
    <w:p>
      <w:pPr>
        <w:pStyle w:val="11"/>
        <w:shd w:val="clear" w:color="auto" w:fill="FFFFFF"/>
        <w:jc w:val="center"/>
      </w:pPr>
      <w:r>
        <w:t>公开时间：2022年9月29日</w:t>
      </w:r>
    </w:p>
    <w:p>
      <w:pPr>
        <w:pStyle w:val="11"/>
        <w:shd w:val="clear" w:color="auto" w:fill="FFFFFF"/>
      </w:pPr>
      <w:r>
        <w:t> </w:t>
      </w:r>
    </w:p>
    <w:p>
      <w:pPr>
        <w:pStyle w:val="11"/>
        <w:shd w:val="clear" w:color="auto" w:fill="FFFFFF"/>
      </w:pPr>
      <w:r>
        <w:t>第一部分 部门概况</w:t>
      </w:r>
    </w:p>
    <w:p>
      <w:pPr>
        <w:pStyle w:val="11"/>
        <w:shd w:val="clear" w:color="auto" w:fill="FFFFFF"/>
        <w:ind w:left="420"/>
      </w:pPr>
      <w:r>
        <w:t>一、基本职能及主要工作</w:t>
      </w:r>
    </w:p>
    <w:p>
      <w:pPr>
        <w:pStyle w:val="11"/>
        <w:shd w:val="clear" w:color="auto" w:fill="FFFFFF"/>
        <w:ind w:left="420"/>
      </w:pPr>
      <w:r>
        <w:t>二、机构设置</w:t>
      </w:r>
    </w:p>
    <w:p>
      <w:pPr>
        <w:pStyle w:val="11"/>
        <w:shd w:val="clear" w:color="auto" w:fill="FFFFFF"/>
      </w:pPr>
      <w:r>
        <w:t>第二部分 2021年度部门决算情况说明</w:t>
      </w:r>
    </w:p>
    <w:p>
      <w:pPr>
        <w:pStyle w:val="11"/>
        <w:shd w:val="clear" w:color="auto" w:fill="FFFFFF"/>
        <w:ind w:left="420"/>
      </w:pPr>
      <w:r>
        <w:t>一、收入支出决算总体情况说明</w:t>
      </w:r>
    </w:p>
    <w:p>
      <w:pPr>
        <w:pStyle w:val="11"/>
        <w:shd w:val="clear" w:color="auto" w:fill="FFFFFF"/>
        <w:ind w:left="420"/>
      </w:pPr>
      <w:r>
        <w:t>二、收入决算情况说明</w:t>
      </w:r>
    </w:p>
    <w:p>
      <w:pPr>
        <w:pStyle w:val="11"/>
        <w:shd w:val="clear" w:color="auto" w:fill="FFFFFF"/>
        <w:ind w:left="420"/>
      </w:pPr>
      <w:r>
        <w:t>三、支出决算情况说明</w:t>
      </w:r>
    </w:p>
    <w:p>
      <w:pPr>
        <w:pStyle w:val="11"/>
        <w:shd w:val="clear" w:color="auto" w:fill="FFFFFF"/>
        <w:ind w:left="420"/>
      </w:pPr>
      <w:r>
        <w:t>四、财政拨款收入支出决算总体情况说明</w:t>
      </w:r>
    </w:p>
    <w:p>
      <w:pPr>
        <w:pStyle w:val="11"/>
        <w:shd w:val="clear" w:color="auto" w:fill="FFFFFF"/>
        <w:ind w:left="420"/>
      </w:pPr>
      <w:r>
        <w:t>五、一般公共预算财政拨款支出决算情况说明</w:t>
      </w:r>
    </w:p>
    <w:p>
      <w:pPr>
        <w:pStyle w:val="11"/>
        <w:shd w:val="clear" w:color="auto" w:fill="FFFFFF"/>
        <w:ind w:left="420"/>
      </w:pPr>
      <w:r>
        <w:t>六、一般公共预算财政拨款基本支出决算情况说明</w:t>
      </w:r>
    </w:p>
    <w:p>
      <w:pPr>
        <w:pStyle w:val="11"/>
        <w:shd w:val="clear" w:color="auto" w:fill="FFFFFF"/>
        <w:ind w:left="420"/>
      </w:pPr>
      <w:r>
        <w:t>七、“三公”经费财政拨款支出决算情况说明</w:t>
      </w:r>
    </w:p>
    <w:p>
      <w:pPr>
        <w:pStyle w:val="11"/>
        <w:shd w:val="clear" w:color="auto" w:fill="FFFFFF"/>
        <w:ind w:left="420"/>
      </w:pPr>
      <w:r>
        <w:t>八、政府性基金预算支出决算情况说明</w:t>
      </w:r>
    </w:p>
    <w:p>
      <w:pPr>
        <w:pStyle w:val="11"/>
        <w:shd w:val="clear" w:color="auto" w:fill="FFFFFF"/>
      </w:pPr>
      <w:r>
        <w:t>九、国有资本经营预算支出决算情况说明</w:t>
      </w:r>
    </w:p>
    <w:p>
      <w:pPr>
        <w:pStyle w:val="11"/>
        <w:shd w:val="clear" w:color="auto" w:fill="FFFFFF"/>
      </w:pPr>
      <w:r>
        <w:t>十、其他重要事项的情况说明 </w:t>
      </w:r>
    </w:p>
    <w:p>
      <w:pPr>
        <w:pStyle w:val="11"/>
        <w:shd w:val="clear" w:color="auto" w:fill="FFFFFF"/>
      </w:pPr>
      <w:r>
        <w:t>第三部分 名词解释</w:t>
      </w:r>
    </w:p>
    <w:p>
      <w:pPr>
        <w:pStyle w:val="11"/>
        <w:shd w:val="clear" w:color="auto" w:fill="FFFFFF"/>
      </w:pPr>
      <w:r>
        <w:t>第四部分 附件</w:t>
      </w:r>
    </w:p>
    <w:p>
      <w:pPr>
        <w:pStyle w:val="11"/>
        <w:shd w:val="clear" w:color="auto" w:fill="FFFFFF"/>
      </w:pPr>
      <w:r>
        <w:t>第五部分 附表</w:t>
      </w:r>
    </w:p>
    <w:p>
      <w:pPr>
        <w:pStyle w:val="11"/>
        <w:shd w:val="clear" w:color="auto" w:fill="FFFFFF"/>
        <w:ind w:left="420"/>
      </w:pPr>
      <w:r>
        <w:t>一、收入支出决算总表</w:t>
      </w:r>
    </w:p>
    <w:p>
      <w:pPr>
        <w:pStyle w:val="11"/>
        <w:shd w:val="clear" w:color="auto" w:fill="FFFFFF"/>
        <w:ind w:left="420"/>
      </w:pPr>
      <w:r>
        <w:t>二、收入决算表</w:t>
      </w:r>
    </w:p>
    <w:p>
      <w:pPr>
        <w:pStyle w:val="11"/>
        <w:shd w:val="clear" w:color="auto" w:fill="FFFFFF"/>
        <w:ind w:left="420"/>
      </w:pPr>
      <w:r>
        <w:t>三、支出决算表</w:t>
      </w:r>
    </w:p>
    <w:p>
      <w:pPr>
        <w:pStyle w:val="11"/>
        <w:shd w:val="clear" w:color="auto" w:fill="FFFFFF"/>
        <w:ind w:left="420"/>
      </w:pPr>
      <w:r>
        <w:t>四、财政拨款收入支出决算总表</w:t>
      </w:r>
    </w:p>
    <w:p>
      <w:pPr>
        <w:pStyle w:val="11"/>
        <w:shd w:val="clear" w:color="auto" w:fill="FFFFFF"/>
        <w:ind w:left="420"/>
      </w:pPr>
      <w:r>
        <w:t>五、财政拨款支出决算明细表</w:t>
      </w:r>
    </w:p>
    <w:p>
      <w:pPr>
        <w:pStyle w:val="11"/>
        <w:shd w:val="clear" w:color="auto" w:fill="FFFFFF"/>
        <w:ind w:left="420"/>
      </w:pPr>
      <w:r>
        <w:t>六、一般公共预算财政拨款支出决算表</w:t>
      </w:r>
    </w:p>
    <w:p>
      <w:pPr>
        <w:pStyle w:val="11"/>
        <w:shd w:val="clear" w:color="auto" w:fill="FFFFFF"/>
        <w:ind w:left="420"/>
      </w:pPr>
      <w:r>
        <w:t>七、一般公共预算财政拨款支出决算明细表</w:t>
      </w:r>
    </w:p>
    <w:p>
      <w:pPr>
        <w:pStyle w:val="11"/>
        <w:shd w:val="clear" w:color="auto" w:fill="FFFFFF"/>
        <w:ind w:left="420"/>
      </w:pPr>
      <w:r>
        <w:t>八、一般公共预算财政拨款基本支出决算表</w:t>
      </w:r>
    </w:p>
    <w:p>
      <w:pPr>
        <w:pStyle w:val="11"/>
        <w:shd w:val="clear" w:color="auto" w:fill="FFFFFF"/>
        <w:ind w:left="420"/>
      </w:pPr>
      <w:r>
        <w:t>九、一般公共预算财政拨款项目支出决算表</w:t>
      </w:r>
    </w:p>
    <w:p>
      <w:pPr>
        <w:pStyle w:val="11"/>
        <w:shd w:val="clear" w:color="auto" w:fill="FFFFFF"/>
        <w:ind w:left="420"/>
      </w:pPr>
      <w:r>
        <w:t>十、一般公共预算财政拨款“三公”经费支出决算表</w:t>
      </w:r>
    </w:p>
    <w:p>
      <w:pPr>
        <w:pStyle w:val="11"/>
        <w:shd w:val="clear" w:color="auto" w:fill="FFFFFF"/>
        <w:ind w:left="420"/>
      </w:pPr>
      <w:r>
        <w:t>十一、政府性基金预算财政拨款收入支出决算表</w:t>
      </w:r>
    </w:p>
    <w:p>
      <w:pPr>
        <w:pStyle w:val="11"/>
        <w:shd w:val="clear" w:color="auto" w:fill="FFFFFF"/>
        <w:ind w:left="420"/>
      </w:pPr>
      <w:r>
        <w:t>十二、政府性基金预算财政拨款“三公”经费支出决算表</w:t>
      </w:r>
    </w:p>
    <w:p>
      <w:pPr>
        <w:pStyle w:val="11"/>
        <w:shd w:val="clear" w:color="auto" w:fill="FFFFFF"/>
        <w:ind w:left="420"/>
      </w:pPr>
      <w:r>
        <w:t>十三、国有资本经营预算财政拨款收入支出决算表</w:t>
      </w:r>
    </w:p>
    <w:p>
      <w:pPr>
        <w:pStyle w:val="11"/>
        <w:shd w:val="clear" w:color="auto" w:fill="FFFFFF"/>
        <w:ind w:left="420"/>
      </w:pPr>
      <w:r>
        <w:t>十四、国有资本经营预算财政拨款支出决算表</w:t>
      </w:r>
    </w:p>
    <w:p>
      <w:pPr>
        <w:pStyle w:val="11"/>
        <w:shd w:val="clear" w:color="auto" w:fill="FFFFFF"/>
      </w:pPr>
      <w:r>
        <w:t>(注：请部门根据实际注明页码)</w:t>
      </w:r>
    </w:p>
    <w:p>
      <w:pPr>
        <w:pStyle w:val="11"/>
        <w:shd w:val="clear" w:color="auto" w:fill="FFFFFF"/>
      </w:pPr>
      <w:r>
        <w:t> </w:t>
      </w:r>
    </w:p>
    <w:p>
      <w:pPr>
        <w:pStyle w:val="11"/>
        <w:shd w:val="clear" w:color="auto" w:fill="FFFFFF"/>
      </w:pPr>
      <w:r>
        <w:t> </w:t>
      </w:r>
    </w:p>
    <w:p>
      <w:pPr>
        <w:pStyle w:val="3"/>
        <w:shd w:val="clear" w:color="auto" w:fill="FFFFFF"/>
        <w:jc w:val="center"/>
      </w:pPr>
      <w:r>
        <w:t>第一部分 部门概况</w:t>
      </w:r>
    </w:p>
    <w:p>
      <w:pPr>
        <w:pStyle w:val="11"/>
        <w:shd w:val="clear" w:color="auto" w:fill="FFFFFF"/>
      </w:pPr>
      <w:r>
        <w:t> </w:t>
      </w:r>
    </w:p>
    <w:p>
      <w:pPr>
        <w:pStyle w:val="4"/>
        <w:shd w:val="clear" w:color="auto" w:fill="FFFFFF"/>
      </w:pPr>
      <w:r>
        <w:t>一、基本职能及主要工作</w:t>
      </w:r>
    </w:p>
    <w:p>
      <w:pPr>
        <w:pStyle w:val="11"/>
        <w:shd w:val="clear" w:color="auto" w:fill="FFFFFF"/>
        <w:rPr>
          <w:b/>
          <w:bCs/>
        </w:rPr>
      </w:pPr>
      <w:r>
        <w:rPr>
          <w:rFonts w:hint="eastAsia" w:ascii="仿宋_GB2312" w:hAnsi="仿宋_GB2312" w:eastAsia="仿宋_GB2312" w:cs="仿宋_GB2312"/>
          <w:b/>
          <w:bCs/>
          <w:sz w:val="32"/>
          <w:szCs w:val="32"/>
          <w:lang w:val="en-US" w:eastAsia="zh-CN" w:bidi="ar-SA"/>
        </w:rPr>
        <w:t>（一）主要职能</w:t>
      </w:r>
      <w:r>
        <w:rPr>
          <w:b/>
          <w:bCs/>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1、贯彻执行国家、省、州有关住房和城乡建设、城市管理、市政园林工作的方针政策和法律、法规、规章，实施有关相对集中行政处罚权的地方性法规、规章和政策。</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2、负责住房保障工作，拟订全县住房保障发展规划和年度规划并组织实施；会同有关部门加强住房保障资金的管理，推进住房改革与发展。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3、负责房地产市场监督管理工作，拟订房地产业的行业发展规划、发展计划和房地产市场监督管理措施，并监督执行。</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4、负责建筑市场监督管理工作，指导全县建筑活动，核发《建设工程施工许可证》，指导监督建设工程标准定额的实施。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5、负责建设工程质量安全监督管理和竣工验收备案管理，组织或参与工程质量安全事故的调查处理。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6、指导农村住房建设及危房改造和村镇人居生态环境的改善工作。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7、负责县政府交办的建设工程的组织实施工作。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8、负责推进行业科学发展和建筑节能工作，推广应用新技术、新材料、新工艺。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9、负责房地产市场和建筑市场动态巡查工作，协助有关部门查处房地产市场和建筑市场违法案件。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10、指导城市建设档案管理。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11、行使市容环境卫生管理、城市规划管理、城市绿化管理、市政管理、城市燃气管理、供水管理、户外广告设施设置管理方面的法律、法规、规章规定的行政处罚权；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12、负责市政设施、园林绿化、环境卫生、城市照明、城市燃气和户外广告设施的行业管理，承担安全监督管理责任；指导协调市容市貌和环境卫生工作，组织协调专项治理等重大活动。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13、拟订城市维护费和专项经费的年度计划及资金划拨计划，并对使用情况实施监督。</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14、组织实施市政、环卫、照明等城市基础设施的建设和维修改造，负责全县地下管线的综合协调工作。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15、承办县政府和上级部门交办的其他事项。</w:t>
      </w:r>
    </w:p>
    <w:p>
      <w:pPr>
        <w:pStyle w:val="11"/>
        <w:shd w:val="clear" w:color="auto" w:fill="FFFFFF"/>
        <w:rPr>
          <w:rFonts w:hint="eastAsia"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（二）2021年重点工作完成情况。</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3" w:firstLineChars="200"/>
        <w:jc w:val="both"/>
        <w:textAlignment w:val="auto"/>
        <w:rPr>
          <w:rFonts w:hint="default" w:ascii="仿宋_GB2312" w:hAnsi="仿宋_GB2312" w:eastAsia="仿宋_GB2312" w:cs="仿宋_GB2312"/>
          <w:b w:val="0"/>
          <w:bCs/>
          <w:i w:val="0"/>
          <w:iCs w:val="0"/>
          <w:kern w:val="0"/>
          <w:sz w:val="32"/>
          <w:szCs w:val="32"/>
          <w:lang w:val="en-US" w:eastAsia="zh-CN"/>
        </w:rPr>
      </w:pPr>
      <w:r>
        <w:rPr>
          <w:rFonts w:hint="eastAsia" w:ascii="楷体_GB2312" w:hAnsi="楷体_GB2312" w:eastAsia="楷体_GB2312" w:cs="楷体_GB2312"/>
          <w:b/>
          <w:bCs w:val="0"/>
          <w:i w:val="0"/>
          <w:caps w:val="0"/>
          <w:color w:val="000000"/>
          <w:spacing w:val="0"/>
          <w:sz w:val="32"/>
          <w:szCs w:val="32"/>
          <w:shd w:val="clear" w:color="auto" w:fill="FFFFFF"/>
          <w:lang w:val="en-US" w:eastAsia="zh-CN"/>
        </w:rPr>
        <w:t>（1）提前谋划部署，全力推进重点项目。</w:t>
      </w:r>
      <w:r>
        <w:rPr>
          <w:rFonts w:hint="eastAsia" w:ascii="仿宋_GB2312" w:hAnsi="仿宋_GB2312" w:eastAsia="仿宋_GB2312" w:cs="仿宋_GB2312"/>
          <w:sz w:val="32"/>
          <w:szCs w:val="32"/>
          <w:lang w:val="en-US" w:eastAsia="zh-CN"/>
        </w:rPr>
        <w:t>今年我局的重点项目主要分为文旅大会、续建、市政基础设施建设和环保督察整改建设项目四大类，全局上下紧盯项目前期，成立项目专班、落实责任到人，在全县率先开展项目建设。截止目前，</w:t>
      </w:r>
      <w:r>
        <w:rPr>
          <w:rFonts w:hint="eastAsia" w:ascii="仿宋_GB2312" w:hAnsi="仿宋_GB2312" w:eastAsia="仿宋_GB2312" w:cs="仿宋_GB2312"/>
          <w:kern w:val="2"/>
          <w:sz w:val="32"/>
          <w:szCs w:val="32"/>
          <w:lang w:val="en-US" w:eastAsia="zh-CN" w:bidi="ar-SA"/>
        </w:rPr>
        <w:t>共实施项目31个，</w:t>
      </w:r>
      <w:r>
        <w:rPr>
          <w:rFonts w:hint="eastAsia" w:ascii="仿宋_GB2312" w:hAnsi="仿宋_GB2312" w:eastAsia="仿宋_GB2312" w:cs="仿宋_GB2312"/>
          <w:b w:val="0"/>
          <w:bCs/>
          <w:i w:val="0"/>
          <w:iCs w:val="0"/>
          <w:kern w:val="0"/>
          <w:sz w:val="32"/>
          <w:szCs w:val="32"/>
          <w:lang w:val="en-US" w:eastAsia="zh-CN"/>
        </w:rPr>
        <w:t>总投资11907.156万元，已下达资金10695万元，资金缺口1211.135万元。</w:t>
      </w:r>
      <w:r>
        <w:rPr>
          <w:rFonts w:hint="eastAsia" w:ascii="仿宋_GB2312" w:hAnsi="仿宋_GB2312" w:eastAsia="仿宋_GB2312" w:cs="仿宋_GB2312"/>
          <w:b w:val="0"/>
          <w:bCs w:val="0"/>
          <w:kern w:val="2"/>
          <w:sz w:val="32"/>
          <w:szCs w:val="32"/>
          <w:lang w:val="en-US" w:eastAsia="zh-CN" w:bidi="ar-SA"/>
        </w:rPr>
        <w:t>其中</w:t>
      </w:r>
      <w:r>
        <w:rPr>
          <w:rFonts w:hint="eastAsia" w:ascii="仿宋_GB2312" w:hAnsi="仿宋_GB2312" w:eastAsia="仿宋_GB2312" w:cs="仿宋_GB2312"/>
          <w:kern w:val="2"/>
          <w:sz w:val="32"/>
          <w:szCs w:val="32"/>
          <w:lang w:val="en-US" w:eastAsia="zh-CN" w:bidi="ar-SA"/>
        </w:rPr>
        <w:t>5个文旅大会项目、2个续建项目和10个市政基础设施建设项目</w:t>
      </w:r>
      <w:r>
        <w:rPr>
          <w:rFonts w:hint="eastAsia" w:ascii="仿宋_GB2312" w:hAnsi="仿宋_GB2312" w:eastAsia="仿宋_GB2312" w:cs="仿宋_GB2312"/>
          <w:sz w:val="32"/>
          <w:szCs w:val="32"/>
          <w:lang w:val="en-US" w:eastAsia="zh-CN"/>
        </w:rPr>
        <w:t>均已完成所有建设内容</w:t>
      </w:r>
      <w:r>
        <w:rPr>
          <w:rFonts w:hint="eastAsia" w:ascii="仿宋_GB2312" w:hAnsi="仿宋_GB2312" w:eastAsia="仿宋_GB2312" w:cs="仿宋_GB2312"/>
          <w:kern w:val="2"/>
          <w:sz w:val="32"/>
          <w:szCs w:val="32"/>
          <w:lang w:val="en-US" w:eastAsia="zh-CN" w:bidi="ar-SA"/>
        </w:rPr>
        <w:t>；14个环保督察整改项目已</w:t>
      </w:r>
      <w:r>
        <w:rPr>
          <w:rFonts w:hint="eastAsia" w:ascii="仿宋_GB2312" w:hAnsi="仿宋_GB2312" w:eastAsia="仿宋_GB2312" w:cs="仿宋_GB2312"/>
          <w:sz w:val="32"/>
          <w:szCs w:val="32"/>
          <w:lang w:val="en-US" w:eastAsia="zh-CN"/>
        </w:rPr>
        <w:t>按照倒排工期</w:t>
      </w:r>
      <w:r>
        <w:rPr>
          <w:rFonts w:hint="eastAsia" w:ascii="仿宋_GB2312" w:hAnsi="仿宋_GB2312" w:eastAsia="仿宋_GB2312" w:cs="仿宋_GB2312"/>
          <w:kern w:val="2"/>
          <w:sz w:val="32"/>
          <w:szCs w:val="32"/>
          <w:lang w:val="en-US" w:eastAsia="zh-CN" w:bidi="ar-SA"/>
        </w:rPr>
        <w:t>完成12个、未完成2个，预计于</w:t>
      </w:r>
      <w:r>
        <w:rPr>
          <w:rFonts w:hint="eastAsia" w:ascii="仿宋_GB2312" w:hAnsi="仿宋_GB2312" w:eastAsia="仿宋_GB2312" w:cs="仿宋_GB2312"/>
          <w:b w:val="0"/>
          <w:bCs/>
          <w:i w:val="0"/>
          <w:iCs w:val="0"/>
          <w:kern w:val="0"/>
          <w:sz w:val="32"/>
          <w:szCs w:val="32"/>
          <w:lang w:val="en-US" w:eastAsia="zh-CN"/>
        </w:rPr>
        <w:t>2022年8月底完成</w:t>
      </w:r>
      <w:r>
        <w:rPr>
          <w:rFonts w:hint="eastAsia" w:ascii="仿宋_GB2312" w:hAnsi="仿宋_GB2312" w:eastAsia="仿宋_GB2312" w:cs="仿宋_GB2312"/>
          <w:kern w:val="2"/>
          <w:sz w:val="32"/>
          <w:szCs w:val="32"/>
          <w:lang w:val="en-US" w:eastAsia="zh-CN" w:bidi="ar-SA"/>
        </w:rPr>
        <w:t>，项目</w:t>
      </w:r>
      <w:r>
        <w:rPr>
          <w:rFonts w:hint="eastAsia" w:ascii="仿宋_GB2312" w:hAnsi="仿宋_GB2312" w:eastAsia="仿宋_GB2312" w:cs="仿宋_GB2312"/>
          <w:b w:val="0"/>
          <w:bCs/>
          <w:i w:val="0"/>
          <w:iCs w:val="0"/>
          <w:kern w:val="0"/>
          <w:sz w:val="32"/>
          <w:szCs w:val="32"/>
          <w:lang w:val="en-US" w:eastAsia="zh-CN"/>
        </w:rPr>
        <w:t>完成率为93.55%。由于无专项资金，包含1个文旅大会项目、2个续建项目、5个市政项目和2个</w:t>
      </w:r>
      <w:r>
        <w:rPr>
          <w:rFonts w:hint="eastAsia" w:ascii="仿宋_GB2312" w:hAnsi="仿宋_GB2312" w:eastAsia="仿宋_GB2312" w:cs="仿宋_GB2312"/>
          <w:sz w:val="32"/>
          <w:szCs w:val="32"/>
          <w:lang w:val="en-US" w:eastAsia="zh-CN"/>
        </w:rPr>
        <w:t>环保督察整改建设项目在内的10个项目已完成所有建设内容，但未拨付资金，我局承担的31个建设项目有15个项目已达到资金拨付进度，资金</w:t>
      </w:r>
      <w:r>
        <w:rPr>
          <w:rFonts w:hint="eastAsia" w:ascii="仿宋_GB2312" w:hAnsi="仿宋_GB2312" w:eastAsia="仿宋_GB2312" w:cs="仿宋_GB2312"/>
          <w:b w:val="0"/>
          <w:bCs/>
          <w:i w:val="0"/>
          <w:iCs w:val="0"/>
          <w:kern w:val="0"/>
          <w:sz w:val="32"/>
          <w:szCs w:val="32"/>
          <w:lang w:val="en-US" w:eastAsia="zh-CN"/>
        </w:rPr>
        <w:t>拨付率为71.43%。</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val="0"/>
          <w:i w:val="0"/>
          <w:caps w:val="0"/>
          <w:color w:val="000000"/>
          <w:spacing w:val="0"/>
          <w:sz w:val="32"/>
          <w:szCs w:val="32"/>
          <w:shd w:val="clear" w:color="auto" w:fill="FFFFFF"/>
          <w:lang w:val="en-US" w:eastAsia="zh-CN"/>
        </w:rPr>
        <w:t>（2）加强监管，全面规范建筑领域行为。</w:t>
      </w:r>
      <w:r>
        <w:rPr>
          <w:rFonts w:hint="eastAsia" w:ascii="仿宋_GB2312" w:hAnsi="仿宋_GB2312" w:eastAsia="仿宋_GB2312" w:cs="仿宋_GB2312"/>
          <w:color w:val="auto"/>
          <w:sz w:val="32"/>
          <w:szCs w:val="32"/>
          <w:lang w:val="en-US" w:eastAsia="zh-CN"/>
        </w:rPr>
        <w:t>按照《阿坝州促进建筑业高质量发展的实施意见》相关要求，全面做好了以下工作：</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常态化开展建筑市场行为监督执法检查。</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规范施工许可管理制度。</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color w:val="auto"/>
          <w:sz w:val="32"/>
          <w:szCs w:val="32"/>
          <w:lang w:val="en-US" w:eastAsia="zh-CN"/>
        </w:rPr>
        <w:t>做好本县建筑企业服务管理工作。</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color w:val="auto"/>
          <w:sz w:val="32"/>
          <w:szCs w:val="32"/>
          <w:lang w:val="en-US" w:eastAsia="zh-CN"/>
        </w:rPr>
        <w:t>维护建筑工人合法权益。</w:t>
      </w:r>
      <w:r>
        <w:rPr>
          <w:rFonts w:hint="eastAsia" w:ascii="仿宋_GB2312" w:hAnsi="仿宋_GB2312" w:eastAsia="仿宋_GB2312" w:cs="仿宋_GB2312"/>
          <w:b/>
          <w:bCs/>
          <w:color w:val="auto"/>
          <w:sz w:val="32"/>
          <w:szCs w:val="32"/>
          <w:lang w:val="en-US" w:eastAsia="zh-CN"/>
        </w:rPr>
        <w:t>五是</w:t>
      </w:r>
      <w:r>
        <w:rPr>
          <w:rFonts w:hint="eastAsia" w:ascii="仿宋_GB2312" w:hAnsi="仿宋_GB2312" w:eastAsia="仿宋_GB2312" w:cs="仿宋_GB2312"/>
          <w:color w:val="auto"/>
          <w:sz w:val="32"/>
          <w:szCs w:val="32"/>
          <w:lang w:val="en-US" w:eastAsia="zh-CN"/>
        </w:rPr>
        <w:t>持续开展建筑领域“扫黑除恶”专项行动，切实维护了建筑领域健康有序发展。</w:t>
      </w:r>
      <w:r>
        <w:rPr>
          <w:rFonts w:hint="eastAsia" w:ascii="仿宋_GB2312" w:hAnsi="仿宋_GB2312" w:eastAsia="仿宋_GB2312" w:cs="仿宋_GB2312"/>
          <w:b/>
          <w:bCs/>
          <w:color w:val="auto"/>
          <w:sz w:val="32"/>
          <w:szCs w:val="32"/>
          <w:lang w:val="en-US" w:eastAsia="zh-CN"/>
        </w:rPr>
        <w:t>六是</w:t>
      </w:r>
      <w:r>
        <w:rPr>
          <w:rFonts w:hint="eastAsia" w:ascii="仿宋_GB2312" w:hAnsi="仿宋_GB2312" w:eastAsia="仿宋_GB2312" w:cs="仿宋_GB2312"/>
          <w:color w:val="auto"/>
          <w:sz w:val="32"/>
          <w:szCs w:val="32"/>
          <w:lang w:val="en-US" w:eastAsia="zh-CN"/>
        </w:rPr>
        <w:t>住建系统维护稳定和处置突发事件工作。</w:t>
      </w:r>
      <w:r>
        <w:rPr>
          <w:rFonts w:hint="eastAsia" w:ascii="仿宋_GB2312" w:hAnsi="仿宋_GB2312" w:eastAsia="仿宋_GB2312" w:cs="仿宋_GB2312"/>
          <w:b/>
          <w:bCs/>
          <w:color w:val="auto"/>
          <w:sz w:val="32"/>
          <w:szCs w:val="32"/>
          <w:lang w:val="en-US" w:eastAsia="zh-CN"/>
        </w:rPr>
        <w:t>七是</w:t>
      </w:r>
      <w:r>
        <w:rPr>
          <w:rFonts w:hint="eastAsia" w:ascii="仿宋_GB2312" w:hAnsi="仿宋_GB2312" w:eastAsia="仿宋_GB2312" w:cs="仿宋_GB2312"/>
          <w:color w:val="auto"/>
          <w:sz w:val="32"/>
          <w:szCs w:val="32"/>
          <w:lang w:val="en-US" w:eastAsia="zh-CN"/>
        </w:rPr>
        <w:t>持续推进“最多跑一次”行政审批改革，提高办事效率和群众满意度。</w:t>
      </w:r>
    </w:p>
    <w:p>
      <w:pPr>
        <w:keepNext w:val="0"/>
        <w:keepLines w:val="0"/>
        <w:pageBreakBefore w:val="0"/>
        <w:widowControl w:val="0"/>
        <w:kinsoku/>
        <w:wordWrap/>
        <w:overflowPunct/>
        <w:topLinePunct w:val="0"/>
        <w:autoSpaceDE/>
        <w:autoSpaceDN/>
        <w:bidi w:val="0"/>
        <w:adjustRightInd w:val="0"/>
        <w:snapToGrid w:val="0"/>
        <w:spacing w:line="560" w:lineRule="exact"/>
        <w:ind w:leftChars="0" w:right="0" w:rightChars="0" w:firstLine="643" w:firstLineChars="200"/>
        <w:textAlignment w:val="auto"/>
        <w:rPr>
          <w:rFonts w:hint="eastAsia" w:ascii="仿宋_GB2312" w:hAnsi="仿宋_GB2312" w:eastAsia="仿宋_GB2312"/>
          <w:color w:val="auto"/>
          <w:sz w:val="32"/>
          <w:lang w:val="en-US" w:eastAsia="zh-CN"/>
        </w:rPr>
      </w:pPr>
      <w:r>
        <w:rPr>
          <w:rFonts w:hint="eastAsia" w:ascii="楷体_GB2312" w:hAnsi="楷体_GB2312" w:eastAsia="楷体_GB2312" w:cs="楷体_GB2312"/>
          <w:b/>
          <w:bCs w:val="0"/>
          <w:i w:val="0"/>
          <w:caps w:val="0"/>
          <w:color w:val="000000"/>
          <w:spacing w:val="0"/>
          <w:sz w:val="32"/>
          <w:szCs w:val="32"/>
          <w:shd w:val="clear" w:color="auto" w:fill="FFFFFF"/>
          <w:lang w:val="en-US" w:eastAsia="zh-CN"/>
        </w:rPr>
        <w:t>（3）狠抓隐患排查整治，筑牢安全生产防线。</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与建筑施工企业、燃气经营企业、市政公用公司签订安全生产目标责任书并召开住建领域安全生产工作会等方式严格落实安全生产责任制。</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会同县安委会成员单位在复工复产前、</w:t>
      </w:r>
      <w:r>
        <w:rPr>
          <w:rFonts w:hint="eastAsia" w:ascii="仿宋_GB2312" w:hAnsi="仿宋" w:eastAsia="仿宋_GB2312" w:cs="仿宋_GB2312"/>
          <w:color w:val="auto"/>
          <w:sz w:val="32"/>
          <w:szCs w:val="32"/>
          <w:lang w:val="en-US" w:eastAsia="zh-CN"/>
        </w:rPr>
        <w:t>汛期、重要节日、重大活动期间对住建领域开展安全隐患排查并加大治理力度，确保了建设系统安全平稳</w:t>
      </w:r>
      <w:r>
        <w:rPr>
          <w:rFonts w:hint="eastAsia" w:ascii="仿宋_GB2312" w:hAnsi="仿宋_GB2312" w:eastAsia="仿宋_GB2312" w:cs="仿宋_GB2312"/>
          <w:color w:val="auto"/>
          <w:sz w:val="32"/>
          <w:szCs w:val="32"/>
          <w:lang w:val="en-US" w:eastAsia="zh-CN"/>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firstLine="643" w:firstLineChars="200"/>
        <w:textAlignment w:val="baseline"/>
        <w:rPr>
          <w:rFonts w:hint="default" w:ascii="仿宋" w:hAnsi="仿宋" w:eastAsia="仿宋" w:cs="仿宋"/>
          <w:b/>
          <w:bCs/>
          <w:sz w:val="32"/>
          <w:szCs w:val="32"/>
          <w:lang w:val="en-US" w:eastAsia="zh-CN"/>
        </w:rPr>
      </w:pPr>
      <w:r>
        <w:rPr>
          <w:rFonts w:hint="eastAsia" w:ascii="楷体_GB2312" w:hAnsi="楷体_GB2312" w:eastAsia="楷体_GB2312" w:cs="楷体_GB2312"/>
          <w:b/>
          <w:bCs w:val="0"/>
          <w:i w:val="0"/>
          <w:caps w:val="0"/>
          <w:color w:val="000000"/>
          <w:spacing w:val="0"/>
          <w:sz w:val="32"/>
          <w:szCs w:val="32"/>
          <w:shd w:val="clear" w:color="auto" w:fill="FFFFFF"/>
          <w:lang w:val="en-US" w:eastAsia="zh-CN"/>
        </w:rPr>
        <w:t>（4）开展挂牌督战，全面做好住房保障工作。</w:t>
      </w:r>
      <w:r>
        <w:rPr>
          <w:rFonts w:hint="eastAsia" w:ascii="仿宋_GB2312" w:hAnsi="仿宋_GB2312" w:eastAsia="仿宋_GB2312" w:cs="仿宋_GB2312"/>
          <w:b/>
          <w:bCs/>
          <w:color w:val="auto"/>
          <w:kern w:val="2"/>
          <w:sz w:val="32"/>
          <w:szCs w:val="32"/>
          <w:lang w:val="en-US" w:eastAsia="zh-CN" w:bidi="ar-SA"/>
        </w:rPr>
        <w:t>一</w:t>
      </w:r>
      <w:r>
        <w:rPr>
          <w:rFonts w:hint="eastAsia" w:ascii="仿宋" w:hAnsi="仿宋" w:eastAsia="仿宋" w:cs="仿宋"/>
          <w:b/>
          <w:bCs/>
          <w:sz w:val="32"/>
          <w:szCs w:val="32"/>
          <w:lang w:val="en-US" w:eastAsia="zh-CN"/>
        </w:rPr>
        <w:t>是</w:t>
      </w:r>
      <w:r>
        <w:rPr>
          <w:rFonts w:hint="eastAsia" w:ascii="仿宋_GB2312" w:hAnsi="仿宋" w:eastAsia="仿宋_GB2312" w:cs="仿宋_GB2312"/>
          <w:color w:val="auto"/>
          <w:kern w:val="2"/>
          <w:sz w:val="32"/>
          <w:szCs w:val="32"/>
          <w:lang w:val="en-US" w:eastAsia="zh-CN" w:bidi="ar-SA"/>
        </w:rPr>
        <w:t>做好已脱贫户住房安全保障“回头看”工作，对80户已脱贫户住</w:t>
      </w:r>
      <w:r>
        <w:rPr>
          <w:rFonts w:hint="eastAsia" w:ascii="仿宋" w:hAnsi="仿宋" w:eastAsia="仿宋" w:cs="仿宋"/>
          <w:kern w:val="2"/>
          <w:sz w:val="32"/>
          <w:szCs w:val="32"/>
          <w:lang w:val="en-US" w:eastAsia="zh-CN" w:bidi="ar-SA"/>
        </w:rPr>
        <w:t>房安全保障情况进行抽查。</w:t>
      </w:r>
      <w:r>
        <w:rPr>
          <w:rFonts w:hint="eastAsia" w:ascii="仿宋" w:hAnsi="仿宋" w:eastAsia="仿宋" w:cs="仿宋"/>
          <w:b/>
          <w:bCs/>
          <w:kern w:val="2"/>
          <w:sz w:val="32"/>
          <w:szCs w:val="32"/>
          <w:lang w:val="en-US" w:eastAsia="zh-CN" w:bidi="ar-SA"/>
        </w:rPr>
        <w:t>二是</w:t>
      </w:r>
      <w:r>
        <w:rPr>
          <w:rFonts w:hint="eastAsia" w:ascii="仿宋_GB2312" w:hAnsi="仿宋" w:eastAsia="仿宋_GB2312" w:cs="仿宋_GB2312"/>
          <w:color w:val="auto"/>
          <w:kern w:val="2"/>
          <w:sz w:val="32"/>
          <w:szCs w:val="32"/>
          <w:lang w:val="en-US" w:eastAsia="zh-CN" w:bidi="ar-SA"/>
        </w:rPr>
        <w:t>加强农村房屋安全隐患排查整治工作，各乡镇</w:t>
      </w:r>
      <w:r>
        <w:rPr>
          <w:rFonts w:hint="eastAsia" w:ascii="仿宋_GB2312" w:hAnsi="仿宋_GB2312" w:eastAsia="仿宋_GB2312" w:cs="仿宋_GB2312"/>
          <w:sz w:val="32"/>
          <w:szCs w:val="32"/>
          <w:lang w:val="en-US" w:eastAsia="zh-CN"/>
        </w:rPr>
        <w:t>排查出存在风险房屋114户；经专业公司安全鉴定，28户房屋存在安全隐患，并按照谁拥有谁负责、谁使用谁负责原则，要求房屋所有权人进行风险整治。</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为提升住房防灾抗灾能力、巩固脱贫攻坚住房保障成果，按照省、州要求，本年度完成全县150户农房抗震加固改造和4户因灾受损农房改造。</w:t>
      </w:r>
    </w:p>
    <w:p>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firstLine="643" w:firstLineChars="200"/>
        <w:jc w:val="both"/>
        <w:textAlignment w:val="auto"/>
        <w:outlineLvl w:val="9"/>
        <w:rPr>
          <w:rFonts w:hint="eastAsia" w:ascii="仿宋_GB2312" w:hAnsi="仿宋_GB2312" w:eastAsia="仿宋_GB2312" w:cs="仿宋_GB2312"/>
          <w:bCs/>
          <w:kern w:val="0"/>
          <w:sz w:val="32"/>
          <w:szCs w:val="32"/>
          <w:lang w:val="en-US" w:eastAsia="zh-CN" w:bidi="ar-SA"/>
        </w:rPr>
      </w:pPr>
      <w:r>
        <w:rPr>
          <w:rFonts w:hint="eastAsia" w:ascii="楷体_GB2312" w:hAnsi="楷体_GB2312" w:eastAsia="楷体_GB2312" w:cs="楷体_GB2312"/>
          <w:b/>
          <w:bCs w:val="0"/>
          <w:i w:val="0"/>
          <w:caps w:val="0"/>
          <w:color w:val="000000"/>
          <w:spacing w:val="0"/>
          <w:sz w:val="32"/>
          <w:szCs w:val="32"/>
          <w:shd w:val="clear" w:color="auto" w:fill="FFFFFF"/>
          <w:lang w:val="en-US" w:eastAsia="zh-CN"/>
        </w:rPr>
        <w:t>（5）找准问题症结，有序推进环保整改。</w:t>
      </w:r>
      <w:r>
        <w:rPr>
          <w:rFonts w:hint="eastAsia" w:ascii="仿宋_GB2312" w:hAnsi="仿宋_GB2312" w:eastAsia="仿宋_GB2312" w:cs="仿宋_GB2312"/>
          <w:bCs/>
          <w:kern w:val="0"/>
          <w:sz w:val="32"/>
          <w:szCs w:val="32"/>
          <w:lang w:val="en-US" w:eastAsia="zh-CN" w:bidi="ar-SA"/>
        </w:rPr>
        <w:t>2018年以来，中央、省、黄河流域、长江流域、西南督察局以及州环境督察暗访部门共查出涉及住建系统污水、垃圾、市容市貌等环保问题共计37个，其中：已销</w:t>
      </w:r>
      <w:r>
        <w:rPr>
          <w:rFonts w:hint="eastAsia" w:ascii="仿宋_GB2312" w:hAnsi="仿宋_GB2312" w:eastAsia="仿宋_GB2312" w:cs="仿宋_GB2312"/>
          <w:bCs/>
          <w:color w:val="auto"/>
          <w:kern w:val="0"/>
          <w:sz w:val="32"/>
          <w:szCs w:val="32"/>
          <w:lang w:val="en-US" w:eastAsia="zh-CN" w:bidi="ar-SA"/>
        </w:rPr>
        <w:t>号29个，正在整改8个，已销号率占总项目数的78.38%，正在整改率占总项目数的21.62%。</w:t>
      </w:r>
    </w:p>
    <w:p>
      <w:pPr>
        <w:pStyle w:val="8"/>
        <w:keepNext w:val="0"/>
        <w:keepLines w:val="0"/>
        <w:pageBreakBefore w:val="0"/>
        <w:widowControl w:val="0"/>
        <w:kinsoku/>
        <w:wordWrap/>
        <w:overflowPunct/>
        <w:topLinePunct w:val="0"/>
        <w:autoSpaceDE/>
        <w:autoSpaceDN/>
        <w:bidi w:val="0"/>
        <w:spacing w:line="560" w:lineRule="exact"/>
        <w:ind w:left="0" w:leftChars="0" w:right="0" w:rightChars="0" w:firstLine="643" w:firstLineChars="200"/>
        <w:textAlignment w:val="auto"/>
      </w:pPr>
      <w:r>
        <w:rPr>
          <w:rFonts w:hint="eastAsia" w:ascii="楷体_GB2312" w:hAnsi="楷体_GB2312" w:eastAsia="楷体_GB2312" w:cs="楷体_GB2312"/>
          <w:b/>
          <w:bCs w:val="0"/>
          <w:kern w:val="0"/>
          <w:sz w:val="32"/>
          <w:szCs w:val="32"/>
          <w:lang w:val="en-US" w:eastAsia="zh-CN"/>
        </w:rPr>
        <w:t>（6）紧盯文旅大会，狠抓全域环境整治。</w:t>
      </w:r>
      <w:r>
        <w:rPr>
          <w:rFonts w:hint="eastAsia" w:ascii="仿宋_GB2312" w:hAnsi="仿宋_GB2312" w:eastAsia="仿宋_GB2312" w:cs="仿宋_GB2312"/>
          <w:bCs/>
          <w:kern w:val="0"/>
          <w:sz w:val="32"/>
          <w:szCs w:val="32"/>
        </w:rPr>
        <w:t>采取明察暗访、公开曝光和交叉检查</w:t>
      </w:r>
      <w:r>
        <w:rPr>
          <w:rFonts w:hint="eastAsia" w:hAnsi="仿宋_GB2312" w:cs="仿宋_GB2312"/>
          <w:bCs/>
          <w:kern w:val="0"/>
          <w:sz w:val="32"/>
          <w:szCs w:val="32"/>
          <w:lang w:eastAsia="zh-CN"/>
        </w:rPr>
        <w:t>以及</w:t>
      </w:r>
      <w:r>
        <w:rPr>
          <w:rFonts w:hint="eastAsia" w:ascii="仿宋_GB2312" w:hAnsi="仿宋_GB2312" w:eastAsia="仿宋_GB2312" w:cs="仿宋_GB2312"/>
          <w:bCs/>
          <w:sz w:val="32"/>
          <w:szCs w:val="32"/>
          <w:lang w:val="en-US" w:eastAsia="zh-CN"/>
        </w:rPr>
        <w:t>人大政协季度考评制、</w:t>
      </w:r>
      <w:r>
        <w:rPr>
          <w:rFonts w:hint="eastAsia" w:ascii="仿宋_GB2312" w:hAnsi="仿宋_GB2312" w:eastAsia="仿宋_GB2312" w:cs="仿宋_GB2312"/>
          <w:b w:val="0"/>
          <w:bCs w:val="0"/>
          <w:sz w:val="32"/>
          <w:szCs w:val="32"/>
          <w:lang w:val="en-US" w:eastAsia="zh-CN"/>
        </w:rPr>
        <w:t>“双报告”制度</w:t>
      </w:r>
      <w:r>
        <w:rPr>
          <w:rFonts w:hint="eastAsia" w:hAnsi="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全面开展</w:t>
      </w:r>
      <w:r>
        <w:rPr>
          <w:rFonts w:hint="eastAsia" w:hAnsi="仿宋_GB2312" w:cs="仿宋_GB2312"/>
          <w:b w:val="0"/>
          <w:bCs w:val="0"/>
          <w:sz w:val="32"/>
          <w:szCs w:val="32"/>
          <w:lang w:val="en-US" w:eastAsia="zh-CN"/>
        </w:rPr>
        <w:t>环境卫生整治</w:t>
      </w:r>
      <w:r>
        <w:rPr>
          <w:rFonts w:hint="eastAsia" w:ascii="仿宋_GB2312" w:hAnsi="仿宋_GB2312" w:eastAsia="仿宋_GB2312" w:cs="仿宋_GB2312"/>
          <w:b w:val="0"/>
          <w:bCs w:val="0"/>
          <w:sz w:val="32"/>
          <w:szCs w:val="32"/>
          <w:lang w:val="en-US" w:eastAsia="zh-CN"/>
        </w:rPr>
        <w:t>督促检查</w:t>
      </w:r>
      <w:r>
        <w:rPr>
          <w:rFonts w:hint="eastAsia" w:hAnsi="仿宋_GB2312" w:cs="仿宋_GB2312"/>
          <w:b w:val="0"/>
          <w:bCs w:val="0"/>
          <w:sz w:val="32"/>
          <w:szCs w:val="32"/>
          <w:lang w:val="en-US" w:eastAsia="zh-CN"/>
        </w:rPr>
        <w:t>，</w:t>
      </w:r>
      <w:r>
        <w:rPr>
          <w:rFonts w:hint="eastAsia"/>
          <w:lang w:val="en-US" w:eastAsia="zh-CN"/>
        </w:rPr>
        <w:t>通过抖音曝光、下发限期整改通知书、行政处罚以及召开环境卫生问题整治交办会等方式，处罚工地乱象7起、罚款13万元；处罚乱丢烟头垃圾、随意踩踏绿化带、随意破坏市政道路等不文明行为40余起罚款14200余元，不断引导施工单位、干部群众提升环境保护治理和文明行为意识，全面提升环境整治和城市管理工作质量。</w:t>
      </w:r>
    </w:p>
    <w:p>
      <w:pPr>
        <w:pStyle w:val="4"/>
        <w:shd w:val="clear" w:color="auto" w:fill="FFFFFF"/>
      </w:pPr>
      <w:r>
        <w:t>二、机构设置</w:t>
      </w:r>
    </w:p>
    <w:p>
      <w:pPr>
        <w:pStyle w:val="4"/>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bidi="ar-SA"/>
        </w:rPr>
        <w:t>红原县住房和城乡建设局下属二级单位1个，其中行政单位0个，参照公务员法管理的事业单位1个，其他事业单位0个。</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纳入红原县住房和城乡建设局2020年度部门决算编制范围的二级预算单位包括：</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Toc15377433"/>
      <w:bookmarkStart w:id="1" w:name="_Toc15306276"/>
      <w:bookmarkStart w:id="2" w:name="_Toc15378449"/>
      <w:bookmarkStart w:id="3" w:name="_Toc15377202"/>
      <w:r>
        <w:rPr>
          <w:rFonts w:hint="eastAsia" w:ascii="仿宋_GB2312" w:hAnsi="仿宋_GB2312" w:eastAsia="仿宋_GB2312" w:cs="仿宋_GB2312"/>
          <w:sz w:val="32"/>
          <w:szCs w:val="32"/>
        </w:rPr>
        <w:t>红原县</w:t>
      </w:r>
      <w:bookmarkEnd w:id="0"/>
      <w:bookmarkEnd w:id="1"/>
      <w:bookmarkEnd w:id="2"/>
      <w:bookmarkEnd w:id="3"/>
      <w:r>
        <w:rPr>
          <w:rFonts w:hint="eastAsia" w:ascii="仿宋_GB2312" w:hAnsi="仿宋_GB2312" w:eastAsia="仿宋_GB2312" w:cs="仿宋_GB2312"/>
          <w:sz w:val="32"/>
          <w:szCs w:val="32"/>
        </w:rPr>
        <w:t>城乡公共服务管理局</w:t>
      </w:r>
    </w:p>
    <w:p>
      <w:pPr>
        <w:pStyle w:val="11"/>
        <w:shd w:val="clear" w:color="auto" w:fill="FFFFFF"/>
      </w:pPr>
      <w:r>
        <w:t> </w:t>
      </w:r>
    </w:p>
    <w:p>
      <w:pPr>
        <w:pStyle w:val="3"/>
        <w:shd w:val="clear" w:color="auto" w:fill="FFFFFF"/>
        <w:jc w:val="center"/>
      </w:pPr>
      <w:r>
        <w:t>第二部分 2021年度部门决算情况说明</w:t>
      </w:r>
    </w:p>
    <w:p>
      <w:pPr>
        <w:pStyle w:val="11"/>
        <w:shd w:val="clear" w:color="auto" w:fill="FFFFFF"/>
      </w:pPr>
      <w:r>
        <w:t> </w:t>
      </w:r>
    </w:p>
    <w:p>
      <w:pPr>
        <w:numPr>
          <w:ilvl w:val="0"/>
          <w:numId w:val="1"/>
        </w:numPr>
        <w:shd w:val="clear" w:color="auto" w:fill="FFFFFF"/>
        <w:spacing w:before="100" w:beforeAutospacing="1" w:after="100" w:afterAutospacing="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收入支出决算总体情况说明</w:t>
      </w:r>
    </w:p>
    <w:p>
      <w:pPr>
        <w:pStyle w:val="11"/>
        <w:shd w:val="clear" w:color="auto" w:fill="FFFFFF"/>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2021年度收、支总计13,231.13万元。与2020年相比，收、支总计各增加617.53万元，增长4.90%。主要变动原因是</w:t>
      </w:r>
      <w:r>
        <w:rPr>
          <w:rFonts w:hint="eastAsia" w:ascii="仿宋_GB2312" w:hAnsi="仿宋_GB2312" w:eastAsia="仿宋_GB2312" w:cs="仿宋_GB2312"/>
          <w:sz w:val="32"/>
          <w:szCs w:val="32"/>
          <w:lang w:val="en-US" w:eastAsia="zh-CN"/>
        </w:rPr>
        <w:t>2021年无财政返还金额。</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-43815</wp:posOffset>
            </wp:positionH>
            <wp:positionV relativeFrom="paragraph">
              <wp:posOffset>66675</wp:posOffset>
            </wp:positionV>
            <wp:extent cx="5001260" cy="2877820"/>
            <wp:effectExtent l="4445" t="4445" r="23495" b="13335"/>
            <wp:wrapSquare wrapText="bothSides"/>
            <wp:docPr id="47" name="图表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numPr>
          <w:ilvl w:val="0"/>
          <w:numId w:val="2"/>
        </w:numPr>
        <w:shd w:val="clear" w:color="auto" w:fill="FFFFFF"/>
        <w:spacing w:before="100" w:beforeAutospacing="1" w:after="100" w:afterAutospacing="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收入决算情况说明</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2021年本年收入合计11,841.48万元，其中：一般公共预算财政拨款收入11,841.48万元，占100.00%。</w:t>
      </w:r>
    </w:p>
    <w:p>
      <w:pPr>
        <w:numPr>
          <w:ilvl w:val="0"/>
          <w:numId w:val="3"/>
        </w:numPr>
        <w:shd w:val="clear" w:color="auto" w:fill="FFFFFF"/>
        <w:spacing w:before="100" w:beforeAutospacing="1" w:after="100" w:afterAutospacing="1"/>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支出决算情况说明</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2021年本年支出合计13,231.13万元，其中：基本支出797.93万元，占6.03%；项目支出12,433.20万元，占93.97%。</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0288" behindDoc="0" locked="0" layoutInCell="1" allowOverlap="1">
            <wp:simplePos x="0" y="0"/>
            <wp:positionH relativeFrom="column">
              <wp:posOffset>276225</wp:posOffset>
            </wp:positionH>
            <wp:positionV relativeFrom="paragraph">
              <wp:posOffset>49530</wp:posOffset>
            </wp:positionV>
            <wp:extent cx="4529455" cy="2442210"/>
            <wp:effectExtent l="4445" t="4445" r="19050" b="10795"/>
            <wp:wrapSquare wrapText="bothSides"/>
            <wp:docPr id="51" name="图表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b/>
          <w:bCs/>
          <w:sz w:val="32"/>
          <w:szCs w:val="32"/>
        </w:rPr>
      </w:pPr>
    </w:p>
    <w:p>
      <w:pPr>
        <w:pStyle w:val="11"/>
        <w:numPr>
          <w:ilvl w:val="0"/>
          <w:numId w:val="4"/>
        </w:numPr>
        <w:shd w:val="clear" w:color="auto" w:fill="FFFFFF"/>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财政拨款收入支出决算总体情况说明</w:t>
      </w:r>
      <w:r>
        <w:rPr>
          <w:rFonts w:hint="eastAsia" w:ascii="仿宋_GB2312" w:hAnsi="仿宋_GB2312" w:eastAsia="仿宋_GB2312" w:cs="仿宋_GB2312"/>
          <w:sz w:val="32"/>
          <w:szCs w:val="32"/>
          <w:lang w:val="en-US" w:eastAsia="zh-CN"/>
        </w:rPr>
        <w:t xml:space="preserve">      </w:t>
      </w:r>
    </w:p>
    <w:p>
      <w:pPr>
        <w:pStyle w:val="11"/>
        <w:numPr>
          <w:ilvl w:val="0"/>
          <w:numId w:val="0"/>
        </w:numPr>
        <w:shd w:val="clear" w:color="auto" w:fill="FFFFFF"/>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2021年财政拨款收、支总计13,231.13万元。与2020年相比，财政拨款收、支总计各增加617.53万元，增长52.13%。主要变动原因是</w:t>
      </w:r>
      <w:r>
        <w:rPr>
          <w:rFonts w:hint="eastAsia" w:ascii="仿宋_GB2312" w:hAnsi="仿宋_GB2312" w:eastAsia="仿宋_GB2312" w:cs="仿宋_GB2312"/>
          <w:sz w:val="32"/>
          <w:szCs w:val="32"/>
          <w:lang w:eastAsia="zh-CN"/>
        </w:rPr>
        <w:t>项目较</w:t>
      </w:r>
      <w:r>
        <w:rPr>
          <w:rFonts w:hint="eastAsia" w:ascii="仿宋_GB2312" w:hAnsi="仿宋_GB2312" w:eastAsia="仿宋_GB2312" w:cs="仿宋_GB2312"/>
          <w:sz w:val="32"/>
          <w:szCs w:val="32"/>
          <w:lang w:val="en-US" w:eastAsia="zh-CN"/>
        </w:rPr>
        <w:t>2020年增加较多。</w:t>
      </w:r>
    </w:p>
    <w:p>
      <w:pPr>
        <w:pStyle w:val="11"/>
        <w:numPr>
          <w:ilvl w:val="0"/>
          <w:numId w:val="0"/>
        </w:numPr>
        <w:shd w:val="clear" w:color="auto" w:fill="FFFFFF"/>
        <w:spacing w:before="100" w:beforeAutospacing="1" w:after="100" w:afterAutospacing="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drawing>
          <wp:anchor distT="0" distB="0" distL="114300" distR="114300" simplePos="0" relativeHeight="251661312" behindDoc="0" locked="0" layoutInCell="1" allowOverlap="1">
            <wp:simplePos x="0" y="0"/>
            <wp:positionH relativeFrom="column">
              <wp:posOffset>124460</wp:posOffset>
            </wp:positionH>
            <wp:positionV relativeFrom="paragraph">
              <wp:posOffset>359410</wp:posOffset>
            </wp:positionV>
            <wp:extent cx="4501515" cy="2319020"/>
            <wp:effectExtent l="4445" t="4445" r="8890" b="19685"/>
            <wp:wrapSquare wrapText="bothSides"/>
            <wp:docPr id="52" name="图表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11"/>
        <w:numPr>
          <w:ilvl w:val="0"/>
          <w:numId w:val="0"/>
        </w:numPr>
        <w:shd w:val="clear" w:color="auto" w:fill="FFFFFF"/>
        <w:spacing w:before="100" w:beforeAutospacing="1" w:after="100" w:afterAutospacing="1"/>
        <w:rPr>
          <w:rFonts w:hint="eastAsia" w:ascii="仿宋_GB2312" w:hAnsi="仿宋_GB2312" w:eastAsia="仿宋_GB2312" w:cs="仿宋_GB2312"/>
          <w:sz w:val="32"/>
          <w:szCs w:val="32"/>
          <w:lang w:val="en-US" w:eastAsia="zh-CN"/>
        </w:rPr>
      </w:pPr>
    </w:p>
    <w:p>
      <w:pPr>
        <w:pStyle w:val="11"/>
        <w:numPr>
          <w:ilvl w:val="0"/>
          <w:numId w:val="0"/>
        </w:numPr>
        <w:shd w:val="clear" w:color="auto" w:fill="FFFFFF"/>
        <w:rPr>
          <w:rFonts w:hint="default" w:ascii="仿宋_GB2312" w:hAnsi="仿宋_GB2312" w:eastAsia="仿宋_GB2312" w:cs="仿宋_GB2312"/>
          <w:sz w:val="32"/>
          <w:szCs w:val="32"/>
          <w:lang w:val="en-US" w:eastAsia="zh-CN"/>
        </w:rPr>
      </w:pP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Style w:val="14"/>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t>般公共预算财政拨款支出决算情况说明</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（一）一般公共预算财政拨款支出决算总体情况</w:t>
      </w:r>
    </w:p>
    <w:p>
      <w:pPr>
        <w:pStyle w:val="11"/>
        <w:shd w:val="clear" w:color="auto" w:fill="FFFFFF"/>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2021年一般公共预算财政拨款支出13,231.13万元，占本年支出合计的100.00%。与2020年相比，一般公共预算财政拨款支出增加6,245.59万元，增长89.41%。主要变动原因是</w:t>
      </w:r>
      <w:r>
        <w:rPr>
          <w:rFonts w:hint="eastAsia" w:ascii="仿宋_GB2312" w:hAnsi="仿宋_GB2312" w:eastAsia="仿宋_GB2312" w:cs="仿宋_GB2312"/>
          <w:sz w:val="32"/>
          <w:szCs w:val="32"/>
          <w:lang w:eastAsia="zh-CN"/>
        </w:rPr>
        <w:t>项目支出增加。</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2336" behindDoc="0" locked="0" layoutInCell="1" allowOverlap="1">
            <wp:simplePos x="0" y="0"/>
            <wp:positionH relativeFrom="column">
              <wp:posOffset>-15875</wp:posOffset>
            </wp:positionH>
            <wp:positionV relativeFrom="paragraph">
              <wp:posOffset>76835</wp:posOffset>
            </wp:positionV>
            <wp:extent cx="5029835" cy="3042920"/>
            <wp:effectExtent l="4445" t="4445" r="13970" b="19685"/>
            <wp:wrapSquare wrapText="bothSides"/>
            <wp:docPr id="53" name="图表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sz w:val="32"/>
          <w:szCs w:val="32"/>
        </w:rPr>
        <w:t> </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（二）一般公共预算财政拨款支出决算结构情况</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2021年一般公共预算财政拨款支出13,231.13万元，主要用于以下方面:</w:t>
      </w:r>
      <w:r>
        <w:rPr>
          <w:rStyle w:val="14"/>
          <w:rFonts w:hint="eastAsia" w:ascii="仿宋_GB2312" w:hAnsi="仿宋_GB2312" w:eastAsia="仿宋_GB2312" w:cs="仿宋_GB2312"/>
          <w:sz w:val="32"/>
          <w:szCs w:val="32"/>
          <w:lang w:eastAsia="zh-CN"/>
        </w:rPr>
        <w:t>住房保障</w:t>
      </w:r>
      <w:r>
        <w:rPr>
          <w:rStyle w:val="14"/>
          <w:rFonts w:hint="eastAsia" w:ascii="仿宋_GB2312" w:hAnsi="仿宋_GB2312" w:eastAsia="仿宋_GB2312" w:cs="仿宋_GB2312"/>
          <w:sz w:val="32"/>
          <w:szCs w:val="32"/>
        </w:rPr>
        <w:t>（类）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343.94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lang w:eastAsia="zh-CN"/>
        </w:rPr>
        <w:t>节能环保</w:t>
      </w:r>
      <w:r>
        <w:rPr>
          <w:rStyle w:val="14"/>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2332.17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17.63</w:t>
      </w:r>
      <w:r>
        <w:rPr>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lang w:eastAsia="zh-CN"/>
        </w:rPr>
        <w:t>城乡社区</w:t>
      </w:r>
      <w:r>
        <w:rPr>
          <w:rStyle w:val="14"/>
          <w:rFonts w:hint="eastAsia" w:ascii="仿宋_GB2312" w:hAnsi="仿宋_GB2312" w:eastAsia="仿宋_GB2312" w:cs="仿宋_GB2312"/>
          <w:sz w:val="32"/>
          <w:szCs w:val="32"/>
        </w:rPr>
        <w:t>（类）</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5273.24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39.86</w:t>
      </w:r>
      <w:r>
        <w:rPr>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lang w:eastAsia="zh-CN"/>
        </w:rPr>
        <w:t>其他</w:t>
      </w:r>
      <w:r>
        <w:rPr>
          <w:rStyle w:val="14"/>
          <w:rFonts w:hint="eastAsia" w:ascii="仿宋_GB2312" w:hAnsi="仿宋_GB2312" w:eastAsia="仿宋_GB2312" w:cs="仿宋_GB2312"/>
          <w:sz w:val="32"/>
          <w:szCs w:val="32"/>
        </w:rPr>
        <w:t>（类）支出</w:t>
      </w:r>
      <w:r>
        <w:rPr>
          <w:rStyle w:val="14"/>
          <w:rFonts w:hint="eastAsia" w:ascii="仿宋_GB2312" w:hAnsi="仿宋_GB2312" w:eastAsia="仿宋_GB2312" w:cs="仿宋_GB2312"/>
          <w:sz w:val="32"/>
          <w:szCs w:val="32"/>
          <w:lang w:val="en-US" w:eastAsia="zh-CN"/>
        </w:rPr>
        <w:t>3310.81</w:t>
      </w:r>
      <w:r>
        <w:rPr>
          <w:rStyle w:val="14"/>
          <w:rFonts w:hint="eastAsia" w:ascii="仿宋_GB2312" w:hAnsi="仿宋_GB2312" w:eastAsia="仿宋_GB2312" w:cs="仿宋_GB2312"/>
          <w:sz w:val="32"/>
          <w:szCs w:val="32"/>
        </w:rPr>
        <w:t>万元，占</w:t>
      </w:r>
      <w:r>
        <w:rPr>
          <w:rStyle w:val="14"/>
          <w:rFonts w:hint="eastAsia" w:ascii="仿宋_GB2312" w:hAnsi="仿宋_GB2312" w:eastAsia="仿宋_GB2312" w:cs="仿宋_GB2312"/>
          <w:sz w:val="32"/>
          <w:szCs w:val="32"/>
          <w:lang w:val="en-US" w:eastAsia="zh-CN"/>
        </w:rPr>
        <w:t>25.03</w:t>
      </w:r>
      <w:r>
        <w:rPr>
          <w:rStyle w:val="14"/>
          <w:rFonts w:hint="eastAsia" w:ascii="仿宋_GB2312" w:hAnsi="仿宋_GB2312" w:eastAsia="仿宋_GB2312" w:cs="仿宋_GB2312"/>
          <w:sz w:val="32"/>
          <w:szCs w:val="32"/>
        </w:rPr>
        <w:t>%；社会保障和就业（类）</w:t>
      </w:r>
      <w:r>
        <w:rPr>
          <w:rFonts w:hint="eastAsia" w:ascii="仿宋_GB2312" w:hAnsi="仿宋_GB2312" w:eastAsia="仿宋_GB2312" w:cs="仿宋_GB2312"/>
          <w:sz w:val="32"/>
          <w:szCs w:val="32"/>
        </w:rPr>
        <w:t>支出80.85万元，占0.61%；</w:t>
      </w:r>
      <w:r>
        <w:rPr>
          <w:rStyle w:val="14"/>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rPr>
        <w:t>62.26万元，占0.47%；住房保障支出343.94万元，占2.60%；</w:t>
      </w:r>
      <w:r>
        <w:rPr>
          <w:rFonts w:hint="eastAsia" w:ascii="仿宋_GB2312" w:hAnsi="仿宋_GB2312" w:eastAsia="仿宋_GB2312" w:cs="仿宋_GB2312"/>
          <w:b/>
          <w:bCs/>
          <w:sz w:val="32"/>
          <w:szCs w:val="32"/>
          <w:lang w:eastAsia="zh-CN"/>
        </w:rPr>
        <w:t>农林水支出（类）</w:t>
      </w:r>
      <w:r>
        <w:rPr>
          <w:rFonts w:hint="eastAsia" w:ascii="仿宋_GB2312" w:hAnsi="仿宋_GB2312" w:eastAsia="仿宋_GB2312" w:cs="仿宋_GB2312"/>
          <w:sz w:val="32"/>
          <w:szCs w:val="32"/>
          <w:lang w:val="en-US" w:eastAsia="zh-CN"/>
        </w:rPr>
        <w:t>1827万元，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13.81</w:t>
      </w:r>
      <w:r>
        <w:rPr>
          <w:rFonts w:hint="eastAsia" w:ascii="仿宋_GB2312" w:hAnsi="仿宋_GB2312" w:eastAsia="仿宋_GB2312" w:cs="仿宋_GB2312"/>
          <w:sz w:val="32"/>
          <w:szCs w:val="32"/>
        </w:rPr>
        <w:t>%。</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3360" behindDoc="0" locked="0" layoutInCell="1" allowOverlap="1">
            <wp:simplePos x="0" y="0"/>
            <wp:positionH relativeFrom="column">
              <wp:posOffset>452755</wp:posOffset>
            </wp:positionH>
            <wp:positionV relativeFrom="paragraph">
              <wp:posOffset>110490</wp:posOffset>
            </wp:positionV>
            <wp:extent cx="4505325" cy="2396490"/>
            <wp:effectExtent l="4445" t="4445" r="5080" b="18415"/>
            <wp:wrapSquare wrapText="bothSides"/>
            <wp:docPr id="54" name="图表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hAnsi="仿宋_GB2312" w:eastAsia="仿宋_GB2312" w:cs="仿宋_GB2312"/>
          <w:sz w:val="32"/>
          <w:szCs w:val="32"/>
        </w:rPr>
        <w:t> </w:t>
      </w:r>
    </w:p>
    <w:p>
      <w:pPr>
        <w:pStyle w:val="11"/>
        <w:shd w:val="clear" w:color="auto" w:fill="FFFFFF"/>
        <w:rPr>
          <w:rStyle w:val="14"/>
          <w:rFonts w:hint="eastAsia" w:ascii="仿宋_GB2312" w:hAnsi="仿宋_GB2312" w:eastAsia="仿宋_GB2312" w:cs="仿宋_GB2312"/>
          <w:sz w:val="32"/>
          <w:szCs w:val="32"/>
        </w:rPr>
      </w:pPr>
    </w:p>
    <w:p>
      <w:pPr>
        <w:pStyle w:val="11"/>
        <w:shd w:val="clear" w:color="auto" w:fill="FFFFFF"/>
        <w:rPr>
          <w:rStyle w:val="14"/>
          <w:rFonts w:hint="eastAsia" w:ascii="仿宋_GB2312" w:hAnsi="仿宋_GB2312" w:eastAsia="仿宋_GB2312" w:cs="仿宋_GB2312"/>
          <w:sz w:val="32"/>
          <w:szCs w:val="32"/>
        </w:rPr>
      </w:pPr>
    </w:p>
    <w:p>
      <w:pPr>
        <w:pStyle w:val="11"/>
        <w:shd w:val="clear" w:color="auto" w:fill="FFFFFF"/>
        <w:rPr>
          <w:rStyle w:val="14"/>
          <w:rFonts w:hint="eastAsia" w:ascii="仿宋_GB2312" w:hAnsi="仿宋_GB2312" w:eastAsia="仿宋_GB2312" w:cs="仿宋_GB2312"/>
          <w:sz w:val="32"/>
          <w:szCs w:val="32"/>
        </w:rPr>
      </w:pPr>
    </w:p>
    <w:p>
      <w:pPr>
        <w:pStyle w:val="11"/>
        <w:shd w:val="clear" w:color="auto" w:fill="FFFFFF"/>
        <w:rPr>
          <w:rStyle w:val="14"/>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（三）一般公共预算财政拨款支出决算具体情况</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2021年一般公共预算支出决算数为13,231.13</w:t>
      </w:r>
      <w:r>
        <w:rPr>
          <w:rFonts w:hint="eastAsia" w:ascii="仿宋_GB2312" w:hAnsi="仿宋_GB2312" w:eastAsia="仿宋_GB2312" w:cs="仿宋_GB2312"/>
          <w:sz w:val="32"/>
          <w:szCs w:val="32"/>
        </w:rPr>
        <w:t>，</w:t>
      </w:r>
      <w:r>
        <w:rPr>
          <w:rStyle w:val="14"/>
          <w:rFonts w:hint="eastAsia" w:ascii="仿宋_GB2312" w:hAnsi="仿宋_GB2312" w:eastAsia="仿宋_GB2312" w:cs="仿宋_GB2312"/>
          <w:sz w:val="32"/>
          <w:szCs w:val="32"/>
        </w:rPr>
        <w:t>完成预算100.00%。其中：</w:t>
      </w:r>
    </w:p>
    <w:p>
      <w:pPr>
        <w:keepNext w:val="0"/>
        <w:keepLines w:val="0"/>
        <w:pageBreakBefore w:val="0"/>
        <w:widowControl/>
        <w:kinsoku/>
        <w:wordWrap/>
        <w:overflowPunct/>
        <w:topLinePunct w:val="0"/>
        <w:autoSpaceDE/>
        <w:autoSpaceDN/>
        <w:bidi w:val="0"/>
        <w:spacing w:line="560" w:lineRule="exact"/>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年一般公共预算支出决算数为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，完成预算</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%。其中：</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1.社会保障和就业208: 支出决算为80.84万元，其中机关事业单位基本养老保险缴费支出2080505，支出决算为53.91万元，  机关事业单位职业年金缴费支出2080506，支出决算为26.93万元，完成预算100%，决算数等于预算数。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2.卫生健康2</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:支出决算为62.26万元，</w:t>
      </w:r>
      <w:r>
        <w:rPr>
          <w:rFonts w:hint="eastAsia" w:ascii="仿宋_GB2312" w:hAnsi="仿宋_GB2312" w:eastAsia="仿宋_GB2312" w:cs="仿宋_GB2312"/>
          <w:sz w:val="32"/>
          <w:szCs w:val="32"/>
          <w:lang w:eastAsia="zh-CN"/>
        </w:rPr>
        <w:t>其中公共卫生</w:t>
      </w:r>
      <w:r>
        <w:rPr>
          <w:rFonts w:hint="eastAsia" w:ascii="仿宋_GB2312" w:hAnsi="仿宋_GB2312" w:eastAsia="仿宋_GB2312" w:cs="仿宋_GB2312"/>
          <w:sz w:val="32"/>
          <w:szCs w:val="32"/>
          <w:lang w:val="en-US" w:eastAsia="zh-CN"/>
        </w:rPr>
        <w:t>21004：支出决算为27.15万元；</w:t>
      </w:r>
      <w:r>
        <w:rPr>
          <w:rFonts w:hint="eastAsia" w:ascii="仿宋_GB2312" w:hAnsi="仿宋_GB2312" w:eastAsia="仿宋_GB2312" w:cs="仿宋_GB2312"/>
          <w:sz w:val="32"/>
          <w:szCs w:val="32"/>
        </w:rPr>
        <w:t>其中重大公共卫生服务2</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0409：支出决算为12.15万元</w:t>
      </w:r>
      <w:r>
        <w:rPr>
          <w:rFonts w:hint="eastAsia" w:ascii="仿宋_GB2312" w:hAnsi="仿宋_GB2312" w:eastAsia="仿宋_GB2312" w:cs="仿宋_GB2312"/>
          <w:sz w:val="32"/>
          <w:szCs w:val="32"/>
          <w:lang w:eastAsia="zh-CN"/>
        </w:rPr>
        <w:t>；其中其他公共卫生支出</w:t>
      </w:r>
      <w:r>
        <w:rPr>
          <w:rFonts w:hint="eastAsia" w:ascii="仿宋_GB2312" w:hAnsi="仿宋_GB2312" w:eastAsia="仿宋_GB2312" w:cs="仿宋_GB2312"/>
          <w:sz w:val="32"/>
          <w:szCs w:val="32"/>
          <w:lang w:val="en-US" w:eastAsia="zh-CN"/>
        </w:rPr>
        <w:t>2100499：支出决算为15万元，</w:t>
      </w:r>
      <w:r>
        <w:rPr>
          <w:rFonts w:hint="eastAsia" w:ascii="仿宋_GB2312" w:hAnsi="仿宋_GB2312" w:eastAsia="仿宋_GB2312" w:cs="仿宋_GB2312"/>
          <w:sz w:val="32"/>
          <w:szCs w:val="32"/>
        </w:rPr>
        <w:t>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行政事业单位医疗21011：支出决算为35.11万元，其中行政单位医疗2101101，支出决算为14.18万元，其中事业单位医疗2101102，支出决算为13.55万元，其中公务员医疗补助2101103，支出决算为3.79万元，其中其他行政事业单位医疗支出2101199，支出决算为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9万元，完成预算100%，决算数等于预算数。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4.污染防治21103：支出决算为2325.11万元，其中水体2110302，支出决算为1821.46万元，其中其他污染防治支出2110399，支出决算为503.65万元，完成预算100%，决算数等于预算数。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5.自然生态保护21104：支出决算为7.05万元，其中生态保护2110401，支出决算为7.05万元，完成预算100%，决算数等于预算数。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6.城乡社区管理事务21201：支出决算为1058.19万元，其中行政运行2120101支出决算为321.51万元，其中城管执法2120104，支出决算为308.84万元</w:t>
      </w:r>
      <w:r>
        <w:rPr>
          <w:rFonts w:hint="eastAsia" w:ascii="仿宋_GB2312" w:hAnsi="仿宋_GB2312" w:eastAsia="仿宋_GB2312" w:cs="仿宋_GB2312"/>
          <w:sz w:val="32"/>
          <w:szCs w:val="32"/>
          <w:lang w:eastAsia="zh-CN"/>
        </w:rPr>
        <w:t>；其中其他城乡社区管理事务支出</w:t>
      </w:r>
      <w:r>
        <w:rPr>
          <w:rFonts w:hint="eastAsia" w:ascii="仿宋_GB2312" w:hAnsi="仿宋_GB2312" w:eastAsia="仿宋_GB2312" w:cs="仿宋_GB2312"/>
          <w:sz w:val="32"/>
          <w:szCs w:val="32"/>
          <w:lang w:val="en-US" w:eastAsia="zh-CN"/>
        </w:rPr>
        <w:t>2120199：支出就算为427.84万元，</w:t>
      </w:r>
      <w:r>
        <w:rPr>
          <w:rFonts w:hint="eastAsia" w:ascii="仿宋_GB2312" w:hAnsi="仿宋_GB2312" w:eastAsia="仿宋_GB2312" w:cs="仿宋_GB2312"/>
          <w:sz w:val="32"/>
          <w:szCs w:val="32"/>
        </w:rPr>
        <w:t>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default" w:eastAsia="仿宋_GB2312"/>
          <w:lang w:val="en-US" w:eastAsia="zh-CN"/>
        </w:rPr>
      </w:pPr>
      <w:r>
        <w:rPr>
          <w:rFonts w:hint="eastAsia"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7、城乡社区规划与管理21202：支出决算为104.95万元，其中城乡社区规划与管理2120201：支出决算为104.95万元，</w:t>
      </w:r>
      <w:r>
        <w:rPr>
          <w:rFonts w:hint="eastAsia" w:ascii="仿宋_GB2312" w:hAnsi="仿宋_GB2312" w:eastAsia="仿宋_GB2312" w:cs="仿宋_GB2312"/>
          <w:sz w:val="32"/>
          <w:szCs w:val="32"/>
        </w:rPr>
        <w:t>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.城乡社区公共设施21203：支出决算为1863.93万元，其中其他城乡社区公共设施支出2120399，支出决算为1863.93万元，完成预算100%，决算数等于预算数。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.城乡社区环境卫生21205：支出决算为2070.89万元，其中城乡社区环境卫生2120501，支出决算为2070.89万元，完成预算100%，决算数等于预算数。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.其他城乡社区支出21299：支出决算为175.29万元，其中其他城乡社区支出21299</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，支出决算为175.29万元，完成预算100%，决算数等于预算数。</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.扶贫21305 ：支出决算为1827.87万元，其中其他农业农村支出213</w:t>
      </w:r>
      <w:r>
        <w:rPr>
          <w:rFonts w:hint="eastAsia" w:ascii="仿宋_GB2312" w:hAnsi="仿宋_GB2312" w:eastAsia="仿宋_GB2312" w:cs="仿宋_GB2312"/>
          <w:sz w:val="32"/>
          <w:szCs w:val="32"/>
          <w:lang w:val="en-US" w:eastAsia="zh-CN"/>
        </w:rPr>
        <w:t>0199：</w:t>
      </w:r>
      <w:r>
        <w:rPr>
          <w:rFonts w:hint="eastAsia" w:ascii="仿宋_GB2312" w:hAnsi="仿宋_GB2312" w:eastAsia="仿宋_GB2312" w:cs="仿宋_GB2312"/>
          <w:sz w:val="32"/>
          <w:szCs w:val="32"/>
        </w:rPr>
        <w:t>支出决算为69.64万元，其中农村基础设施建设2130504，支出决算为741.09万元，</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生产发展完</w:t>
      </w:r>
      <w:r>
        <w:rPr>
          <w:rFonts w:hint="eastAsia" w:ascii="仿宋_GB2312" w:hAnsi="仿宋_GB2312" w:eastAsia="仿宋_GB2312" w:cs="仿宋_GB2312"/>
          <w:sz w:val="32"/>
          <w:szCs w:val="32"/>
          <w:lang w:val="en-US" w:eastAsia="zh-CN"/>
        </w:rPr>
        <w:t>2130505：</w:t>
      </w:r>
      <w:r>
        <w:rPr>
          <w:rFonts w:hint="eastAsia" w:ascii="仿宋_GB2312" w:hAnsi="仿宋_GB2312" w:eastAsia="仿宋_GB2312" w:cs="仿宋_GB2312"/>
          <w:sz w:val="32"/>
          <w:szCs w:val="32"/>
        </w:rPr>
        <w:t>支出决算为160</w:t>
      </w:r>
      <w:r>
        <w:rPr>
          <w:rFonts w:hint="eastAsia" w:ascii="仿宋_GB2312" w:hAnsi="仿宋_GB2312" w:eastAsia="仿宋_GB2312" w:cs="仿宋_GB2312"/>
          <w:sz w:val="32"/>
          <w:szCs w:val="32"/>
          <w:lang w:eastAsia="zh-CN"/>
        </w:rPr>
        <w:t>万元，其中其他扶贫支出</w:t>
      </w:r>
      <w:r>
        <w:rPr>
          <w:rFonts w:hint="eastAsia" w:ascii="仿宋_GB2312" w:hAnsi="仿宋_GB2312" w:eastAsia="仿宋_GB2312" w:cs="仿宋_GB2312"/>
          <w:sz w:val="32"/>
          <w:szCs w:val="32"/>
          <w:lang w:val="en-US" w:eastAsia="zh-CN"/>
        </w:rPr>
        <w:t>2130599：</w:t>
      </w:r>
      <w:r>
        <w:rPr>
          <w:rFonts w:hint="eastAsia" w:ascii="仿宋_GB2312" w:hAnsi="仿宋_GB2312" w:eastAsia="仿宋_GB2312" w:cs="仿宋_GB2312"/>
          <w:sz w:val="32"/>
          <w:szCs w:val="32"/>
        </w:rPr>
        <w:t>支出决算为853.43</w:t>
      </w:r>
      <w:r>
        <w:rPr>
          <w:rFonts w:hint="eastAsia" w:ascii="仿宋_GB2312" w:hAnsi="仿宋_GB2312" w:eastAsia="仿宋_GB2312" w:cs="仿宋_GB2312"/>
          <w:sz w:val="32"/>
          <w:szCs w:val="32"/>
          <w:lang w:eastAsia="zh-CN"/>
        </w:rPr>
        <w:t>万元，其中其他农林水支出</w:t>
      </w:r>
      <w:r>
        <w:rPr>
          <w:rFonts w:hint="eastAsia" w:ascii="仿宋_GB2312" w:hAnsi="仿宋_GB2312" w:eastAsia="仿宋_GB2312" w:cs="仿宋_GB2312"/>
          <w:sz w:val="32"/>
          <w:szCs w:val="32"/>
          <w:lang w:val="en-US" w:eastAsia="zh-CN"/>
        </w:rPr>
        <w:t>2139999：</w:t>
      </w:r>
      <w:r>
        <w:rPr>
          <w:rFonts w:hint="eastAsia" w:ascii="仿宋_GB2312" w:hAnsi="仿宋_GB2312" w:eastAsia="仿宋_GB2312" w:cs="仿宋_GB2312"/>
          <w:sz w:val="32"/>
          <w:szCs w:val="32"/>
        </w:rPr>
        <w:t>支出决算为3.71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成预算100%，决算数等于预算数。</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 住房保障支出221，支出决算为343.94万元，</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保障性安居工程支出</w:t>
      </w:r>
      <w:r>
        <w:rPr>
          <w:rFonts w:hint="eastAsia" w:ascii="仿宋_GB2312" w:hAnsi="仿宋_GB2312" w:eastAsia="仿宋_GB2312" w:cs="仿宋_GB2312"/>
          <w:sz w:val="32"/>
          <w:szCs w:val="32"/>
          <w:lang w:val="en-US" w:eastAsia="zh-CN"/>
        </w:rPr>
        <w:t>22101：</w:t>
      </w:r>
      <w:r>
        <w:rPr>
          <w:rFonts w:hint="eastAsia" w:ascii="仿宋_GB2312" w:hAnsi="仿宋_GB2312" w:eastAsia="仿宋_GB2312" w:cs="仿宋_GB2312"/>
          <w:sz w:val="32"/>
          <w:szCs w:val="32"/>
        </w:rPr>
        <w:t>支出决算为292.31万元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其中住房公积金2210201，支出决算为51.63万元，完成预算100%，决算数等于预算数。</w:t>
      </w:r>
    </w:p>
    <w:p>
      <w:pPr>
        <w:pStyle w:val="11"/>
        <w:shd w:val="clear" w:color="auto" w:fill="FFFFFF"/>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13.其他支出229，支出决算为3310.81万元，其中其他支出2299999，支出决算为3310.81万元</w:t>
      </w:r>
      <w:r>
        <w:rPr>
          <w:rFonts w:hint="eastAsia" w:ascii="仿宋_GB2312" w:hAnsi="仿宋_GB2312" w:eastAsia="仿宋_GB2312" w:cs="仿宋_GB2312"/>
          <w:sz w:val="32"/>
          <w:szCs w:val="32"/>
        </w:rPr>
        <w:t>，完成预算100%，决算数等于预算数。</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Style w:val="14"/>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t>般公共预算财政拨款基本支出决算情况说明   </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2021年一般公共预算财政拨款基本支出797.93万元，其中：</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710.57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公用经费87.36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pPr>
        <w:pStyle w:val="11"/>
        <w:shd w:val="clear" w:color="auto" w:fill="FFFFFF"/>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七、“三公”经费财政拨款支出决算情况说明</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（一）“三公”经费财政拨款支出决算总体情况说明</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2021年“三公”经费财政拨款支出决算为5.82万元，完成预算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%，决算数与预算数持平。</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（二）“三公”经费财政拨款支出决算具体情况说明</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2021年“三公”经费财政拨款支出决算中，因公出国公务用车购置及运行维护费支出决算5.16万元，占88.66%；公务接待费支出决算0.66万元，占11.34%。具体情况如下：</w:t>
      </w: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4384" behindDoc="0" locked="0" layoutInCell="1" allowOverlap="1">
            <wp:simplePos x="0" y="0"/>
            <wp:positionH relativeFrom="column">
              <wp:posOffset>499745</wp:posOffset>
            </wp:positionH>
            <wp:positionV relativeFrom="paragraph">
              <wp:posOffset>-557530</wp:posOffset>
            </wp:positionV>
            <wp:extent cx="4475480" cy="2527935"/>
            <wp:effectExtent l="4445" t="4445" r="15875" b="20320"/>
            <wp:wrapSquare wrapText="bothSides"/>
            <wp:docPr id="55" name="图表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rPr>
          <w:rFonts w:hint="eastAsia" w:ascii="仿宋_GB2312" w:hAnsi="仿宋_GB2312" w:eastAsia="仿宋_GB2312" w:cs="仿宋_GB2312"/>
          <w:sz w:val="32"/>
          <w:szCs w:val="32"/>
        </w:rPr>
      </w:pPr>
    </w:p>
    <w:p>
      <w:pPr>
        <w:pStyle w:val="11"/>
        <w:shd w:val="clear" w:color="auto" w:fill="FFFFFF"/>
        <w:ind w:left="643" w:hanging="643" w:hangingChars="200"/>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1.因公出国（境）经费支出</w:t>
      </w:r>
      <w:r>
        <w:rPr>
          <w:rFonts w:hint="eastAsia" w:ascii="仿宋_GB2312" w:hAnsi="仿宋_GB2312" w:eastAsia="仿宋_GB2312" w:cs="仿宋_GB2312"/>
          <w:sz w:val="32"/>
          <w:szCs w:val="32"/>
        </w:rPr>
        <w:t>0.00万元，</w:t>
      </w:r>
      <w:r>
        <w:rPr>
          <w:rStyle w:val="14"/>
          <w:rFonts w:hint="eastAsia" w:ascii="仿宋_GB2312" w:hAnsi="仿宋_GB2312" w:eastAsia="仿宋_GB2312" w:cs="仿宋_GB2312"/>
          <w:sz w:val="32"/>
          <w:szCs w:val="32"/>
        </w:rPr>
        <w:t>完成预算0.00%。</w:t>
      </w:r>
      <w:r>
        <w:rPr>
          <w:rFonts w:hint="eastAsia" w:ascii="仿宋_GB2312" w:hAnsi="仿宋_GB2312" w:eastAsia="仿宋_GB2312" w:cs="仿宋_GB2312"/>
          <w:sz w:val="32"/>
          <w:szCs w:val="32"/>
        </w:rPr>
        <w:t>全年安排因公出国（境）团组0次，出国（境）0人。</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2.公务用车购置及运行维护费支出</w:t>
      </w:r>
      <w:r>
        <w:rPr>
          <w:rFonts w:hint="eastAsia" w:ascii="仿宋_GB2312" w:hAnsi="仿宋_GB2312" w:eastAsia="仿宋_GB2312" w:cs="仿宋_GB2312"/>
          <w:sz w:val="32"/>
          <w:szCs w:val="32"/>
        </w:rPr>
        <w:t>5.16万元,</w:t>
      </w:r>
      <w:r>
        <w:rPr>
          <w:rStyle w:val="14"/>
          <w:rFonts w:hint="eastAsia" w:ascii="仿宋_GB2312" w:hAnsi="仿宋_GB2312" w:eastAsia="仿宋_GB2312" w:cs="仿宋_GB2312"/>
          <w:sz w:val="32"/>
          <w:szCs w:val="32"/>
        </w:rPr>
        <w:t>完成预算</w:t>
      </w:r>
      <w:r>
        <w:rPr>
          <w:rStyle w:val="14"/>
          <w:rFonts w:hint="eastAsia" w:ascii="仿宋_GB2312" w:hAnsi="仿宋_GB2312" w:eastAsia="仿宋_GB2312" w:cs="仿宋_GB2312"/>
          <w:sz w:val="32"/>
          <w:szCs w:val="32"/>
          <w:lang w:val="en-US" w:eastAsia="zh-CN"/>
        </w:rPr>
        <w:t>100</w:t>
      </w:r>
      <w:r>
        <w:rPr>
          <w:rStyle w:val="14"/>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公务用车购置及运行维护费支出决算比2020年增加-0.08万元，增长-1.57%。主要原因是</w:t>
      </w:r>
      <w:r>
        <w:rPr>
          <w:rFonts w:hint="eastAsia" w:ascii="仿宋_GB2312" w:hAnsi="仿宋_GB2312" w:eastAsia="仿宋_GB2312" w:cs="仿宋_GB2312"/>
          <w:sz w:val="32"/>
          <w:szCs w:val="32"/>
          <w:lang w:eastAsia="zh-CN"/>
        </w:rPr>
        <w:t>维修次数较上年度有所减少</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w:t>
      </w:r>
      <w:r>
        <w:rPr>
          <w:rStyle w:val="14"/>
          <w:rFonts w:hint="eastAsia" w:ascii="仿宋_GB2312" w:hAnsi="仿宋_GB2312" w:eastAsia="仿宋_GB2312" w:cs="仿宋_GB2312"/>
          <w:sz w:val="32"/>
          <w:szCs w:val="32"/>
        </w:rPr>
        <w:t>公务用车购置支出</w:t>
      </w:r>
      <w:r>
        <w:rPr>
          <w:rFonts w:hint="eastAsia" w:ascii="仿宋_GB2312" w:hAnsi="仿宋_GB2312" w:eastAsia="仿宋_GB2312" w:cs="仿宋_GB2312"/>
          <w:sz w:val="32"/>
          <w:szCs w:val="32"/>
        </w:rPr>
        <w:t>0.00万元。截至2021年12月底，单位共有公务用车 5辆，其中：主要领导干部用车0辆、机要通信用车0辆、应急保障用车5辆、执法执勤用车0辆、特种专业技术用车0 辆、离退休干部用车0辆、其他用车0辆。</w:t>
      </w:r>
    </w:p>
    <w:p>
      <w:pPr>
        <w:keepNext w:val="0"/>
        <w:keepLines w:val="0"/>
        <w:pageBreakBefore w:val="0"/>
        <w:widowControl/>
        <w:kinsoku/>
        <w:wordWrap/>
        <w:overflowPunct/>
        <w:topLinePunct w:val="0"/>
        <w:autoSpaceDE/>
        <w:autoSpaceDN/>
        <w:bidi w:val="0"/>
        <w:spacing w:line="560" w:lineRule="exact"/>
        <w:ind w:firstLine="643" w:firstLineChars="200"/>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公务用车运行维护费支出</w:t>
      </w:r>
      <w:r>
        <w:rPr>
          <w:rFonts w:hint="eastAsia" w:ascii="仿宋_GB2312" w:hAnsi="仿宋_GB2312" w:eastAsia="仿宋_GB2312" w:cs="仿宋_GB2312"/>
          <w:sz w:val="32"/>
          <w:szCs w:val="32"/>
        </w:rPr>
        <w:t>5.16万元。主要用于车辆日常维修维护，等所需的公务用车燃料费、维修费、过路过桥费、保险费等支出。</w:t>
      </w:r>
    </w:p>
    <w:p>
      <w:pPr>
        <w:pStyle w:val="11"/>
        <w:shd w:val="clear" w:color="auto" w:fill="FFFFFF"/>
        <w:rPr>
          <w:rFonts w:hint="eastAsia" w:ascii="仿宋_GB2312" w:hAnsi="仿宋_GB2312" w:eastAsia="仿宋_GB2312" w:cs="仿宋_GB2312"/>
          <w:sz w:val="32"/>
          <w:szCs w:val="32"/>
          <w:lang w:eastAsia="zh-CN"/>
        </w:rPr>
      </w:pPr>
      <w:r>
        <w:rPr>
          <w:rStyle w:val="14"/>
          <w:rFonts w:hint="eastAsia" w:ascii="仿宋_GB2312" w:hAnsi="仿宋_GB2312" w:eastAsia="仿宋_GB2312" w:cs="仿宋_GB2312"/>
          <w:sz w:val="32"/>
          <w:szCs w:val="32"/>
        </w:rPr>
        <w:t>3.公务接待费支出</w:t>
      </w:r>
      <w:r>
        <w:rPr>
          <w:rFonts w:hint="eastAsia" w:ascii="仿宋_GB2312" w:hAnsi="仿宋_GB2312" w:eastAsia="仿宋_GB2312" w:cs="仿宋_GB2312"/>
          <w:sz w:val="32"/>
          <w:szCs w:val="32"/>
        </w:rPr>
        <w:t>0.66万元，</w:t>
      </w:r>
      <w:r>
        <w:rPr>
          <w:rStyle w:val="14"/>
          <w:rFonts w:hint="eastAsia" w:ascii="仿宋_GB2312" w:hAnsi="仿宋_GB2312" w:eastAsia="仿宋_GB2312" w:cs="仿宋_GB2312"/>
          <w:sz w:val="32"/>
          <w:szCs w:val="32"/>
        </w:rPr>
        <w:t>完成预算100%。</w:t>
      </w:r>
      <w:r>
        <w:rPr>
          <w:rFonts w:hint="eastAsia" w:ascii="仿宋_GB2312" w:hAnsi="仿宋_GB2312" w:eastAsia="仿宋_GB2312" w:cs="仿宋_GB2312"/>
          <w:sz w:val="32"/>
          <w:szCs w:val="32"/>
        </w:rPr>
        <w:t>公务接待费支出决算比2020年增加0.01万元，增长0.91%。主要原因是公务接待次数以及人次较20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年有所</w:t>
      </w:r>
      <w:r>
        <w:rPr>
          <w:rFonts w:hint="eastAsia" w:ascii="仿宋_GB2312" w:hAnsi="仿宋_GB2312" w:eastAsia="仿宋_GB2312" w:cs="仿宋_GB2312"/>
          <w:sz w:val="32"/>
          <w:szCs w:val="32"/>
          <w:lang w:eastAsia="zh-CN"/>
        </w:rPr>
        <w:t>增加。</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color w:val="000000" w:themeColor="text1"/>
          <w:sz w:val="32"/>
          <w:szCs w:val="32"/>
          <w14:textFill>
            <w14:solidFill>
              <w14:schemeClr w14:val="tx1"/>
            </w14:solidFill>
          </w14:textFill>
        </w:rPr>
        <w:t>国内公务接待支出</w:t>
      </w:r>
      <w:r>
        <w:rPr>
          <w:rFonts w:hint="eastAsia" w:ascii="仿宋_GB2312" w:hAnsi="仿宋_GB2312" w:eastAsia="仿宋_GB2312" w:cs="仿宋_GB2312"/>
          <w:sz w:val="32"/>
          <w:szCs w:val="32"/>
        </w:rPr>
        <w:t>0.66万元，主要用于国内公务接待</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人次（</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包括陪同人员），共计支出0.66万元，具体内容包括：</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2021年1月27日州住建局5人到红原县开展住建领域综合督导检查工作，文号阿州住建发【2021】20号，在红原县老回味饭店用餐费1315元；</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2021年3月31日州住建局来7人到红原县开展2021年度住建领域生态环境问题督导检查工作，文号阿州住建发【2021】83号，在红原县一家春饭店用餐费552元；</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2021年4月15日州住建局6人到红原县开展全州房屋和人员聚集场所安全风险排查整治工作专项检查工作，文号阿州房屋安全办【2021】-10，在红原县丽湾酒店用餐费1188元；</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val="en-US" w:eastAsia="zh-CN"/>
        </w:rPr>
        <w:t>2021年6月9日，州住建局9人到红原县开展首届川渝住博宣传片拍摄工作，文号阿州住建发【2021】157号，在红原县老回味饭店用餐费1820元；</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2021年6月9日，州住建局4人到红原县开展全省房屋建设安全排查整治集中督导工作，文号阿州房屋安全办【2021】-22，在红原县一家春饭店用餐费529元；</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lang w:val="en-US" w:eastAsia="zh-CN"/>
        </w:rPr>
        <w:t>2021年6月19日，州住建局5人到红原县开展州住建局调研污水、垃圾、传统村落保护工作，文号阿州住建【2021】-89号，在红原县一家春饭店用餐费596元；</w:t>
      </w: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lang w:val="en-US" w:eastAsia="zh-CN"/>
        </w:rPr>
        <w:t>2021年6月29日，州住建局5人到红原县开展全州公共厕所建设管理实地检查指导工作，文号阿州厕所办函【2021】6号，在红原县渔歌子饭店用餐费625元</w:t>
      </w:r>
      <w:r>
        <w:rPr>
          <w:rFonts w:hint="eastAsia" w:ascii="仿宋_GB2312" w:hAnsi="仿宋_GB2312" w:eastAsia="仿宋_GB2312" w:cs="仿宋_GB2312"/>
          <w:sz w:val="32"/>
          <w:szCs w:val="32"/>
        </w:rPr>
        <w:t>。</w:t>
      </w:r>
    </w:p>
    <w:p>
      <w:pPr>
        <w:pStyle w:val="11"/>
        <w:shd w:val="clear" w:color="auto" w:fill="FFFFFF"/>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八、政府性基金预算支出决算情况说明</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2021年政府性基金预算财政拨款支出0.00万元。</w:t>
      </w:r>
    </w:p>
    <w:p>
      <w:pPr>
        <w:numPr>
          <w:ilvl w:val="0"/>
          <w:numId w:val="5"/>
        </w:numPr>
        <w:shd w:val="clear" w:color="auto" w:fill="FFFFFF"/>
        <w:spacing w:before="100" w:beforeAutospacing="1" w:after="100" w:afterAutospacing="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国有资本经营预算支出决算情况说明</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2021年国有资本经营预算财政拨款支出0.00万元。</w:t>
      </w:r>
    </w:p>
    <w:p>
      <w:pPr>
        <w:numPr>
          <w:ilvl w:val="0"/>
          <w:numId w:val="6"/>
        </w:numPr>
        <w:shd w:val="clear" w:color="auto" w:fill="FFFFFF"/>
        <w:spacing w:before="100" w:beforeAutospacing="1" w:after="100" w:afterAutospacing="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其他重要事项的情况说明</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（一）机关运行经费支出情况</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w:t>
      </w:r>
      <w:r>
        <w:rPr>
          <w:rFonts w:hint="eastAsia" w:ascii="仿宋_GB2312" w:hAnsi="仿宋_GB2312" w:eastAsia="仿宋_GB2312" w:cs="仿宋_GB2312"/>
          <w:sz w:val="32"/>
          <w:szCs w:val="32"/>
          <w:lang w:eastAsia="zh-CN"/>
        </w:rPr>
        <w:t>红原县住房和城乡建设局，</w:t>
      </w:r>
      <w:r>
        <w:rPr>
          <w:rFonts w:hint="eastAsia" w:ascii="仿宋_GB2312" w:hAnsi="仿宋_GB2312" w:eastAsia="仿宋_GB2312" w:cs="仿宋_GB2312"/>
          <w:sz w:val="32"/>
          <w:szCs w:val="32"/>
        </w:rPr>
        <w:t>机关运行经费支出69.63万元，比2020年增加49.40万元，增长244.09%。</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（二）政府采购支出情况</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2021年，阿坝州红原县城乡规划建设和住房保障局政府采购支出总额0.00万元。</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（三）国有资产占有使用情况</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截至2021年12月31日，</w:t>
      </w:r>
      <w:r>
        <w:rPr>
          <w:rFonts w:hint="eastAsia" w:ascii="仿宋_GB2312" w:hAnsi="仿宋_GB2312" w:eastAsia="仿宋_GB2312" w:cs="仿宋_GB2312"/>
          <w:sz w:val="32"/>
          <w:szCs w:val="32"/>
          <w:lang w:eastAsia="zh-CN"/>
        </w:rPr>
        <w:t>红原县住房和城乡建设局</w:t>
      </w:r>
      <w:r>
        <w:rPr>
          <w:rFonts w:hint="eastAsia" w:ascii="仿宋_GB2312" w:hAnsi="仿宋_GB2312" w:eastAsia="仿宋_GB2312" w:cs="仿宋_GB2312"/>
          <w:sz w:val="32"/>
          <w:szCs w:val="32"/>
        </w:rPr>
        <w:t>共有车辆5辆，其中：主要领导干部用车0辆、机要通信用车0辆、应急保障用车5辆、其他用车0辆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单价50万元以上通用设备0台（套），单价100万元以上专用设备0台（套）。</w:t>
      </w:r>
    </w:p>
    <w:p>
      <w:pPr>
        <w:pStyle w:val="11"/>
        <w:shd w:val="clear" w:color="auto" w:fill="FFFFFF"/>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（四）预算绩效管理情况</w:t>
      </w:r>
    </w:p>
    <w:p>
      <w:pPr>
        <w:pStyle w:val="11"/>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根据预算绩效管理要求，本部门在2021年度预算编制阶段，组织对2021年农村危房改造和抗震加固改造等</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个项目开展了绩效自评。同时，本部门对2021年部门整体开展绩效自评，《2021年部门整体绩效评价报告》见附件（第四部分）。</w:t>
      </w:r>
    </w:p>
    <w:p>
      <w:pPr>
        <w:pStyle w:val="11"/>
        <w:shd w:val="clear" w:color="auto" w:fill="FFFFFF"/>
        <w:jc w:val="center"/>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第三部分 名词解释</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9.社会保障和就业2080506：指反应机关事业单位养老保险、职业年金等缴费支出。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10.医疗卫生与计划生育2101101：指反应行政单位医疗方面的支出。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11.节能环保2110401：指反应用于生态保护区、生态示范区、生态省管理及能力建设日常管护、宣教、试点示范等支出，生态修复支出，资源开发生态监管等支出。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12.城乡社区2121399：指反映行政单位的基本支出或未单独设置项级科目的其他项目支出。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13.农林水2139999：指反映用于农村（包括国有农场、国有林场）扶贫开发等方面的支出。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14.住房保障2210103：指反映用于保障性住房方面的支出或反映行政事业单位按人力资源和社会保障部、财政部规定的基本工资和津贴补贴以及规定比例为职工缴纳的住房公积金。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15.一般公共服务支出2019999：指行政单位未单独设置项级科目的其他项目支出。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16.基本支出：指为保障机构正常运转、完成日常工作任务而发生的人员支出和公用支出。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20.基本支出：指为保障机构正常运转、完成日常工作任务而发生的人员支出和公用支出。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22.经营支出：指事业单位在专业业务活动及其辅助活动之外开展非独立核算经营活动发生的支出。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1"/>
        <w:shd w:val="clear" w:color="auto" w:fill="FFFFFF"/>
        <w:jc w:val="center"/>
        <w:rPr>
          <w:rFonts w:hint="eastAsia" w:ascii="仿宋_GB2312" w:hAnsi="仿宋_GB2312" w:eastAsia="仿宋_GB2312" w:cs="仿宋_GB2312"/>
          <w:sz w:val="32"/>
          <w:szCs w:val="32"/>
        </w:rPr>
      </w:pPr>
      <w:r>
        <w:rPr>
          <w:rStyle w:val="14"/>
          <w:rFonts w:hint="eastAsia" w:ascii="仿宋_GB2312" w:hAnsi="仿宋_GB2312" w:eastAsia="仿宋_GB2312" w:cs="仿宋_GB2312"/>
          <w:sz w:val="32"/>
          <w:szCs w:val="32"/>
        </w:rPr>
        <w:t>第四部分 附件</w:t>
      </w:r>
    </w:p>
    <w:p>
      <w:pPr>
        <w:pStyle w:val="11"/>
        <w:shd w:val="clear" w:color="auto" w:fill="FFFFFF"/>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pStyle w:val="11"/>
        <w:shd w:val="clear" w:color="auto" w:fill="FFFFFF"/>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2021年</w:t>
      </w:r>
      <w:r>
        <w:rPr>
          <w:rFonts w:hint="eastAsia" w:ascii="仿宋_GB2312" w:hAnsi="仿宋_GB2312" w:eastAsia="仿宋_GB2312" w:cs="仿宋_GB2312"/>
          <w:b/>
          <w:bCs/>
          <w:sz w:val="32"/>
          <w:szCs w:val="32"/>
        </w:rPr>
        <w:t>红原县住房和城乡建设局</w:t>
      </w:r>
    </w:p>
    <w:p>
      <w:pPr>
        <w:pStyle w:val="11"/>
        <w:shd w:val="clear" w:color="auto" w:fill="FFFFFF"/>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整体绩效评价报告</w:t>
      </w:r>
      <w:r>
        <w:rPr>
          <w:rFonts w:hint="eastAsia" w:ascii="仿宋_GB2312" w:hAnsi="仿宋_GB2312" w:eastAsia="仿宋_GB2312" w:cs="仿宋_GB2312"/>
          <w:sz w:val="32"/>
          <w:szCs w:val="32"/>
        </w:rPr>
        <w:t> </w:t>
      </w:r>
    </w:p>
    <w:p>
      <w:pPr>
        <w:keepNext w:val="0"/>
        <w:keepLines w:val="0"/>
        <w:pageBreakBefore w:val="0"/>
        <w:widowControl/>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红原县住房和城乡建设局</w:t>
      </w:r>
    </w:p>
    <w:p>
      <w:pPr>
        <w:keepNext w:val="0"/>
        <w:keepLines w:val="0"/>
        <w:pageBreakBefore w:val="0"/>
        <w:widowControl/>
        <w:kinsoku/>
        <w:wordWrap/>
        <w:overflowPunct/>
        <w:topLinePunct w:val="0"/>
        <w:autoSpaceDE/>
        <w:autoSpaceDN/>
        <w:bidi w:val="0"/>
        <w:spacing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年部门整体绩效报告</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0"/>
        <w:rPr>
          <w:rFonts w:hint="eastAsia" w:ascii="仿宋_GB2312" w:hAnsi="仿宋_GB2312" w:eastAsia="仿宋_GB2312" w:cs="仿宋_GB2312"/>
          <w:color w:val="000000"/>
          <w:kern w:val="0"/>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bCs/>
          <w:sz w:val="32"/>
          <w:szCs w:val="32"/>
          <w:lang w:val="zh-CN"/>
        </w:rPr>
        <w:t>本部门内设机构</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lang w:val="zh-CN"/>
        </w:rPr>
        <w:t>个，为办公室、</w:t>
      </w:r>
      <w:r>
        <w:rPr>
          <w:rFonts w:hint="eastAsia" w:ascii="仿宋_GB2312" w:hAnsi="仿宋_GB2312" w:eastAsia="仿宋_GB2312" w:cs="仿宋_GB2312"/>
          <w:bCs/>
          <w:sz w:val="32"/>
          <w:szCs w:val="32"/>
        </w:rPr>
        <w:t>财务</w:t>
      </w:r>
      <w:r>
        <w:rPr>
          <w:rFonts w:hint="eastAsia" w:ascii="仿宋_GB2312" w:hAnsi="仿宋_GB2312" w:eastAsia="仿宋_GB2312" w:cs="仿宋_GB2312"/>
          <w:bCs/>
          <w:sz w:val="32"/>
          <w:szCs w:val="32"/>
          <w:lang w:val="zh-CN"/>
        </w:rPr>
        <w:t>股、</w:t>
      </w:r>
      <w:r>
        <w:rPr>
          <w:rFonts w:hint="eastAsia" w:ascii="仿宋_GB2312" w:hAnsi="仿宋_GB2312" w:eastAsia="仿宋_GB2312" w:cs="仿宋_GB2312"/>
          <w:bCs/>
          <w:sz w:val="32"/>
          <w:szCs w:val="32"/>
        </w:rPr>
        <w:t>质监站</w:t>
      </w:r>
      <w:r>
        <w:rPr>
          <w:rFonts w:hint="eastAsia" w:ascii="仿宋_GB2312" w:hAnsi="仿宋_GB2312" w:eastAsia="仿宋_GB2312" w:cs="仿宋_GB2312"/>
          <w:bCs/>
          <w:sz w:val="32"/>
          <w:szCs w:val="32"/>
          <w:lang w:val="zh-CN"/>
        </w:rPr>
        <w:t>、</w:t>
      </w:r>
      <w:r>
        <w:rPr>
          <w:rFonts w:hint="eastAsia" w:ascii="仿宋_GB2312" w:hAnsi="仿宋_GB2312" w:eastAsia="仿宋_GB2312" w:cs="仿宋_GB2312"/>
          <w:bCs/>
          <w:sz w:val="32"/>
          <w:szCs w:val="32"/>
        </w:rPr>
        <w:t>建管</w:t>
      </w:r>
      <w:r>
        <w:rPr>
          <w:rFonts w:hint="eastAsia" w:ascii="仿宋_GB2312" w:hAnsi="仿宋_GB2312" w:eastAsia="仿宋_GB2312" w:cs="仿宋_GB2312"/>
          <w:bCs/>
          <w:sz w:val="32"/>
          <w:szCs w:val="32"/>
          <w:lang w:val="zh-CN"/>
        </w:rPr>
        <w:t>股、</w:t>
      </w:r>
      <w:r>
        <w:rPr>
          <w:rFonts w:hint="eastAsia" w:ascii="仿宋_GB2312" w:hAnsi="仿宋_GB2312" w:eastAsia="仿宋_GB2312" w:cs="仿宋_GB2312"/>
          <w:bCs/>
          <w:sz w:val="32"/>
          <w:szCs w:val="32"/>
        </w:rPr>
        <w:t>住房保障</w:t>
      </w:r>
      <w:r>
        <w:rPr>
          <w:rFonts w:hint="eastAsia" w:ascii="仿宋_GB2312" w:hAnsi="仿宋_GB2312" w:eastAsia="仿宋_GB2312" w:cs="仿宋_GB2312"/>
          <w:bCs/>
          <w:sz w:val="32"/>
          <w:szCs w:val="32"/>
          <w:lang w:val="zh-CN"/>
        </w:rPr>
        <w:t>股、</w:t>
      </w:r>
      <w:r>
        <w:rPr>
          <w:rFonts w:hint="eastAsia" w:ascii="仿宋_GB2312" w:hAnsi="仿宋_GB2312" w:eastAsia="仿宋_GB2312" w:cs="仿宋_GB2312"/>
          <w:bCs/>
          <w:sz w:val="32"/>
          <w:szCs w:val="32"/>
        </w:rPr>
        <w:t>项目</w:t>
      </w:r>
      <w:r>
        <w:rPr>
          <w:rFonts w:hint="eastAsia" w:ascii="仿宋_GB2312" w:hAnsi="仿宋_GB2312" w:eastAsia="仿宋_GB2312" w:cs="仿宋_GB2312"/>
          <w:bCs/>
          <w:sz w:val="32"/>
          <w:szCs w:val="32"/>
          <w:lang w:val="zh-CN"/>
        </w:rPr>
        <w:t>股、</w:t>
      </w:r>
      <w:r>
        <w:rPr>
          <w:rFonts w:hint="eastAsia" w:ascii="仿宋_GB2312" w:hAnsi="仿宋_GB2312" w:eastAsia="仿宋_GB2312" w:cs="仿宋_GB2312"/>
          <w:bCs/>
          <w:sz w:val="32"/>
          <w:szCs w:val="32"/>
        </w:rPr>
        <w:t>城乡环境管理治理办、城市管理大队</w:t>
      </w:r>
      <w:r>
        <w:rPr>
          <w:rFonts w:hint="eastAsia" w:ascii="仿宋_GB2312" w:hAnsi="仿宋_GB2312" w:eastAsia="仿宋_GB2312" w:cs="仿宋_GB2312"/>
          <w:bCs/>
          <w:sz w:val="32"/>
          <w:szCs w:val="32"/>
          <w:lang w:val="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b/>
          <w:bCs/>
          <w:color w:val="000000"/>
          <w:kern w:val="0"/>
          <w:sz w:val="32"/>
          <w:szCs w:val="32"/>
          <w:lang w:val="zh-CN"/>
        </w:rPr>
        <w:t>（</w:t>
      </w:r>
      <w:r>
        <w:rPr>
          <w:rFonts w:hint="eastAsia" w:ascii="仿宋_GB2312" w:hAnsi="仿宋_GB2312" w:eastAsia="仿宋_GB2312" w:cs="仿宋_GB2312"/>
          <w:b/>
          <w:bCs/>
          <w:color w:val="000000"/>
          <w:kern w:val="0"/>
          <w:sz w:val="32"/>
          <w:szCs w:val="32"/>
          <w:lang w:val="en-US" w:eastAsia="zh-CN"/>
        </w:rPr>
        <w:t>二</w:t>
      </w:r>
      <w:r>
        <w:rPr>
          <w:rFonts w:hint="eastAsia" w:ascii="仿宋_GB2312" w:hAnsi="仿宋_GB2312" w:eastAsia="仿宋_GB2312" w:cs="仿宋_GB2312"/>
          <w:b/>
          <w:bCs/>
          <w:color w:val="000000"/>
          <w:kern w:val="0"/>
          <w:sz w:val="32"/>
          <w:szCs w:val="32"/>
          <w:lang w:val="zh-CN"/>
        </w:rPr>
        <w:t>）机构职能。</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sz w:val="32"/>
          <w:szCs w:val="32"/>
          <w:lang w:val="zh-CN"/>
        </w:rPr>
      </w:pPr>
      <w:r>
        <w:rPr>
          <w:rFonts w:hint="eastAsia" w:ascii="仿宋_GB2312" w:hAnsi="仿宋_GB2312" w:eastAsia="仿宋_GB2312" w:cs="仿宋_GB2312"/>
          <w:bCs/>
          <w:sz w:val="32"/>
          <w:szCs w:val="32"/>
          <w:lang w:val="zh-CN"/>
        </w:rPr>
        <w:t>我局负责研究拟定全县城镇体系规划、工程建设、建筑业的规范性文件以及相关发展战略、中长期规划和年度计划并组织实施；负责城区规划区内规划的编制审批和管理；负责城市规划区内勘察、市政工程测量工作。负责指导建制镇规划、村镇规划及其城市勘察、市政工程测量和城乡建设档案管理工作；负责指导和管理全县建筑活动，规范建筑市场；贯彻执行工程建设相关国家标准和、行业标准及相关管理制度，组织拟定具体实施办法；负责统一管理全县建筑业施工企业、工程监理单位、工程咨询单位、招标投标代理机构等的资和从业人员执业资格审查、报批工作，查处违法违规行为；负责研究拟定我县住宅建设规划，负责城区规划区房地产开发的综合监管，指导房地产开发项目的竣工验收；负责全县建筑节能工作的组织实施和执法监察，指导全县建筑节能工作等。</w:t>
      </w:r>
    </w:p>
    <w:p>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人员概况。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bCs/>
          <w:sz w:val="32"/>
          <w:szCs w:val="32"/>
        </w:rPr>
        <w:t>截止20</w:t>
      </w:r>
      <w:r>
        <w:rPr>
          <w:rFonts w:hint="eastAsia" w:ascii="仿宋_GB2312" w:hAnsi="仿宋_GB2312" w:eastAsia="仿宋_GB2312" w:cs="仿宋_GB2312"/>
          <w:bCs/>
          <w:sz w:val="32"/>
          <w:szCs w:val="32"/>
          <w:lang w:val="en-US" w:eastAsia="zh-CN"/>
        </w:rPr>
        <w:t>21</w:t>
      </w:r>
      <w:r>
        <w:rPr>
          <w:rFonts w:hint="eastAsia" w:ascii="仿宋_GB2312" w:hAnsi="仿宋_GB2312" w:eastAsia="仿宋_GB2312" w:cs="仿宋_GB2312"/>
          <w:bCs/>
          <w:sz w:val="32"/>
          <w:szCs w:val="32"/>
        </w:rPr>
        <w:t>年底我单位共有编制</w:t>
      </w:r>
      <w:r>
        <w:rPr>
          <w:rFonts w:hint="eastAsia" w:ascii="仿宋_GB2312" w:hAnsi="仿宋_GB2312" w:eastAsia="仿宋_GB2312" w:cs="仿宋_GB2312"/>
          <w:bCs/>
          <w:sz w:val="32"/>
          <w:szCs w:val="32"/>
          <w:lang w:val="en-US" w:eastAsia="zh-CN"/>
        </w:rPr>
        <w:t>40</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个，行政工勤编制1个，参公编制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人，事业编制2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在职</w:t>
      </w:r>
      <w:r>
        <w:rPr>
          <w:rFonts w:hint="eastAsia" w:ascii="仿宋_GB2312" w:hAnsi="仿宋_GB2312" w:eastAsia="仿宋_GB2312" w:cs="仿宋_GB2312"/>
          <w:bCs/>
          <w:sz w:val="32"/>
          <w:szCs w:val="32"/>
          <w:lang w:val="en-US" w:eastAsia="zh-CN"/>
        </w:rPr>
        <w:t>39</w:t>
      </w:r>
      <w:r>
        <w:rPr>
          <w:rFonts w:hint="eastAsia" w:ascii="仿宋_GB2312" w:hAnsi="仿宋_GB2312" w:eastAsia="仿宋_GB2312" w:cs="仿宋_GB2312"/>
          <w:bCs/>
          <w:sz w:val="32"/>
          <w:szCs w:val="32"/>
        </w:rPr>
        <w:t>人，其中参公</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人，公务员</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人，事业</w:t>
      </w:r>
      <w:r>
        <w:rPr>
          <w:rFonts w:hint="eastAsia" w:ascii="仿宋_GB2312" w:hAnsi="仿宋_GB2312" w:eastAsia="仿宋_GB2312" w:cs="仿宋_GB2312"/>
          <w:bCs/>
          <w:sz w:val="32"/>
          <w:szCs w:val="32"/>
          <w:lang w:val="en-US" w:eastAsia="zh-CN"/>
        </w:rPr>
        <w:t>23</w:t>
      </w:r>
      <w:r>
        <w:rPr>
          <w:rFonts w:hint="eastAsia" w:ascii="仿宋_GB2312" w:hAnsi="仿宋_GB2312" w:eastAsia="仿宋_GB2312" w:cs="仿宋_GB2312"/>
          <w:bCs/>
          <w:sz w:val="32"/>
          <w:szCs w:val="32"/>
        </w:rPr>
        <w:t>人，退休</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（一）部门财政资金收入情况。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2021年度单位收入合计118414840.02元,2020年度结转结余13896449.93元，支出合计132311289.95元（其中：项目支出124332035.56元；基本支出7979254.39元），2021</w:t>
      </w:r>
      <w:r>
        <w:rPr>
          <w:rFonts w:hint="eastAsia" w:ascii="仿宋_GB2312" w:hAnsi="仿宋_GB2312" w:eastAsia="仿宋_GB2312" w:cs="仿宋_GB2312"/>
          <w:color w:val="000000"/>
          <w:kern w:val="0"/>
          <w:sz w:val="32"/>
          <w:szCs w:val="32"/>
          <w:lang w:val="zh-CN" w:eastAsia="zh-CN"/>
        </w:rPr>
        <w:t>年收入年初预算安排</w:t>
      </w:r>
      <w:r>
        <w:rPr>
          <w:rFonts w:hint="eastAsia" w:ascii="仿宋_GB2312" w:hAnsi="仿宋_GB2312" w:eastAsia="仿宋_GB2312" w:cs="仿宋_GB2312"/>
          <w:color w:val="000000"/>
          <w:kern w:val="0"/>
          <w:sz w:val="32"/>
          <w:szCs w:val="32"/>
          <w:lang w:val="en-US" w:eastAsia="zh-CN"/>
        </w:rPr>
        <w:t>6082673</w:t>
      </w:r>
      <w:r>
        <w:rPr>
          <w:rFonts w:hint="eastAsia" w:ascii="仿宋_GB2312" w:hAnsi="仿宋_GB2312" w:eastAsia="仿宋_GB2312" w:cs="仿宋_GB2312"/>
          <w:color w:val="000000"/>
          <w:kern w:val="0"/>
          <w:sz w:val="32"/>
          <w:szCs w:val="32"/>
          <w:lang w:val="zh-CN" w:eastAsia="zh-CN"/>
        </w:rPr>
        <w:t>元，</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lang w:val="zh-CN" w:eastAsia="zh-CN"/>
        </w:rPr>
        <w:t>年支出预算安排</w:t>
      </w:r>
      <w:r>
        <w:rPr>
          <w:rFonts w:hint="eastAsia" w:ascii="仿宋_GB2312" w:hAnsi="仿宋_GB2312" w:eastAsia="仿宋_GB2312" w:cs="仿宋_GB2312"/>
          <w:color w:val="000000"/>
          <w:kern w:val="0"/>
          <w:sz w:val="32"/>
          <w:szCs w:val="32"/>
          <w:lang w:val="en-US" w:eastAsia="zh-CN"/>
        </w:rPr>
        <w:t>6082673</w:t>
      </w:r>
      <w:r>
        <w:rPr>
          <w:rFonts w:hint="eastAsia" w:ascii="仿宋_GB2312" w:hAnsi="仿宋_GB2312" w:eastAsia="仿宋_GB2312" w:cs="仿宋_GB2312"/>
          <w:color w:val="000000"/>
          <w:kern w:val="0"/>
          <w:sz w:val="32"/>
          <w:szCs w:val="32"/>
          <w:lang w:val="zh-CN" w:eastAsia="zh-CN"/>
        </w:rPr>
        <w:t>元。</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en-US" w:eastAsia="zh-CN"/>
        </w:rPr>
        <w:t>（二）</w:t>
      </w:r>
      <w:r>
        <w:rPr>
          <w:rFonts w:hint="eastAsia" w:ascii="仿宋_GB2312" w:hAnsi="仿宋_GB2312" w:eastAsia="仿宋_GB2312" w:cs="仿宋_GB2312"/>
          <w:b/>
          <w:bCs/>
          <w:color w:val="000000"/>
          <w:kern w:val="0"/>
          <w:sz w:val="32"/>
          <w:szCs w:val="32"/>
          <w:lang w:val="zh-CN"/>
        </w:rPr>
        <w:t>部门财政资金支出情况。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lang w:val="zh-CN" w:eastAsia="zh-CN"/>
        </w:rPr>
        <w:t>年度单位收入合计</w:t>
      </w:r>
      <w:r>
        <w:rPr>
          <w:rFonts w:hint="eastAsia" w:ascii="仿宋_GB2312" w:hAnsi="仿宋_GB2312" w:eastAsia="仿宋_GB2312" w:cs="仿宋_GB2312"/>
          <w:color w:val="000000"/>
          <w:kern w:val="0"/>
          <w:sz w:val="32"/>
          <w:szCs w:val="32"/>
          <w:lang w:val="en-US" w:eastAsia="zh-CN"/>
        </w:rPr>
        <w:t>118414840.02</w:t>
      </w:r>
      <w:r>
        <w:rPr>
          <w:rFonts w:hint="eastAsia" w:ascii="仿宋_GB2312" w:hAnsi="仿宋_GB2312" w:eastAsia="仿宋_GB2312" w:cs="仿宋_GB2312"/>
          <w:color w:val="000000"/>
          <w:kern w:val="0"/>
          <w:sz w:val="32"/>
          <w:szCs w:val="32"/>
          <w:lang w:val="zh-CN" w:eastAsia="zh-CN"/>
        </w:rPr>
        <w:t>元，支出合计</w:t>
      </w:r>
      <w:r>
        <w:rPr>
          <w:rFonts w:hint="eastAsia" w:ascii="仿宋_GB2312" w:hAnsi="仿宋_GB2312" w:eastAsia="仿宋_GB2312" w:cs="仿宋_GB2312"/>
          <w:color w:val="000000"/>
          <w:kern w:val="0"/>
          <w:sz w:val="32"/>
          <w:szCs w:val="32"/>
          <w:lang w:val="en-US" w:eastAsia="zh-CN"/>
        </w:rPr>
        <w:t>132311289.95元</w:t>
      </w:r>
      <w:r>
        <w:rPr>
          <w:rFonts w:hint="eastAsia" w:ascii="仿宋_GB2312" w:hAnsi="仿宋_GB2312" w:eastAsia="仿宋_GB2312" w:cs="仿宋_GB2312"/>
          <w:color w:val="000000"/>
          <w:kern w:val="0"/>
          <w:sz w:val="32"/>
          <w:szCs w:val="32"/>
          <w:lang w:val="zh-CN" w:eastAsia="zh-CN"/>
        </w:rPr>
        <w:t>（其中基本支出为</w:t>
      </w:r>
      <w:r>
        <w:rPr>
          <w:rFonts w:hint="eastAsia" w:ascii="仿宋_GB2312" w:hAnsi="仿宋_GB2312" w:eastAsia="仿宋_GB2312" w:cs="仿宋_GB2312"/>
          <w:color w:val="000000"/>
          <w:kern w:val="0"/>
          <w:sz w:val="32"/>
          <w:szCs w:val="32"/>
          <w:lang w:val="en-US" w:eastAsia="zh-CN"/>
        </w:rPr>
        <w:t>7979254.39元</w:t>
      </w:r>
      <w:r>
        <w:rPr>
          <w:rFonts w:hint="eastAsia" w:ascii="仿宋_GB2312" w:hAnsi="仿宋_GB2312" w:eastAsia="仿宋_GB2312" w:cs="仿宋_GB2312"/>
          <w:color w:val="000000"/>
          <w:kern w:val="0"/>
          <w:sz w:val="32"/>
          <w:szCs w:val="32"/>
          <w:lang w:val="zh-CN" w:eastAsia="zh-CN"/>
        </w:rPr>
        <w:t>，项目支出为</w:t>
      </w:r>
      <w:r>
        <w:rPr>
          <w:rFonts w:hint="eastAsia" w:ascii="仿宋_GB2312" w:hAnsi="仿宋_GB2312" w:eastAsia="仿宋_GB2312" w:cs="仿宋_GB2312"/>
          <w:color w:val="000000"/>
          <w:kern w:val="0"/>
          <w:sz w:val="32"/>
          <w:szCs w:val="32"/>
          <w:lang w:val="en-US" w:eastAsia="zh-CN"/>
        </w:rPr>
        <w:t>124332035.56</w:t>
      </w:r>
      <w:r>
        <w:rPr>
          <w:rFonts w:hint="eastAsia" w:ascii="仿宋_GB2312" w:hAnsi="仿宋_GB2312" w:eastAsia="仿宋_GB2312" w:cs="仿宋_GB2312"/>
          <w:color w:val="000000"/>
          <w:kern w:val="0"/>
          <w:sz w:val="32"/>
          <w:szCs w:val="32"/>
          <w:lang w:val="zh-CN" w:eastAsia="zh-CN"/>
        </w:rPr>
        <w:t>元）；基本支出占项目支出的</w:t>
      </w:r>
      <w:r>
        <w:rPr>
          <w:rFonts w:hint="eastAsia" w:ascii="仿宋_GB2312" w:hAnsi="仿宋_GB2312" w:eastAsia="仿宋_GB2312" w:cs="仿宋_GB2312"/>
          <w:color w:val="000000"/>
          <w:kern w:val="0"/>
          <w:sz w:val="32"/>
          <w:szCs w:val="32"/>
          <w:lang w:val="en-US" w:eastAsia="zh-CN"/>
        </w:rPr>
        <w:t>6.4%，占比较小，我单位为基本建设性单位项目支出远大于基本支出。2021</w:t>
      </w:r>
      <w:r>
        <w:rPr>
          <w:rFonts w:hint="eastAsia" w:ascii="仿宋_GB2312" w:hAnsi="仿宋_GB2312" w:eastAsia="仿宋_GB2312" w:cs="仿宋_GB2312"/>
          <w:color w:val="000000"/>
          <w:kern w:val="0"/>
          <w:sz w:val="32"/>
          <w:szCs w:val="32"/>
          <w:lang w:val="zh-CN" w:eastAsia="zh-CN"/>
        </w:rPr>
        <w:t>年收入</w:t>
      </w:r>
      <w:r>
        <w:rPr>
          <w:rFonts w:hint="eastAsia" w:ascii="仿宋_GB2312" w:hAnsi="仿宋_GB2312" w:eastAsia="仿宋_GB2312" w:cs="仿宋_GB2312"/>
          <w:color w:val="000000"/>
          <w:kern w:val="0"/>
          <w:sz w:val="32"/>
          <w:szCs w:val="32"/>
          <w:lang w:val="en-US" w:eastAsia="zh-CN"/>
        </w:rPr>
        <w:t>118414840.02</w:t>
      </w:r>
      <w:r>
        <w:rPr>
          <w:rFonts w:hint="eastAsia" w:ascii="仿宋_GB2312" w:hAnsi="仿宋_GB2312" w:eastAsia="仿宋_GB2312" w:cs="仿宋_GB2312"/>
          <w:color w:val="000000"/>
          <w:kern w:val="0"/>
          <w:sz w:val="32"/>
          <w:szCs w:val="32"/>
          <w:lang w:val="zh-CN" w:eastAsia="zh-CN"/>
        </w:rPr>
        <w:t>元，</w:t>
      </w: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lang w:val="zh-CN" w:eastAsia="zh-CN"/>
        </w:rPr>
        <w:t>年</w:t>
      </w:r>
      <w:r>
        <w:rPr>
          <w:rFonts w:hint="eastAsia" w:ascii="仿宋_GB2312" w:hAnsi="仿宋_GB2312" w:eastAsia="仿宋_GB2312" w:cs="仿宋_GB2312"/>
          <w:color w:val="000000"/>
          <w:kern w:val="0"/>
          <w:sz w:val="32"/>
          <w:szCs w:val="32"/>
          <w:lang w:val="en-US" w:eastAsia="zh-CN"/>
        </w:rPr>
        <w:t>度合计</w:t>
      </w:r>
      <w:r>
        <w:rPr>
          <w:rFonts w:hint="eastAsia" w:ascii="仿宋_GB2312" w:hAnsi="仿宋_GB2312" w:eastAsia="仿宋_GB2312" w:cs="仿宋_GB2312"/>
          <w:color w:val="000000"/>
          <w:kern w:val="0"/>
          <w:sz w:val="32"/>
          <w:szCs w:val="32"/>
          <w:lang w:val="zh-CN" w:eastAsia="zh-CN"/>
        </w:rPr>
        <w:t>支出</w:t>
      </w:r>
      <w:r>
        <w:rPr>
          <w:rFonts w:hint="eastAsia" w:ascii="仿宋_GB2312" w:hAnsi="仿宋_GB2312" w:eastAsia="仿宋_GB2312" w:cs="仿宋_GB2312"/>
          <w:color w:val="000000"/>
          <w:kern w:val="0"/>
          <w:sz w:val="32"/>
          <w:szCs w:val="32"/>
          <w:lang w:val="en-US" w:eastAsia="zh-CN"/>
        </w:rPr>
        <w:t>132311289.95元；2021年收入预算</w:t>
      </w:r>
      <w:r>
        <w:rPr>
          <w:rFonts w:hint="eastAsia" w:ascii="仿宋_GB2312" w:hAnsi="仿宋_GB2312" w:eastAsia="仿宋_GB2312" w:cs="仿宋_GB2312"/>
          <w:color w:val="000000"/>
          <w:kern w:val="0"/>
          <w:sz w:val="32"/>
          <w:szCs w:val="32"/>
          <w:lang w:val="zh-CN" w:eastAsia="zh-CN"/>
        </w:rPr>
        <w:t>安排</w:t>
      </w:r>
      <w:r>
        <w:rPr>
          <w:rFonts w:hint="eastAsia" w:ascii="仿宋_GB2312" w:hAnsi="仿宋_GB2312" w:eastAsia="仿宋_GB2312" w:cs="仿宋_GB2312"/>
          <w:color w:val="000000"/>
          <w:kern w:val="0"/>
          <w:sz w:val="32"/>
          <w:szCs w:val="32"/>
          <w:lang w:val="en-US" w:eastAsia="zh-CN"/>
        </w:rPr>
        <w:t>6082673</w:t>
      </w:r>
      <w:r>
        <w:rPr>
          <w:rFonts w:hint="eastAsia" w:ascii="仿宋_GB2312" w:hAnsi="仿宋_GB2312" w:eastAsia="仿宋_GB2312" w:cs="仿宋_GB2312"/>
          <w:color w:val="000000"/>
          <w:kern w:val="0"/>
          <w:sz w:val="32"/>
          <w:szCs w:val="32"/>
          <w:lang w:val="zh-CN" w:eastAsia="zh-CN"/>
        </w:rPr>
        <w:t>元，差异</w:t>
      </w:r>
      <w:r>
        <w:rPr>
          <w:rFonts w:hint="eastAsia" w:ascii="仿宋_GB2312" w:hAnsi="仿宋_GB2312" w:eastAsia="仿宋_GB2312" w:cs="仿宋_GB2312"/>
          <w:color w:val="000000"/>
          <w:kern w:val="0"/>
          <w:sz w:val="32"/>
          <w:szCs w:val="32"/>
          <w:lang w:val="en-US" w:eastAsia="zh-CN"/>
        </w:rPr>
        <w:t>率为95%</w:t>
      </w:r>
      <w:r>
        <w:rPr>
          <w:rFonts w:hint="eastAsia" w:ascii="仿宋_GB2312" w:hAnsi="仿宋_GB2312" w:eastAsia="仿宋_GB2312" w:cs="仿宋_GB2312"/>
          <w:color w:val="000000"/>
          <w:kern w:val="0"/>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2"/>
          <w:szCs w:val="32"/>
          <w:lang w:val="zh-CN" w:eastAsia="zh-CN"/>
        </w:rPr>
      </w:pPr>
      <w:r>
        <w:rPr>
          <w:rFonts w:hint="eastAsia" w:ascii="仿宋_GB2312" w:hAnsi="仿宋_GB2312" w:eastAsia="仿宋_GB2312" w:cs="仿宋_GB2312"/>
          <w:b/>
          <w:bCs/>
          <w:color w:val="000000"/>
          <w:kern w:val="0"/>
          <w:sz w:val="32"/>
          <w:szCs w:val="32"/>
          <w:lang w:val="zh-CN" w:eastAsia="zh-CN"/>
        </w:rPr>
        <w:t>（一）预算编制情况。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我单位严格执行新的《预算法》，切实按照中央八项规定、省委九项规定、市委十项规定的管理制度，坚决执行财经和财务规章制度，合法依规编制预算。根据项目实际情况填报目标绩效。</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2"/>
          <w:szCs w:val="32"/>
          <w:lang w:val="zh-CN" w:eastAsia="zh-CN"/>
        </w:rPr>
      </w:pPr>
      <w:r>
        <w:rPr>
          <w:rFonts w:hint="eastAsia" w:ascii="仿宋_GB2312" w:hAnsi="仿宋_GB2312" w:eastAsia="仿宋_GB2312" w:cs="仿宋_GB2312"/>
          <w:b/>
          <w:bCs/>
          <w:color w:val="000000"/>
          <w:kern w:val="0"/>
          <w:sz w:val="32"/>
          <w:szCs w:val="32"/>
          <w:lang w:val="zh-CN" w:eastAsia="zh-CN"/>
        </w:rPr>
        <w:t>（二）执行管理情况。</w:t>
      </w:r>
      <w:r>
        <w:rPr>
          <w:rFonts w:hint="eastAsia" w:ascii="仿宋_GB2312" w:hAnsi="仿宋_GB2312" w:eastAsia="仿宋_GB2312" w:cs="仿宋_GB2312"/>
          <w:b/>
          <w:bCs/>
          <w:color w:val="000000"/>
          <w:kern w:val="0"/>
          <w:sz w:val="32"/>
          <w:szCs w:val="32"/>
          <w:lang w:val="zh-CN" w:eastAsia="zh-CN"/>
        </w:rPr>
        <w:tab/>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年度“三公”经费财政拨款支出决算中，因公出国（境）费支出决算0万元；公务用车购置及运行维护费支出决算</w:t>
      </w:r>
      <w:r>
        <w:rPr>
          <w:rFonts w:hint="eastAsia" w:ascii="仿宋_GB2312" w:hAnsi="仿宋_GB2312" w:eastAsia="仿宋_GB2312" w:cs="仿宋_GB2312"/>
          <w:color w:val="000000"/>
          <w:kern w:val="0"/>
          <w:sz w:val="32"/>
          <w:szCs w:val="32"/>
          <w:lang w:val="en-US" w:eastAsia="zh-CN"/>
        </w:rPr>
        <w:t>20.32</w:t>
      </w:r>
      <w:r>
        <w:rPr>
          <w:rFonts w:hint="eastAsia" w:ascii="仿宋_GB2312" w:hAnsi="仿宋_GB2312" w:eastAsia="仿宋_GB2312" w:cs="仿宋_GB2312"/>
          <w:color w:val="000000"/>
          <w:kern w:val="0"/>
          <w:sz w:val="32"/>
          <w:szCs w:val="32"/>
          <w:lang w:val="zh-CN"/>
        </w:rPr>
        <w:t>万元，占</w:t>
      </w:r>
      <w:r>
        <w:rPr>
          <w:rFonts w:hint="eastAsia" w:ascii="仿宋_GB2312" w:hAnsi="仿宋_GB2312" w:eastAsia="仿宋_GB2312" w:cs="仿宋_GB2312"/>
          <w:color w:val="000000"/>
          <w:kern w:val="0"/>
          <w:sz w:val="32"/>
          <w:szCs w:val="32"/>
          <w:lang w:val="en-US" w:eastAsia="zh-CN"/>
        </w:rPr>
        <w:t>96.3</w:t>
      </w:r>
      <w:r>
        <w:rPr>
          <w:rFonts w:hint="eastAsia" w:ascii="仿宋_GB2312" w:hAnsi="仿宋_GB2312" w:eastAsia="仿宋_GB2312" w:cs="仿宋_GB2312"/>
          <w:color w:val="000000"/>
          <w:kern w:val="0"/>
          <w:sz w:val="32"/>
          <w:szCs w:val="32"/>
          <w:lang w:val="zh-CN"/>
        </w:rPr>
        <w:t>%；公务接待费支出决算</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lang w:val="zh-CN"/>
        </w:rPr>
        <w:t>6635万元，占</w:t>
      </w:r>
      <w:r>
        <w:rPr>
          <w:rFonts w:hint="eastAsia" w:ascii="仿宋_GB2312" w:hAnsi="仿宋_GB2312" w:eastAsia="仿宋_GB2312" w:cs="仿宋_GB2312"/>
          <w:color w:val="000000"/>
          <w:kern w:val="0"/>
          <w:sz w:val="32"/>
          <w:szCs w:val="32"/>
          <w:lang w:val="en-US" w:eastAsia="zh-CN"/>
        </w:rPr>
        <w:t>3.7</w:t>
      </w:r>
      <w:r>
        <w:rPr>
          <w:rFonts w:hint="eastAsia" w:ascii="仿宋_GB2312" w:hAnsi="仿宋_GB2312" w:eastAsia="仿宋_GB2312" w:cs="仿宋_GB2312"/>
          <w:color w:val="000000"/>
          <w:kern w:val="0"/>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202</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年度“三公”经费财政拨款预算中，因公出国（境）费支出决算0万元；公务用车购置及运行维护费支出预算</w:t>
      </w:r>
      <w:r>
        <w:rPr>
          <w:rFonts w:hint="eastAsia" w:ascii="仿宋_GB2312" w:hAnsi="仿宋_GB2312" w:eastAsia="仿宋_GB2312" w:cs="仿宋_GB2312"/>
          <w:color w:val="000000"/>
          <w:kern w:val="0"/>
          <w:sz w:val="32"/>
          <w:szCs w:val="32"/>
          <w:lang w:val="en-US" w:eastAsia="zh-CN"/>
        </w:rPr>
        <w:t>5.24</w:t>
      </w:r>
      <w:r>
        <w:rPr>
          <w:rFonts w:hint="eastAsia" w:ascii="仿宋_GB2312" w:hAnsi="仿宋_GB2312" w:eastAsia="仿宋_GB2312" w:cs="仿宋_GB2312"/>
          <w:color w:val="000000"/>
          <w:kern w:val="0"/>
          <w:sz w:val="32"/>
          <w:szCs w:val="32"/>
          <w:lang w:val="zh-CN"/>
        </w:rPr>
        <w:t>万元，占</w:t>
      </w:r>
      <w:r>
        <w:rPr>
          <w:rFonts w:hint="eastAsia" w:ascii="仿宋_GB2312" w:hAnsi="仿宋_GB2312" w:eastAsia="仿宋_GB2312" w:cs="仿宋_GB2312"/>
          <w:color w:val="000000"/>
          <w:kern w:val="0"/>
          <w:sz w:val="32"/>
          <w:szCs w:val="32"/>
          <w:lang w:val="en-US" w:eastAsia="zh-CN"/>
        </w:rPr>
        <w:t>88.7</w:t>
      </w:r>
      <w:r>
        <w:rPr>
          <w:rFonts w:hint="eastAsia" w:ascii="仿宋_GB2312" w:hAnsi="仿宋_GB2312" w:eastAsia="仿宋_GB2312" w:cs="仿宋_GB2312"/>
          <w:color w:val="000000"/>
          <w:kern w:val="0"/>
          <w:sz w:val="32"/>
          <w:szCs w:val="32"/>
          <w:lang w:val="zh-CN"/>
        </w:rPr>
        <w:t>%；公务接待费支出预算0.67万元，占</w:t>
      </w:r>
      <w:r>
        <w:rPr>
          <w:rFonts w:hint="eastAsia" w:ascii="仿宋_GB2312" w:hAnsi="仿宋_GB2312" w:eastAsia="仿宋_GB2312" w:cs="仿宋_GB2312"/>
          <w:color w:val="000000"/>
          <w:kern w:val="0"/>
          <w:sz w:val="32"/>
          <w:szCs w:val="32"/>
          <w:lang w:val="en-US" w:eastAsia="zh-CN"/>
        </w:rPr>
        <w:t>11.3</w:t>
      </w:r>
      <w:r>
        <w:rPr>
          <w:rFonts w:hint="eastAsia" w:ascii="仿宋_GB2312" w:hAnsi="仿宋_GB2312" w:eastAsia="仿宋_GB2312" w:cs="仿宋_GB2312"/>
          <w:color w:val="000000"/>
          <w:kern w:val="0"/>
          <w:sz w:val="32"/>
          <w:szCs w:val="32"/>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b/>
          <w:bCs/>
          <w:color w:val="000000"/>
          <w:kern w:val="0"/>
          <w:sz w:val="32"/>
          <w:szCs w:val="32"/>
          <w:lang w:val="zh-CN"/>
        </w:rPr>
        <w:t>（</w:t>
      </w:r>
      <w:r>
        <w:rPr>
          <w:rFonts w:hint="eastAsia" w:ascii="仿宋_GB2312" w:hAnsi="仿宋_GB2312" w:eastAsia="仿宋_GB2312" w:cs="仿宋_GB2312"/>
          <w:b/>
          <w:bCs/>
          <w:color w:val="000000"/>
          <w:kern w:val="0"/>
          <w:sz w:val="32"/>
          <w:szCs w:val="32"/>
          <w:lang w:val="zh-CN" w:eastAsia="zh-CN"/>
        </w:rPr>
        <w:t>三）综合管理情况。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并按相关规定及时进行预算公开。</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（四）整体绩效。</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度我单位年初根据工作规划和重点工作规划，围绕全面建成小康社会的发展蓝图，积极履行职责，强化本单位预算管理，较好地完成了年初工作目标。财政预算安排在很大程度上保障了本单位基本支出及公用经费支出的正常工作运转。预算安排的项目支出也是非常必要的。财政预算安排大大提财政资金的使用效率，财政资金的安全性得到了有效保障，我们在执行预算过程中是严格按照财政各项制度规定来办理，单位在项目资金的使用上也是安全的。通过加强预算收支管理，不断建立健全内部管理制度，梳理内部管理流程。部门整体预算支出管理情况得到提升，主要体现在以下几方面：</w:t>
      </w:r>
      <w:r>
        <w:rPr>
          <w:rFonts w:hint="eastAsia" w:ascii="仿宋_GB2312" w:hAnsi="仿宋_GB2312" w:eastAsia="仿宋_GB2312" w:cs="仿宋_GB2312"/>
          <w:b/>
          <w:bCs/>
          <w:color w:val="000000"/>
          <w:kern w:val="0"/>
          <w:sz w:val="32"/>
          <w:szCs w:val="32"/>
          <w:lang w:val="zh-CN"/>
        </w:rPr>
        <w:t>一是</w:t>
      </w:r>
      <w:r>
        <w:rPr>
          <w:rFonts w:hint="eastAsia" w:ascii="仿宋_GB2312" w:hAnsi="仿宋_GB2312" w:eastAsia="仿宋_GB2312" w:cs="仿宋_GB2312"/>
          <w:color w:val="000000"/>
          <w:kern w:val="0"/>
          <w:sz w:val="32"/>
          <w:szCs w:val="32"/>
          <w:lang w:val="zh-CN"/>
        </w:rPr>
        <w:t>本年预算配置控制较好。财政供养人员控制在预算编制以内，编制内在职人员控制率为100%；“三公经费”控制在年初预算以内；</w:t>
      </w:r>
      <w:r>
        <w:rPr>
          <w:rFonts w:hint="eastAsia" w:ascii="仿宋_GB2312" w:hAnsi="仿宋_GB2312" w:eastAsia="仿宋_GB2312" w:cs="仿宋_GB2312"/>
          <w:b/>
          <w:bCs/>
          <w:color w:val="000000"/>
          <w:kern w:val="0"/>
          <w:sz w:val="32"/>
          <w:szCs w:val="32"/>
          <w:lang w:val="zh-CN"/>
        </w:rPr>
        <w:t>二是</w:t>
      </w:r>
      <w:r>
        <w:rPr>
          <w:rFonts w:hint="eastAsia" w:ascii="仿宋_GB2312" w:hAnsi="仿宋_GB2312" w:eastAsia="仿宋_GB2312" w:cs="仿宋_GB2312"/>
          <w:color w:val="000000"/>
          <w:kern w:val="0"/>
          <w:sz w:val="32"/>
          <w:szCs w:val="32"/>
          <w:lang w:val="zh-CN"/>
        </w:rPr>
        <w:t>预算执行情况控制较好。支出总额控制在年初预算总额以内，本年部门预算完成率达到了100%，未进行预算相关事项的调整，预算控制良好。</w:t>
      </w:r>
      <w:r>
        <w:rPr>
          <w:rFonts w:hint="eastAsia" w:ascii="仿宋_GB2312" w:hAnsi="仿宋_GB2312" w:eastAsia="仿宋_GB2312" w:cs="仿宋_GB2312"/>
          <w:b/>
          <w:bCs/>
          <w:color w:val="000000"/>
          <w:kern w:val="0"/>
          <w:sz w:val="32"/>
          <w:szCs w:val="32"/>
          <w:lang w:val="zh-CN"/>
        </w:rPr>
        <w:t>三是</w:t>
      </w:r>
      <w:r>
        <w:rPr>
          <w:rFonts w:hint="eastAsia" w:ascii="仿宋_GB2312" w:hAnsi="仿宋_GB2312" w:eastAsia="仿宋_GB2312" w:cs="仿宋_GB2312"/>
          <w:color w:val="000000"/>
          <w:kern w:val="0"/>
          <w:sz w:val="32"/>
          <w:szCs w:val="32"/>
          <w:lang w:val="zh-CN"/>
        </w:rPr>
        <w:t>预算管理较为理想。由于严格执行财政相关法律、法规的规定，我单位的预算管理工作取得了较好的成绩，全年人员经费支出、日常用公用经费支出的控制率均达到了100%。</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年结合我局职能职责以及相关预算安排，较好地完成了年初工作目标。</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w:t>
      </w:r>
      <w:r>
        <w:rPr>
          <w:rFonts w:hint="eastAsia" w:ascii="仿宋_GB2312" w:hAnsi="仿宋_GB2312" w:eastAsia="仿宋_GB2312" w:cs="仿宋_GB2312"/>
          <w:b/>
          <w:bCs/>
          <w:color w:val="000000"/>
          <w:kern w:val="0"/>
          <w:sz w:val="32"/>
          <w:szCs w:val="32"/>
          <w:lang w:val="en-US" w:eastAsia="zh-CN"/>
        </w:rPr>
        <w:t>二</w:t>
      </w:r>
      <w:r>
        <w:rPr>
          <w:rFonts w:hint="eastAsia" w:ascii="仿宋_GB2312" w:hAnsi="仿宋_GB2312" w:eastAsia="仿宋_GB2312" w:cs="仿宋_GB2312"/>
          <w:b/>
          <w:bCs/>
          <w:color w:val="000000"/>
          <w:kern w:val="0"/>
          <w:sz w:val="32"/>
          <w:szCs w:val="32"/>
          <w:lang w:val="zh-CN"/>
        </w:rPr>
        <w:t>）存在问题。</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1、预算编制欠严谨</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预算编制欠全面，项目有临时追加不够完整、细化。</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2、预算执行存在偏差</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在实际经费列支中，未严格按照预算科目进行列支，部分基本支出挤占了项目支出。</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3、会计核算欠规范</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经费支出核算过程中，部分存在部分大额办公支出无明细、发票内容填写不规范等现象。</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（三）改进建议。</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1、科学合理编制预算，严格执行预算</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2、规范账务处理，提高财务信息质量</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严格按照《会计法》、《行政单位会计制度》、《行政单位财务规则》等规定，结合实际情况，科学设置支出科目，规范财务核算，完整披露相关信息。</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outlineLvl w:val="1"/>
        <w:rPr>
          <w:rFonts w:hint="eastAsia" w:ascii="仿宋_GB2312" w:hAnsi="仿宋_GB2312" w:eastAsia="仿宋_GB2312" w:cs="仿宋_GB2312"/>
          <w:color w:val="000000"/>
          <w:kern w:val="0"/>
          <w:lang w:val="zh-CN"/>
        </w:rPr>
      </w:pPr>
    </w:p>
    <w:p>
      <w:pPr>
        <w:pStyle w:val="18"/>
        <w:widowControl/>
        <w:spacing w:line="560" w:lineRule="exact"/>
        <w:ind w:firstLine="883" w:firstLineChars="200"/>
        <w:jc w:val="center"/>
        <w:rPr>
          <w:rFonts w:ascii="宋体" w:hAnsi="宋体" w:cs="宋体"/>
          <w:b/>
          <w:sz w:val="44"/>
          <w:szCs w:val="44"/>
        </w:rPr>
      </w:pPr>
      <w:r>
        <w:rPr>
          <w:rFonts w:hint="eastAsia" w:ascii="宋体" w:hAnsi="宋体" w:cs="宋体"/>
          <w:b/>
          <w:sz w:val="44"/>
          <w:szCs w:val="44"/>
          <w:lang w:val="en-US"/>
        </w:rPr>
        <w:t>红原县住房和城乡建设局</w:t>
      </w:r>
      <w:r>
        <w:rPr>
          <w:rFonts w:hint="eastAsia" w:ascii="宋体" w:hAnsi="宋体" w:cs="宋体"/>
          <w:b/>
          <w:sz w:val="44"/>
          <w:szCs w:val="44"/>
        </w:rPr>
        <w:t>项目</w:t>
      </w:r>
    </w:p>
    <w:p>
      <w:pPr>
        <w:pStyle w:val="18"/>
        <w:widowControl/>
        <w:spacing w:line="560" w:lineRule="exact"/>
        <w:ind w:firstLine="883" w:firstLineChars="200"/>
        <w:jc w:val="center"/>
        <w:rPr>
          <w:rFonts w:ascii="仿宋_GB2312" w:hAnsi="宋体" w:eastAsia="仿宋_GB2312" w:cs="仿宋_GB2312"/>
          <w:color w:val="auto"/>
          <w:kern w:val="2"/>
          <w:sz w:val="32"/>
          <w:szCs w:val="32"/>
        </w:rPr>
      </w:pPr>
      <w:r>
        <w:rPr>
          <w:rFonts w:hint="eastAsia" w:ascii="宋体" w:hAnsi="宋体" w:cs="宋体"/>
          <w:b/>
          <w:sz w:val="44"/>
          <w:szCs w:val="44"/>
        </w:rPr>
        <w:t>支出绩效自评报告</w:t>
      </w:r>
    </w:p>
    <w:p>
      <w:pPr>
        <w:spacing w:line="560" w:lineRule="exact"/>
        <w:jc w:val="center"/>
        <w:rPr>
          <w:rFonts w:ascii="仿宋_GB2312" w:hAnsi="宋体" w:cs="仿宋_GB2312"/>
        </w:rPr>
      </w:pPr>
      <w:r>
        <w:rPr>
          <w:rFonts w:hint="eastAsia" w:ascii="仿宋_GB2312" w:hAnsi="宋体" w:cs="仿宋_GB2312"/>
          <w:szCs w:val="24"/>
        </w:rPr>
        <w:t>（</w:t>
      </w:r>
      <w:r>
        <w:rPr>
          <w:rFonts w:hint="eastAsia" w:ascii="仿宋_GB2312" w:hAnsi="宋体" w:cs="仿宋_GB2312"/>
          <w:szCs w:val="24"/>
          <w:lang w:val="en-US" w:eastAsia="zh-CN"/>
        </w:rPr>
        <w:t>2021年农村危房改造和抗震加固改造</w:t>
      </w:r>
      <w:r>
        <w:rPr>
          <w:rFonts w:hint="eastAsia" w:ascii="仿宋_GB2312" w:hAnsi="宋体" w:cs="仿宋_GB2312"/>
          <w:szCs w:val="24"/>
        </w:rPr>
        <w:t>绩效自评报告）</w:t>
      </w:r>
    </w:p>
    <w:p>
      <w:pPr>
        <w:pStyle w:val="18"/>
        <w:keepNext w:val="0"/>
        <w:keepLines w:val="0"/>
        <w:pageBreakBefore w:val="0"/>
        <w:kinsoku/>
        <w:wordWrap/>
        <w:overflowPunct/>
        <w:topLinePunct w:val="0"/>
        <w:autoSpaceDE/>
        <w:autoSpaceDN/>
        <w:bidi w:val="0"/>
        <w:spacing w:line="600" w:lineRule="exact"/>
        <w:ind w:firstLine="2880" w:firstLineChars="900"/>
        <w:jc w:val="both"/>
        <w:textAlignment w:val="auto"/>
        <w:rPr>
          <w:rFonts w:ascii="仿宋_GB2312" w:hAnsi="宋体" w:eastAsia="仿宋_GB2312"/>
          <w:color w:val="auto"/>
          <w:kern w:val="2"/>
          <w:sz w:val="32"/>
          <w:szCs w:val="32"/>
        </w:rPr>
      </w:pPr>
      <w:r>
        <w:rPr>
          <w:rFonts w:hint="eastAsia" w:ascii="仿宋_GB2312" w:hAnsi="宋体" w:eastAsia="仿宋_GB2312"/>
          <w:color w:val="auto"/>
          <w:kern w:val="2"/>
          <w:sz w:val="32"/>
          <w:szCs w:val="32"/>
        </w:rPr>
        <w:t>（主管部门自评）</w:t>
      </w:r>
    </w:p>
    <w:p>
      <w:pPr>
        <w:pStyle w:val="18"/>
        <w:keepNext w:val="0"/>
        <w:keepLines w:val="0"/>
        <w:pageBreakBefore w:val="0"/>
        <w:kinsoku/>
        <w:wordWrap/>
        <w:overflowPunct/>
        <w:topLinePunct w:val="0"/>
        <w:autoSpaceDE/>
        <w:autoSpaceDN/>
        <w:bidi w:val="0"/>
        <w:spacing w:line="600" w:lineRule="exact"/>
        <w:ind w:firstLine="640"/>
        <w:jc w:val="center"/>
        <w:textAlignment w:val="auto"/>
        <w:rPr>
          <w:rFonts w:ascii="宋体" w:hAnsi="宋体"/>
          <w:color w:val="auto"/>
          <w:kern w:val="2"/>
          <w:sz w:val="32"/>
          <w:szCs w:val="32"/>
        </w:rPr>
      </w:pP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楷体_GB2312" w:hAnsi="宋体" w:eastAsia="楷体_GB2312"/>
          <w:b/>
          <w:lang w:val="zh-CN"/>
        </w:rPr>
      </w:pPr>
      <w:r>
        <w:rPr>
          <w:rFonts w:hint="eastAsia" w:ascii="楷体_GB2312" w:hAnsi="宋体" w:eastAsia="楷体_GB2312"/>
          <w:b/>
          <w:lang w:val="zh-CN"/>
        </w:rPr>
        <w:t>（一）项目基本情况。</w:t>
      </w:r>
    </w:p>
    <w:p>
      <w:pPr>
        <w:ind w:firstLine="640"/>
        <w:jc w:val="center"/>
        <w:rPr>
          <w:rFonts w:hint="eastAsia" w:ascii="仿宋" w:hAnsi="仿宋" w:eastAsia="仿宋" w:cs="仿宋"/>
          <w:sz w:val="32"/>
          <w:szCs w:val="32"/>
          <w:lang w:val="en-US" w:eastAsia="zh-CN"/>
        </w:rPr>
      </w:pPr>
      <w:r>
        <w:rPr>
          <w:rFonts w:hint="eastAsia" w:ascii="仿宋_GB2312" w:hAnsi="宋体"/>
          <w:lang w:val="en-US" w:eastAsia="zh-CN"/>
        </w:rPr>
        <w:t>1.</w:t>
      </w:r>
      <w:r>
        <w:rPr>
          <w:rFonts w:hint="eastAsia" w:ascii="仿宋" w:hAnsi="仿宋" w:eastAsia="仿宋" w:cs="仿宋"/>
          <w:sz w:val="32"/>
          <w:szCs w:val="32"/>
          <w:lang w:val="en-US" w:eastAsia="zh-CN"/>
        </w:rPr>
        <w:t>为切实巩固脱贫攻坚住房安全保障成果，以持续改善脱贫户住房安全条件、消除全县农村住房安全隐患、保障农村住房安全来衔接乡村振兴工作的开展，为下一步开展农村房屋隐患整治、抗震加固改造工作垫定良好的基础，按照省、州要求，我县2021年度任务为危房改造4户、抗震加固改造150户，我局坚决按照相关要求，主动作为、靠前行动，结合行业职能职责，负责组织住房安全保障项目的规划、选址、协调工作，为此，我局制发了《红原县农村低收入群</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体住房安全保障项目实施方案》，并通过规范农村住房建设和管理，提高农村住房建设质量，增强农村住房抗震设防能力和抗灾害能力等方面的推进落实来提升农村住房安全保障。为确保住房安全有保障工作切实落实，达到“</w:t>
      </w:r>
      <w:r>
        <w:rPr>
          <w:rFonts w:hint="eastAsia" w:ascii="仿宋_GB2312" w:hAnsi="仿宋_GB2312" w:eastAsia="仿宋_GB2312"/>
          <w:sz w:val="32"/>
          <w:szCs w:val="32"/>
          <w:lang w:val="en-US" w:eastAsia="zh-CN"/>
        </w:rPr>
        <w:t>住有所居、居有所安</w:t>
      </w:r>
      <w:r>
        <w:rPr>
          <w:rFonts w:hint="eastAsia" w:ascii="仿宋" w:hAnsi="仿宋" w:eastAsia="仿宋" w:cs="仿宋"/>
          <w:sz w:val="32"/>
          <w:szCs w:val="32"/>
          <w:lang w:val="en-US" w:eastAsia="zh-CN"/>
        </w:rPr>
        <w:t>”的目标，为此我局成立了由局长担任组长的领导小组，以细化分工、压实责任、建立健全考评制度、加强思想作风建设、强化监管措施、出台实施方案、提供技术指导等具体措施来确保住房安全保障工作的推进和落实。</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仿宋_GB2312" w:hAnsi="宋体" w:eastAsia="仿宋_GB2312"/>
          <w:lang w:val="en-US" w:eastAsia="zh-CN"/>
        </w:rPr>
      </w:pPr>
      <w:r>
        <w:rPr>
          <w:rFonts w:hint="eastAsia" w:ascii="仿宋_GB2312" w:hAnsi="宋体"/>
          <w:lang w:val="en-US" w:eastAsia="zh-CN"/>
        </w:rPr>
        <w:t>2.</w:t>
      </w:r>
      <w:r>
        <w:rPr>
          <w:rFonts w:hint="eastAsia" w:ascii="仿宋" w:hAnsi="仿宋" w:eastAsia="仿宋" w:cs="仿宋"/>
          <w:sz w:val="32"/>
          <w:szCs w:val="32"/>
          <w:lang w:val="en-US" w:eastAsia="zh-CN"/>
        </w:rPr>
        <w:t>通过农村危房改造、农房抗震加固改造等方式来保障低收入人口基本住房安全，在保持脱贫攻坚期间政策稳定性、延续性的基础上进行了调整优化，继续巩固“住房安全有保障”成果，建立健全农村低收入群体住房安全保障长效机制，实现巩固脱贫攻坚成果同乡村振兴有效衔接。根据《四川省住房和城乡建设厅等4部门关于转发&lt;住房和城乡建设部 财政部 民政部 国家乡村振兴局关于做好农村低收入群体等重点对象住房安全保障工作的实施意见&gt;的通知》（川建村镇发[2021]200号）文件要求，农村低收入群体是主要保障对象，</w:t>
      </w:r>
      <w:r>
        <w:rPr>
          <w:rFonts w:hint="eastAsia" w:ascii="仿宋" w:hAnsi="仿宋" w:eastAsia="仿宋" w:cs="仿宋"/>
          <w:sz w:val="32"/>
          <w:szCs w:val="32"/>
          <w:lang w:eastAsia="zh-CN"/>
        </w:rPr>
        <w:t>通过农户自筹资金为主、政府予以适当补助方式实施农村危房改造是主要保障方式，在以实现农村住房安全有保障为根本的基础上,继续加强农村房屋动态监测机制和日常巡查机制与日常维修管护，持续推进农村危房改造和农房抗震改造，根据实际情况确定农村低收入群体等重点对象住房保障方式、建设标准等，进一步加强了质量安全技术指导与监督管理，指导农户采取多种方式保障住房安全，对脱贫户住房安全保障提供了更全面、更长效、更多样的保障方式。根据</w:t>
      </w:r>
      <w:r>
        <w:rPr>
          <w:rFonts w:hint="eastAsia" w:ascii="仿宋_GB2312" w:eastAsia="仿宋_GB2312"/>
          <w:sz w:val="32"/>
          <w:szCs w:val="32"/>
          <w:lang w:eastAsia="zh-CN"/>
        </w:rPr>
        <w:t>阿坝州住房和城乡建设局《关于正式下达</w:t>
      </w:r>
      <w:r>
        <w:rPr>
          <w:rFonts w:hint="eastAsia" w:ascii="仿宋_GB2312" w:eastAsia="仿宋_GB2312"/>
          <w:sz w:val="32"/>
          <w:szCs w:val="32"/>
          <w:lang w:val="en-US" w:eastAsia="zh-CN"/>
        </w:rPr>
        <w:t>2021年农村危房改造目标任务的通知</w:t>
      </w:r>
      <w:r>
        <w:rPr>
          <w:rFonts w:hint="eastAsia" w:ascii="仿宋_GB2312" w:eastAsia="仿宋_GB2312"/>
          <w:sz w:val="32"/>
          <w:szCs w:val="32"/>
          <w:lang w:eastAsia="zh-CN"/>
        </w:rPr>
        <w:t>》（阿州住建发</w:t>
      </w:r>
      <w:r>
        <w:rPr>
          <w:rFonts w:hint="eastAsia" w:ascii="仿宋_GB2312" w:eastAsia="仿宋_GB2312"/>
          <w:sz w:val="32"/>
          <w:szCs w:val="32"/>
          <w:lang w:val="en-US" w:eastAsia="zh-CN"/>
        </w:rPr>
        <w:t>[2021]210号</w:t>
      </w:r>
      <w:r>
        <w:rPr>
          <w:rFonts w:hint="eastAsia" w:ascii="仿宋_GB2312" w:eastAsia="仿宋_GB2312"/>
          <w:sz w:val="32"/>
          <w:szCs w:val="32"/>
          <w:lang w:eastAsia="zh-CN"/>
        </w:rPr>
        <w:t>）及阿坝州财政局、阿坝州住房和城乡建设局《关于下达</w:t>
      </w:r>
      <w:r>
        <w:rPr>
          <w:rFonts w:hint="eastAsia" w:ascii="仿宋_GB2312" w:eastAsia="仿宋_GB2312"/>
          <w:sz w:val="32"/>
          <w:szCs w:val="32"/>
          <w:lang w:val="en-US" w:eastAsia="zh-CN"/>
        </w:rPr>
        <w:t>2021年农村危房改造补助资金的通知</w:t>
      </w:r>
      <w:r>
        <w:rPr>
          <w:rFonts w:hint="eastAsia" w:ascii="仿宋_GB2312" w:eastAsia="仿宋_GB2312"/>
          <w:sz w:val="32"/>
          <w:szCs w:val="32"/>
          <w:lang w:eastAsia="zh-CN"/>
        </w:rPr>
        <w:t>》（阿州财建</w:t>
      </w:r>
      <w:r>
        <w:rPr>
          <w:rFonts w:hint="eastAsia" w:ascii="仿宋_GB2312" w:eastAsia="仿宋_GB2312"/>
          <w:sz w:val="32"/>
          <w:szCs w:val="32"/>
          <w:lang w:val="en-US" w:eastAsia="zh-CN"/>
        </w:rPr>
        <w:t>[2021]74号</w:t>
      </w:r>
      <w:r>
        <w:rPr>
          <w:rFonts w:hint="eastAsia" w:ascii="仿宋_GB2312" w:eastAsia="仿宋_GB2312"/>
          <w:sz w:val="32"/>
          <w:szCs w:val="32"/>
          <w:lang w:eastAsia="zh-CN"/>
        </w:rPr>
        <w:t>）</w:t>
      </w:r>
      <w:r>
        <w:rPr>
          <w:rFonts w:hint="eastAsia" w:ascii="仿宋_GB2312"/>
          <w:sz w:val="32"/>
          <w:szCs w:val="32"/>
          <w:lang w:eastAsia="zh-CN"/>
        </w:rPr>
        <w:t>确立了我县</w:t>
      </w:r>
      <w:r>
        <w:rPr>
          <w:rFonts w:hint="eastAsia" w:ascii="仿宋_GB2312"/>
          <w:sz w:val="32"/>
          <w:szCs w:val="32"/>
          <w:lang w:val="en-US" w:eastAsia="zh-CN"/>
        </w:rPr>
        <w:t>2021年任务户数及资金量。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3.为规范资金使用，我局在制发的方案中进行了明确规定和要求，</w:t>
      </w:r>
      <w:r>
        <w:rPr>
          <w:rFonts w:hint="eastAsia" w:ascii="仿宋_GB2312" w:hAnsi="Times New Roman" w:eastAsia="仿宋_GB2312" w:cs="Times New Roman"/>
          <w:b/>
          <w:bCs/>
          <w:sz w:val="32"/>
          <w:szCs w:val="32"/>
          <w:lang w:val="en-US" w:eastAsia="zh-CN"/>
        </w:rPr>
        <w:t>一是</w:t>
      </w:r>
      <w:r>
        <w:rPr>
          <w:rFonts w:hint="eastAsia" w:ascii="仿宋_GB2312" w:hAnsi="Times New Roman" w:eastAsia="仿宋_GB2312" w:cs="Times New Roman"/>
          <w:sz w:val="32"/>
          <w:szCs w:val="32"/>
          <w:lang w:val="en-US" w:eastAsia="zh-CN"/>
        </w:rPr>
        <w:t>严格按照道资金相关管理条例及管理办法，实行项目、资金管理部门和项目实施单位法人代表责任制，层层落实责任，确保专款专用，禁止挪用、挤占和截留现象的发生</w:t>
      </w:r>
      <w:r>
        <w:rPr>
          <w:rFonts w:hint="default" w:ascii="仿宋_GB2312" w:cs="Times New Roman"/>
          <w:sz w:val="32"/>
          <w:szCs w:val="32"/>
          <w:lang w:eastAsia="zh-CN"/>
        </w:rPr>
        <w:t>；</w:t>
      </w:r>
      <w:r>
        <w:rPr>
          <w:rFonts w:hint="default" w:ascii="仿宋_GB2312" w:cs="Times New Roman"/>
          <w:b/>
          <w:bCs/>
          <w:sz w:val="32"/>
          <w:szCs w:val="32"/>
          <w:lang w:eastAsia="zh-CN"/>
        </w:rPr>
        <w:t>二是</w:t>
      </w:r>
      <w:r>
        <w:rPr>
          <w:rFonts w:hint="eastAsia" w:ascii="仿宋_GB2312" w:hAnsi="Times New Roman" w:eastAsia="仿宋_GB2312" w:cs="Times New Roman"/>
          <w:sz w:val="32"/>
          <w:szCs w:val="32"/>
          <w:lang w:val="en-US" w:eastAsia="zh-CN"/>
        </w:rPr>
        <w:t>建立专项资金使用公示制。按照公开、公平、公正的原则进行</w:t>
      </w:r>
      <w:r>
        <w:rPr>
          <w:rFonts w:hint="eastAsia" w:ascii="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仿宋_GB2312" w:hAnsi="宋体" w:eastAsia="仿宋_GB2312"/>
          <w:lang w:eastAsia="zh-CN"/>
        </w:rPr>
      </w:pPr>
      <w:r>
        <w:rPr>
          <w:rFonts w:hint="default" w:ascii="仿宋_GB2312" w:hAnsi="宋体"/>
          <w:lang w:eastAsia="zh-CN"/>
        </w:rPr>
        <w:t>4.</w:t>
      </w:r>
      <w:r>
        <w:rPr>
          <w:rFonts w:hint="default" w:ascii="仿宋_GB2312" w:cs="Times New Roman"/>
          <w:sz w:val="32"/>
          <w:szCs w:val="32"/>
          <w:lang w:eastAsia="zh-CN"/>
        </w:rPr>
        <w:t>严格按照</w:t>
      </w:r>
      <w:r>
        <w:rPr>
          <w:rFonts w:hint="eastAsia" w:ascii="仿宋_GB2312" w:eastAsia="仿宋_GB2312"/>
          <w:sz w:val="32"/>
          <w:szCs w:val="32"/>
          <w:lang w:eastAsia="zh-CN"/>
        </w:rPr>
        <w:t>阿坝州财政局、阿坝州住房和城乡建设局《关于下达</w:t>
      </w:r>
      <w:r>
        <w:rPr>
          <w:rFonts w:hint="eastAsia" w:ascii="仿宋_GB2312" w:eastAsia="仿宋_GB2312"/>
          <w:sz w:val="32"/>
          <w:szCs w:val="32"/>
          <w:lang w:val="en-US" w:eastAsia="zh-CN"/>
        </w:rPr>
        <w:t>2021年农村危房改造补助资金的通知</w:t>
      </w:r>
      <w:r>
        <w:rPr>
          <w:rFonts w:hint="eastAsia" w:ascii="仿宋_GB2312" w:eastAsia="仿宋_GB2312"/>
          <w:sz w:val="32"/>
          <w:szCs w:val="32"/>
          <w:lang w:eastAsia="zh-CN"/>
        </w:rPr>
        <w:t>》（阿州财建</w:t>
      </w:r>
      <w:r>
        <w:rPr>
          <w:rFonts w:hint="eastAsia" w:ascii="仿宋_GB2312" w:eastAsia="仿宋_GB2312"/>
          <w:sz w:val="32"/>
          <w:szCs w:val="32"/>
          <w:lang w:val="en-US" w:eastAsia="zh-CN"/>
        </w:rPr>
        <w:t>[2021]74号</w:t>
      </w:r>
      <w:r>
        <w:rPr>
          <w:rFonts w:hint="eastAsia" w:ascii="仿宋_GB2312" w:eastAsia="仿宋_GB2312"/>
          <w:sz w:val="32"/>
          <w:szCs w:val="32"/>
          <w:lang w:eastAsia="zh-CN"/>
        </w:rPr>
        <w:t>）</w:t>
      </w:r>
      <w:r>
        <w:rPr>
          <w:rFonts w:hint="default" w:ascii="仿宋_GB2312"/>
          <w:sz w:val="32"/>
          <w:szCs w:val="32"/>
          <w:lang w:eastAsia="zh-CN"/>
        </w:rPr>
        <w:t>文件精神要求，按照危房改造3万元/户、抗震加固改造1.8万元/户的到户补助标准通过“阳光惠民惠农审批平台”进行线上审批后由系统推送至“一卡通支付平台”拨付到实施户一卡通，确保了资金补助到户、补助到位。</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仿宋_GB2312"/>
          <w:b/>
          <w:bCs/>
          <w:sz w:val="32"/>
          <w:szCs w:val="32"/>
          <w:lang w:val="zh-CN" w:eastAsia="zh-CN"/>
        </w:rPr>
      </w:pPr>
      <w:r>
        <w:rPr>
          <w:rFonts w:hint="eastAsia" w:ascii="仿宋_GB2312"/>
          <w:b/>
          <w:bCs/>
          <w:sz w:val="32"/>
          <w:szCs w:val="32"/>
          <w:lang w:val="zh-CN" w:eastAsia="zh-CN"/>
        </w:rPr>
        <w:t>（二）项目绩效目标。</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仿宋_GB2312" w:hAnsi="宋体"/>
        </w:rPr>
      </w:pPr>
      <w:r>
        <w:rPr>
          <w:rFonts w:hint="eastAsia" w:ascii="仿宋_GB2312"/>
          <w:b/>
          <w:bCs/>
          <w:sz w:val="32"/>
          <w:szCs w:val="32"/>
          <w:lang w:val="zh-CN" w:eastAsia="zh-CN"/>
        </w:rPr>
        <w:t>1．项目主要内容</w:t>
      </w:r>
      <w:r>
        <w:rPr>
          <w:rFonts w:hint="default" w:ascii="仿宋_GB2312"/>
          <w:b/>
          <w:bCs/>
          <w:sz w:val="32"/>
          <w:szCs w:val="32"/>
          <w:lang w:eastAsia="zh-CN"/>
        </w:rPr>
        <w:t>：</w:t>
      </w:r>
      <w:r>
        <w:rPr>
          <w:rFonts w:hint="eastAsia" w:ascii="仿宋_GB2312"/>
          <w:sz w:val="32"/>
          <w:szCs w:val="32"/>
          <w:lang w:val="en-US" w:eastAsia="zh-CN"/>
        </w:rPr>
        <w:t>按</w:t>
      </w:r>
      <w:r>
        <w:rPr>
          <w:rFonts w:hint="eastAsia" w:ascii="仿宋_GB2312" w:hAnsi="Times New Roman" w:eastAsia="仿宋_GB2312" w:cs="Times New Roman"/>
          <w:bCs/>
          <w:sz w:val="32"/>
          <w:szCs w:val="32"/>
          <w:lang w:val="en-US" w:eastAsia="zh-CN"/>
        </w:rPr>
        <w:t>照</w:t>
      </w:r>
      <w:r>
        <w:rPr>
          <w:rFonts w:hint="eastAsia" w:ascii="仿宋_GB2312" w:eastAsia="仿宋_GB2312"/>
          <w:sz w:val="32"/>
          <w:szCs w:val="32"/>
          <w:lang w:eastAsia="zh-CN"/>
        </w:rPr>
        <w:t>阿坝州住房和城乡建设局《关于正式下达</w:t>
      </w:r>
      <w:r>
        <w:rPr>
          <w:rFonts w:hint="eastAsia" w:ascii="仿宋_GB2312" w:eastAsia="仿宋_GB2312"/>
          <w:sz w:val="32"/>
          <w:szCs w:val="32"/>
          <w:lang w:val="en-US" w:eastAsia="zh-CN"/>
        </w:rPr>
        <w:t>2021年农村危房改造目标任务的通知</w:t>
      </w:r>
      <w:r>
        <w:rPr>
          <w:rFonts w:hint="eastAsia" w:ascii="仿宋_GB2312" w:eastAsia="仿宋_GB2312"/>
          <w:sz w:val="32"/>
          <w:szCs w:val="32"/>
          <w:lang w:eastAsia="zh-CN"/>
        </w:rPr>
        <w:t>》（阿州住建发</w:t>
      </w:r>
      <w:r>
        <w:rPr>
          <w:rFonts w:hint="eastAsia" w:ascii="仿宋_GB2312" w:eastAsia="仿宋_GB2312"/>
          <w:sz w:val="32"/>
          <w:szCs w:val="32"/>
          <w:lang w:val="en-US" w:eastAsia="zh-CN"/>
        </w:rPr>
        <w:t>[2021]210号</w:t>
      </w:r>
      <w:r>
        <w:rPr>
          <w:rFonts w:hint="eastAsia" w:ascii="仿宋_GB2312" w:eastAsia="仿宋_GB2312"/>
          <w:sz w:val="32"/>
          <w:szCs w:val="32"/>
          <w:lang w:eastAsia="zh-CN"/>
        </w:rPr>
        <w:t>）下达的任务数，我</w:t>
      </w:r>
      <w:r>
        <w:rPr>
          <w:rFonts w:hint="eastAsia" w:ascii="仿宋_GB2312" w:hAnsi="Times New Roman" w:eastAsia="仿宋_GB2312" w:cs="Times New Roman"/>
          <w:bCs/>
          <w:sz w:val="32"/>
          <w:szCs w:val="32"/>
          <w:lang w:val="en-US" w:eastAsia="zh-CN"/>
        </w:rPr>
        <w:t>县</w:t>
      </w:r>
      <w:r>
        <w:rPr>
          <w:rFonts w:hint="eastAsia" w:ascii="仿宋_GB2312" w:eastAsia="仿宋_GB2312"/>
          <w:sz w:val="32"/>
          <w:szCs w:val="32"/>
          <w:lang w:val="en-US" w:eastAsia="zh-CN"/>
        </w:rPr>
        <w:t>2021年农村低收入群体住房安全保障项目分</w:t>
      </w:r>
      <w:r>
        <w:rPr>
          <w:rFonts w:hint="eastAsia" w:ascii="仿宋_GB2312" w:hAnsi="Times New Roman" w:eastAsia="仿宋_GB2312" w:cs="Times New Roman"/>
          <w:bCs/>
          <w:sz w:val="32"/>
          <w:szCs w:val="32"/>
          <w:lang w:val="en-US" w:eastAsia="zh-CN"/>
        </w:rPr>
        <w:t>为农村低收入群体住房安全保障4户，户均补助3万元和未达到7度抗震设防加固改造150户，户均补助1.8万元。资金来源为：中央资金12万元，省级资金270万元，要求在任务总量不变的前提下，按照农户贫困程度、房屋危险程度、改造方式、改造内容、改造成本等具体确定分类分档到户补助标准。各乡镇具体实施户为：龙日镇21户抗震加固改造及3户危房改造，刷经寺镇1户危房改造，江茸乡23户抗震加固改造，瓦切镇47户抗震加固改造，色地镇44户抗震加固改造，查尔玛乡14户抗震加固改造。</w:t>
      </w:r>
    </w:p>
    <w:p>
      <w:pPr>
        <w:ind w:firstLine="537" w:firstLineChars="168"/>
        <w:rPr>
          <w:rFonts w:hint="default" w:ascii="仿宋_GB2312" w:hAnsi="宋体"/>
        </w:rPr>
      </w:pPr>
      <w:r>
        <w:rPr>
          <w:rFonts w:hint="eastAsia" w:ascii="仿宋_GB2312" w:hAnsi="Times New Roman" w:eastAsia="仿宋_GB2312" w:cs="Times New Roman"/>
          <w:bCs/>
          <w:sz w:val="32"/>
          <w:szCs w:val="32"/>
          <w:lang w:val="zh-CN" w:eastAsia="zh-CN"/>
        </w:rPr>
        <w:t>2．项目应实现的具体绩效目标，包括目标的量化、细化情况以及项目实施进度计划等</w:t>
      </w:r>
      <w:r>
        <w:rPr>
          <w:rFonts w:hint="default" w:ascii="仿宋_GB2312" w:hAnsi="Times New Roman" w:eastAsia="仿宋_GB2312" w:cs="Times New Roman"/>
          <w:bCs/>
          <w:sz w:val="32"/>
          <w:szCs w:val="32"/>
          <w:lang w:val="en-US" w:eastAsia="zh-CN"/>
        </w:rPr>
        <w:t>：按照省、州任务目标，确保在2022年3月底前完成所有实施内容，一是明确</w:t>
      </w:r>
      <w:r>
        <w:rPr>
          <w:rFonts w:hint="eastAsia" w:ascii="仿宋_GB2312" w:eastAsia="仿宋_GB2312"/>
          <w:sz w:val="32"/>
          <w:szCs w:val="32"/>
          <w:lang w:eastAsia="zh-CN"/>
        </w:rPr>
        <w:t>各实施户是实现其住房安全的责任主体，按照“谁拥有负责、谁使用谁负责”的要求</w:t>
      </w:r>
      <w:r>
        <w:rPr>
          <w:rFonts w:hint="eastAsia" w:ascii="仿宋_GB2312" w:eastAsia="仿宋_GB2312"/>
          <w:sz w:val="32"/>
          <w:szCs w:val="32"/>
        </w:rPr>
        <w:t>充分尊重群众的主体地位，让群众参与、</w:t>
      </w:r>
      <w:r>
        <w:rPr>
          <w:rFonts w:hint="default" w:ascii="仿宋_GB2312"/>
          <w:sz w:val="32"/>
          <w:szCs w:val="32"/>
        </w:rPr>
        <w:t>规划</w:t>
      </w:r>
      <w:r>
        <w:rPr>
          <w:rFonts w:hint="eastAsia" w:ascii="仿宋_GB2312" w:eastAsia="仿宋_GB2312"/>
          <w:sz w:val="32"/>
          <w:szCs w:val="32"/>
        </w:rPr>
        <w:t>、选址、建设、管理全过程，确实保护群众的知情权、参与权、话语权。</w:t>
      </w:r>
      <w:r>
        <w:rPr>
          <w:rFonts w:hint="eastAsia" w:ascii="仿宋_GB2312" w:hAnsi="仿宋_GB2312" w:eastAsia="仿宋_GB2312" w:cs="仿宋_GB2312"/>
          <w:sz w:val="32"/>
          <w:szCs w:val="32"/>
          <w:lang w:eastAsia="zh-CN"/>
        </w:rPr>
        <w:t>针对专业性较强、实施工艺要求较高、统一组织能力要求较多的抗震加固改造项目，应采取统规统建的形式统一实施，确保抗震加固改造质量，达到提升抗震设防能力的作用</w:t>
      </w:r>
      <w:r>
        <w:rPr>
          <w:rFonts w:hint="default" w:ascii="仿宋_GB2312" w:hAnsi="仿宋_GB2312" w:cs="仿宋_GB2312"/>
          <w:sz w:val="32"/>
          <w:szCs w:val="32"/>
          <w:lang w:eastAsia="zh-CN"/>
        </w:rPr>
        <w:t>，</w:t>
      </w:r>
      <w:r>
        <w:rPr>
          <w:rFonts w:hint="eastAsia" w:ascii="仿宋_GB2312" w:eastAsia="仿宋_GB2312"/>
          <w:sz w:val="32"/>
          <w:szCs w:val="32"/>
        </w:rPr>
        <w:t>乡镇政府发挥统筹、组织和协调作用，</w:t>
      </w:r>
      <w:r>
        <w:rPr>
          <w:rFonts w:hint="eastAsia" w:ascii="仿宋_GB2312" w:eastAsia="仿宋_GB2312"/>
          <w:sz w:val="32"/>
          <w:szCs w:val="32"/>
          <w:lang w:eastAsia="zh-CN"/>
        </w:rPr>
        <w:t>积协助、配合</w:t>
      </w:r>
      <w:r>
        <w:rPr>
          <w:rFonts w:hint="default" w:ascii="仿宋_GB2312"/>
          <w:sz w:val="32"/>
          <w:szCs w:val="32"/>
          <w:lang w:eastAsia="zh-CN"/>
        </w:rPr>
        <w:t>；二是</w:t>
      </w:r>
      <w:r>
        <w:rPr>
          <w:rFonts w:hint="eastAsia" w:ascii="仿宋_GB2312" w:hAnsi="Times New Roman" w:eastAsia="仿宋_GB2312" w:cs="Times New Roman"/>
          <w:sz w:val="32"/>
          <w:szCs w:val="32"/>
          <w:lang w:eastAsia="zh-CN"/>
        </w:rPr>
        <w:t>由</w:t>
      </w:r>
      <w:r>
        <w:rPr>
          <w:rFonts w:hint="default" w:ascii="仿宋_GB2312" w:hAnsi="Times New Roman" w:cs="Times New Roman"/>
          <w:sz w:val="32"/>
          <w:szCs w:val="32"/>
          <w:lang w:eastAsia="zh-CN"/>
        </w:rPr>
        <w:t>我</w:t>
      </w:r>
      <w:r>
        <w:rPr>
          <w:rFonts w:hint="eastAsia" w:ascii="仿宋_GB2312" w:hAnsi="Times New Roman" w:eastAsia="仿宋_GB2312" w:cs="Times New Roman"/>
          <w:sz w:val="32"/>
          <w:szCs w:val="32"/>
          <w:lang w:eastAsia="zh-CN"/>
        </w:rPr>
        <w:t>局牵头各乡镇成立住房安全保障项目巡查小组，对各实施户的实施质量、进度等进行动态监管</w:t>
      </w:r>
      <w:r>
        <w:rPr>
          <w:rFonts w:hint="default" w:ascii="仿宋_GB2312" w:hAnsi="Times New Roman" w:cs="Times New Roman"/>
          <w:sz w:val="32"/>
          <w:szCs w:val="32"/>
          <w:lang w:eastAsia="zh-CN"/>
        </w:rPr>
        <w:t>，同时</w:t>
      </w:r>
      <w:r>
        <w:rPr>
          <w:rFonts w:hint="eastAsia" w:ascii="仿宋_GB2312" w:hAnsi="Times New Roman" w:eastAsia="仿宋_GB2312" w:cs="Times New Roman"/>
          <w:sz w:val="32"/>
          <w:szCs w:val="32"/>
          <w:lang w:eastAsia="zh-CN"/>
        </w:rPr>
        <w:t>各乡镇按照属地管理原则</w:t>
      </w:r>
      <w:r>
        <w:rPr>
          <w:rFonts w:hint="default" w:ascii="仿宋_GB2312" w:hAnsi="Times New Roman" w:cs="Times New Roman"/>
          <w:sz w:val="32"/>
          <w:szCs w:val="32"/>
          <w:lang w:eastAsia="zh-CN"/>
        </w:rPr>
        <w:t>强化</w:t>
      </w:r>
      <w:r>
        <w:rPr>
          <w:rFonts w:hint="eastAsia" w:ascii="仿宋_GB2312" w:hAnsi="Times New Roman" w:eastAsia="仿宋_GB2312" w:cs="Times New Roman"/>
          <w:sz w:val="32"/>
          <w:szCs w:val="32"/>
          <w:lang w:eastAsia="zh-CN"/>
        </w:rPr>
        <w:t>日常监管，充分发挥协调、沟通、桥梁作用</w:t>
      </w:r>
      <w:r>
        <w:rPr>
          <w:rFonts w:hint="default" w:ascii="仿宋_GB2312" w:hAnsi="Times New Roman" w:cs="Times New Roman"/>
          <w:sz w:val="32"/>
          <w:szCs w:val="32"/>
          <w:lang w:eastAsia="zh-CN"/>
        </w:rPr>
        <w:t>；三是按照既定任务完成时间实行工期倒排，</w:t>
      </w:r>
      <w:r>
        <w:rPr>
          <w:rFonts w:hint="eastAsia" w:ascii="仿宋_GB2312" w:hAnsi="仿宋_GB2312" w:eastAsia="仿宋_GB2312" w:cs="仿宋_GB2312"/>
          <w:sz w:val="32"/>
          <w:szCs w:val="32"/>
          <w:lang w:val="en-US" w:eastAsia="zh-CN"/>
        </w:rPr>
        <w:t>在实施过程中，</w:t>
      </w:r>
      <w:r>
        <w:rPr>
          <w:rFonts w:hint="eastAsia" w:ascii="仿宋_GB2312" w:hAnsi="仿宋_GB2312" w:cs="仿宋_GB2312"/>
          <w:sz w:val="32"/>
          <w:szCs w:val="32"/>
          <w:lang w:val="en-US" w:eastAsia="zh-CN"/>
        </w:rPr>
        <w:t>做到</w:t>
      </w:r>
      <w:r>
        <w:rPr>
          <w:rFonts w:hint="eastAsia" w:ascii="仿宋_GB2312" w:hAnsi="仿宋_GB2312" w:eastAsia="仿宋_GB2312" w:cs="仿宋_GB2312"/>
          <w:sz w:val="32"/>
          <w:szCs w:val="32"/>
          <w:lang w:val="en-US" w:eastAsia="zh-CN"/>
        </w:rPr>
        <w:t>精准到户，合理计划工期，定期检查、督促工作，</w:t>
      </w:r>
      <w:r>
        <w:rPr>
          <w:rFonts w:hint="eastAsia" w:ascii="仿宋_GB2312" w:hAnsi="仿宋_GB2312" w:cs="仿宋_GB2312"/>
          <w:sz w:val="32"/>
          <w:szCs w:val="32"/>
          <w:lang w:val="en-US" w:eastAsia="zh-CN"/>
        </w:rPr>
        <w:t>动态开展</w:t>
      </w:r>
      <w:r>
        <w:rPr>
          <w:rFonts w:hint="eastAsia" w:ascii="仿宋_GB2312" w:hAnsi="仿宋_GB2312" w:eastAsia="仿宋_GB2312" w:cs="仿宋_GB2312"/>
          <w:sz w:val="32"/>
          <w:szCs w:val="32"/>
          <w:lang w:val="en-US" w:eastAsia="zh-CN"/>
        </w:rPr>
        <w:t>项目</w:t>
      </w:r>
      <w:r>
        <w:rPr>
          <w:rFonts w:hint="eastAsia" w:ascii="仿宋_GB2312" w:hAnsi="仿宋_GB2312" w:cs="仿宋_GB2312"/>
          <w:sz w:val="32"/>
          <w:szCs w:val="32"/>
          <w:lang w:val="en-US" w:eastAsia="zh-CN"/>
        </w:rPr>
        <w:t>实施巡查</w:t>
      </w:r>
      <w:r>
        <w:rPr>
          <w:rFonts w:hint="eastAsia" w:ascii="仿宋_GB2312" w:hAnsi="仿宋_GB2312" w:eastAsia="仿宋_GB2312" w:cs="仿宋_GB2312"/>
          <w:sz w:val="32"/>
          <w:szCs w:val="32"/>
          <w:lang w:val="en-US" w:eastAsia="zh-CN"/>
        </w:rPr>
        <w:t>，及时发现和解决的问题，保证质量和进度</w:t>
      </w:r>
      <w:r>
        <w:rPr>
          <w:rFonts w:hint="eastAsia" w:ascii="仿宋_GB2312" w:hAnsi="仿宋_GB2312" w:cs="仿宋_GB2312"/>
          <w:sz w:val="32"/>
          <w:szCs w:val="32"/>
          <w:lang w:val="en-US" w:eastAsia="zh-CN"/>
        </w:rPr>
        <w:t>，</w:t>
      </w:r>
      <w:r>
        <w:rPr>
          <w:rFonts w:hint="default" w:ascii="仿宋_GB2312" w:hAnsi="Times New Roman" w:cs="Times New Roman"/>
          <w:sz w:val="32"/>
          <w:szCs w:val="32"/>
          <w:lang w:eastAsia="zh-CN"/>
        </w:rPr>
        <w:t>确保在规定时间</w:t>
      </w:r>
      <w:r>
        <w:rPr>
          <w:rFonts w:hint="eastAsia" w:ascii="仿宋_GB2312" w:hAnsi="Times New Roman" w:cs="Times New Roman"/>
          <w:sz w:val="32"/>
          <w:szCs w:val="32"/>
          <w:lang w:eastAsia="zh-CN"/>
        </w:rPr>
        <w:t>内保质保量完成所有实施内容。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ascii="仿宋_GB2312" w:hAnsi="宋体"/>
          <w:lang w:val="zh-CN"/>
        </w:rPr>
      </w:pPr>
      <w:r>
        <w:rPr>
          <w:rFonts w:hint="eastAsia" w:ascii="仿宋_GB2312" w:hAnsi="宋体"/>
          <w:lang w:val="zh-CN"/>
        </w:rPr>
        <w:t>3．</w:t>
      </w:r>
      <w:r>
        <w:rPr>
          <w:rFonts w:hint="eastAsia" w:ascii="仿宋" w:hAnsi="仿宋" w:eastAsia="仿宋" w:cs="仿宋"/>
          <w:sz w:val="32"/>
          <w:szCs w:val="32"/>
          <w:lang w:val="zh-CN" w:eastAsia="zh-CN"/>
        </w:rPr>
        <w:t>当前正值巩固脱贫攻坚成果同乡村振兴有效衔接的关键时候，</w:t>
      </w:r>
      <w:r>
        <w:rPr>
          <w:rFonts w:hint="eastAsia" w:ascii="仿宋" w:hAnsi="仿宋" w:eastAsia="仿宋" w:cs="仿宋"/>
          <w:sz w:val="32"/>
          <w:szCs w:val="32"/>
          <w:lang w:val="en-US" w:eastAsia="zh-CN"/>
        </w:rPr>
        <w:t>这个时候更要做好“回头看、回头帮”工作，确保“脱贫不脱政策”、“脱贫不脱帮扶”、“脱贫不脱项目”、“脱贫不脱监管”，确保住房安全保障，提升人民群众居住品质，落实“住有所居、居有所安”的目标，符合乡村振兴发展理念的要求。按照“分类推进、重点实施”的要求，以优先解决急需进行抗震加固和危房改造的户数为重点，分批分类逐步实施，持续推进我县低收入群体住房安全保障工作。此项目契合政策或项目实质，与部门的长期规划目标、年度工作目标相一致，产出和效果相关联。经了解该项目</w:t>
      </w:r>
      <w:r>
        <w:rPr>
          <w:rFonts w:hint="eastAsia" w:ascii="方正仿宋_GB2312" w:hAnsi="方正仿宋_GB2312" w:eastAsia="方正仿宋_GB2312" w:cs="方正仿宋_GB2312"/>
          <w:color w:val="auto"/>
          <w:kern w:val="2"/>
          <w:sz w:val="32"/>
          <w:szCs w:val="32"/>
          <w:lang w:val="en-US" w:eastAsia="zh-CN"/>
        </w:rPr>
        <w:t>实施符合群众需求，对该项目实施满意度较高。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（三）项目自评步骤及方法。</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kern w:val="2"/>
          <w:sz w:val="32"/>
          <w:szCs w:val="32"/>
          <w:lang w:val="zh-CN" w:eastAsia="zh-CN"/>
        </w:rPr>
      </w:pPr>
      <w:r>
        <w:rPr>
          <w:rFonts w:hint="eastAsia" w:ascii="方正仿宋_GB2312" w:hAnsi="方正仿宋_GB2312" w:eastAsia="方正仿宋_GB2312" w:cs="方正仿宋_GB2312"/>
          <w:color w:val="auto"/>
          <w:kern w:val="2"/>
          <w:sz w:val="32"/>
          <w:szCs w:val="32"/>
          <w:lang w:val="zh-CN" w:eastAsia="zh-CN"/>
        </w:rPr>
        <w:t>本项目采取自评与他评相结合方式，成立项目自评小组，结合评价内容，做到有计划，有安排，打实开展本次自评工作。按照上级下达的项目支出绩效评价指标体系，自评小组针对申报内容、实施情况、资金兑现、财务管理、社会效益等做出自我评价，认真听取实施户建议意见，做好自评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二、项目资金申报及使用情况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宋体" w:eastAsia="仿宋_GB2312"/>
          <w:sz w:val="32"/>
          <w:szCs w:val="32"/>
        </w:rPr>
      </w:pPr>
      <w:r>
        <w:rPr>
          <w:rFonts w:hint="eastAsia" w:ascii="方正仿宋_GB2312" w:hAnsi="方正仿宋_GB2312" w:eastAsia="方正仿宋_GB2312" w:cs="方正仿宋_GB2312"/>
          <w:color w:val="auto"/>
          <w:kern w:val="2"/>
          <w:sz w:val="32"/>
          <w:szCs w:val="32"/>
          <w:lang w:val="zh-CN" w:eastAsia="zh-CN"/>
        </w:rPr>
        <w:t>该项目资金来源渠道为</w:t>
      </w:r>
      <w:r>
        <w:rPr>
          <w:rFonts w:hint="eastAsia" w:ascii="方正仿宋_GB2312" w:hAnsi="方正仿宋_GB2312" w:eastAsia="方正仿宋_GB2312" w:cs="方正仿宋_GB2312"/>
          <w:color w:val="auto"/>
          <w:kern w:val="2"/>
          <w:sz w:val="32"/>
          <w:szCs w:val="32"/>
          <w:lang w:val="en-US" w:eastAsia="zh-CN"/>
        </w:rPr>
        <w:t>：中央资金12万元，省级资</w:t>
      </w:r>
      <w:r>
        <w:rPr>
          <w:rFonts w:hint="eastAsia" w:ascii="仿宋_GB2312" w:hAnsi="Times New Roman" w:eastAsia="仿宋_GB2312" w:cs="Times New Roman"/>
          <w:bCs/>
          <w:sz w:val="32"/>
          <w:szCs w:val="32"/>
          <w:lang w:val="en-US" w:eastAsia="zh-CN"/>
        </w:rPr>
        <w:t>金270万元，</w:t>
      </w:r>
      <w:r>
        <w:rPr>
          <w:rFonts w:hint="eastAsia" w:ascii="仿宋_GB2312" w:hAnsi="宋体" w:eastAsia="仿宋_GB2312"/>
          <w:sz w:val="32"/>
          <w:szCs w:val="32"/>
          <w:lang w:eastAsia="zh-CN"/>
        </w:rPr>
        <w:t>筹资渠道符合法律法规规定，筹资结构合理</w:t>
      </w:r>
      <w:r>
        <w:rPr>
          <w:rFonts w:hint="eastAsia" w:ascii="仿宋_GB2312" w:hAnsi="宋体"/>
          <w:sz w:val="32"/>
          <w:szCs w:val="32"/>
          <w:lang w:eastAsia="zh-CN"/>
        </w:rPr>
        <w:t>，符合资金管理办法等相关规定。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（二）资金计划、到位及使用情况（可用表格形式反映）。</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方正仿宋_GB2312" w:hAnsi="方正仿宋_GB2312" w:eastAsia="方正仿宋_GB2312" w:cs="方正仿宋_GB2312"/>
          <w:color w:val="auto"/>
          <w:kern w:val="2"/>
          <w:sz w:val="32"/>
          <w:szCs w:val="32"/>
          <w:lang w:val="en-US" w:eastAsia="zh-CN"/>
        </w:rPr>
      </w:pPr>
      <w:r>
        <w:rPr>
          <w:rFonts w:hint="eastAsia" w:ascii="方正仿宋_GB2312" w:hAnsi="方正仿宋_GB2312" w:eastAsia="方正仿宋_GB2312" w:cs="方正仿宋_GB2312"/>
          <w:color w:val="auto"/>
          <w:kern w:val="2"/>
          <w:sz w:val="32"/>
          <w:szCs w:val="32"/>
          <w:lang w:val="zh-CN" w:eastAsia="zh-CN"/>
        </w:rPr>
        <w:t>1．资金计划。</w:t>
      </w:r>
      <w:r>
        <w:rPr>
          <w:rFonts w:hint="eastAsia" w:ascii="方正仿宋_GB2312" w:hAnsi="方正仿宋_GB2312" w:eastAsia="方正仿宋_GB2312" w:cs="方正仿宋_GB2312"/>
          <w:color w:val="auto"/>
          <w:kern w:val="2"/>
          <w:sz w:val="32"/>
          <w:szCs w:val="32"/>
          <w:lang w:val="en-US" w:eastAsia="zh-CN"/>
        </w:rPr>
        <w:t>2021年度我县农村危房改造和抗震加固改造共预算资金282万元。</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方正仿宋_GB2312" w:hAnsi="方正仿宋_GB2312" w:eastAsia="方正仿宋_GB2312" w:cs="方正仿宋_GB2312"/>
          <w:color w:val="auto"/>
          <w:kern w:val="2"/>
          <w:sz w:val="32"/>
          <w:szCs w:val="32"/>
          <w:lang w:val="en-US" w:eastAsia="zh-CN"/>
        </w:rPr>
      </w:pPr>
      <w:r>
        <w:rPr>
          <w:rFonts w:hint="eastAsia" w:ascii="方正仿宋_GB2312" w:hAnsi="方正仿宋_GB2312" w:eastAsia="方正仿宋_GB2312" w:cs="方正仿宋_GB2312"/>
          <w:color w:val="auto"/>
          <w:kern w:val="2"/>
          <w:sz w:val="32"/>
          <w:szCs w:val="32"/>
          <w:lang w:val="zh-CN" w:eastAsia="zh-CN"/>
        </w:rPr>
        <w:t>2．资金到位。</w:t>
      </w:r>
      <w:r>
        <w:rPr>
          <w:rFonts w:hint="eastAsia" w:ascii="方正仿宋_GB2312" w:hAnsi="方正仿宋_GB2312" w:eastAsia="方正仿宋_GB2312" w:cs="方正仿宋_GB2312"/>
          <w:color w:val="auto"/>
          <w:kern w:val="2"/>
          <w:sz w:val="32"/>
          <w:szCs w:val="32"/>
          <w:lang w:val="en-US" w:eastAsia="zh-CN"/>
        </w:rPr>
        <w:t>2021年8月</w:t>
      </w:r>
      <w:r>
        <w:rPr>
          <w:rFonts w:hint="eastAsia" w:ascii="方正仿宋_GB2312" w:hAnsi="方正仿宋_GB2312" w:eastAsia="方正仿宋_GB2312" w:cs="方正仿宋_GB2312"/>
          <w:color w:val="auto"/>
          <w:kern w:val="2"/>
          <w:sz w:val="32"/>
          <w:szCs w:val="32"/>
          <w:lang w:val="zh-CN" w:eastAsia="zh-CN"/>
        </w:rPr>
        <w:t>阿坝州财政局、阿坝州住房和城乡建设局《关于下达</w:t>
      </w:r>
      <w:r>
        <w:rPr>
          <w:rFonts w:hint="eastAsia" w:ascii="方正仿宋_GB2312" w:hAnsi="方正仿宋_GB2312" w:eastAsia="方正仿宋_GB2312" w:cs="方正仿宋_GB2312"/>
          <w:color w:val="auto"/>
          <w:kern w:val="2"/>
          <w:sz w:val="32"/>
          <w:szCs w:val="32"/>
          <w:lang w:val="en-US" w:eastAsia="zh-CN"/>
        </w:rPr>
        <w:t>2021年农村危房改造补助资金的通知</w:t>
      </w:r>
      <w:r>
        <w:rPr>
          <w:rFonts w:hint="eastAsia" w:ascii="方正仿宋_GB2312" w:hAnsi="方正仿宋_GB2312" w:eastAsia="方正仿宋_GB2312" w:cs="方正仿宋_GB2312"/>
          <w:color w:val="auto"/>
          <w:kern w:val="2"/>
          <w:sz w:val="32"/>
          <w:szCs w:val="32"/>
          <w:lang w:val="zh-CN" w:eastAsia="zh-CN"/>
        </w:rPr>
        <w:t>》（阿州财建</w:t>
      </w:r>
      <w:r>
        <w:rPr>
          <w:rFonts w:hint="eastAsia" w:ascii="方正仿宋_GB2312" w:hAnsi="方正仿宋_GB2312" w:eastAsia="方正仿宋_GB2312" w:cs="方正仿宋_GB2312"/>
          <w:color w:val="auto"/>
          <w:kern w:val="2"/>
          <w:sz w:val="32"/>
          <w:szCs w:val="32"/>
          <w:lang w:val="en-US" w:eastAsia="zh-CN"/>
        </w:rPr>
        <w:t>[2021]74号</w:t>
      </w:r>
      <w:r>
        <w:rPr>
          <w:rFonts w:hint="eastAsia" w:ascii="方正仿宋_GB2312" w:hAnsi="方正仿宋_GB2312" w:eastAsia="方正仿宋_GB2312" w:cs="方正仿宋_GB2312"/>
          <w:color w:val="auto"/>
          <w:kern w:val="2"/>
          <w:sz w:val="32"/>
          <w:szCs w:val="32"/>
          <w:lang w:val="zh-CN" w:eastAsia="zh-CN"/>
        </w:rPr>
        <w:t>）文件，资金已到位。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方正仿宋_GB2312" w:hAnsi="方正仿宋_GB2312" w:eastAsia="方正仿宋_GB2312" w:cs="方正仿宋_GB2312"/>
          <w:color w:val="auto"/>
          <w:kern w:val="2"/>
          <w:sz w:val="32"/>
          <w:szCs w:val="32"/>
          <w:lang w:val="en-US" w:eastAsia="zh-CN"/>
        </w:rPr>
      </w:pPr>
      <w:r>
        <w:rPr>
          <w:rFonts w:hint="eastAsia" w:ascii="方正仿宋_GB2312" w:hAnsi="方正仿宋_GB2312" w:eastAsia="方正仿宋_GB2312" w:cs="方正仿宋_GB2312"/>
          <w:color w:val="auto"/>
          <w:kern w:val="2"/>
          <w:sz w:val="32"/>
          <w:szCs w:val="32"/>
          <w:lang w:val="zh-CN" w:eastAsia="zh-CN"/>
        </w:rPr>
        <w:t>3．资金使用。截止</w:t>
      </w:r>
      <w:r>
        <w:rPr>
          <w:rFonts w:hint="eastAsia" w:ascii="方正仿宋_GB2312" w:hAnsi="方正仿宋_GB2312" w:eastAsia="方正仿宋_GB2312" w:cs="方正仿宋_GB2312"/>
          <w:color w:val="auto"/>
          <w:kern w:val="2"/>
          <w:sz w:val="32"/>
          <w:szCs w:val="32"/>
          <w:lang w:val="en-US" w:eastAsia="zh-CN"/>
        </w:rPr>
        <w:t>2022年8月，危房改造资金共拨付9万元，抗震加固改造资金共拨付185.6万元，合计拨付194.6万元。未拨付资金为1户危房改造验收未通过，现已整改完成，预计2022年8月内拨付；48户抗震加固改造验收未通过，现已整改完成，预计2022年8月完成拨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（三）项目财务管理情况。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kern w:val="2"/>
          <w:sz w:val="32"/>
          <w:szCs w:val="32"/>
          <w:lang w:val="zh-CN" w:eastAsia="zh-CN"/>
        </w:rPr>
      </w:pPr>
      <w:r>
        <w:rPr>
          <w:rFonts w:hint="eastAsia" w:ascii="方正仿宋_GB2312" w:hAnsi="方正仿宋_GB2312" w:eastAsia="方正仿宋_GB2312" w:cs="方正仿宋_GB2312"/>
          <w:color w:val="auto"/>
          <w:kern w:val="2"/>
          <w:sz w:val="32"/>
          <w:szCs w:val="32"/>
          <w:lang w:val="zh-CN" w:eastAsia="zh-CN"/>
        </w:rPr>
        <w:t>所有实施户信息按照要求录入“</w:t>
      </w:r>
      <w:r>
        <w:rPr>
          <w:rFonts w:hint="eastAsia" w:ascii="方正仿宋_GB2312" w:hAnsi="方正仿宋_GB2312" w:eastAsia="方正仿宋_GB2312" w:cs="方正仿宋_GB2312"/>
          <w:color w:val="auto"/>
          <w:kern w:val="2"/>
          <w:sz w:val="32"/>
          <w:szCs w:val="32"/>
          <w:lang w:val="en-US" w:eastAsia="zh-CN"/>
        </w:rPr>
        <w:t>四川省惠民惠农公共服务网</w:t>
      </w:r>
      <w:r>
        <w:rPr>
          <w:rFonts w:hint="eastAsia" w:ascii="方正仿宋_GB2312" w:hAnsi="方正仿宋_GB2312" w:eastAsia="方正仿宋_GB2312" w:cs="方正仿宋_GB2312"/>
          <w:color w:val="auto"/>
          <w:kern w:val="2"/>
          <w:sz w:val="32"/>
          <w:szCs w:val="32"/>
          <w:lang w:val="zh-CN" w:eastAsia="zh-CN"/>
        </w:rPr>
        <w:t>”与</w:t>
      </w:r>
      <w:r>
        <w:rPr>
          <w:rFonts w:hint="eastAsia" w:ascii="方正仿宋_GB2312" w:hAnsi="方正仿宋_GB2312" w:eastAsia="方正仿宋_GB2312" w:cs="方正仿宋_GB2312"/>
          <w:color w:val="auto"/>
          <w:kern w:val="2"/>
          <w:sz w:val="32"/>
          <w:szCs w:val="32"/>
          <w:lang w:val="en-US" w:eastAsia="zh-CN"/>
        </w:rPr>
        <w:t>“四川省惠民惠农财政补贴项目资格审批基础支撑平台”，录入完成后进入“一卡通”补助资金拨付程序，</w:t>
      </w:r>
      <w:r>
        <w:rPr>
          <w:rFonts w:hint="eastAsia" w:ascii="方正仿宋_GB2312" w:hAnsi="方正仿宋_GB2312" w:eastAsia="方正仿宋_GB2312" w:cs="方正仿宋_GB2312"/>
          <w:color w:val="auto"/>
          <w:kern w:val="2"/>
          <w:sz w:val="32"/>
          <w:szCs w:val="32"/>
          <w:lang w:val="zh-CN" w:eastAsia="zh-CN"/>
        </w:rPr>
        <w:t>严格按照项目资金管理办法对资金进行计划申请、划拨、使用，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kern w:val="2"/>
          <w:sz w:val="32"/>
          <w:szCs w:val="32"/>
          <w:lang w:val="zh-CN" w:eastAsia="zh-CN"/>
        </w:rPr>
      </w:pPr>
      <w:r>
        <w:rPr>
          <w:rFonts w:hint="eastAsia" w:ascii="方正仿宋_GB2312" w:hAnsi="方正仿宋_GB2312" w:eastAsia="方正仿宋_GB2312" w:cs="方正仿宋_GB2312"/>
          <w:color w:val="auto"/>
          <w:kern w:val="2"/>
          <w:sz w:val="32"/>
          <w:szCs w:val="32"/>
          <w:lang w:val="zh-CN" w:eastAsia="zh-CN"/>
        </w:rPr>
        <w:t>及时、规范对收支进行账务处理和会计核算。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三、项目实施及管理情况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kern w:val="2"/>
          <w:sz w:val="32"/>
          <w:szCs w:val="32"/>
          <w:lang w:val="zh-CN" w:eastAsia="zh-CN"/>
        </w:rPr>
      </w:pPr>
      <w:r>
        <w:rPr>
          <w:rFonts w:hint="eastAsia" w:ascii="方正仿宋_GB2312" w:hAnsi="方正仿宋_GB2312" w:eastAsia="方正仿宋_GB2312" w:cs="方正仿宋_GB2312"/>
          <w:color w:val="auto"/>
          <w:kern w:val="2"/>
          <w:sz w:val="32"/>
          <w:szCs w:val="32"/>
          <w:lang w:val="zh-CN" w:eastAsia="zh-CN"/>
        </w:rPr>
        <w:t>结合项目组织实施管理办法，重点围绕以下内容进行分析评价，并对自评中发现的问题分析说明。</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项目组织架构及实施流程。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kern w:val="2"/>
          <w:sz w:val="32"/>
          <w:szCs w:val="32"/>
          <w:lang w:val="en-US" w:eastAsia="zh-CN"/>
        </w:rPr>
      </w:pPr>
      <w:r>
        <w:rPr>
          <w:rFonts w:hint="eastAsia" w:ascii="方正仿宋_GB2312" w:hAnsi="方正仿宋_GB2312" w:eastAsia="方正仿宋_GB2312" w:cs="方正仿宋_GB2312"/>
          <w:color w:val="auto"/>
          <w:kern w:val="2"/>
          <w:sz w:val="32"/>
          <w:szCs w:val="32"/>
          <w:lang w:val="en-US" w:eastAsia="zh-CN"/>
        </w:rPr>
        <w:t>成立项目实施领导小组和项目监督领导小组。项目实施领导小组负责项目的整体运行，部门协调，监督检查，并解决项目建设中的问题，为项目的顺利实施和项目的验收工作提供组织保证。</w:t>
      </w:r>
    </w:p>
    <w:p>
      <w:pPr>
        <w:keepNext w:val="0"/>
        <w:keepLines w:val="0"/>
        <w:pageBreakBefore w:val="0"/>
        <w:widowControl w:val="0"/>
        <w:kinsoku/>
        <w:wordWrap/>
        <w:overflowPunct/>
        <w:topLinePunct w:val="0"/>
        <w:autoSpaceDE/>
        <w:autoSpaceDN/>
        <w:bidi w:val="0"/>
        <w:spacing w:after="0" w:line="520" w:lineRule="exact"/>
        <w:ind w:firstLine="643" w:firstLineChars="200"/>
        <w:jc w:val="both"/>
        <w:textAlignment w:val="auto"/>
        <w:rPr>
          <w:rFonts w:ascii="仿宋_GB2312" w:eastAsia="仿宋_GB2312"/>
          <w:b/>
          <w:bCs/>
          <w:color w:val="000000"/>
          <w:sz w:val="32"/>
          <w:szCs w:val="32"/>
        </w:rPr>
      </w:pPr>
      <w:r>
        <w:rPr>
          <w:rFonts w:hint="eastAsia" w:ascii="仿宋_GB2312" w:eastAsia="仿宋_GB2312"/>
          <w:b/>
          <w:bCs/>
          <w:color w:val="000000"/>
          <w:sz w:val="32"/>
          <w:szCs w:val="32"/>
        </w:rPr>
        <w:t>项目实施领导小组：</w:t>
      </w:r>
    </w:p>
    <w:p>
      <w:pPr>
        <w:keepNext w:val="0"/>
        <w:keepLines w:val="0"/>
        <w:pageBreakBefore w:val="0"/>
        <w:widowControl w:val="0"/>
        <w:kinsoku/>
        <w:wordWrap/>
        <w:overflowPunct/>
        <w:topLinePunct w:val="0"/>
        <w:autoSpaceDE/>
        <w:autoSpaceDN/>
        <w:bidi w:val="0"/>
        <w:spacing w:after="0" w:line="520" w:lineRule="exact"/>
        <w:ind w:firstLine="1280" w:firstLineChars="4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组  长：</w:t>
      </w:r>
      <w:r>
        <w:rPr>
          <w:rFonts w:hint="eastAsia" w:ascii="仿宋_GB2312" w:hAnsi="仿宋_GB2312" w:eastAsia="仿宋_GB2312" w:cs="仿宋_GB2312"/>
          <w:color w:val="auto"/>
          <w:sz w:val="32"/>
          <w:szCs w:val="32"/>
          <w:lang w:eastAsia="zh-CN"/>
        </w:rPr>
        <w:t>杨</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彬</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住建局局长</w:t>
      </w:r>
    </w:p>
    <w:p>
      <w:pPr>
        <w:keepNext w:val="0"/>
        <w:keepLines w:val="0"/>
        <w:pageBreakBefore w:val="0"/>
        <w:widowControl w:val="0"/>
        <w:kinsoku/>
        <w:wordWrap/>
        <w:overflowPunct/>
        <w:topLinePunct w:val="0"/>
        <w:autoSpaceDE/>
        <w:autoSpaceDN/>
        <w:bidi w:val="0"/>
        <w:spacing w:after="0" w:line="520" w:lineRule="exact"/>
        <w:ind w:firstLine="1280" w:firstLineChars="400"/>
        <w:jc w:val="both"/>
        <w:textAlignment w:val="auto"/>
      </w:pPr>
      <w:r>
        <w:rPr>
          <w:rFonts w:hint="eastAsia" w:ascii="仿宋_GB2312" w:hAnsi="仿宋_GB2312" w:eastAsia="仿宋_GB2312" w:cs="仿宋_GB2312"/>
          <w:color w:val="auto"/>
          <w:sz w:val="32"/>
          <w:szCs w:val="32"/>
        </w:rPr>
        <w:t>副组长：</w:t>
      </w:r>
      <w:r>
        <w:rPr>
          <w:rFonts w:hint="eastAsia" w:ascii="仿宋_GB2312" w:hAnsi="仿宋_GB2312" w:eastAsia="仿宋_GB2312" w:cs="仿宋_GB2312"/>
          <w:color w:val="auto"/>
          <w:sz w:val="32"/>
          <w:szCs w:val="32"/>
          <w:lang w:eastAsia="zh-CN"/>
        </w:rPr>
        <w:t>俄邓学</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住建局副局长</w:t>
      </w:r>
    </w:p>
    <w:p>
      <w:pPr>
        <w:keepNext w:val="0"/>
        <w:keepLines w:val="0"/>
        <w:pageBreakBefore w:val="0"/>
        <w:widowControl w:val="0"/>
        <w:kinsoku/>
        <w:wordWrap/>
        <w:overflowPunct/>
        <w:topLinePunct w:val="0"/>
        <w:autoSpaceDE/>
        <w:autoSpaceDN/>
        <w:bidi w:val="0"/>
        <w:spacing w:after="0" w:line="520" w:lineRule="exact"/>
        <w:ind w:firstLine="1280" w:firstLineChars="4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成  员：</w:t>
      </w:r>
      <w:r>
        <w:rPr>
          <w:rFonts w:hint="eastAsia" w:ascii="仿宋_GB2312" w:hAnsi="仿宋_GB2312" w:eastAsia="仿宋_GB2312" w:cs="仿宋_GB2312"/>
          <w:color w:val="auto"/>
          <w:sz w:val="32"/>
          <w:szCs w:val="32"/>
          <w:lang w:eastAsia="zh-CN"/>
        </w:rPr>
        <w:t>陈翔宇</w:t>
      </w:r>
      <w:r>
        <w:rPr>
          <w:rFonts w:hint="eastAsia" w:ascii="仿宋_GB2312" w:hAnsi="仿宋_GB2312" w:eastAsia="仿宋_GB2312" w:cs="仿宋_GB2312"/>
          <w:color w:val="auto"/>
          <w:sz w:val="32"/>
          <w:szCs w:val="32"/>
          <w:lang w:val="en-US" w:eastAsia="zh-CN"/>
        </w:rPr>
        <w:t xml:space="preserve">   建管股股长  </w:t>
      </w:r>
    </w:p>
    <w:p>
      <w:pPr>
        <w:keepNext w:val="0"/>
        <w:keepLines w:val="0"/>
        <w:pageBreakBefore w:val="0"/>
        <w:widowControl w:val="0"/>
        <w:kinsoku/>
        <w:wordWrap/>
        <w:overflowPunct/>
        <w:topLinePunct w:val="0"/>
        <w:autoSpaceDE/>
        <w:autoSpaceDN/>
        <w:bidi w:val="0"/>
        <w:spacing w:after="0" w:line="520" w:lineRule="exact"/>
        <w:ind w:firstLine="2560" w:firstLineChars="8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韩  皓   质监站站长</w:t>
      </w:r>
    </w:p>
    <w:p>
      <w:pPr>
        <w:keepNext w:val="0"/>
        <w:keepLines w:val="0"/>
        <w:pageBreakBefore w:val="0"/>
        <w:widowControl w:val="0"/>
        <w:kinsoku/>
        <w:wordWrap/>
        <w:overflowPunct/>
        <w:topLinePunct w:val="0"/>
        <w:autoSpaceDE/>
        <w:autoSpaceDN/>
        <w:bidi w:val="0"/>
        <w:spacing w:after="0" w:line="520" w:lineRule="exact"/>
        <w:ind w:firstLine="2560" w:firstLineChars="800"/>
        <w:jc w:val="both"/>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lang w:eastAsia="zh-CN"/>
        </w:rPr>
        <w:t>李</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洋</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具体负责人员</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spacing w:after="0" w:line="520" w:lineRule="exact"/>
        <w:ind w:firstLine="643" w:firstLineChars="200"/>
        <w:jc w:val="both"/>
        <w:textAlignment w:val="auto"/>
        <w:rPr>
          <w:rFonts w:ascii="仿宋_GB2312" w:hAnsi="仿宋" w:eastAsia="仿宋_GB2312" w:cs="仿宋_GB2312"/>
          <w:b/>
          <w:bCs/>
          <w:color w:val="auto"/>
          <w:sz w:val="32"/>
          <w:szCs w:val="32"/>
        </w:rPr>
      </w:pPr>
      <w:r>
        <w:rPr>
          <w:rFonts w:hint="eastAsia" w:ascii="仿宋_GB2312" w:hAnsi="仿宋" w:eastAsia="仿宋_GB2312" w:cs="仿宋_GB2312"/>
          <w:b/>
          <w:bCs/>
          <w:color w:val="auto"/>
          <w:sz w:val="32"/>
          <w:szCs w:val="32"/>
        </w:rPr>
        <w:t>项目监督领导小组：</w:t>
      </w:r>
    </w:p>
    <w:p>
      <w:pPr>
        <w:keepNext w:val="0"/>
        <w:keepLines w:val="0"/>
        <w:pageBreakBefore w:val="0"/>
        <w:widowControl w:val="0"/>
        <w:kinsoku/>
        <w:wordWrap/>
        <w:overflowPunct/>
        <w:topLinePunct w:val="0"/>
        <w:autoSpaceDE/>
        <w:autoSpaceDN/>
        <w:bidi w:val="0"/>
        <w:spacing w:after="0" w:line="520" w:lineRule="exact"/>
        <w:ind w:firstLine="1280" w:firstLineChars="4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组  长：</w:t>
      </w:r>
      <w:r>
        <w:rPr>
          <w:rFonts w:hint="eastAsia" w:ascii="仿宋_GB2312" w:hAnsi="仿宋_GB2312" w:eastAsia="仿宋_GB2312" w:cs="仿宋_GB2312"/>
          <w:color w:val="auto"/>
          <w:sz w:val="32"/>
          <w:szCs w:val="32"/>
          <w:lang w:val="en-US" w:eastAsia="zh-CN"/>
        </w:rPr>
        <w:t>冯  杨</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住建局副局长</w:t>
      </w:r>
    </w:p>
    <w:p>
      <w:pPr>
        <w:keepNext w:val="0"/>
        <w:keepLines w:val="0"/>
        <w:pageBreakBefore w:val="0"/>
        <w:widowControl w:val="0"/>
        <w:kinsoku/>
        <w:wordWrap/>
        <w:overflowPunct/>
        <w:topLinePunct w:val="0"/>
        <w:autoSpaceDE/>
        <w:autoSpaceDN/>
        <w:bidi w:val="0"/>
        <w:spacing w:after="0" w:line="520" w:lineRule="exact"/>
        <w:ind w:firstLine="1280" w:firstLineChars="4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副组长：</w:t>
      </w:r>
      <w:r>
        <w:rPr>
          <w:rFonts w:hint="eastAsia" w:ascii="仿宋_GB2312" w:hAnsi="仿宋_GB2312" w:eastAsia="仿宋_GB2312" w:cs="仿宋_GB2312"/>
          <w:color w:val="auto"/>
          <w:sz w:val="32"/>
          <w:szCs w:val="32"/>
          <w:lang w:val="en-US" w:eastAsia="zh-CN"/>
        </w:rPr>
        <w:t>阎  肃</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龙日镇副镇长</w:t>
      </w:r>
    </w:p>
    <w:p>
      <w:pPr>
        <w:keepNext w:val="0"/>
        <w:keepLines w:val="0"/>
        <w:pageBreakBefore w:val="0"/>
        <w:widowControl w:val="0"/>
        <w:kinsoku/>
        <w:wordWrap/>
        <w:overflowPunct/>
        <w:topLinePunct w:val="0"/>
        <w:autoSpaceDE/>
        <w:autoSpaceDN/>
        <w:bidi w:val="0"/>
        <w:spacing w:after="0" w:line="520" w:lineRule="exact"/>
        <w:ind w:firstLine="2240" w:firstLineChars="700"/>
        <w:jc w:val="both"/>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kern w:val="2"/>
          <w:sz w:val="32"/>
          <w:szCs w:val="32"/>
          <w:lang w:val="en-US" w:eastAsia="zh-CN"/>
        </w:rPr>
        <w:t>王书科   江茸乡副乡长</w:t>
      </w:r>
    </w:p>
    <w:p>
      <w:pPr>
        <w:keepNext w:val="0"/>
        <w:keepLines w:val="0"/>
        <w:pageBreakBefore w:val="0"/>
        <w:widowControl/>
        <w:kinsoku/>
        <w:wordWrap/>
        <w:overflowPunct/>
        <w:topLinePunct w:val="0"/>
        <w:autoSpaceDE/>
        <w:autoSpaceDN/>
        <w:bidi w:val="0"/>
        <w:adjustRightInd/>
        <w:snapToGrid/>
        <w:spacing w:after="0" w:afterAutospacing="0" w:line="520" w:lineRule="exact"/>
        <w:ind w:firstLine="2560" w:firstLineChars="800"/>
        <w:jc w:val="both"/>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王渊静   瓦切镇副镇长</w:t>
      </w:r>
    </w:p>
    <w:p>
      <w:pPr>
        <w:keepNext w:val="0"/>
        <w:keepLines w:val="0"/>
        <w:pageBreakBefore w:val="0"/>
        <w:widowControl/>
        <w:kinsoku/>
        <w:wordWrap/>
        <w:overflowPunct/>
        <w:topLinePunct w:val="0"/>
        <w:autoSpaceDE/>
        <w:autoSpaceDN/>
        <w:bidi w:val="0"/>
        <w:adjustRightInd/>
        <w:snapToGrid/>
        <w:spacing w:after="0" w:afterAutospacing="0" w:line="520" w:lineRule="exact"/>
        <w:ind w:firstLine="2560" w:firstLineChars="800"/>
        <w:jc w:val="both"/>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杨  虎   查尔玛乡专干</w:t>
      </w:r>
    </w:p>
    <w:p>
      <w:pPr>
        <w:keepNext w:val="0"/>
        <w:keepLines w:val="0"/>
        <w:pageBreakBefore w:val="0"/>
        <w:widowControl/>
        <w:kinsoku/>
        <w:wordWrap/>
        <w:overflowPunct/>
        <w:topLinePunct w:val="0"/>
        <w:autoSpaceDE/>
        <w:autoSpaceDN/>
        <w:bidi w:val="0"/>
        <w:adjustRightInd/>
        <w:snapToGrid/>
        <w:spacing w:after="0" w:afterAutospacing="0" w:line="520" w:lineRule="exact"/>
        <w:ind w:firstLine="2560" w:firstLineChars="800"/>
        <w:jc w:val="both"/>
        <w:textAlignment w:val="auto"/>
        <w:rPr>
          <w:rFonts w:hint="eastAsia" w:ascii="仿宋_GB2312" w:hAnsi="仿宋_GB2312" w:eastAsia="仿宋_GB2312" w:cs="仿宋_GB2312"/>
          <w:b w:val="0"/>
          <w:bCs w:val="0"/>
          <w:color w:val="auto"/>
          <w:kern w:val="2"/>
          <w:sz w:val="32"/>
          <w:szCs w:val="32"/>
          <w:lang w:val="en-US" w:eastAsia="zh-CN"/>
        </w:rPr>
      </w:pPr>
      <w:r>
        <w:rPr>
          <w:rFonts w:hint="eastAsia" w:ascii="仿宋_GB2312" w:hAnsi="仿宋_GB2312" w:eastAsia="仿宋_GB2312" w:cs="仿宋_GB2312"/>
          <w:b w:val="0"/>
          <w:bCs w:val="0"/>
          <w:color w:val="auto"/>
          <w:kern w:val="2"/>
          <w:sz w:val="32"/>
          <w:szCs w:val="32"/>
          <w:lang w:val="en-US" w:eastAsia="zh-CN"/>
        </w:rPr>
        <w:t>达  波   色地镇副镇长</w:t>
      </w:r>
    </w:p>
    <w:p>
      <w:pPr>
        <w:keepNext w:val="0"/>
        <w:keepLines w:val="0"/>
        <w:pageBreakBefore w:val="0"/>
        <w:widowControl/>
        <w:kinsoku/>
        <w:wordWrap/>
        <w:overflowPunct/>
        <w:topLinePunct w:val="0"/>
        <w:autoSpaceDE/>
        <w:autoSpaceDN/>
        <w:bidi w:val="0"/>
        <w:adjustRightInd/>
        <w:snapToGrid/>
        <w:spacing w:after="0" w:afterAutospacing="0" w:line="520" w:lineRule="exact"/>
        <w:ind w:firstLine="640" w:firstLineChars="200"/>
        <w:jc w:val="both"/>
        <w:textAlignment w:val="auto"/>
        <w:rPr>
          <w:rFonts w:hint="default" w:eastAsia="宋体"/>
          <w:lang w:val="en-US" w:eastAsia="zh-CN"/>
        </w:rPr>
      </w:pPr>
      <w:r>
        <w:rPr>
          <w:rFonts w:hint="eastAsia" w:ascii="仿宋_GB2312" w:hAnsi="仿宋_GB2312" w:eastAsia="仿宋_GB2312" w:cs="仿宋_GB2312"/>
          <w:b w:val="0"/>
          <w:bCs w:val="0"/>
          <w:kern w:val="2"/>
          <w:sz w:val="32"/>
          <w:szCs w:val="32"/>
          <w:lang w:val="en-US" w:eastAsia="zh-CN"/>
        </w:rPr>
        <w:t>项目监督领导小组主要负责监督项目实施、规范管理程序、资金使用拨付等工作。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（二）项目管理情况</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严格按照项目要求确保建设质量，杜绝随意改变项目计划和建设内容现象的发生，对实施户进行公示。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（三）项目监管情况</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在实施过程中，要做好精准到户工作，按照下一步工作实施要求，合理计划工期，定期检查、督促工作，经常深入项目工地了解情况，及时发现和解决的问题，保证质量和进度。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en-US" w:eastAsia="zh-CN"/>
        </w:rPr>
        <w:t>四、项目绩效情况</w:t>
      </w:r>
      <w:r>
        <w:rPr>
          <w:rFonts w:hint="eastAsia" w:ascii="仿宋_GB2312" w:hAnsi="仿宋_GB2312" w:eastAsia="仿宋_GB2312" w:cs="仿宋_GB2312"/>
          <w:b/>
          <w:bCs/>
          <w:sz w:val="32"/>
          <w:szCs w:val="32"/>
          <w:lang w:val="zh-CN"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（一）项目完成情况。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现该项目已完成全部建设内容，通过危房改造和抗震加固改造的实施，</w:t>
      </w:r>
      <w:r>
        <w:rPr>
          <w:rFonts w:hint="eastAsia" w:ascii="仿宋_GB2312" w:hAnsi="仿宋_GB2312" w:cs="仿宋_GB2312"/>
          <w:sz w:val="32"/>
          <w:szCs w:val="32"/>
          <w:lang w:val="zh-CN" w:eastAsia="zh-CN"/>
        </w:rPr>
        <w:t>保障了低收入群体的住房安全，满足了农房抗震性能，确保了生命财产安全。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（二）项目效益情况。</w:t>
      </w:r>
    </w:p>
    <w:p>
      <w:pPr>
        <w:keepNext w:val="0"/>
        <w:keepLines w:val="0"/>
        <w:pageBreakBefore w:val="0"/>
        <w:widowControl w:val="0"/>
        <w:kinsoku/>
        <w:wordWrap/>
        <w:overflowPunct/>
        <w:topLinePunct w:val="0"/>
        <w:autoSpaceDE/>
        <w:autoSpaceDN/>
        <w:bidi w:val="0"/>
        <w:spacing w:before="3" w:line="520" w:lineRule="exact"/>
        <w:ind w:left="25" w:right="47" w:firstLine="562"/>
        <w:textAlignment w:val="auto"/>
        <w:rPr>
          <w:rFonts w:hint="eastAsia" w:ascii="仿宋" w:hAnsi="仿宋" w:eastAsia="仿宋" w:cs="仿宋"/>
          <w:color w:val="000000"/>
          <w:kern w:val="0"/>
          <w:sz w:val="31"/>
          <w:szCs w:val="31"/>
          <w:lang w:val="en-US" w:eastAsia="zh-CN" w:bidi="ar"/>
        </w:rPr>
      </w:pPr>
      <w:r>
        <w:rPr>
          <w:rFonts w:hint="eastAsia" w:ascii="仿宋_GB2312" w:hAnsi="仿宋_GB2312" w:eastAsia="仿宋_GB2312" w:cs="仿宋_GB2312"/>
          <w:b/>
          <w:bCs/>
          <w:color w:val="auto"/>
          <w:sz w:val="32"/>
          <w:szCs w:val="32"/>
          <w:lang w:val="en-US" w:eastAsia="zh-CN"/>
        </w:rPr>
        <w:t>经济效益：</w:t>
      </w:r>
      <w:r>
        <w:rPr>
          <w:rFonts w:hint="eastAsia" w:ascii="仿宋" w:hAnsi="仿宋" w:eastAsia="仿宋" w:cs="仿宋"/>
          <w:color w:val="000000"/>
          <w:kern w:val="0"/>
          <w:sz w:val="31"/>
          <w:szCs w:val="31"/>
          <w:lang w:val="en-US" w:eastAsia="zh-CN" w:bidi="ar"/>
        </w:rPr>
        <w:t>通过危房改造和抗震加固改造的实施，能及时消除房屋的安全隐患，提升房屋抗震能力和减灾能力，杜绝因房屋隐患导致的生命财产安全事故发生，保护群众生命财产安全。</w:t>
      </w:r>
    </w:p>
    <w:p>
      <w:pPr>
        <w:keepNext w:val="0"/>
        <w:keepLines w:val="0"/>
        <w:pageBreakBefore w:val="0"/>
        <w:widowControl w:val="0"/>
        <w:kinsoku/>
        <w:wordWrap/>
        <w:overflowPunct/>
        <w:topLinePunct w:val="0"/>
        <w:autoSpaceDE/>
        <w:autoSpaceDN/>
        <w:bidi w:val="0"/>
        <w:spacing w:before="3" w:line="520" w:lineRule="exact"/>
        <w:ind w:left="25" w:right="47" w:firstLine="562"/>
        <w:textAlignment w:val="auto"/>
        <w:rPr>
          <w:rFonts w:hint="eastAsia" w:ascii="仿宋_GB2312" w:eastAsia="仿宋_GB2312"/>
          <w:sz w:val="32"/>
          <w:szCs w:val="32"/>
          <w:lang w:eastAsia="zh-CN"/>
        </w:rPr>
      </w:pPr>
      <w:r>
        <w:rPr>
          <w:rFonts w:hint="eastAsia" w:ascii="仿宋_GB2312" w:hAnsi="宋体" w:eastAsia="仿宋_GB2312" w:cs="Times New Roman"/>
          <w:b/>
          <w:bCs/>
          <w:sz w:val="32"/>
          <w:szCs w:val="32"/>
          <w:lang w:val="en-US" w:eastAsia="zh-CN"/>
        </w:rPr>
        <w:t>社会效益：</w:t>
      </w:r>
      <w:r>
        <w:rPr>
          <w:rFonts w:hint="eastAsia" w:ascii="仿宋" w:hAnsi="仿宋" w:eastAsia="仿宋" w:cs="仿宋"/>
          <w:color w:val="000000"/>
          <w:kern w:val="0"/>
          <w:sz w:val="31"/>
          <w:szCs w:val="31"/>
          <w:lang w:val="en-US" w:eastAsia="zh-CN" w:bidi="ar"/>
        </w:rPr>
        <w:t>通过危房改造和抗震加固改造的实施</w:t>
      </w:r>
      <w:r>
        <w:rPr>
          <w:rFonts w:hint="eastAsia" w:ascii="方正仿宋_GB2312" w:hAnsi="方正仿宋_GB2312" w:eastAsia="方正仿宋_GB2312" w:cs="方正仿宋_GB2312"/>
          <w:color w:val="auto"/>
          <w:kern w:val="2"/>
          <w:sz w:val="32"/>
          <w:szCs w:val="32"/>
          <w:lang w:val="en-US" w:eastAsia="zh-CN"/>
        </w:rPr>
        <w:t>，让群众感受民生改善带来的实惠，体会到党和政府的关怀，切实向群众宣传危房改造与抗震改造的实施内容及达到的住房保障效果，引导群众积极参与、积极配合、积极协助。</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ascii="仿宋_GB2312" w:hAnsi="宋体"/>
          <w:lang w:val="zh-CN"/>
        </w:rPr>
      </w:pPr>
      <w:r>
        <w:rPr>
          <w:rFonts w:hint="eastAsia" w:ascii="仿宋_GB2312" w:hAnsi="宋体" w:eastAsia="仿宋_GB2312" w:cs="Times New Roman"/>
          <w:b/>
          <w:bCs/>
          <w:sz w:val="32"/>
          <w:szCs w:val="32"/>
          <w:lang w:val="en-US" w:eastAsia="zh-CN"/>
        </w:rPr>
        <w:t>带动效益：</w:t>
      </w:r>
      <w:r>
        <w:rPr>
          <w:rFonts w:hint="eastAsia" w:ascii="仿宋" w:hAnsi="仿宋" w:eastAsia="仿宋" w:cs="仿宋"/>
          <w:color w:val="000000"/>
          <w:kern w:val="0"/>
          <w:sz w:val="31"/>
          <w:szCs w:val="31"/>
          <w:lang w:val="en-US" w:eastAsia="zh-CN" w:bidi="ar"/>
        </w:rPr>
        <w:t>危房改造和抗震加固改造</w:t>
      </w:r>
      <w:r>
        <w:rPr>
          <w:rFonts w:hint="eastAsia" w:ascii="方正仿宋_GB2312" w:hAnsi="方正仿宋_GB2312" w:eastAsia="方正仿宋_GB2312" w:cs="方正仿宋_GB2312"/>
          <w:color w:val="auto"/>
          <w:kern w:val="2"/>
          <w:sz w:val="32"/>
          <w:szCs w:val="32"/>
          <w:lang w:val="en-US" w:eastAsia="zh-CN"/>
        </w:rPr>
        <w:t>开展有利于人民群众生产环境、生活环境和生活质量的改善和提高，有利于人民精神生活的健康发展，有利于巩固脱贫攻坚成果同乡村振兴的有效衔接。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en-US" w:eastAsia="zh-CN"/>
        </w:rPr>
      </w:pPr>
      <w:r>
        <w:rPr>
          <w:rFonts w:hint="eastAsia" w:ascii="方正仿宋_GB2312" w:hAnsi="方正仿宋_GB2312" w:eastAsia="方正仿宋_GB2312" w:cs="方正仿宋_GB2312"/>
          <w:b/>
          <w:bCs/>
          <w:color w:val="auto"/>
          <w:kern w:val="2"/>
          <w:sz w:val="32"/>
          <w:szCs w:val="32"/>
          <w:lang w:val="en-US" w:eastAsia="zh-CN"/>
        </w:rPr>
        <w:t>五、评价结论及建议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（一）评价结论。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kern w:val="2"/>
          <w:sz w:val="32"/>
          <w:szCs w:val="32"/>
          <w:lang w:val="en-US" w:eastAsia="zh-CN"/>
        </w:rPr>
      </w:pPr>
      <w:r>
        <w:rPr>
          <w:rFonts w:hint="eastAsia" w:ascii="方正仿宋_GB2312" w:hAnsi="方正仿宋_GB2312" w:eastAsia="方正仿宋_GB2312" w:cs="方正仿宋_GB2312"/>
          <w:color w:val="auto"/>
          <w:kern w:val="2"/>
          <w:sz w:val="32"/>
          <w:szCs w:val="32"/>
          <w:lang w:val="en-US" w:eastAsia="zh-CN"/>
        </w:rPr>
        <w:t>此项目的实施达到了预期产出，实施效果和产生效益均符合项目实施要求，达到了项目实施目的。</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（二）存在的问题。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方正仿宋_GB2312" w:hAnsi="方正仿宋_GB2312" w:eastAsia="方正仿宋_GB2312" w:cs="方正仿宋_GB2312"/>
          <w:color w:val="auto"/>
          <w:kern w:val="2"/>
          <w:sz w:val="32"/>
          <w:szCs w:val="32"/>
          <w:lang w:val="zh-CN" w:eastAsia="zh-CN"/>
        </w:rPr>
      </w:pPr>
      <w:r>
        <w:rPr>
          <w:rFonts w:hint="eastAsia" w:ascii="方正仿宋_GB2312" w:hAnsi="方正仿宋_GB2312" w:eastAsia="方正仿宋_GB2312" w:cs="方正仿宋_GB2312"/>
          <w:color w:val="auto"/>
          <w:kern w:val="2"/>
          <w:sz w:val="32"/>
          <w:szCs w:val="32"/>
          <w:lang w:val="zh-CN" w:eastAsia="zh-CN"/>
        </w:rPr>
        <w:t>一是项目实施过程中因老百姓对自身房屋安全意思较为淡薄，还需加强房屋安全知识的宣传，提升群众安全意识，提高群众对房屋主动维护维修和保养的观念；二是因我县财力薄弱，在实施过程中需对房屋开展鉴定工作，缺乏经费保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eastAsia" w:ascii="方正仿宋_GB2312" w:hAnsi="方正仿宋_GB2312" w:eastAsia="方正仿宋_GB2312" w:cs="方正仿宋_GB2312"/>
          <w:b/>
          <w:bCs/>
          <w:color w:val="auto"/>
          <w:kern w:val="2"/>
          <w:sz w:val="32"/>
          <w:szCs w:val="32"/>
          <w:lang w:val="zh-CN" w:eastAsia="zh-CN"/>
        </w:rPr>
      </w:pPr>
      <w:r>
        <w:rPr>
          <w:rFonts w:hint="eastAsia" w:ascii="方正仿宋_GB2312" w:hAnsi="方正仿宋_GB2312" w:eastAsia="方正仿宋_GB2312" w:cs="方正仿宋_GB2312"/>
          <w:b/>
          <w:bCs/>
          <w:color w:val="auto"/>
          <w:kern w:val="2"/>
          <w:sz w:val="32"/>
          <w:szCs w:val="32"/>
          <w:lang w:val="zh-CN" w:eastAsia="zh-CN"/>
        </w:rPr>
        <w:t>（三）相关建议。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方正仿宋_GB2312" w:hAnsi="方正仿宋_GB2312" w:eastAsia="方正仿宋_GB2312" w:cs="方正仿宋_GB2312"/>
          <w:color w:val="auto"/>
          <w:kern w:val="2"/>
          <w:sz w:val="32"/>
          <w:szCs w:val="32"/>
          <w:lang w:val="en-US" w:eastAsia="zh-CN"/>
        </w:rPr>
      </w:pPr>
      <w:r>
        <w:rPr>
          <w:rFonts w:hint="eastAsia" w:ascii="方正仿宋_GB2312" w:hAnsi="方正仿宋_GB2312" w:eastAsia="方正仿宋_GB2312" w:cs="方正仿宋_GB2312"/>
          <w:color w:val="auto"/>
          <w:kern w:val="2"/>
          <w:sz w:val="32"/>
          <w:szCs w:val="32"/>
          <w:lang w:val="en-US" w:eastAsia="zh-CN"/>
        </w:rPr>
        <w:t xml:space="preserve">     建议适当增加经费保障。</w:t>
      </w:r>
    </w:p>
    <w:p>
      <w:pPr>
        <w:pStyle w:val="11"/>
        <w:shd w:val="clear" w:color="auto" w:fill="FFFFFF"/>
      </w:pPr>
    </w:p>
    <w:p>
      <w:pPr>
        <w:pStyle w:val="11"/>
        <w:shd w:val="clear" w:color="auto" w:fill="FFFFFF"/>
        <w:jc w:val="center"/>
      </w:pPr>
      <w:r>
        <w:t> </w:t>
      </w:r>
    </w:p>
    <w:p>
      <w:pPr>
        <w:pStyle w:val="11"/>
        <w:shd w:val="clear" w:color="auto" w:fill="FFFFFF"/>
      </w:pPr>
      <w:r>
        <w:t>附表</w:t>
      </w:r>
    </w:p>
    <w:tbl>
      <w:tblPr>
        <w:tblStyle w:val="12"/>
        <w:tblW w:w="83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8"/>
        <w:gridCol w:w="1008"/>
        <w:gridCol w:w="1420"/>
        <w:gridCol w:w="1046"/>
        <w:gridCol w:w="1084"/>
        <w:gridCol w:w="20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337" w:type="dxa"/>
            <w:gridSpan w:val="6"/>
            <w:tcBorders>
              <w:top w:val="outset" w:color="auto" w:sz="6" w:space="0"/>
              <w:left w:val="outset" w:color="auto" w:sz="6" w:space="0"/>
              <w:bottom w:val="outset" w:color="auto" w:sz="6" w:space="0"/>
              <w:right w:val="outset" w:color="auto" w:sz="6" w:space="0"/>
            </w:tcBorders>
            <w:noWrap/>
            <w:vAlign w:val="center"/>
          </w:tcPr>
          <w:p>
            <w:pPr>
              <w:pStyle w:val="11"/>
              <w:jc w:val="center"/>
            </w:pPr>
            <w:r>
              <w:rPr>
                <w:rStyle w:val="14"/>
              </w:rPr>
              <w:t>2021年100万元以上（含）特定目标类部门预算项目绩效目标自评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blCellSpacing w:w="0" w:type="dxa"/>
        </w:trPr>
        <w:tc>
          <w:tcPr>
            <w:tcW w:w="2715"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pPr>
            <w:r>
              <w:t>主管部门及代码</w:t>
            </w:r>
          </w:p>
        </w:tc>
        <w:tc>
          <w:tcPr>
            <w:tcW w:w="2459"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121101</w:t>
            </w:r>
            <w:r>
              <w:t> </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实施单位</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both"/>
            </w:pPr>
            <w:r>
              <w:rPr>
                <w:rFonts w:hint="eastAsia"/>
                <w:lang w:eastAsia="zh-CN"/>
              </w:rPr>
              <w:t>红原县住房和城乡建设局</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15" w:type="dxa"/>
            <w:gridSpan w:val="2"/>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项目预算</w:t>
            </w:r>
          </w:p>
          <w:p>
            <w:pPr>
              <w:pStyle w:val="11"/>
              <w:jc w:val="center"/>
            </w:pPr>
            <w:r>
              <w:t>执行情况</w:t>
            </w:r>
          </w:p>
          <w:p>
            <w:pPr>
              <w:pStyle w:val="11"/>
              <w:jc w:val="center"/>
            </w:pPr>
            <w:r>
              <w:t>（万元）</w:t>
            </w:r>
          </w:p>
        </w:tc>
        <w:tc>
          <w:tcPr>
            <w:tcW w:w="142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 预算数：</w:t>
            </w:r>
          </w:p>
        </w:tc>
        <w:tc>
          <w:tcPr>
            <w:tcW w:w="1038"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282万元</w:t>
            </w:r>
            <w:r>
              <w:t> </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t> 执行数：</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194.6万元</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0" w:type="auto"/>
            <w:gridSpan w:val="2"/>
            <w:vMerge w:val="continue"/>
            <w:tcBorders>
              <w:top w:val="outset" w:color="auto" w:sz="6" w:space="0"/>
              <w:left w:val="outset" w:color="auto" w:sz="6" w:space="0"/>
              <w:bottom w:val="outset" w:color="auto" w:sz="6" w:space="0"/>
              <w:right w:val="outset" w:color="auto" w:sz="6" w:space="0"/>
            </w:tcBorders>
            <w:vAlign w:val="center"/>
          </w:tcPr>
          <w:p/>
        </w:tc>
        <w:tc>
          <w:tcPr>
            <w:tcW w:w="142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其中：</w:t>
            </w:r>
          </w:p>
          <w:p>
            <w:pPr>
              <w:pStyle w:val="11"/>
              <w:jc w:val="center"/>
            </w:pPr>
            <w:r>
              <w:t>财政拨款</w:t>
            </w:r>
          </w:p>
        </w:tc>
        <w:tc>
          <w:tcPr>
            <w:tcW w:w="1038"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282万元</w:t>
            </w:r>
            <w:r>
              <w:t> </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其中：</w:t>
            </w:r>
          </w:p>
          <w:p>
            <w:pPr>
              <w:pStyle w:val="11"/>
              <w:jc w:val="center"/>
            </w:pPr>
            <w:r>
              <w:t>财政拨款</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194.6万元</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0" w:type="auto"/>
            <w:gridSpan w:val="2"/>
            <w:vMerge w:val="continue"/>
            <w:tcBorders>
              <w:top w:val="outset" w:color="auto" w:sz="6" w:space="0"/>
              <w:left w:val="outset" w:color="auto" w:sz="6" w:space="0"/>
              <w:bottom w:val="outset" w:color="auto" w:sz="6" w:space="0"/>
              <w:right w:val="outset" w:color="auto" w:sz="6" w:space="0"/>
            </w:tcBorders>
            <w:vAlign w:val="center"/>
          </w:tcPr>
          <w:p/>
        </w:tc>
        <w:tc>
          <w:tcPr>
            <w:tcW w:w="142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其他资金</w:t>
            </w:r>
          </w:p>
        </w:tc>
        <w:tc>
          <w:tcPr>
            <w:tcW w:w="1038"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0</w:t>
            </w:r>
            <w:r>
              <w:t> </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其他资金</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0</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trPr>
        <w:tc>
          <w:tcPr>
            <w:tcW w:w="1715" w:type="dxa"/>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年度总体目标</w:t>
            </w:r>
          </w:p>
          <w:p>
            <w:pPr>
              <w:pStyle w:val="11"/>
              <w:jc w:val="center"/>
            </w:pPr>
            <w:r>
              <w:t>完成情况</w:t>
            </w:r>
          </w:p>
        </w:tc>
        <w:tc>
          <w:tcPr>
            <w:tcW w:w="3459" w:type="dxa"/>
            <w:gridSpan w:val="3"/>
            <w:tcBorders>
              <w:top w:val="outset" w:color="auto" w:sz="6" w:space="0"/>
              <w:left w:val="outset" w:color="auto" w:sz="6" w:space="0"/>
              <w:bottom w:val="outset" w:color="auto" w:sz="6" w:space="0"/>
              <w:right w:val="outset" w:color="auto" w:sz="6" w:space="0"/>
            </w:tcBorders>
            <w:noWrap/>
            <w:vAlign w:val="center"/>
          </w:tcPr>
          <w:p>
            <w:pPr>
              <w:pStyle w:val="11"/>
              <w:jc w:val="center"/>
            </w:pPr>
            <w:r>
              <w:t>预期目标</w:t>
            </w:r>
          </w:p>
        </w:tc>
        <w:tc>
          <w:tcPr>
            <w:tcW w:w="3163"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pPr>
            <w:r>
              <w:t>目标实际完成情况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3459" w:type="dxa"/>
            <w:gridSpan w:val="3"/>
            <w:tcBorders>
              <w:top w:val="outset" w:color="auto" w:sz="6" w:space="0"/>
              <w:left w:val="outset" w:color="auto" w:sz="6" w:space="0"/>
              <w:bottom w:val="outset" w:color="auto" w:sz="6" w:space="0"/>
              <w:right w:val="outset" w:color="auto" w:sz="6" w:space="0"/>
            </w:tcBorders>
            <w:noWrap/>
            <w:vAlign w:val="center"/>
          </w:tcPr>
          <w:p>
            <w:pPr>
              <w:pStyle w:val="11"/>
              <w:jc w:val="center"/>
              <w:rPr>
                <w:rFonts w:hint="default"/>
                <w:lang w:val="en-US"/>
              </w:rPr>
            </w:pPr>
            <w:r>
              <w:rPr>
                <w:rFonts w:hint="eastAsia" w:ascii="宋体" w:hAnsi="宋体" w:eastAsia="宋体" w:cs="宋体"/>
                <w:lang w:val="en-US" w:eastAsia="zh-CN"/>
              </w:rPr>
              <w:t>2021年度我县农村危房改造和抗震加固改造共预算资金282万元。预期完成70%</w:t>
            </w:r>
          </w:p>
        </w:tc>
        <w:tc>
          <w:tcPr>
            <w:tcW w:w="3163"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rPr>
                <w:rFonts w:hint="default" w:eastAsia="宋体"/>
                <w:lang w:val="en-US" w:eastAsia="zh-CN"/>
              </w:rPr>
            </w:pPr>
            <w:r>
              <w:rPr>
                <w:rFonts w:hint="eastAsia" w:ascii="宋体" w:hAnsi="宋体" w:eastAsia="宋体" w:cs="宋体"/>
                <w:lang w:val="en-US" w:eastAsia="zh-CN"/>
              </w:rPr>
              <w:t>危房改造资金共拨付9万元，抗震加固改造资金共拨付185.6万元，合计拨付194.6万元。未拨付资金为1户危房改造验收未通过，现已整改完成，预计2022年8月内拨付。完成69%。</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1715" w:type="dxa"/>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年度绩效指标完成情况</w:t>
            </w:r>
          </w:p>
        </w:tc>
        <w:tc>
          <w:tcPr>
            <w:tcW w:w="100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一级</w:t>
            </w:r>
          </w:p>
          <w:p>
            <w:pPr>
              <w:pStyle w:val="11"/>
              <w:jc w:val="center"/>
            </w:pPr>
            <w:r>
              <w:t>指标</w:t>
            </w:r>
          </w:p>
        </w:tc>
        <w:tc>
          <w:tcPr>
            <w:tcW w:w="142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二级</w:t>
            </w:r>
          </w:p>
          <w:p>
            <w:pPr>
              <w:pStyle w:val="11"/>
              <w:jc w:val="center"/>
            </w:pPr>
            <w:r>
              <w:t>指标</w:t>
            </w:r>
          </w:p>
        </w:tc>
        <w:tc>
          <w:tcPr>
            <w:tcW w:w="1038" w:type="dxa"/>
            <w:tcBorders>
              <w:top w:val="outset" w:color="auto" w:sz="6" w:space="0"/>
              <w:left w:val="outset" w:color="auto" w:sz="6" w:space="0"/>
              <w:bottom w:val="outset" w:color="auto" w:sz="6" w:space="0"/>
              <w:right w:val="outset" w:color="auto" w:sz="6" w:space="0"/>
            </w:tcBorders>
            <w:noWrap/>
            <w:vAlign w:val="center"/>
          </w:tcPr>
          <w:p>
            <w:pPr>
              <w:pStyle w:val="11"/>
              <w:jc w:val="center"/>
            </w:pPr>
            <w:r>
              <w:t>三级</w:t>
            </w:r>
          </w:p>
          <w:p>
            <w:pPr>
              <w:pStyle w:val="11"/>
              <w:jc w:val="center"/>
            </w:pPr>
            <w:r>
              <w:t>指标</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t>预期指标值</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实际完成指标值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000" w:type="dxa"/>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完成</w:t>
            </w:r>
          </w:p>
          <w:p>
            <w:pPr>
              <w:pStyle w:val="11"/>
              <w:jc w:val="center"/>
            </w:pPr>
            <w:r>
              <w:t>指标</w:t>
            </w:r>
          </w:p>
        </w:tc>
        <w:tc>
          <w:tcPr>
            <w:tcW w:w="142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数量指标</w:t>
            </w:r>
          </w:p>
        </w:tc>
        <w:tc>
          <w:tcPr>
            <w:tcW w:w="1038"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default" w:eastAsia="宋体"/>
                <w:lang w:val="en-US" w:eastAsia="zh-CN"/>
              </w:rPr>
            </w:pPr>
            <w:r>
              <w:t> </w:t>
            </w:r>
            <w:r>
              <w:rPr>
                <w:rFonts w:hint="eastAsia"/>
                <w:lang w:eastAsia="zh-CN"/>
              </w:rPr>
              <w:t>完成总数量的</w:t>
            </w:r>
            <w:r>
              <w:rPr>
                <w:rFonts w:hint="eastAsia"/>
                <w:lang w:val="en-US" w:eastAsia="zh-CN"/>
              </w:rPr>
              <w:t>70%</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t>  </w:t>
            </w:r>
            <w:r>
              <w:rPr>
                <w:rFonts w:hint="eastAsia"/>
                <w:lang w:eastAsia="zh-CN"/>
              </w:rPr>
              <w:t>完成总数量的</w:t>
            </w:r>
            <w:r>
              <w:rPr>
                <w:rFonts w:hint="eastAsia"/>
                <w:lang w:val="en-US" w:eastAsia="zh-CN"/>
              </w:rPr>
              <w:t>70%</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实际完成总数量的</w:t>
            </w:r>
            <w:r>
              <w:rPr>
                <w:rFonts w:hint="eastAsia"/>
                <w:lang w:val="en-US" w:eastAsia="zh-CN"/>
              </w:rPr>
              <w:t>69%</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2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质量指标</w:t>
            </w:r>
          </w:p>
        </w:tc>
        <w:tc>
          <w:tcPr>
            <w:tcW w:w="1038"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质量基本达到要求</w:t>
            </w:r>
            <w:r>
              <w:t> </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全部达到质量要求</w:t>
            </w:r>
            <w:r>
              <w:t> </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实际有一户未达标</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2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时效指标</w:t>
            </w:r>
          </w:p>
        </w:tc>
        <w:tc>
          <w:tcPr>
            <w:tcW w:w="1038"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eastAsia" w:eastAsia="宋体"/>
                <w:lang w:eastAsia="zh-CN"/>
              </w:rPr>
            </w:pPr>
            <w:r>
              <w:t> </w:t>
            </w:r>
            <w:r>
              <w:rPr>
                <w:rFonts w:hint="eastAsia"/>
                <w:lang w:eastAsia="zh-CN"/>
              </w:rPr>
              <w:t>基本在预期完成</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完成</w:t>
            </w:r>
            <w:r>
              <w:rPr>
                <w:rFonts w:hint="eastAsia"/>
                <w:lang w:val="en-US" w:eastAsia="zh-CN"/>
              </w:rPr>
              <w:t>70%</w:t>
            </w:r>
            <w:r>
              <w:t> </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实际完成</w:t>
            </w:r>
            <w:r>
              <w:rPr>
                <w:rFonts w:hint="eastAsia"/>
                <w:lang w:val="en-US" w:eastAsia="zh-CN"/>
              </w:rPr>
              <w:t>69%</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2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成本指标</w:t>
            </w:r>
          </w:p>
        </w:tc>
        <w:tc>
          <w:tcPr>
            <w:tcW w:w="1038"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严格控制成本</w:t>
            </w:r>
            <w:r>
              <w:t> </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ascii="宋体" w:hAnsi="宋体" w:eastAsia="宋体" w:cs="宋体"/>
                <w:sz w:val="21"/>
                <w:szCs w:val="21"/>
                <w:lang w:val="en-US" w:eastAsia="zh-CN"/>
              </w:rPr>
              <w:t>农村低收入群体住房安全保障项目分为农村低收入群体住房安全保障4户，户均补助3万元和未达到7度抗震设防加固改造150户，户均补助1.8万元。</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实际完成均未超过成本预算</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00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满意</w:t>
            </w:r>
          </w:p>
          <w:p>
            <w:pPr>
              <w:pStyle w:val="11"/>
              <w:jc w:val="center"/>
            </w:pPr>
            <w:r>
              <w:t>度指标</w:t>
            </w:r>
          </w:p>
        </w:tc>
        <w:tc>
          <w:tcPr>
            <w:tcW w:w="142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满意度</w:t>
            </w:r>
          </w:p>
          <w:p>
            <w:pPr>
              <w:pStyle w:val="11"/>
              <w:jc w:val="center"/>
            </w:pPr>
            <w:r>
              <w:t>指标</w:t>
            </w:r>
          </w:p>
        </w:tc>
        <w:tc>
          <w:tcPr>
            <w:tcW w:w="1038"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eastAsia" w:eastAsia="宋体"/>
                <w:lang w:eastAsia="zh-CN"/>
              </w:rPr>
            </w:pPr>
            <w:r>
              <w:t> </w:t>
            </w:r>
            <w:r>
              <w:rPr>
                <w:rFonts w:hint="eastAsia"/>
                <w:lang w:eastAsia="zh-CN"/>
              </w:rPr>
              <w:t>加固维修对象，对加固维修后的房屋满意</w:t>
            </w:r>
          </w:p>
        </w:tc>
        <w:tc>
          <w:tcPr>
            <w:tcW w:w="107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达到房屋安全要求及维修加固对象的要求</w:t>
            </w:r>
            <w:r>
              <w:t> </w:t>
            </w:r>
          </w:p>
        </w:tc>
        <w:tc>
          <w:tcPr>
            <w:tcW w:w="208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维修加固房屋均达到房屋安全要求及维修加固户的要求</w:t>
            </w:r>
            <w:r>
              <w:t> </w:t>
            </w:r>
          </w:p>
        </w:tc>
      </w:tr>
    </w:tbl>
    <w:p>
      <w:pPr>
        <w:pStyle w:val="18"/>
        <w:widowControl/>
        <w:spacing w:line="560" w:lineRule="exact"/>
        <w:ind w:firstLine="883" w:firstLineChars="200"/>
        <w:jc w:val="center"/>
        <w:rPr>
          <w:rFonts w:hint="eastAsia" w:ascii="宋体" w:hAnsi="宋体" w:cs="宋体"/>
          <w:b/>
          <w:sz w:val="44"/>
          <w:szCs w:val="44"/>
          <w:lang w:val="en-US"/>
        </w:rPr>
      </w:pPr>
    </w:p>
    <w:p>
      <w:pPr>
        <w:pStyle w:val="18"/>
        <w:widowControl/>
        <w:spacing w:line="560" w:lineRule="exact"/>
        <w:ind w:firstLine="883" w:firstLineChars="200"/>
        <w:jc w:val="center"/>
        <w:rPr>
          <w:rFonts w:ascii="宋体" w:hAnsi="宋体" w:cs="宋体"/>
          <w:b/>
          <w:sz w:val="44"/>
          <w:szCs w:val="44"/>
        </w:rPr>
      </w:pPr>
      <w:r>
        <w:rPr>
          <w:rFonts w:hint="eastAsia" w:ascii="宋体" w:hAnsi="宋体" w:cs="宋体"/>
          <w:b/>
          <w:sz w:val="44"/>
          <w:szCs w:val="44"/>
          <w:lang w:val="en-US"/>
        </w:rPr>
        <w:t>红原县住房和城乡建设局</w:t>
      </w:r>
      <w:r>
        <w:rPr>
          <w:rFonts w:hint="eastAsia" w:ascii="宋体" w:hAnsi="宋体" w:cs="宋体"/>
          <w:b/>
          <w:sz w:val="44"/>
          <w:szCs w:val="44"/>
        </w:rPr>
        <w:t>项目</w:t>
      </w:r>
    </w:p>
    <w:p>
      <w:pPr>
        <w:pStyle w:val="18"/>
        <w:widowControl/>
        <w:spacing w:line="560" w:lineRule="exact"/>
        <w:ind w:firstLine="883" w:firstLineChars="200"/>
        <w:jc w:val="center"/>
        <w:rPr>
          <w:rFonts w:ascii="仿宋_GB2312" w:hAnsi="宋体" w:eastAsia="仿宋_GB2312" w:cs="仿宋_GB2312"/>
          <w:color w:val="auto"/>
          <w:kern w:val="2"/>
          <w:sz w:val="32"/>
          <w:szCs w:val="32"/>
        </w:rPr>
      </w:pPr>
      <w:r>
        <w:rPr>
          <w:rFonts w:hint="eastAsia" w:ascii="宋体" w:hAnsi="宋体" w:cs="宋体"/>
          <w:b/>
          <w:sz w:val="44"/>
          <w:szCs w:val="44"/>
        </w:rPr>
        <w:t>支出绩效自评报告</w:t>
      </w:r>
    </w:p>
    <w:p>
      <w:pPr>
        <w:spacing w:line="560" w:lineRule="exact"/>
        <w:ind w:firstLine="1200" w:firstLineChars="500"/>
        <w:jc w:val="both"/>
        <w:rPr>
          <w:rFonts w:ascii="仿宋_GB2312" w:hAnsi="宋体" w:cs="仿宋_GB2312"/>
        </w:rPr>
      </w:pPr>
      <w:r>
        <w:rPr>
          <w:rFonts w:hint="eastAsia" w:ascii="仿宋_GB2312" w:hAnsi="宋体" w:cs="仿宋_GB2312"/>
          <w:szCs w:val="24"/>
        </w:rPr>
        <w:t>（红原县城及乡镇垃圾收运系统建设项目（三期）查尔玛乡）</w:t>
      </w:r>
    </w:p>
    <w:p>
      <w:pPr>
        <w:pStyle w:val="18"/>
        <w:spacing w:line="600" w:lineRule="exact"/>
        <w:ind w:firstLine="640"/>
        <w:jc w:val="center"/>
        <w:rPr>
          <w:rFonts w:ascii="宋体" w:hAnsi="宋体"/>
          <w:color w:val="auto"/>
          <w:kern w:val="2"/>
          <w:sz w:val="32"/>
          <w:szCs w:val="32"/>
          <w:lang w:val="en-US"/>
        </w:rPr>
      </w:pPr>
    </w:p>
    <w:p>
      <w:pPr>
        <w:adjustRightInd w:val="0"/>
        <w:snapToGrid w:val="0"/>
        <w:spacing w:line="600" w:lineRule="exact"/>
        <w:ind w:firstLine="720"/>
        <w:rPr>
          <w:rFonts w:ascii="黑体" w:hAnsi="宋体" w:eastAsia="黑体"/>
          <w:sz w:val="32"/>
          <w:szCs w:val="32"/>
          <w:lang w:val="zh-CN"/>
        </w:rPr>
      </w:pPr>
      <w:bookmarkStart w:id="4" w:name="_GoBack"/>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643" w:firstLineChars="200"/>
        <w:rPr>
          <w:rFonts w:ascii="仿宋_GB2312" w:hAnsi="宋体" w:cs="仿宋_GB2312"/>
          <w:sz w:val="32"/>
          <w:szCs w:val="32"/>
        </w:rPr>
      </w:pPr>
      <w:r>
        <w:rPr>
          <w:rFonts w:hint="eastAsia" w:ascii="楷体_GB2312" w:hAnsi="宋体" w:eastAsia="楷体_GB2312"/>
          <w:b/>
          <w:sz w:val="32"/>
          <w:szCs w:val="32"/>
          <w:lang w:val="zh-CN"/>
        </w:rPr>
        <w:t>（一）项目资金申报及批复情况。</w:t>
      </w:r>
      <w:r>
        <w:rPr>
          <w:rFonts w:hint="eastAsia" w:ascii="仿宋_GB2312" w:hAnsi="仿宋_GB2312" w:cs="仿宋_GB2312"/>
          <w:sz w:val="32"/>
          <w:szCs w:val="32"/>
          <w:lang w:val="zh-CN" w:eastAsia="zh-CN"/>
        </w:rPr>
        <w:t>红原县城及乡镇垃圾收运系统建设项目（三期）查尔玛乡</w:t>
      </w:r>
      <w:r>
        <w:rPr>
          <w:rFonts w:hint="eastAsia" w:ascii="仿宋_GB2312" w:hAnsi="仿宋_GB2312" w:cs="仿宋_GB2312"/>
          <w:sz w:val="32"/>
          <w:szCs w:val="32"/>
          <w:lang w:val="en-US" w:eastAsia="zh-CN"/>
        </w:rPr>
        <w:t>经县委县政府批准，财政部门审核通过。红原县2020年度财政涉农整合项目资金（第一批），阿州财预〔2020〕6号204万元全部用于</w:t>
      </w:r>
      <w:r>
        <w:rPr>
          <w:rFonts w:hint="eastAsia" w:ascii="仿宋_GB2312" w:hAnsi="仿宋_GB2312" w:cs="仿宋_GB2312"/>
          <w:sz w:val="32"/>
          <w:szCs w:val="32"/>
          <w:lang w:val="zh-CN" w:eastAsia="zh-CN"/>
        </w:rPr>
        <w:t>红原县城及乡镇垃圾收运系统建设项目（三期）查尔玛乡</w:t>
      </w:r>
      <w:r>
        <w:rPr>
          <w:rFonts w:hint="eastAsia" w:ascii="仿宋_GB2312" w:hAnsi="仿宋_GB2312" w:cs="仿宋_GB2312"/>
          <w:sz w:val="32"/>
          <w:szCs w:val="32"/>
          <w:lang w:val="en-US" w:eastAsia="zh-CN"/>
        </w:rPr>
        <w:t>未挪为它用。</w:t>
      </w:r>
    </w:p>
    <w:p>
      <w:pPr>
        <w:spacing w:line="560" w:lineRule="exact"/>
        <w:ind w:firstLine="640"/>
        <w:rPr>
          <w:rFonts w:ascii="仿宋_GB2312" w:hAnsi="仿宋_GB2312" w:cs="仿宋_GB2312"/>
          <w:color w:val="000000"/>
          <w:sz w:val="32"/>
          <w:szCs w:val="32"/>
        </w:rPr>
      </w:pPr>
      <w:r>
        <w:rPr>
          <w:rFonts w:hint="eastAsia" w:ascii="楷体_GB2312" w:hAnsi="宋体" w:eastAsia="楷体_GB2312"/>
          <w:b/>
          <w:sz w:val="32"/>
          <w:szCs w:val="32"/>
          <w:lang w:val="zh-CN"/>
        </w:rPr>
        <w:t>（二）项目绩效目标。</w:t>
      </w:r>
      <w:r>
        <w:rPr>
          <w:rFonts w:hint="eastAsia" w:ascii="仿宋_GB2312" w:hAnsi="仿宋_GB2312" w:cs="仿宋_GB2312"/>
          <w:sz w:val="32"/>
          <w:szCs w:val="32"/>
          <w:lang w:val="zh-CN" w:eastAsia="zh-CN"/>
        </w:rPr>
        <w:t>在红原县查尔玛乡建设一座占地</w:t>
      </w:r>
      <w:r>
        <w:rPr>
          <w:rFonts w:hint="eastAsia" w:ascii="仿宋_GB2312" w:hAnsi="仿宋_GB2312" w:cs="仿宋_GB2312"/>
          <w:sz w:val="32"/>
          <w:szCs w:val="32"/>
          <w:lang w:val="en-US" w:eastAsia="zh-CN"/>
        </w:rPr>
        <w:t>2700平方米，建筑面积234平方米的乡镇垃圾中转站。</w:t>
      </w:r>
    </w:p>
    <w:p>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仿宋_GB2312" w:cs="仿宋_GB2312"/>
          <w:sz w:val="32"/>
          <w:szCs w:val="32"/>
          <w:lang w:val="zh-CN" w:eastAsia="zh-CN"/>
        </w:rPr>
        <w:t>红原县城及乡镇垃圾收运系统建设项目（三期）查尔玛乡</w:t>
      </w:r>
      <w:r>
        <w:rPr>
          <w:rFonts w:hint="eastAsia" w:ascii="仿宋_GB2312" w:hAnsi="宋体"/>
          <w:sz w:val="32"/>
          <w:szCs w:val="32"/>
          <w:lang w:val="zh-CN"/>
        </w:rPr>
        <w:t>申报内容与具体实施内容相符、申报目标合理可行。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sz w:val="32"/>
          <w:szCs w:val="32"/>
          <w:lang w:val="zh-CN"/>
        </w:rPr>
        <w:t>1．资金计划及到位</w:t>
      </w:r>
      <w:r>
        <w:rPr>
          <w:rFonts w:hint="eastAsia" w:ascii="仿宋_GB2312" w:hAnsi="仿宋_GB2312" w:cs="仿宋_GB2312"/>
          <w:sz w:val="32"/>
          <w:szCs w:val="32"/>
          <w:lang w:val="zh-CN" w:eastAsia="zh-CN"/>
        </w:rPr>
        <w:t>。红原县城及乡镇垃圾收运系统建设项目（三期）查尔玛乡项目资金由红原县</w:t>
      </w:r>
      <w:r>
        <w:rPr>
          <w:rFonts w:hint="eastAsia" w:ascii="仿宋_GB2312" w:hAnsi="仿宋_GB2312" w:cs="仿宋_GB2312"/>
          <w:sz w:val="32"/>
          <w:szCs w:val="32"/>
          <w:lang w:val="en-US" w:eastAsia="zh-CN"/>
        </w:rPr>
        <w:t>2020年度财政涉农整合项目资金（第一批）</w:t>
      </w:r>
      <w:r>
        <w:rPr>
          <w:rFonts w:hint="eastAsia" w:ascii="仿宋_GB2312" w:hAnsi="仿宋_GB2312" w:cs="仿宋_GB2312"/>
          <w:sz w:val="32"/>
          <w:szCs w:val="32"/>
        </w:rPr>
        <w:t>构成。</w:t>
      </w:r>
      <w:r>
        <w:rPr>
          <w:rFonts w:hint="eastAsia" w:ascii="仿宋_GB2312" w:hAnsi="仿宋_GB2312" w:cs="仿宋_GB2312"/>
          <w:sz w:val="32"/>
          <w:szCs w:val="32"/>
          <w:lang w:eastAsia="zh-CN"/>
        </w:rPr>
        <w:t>到位资金</w:t>
      </w:r>
      <w:r>
        <w:rPr>
          <w:rFonts w:hint="eastAsia" w:ascii="仿宋_GB2312" w:hAnsi="仿宋_GB2312" w:cs="仿宋_GB2312"/>
          <w:sz w:val="32"/>
          <w:szCs w:val="32"/>
          <w:lang w:val="en-US" w:eastAsia="zh-CN"/>
        </w:rPr>
        <w:t>204万元</w:t>
      </w:r>
      <w:r>
        <w:rPr>
          <w:rFonts w:hint="eastAsia" w:ascii="仿宋_GB2312" w:hAnsi="宋体" w:cs="仿宋_GB2312"/>
          <w:sz w:val="32"/>
          <w:szCs w:val="32"/>
        </w:rPr>
        <w:t>，资金到位率为100%。</w:t>
      </w:r>
    </w:p>
    <w:p>
      <w:pPr>
        <w:adjustRightInd w:val="0"/>
        <w:snapToGrid w:val="0"/>
        <w:spacing w:line="600" w:lineRule="exact"/>
        <w:ind w:firstLine="720"/>
        <w:rPr>
          <w:rFonts w:hint="default" w:ascii="仿宋_GB2312" w:hAnsi="宋体" w:eastAsia="仿宋_GB2312" w:cs="仿宋_GB2312"/>
          <w:sz w:val="32"/>
          <w:szCs w:val="32"/>
          <w:lang w:val="en-US" w:eastAsia="zh-CN"/>
        </w:rPr>
      </w:pPr>
      <w:r>
        <w:rPr>
          <w:rFonts w:hint="eastAsia" w:ascii="楷体_GB2312" w:hAnsi="宋体" w:eastAsia="楷体_GB2312"/>
          <w:sz w:val="32"/>
          <w:szCs w:val="32"/>
          <w:lang w:val="zh-CN"/>
        </w:rPr>
        <w:t>2．资金使用。</w:t>
      </w:r>
      <w:r>
        <w:rPr>
          <w:rFonts w:hint="eastAsia" w:ascii="仿宋_GB2312" w:hAnsi="宋体" w:cs="仿宋_GB2312"/>
          <w:sz w:val="32"/>
          <w:szCs w:val="32"/>
        </w:rPr>
        <w:t>截至目前已支付195.7125792万元，拨付进度占预算的</w:t>
      </w:r>
      <w:r>
        <w:rPr>
          <w:rFonts w:hint="eastAsia" w:ascii="仿宋_GB2312" w:hAnsi="宋体" w:cs="仿宋_GB2312"/>
          <w:sz w:val="32"/>
          <w:szCs w:val="32"/>
          <w:lang w:val="en-US" w:eastAsia="zh-CN"/>
        </w:rPr>
        <w:t>95.93</w:t>
      </w:r>
      <w:r>
        <w:rPr>
          <w:rFonts w:hint="eastAsia" w:ascii="仿宋_GB2312" w:hAnsi="宋体" w:cs="仿宋_GB2312"/>
          <w:sz w:val="32"/>
          <w:szCs w:val="32"/>
        </w:rPr>
        <w:t>%。</w:t>
      </w:r>
      <w:r>
        <w:rPr>
          <w:rFonts w:hint="eastAsia" w:ascii="仿宋_GB2312" w:hAnsi="宋体" w:cs="仿宋_GB2312"/>
          <w:sz w:val="32"/>
          <w:szCs w:val="32"/>
          <w:lang w:eastAsia="zh-CN"/>
        </w:rPr>
        <w:t>其中前期费用全部拨付完成，达到</w:t>
      </w:r>
      <w:r>
        <w:rPr>
          <w:rFonts w:hint="eastAsia" w:ascii="仿宋_GB2312" w:hAnsi="宋体" w:cs="仿宋_GB2312"/>
          <w:sz w:val="32"/>
          <w:szCs w:val="32"/>
          <w:lang w:val="en-US" w:eastAsia="zh-CN"/>
        </w:rPr>
        <w:t>100%，施工费用和监理费用拨付至97%。</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adjustRightInd w:val="0"/>
        <w:snapToGrid w:val="0"/>
        <w:spacing w:line="560" w:lineRule="exact"/>
        <w:ind w:firstLine="640" w:firstLineChars="200"/>
        <w:rPr>
          <w:rFonts w:ascii="仿宋_GB2312" w:hAnsi="仿宋_GB2312" w:cs="仿宋_GB2312"/>
          <w:sz w:val="32"/>
          <w:szCs w:val="32"/>
          <w:lang w:val="zh-CN"/>
        </w:rPr>
      </w:pPr>
      <w:r>
        <w:rPr>
          <w:rFonts w:hint="eastAsia" w:ascii="仿宋_GB2312" w:hAnsi="仿宋_GB2312" w:cs="仿宋_GB2312"/>
          <w:sz w:val="32"/>
          <w:szCs w:val="32"/>
          <w:lang w:val="zh-CN"/>
        </w:rPr>
        <w:t>项目</w:t>
      </w:r>
      <w:r>
        <w:rPr>
          <w:rFonts w:hint="eastAsia" w:ascii="仿宋_GB2312" w:hAnsi="仿宋_GB2312" w:cs="仿宋_GB2312"/>
          <w:sz w:val="32"/>
          <w:szCs w:val="32"/>
        </w:rPr>
        <w:t>实施工程中</w:t>
      </w:r>
      <w:r>
        <w:rPr>
          <w:rFonts w:hint="eastAsia" w:ascii="仿宋_GB2312" w:hAnsi="仿宋_GB2312" w:cs="仿宋_GB2312"/>
          <w:sz w:val="32"/>
          <w:szCs w:val="32"/>
          <w:lang w:val="zh-CN"/>
        </w:rPr>
        <w:t>严格按照项目财务管理制度进行财务管理，专款专用，专人负责，严格对照资金管理办法，不拆借资金，规范会计核算程序。</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adjustRightInd w:val="0"/>
        <w:snapToGrid w:val="0"/>
        <w:spacing w:line="560" w:lineRule="exact"/>
        <w:ind w:firstLine="720"/>
        <w:rPr>
          <w:rFonts w:ascii="仿宋_GB2312" w:hAnsi="仿宋_GB2312" w:cs="仿宋_GB2312"/>
          <w:sz w:val="32"/>
          <w:szCs w:val="32"/>
          <w:lang w:val="zh-CN"/>
        </w:rPr>
      </w:pPr>
      <w:r>
        <w:rPr>
          <w:rFonts w:hint="eastAsia" w:ascii="仿宋_GB2312" w:hAnsi="仿宋_GB2312" w:cs="仿宋_GB2312"/>
          <w:sz w:val="32"/>
          <w:szCs w:val="32"/>
        </w:rPr>
        <w:t>项目实施阶段设置一名工作人员</w:t>
      </w:r>
      <w:r>
        <w:rPr>
          <w:rFonts w:hint="eastAsia" w:ascii="仿宋_GB2312" w:hAnsi="仿宋_GB2312" w:cs="仿宋_GB2312"/>
          <w:sz w:val="32"/>
          <w:szCs w:val="32"/>
          <w:lang w:val="zh-CN"/>
        </w:rPr>
        <w:t>专管本项目，严格招标投标程序，严格按发改部门批复的招投标程序进行招标，不拆分项目，不单列分包招标，保证项目招投标的严肃性。</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60" w:lineRule="exact"/>
        <w:ind w:firstLine="640" w:firstLineChars="200"/>
        <w:rPr>
          <w:rFonts w:hint="default" w:ascii="楷体_GB2312" w:hAnsi="宋体" w:eastAsia="仿宋_GB2312" w:cs="楷体_GB2312"/>
          <w:b/>
          <w:sz w:val="32"/>
          <w:szCs w:val="32"/>
          <w:lang w:val="en-US" w:eastAsia="zh-CN"/>
        </w:rPr>
      </w:pPr>
      <w:r>
        <w:rPr>
          <w:rFonts w:hint="eastAsia" w:ascii="仿宋_GB2312" w:hAnsi="宋体" w:cs="仿宋_GB2312"/>
          <w:sz w:val="32"/>
          <w:szCs w:val="32"/>
        </w:rPr>
        <w:t>红原县城及乡镇垃圾收运系统建设项目（三期）查尔玛乡</w:t>
      </w:r>
      <w:r>
        <w:rPr>
          <w:rFonts w:hint="eastAsia" w:ascii="仿宋_GB2312" w:hAnsi="宋体" w:cs="仿宋_GB2312"/>
          <w:sz w:val="32"/>
          <w:szCs w:val="32"/>
          <w:lang w:eastAsia="zh-CN"/>
        </w:rPr>
        <w:t>于</w:t>
      </w:r>
      <w:r>
        <w:rPr>
          <w:rFonts w:hint="eastAsia" w:ascii="仿宋_GB2312" w:hAnsi="宋体" w:cs="仿宋_GB2312"/>
          <w:sz w:val="32"/>
          <w:szCs w:val="32"/>
          <w:lang w:val="en-US" w:eastAsia="zh-CN"/>
        </w:rPr>
        <w:t>2019年12月立项，并于2020年3月完成前期招投标工作，该项目于2020年4月进场进行施工，经过了4个月的施工，于2020年7月23日顺利竣工验收并投入使用</w:t>
      </w:r>
      <w:r>
        <w:rPr>
          <w:rFonts w:hint="eastAsia" w:ascii="仿宋_GB2312" w:hAnsi="宋体" w:cs="仿宋_GB2312"/>
          <w:sz w:val="32"/>
          <w:szCs w:val="32"/>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640" w:firstLineChars="200"/>
        <w:rPr>
          <w:rFonts w:ascii="楷体_GB2312" w:hAnsi="宋体" w:eastAsia="楷体_GB2312"/>
          <w:b/>
          <w:sz w:val="32"/>
          <w:szCs w:val="32"/>
          <w:lang w:val="zh-CN"/>
        </w:rPr>
      </w:pPr>
      <w:r>
        <w:rPr>
          <w:rFonts w:hint="eastAsia" w:ascii="仿宋_GB2312" w:hAnsi="宋体"/>
          <w:sz w:val="32"/>
          <w:szCs w:val="32"/>
          <w:lang w:eastAsia="zh-CN"/>
        </w:rPr>
        <w:t>该项目的建成并投入使用，使红原县查尔玛乡有了属于自己的乡镇垃圾收运中转站，将乡镇内的垃圾转运至垃圾收运中转站，进过压缩再次转运至县城垃圾焚烧厂，通过这种方式，将大大改善了乡镇的基础设施，提高乡镇的整体面貌，优化了人居环境和生态环境，加快了乡镇的经济发展</w:t>
      </w:r>
      <w:r>
        <w:rPr>
          <w:rFonts w:hint="eastAsia" w:ascii="仿宋_GB2312" w:hAnsi="宋体"/>
          <w:sz w:val="32"/>
          <w:szCs w:val="32"/>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adjustRightInd w:val="0"/>
        <w:snapToGrid w:val="0"/>
        <w:spacing w:line="600" w:lineRule="exact"/>
        <w:ind w:firstLine="720"/>
        <w:rPr>
          <w:rFonts w:hint="eastAsia" w:ascii="仿宋_GB2312" w:hAnsi="仿宋_GB2312" w:cs="仿宋_GB2312"/>
          <w:b/>
          <w:bCs/>
          <w:kern w:val="2"/>
          <w:sz w:val="32"/>
          <w:szCs w:val="32"/>
          <w:lang w:eastAsia="zh-CN"/>
        </w:rPr>
      </w:pPr>
      <w:r>
        <w:rPr>
          <w:rFonts w:hint="eastAsia" w:ascii="仿宋_GB2312" w:hAnsi="仿宋_GB2312" w:cs="仿宋_GB2312"/>
          <w:b/>
          <w:bCs/>
          <w:kern w:val="2"/>
          <w:sz w:val="32"/>
          <w:szCs w:val="32"/>
          <w:lang w:eastAsia="zh-CN"/>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adjustRightInd w:val="0"/>
        <w:snapToGrid w:val="0"/>
        <w:spacing w:line="600" w:lineRule="exact"/>
        <w:ind w:firstLine="720"/>
        <w:rPr>
          <w:rFonts w:hint="eastAsia"/>
          <w:sz w:val="32"/>
          <w:szCs w:val="32"/>
          <w:lang w:eastAsia="zh-CN"/>
        </w:rPr>
      </w:pPr>
      <w:r>
        <w:rPr>
          <w:rFonts w:hint="eastAsia" w:ascii="仿宋_GB2312" w:hAnsi="仿宋_GB2312" w:cs="仿宋_GB2312"/>
          <w:sz w:val="32"/>
          <w:szCs w:val="32"/>
          <w:lang w:eastAsia="zh-CN"/>
        </w:rPr>
        <w:t>无</w:t>
      </w:r>
    </w:p>
    <w:bookmarkEnd w:id="4"/>
    <w:p>
      <w:pPr>
        <w:pStyle w:val="11"/>
        <w:shd w:val="clear" w:color="auto" w:fill="FFFFFF"/>
      </w:pPr>
      <w:r>
        <w:t>附表</w:t>
      </w:r>
    </w:p>
    <w:tbl>
      <w:tblPr>
        <w:tblStyle w:val="12"/>
        <w:tblW w:w="83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01"/>
        <w:gridCol w:w="1016"/>
        <w:gridCol w:w="1419"/>
        <w:gridCol w:w="1053"/>
        <w:gridCol w:w="1091"/>
        <w:gridCol w:w="205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337" w:type="dxa"/>
            <w:gridSpan w:val="6"/>
            <w:tcBorders>
              <w:top w:val="outset" w:color="auto" w:sz="6" w:space="0"/>
              <w:left w:val="outset" w:color="auto" w:sz="6" w:space="0"/>
              <w:bottom w:val="outset" w:color="auto" w:sz="6" w:space="0"/>
              <w:right w:val="outset" w:color="auto" w:sz="6" w:space="0"/>
            </w:tcBorders>
            <w:noWrap/>
            <w:vAlign w:val="center"/>
          </w:tcPr>
          <w:p>
            <w:pPr>
              <w:pStyle w:val="11"/>
              <w:jc w:val="center"/>
            </w:pPr>
            <w:r>
              <w:rPr>
                <w:rStyle w:val="14"/>
              </w:rPr>
              <w:t>2021年100万元以上（含）特定目标类部门预算项目绩效目标自评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blCellSpacing w:w="0" w:type="dxa"/>
        </w:trPr>
        <w:tc>
          <w:tcPr>
            <w:tcW w:w="2716"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pPr>
            <w:r>
              <w:t>主管部门及代码</w:t>
            </w:r>
          </w:p>
        </w:tc>
        <w:tc>
          <w:tcPr>
            <w:tcW w:w="2466"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121101</w:t>
            </w:r>
            <w:r>
              <w:t> </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实施单位</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both"/>
            </w:pPr>
            <w:r>
              <w:rPr>
                <w:rFonts w:hint="eastAsia"/>
                <w:sz w:val="16"/>
                <w:szCs w:val="16"/>
                <w:lang w:eastAsia="zh-CN"/>
              </w:rPr>
              <w:t>红原县住房和城乡建设局</w:t>
            </w:r>
            <w:r>
              <w:rPr>
                <w:sz w:val="16"/>
                <w:szCs w:val="16"/>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16" w:type="dxa"/>
            <w:gridSpan w:val="2"/>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项目预算</w:t>
            </w:r>
          </w:p>
          <w:p>
            <w:pPr>
              <w:pStyle w:val="11"/>
              <w:jc w:val="center"/>
            </w:pPr>
            <w:r>
              <w:t>执行情况</w:t>
            </w:r>
          </w:p>
          <w:p>
            <w:pPr>
              <w:pStyle w:val="11"/>
              <w:jc w:val="center"/>
            </w:pPr>
            <w:r>
              <w:t>（万元）</w:t>
            </w: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 预算数：</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204万元</w:t>
            </w:r>
            <w:r>
              <w:t> </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t> 执行数：</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195.71万元</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0" w:type="auto"/>
            <w:gridSpan w:val="2"/>
            <w:vMerge w:val="continue"/>
            <w:tcBorders>
              <w:top w:val="outset" w:color="auto" w:sz="6" w:space="0"/>
              <w:left w:val="outset" w:color="auto" w:sz="6" w:space="0"/>
              <w:bottom w:val="outset" w:color="auto" w:sz="6" w:space="0"/>
              <w:right w:val="outset" w:color="auto" w:sz="6" w:space="0"/>
            </w:tcBorders>
            <w:vAlign w:val="center"/>
          </w:tcP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其中：</w:t>
            </w:r>
          </w:p>
          <w:p>
            <w:pPr>
              <w:pStyle w:val="11"/>
              <w:jc w:val="center"/>
            </w:pPr>
            <w:r>
              <w:t>财政拨款</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204万元</w:t>
            </w:r>
            <w:r>
              <w:t> </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其中：</w:t>
            </w:r>
          </w:p>
          <w:p>
            <w:pPr>
              <w:pStyle w:val="11"/>
              <w:jc w:val="center"/>
            </w:pPr>
            <w:r>
              <w:t>财政拨款</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195.71万元</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0" w:type="auto"/>
            <w:gridSpan w:val="2"/>
            <w:vMerge w:val="continue"/>
            <w:tcBorders>
              <w:top w:val="outset" w:color="auto" w:sz="6" w:space="0"/>
              <w:left w:val="outset" w:color="auto" w:sz="6" w:space="0"/>
              <w:bottom w:val="outset" w:color="auto" w:sz="6" w:space="0"/>
              <w:right w:val="outset" w:color="auto" w:sz="6" w:space="0"/>
            </w:tcBorders>
            <w:vAlign w:val="center"/>
          </w:tcP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其他资金</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eastAsia" w:eastAsia="宋体"/>
                <w:lang w:val="en-US" w:eastAsia="zh-CN"/>
              </w:rPr>
            </w:pPr>
            <w:r>
              <w:t> </w:t>
            </w:r>
            <w:r>
              <w:rPr>
                <w:rFonts w:hint="eastAsia"/>
                <w:lang w:val="en-US" w:eastAsia="zh-CN"/>
              </w:rPr>
              <w:t>0</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其他资金</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0</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trPr>
        <w:tc>
          <w:tcPr>
            <w:tcW w:w="1708" w:type="dxa"/>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年度总体目标</w:t>
            </w:r>
          </w:p>
          <w:p>
            <w:pPr>
              <w:pStyle w:val="11"/>
              <w:jc w:val="center"/>
            </w:pPr>
            <w:r>
              <w:t>完成情况</w:t>
            </w:r>
          </w:p>
        </w:tc>
        <w:tc>
          <w:tcPr>
            <w:tcW w:w="3474" w:type="dxa"/>
            <w:gridSpan w:val="3"/>
            <w:tcBorders>
              <w:top w:val="outset" w:color="auto" w:sz="6" w:space="0"/>
              <w:left w:val="outset" w:color="auto" w:sz="6" w:space="0"/>
              <w:bottom w:val="outset" w:color="auto" w:sz="6" w:space="0"/>
              <w:right w:val="outset" w:color="auto" w:sz="6" w:space="0"/>
            </w:tcBorders>
            <w:noWrap/>
            <w:vAlign w:val="center"/>
          </w:tcPr>
          <w:p>
            <w:pPr>
              <w:pStyle w:val="11"/>
              <w:jc w:val="center"/>
            </w:pPr>
            <w:r>
              <w:t>预期目标</w:t>
            </w:r>
          </w:p>
        </w:tc>
        <w:tc>
          <w:tcPr>
            <w:tcW w:w="3155"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pPr>
            <w:r>
              <w:t>目标实际完成情况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3474" w:type="dxa"/>
            <w:gridSpan w:val="3"/>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ascii="仿宋_GB2312" w:hAnsi="仿宋_GB2312" w:cs="仿宋_GB2312"/>
                <w:sz w:val="22"/>
                <w:szCs w:val="22"/>
                <w:lang w:val="zh-CN" w:eastAsia="zh-CN"/>
              </w:rPr>
              <w:t>在红原县查尔玛乡建设一座占地</w:t>
            </w:r>
            <w:r>
              <w:rPr>
                <w:rFonts w:hint="eastAsia" w:ascii="仿宋_GB2312" w:hAnsi="仿宋_GB2312" w:cs="仿宋_GB2312"/>
                <w:sz w:val="22"/>
                <w:szCs w:val="22"/>
                <w:lang w:val="en-US" w:eastAsia="zh-CN"/>
              </w:rPr>
              <w:t>2700平方米，建筑面积234平方米的乡镇垃圾中转站。完成100%</w:t>
            </w:r>
            <w:r>
              <w:rPr>
                <w:sz w:val="22"/>
                <w:szCs w:val="22"/>
              </w:rPr>
              <w:t> </w:t>
            </w:r>
          </w:p>
        </w:tc>
        <w:tc>
          <w:tcPr>
            <w:tcW w:w="3155" w:type="dxa"/>
            <w:gridSpan w:val="2"/>
            <w:tcBorders>
              <w:top w:val="outset" w:color="auto" w:sz="6" w:space="0"/>
              <w:left w:val="outset" w:color="auto" w:sz="6" w:space="0"/>
              <w:bottom w:val="outset" w:color="auto" w:sz="6" w:space="0"/>
              <w:right w:val="outset" w:color="auto" w:sz="6" w:space="0"/>
            </w:tcBorders>
            <w:noWrap/>
            <w:vAlign w:val="center"/>
          </w:tcPr>
          <w:p>
            <w:pPr>
              <w:adjustRightInd w:val="0"/>
              <w:snapToGrid w:val="0"/>
              <w:spacing w:line="600" w:lineRule="exact"/>
              <w:ind w:firstLine="720"/>
            </w:pPr>
            <w:r>
              <w:rPr>
                <w:rFonts w:hint="eastAsia" w:ascii="仿宋_GB2312" w:hAnsi="仿宋_GB2312" w:eastAsia="宋体" w:cs="仿宋_GB2312"/>
                <w:sz w:val="22"/>
                <w:szCs w:val="22"/>
                <w:lang w:val="zh-CN" w:eastAsia="zh-CN" w:bidi="ar-SA"/>
              </w:rPr>
              <w:t>截至</w:t>
            </w:r>
            <w:r>
              <w:rPr>
                <w:rFonts w:hint="eastAsia" w:ascii="仿宋_GB2312" w:hAnsi="仿宋_GB2312" w:eastAsia="宋体" w:cs="仿宋_GB2312"/>
                <w:sz w:val="22"/>
                <w:szCs w:val="22"/>
                <w:lang w:val="en-US" w:eastAsia="zh-CN" w:bidi="ar-SA"/>
              </w:rPr>
              <w:t>2021年底</w:t>
            </w:r>
            <w:r>
              <w:rPr>
                <w:rFonts w:hint="eastAsia" w:ascii="仿宋_GB2312" w:hAnsi="仿宋_GB2312" w:eastAsia="宋体" w:cs="仿宋_GB2312"/>
                <w:sz w:val="22"/>
                <w:szCs w:val="22"/>
                <w:lang w:val="zh-CN" w:eastAsia="zh-CN" w:bidi="ar-SA"/>
              </w:rPr>
              <w:t>已支付195.7125792万元，拨付进度占预算的</w:t>
            </w:r>
            <w:r>
              <w:rPr>
                <w:rFonts w:hint="eastAsia" w:ascii="仿宋_GB2312" w:hAnsi="仿宋_GB2312" w:eastAsia="宋体" w:cs="仿宋_GB2312"/>
                <w:sz w:val="22"/>
                <w:szCs w:val="22"/>
                <w:lang w:val="en-US" w:eastAsia="zh-CN" w:bidi="ar-SA"/>
              </w:rPr>
              <w:t>95.93</w:t>
            </w:r>
            <w:r>
              <w:rPr>
                <w:rFonts w:hint="eastAsia" w:ascii="仿宋_GB2312" w:hAnsi="仿宋_GB2312" w:eastAsia="宋体" w:cs="仿宋_GB2312"/>
                <w:sz w:val="22"/>
                <w:szCs w:val="22"/>
                <w:lang w:val="zh-CN" w:eastAsia="zh-CN" w:bidi="ar-SA"/>
              </w:rPr>
              <w:t>%。其中前期费用全部拨付完成，达到</w:t>
            </w:r>
            <w:r>
              <w:rPr>
                <w:rFonts w:hint="eastAsia" w:ascii="仿宋_GB2312" w:hAnsi="仿宋_GB2312" w:eastAsia="宋体" w:cs="仿宋_GB2312"/>
                <w:sz w:val="22"/>
                <w:szCs w:val="22"/>
                <w:lang w:val="en-US" w:eastAsia="zh-CN" w:bidi="ar-SA"/>
              </w:rPr>
              <w:t>100%，施工费用和监理费用拨付至97%。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1708" w:type="dxa"/>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年度绩效指标完成情况</w:t>
            </w:r>
          </w:p>
        </w:tc>
        <w:tc>
          <w:tcPr>
            <w:tcW w:w="1008" w:type="dxa"/>
            <w:tcBorders>
              <w:top w:val="outset" w:color="auto" w:sz="6" w:space="0"/>
              <w:left w:val="outset" w:color="auto" w:sz="6" w:space="0"/>
              <w:bottom w:val="outset" w:color="auto" w:sz="6" w:space="0"/>
              <w:right w:val="outset" w:color="auto" w:sz="6" w:space="0"/>
            </w:tcBorders>
            <w:noWrap/>
            <w:vAlign w:val="center"/>
          </w:tcPr>
          <w:p>
            <w:pPr>
              <w:pStyle w:val="11"/>
              <w:jc w:val="center"/>
            </w:pPr>
            <w:r>
              <w:t>一级</w:t>
            </w:r>
          </w:p>
          <w:p>
            <w:pPr>
              <w:pStyle w:val="11"/>
              <w:jc w:val="center"/>
            </w:pPr>
            <w:r>
              <w:t>指标</w:t>
            </w: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二级</w:t>
            </w:r>
          </w:p>
          <w:p>
            <w:pPr>
              <w:pStyle w:val="11"/>
              <w:jc w:val="center"/>
            </w:pPr>
            <w:r>
              <w:t>指标</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pPr>
            <w:r>
              <w:t>三级</w:t>
            </w:r>
          </w:p>
          <w:p>
            <w:pPr>
              <w:pStyle w:val="11"/>
              <w:jc w:val="center"/>
            </w:pPr>
            <w:r>
              <w:t>指标</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t>预期指标值</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实际完成指标值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008" w:type="dxa"/>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完成</w:t>
            </w:r>
          </w:p>
          <w:p>
            <w:pPr>
              <w:pStyle w:val="11"/>
              <w:jc w:val="center"/>
            </w:pPr>
            <w:r>
              <w:t>指标</w:t>
            </w: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数量指标</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施工进度已达到</w:t>
            </w:r>
            <w:r>
              <w:rPr>
                <w:rFonts w:hint="eastAsia"/>
                <w:lang w:val="en-US" w:eastAsia="zh-CN"/>
              </w:rPr>
              <w:t>100%，资金支付达到97%</w:t>
            </w:r>
            <w:r>
              <w:t> </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预期完成总工程量的</w:t>
            </w:r>
            <w:r>
              <w:rPr>
                <w:rFonts w:hint="eastAsia"/>
                <w:lang w:val="en-US" w:eastAsia="zh-CN"/>
              </w:rPr>
              <w:t>100%</w:t>
            </w:r>
            <w:r>
              <w:t> </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实际完成总工程量的</w:t>
            </w:r>
            <w:r>
              <w:rPr>
                <w:rFonts w:hint="eastAsia"/>
                <w:lang w:val="en-US" w:eastAsia="zh-CN"/>
              </w:rPr>
              <w:t>100%，自己拨付达到97%，剩余未拨付为项目质保金。</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质量指标</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质量达到设计要求</w:t>
            </w:r>
            <w:r>
              <w:t> </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各项指标已达到设计要求各项指标要求</w:t>
            </w:r>
            <w:r>
              <w:t> </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tabs>
                <w:tab w:val="left" w:pos="469"/>
                <w:tab w:val="center" w:pos="1088"/>
              </w:tabs>
              <w:jc w:val="left"/>
            </w:pPr>
            <w:r>
              <w:rPr>
                <w:rFonts w:hint="eastAsia"/>
                <w:lang w:eastAsia="zh-CN"/>
              </w:rPr>
              <w:tab/>
            </w:r>
            <w:r>
              <w:rPr>
                <w:rFonts w:hint="eastAsia"/>
                <w:lang w:eastAsia="zh-CN"/>
              </w:rPr>
              <w:t>实际质量达到设计要求</w:t>
            </w:r>
            <w:r>
              <w:rPr>
                <w:rFonts w:hint="eastAsia"/>
                <w:lang w:eastAsia="zh-CN"/>
              </w:rPr>
              <w:tab/>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时效指标</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default" w:eastAsia="宋体"/>
                <w:lang w:val="en-US" w:eastAsia="zh-CN"/>
              </w:rPr>
            </w:pPr>
            <w:r>
              <w:t> </w:t>
            </w:r>
            <w:r>
              <w:rPr>
                <w:rFonts w:hint="eastAsia"/>
                <w:lang w:val="en-US" w:eastAsia="zh-CN"/>
              </w:rPr>
              <w:t>2021年10月底完成</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2021年10月底完成</w:t>
            </w:r>
            <w:r>
              <w:t> </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已在</w:t>
            </w:r>
            <w:r>
              <w:rPr>
                <w:rFonts w:hint="eastAsia"/>
                <w:lang w:val="en-US" w:eastAsia="zh-CN"/>
              </w:rPr>
              <w:t>2021年9月底完成</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成本指标</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控制在预算内</w:t>
            </w:r>
            <w:r>
              <w:t> </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不超过预算</w:t>
            </w:r>
            <w:r>
              <w:t> </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eastAsia" w:eastAsia="宋体"/>
                <w:lang w:eastAsia="zh-CN"/>
              </w:rPr>
            </w:pPr>
            <w:r>
              <w:t> </w:t>
            </w:r>
            <w:r>
              <w:rPr>
                <w:rFonts w:hint="eastAsia"/>
                <w:lang w:eastAsia="zh-CN"/>
              </w:rPr>
              <w:t>实际完成未超过预算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ind w:left="423"/>
              <w:jc w:val="both"/>
            </w:pPr>
            <w:r>
              <w:t>生态效益指标</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eastAsia" w:eastAsia="宋体"/>
                <w:lang w:eastAsia="zh-CN"/>
              </w:rPr>
            </w:pPr>
            <w:r>
              <w:t> </w:t>
            </w:r>
            <w:r>
              <w:rPr>
                <w:rFonts w:hint="eastAsia"/>
                <w:lang w:eastAsia="zh-CN"/>
              </w:rPr>
              <w:t>保证垃圾及时处理，美化环境卫生</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eastAsia" w:eastAsia="宋体"/>
                <w:lang w:eastAsia="zh-CN"/>
              </w:rPr>
            </w:pPr>
            <w:r>
              <w:rPr>
                <w:rFonts w:hint="eastAsia"/>
                <w:lang w:eastAsia="zh-CN"/>
              </w:rPr>
              <w:t>达到垃圾处理要求</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经试运行，基本达到要求</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008"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满意</w:t>
            </w:r>
          </w:p>
          <w:p>
            <w:pPr>
              <w:pStyle w:val="11"/>
              <w:jc w:val="center"/>
            </w:pPr>
            <w:r>
              <w:t>度指标</w:t>
            </w:r>
          </w:p>
        </w:tc>
        <w:tc>
          <w:tcPr>
            <w:tcW w:w="1420"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满意度</w:t>
            </w:r>
          </w:p>
          <w:p>
            <w:pPr>
              <w:pStyle w:val="11"/>
              <w:jc w:val="center"/>
            </w:pPr>
            <w:r>
              <w:t>指标</w:t>
            </w:r>
          </w:p>
        </w:tc>
        <w:tc>
          <w:tcPr>
            <w:tcW w:w="1046"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受益乡镇居民满意</w:t>
            </w:r>
            <w:r>
              <w:t> </w:t>
            </w:r>
          </w:p>
        </w:tc>
        <w:tc>
          <w:tcPr>
            <w:tcW w:w="1084"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达到乡镇垃圾处理要求</w:t>
            </w:r>
            <w:r>
              <w:t> </w:t>
            </w:r>
          </w:p>
        </w:tc>
        <w:tc>
          <w:tcPr>
            <w:tcW w:w="207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达到预期要求，服务对象满意</w:t>
            </w:r>
            <w:r>
              <w:t> </w:t>
            </w:r>
          </w:p>
        </w:tc>
      </w:tr>
    </w:tbl>
    <w:p>
      <w:pPr>
        <w:pStyle w:val="11"/>
        <w:shd w:val="clear" w:color="auto" w:fill="FFFFFF"/>
      </w:pPr>
      <w:r>
        <w:t>（注：有两个及以上100万元以上（含）特定目标类部门预算项目的，需分别开展绩效目标自评并填写附表）</w:t>
      </w:r>
    </w:p>
    <w:p>
      <w:pPr>
        <w:pStyle w:val="18"/>
        <w:widowControl/>
        <w:spacing w:line="560" w:lineRule="exact"/>
        <w:ind w:firstLine="883" w:firstLineChars="200"/>
        <w:jc w:val="center"/>
        <w:rPr>
          <w:rFonts w:hint="eastAsia" w:ascii="宋体" w:hAnsi="宋体" w:cs="宋体"/>
          <w:b/>
          <w:sz w:val="44"/>
          <w:szCs w:val="44"/>
          <w:lang w:val="en-US"/>
        </w:rPr>
      </w:pPr>
    </w:p>
    <w:p>
      <w:pPr>
        <w:pStyle w:val="18"/>
        <w:widowControl/>
        <w:spacing w:line="560" w:lineRule="exact"/>
        <w:ind w:firstLine="883" w:firstLineChars="200"/>
        <w:jc w:val="center"/>
        <w:rPr>
          <w:rFonts w:hint="eastAsia" w:ascii="宋体" w:hAnsi="宋体" w:cs="宋体"/>
          <w:b/>
          <w:sz w:val="44"/>
          <w:szCs w:val="44"/>
          <w:lang w:val="en-US"/>
        </w:rPr>
      </w:pPr>
    </w:p>
    <w:p>
      <w:pPr>
        <w:pStyle w:val="18"/>
        <w:widowControl/>
        <w:spacing w:line="560" w:lineRule="exact"/>
        <w:ind w:firstLine="883" w:firstLineChars="200"/>
        <w:jc w:val="center"/>
        <w:rPr>
          <w:rFonts w:ascii="宋体" w:hAnsi="宋体" w:cs="宋体"/>
          <w:b/>
          <w:sz w:val="44"/>
          <w:szCs w:val="44"/>
        </w:rPr>
      </w:pPr>
      <w:r>
        <w:rPr>
          <w:rFonts w:hint="eastAsia" w:ascii="宋体" w:hAnsi="宋体" w:cs="宋体"/>
          <w:b/>
          <w:sz w:val="44"/>
          <w:szCs w:val="44"/>
          <w:lang w:val="en-US"/>
        </w:rPr>
        <w:t>红原县住房和城乡建设局</w:t>
      </w:r>
      <w:r>
        <w:rPr>
          <w:rFonts w:hint="eastAsia" w:ascii="宋体" w:hAnsi="宋体" w:cs="宋体"/>
          <w:b/>
          <w:sz w:val="44"/>
          <w:szCs w:val="44"/>
        </w:rPr>
        <w:t>项目</w:t>
      </w:r>
    </w:p>
    <w:p>
      <w:pPr>
        <w:pStyle w:val="18"/>
        <w:widowControl/>
        <w:spacing w:line="560" w:lineRule="exact"/>
        <w:ind w:firstLine="883" w:firstLineChars="200"/>
        <w:jc w:val="center"/>
        <w:rPr>
          <w:rFonts w:ascii="仿宋_GB2312" w:hAnsi="宋体" w:eastAsia="仿宋_GB2312" w:cs="仿宋_GB2312"/>
          <w:color w:val="auto"/>
          <w:kern w:val="2"/>
          <w:sz w:val="32"/>
          <w:szCs w:val="32"/>
        </w:rPr>
      </w:pPr>
      <w:r>
        <w:rPr>
          <w:rFonts w:hint="eastAsia" w:ascii="宋体" w:hAnsi="宋体" w:cs="宋体"/>
          <w:b/>
          <w:sz w:val="44"/>
          <w:szCs w:val="44"/>
        </w:rPr>
        <w:t>支出绩效自评报告</w:t>
      </w:r>
    </w:p>
    <w:p>
      <w:pPr>
        <w:spacing w:line="560" w:lineRule="exact"/>
        <w:ind w:firstLine="480" w:firstLineChars="200"/>
        <w:jc w:val="center"/>
        <w:rPr>
          <w:rFonts w:ascii="仿宋_GB2312" w:hAnsi="宋体" w:cs="仿宋_GB2312"/>
        </w:rPr>
      </w:pPr>
      <w:r>
        <w:rPr>
          <w:rFonts w:hint="eastAsia" w:ascii="仿宋_GB2312" w:hAnsi="宋体" w:cs="仿宋_GB2312"/>
          <w:szCs w:val="24"/>
        </w:rPr>
        <w:t>（红原县城区污水管网提升改造建设项目）</w:t>
      </w:r>
    </w:p>
    <w:p>
      <w:pPr>
        <w:pStyle w:val="18"/>
        <w:spacing w:line="600" w:lineRule="exact"/>
        <w:ind w:firstLine="640"/>
        <w:jc w:val="center"/>
        <w:rPr>
          <w:rFonts w:ascii="宋体" w:hAnsi="宋体"/>
          <w:color w:val="auto"/>
          <w:kern w:val="2"/>
          <w:sz w:val="32"/>
          <w:szCs w:val="32"/>
          <w:lang w:val="en-US"/>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643" w:firstLineChars="200"/>
        <w:rPr>
          <w:rFonts w:ascii="仿宋_GB2312" w:hAnsi="宋体" w:cs="仿宋_GB2312"/>
          <w:sz w:val="32"/>
          <w:szCs w:val="32"/>
        </w:rPr>
      </w:pPr>
      <w:r>
        <w:rPr>
          <w:rFonts w:hint="eastAsia" w:ascii="楷体_GB2312" w:hAnsi="宋体" w:eastAsia="楷体_GB2312"/>
          <w:b/>
          <w:sz w:val="32"/>
          <w:szCs w:val="32"/>
          <w:lang w:val="zh-CN"/>
        </w:rPr>
        <w:t>（一）项目资金申报及批复情况。</w:t>
      </w:r>
      <w:r>
        <w:rPr>
          <w:rFonts w:hint="eastAsia" w:ascii="仿宋_GB2312" w:hAnsi="宋体" w:cs="仿宋_GB2312"/>
          <w:sz w:val="32"/>
          <w:szCs w:val="32"/>
        </w:rPr>
        <w:t>红原县城区污水管网提升改造建设项目经县委县政府批准，财政部门审核通过。</w:t>
      </w:r>
      <w:r>
        <w:rPr>
          <w:rFonts w:hint="eastAsia" w:ascii="仿宋_GB2312" w:hAnsi="仿宋_GB2312" w:cs="仿宋_GB2312"/>
          <w:sz w:val="32"/>
          <w:szCs w:val="32"/>
          <w:lang w:val="en-US" w:eastAsia="zh-CN"/>
        </w:rPr>
        <w:t>2020年下达中央水污染防治专项资金</w:t>
      </w:r>
      <w:r>
        <w:rPr>
          <w:rFonts w:hint="eastAsia" w:ascii="仿宋_GB2312" w:hAnsi="宋体" w:cs="仿宋_GB2312"/>
          <w:sz w:val="32"/>
          <w:szCs w:val="32"/>
        </w:rPr>
        <w:t>阿州财</w:t>
      </w:r>
      <w:r>
        <w:rPr>
          <w:rFonts w:hint="eastAsia" w:ascii="仿宋_GB2312" w:hAnsi="宋体" w:cs="仿宋_GB2312"/>
          <w:sz w:val="32"/>
          <w:szCs w:val="32"/>
          <w:lang w:eastAsia="zh-CN"/>
        </w:rPr>
        <w:t>资环</w:t>
      </w:r>
      <w:r>
        <w:rPr>
          <w:rFonts w:hint="eastAsia" w:ascii="宋体" w:hAnsi="宋体" w:eastAsia="宋体" w:cs="宋体"/>
          <w:sz w:val="32"/>
          <w:szCs w:val="32"/>
        </w:rPr>
        <w:t>〔</w:t>
      </w:r>
      <w:r>
        <w:rPr>
          <w:rFonts w:hint="eastAsia" w:ascii="仿宋_GB2312" w:hAnsi="宋体" w:cs="仿宋_GB2312"/>
          <w:sz w:val="32"/>
          <w:szCs w:val="32"/>
        </w:rPr>
        <w:t>20</w:t>
      </w:r>
      <w:r>
        <w:rPr>
          <w:rFonts w:hint="eastAsia" w:ascii="仿宋_GB2312" w:hAnsi="宋体" w:cs="仿宋_GB2312"/>
          <w:sz w:val="32"/>
          <w:szCs w:val="32"/>
          <w:lang w:val="en-US" w:eastAsia="zh-CN"/>
        </w:rPr>
        <w:t>20</w:t>
      </w:r>
      <w:r>
        <w:rPr>
          <w:rFonts w:hint="eastAsia" w:ascii="宋体" w:hAnsi="宋体" w:eastAsia="宋体" w:cs="宋体"/>
          <w:sz w:val="32"/>
          <w:szCs w:val="32"/>
        </w:rPr>
        <w:t>〕</w:t>
      </w:r>
      <w:r>
        <w:rPr>
          <w:rFonts w:hint="eastAsia" w:ascii="仿宋_GB2312" w:hAnsi="宋体" w:cs="仿宋_GB2312"/>
          <w:sz w:val="32"/>
          <w:szCs w:val="32"/>
        </w:rPr>
        <w:t>5号</w:t>
      </w:r>
      <w:r>
        <w:rPr>
          <w:rFonts w:hint="eastAsia" w:ascii="仿宋_GB2312" w:hAnsi="宋体" w:cs="仿宋_GB2312"/>
          <w:sz w:val="32"/>
          <w:szCs w:val="32"/>
          <w:lang w:val="en-US" w:eastAsia="zh-CN"/>
        </w:rPr>
        <w:t>1500</w:t>
      </w:r>
      <w:r>
        <w:rPr>
          <w:rFonts w:hint="eastAsia" w:ascii="仿宋_GB2312" w:hAnsi="宋体" w:cs="仿宋_GB2312"/>
          <w:sz w:val="32"/>
          <w:szCs w:val="32"/>
        </w:rPr>
        <w:t>万元全部用于红原县城区污水管网提升改造建设项目未挪为它用。</w:t>
      </w:r>
    </w:p>
    <w:p>
      <w:pPr>
        <w:spacing w:line="560" w:lineRule="exact"/>
        <w:ind w:firstLine="640"/>
        <w:rPr>
          <w:rFonts w:ascii="仿宋_GB2312" w:hAnsi="仿宋_GB2312" w:cs="仿宋_GB2312"/>
          <w:color w:val="000000"/>
          <w:sz w:val="32"/>
          <w:szCs w:val="32"/>
        </w:rPr>
      </w:pPr>
      <w:r>
        <w:rPr>
          <w:rFonts w:hint="eastAsia" w:ascii="楷体_GB2312" w:hAnsi="宋体" w:eastAsia="楷体_GB2312"/>
          <w:b/>
          <w:sz w:val="32"/>
          <w:szCs w:val="32"/>
          <w:lang w:val="zh-CN"/>
        </w:rPr>
        <w:t>（二）项目绩效目标。</w:t>
      </w:r>
      <w:r>
        <w:rPr>
          <w:rFonts w:hint="eastAsia" w:ascii="仿宋_GB2312" w:hAnsi="宋体" w:cs="仿宋_GB2312"/>
          <w:sz w:val="32"/>
          <w:szCs w:val="32"/>
        </w:rPr>
        <w:t>红原县城区污水管网提升改造建设项目</w:t>
      </w:r>
      <w:r>
        <w:rPr>
          <w:rFonts w:hint="eastAsia" w:ascii="仿宋_GB2312" w:hAnsi="仿宋_GB2312" w:cs="仿宋_GB2312"/>
          <w:color w:val="000000"/>
          <w:sz w:val="32"/>
          <w:szCs w:val="32"/>
        </w:rPr>
        <w:t>，</w:t>
      </w:r>
      <w:r>
        <w:rPr>
          <w:rFonts w:hint="eastAsia" w:ascii="仿宋_GB2312" w:hAnsi="仿宋_GB2312" w:cs="仿宋_GB2312"/>
          <w:color w:val="000000"/>
          <w:sz w:val="32"/>
          <w:szCs w:val="32"/>
          <w:lang w:eastAsia="zh-CN"/>
        </w:rPr>
        <w:t>对红原县城区地下水渗入排污管进行调评价，路面恢复</w:t>
      </w:r>
      <w:r>
        <w:rPr>
          <w:rFonts w:hint="eastAsia" w:ascii="仿宋_GB2312" w:hAnsi="仿宋_GB2312" w:cs="仿宋_GB2312"/>
          <w:color w:val="000000"/>
          <w:sz w:val="32"/>
          <w:szCs w:val="32"/>
          <w:lang w:val="en-US" w:eastAsia="zh-CN"/>
        </w:rPr>
        <w:t>3200平方米；新建DN800HDPE钢塑复合缠绕污水管长1775米，DN600HDPE钢塑复合缠绕污水管长1490米；改造DN</w:t>
      </w:r>
      <w:r>
        <w:rPr>
          <w:rFonts w:hint="default" w:ascii="仿宋_GB2312" w:hAnsi="仿宋_GB2312" w:cs="仿宋_GB2312"/>
          <w:color w:val="000000"/>
          <w:sz w:val="32"/>
          <w:szCs w:val="32"/>
          <w:lang w:val="en" w:eastAsia="zh-CN"/>
        </w:rPr>
        <w:t>400</w:t>
      </w:r>
      <w:r>
        <w:rPr>
          <w:rFonts w:hint="eastAsia" w:ascii="仿宋_GB2312" w:hAnsi="仿宋_GB2312" w:cs="仿宋_GB2312"/>
          <w:color w:val="000000"/>
          <w:sz w:val="32"/>
          <w:szCs w:val="32"/>
          <w:lang w:val="en-US" w:eastAsia="zh-CN"/>
        </w:rPr>
        <w:t>HDPE钢塑复合缠绕污水管长</w:t>
      </w:r>
      <w:r>
        <w:rPr>
          <w:rFonts w:hint="default" w:ascii="仿宋_GB2312" w:hAnsi="仿宋_GB2312" w:cs="仿宋_GB2312"/>
          <w:color w:val="000000"/>
          <w:sz w:val="32"/>
          <w:szCs w:val="32"/>
          <w:lang w:val="en" w:eastAsia="zh-CN"/>
        </w:rPr>
        <w:t>790</w:t>
      </w:r>
      <w:r>
        <w:rPr>
          <w:rFonts w:hint="eastAsia" w:ascii="仿宋_GB2312" w:hAnsi="仿宋_GB2312" w:cs="仿宋_GB2312"/>
          <w:color w:val="000000"/>
          <w:sz w:val="32"/>
          <w:szCs w:val="32"/>
          <w:lang w:val="en" w:eastAsia="zh-CN"/>
        </w:rPr>
        <w:t>米；</w:t>
      </w:r>
      <w:r>
        <w:rPr>
          <w:rFonts w:hint="eastAsia" w:ascii="仿宋_GB2312" w:hAnsi="仿宋_GB2312" w:cs="仿宋_GB2312"/>
          <w:color w:val="000000"/>
          <w:sz w:val="32"/>
          <w:szCs w:val="32"/>
          <w:lang w:val="en-US" w:eastAsia="zh-CN"/>
        </w:rPr>
        <w:t>DN600管道清淤1490米，检查井141座。配套绿化、亮化及设备实施等。</w:t>
      </w:r>
    </w:p>
    <w:p>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cs="仿宋_GB2312"/>
          <w:sz w:val="32"/>
          <w:szCs w:val="32"/>
        </w:rPr>
        <w:t>红原县城区污水管网提升改造建设项目</w:t>
      </w:r>
      <w:r>
        <w:rPr>
          <w:rFonts w:hint="eastAsia" w:ascii="仿宋_GB2312" w:hAnsi="宋体"/>
          <w:sz w:val="32"/>
          <w:szCs w:val="32"/>
          <w:lang w:val="zh-CN"/>
        </w:rPr>
        <w:t>申报内容与具体实施内容相符、申报目标合理可行。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sz w:val="32"/>
          <w:szCs w:val="32"/>
          <w:lang w:val="zh-CN"/>
        </w:rPr>
        <w:tab/>
      </w:r>
      <w:r>
        <w:rPr>
          <w:rFonts w:hint="eastAsia" w:ascii="楷体_GB2312" w:hAnsi="宋体" w:eastAsia="楷体_GB2312"/>
          <w:b/>
          <w:sz w:val="32"/>
          <w:szCs w:val="32"/>
          <w:lang w:val="zh-CN"/>
        </w:rPr>
        <w:t>（一）资金计划、到位及使用情况。</w:t>
      </w:r>
    </w:p>
    <w:p>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sz w:val="32"/>
          <w:szCs w:val="32"/>
          <w:lang w:val="zh-CN"/>
        </w:rPr>
        <w:t>1．资金计划及到位。</w:t>
      </w:r>
      <w:r>
        <w:rPr>
          <w:rFonts w:hint="eastAsia" w:ascii="仿宋_GB2312" w:hAnsi="宋体" w:cs="仿宋_GB2312"/>
          <w:sz w:val="32"/>
          <w:szCs w:val="32"/>
        </w:rPr>
        <w:t>红原县城区污水管网提升改造建设项目</w:t>
      </w:r>
      <w:r>
        <w:rPr>
          <w:rFonts w:hint="eastAsia" w:ascii="仿宋_GB2312" w:hAnsi="宋体" w:cs="仿宋_GB2312"/>
          <w:sz w:val="32"/>
          <w:szCs w:val="32"/>
          <w:lang w:eastAsia="zh-CN"/>
        </w:rPr>
        <w:t>由中央水污染防治专项</w:t>
      </w:r>
      <w:r>
        <w:rPr>
          <w:rFonts w:hint="eastAsia" w:ascii="仿宋_GB2312" w:hAnsi="仿宋_GB2312" w:cs="仿宋_GB2312"/>
          <w:sz w:val="32"/>
          <w:szCs w:val="32"/>
        </w:rPr>
        <w:t>资金构成。</w:t>
      </w:r>
      <w:r>
        <w:rPr>
          <w:rFonts w:hint="eastAsia" w:ascii="仿宋_GB2312" w:hAnsi="仿宋_GB2312" w:cs="仿宋_GB2312"/>
          <w:sz w:val="32"/>
          <w:szCs w:val="32"/>
          <w:lang w:val="en-US" w:eastAsia="zh-CN"/>
        </w:rPr>
        <w:t>2020年中央污染防治专项资金</w:t>
      </w:r>
      <w:r>
        <w:rPr>
          <w:rFonts w:hint="eastAsia" w:ascii="仿宋_GB2312" w:hAnsi="宋体" w:cs="仿宋_GB2312"/>
          <w:sz w:val="32"/>
          <w:szCs w:val="32"/>
        </w:rPr>
        <w:t>阿州财</w:t>
      </w:r>
      <w:r>
        <w:rPr>
          <w:rFonts w:hint="eastAsia" w:ascii="仿宋_GB2312" w:hAnsi="宋体" w:cs="仿宋_GB2312"/>
          <w:sz w:val="32"/>
          <w:szCs w:val="32"/>
          <w:lang w:eastAsia="zh-CN"/>
        </w:rPr>
        <w:t>资环</w:t>
      </w:r>
      <w:r>
        <w:rPr>
          <w:rFonts w:hint="eastAsia" w:ascii="宋体" w:hAnsi="宋体" w:eastAsia="宋体" w:cs="宋体"/>
          <w:sz w:val="32"/>
          <w:szCs w:val="32"/>
        </w:rPr>
        <w:t>〔</w:t>
      </w:r>
      <w:r>
        <w:rPr>
          <w:rFonts w:hint="eastAsia" w:ascii="仿宋_GB2312" w:hAnsi="宋体" w:cs="仿宋_GB2312"/>
          <w:sz w:val="32"/>
          <w:szCs w:val="32"/>
        </w:rPr>
        <w:t>20</w:t>
      </w:r>
      <w:r>
        <w:rPr>
          <w:rFonts w:hint="eastAsia" w:ascii="仿宋_GB2312" w:hAnsi="宋体" w:cs="仿宋_GB2312"/>
          <w:sz w:val="32"/>
          <w:szCs w:val="32"/>
          <w:lang w:val="en-US" w:eastAsia="zh-CN"/>
        </w:rPr>
        <w:t>20</w:t>
      </w:r>
      <w:r>
        <w:rPr>
          <w:rFonts w:hint="eastAsia" w:ascii="宋体" w:hAnsi="宋体" w:eastAsia="宋体" w:cs="宋体"/>
          <w:sz w:val="32"/>
          <w:szCs w:val="32"/>
        </w:rPr>
        <w:t>〕</w:t>
      </w:r>
      <w:r>
        <w:rPr>
          <w:rFonts w:hint="eastAsia" w:ascii="仿宋_GB2312" w:hAnsi="宋体" w:cs="仿宋_GB2312"/>
          <w:sz w:val="32"/>
          <w:szCs w:val="32"/>
        </w:rPr>
        <w:t>5号</w:t>
      </w:r>
      <w:r>
        <w:rPr>
          <w:rFonts w:hint="eastAsia" w:ascii="仿宋_GB2312" w:hAnsi="宋体" w:cs="仿宋_GB2312"/>
          <w:sz w:val="32"/>
          <w:szCs w:val="32"/>
          <w:lang w:val="en-US" w:eastAsia="zh-CN"/>
        </w:rPr>
        <w:t>1500</w:t>
      </w:r>
      <w:r>
        <w:rPr>
          <w:rFonts w:hint="eastAsia" w:ascii="仿宋_GB2312" w:hAnsi="宋体" w:cs="仿宋_GB2312"/>
          <w:sz w:val="32"/>
          <w:szCs w:val="32"/>
        </w:rPr>
        <w:t>万元，资金到位率为100%。</w:t>
      </w:r>
    </w:p>
    <w:p>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sz w:val="32"/>
          <w:szCs w:val="32"/>
          <w:lang w:val="zh-CN"/>
        </w:rPr>
        <w:t>2．资金使用。</w:t>
      </w:r>
      <w:r>
        <w:rPr>
          <w:rFonts w:hint="eastAsia" w:ascii="仿宋_GB2312" w:hAnsi="宋体" w:cs="仿宋_GB2312"/>
          <w:sz w:val="32"/>
          <w:szCs w:val="32"/>
        </w:rPr>
        <w:t>截至目前已支付</w:t>
      </w:r>
      <w:r>
        <w:rPr>
          <w:rFonts w:hint="eastAsia" w:ascii="仿宋_GB2312" w:hAnsi="宋体" w:cs="仿宋_GB2312"/>
          <w:sz w:val="32"/>
          <w:szCs w:val="32"/>
          <w:lang w:val="en-US" w:eastAsia="zh-CN"/>
        </w:rPr>
        <w:t>316</w:t>
      </w:r>
      <w:r>
        <w:rPr>
          <w:rFonts w:hint="eastAsia" w:ascii="仿宋_GB2312" w:hAnsi="宋体" w:cs="仿宋_GB2312"/>
          <w:sz w:val="32"/>
          <w:szCs w:val="32"/>
        </w:rPr>
        <w:t>万元，拨付进度占预算的</w:t>
      </w:r>
      <w:r>
        <w:rPr>
          <w:rFonts w:hint="eastAsia" w:ascii="仿宋_GB2312" w:hAnsi="宋体" w:cs="仿宋_GB2312"/>
          <w:sz w:val="32"/>
          <w:szCs w:val="32"/>
          <w:lang w:val="en-US" w:eastAsia="zh-CN"/>
        </w:rPr>
        <w:t>30</w:t>
      </w:r>
      <w:r>
        <w:rPr>
          <w:rFonts w:hint="eastAsia" w:ascii="仿宋_GB2312" w:hAnsi="宋体" w:cs="仿宋_GB2312"/>
          <w:sz w:val="32"/>
          <w:szCs w:val="32"/>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adjustRightInd w:val="0"/>
        <w:snapToGrid w:val="0"/>
        <w:spacing w:line="560" w:lineRule="exact"/>
        <w:ind w:firstLine="640" w:firstLineChars="200"/>
        <w:rPr>
          <w:rFonts w:ascii="仿宋_GB2312" w:hAnsi="仿宋_GB2312" w:cs="仿宋_GB2312"/>
          <w:sz w:val="32"/>
          <w:szCs w:val="32"/>
          <w:lang w:val="zh-CN"/>
        </w:rPr>
      </w:pPr>
      <w:r>
        <w:rPr>
          <w:rFonts w:hint="eastAsia" w:ascii="仿宋_GB2312" w:hAnsi="仿宋_GB2312" w:cs="仿宋_GB2312"/>
          <w:sz w:val="32"/>
          <w:szCs w:val="32"/>
          <w:lang w:val="zh-CN"/>
        </w:rPr>
        <w:t>项目</w:t>
      </w:r>
      <w:r>
        <w:rPr>
          <w:rFonts w:hint="eastAsia" w:ascii="仿宋_GB2312" w:hAnsi="仿宋_GB2312" w:cs="仿宋_GB2312"/>
          <w:sz w:val="32"/>
          <w:szCs w:val="32"/>
        </w:rPr>
        <w:t>实施工程中</w:t>
      </w:r>
      <w:r>
        <w:rPr>
          <w:rFonts w:hint="eastAsia" w:ascii="仿宋_GB2312" w:hAnsi="仿宋_GB2312" w:cs="仿宋_GB2312"/>
          <w:sz w:val="32"/>
          <w:szCs w:val="32"/>
          <w:lang w:val="zh-CN"/>
        </w:rPr>
        <w:t>严格按照项目财务管理制度进行财务管理，专款专用，专人负责，严格对照资金管理办法，不拆借资金，规范会计核算程序。</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adjustRightInd w:val="0"/>
        <w:snapToGrid w:val="0"/>
        <w:spacing w:line="560" w:lineRule="exact"/>
        <w:ind w:firstLine="720"/>
        <w:rPr>
          <w:rFonts w:ascii="仿宋_GB2312" w:hAnsi="仿宋_GB2312" w:cs="仿宋_GB2312"/>
          <w:sz w:val="32"/>
          <w:szCs w:val="32"/>
          <w:lang w:val="zh-CN"/>
        </w:rPr>
      </w:pPr>
      <w:r>
        <w:rPr>
          <w:rFonts w:hint="eastAsia" w:ascii="仿宋_GB2312" w:hAnsi="仿宋_GB2312" w:cs="仿宋_GB2312"/>
          <w:sz w:val="32"/>
          <w:szCs w:val="32"/>
        </w:rPr>
        <w:t>项目实施阶段设置一名工作人员</w:t>
      </w:r>
      <w:r>
        <w:rPr>
          <w:rFonts w:hint="eastAsia" w:ascii="仿宋_GB2312" w:hAnsi="仿宋_GB2312" w:cs="仿宋_GB2312"/>
          <w:sz w:val="32"/>
          <w:szCs w:val="32"/>
          <w:lang w:val="zh-CN"/>
        </w:rPr>
        <w:t>专管本项目，严格招标投标程序，严格按发改部门批复的招投标程序进行招标，不拆分项目，不单列分包招标，保证项目招投标的严肃性。</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三、项目绩效情况</w:t>
      </w:r>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560" w:lineRule="exact"/>
        <w:ind w:firstLine="640" w:firstLineChars="200"/>
        <w:rPr>
          <w:rFonts w:hint="default" w:ascii="楷体_GB2312" w:hAnsi="宋体" w:eastAsia="仿宋_GB2312" w:cs="楷体_GB2312"/>
          <w:b/>
          <w:sz w:val="32"/>
          <w:szCs w:val="32"/>
          <w:lang w:val="en-US" w:eastAsia="zh-CN"/>
        </w:rPr>
      </w:pPr>
      <w:r>
        <w:rPr>
          <w:rFonts w:hint="eastAsia" w:ascii="仿宋_GB2312" w:hAnsi="宋体" w:cs="仿宋_GB2312"/>
          <w:sz w:val="32"/>
          <w:szCs w:val="32"/>
        </w:rPr>
        <w:t>红原县城区污水管网提升改造建设项目</w:t>
      </w:r>
      <w:r>
        <w:rPr>
          <w:rFonts w:hint="eastAsia" w:ascii="仿宋_GB2312" w:hAnsi="宋体" w:cs="仿宋_GB2312"/>
          <w:sz w:val="32"/>
          <w:szCs w:val="32"/>
          <w:lang w:eastAsia="zh-CN"/>
        </w:rPr>
        <w:t>于</w:t>
      </w:r>
      <w:r>
        <w:rPr>
          <w:rFonts w:hint="eastAsia" w:ascii="仿宋_GB2312" w:hAnsi="宋体" w:cs="仿宋_GB2312"/>
          <w:sz w:val="32"/>
          <w:szCs w:val="32"/>
          <w:lang w:val="en-US" w:eastAsia="zh-CN"/>
        </w:rPr>
        <w:t>2020年立项，并于2020年完成前期招投标工作，项目于2021年3月进场进行施工</w:t>
      </w:r>
      <w:r>
        <w:rPr>
          <w:rFonts w:hint="eastAsia" w:ascii="仿宋_GB2312" w:hAnsi="宋体" w:cs="仿宋_GB2312"/>
          <w:sz w:val="32"/>
          <w:szCs w:val="32"/>
        </w:rPr>
        <w:t>。</w:t>
      </w:r>
      <w:r>
        <w:rPr>
          <w:rFonts w:hint="eastAsia" w:ascii="仿宋_GB2312" w:hAnsi="宋体" w:cs="仿宋_GB2312"/>
          <w:sz w:val="32"/>
          <w:szCs w:val="32"/>
          <w:lang w:eastAsia="zh-CN"/>
        </w:rPr>
        <w:t>截止目前，</w:t>
      </w:r>
      <w:r>
        <w:rPr>
          <w:rFonts w:hint="eastAsia" w:ascii="仿宋_GB2312" w:hAnsi="宋体" w:cs="仿宋_GB2312"/>
          <w:b/>
          <w:bCs/>
          <w:sz w:val="32"/>
          <w:szCs w:val="32"/>
        </w:rPr>
        <w:t>1</w:t>
      </w:r>
      <w:r>
        <w:rPr>
          <w:rFonts w:hint="eastAsia" w:ascii="仿宋_GB2312" w:hAnsi="宋体" w:cs="仿宋_GB2312"/>
          <w:sz w:val="32"/>
          <w:szCs w:val="32"/>
        </w:rPr>
        <w:t>、清淤：按清单工程量现已100%完成。累计：污水管网清淤完成10.07KM,雨水管网清淤完成4.5KM。</w:t>
      </w:r>
      <w:r>
        <w:rPr>
          <w:rFonts w:hint="eastAsia" w:ascii="仿宋_GB2312" w:hAnsi="宋体" w:cs="仿宋_GB2312"/>
          <w:b/>
          <w:bCs/>
          <w:sz w:val="32"/>
          <w:szCs w:val="32"/>
        </w:rPr>
        <w:t>2</w:t>
      </w:r>
      <w:r>
        <w:rPr>
          <w:rFonts w:hint="eastAsia" w:ascii="仿宋_GB2312" w:hAnsi="宋体" w:cs="仿宋_GB2312"/>
          <w:sz w:val="32"/>
          <w:szCs w:val="32"/>
        </w:rPr>
        <w:t>、绛熙街污水管线：本周完成支管井9个，支管井接商户污水支管8栋，连接商户DN200管线190米，路沿石破损恢复50米，人行道彩砖拆除100平方米，人行道彩砖恢复280平方米。累计完成：污水井30个，主管DN600完成425米，支管DN400支管完成90米，人行道彩砖恢复180平方米，路沿石恢复110米，DN200管子210米。</w:t>
      </w:r>
      <w:r>
        <w:rPr>
          <w:rFonts w:hint="eastAsia" w:ascii="仿宋_GB2312" w:hAnsi="宋体" w:cs="仿宋_GB2312"/>
          <w:b/>
          <w:bCs/>
          <w:sz w:val="32"/>
          <w:szCs w:val="32"/>
        </w:rPr>
        <w:t>3</w:t>
      </w:r>
      <w:r>
        <w:rPr>
          <w:rFonts w:hint="eastAsia" w:ascii="仿宋_GB2312" w:hAnsi="宋体" w:cs="仿宋_GB2312"/>
          <w:sz w:val="32"/>
          <w:szCs w:val="32"/>
        </w:rPr>
        <w:t>、澜峰酒店对面新增:本周未施工。累计完成： DN600污水管线：267米，支管DN400管线18米，安装污水检查井9座。</w:t>
      </w:r>
      <w:r>
        <w:rPr>
          <w:rFonts w:hint="eastAsia" w:ascii="仿宋_GB2312" w:hAnsi="宋体" w:cs="仿宋_GB2312"/>
          <w:b/>
          <w:bCs/>
          <w:sz w:val="32"/>
          <w:szCs w:val="32"/>
        </w:rPr>
        <w:t>4</w:t>
      </w:r>
      <w:r>
        <w:rPr>
          <w:rFonts w:hint="eastAsia" w:ascii="仿宋_GB2312" w:hAnsi="宋体" w:cs="仿宋_GB2312"/>
          <w:sz w:val="32"/>
          <w:szCs w:val="32"/>
        </w:rPr>
        <w:t>、新建污水管网：本周完成管线285米，其中DN800管线276米，DN600管线180米，累计完成：污水管线DN800完成1690米，污水管线DN600完成625米，污水检查井安装48座。</w:t>
      </w:r>
      <w:r>
        <w:rPr>
          <w:rFonts w:hint="eastAsia" w:ascii="仿宋_GB2312" w:hAnsi="宋体" w:cs="仿宋_GB2312"/>
          <w:b/>
          <w:bCs/>
          <w:sz w:val="32"/>
          <w:szCs w:val="32"/>
        </w:rPr>
        <w:t>5</w:t>
      </w:r>
      <w:r>
        <w:rPr>
          <w:rFonts w:hint="eastAsia" w:ascii="仿宋_GB2312" w:hAnsi="宋体" w:cs="仿宋_GB2312"/>
          <w:sz w:val="32"/>
          <w:szCs w:val="32"/>
        </w:rPr>
        <w:t>、35号井老污水管线旁新增污水管线（DN600）：累计完成335米，井5座。</w:t>
      </w:r>
      <w:r>
        <w:rPr>
          <w:rFonts w:hint="eastAsia" w:ascii="仿宋_GB2312" w:hAnsi="宋体" w:cs="仿宋_GB2312"/>
          <w:b/>
          <w:bCs/>
          <w:sz w:val="32"/>
          <w:szCs w:val="32"/>
        </w:rPr>
        <w:t>6</w:t>
      </w:r>
      <w:r>
        <w:rPr>
          <w:rFonts w:hint="eastAsia" w:ascii="仿宋_GB2312" w:hAnsi="宋体" w:cs="仿宋_GB2312"/>
          <w:sz w:val="32"/>
          <w:szCs w:val="32"/>
        </w:rPr>
        <w:t>、德勒央康酒店后面新增DN400管线：完成130米，井2座。</w:t>
      </w:r>
      <w:r>
        <w:rPr>
          <w:rFonts w:hint="eastAsia" w:ascii="仿宋_GB2312" w:hAnsi="宋体" w:cs="仿宋_GB2312"/>
          <w:sz w:val="32"/>
          <w:szCs w:val="32"/>
          <w:lang w:eastAsia="zh-CN"/>
        </w:rPr>
        <w:t>完成工程量</w:t>
      </w:r>
      <w:r>
        <w:rPr>
          <w:rFonts w:hint="eastAsia" w:ascii="仿宋_GB2312" w:hAnsi="宋体" w:cs="仿宋_GB2312"/>
          <w:sz w:val="32"/>
          <w:szCs w:val="32"/>
          <w:lang w:val="en-US" w:eastAsia="zh-CN"/>
        </w:rPr>
        <w:t>80%，完成700万元。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仿宋_GB2312" w:cs="仿宋_GB2312"/>
          <w:sz w:val="32"/>
          <w:szCs w:val="32"/>
        </w:rPr>
        <w:t>污水处理厂处理水质达标标准：《城镇污水处理厂污染物排放标准》(GB 18918-2002)规定的一级B标准。污水日处理量不低于0.25万m³/天。</w:t>
      </w:r>
      <w:r>
        <w:rPr>
          <w:rFonts w:hint="eastAsia" w:ascii="仿宋_GB2312" w:hAnsi="宋体"/>
          <w:sz w:val="32"/>
          <w:szCs w:val="32"/>
        </w:rPr>
        <w:t>已经建立起比较完善的管理体系，运行手册、环境安全自律体系手册、应急预案等相关运行监管体系不断完备，污水处理运行更加规范化、透明化，全县污水处理工作向着更加利于生态环境保护、方便社会监督的方向发展。</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四、问题及建议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adjustRightInd w:val="0"/>
        <w:snapToGrid w:val="0"/>
        <w:spacing w:line="600" w:lineRule="exact"/>
        <w:ind w:firstLine="720"/>
        <w:rPr>
          <w:rFonts w:hint="eastAsia" w:ascii="仿宋_GB2312" w:hAnsi="仿宋_GB2312" w:cs="仿宋_GB2312"/>
          <w:b/>
          <w:bCs/>
          <w:kern w:val="2"/>
          <w:sz w:val="32"/>
          <w:szCs w:val="32"/>
          <w:lang w:eastAsia="zh-CN"/>
        </w:rPr>
      </w:pPr>
      <w:r>
        <w:rPr>
          <w:rFonts w:hint="eastAsia" w:ascii="仿宋_GB2312" w:hAnsi="仿宋_GB2312" w:cs="仿宋_GB2312"/>
          <w:b/>
          <w:bCs/>
          <w:kern w:val="2"/>
          <w:sz w:val="32"/>
          <w:szCs w:val="32"/>
          <w:lang w:eastAsia="zh-CN"/>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（二）相关建议。</w:t>
      </w:r>
    </w:p>
    <w:p>
      <w:pPr>
        <w:adjustRightInd w:val="0"/>
        <w:snapToGrid w:val="0"/>
        <w:spacing w:line="600" w:lineRule="exact"/>
        <w:ind w:firstLine="72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eastAsia="zh-CN"/>
        </w:rPr>
        <w:t>无</w:t>
      </w:r>
    </w:p>
    <w:p>
      <w:pPr>
        <w:pStyle w:val="11"/>
        <w:shd w:val="clear" w:color="auto" w:fill="FFFFFF"/>
      </w:pPr>
      <w:r>
        <w:t>附表</w:t>
      </w:r>
    </w:p>
    <w:tbl>
      <w:tblPr>
        <w:tblStyle w:val="12"/>
        <w:tblW w:w="8337"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94"/>
        <w:gridCol w:w="1024"/>
        <w:gridCol w:w="1418"/>
        <w:gridCol w:w="1060"/>
        <w:gridCol w:w="1097"/>
        <w:gridCol w:w="204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tblCellSpacing w:w="0" w:type="dxa"/>
        </w:trPr>
        <w:tc>
          <w:tcPr>
            <w:tcW w:w="8337" w:type="dxa"/>
            <w:gridSpan w:val="6"/>
            <w:tcBorders>
              <w:top w:val="outset" w:color="auto" w:sz="6" w:space="0"/>
              <w:left w:val="outset" w:color="auto" w:sz="6" w:space="0"/>
              <w:bottom w:val="outset" w:color="auto" w:sz="6" w:space="0"/>
              <w:right w:val="outset" w:color="auto" w:sz="6" w:space="0"/>
            </w:tcBorders>
            <w:noWrap/>
            <w:vAlign w:val="center"/>
          </w:tcPr>
          <w:p>
            <w:pPr>
              <w:pStyle w:val="11"/>
              <w:jc w:val="center"/>
            </w:pPr>
            <w:r>
              <w:rPr>
                <w:rStyle w:val="14"/>
              </w:rPr>
              <w:t>2021年100万元以上（含）特定目标类部门预算项目绩效目标自评</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55" w:hRule="atLeast"/>
          <w:tblCellSpacing w:w="0" w:type="dxa"/>
        </w:trPr>
        <w:tc>
          <w:tcPr>
            <w:tcW w:w="2717"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pPr>
            <w:r>
              <w:t>主管部门及代码</w:t>
            </w:r>
          </w:p>
        </w:tc>
        <w:tc>
          <w:tcPr>
            <w:tcW w:w="2472"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121101</w:t>
            </w:r>
            <w:r>
              <w:t> </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实施单位</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both"/>
            </w:pPr>
            <w:r>
              <w:rPr>
                <w:rFonts w:hint="eastAsia"/>
                <w:sz w:val="16"/>
                <w:szCs w:val="16"/>
                <w:lang w:eastAsia="zh-CN"/>
              </w:rPr>
              <w:t>红原县住房和城乡建设局</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717" w:type="dxa"/>
            <w:gridSpan w:val="2"/>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项目预算</w:t>
            </w:r>
          </w:p>
          <w:p>
            <w:pPr>
              <w:pStyle w:val="11"/>
              <w:jc w:val="center"/>
            </w:pPr>
            <w:r>
              <w:t>执行情况</w:t>
            </w:r>
          </w:p>
          <w:p>
            <w:pPr>
              <w:pStyle w:val="11"/>
              <w:jc w:val="center"/>
            </w:pPr>
            <w:r>
              <w:t>（万元）</w:t>
            </w:r>
          </w:p>
        </w:tc>
        <w:tc>
          <w:tcPr>
            <w:tcW w:w="1419" w:type="dxa"/>
            <w:tcBorders>
              <w:top w:val="outset" w:color="auto" w:sz="6" w:space="0"/>
              <w:left w:val="outset" w:color="auto" w:sz="6" w:space="0"/>
              <w:bottom w:val="outset" w:color="auto" w:sz="6" w:space="0"/>
              <w:right w:val="outset" w:color="auto" w:sz="6" w:space="0"/>
            </w:tcBorders>
            <w:noWrap/>
            <w:vAlign w:val="center"/>
          </w:tcPr>
          <w:p>
            <w:pPr>
              <w:pStyle w:val="11"/>
              <w:jc w:val="center"/>
            </w:pPr>
            <w:r>
              <w:t> 预算数：</w:t>
            </w:r>
          </w:p>
        </w:tc>
        <w:tc>
          <w:tcPr>
            <w:tcW w:w="1053"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default" w:eastAsia="宋体"/>
                <w:lang w:val="en-US" w:eastAsia="zh-CN"/>
              </w:rPr>
            </w:pPr>
            <w:r>
              <w:t> </w:t>
            </w:r>
            <w:r>
              <w:rPr>
                <w:rFonts w:hint="eastAsia"/>
                <w:lang w:val="en-US" w:eastAsia="zh-CN"/>
              </w:rPr>
              <w:t>1500万元</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 执行数：</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1455万元</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0" w:type="auto"/>
            <w:gridSpan w:val="2"/>
            <w:vMerge w:val="continue"/>
            <w:tcBorders>
              <w:top w:val="outset" w:color="auto" w:sz="6" w:space="0"/>
              <w:left w:val="outset" w:color="auto" w:sz="6" w:space="0"/>
              <w:bottom w:val="outset" w:color="auto" w:sz="6" w:space="0"/>
              <w:right w:val="outset" w:color="auto" w:sz="6" w:space="0"/>
            </w:tcBorders>
            <w:vAlign w:val="center"/>
          </w:tcPr>
          <w:p/>
        </w:tc>
        <w:tc>
          <w:tcPr>
            <w:tcW w:w="1419"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其中：</w:t>
            </w:r>
          </w:p>
          <w:p>
            <w:pPr>
              <w:pStyle w:val="11"/>
              <w:jc w:val="center"/>
            </w:pPr>
            <w:r>
              <w:t>财政拨款</w:t>
            </w:r>
          </w:p>
        </w:tc>
        <w:tc>
          <w:tcPr>
            <w:tcW w:w="1053"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1500万元</w:t>
            </w:r>
            <w:r>
              <w:t> </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其中：</w:t>
            </w:r>
          </w:p>
          <w:p>
            <w:pPr>
              <w:pStyle w:val="11"/>
              <w:jc w:val="center"/>
            </w:pPr>
            <w:r>
              <w:t>财政拨款</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1455万元</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0" w:type="auto"/>
            <w:gridSpan w:val="2"/>
            <w:vMerge w:val="continue"/>
            <w:tcBorders>
              <w:top w:val="outset" w:color="auto" w:sz="6" w:space="0"/>
              <w:left w:val="outset" w:color="auto" w:sz="6" w:space="0"/>
              <w:bottom w:val="outset" w:color="auto" w:sz="6" w:space="0"/>
              <w:right w:val="outset" w:color="auto" w:sz="6" w:space="0"/>
            </w:tcBorders>
            <w:vAlign w:val="center"/>
          </w:tcPr>
          <w:p/>
        </w:tc>
        <w:tc>
          <w:tcPr>
            <w:tcW w:w="1419"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其他资金</w:t>
            </w:r>
          </w:p>
        </w:tc>
        <w:tc>
          <w:tcPr>
            <w:tcW w:w="1053"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eastAsia" w:eastAsia="宋体"/>
                <w:lang w:val="en-US" w:eastAsia="zh-CN"/>
              </w:rPr>
            </w:pPr>
            <w:r>
              <w:t> </w:t>
            </w:r>
            <w:r>
              <w:rPr>
                <w:rFonts w:hint="eastAsia"/>
                <w:lang w:val="en-US" w:eastAsia="zh-CN"/>
              </w:rPr>
              <w:t>0</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其他资金</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val="en-US" w:eastAsia="zh-CN"/>
              </w:rPr>
              <w:t>0</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trPr>
        <w:tc>
          <w:tcPr>
            <w:tcW w:w="1701" w:type="dxa"/>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年度总体目标</w:t>
            </w:r>
          </w:p>
          <w:p>
            <w:pPr>
              <w:pStyle w:val="11"/>
              <w:jc w:val="center"/>
            </w:pPr>
            <w:r>
              <w:t>完成情况</w:t>
            </w:r>
          </w:p>
        </w:tc>
        <w:tc>
          <w:tcPr>
            <w:tcW w:w="3488" w:type="dxa"/>
            <w:gridSpan w:val="3"/>
            <w:tcBorders>
              <w:top w:val="outset" w:color="auto" w:sz="6" w:space="0"/>
              <w:left w:val="outset" w:color="auto" w:sz="6" w:space="0"/>
              <w:bottom w:val="outset" w:color="auto" w:sz="6" w:space="0"/>
              <w:right w:val="outset" w:color="auto" w:sz="6" w:space="0"/>
            </w:tcBorders>
            <w:noWrap/>
            <w:vAlign w:val="center"/>
          </w:tcPr>
          <w:p>
            <w:pPr>
              <w:pStyle w:val="11"/>
              <w:jc w:val="center"/>
            </w:pPr>
            <w:r>
              <w:t>预期目标</w:t>
            </w:r>
          </w:p>
        </w:tc>
        <w:tc>
          <w:tcPr>
            <w:tcW w:w="3148" w:type="dxa"/>
            <w:gridSpan w:val="2"/>
            <w:tcBorders>
              <w:top w:val="outset" w:color="auto" w:sz="6" w:space="0"/>
              <w:left w:val="outset" w:color="auto" w:sz="6" w:space="0"/>
              <w:bottom w:val="outset" w:color="auto" w:sz="6" w:space="0"/>
              <w:right w:val="outset" w:color="auto" w:sz="6" w:space="0"/>
            </w:tcBorders>
            <w:noWrap/>
            <w:vAlign w:val="center"/>
          </w:tcPr>
          <w:p>
            <w:pPr>
              <w:pStyle w:val="11"/>
              <w:jc w:val="center"/>
            </w:pPr>
            <w:r>
              <w:t>目标实际完成情况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5"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3488" w:type="dxa"/>
            <w:gridSpan w:val="3"/>
            <w:tcBorders>
              <w:top w:val="outset" w:color="auto" w:sz="6" w:space="0"/>
              <w:left w:val="outset" w:color="auto" w:sz="6" w:space="0"/>
              <w:bottom w:val="outset" w:color="auto" w:sz="6" w:space="0"/>
              <w:right w:val="outset" w:color="auto" w:sz="6" w:space="0"/>
            </w:tcBorders>
            <w:noWrap/>
            <w:vAlign w:val="center"/>
          </w:tcPr>
          <w:p>
            <w:pPr>
              <w:spacing w:line="560" w:lineRule="exact"/>
              <w:ind w:firstLine="640"/>
              <w:rPr>
                <w:rFonts w:ascii="仿宋_GB2312" w:hAnsi="仿宋_GB2312" w:cs="仿宋_GB2312"/>
                <w:color w:val="000000"/>
              </w:rPr>
            </w:pPr>
            <w:r>
              <w:rPr>
                <w:rFonts w:hint="eastAsia" w:ascii="仿宋_GB2312" w:hAnsi="宋体" w:cs="仿宋_GB2312"/>
                <w:szCs w:val="24"/>
              </w:rPr>
              <w:t>红原县城区污水管网提升改造建设项目</w:t>
            </w:r>
            <w:r>
              <w:rPr>
                <w:rFonts w:hint="eastAsia" w:ascii="仿宋_GB2312" w:hAnsi="仿宋_GB2312" w:cs="仿宋_GB2312"/>
                <w:color w:val="000000"/>
              </w:rPr>
              <w:t>，</w:t>
            </w:r>
            <w:r>
              <w:rPr>
                <w:rFonts w:hint="eastAsia" w:ascii="仿宋_GB2312" w:hAnsi="仿宋_GB2312" w:cs="仿宋_GB2312"/>
                <w:color w:val="000000"/>
                <w:lang w:eastAsia="zh-CN"/>
              </w:rPr>
              <w:t>对红原县城区地下水渗入排污管进行调评价，路面恢复</w:t>
            </w:r>
            <w:r>
              <w:rPr>
                <w:rFonts w:hint="eastAsia" w:ascii="仿宋_GB2312" w:hAnsi="仿宋_GB2312" w:cs="仿宋_GB2312"/>
                <w:color w:val="000000"/>
                <w:lang w:val="en-US" w:eastAsia="zh-CN"/>
              </w:rPr>
              <w:t>3200平方米；新建DN800HDPE钢塑复合缠绕污水管长1775米，DN600HDPE钢塑复合缠绕污水管长1490米；改造DN</w:t>
            </w:r>
            <w:r>
              <w:rPr>
                <w:rFonts w:hint="default" w:ascii="仿宋_GB2312" w:hAnsi="仿宋_GB2312" w:cs="仿宋_GB2312"/>
                <w:color w:val="000000"/>
                <w:lang w:val="en" w:eastAsia="zh-CN"/>
              </w:rPr>
              <w:t>400</w:t>
            </w:r>
            <w:r>
              <w:rPr>
                <w:rFonts w:hint="eastAsia" w:ascii="仿宋_GB2312" w:hAnsi="仿宋_GB2312" w:cs="仿宋_GB2312"/>
                <w:color w:val="000000"/>
                <w:lang w:val="en-US" w:eastAsia="zh-CN"/>
              </w:rPr>
              <w:t>HDPE钢塑复合缠绕污水管长</w:t>
            </w:r>
            <w:r>
              <w:rPr>
                <w:rFonts w:hint="default" w:ascii="仿宋_GB2312" w:hAnsi="仿宋_GB2312" w:cs="仿宋_GB2312"/>
                <w:color w:val="000000"/>
                <w:lang w:val="en" w:eastAsia="zh-CN"/>
              </w:rPr>
              <w:t>790</w:t>
            </w:r>
            <w:r>
              <w:rPr>
                <w:rFonts w:hint="eastAsia" w:ascii="仿宋_GB2312" w:hAnsi="仿宋_GB2312" w:cs="仿宋_GB2312"/>
                <w:color w:val="000000"/>
                <w:lang w:val="en" w:eastAsia="zh-CN"/>
              </w:rPr>
              <w:t>米；</w:t>
            </w:r>
            <w:r>
              <w:rPr>
                <w:rFonts w:hint="eastAsia" w:ascii="仿宋_GB2312" w:hAnsi="仿宋_GB2312" w:cs="仿宋_GB2312"/>
                <w:color w:val="000000"/>
                <w:lang w:val="en-US" w:eastAsia="zh-CN"/>
              </w:rPr>
              <w:t>DN600管道清淤1490米，检查井141座。配套绿化、亮化及设备实施等。</w:t>
            </w:r>
          </w:p>
          <w:p>
            <w:pPr>
              <w:pStyle w:val="11"/>
              <w:jc w:val="center"/>
            </w:pPr>
            <w:r>
              <w:t> </w:t>
            </w:r>
          </w:p>
        </w:tc>
        <w:tc>
          <w:tcPr>
            <w:tcW w:w="3148" w:type="dxa"/>
            <w:gridSpan w:val="2"/>
            <w:tcBorders>
              <w:top w:val="outset" w:color="auto" w:sz="6" w:space="0"/>
              <w:left w:val="outset" w:color="auto" w:sz="6" w:space="0"/>
              <w:bottom w:val="outset" w:color="auto" w:sz="6" w:space="0"/>
              <w:right w:val="outset" w:color="auto" w:sz="6" w:space="0"/>
            </w:tcBorders>
            <w:noWrap/>
            <w:vAlign w:val="center"/>
          </w:tcPr>
          <w:p>
            <w:pPr>
              <w:spacing w:line="560" w:lineRule="exact"/>
              <w:rPr>
                <w:rFonts w:hint="default" w:ascii="仿宋_GB2312" w:hAnsi="仿宋_GB2312" w:cs="仿宋_GB2312"/>
                <w:color w:val="000000"/>
                <w:lang w:val="en-US"/>
              </w:rPr>
            </w:pPr>
            <w:r>
              <w:rPr>
                <w:rFonts w:hint="eastAsia" w:ascii="仿宋_GB2312" w:hAnsi="仿宋_GB2312" w:cs="仿宋_GB2312"/>
                <w:color w:val="000000"/>
                <w:lang w:eastAsia="zh-CN"/>
              </w:rPr>
              <w:t>路面恢复</w:t>
            </w:r>
            <w:r>
              <w:rPr>
                <w:rFonts w:hint="eastAsia" w:ascii="仿宋_GB2312" w:hAnsi="仿宋_GB2312" w:cs="仿宋_GB2312"/>
                <w:color w:val="000000"/>
                <w:lang w:val="en-US" w:eastAsia="zh-CN"/>
              </w:rPr>
              <w:t>3200平方米；新建DN800HDPE钢塑复合缠绕污水管长1775米，DN600HDPE钢塑复合缠绕污水管长1490米；改造DN</w:t>
            </w:r>
            <w:r>
              <w:rPr>
                <w:rFonts w:hint="default" w:ascii="仿宋_GB2312" w:hAnsi="仿宋_GB2312" w:cs="仿宋_GB2312"/>
                <w:color w:val="000000"/>
                <w:lang w:val="en" w:eastAsia="zh-CN"/>
              </w:rPr>
              <w:t>400</w:t>
            </w:r>
            <w:r>
              <w:rPr>
                <w:rFonts w:hint="eastAsia" w:ascii="仿宋_GB2312" w:hAnsi="仿宋_GB2312" w:cs="仿宋_GB2312"/>
                <w:color w:val="000000"/>
                <w:lang w:val="en-US" w:eastAsia="zh-CN"/>
              </w:rPr>
              <w:t>HDPE钢塑复合缠绕污水管长</w:t>
            </w:r>
            <w:r>
              <w:rPr>
                <w:rFonts w:hint="default" w:ascii="仿宋_GB2312" w:hAnsi="仿宋_GB2312" w:cs="仿宋_GB2312"/>
                <w:color w:val="000000"/>
                <w:lang w:val="en" w:eastAsia="zh-CN"/>
              </w:rPr>
              <w:t>790</w:t>
            </w:r>
            <w:r>
              <w:rPr>
                <w:rFonts w:hint="eastAsia" w:ascii="仿宋_GB2312" w:hAnsi="仿宋_GB2312" w:cs="仿宋_GB2312"/>
                <w:color w:val="000000"/>
                <w:lang w:val="en" w:eastAsia="zh-CN"/>
              </w:rPr>
              <w:t>米；</w:t>
            </w:r>
            <w:r>
              <w:rPr>
                <w:rFonts w:hint="eastAsia" w:ascii="仿宋_GB2312" w:hAnsi="仿宋_GB2312" w:cs="仿宋_GB2312"/>
                <w:color w:val="000000"/>
                <w:lang w:val="en-US" w:eastAsia="zh-CN"/>
              </w:rPr>
              <w:t>DN600管道清淤1490米，检查井141座。配套绿化、亮化及设备实施等。完成预期工程量的100%，资金拨付完成97%。</w:t>
            </w:r>
          </w:p>
          <w:p>
            <w:pPr>
              <w:pStyle w:val="11"/>
              <w:jc w:val="center"/>
            </w:pP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atLeast"/>
          <w:tblCellSpacing w:w="0" w:type="dxa"/>
        </w:trPr>
        <w:tc>
          <w:tcPr>
            <w:tcW w:w="1701" w:type="dxa"/>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年度绩效指标完成情况</w:t>
            </w:r>
          </w:p>
        </w:tc>
        <w:tc>
          <w:tcPr>
            <w:tcW w:w="1016" w:type="dxa"/>
            <w:tcBorders>
              <w:top w:val="outset" w:color="auto" w:sz="6" w:space="0"/>
              <w:left w:val="outset" w:color="auto" w:sz="6" w:space="0"/>
              <w:bottom w:val="outset" w:color="auto" w:sz="6" w:space="0"/>
              <w:right w:val="outset" w:color="auto" w:sz="6" w:space="0"/>
            </w:tcBorders>
            <w:noWrap/>
            <w:vAlign w:val="center"/>
          </w:tcPr>
          <w:p>
            <w:pPr>
              <w:pStyle w:val="11"/>
              <w:jc w:val="center"/>
            </w:pPr>
            <w:r>
              <w:t>一级</w:t>
            </w:r>
          </w:p>
          <w:p>
            <w:pPr>
              <w:pStyle w:val="11"/>
              <w:jc w:val="center"/>
            </w:pPr>
            <w:r>
              <w:t>指标</w:t>
            </w:r>
          </w:p>
        </w:tc>
        <w:tc>
          <w:tcPr>
            <w:tcW w:w="1419" w:type="dxa"/>
            <w:tcBorders>
              <w:top w:val="outset" w:color="auto" w:sz="6" w:space="0"/>
              <w:left w:val="outset" w:color="auto" w:sz="6" w:space="0"/>
              <w:bottom w:val="outset" w:color="auto" w:sz="6" w:space="0"/>
              <w:right w:val="outset" w:color="auto" w:sz="6" w:space="0"/>
            </w:tcBorders>
            <w:noWrap/>
            <w:vAlign w:val="center"/>
          </w:tcPr>
          <w:p>
            <w:pPr>
              <w:pStyle w:val="11"/>
              <w:jc w:val="center"/>
            </w:pPr>
            <w:r>
              <w:t>二级</w:t>
            </w:r>
          </w:p>
          <w:p>
            <w:pPr>
              <w:pStyle w:val="11"/>
              <w:jc w:val="center"/>
            </w:pPr>
            <w:r>
              <w:t>指标</w:t>
            </w:r>
          </w:p>
        </w:tc>
        <w:tc>
          <w:tcPr>
            <w:tcW w:w="1053" w:type="dxa"/>
            <w:tcBorders>
              <w:top w:val="outset" w:color="auto" w:sz="6" w:space="0"/>
              <w:left w:val="outset" w:color="auto" w:sz="6" w:space="0"/>
              <w:bottom w:val="outset" w:color="auto" w:sz="6" w:space="0"/>
              <w:right w:val="outset" w:color="auto" w:sz="6" w:space="0"/>
            </w:tcBorders>
            <w:noWrap/>
            <w:vAlign w:val="center"/>
          </w:tcPr>
          <w:p>
            <w:pPr>
              <w:pStyle w:val="11"/>
              <w:jc w:val="center"/>
            </w:pPr>
            <w:r>
              <w:t>三级</w:t>
            </w:r>
          </w:p>
          <w:p>
            <w:pPr>
              <w:pStyle w:val="11"/>
              <w:jc w:val="center"/>
            </w:pPr>
            <w:r>
              <w:t>指标</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pPr>
            <w:r>
              <w:t>预期指标值</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center"/>
            </w:pPr>
            <w:r>
              <w:t>实际完成指标值</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016" w:type="dxa"/>
            <w:vMerge w:val="restart"/>
            <w:tcBorders>
              <w:top w:val="outset" w:color="auto" w:sz="6" w:space="0"/>
              <w:left w:val="outset" w:color="auto" w:sz="6" w:space="0"/>
              <w:bottom w:val="outset" w:color="auto" w:sz="6" w:space="0"/>
              <w:right w:val="outset" w:color="auto" w:sz="6" w:space="0"/>
            </w:tcBorders>
            <w:noWrap/>
            <w:vAlign w:val="center"/>
          </w:tcPr>
          <w:p>
            <w:pPr>
              <w:pStyle w:val="11"/>
              <w:jc w:val="center"/>
            </w:pPr>
            <w:r>
              <w:t>完成</w:t>
            </w:r>
          </w:p>
          <w:p>
            <w:pPr>
              <w:pStyle w:val="11"/>
              <w:jc w:val="center"/>
            </w:pPr>
            <w:r>
              <w:t>指标</w:t>
            </w:r>
          </w:p>
        </w:tc>
        <w:tc>
          <w:tcPr>
            <w:tcW w:w="1419"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数量指标</w:t>
            </w:r>
          </w:p>
        </w:tc>
        <w:tc>
          <w:tcPr>
            <w:tcW w:w="1053"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default" w:eastAsia="宋体"/>
                <w:lang w:val="en-US" w:eastAsia="zh-CN"/>
              </w:rPr>
            </w:pPr>
            <w:r>
              <w:t> </w:t>
            </w:r>
            <w:r>
              <w:rPr>
                <w:rFonts w:hint="eastAsia"/>
                <w:lang w:eastAsia="zh-CN"/>
              </w:rPr>
              <w:t>按设计要求完成了总工程量的</w:t>
            </w:r>
            <w:r>
              <w:rPr>
                <w:rFonts w:hint="eastAsia"/>
                <w:lang w:val="en-US" w:eastAsia="zh-CN"/>
              </w:rPr>
              <w:t>100%</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预期完成全部工程</w:t>
            </w:r>
            <w:r>
              <w:t> </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实际完成工程量</w:t>
            </w:r>
            <w:r>
              <w:rPr>
                <w:rFonts w:hint="eastAsia"/>
                <w:lang w:val="en-US" w:eastAsia="zh-CN"/>
              </w:rPr>
              <w:t>100%</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19" w:type="dxa"/>
            <w:tcBorders>
              <w:top w:val="outset" w:color="auto" w:sz="6" w:space="0"/>
              <w:left w:val="outset" w:color="auto" w:sz="6" w:space="0"/>
              <w:bottom w:val="outset" w:color="auto" w:sz="6" w:space="0"/>
              <w:right w:val="outset" w:color="auto" w:sz="6" w:space="0"/>
            </w:tcBorders>
            <w:noWrap/>
            <w:vAlign w:val="center"/>
          </w:tcPr>
          <w:p>
            <w:pPr>
              <w:pStyle w:val="11"/>
              <w:jc w:val="center"/>
            </w:pPr>
            <w:r>
              <w:t>质量指标</w:t>
            </w:r>
          </w:p>
        </w:tc>
        <w:tc>
          <w:tcPr>
            <w:tcW w:w="1053"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质量达到设计和使用要求</w:t>
            </w:r>
            <w:r>
              <w:t> </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质量达到设计和使用要求</w:t>
            </w:r>
            <w:r>
              <w:t> </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实际完成达到了各项要求</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19"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时效指标</w:t>
            </w:r>
          </w:p>
        </w:tc>
        <w:tc>
          <w:tcPr>
            <w:tcW w:w="1053"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按照预期完成所有工程</w:t>
            </w:r>
            <w:r>
              <w:t> </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rPr>
                <w:rFonts w:hint="eastAsia" w:eastAsia="宋体"/>
                <w:lang w:eastAsia="zh-CN"/>
              </w:rPr>
            </w:pPr>
            <w:r>
              <w:t> </w:t>
            </w:r>
            <w:r>
              <w:rPr>
                <w:rFonts w:hint="eastAsia"/>
                <w:lang w:eastAsia="zh-CN"/>
              </w:rPr>
              <w:t>按照预计工期完成</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在预计工期内完成了总工程</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419" w:type="dxa"/>
            <w:tcBorders>
              <w:top w:val="outset" w:color="auto" w:sz="6" w:space="0"/>
              <w:left w:val="outset" w:color="auto" w:sz="6" w:space="0"/>
              <w:bottom w:val="outset" w:color="auto" w:sz="6" w:space="0"/>
              <w:right w:val="outset" w:color="auto" w:sz="6" w:space="0"/>
            </w:tcBorders>
            <w:noWrap/>
            <w:vAlign w:val="center"/>
          </w:tcPr>
          <w:p>
            <w:pPr>
              <w:pStyle w:val="11"/>
              <w:jc w:val="center"/>
            </w:pPr>
            <w:r>
              <w:t>社会效益指标</w:t>
            </w:r>
          </w:p>
        </w:tc>
        <w:tc>
          <w:tcPr>
            <w:tcW w:w="1053"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社会满意度高</w:t>
            </w:r>
            <w:r>
              <w:t> </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达到排污需求</w:t>
            </w:r>
            <w:r>
              <w:t> </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达到预期效果</w:t>
            </w:r>
            <w: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0" w:type="auto"/>
            <w:vMerge w:val="continue"/>
            <w:tcBorders>
              <w:top w:val="outset" w:color="auto" w:sz="6" w:space="0"/>
              <w:left w:val="outset" w:color="auto" w:sz="6" w:space="0"/>
              <w:bottom w:val="outset" w:color="auto" w:sz="6" w:space="0"/>
              <w:right w:val="outset" w:color="auto" w:sz="6" w:space="0"/>
            </w:tcBorders>
            <w:vAlign w:val="center"/>
          </w:tcPr>
          <w:p/>
        </w:tc>
        <w:tc>
          <w:tcPr>
            <w:tcW w:w="1016"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满意</w:t>
            </w:r>
          </w:p>
          <w:p>
            <w:pPr>
              <w:pStyle w:val="11"/>
              <w:jc w:val="center"/>
            </w:pPr>
            <w:r>
              <w:t>度指标</w:t>
            </w:r>
          </w:p>
        </w:tc>
        <w:tc>
          <w:tcPr>
            <w:tcW w:w="1419" w:type="dxa"/>
            <w:tcBorders>
              <w:top w:val="outset" w:color="auto" w:sz="6" w:space="0"/>
              <w:left w:val="outset" w:color="auto" w:sz="6" w:space="0"/>
              <w:bottom w:val="outset" w:color="auto" w:sz="6" w:space="0"/>
              <w:right w:val="outset" w:color="auto" w:sz="6" w:space="0"/>
            </w:tcBorders>
            <w:noWrap/>
            <w:vAlign w:val="center"/>
          </w:tcPr>
          <w:p>
            <w:pPr>
              <w:pStyle w:val="11"/>
              <w:jc w:val="center"/>
            </w:pPr>
            <w:r>
              <w:t>满意度</w:t>
            </w:r>
          </w:p>
          <w:p>
            <w:pPr>
              <w:pStyle w:val="11"/>
              <w:jc w:val="center"/>
            </w:pPr>
            <w:r>
              <w:t>指标</w:t>
            </w:r>
          </w:p>
        </w:tc>
        <w:tc>
          <w:tcPr>
            <w:tcW w:w="1053"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社会群众满意度高</w:t>
            </w:r>
            <w:r>
              <w:t> </w:t>
            </w:r>
          </w:p>
        </w:tc>
        <w:tc>
          <w:tcPr>
            <w:tcW w:w="1091"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达到社会群众的需求</w:t>
            </w:r>
            <w:r>
              <w:t> </w:t>
            </w:r>
          </w:p>
        </w:tc>
        <w:tc>
          <w:tcPr>
            <w:tcW w:w="2057" w:type="dxa"/>
            <w:tcBorders>
              <w:top w:val="outset" w:color="auto" w:sz="6" w:space="0"/>
              <w:left w:val="outset" w:color="auto" w:sz="6" w:space="0"/>
              <w:bottom w:val="outset" w:color="auto" w:sz="6" w:space="0"/>
              <w:right w:val="outset" w:color="auto" w:sz="6" w:space="0"/>
            </w:tcBorders>
            <w:noWrap/>
            <w:vAlign w:val="center"/>
          </w:tcPr>
          <w:p>
            <w:pPr>
              <w:pStyle w:val="11"/>
              <w:jc w:val="center"/>
            </w:pPr>
            <w:r>
              <w:rPr>
                <w:rFonts w:hint="eastAsia"/>
                <w:lang w:eastAsia="zh-CN"/>
              </w:rPr>
              <w:t>满足排污需求、达到预期排污效果</w:t>
            </w:r>
            <w:r>
              <w:t> </w:t>
            </w:r>
          </w:p>
        </w:tc>
      </w:tr>
    </w:tbl>
    <w:p>
      <w:pPr>
        <w:pStyle w:val="11"/>
        <w:shd w:val="clear" w:color="auto" w:fill="FFFFFF"/>
      </w:pPr>
    </w:p>
    <w:p>
      <w:pPr>
        <w:pStyle w:val="11"/>
        <w:shd w:val="clear" w:color="auto" w:fill="FFFFFF"/>
      </w:pPr>
      <w:r>
        <w:t> </w:t>
      </w:r>
    </w:p>
    <w:p>
      <w:pPr>
        <w:pStyle w:val="11"/>
        <w:shd w:val="clear" w:color="auto" w:fill="FFFFFF"/>
        <w:jc w:val="center"/>
      </w:pPr>
      <w:r>
        <w:rPr>
          <w:rStyle w:val="14"/>
          <w:sz w:val="39"/>
          <w:szCs w:val="39"/>
        </w:rPr>
        <w:t>第五部分 附表</w:t>
      </w:r>
    </w:p>
    <w:p>
      <w:pPr>
        <w:pStyle w:val="4"/>
        <w:shd w:val="clear" w:color="auto" w:fill="FFFFFF"/>
      </w:pPr>
      <w:r>
        <w:t>一、收入支出决算总表</w:t>
      </w:r>
    </w:p>
    <w:p>
      <w:pPr>
        <w:pStyle w:val="4"/>
        <w:shd w:val="clear" w:color="auto" w:fill="FFFFFF"/>
      </w:pPr>
      <w:r>
        <w:t>二、收入决算表</w:t>
      </w:r>
    </w:p>
    <w:p>
      <w:pPr>
        <w:pStyle w:val="4"/>
        <w:shd w:val="clear" w:color="auto" w:fill="FFFFFF"/>
      </w:pPr>
      <w:r>
        <w:t>三、支出决算表</w:t>
      </w:r>
    </w:p>
    <w:p>
      <w:pPr>
        <w:pStyle w:val="4"/>
        <w:shd w:val="clear" w:color="auto" w:fill="FFFFFF"/>
      </w:pPr>
      <w:r>
        <w:t>四、财政拨款收入支出决算总表</w:t>
      </w:r>
    </w:p>
    <w:p>
      <w:pPr>
        <w:pStyle w:val="4"/>
        <w:shd w:val="clear" w:color="auto" w:fill="FFFFFF"/>
      </w:pPr>
      <w:r>
        <w:t>五、财政拨款支出决算明细表</w:t>
      </w:r>
    </w:p>
    <w:p>
      <w:pPr>
        <w:pStyle w:val="4"/>
        <w:shd w:val="clear" w:color="auto" w:fill="FFFFFF"/>
      </w:pPr>
      <w:r>
        <w:t>六、一般公共预算财政拨款支出决算表</w:t>
      </w:r>
    </w:p>
    <w:p>
      <w:pPr>
        <w:pStyle w:val="4"/>
        <w:shd w:val="clear" w:color="auto" w:fill="FFFFFF"/>
      </w:pPr>
      <w:r>
        <w:t>七、一般公共预算财政拨款支出决算明细表</w:t>
      </w:r>
    </w:p>
    <w:p>
      <w:pPr>
        <w:pStyle w:val="4"/>
        <w:shd w:val="clear" w:color="auto" w:fill="FFFFFF"/>
      </w:pPr>
      <w:r>
        <w:t>八、一般公共预算财政拨款基本支出决算表</w:t>
      </w:r>
    </w:p>
    <w:p>
      <w:pPr>
        <w:pStyle w:val="4"/>
        <w:shd w:val="clear" w:color="auto" w:fill="FFFFFF"/>
      </w:pPr>
      <w:r>
        <w:t>九、一般公共预算财政拨款项目支出决算表</w:t>
      </w:r>
    </w:p>
    <w:p>
      <w:pPr>
        <w:pStyle w:val="4"/>
        <w:shd w:val="clear" w:color="auto" w:fill="FFFFFF"/>
      </w:pPr>
      <w:r>
        <w:t>十、一般公共预算财政拨款“三公”经费支出决算表</w:t>
      </w:r>
    </w:p>
    <w:p>
      <w:pPr>
        <w:pStyle w:val="4"/>
        <w:shd w:val="clear" w:color="auto" w:fill="FFFFFF"/>
      </w:pPr>
      <w:r>
        <w:t>十一、政府性基金预算财政拨款收入支出决算表</w:t>
      </w:r>
    </w:p>
    <w:p>
      <w:pPr>
        <w:pStyle w:val="4"/>
        <w:shd w:val="clear" w:color="auto" w:fill="FFFFFF"/>
      </w:pPr>
      <w:r>
        <w:t>十二、政府性基金预算财政拨款“三公”经费支出决算表</w:t>
      </w:r>
    </w:p>
    <w:p>
      <w:pPr>
        <w:pStyle w:val="4"/>
        <w:shd w:val="clear" w:color="auto" w:fill="FFFFFF"/>
      </w:pPr>
      <w:r>
        <w:t>十三、国有资本经营预算财政拨款收入支出决算表</w:t>
      </w:r>
    </w:p>
    <w:p>
      <w:pPr>
        <w:pStyle w:val="4"/>
        <w:shd w:val="clear" w:color="auto" w:fill="FFFFFF"/>
      </w:pPr>
      <w:r>
        <w:t>十四、国有资本经营预算财政拨款支出决算表</w:t>
      </w:r>
    </w:p>
    <w:p>
      <w:pPr>
        <w:pStyle w:val="11"/>
        <w:shd w:val="clear" w:color="auto" w:fill="FFFFFF"/>
      </w:pPr>
      <w:r>
        <w:t>十四、国有资本经营预算财政拨款支出决算表</w:t>
      </w:r>
    </w:p>
    <w:sectPr>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2A2F1"/>
    <w:multiLevelType w:val="singleLevel"/>
    <w:tmpl w:val="0222A2F1"/>
    <w:lvl w:ilvl="0" w:tentative="0">
      <w:start w:val="4"/>
      <w:numFmt w:val="chineseCounting"/>
      <w:suff w:val="nothing"/>
      <w:lvlText w:val="%1、"/>
      <w:lvlJc w:val="left"/>
      <w:rPr>
        <w:rFonts w:hint="eastAsia"/>
      </w:rPr>
    </w:lvl>
  </w:abstractNum>
  <w:abstractNum w:abstractNumId="1">
    <w:nsid w:val="038D5C14"/>
    <w:multiLevelType w:val="multilevel"/>
    <w:tmpl w:val="038D5C1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1BC087B"/>
    <w:multiLevelType w:val="multilevel"/>
    <w:tmpl w:val="11BC087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39AA5B54"/>
    <w:multiLevelType w:val="multilevel"/>
    <w:tmpl w:val="39AA5B5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CCF5023"/>
    <w:multiLevelType w:val="singleLevel"/>
    <w:tmpl w:val="3CCF5023"/>
    <w:lvl w:ilvl="0" w:tentative="0">
      <w:start w:val="3"/>
      <w:numFmt w:val="chineseCounting"/>
      <w:suff w:val="nothing"/>
      <w:lvlText w:val="（%1）"/>
      <w:lvlJc w:val="left"/>
      <w:rPr>
        <w:rFonts w:hint="eastAsia"/>
      </w:rPr>
    </w:lvl>
  </w:abstractNum>
  <w:abstractNum w:abstractNumId="5">
    <w:nsid w:val="3E950864"/>
    <w:multiLevelType w:val="multilevel"/>
    <w:tmpl w:val="3E95086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4E0E283E"/>
    <w:multiLevelType w:val="multilevel"/>
    <w:tmpl w:val="4E0E283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6"/>
  </w:num>
  <w:num w:numId="2">
    <w:abstractNumId w:val="2"/>
  </w:num>
  <w:num w:numId="3">
    <w:abstractNumId w:val="5"/>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noPunctuationKerning w:val="1"/>
  <w:characterSpacingControl w:val="doNotCompress"/>
  <w:compat>
    <w:useFELayout/>
    <w:compatSetting w:name="compatibilityMode" w:uri="http://schemas.microsoft.com/office/word" w:val="12"/>
  </w:compat>
  <w:docVars>
    <w:docVar w:name="commondata" w:val="eyJoZGlkIjoiZDJmM2FlN2EwOTAzMjM0MzIyMTMyZGY4NDZhZmE1MDQifQ=="/>
  </w:docVars>
  <w:rsids>
    <w:rsidRoot w:val="00E809C0"/>
    <w:rsid w:val="0082142C"/>
    <w:rsid w:val="00E809C0"/>
    <w:rsid w:val="00F1191B"/>
    <w:rsid w:val="01483505"/>
    <w:rsid w:val="01875DDB"/>
    <w:rsid w:val="039556DF"/>
    <w:rsid w:val="04242C6A"/>
    <w:rsid w:val="072A7934"/>
    <w:rsid w:val="08AA4C4F"/>
    <w:rsid w:val="091B5B83"/>
    <w:rsid w:val="092D370C"/>
    <w:rsid w:val="09B30D57"/>
    <w:rsid w:val="0A310FDA"/>
    <w:rsid w:val="0B261C02"/>
    <w:rsid w:val="0CF743E2"/>
    <w:rsid w:val="0D2B61B4"/>
    <w:rsid w:val="0DB10A78"/>
    <w:rsid w:val="0DEE2D3E"/>
    <w:rsid w:val="0E236E8B"/>
    <w:rsid w:val="0F546F6A"/>
    <w:rsid w:val="103C5FE2"/>
    <w:rsid w:val="13456A27"/>
    <w:rsid w:val="13C27285"/>
    <w:rsid w:val="140D6214"/>
    <w:rsid w:val="1560771A"/>
    <w:rsid w:val="16FA54BC"/>
    <w:rsid w:val="178B0334"/>
    <w:rsid w:val="19314B52"/>
    <w:rsid w:val="1AD02149"/>
    <w:rsid w:val="1B514C3C"/>
    <w:rsid w:val="1D9C27B6"/>
    <w:rsid w:val="1FBC0EEE"/>
    <w:rsid w:val="1FEA7809"/>
    <w:rsid w:val="207462A2"/>
    <w:rsid w:val="20896A9A"/>
    <w:rsid w:val="208C6B12"/>
    <w:rsid w:val="20D97ED6"/>
    <w:rsid w:val="22993768"/>
    <w:rsid w:val="22D56B65"/>
    <w:rsid w:val="23684126"/>
    <w:rsid w:val="237044C9"/>
    <w:rsid w:val="237A7F73"/>
    <w:rsid w:val="250F7E9F"/>
    <w:rsid w:val="26FE003E"/>
    <w:rsid w:val="2B367DA6"/>
    <w:rsid w:val="2E026666"/>
    <w:rsid w:val="30354AD0"/>
    <w:rsid w:val="316E28F2"/>
    <w:rsid w:val="32024E86"/>
    <w:rsid w:val="33C85C5B"/>
    <w:rsid w:val="33F20F2A"/>
    <w:rsid w:val="35AB1391"/>
    <w:rsid w:val="35DE3514"/>
    <w:rsid w:val="36BD5820"/>
    <w:rsid w:val="39015CA8"/>
    <w:rsid w:val="399A1E48"/>
    <w:rsid w:val="3CEF24BF"/>
    <w:rsid w:val="3D4E29E8"/>
    <w:rsid w:val="3D4E6265"/>
    <w:rsid w:val="3DC157B0"/>
    <w:rsid w:val="3E025B80"/>
    <w:rsid w:val="40196395"/>
    <w:rsid w:val="411B514D"/>
    <w:rsid w:val="418A09F4"/>
    <w:rsid w:val="419B49AF"/>
    <w:rsid w:val="41B617E9"/>
    <w:rsid w:val="42552DB0"/>
    <w:rsid w:val="449C3299"/>
    <w:rsid w:val="45B918A8"/>
    <w:rsid w:val="463673DA"/>
    <w:rsid w:val="464508D5"/>
    <w:rsid w:val="47613FA5"/>
    <w:rsid w:val="47653A95"/>
    <w:rsid w:val="48166B3E"/>
    <w:rsid w:val="481B6200"/>
    <w:rsid w:val="485D4FC6"/>
    <w:rsid w:val="4A6D60A3"/>
    <w:rsid w:val="4BCB40E3"/>
    <w:rsid w:val="4D4D3536"/>
    <w:rsid w:val="4DEF1265"/>
    <w:rsid w:val="4E402B66"/>
    <w:rsid w:val="4E880069"/>
    <w:rsid w:val="501F246A"/>
    <w:rsid w:val="50204561"/>
    <w:rsid w:val="528C4CCE"/>
    <w:rsid w:val="52C21540"/>
    <w:rsid w:val="533C41C5"/>
    <w:rsid w:val="54A56347"/>
    <w:rsid w:val="54ED6E78"/>
    <w:rsid w:val="563546B0"/>
    <w:rsid w:val="567E54E5"/>
    <w:rsid w:val="57792C45"/>
    <w:rsid w:val="5A647BDD"/>
    <w:rsid w:val="5AAF1AAA"/>
    <w:rsid w:val="5ADE798F"/>
    <w:rsid w:val="5C074CC3"/>
    <w:rsid w:val="5CE2128D"/>
    <w:rsid w:val="5D7B1CC1"/>
    <w:rsid w:val="5E354CE4"/>
    <w:rsid w:val="6057458C"/>
    <w:rsid w:val="6280757E"/>
    <w:rsid w:val="62E06EE1"/>
    <w:rsid w:val="646C358C"/>
    <w:rsid w:val="64872E45"/>
    <w:rsid w:val="64FE564E"/>
    <w:rsid w:val="65812FCF"/>
    <w:rsid w:val="665B1DD8"/>
    <w:rsid w:val="66BF0846"/>
    <w:rsid w:val="6706304F"/>
    <w:rsid w:val="671723D7"/>
    <w:rsid w:val="6737716A"/>
    <w:rsid w:val="67DA328C"/>
    <w:rsid w:val="67E36959"/>
    <w:rsid w:val="68FE6FA2"/>
    <w:rsid w:val="6C2152D1"/>
    <w:rsid w:val="6C375151"/>
    <w:rsid w:val="6CBA7B30"/>
    <w:rsid w:val="6D85712C"/>
    <w:rsid w:val="6F1413F5"/>
    <w:rsid w:val="6F6A5072"/>
    <w:rsid w:val="70F32156"/>
    <w:rsid w:val="72BD5C84"/>
    <w:rsid w:val="72E70F53"/>
    <w:rsid w:val="73643AA3"/>
    <w:rsid w:val="77B43F2A"/>
    <w:rsid w:val="78847910"/>
    <w:rsid w:val="78D67AA0"/>
    <w:rsid w:val="790E7239"/>
    <w:rsid w:val="79183C14"/>
    <w:rsid w:val="79406FE8"/>
    <w:rsid w:val="7B117C09"/>
    <w:rsid w:val="7BEB1AB4"/>
    <w:rsid w:val="7D846007"/>
    <w:rsid w:val="7E434FB0"/>
    <w:rsid w:val="7E527BC8"/>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15"/>
    <w:qFormat/>
    <w:uiPriority w:val="9"/>
    <w:pPr>
      <w:spacing w:before="100" w:beforeAutospacing="1" w:after="100" w:afterAutospacing="1"/>
      <w:outlineLvl w:val="0"/>
    </w:pPr>
    <w:rPr>
      <w:b/>
      <w:bCs/>
      <w:kern w:val="36"/>
      <w:sz w:val="48"/>
      <w:szCs w:val="48"/>
    </w:rPr>
  </w:style>
  <w:style w:type="paragraph" w:styleId="4">
    <w:name w:val="heading 2"/>
    <w:basedOn w:val="1"/>
    <w:next w:val="1"/>
    <w:link w:val="16"/>
    <w:qFormat/>
    <w:uiPriority w:val="9"/>
    <w:pPr>
      <w:spacing w:before="100" w:beforeAutospacing="1" w:after="100" w:afterAutospacing="1"/>
      <w:outlineLvl w:val="1"/>
    </w:pPr>
    <w:rPr>
      <w:b/>
      <w:bCs/>
      <w:sz w:val="36"/>
      <w:szCs w:val="36"/>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Salutation"/>
    <w:basedOn w:val="1"/>
    <w:next w:val="1"/>
    <w:qFormat/>
    <w:uiPriority w:val="0"/>
    <w:pPr>
      <w:jc w:val="both"/>
      <w:textAlignment w:val="baseline"/>
    </w:pPr>
  </w:style>
  <w:style w:type="paragraph" w:styleId="6">
    <w:name w:val="Body Text"/>
    <w:basedOn w:val="1"/>
    <w:qFormat/>
    <w:uiPriority w:val="99"/>
    <w:pPr>
      <w:widowControl w:val="0"/>
      <w:spacing w:beforeLines="30"/>
      <w:jc w:val="both"/>
    </w:pPr>
    <w:rPr>
      <w:rFonts w:ascii="仿宋_GB2312" w:hAnsi="Times New Roman" w:eastAsia="仿宋_GB2312" w:cs="Times New Roman"/>
      <w:sz w:val="30"/>
    </w:rPr>
  </w:style>
  <w:style w:type="paragraph" w:styleId="7">
    <w:name w:val="Body Text Indent"/>
    <w:basedOn w:val="1"/>
    <w:next w:val="8"/>
    <w:qFormat/>
    <w:uiPriority w:val="0"/>
    <w:pPr>
      <w:widowControl w:val="0"/>
      <w:spacing w:line="560" w:lineRule="atLeast"/>
      <w:ind w:firstLine="640" w:firstLineChars="200"/>
      <w:jc w:val="both"/>
    </w:pPr>
    <w:rPr>
      <w:rFonts w:ascii="仿宋_GB2312" w:hAnsi="Times New Roman" w:eastAsia="仿宋_GB2312" w:cs="Times New Roman"/>
      <w:kern w:val="2"/>
      <w:sz w:val="32"/>
      <w:szCs w:val="24"/>
      <w:lang w:val="en-US" w:eastAsia="zh-CN" w:bidi="ar-SA"/>
    </w:rPr>
  </w:style>
  <w:style w:type="paragraph" w:styleId="8">
    <w:name w:val="Body Text First Indent 2"/>
    <w:basedOn w:val="7"/>
    <w:next w:val="1"/>
    <w:qFormat/>
    <w:uiPriority w:val="0"/>
    <w:pPr>
      <w:widowControl w:val="0"/>
      <w:spacing w:line="560" w:lineRule="atLeast"/>
      <w:ind w:firstLine="420" w:firstLineChars="200"/>
      <w:jc w:val="both"/>
    </w:pPr>
    <w:rPr>
      <w:rFonts w:ascii="仿宋_GB2312" w:hAnsi="Times New Roman" w:eastAsia="仿宋_GB2312" w:cs="Times New Roman"/>
      <w:kern w:val="2"/>
      <w:sz w:val="32"/>
      <w:szCs w:val="24"/>
      <w:lang w:val="en-US" w:eastAsia="zh-CN" w:bidi="ar-SA"/>
    </w:rPr>
  </w:style>
  <w:style w:type="paragraph" w:styleId="9">
    <w:name w:val="footer"/>
    <w:basedOn w:val="1"/>
    <w:unhideWhenUsed/>
    <w:qFormat/>
    <w:uiPriority w:val="99"/>
    <w:pPr>
      <w:tabs>
        <w:tab w:val="center" w:pos="4153"/>
        <w:tab w:val="right" w:pos="8306"/>
      </w:tabs>
      <w:snapToGrid w:val="0"/>
      <w:jc w:val="left"/>
    </w:pPr>
    <w:rPr>
      <w:sz w:val="18"/>
      <w:szCs w:val="18"/>
      <w:lang w:val="zh-CN" w:eastAsia="zh-CN"/>
    </w:rPr>
  </w:style>
  <w:style w:type="paragraph" w:styleId="10">
    <w:name w:val="table of figures"/>
    <w:basedOn w:val="1"/>
    <w:next w:val="1"/>
    <w:unhideWhenUsed/>
    <w:qFormat/>
    <w:uiPriority w:val="99"/>
    <w:pPr>
      <w:ind w:leftChars="200" w:hanging="200" w:hangingChars="200"/>
    </w:pPr>
  </w:style>
  <w:style w:type="paragraph" w:styleId="11">
    <w:name w:val="Normal (Web)"/>
    <w:basedOn w:val="1"/>
    <w:unhideWhenUsed/>
    <w:qFormat/>
    <w:uiPriority w:val="99"/>
    <w:pPr>
      <w:spacing w:before="100" w:beforeAutospacing="1" w:after="100" w:afterAutospacing="1"/>
    </w:pPr>
  </w:style>
  <w:style w:type="character" w:styleId="14">
    <w:name w:val="Strong"/>
    <w:basedOn w:val="13"/>
    <w:qFormat/>
    <w:uiPriority w:val="22"/>
    <w:rPr>
      <w:b/>
      <w:bCs/>
    </w:rPr>
  </w:style>
  <w:style w:type="character" w:customStyle="1" w:styleId="15">
    <w:name w:val="标题 1 Char"/>
    <w:basedOn w:val="13"/>
    <w:link w:val="3"/>
    <w:qFormat/>
    <w:uiPriority w:val="9"/>
    <w:rPr>
      <w:rFonts w:ascii="宋体" w:hAnsi="宋体" w:eastAsia="宋体" w:cs="宋体"/>
      <w:b/>
      <w:bCs/>
      <w:kern w:val="44"/>
      <w:sz w:val="44"/>
      <w:szCs w:val="44"/>
    </w:rPr>
  </w:style>
  <w:style w:type="character" w:customStyle="1" w:styleId="16">
    <w:name w:val="标题 2 Char"/>
    <w:basedOn w:val="13"/>
    <w:link w:val="4"/>
    <w:semiHidden/>
    <w:qFormat/>
    <w:uiPriority w:val="9"/>
    <w:rPr>
      <w:rFonts w:asciiTheme="majorHAnsi" w:hAnsiTheme="majorHAnsi" w:eastAsiaTheme="majorEastAsia" w:cstheme="majorBidi"/>
      <w:b/>
      <w:bCs/>
      <w:sz w:val="32"/>
      <w:szCs w:val="32"/>
    </w:rPr>
  </w:style>
  <w:style w:type="paragraph" w:customStyle="1" w:styleId="17">
    <w:name w:val="p0"/>
    <w:basedOn w:val="1"/>
    <w:qFormat/>
    <w:uiPriority w:val="0"/>
    <w:pPr>
      <w:widowControl/>
      <w:spacing w:line="365" w:lineRule="atLeast"/>
      <w:ind w:left="1"/>
    </w:pPr>
    <w:rPr>
      <w:kern w:val="0"/>
      <w:sz w:val="20"/>
      <w:szCs w:val="20"/>
    </w:rPr>
  </w:style>
  <w:style w:type="paragraph" w:customStyle="1" w:styleId="18">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收支总计对比图     单位：万元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Sheet1!$B$2</c:f>
              <c:numCache>
                <c:formatCode>General</c:formatCode>
                <c:ptCount val="1"/>
                <c:pt idx="0">
                  <c:v>12613.6</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Sheet1!$C$2</c:f>
              <c:numCache>
                <c:formatCode>General</c:formatCode>
                <c:ptCount val="1"/>
                <c:pt idx="0">
                  <c:v>13231.13</c:v>
                </c:pt>
              </c:numCache>
            </c:numRef>
          </c:val>
        </c:ser>
        <c:dLbls>
          <c:showLegendKey val="0"/>
          <c:showVal val="0"/>
          <c:showCatName val="0"/>
          <c:showSerName val="0"/>
          <c:showPercent val="0"/>
          <c:showBubbleSize val="0"/>
        </c:dLbls>
        <c:gapWidth val="219"/>
        <c:overlap val="-27"/>
        <c:axId val="777945126"/>
        <c:axId val="726580040"/>
      </c:barChart>
      <c:catAx>
        <c:axId val="777945126"/>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6580040"/>
        <c:crosses val="autoZero"/>
        <c:auto val="1"/>
        <c:lblAlgn val="ctr"/>
        <c:lblOffset val="100"/>
        <c:noMultiLvlLbl val="0"/>
      </c:catAx>
      <c:valAx>
        <c:axId val="726580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7945126"/>
        <c:crosses val="autoZero"/>
        <c:crossBetween val="between"/>
      </c:valAx>
      <c:spPr>
        <a:noFill/>
        <a:ln>
          <a:noFill/>
        </a:ln>
        <a:effectLst/>
      </c:spPr>
    </c:plotArea>
    <c:legend>
      <c:legendPos val="b"/>
      <c:layout>
        <c:manualLayout>
          <c:xMode val="edge"/>
          <c:yMode val="edge"/>
          <c:x val="0.396076688674454"/>
          <c:y val="0.8875299122573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支出对比图      单位：万元</a:t>
            </a:r>
          </a:p>
        </c:rich>
      </c:tx>
      <c:layout>
        <c:manualLayout>
          <c:xMode val="edge"/>
          <c:yMode val="edge"/>
          <c:x val="0.356747897097995"/>
          <c:y val="0.0371942500414164"/>
        </c:manualLayout>
      </c:layout>
      <c:overlay val="0"/>
      <c:spPr>
        <a:noFill/>
        <a:ln>
          <a:noFill/>
        </a:ln>
        <a:effectLst/>
      </c:spPr>
    </c:title>
    <c:autoTitleDeleted val="0"/>
    <c:plotArea>
      <c:layout/>
      <c:pieChart>
        <c:varyColors val="1"/>
        <c:ser>
          <c:idx val="0"/>
          <c:order val="0"/>
          <c:tx>
            <c:strRef>
              <c:f>Sheet1!$B$1</c:f>
              <c:strCache>
                <c:ptCount val="1"/>
                <c:pt idx="0">
                  <c:v>支出对比图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797.93</c:v>
                </c:pt>
                <c:pt idx="1" c:formatCode="#,##0.00">
                  <c:v>12433.2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财政拨款收、支对比图          单位：万元</a:t>
            </a:r>
          </a:p>
        </c:rich>
      </c:tx>
      <c:layout>
        <c:manualLayout>
          <c:xMode val="edge"/>
          <c:yMode val="edge"/>
          <c:x val="0.10625814863103"/>
          <c:y val="0.0298466593647317"/>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收支总计对比图</c:v>
                </c:pt>
              </c:strCache>
            </c:strRef>
          </c:tx>
          <c:spPr>
            <a:solidFill>
              <a:schemeClr val="accent1"/>
            </a:solidFill>
            <a:ln>
              <a:noFill/>
            </a:ln>
            <a:effectLst/>
          </c:spPr>
          <c:invertIfNegative val="0"/>
          <c:dPt>
            <c:idx val="1"/>
            <c:invertIfNegative val="0"/>
            <c:bubble3D val="0"/>
            <c:spPr>
              <a:solidFill>
                <a:srgbClr val="C00000"/>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2021年财政拨款收、支总计</c:v>
                </c:pt>
                <c:pt idx="1">
                  <c:v>2020年相比，财政拨款收、支总计</c:v>
                </c:pt>
              </c:strCache>
            </c:strRef>
          </c:cat>
          <c:val>
            <c:numRef>
              <c:f>Sheet1!$B$2:$B$3</c:f>
              <c:numCache>
                <c:formatCode>#,##0.00</c:formatCode>
                <c:ptCount val="2"/>
                <c:pt idx="0">
                  <c:v>13231.13</c:v>
                </c:pt>
                <c:pt idx="1" c:formatCode="General">
                  <c:v>12613.6</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2021年财政拨款收、支总计</c:v>
                </c:pt>
                <c:pt idx="1">
                  <c:v>2020年相比，财政拨款收、支总计</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2021年财政拨款收、支总计</c:v>
                </c:pt>
                <c:pt idx="1">
                  <c:v>2020年相比，财政拨款收、支总计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35362656"/>
        <c:axId val="712434907"/>
      </c:barChart>
      <c:catAx>
        <c:axId val="353626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2434907"/>
        <c:crosses val="autoZero"/>
        <c:auto val="1"/>
        <c:lblAlgn val="ctr"/>
        <c:lblOffset val="100"/>
        <c:noMultiLvlLbl val="0"/>
      </c:catAx>
      <c:valAx>
        <c:axId val="71243490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36265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一般公共预算对比图       单位：万元     </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一般公共预算财政拨款支出对比表</c:v>
                </c:pt>
              </c:strCache>
            </c:strRef>
          </c:tx>
          <c:spPr>
            <a:solidFill>
              <a:schemeClr val="accent1"/>
            </a:solidFill>
            <a:ln>
              <a:noFill/>
            </a:ln>
            <a:effectLst/>
          </c:spPr>
          <c:invertIfNegative val="0"/>
          <c:dPt>
            <c:idx val="0"/>
            <c:invertIfNegative val="0"/>
            <c:bubble3D val="0"/>
            <c:spPr>
              <a:solidFill>
                <a:schemeClr val="accent1"/>
              </a:solidFill>
              <a:ln>
                <a:noFill/>
              </a:ln>
              <a:effectLst/>
            </c:spPr>
          </c:dPt>
          <c:dPt>
            <c:idx val="1"/>
            <c:invertIfNegative val="0"/>
            <c:bubble3D val="0"/>
            <c:spPr>
              <a:gradFill>
                <a:gsLst>
                  <a:gs pos="0">
                    <a:srgbClr val="A73737"/>
                  </a:gs>
                  <a:gs pos="75000">
                    <a:srgbClr val="872C2C">
                      <a:lumMod val="95000"/>
                      <a:lumOff val="5000"/>
                    </a:srgbClr>
                  </a:gs>
                </a:gsLst>
                <a:lin scaled="1"/>
              </a:gradFill>
              <a:ln>
                <a:solidFill>
                  <a:srgbClr val="0000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2021年一般公共预算财政拨款支出</c:v>
                </c:pt>
                <c:pt idx="1">
                  <c:v>2020年一般公共预算财政拨款支出</c:v>
                </c:pt>
              </c:strCache>
            </c:strRef>
          </c:cat>
          <c:val>
            <c:numRef>
              <c:f>Sheet1!$B$2:$B$3</c:f>
              <c:numCache>
                <c:formatCode>#,##0.00</c:formatCode>
                <c:ptCount val="2"/>
                <c:pt idx="0">
                  <c:v>13231.13</c:v>
                </c:pt>
                <c:pt idx="1" c:formatCode="General">
                  <c:v>6985.54</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2021年一般公共预算财政拨款支出</c:v>
                </c:pt>
                <c:pt idx="1">
                  <c:v>2020年一般公共预算财政拨款支出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2021年一般公共预算财政拨款支出</c:v>
                </c:pt>
                <c:pt idx="1">
                  <c:v>2020年一般公共预算财政拨款支出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06259973"/>
        <c:axId val="144060691"/>
      </c:barChart>
      <c:catAx>
        <c:axId val="1062599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4060691"/>
        <c:crosses val="autoZero"/>
        <c:auto val="1"/>
        <c:lblAlgn val="ctr"/>
        <c:lblOffset val="100"/>
        <c:noMultiLvlLbl val="0"/>
      </c:catAx>
      <c:valAx>
        <c:axId val="14406069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259973"/>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一般公共预算财政拨款支出对比图     单位：万元</a:t>
            </a:r>
          </a:p>
        </c:rich>
      </c:tx>
      <c:layout>
        <c:manualLayout>
          <c:xMode val="edge"/>
          <c:yMode val="edge"/>
          <c:x val="0.0907681465821001"/>
          <c:y val="0.0148383677795442"/>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manualLayout>
                  <c:x val="0.00923264233610141"/>
                  <c:y val="-0.029144945889381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734958540034576"/>
                  <c:y val="0.0003584975258441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69934067114711"/>
                  <c:y val="0.04346852040671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169724445689143"/>
                  <c:y val="-0.27218137067141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84477640167145"/>
                  <c:y val="-0.00444207791002094"/>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0920828258221681"/>
                      <c:h val="0.049237552820136"/>
                    </c:manualLayout>
                  </c15:layout>
                </c:ext>
              </c:extLst>
            </c:dLbl>
            <c:dLbl>
              <c:idx val="5"/>
              <c:layout>
                <c:manualLayout>
                  <c:x val="-0.0724342709693841"/>
                  <c:y val="-0.0015858207340302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社会保障和就业（类）支出</c:v>
                </c:pt>
                <c:pt idx="1">
                  <c:v>卫生健康支出（类）</c:v>
                </c:pt>
                <c:pt idx="2">
                  <c:v>节能环保支出（类）</c:v>
                </c:pt>
                <c:pt idx="3">
                  <c:v>城乡社区支出（类）</c:v>
                </c:pt>
                <c:pt idx="4">
                  <c:v>农林水支出（类）</c:v>
                </c:pt>
                <c:pt idx="5">
                  <c:v>住房保障支出（类）</c:v>
                </c:pt>
                <c:pt idx="6">
                  <c:v>其他</c:v>
                </c:pt>
              </c:strCache>
            </c:strRef>
          </c:cat>
          <c:val>
            <c:numRef>
              <c:f>Sheet1!$B$2:$B$8</c:f>
              <c:numCache>
                <c:formatCode>General</c:formatCode>
                <c:ptCount val="7"/>
                <c:pt idx="0">
                  <c:v>80.85</c:v>
                </c:pt>
                <c:pt idx="1">
                  <c:v>62.26</c:v>
                </c:pt>
                <c:pt idx="2" c:formatCode="#,##0.00">
                  <c:v>2332.17</c:v>
                </c:pt>
                <c:pt idx="3" c:formatCode="#,##0.00">
                  <c:v>5273.24</c:v>
                </c:pt>
                <c:pt idx="4" c:formatCode="#,##0.00">
                  <c:v>1827.86</c:v>
                </c:pt>
                <c:pt idx="5">
                  <c:v>343.94</c:v>
                </c:pt>
                <c:pt idx="6">
                  <c:v>3310.81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51075"/>
          <c:y val="0.1731"/>
          <c:w val="0.5016"/>
          <c:h val="0.6688"/>
        </c:manualLayout>
      </c:layout>
      <c:pieChart>
        <c:varyColors val="1"/>
        <c:ser>
          <c:idx val="0"/>
          <c:order val="0"/>
          <c:tx>
            <c:strRef>
              <c:f>Sheet1!$B$1</c:f>
              <c:strCache>
                <c:ptCount val="1"/>
                <c:pt idx="0">
                  <c:v> 2020年“三公”经费财政拨款支出决算对比图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4249472832525"/>
                  <c:y val="-0.076212837161288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5.</a:t>
                    </a:r>
                    <a:r>
                      <a:rPr lang="en-US" altLang="zh-CN"/>
                      <a:t>16</a:t>
                    </a:r>
                    <a:r>
                      <a:t>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355"/>
                      <c:h val="0.0926666666666667"/>
                    </c:manualLayout>
                  </c15:layout>
                </c:ext>
              </c:extLst>
            </c:dLbl>
            <c:dLbl>
              <c:idx val="1"/>
              <c:layout>
                <c:manualLayout>
                  <c:x val="-0.0843697397029949"/>
                  <c:y val="-0.0087871628302994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0.66万元</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14375"/>
                      <c:h val="0.065333333333333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公务用车购置及运行维护费支出决算</c:v>
                </c:pt>
                <c:pt idx="1">
                  <c:v>公务接待费支出决算</c:v>
                </c:pt>
              </c:strCache>
            </c:strRef>
          </c:cat>
          <c:val>
            <c:numRef>
              <c:f>Sheet1!$B$2:$B$3</c:f>
              <c:numCache>
                <c:formatCode>General</c:formatCode>
                <c:ptCount val="2"/>
                <c:pt idx="0">
                  <c:v>5.16</c:v>
                </c:pt>
                <c:pt idx="1">
                  <c:v>0.66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17647</Words>
  <Characters>19617</Characters>
  <Lines>60</Lines>
  <Paragraphs>17</Paragraphs>
  <TotalTime>9</TotalTime>
  <ScaleCrop>false</ScaleCrop>
  <LinksUpToDate>false</LinksUpToDate>
  <CharactersWithSpaces>19864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2022-12-06T07:24:00Z</dcterms:created>
  <dc:creator>xtzj</dc:creator>
  <cp:lastModifiedBy>WPS_1559532957</cp:lastModifiedBy>
  <dcterms:modified xsi:type="dcterms:W3CDTF">2022-12-07T06:19:03Z</dcterms:modified>
  <dc:title>2021年部门决算公开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C46E424820F446F3BDF5E0EB3F1BB1C6</vt:lpwstr>
  </property>
</Properties>
</file>