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7425"/>
      <w:bookmarkStart w:id="2" w:name="_Toc15396475"/>
      <w:bookmarkStart w:id="3" w:name="_Toc15377193"/>
      <w:bookmarkStart w:id="4" w:name="_Toc15378441"/>
      <w:bookmarkStart w:id="5" w:name="_Toc15396597"/>
      <w:r>
        <w:rPr>
          <w:rFonts w:hint="eastAsia" w:ascii="方正小标宋简体" w:eastAsia="方正小标宋简体" w:cs="方正小标宋简体"/>
          <w:sz w:val="72"/>
          <w:szCs w:val="72"/>
        </w:rPr>
        <w:t>2021年度</w:t>
      </w:r>
      <w:bookmarkEnd w:id="1"/>
      <w:bookmarkEnd w:id="2"/>
      <w:bookmarkEnd w:id="3"/>
      <w:bookmarkEnd w:id="4"/>
      <w:bookmarkEnd w:id="5"/>
    </w:p>
    <w:p>
      <w:pPr>
        <w:pStyle w:val="27"/>
        <w:keepNext w:val="0"/>
        <w:keepLines w:val="0"/>
        <w:widowControl/>
        <w:suppressLineNumbers w:val="0"/>
        <w:spacing w:before="0" w:beforeAutospacing="0"/>
        <w:ind w:left="0"/>
        <w:jc w:val="center"/>
        <w:rPr>
          <w:rFonts w:hint="eastAsia" w:ascii="方正小标宋简体" w:eastAsia="方正小标宋简体" w:cs="方正小标宋简体"/>
          <w:sz w:val="72"/>
          <w:szCs w:val="72"/>
        </w:rPr>
      </w:pPr>
      <w:bookmarkStart w:id="6" w:name="_Toc15396598"/>
      <w:bookmarkStart w:id="7" w:name="_Toc15377194"/>
      <w:bookmarkStart w:id="8" w:name="_Toc15396476"/>
      <w:bookmarkStart w:id="9" w:name="_Toc15377426"/>
      <w:bookmarkStart w:id="10" w:name="_Toc15378442"/>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rPr>
        <w:t>红原县人民医院</w:t>
      </w:r>
    </w:p>
    <w:p>
      <w:pPr>
        <w:pStyle w:val="27"/>
        <w:keepNext w:val="0"/>
        <w:keepLines w:val="0"/>
        <w:widowControl/>
        <w:suppressLineNumbers w:val="0"/>
        <w:spacing w:before="0" w:beforeAutospacing="0"/>
        <w:ind w:left="0"/>
        <w:jc w:val="center"/>
        <w:rPr>
          <w:rFonts w:hint="default" w:ascii="方正小标宋简体" w:eastAsia="方正小标宋简体" w:cs="方正小标宋简体"/>
          <w:sz w:val="72"/>
          <w:szCs w:val="72"/>
          <w:lang w:val="en-US" w:eastAsia="zh-CN"/>
        </w:rPr>
      </w:pPr>
      <w:r>
        <w:rPr>
          <w:rFonts w:hint="eastAsia" w:ascii="方正小标宋简体" w:eastAsia="方正小标宋简体" w:cs="方正小标宋简体"/>
          <w:sz w:val="72"/>
          <w:szCs w:val="72"/>
          <w:lang w:val="en-US" w:eastAsia="zh-CN"/>
        </w:rPr>
        <w:t>单位</w:t>
      </w:r>
      <w:r>
        <w:rPr>
          <w:rFonts w:hint="eastAsia" w:ascii="方正小标宋简体" w:eastAsia="方正小标宋简体" w:cs="方正小标宋简体"/>
          <w:sz w:val="72"/>
          <w:szCs w:val="72"/>
        </w:rPr>
        <w:t>决算公开</w:t>
      </w:r>
      <w:r>
        <w:rPr>
          <w:rFonts w:hint="eastAsia" w:ascii="方正小标宋简体" w:eastAsia="方正小标宋简体" w:cs="方正小标宋简体"/>
          <w:sz w:val="72"/>
          <w:szCs w:val="72"/>
          <w:lang w:val="en-US" w:eastAsia="zh-CN"/>
        </w:rPr>
        <w:t>编制说明</w:t>
      </w:r>
    </w:p>
    <w:bookmarkEnd w:id="6"/>
    <w:bookmarkEnd w:id="7"/>
    <w:bookmarkEnd w:id="8"/>
    <w:bookmarkEnd w:id="9"/>
    <w:bookmarkEnd w:id="10"/>
    <w:bookmarkEnd w:id="11"/>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jc w:val="center"/>
        <w:rPr>
          <w:rFonts w:hint="eastAsia"/>
        </w:rPr>
      </w:pPr>
      <w:bookmarkStart w:id="12" w:name="_Hlk113547609"/>
      <w:r>
        <w:rPr>
          <w:rFonts w:hint="eastAsia" w:cs="仿宋_GB2312"/>
          <w:sz w:val="32"/>
          <w:szCs w:val="32"/>
        </w:rPr>
        <w:t>已经保密审查、内容审定，同意对外公开</w:t>
      </w:r>
      <w:bookmarkEnd w:id="12"/>
    </w:p>
    <w:p>
      <w:pPr>
        <w:widowControl/>
        <w:jc w:val="center"/>
        <w:rPr>
          <w:rFonts w:hint="eastAsia" w:ascii="黑体" w:eastAsia="黑体"/>
          <w:sz w:val="48"/>
          <w:szCs w:val="48"/>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2"/>
      </w:pPr>
      <w:r>
        <w:rPr>
          <w:rFonts w:hint="eastAsia"/>
        </w:rPr>
        <w:t>公开时间：2022年9月</w:t>
      </w:r>
      <w:r>
        <w:rPr>
          <w:rFonts w:hint="eastAsia"/>
          <w:lang w:val="en-US" w:eastAsia="zh-CN"/>
        </w:rPr>
        <w:t>1</w:t>
      </w:r>
      <w:r>
        <w:rPr>
          <w:rFonts w:hint="eastAsia"/>
        </w:rPr>
        <w:t>9日</w:t>
      </w:r>
    </w:p>
    <w:p/>
    <w:p>
      <w:pPr>
        <w:pStyle w:val="12"/>
        <w:adjustRightInd w:val="0"/>
        <w:snapToGrid w:val="0"/>
        <w:spacing w:before="0" w:line="440" w:lineRule="exact"/>
        <w:jc w:val="left"/>
        <w:rPr>
          <w:rFonts w:hint="default" w:eastAsia="仿宋" w:cs="Arial"/>
          <w:sz w:val="24"/>
          <w:szCs w:val="24"/>
          <w:lang w:val="en-US" w:eastAsia="zh-CN"/>
        </w:rPr>
      </w:pPr>
      <w:r>
        <w:rPr>
          <w:rFonts w:hint="eastAsia"/>
          <w:sz w:val="24"/>
        </w:rPr>
        <w:t>第一部分</w:t>
      </w:r>
      <w:r>
        <w:rPr>
          <w:sz w:val="24"/>
        </w:rPr>
        <w:t xml:space="preserve"> </w:t>
      </w:r>
      <w:r>
        <w:rPr>
          <w:rFonts w:hint="eastAsia"/>
          <w:sz w:val="24"/>
        </w:rPr>
        <w:t>单位概况</w:t>
      </w:r>
      <w:r>
        <w:rPr>
          <w:rFonts w:hint="eastAsia"/>
          <w:sz w:val="24"/>
          <w:lang w:val="en-US" w:eastAsia="zh-CN"/>
        </w:rPr>
        <w:t>.....................................</w:t>
      </w:r>
      <w:r>
        <w:rPr>
          <w:rFonts w:hint="eastAsia" w:ascii="仿宋" w:hAnsi="仿宋" w:eastAsia="仿宋" w:cs="仿宋"/>
          <w:kern w:val="0"/>
          <w:sz w:val="32"/>
          <w:szCs w:val="32"/>
          <w:shd w:val="clear" w:color="auto" w:fill="FFFFFF"/>
          <w:lang w:val="en-US" w:eastAsia="zh-CN" w:bidi="ar"/>
        </w:rPr>
        <w:t>...</w:t>
      </w:r>
      <w:r>
        <w:rPr>
          <w:rFonts w:hint="eastAsia" w:hAnsi="仿宋" w:cs="仿宋"/>
          <w:kern w:val="0"/>
          <w:sz w:val="32"/>
          <w:szCs w:val="32"/>
          <w:shd w:val="clear" w:color="auto" w:fill="FFFFFF"/>
          <w:lang w:val="en-US" w:eastAsia="zh-CN" w:bidi="ar"/>
        </w:rPr>
        <w:t>4</w:t>
      </w:r>
    </w:p>
    <w:p>
      <w:pPr>
        <w:pStyle w:val="13"/>
        <w:adjustRightInd w:val="0"/>
        <w:snapToGrid w:val="0"/>
        <w:spacing w:line="440" w:lineRule="exact"/>
        <w:ind w:left="420"/>
        <w:jc w:val="left"/>
        <w:rPr>
          <w:rFonts w:hint="eastAsia" w:ascii="仿宋" w:hAnsi="仿宋" w:eastAsia="仿宋" w:cs="仿宋"/>
          <w:kern w:val="0"/>
          <w:sz w:val="32"/>
          <w:szCs w:val="32"/>
          <w:shd w:val="clear" w:color="auto" w:fill="FFFFFF"/>
          <w:lang w:val="en-US" w:eastAsia="zh-CN" w:bidi="ar"/>
        </w:rPr>
      </w:pPr>
      <w:r>
        <w:rPr>
          <w:rFonts w:hint="eastAsia"/>
          <w:sz w:val="24"/>
        </w:rPr>
        <w:t>一、</w:t>
      </w:r>
      <w:r>
        <w:rPr>
          <w:rFonts w:hint="eastAsia"/>
          <w:sz w:val="24"/>
          <w:lang w:val="en-US" w:eastAsia="zh-CN"/>
        </w:rPr>
        <w:t>机构设置情况</w:t>
      </w:r>
      <w:r>
        <w:rPr>
          <w:rFonts w:hint="eastAsia" w:ascii="仿宋" w:hAnsi="仿宋" w:eastAsia="仿宋" w:cs="仿宋"/>
          <w:kern w:val="0"/>
          <w:sz w:val="32"/>
          <w:szCs w:val="32"/>
          <w:shd w:val="clear" w:color="auto" w:fill="FFFFFF"/>
          <w:lang w:val="en-US" w:eastAsia="zh-CN" w:bidi="ar"/>
        </w:rPr>
        <w:t>................................4</w:t>
      </w:r>
    </w:p>
    <w:p>
      <w:pPr>
        <w:pStyle w:val="13"/>
        <w:adjustRightInd w:val="0"/>
        <w:snapToGrid w:val="0"/>
        <w:spacing w:line="440" w:lineRule="exact"/>
        <w:ind w:left="420"/>
        <w:jc w:val="left"/>
        <w:rPr>
          <w:rFonts w:hint="default"/>
          <w:lang w:val="en-US"/>
        </w:rPr>
      </w:pPr>
      <w:r>
        <w:rPr>
          <w:rFonts w:hint="eastAsia" w:ascii="宋体" w:cs="宋体"/>
          <w:sz w:val="24"/>
        </w:rPr>
        <w:t>二</w:t>
      </w:r>
      <w:r>
        <w:rPr>
          <w:rFonts w:hint="eastAsia"/>
          <w:sz w:val="24"/>
        </w:rPr>
        <w:t>、职能简介</w:t>
      </w:r>
      <w:r>
        <w:rPr>
          <w:rFonts w:hint="eastAsia" w:ascii="仿宋" w:hAnsi="仿宋" w:eastAsia="仿宋" w:cs="仿宋"/>
          <w:kern w:val="0"/>
          <w:sz w:val="32"/>
          <w:szCs w:val="32"/>
          <w:shd w:val="clear" w:color="auto" w:fill="FFFFFF"/>
          <w:lang w:val="en-US" w:eastAsia="zh-CN" w:bidi="ar"/>
        </w:rPr>
        <w:t>................................4</w:t>
      </w:r>
    </w:p>
    <w:p>
      <w:pPr>
        <w:pStyle w:val="13"/>
        <w:adjustRightInd w:val="0"/>
        <w:snapToGrid w:val="0"/>
        <w:spacing w:line="440" w:lineRule="exact"/>
        <w:ind w:left="420"/>
        <w:jc w:val="left"/>
        <w:rPr>
          <w:rFonts w:hint="default" w:ascii="宋体" w:cs="宋体"/>
          <w:sz w:val="24"/>
          <w:lang w:val="en-US"/>
        </w:rPr>
      </w:pPr>
      <w:r>
        <w:rPr>
          <w:rFonts w:hint="eastAsia" w:ascii="宋体" w:cs="宋体"/>
          <w:sz w:val="24"/>
          <w:lang w:val="en-US" w:eastAsia="zh-CN"/>
        </w:rPr>
        <w:t>三</w:t>
      </w:r>
      <w:r>
        <w:rPr>
          <w:rFonts w:hint="eastAsia" w:ascii="宋体" w:cs="宋体"/>
          <w:sz w:val="24"/>
        </w:rPr>
        <w:t>、2021年重点工作完成情况</w:t>
      </w:r>
      <w:r>
        <w:rPr>
          <w:rFonts w:hint="eastAsia" w:ascii="仿宋" w:hAnsi="仿宋" w:eastAsia="仿宋" w:cs="仿宋"/>
          <w:kern w:val="0"/>
          <w:sz w:val="32"/>
          <w:szCs w:val="32"/>
          <w:shd w:val="clear" w:color="auto" w:fill="FFFFFF"/>
          <w:lang w:val="en-US" w:eastAsia="zh-CN" w:bidi="ar"/>
        </w:rPr>
        <w:t>.....................4</w:t>
      </w:r>
    </w:p>
    <w:p>
      <w:pPr>
        <w:pStyle w:val="12"/>
        <w:adjustRightInd w:val="0"/>
        <w:snapToGrid w:val="0"/>
        <w:spacing w:before="0" w:line="440" w:lineRule="exact"/>
        <w:jc w:val="left"/>
        <w:rPr>
          <w:rFonts w:hint="default"/>
          <w:sz w:val="24"/>
          <w:szCs w:val="24"/>
          <w:lang w:val="en-US"/>
        </w:rPr>
      </w:pPr>
      <w:r>
        <w:rPr>
          <w:rFonts w:hint="eastAsia"/>
          <w:sz w:val="24"/>
        </w:rPr>
        <w:t>第二部分 2021年度单位决算情况说明</w:t>
      </w:r>
      <w:r>
        <w:rPr>
          <w:rFonts w:hint="eastAsia" w:ascii="仿宋" w:hAnsi="仿宋" w:eastAsia="仿宋" w:cs="仿宋"/>
          <w:kern w:val="0"/>
          <w:sz w:val="32"/>
          <w:szCs w:val="32"/>
          <w:shd w:val="clear" w:color="auto" w:fill="FFFFFF"/>
          <w:lang w:val="en-US" w:eastAsia="zh-CN" w:bidi="ar"/>
        </w:rPr>
        <w:t>..................</w:t>
      </w:r>
      <w:r>
        <w:rPr>
          <w:rFonts w:hint="eastAsia" w:hAnsi="仿宋" w:cs="仿宋"/>
          <w:kern w:val="0"/>
          <w:sz w:val="32"/>
          <w:szCs w:val="32"/>
          <w:shd w:val="clear" w:color="auto" w:fill="FFFFFF"/>
          <w:lang w:val="en-US" w:eastAsia="zh-CN" w:bidi="ar"/>
        </w:rPr>
        <w:t>6</w:t>
      </w:r>
    </w:p>
    <w:p>
      <w:pPr>
        <w:pStyle w:val="13"/>
        <w:adjustRightInd w:val="0"/>
        <w:snapToGrid w:val="0"/>
        <w:spacing w:line="440" w:lineRule="exact"/>
        <w:ind w:left="420"/>
        <w:jc w:val="left"/>
        <w:rPr>
          <w:rFonts w:hint="default" w:ascii="仿宋" w:eastAsia="仿宋" w:cs="Arial"/>
          <w:sz w:val="24"/>
          <w:lang w:val="en-US"/>
        </w:rPr>
      </w:pPr>
      <w:r>
        <w:rPr>
          <w:rFonts w:hint="eastAsia"/>
          <w:sz w:val="24"/>
        </w:rPr>
        <w:t>一、收入支出决算总体情况说明</w:t>
      </w:r>
      <w:r>
        <w:rPr>
          <w:rFonts w:hint="eastAsia" w:ascii="仿宋" w:hAnsi="仿宋" w:eastAsia="仿宋" w:cs="仿宋"/>
          <w:kern w:val="0"/>
          <w:sz w:val="32"/>
          <w:szCs w:val="32"/>
          <w:shd w:val="clear" w:color="auto" w:fill="FFFFFF"/>
          <w:lang w:val="en-US" w:eastAsia="zh-CN" w:bidi="ar"/>
        </w:rPr>
        <w:t>....................6</w:t>
      </w:r>
    </w:p>
    <w:p>
      <w:pPr>
        <w:pStyle w:val="13"/>
        <w:adjustRightInd w:val="0"/>
        <w:snapToGrid w:val="0"/>
        <w:spacing w:line="440" w:lineRule="exact"/>
        <w:ind w:left="420"/>
        <w:jc w:val="left"/>
        <w:rPr>
          <w:rFonts w:hint="default" w:ascii="仿宋" w:eastAsia="仿宋" w:cs="Arial"/>
          <w:sz w:val="24"/>
          <w:lang w:val="en-US"/>
        </w:rPr>
      </w:pPr>
      <w:r>
        <w:rPr>
          <w:rFonts w:hint="eastAsia"/>
          <w:sz w:val="24"/>
        </w:rPr>
        <w:t>二、收入决算情况说明</w:t>
      </w:r>
      <w:r>
        <w:rPr>
          <w:rFonts w:hint="eastAsia" w:ascii="仿宋" w:hAnsi="仿宋" w:eastAsia="仿宋" w:cs="仿宋"/>
          <w:kern w:val="0"/>
          <w:sz w:val="32"/>
          <w:szCs w:val="32"/>
          <w:shd w:val="clear" w:color="auto" w:fill="FFFFFF"/>
          <w:lang w:val="en-US" w:eastAsia="zh-CN" w:bidi="ar"/>
        </w:rPr>
        <w:t>..........................7</w:t>
      </w:r>
    </w:p>
    <w:p>
      <w:pPr>
        <w:pStyle w:val="13"/>
        <w:adjustRightInd w:val="0"/>
        <w:snapToGrid w:val="0"/>
        <w:spacing w:line="440" w:lineRule="exact"/>
        <w:ind w:left="420"/>
        <w:jc w:val="left"/>
        <w:rPr>
          <w:rFonts w:hint="default" w:ascii="仿宋" w:eastAsia="仿宋" w:cs="Arial"/>
          <w:sz w:val="24"/>
          <w:lang w:val="en-US"/>
        </w:rPr>
      </w:pPr>
      <w:r>
        <w:rPr>
          <w:rFonts w:hint="eastAsia"/>
          <w:sz w:val="24"/>
        </w:rPr>
        <w:t>三、支出决算情况说明</w:t>
      </w:r>
      <w:r>
        <w:rPr>
          <w:rFonts w:hint="eastAsia" w:ascii="仿宋" w:hAnsi="仿宋" w:eastAsia="仿宋" w:cs="仿宋"/>
          <w:kern w:val="0"/>
          <w:sz w:val="32"/>
          <w:szCs w:val="32"/>
          <w:shd w:val="clear" w:color="auto" w:fill="FFFFFF"/>
          <w:lang w:val="en-US" w:eastAsia="zh-CN" w:bidi="ar"/>
        </w:rPr>
        <w:t>..........................7</w:t>
      </w:r>
    </w:p>
    <w:p>
      <w:pPr>
        <w:pStyle w:val="13"/>
        <w:adjustRightInd w:val="0"/>
        <w:snapToGrid w:val="0"/>
        <w:spacing w:line="440" w:lineRule="exact"/>
        <w:ind w:left="420"/>
        <w:jc w:val="left"/>
        <w:rPr>
          <w:rFonts w:hint="default" w:ascii="仿宋" w:eastAsia="仿宋" w:cs="Arial"/>
          <w:sz w:val="24"/>
          <w:lang w:val="en-US"/>
        </w:rPr>
      </w:pPr>
      <w:r>
        <w:rPr>
          <w:rFonts w:hint="eastAsia"/>
          <w:sz w:val="24"/>
        </w:rPr>
        <w:t>四、财政拨款收入支出决算总体情况说明</w:t>
      </w:r>
      <w:r>
        <w:rPr>
          <w:rFonts w:hint="eastAsia" w:ascii="仿宋" w:hAnsi="仿宋" w:eastAsia="仿宋" w:cs="仿宋"/>
          <w:kern w:val="0"/>
          <w:sz w:val="32"/>
          <w:szCs w:val="32"/>
          <w:shd w:val="clear" w:color="auto" w:fill="FFFFFF"/>
          <w:lang w:val="en-US" w:eastAsia="zh-CN" w:bidi="ar"/>
        </w:rPr>
        <w:t>..............8</w:t>
      </w:r>
    </w:p>
    <w:p>
      <w:pPr>
        <w:pStyle w:val="13"/>
        <w:adjustRightInd w:val="0"/>
        <w:snapToGrid w:val="0"/>
        <w:spacing w:line="440" w:lineRule="exact"/>
        <w:ind w:left="420"/>
        <w:jc w:val="left"/>
        <w:rPr>
          <w:rFonts w:hint="default" w:ascii="仿宋" w:eastAsia="仿宋" w:cs="Arial"/>
          <w:sz w:val="24"/>
          <w:lang w:val="en-US"/>
        </w:rPr>
      </w:pPr>
      <w:r>
        <w:rPr>
          <w:rFonts w:hint="eastAsia"/>
          <w:sz w:val="24"/>
        </w:rPr>
        <w:t>五、一般公共预算财政拨款支出决算情况说明</w:t>
      </w:r>
      <w:r>
        <w:rPr>
          <w:rFonts w:hint="eastAsia" w:ascii="仿宋" w:hAnsi="仿宋" w:eastAsia="仿宋" w:cs="仿宋"/>
          <w:kern w:val="0"/>
          <w:sz w:val="32"/>
          <w:szCs w:val="32"/>
          <w:shd w:val="clear" w:color="auto" w:fill="FFFFFF"/>
          <w:lang w:val="en-US" w:eastAsia="zh-CN" w:bidi="ar"/>
        </w:rPr>
        <w:t>...........9</w:t>
      </w:r>
    </w:p>
    <w:p>
      <w:pPr>
        <w:pStyle w:val="13"/>
        <w:adjustRightInd w:val="0"/>
        <w:snapToGrid w:val="0"/>
        <w:spacing w:line="440" w:lineRule="exact"/>
        <w:ind w:left="420"/>
        <w:jc w:val="left"/>
        <w:rPr>
          <w:rFonts w:hint="default" w:ascii="仿宋" w:eastAsia="仿宋" w:cs="Arial"/>
          <w:sz w:val="24"/>
          <w:lang w:val="en-US"/>
        </w:rPr>
      </w:pPr>
      <w:r>
        <w:rPr>
          <w:rFonts w:hint="eastAsia"/>
          <w:sz w:val="24"/>
        </w:rPr>
        <w:t>六、一般公共预算财政拨款基本支出决算情况说明</w:t>
      </w:r>
      <w:r>
        <w:rPr>
          <w:rFonts w:hint="eastAsia" w:ascii="仿宋" w:hAnsi="仿宋" w:eastAsia="仿宋" w:cs="仿宋"/>
          <w:kern w:val="0"/>
          <w:sz w:val="32"/>
          <w:szCs w:val="32"/>
          <w:shd w:val="clear" w:color="auto" w:fill="FFFFFF"/>
          <w:lang w:val="en-US" w:eastAsia="zh-CN" w:bidi="ar"/>
        </w:rPr>
        <w:t>.......10</w:t>
      </w:r>
    </w:p>
    <w:p>
      <w:pPr>
        <w:pStyle w:val="13"/>
        <w:adjustRightInd w:val="0"/>
        <w:snapToGrid w:val="0"/>
        <w:spacing w:line="440" w:lineRule="exact"/>
        <w:ind w:left="420"/>
        <w:jc w:val="left"/>
        <w:rPr>
          <w:rFonts w:hint="default" w:ascii="仿宋" w:eastAsia="仿宋" w:cs="Arial"/>
          <w:sz w:val="24"/>
          <w:lang w:val="en-US"/>
        </w:rPr>
      </w:pPr>
      <w:r>
        <w:rPr>
          <w:rFonts w:hint="eastAsia"/>
          <w:sz w:val="24"/>
        </w:rPr>
        <w:t>七、“三公”经费财政拨款支出决算情况说明</w:t>
      </w:r>
      <w:r>
        <w:rPr>
          <w:rFonts w:hint="eastAsia" w:ascii="仿宋" w:hAnsi="仿宋" w:eastAsia="仿宋" w:cs="仿宋"/>
          <w:kern w:val="0"/>
          <w:sz w:val="32"/>
          <w:szCs w:val="32"/>
          <w:shd w:val="clear" w:color="auto" w:fill="FFFFFF"/>
          <w:lang w:val="en-US" w:eastAsia="zh-CN" w:bidi="ar"/>
        </w:rPr>
        <w:t>...........11</w:t>
      </w:r>
      <w:bookmarkStart w:id="69" w:name="_GoBack"/>
      <w:bookmarkEnd w:id="69"/>
    </w:p>
    <w:p>
      <w:pPr>
        <w:pStyle w:val="13"/>
        <w:adjustRightInd w:val="0"/>
        <w:snapToGrid w:val="0"/>
        <w:spacing w:line="440" w:lineRule="exact"/>
        <w:ind w:left="420"/>
        <w:jc w:val="left"/>
        <w:rPr>
          <w:rFonts w:hint="default" w:ascii="仿宋" w:eastAsia="仿宋" w:cs="Arial"/>
          <w:sz w:val="24"/>
          <w:lang w:val="en-US"/>
        </w:rPr>
      </w:pPr>
      <w:r>
        <w:rPr>
          <w:rFonts w:hint="eastAsia"/>
          <w:sz w:val="24"/>
        </w:rPr>
        <w:t>八、政府性基金预算支出决算情况说明</w:t>
      </w:r>
      <w:r>
        <w:rPr>
          <w:rFonts w:hint="eastAsia" w:ascii="仿宋" w:hAnsi="仿宋" w:eastAsia="仿宋" w:cs="仿宋"/>
          <w:kern w:val="0"/>
          <w:sz w:val="32"/>
          <w:szCs w:val="32"/>
          <w:shd w:val="clear" w:color="auto" w:fill="FFFFFF"/>
          <w:lang w:val="en-US" w:eastAsia="zh-CN" w:bidi="ar"/>
        </w:rPr>
        <w:t>...............12</w:t>
      </w:r>
    </w:p>
    <w:p>
      <w:pPr>
        <w:pStyle w:val="13"/>
        <w:adjustRightInd w:val="0"/>
        <w:snapToGrid w:val="0"/>
        <w:spacing w:line="440" w:lineRule="exact"/>
        <w:ind w:left="420"/>
        <w:jc w:val="left"/>
        <w:rPr>
          <w:rFonts w:hint="default"/>
          <w:sz w:val="24"/>
          <w:lang w:val="en-US"/>
        </w:rPr>
      </w:pPr>
      <w:r>
        <w:rPr>
          <w:rFonts w:hint="eastAsia"/>
          <w:sz w:val="24"/>
        </w:rPr>
        <w:t>九、国有资本经营预算支出决算情况说明</w:t>
      </w:r>
      <w:r>
        <w:rPr>
          <w:rFonts w:hint="eastAsia" w:ascii="仿宋" w:hAnsi="仿宋" w:eastAsia="仿宋" w:cs="仿宋"/>
          <w:kern w:val="0"/>
          <w:sz w:val="32"/>
          <w:szCs w:val="32"/>
          <w:shd w:val="clear" w:color="auto" w:fill="FFFFFF"/>
          <w:lang w:val="en-US" w:eastAsia="zh-CN" w:bidi="ar"/>
        </w:rPr>
        <w:t>..............12</w:t>
      </w:r>
    </w:p>
    <w:p>
      <w:pPr>
        <w:pStyle w:val="13"/>
        <w:adjustRightInd w:val="0"/>
        <w:snapToGrid w:val="0"/>
        <w:spacing w:line="440" w:lineRule="exact"/>
        <w:ind w:left="420"/>
        <w:jc w:val="left"/>
        <w:rPr>
          <w:rFonts w:hint="default"/>
          <w:sz w:val="24"/>
          <w:lang w:val="en-US"/>
        </w:rPr>
      </w:pPr>
      <w:r>
        <w:rPr>
          <w:rFonts w:hint="eastAsia"/>
          <w:sz w:val="24"/>
        </w:rPr>
        <w:t>十、其他重要事项的情况说明</w:t>
      </w:r>
      <w:r>
        <w:rPr>
          <w:rFonts w:hint="eastAsia" w:ascii="仿宋" w:hAnsi="仿宋" w:eastAsia="仿宋" w:cs="仿宋"/>
          <w:kern w:val="0"/>
          <w:sz w:val="32"/>
          <w:szCs w:val="32"/>
          <w:shd w:val="clear" w:color="auto" w:fill="FFFFFF"/>
          <w:lang w:val="en-US" w:eastAsia="zh-CN" w:bidi="ar"/>
        </w:rPr>
        <w:t>.....................12</w:t>
      </w:r>
    </w:p>
    <w:p>
      <w:pPr>
        <w:pStyle w:val="12"/>
        <w:adjustRightInd w:val="0"/>
        <w:snapToGrid w:val="0"/>
        <w:spacing w:before="0" w:line="440" w:lineRule="exact"/>
        <w:jc w:val="left"/>
        <w:rPr>
          <w:rFonts w:hint="default" w:cs="Arial"/>
          <w:sz w:val="24"/>
          <w:szCs w:val="24"/>
          <w:lang w:val="en-US"/>
        </w:rPr>
      </w:pPr>
      <w:r>
        <w:rPr>
          <w:rFonts w:hint="eastAsia"/>
          <w:sz w:val="24"/>
        </w:rPr>
        <w:t>第三部分</w:t>
      </w:r>
      <w:r>
        <w:rPr>
          <w:sz w:val="24"/>
        </w:rPr>
        <w:t xml:space="preserve"> </w:t>
      </w:r>
      <w:r>
        <w:rPr>
          <w:rFonts w:hint="eastAsia"/>
          <w:sz w:val="24"/>
        </w:rPr>
        <w:t>名词解释</w:t>
      </w:r>
      <w:r>
        <w:rPr>
          <w:rFonts w:hint="eastAsia" w:ascii="仿宋" w:hAnsi="仿宋" w:eastAsia="仿宋" w:cs="仿宋"/>
          <w:kern w:val="0"/>
          <w:sz w:val="32"/>
          <w:szCs w:val="32"/>
          <w:shd w:val="clear" w:color="auto" w:fill="FFFFFF"/>
          <w:lang w:val="en-US" w:eastAsia="zh-CN" w:bidi="ar"/>
        </w:rPr>
        <w:t>..............................</w:t>
      </w:r>
      <w:r>
        <w:rPr>
          <w:rFonts w:hint="eastAsia" w:hAnsi="仿宋" w:cs="仿宋"/>
          <w:kern w:val="0"/>
          <w:sz w:val="32"/>
          <w:szCs w:val="32"/>
          <w:shd w:val="clear" w:color="auto" w:fill="FFFFFF"/>
          <w:lang w:val="en-US" w:eastAsia="zh-CN" w:bidi="ar"/>
        </w:rPr>
        <w:t>14</w:t>
      </w:r>
    </w:p>
    <w:p>
      <w:pPr>
        <w:pStyle w:val="12"/>
        <w:adjustRightInd w:val="0"/>
        <w:snapToGrid w:val="0"/>
        <w:spacing w:before="0" w:line="440" w:lineRule="exact"/>
        <w:jc w:val="left"/>
        <w:rPr>
          <w:rFonts w:hint="default" w:cs="Arial"/>
          <w:sz w:val="24"/>
          <w:szCs w:val="24"/>
          <w:lang w:val="en-US"/>
        </w:rPr>
      </w:pPr>
      <w:r>
        <w:rPr>
          <w:rFonts w:hint="eastAsia"/>
          <w:sz w:val="24"/>
        </w:rPr>
        <w:t>第四部分</w:t>
      </w:r>
      <w:r>
        <w:rPr>
          <w:sz w:val="24"/>
        </w:rPr>
        <w:t xml:space="preserve"> </w:t>
      </w:r>
      <w:r>
        <w:rPr>
          <w:rFonts w:hint="eastAsia"/>
          <w:sz w:val="24"/>
        </w:rPr>
        <w:t>附件</w:t>
      </w:r>
      <w:r>
        <w:rPr>
          <w:rFonts w:hint="eastAsia" w:ascii="仿宋" w:hAnsi="仿宋" w:eastAsia="仿宋" w:cs="仿宋"/>
          <w:kern w:val="0"/>
          <w:sz w:val="32"/>
          <w:szCs w:val="32"/>
          <w:shd w:val="clear" w:color="auto" w:fill="FFFFFF"/>
          <w:lang w:val="en-US" w:eastAsia="zh-CN" w:bidi="ar"/>
        </w:rPr>
        <w:t>.................................</w:t>
      </w:r>
      <w:r>
        <w:rPr>
          <w:rFonts w:hint="eastAsia" w:hAnsi="仿宋" w:cs="仿宋"/>
          <w:kern w:val="0"/>
          <w:sz w:val="32"/>
          <w:szCs w:val="32"/>
          <w:shd w:val="clear" w:color="auto" w:fill="FFFFFF"/>
          <w:lang w:val="en-US" w:eastAsia="zh-CN" w:bidi="ar"/>
        </w:rPr>
        <w:t>17</w:t>
      </w:r>
    </w:p>
    <w:p>
      <w:pPr>
        <w:pStyle w:val="12"/>
        <w:adjustRightInd w:val="0"/>
        <w:snapToGrid w:val="0"/>
        <w:spacing w:before="0" w:line="440" w:lineRule="exact"/>
        <w:jc w:val="left"/>
        <w:rPr>
          <w:rFonts w:hint="default" w:cs="Arial"/>
          <w:sz w:val="24"/>
          <w:szCs w:val="24"/>
          <w:lang w:val="en-US"/>
        </w:rPr>
      </w:pPr>
      <w:r>
        <w:rPr>
          <w:rFonts w:hint="eastAsia"/>
          <w:sz w:val="24"/>
        </w:rPr>
        <w:t>第五部分</w:t>
      </w:r>
      <w:r>
        <w:rPr>
          <w:sz w:val="24"/>
        </w:rPr>
        <w:t xml:space="preserve"> </w:t>
      </w:r>
      <w:r>
        <w:rPr>
          <w:rFonts w:hint="eastAsia"/>
          <w:sz w:val="24"/>
        </w:rPr>
        <w:t>附表</w:t>
      </w:r>
      <w:r>
        <w:rPr>
          <w:rFonts w:hint="eastAsia" w:ascii="仿宋" w:hAnsi="仿宋" w:eastAsia="仿宋" w:cs="仿宋"/>
          <w:kern w:val="0"/>
          <w:sz w:val="32"/>
          <w:szCs w:val="32"/>
          <w:shd w:val="clear" w:color="auto" w:fill="FFFFFF"/>
          <w:lang w:val="en-US" w:eastAsia="zh-CN" w:bidi="ar"/>
        </w:rPr>
        <w:t>.................................</w:t>
      </w:r>
      <w:r>
        <w:rPr>
          <w:rFonts w:hint="eastAsia" w:hAnsi="仿宋" w:cs="仿宋"/>
          <w:kern w:val="0"/>
          <w:sz w:val="32"/>
          <w:szCs w:val="32"/>
          <w:shd w:val="clear" w:color="auto" w:fill="FFFFFF"/>
          <w:lang w:val="en-US" w:eastAsia="zh-CN" w:bidi="ar"/>
        </w:rPr>
        <w:t>18</w:t>
      </w:r>
    </w:p>
    <w:p>
      <w:pPr>
        <w:pStyle w:val="13"/>
        <w:adjustRightInd w:val="0"/>
        <w:snapToGrid w:val="0"/>
        <w:spacing w:line="440" w:lineRule="exact"/>
        <w:ind w:left="420"/>
        <w:jc w:val="left"/>
        <w:rPr>
          <w:rFonts w:hint="default"/>
          <w:sz w:val="24"/>
          <w:lang w:val="en-US"/>
        </w:rPr>
      </w:pPr>
      <w:r>
        <w:rPr>
          <w:rFonts w:hint="eastAsia"/>
          <w:sz w:val="24"/>
        </w:rPr>
        <w:t>一、收入支出决算总表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rFonts w:hint="default"/>
          <w:sz w:val="24"/>
          <w:lang w:val="en-US"/>
        </w:rPr>
      </w:pPr>
      <w:r>
        <w:rPr>
          <w:rFonts w:hint="eastAsia"/>
          <w:sz w:val="24"/>
        </w:rPr>
        <w:t>二、收入决算表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rFonts w:hint="default"/>
          <w:sz w:val="24"/>
          <w:lang w:val="en-US"/>
        </w:rPr>
      </w:pPr>
      <w:r>
        <w:rPr>
          <w:rFonts w:hint="eastAsia"/>
          <w:sz w:val="24"/>
        </w:rPr>
        <w:t>三、支出决算表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四、财政拨款收入支出决算总表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五、财政拨款支出决算明细表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六、一般公共预算财政拨款支出决算表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七、一般公共预算财政拨款支出决算明细表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八、一般公共预算财政拨款基本支出决算表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九、一般公共预算财政拨款项目支出决算表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十、一般公共预算财政拨款“三公”经费支出决算表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十一、政府性基金预算财政拨款收入支出决算表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十二、政府性基金预算财政拨款“三公”经费支出决算表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十三、国有资本经营预算财政拨款收入支出决算表</w:t>
      </w:r>
      <w:r>
        <w:rPr>
          <w:rFonts w:hint="eastAsia" w:ascii="仿宋" w:hAnsi="仿宋" w:eastAsia="仿宋" w:cs="仿宋"/>
          <w:kern w:val="0"/>
          <w:sz w:val="32"/>
          <w:szCs w:val="32"/>
          <w:shd w:val="clear" w:color="auto" w:fill="FFFFFF"/>
          <w:lang w:val="en-US" w:eastAsia="zh-CN" w:bidi="ar"/>
        </w:rPr>
        <w:t>............18</w:t>
      </w:r>
    </w:p>
    <w:p>
      <w:pPr>
        <w:pStyle w:val="13"/>
        <w:adjustRightInd w:val="0"/>
        <w:snapToGrid w:val="0"/>
        <w:spacing w:line="440" w:lineRule="exact"/>
        <w:ind w:left="420"/>
        <w:jc w:val="left"/>
        <w:rPr>
          <w:sz w:val="24"/>
        </w:rPr>
      </w:pPr>
      <w:r>
        <w:rPr>
          <w:rFonts w:hint="eastAsia"/>
          <w:sz w:val="24"/>
        </w:rPr>
        <w:t>十四、国有资本经营预算财政拨款支出决算表</w:t>
      </w:r>
      <w:r>
        <w:rPr>
          <w:rFonts w:hint="eastAsia" w:ascii="仿宋" w:hAnsi="仿宋" w:eastAsia="仿宋" w:cs="仿宋"/>
          <w:kern w:val="0"/>
          <w:sz w:val="32"/>
          <w:szCs w:val="32"/>
          <w:shd w:val="clear" w:color="auto" w:fill="FFFFFF"/>
          <w:lang w:val="en-US" w:eastAsia="zh-CN" w:bidi="ar"/>
        </w:rPr>
        <w:t>...........18</w:t>
      </w:r>
    </w:p>
    <w:p>
      <w:pPr>
        <w:widowControl/>
        <w:spacing w:line="440" w:lineRule="exact"/>
        <w:jc w:val="left"/>
        <w:rPr>
          <w:rFonts w:ascii="仿宋" w:eastAsia="仿宋"/>
          <w:bCs/>
          <w:kern w:val="44"/>
          <w:sz w:val="24"/>
        </w:rPr>
      </w:pPr>
      <w:bookmarkStart w:id="13" w:name="_Toc15396599"/>
      <w:bookmarkStart w:id="14" w:name="_Toc15377196"/>
      <w:r>
        <w:rPr>
          <w:rFonts w:ascii="仿宋" w:eastAsia="仿宋"/>
          <w:b/>
          <w:sz w:val="24"/>
        </w:rPr>
        <w:br w:type="page"/>
      </w:r>
    </w:p>
    <w:p>
      <w:pPr>
        <w:pStyle w:val="4"/>
        <w:jc w:val="center"/>
        <w:rPr>
          <w:rStyle w:val="18"/>
          <w:rFonts w:ascii="黑体" w:eastAsia="黑体"/>
          <w:b/>
          <w:bCs w:val="0"/>
        </w:rPr>
      </w:pPr>
      <w:r>
        <w:rPr>
          <w:rFonts w:hint="eastAsia" w:ascii="黑体" w:eastAsia="黑体"/>
          <w:b w:val="0"/>
        </w:rPr>
        <w:t>第一部分 单位</w:t>
      </w:r>
      <w:r>
        <w:rPr>
          <w:rStyle w:val="18"/>
          <w:rFonts w:hint="eastAsia" w:ascii="黑体" w:eastAsia="黑体"/>
          <w:b w:val="0"/>
          <w:bCs w:val="0"/>
        </w:rPr>
        <w:t>概况</w:t>
      </w:r>
      <w:bookmarkEnd w:id="13"/>
      <w:bookmarkEnd w:id="14"/>
    </w:p>
    <w:p>
      <w:pPr>
        <w:widowControl/>
        <w:jc w:val="left"/>
        <w:rPr>
          <w:rFonts w:hint="eastAsia" w:ascii="黑体" w:hAnsi="Times New Roman" w:eastAsia="黑体"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一、机构设置情况</w:t>
      </w:r>
    </w:p>
    <w:p>
      <w:pPr>
        <w:pStyle w:val="2"/>
        <w:ind w:left="0" w:lef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（一）设临床科室12个：内科、外科、妇产科、儿科、急诊科、五官科、口腔科、麻醉科、中医康复科、皮肤科、疼痛科、精神科等科室。</w:t>
      </w:r>
      <w:r>
        <w:rPr>
          <w:rFonts w:hint="eastAsia" w:ascii="仿宋_GB2312" w:hAnsi="仿宋_GB2312" w:eastAsia="仿宋_GB2312" w:cs="仿宋_GB2312"/>
          <w:color w:val="000000"/>
          <w:kern w:val="0"/>
          <w:sz w:val="32"/>
          <w:szCs w:val="32"/>
          <w:lang w:val="en-US" w:eastAsia="zh-CN" w:bidi="ar-SA"/>
        </w:rPr>
        <w:br w:type="textWrapping"/>
      </w:r>
      <w:r>
        <w:rPr>
          <w:rFonts w:hint="eastAsia" w:ascii="仿宋_GB2312" w:hAnsi="仿宋_GB2312" w:eastAsia="仿宋_GB2312" w:cs="仿宋_GB2312"/>
          <w:color w:val="000000"/>
          <w:kern w:val="0"/>
          <w:sz w:val="32"/>
          <w:szCs w:val="32"/>
          <w:lang w:val="en-US" w:eastAsia="zh-CN" w:bidi="ar-SA"/>
        </w:rPr>
        <w:t xml:space="preserve">   （二）设医疗辅助科室8个：药剂科、医学检验科（输血科）、医学影像科、手术室、消毒供应室、超声科、心电图室、体检科等医技科室。  </w:t>
      </w:r>
    </w:p>
    <w:p>
      <w:pPr>
        <w:pStyle w:val="2"/>
        <w:ind w:left="0" w:lef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（三）设职能科室8个：院感科、党政办公室、医务科、护理部、信息科、病案统计科、财务科、后勤保障科。  </w:t>
      </w:r>
    </w:p>
    <w:p>
      <w:pPr>
        <w:pStyle w:val="5"/>
        <w:numPr>
          <w:ilvl w:val="0"/>
          <w:numId w:val="0"/>
        </w:numPr>
        <w:rPr>
          <w:rFonts w:hint="eastAsia"/>
          <w:lang w:val="en-US" w:eastAsia="zh-CN"/>
        </w:rPr>
      </w:pPr>
      <w:bookmarkStart w:id="15" w:name="_Toc15396600"/>
      <w:bookmarkStart w:id="16" w:name="_Toc15377197"/>
      <w:r>
        <w:rPr>
          <w:rFonts w:hint="eastAsia" w:ascii="黑体" w:hAnsi="Times New Roman" w:eastAsia="黑体" w:cs="Times New Roman"/>
          <w:b w:val="0"/>
          <w:bCs w:val="0"/>
          <w:kern w:val="2"/>
          <w:sz w:val="32"/>
          <w:szCs w:val="32"/>
          <w:lang w:val="en-US" w:eastAsia="zh-CN" w:bidi="ar-SA"/>
        </w:rPr>
        <w:t>二、职能简介</w:t>
      </w:r>
    </w:p>
    <w:p>
      <w:pPr>
        <w:keepNext w:val="0"/>
        <w:keepLines w:val="0"/>
        <w:pageBreakBefore w:val="0"/>
        <w:widowControl w:val="0"/>
        <w:suppressLineNumbers w:val="0"/>
        <w:kinsoku/>
        <w:wordWrap/>
        <w:overflowPunct/>
        <w:topLinePunct w:val="0"/>
        <w:autoSpaceDE/>
        <w:autoSpaceDN/>
        <w:bidi w:val="0"/>
        <w:spacing w:afterAutospacing="0" w:line="560" w:lineRule="exact"/>
        <w:ind w:firstLine="640" w:firstLineChars="200"/>
        <w:jc w:val="both"/>
        <w:textAlignment w:val="auto"/>
        <w:rPr>
          <w:rFonts w:hint="eastAsia"/>
          <w:lang w:val="en-US" w:eastAsia="zh-CN"/>
        </w:rPr>
      </w:pPr>
      <w:r>
        <w:rPr>
          <w:rFonts w:hint="eastAsia" w:ascii="仿宋" w:eastAsia="仿宋"/>
          <w:sz w:val="32"/>
          <w:szCs w:val="32"/>
          <w:lang w:val="en-US" w:eastAsia="zh-CN"/>
        </w:rPr>
        <w:t xml:space="preserve"> </w:t>
      </w:r>
      <w:r>
        <w:rPr>
          <w:rFonts w:hint="eastAsia" w:ascii="仿宋_GB2312" w:hAnsi="仿宋_GB2312" w:eastAsia="仿宋_GB2312" w:cs="仿宋_GB2312"/>
          <w:color w:val="000000"/>
          <w:kern w:val="0"/>
          <w:sz w:val="32"/>
          <w:szCs w:val="32"/>
        </w:rPr>
        <w:t>承担县内常见病、多发病的诊治任务，承担急危重症抢救和复杂疑难病症诊治任务;承担120急救和各类突发事故的现场抢救及院内急救;接受下级医疗卫生机构的转诊，指导乡(镇)卫生院做好医疗、康复、预防保健等业务技术工作;贯彻执行传染病预防诊治和管理工作,开展健康教育，进行防病指导;承担基层医疗卫生机构卫生技术人员的进修和培训。</w:t>
      </w:r>
    </w:p>
    <w:p>
      <w:pPr>
        <w:pStyle w:val="5"/>
        <w:rPr>
          <w:rFonts w:ascii="黑体" w:eastAsia="黑体"/>
          <w:b w:val="0"/>
        </w:rPr>
      </w:pPr>
      <w:r>
        <w:rPr>
          <w:rFonts w:hint="eastAsia" w:ascii="黑体" w:eastAsia="黑体"/>
          <w:b w:val="0"/>
          <w:lang w:val="en-US" w:eastAsia="zh-CN"/>
        </w:rPr>
        <w:t>三</w:t>
      </w:r>
      <w:r>
        <w:rPr>
          <w:rFonts w:hint="eastAsia" w:ascii="黑体" w:eastAsia="黑体"/>
          <w:b w:val="0"/>
        </w:rPr>
        <w:t>、2021年重点工作</w:t>
      </w:r>
      <w:bookmarkEnd w:id="15"/>
      <w:bookmarkEnd w:id="16"/>
      <w:r>
        <w:rPr>
          <w:rFonts w:hint="eastAsia" w:ascii="黑体" w:eastAsia="黑体"/>
          <w:b w:val="0"/>
        </w:rPr>
        <w:t>完成情况</w:t>
      </w:r>
    </w:p>
    <w:p>
      <w:pPr>
        <w:spacing w:line="600" w:lineRule="exact"/>
        <w:ind w:firstLine="640" w:firstLineChars="200"/>
        <w:outlineLvl w:val="1"/>
        <w:rPr>
          <w:rFonts w:hint="eastAsia" w:ascii="仿宋" w:eastAsia="仿宋"/>
          <w:sz w:val="32"/>
          <w:szCs w:val="32"/>
          <w:lang w:val="en-US" w:eastAsia="zh-CN"/>
        </w:rPr>
      </w:pPr>
      <w:r>
        <w:rPr>
          <w:rFonts w:hint="eastAsia" w:ascii="仿宋" w:eastAsia="仿宋"/>
          <w:sz w:val="32"/>
          <w:szCs w:val="32"/>
          <w:lang w:val="en-US" w:eastAsia="zh-CN"/>
        </w:rPr>
        <w:t>（一）倾情指导，健康帮扶。随着新冠肺炎疫情的蔓延，疫情防控工作常态化展开，志愿服务队下乡，走遍红原的各乡镇、村、寺庙、学校、商铺等进行了全覆盖的疫情防控健康指导和发放免费的中药大锅汤包2万余包与中药香囊7000余个。提高了大家新冠肺炎疫情防控知识和防控能力。</w:t>
      </w:r>
    </w:p>
    <w:p>
      <w:pPr>
        <w:spacing w:line="600" w:lineRule="exact"/>
        <w:ind w:firstLine="640" w:firstLineChars="200"/>
        <w:outlineLvl w:val="1"/>
        <w:rPr>
          <w:rFonts w:hint="default" w:ascii="仿宋" w:eastAsia="仿宋"/>
          <w:sz w:val="32"/>
          <w:szCs w:val="32"/>
          <w:lang w:val="en-US" w:eastAsia="zh-CN"/>
        </w:rPr>
      </w:pPr>
      <w:r>
        <w:rPr>
          <w:rFonts w:hint="eastAsia" w:ascii="仿宋" w:eastAsia="仿宋"/>
          <w:sz w:val="32"/>
          <w:szCs w:val="32"/>
          <w:lang w:val="en-US" w:eastAsia="zh-CN"/>
        </w:rPr>
        <w:t>（二）联户联情，维稳促进。今年3月敏感期间以来，4月、5月6月，院领导班子的带队深入开展了进村入户“两联一进”群众工作。宣传计划生育、常见病，多发病的防疫知识，了解掌握民生动态，为他们排忧解难送医送药送健康。入户调查非贫困户300余户、24户贫苦人口和结对帮扶僧人。为他们提供健康指导，并免费发放衣物及药品价值3万余元。</w:t>
      </w:r>
    </w:p>
    <w:p>
      <w:pPr>
        <w:spacing w:line="600" w:lineRule="exact"/>
        <w:ind w:firstLine="640" w:firstLineChars="200"/>
        <w:outlineLvl w:val="1"/>
        <w:rPr>
          <w:rFonts w:hint="eastAsia" w:ascii="仿宋" w:eastAsia="仿宋"/>
          <w:sz w:val="32"/>
          <w:szCs w:val="32"/>
          <w:lang w:val="en-US" w:eastAsia="zh-CN"/>
        </w:rPr>
      </w:pPr>
      <w:r>
        <w:rPr>
          <w:rFonts w:hint="eastAsia" w:ascii="仿宋" w:eastAsia="仿宋"/>
          <w:sz w:val="32"/>
          <w:szCs w:val="32"/>
          <w:lang w:val="en-US" w:eastAsia="zh-CN"/>
        </w:rPr>
        <w:t>（三）人才培养情况及继续教育、远程会诊情况。多批次派出13名专业技术人员在绵阳市第三人民医院进修学习。我院共派出88人次参加各种学术活动。同时我院接受实习、见习生11人。新招聘护理人员11名。组织全院专业技术人员进行的继教教育学习49余次，各科室组织科内继教教育学习每周2-3次，共计千余人次参加了继教教育学习。</w:t>
      </w:r>
    </w:p>
    <w:p>
      <w:pPr>
        <w:spacing w:line="600" w:lineRule="exact"/>
        <w:ind w:firstLine="640" w:firstLineChars="200"/>
        <w:outlineLvl w:val="1"/>
        <w:rPr>
          <w:rFonts w:hint="eastAsia" w:ascii="仿宋" w:eastAsia="仿宋"/>
          <w:sz w:val="32"/>
          <w:szCs w:val="32"/>
          <w:lang w:val="en-US" w:eastAsia="zh-CN"/>
        </w:rPr>
      </w:pPr>
      <w:r>
        <w:rPr>
          <w:rFonts w:hint="eastAsia" w:ascii="仿宋" w:eastAsia="仿宋"/>
          <w:sz w:val="32"/>
          <w:szCs w:val="32"/>
          <w:lang w:val="en-US" w:eastAsia="zh-CN"/>
        </w:rPr>
        <w:t>（四）信息化建设。一是与四川省人民医院、华西医院、绵阳市第三人民医院的远程教学，包括心内科、妇产科、护理方面远程教学、远程心电、动态血压等监测36例。远程学习351人次。目前正着手创建二星智慧医院工作。</w:t>
      </w:r>
    </w:p>
    <w:p>
      <w:pPr>
        <w:spacing w:line="56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五）成立了《医疗技术临床应用管理委员会》，组长由业务副院长担任，各科室负责人为成员，办公室设在医务科，负责日常管理工作，明确了医疗技术临床应用管理委员会的相关职责。医务科是医疗技术临床应用管理的具体部门，负责对每一位在岗人员的所有资质、资格进行审核，经过相关培训并取得合格证后方能进行相应授权。截止2021年年底，我院先后对妇产科、儿科、麻醉、影像、对口支援医护人员等专业技术人员进行了46人次授权。全年无医疗纠纷及差错事故发生。</w:t>
      </w:r>
    </w:p>
    <w:p>
      <w:pPr>
        <w:spacing w:line="560" w:lineRule="exact"/>
        <w:ind w:firstLine="420" w:firstLineChars="200"/>
      </w:pPr>
    </w:p>
    <w:p>
      <w:pPr>
        <w:pStyle w:val="2"/>
        <w:rPr>
          <w:rFonts w:hint="eastAsia"/>
          <w:lang w:val="en-US" w:eastAsia="zh-CN"/>
        </w:rPr>
      </w:pPr>
    </w:p>
    <w:p>
      <w:pPr>
        <w:spacing w:line="600" w:lineRule="exact"/>
        <w:ind w:firstLine="640" w:firstLineChars="200"/>
        <w:outlineLvl w:val="1"/>
        <w:rPr>
          <w:rFonts w:hint="eastAsia" w:ascii="仿宋" w:eastAsia="仿宋"/>
          <w:sz w:val="32"/>
          <w:szCs w:val="32"/>
          <w:lang w:val="en-US" w:eastAsia="zh-CN"/>
        </w:rPr>
      </w:pPr>
    </w:p>
    <w:p>
      <w:pPr>
        <w:pStyle w:val="4"/>
        <w:ind w:right="440"/>
        <w:jc w:val="center"/>
        <w:rPr>
          <w:rStyle w:val="18"/>
          <w:rFonts w:ascii="黑体" w:eastAsia="黑体"/>
          <w:b w:val="0"/>
          <w:bCs/>
        </w:rPr>
      </w:pPr>
      <w:bookmarkStart w:id="17" w:name="_Toc15377204"/>
      <w:bookmarkStart w:id="18" w:name="_Toc15396602"/>
      <w:r>
        <w:rPr>
          <w:rFonts w:hint="eastAsia" w:ascii="黑体" w:eastAsia="黑体"/>
          <w:b w:val="0"/>
        </w:rPr>
        <w:t>第二部分 2021年度</w:t>
      </w:r>
      <w:r>
        <w:rPr>
          <w:rStyle w:val="18"/>
          <w:rFonts w:hint="eastAsia" w:ascii="黑体" w:eastAsia="黑体"/>
          <w:b w:val="0"/>
          <w:bCs/>
        </w:rPr>
        <w:t>单位决算情况说明</w:t>
      </w:r>
      <w:bookmarkEnd w:id="17"/>
      <w:bookmarkEnd w:id="18"/>
    </w:p>
    <w:p/>
    <w:p>
      <w:pPr>
        <w:pStyle w:val="24"/>
        <w:numPr>
          <w:ilvl w:val="0"/>
          <w:numId w:val="1"/>
        </w:numPr>
        <w:spacing w:line="600" w:lineRule="exact"/>
        <w:ind w:firstLineChars="0"/>
        <w:outlineLvl w:val="1"/>
        <w:rPr>
          <w:rStyle w:val="19"/>
          <w:rFonts w:ascii="黑体" w:eastAsia="黑体"/>
          <w:b w:val="0"/>
        </w:rPr>
      </w:pPr>
      <w:bookmarkStart w:id="19" w:name="_Toc15396603"/>
      <w:bookmarkStart w:id="20" w:name="_Toc15377205"/>
      <w:r>
        <w:rPr>
          <w:rFonts w:hint="eastAsia" w:ascii="黑体" w:eastAsia="黑体"/>
          <w:sz w:val="32"/>
          <w:szCs w:val="32"/>
        </w:rPr>
        <w:t>收</w:t>
      </w:r>
      <w:r>
        <w:rPr>
          <w:rStyle w:val="19"/>
          <w:rFonts w:hint="eastAsia" w:ascii="黑体" w:eastAsia="黑体"/>
          <w:b w:val="0"/>
        </w:rPr>
        <w:t>入支出决算总体情况说明</w:t>
      </w:r>
      <w:bookmarkEnd w:id="19"/>
      <w:bookmarkEnd w:id="20"/>
    </w:p>
    <w:p>
      <w:pPr>
        <w:pStyle w:val="27"/>
        <w:keepNext w:val="0"/>
        <w:keepLines w:val="0"/>
        <w:pageBreakBefore w:val="0"/>
        <w:widowControl w:val="0"/>
        <w:suppressLineNumbers w:val="0"/>
        <w:kinsoku/>
        <w:wordWrap/>
        <w:overflowPunct/>
        <w:topLinePunct w:val="0"/>
        <w:autoSpaceDE/>
        <w:autoSpaceDN/>
        <w:bidi w:val="0"/>
        <w:adjustRightIn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 w:eastAsia="仿宋"/>
          <w:sz w:val="32"/>
          <w:szCs w:val="32"/>
        </w:rPr>
        <w:t>2021年度收</w:t>
      </w:r>
      <w:r>
        <w:rPr>
          <w:rFonts w:hint="eastAsia" w:ascii="仿宋" w:eastAsia="仿宋"/>
          <w:sz w:val="32"/>
          <w:szCs w:val="32"/>
          <w:lang w:val="en-US" w:eastAsia="zh-CN"/>
        </w:rPr>
        <w:t>入5453.9</w:t>
      </w:r>
      <w:r>
        <w:rPr>
          <w:rFonts w:hint="eastAsia" w:ascii="仿宋" w:eastAsia="仿宋"/>
          <w:sz w:val="32"/>
          <w:szCs w:val="32"/>
        </w:rPr>
        <w:t>万元、支</w:t>
      </w:r>
      <w:r>
        <w:rPr>
          <w:rFonts w:hint="eastAsia" w:ascii="仿宋" w:eastAsia="仿宋"/>
          <w:sz w:val="32"/>
          <w:szCs w:val="32"/>
          <w:lang w:val="en-US" w:eastAsia="zh-CN"/>
        </w:rPr>
        <w:t>出5601.23</w:t>
      </w:r>
      <w:r>
        <w:rPr>
          <w:rFonts w:hint="eastAsia" w:ascii="仿宋" w:eastAsia="仿宋"/>
          <w:sz w:val="32"/>
          <w:szCs w:val="32"/>
        </w:rPr>
        <w:t>万元。与2020年相比，收</w:t>
      </w:r>
      <w:r>
        <w:rPr>
          <w:rFonts w:hint="eastAsia" w:ascii="仿宋" w:eastAsia="仿宋"/>
          <w:sz w:val="32"/>
          <w:szCs w:val="32"/>
          <w:lang w:val="en-US" w:eastAsia="zh-CN"/>
        </w:rPr>
        <w:t>入减少1356.76</w:t>
      </w:r>
      <w:r>
        <w:rPr>
          <w:rFonts w:hint="eastAsia" w:ascii="仿宋" w:eastAsia="仿宋"/>
          <w:sz w:val="32"/>
          <w:szCs w:val="32"/>
        </w:rPr>
        <w:t>、支</w:t>
      </w:r>
      <w:r>
        <w:rPr>
          <w:rFonts w:hint="eastAsia" w:ascii="仿宋" w:eastAsia="仿宋"/>
          <w:sz w:val="32"/>
          <w:szCs w:val="32"/>
          <w:lang w:val="en-US" w:eastAsia="zh-CN"/>
        </w:rPr>
        <w:t>出</w:t>
      </w:r>
      <w:r>
        <w:rPr>
          <w:rFonts w:hint="eastAsia" w:ascii="仿宋" w:eastAsia="仿宋"/>
          <w:sz w:val="32"/>
          <w:szCs w:val="32"/>
        </w:rPr>
        <w:t>减少</w:t>
      </w:r>
      <w:r>
        <w:rPr>
          <w:rFonts w:hint="eastAsia" w:ascii="仿宋" w:eastAsia="仿宋"/>
          <w:sz w:val="32"/>
          <w:szCs w:val="32"/>
          <w:lang w:val="en-US" w:eastAsia="zh-CN"/>
        </w:rPr>
        <w:t>283.72</w:t>
      </w:r>
      <w:r>
        <w:rPr>
          <w:rFonts w:hint="eastAsia" w:ascii="仿宋" w:eastAsia="仿宋"/>
          <w:sz w:val="32"/>
          <w:szCs w:val="32"/>
        </w:rPr>
        <w:t>万元，收</w:t>
      </w:r>
      <w:r>
        <w:rPr>
          <w:rFonts w:hint="eastAsia" w:ascii="仿宋" w:eastAsia="仿宋"/>
          <w:sz w:val="32"/>
          <w:szCs w:val="32"/>
          <w:lang w:val="en-US" w:eastAsia="zh-CN"/>
        </w:rPr>
        <w:t>入</w:t>
      </w:r>
      <w:r>
        <w:rPr>
          <w:rFonts w:hint="eastAsia" w:ascii="仿宋" w:eastAsia="仿宋"/>
          <w:sz w:val="32"/>
          <w:szCs w:val="32"/>
        </w:rPr>
        <w:t>下降</w:t>
      </w:r>
      <w:r>
        <w:rPr>
          <w:rFonts w:hint="eastAsia" w:ascii="仿宋" w:eastAsia="仿宋"/>
          <w:sz w:val="32"/>
          <w:szCs w:val="32"/>
          <w:lang w:val="en-US" w:eastAsia="zh-CN"/>
        </w:rPr>
        <w:t>19.9</w:t>
      </w:r>
      <w:r>
        <w:rPr>
          <w:rFonts w:ascii="仿宋" w:eastAsia="仿宋"/>
          <w:sz w:val="32"/>
          <w:szCs w:val="32"/>
        </w:rPr>
        <w:t>%</w:t>
      </w:r>
      <w:r>
        <w:rPr>
          <w:rFonts w:hint="eastAsia" w:ascii="仿宋" w:eastAsia="仿宋"/>
          <w:sz w:val="32"/>
          <w:szCs w:val="32"/>
          <w:lang w:eastAsia="zh-CN"/>
        </w:rPr>
        <w:t>，</w:t>
      </w:r>
      <w:r>
        <w:rPr>
          <w:rFonts w:hint="eastAsia" w:ascii="仿宋" w:eastAsia="仿宋"/>
          <w:sz w:val="32"/>
          <w:szCs w:val="32"/>
        </w:rPr>
        <w:t>支</w:t>
      </w:r>
      <w:r>
        <w:rPr>
          <w:rFonts w:hint="eastAsia" w:ascii="仿宋" w:eastAsia="仿宋"/>
          <w:sz w:val="32"/>
          <w:szCs w:val="32"/>
          <w:lang w:val="en-US" w:eastAsia="zh-CN"/>
        </w:rPr>
        <w:t>出</w:t>
      </w:r>
      <w:r>
        <w:rPr>
          <w:rFonts w:hint="eastAsia" w:ascii="仿宋" w:eastAsia="仿宋"/>
          <w:sz w:val="32"/>
          <w:szCs w:val="32"/>
        </w:rPr>
        <w:t>下降</w:t>
      </w:r>
      <w:r>
        <w:rPr>
          <w:rFonts w:hint="eastAsia" w:ascii="仿宋" w:eastAsia="仿宋"/>
          <w:sz w:val="32"/>
          <w:szCs w:val="32"/>
          <w:lang w:val="en-US" w:eastAsia="zh-CN"/>
        </w:rPr>
        <w:t>4.89</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kern w:val="0"/>
          <w:sz w:val="32"/>
          <w:szCs w:val="32"/>
          <w:shd w:val="clear" w:color="auto" w:fill="FFFFFF"/>
        </w:rPr>
        <w:t>今年财政项目收支</w:t>
      </w:r>
      <w:r>
        <w:rPr>
          <w:rFonts w:hint="eastAsia" w:ascii="仿宋_GB2312" w:hAnsi="仿宋_GB2312" w:eastAsia="仿宋_GB2312" w:cs="仿宋_GB2312"/>
          <w:kern w:val="0"/>
          <w:sz w:val="32"/>
          <w:szCs w:val="32"/>
          <w:shd w:val="clear" w:color="auto" w:fill="FFFFFF"/>
          <w:lang w:val="en-US" w:eastAsia="zh-CN"/>
        </w:rPr>
        <w:t>减少</w:t>
      </w:r>
      <w:r>
        <w:rPr>
          <w:rFonts w:hint="eastAsia" w:ascii="仿宋_GB2312" w:hAnsi="仿宋_GB2312" w:eastAsia="仿宋_GB2312" w:cs="仿宋_GB2312"/>
          <w:kern w:val="0"/>
          <w:sz w:val="32"/>
          <w:szCs w:val="32"/>
          <w:shd w:val="clear" w:color="auto" w:fill="FFFFFF"/>
        </w:rPr>
        <w:t>。</w:t>
      </w:r>
    </w:p>
    <w:p>
      <w:pPr>
        <w:spacing w:line="600" w:lineRule="exact"/>
        <w:ind w:firstLine="640" w:firstLineChars="200"/>
        <w:rPr>
          <w:rFonts w:ascii="仿宋" w:eastAsia="仿宋"/>
          <w:sz w:val="32"/>
          <w:szCs w:val="32"/>
        </w:rPr>
      </w:pPr>
    </w:p>
    <w:p>
      <w:pPr>
        <w:pStyle w:val="2"/>
      </w:pPr>
    </w:p>
    <w:p>
      <w:pPr>
        <w:pStyle w:val="2"/>
      </w:pPr>
      <w:r>
        <w:drawing>
          <wp:inline distT="0" distB="0" distL="114300" distR="114300">
            <wp:extent cx="4572000" cy="274320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4"/>
        <w:numPr>
          <w:ilvl w:val="0"/>
          <w:numId w:val="1"/>
        </w:numPr>
        <w:spacing w:line="600" w:lineRule="exact"/>
        <w:ind w:firstLineChars="0"/>
        <w:outlineLvl w:val="1"/>
        <w:rPr>
          <w:rStyle w:val="19"/>
          <w:rFonts w:ascii="黑体" w:eastAsia="黑体"/>
          <w:b w:val="0"/>
        </w:rPr>
      </w:pPr>
      <w:bookmarkStart w:id="21" w:name="_Toc15377206"/>
      <w:bookmarkStart w:id="22" w:name="_Toc15396604"/>
      <w:r>
        <w:rPr>
          <w:rFonts w:hint="eastAsia" w:ascii="黑体" w:eastAsia="黑体"/>
          <w:sz w:val="32"/>
          <w:szCs w:val="32"/>
        </w:rPr>
        <w:t>收</w:t>
      </w:r>
      <w:r>
        <w:rPr>
          <w:rStyle w:val="19"/>
          <w:rFonts w:hint="eastAsia" w:ascii="黑体" w:eastAsia="黑体"/>
          <w:b w:val="0"/>
        </w:rPr>
        <w:t>入决算情况说明</w:t>
      </w:r>
      <w:bookmarkEnd w:id="21"/>
      <w:bookmarkEnd w:id="22"/>
    </w:p>
    <w:p>
      <w:pPr>
        <w:spacing w:line="600" w:lineRule="exact"/>
        <w:ind w:firstLine="640" w:firstLineChars="200"/>
        <w:outlineLvl w:val="1"/>
        <w:rPr>
          <w:rFonts w:hint="eastAsia" w:ascii="仿宋" w:eastAsia="仿宋"/>
          <w:sz w:val="32"/>
          <w:szCs w:val="32"/>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5453.9</w:t>
      </w:r>
      <w:r>
        <w:rPr>
          <w:rFonts w:hint="eastAsia" w:ascii="仿宋" w:eastAsia="仿宋"/>
          <w:sz w:val="32"/>
          <w:szCs w:val="32"/>
        </w:rPr>
        <w:t>万元，其中：一般公共预算财政拨款收入</w:t>
      </w:r>
      <w:r>
        <w:rPr>
          <w:rFonts w:hint="eastAsia" w:ascii="仿宋" w:eastAsia="仿宋"/>
          <w:sz w:val="32"/>
          <w:szCs w:val="32"/>
          <w:lang w:val="en-US" w:eastAsia="zh-CN"/>
        </w:rPr>
        <w:t>2933.73</w:t>
      </w:r>
      <w:r>
        <w:rPr>
          <w:rFonts w:hint="eastAsia" w:ascii="仿宋" w:eastAsia="仿宋"/>
          <w:sz w:val="32"/>
          <w:szCs w:val="32"/>
        </w:rPr>
        <w:t>万元，占</w:t>
      </w:r>
      <w:r>
        <w:rPr>
          <w:rFonts w:hint="eastAsia" w:ascii="仿宋" w:eastAsia="仿宋"/>
          <w:sz w:val="32"/>
          <w:szCs w:val="32"/>
          <w:lang w:val="en-US" w:eastAsia="zh-CN"/>
        </w:rPr>
        <w:t>53.8</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2199.84</w:t>
      </w:r>
      <w:r>
        <w:rPr>
          <w:rFonts w:hint="eastAsia" w:ascii="仿宋" w:eastAsia="仿宋"/>
          <w:sz w:val="32"/>
          <w:szCs w:val="32"/>
        </w:rPr>
        <w:t>万元，占</w:t>
      </w:r>
      <w:r>
        <w:rPr>
          <w:rFonts w:hint="eastAsia" w:ascii="仿宋" w:eastAsia="仿宋"/>
          <w:sz w:val="32"/>
          <w:szCs w:val="32"/>
          <w:lang w:val="en-US" w:eastAsia="zh-CN"/>
        </w:rPr>
        <w:t>40.4</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320.33</w:t>
      </w:r>
      <w:r>
        <w:rPr>
          <w:rFonts w:hint="eastAsia" w:ascii="仿宋" w:eastAsia="仿宋"/>
          <w:sz w:val="32"/>
          <w:szCs w:val="32"/>
        </w:rPr>
        <w:t>万元，占</w:t>
      </w:r>
      <w:r>
        <w:rPr>
          <w:rFonts w:hint="eastAsia" w:ascii="仿宋" w:eastAsia="仿宋"/>
          <w:sz w:val="32"/>
          <w:szCs w:val="32"/>
          <w:lang w:val="en-US" w:eastAsia="zh-CN"/>
        </w:rPr>
        <w:t>5.8</w:t>
      </w:r>
      <w:r>
        <w:rPr>
          <w:rFonts w:ascii="仿宋" w:eastAsia="仿宋"/>
          <w:sz w:val="32"/>
          <w:szCs w:val="32"/>
        </w:rPr>
        <w:t>%</w:t>
      </w:r>
      <w:r>
        <w:rPr>
          <w:rFonts w:hint="eastAsia" w:ascii="仿宋" w:eastAsia="仿宋"/>
          <w:sz w:val="32"/>
          <w:szCs w:val="32"/>
        </w:rPr>
        <w:t>。</w:t>
      </w:r>
    </w:p>
    <w:p>
      <w:pPr>
        <w:pStyle w:val="2"/>
        <w:rPr>
          <w:rFonts w:ascii="仿宋_GB2312" w:eastAsia="仿宋_GB2312"/>
          <w:sz w:val="32"/>
          <w:szCs w:val="32"/>
        </w:rPr>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4"/>
        <w:numPr>
          <w:ilvl w:val="0"/>
          <w:numId w:val="1"/>
        </w:numPr>
        <w:spacing w:line="600" w:lineRule="exact"/>
        <w:ind w:firstLineChars="0"/>
        <w:outlineLvl w:val="1"/>
        <w:rPr>
          <w:rStyle w:val="19"/>
          <w:rFonts w:ascii="黑体" w:eastAsia="黑体"/>
          <w:b w:val="0"/>
        </w:rPr>
      </w:pPr>
      <w:bookmarkStart w:id="23" w:name="_Toc15377207"/>
      <w:bookmarkStart w:id="24" w:name="_Toc15396605"/>
      <w:r>
        <w:rPr>
          <w:rFonts w:hint="eastAsia" w:ascii="黑体" w:eastAsia="黑体"/>
          <w:sz w:val="32"/>
          <w:szCs w:val="32"/>
        </w:rPr>
        <w:t>支</w:t>
      </w:r>
      <w:r>
        <w:rPr>
          <w:rStyle w:val="19"/>
          <w:rFonts w:hint="eastAsia" w:ascii="黑体" w:eastAsia="黑体"/>
          <w:b w:val="0"/>
        </w:rPr>
        <w:t>出决算情况说明</w:t>
      </w:r>
      <w:bookmarkEnd w:id="23"/>
      <w:bookmarkEnd w:id="24"/>
    </w:p>
    <w:p>
      <w:pPr>
        <w:spacing w:line="600" w:lineRule="exact"/>
        <w:ind w:firstLine="640" w:firstLineChars="200"/>
        <w:outlineLvl w:val="1"/>
        <w:rPr>
          <w:rFonts w:hint="eastAsia" w:ascii="仿宋" w:eastAsia="仿宋"/>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5601.23</w:t>
      </w:r>
      <w:r>
        <w:rPr>
          <w:rFonts w:hint="eastAsia" w:ascii="仿宋" w:eastAsia="仿宋"/>
          <w:sz w:val="32"/>
          <w:szCs w:val="32"/>
        </w:rPr>
        <w:t>万元，其中：基本支出</w:t>
      </w:r>
      <w:r>
        <w:rPr>
          <w:rFonts w:hint="eastAsia" w:ascii="仿宋" w:eastAsia="仿宋"/>
          <w:sz w:val="32"/>
          <w:szCs w:val="32"/>
          <w:lang w:val="en-US" w:eastAsia="zh-CN"/>
        </w:rPr>
        <w:t>4614.17</w:t>
      </w:r>
      <w:r>
        <w:rPr>
          <w:rFonts w:hint="eastAsia" w:ascii="仿宋" w:eastAsia="仿宋"/>
          <w:sz w:val="32"/>
          <w:szCs w:val="32"/>
        </w:rPr>
        <w:t>万元，占</w:t>
      </w:r>
      <w:r>
        <w:rPr>
          <w:rFonts w:hint="eastAsia" w:ascii="仿宋" w:eastAsia="仿宋"/>
          <w:sz w:val="32"/>
          <w:szCs w:val="32"/>
          <w:lang w:val="en-US" w:eastAsia="zh-CN"/>
        </w:rPr>
        <w:t>52.4</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987.06</w:t>
      </w:r>
      <w:r>
        <w:rPr>
          <w:rFonts w:hint="eastAsia" w:ascii="仿宋" w:eastAsia="仿宋"/>
          <w:sz w:val="32"/>
          <w:szCs w:val="32"/>
        </w:rPr>
        <w:t>万元，占</w:t>
      </w:r>
      <w:r>
        <w:rPr>
          <w:rFonts w:hint="eastAsia" w:ascii="仿宋" w:eastAsia="仿宋"/>
          <w:sz w:val="32"/>
          <w:szCs w:val="32"/>
          <w:lang w:val="en-US" w:eastAsia="zh-CN"/>
        </w:rPr>
        <w:t>17.6</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Style w:val="2"/>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19"/>
          <w:rFonts w:ascii="黑体" w:eastAsia="黑体"/>
          <w:b w:val="0"/>
        </w:rPr>
      </w:pPr>
      <w:bookmarkStart w:id="25" w:name="_Toc15377208"/>
      <w:bookmarkStart w:id="26" w:name="_Toc15396606"/>
      <w:r>
        <w:rPr>
          <w:rFonts w:hint="eastAsia" w:ascii="黑体" w:eastAsia="黑体"/>
          <w:sz w:val="32"/>
          <w:szCs w:val="32"/>
        </w:rPr>
        <w:t>四、财</w:t>
      </w:r>
      <w:r>
        <w:rPr>
          <w:rStyle w:val="19"/>
          <w:rFonts w:hint="eastAsia" w:ascii="黑体" w:eastAsia="黑体"/>
          <w:b w:val="0"/>
        </w:rPr>
        <w:t>政拨款收入支出决算总体情况说明</w:t>
      </w:r>
      <w:bookmarkEnd w:id="25"/>
      <w:bookmarkEnd w:id="26"/>
    </w:p>
    <w:p>
      <w:pPr>
        <w:pStyle w:val="27"/>
        <w:keepNext w:val="0"/>
        <w:keepLines w:val="0"/>
        <w:pageBreakBefore w:val="0"/>
        <w:widowControl w:val="0"/>
        <w:suppressLineNumbers w:val="0"/>
        <w:kinsoku/>
        <w:wordWrap/>
        <w:overflowPunct/>
        <w:topLinePunct w:val="0"/>
        <w:autoSpaceDE/>
        <w:autoSpaceDN/>
        <w:bidi w:val="0"/>
        <w:adjustRightIn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ascii="仿宋" w:eastAsia="仿宋"/>
          <w:sz w:val="32"/>
          <w:szCs w:val="32"/>
        </w:rPr>
        <w:t>20</w:t>
      </w:r>
      <w:r>
        <w:rPr>
          <w:rFonts w:hint="eastAsia" w:ascii="仿宋" w:eastAsia="仿宋"/>
          <w:sz w:val="32"/>
          <w:szCs w:val="32"/>
        </w:rPr>
        <w:t>21年财政拨款收</w:t>
      </w:r>
      <w:r>
        <w:rPr>
          <w:rFonts w:hint="eastAsia" w:ascii="仿宋" w:eastAsia="仿宋"/>
          <w:sz w:val="32"/>
          <w:szCs w:val="32"/>
          <w:lang w:val="en-US" w:eastAsia="zh-CN"/>
        </w:rPr>
        <w:t>入2933.73</w:t>
      </w:r>
      <w:r>
        <w:rPr>
          <w:rFonts w:hint="eastAsia" w:ascii="仿宋" w:eastAsia="仿宋"/>
          <w:sz w:val="32"/>
          <w:szCs w:val="32"/>
        </w:rPr>
        <w:t>万元、支</w:t>
      </w:r>
      <w:r>
        <w:rPr>
          <w:rFonts w:hint="eastAsia" w:ascii="仿宋" w:eastAsia="仿宋"/>
          <w:sz w:val="32"/>
          <w:szCs w:val="32"/>
          <w:lang w:val="en-US" w:eastAsia="zh-CN"/>
        </w:rPr>
        <w:t>出3317.26</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20年相比，财政拨款收</w:t>
      </w:r>
      <w:r>
        <w:rPr>
          <w:rFonts w:hint="eastAsia" w:ascii="仿宋" w:eastAsia="仿宋"/>
          <w:sz w:val="32"/>
          <w:szCs w:val="32"/>
          <w:lang w:val="en-US" w:eastAsia="zh-CN"/>
        </w:rPr>
        <w:t>入减少1713.29</w:t>
      </w:r>
      <w:r>
        <w:rPr>
          <w:rFonts w:hint="eastAsia" w:ascii="仿宋" w:eastAsia="仿宋"/>
          <w:sz w:val="32"/>
          <w:szCs w:val="32"/>
        </w:rPr>
        <w:t>万元、支</w:t>
      </w:r>
      <w:r>
        <w:rPr>
          <w:rFonts w:hint="eastAsia" w:ascii="仿宋" w:eastAsia="仿宋"/>
          <w:sz w:val="32"/>
          <w:szCs w:val="32"/>
          <w:lang w:val="en-US" w:eastAsia="zh-CN"/>
        </w:rPr>
        <w:t>出减少528.5</w:t>
      </w:r>
      <w:r>
        <w:rPr>
          <w:rFonts w:hint="eastAsia" w:ascii="仿宋" w:eastAsia="仿宋"/>
          <w:sz w:val="32"/>
          <w:szCs w:val="32"/>
        </w:rPr>
        <w:t>万元</w:t>
      </w:r>
      <w:r>
        <w:rPr>
          <w:rFonts w:hint="eastAsia" w:ascii="仿宋" w:eastAsia="仿宋"/>
          <w:sz w:val="32"/>
          <w:szCs w:val="32"/>
          <w:lang w:eastAsia="zh-CN"/>
        </w:rPr>
        <w:t>，</w:t>
      </w:r>
      <w:r>
        <w:rPr>
          <w:rFonts w:hint="eastAsia" w:ascii="仿宋" w:eastAsia="仿宋"/>
          <w:sz w:val="32"/>
          <w:szCs w:val="32"/>
          <w:lang w:val="en-US" w:eastAsia="zh-CN"/>
        </w:rPr>
        <w:t>收入</w:t>
      </w:r>
      <w:r>
        <w:rPr>
          <w:rFonts w:hint="eastAsia" w:ascii="仿宋" w:eastAsia="仿宋"/>
          <w:sz w:val="32"/>
          <w:szCs w:val="32"/>
        </w:rPr>
        <w:t>下降</w:t>
      </w:r>
      <w:r>
        <w:rPr>
          <w:rFonts w:hint="eastAsia" w:ascii="仿宋" w:eastAsia="仿宋"/>
          <w:sz w:val="32"/>
          <w:szCs w:val="32"/>
          <w:lang w:val="en-US" w:eastAsia="zh-CN"/>
        </w:rPr>
        <w:t>36.8</w:t>
      </w:r>
      <w:r>
        <w:rPr>
          <w:rFonts w:ascii="仿宋" w:eastAsia="仿宋"/>
          <w:sz w:val="32"/>
          <w:szCs w:val="32"/>
        </w:rPr>
        <w:t>%</w:t>
      </w:r>
      <w:r>
        <w:rPr>
          <w:rFonts w:hint="eastAsia" w:ascii="仿宋" w:eastAsia="仿宋"/>
          <w:sz w:val="32"/>
          <w:szCs w:val="32"/>
          <w:lang w:val="en-US" w:eastAsia="zh-CN"/>
        </w:rPr>
        <w:t>支出</w:t>
      </w:r>
      <w:r>
        <w:rPr>
          <w:rFonts w:hint="eastAsia" w:ascii="仿宋" w:eastAsia="仿宋"/>
          <w:sz w:val="32"/>
          <w:szCs w:val="32"/>
        </w:rPr>
        <w:t>下降</w:t>
      </w:r>
      <w:r>
        <w:rPr>
          <w:rFonts w:hint="eastAsia" w:ascii="仿宋" w:eastAsia="仿宋"/>
          <w:sz w:val="32"/>
          <w:szCs w:val="32"/>
          <w:lang w:val="en-US" w:eastAsia="zh-CN"/>
        </w:rPr>
        <w:t>13.7</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kern w:val="0"/>
          <w:sz w:val="32"/>
          <w:szCs w:val="32"/>
          <w:shd w:val="clear" w:color="auto" w:fill="FFFFFF"/>
        </w:rPr>
        <w:t>今年财政项目收支</w:t>
      </w:r>
      <w:r>
        <w:rPr>
          <w:rFonts w:hint="eastAsia" w:ascii="仿宋_GB2312" w:hAnsi="仿宋_GB2312" w:eastAsia="仿宋_GB2312" w:cs="仿宋_GB2312"/>
          <w:kern w:val="0"/>
          <w:sz w:val="32"/>
          <w:szCs w:val="32"/>
          <w:shd w:val="clear" w:color="auto" w:fill="FFFFFF"/>
          <w:lang w:val="en-US" w:eastAsia="zh-CN"/>
        </w:rPr>
        <w:t>减少</w:t>
      </w:r>
      <w:r>
        <w:rPr>
          <w:rFonts w:hint="eastAsia" w:ascii="仿宋_GB2312" w:hAnsi="仿宋_GB2312" w:eastAsia="仿宋_GB2312" w:cs="仿宋_GB2312"/>
          <w:kern w:val="0"/>
          <w:sz w:val="32"/>
          <w:szCs w:val="32"/>
          <w:shd w:val="clear" w:color="auto" w:fill="FFFFFF"/>
        </w:rPr>
        <w:t>。</w:t>
      </w:r>
    </w:p>
    <w:p>
      <w:pPr>
        <w:spacing w:line="600" w:lineRule="exact"/>
        <w:ind w:firstLine="640"/>
        <w:rPr>
          <w:rFonts w:hint="eastAsia" w:ascii="仿宋" w:eastAsia="仿宋"/>
          <w:sz w:val="32"/>
          <w:szCs w:val="32"/>
        </w:rPr>
      </w:pPr>
    </w:p>
    <w:p>
      <w:pPr>
        <w:pStyle w:val="2"/>
        <w:tabs>
          <w:tab w:val="left" w:pos="898"/>
        </w:tabs>
        <w:rPr>
          <w:rFonts w:hint="eastAsia" w:ascii="仿宋" w:eastAsia="仿宋"/>
          <w:sz w:val="32"/>
          <w:szCs w:val="32"/>
        </w:rPr>
      </w:pPr>
      <w:r>
        <w:drawing>
          <wp:anchor distT="0" distB="0" distL="114300" distR="114300" simplePos="0" relativeHeight="251659264" behindDoc="0" locked="0" layoutInCell="1" allowOverlap="1">
            <wp:simplePos x="0" y="0"/>
            <wp:positionH relativeFrom="column">
              <wp:posOffset>315595</wp:posOffset>
            </wp:positionH>
            <wp:positionV relativeFrom="paragraph">
              <wp:posOffset>69850</wp:posOffset>
            </wp:positionV>
            <wp:extent cx="4572000" cy="3049270"/>
            <wp:effectExtent l="4445" t="4445" r="14605" b="13335"/>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sz w:val="32"/>
          <w:szCs w:val="32"/>
          <w:lang w:eastAsia="zh-CN"/>
        </w:rPr>
        <w:tab/>
      </w:r>
    </w:p>
    <w:p>
      <w:pPr>
        <w:spacing w:line="600" w:lineRule="exact"/>
        <w:ind w:firstLine="640" w:firstLineChars="200"/>
        <w:outlineLvl w:val="1"/>
        <w:rPr>
          <w:rStyle w:val="19"/>
          <w:rFonts w:ascii="黑体" w:eastAsia="黑体"/>
          <w:b w:val="0"/>
        </w:rPr>
      </w:pPr>
      <w:bookmarkStart w:id="27" w:name="_Toc15377209"/>
      <w:bookmarkStart w:id="28" w:name="_Toc15396607"/>
      <w:r>
        <w:rPr>
          <w:rFonts w:hint="eastAsia" w:ascii="黑体" w:eastAsia="黑体"/>
          <w:sz w:val="32"/>
          <w:szCs w:val="32"/>
        </w:rPr>
        <w:t>五、</w:t>
      </w:r>
      <w:r>
        <w:rPr>
          <w:rFonts w:hint="eastAsia" w:ascii="黑体" w:eastAsia="黑体"/>
          <w:b/>
          <w:sz w:val="32"/>
          <w:szCs w:val="32"/>
        </w:rPr>
        <w:t>一</w:t>
      </w:r>
      <w:r>
        <w:rPr>
          <w:rStyle w:val="19"/>
          <w:rFonts w:hint="eastAsia" w:ascii="黑体" w:eastAsia="黑体"/>
          <w:b w:val="0"/>
        </w:rPr>
        <w:t>般公共预算财政拨款支出决算情况说明</w:t>
      </w:r>
      <w:bookmarkEnd w:id="27"/>
      <w:bookmarkEnd w:id="28"/>
    </w:p>
    <w:p>
      <w:pPr>
        <w:spacing w:line="600" w:lineRule="exact"/>
        <w:ind w:firstLine="643" w:firstLineChars="200"/>
        <w:outlineLvl w:val="2"/>
        <w:rPr>
          <w:rFonts w:ascii="仿宋" w:eastAsia="仿宋"/>
          <w:b/>
          <w:sz w:val="32"/>
          <w:szCs w:val="32"/>
        </w:rPr>
      </w:pPr>
      <w:bookmarkStart w:id="29" w:name="_Toc15377210"/>
      <w:r>
        <w:rPr>
          <w:rFonts w:hint="eastAsia" w:ascii="仿宋" w:eastAsia="仿宋"/>
          <w:b/>
          <w:sz w:val="32"/>
          <w:szCs w:val="32"/>
        </w:rPr>
        <w:t>（一）一般公共预算财政拨款支出决算总体情况</w:t>
      </w:r>
      <w:bookmarkEnd w:id="29"/>
    </w:p>
    <w:p>
      <w:pPr>
        <w:pStyle w:val="27"/>
        <w:keepNext w:val="0"/>
        <w:keepLines w:val="0"/>
        <w:pageBreakBefore w:val="0"/>
        <w:widowControl w:val="0"/>
        <w:suppressLineNumbers w:val="0"/>
        <w:kinsoku/>
        <w:wordWrap/>
        <w:overflowPunct/>
        <w:topLinePunct w:val="0"/>
        <w:autoSpaceDE/>
        <w:autoSpaceDN/>
        <w:bidi w:val="0"/>
        <w:adjustRightInd/>
        <w:spacing w:before="0" w:beforeAutospacing="0" w:afterAutospacing="0" w:line="576" w:lineRule="exact"/>
        <w:ind w:left="0" w:firstLine="640" w:firstLineChars="200"/>
        <w:jc w:val="both"/>
        <w:textAlignment w:val="auto"/>
        <w:rPr>
          <w:rFonts w:hint="eastAsia"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3317.26</w:t>
      </w:r>
      <w:r>
        <w:rPr>
          <w:rFonts w:hint="eastAsia" w:ascii="仿宋" w:eastAsia="仿宋"/>
          <w:sz w:val="32"/>
          <w:szCs w:val="32"/>
        </w:rPr>
        <w:t>万元，占本年支出合计的</w:t>
      </w:r>
      <w:r>
        <w:rPr>
          <w:rFonts w:hint="eastAsia" w:ascii="仿宋" w:eastAsia="仿宋"/>
          <w:sz w:val="32"/>
          <w:szCs w:val="32"/>
          <w:lang w:val="en-US" w:eastAsia="zh-CN"/>
        </w:rPr>
        <w:t>59.2</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20年相比，一般公共预算财政拨款支出减少</w:t>
      </w:r>
      <w:r>
        <w:rPr>
          <w:rFonts w:hint="eastAsia" w:ascii="仿宋" w:eastAsia="仿宋"/>
          <w:sz w:val="32"/>
          <w:szCs w:val="32"/>
          <w:lang w:val="en-US" w:eastAsia="zh-CN"/>
        </w:rPr>
        <w:t>528.5</w:t>
      </w:r>
      <w:r>
        <w:rPr>
          <w:rFonts w:hint="eastAsia" w:ascii="仿宋" w:eastAsia="仿宋"/>
          <w:sz w:val="32"/>
          <w:szCs w:val="32"/>
        </w:rPr>
        <w:t>万元，下降</w:t>
      </w:r>
      <w:r>
        <w:rPr>
          <w:rFonts w:hint="eastAsia" w:ascii="仿宋" w:eastAsia="仿宋"/>
          <w:sz w:val="32"/>
          <w:szCs w:val="32"/>
          <w:lang w:val="en-US" w:eastAsia="zh-CN"/>
        </w:rPr>
        <w:t>13.7</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kern w:val="0"/>
          <w:sz w:val="32"/>
          <w:szCs w:val="32"/>
          <w:shd w:val="clear" w:color="auto" w:fill="FFFFFF"/>
        </w:rPr>
        <w:t>今年财政项目收支</w:t>
      </w:r>
      <w:r>
        <w:rPr>
          <w:rFonts w:hint="eastAsia" w:ascii="仿宋_GB2312" w:hAnsi="仿宋_GB2312" w:eastAsia="仿宋_GB2312" w:cs="仿宋_GB2312"/>
          <w:kern w:val="0"/>
          <w:sz w:val="32"/>
          <w:szCs w:val="32"/>
          <w:shd w:val="clear" w:color="auto" w:fill="FFFFFF"/>
          <w:lang w:val="en-US" w:eastAsia="zh-CN"/>
        </w:rPr>
        <w:t>减少</w:t>
      </w:r>
      <w:r>
        <w:rPr>
          <w:rFonts w:hint="eastAsia" w:ascii="仿宋_GB2312" w:hAnsi="仿宋_GB2312" w:eastAsia="仿宋_GB2312" w:cs="仿宋_GB2312"/>
          <w:kern w:val="0"/>
          <w:sz w:val="32"/>
          <w:szCs w:val="32"/>
          <w:shd w:val="clear" w:color="auto" w:fill="FFFFFF"/>
        </w:rPr>
        <w:t>。</w:t>
      </w:r>
    </w:p>
    <w:p>
      <w:pPr>
        <w:pStyle w:val="2"/>
      </w:pPr>
      <w:r>
        <w:drawing>
          <wp:inline distT="0" distB="0" distL="114300" distR="114300">
            <wp:extent cx="4572000" cy="2524125"/>
            <wp:effectExtent l="4445" t="4445" r="14605" b="508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3" w:firstLineChars="200"/>
        <w:outlineLvl w:val="2"/>
        <w:rPr>
          <w:rFonts w:ascii="仿宋" w:eastAsia="仿宋"/>
          <w:b/>
          <w:sz w:val="32"/>
          <w:szCs w:val="32"/>
        </w:rPr>
      </w:pPr>
      <w:bookmarkStart w:id="30" w:name="_Toc15377211"/>
      <w:r>
        <w:rPr>
          <w:rFonts w:hint="eastAsia" w:ascii="仿宋" w:eastAsia="仿宋"/>
          <w:b/>
          <w:sz w:val="32"/>
          <w:szCs w:val="32"/>
        </w:rPr>
        <w:t>（二）一般公共预算财政拨款支出决算结构情况</w:t>
      </w:r>
      <w:bookmarkEnd w:id="30"/>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3317.26</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bookmarkStart w:id="31" w:name="OLE_LINK1"/>
      <w:r>
        <w:rPr>
          <w:rFonts w:hint="eastAsia" w:ascii="仿宋" w:eastAsia="仿宋"/>
          <w:b/>
          <w:sz w:val="32"/>
          <w:szCs w:val="32"/>
        </w:rPr>
        <w:t>社会保障和就业</w:t>
      </w:r>
      <w:bookmarkEnd w:id="31"/>
      <w:r>
        <w:rPr>
          <w:rFonts w:hint="eastAsia" w:ascii="仿宋" w:eastAsia="仿宋"/>
          <w:b/>
          <w:sz w:val="32"/>
          <w:szCs w:val="32"/>
        </w:rPr>
        <w:t>（类）</w:t>
      </w:r>
      <w:r>
        <w:rPr>
          <w:rFonts w:hint="eastAsia" w:ascii="仿宋" w:eastAsia="仿宋"/>
          <w:sz w:val="32"/>
          <w:szCs w:val="32"/>
        </w:rPr>
        <w:t>支出</w:t>
      </w:r>
      <w:r>
        <w:rPr>
          <w:rFonts w:hint="eastAsia" w:ascii="仿宋" w:eastAsia="仿宋"/>
          <w:sz w:val="32"/>
          <w:szCs w:val="32"/>
          <w:lang w:val="en-US" w:eastAsia="zh-CN"/>
        </w:rPr>
        <w:t>283.39</w:t>
      </w:r>
      <w:r>
        <w:rPr>
          <w:rFonts w:hint="eastAsia" w:ascii="仿宋" w:eastAsia="仿宋"/>
          <w:sz w:val="32"/>
          <w:szCs w:val="32"/>
        </w:rPr>
        <w:t>万元，占</w:t>
      </w:r>
      <w:r>
        <w:rPr>
          <w:rFonts w:hint="eastAsia" w:ascii="仿宋" w:eastAsia="仿宋"/>
          <w:sz w:val="32"/>
          <w:szCs w:val="32"/>
          <w:lang w:val="en-US" w:eastAsia="zh-CN"/>
        </w:rPr>
        <w:t>8.6</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2856.95</w:t>
      </w:r>
      <w:r>
        <w:rPr>
          <w:rFonts w:hint="eastAsia" w:ascii="仿宋" w:eastAsia="仿宋"/>
          <w:sz w:val="32"/>
          <w:szCs w:val="32"/>
        </w:rPr>
        <w:t>万元，占</w:t>
      </w:r>
      <w:r>
        <w:rPr>
          <w:rFonts w:hint="eastAsia" w:ascii="仿宋" w:eastAsia="仿宋"/>
          <w:sz w:val="32"/>
          <w:szCs w:val="32"/>
          <w:lang w:val="en-US" w:eastAsia="zh-CN"/>
        </w:rPr>
        <w:t>86.1</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w:t>
      </w:r>
      <w:r>
        <w:rPr>
          <w:rFonts w:hint="eastAsia" w:ascii="仿宋" w:eastAsia="仿宋"/>
          <w:b/>
          <w:sz w:val="32"/>
          <w:szCs w:val="32"/>
        </w:rPr>
        <w:t>（类）</w:t>
      </w:r>
      <w:r>
        <w:rPr>
          <w:rFonts w:hint="eastAsia" w:ascii="仿宋" w:eastAsia="仿宋"/>
          <w:sz w:val="32"/>
          <w:szCs w:val="32"/>
          <w:lang w:val="en-US" w:eastAsia="zh-CN"/>
        </w:rPr>
        <w:t>176.92</w:t>
      </w:r>
      <w:r>
        <w:rPr>
          <w:rFonts w:hint="eastAsia" w:ascii="仿宋" w:eastAsia="仿宋"/>
          <w:sz w:val="32"/>
          <w:szCs w:val="32"/>
        </w:rPr>
        <w:t>万元，占</w:t>
      </w:r>
      <w:r>
        <w:rPr>
          <w:rFonts w:hint="eastAsia" w:ascii="仿宋" w:eastAsia="仿宋"/>
          <w:sz w:val="32"/>
          <w:szCs w:val="32"/>
          <w:lang w:val="en-US" w:eastAsia="zh-CN"/>
        </w:rPr>
        <w:t>5.3</w:t>
      </w:r>
      <w:r>
        <w:rPr>
          <w:rFonts w:ascii="仿宋" w:eastAsia="仿宋"/>
          <w:sz w:val="32"/>
          <w:szCs w:val="32"/>
        </w:rPr>
        <w:t>%</w:t>
      </w:r>
      <w:r>
        <w:rPr>
          <w:rFonts w:hint="eastAsia" w:ascii="仿宋" w:eastAsia="仿宋"/>
          <w:sz w:val="32"/>
          <w:szCs w:val="32"/>
        </w:rPr>
        <w:t>。</w:t>
      </w:r>
      <w:r>
        <w:drawing>
          <wp:anchor distT="0" distB="0" distL="114300" distR="114300" simplePos="0" relativeHeight="251660288"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3" w:firstLineChars="200"/>
        <w:outlineLvl w:val="2"/>
        <w:rPr>
          <w:rFonts w:ascii="仿宋" w:eastAsia="仿宋"/>
          <w:b/>
          <w:sz w:val="32"/>
          <w:szCs w:val="32"/>
        </w:rPr>
      </w:pPr>
      <w:bookmarkStart w:id="32" w:name="_Toc15377212"/>
      <w:r>
        <w:rPr>
          <w:rFonts w:hint="eastAsia" w:ascii="仿宋" w:eastAsia="仿宋"/>
          <w:b/>
          <w:sz w:val="32"/>
          <w:szCs w:val="32"/>
        </w:rPr>
        <w:t>（三）一般公共预算财政拨款支出决算具体情况</w:t>
      </w:r>
      <w:bookmarkEnd w:id="32"/>
    </w:p>
    <w:p>
      <w:pPr>
        <w:spacing w:line="600" w:lineRule="exact"/>
        <w:ind w:firstLine="643" w:firstLineChars="200"/>
        <w:outlineLvl w:val="2"/>
        <w:rPr>
          <w:rFonts w:ascii="仿宋" w:eastAsia="仿宋"/>
          <w:sz w:val="32"/>
          <w:szCs w:val="32"/>
        </w:rPr>
      </w:pPr>
      <w:bookmarkStart w:id="33" w:name="_Toc15378460"/>
      <w:bookmarkStart w:id="34" w:name="_Toc15377444"/>
      <w:bookmarkStart w:id="35" w:name="_Toc15377213"/>
      <w:r>
        <w:rPr>
          <w:rFonts w:hint="eastAsia" w:ascii="仿宋" w:eastAsia="仿宋"/>
          <w:b/>
          <w:sz w:val="32"/>
          <w:szCs w:val="32"/>
        </w:rPr>
        <w:t>2021年一般公共预算支出决算数为</w:t>
      </w:r>
      <w:r>
        <w:rPr>
          <w:rFonts w:hint="eastAsia" w:ascii="仿宋" w:eastAsia="仿宋"/>
          <w:b/>
          <w:sz w:val="32"/>
          <w:szCs w:val="32"/>
          <w:lang w:val="en-US" w:eastAsia="zh-CN"/>
        </w:rPr>
        <w:t>3317.26</w:t>
      </w:r>
      <w:r>
        <w:rPr>
          <w:rFonts w:hint="eastAsia" w:ascii="仿宋" w:eastAsia="仿宋"/>
          <w:sz w:val="32"/>
          <w:szCs w:val="32"/>
        </w:rPr>
        <w:t>，</w:t>
      </w:r>
      <w:r>
        <w:rPr>
          <w:rStyle w:val="16"/>
          <w:rFonts w:hint="eastAsia" w:ascii="仿宋" w:eastAsia="仿宋"/>
          <w:bCs/>
          <w:sz w:val="32"/>
          <w:szCs w:val="32"/>
        </w:rPr>
        <w:t>完成预算</w:t>
      </w:r>
      <w:r>
        <w:rPr>
          <w:rStyle w:val="16"/>
          <w:rFonts w:hint="eastAsia" w:ascii="仿宋" w:eastAsia="仿宋"/>
          <w:bCs/>
          <w:sz w:val="32"/>
          <w:szCs w:val="32"/>
          <w:lang w:val="en-US" w:eastAsia="zh-CN"/>
        </w:rPr>
        <w:t>100</w:t>
      </w:r>
      <w:r>
        <w:rPr>
          <w:rStyle w:val="16"/>
          <w:rFonts w:ascii="仿宋" w:eastAsia="仿宋"/>
          <w:bCs/>
          <w:sz w:val="32"/>
          <w:szCs w:val="32"/>
        </w:rPr>
        <w:t>%</w:t>
      </w:r>
      <w:r>
        <w:rPr>
          <w:rStyle w:val="16"/>
          <w:rFonts w:hint="eastAsia" w:ascii="仿宋" w:eastAsia="仿宋"/>
          <w:bCs/>
          <w:sz w:val="32"/>
          <w:szCs w:val="32"/>
        </w:rPr>
        <w:t>。其中：</w:t>
      </w:r>
      <w:bookmarkEnd w:id="33"/>
      <w:bookmarkEnd w:id="34"/>
      <w:bookmarkEnd w:id="35"/>
    </w:p>
    <w:p>
      <w:pPr>
        <w:spacing w:line="600" w:lineRule="exact"/>
        <w:ind w:firstLine="643" w:firstLineChars="200"/>
        <w:rPr>
          <w:rFonts w:ascii="仿宋" w:eastAsia="仿宋"/>
          <w:b/>
          <w:sz w:val="32"/>
          <w:szCs w:val="32"/>
        </w:rPr>
      </w:pPr>
      <w:r>
        <w:rPr>
          <w:rStyle w:val="16"/>
          <w:rFonts w:hint="eastAsia" w:ascii="仿宋" w:eastAsia="仿宋"/>
          <w:bCs/>
          <w:sz w:val="32"/>
          <w:szCs w:val="32"/>
          <w:lang w:val="en-US" w:eastAsia="zh-CN"/>
        </w:rPr>
        <w:t>1</w:t>
      </w:r>
      <w:r>
        <w:rPr>
          <w:rStyle w:val="16"/>
          <w:rFonts w:ascii="仿宋" w:eastAsia="仿宋"/>
          <w:bCs/>
          <w:sz w:val="32"/>
          <w:szCs w:val="32"/>
        </w:rPr>
        <w:t>.</w:t>
      </w:r>
      <w:r>
        <w:rPr>
          <w:rStyle w:val="16"/>
          <w:rFonts w:hint="eastAsia" w:ascii="仿宋" w:eastAsia="仿宋"/>
          <w:bCs/>
          <w:sz w:val="32"/>
          <w:szCs w:val="32"/>
        </w:rPr>
        <w:t>社会保障和就业</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283.39</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spacing w:line="600" w:lineRule="exact"/>
        <w:ind w:firstLine="643" w:firstLineChars="200"/>
        <w:rPr>
          <w:rFonts w:hint="eastAsia" w:ascii="仿宋" w:eastAsia="仿宋"/>
          <w:b/>
          <w:sz w:val="32"/>
          <w:szCs w:val="32"/>
          <w:lang w:eastAsia="zh-CN"/>
        </w:rPr>
      </w:pPr>
      <w:r>
        <w:rPr>
          <w:rStyle w:val="16"/>
          <w:rFonts w:hint="eastAsia" w:ascii="仿宋" w:eastAsia="仿宋"/>
          <w:bCs/>
          <w:sz w:val="32"/>
          <w:szCs w:val="32"/>
          <w:lang w:val="en-US" w:eastAsia="zh-CN"/>
        </w:rPr>
        <w:t>2</w:t>
      </w:r>
      <w:r>
        <w:rPr>
          <w:rStyle w:val="16"/>
          <w:rFonts w:ascii="仿宋" w:eastAsia="仿宋"/>
          <w:bCs/>
          <w:sz w:val="32"/>
          <w:szCs w:val="32"/>
        </w:rPr>
        <w:t>.</w:t>
      </w:r>
      <w:r>
        <w:rPr>
          <w:rFonts w:hint="eastAsia" w:ascii="仿宋" w:eastAsia="仿宋"/>
          <w:b/>
          <w:bCs/>
          <w:sz w:val="32"/>
          <w:szCs w:val="32"/>
        </w:rPr>
        <w:t>卫生健康</w:t>
      </w:r>
      <w:r>
        <w:rPr>
          <w:rStyle w:val="16"/>
          <w:rFonts w:ascii="仿宋" w:eastAsia="仿宋"/>
          <w:bCs/>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2856.95</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lang w:eastAsia="zh-CN"/>
        </w:rPr>
        <w:t>。</w:t>
      </w:r>
    </w:p>
    <w:p>
      <w:pPr>
        <w:spacing w:line="600" w:lineRule="exact"/>
        <w:ind w:firstLine="643" w:firstLineChars="200"/>
        <w:rPr>
          <w:rFonts w:ascii="仿宋" w:eastAsia="仿宋"/>
          <w:b/>
          <w:sz w:val="32"/>
          <w:szCs w:val="32"/>
        </w:rPr>
      </w:pPr>
      <w:r>
        <w:rPr>
          <w:rStyle w:val="16"/>
          <w:rFonts w:hint="eastAsia" w:ascii="仿宋" w:eastAsia="仿宋"/>
          <w:bCs/>
          <w:sz w:val="32"/>
          <w:szCs w:val="32"/>
          <w:lang w:val="en-US" w:eastAsia="zh-CN"/>
        </w:rPr>
        <w:t>3</w:t>
      </w:r>
      <w:r>
        <w:rPr>
          <w:rStyle w:val="16"/>
          <w:rFonts w:ascii="仿宋" w:eastAsia="仿宋"/>
          <w:bCs/>
          <w:sz w:val="32"/>
          <w:szCs w:val="32"/>
        </w:rPr>
        <w:t>.</w:t>
      </w:r>
      <w:r>
        <w:rPr>
          <w:rStyle w:val="16"/>
          <w:rFonts w:hint="eastAsia" w:ascii="仿宋" w:eastAsia="仿宋"/>
          <w:bCs/>
          <w:sz w:val="32"/>
          <w:szCs w:val="32"/>
          <w:lang w:val="en-US" w:eastAsia="zh-CN"/>
        </w:rPr>
        <w:t>住房保障</w:t>
      </w:r>
      <w:r>
        <w:rPr>
          <w:rStyle w:val="16"/>
          <w:rFonts w:ascii="仿宋" w:eastAsia="仿宋"/>
          <w:bCs/>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176.92</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tabs>
          <w:tab w:val="right" w:pos="8306"/>
        </w:tabs>
        <w:spacing w:line="600" w:lineRule="exact"/>
        <w:ind w:firstLine="640"/>
        <w:outlineLvl w:val="1"/>
        <w:rPr>
          <w:rStyle w:val="19"/>
        </w:rPr>
      </w:pPr>
      <w:bookmarkStart w:id="36" w:name="_Toc15396608"/>
      <w:bookmarkStart w:id="37" w:name="_Toc15377214"/>
      <w:r>
        <w:rPr>
          <w:rFonts w:hint="eastAsia" w:ascii="黑体" w:eastAsia="黑体"/>
          <w:sz w:val="32"/>
          <w:szCs w:val="32"/>
        </w:rPr>
        <w:t>六</w:t>
      </w:r>
      <w:r>
        <w:rPr>
          <w:rFonts w:hint="eastAsia" w:ascii="黑体" w:eastAsia="黑体"/>
          <w:b/>
          <w:sz w:val="32"/>
          <w:szCs w:val="32"/>
        </w:rPr>
        <w:t>、一</w:t>
      </w:r>
      <w:r>
        <w:rPr>
          <w:rStyle w:val="19"/>
          <w:rFonts w:hint="eastAsia" w:ascii="黑体" w:eastAsia="黑体"/>
          <w:b w:val="0"/>
        </w:rPr>
        <w:t>般公共预算财政拨款基本支出决算情况说明</w:t>
      </w:r>
      <w:bookmarkEnd w:id="36"/>
      <w:bookmarkEnd w:id="37"/>
      <w:r>
        <w:rPr>
          <w:rStyle w:val="19"/>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2330.21</w:t>
      </w:r>
      <w:r>
        <w:rPr>
          <w:rFonts w:hint="eastAsia" w:ascii="仿宋" w:eastAsia="仿宋"/>
          <w:sz w:val="32"/>
          <w:szCs w:val="32"/>
        </w:rPr>
        <w:t>万元，其中：</w:t>
      </w:r>
    </w:p>
    <w:p>
      <w:pPr>
        <w:spacing w:line="600" w:lineRule="exact"/>
        <w:ind w:firstLine="645"/>
        <w:rPr>
          <w:rFonts w:ascii="仿宋" w:eastAsia="仿宋"/>
          <w:b/>
          <w:sz w:val="32"/>
          <w:szCs w:val="32"/>
        </w:rPr>
      </w:pPr>
      <w:r>
        <w:rPr>
          <w:rFonts w:hint="eastAsia" w:ascii="仿宋" w:eastAsia="仿宋"/>
          <w:sz w:val="32"/>
          <w:szCs w:val="32"/>
        </w:rPr>
        <w:t>人员经费</w:t>
      </w:r>
      <w:r>
        <w:rPr>
          <w:rFonts w:hint="eastAsia" w:ascii="仿宋" w:eastAsia="仿宋"/>
          <w:sz w:val="32"/>
          <w:szCs w:val="32"/>
          <w:lang w:val="en-US" w:eastAsia="zh-CN"/>
        </w:rPr>
        <w:t>2310.18</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20.03</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9"/>
          <w:rFonts w:ascii="黑体" w:eastAsia="黑体"/>
          <w:b w:val="0"/>
        </w:rPr>
      </w:pPr>
      <w:bookmarkStart w:id="38" w:name="_Toc15377215"/>
      <w:bookmarkStart w:id="39" w:name="_Toc15396609"/>
      <w:r>
        <w:rPr>
          <w:rFonts w:hint="eastAsia" w:ascii="黑体" w:eastAsia="黑体"/>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38"/>
      <w:bookmarkEnd w:id="39"/>
    </w:p>
    <w:p>
      <w:pPr>
        <w:spacing w:line="600" w:lineRule="exact"/>
        <w:ind w:firstLine="640"/>
        <w:outlineLvl w:val="2"/>
        <w:rPr>
          <w:rFonts w:ascii="仿宋" w:eastAsia="仿宋"/>
          <w:b/>
          <w:sz w:val="32"/>
          <w:szCs w:val="32"/>
        </w:rPr>
      </w:pPr>
      <w:bookmarkStart w:id="40" w:name="_Toc15377216"/>
      <w:r>
        <w:rPr>
          <w:rFonts w:hint="eastAsia" w:ascii="仿宋" w:eastAsia="仿宋"/>
          <w:b/>
          <w:sz w:val="32"/>
          <w:szCs w:val="32"/>
        </w:rPr>
        <w:t>（一）“三公”经费财政拨款支出决算总体情况说明</w:t>
      </w:r>
      <w:bookmarkEnd w:id="40"/>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，决算数与预算数持平的主要原因是</w:t>
      </w:r>
      <w:r>
        <w:rPr>
          <w:rFonts w:hint="eastAsia" w:ascii="仿宋" w:eastAsia="仿宋"/>
          <w:sz w:val="32"/>
          <w:szCs w:val="32"/>
          <w:lang w:val="en-US" w:eastAsia="zh-CN"/>
        </w:rPr>
        <w:t>我院无</w:t>
      </w:r>
      <w:r>
        <w:rPr>
          <w:rFonts w:hint="eastAsia" w:ascii="仿宋" w:eastAsia="仿宋"/>
          <w:sz w:val="32"/>
          <w:szCs w:val="32"/>
        </w:rPr>
        <w:t>“三公”经费财政拨款支出。</w:t>
      </w:r>
    </w:p>
    <w:p>
      <w:pPr>
        <w:spacing w:line="600" w:lineRule="exact"/>
        <w:ind w:firstLine="640"/>
        <w:outlineLvl w:val="2"/>
        <w:rPr>
          <w:rFonts w:ascii="仿宋" w:eastAsia="仿宋"/>
          <w:b/>
          <w:sz w:val="32"/>
          <w:szCs w:val="32"/>
        </w:rPr>
      </w:pPr>
      <w:bookmarkStart w:id="41" w:name="_Toc15377217"/>
      <w:r>
        <w:rPr>
          <w:rFonts w:hint="eastAsia" w:ascii="仿宋" w:eastAsia="仿宋"/>
          <w:b/>
          <w:sz w:val="32"/>
          <w:szCs w:val="32"/>
        </w:rPr>
        <w:t>（二）“三公”经费财政拨款支出决算具体情况说明</w:t>
      </w:r>
      <w:bookmarkEnd w:id="41"/>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相等</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公务用车购置及运行维护费支出决算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相等</w:t>
      </w:r>
      <w:r>
        <w:rPr>
          <w:rFonts w:hint="eastAsia" w:ascii="仿宋_GB2312" w:eastAsia="仿宋_GB2312"/>
          <w:sz w:val="32"/>
          <w:szCs w:val="32"/>
        </w:rPr>
        <w:t>。</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3</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lang w:val="en-US" w:eastAsia="zh-CN"/>
        </w:rPr>
        <w:t>特种专业技术车3</w:t>
      </w:r>
      <w:r>
        <w:rPr>
          <w:rFonts w:hint="eastAsia" w:ascii="仿宋_GB2312" w:eastAsia="仿宋_GB2312"/>
          <w:sz w:val="32"/>
          <w:szCs w:val="32"/>
        </w:rPr>
        <w:t>辆。</w:t>
      </w: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0"/>
        </w:numPr>
        <w:spacing w:line="600" w:lineRule="exact"/>
        <w:ind w:firstLine="643" w:firstLineChars="200"/>
        <w:rPr>
          <w:rFonts w:hint="eastAsia" w:ascii="仿宋_GB2312" w:eastAsia="仿宋_GB2312"/>
          <w:sz w:val="32"/>
          <w:szCs w:val="32"/>
        </w:rPr>
      </w:pPr>
      <w:r>
        <w:rPr>
          <w:rFonts w:hint="eastAsia" w:ascii="仿宋_GB2312" w:eastAsia="仿宋_GB2312"/>
          <w:b/>
          <w:sz w:val="32"/>
          <w:szCs w:val="32"/>
          <w:lang w:val="en-US" w:eastAsia="zh-CN"/>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公务接待费支出决算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相等</w:t>
      </w:r>
      <w:r>
        <w:rPr>
          <w:rFonts w:hint="eastAsia" w:ascii="仿宋_GB2312" w:eastAsia="仿宋_GB2312"/>
          <w:sz w:val="32"/>
          <w:szCs w:val="32"/>
        </w:rPr>
        <w:t>。</w:t>
      </w: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w:t>
      </w: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bookmarkStart w:id="42" w:name="_Toc15377218"/>
      <w:bookmarkStart w:id="43" w:name="_Toc15396610"/>
    </w:p>
    <w:p>
      <w:pPr>
        <w:spacing w:line="600" w:lineRule="exact"/>
        <w:ind w:firstLine="640"/>
        <w:outlineLvl w:val="1"/>
        <w:rPr>
          <w:rStyle w:val="19"/>
          <w:rFonts w:ascii="黑体" w:eastAsia="黑体"/>
        </w:rPr>
      </w:pPr>
      <w:r>
        <w:rPr>
          <w:rFonts w:hint="eastAsia" w:ascii="黑体" w:eastAsia="黑体"/>
          <w:sz w:val="32"/>
          <w:szCs w:val="32"/>
        </w:rPr>
        <w:t>八、</w:t>
      </w:r>
      <w:r>
        <w:rPr>
          <w:rStyle w:val="19"/>
          <w:rFonts w:hint="eastAsia" w:ascii="黑体" w:eastAsia="黑体"/>
          <w:b w:val="0"/>
        </w:rPr>
        <w:t>政府性基金预算支出决算情况说明</w:t>
      </w:r>
      <w:bookmarkEnd w:id="42"/>
      <w:bookmarkEnd w:id="43"/>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2"/>
        </w:numPr>
        <w:spacing w:line="600" w:lineRule="exact"/>
        <w:ind w:firstLine="640"/>
        <w:outlineLvl w:val="1"/>
        <w:rPr>
          <w:rStyle w:val="19"/>
          <w:rFonts w:ascii="黑体" w:eastAsia="黑体"/>
          <w:b w:val="0"/>
        </w:rPr>
      </w:pPr>
      <w:bookmarkStart w:id="44" w:name="_Toc15396611"/>
      <w:bookmarkStart w:id="45" w:name="_Toc15377219"/>
      <w:r>
        <w:rPr>
          <w:rStyle w:val="19"/>
          <w:rFonts w:hint="eastAsia" w:ascii="黑体" w:eastAsia="黑体"/>
          <w:b w:val="0"/>
        </w:rPr>
        <w:t>国有资本经营预算支出决算情况说明</w:t>
      </w:r>
      <w:bookmarkEnd w:id="44"/>
      <w:bookmarkEnd w:id="45"/>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2"/>
        </w:numPr>
        <w:spacing w:line="600" w:lineRule="exact"/>
        <w:ind w:firstLine="640"/>
        <w:outlineLvl w:val="1"/>
        <w:rPr>
          <w:rStyle w:val="19"/>
          <w:rFonts w:ascii="黑体" w:eastAsia="黑体"/>
          <w:b w:val="0"/>
        </w:rPr>
      </w:pPr>
      <w:bookmarkStart w:id="46" w:name="_Toc15396612"/>
      <w:bookmarkStart w:id="47" w:name="_Toc15377221"/>
      <w:r>
        <w:rPr>
          <w:rStyle w:val="19"/>
          <w:rFonts w:hint="eastAsia" w:ascii="黑体" w:eastAsia="黑体"/>
          <w:b w:val="0"/>
        </w:rPr>
        <w:t>其他重要事项的情况说明</w:t>
      </w:r>
      <w:bookmarkEnd w:id="46"/>
      <w:bookmarkEnd w:id="47"/>
    </w:p>
    <w:p>
      <w:pPr>
        <w:spacing w:line="600" w:lineRule="exact"/>
        <w:ind w:firstLine="643" w:firstLineChars="200"/>
        <w:outlineLvl w:val="2"/>
        <w:rPr>
          <w:rFonts w:ascii="仿宋" w:eastAsia="仿宋"/>
          <w:sz w:val="32"/>
          <w:szCs w:val="32"/>
        </w:rPr>
      </w:pPr>
      <w:bookmarkStart w:id="48" w:name="_Toc15377222"/>
      <w:r>
        <w:rPr>
          <w:rFonts w:hint="eastAsia" w:ascii="仿宋" w:eastAsia="仿宋"/>
          <w:b/>
          <w:sz w:val="32"/>
          <w:szCs w:val="32"/>
        </w:rPr>
        <w:t>（一）机关运行经费支出情况</w:t>
      </w:r>
      <w:bookmarkEnd w:id="48"/>
    </w:p>
    <w:p>
      <w:pPr>
        <w:spacing w:line="600" w:lineRule="exact"/>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21年机关运行经费支出</w:t>
      </w:r>
      <w:r>
        <w:rPr>
          <w:rFonts w:hint="eastAsia" w:ascii="仿宋_GB2312" w:eastAsia="仿宋_GB2312"/>
          <w:sz w:val="32"/>
          <w:szCs w:val="32"/>
          <w:lang w:val="en-US" w:eastAsia="zh-CN"/>
        </w:rPr>
        <w:t>0</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我院无</w:t>
      </w:r>
      <w:r>
        <w:rPr>
          <w:rFonts w:hint="eastAsia" w:ascii="仿宋_GB2312" w:eastAsia="仿宋_GB2312"/>
          <w:sz w:val="32"/>
          <w:szCs w:val="32"/>
        </w:rPr>
        <w:t>机关运行经费</w:t>
      </w:r>
      <w:r>
        <w:rPr>
          <w:rFonts w:hint="eastAsia" w:ascii="仿宋_GB2312" w:eastAsia="仿宋_GB2312"/>
          <w:sz w:val="32"/>
          <w:szCs w:val="32"/>
          <w:lang w:eastAsia="zh-CN"/>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49" w:name="_Toc15377223"/>
      <w:r>
        <w:rPr>
          <w:rFonts w:hint="eastAsia" w:ascii="仿宋" w:eastAsia="仿宋"/>
          <w:b/>
          <w:sz w:val="32"/>
          <w:szCs w:val="32"/>
        </w:rPr>
        <w:t>（二）政府采购支出情况</w:t>
      </w:r>
      <w:bookmarkEnd w:id="49"/>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hAnsi="仿宋_GB2312" w:eastAsia="仿宋_GB2312" w:cs="仿宋_GB2312"/>
          <w:kern w:val="0"/>
          <w:sz w:val="32"/>
          <w:szCs w:val="32"/>
          <w:shd w:val="clear" w:color="auto" w:fill="FFFFFF"/>
        </w:rPr>
        <w:t>红原县人民医院</w:t>
      </w:r>
      <w:r>
        <w:rPr>
          <w:rFonts w:hint="eastAsia" w:ascii="仿宋_GB2312" w:eastAsia="仿宋_GB2312"/>
          <w:sz w:val="32"/>
          <w:szCs w:val="32"/>
        </w:rPr>
        <w:t>政府采购支出总额</w:t>
      </w:r>
      <w:r>
        <w:rPr>
          <w:rFonts w:hint="eastAsia" w:ascii="仿宋_GB2312" w:eastAsia="仿宋_GB2312"/>
          <w:sz w:val="32"/>
          <w:szCs w:val="32"/>
          <w:lang w:val="en-US" w:eastAsia="zh-CN"/>
        </w:rPr>
        <w:t>39.65</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39.65</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hint="eastAsia" w:ascii="仿宋_GB2312" w:eastAsia="仿宋_GB2312"/>
          <w:sz w:val="32"/>
          <w:szCs w:val="32"/>
          <w:lang w:val="en-US" w:eastAsia="zh-CN"/>
        </w:rPr>
        <w:t>39.65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50" w:name="_Toc15377224"/>
      <w:r>
        <w:rPr>
          <w:rFonts w:hint="eastAsia" w:ascii="仿宋" w:eastAsia="仿宋"/>
          <w:b/>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w:t>
      </w:r>
      <w:r>
        <w:rPr>
          <w:rFonts w:hint="eastAsia" w:ascii="仿宋_GB2312" w:eastAsia="仿宋_GB2312"/>
          <w:sz w:val="32"/>
          <w:szCs w:val="32"/>
          <w:lang w:val="en-US" w:eastAsia="zh-CN"/>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3</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hint="eastAsia" w:ascii="仿宋_GB2312" w:eastAsia="仿宋_GB2312"/>
          <w:sz w:val="32"/>
          <w:szCs w:val="32"/>
          <w:lang w:val="en-US" w:eastAsia="zh-CN"/>
        </w:rPr>
        <w:t>医院医疗救治。</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2</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8</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根据预算绩效管理要求，本单位在2021年度预算编制阶段，组织对</w:t>
      </w:r>
      <w:r>
        <w:rPr>
          <w:rFonts w:hint="eastAsia" w:ascii="仿宋_GB2312" w:eastAsia="仿宋_GB2312" w:cs="仿宋_GB2312"/>
          <w:sz w:val="32"/>
          <w:szCs w:val="32"/>
          <w:lang w:eastAsia="zh-CN"/>
        </w:rPr>
        <w:t>取消药品加成</w:t>
      </w:r>
      <w:r>
        <w:rPr>
          <w:rFonts w:hint="eastAsia" w:ascii="仿宋_GB2312" w:eastAsia="仿宋_GB2312" w:cs="仿宋_GB2312"/>
          <w:sz w:val="32"/>
          <w:szCs w:val="32"/>
        </w:rPr>
        <w:t>项目等</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个项目开展了绩效自评，2021年特定目标类部门预算项目绩效目标自评表</w:t>
      </w:r>
      <w:r>
        <w:rPr>
          <w:rFonts w:hint="eastAsia" w:ascii="仿宋_GB2312" w:eastAsia="仿宋_GB2312" w:cs="仿宋_GB2312"/>
          <w:sz w:val="32"/>
          <w:szCs w:val="32"/>
          <w:lang w:val="en-US" w:eastAsia="zh-CN"/>
        </w:rPr>
        <w:t>无</w:t>
      </w:r>
      <w:r>
        <w:rPr>
          <w:rFonts w:hint="eastAsia" w:ascii="仿宋_GB2312" w:eastAsia="仿宋_GB2312" w:cs="仿宋_GB2312"/>
          <w:sz w:val="32"/>
          <w:szCs w:val="32"/>
        </w:rPr>
        <w:t>。</w:t>
      </w:r>
    </w:p>
    <w:p>
      <w:pPr>
        <w:pStyle w:val="7"/>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18"/>
          <w:rFonts w:ascii="黑体" w:eastAsia="黑体"/>
          <w:b w:val="0"/>
        </w:rPr>
      </w:pPr>
      <w:bookmarkStart w:id="51" w:name="_Toc15396613"/>
      <w:bookmarkStart w:id="52" w:name="_Toc15377225"/>
      <w:r>
        <w:rPr>
          <w:rFonts w:hint="eastAsia" w:ascii="黑体" w:eastAsia="黑体"/>
          <w:sz w:val="44"/>
          <w:szCs w:val="44"/>
        </w:rPr>
        <w:t>名</w:t>
      </w:r>
      <w:r>
        <w:rPr>
          <w:rStyle w:val="18"/>
          <w:rFonts w:hint="eastAsia" w:ascii="黑体" w:eastAsia="黑体"/>
          <w:b w:val="0"/>
        </w:rPr>
        <w:t>词解释</w:t>
      </w:r>
      <w:bookmarkEnd w:id="51"/>
      <w:bookmarkEnd w:id="52"/>
    </w:p>
    <w:p>
      <w:pPr>
        <w:spacing w:line="600" w:lineRule="exact"/>
        <w:jc w:val="left"/>
        <w:rPr>
          <w:rFonts w:ascii="宋体"/>
          <w:b/>
          <w:sz w:val="44"/>
          <w:szCs w:val="44"/>
        </w:rPr>
      </w:pP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spacing w:line="600" w:lineRule="exact"/>
        <w:ind w:firstLine="640"/>
        <w:rPr>
          <w:rFonts w:ascii="仿宋" w:eastAsia="仿宋"/>
          <w:b/>
          <w:sz w:val="32"/>
          <w:szCs w:val="32"/>
        </w:rPr>
      </w:pPr>
      <w:r>
        <w:rPr>
          <w:rFonts w:hint="eastAsia" w:ascii="仿宋" w:eastAsia="仿宋"/>
          <w:b/>
          <w:sz w:val="32"/>
          <w:szCs w:val="32"/>
        </w:rPr>
        <w:t>（解释本单位决算报表中涉及的全部功能分类科目至项级，不涉及的科目请自行删除。请参照《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21年政府收支分类科目》增减内容。）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pStyle w:val="23"/>
        <w:spacing w:line="560" w:lineRule="exact"/>
        <w:ind w:firstLine="640" w:firstLineChars="200"/>
        <w:rPr>
          <w:rFonts w:ascii="仿宋_GB2312" w:eastAsia="仿宋_GB2312" w:cs="黑体"/>
          <w:color w:val="auto"/>
          <w:sz w:val="32"/>
          <w:szCs w:val="32"/>
        </w:rPr>
      </w:pPr>
    </w:p>
    <w:p>
      <w:pPr>
        <w:ind w:firstLine="643" w:firstLineChars="200"/>
        <w:rPr>
          <w:rFonts w:ascii="仿宋" w:eastAsia="仿宋"/>
          <w:b/>
          <w:sz w:val="32"/>
          <w:szCs w:val="32"/>
        </w:rPr>
      </w:pPr>
      <w:r>
        <w:rPr>
          <w:rFonts w:hint="eastAsia" w:ascii="仿宋" w:eastAsia="仿宋"/>
          <w:b/>
          <w:sz w:val="32"/>
          <w:szCs w:val="32"/>
        </w:rPr>
        <w:t>（名词解释部分请根据各单位实际列支情况罗列，并根据本单位职责职能增减名词解释内容。）</w:t>
      </w:r>
    </w:p>
    <w:p>
      <w:pPr>
        <w:spacing w:line="600" w:lineRule="exact"/>
        <w:jc w:val="center"/>
        <w:outlineLvl w:val="0"/>
        <w:rPr>
          <w:rStyle w:val="18"/>
          <w:rFonts w:ascii="黑体" w:eastAsia="黑体"/>
          <w:b w:val="0"/>
        </w:rPr>
      </w:pPr>
      <w:bookmarkStart w:id="53" w:name="_Toc15377226"/>
      <w:r>
        <w:rPr>
          <w:rFonts w:ascii="宋体"/>
          <w:b/>
          <w:sz w:val="44"/>
          <w:szCs w:val="44"/>
        </w:rPr>
        <w:br w:type="page"/>
      </w:r>
      <w:bookmarkStart w:id="54" w:name="_Toc15396614"/>
      <w:r>
        <w:rPr>
          <w:rFonts w:hint="eastAsia" w:ascii="黑体" w:eastAsia="黑体"/>
          <w:sz w:val="44"/>
          <w:szCs w:val="44"/>
        </w:rPr>
        <w:t>第</w:t>
      </w:r>
      <w:r>
        <w:rPr>
          <w:rStyle w:val="18"/>
          <w:rFonts w:hint="eastAsia" w:ascii="黑体" w:eastAsia="黑体"/>
          <w:b w:val="0"/>
        </w:rPr>
        <w:t>四部分 附件</w:t>
      </w:r>
      <w:bookmarkEnd w:id="54"/>
    </w:p>
    <w:p>
      <w:pPr>
        <w:spacing w:line="572" w:lineRule="exact"/>
        <w:jc w:val="left"/>
        <w:outlineLvl w:val="0"/>
        <w:rPr>
          <w:rFonts w:ascii="仿宋_GB2312" w:eastAsia="仿宋_GB2312" w:cs="仿宋_GB2312"/>
          <w:sz w:val="32"/>
          <w:szCs w:val="32"/>
        </w:rPr>
      </w:pPr>
      <w:r>
        <w:rPr>
          <w:rFonts w:hint="eastAsia" w:ascii="黑体" w:eastAsia="黑体" w:cs="黑体"/>
          <w:sz w:val="32"/>
          <w:szCs w:val="32"/>
        </w:rPr>
        <w:t>附件</w:t>
      </w:r>
    </w:p>
    <w:tbl>
      <w:tblPr>
        <w:tblStyle w:val="14"/>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bookmarkStart w:id="55" w:name="_Toc15396618"/>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spacing w:line="600" w:lineRule="exact"/>
        <w:jc w:val="center"/>
        <w:outlineLvl w:val="0"/>
        <w:rPr>
          <w:rFonts w:ascii="黑体" w:eastAsia="黑体"/>
          <w:sz w:val="44"/>
          <w:szCs w:val="44"/>
        </w:rPr>
      </w:pPr>
    </w:p>
    <w:p>
      <w:pPr>
        <w:widowControl/>
        <w:adjustRightInd w:val="0"/>
        <w:snapToGrid w:val="0"/>
        <w:spacing w:line="580" w:lineRule="exact"/>
        <w:contextualSpacing/>
        <w:jc w:val="left"/>
      </w:pPr>
      <w:r>
        <w:rPr>
          <w:rFonts w:hint="eastAsia" w:ascii="仿宋_GB2312" w:eastAsia="仿宋_GB2312" w:cs="宋体"/>
          <w:color w:val="000000"/>
          <w:kern w:val="0"/>
          <w:sz w:val="32"/>
          <w:szCs w:val="32"/>
          <w:shd w:val="clear" w:color="auto" w:fill="FFFFFF"/>
        </w:rPr>
        <w:t>（注：有两个及以上100万元以上（含）特定目标类部门预算项目的，需分别开展绩效目标自评并填写附表）</w:t>
      </w:r>
    </w:p>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spacing w:line="600" w:lineRule="exact"/>
        <w:jc w:val="center"/>
        <w:outlineLvl w:val="0"/>
        <w:rPr>
          <w:rFonts w:ascii="仿宋" w:eastAsia="仿宋"/>
        </w:rPr>
      </w:pPr>
      <w:r>
        <w:rPr>
          <w:rFonts w:hint="eastAsia" w:ascii="黑体" w:eastAsia="黑体"/>
          <w:sz w:val="44"/>
          <w:szCs w:val="44"/>
        </w:rPr>
        <w:t>第</w:t>
      </w:r>
      <w:r>
        <w:rPr>
          <w:rStyle w:val="18"/>
          <w:rFonts w:hint="eastAsia" w:ascii="黑体" w:eastAsia="黑体"/>
          <w:b w:val="0"/>
        </w:rPr>
        <w:t>五部分 附表</w:t>
      </w:r>
      <w:bookmarkEnd w:id="53"/>
      <w:bookmarkEnd w:id="55"/>
      <w:bookmarkStart w:id="56" w:name="_Toc15396619"/>
    </w:p>
    <w:p>
      <w:pPr>
        <w:pStyle w:val="5"/>
        <w:rPr>
          <w:rFonts w:ascii="仿宋" w:eastAsia="仿宋"/>
        </w:rPr>
      </w:pPr>
      <w:r>
        <w:rPr>
          <w:rFonts w:hint="eastAsia" w:ascii="仿宋" w:eastAsia="仿宋"/>
          <w:b w:val="0"/>
        </w:rPr>
        <w:t>一、收</w:t>
      </w:r>
      <w:r>
        <w:rPr>
          <w:rStyle w:val="19"/>
          <w:rFonts w:hint="eastAsia" w:ascii="仿宋" w:eastAsia="仿宋"/>
          <w:b w:val="0"/>
          <w:bCs w:val="0"/>
        </w:rPr>
        <w:t>入支出决算总表</w:t>
      </w:r>
      <w:bookmarkEnd w:id="56"/>
    </w:p>
    <w:p>
      <w:pPr>
        <w:pStyle w:val="5"/>
        <w:rPr>
          <w:rFonts w:ascii="仿宋" w:eastAsia="仿宋"/>
        </w:rPr>
      </w:pPr>
      <w:bookmarkStart w:id="57" w:name="_Toc15396620"/>
      <w:r>
        <w:rPr>
          <w:rFonts w:hint="eastAsia" w:ascii="仿宋" w:eastAsia="仿宋"/>
          <w:b w:val="0"/>
        </w:rPr>
        <w:t>二、收</w:t>
      </w:r>
      <w:r>
        <w:rPr>
          <w:rStyle w:val="19"/>
          <w:rFonts w:hint="eastAsia" w:ascii="仿宋" w:eastAsia="仿宋"/>
          <w:b w:val="0"/>
          <w:bCs w:val="0"/>
        </w:rPr>
        <w:t>入决算表</w:t>
      </w:r>
      <w:bookmarkEnd w:id="57"/>
    </w:p>
    <w:p>
      <w:pPr>
        <w:pStyle w:val="5"/>
        <w:rPr>
          <w:rFonts w:ascii="仿宋" w:eastAsia="仿宋"/>
        </w:rPr>
      </w:pPr>
      <w:bookmarkStart w:id="58" w:name="_Toc15396621"/>
      <w:r>
        <w:rPr>
          <w:rStyle w:val="19"/>
          <w:rFonts w:hint="eastAsia" w:ascii="仿宋" w:eastAsia="仿宋"/>
          <w:b w:val="0"/>
          <w:bCs w:val="0"/>
        </w:rPr>
        <w:t>三、</w:t>
      </w:r>
      <w:r>
        <w:rPr>
          <w:rFonts w:hint="eastAsia" w:ascii="仿宋" w:eastAsia="仿宋"/>
          <w:b w:val="0"/>
        </w:rPr>
        <w:t>支</w:t>
      </w:r>
      <w:r>
        <w:rPr>
          <w:rStyle w:val="19"/>
          <w:rFonts w:hint="eastAsia" w:ascii="仿宋" w:eastAsia="仿宋"/>
          <w:b w:val="0"/>
          <w:bCs w:val="0"/>
        </w:rPr>
        <w:t>出决算表</w:t>
      </w:r>
      <w:bookmarkEnd w:id="58"/>
    </w:p>
    <w:p>
      <w:pPr>
        <w:pStyle w:val="5"/>
        <w:rPr>
          <w:rFonts w:ascii="仿宋" w:eastAsia="仿宋"/>
          <w:b w:val="0"/>
        </w:rPr>
      </w:pPr>
      <w:bookmarkStart w:id="59" w:name="_Toc15396622"/>
      <w:r>
        <w:rPr>
          <w:rStyle w:val="19"/>
          <w:rFonts w:hint="eastAsia" w:ascii="仿宋" w:eastAsia="仿宋"/>
          <w:b w:val="0"/>
          <w:bCs w:val="0"/>
        </w:rPr>
        <w:t>四、</w:t>
      </w:r>
      <w:r>
        <w:rPr>
          <w:rFonts w:hint="eastAsia" w:ascii="仿宋" w:eastAsia="仿宋"/>
          <w:b w:val="0"/>
        </w:rPr>
        <w:t>财</w:t>
      </w:r>
      <w:r>
        <w:rPr>
          <w:rStyle w:val="19"/>
          <w:rFonts w:hint="eastAsia" w:ascii="仿宋" w:eastAsia="仿宋"/>
          <w:b w:val="0"/>
          <w:bCs w:val="0"/>
        </w:rPr>
        <w:t>政拨款收入支出决算总表</w:t>
      </w:r>
      <w:bookmarkEnd w:id="59"/>
    </w:p>
    <w:p>
      <w:pPr>
        <w:pStyle w:val="5"/>
        <w:rPr>
          <w:rStyle w:val="19"/>
          <w:rFonts w:ascii="仿宋" w:eastAsia="仿宋"/>
          <w:b w:val="0"/>
          <w:bCs w:val="0"/>
        </w:rPr>
      </w:pPr>
      <w:bookmarkStart w:id="60" w:name="_Toc15396623"/>
      <w:r>
        <w:rPr>
          <w:rStyle w:val="19"/>
          <w:rFonts w:hint="eastAsia" w:ascii="仿宋" w:eastAsia="仿宋"/>
          <w:b w:val="0"/>
          <w:bCs w:val="0"/>
        </w:rPr>
        <w:t>五、</w:t>
      </w:r>
      <w:r>
        <w:rPr>
          <w:rFonts w:hint="eastAsia" w:ascii="仿宋" w:eastAsia="仿宋"/>
          <w:b w:val="0"/>
        </w:rPr>
        <w:t>财</w:t>
      </w:r>
      <w:r>
        <w:rPr>
          <w:rStyle w:val="19"/>
          <w:rFonts w:hint="eastAsia" w:ascii="仿宋" w:eastAsia="仿宋"/>
          <w:b w:val="0"/>
          <w:bCs w:val="0"/>
        </w:rPr>
        <w:t>政拨款支出决算明细表</w:t>
      </w:r>
      <w:bookmarkEnd w:id="60"/>
      <w:bookmarkStart w:id="61" w:name="_Toc15396624"/>
    </w:p>
    <w:p>
      <w:pPr>
        <w:pStyle w:val="5"/>
        <w:rPr>
          <w:rFonts w:ascii="仿宋" w:eastAsia="仿宋"/>
        </w:rPr>
      </w:pPr>
      <w:r>
        <w:rPr>
          <w:rStyle w:val="19"/>
          <w:rFonts w:hint="eastAsia" w:ascii="仿宋" w:eastAsia="仿宋"/>
          <w:b w:val="0"/>
          <w:bCs w:val="0"/>
        </w:rPr>
        <w:t>六、</w:t>
      </w:r>
      <w:r>
        <w:rPr>
          <w:rFonts w:hint="eastAsia" w:ascii="仿宋" w:eastAsia="仿宋"/>
          <w:b w:val="0"/>
        </w:rPr>
        <w:t>一</w:t>
      </w:r>
      <w:r>
        <w:rPr>
          <w:rStyle w:val="19"/>
          <w:rFonts w:hint="eastAsia" w:ascii="仿宋" w:eastAsia="仿宋"/>
          <w:b w:val="0"/>
          <w:bCs w:val="0"/>
        </w:rPr>
        <w:t>般公共预算财政拨款支出决算表</w:t>
      </w:r>
      <w:bookmarkEnd w:id="61"/>
    </w:p>
    <w:p>
      <w:pPr>
        <w:pStyle w:val="5"/>
        <w:rPr>
          <w:rFonts w:ascii="仿宋" w:eastAsia="仿宋"/>
        </w:rPr>
      </w:pPr>
      <w:bookmarkStart w:id="62" w:name="_Toc15396625"/>
      <w:r>
        <w:rPr>
          <w:rStyle w:val="19"/>
          <w:rFonts w:hint="eastAsia" w:ascii="仿宋" w:eastAsia="仿宋"/>
          <w:b w:val="0"/>
          <w:bCs w:val="0"/>
        </w:rPr>
        <w:t>七、</w:t>
      </w:r>
      <w:r>
        <w:rPr>
          <w:rFonts w:hint="eastAsia" w:ascii="仿宋" w:eastAsia="仿宋"/>
          <w:b w:val="0"/>
        </w:rPr>
        <w:t>一</w:t>
      </w:r>
      <w:r>
        <w:rPr>
          <w:rStyle w:val="19"/>
          <w:rFonts w:hint="eastAsia" w:ascii="仿宋" w:eastAsia="仿宋"/>
          <w:b w:val="0"/>
          <w:bCs w:val="0"/>
        </w:rPr>
        <w:t>般公共预算财政拨款支出决算明细表</w:t>
      </w:r>
      <w:bookmarkEnd w:id="62"/>
    </w:p>
    <w:p>
      <w:pPr>
        <w:pStyle w:val="5"/>
        <w:rPr>
          <w:rFonts w:ascii="仿宋" w:eastAsia="仿宋"/>
        </w:rPr>
      </w:pPr>
      <w:bookmarkStart w:id="63" w:name="_Toc15396626"/>
      <w:r>
        <w:rPr>
          <w:rStyle w:val="19"/>
          <w:rFonts w:hint="eastAsia" w:ascii="仿宋" w:eastAsia="仿宋"/>
          <w:b w:val="0"/>
          <w:bCs w:val="0"/>
        </w:rPr>
        <w:t>八、</w:t>
      </w:r>
      <w:r>
        <w:rPr>
          <w:rFonts w:hint="eastAsia" w:ascii="仿宋" w:eastAsia="仿宋"/>
          <w:b w:val="0"/>
        </w:rPr>
        <w:t>一</w:t>
      </w:r>
      <w:r>
        <w:rPr>
          <w:rStyle w:val="19"/>
          <w:rFonts w:hint="eastAsia" w:ascii="仿宋" w:eastAsia="仿宋"/>
          <w:b w:val="0"/>
          <w:bCs w:val="0"/>
        </w:rPr>
        <w:t>般公共预算财政拨款基本支出决算表</w:t>
      </w:r>
      <w:bookmarkEnd w:id="63"/>
    </w:p>
    <w:p>
      <w:pPr>
        <w:pStyle w:val="5"/>
        <w:rPr>
          <w:rFonts w:ascii="仿宋" w:eastAsia="仿宋"/>
        </w:rPr>
      </w:pPr>
      <w:bookmarkStart w:id="64" w:name="_Toc15396627"/>
      <w:r>
        <w:rPr>
          <w:rStyle w:val="19"/>
          <w:rFonts w:hint="eastAsia" w:ascii="仿宋" w:eastAsia="仿宋"/>
          <w:b w:val="0"/>
          <w:bCs w:val="0"/>
        </w:rPr>
        <w:t>九、</w:t>
      </w:r>
      <w:r>
        <w:rPr>
          <w:rFonts w:hint="eastAsia" w:ascii="仿宋" w:eastAsia="仿宋"/>
          <w:b w:val="0"/>
        </w:rPr>
        <w:t>一</w:t>
      </w:r>
      <w:r>
        <w:rPr>
          <w:rStyle w:val="19"/>
          <w:rFonts w:hint="eastAsia" w:ascii="仿宋" w:eastAsia="仿宋"/>
          <w:b w:val="0"/>
          <w:bCs w:val="0"/>
        </w:rPr>
        <w:t>般公共预算财政拨款项目支出决算表</w:t>
      </w:r>
      <w:bookmarkEnd w:id="64"/>
    </w:p>
    <w:p>
      <w:pPr>
        <w:pStyle w:val="5"/>
        <w:rPr>
          <w:rFonts w:ascii="仿宋" w:eastAsia="仿宋"/>
        </w:rPr>
      </w:pPr>
      <w:bookmarkStart w:id="65" w:name="_Toc15396628"/>
      <w:r>
        <w:rPr>
          <w:rStyle w:val="19"/>
          <w:rFonts w:hint="eastAsia" w:ascii="仿宋" w:eastAsia="仿宋"/>
          <w:b w:val="0"/>
          <w:bCs w:val="0"/>
        </w:rPr>
        <w:t>十、</w:t>
      </w:r>
      <w:r>
        <w:rPr>
          <w:rFonts w:hint="eastAsia" w:ascii="仿宋" w:eastAsia="仿宋"/>
          <w:b w:val="0"/>
        </w:rPr>
        <w:t>一</w:t>
      </w:r>
      <w:r>
        <w:rPr>
          <w:rStyle w:val="19"/>
          <w:rFonts w:hint="eastAsia" w:ascii="仿宋" w:eastAsia="仿宋"/>
          <w:b w:val="0"/>
          <w:bCs w:val="0"/>
        </w:rPr>
        <w:t>般公共预算财政拨款“三公”经费支出决算表</w:t>
      </w:r>
      <w:bookmarkEnd w:id="65"/>
    </w:p>
    <w:p>
      <w:pPr>
        <w:pStyle w:val="5"/>
        <w:rPr>
          <w:rFonts w:ascii="仿宋" w:eastAsia="仿宋"/>
        </w:rPr>
      </w:pPr>
      <w:bookmarkStart w:id="66" w:name="_Toc15396629"/>
      <w:r>
        <w:rPr>
          <w:rStyle w:val="19"/>
          <w:rFonts w:hint="eastAsia" w:ascii="仿宋" w:eastAsia="仿宋"/>
          <w:b w:val="0"/>
          <w:bCs w:val="0"/>
        </w:rPr>
        <w:t>十一、</w:t>
      </w:r>
      <w:r>
        <w:rPr>
          <w:rFonts w:hint="eastAsia" w:ascii="仿宋" w:eastAsia="仿宋"/>
          <w:b w:val="0"/>
        </w:rPr>
        <w:t>政</w:t>
      </w:r>
      <w:r>
        <w:rPr>
          <w:rStyle w:val="19"/>
          <w:rFonts w:hint="eastAsia" w:ascii="仿宋" w:eastAsia="仿宋"/>
          <w:b w:val="0"/>
          <w:bCs w:val="0"/>
        </w:rPr>
        <w:t>府性基金预算财政拨款收入支出决算表</w:t>
      </w:r>
      <w:bookmarkEnd w:id="66"/>
    </w:p>
    <w:p>
      <w:pPr>
        <w:pStyle w:val="5"/>
        <w:rPr>
          <w:rFonts w:ascii="仿宋" w:eastAsia="仿宋"/>
        </w:rPr>
      </w:pPr>
      <w:bookmarkStart w:id="67" w:name="_Toc15396630"/>
      <w:r>
        <w:rPr>
          <w:rStyle w:val="19"/>
          <w:rFonts w:hint="eastAsia" w:ascii="仿宋" w:eastAsia="仿宋"/>
          <w:b w:val="0"/>
          <w:bCs w:val="0"/>
        </w:rPr>
        <w:t>十二、</w:t>
      </w:r>
      <w:r>
        <w:rPr>
          <w:rFonts w:hint="eastAsia" w:ascii="仿宋" w:eastAsia="仿宋"/>
          <w:b w:val="0"/>
        </w:rPr>
        <w:t>政</w:t>
      </w:r>
      <w:r>
        <w:rPr>
          <w:rStyle w:val="19"/>
          <w:rFonts w:hint="eastAsia" w:ascii="仿宋" w:eastAsia="仿宋"/>
          <w:b w:val="0"/>
          <w:bCs w:val="0"/>
        </w:rPr>
        <w:t>府性基金预算财政拨款“三公”经费支出决算表</w:t>
      </w:r>
      <w:bookmarkEnd w:id="67"/>
    </w:p>
    <w:p>
      <w:pPr>
        <w:pStyle w:val="5"/>
        <w:rPr>
          <w:rStyle w:val="19"/>
          <w:rFonts w:ascii="仿宋" w:eastAsia="仿宋"/>
          <w:b w:val="0"/>
          <w:bCs w:val="0"/>
        </w:rPr>
      </w:pPr>
      <w:bookmarkStart w:id="68" w:name="_Toc15396631"/>
      <w:r>
        <w:rPr>
          <w:rStyle w:val="19"/>
          <w:rFonts w:hint="eastAsia" w:ascii="仿宋" w:eastAsia="仿宋"/>
          <w:b w:val="0"/>
          <w:bCs w:val="0"/>
        </w:rPr>
        <w:t>十三、</w:t>
      </w:r>
      <w:r>
        <w:rPr>
          <w:rFonts w:hint="eastAsia" w:ascii="仿宋" w:eastAsia="仿宋"/>
          <w:b w:val="0"/>
        </w:rPr>
        <w:t>国</w:t>
      </w:r>
      <w:r>
        <w:rPr>
          <w:rStyle w:val="19"/>
          <w:rFonts w:hint="eastAsia" w:ascii="仿宋" w:eastAsia="仿宋"/>
          <w:b w:val="0"/>
          <w:bCs w:val="0"/>
        </w:rPr>
        <w:t>有资本经营预算财政拨款收入支出决算表</w:t>
      </w:r>
      <w:bookmarkEnd w:id="68"/>
    </w:p>
    <w:p>
      <w:pPr>
        <w:rPr>
          <w:rFonts w:eastAsia="仿宋"/>
        </w:rPr>
      </w:pPr>
      <w:r>
        <w:rPr>
          <w:rStyle w:val="19"/>
          <w:rFonts w:hint="eastAsia" w:ascii="仿宋" w:eastAsia="仿宋"/>
          <w:b w:val="0"/>
          <w:bCs w:val="0"/>
        </w:rPr>
        <w:t>十四、国有资本经营预算财政拨款支出决算表</w:t>
      </w:r>
    </w:p>
    <w:sectPr>
      <w:footerReference r:id="rId7" w:type="firs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11887915"/>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sdt>
                    <w:sdtPr>
                      <w:id w:val="-611887915"/>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WExZGUxMzYwMjFkZjVhNThjZTAxOTFmZGZiNGRjODIifQ=="/>
  </w:docVars>
  <w:rsids>
    <w:rsidRoot w:val="008C6A67"/>
    <w:rsid w:val="00190606"/>
    <w:rsid w:val="004F482C"/>
    <w:rsid w:val="008C6A67"/>
    <w:rsid w:val="01837B27"/>
    <w:rsid w:val="02F474A0"/>
    <w:rsid w:val="04640482"/>
    <w:rsid w:val="07642C1E"/>
    <w:rsid w:val="09A757A5"/>
    <w:rsid w:val="0BB23E19"/>
    <w:rsid w:val="133E4C1F"/>
    <w:rsid w:val="13B64C70"/>
    <w:rsid w:val="141212D2"/>
    <w:rsid w:val="181F6915"/>
    <w:rsid w:val="1A623B0D"/>
    <w:rsid w:val="1F415D71"/>
    <w:rsid w:val="1F867B54"/>
    <w:rsid w:val="21C423DC"/>
    <w:rsid w:val="29162311"/>
    <w:rsid w:val="29170EB2"/>
    <w:rsid w:val="2E5845FC"/>
    <w:rsid w:val="2EF508C3"/>
    <w:rsid w:val="303D1BD7"/>
    <w:rsid w:val="36814A24"/>
    <w:rsid w:val="386C5BAC"/>
    <w:rsid w:val="390C2146"/>
    <w:rsid w:val="39894A2E"/>
    <w:rsid w:val="3C382211"/>
    <w:rsid w:val="3C5B5562"/>
    <w:rsid w:val="3CE33F43"/>
    <w:rsid w:val="3DDE1C46"/>
    <w:rsid w:val="3EEB27FE"/>
    <w:rsid w:val="3F095E8F"/>
    <w:rsid w:val="40C71F4C"/>
    <w:rsid w:val="41823260"/>
    <w:rsid w:val="4625224C"/>
    <w:rsid w:val="47723ABC"/>
    <w:rsid w:val="486275B7"/>
    <w:rsid w:val="48800083"/>
    <w:rsid w:val="4AAF22A8"/>
    <w:rsid w:val="4AF929AE"/>
    <w:rsid w:val="4EBF69BD"/>
    <w:rsid w:val="4FBA4253"/>
    <w:rsid w:val="5088576D"/>
    <w:rsid w:val="51EC30C9"/>
    <w:rsid w:val="520A56A8"/>
    <w:rsid w:val="52135DFE"/>
    <w:rsid w:val="560D0856"/>
    <w:rsid w:val="574A366F"/>
    <w:rsid w:val="581A7F84"/>
    <w:rsid w:val="59CB2660"/>
    <w:rsid w:val="5AEA7ACA"/>
    <w:rsid w:val="5B5A4801"/>
    <w:rsid w:val="5CFF4C0D"/>
    <w:rsid w:val="60F6689E"/>
    <w:rsid w:val="611D0AE5"/>
    <w:rsid w:val="61F2764D"/>
    <w:rsid w:val="64EB6A8D"/>
    <w:rsid w:val="657D13E8"/>
    <w:rsid w:val="67B21A22"/>
    <w:rsid w:val="6E4964A3"/>
    <w:rsid w:val="6E730F69"/>
    <w:rsid w:val="7064228D"/>
    <w:rsid w:val="77FB2D90"/>
    <w:rsid w:val="7A3905A1"/>
    <w:rsid w:val="7EB42631"/>
    <w:rsid w:val="7EEA6A1B"/>
    <w:rsid w:val="7EFB0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9"/>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spacing w:before="0" w:beforeAutospacing="0" w:after="120" w:afterAutospacing="0"/>
      <w:ind w:left="420" w:leftChars="200" w:right="0" w:firstLine="420" w:firstLineChars="200"/>
      <w:jc w:val="left"/>
    </w:pPr>
    <w:rPr>
      <w:rFonts w:hint="eastAsia" w:ascii="宋体" w:hAnsi="宋体" w:eastAsia="宋体" w:cs="宋体"/>
      <w:kern w:val="0"/>
      <w:sz w:val="24"/>
      <w:szCs w:val="24"/>
      <w:lang w:val="en-US" w:eastAsia="zh-CN" w:bidi="ar"/>
    </w:rPr>
  </w:style>
  <w:style w:type="paragraph" w:styleId="3">
    <w:name w:val="Body Text Indent"/>
    <w:basedOn w:val="1"/>
    <w:next w:val="2"/>
    <w:qFormat/>
    <w:uiPriority w:val="99"/>
    <w:pPr>
      <w:spacing w:before="0" w:beforeAutospacing="0" w:after="120" w:afterAutospacing="0"/>
      <w:ind w:left="420" w:leftChars="200" w:right="0"/>
      <w:jc w:val="left"/>
    </w:pPr>
    <w:rPr>
      <w:rFonts w:hint="eastAsia" w:ascii="宋体" w:hAnsi="宋体" w:eastAsia="宋体" w:cs="宋体"/>
      <w:kern w:val="0"/>
      <w:sz w:val="24"/>
      <w:szCs w:val="24"/>
      <w:lang w:val="en-US" w:eastAsia="zh-CN" w:bidi="ar"/>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字符"/>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字符"/>
    <w:basedOn w:val="15"/>
    <w:link w:val="5"/>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28">
    <w:name w:val="21"/>
    <w:basedOn w:val="1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1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1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1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1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1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收、支决算变动情况图</a:t>
            </a:r>
          </a:p>
        </c:rich>
      </c:tx>
      <c:layout>
        <c:manualLayout>
          <c:xMode val="edge"/>
          <c:yMode val="edge"/>
          <c:x val="0.422777777777778"/>
          <c:y val="0.00694444444444444"/>
        </c:manualLayout>
      </c:layout>
      <c:overlay val="0"/>
      <c:spPr>
        <a:noFill/>
        <a:ln>
          <a:noFill/>
        </a:ln>
        <a:effectLst/>
      </c:spPr>
    </c:title>
    <c:autoTitleDeleted val="0"/>
    <c:plotArea>
      <c:layout/>
      <c:barChart>
        <c:barDir val="col"/>
        <c:grouping val="clustered"/>
        <c:varyColors val="0"/>
        <c:ser>
          <c:idx val="0"/>
          <c:order val="0"/>
          <c:tx>
            <c:strRef>
              <c:f>[11.xlsx]Sheet1!$B$11</c:f>
              <c:strCache>
                <c:ptCount val="1"/>
                <c:pt idx="0">
                  <c:v>2020年</c:v>
                </c:pt>
              </c:strCache>
            </c:strRef>
          </c:tx>
          <c:spPr>
            <a:solidFill>
              <a:schemeClr val="accent1"/>
            </a:solidFill>
            <a:ln>
              <a:noFill/>
            </a:ln>
            <a:effectLst/>
          </c:spPr>
          <c:invertIfNegative val="0"/>
          <c:dLbls>
            <c:delete val="1"/>
          </c:dLbls>
          <c:cat>
            <c:strRef>
              <c:f>[11.xlsx]Sheet1!$C$10:$D$10</c:f>
              <c:strCache>
                <c:ptCount val="2"/>
                <c:pt idx="0">
                  <c:v>收入</c:v>
                </c:pt>
                <c:pt idx="1">
                  <c:v>支出</c:v>
                </c:pt>
              </c:strCache>
            </c:strRef>
          </c:cat>
          <c:val>
            <c:numRef>
              <c:f>[11.xlsx]Sheet1!$C$11:$D$11</c:f>
              <c:numCache>
                <c:formatCode>#,##0.00</c:formatCode>
                <c:ptCount val="2"/>
                <c:pt idx="0">
                  <c:v>6810.66</c:v>
                </c:pt>
                <c:pt idx="1" c:formatCode="General">
                  <c:v>5884.95</c:v>
                </c:pt>
              </c:numCache>
            </c:numRef>
          </c:val>
        </c:ser>
        <c:ser>
          <c:idx val="1"/>
          <c:order val="1"/>
          <c:tx>
            <c:strRef>
              <c:f>[11.xlsx]Sheet1!$B$12</c:f>
              <c:strCache>
                <c:ptCount val="1"/>
                <c:pt idx="0">
                  <c:v>2021年</c:v>
                </c:pt>
              </c:strCache>
            </c:strRef>
          </c:tx>
          <c:spPr>
            <a:solidFill>
              <a:schemeClr val="accent2"/>
            </a:solidFill>
            <a:ln>
              <a:noFill/>
            </a:ln>
            <a:effectLst/>
          </c:spPr>
          <c:invertIfNegative val="0"/>
          <c:dLbls>
            <c:delete val="1"/>
          </c:dLbls>
          <c:cat>
            <c:strRef>
              <c:f>[11.xlsx]Sheet1!$C$10:$D$10</c:f>
              <c:strCache>
                <c:ptCount val="2"/>
                <c:pt idx="0">
                  <c:v>收入</c:v>
                </c:pt>
                <c:pt idx="1">
                  <c:v>支出</c:v>
                </c:pt>
              </c:strCache>
            </c:strRef>
          </c:cat>
          <c:val>
            <c:numRef>
              <c:f>[11.xlsx]Sheet1!$C$12:$D$12</c:f>
              <c:numCache>
                <c:formatCode>General</c:formatCode>
                <c:ptCount val="2"/>
                <c:pt idx="0">
                  <c:v>5453.9</c:v>
                </c:pt>
                <c:pt idx="1">
                  <c:v>5601.23</c:v>
                </c:pt>
              </c:numCache>
            </c:numRef>
          </c:val>
        </c:ser>
        <c:dLbls>
          <c:showLegendKey val="0"/>
          <c:showVal val="0"/>
          <c:showCatName val="0"/>
          <c:showSerName val="0"/>
          <c:showPercent val="0"/>
          <c:showBubbleSize val="0"/>
        </c:dLbls>
        <c:gapWidth val="219"/>
        <c:overlap val="-27"/>
        <c:axId val="611221979"/>
        <c:axId val="544544849"/>
      </c:barChart>
      <c:catAx>
        <c:axId val="6112219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4544849"/>
        <c:crosses val="autoZero"/>
        <c:auto val="1"/>
        <c:lblAlgn val="ctr"/>
        <c:lblOffset val="100"/>
        <c:noMultiLvlLbl val="0"/>
      </c:catAx>
      <c:valAx>
        <c:axId val="54454484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12219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414444444444444"/>
          <c:y val="0.024305555555555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[11.xlsx]Sheet1!$B$24:$B$26</c:f>
              <c:strCache>
                <c:ptCount val="3"/>
                <c:pt idx="0">
                  <c:v>一般公共预算财政拨款收入</c:v>
                </c:pt>
                <c:pt idx="1">
                  <c:v>事业收入</c:v>
                </c:pt>
                <c:pt idx="2">
                  <c:v>其他收入</c:v>
                </c:pt>
              </c:strCache>
            </c:strRef>
          </c:cat>
          <c:val>
            <c:numRef>
              <c:f>[11.xlsx]Sheet1!$C$24:$C$26</c:f>
              <c:numCache>
                <c:formatCode>0.00%</c:formatCode>
                <c:ptCount val="3"/>
                <c:pt idx="0">
                  <c:v>0.538</c:v>
                </c:pt>
                <c:pt idx="1">
                  <c:v>0.404</c:v>
                </c:pt>
                <c:pt idx="2">
                  <c:v>0.058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[11.xlsx]Sheet1!$B$41:$B$42</c:f>
              <c:strCache>
                <c:ptCount val="2"/>
                <c:pt idx="0">
                  <c:v>基本支出</c:v>
                </c:pt>
                <c:pt idx="1">
                  <c:v>项目支出</c:v>
                </c:pt>
              </c:strCache>
            </c:strRef>
          </c:cat>
          <c:val>
            <c:numRef>
              <c:f>[11.xlsx]Sheet1!$C$41:$C$42</c:f>
              <c:numCache>
                <c:formatCode>0.00%</c:formatCode>
                <c:ptCount val="2"/>
                <c:pt idx="0">
                  <c:v>0.524</c:v>
                </c:pt>
                <c:pt idx="1">
                  <c:v>0.176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财政拨款收、支决算变动情况图</a:t>
            </a:r>
          </a:p>
        </c:rich>
      </c:tx>
      <c:layout>
        <c:manualLayout>
          <c:xMode val="edge"/>
          <c:yMode val="edge"/>
          <c:x val="0.20125"/>
          <c:y val="0.0249895876718034"/>
        </c:manualLayout>
      </c:layout>
      <c:overlay val="0"/>
      <c:spPr>
        <a:noFill/>
        <a:ln>
          <a:noFill/>
        </a:ln>
        <a:effectLst/>
      </c:spPr>
    </c:title>
    <c:autoTitleDeleted val="0"/>
    <c:plotArea>
      <c:layout/>
      <c:barChart>
        <c:barDir val="col"/>
        <c:grouping val="clustered"/>
        <c:varyColors val="0"/>
        <c:ser>
          <c:idx val="0"/>
          <c:order val="0"/>
          <c:tx>
            <c:strRef>
              <c:f>[11.xlsx]Sheet1!$B$51</c:f>
              <c:strCache>
                <c:ptCount val="1"/>
                <c:pt idx="0">
                  <c:v>财政拨款收入</c:v>
                </c:pt>
              </c:strCache>
            </c:strRef>
          </c:tx>
          <c:spPr>
            <a:solidFill>
              <a:schemeClr val="accent1"/>
            </a:solidFill>
            <a:ln>
              <a:noFill/>
            </a:ln>
            <a:effectLst/>
          </c:spPr>
          <c:invertIfNegative val="0"/>
          <c:dLbls>
            <c:delete val="1"/>
          </c:dLbls>
          <c:cat>
            <c:strRef>
              <c:f>[11.xlsx]Sheet1!$C$50:$D$50</c:f>
              <c:strCache>
                <c:ptCount val="2"/>
                <c:pt idx="0">
                  <c:v>2020年</c:v>
                </c:pt>
                <c:pt idx="1">
                  <c:v>2021年</c:v>
                </c:pt>
              </c:strCache>
            </c:strRef>
          </c:cat>
          <c:val>
            <c:numRef>
              <c:f>[11.xlsx]Sheet1!$C$51:$D$51</c:f>
              <c:numCache>
                <c:formatCode>General</c:formatCode>
                <c:ptCount val="2"/>
                <c:pt idx="0">
                  <c:v>4647.02</c:v>
                </c:pt>
                <c:pt idx="1">
                  <c:v>2933.73</c:v>
                </c:pt>
              </c:numCache>
            </c:numRef>
          </c:val>
        </c:ser>
        <c:ser>
          <c:idx val="1"/>
          <c:order val="1"/>
          <c:tx>
            <c:strRef>
              <c:f>[11.xlsx]Sheet1!$B$52</c:f>
              <c:strCache>
                <c:ptCount val="1"/>
                <c:pt idx="0">
                  <c:v>财政拨款支出</c:v>
                </c:pt>
              </c:strCache>
            </c:strRef>
          </c:tx>
          <c:spPr>
            <a:solidFill>
              <a:schemeClr val="accent2"/>
            </a:solidFill>
            <a:ln>
              <a:noFill/>
            </a:ln>
            <a:effectLst/>
          </c:spPr>
          <c:invertIfNegative val="0"/>
          <c:dLbls>
            <c:delete val="1"/>
          </c:dLbls>
          <c:cat>
            <c:strRef>
              <c:f>[11.xlsx]Sheet1!$C$50:$D$50</c:f>
              <c:strCache>
                <c:ptCount val="2"/>
                <c:pt idx="0">
                  <c:v>2020年</c:v>
                </c:pt>
                <c:pt idx="1">
                  <c:v>2021年</c:v>
                </c:pt>
              </c:strCache>
            </c:strRef>
          </c:cat>
          <c:val>
            <c:numRef>
              <c:f>[11.xlsx]Sheet1!$C$52:$D$52</c:f>
              <c:numCache>
                <c:formatCode>General</c:formatCode>
                <c:ptCount val="2"/>
                <c:pt idx="0">
                  <c:v>3845.76</c:v>
                </c:pt>
                <c:pt idx="1">
                  <c:v>3317.26</c:v>
                </c:pt>
              </c:numCache>
            </c:numRef>
          </c:val>
        </c:ser>
        <c:dLbls>
          <c:showLegendKey val="0"/>
          <c:showVal val="0"/>
          <c:showCatName val="0"/>
          <c:showSerName val="0"/>
          <c:showPercent val="0"/>
          <c:showBubbleSize val="0"/>
        </c:dLbls>
        <c:gapWidth val="219"/>
        <c:overlap val="-27"/>
        <c:axId val="612337456"/>
        <c:axId val="380784670"/>
      </c:barChart>
      <c:catAx>
        <c:axId val="6123374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0784670"/>
        <c:crosses val="autoZero"/>
        <c:auto val="1"/>
        <c:lblAlgn val="ctr"/>
        <c:lblOffset val="100"/>
        <c:noMultiLvlLbl val="0"/>
      </c:catAx>
      <c:valAx>
        <c:axId val="3807846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23374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endParaRPr lang="en-US" altLang="zh-CN"/>
          </a:p>
        </c:rich>
      </c:tx>
      <c:layout/>
      <c:overlay val="0"/>
      <c:spPr>
        <a:noFill/>
        <a:ln>
          <a:noFill/>
        </a:ln>
        <a:effectLst/>
      </c:spPr>
    </c:title>
    <c:autoTitleDeleted val="0"/>
    <c:plotArea>
      <c:layout/>
      <c:barChart>
        <c:barDir val="col"/>
        <c:grouping val="clustered"/>
        <c:varyColors val="0"/>
        <c:ser>
          <c:idx val="0"/>
          <c:order val="0"/>
          <c:tx>
            <c:strRef>
              <c:f>[11.xlsx]Sheet1!$B$64</c:f>
              <c:strCache>
                <c:ptCount val="1"/>
                <c:pt idx="0">
                  <c:v>一般公共预算财政拨款支出</c:v>
                </c:pt>
              </c:strCache>
            </c:strRef>
          </c:tx>
          <c:spPr>
            <a:solidFill>
              <a:schemeClr val="accent1"/>
            </a:solidFill>
            <a:ln>
              <a:noFill/>
            </a:ln>
            <a:effectLst/>
          </c:spPr>
          <c:invertIfNegative val="0"/>
          <c:dLbls>
            <c:delete val="1"/>
          </c:dLbls>
          <c:cat>
            <c:strRef>
              <c:f>[11.xlsx]Sheet1!$C$63:$D$63</c:f>
              <c:strCache>
                <c:ptCount val="2"/>
                <c:pt idx="0">
                  <c:v>2020年</c:v>
                </c:pt>
                <c:pt idx="1">
                  <c:v>2021年</c:v>
                </c:pt>
              </c:strCache>
            </c:strRef>
          </c:cat>
          <c:val>
            <c:numRef>
              <c:f>[11.xlsx]Sheet1!$C$64:$D$64</c:f>
              <c:numCache>
                <c:formatCode>#,##0.00</c:formatCode>
                <c:ptCount val="2"/>
                <c:pt idx="0">
                  <c:v>3282.76</c:v>
                </c:pt>
                <c:pt idx="1" c:formatCode="General">
                  <c:v>3317.26</c:v>
                </c:pt>
              </c:numCache>
            </c:numRef>
          </c:val>
        </c:ser>
        <c:dLbls>
          <c:showLegendKey val="0"/>
          <c:showVal val="0"/>
          <c:showCatName val="0"/>
          <c:showSerName val="0"/>
          <c:showPercent val="0"/>
          <c:showBubbleSize val="0"/>
        </c:dLbls>
        <c:gapWidth val="219"/>
        <c:overlap val="-27"/>
        <c:axId val="213324646"/>
        <c:axId val="961821217"/>
      </c:barChart>
      <c:catAx>
        <c:axId val="2133246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1821217"/>
        <c:crosses val="autoZero"/>
        <c:auto val="1"/>
        <c:lblAlgn val="ctr"/>
        <c:lblOffset val="100"/>
        <c:noMultiLvlLbl val="0"/>
      </c:catAx>
      <c:valAx>
        <c:axId val="96182121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332464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[11.xlsx]Sheet1!$C$82</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[11.xlsx]Sheet1!$B$83:$B$85</c:f>
              <c:strCache>
                <c:ptCount val="3"/>
                <c:pt idx="0">
                  <c:v>社会保障和就业</c:v>
                </c:pt>
                <c:pt idx="1">
                  <c:v>卫生健康支出</c:v>
                </c:pt>
                <c:pt idx="2">
                  <c:v>住房保障</c:v>
                </c:pt>
              </c:strCache>
            </c:strRef>
          </c:cat>
          <c:val>
            <c:numRef>
              <c:f>[11.xlsx]Sheet1!$C$83:$C$85</c:f>
              <c:numCache>
                <c:formatCode>General</c:formatCode>
                <c:ptCount val="3"/>
                <c:pt idx="0">
                  <c:v>283.39</c:v>
                </c:pt>
                <c:pt idx="1">
                  <c:v>2856.95</c:v>
                </c:pt>
                <c:pt idx="2">
                  <c:v>176.92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5431</Words>
  <Characters>6513</Characters>
  <Lines>44</Lines>
  <Paragraphs>12</Paragraphs>
  <TotalTime>5</TotalTime>
  <ScaleCrop>false</ScaleCrop>
  <LinksUpToDate>false</LinksUpToDate>
  <CharactersWithSpaces>6541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安</cp:lastModifiedBy>
  <cp:lastPrinted>2022-08-06T02:23:00Z</cp:lastPrinted>
  <dcterms:modified xsi:type="dcterms:W3CDTF">2023-10-25T01:51:41Z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478F881BBB8A4E85A4E84AD5509135E9_13</vt:lpwstr>
  </property>
</Properties>
</file>