
<file path=[Content_Types].xml><?xml version="1.0" encoding="utf-8"?>
<Types xmlns="http://schemas.openxmlformats.org/package/2006/content-types">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bookmarkStart w:id="0" w:name="_Toc15306267"/>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adjustRightInd w:val="0"/>
        <w:snapToGrid w:val="0"/>
        <w:spacing w:line="360" w:lineRule="auto"/>
        <w:jc w:val="center"/>
        <w:outlineLvl w:val="0"/>
        <w:rPr>
          <w:rFonts w:ascii="方正小标宋简体" w:hAnsi="宋体" w:eastAsia="方正小标宋简体"/>
          <w:color w:val="000000" w:themeColor="text1"/>
          <w:sz w:val="56"/>
          <w:szCs w:val="56"/>
          <w14:textFill>
            <w14:solidFill>
              <w14:schemeClr w14:val="tx1"/>
            </w14:solidFill>
          </w14:textFill>
        </w:rPr>
      </w:pPr>
      <w:bookmarkStart w:id="1" w:name="_Toc15377193"/>
      <w:bookmarkStart w:id="2" w:name="_Toc15396597"/>
      <w:bookmarkStart w:id="3" w:name="_Toc15396475"/>
      <w:bookmarkStart w:id="4" w:name="_Toc15378441"/>
      <w:bookmarkStart w:id="5" w:name="_Toc15377425"/>
      <w:r>
        <w:rPr>
          <w:rFonts w:hint="eastAsia" w:ascii="方正小标宋简体" w:hAnsi="宋体" w:eastAsia="方正小标宋简体"/>
          <w:color w:val="000000" w:themeColor="text1"/>
          <w:sz w:val="56"/>
          <w:szCs w:val="56"/>
          <w14:textFill>
            <w14:solidFill>
              <w14:schemeClr w14:val="tx1"/>
            </w14:solidFill>
          </w14:textFill>
        </w:rPr>
        <w:t>2021年度</w:t>
      </w:r>
      <w:bookmarkEnd w:id="1"/>
      <w:bookmarkEnd w:id="2"/>
      <w:bookmarkEnd w:id="3"/>
      <w:bookmarkEnd w:id="4"/>
      <w:bookmarkEnd w:id="5"/>
      <w:bookmarkStart w:id="6" w:name="_Toc15396476"/>
      <w:bookmarkStart w:id="7" w:name="_Toc15396598"/>
      <w:bookmarkStart w:id="8" w:name="_Toc15377426"/>
      <w:bookmarkStart w:id="9" w:name="_Toc15378442"/>
      <w:bookmarkStart w:id="10" w:name="_Toc15377194"/>
    </w:p>
    <w:p>
      <w:pPr>
        <w:adjustRightInd w:val="0"/>
        <w:snapToGrid w:val="0"/>
        <w:spacing w:line="360" w:lineRule="auto"/>
        <w:jc w:val="center"/>
        <w:outlineLvl w:val="0"/>
        <w:rPr>
          <w:rFonts w:ascii="方正小标宋简体" w:hAnsi="宋体" w:eastAsia="方正小标宋简体"/>
          <w:color w:val="000000" w:themeColor="text1"/>
          <w:sz w:val="56"/>
          <w:szCs w:val="56"/>
          <w14:textFill>
            <w14:solidFill>
              <w14:schemeClr w14:val="tx1"/>
            </w14:solidFill>
          </w14:textFill>
        </w:rPr>
      </w:pPr>
      <w:r>
        <w:rPr>
          <w:rFonts w:hint="eastAsia" w:eastAsiaTheme="minorEastAsia"/>
        </w:rPr>
        <w:drawing>
          <wp:anchor distT="0" distB="0" distL="114300" distR="114300" simplePos="0" relativeHeight="251672576" behindDoc="1" locked="0" layoutInCell="1" allowOverlap="1">
            <wp:simplePos x="0" y="0"/>
            <wp:positionH relativeFrom="column">
              <wp:posOffset>1925955</wp:posOffset>
            </wp:positionH>
            <wp:positionV relativeFrom="paragraph">
              <wp:posOffset>436880</wp:posOffset>
            </wp:positionV>
            <wp:extent cx="1440180" cy="1440180"/>
            <wp:effectExtent l="179070" t="179070" r="190500" b="190500"/>
            <wp:wrapNone/>
            <wp:docPr id="32" name="图片 32" descr="安曲镇人民政府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安曲镇人民政府章"/>
                    <pic:cNvPicPr>
                      <a:picLocks noChangeAspect="1"/>
                    </pic:cNvPicPr>
                  </pic:nvPicPr>
                  <pic:blipFill>
                    <a:blip r:embed="rId6"/>
                    <a:stretch>
                      <a:fillRect/>
                    </a:stretch>
                  </pic:blipFill>
                  <pic:spPr>
                    <a:xfrm rot="20580000">
                      <a:off x="0" y="0"/>
                      <a:ext cx="1440180" cy="1440180"/>
                    </a:xfrm>
                    <a:prstGeom prst="rect">
                      <a:avLst/>
                    </a:prstGeom>
                  </pic:spPr>
                </pic:pic>
              </a:graphicData>
            </a:graphic>
          </wp:anchor>
        </w:drawing>
      </w:r>
      <w:r>
        <w:rPr>
          <w:rFonts w:hint="eastAsia" w:ascii="方正小标宋简体" w:hAnsi="宋体" w:eastAsia="方正小标宋简体"/>
          <w:color w:val="000000" w:themeColor="text1"/>
          <w:sz w:val="56"/>
          <w:szCs w:val="56"/>
          <w14:textFill>
            <w14:solidFill>
              <w14:schemeClr w14:val="tx1"/>
            </w14:solidFill>
          </w14:textFill>
        </w:rPr>
        <w:t>四川省阿坝州红原县</w:t>
      </w:r>
      <w:bookmarkEnd w:id="0"/>
      <w:bookmarkStart w:id="11" w:name="_Toc15306268"/>
      <w:r>
        <w:rPr>
          <w:rFonts w:hint="eastAsia" w:ascii="方正小标宋简体" w:hAnsi="宋体" w:eastAsia="方正小标宋简体"/>
          <w:color w:val="000000" w:themeColor="text1"/>
          <w:sz w:val="56"/>
          <w:szCs w:val="56"/>
          <w14:textFill>
            <w14:solidFill>
              <w14:schemeClr w14:val="tx1"/>
            </w14:solidFill>
          </w14:textFill>
        </w:rPr>
        <w:t>安曲镇人民政府部门决算</w:t>
      </w:r>
      <w:bookmarkEnd w:id="6"/>
      <w:bookmarkEnd w:id="7"/>
      <w:bookmarkEnd w:id="8"/>
      <w:bookmarkEnd w:id="9"/>
      <w:bookmarkEnd w:id="10"/>
      <w:bookmarkEnd w:id="11"/>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ascii="黑体" w:hAnsi="黑体" w:eastAsia="黑体"/>
          <w:color w:val="000000" w:themeColor="text1"/>
          <w:sz w:val="48"/>
          <w:szCs w:val="48"/>
          <w14:textFill>
            <w14:solidFill>
              <w14:schemeClr w14:val="tx1"/>
            </w14:solidFill>
          </w14:textFill>
        </w:rPr>
      </w:pPr>
      <w:r>
        <w:rPr>
          <w:rFonts w:ascii="方正小标宋简体" w:hAnsi="宋体" w:eastAsia="方正小标宋简体"/>
          <w:color w:val="000000" w:themeColor="text1"/>
          <w:sz w:val="36"/>
          <w:szCs w:val="36"/>
          <w14:textFill>
            <w14:solidFill>
              <w14:schemeClr w14:val="tx1"/>
            </w14:solidFill>
          </w14:textFill>
        </w:rPr>
        <w:br w:type="page"/>
      </w:r>
      <w:r>
        <w:rPr>
          <w:rFonts w:hint="eastAsia" w:ascii="黑体" w:hAnsi="黑体" w:eastAsia="黑体"/>
          <w:color w:val="000000" w:themeColor="text1"/>
          <w:sz w:val="48"/>
          <w:szCs w:val="48"/>
          <w14:textFill>
            <w14:solidFill>
              <w14:schemeClr w14:val="tx1"/>
            </w14:solidFill>
          </w14:textFill>
        </w:rPr>
        <w:t>目录</w:t>
      </w:r>
    </w:p>
    <w:p>
      <w:pPr>
        <w:widowControl/>
        <w:jc w:val="center"/>
        <w:rPr>
          <w:rFonts w:ascii="黑体" w:hAnsi="黑体" w:eastAsia="黑体" w:cstheme="minorBidi"/>
          <w:color w:val="000000" w:themeColor="text1"/>
          <w:sz w:val="28"/>
          <w:szCs w:val="28"/>
          <w14:textFill>
            <w14:solidFill>
              <w14:schemeClr w14:val="tx1"/>
            </w14:solidFill>
          </w14:textFill>
        </w:rPr>
      </w:pPr>
    </w:p>
    <w:p>
      <w:pPr>
        <w:rPr>
          <w:color w:val="000000" w:themeColor="text1"/>
          <w14:textFill>
            <w14:solidFill>
              <w14:schemeClr w14:val="tx1"/>
            </w14:solidFill>
          </w14:textFill>
        </w:rPr>
      </w:pPr>
    </w:p>
    <w:p>
      <w:pPr>
        <w:pStyle w:val="11"/>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第一部分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部门概况</w:t>
      </w:r>
    </w:p>
    <w:p>
      <w:pPr>
        <w:pStyle w:val="12"/>
        <w:adjustRightInd w:val="0"/>
        <w:snapToGrid w:val="0"/>
        <w:spacing w:line="440" w:lineRule="exact"/>
        <w:jc w:val="left"/>
        <w:rPr>
          <w:color w:val="000000" w:themeColor="text1"/>
          <w14:textFill>
            <w14:solidFill>
              <w14:schemeClr w14:val="tx1"/>
            </w14:solidFill>
          </w14:textFill>
        </w:rPr>
      </w:pPr>
      <w:r>
        <w:rPr>
          <w:rFonts w:hint="eastAsia"/>
          <w:color w:val="000000" w:themeColor="text1"/>
          <w:sz w:val="24"/>
          <w14:textFill>
            <w14:solidFill>
              <w14:schemeClr w14:val="tx1"/>
            </w14:solidFill>
          </w14:textFill>
        </w:rPr>
        <w:t>一、基本职能及主要工作.........................................................................</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......4</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二、机构设置.................................................................................................</w:t>
      </w:r>
      <w:r>
        <w:rPr>
          <w:rFonts w:hint="eastAsia"/>
          <w:color w:val="000000" w:themeColor="text1"/>
          <w:sz w:val="24"/>
          <w:lang w:val="en-US" w:eastAsia="zh-CN"/>
          <w14:textFill>
            <w14:solidFill>
              <w14:schemeClr w14:val="tx1"/>
            </w14:solidFill>
          </w14:textFill>
        </w:rPr>
        <w:t>.12</w:t>
      </w:r>
    </w:p>
    <w:p>
      <w:pPr>
        <w:pStyle w:val="11"/>
        <w:adjustRightInd w:val="0"/>
        <w:snapToGrid w:val="0"/>
        <w:spacing w:before="0" w:line="440" w:lineRule="exact"/>
        <w:jc w:val="left"/>
        <w:rPr>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第二部分度部门决算情况说明</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一、收入支出决算总体情况说明.............................................................</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3</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二、收入决算情况说明.............................................................................</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3</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三、支出决算情况说明.................................................................................1</w:t>
      </w:r>
      <w:r>
        <w:rPr>
          <w:rFonts w:hint="eastAsia"/>
          <w:color w:val="000000" w:themeColor="text1"/>
          <w:sz w:val="24"/>
          <w:lang w:val="en-US" w:eastAsia="zh-CN"/>
          <w14:textFill>
            <w14:solidFill>
              <w14:schemeClr w14:val="tx1"/>
            </w14:solidFill>
          </w14:textFill>
        </w:rPr>
        <w:t>4</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四、财政拨款收入支出决算总体情况说明.................................................1</w:t>
      </w:r>
      <w:r>
        <w:rPr>
          <w:rFonts w:hint="eastAsia"/>
          <w:color w:val="000000" w:themeColor="text1"/>
          <w:sz w:val="24"/>
          <w:lang w:val="en-US" w:eastAsia="zh-CN"/>
          <w14:textFill>
            <w14:solidFill>
              <w14:schemeClr w14:val="tx1"/>
            </w14:solidFill>
          </w14:textFill>
        </w:rPr>
        <w:t>4</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五、一般公共预算财政拨款支出决算情况说明.........................................1</w:t>
      </w:r>
      <w:r>
        <w:rPr>
          <w:rFonts w:hint="eastAsia"/>
          <w:color w:val="000000" w:themeColor="text1"/>
          <w:sz w:val="24"/>
          <w:lang w:val="en-US" w:eastAsia="zh-CN"/>
          <w14:textFill>
            <w14:solidFill>
              <w14:schemeClr w14:val="tx1"/>
            </w14:solidFill>
          </w14:textFill>
        </w:rPr>
        <w:t>5</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六、一般公共预算财政拨款基本支出决算情况说明.................................1</w:t>
      </w:r>
      <w:r>
        <w:rPr>
          <w:rFonts w:hint="eastAsia"/>
          <w:color w:val="000000" w:themeColor="text1"/>
          <w:sz w:val="24"/>
          <w:lang w:val="en-US" w:eastAsia="zh-CN"/>
          <w14:textFill>
            <w14:solidFill>
              <w14:schemeClr w14:val="tx1"/>
            </w14:solidFill>
          </w14:textFill>
        </w:rPr>
        <w:t>8</w:t>
      </w:r>
    </w:p>
    <w:p>
      <w:pPr>
        <w:pStyle w:val="12"/>
        <w:adjustRightInd w:val="0"/>
        <w:snapToGrid w:val="0"/>
        <w:spacing w:line="440" w:lineRule="exact"/>
        <w:jc w:val="left"/>
        <w:rPr>
          <w:rFonts w:hint="eastAsia"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三公”经费财政拨款支出决算情况说明...........................................1</w:t>
      </w:r>
      <w:r>
        <w:rPr>
          <w:rFonts w:hint="eastAsia"/>
          <w:color w:val="000000" w:themeColor="text1"/>
          <w:sz w:val="24"/>
          <w:lang w:val="en-US" w:eastAsia="zh-CN"/>
          <w14:textFill>
            <w14:solidFill>
              <w14:schemeClr w14:val="tx1"/>
            </w14:solidFill>
          </w14:textFill>
        </w:rPr>
        <w:t>8</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八、政府性基金预算支出决算情况说明...................................................</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20</w:t>
      </w:r>
    </w:p>
    <w:p>
      <w:pPr>
        <w:pStyle w:val="12"/>
        <w:adjustRightInd w:val="0"/>
        <w:snapToGrid w:val="0"/>
        <w:spacing w:line="440" w:lineRule="exact"/>
        <w:ind w:leftChars="0"/>
        <w:jc w:val="left"/>
        <w:rPr>
          <w:rFonts w:hint="default" w:ascii="仿宋" w:hAnsi="仿宋"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九、</w:t>
      </w:r>
      <w:r>
        <w:rPr>
          <w:color w:val="000000" w:themeColor="text1"/>
          <w:sz w:val="24"/>
          <w14:textFill>
            <w14:solidFill>
              <w14:schemeClr w14:val="tx1"/>
            </w14:solidFill>
          </w14:textFill>
        </w:rPr>
        <w:t xml:space="preserve"> 国</w:t>
      </w:r>
      <w:r>
        <w:rPr>
          <w:rFonts w:hint="eastAsia"/>
          <w:color w:val="000000" w:themeColor="text1"/>
          <w:sz w:val="24"/>
          <w14:textFill>
            <w14:solidFill>
              <w14:schemeClr w14:val="tx1"/>
            </w14:solidFill>
          </w14:textFill>
        </w:rPr>
        <w:t>有资本经营预算支出决算情况说明.............................................</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20</w:t>
      </w:r>
    </w:p>
    <w:p>
      <w:pPr>
        <w:adjustRightInd w:val="0"/>
        <w:snapToGrid w:val="0"/>
        <w:spacing w:line="440" w:lineRule="exact"/>
        <w:ind w:firstLine="480" w:firstLineChars="200"/>
        <w:jc w:val="left"/>
        <w:rPr>
          <w:rFonts w:hint="default" w:ascii="仿宋" w:hAnsi="仿宋" w:eastAsia="宋体" w:cstheme="minorBidi"/>
          <w:color w:val="000000" w:themeColor="text1"/>
          <w:sz w:val="24"/>
          <w:lang w:val="en-US" w:eastAsia="zh-CN"/>
          <w14:textFill>
            <w14:solidFill>
              <w14:schemeClr w14:val="tx1"/>
            </w14:solidFill>
          </w14:textFill>
        </w:rPr>
      </w:pPr>
      <w:r>
        <w:rPr>
          <w:rStyle w:val="17"/>
          <w:rFonts w:hint="eastAsia" w:ascii="仿宋" w:hAnsi="仿宋" w:eastAsia="仿宋"/>
          <w:color w:val="000000" w:themeColor="text1"/>
          <w:sz w:val="24"/>
          <w:u w:val="none"/>
          <w14:textFill>
            <w14:solidFill>
              <w14:schemeClr w14:val="tx1"/>
            </w14:solidFill>
          </w14:textFill>
        </w:rPr>
        <w:t>十、</w:t>
      </w:r>
      <w:r>
        <w:rPr>
          <w:rFonts w:hint="eastAsia"/>
          <w:color w:val="000000" w:themeColor="text1"/>
          <w:sz w:val="24"/>
          <w14:textFill>
            <w14:solidFill>
              <w14:schemeClr w14:val="tx1"/>
            </w14:solidFill>
          </w14:textFill>
        </w:rPr>
        <w:t>其他重要事项的情况说明.................................................................</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20</w:t>
      </w:r>
    </w:p>
    <w:p>
      <w:pPr>
        <w:pStyle w:val="11"/>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第三部分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名词解释</w:t>
      </w:r>
    </w:p>
    <w:p>
      <w:pPr>
        <w:pStyle w:val="11"/>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第四部分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附件</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附件</w:t>
      </w:r>
      <w:r>
        <w:rPr>
          <w:color w:val="000000" w:themeColor="text1"/>
          <w:sz w:val="24"/>
          <w14:textFill>
            <w14:solidFill>
              <w14:schemeClr w14:val="tx1"/>
            </w14:solidFill>
          </w14:textFill>
        </w:rPr>
        <w:t>1</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51</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附件</w:t>
      </w:r>
      <w:r>
        <w:rPr>
          <w:color w:val="000000" w:themeColor="text1"/>
          <w:sz w:val="24"/>
          <w14:textFill>
            <w14:solidFill>
              <w14:schemeClr w14:val="tx1"/>
            </w14:solidFill>
          </w14:textFill>
        </w:rPr>
        <w:t>2</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.60</w:t>
      </w:r>
    </w:p>
    <w:p>
      <w:pPr>
        <w:pStyle w:val="11"/>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第五部分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附表</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一、</w:t>
      </w:r>
      <w:r>
        <w:rPr>
          <w:rFonts w:hint="eastAsia"/>
          <w:color w:val="000000" w:themeColor="text1"/>
          <w:sz w:val="24"/>
          <w14:textFill>
            <w14:solidFill>
              <w14:schemeClr w14:val="tx1"/>
            </w14:solidFill>
          </w14:textFill>
        </w:rPr>
        <w:t>收入支出决算总表.............................................................................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二、</w:t>
      </w:r>
      <w:r>
        <w:rPr>
          <w:rFonts w:hint="eastAsia"/>
          <w:color w:val="000000" w:themeColor="text1"/>
          <w:sz w:val="24"/>
          <w14:textFill>
            <w14:solidFill>
              <w14:schemeClr w14:val="tx1"/>
            </w14:solidFill>
          </w14:textFill>
        </w:rPr>
        <w:t>收入决算表.........................................................................................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三</w:t>
      </w:r>
      <w:r>
        <w:rPr>
          <w:rFonts w:hint="eastAsia"/>
          <w:color w:val="000000" w:themeColor="text1"/>
          <w:sz w:val="24"/>
          <w14:textFill>
            <w14:solidFill>
              <w14:schemeClr w14:val="tx1"/>
            </w14:solidFill>
          </w14:textFill>
        </w:rPr>
        <w:t>、支出决算表.........................................................................................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四、</w:t>
      </w:r>
      <w:r>
        <w:rPr>
          <w:rFonts w:hint="eastAsia"/>
          <w:color w:val="000000" w:themeColor="text1"/>
          <w:sz w:val="24"/>
          <w14:textFill>
            <w14:solidFill>
              <w14:schemeClr w14:val="tx1"/>
            </w14:solidFill>
          </w14:textFill>
        </w:rPr>
        <w:t>财政拨款收入支出决算总表.............................................................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五、</w:t>
      </w:r>
      <w:r>
        <w:rPr>
          <w:rFonts w:hint="eastAsia"/>
          <w:color w:val="000000" w:themeColor="text1"/>
          <w:sz w:val="24"/>
          <w14:textFill>
            <w14:solidFill>
              <w14:schemeClr w14:val="tx1"/>
            </w14:solidFill>
          </w14:textFill>
        </w:rPr>
        <w:t>财政拨款支出决算明细表.................................................................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六、一般公共预算财政拨款支出决算表..................................................</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七、</w:t>
      </w:r>
      <w:r>
        <w:rPr>
          <w:rFonts w:hint="eastAsia"/>
          <w:color w:val="000000" w:themeColor="text1"/>
          <w:sz w:val="24"/>
          <w14:textFill>
            <w14:solidFill>
              <w14:schemeClr w14:val="tx1"/>
            </w14:solidFill>
          </w14:textFill>
        </w:rPr>
        <w:t>一般公共预算财政拨款支出决算明细表..........................................</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八、</w:t>
      </w:r>
      <w:r>
        <w:rPr>
          <w:rFonts w:hint="eastAsia"/>
          <w:color w:val="000000" w:themeColor="text1"/>
          <w:sz w:val="24"/>
          <w14:textFill>
            <w14:solidFill>
              <w14:schemeClr w14:val="tx1"/>
            </w14:solidFill>
          </w14:textFill>
        </w:rPr>
        <w:t>一般公共预算财政拨款基本支出决算表......................................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九、</w:t>
      </w:r>
      <w:r>
        <w:rPr>
          <w:rFonts w:hint="eastAsia"/>
          <w:color w:val="000000" w:themeColor="text1"/>
          <w:sz w:val="24"/>
          <w14:textFill>
            <w14:solidFill>
              <w14:schemeClr w14:val="tx1"/>
            </w14:solidFill>
          </w14:textFill>
        </w:rPr>
        <w:t>一般公共预算财政拨款项目支出决算表.......................................</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w:t>
      </w:r>
      <w:r>
        <w:rPr>
          <w:rFonts w:hint="eastAsia"/>
          <w:color w:val="000000" w:themeColor="text1"/>
          <w:sz w:val="24"/>
          <w14:textFill>
            <w14:solidFill>
              <w14:schemeClr w14:val="tx1"/>
            </w14:solidFill>
          </w14:textFill>
        </w:rPr>
        <w:t>一般公共预算财政拨款“三公”经费支出决算表...................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十一、</w:t>
      </w:r>
      <w:r>
        <w:rPr>
          <w:rFonts w:hint="eastAsia"/>
          <w:color w:val="000000" w:themeColor="text1"/>
          <w:sz w:val="24"/>
          <w14:textFill>
            <w14:solidFill>
              <w14:schemeClr w14:val="tx1"/>
            </w14:solidFill>
          </w14:textFill>
        </w:rPr>
        <w:t>政府性基金预算财政拨款收入支出决算表.........................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十二、</w:t>
      </w:r>
      <w:r>
        <w:rPr>
          <w:rFonts w:hint="eastAsia"/>
          <w:color w:val="000000" w:themeColor="text1"/>
          <w:sz w:val="24"/>
          <w14:textFill>
            <w14:solidFill>
              <w14:schemeClr w14:val="tx1"/>
            </w14:solidFill>
          </w14:textFill>
        </w:rPr>
        <w:t>政府性基金预算财政拨款“三公”经费支出决算表..........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pStyle w:val="12"/>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十三、</w:t>
      </w:r>
      <w:r>
        <w:rPr>
          <w:rFonts w:hint="eastAsia"/>
          <w:color w:val="000000" w:themeColor="text1"/>
          <w:sz w:val="24"/>
          <w14:textFill>
            <w14:solidFill>
              <w14:schemeClr w14:val="tx1"/>
            </w14:solidFill>
          </w14:textFill>
        </w:rPr>
        <w:t>国有资本经营预算支出决算表..............................................</w:t>
      </w:r>
      <w:r>
        <w:rPr>
          <w:rFonts w:hint="eastAsia"/>
          <w:color w:val="000000" w:themeColor="text1"/>
          <w:sz w:val="24"/>
          <w:lang w:val="en-US" w:eastAsia="zh-CN"/>
          <w14:textFill>
            <w14:solidFill>
              <w14:schemeClr w14:val="tx1"/>
            </w14:solidFill>
          </w14:textFill>
        </w:rPr>
        <w:t>.</w:t>
      </w:r>
      <w:r>
        <w:rPr>
          <w:rFonts w:hint="eastAsia"/>
          <w:color w:val="000000" w:themeColor="text1"/>
          <w:sz w:val="24"/>
          <w14:textFill>
            <w14:solidFill>
              <w14:schemeClr w14:val="tx1"/>
            </w14:solidFill>
          </w14:textFill>
        </w:rPr>
        <w:t>.....</w:t>
      </w:r>
      <w:r>
        <w:rPr>
          <w:rFonts w:hint="eastAsia"/>
          <w:color w:val="000000" w:themeColor="text1"/>
          <w:sz w:val="24"/>
          <w:lang w:val="en-US" w:eastAsia="zh-CN"/>
          <w14:textFill>
            <w14:solidFill>
              <w14:schemeClr w14:val="tx1"/>
            </w14:solidFill>
          </w14:textFill>
        </w:rPr>
        <w:t>63</w:t>
      </w:r>
    </w:p>
    <w:p>
      <w:pPr>
        <w:widowControl/>
        <w:spacing w:line="440" w:lineRule="exact"/>
        <w:jc w:val="left"/>
        <w:rPr>
          <w:rFonts w:ascii="仿宋" w:hAnsi="仿宋" w:eastAsia="仿宋"/>
          <w:bCs/>
          <w:color w:val="000000" w:themeColor="text1"/>
          <w:kern w:val="44"/>
          <w:sz w:val="24"/>
          <w14:textFill>
            <w14:solidFill>
              <w14:schemeClr w14:val="tx1"/>
            </w14:solidFill>
          </w14:textFill>
        </w:rPr>
      </w:pPr>
      <w:bookmarkStart w:id="12" w:name="_Toc15377196"/>
      <w:bookmarkStart w:id="13" w:name="_Toc15396599"/>
      <w:r>
        <w:rPr>
          <w:rFonts w:ascii="仿宋" w:hAnsi="仿宋" w:eastAsia="仿宋"/>
          <w:b/>
          <w:color w:val="000000" w:themeColor="text1"/>
          <w:sz w:val="24"/>
          <w14:textFill>
            <w14:solidFill>
              <w14:schemeClr w14:val="tx1"/>
            </w14:solidFill>
          </w14:textFill>
        </w:rPr>
        <w:br w:type="page"/>
      </w:r>
    </w:p>
    <w:p>
      <w:pPr>
        <w:pStyle w:val="3"/>
        <w:jc w:val="center"/>
        <w:rPr>
          <w:rStyle w:val="26"/>
          <w:rFonts w:ascii="黑体" w:hAnsi="黑体" w:eastAsia="黑体"/>
          <w:b/>
          <w:bCs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 xml:space="preserve">第一部分 </w:t>
      </w:r>
      <w:r>
        <w:rPr>
          <w:rStyle w:val="26"/>
          <w:rFonts w:hint="eastAsia" w:ascii="黑体" w:hAnsi="黑体" w:eastAsia="黑体"/>
          <w:b w:val="0"/>
          <w:bCs w:val="0"/>
          <w:color w:val="000000" w:themeColor="text1"/>
          <w14:textFill>
            <w14:solidFill>
              <w14:schemeClr w14:val="tx1"/>
            </w14:solidFill>
          </w14:textFill>
        </w:rPr>
        <w:t>部门概况</w:t>
      </w:r>
      <w:bookmarkEnd w:id="12"/>
      <w:bookmarkEnd w:id="13"/>
    </w:p>
    <w:p>
      <w:pPr>
        <w:widowControl/>
        <w:jc w:val="left"/>
        <w:rPr>
          <w:rFonts w:ascii="黑体" w:eastAsia="黑体"/>
          <w:color w:val="000000" w:themeColor="text1"/>
          <w:sz w:val="32"/>
          <w:szCs w:val="32"/>
          <w14:textFill>
            <w14:solidFill>
              <w14:schemeClr w14:val="tx1"/>
            </w14:solidFill>
          </w14:textFill>
        </w:rPr>
      </w:pPr>
    </w:p>
    <w:p>
      <w:pPr>
        <w:pStyle w:val="4"/>
        <w:rPr>
          <w:rStyle w:val="27"/>
          <w:rFonts w:ascii="仿宋" w:hAnsi="仿宋" w:eastAsia="仿宋"/>
          <w:b w:val="0"/>
          <w:bCs w:val="0"/>
          <w:color w:val="000000" w:themeColor="text1"/>
          <w14:textFill>
            <w14:solidFill>
              <w14:schemeClr w14:val="tx1"/>
            </w14:solidFill>
          </w14:textFill>
        </w:rPr>
      </w:pPr>
      <w:bookmarkStart w:id="14" w:name="_Toc15377197"/>
      <w:bookmarkStart w:id="15" w:name="_Toc15396600"/>
      <w:r>
        <w:rPr>
          <w:rFonts w:hint="eastAsia" w:ascii="黑体" w:hAnsi="黑体" w:eastAsia="黑体"/>
          <w:b w:val="0"/>
          <w:color w:val="000000" w:themeColor="text1"/>
          <w14:textFill>
            <w14:solidFill>
              <w14:schemeClr w14:val="tx1"/>
            </w14:solidFill>
          </w14:textFill>
        </w:rPr>
        <w:t>一、基</w:t>
      </w:r>
      <w:r>
        <w:rPr>
          <w:rStyle w:val="27"/>
          <w:rFonts w:hint="eastAsia" w:ascii="黑体" w:hAnsi="黑体" w:eastAsia="黑体"/>
          <w:b w:val="0"/>
          <w:bCs w:val="0"/>
          <w:color w:val="000000" w:themeColor="text1"/>
          <w14:textFill>
            <w14:solidFill>
              <w14:schemeClr w14:val="tx1"/>
            </w14:solidFill>
          </w14:textFill>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14:textFill>
            <w14:solidFill>
              <w14:schemeClr w14:val="tx1"/>
            </w14:solidFill>
          </w14:textFill>
        </w:rPr>
      </w:pPr>
      <w:bookmarkStart w:id="16" w:name="_Toc15377198"/>
      <w:bookmarkStart w:id="17" w:name="_Toc15378445"/>
      <w:r>
        <w:rPr>
          <w:rFonts w:hint="eastAsia" w:ascii="仿宋" w:hAnsi="仿宋" w:eastAsia="仿宋"/>
          <w:bCs/>
          <w:color w:val="000000" w:themeColor="text1"/>
          <w:sz w:val="32"/>
          <w:szCs w:val="32"/>
          <w14:textFill>
            <w14:solidFill>
              <w14:schemeClr w14:val="tx1"/>
            </w14:solidFill>
          </w14:textFill>
        </w:rPr>
        <w:t>（一）主要职能</w:t>
      </w:r>
      <w:bookmarkEnd w:id="16"/>
      <w:bookmarkEnd w:id="17"/>
    </w:p>
    <w:p>
      <w:pPr>
        <w:pStyle w:val="13"/>
        <w:spacing w:before="0" w:beforeAutospacing="0" w:afterAutospacing="0" w:line="576" w:lineRule="exact"/>
        <w:ind w:firstLine="640" w:firstLineChars="200"/>
        <w:rPr>
          <w:rFonts w:ascii="仿宋_GB2312" w:hAnsi="仿宋" w:eastAsia="仿宋_GB2312" w:cs="Times New Roman"/>
          <w:kern w:val="2"/>
          <w:sz w:val="32"/>
          <w:szCs w:val="32"/>
        </w:rPr>
      </w:pPr>
      <w:bookmarkStart w:id="18" w:name="_Toc15377199"/>
      <w:bookmarkStart w:id="19" w:name="_Toc15378446"/>
      <w:r>
        <w:rPr>
          <w:rFonts w:hint="eastAsia" w:ascii="仿宋_GB2312" w:hAnsi="仿宋" w:eastAsia="仿宋_GB2312" w:cs="Times New Roman"/>
          <w:kern w:val="2"/>
          <w:sz w:val="32"/>
          <w:szCs w:val="32"/>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pPr>
        <w:pStyle w:val="7"/>
        <w:adjustRightInd w:val="0"/>
        <w:snapToGrid w:val="0"/>
        <w:spacing w:before="93" w:line="600" w:lineRule="exact"/>
        <w:ind w:firstLine="672" w:firstLineChars="210"/>
        <w:outlineLvl w:val="2"/>
        <w:rPr>
          <w:rFonts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（二）</w:t>
      </w:r>
      <w:r>
        <w:rPr>
          <w:rFonts w:ascii="仿宋" w:hAnsi="仿宋" w:eastAsia="仿宋"/>
          <w:bCs/>
          <w:color w:val="000000" w:themeColor="text1"/>
          <w:sz w:val="32"/>
          <w:szCs w:val="32"/>
          <w14:textFill>
            <w14:solidFill>
              <w14:schemeClr w14:val="tx1"/>
            </w14:solidFill>
          </w14:textFill>
        </w:rPr>
        <w:t>20</w:t>
      </w:r>
      <w:r>
        <w:rPr>
          <w:rFonts w:hint="eastAsia" w:ascii="仿宋" w:hAnsi="仿宋" w:eastAsia="仿宋"/>
          <w:bCs/>
          <w:color w:val="000000" w:themeColor="text1"/>
          <w:sz w:val="32"/>
          <w:szCs w:val="32"/>
          <w14:textFill>
            <w14:solidFill>
              <w14:schemeClr w14:val="tx1"/>
            </w14:solidFill>
          </w14:textFill>
        </w:rPr>
        <w:t>21年重点工作完成情况</w:t>
      </w:r>
      <w:bookmarkEnd w:id="18"/>
      <w:bookmarkEnd w:id="19"/>
    </w:p>
    <w:p>
      <w:pPr>
        <w:pStyle w:val="7"/>
        <w:adjustRightInd w:val="0"/>
        <w:snapToGrid w:val="0"/>
        <w:spacing w:before="93" w:line="600" w:lineRule="exact"/>
        <w:jc w:val="center"/>
        <w:outlineLvl w:val="2"/>
        <w:rPr>
          <w:rFonts w:ascii="仿宋" w:hAnsi="仿宋" w:eastAsia="仿宋"/>
          <w:bCs/>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color w:val="000000"/>
          <w:sz w:val="44"/>
          <w:szCs w:val="44"/>
        </w:rPr>
        <w:t>攻坚克难，取得发展新成绩</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2021年是“十四五”规划、乡村振兴与脱贫攻坚无缝接续的开局之年。这一年我们迎难而上，防控住了新冠肺炎疫情，保护住了来之不易的发展局面，经济社会呈现出持续稳定、稳中有进的良好态势。全镇农牧民总收入达到8775.2837万元，农村居民人均可支配收入20755.19元,同比增长9%。</w:t>
      </w:r>
    </w:p>
    <w:p>
      <w:pPr>
        <w:spacing w:line="560" w:lineRule="exact"/>
        <w:ind w:firstLine="640" w:firstLineChars="200"/>
        <w:rPr>
          <w:rFonts w:ascii="楷体_GB2312" w:hAnsi="楷体_GB2312" w:eastAsia="仿宋_GB2312" w:cs="楷体_GB2312"/>
          <w:b/>
          <w:bCs/>
          <w:sz w:val="32"/>
          <w:szCs w:val="32"/>
        </w:rPr>
      </w:pPr>
      <w:r>
        <w:rPr>
          <w:rFonts w:hint="eastAsia" w:ascii="黑体" w:hAnsi="黑体" w:eastAsia="黑体" w:cs="黑体"/>
          <w:sz w:val="32"/>
          <w:szCs w:val="32"/>
        </w:rPr>
        <w:t>一、乡村振兴稳步推进。</w:t>
      </w:r>
      <w:r>
        <w:rPr>
          <w:rFonts w:hint="eastAsia" w:ascii="仿宋_GB2312" w:hAnsi="仿宋_GB2312" w:eastAsia="仿宋_GB2312" w:cs="仿宋_GB2312"/>
          <w:color w:val="000000"/>
          <w:sz w:val="32"/>
          <w:szCs w:val="32"/>
        </w:rPr>
        <w:t>接续推进脱贫攻坚与乡村振兴有效衔接，今年我们围绕“五大振兴”和“二十字”方针，探索下好“五步棋”找准“五个点”工作方法，全力创建省级乡村振兴先进镇。</w:t>
      </w:r>
      <w:r>
        <w:rPr>
          <w:rFonts w:hint="eastAsia" w:ascii="楷体_GB2312" w:hAnsi="楷体_GB2312" w:eastAsia="楷体_GB2312" w:cs="楷体_GB2312"/>
          <w:b/>
          <w:bCs/>
          <w:color w:val="000000"/>
          <w:sz w:val="32"/>
          <w:szCs w:val="32"/>
        </w:rPr>
        <w:t>一是</w:t>
      </w:r>
      <w:r>
        <w:rPr>
          <w:rFonts w:hint="eastAsia" w:ascii="仿宋_GB2312" w:hAnsi="仿宋_GB2312" w:eastAsia="仿宋_GB2312" w:cs="仿宋_GB2312"/>
          <w:color w:val="000000"/>
          <w:sz w:val="32"/>
          <w:szCs w:val="32"/>
        </w:rPr>
        <w:t>通过持续做强畜牧产业，发展牧旅融合产业，盘活</w:t>
      </w:r>
      <w:r>
        <w:rPr>
          <w:rFonts w:ascii="仿宋_GB2312" w:hAnsi="仿宋_GB2312" w:eastAsia="仿宋_GB2312" w:cs="仿宋_GB2312"/>
          <w:color w:val="000000"/>
          <w:sz w:val="32"/>
          <w:szCs w:val="32"/>
        </w:rPr>
        <w:t>村</w:t>
      </w:r>
      <w:r>
        <w:rPr>
          <w:rFonts w:hint="eastAsia" w:ascii="仿宋_GB2312" w:hAnsi="仿宋_GB2312" w:eastAsia="仿宋_GB2312" w:cs="仿宋_GB2312"/>
          <w:color w:val="000000"/>
          <w:sz w:val="32"/>
          <w:szCs w:val="32"/>
        </w:rPr>
        <w:t>级</w:t>
      </w:r>
      <w:r>
        <w:rPr>
          <w:rFonts w:ascii="仿宋_GB2312" w:hAnsi="仿宋_GB2312" w:eastAsia="仿宋_GB2312" w:cs="仿宋_GB2312"/>
          <w:color w:val="000000"/>
          <w:sz w:val="32"/>
          <w:szCs w:val="32"/>
        </w:rPr>
        <w:t>集体经济</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实现特色产业初具规模。</w:t>
      </w:r>
      <w:r>
        <w:rPr>
          <w:rFonts w:hint="eastAsia" w:ascii="楷体_GB2312" w:hAnsi="楷体_GB2312" w:eastAsia="楷体_GB2312" w:cs="楷体_GB2312"/>
          <w:b/>
          <w:bCs/>
          <w:color w:val="000000"/>
          <w:sz w:val="32"/>
          <w:szCs w:val="32"/>
        </w:rPr>
        <w:t>二是</w:t>
      </w:r>
      <w:r>
        <w:rPr>
          <w:rFonts w:hint="eastAsia" w:ascii="仿宋_GB2312" w:hAnsi="仿宋_GB2312" w:eastAsia="仿宋_GB2312" w:cs="仿宋_GB2312"/>
          <w:color w:val="000000"/>
          <w:sz w:val="32"/>
          <w:szCs w:val="32"/>
        </w:rPr>
        <w:t>持续实施“生态安曲·宜居家园”人居环境整治村庄清洁行动，实现人居环境逐步改善，</w:t>
      </w:r>
      <w:r>
        <w:rPr>
          <w:rFonts w:hint="eastAsia" w:ascii="楷体_GB2312" w:hAnsi="楷体_GB2312" w:eastAsia="楷体_GB2312" w:cs="楷体_GB2312"/>
          <w:b/>
          <w:bCs/>
          <w:color w:val="000000"/>
          <w:sz w:val="32"/>
          <w:szCs w:val="32"/>
        </w:rPr>
        <w:t>三是</w:t>
      </w:r>
      <w:r>
        <w:rPr>
          <w:rFonts w:hint="eastAsia" w:ascii="仿宋_GB2312" w:hAnsi="仿宋_GB2312" w:eastAsia="仿宋_GB2312" w:cs="仿宋_GB2312"/>
          <w:color w:val="000000"/>
          <w:sz w:val="32"/>
          <w:szCs w:val="32"/>
        </w:rPr>
        <w:t>建强综合活动中心，挖掘传承锅庄、唐卡绘画、地毯编织、藏装缝纫、手工艺制作等民俗文化资源，</w:t>
      </w:r>
      <w:r>
        <w:rPr>
          <w:rFonts w:hint="eastAsia" w:ascii="仿宋_GB2312" w:hAnsi="仿宋_GB2312" w:eastAsia="仿宋_GB2312" w:cs="仿宋_GB2312"/>
          <w:sz w:val="32"/>
          <w:szCs w:val="32"/>
        </w:rPr>
        <w:t>实现乡风民风更加淳朴。</w:t>
      </w:r>
      <w:r>
        <w:rPr>
          <w:rFonts w:hint="eastAsia" w:ascii="楷体_GB2312" w:hAnsi="楷体_GB2312" w:eastAsia="楷体_GB2312" w:cs="楷体_GB2312"/>
          <w:b/>
          <w:bCs/>
          <w:color w:val="000000"/>
          <w:sz w:val="32"/>
          <w:szCs w:val="32"/>
        </w:rPr>
        <w:t>四是</w:t>
      </w:r>
      <w:r>
        <w:rPr>
          <w:rFonts w:hint="eastAsia" w:ascii="仿宋_GB2312" w:hAnsi="仿宋_GB2312" w:eastAsia="仿宋_GB2312" w:cs="仿宋_GB2312"/>
          <w:color w:val="000000"/>
          <w:sz w:val="32"/>
          <w:szCs w:val="32"/>
        </w:rPr>
        <w:t>坚持党建引领基层治理，总结探索“一轴、二心、三产、四治”模式。</w:t>
      </w:r>
      <w:r>
        <w:rPr>
          <w:rFonts w:hint="eastAsia" w:ascii="仿宋_GB2312" w:hAnsi="仿宋_GB2312" w:eastAsia="仿宋_GB2312" w:cs="仿宋_GB2312"/>
          <w:sz w:val="32"/>
          <w:szCs w:val="32"/>
        </w:rPr>
        <w:t>实现基层治理更加有效。</w:t>
      </w:r>
      <w:r>
        <w:rPr>
          <w:rFonts w:hint="eastAsia" w:ascii="仿宋_GB2312" w:hAnsi="仿宋_GB2312" w:eastAsia="仿宋_GB2312" w:cs="仿宋_GB2312"/>
          <w:color w:val="000000"/>
          <w:sz w:val="32"/>
          <w:szCs w:val="32"/>
        </w:rPr>
        <w:t>经过不懈的努力，乡村振兴初见成效。</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sz w:val="32"/>
          <w:szCs w:val="32"/>
        </w:rPr>
        <w:t>二、畜牧产业再上台阶。</w:t>
      </w:r>
      <w:r>
        <w:rPr>
          <w:rFonts w:hint="eastAsia" w:ascii="仿宋_GB2312" w:hAnsi="仿宋_GB2312" w:eastAsia="仿宋_GB2312" w:cs="仿宋_GB2312"/>
          <w:sz w:val="32"/>
          <w:szCs w:val="32"/>
        </w:rPr>
        <w:t>2021年，全镇共有牲畜73538混合头，出栏10134头，出栏率达21.38%。草原生态修复1.2万亩，卧圈种草30亩，充分发挥健康养殖基地、冻精改良点作用，改良牲畜600头，畜群结构进一步优化。实行草畜平衡70.5374万亩，两项直补资金兑现578.84万元，湿地补偿兑现86.02万元，草原、湿地生态得到有效保护。牦牛保险全面完成，牦牛保险参保57083头，新建草原防火通道12.2公里，新建桥梁一座，维修15公里，板函桥10座，畜牧基础设施进一步改善</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sz w:val="32"/>
          <w:szCs w:val="32"/>
        </w:rPr>
        <w:t>三、项目建设稳步实施。</w:t>
      </w:r>
      <w:r>
        <w:rPr>
          <w:rFonts w:hint="eastAsia" w:ascii="仿宋_GB2312" w:hAnsi="宋体" w:eastAsia="仿宋_GB2312" w:cs="宋体"/>
          <w:color w:val="000000"/>
          <w:sz w:val="32"/>
          <w:szCs w:val="32"/>
        </w:rPr>
        <w:t>全年实施项目7个，完成投资1815万元，其中基础设施类项目3个、投资360万元，民生事业类项目2个、投资120万元，产业发展类项目2个、投资1400万元。</w:t>
      </w:r>
    </w:p>
    <w:p>
      <w:pPr>
        <w:spacing w:line="560" w:lineRule="exact"/>
        <w:ind w:firstLine="640" w:firstLineChars="200"/>
        <w:rPr>
          <w:rFonts w:ascii="仿宋_GB2312" w:hAnsi="宋体" w:eastAsia="仿宋_GB2312" w:cs="宋体"/>
          <w:color w:val="000000"/>
          <w:sz w:val="32"/>
          <w:szCs w:val="32"/>
        </w:rPr>
      </w:pPr>
      <w:r>
        <w:rPr>
          <w:rFonts w:hint="eastAsia" w:ascii="黑体" w:hAnsi="黑体" w:eastAsia="黑体" w:cs="黑体"/>
          <w:sz w:val="32"/>
          <w:szCs w:val="32"/>
        </w:rPr>
        <w:t>四、民生民计持续改善。</w:t>
      </w:r>
      <w:r>
        <w:rPr>
          <w:rFonts w:hint="eastAsia" w:ascii="仿宋_GB2312" w:hAnsi="宋体" w:eastAsia="仿宋_GB2312" w:cs="宋体"/>
          <w:color w:val="000000"/>
          <w:sz w:val="32"/>
          <w:szCs w:val="32"/>
        </w:rPr>
        <w:t>坚持民生为本，提升人民群众的获得感、幸福感、安全感日益增强。</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（一）教育就业方面。</w:t>
      </w:r>
      <w:r>
        <w:rPr>
          <w:rFonts w:hint="eastAsia" w:ascii="仿宋_GB2312" w:hAnsi="仿宋_GB2312" w:eastAsia="仿宋_GB2312" w:cs="仿宋_GB2312"/>
          <w:sz w:val="32"/>
          <w:szCs w:val="32"/>
        </w:rPr>
        <w:t>教育惠民政策全面落实，做到了“应免尽免”“应补尽补”。坚持依法控辍，加大宣传力度，创造舆论氛围，提高思想认识，增强法制观念，完善控辍保学长效机制。2021年农村劳动力转移就业320人，实现劳动转移增收960万元。安置公益性岗位96人，促进高校、“9+3”毕业生、青壮牧民等群体就业创业。</w:t>
      </w:r>
    </w:p>
    <w:p>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（二）医疗卫生方面。</w:t>
      </w:r>
      <w:r>
        <w:rPr>
          <w:rFonts w:hint="eastAsia" w:ascii="仿宋_GB2312" w:hAnsi="仿宋_GB2312" w:eastAsia="仿宋_GB2312" w:cs="仿宋_GB2312"/>
          <w:sz w:val="32"/>
          <w:szCs w:val="32"/>
        </w:rPr>
        <w:t>进一步完善镇、村两级卫生服务体系建设，组织适龄妇女积极参加“关爱草原母亲行动”卫生知识宣讲和免费体检活动，着力实施医疗卫生工程，18至60岁妇女健康免费体检率达95%，儿童疫苗接种率达到90%，继续推进新型农村合作医疗制度，积极开展避孕节育、优生服务等科普知识宣传活动。全镇超过95％的人接受了免费健康检查。2021年新增人口53人，人口自然增长率控制在5‰以内。</w:t>
      </w:r>
    </w:p>
    <w:p>
      <w:pPr>
        <w:spacing w:line="560" w:lineRule="exact"/>
        <w:ind w:firstLine="643" w:firstLineChars="200"/>
        <w:rPr>
          <w:rFonts w:ascii="仿宋_GB2312" w:hAnsi="仿宋_GB2312" w:eastAsia="仿宋_GB2312" w:cs="仿宋_GB2312"/>
          <w:color w:val="000000"/>
          <w:sz w:val="32"/>
          <w:szCs w:val="32"/>
        </w:rPr>
      </w:pPr>
      <w:r>
        <w:rPr>
          <w:rFonts w:hint="eastAsia" w:ascii="楷体_GB2312" w:hAnsi="楷体_GB2312" w:eastAsia="楷体_GB2312" w:cs="楷体_GB2312"/>
          <w:b/>
          <w:bCs/>
          <w:sz w:val="32"/>
          <w:szCs w:val="32"/>
        </w:rPr>
        <w:t>（三）社会保障方面。</w:t>
      </w:r>
      <w:r>
        <w:rPr>
          <w:rFonts w:hint="eastAsia" w:ascii="仿宋_GB2312" w:hAnsi="仿宋_GB2312" w:eastAsia="仿宋_GB2312" w:cs="仿宋_GB2312"/>
          <w:color w:val="000000"/>
          <w:sz w:val="32"/>
          <w:szCs w:val="32"/>
        </w:rPr>
        <w:t>加强监督，规范管理，进一步将监控工作前移，建立业务、财务、信息对账制度，确保了在各个环节的运行。2021年全镇435人享受城乡最低生活保障，发放低保金107.47万元，26人享受五保，发放五保金18.72万元。高龄补助66人，发放补助6.67万元。</w:t>
      </w:r>
    </w:p>
    <w:p>
      <w:pPr>
        <w:spacing w:line="560" w:lineRule="exact"/>
        <w:ind w:firstLine="64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（四）城乡环境治理方面。</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抓好生态环境保护宣传教育。通过群众大会、党员大会、走村入户开展形式多样的生态环境保护宣传教育。坚持每月22日环境整治日活动，引导群众改变陈规陋习。</w:t>
      </w:r>
      <w:r>
        <w:rPr>
          <w:rFonts w:hint="eastAsia" w:ascii="仿宋_GB2312" w:hAnsi="仿宋_GB2312" w:eastAsia="仿宋_GB2312" w:cs="仿宋_GB2312"/>
          <w:b/>
          <w:bCs/>
          <w:sz w:val="32"/>
          <w:szCs w:val="32"/>
        </w:rPr>
        <w:t>二</w:t>
      </w:r>
      <w:r>
        <w:rPr>
          <w:rFonts w:hint="eastAsia" w:ascii="仿宋_GB2312" w:hAnsi="仿宋_GB2312" w:eastAsia="仿宋_GB2312" w:cs="仿宋_GB2312"/>
          <w:sz w:val="32"/>
          <w:szCs w:val="32"/>
        </w:rPr>
        <w:t>是抓好生态环境巡查守护。严格落实每日巡查制度，建立巡查台账，对乱搭乱建、乱采乱挖、乱停乱放等“七乱”进行有力整治。对72名生态公益性岗位进行岗位设定，督促履职尽责。三是抓好河长制工作落实落地。建立“一河一策”“一河一档”，确保工作落实落地，结合每日巡查，加强日常监管、污染治理、水源保护等工作。</w:t>
      </w:r>
    </w:p>
    <w:p>
      <w:pPr>
        <w:spacing w:line="560" w:lineRule="exact"/>
        <w:ind w:firstLine="640" w:firstLineChars="200"/>
        <w:rPr>
          <w:rFonts w:ascii="楷体_GB2312" w:hAnsi="楷体_GB2312" w:eastAsia="仿宋_GB2312" w:cs="楷体_GB2312"/>
          <w:b/>
          <w:bCs/>
          <w:sz w:val="32"/>
          <w:szCs w:val="32"/>
        </w:rPr>
      </w:pPr>
      <w:r>
        <w:rPr>
          <w:rFonts w:hint="eastAsia" w:ascii="黑体" w:hAnsi="黑体" w:eastAsia="黑体" w:cs="黑体"/>
          <w:sz w:val="32"/>
          <w:szCs w:val="32"/>
        </w:rPr>
        <w:t>五、新冠疫情有效防控。</w:t>
      </w:r>
      <w:r>
        <w:rPr>
          <w:rFonts w:hint="eastAsia" w:ascii="仿宋_GB2312" w:hAnsi="仿宋_GB2312" w:eastAsia="仿宋_GB2312" w:cs="仿宋_GB2312"/>
          <w:b/>
          <w:bCs/>
          <w:color w:val="000000"/>
          <w:sz w:val="32"/>
          <w:szCs w:val="32"/>
        </w:rPr>
        <w:t>一是</w:t>
      </w:r>
      <w:r>
        <w:rPr>
          <w:rFonts w:hint="eastAsia" w:ascii="仿宋_GB2312" w:hAnsi="宋体" w:eastAsia="仿宋_GB2312" w:cs="仿宋_GB2312"/>
          <w:sz w:val="32"/>
          <w:szCs w:val="32"/>
        </w:rPr>
        <w:t>为全面做好</w:t>
      </w:r>
      <w:r>
        <w:rPr>
          <w:rFonts w:hint="eastAsia" w:ascii="仿宋_GB2312" w:hAnsi="仿宋_GB2312" w:eastAsia="仿宋_GB2312" w:cs="仿宋_GB2312"/>
          <w:color w:val="000000"/>
          <w:sz w:val="32"/>
          <w:szCs w:val="32"/>
        </w:rPr>
        <w:t>返乡返岗、复工复产、</w:t>
      </w:r>
      <w:r>
        <w:rPr>
          <w:rFonts w:hint="eastAsia" w:ascii="仿宋_GB2312" w:hAnsi="宋体" w:eastAsia="仿宋_GB2312" w:cs="仿宋_GB2312"/>
          <w:sz w:val="32"/>
          <w:szCs w:val="32"/>
        </w:rPr>
        <w:t>外来人员、来自中高风险地区人员、入境人员等重点人员的信息登记、摸排和日常</w:t>
      </w:r>
      <w:r>
        <w:rPr>
          <w:rFonts w:hint="eastAsia" w:ascii="仿宋_GB2312" w:hAnsi="仿宋_GB2312" w:eastAsia="仿宋_GB2312" w:cs="仿宋_GB2312"/>
          <w:color w:val="000000"/>
          <w:sz w:val="32"/>
          <w:szCs w:val="32"/>
        </w:rPr>
        <w:t>监测</w:t>
      </w:r>
      <w:r>
        <w:rPr>
          <w:rFonts w:hint="eastAsia" w:ascii="仿宋_GB2312" w:hAnsi="宋体" w:eastAsia="仿宋_GB2312" w:cs="仿宋_GB2312"/>
          <w:sz w:val="32"/>
          <w:szCs w:val="32"/>
        </w:rPr>
        <w:t>管理，进村入户全面摸排返乡四类人员，并推广天府健康码和宣传防疫知识。</w:t>
      </w:r>
      <w:r>
        <w:rPr>
          <w:rFonts w:hint="eastAsia" w:ascii="仿宋_GB2312" w:hAnsi="仿宋_GB2312" w:eastAsia="仿宋_GB2312" w:cs="仿宋_GB2312"/>
          <w:b/>
          <w:bCs/>
          <w:color w:val="000000"/>
          <w:sz w:val="32"/>
          <w:szCs w:val="32"/>
        </w:rPr>
        <w:t>二是</w:t>
      </w:r>
      <w:r>
        <w:rPr>
          <w:rFonts w:hint="eastAsia" w:ascii="仿宋_GB2312" w:hAnsi="宋体" w:eastAsia="仿宋_GB2312" w:cs="仿宋_GB2312"/>
          <w:sz w:val="32"/>
          <w:szCs w:val="32"/>
        </w:rPr>
        <w:t>不定时对街面店铺的冷链食品进行排查，对进口冷链食品严格按照“两证明一报告一信息”进行对照检查。冷链食品排查50余人次，为打赢疫情防控战奠定了基础。三是配合卫生院做好新冠疫苗注射工作。截止目前，我镇接种完成第一针剂2957人、第二针剂2930人、第三针剂5人。</w:t>
      </w:r>
    </w:p>
    <w:p>
      <w:pPr>
        <w:spacing w:line="560" w:lineRule="exact"/>
        <w:ind w:firstLine="640"/>
        <w:rPr>
          <w:rFonts w:ascii="仿宋_GB2312" w:hAnsi="仿宋_GB2312" w:eastAsia="仿宋_GB2312" w:cs="仿宋_GB2312"/>
          <w:sz w:val="32"/>
          <w:szCs w:val="32"/>
        </w:rPr>
      </w:pPr>
      <w:r>
        <w:rPr>
          <w:rFonts w:hint="eastAsia" w:ascii="黑体" w:hAnsi="黑体" w:eastAsia="黑体" w:cs="黑体"/>
          <w:sz w:val="32"/>
          <w:szCs w:val="32"/>
        </w:rPr>
        <w:t>六、社会和谐持续巩固。</w:t>
      </w:r>
      <w:r>
        <w:rPr>
          <w:rFonts w:hint="eastAsia" w:ascii="仿宋_GB2312" w:hAnsi="仿宋_GB2312" w:eastAsia="仿宋_GB2312" w:cs="仿宋_GB2312"/>
          <w:spacing w:val="-6"/>
          <w:sz w:val="32"/>
          <w:szCs w:val="32"/>
        </w:rPr>
        <w:t>打造共建共治共享治理格局，提高社会治理水平，社会大局持续和谐稳定。</w:t>
      </w:r>
      <w:r>
        <w:rPr>
          <w:rFonts w:hint="eastAsia" w:ascii="楷体_GB2312" w:hAnsi="楷体_GB2312" w:eastAsia="楷体_GB2312" w:cs="楷体_GB2312"/>
          <w:b/>
          <w:bCs/>
          <w:sz w:val="32"/>
          <w:szCs w:val="32"/>
        </w:rPr>
        <w:t>社会管理切实创新。</w:t>
      </w:r>
      <w:r>
        <w:rPr>
          <w:rFonts w:hint="eastAsia" w:ascii="仿宋_GB2312" w:hAnsi="仿宋_GB2312" w:eastAsia="仿宋_GB2312" w:cs="仿宋_GB2312"/>
          <w:spacing w:val="-6"/>
          <w:sz w:val="32"/>
          <w:szCs w:val="32"/>
        </w:rPr>
        <w:t>依托网格化管理创新社会管理和社会常态化治理工作，建立红原县综合治理安曲分中心，实施雪亮工程，全镇监控达到36个，实现网格内群众的全覆盖、全方位、全过程动态管理和服务。建立规范便民服</w:t>
      </w:r>
      <w:r>
        <w:rPr>
          <w:rFonts w:hint="eastAsia" w:ascii="仿宋_GB2312" w:hAnsi="仿宋_GB2312" w:eastAsia="仿宋_GB2312" w:cs="仿宋_GB2312"/>
          <w:sz w:val="32"/>
          <w:szCs w:val="32"/>
        </w:rPr>
        <w:t>务中心，确保群众“找得到人”“办得成事”。深入开展“两联一进”全覆盖群众工作，切实为群众做好事、办实事、解难事。</w:t>
      </w:r>
      <w:r>
        <w:rPr>
          <w:rFonts w:hint="eastAsia" w:ascii="楷体_GB2312" w:hAnsi="楷体_GB2312" w:eastAsia="楷体_GB2312" w:cs="楷体_GB2312"/>
          <w:b/>
          <w:bCs/>
          <w:sz w:val="32"/>
          <w:szCs w:val="32"/>
        </w:rPr>
        <w:t>依法治镇深入开展。</w:t>
      </w:r>
      <w:r>
        <w:rPr>
          <w:rFonts w:hint="eastAsia" w:ascii="仿宋_GB2312" w:hAnsi="仿宋_GB2312" w:eastAsia="仿宋_GB2312" w:cs="仿宋_GB2312"/>
          <w:sz w:val="32"/>
          <w:szCs w:val="32"/>
        </w:rPr>
        <w:t>依托“法律七进”为载体，组建法宣队，送法进远牧点，提升群众法制观念、增强群众法制意识。积极开展扫黑除恶专项斗争、民族团结进步创建、“凡人善举”“敬信勤新”新民风培树等工作。</w:t>
      </w:r>
    </w:p>
    <w:p>
      <w:pPr>
        <w:spacing w:line="560" w:lineRule="exact"/>
        <w:ind w:firstLine="640"/>
        <w:rPr>
          <w:rFonts w:ascii="仿宋_GB2312" w:hAnsi="仿宋_GB2312" w:eastAsia="仿宋_GB2312" w:cs="仿宋_GB2312"/>
          <w:sz w:val="32"/>
          <w:szCs w:val="32"/>
        </w:rPr>
      </w:pPr>
      <w:r>
        <w:rPr>
          <w:rFonts w:hint="eastAsia" w:ascii="黑体" w:hAnsi="黑体" w:eastAsia="黑体" w:cs="黑体"/>
          <w:sz w:val="32"/>
          <w:szCs w:val="32"/>
        </w:rPr>
        <w:t>七、安全生产持续强化。</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深入开展森林草原防灭火专项整治，常态化开展巡查排查，</w:t>
      </w:r>
      <w:r>
        <w:rPr>
          <w:rFonts w:hint="eastAsia" w:ascii="仿宋_GB2312" w:hAnsi="仿宋_GB2312" w:eastAsia="仿宋_GB2312" w:cs="仿宋_GB2312"/>
          <w:color w:val="000000"/>
          <w:sz w:val="32"/>
          <w:szCs w:val="32"/>
        </w:rPr>
        <w:t>围绕重点时段、重点区域、重点人群，开展火灾风险隐患专项排查，建立问题清单、整改清单，明确责任、细化措施、跟踪问效，切实消除问</w:t>
      </w:r>
      <w:r>
        <w:rPr>
          <w:rFonts w:hint="eastAsia" w:ascii="仿宋_GB2312" w:hAnsi="仿宋_GB2312" w:eastAsia="仿宋_GB2312" w:cs="仿宋_GB2312"/>
          <w:sz w:val="32"/>
          <w:szCs w:val="32"/>
        </w:rPr>
        <w:t>题隐患。有重点地组织全镇扑火力量开展技能战术、设备使用、扑火安全等培训3次。防火期内每日维修、保养、更换灭火装备机具，确保关键时候拉</w:t>
      </w:r>
      <w:r>
        <w:rPr>
          <w:rFonts w:hint="eastAsia" w:ascii="仿宋_GB2312" w:hAnsi="仿宋_GB2312" w:eastAsia="仿宋_GB2312" w:cs="仿宋_GB2312"/>
          <w:color w:val="000000"/>
          <w:sz w:val="32"/>
          <w:szCs w:val="32"/>
        </w:rPr>
        <w:t>得出、会使用、起作用，</w:t>
      </w:r>
      <w:r>
        <w:rPr>
          <w:rFonts w:hint="eastAsia" w:ascii="仿宋_GB2312" w:hAnsi="仿宋_GB2312" w:eastAsia="仿宋_GB2312" w:cs="仿宋_GB2312"/>
          <w:sz w:val="32"/>
          <w:szCs w:val="32"/>
        </w:rPr>
        <w:t>全面提升森林草原防灭火水平。</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严格落实安全生产行业监管责任和企业主体责任，强化道路交通、项目建设、食品药品等重点领域安全监管，建立隐患台账，健全完善应急管理体系，全面提升防灾减灾救灾能力，全力保障人民群众生命财产安全。</w:t>
      </w:r>
    </w:p>
    <w:p>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八、自身建设持续加强。</w:t>
      </w:r>
      <w:r>
        <w:rPr>
          <w:rFonts w:hint="eastAsia" w:ascii="仿宋_GB2312" w:hAnsi="仿宋_GB2312" w:eastAsia="仿宋_GB2312" w:cs="仿宋_GB2312"/>
          <w:b/>
          <w:bCs/>
          <w:color w:val="000000"/>
          <w:sz w:val="32"/>
          <w:szCs w:val="32"/>
        </w:rPr>
        <w:t>一是依法行政，监管体系更加健全。</w:t>
      </w:r>
      <w:r>
        <w:rPr>
          <w:rFonts w:hint="eastAsia" w:ascii="仿宋_GB2312" w:hAnsi="仿宋_GB2312" w:eastAsia="仿宋_GB2312" w:cs="仿宋_GB2312"/>
          <w:sz w:val="32"/>
          <w:szCs w:val="32"/>
        </w:rPr>
        <w:t>坚持为民、务实、清廉，加快建设法治政府、服务政府和廉洁政府。严格落实“三重一大”议事决策机制。</w:t>
      </w:r>
      <w:r>
        <w:rPr>
          <w:rFonts w:hint="eastAsia" w:ascii="仿宋_GB2312" w:hAnsi="仿宋_GB2312" w:eastAsia="仿宋_GB2312" w:cs="仿宋_GB2312"/>
          <w:b/>
          <w:bCs/>
          <w:color w:val="000000"/>
          <w:sz w:val="32"/>
          <w:szCs w:val="32"/>
        </w:rPr>
        <w:t>二是廉洁奉公，作风建设持续深化。</w:t>
      </w:r>
      <w:r>
        <w:rPr>
          <w:rFonts w:hint="eastAsia" w:ascii="仿宋_GB2312" w:hAnsi="仿宋_GB2312" w:eastAsia="仿宋_GB2312" w:cs="仿宋_GB2312"/>
          <w:sz w:val="32"/>
          <w:szCs w:val="32"/>
        </w:rPr>
        <w:t>制定镇干部精细化管理、村干部轮流坐班等制度，加强干部管理，建设一支作风硬，守纪律，团结向上，执行力强，切实为民办实事的干部队伍。</w:t>
      </w:r>
    </w:p>
    <w:p>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今年以来，安曲镇工作每一点进步、每一份成绩，都是县委、县政府深切关怀和镇党委正确领导的结果，是全镇各族干部群众齐心协力、奋</w:t>
      </w:r>
      <w:r>
        <w:rPr>
          <w:rFonts w:hint="eastAsia" w:ascii="仿宋_GB2312" w:hAnsi="仿宋_GB2312" w:eastAsia="仿宋_GB2312" w:cs="仿宋_GB2312"/>
          <w:spacing w:val="-6"/>
          <w:sz w:val="32"/>
          <w:szCs w:val="32"/>
        </w:rPr>
        <w:t>力拼搏的结果！在此，我谨代表镇人民政府向关心和支持全镇发展稳定的各位代表和同志们，表示衷心的感谢并致以崇高的敬意！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回顾过去，我们也清醒的认识到，民生领域还有不少短板,就业、教育、医疗、居住、养老、公共服务等方面与群众的期待还有差距；脱贫成果还需全力巩固，乡村振兴还需加力冲刺。对此,我们高度重视,正采取有力措施加以解决。</w:t>
      </w:r>
    </w:p>
    <w:p>
      <w:pPr>
        <w:spacing w:line="560" w:lineRule="exact"/>
        <w:jc w:val="center"/>
        <w:rPr>
          <w:rFonts w:ascii="黑体" w:hAnsi="黑体" w:eastAsia="黑体" w:cs="黑体"/>
          <w:sz w:val="44"/>
          <w:szCs w:val="44"/>
        </w:rPr>
      </w:pPr>
    </w:p>
    <w:p>
      <w:pPr>
        <w:adjustRightInd w:val="0"/>
        <w:snapToGrid w:val="0"/>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真抓实干，开创发展新局面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我们必须</w:t>
      </w:r>
      <w:r>
        <w:rPr>
          <w:rFonts w:hint="eastAsia" w:ascii="仿宋_GB2312" w:hAnsi="仿宋_GB2312" w:eastAsia="仿宋_GB2312" w:cs="仿宋_GB2312"/>
          <w:sz w:val="32"/>
          <w:szCs w:val="32"/>
        </w:rPr>
        <w:t>坚持习近平新时代中国特色社会主义思想为指导，</w:t>
      </w:r>
      <w:r>
        <w:rPr>
          <w:rFonts w:hint="eastAsia" w:ascii="仿宋_GB2312" w:hAnsi="仿宋_GB2312" w:eastAsia="仿宋_GB2312" w:cs="仿宋_GB2312"/>
          <w:color w:val="000000"/>
          <w:sz w:val="32"/>
          <w:szCs w:val="32"/>
        </w:rPr>
        <w:t>全面</w:t>
      </w:r>
      <w:r>
        <w:rPr>
          <w:rFonts w:hint="eastAsia" w:ascii="仿宋_GB2312" w:hAnsi="仿宋_GB2312" w:eastAsia="仿宋_GB2312" w:cs="仿宋_GB2312"/>
          <w:color w:val="000000"/>
          <w:sz w:val="32"/>
          <w:szCs w:val="32"/>
          <w:lang w:val="zh-CN"/>
        </w:rPr>
        <w:t>贯彻党的十九大、十九届</w:t>
      </w:r>
      <w:r>
        <w:rPr>
          <w:rFonts w:hint="eastAsia" w:ascii="仿宋_GB2312" w:hAnsi="仿宋_GB2312" w:eastAsia="仿宋_GB2312" w:cs="仿宋_GB2312"/>
          <w:color w:val="000000"/>
          <w:sz w:val="32"/>
          <w:szCs w:val="32"/>
        </w:rPr>
        <w:t>历次</w:t>
      </w:r>
      <w:r>
        <w:rPr>
          <w:rFonts w:hint="eastAsia" w:ascii="仿宋_GB2312" w:hAnsi="仿宋_GB2312" w:eastAsia="仿宋_GB2312" w:cs="仿宋_GB2312"/>
          <w:color w:val="000000"/>
          <w:sz w:val="32"/>
          <w:szCs w:val="32"/>
          <w:lang w:val="zh-CN"/>
        </w:rPr>
        <w:t>全会</w:t>
      </w:r>
      <w:r>
        <w:rPr>
          <w:rFonts w:hint="eastAsia" w:ascii="仿宋_GB2312" w:hAnsi="仿宋_GB2312" w:eastAsia="仿宋_GB2312" w:cs="仿宋_GB2312"/>
          <w:color w:val="000000"/>
          <w:sz w:val="32"/>
          <w:szCs w:val="32"/>
        </w:rPr>
        <w:t>精神和新时代党的治藏方略</w:t>
      </w:r>
      <w:r>
        <w:rPr>
          <w:rFonts w:hint="eastAsia" w:ascii="仿宋_GB2312" w:hAnsi="仿宋_GB2312" w:eastAsia="仿宋_GB2312" w:cs="仿宋_GB2312"/>
          <w:color w:val="000000"/>
          <w:sz w:val="32"/>
          <w:szCs w:val="32"/>
          <w:lang w:val="zh-CN"/>
        </w:rPr>
        <w:t>，</w:t>
      </w:r>
      <w:r>
        <w:rPr>
          <w:rFonts w:hint="eastAsia" w:ascii="仿宋_GB2312" w:hAnsi="仿宋_GB2312" w:eastAsia="仿宋_GB2312" w:cs="仿宋_GB2312"/>
          <w:color w:val="000000"/>
          <w:sz w:val="32"/>
          <w:szCs w:val="32"/>
        </w:rPr>
        <w:t>紧扣县委县政府提出的五个关键、抓好五个工程、办成五件大事、强化五项保障，</w:t>
      </w:r>
      <w:r>
        <w:rPr>
          <w:rFonts w:hint="eastAsia" w:ascii="仿宋_GB2312" w:hAnsi="仿宋_GB2312" w:eastAsia="仿宋_GB2312" w:cs="仿宋_GB2312"/>
          <w:sz w:val="32"/>
          <w:szCs w:val="32"/>
        </w:rPr>
        <w:t>转变经济发展方式，壮大特色优势产业，深入推进民生工程，提升公共服务水平，增强社会管理能力，为建设高原航空港、红原会客厅、牧区示范镇而努力奋斗。</w:t>
      </w:r>
      <w:r>
        <w:rPr>
          <w:rFonts w:hint="eastAsia" w:ascii="仿宋_GB2312" w:hAnsi="仿宋_GB2312" w:eastAsia="仿宋_GB2312" w:cs="仿宋_GB2312"/>
          <w:color w:val="000000"/>
          <w:sz w:val="32"/>
          <w:szCs w:val="32"/>
        </w:rPr>
        <w:t>围绕这些目标，要重点把握好以下几个方面工作。</w:t>
      </w:r>
    </w:p>
    <w:p>
      <w:pPr>
        <w:spacing w:line="560" w:lineRule="exact"/>
        <w:ind w:firstLine="640"/>
        <w:rPr>
          <w:rFonts w:ascii="仿宋_GB2312" w:hAnsi="仿宋_GB2312" w:eastAsia="仿宋_GB2312" w:cs="仿宋_GB2312"/>
          <w:sz w:val="32"/>
          <w:szCs w:val="32"/>
        </w:rPr>
      </w:pPr>
      <w:r>
        <w:rPr>
          <w:rFonts w:hint="eastAsia" w:ascii="黑体" w:hAnsi="黑体" w:eastAsia="黑体" w:cs="黑体"/>
          <w:sz w:val="32"/>
          <w:szCs w:val="32"/>
        </w:rPr>
        <w:t>一、绿色发展，不断壮大生态经济。</w:t>
      </w:r>
      <w:r>
        <w:rPr>
          <w:rFonts w:hint="eastAsia" w:ascii="仿宋_GB2312" w:hAnsi="仿宋_GB2312" w:eastAsia="仿宋_GB2312" w:cs="仿宋_GB2312"/>
          <w:sz w:val="32"/>
          <w:szCs w:val="32"/>
        </w:rPr>
        <w:t>秉持“牧民增收、产业转型、生态保护”思路，以实现“草原增绿、牧业增效、牧民增收”为目标，加快构建牧区特色产业体系。</w:t>
      </w:r>
      <w:r>
        <w:rPr>
          <w:rFonts w:hint="eastAsia" w:ascii="楷体_GB2312" w:hAnsi="楷体_GB2312" w:eastAsia="楷体_GB2312" w:cs="楷体_GB2312"/>
          <w:b/>
          <w:bCs/>
          <w:sz w:val="32"/>
          <w:szCs w:val="32"/>
        </w:rPr>
        <w:t>继续巩固畜牧业生产基础地位。</w:t>
      </w:r>
      <w:r>
        <w:rPr>
          <w:rFonts w:hint="eastAsia" w:ascii="仿宋_GB2312" w:hAnsi="仿宋_GB2312" w:eastAsia="仿宋_GB2312" w:cs="仿宋_GB2312"/>
          <w:sz w:val="32"/>
          <w:szCs w:val="32"/>
        </w:rPr>
        <w:t>大力建设畜牧基础设施，夯实产业发展基础。加快畜种改良提质，优化畜群结构。保护、培育改良天然草地，增加饲草总量。着力培育家庭示范牧场，联牧规模经营区、农民专业合作社等新型经营主体。发展清洁能源，推动哈拉玛200兆瓦光伏发电项目建成投产。</w:t>
      </w:r>
      <w:r>
        <w:rPr>
          <w:rFonts w:hint="eastAsia" w:ascii="仿宋_GB2312" w:hAnsi="仿宋_GB2312" w:eastAsia="仿宋_GB2312" w:cs="仿宋_GB2312"/>
          <w:b/>
          <w:bCs/>
          <w:sz w:val="32"/>
          <w:szCs w:val="32"/>
        </w:rPr>
        <w:t>开辟第三产业增收渠道。</w:t>
      </w:r>
      <w:r>
        <w:rPr>
          <w:rFonts w:hint="eastAsia" w:ascii="仿宋_GB2312" w:hAnsi="仿宋_GB2312" w:eastAsia="仿宋_GB2312" w:cs="仿宋_GB2312"/>
          <w:sz w:val="32"/>
          <w:szCs w:val="32"/>
        </w:rPr>
        <w:t>坚持“自然与文化”“观光与体验”“开发与保护”结合的发展原则，紧抓环红原机场旅游经济圈核心区建设契机，做好郭塘观光畜牧业的旅游开发，规范发展国道248安曲段沿线生态文化旅游业。</w:t>
      </w:r>
    </w:p>
    <w:p>
      <w:pPr>
        <w:spacing w:line="560" w:lineRule="exact"/>
        <w:ind w:firstLine="640"/>
        <w:rPr>
          <w:rFonts w:ascii="仿宋_GB2312" w:hAnsi="仿宋_GB2312" w:eastAsia="仿宋_GB2312" w:cs="仿宋_GB2312"/>
          <w:sz w:val="32"/>
          <w:szCs w:val="32"/>
        </w:rPr>
      </w:pPr>
      <w:r>
        <w:rPr>
          <w:rFonts w:hint="eastAsia" w:ascii="黑体" w:hAnsi="黑体" w:eastAsia="黑体" w:cs="黑体"/>
          <w:sz w:val="32"/>
          <w:szCs w:val="32"/>
        </w:rPr>
        <w:t>二、狠抓项目，不断夯实发展基础。</w:t>
      </w:r>
      <w:r>
        <w:rPr>
          <w:rFonts w:hint="eastAsia" w:ascii="仿宋_GB2312" w:hAnsi="仿宋_GB2312" w:eastAsia="仿宋_GB2312" w:cs="仿宋_GB2312"/>
          <w:sz w:val="32"/>
          <w:szCs w:val="32"/>
        </w:rPr>
        <w:t>围绕生态保护、优势产业、基础设施、社会事业等领域，挖掘、包装、实施一批基础性、全局性、长远性项目。2022年计划实施项目7个，其中投资130万元对安曲镇夺龙村村游客综合服务中心（农特产品展示展销中心）提升改造。投资90万元对安曲镇下哈拉玛村文化旅游广场进行提升改造。投资100万元对下哈拉玛村定居点自来水厂厂房、地基塌陷、漏水问题维修和改造。投资1000万元对夺龙村东康文旅民俗聚落打造，结合长征干部学院提供培训住宿，整体设计，打造精品民俗样板间，包括8个不同主题的客房和21个标准双人间在内的住宿客房50间，配套有观景体验区、游客服务中心、专业会议室、授课中心、餐饮中心等基础设施。</w:t>
      </w:r>
    </w:p>
    <w:p>
      <w:pPr>
        <w:spacing w:line="560" w:lineRule="exact"/>
        <w:ind w:firstLine="640"/>
        <w:rPr>
          <w:rFonts w:ascii="仿宋_GB2312" w:hAnsi="仿宋_GB2312" w:eastAsia="仿宋_GB2312" w:cs="仿宋_GB2312"/>
          <w:sz w:val="32"/>
          <w:szCs w:val="32"/>
        </w:rPr>
      </w:pPr>
      <w:r>
        <w:rPr>
          <w:rFonts w:hint="eastAsia" w:ascii="黑体" w:hAnsi="黑体" w:eastAsia="黑体" w:cs="黑体"/>
          <w:sz w:val="32"/>
          <w:szCs w:val="32"/>
        </w:rPr>
        <w:t>三、强化保障，大力改善群众生活。</w:t>
      </w:r>
      <w:r>
        <w:rPr>
          <w:rFonts w:hint="eastAsia" w:ascii="仿宋_GB2312" w:hAnsi="仿宋_GB2312" w:eastAsia="仿宋_GB2312" w:cs="仿宋_GB2312"/>
          <w:sz w:val="32"/>
          <w:szCs w:val="32"/>
        </w:rPr>
        <w:t>深入实施民生工程，努力办好民生实事，让群众更多、更好地分享改革发展成果。</w:t>
      </w:r>
      <w:r>
        <w:rPr>
          <w:rFonts w:hint="eastAsia" w:ascii="楷体_GB2312" w:hAnsi="楷体_GB2312" w:eastAsia="楷体_GB2312" w:cs="楷体_GB2312"/>
          <w:b/>
          <w:bCs/>
          <w:sz w:val="32"/>
          <w:szCs w:val="32"/>
        </w:rPr>
        <w:t>完善社会保障体系。</w:t>
      </w:r>
      <w:r>
        <w:rPr>
          <w:rFonts w:hint="eastAsia" w:ascii="仿宋_GB2312" w:hAnsi="仿宋_GB2312" w:eastAsia="仿宋_GB2312" w:cs="仿宋_GB2312"/>
          <w:sz w:val="32"/>
          <w:szCs w:val="32"/>
        </w:rPr>
        <w:t>深入实施保障性住房建设、藏区新居建设、农村危房改造工程。进一步加大农村养老保险宣传力度，扩大覆盖面，提高参保率。积极解决低收入群体生活困难。鼓励自主择业就业、转产转业，支持企业吸纳就业，加强特色技能培训，认真落实扶持政策，提高稳定就业能力和水平。</w:t>
      </w:r>
      <w:r>
        <w:rPr>
          <w:rFonts w:hint="eastAsia" w:ascii="楷体_GB2312" w:hAnsi="楷体_GB2312" w:eastAsia="楷体_GB2312" w:cs="楷体_GB2312"/>
          <w:b/>
          <w:bCs/>
          <w:sz w:val="32"/>
          <w:szCs w:val="32"/>
        </w:rPr>
        <w:t>提高公共服务水平。</w:t>
      </w:r>
      <w:r>
        <w:rPr>
          <w:rFonts w:hint="eastAsia" w:ascii="仿宋_GB2312" w:hAnsi="仿宋_GB2312" w:eastAsia="仿宋_GB2312" w:cs="仿宋_GB2312"/>
          <w:sz w:val="32"/>
          <w:szCs w:val="32"/>
        </w:rPr>
        <w:t>加强学校教育教学管理和师资队伍建设，努力完善学校基础设施建设。扎实做好医疗卫生服务工作，加强医德医风建设，提升诊疗水平。完善公共文化服务体系，加快推进文体基础设施建设，积极举办各类民俗文体活动。落实安全生产责任制，加强食品药品安全监督。落实环境综合治理包段包区域责任制，推进全域无垃圾治理。加强群团组织建设和双拥等工作。</w:t>
      </w:r>
    </w:p>
    <w:p>
      <w:pPr>
        <w:spacing w:line="560" w:lineRule="exact"/>
        <w:ind w:firstLine="640" w:firstLineChars="200"/>
        <w:rPr>
          <w:rFonts w:ascii="仿宋_GB2312" w:hAnsi="仿宋_GB2312" w:eastAsia="仿宋_GB2312" w:cs="仿宋_GB2312"/>
          <w:color w:val="000000"/>
          <w:sz w:val="32"/>
          <w:szCs w:val="32"/>
        </w:rPr>
      </w:pPr>
      <w:r>
        <w:rPr>
          <w:rFonts w:hint="eastAsia" w:ascii="黑体" w:hAnsi="黑体" w:eastAsia="黑体" w:cs="黑体"/>
          <w:sz w:val="32"/>
          <w:szCs w:val="32"/>
        </w:rPr>
        <w:t>四、协调推进，不断推动基层治理。</w:t>
      </w:r>
      <w:r>
        <w:rPr>
          <w:rFonts w:hint="eastAsia" w:ascii="仿宋_GB2312" w:hAnsi="仿宋_GB2312" w:eastAsia="仿宋_GB2312" w:cs="仿宋_GB2312"/>
          <w:color w:val="000000"/>
          <w:sz w:val="32"/>
          <w:szCs w:val="32"/>
        </w:rPr>
        <w:t>持续边开展、边总结、边巩固、边提高，及时认真总结工作经验，查漏补缺，积极探索建立制度化、常态化的基层治理工作机制，将重点打击与常态治理有机结合，形成党委、政府统一领导、人民群众广泛参与的基层治理体系，巩固和扩大扫黑除恶工作成果。</w:t>
      </w:r>
    </w:p>
    <w:p>
      <w:pPr>
        <w:spacing w:line="560" w:lineRule="exact"/>
        <w:ind w:firstLine="640" w:firstLineChars="200"/>
        <w:rPr>
          <w:rFonts w:ascii="仿宋_GB2312" w:hAnsi="仿宋_GB2312" w:eastAsia="仿宋_GB2312" w:cs="仿宋_GB2312"/>
          <w:spacing w:val="-6"/>
          <w:sz w:val="32"/>
          <w:szCs w:val="32"/>
        </w:rPr>
      </w:pPr>
      <w:r>
        <w:rPr>
          <w:rFonts w:hint="eastAsia" w:ascii="黑体" w:hAnsi="黑体" w:eastAsia="黑体" w:cs="黑体"/>
          <w:sz w:val="32"/>
          <w:szCs w:val="32"/>
        </w:rPr>
        <w:t>五、依法行政，不断建设廉洁政府。</w:t>
      </w:r>
      <w:r>
        <w:rPr>
          <w:rFonts w:hint="eastAsia" w:ascii="仿宋_GB2312" w:hAnsi="仿宋_GB2312" w:eastAsia="仿宋_GB2312" w:cs="仿宋_GB2312"/>
          <w:sz w:val="32"/>
          <w:szCs w:val="32"/>
        </w:rPr>
        <w:t>坚持科学、民主、依法决策，加快法治政府建设进程，自觉接受群众监督。持续推进政务服务体系和标准化建设，营造良好的政务环境。深入推进财政资金、重大项目、社会事业、公共服务等重点信息公开，保障群众知情权、参与权和监督权。坚持把政治纪律和政治规矩挺在前</w:t>
      </w:r>
      <w:r>
        <w:rPr>
          <w:rFonts w:hint="eastAsia" w:ascii="仿宋_GB2312" w:hAnsi="仿宋_GB2312" w:eastAsia="仿宋_GB2312" w:cs="仿宋_GB2312"/>
          <w:spacing w:val="-6"/>
          <w:sz w:val="32"/>
          <w:szCs w:val="32"/>
        </w:rPr>
        <w:t>面，切实增强“四个意识”，强化干部队伍管理，严格执行精细化管理制度，转变干部作风，激发干部积极性，提升干部工作能力。</w:t>
      </w:r>
    </w:p>
    <w:p>
      <w:pPr>
        <w:spacing w:line="560" w:lineRule="exact"/>
        <w:ind w:firstLine="640" w:firstLineChars="200"/>
        <w:rPr>
          <w:rFonts w:ascii="仿宋_GB2312" w:hAnsi="仿宋_GB2312" w:eastAsia="仿宋_GB2312" w:cs="仿宋_GB2312"/>
          <w:spacing w:val="-6"/>
          <w:sz w:val="32"/>
          <w:szCs w:val="32"/>
        </w:rPr>
      </w:pPr>
      <w:r>
        <w:rPr>
          <w:rFonts w:hint="eastAsia" w:ascii="仿宋_GB2312" w:hAnsi="仿宋_GB2312" w:eastAsia="仿宋_GB2312" w:cs="仿宋_GB2312"/>
          <w:sz w:val="32"/>
          <w:szCs w:val="32"/>
        </w:rPr>
        <w:t>目标已经明确，宏图已经绘就，在“十四五”规划的引领下，全镇各族干部群众要团结一心，振奋精神，埋头苦干，创业创新，以大无畏的精神进军2022，争做红原的排头兵、领航者，努力开创安曲政治、经济、社会又好又快发展的新局面！</w:t>
      </w:r>
    </w:p>
    <w:p>
      <w:pPr>
        <w:pStyle w:val="4"/>
        <w:rPr>
          <w:rStyle w:val="27"/>
          <w:b w:val="0"/>
          <w:bCs w:val="0"/>
          <w:color w:val="000000" w:themeColor="text1"/>
          <w14:textFill>
            <w14:solidFill>
              <w14:schemeClr w14:val="tx1"/>
            </w14:solidFill>
          </w14:textFill>
        </w:rPr>
      </w:pPr>
      <w:bookmarkStart w:id="20" w:name="_Toc15396601"/>
      <w:bookmarkStart w:id="21" w:name="_Toc15377200"/>
      <w:r>
        <w:rPr>
          <w:rFonts w:hint="eastAsia" w:ascii="黑体" w:eastAsia="黑体"/>
          <w:b w:val="0"/>
          <w:color w:val="000000" w:themeColor="text1"/>
          <w14:textFill>
            <w14:solidFill>
              <w14:schemeClr w14:val="tx1"/>
            </w14:solidFill>
          </w14:textFill>
        </w:rPr>
        <w:t>二、</w:t>
      </w:r>
      <w:r>
        <w:rPr>
          <w:rFonts w:hint="eastAsia" w:ascii="黑体" w:hAnsi="黑体" w:eastAsia="黑体"/>
          <w:b w:val="0"/>
          <w:color w:val="000000" w:themeColor="text1"/>
          <w14:textFill>
            <w14:solidFill>
              <w14:schemeClr w14:val="tx1"/>
            </w14:solidFill>
          </w14:textFill>
        </w:rPr>
        <w:t>机</w:t>
      </w:r>
      <w:r>
        <w:rPr>
          <w:rStyle w:val="27"/>
          <w:rFonts w:hint="eastAsia" w:ascii="黑体" w:hAnsi="黑体" w:eastAsia="黑体"/>
          <w:b w:val="0"/>
          <w:bCs w:val="0"/>
          <w:color w:val="000000" w:themeColor="text1"/>
          <w14:textFill>
            <w14:solidFill>
              <w14:schemeClr w14:val="tx1"/>
            </w14:solidFill>
          </w14:textFill>
        </w:rPr>
        <w:t>构设置</w:t>
      </w:r>
      <w:bookmarkEnd w:id="20"/>
      <w:bookmarkEnd w:id="21"/>
    </w:p>
    <w:p>
      <w:pPr>
        <w:snapToGrid w:val="0"/>
        <w:spacing w:line="52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安曲镇人民政府下属二级单位0个，其中行政单位0个，参照公务员法管理的事业单位</w:t>
      </w:r>
      <w:r>
        <w:rPr>
          <w:rFonts w:hint="eastAsia" w:ascii="仿宋" w:hAnsi="仿宋" w:eastAsia="仿宋"/>
          <w:bCs/>
          <w:color w:val="000000" w:themeColor="text1"/>
          <w:sz w:val="32"/>
          <w:szCs w:val="32"/>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个，其他事业单位0个。</w:t>
      </w:r>
      <w:bookmarkStart w:id="22" w:name="_Toc15377201"/>
      <w:bookmarkStart w:id="23" w:name="_Toc15377432"/>
      <w:bookmarkStart w:id="24" w:name="_Toc15378448"/>
      <w:bookmarkStart w:id="25" w:name="_Toc15306275"/>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bookmarkEnd w:id="22"/>
      <w:bookmarkEnd w:id="23"/>
      <w:bookmarkEnd w:id="24"/>
      <w:bookmarkEnd w:id="25"/>
      <w:r>
        <w:rPr>
          <w:rFonts w:hint="eastAsia" w:ascii="仿宋_GB2312" w:hAnsi="仿宋_GB2312" w:eastAsia="仿宋_GB2312" w:cs="仿宋_GB2312"/>
          <w:bCs/>
          <w:color w:val="000000" w:themeColor="text1"/>
          <w:sz w:val="32"/>
          <w:szCs w:val="32"/>
          <w14:textFill>
            <w14:solidFill>
              <w14:schemeClr w14:val="tx1"/>
            </w14:solidFill>
          </w14:textFill>
        </w:rPr>
        <w:t>总编制37名，其中：行政编制21 名，事业编制14，行政工勤编制2名；在职人员总数35名，其中：行政人员20名，事业编制13名，行政工勤编制人员2名。</w:t>
      </w:r>
      <w:r>
        <w:rPr>
          <w:rFonts w:hint="eastAsia" w:ascii="仿宋_GB2312" w:hAnsi="仿宋_GB2312" w:eastAsia="仿宋_GB2312" w:cs="仿宋_GB2312"/>
          <w:color w:val="000000" w:themeColor="text1"/>
          <w:sz w:val="32"/>
          <w:szCs w:val="32"/>
          <w14:textFill>
            <w14:solidFill>
              <w14:schemeClr w14:val="tx1"/>
            </w14:solidFill>
          </w14:textFill>
        </w:rPr>
        <w:t>安曲镇下辖3个行政村，村干部15名，村民小组长26名。</w:t>
      </w:r>
    </w:p>
    <w:p>
      <w:pPr>
        <w:snapToGrid w:val="0"/>
        <w:spacing w:line="520" w:lineRule="exact"/>
        <w:ind w:firstLine="640" w:firstLineChars="200"/>
        <w:rPr>
          <w:rFonts w:ascii="仿宋" w:hAnsi="仿宋" w:eastAsia="仿宋"/>
          <w:color w:val="000000" w:themeColor="text1"/>
          <w:kern w:val="0"/>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pPr>
        <w:pStyle w:val="3"/>
        <w:ind w:right="440" w:firstLine="440" w:firstLineChars="100"/>
        <w:rPr>
          <w:rStyle w:val="26"/>
          <w:rFonts w:ascii="黑体" w:hAnsi="黑体" w:eastAsia="黑体"/>
          <w:b w:val="0"/>
          <w:bCs w:val="0"/>
          <w:color w:val="000000" w:themeColor="text1"/>
          <w14:textFill>
            <w14:solidFill>
              <w14:schemeClr w14:val="tx1"/>
            </w14:solidFill>
          </w14:textFill>
        </w:rPr>
      </w:pPr>
      <w:bookmarkStart w:id="26" w:name="_Toc15377204"/>
      <w:bookmarkStart w:id="27" w:name="_Toc15396602"/>
      <w:r>
        <w:rPr>
          <w:rFonts w:hint="eastAsia" w:ascii="黑体" w:hAnsi="黑体" w:eastAsia="黑体"/>
          <w:b w:val="0"/>
          <w:color w:val="000000" w:themeColor="text1"/>
          <w14:textFill>
            <w14:solidFill>
              <w14:schemeClr w14:val="tx1"/>
            </w14:solidFill>
          </w14:textFill>
        </w:rPr>
        <w:t>第二部分</w:t>
      </w:r>
      <w:r>
        <w:rPr>
          <w:rFonts w:hint="eastAsia" w:ascii="黑体" w:hAnsi="黑体" w:eastAsia="黑体"/>
          <w:color w:val="000000" w:themeColor="text1"/>
          <w14:textFill>
            <w14:solidFill>
              <w14:schemeClr w14:val="tx1"/>
            </w14:solidFill>
          </w14:textFill>
        </w:rPr>
        <w:t xml:space="preserve"> </w:t>
      </w:r>
      <w:r>
        <w:rPr>
          <w:rStyle w:val="26"/>
          <w:rFonts w:hint="eastAsia" w:ascii="黑体" w:hAnsi="黑体" w:eastAsia="黑体"/>
          <w:b w:val="0"/>
          <w:bCs w:val="0"/>
          <w:color w:val="000000" w:themeColor="text1"/>
          <w14:textFill>
            <w14:solidFill>
              <w14:schemeClr w14:val="tx1"/>
            </w14:solidFill>
          </w14:textFill>
        </w:rPr>
        <w:t>2021年度部门决算情况说明</w:t>
      </w:r>
      <w:bookmarkEnd w:id="26"/>
      <w:bookmarkEnd w:id="27"/>
    </w:p>
    <w:p>
      <w:pPr>
        <w:rPr>
          <w:color w:val="000000" w:themeColor="text1"/>
          <w14:textFill>
            <w14:solidFill>
              <w14:schemeClr w14:val="tx1"/>
            </w14:solidFill>
          </w14:textFill>
        </w:rPr>
      </w:pPr>
    </w:p>
    <w:p>
      <w:pPr>
        <w:pStyle w:val="25"/>
        <w:numPr>
          <w:ilvl w:val="0"/>
          <w:numId w:val="1"/>
        </w:numPr>
        <w:spacing w:line="600" w:lineRule="exact"/>
        <w:ind w:firstLineChars="0"/>
        <w:outlineLvl w:val="1"/>
        <w:rPr>
          <w:rStyle w:val="27"/>
          <w:rFonts w:ascii="黑体" w:hAnsi="黑体" w:eastAsia="黑体"/>
          <w:b w:val="0"/>
          <w:color w:val="000000" w:themeColor="text1"/>
          <w14:textFill>
            <w14:solidFill>
              <w14:schemeClr w14:val="tx1"/>
            </w14:solidFill>
          </w14:textFill>
        </w:rPr>
      </w:pPr>
      <w:bookmarkStart w:id="28" w:name="_Toc15377205"/>
      <w:bookmarkStart w:id="29" w:name="_Toc15396603"/>
      <w:r>
        <w:rPr>
          <w:rFonts w:hint="eastAsia" w:ascii="黑体" w:hAnsi="黑体" w:eastAsia="黑体"/>
          <w:color w:val="000000" w:themeColor="text1"/>
          <w:sz w:val="32"/>
          <w:szCs w:val="32"/>
          <w14:textFill>
            <w14:solidFill>
              <w14:schemeClr w14:val="tx1"/>
            </w14:solidFill>
          </w14:textFill>
        </w:rPr>
        <w:t>收</w:t>
      </w:r>
      <w:r>
        <w:rPr>
          <w:rStyle w:val="27"/>
          <w:rFonts w:hint="eastAsia" w:ascii="黑体" w:hAnsi="黑体" w:eastAsia="黑体"/>
          <w:b w:val="0"/>
          <w:color w:val="000000" w:themeColor="text1"/>
          <w14:textFill>
            <w14:solidFill>
              <w14:schemeClr w14:val="tx1"/>
            </w14:solidFill>
          </w14:textFill>
        </w:rPr>
        <w:t>入支出决算总体情况说明</w:t>
      </w:r>
      <w:bookmarkEnd w:id="28"/>
      <w:bookmarkEnd w:id="29"/>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2021年度收入1285.95万元，支出1285.95万元。与2020年相比，收入增加141.34万元，支出增加141.34万元，分别增加12.34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、12.34%。主要变动原因是2021年度我镇建设项目增加。</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59264" behindDoc="1" locked="0" layoutInCell="1" allowOverlap="1">
            <wp:simplePos x="0" y="0"/>
            <wp:positionH relativeFrom="column">
              <wp:posOffset>387350</wp:posOffset>
            </wp:positionH>
            <wp:positionV relativeFrom="paragraph">
              <wp:posOffset>194310</wp:posOffset>
            </wp:positionV>
            <wp:extent cx="4064635" cy="2263140"/>
            <wp:effectExtent l="4445" t="4445" r="7620" b="1841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1"/>
        </w:numPr>
        <w:spacing w:line="600" w:lineRule="exact"/>
        <w:ind w:firstLineChars="0"/>
        <w:outlineLvl w:val="1"/>
        <w:rPr>
          <w:rStyle w:val="27"/>
          <w:rFonts w:ascii="黑体" w:hAnsi="黑体" w:eastAsia="黑体"/>
          <w:b w:val="0"/>
          <w:color w:val="000000" w:themeColor="text1"/>
          <w14:textFill>
            <w14:solidFill>
              <w14:schemeClr w14:val="tx1"/>
            </w14:solidFill>
          </w14:textFill>
        </w:rPr>
      </w:pPr>
      <w:bookmarkStart w:id="30" w:name="_Toc15396604"/>
      <w:bookmarkStart w:id="31" w:name="_Toc15377206"/>
      <w:r>
        <w:rPr>
          <w:rFonts w:hint="eastAsia" w:ascii="黑体" w:hAnsi="黑体" w:eastAsia="黑体"/>
          <w:color w:val="000000" w:themeColor="text1"/>
          <w:sz w:val="32"/>
          <w:szCs w:val="32"/>
          <w14:textFill>
            <w14:solidFill>
              <w14:schemeClr w14:val="tx1"/>
            </w14:solidFill>
          </w14:textFill>
        </w:rPr>
        <w:t>收</w:t>
      </w:r>
      <w:r>
        <w:rPr>
          <w:rStyle w:val="27"/>
          <w:rFonts w:hint="eastAsia" w:ascii="黑体" w:hAnsi="黑体" w:eastAsia="黑体"/>
          <w:b w:val="0"/>
          <w:color w:val="000000" w:themeColor="text1"/>
          <w14:textFill>
            <w14:solidFill>
              <w14:schemeClr w14:val="tx1"/>
            </w14:solidFill>
          </w14:textFill>
        </w:rPr>
        <w:t>入决算情况说明</w:t>
      </w:r>
      <w:bookmarkEnd w:id="30"/>
      <w:bookmarkEnd w:id="31"/>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21年本年收入合计1285.95万元，其中：一般公共预算财政拨款收入1285.95万元，占100.00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；政府性基金预算财政拨款收入0万元，占0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；上级补助收入0万元，占0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；事业收入0万元，占0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；附属单位上缴收入0万元，占0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；其他收入0万元，占 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60288" behindDoc="1" locked="0" layoutInCell="1" allowOverlap="1">
            <wp:simplePos x="0" y="0"/>
            <wp:positionH relativeFrom="column">
              <wp:posOffset>179705</wp:posOffset>
            </wp:positionH>
            <wp:positionV relativeFrom="paragraph">
              <wp:posOffset>64770</wp:posOffset>
            </wp:positionV>
            <wp:extent cx="4191635" cy="2341245"/>
            <wp:effectExtent l="4445" t="4445" r="13970"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5"/>
        <w:numPr>
          <w:ilvl w:val="0"/>
          <w:numId w:val="1"/>
        </w:numPr>
        <w:spacing w:line="600" w:lineRule="exact"/>
        <w:ind w:firstLineChars="0"/>
        <w:outlineLvl w:val="1"/>
        <w:rPr>
          <w:rStyle w:val="27"/>
          <w:rFonts w:ascii="黑体" w:hAnsi="黑体" w:eastAsia="黑体"/>
          <w:b w:val="0"/>
          <w:color w:val="000000" w:themeColor="text1"/>
          <w14:textFill>
            <w14:solidFill>
              <w14:schemeClr w14:val="tx1"/>
            </w14:solidFill>
          </w14:textFill>
        </w:rPr>
      </w:pPr>
      <w:bookmarkStart w:id="32" w:name="_Toc15377207"/>
      <w:bookmarkStart w:id="33" w:name="_Toc15396605"/>
      <w:r>
        <w:rPr>
          <w:rFonts w:hint="eastAsia" w:ascii="黑体" w:hAnsi="黑体" w:eastAsia="黑体"/>
          <w:color w:val="000000" w:themeColor="text1"/>
          <w:sz w:val="32"/>
          <w:szCs w:val="32"/>
          <w14:textFill>
            <w14:solidFill>
              <w14:schemeClr w14:val="tx1"/>
            </w14:solidFill>
          </w14:textFill>
        </w:rPr>
        <w:t>支</w:t>
      </w:r>
      <w:r>
        <w:rPr>
          <w:rStyle w:val="27"/>
          <w:rFonts w:hint="eastAsia" w:ascii="黑体" w:hAnsi="黑体" w:eastAsia="黑体"/>
          <w:b w:val="0"/>
          <w:color w:val="000000" w:themeColor="text1"/>
          <w14:textFill>
            <w14:solidFill>
              <w14:schemeClr w14:val="tx1"/>
            </w14:solidFill>
          </w14:textFill>
        </w:rPr>
        <w:t>出决算情况说明</w:t>
      </w:r>
      <w:bookmarkEnd w:id="32"/>
      <w:bookmarkEnd w:id="33"/>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21年本年支出合计1285.95万元，其中：基本支出854.99万元，占66.48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；项目支出430.96万元，占33.51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；上缴上级支出0万元，占0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；对附属单位补助支出0万元，占0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61312" behindDoc="1" locked="0" layoutInCell="1" allowOverlap="1">
            <wp:simplePos x="0" y="0"/>
            <wp:positionH relativeFrom="column">
              <wp:posOffset>410845</wp:posOffset>
            </wp:positionH>
            <wp:positionV relativeFrom="paragraph">
              <wp:posOffset>61595</wp:posOffset>
            </wp:positionV>
            <wp:extent cx="3740150" cy="2508885"/>
            <wp:effectExtent l="4445" t="5080" r="8255"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7"/>
          <w:rFonts w:ascii="黑体" w:hAnsi="黑体" w:eastAsia="黑体"/>
          <w:b w:val="0"/>
          <w:color w:val="000000" w:themeColor="text1"/>
          <w14:textFill>
            <w14:solidFill>
              <w14:schemeClr w14:val="tx1"/>
            </w14:solidFill>
          </w14:textFill>
        </w:rPr>
      </w:pPr>
      <w:bookmarkStart w:id="34" w:name="_Toc15396606"/>
      <w:bookmarkStart w:id="35" w:name="_Toc15377208"/>
      <w:r>
        <w:rPr>
          <w:rFonts w:hint="eastAsia" w:ascii="黑体" w:hAnsi="黑体" w:eastAsia="黑体"/>
          <w:color w:val="000000" w:themeColor="text1"/>
          <w:sz w:val="32"/>
          <w:szCs w:val="32"/>
          <w14:textFill>
            <w14:solidFill>
              <w14:schemeClr w14:val="tx1"/>
            </w14:solidFill>
          </w14:textFill>
        </w:rPr>
        <w:t>四、财</w:t>
      </w:r>
      <w:r>
        <w:rPr>
          <w:rStyle w:val="27"/>
          <w:rFonts w:hint="eastAsia" w:ascii="黑体" w:hAnsi="黑体" w:eastAsia="黑体"/>
          <w:b w:val="0"/>
          <w:color w:val="000000" w:themeColor="text1"/>
          <w14:textFill>
            <w14:solidFill>
              <w14:schemeClr w14:val="tx1"/>
            </w14:solidFill>
          </w14:textFill>
        </w:rPr>
        <w:t>政拨款收入支出决算总体情况说明</w:t>
      </w:r>
      <w:bookmarkEnd w:id="34"/>
      <w:bookmarkEnd w:id="3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21年财政拨款收、支总计2571.9万元,收入1285.95万元，支出1285.95万元。与</w:t>
      </w: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20年相比，财政拨款收入增加434.28万元、支出增加159.64万元，分别上升50.99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、14.17%。主要变动原因是2021年实施项目增加。</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62336" behindDoc="1" locked="0" layoutInCell="1" allowOverlap="1">
            <wp:simplePos x="0" y="0"/>
            <wp:positionH relativeFrom="column">
              <wp:posOffset>465455</wp:posOffset>
            </wp:positionH>
            <wp:positionV relativeFrom="paragraph">
              <wp:posOffset>100330</wp:posOffset>
            </wp:positionV>
            <wp:extent cx="3737610" cy="2405380"/>
            <wp:effectExtent l="4445" t="4445" r="10795"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color w:val="000000" w:themeColor="text1"/>
          <w14:textFill>
            <w14:solidFill>
              <w14:schemeClr w14:val="tx1"/>
            </w14:solidFill>
          </w14:textFill>
        </w:rPr>
      </w:pPr>
      <w:bookmarkStart w:id="36" w:name="_Toc15377209"/>
      <w:bookmarkStart w:id="37" w:name="_Toc15396607"/>
      <w:r>
        <w:rPr>
          <w:rFonts w:hint="eastAsia" w:ascii="黑体" w:hAnsi="黑体" w:eastAsia="黑体"/>
          <w:color w:val="000000" w:themeColor="text1"/>
          <w:sz w:val="32"/>
          <w:szCs w:val="32"/>
          <w14:textFill>
            <w14:solidFill>
              <w14:schemeClr w14:val="tx1"/>
            </w14:solidFill>
          </w14:textFill>
        </w:rPr>
        <w:t>五、</w:t>
      </w:r>
      <w:r>
        <w:rPr>
          <w:rFonts w:hint="eastAsia" w:ascii="黑体" w:hAnsi="黑体" w:eastAsia="黑体"/>
          <w:b/>
          <w:color w:val="000000" w:themeColor="text1"/>
          <w:sz w:val="32"/>
          <w:szCs w:val="32"/>
          <w14:textFill>
            <w14:solidFill>
              <w14:schemeClr w14:val="tx1"/>
            </w14:solidFill>
          </w14:textFill>
        </w:rPr>
        <w:t>一</w:t>
      </w:r>
      <w:r>
        <w:rPr>
          <w:rStyle w:val="27"/>
          <w:rFonts w:hint="eastAsia" w:ascii="黑体" w:hAnsi="黑体" w:eastAsia="黑体"/>
          <w:b w:val="0"/>
          <w:color w:val="000000" w:themeColor="text1"/>
          <w14:textFill>
            <w14:solidFill>
              <w14:schemeClr w14:val="tx1"/>
            </w14:solidFill>
          </w14:textFill>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38" w:name="_Toc15377210"/>
      <w:r>
        <w:rPr>
          <w:rFonts w:hint="eastAsia" w:ascii="仿宋" w:hAnsi="仿宋" w:eastAsia="仿宋"/>
          <w:b/>
          <w:color w:val="000000" w:themeColor="text1"/>
          <w:sz w:val="32"/>
          <w:szCs w:val="32"/>
          <w14:textFill>
            <w14:solidFill>
              <w14:schemeClr w14:val="tx1"/>
            </w14:solidFill>
          </w14:textFill>
        </w:rPr>
        <w:t>（一）一般公共预算财政拨款支出决算总体情况</w:t>
      </w:r>
      <w:bookmarkEnd w:id="38"/>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21年一般公共预算财政拨款支出1285.95万元，占本年支出合计的100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。与</w:t>
      </w: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20年相比，一般公共预算财政拨增加159.64万元，上升14.17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。主要变动原因是本年度实施项目增加。</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63360" behindDoc="1" locked="0" layoutInCell="1" allowOverlap="1">
            <wp:simplePos x="0" y="0"/>
            <wp:positionH relativeFrom="column">
              <wp:posOffset>196850</wp:posOffset>
            </wp:positionH>
            <wp:positionV relativeFrom="paragraph">
              <wp:posOffset>36830</wp:posOffset>
            </wp:positionV>
            <wp:extent cx="3745865" cy="2491740"/>
            <wp:effectExtent l="4445" t="4445" r="21590" b="1841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39" w:name="_Toc15377211"/>
      <w:r>
        <w:rPr>
          <w:rFonts w:hint="eastAsia" w:ascii="仿宋" w:hAnsi="仿宋" w:eastAsia="仿宋"/>
          <w:b/>
          <w:color w:val="000000" w:themeColor="text1"/>
          <w:sz w:val="32"/>
          <w:szCs w:val="32"/>
          <w14:textFill>
            <w14:solidFill>
              <w14:schemeClr w14:val="tx1"/>
            </w14:solidFill>
          </w14:textFill>
        </w:rPr>
        <w:t>（二）一般公共预算财政拨款支出决算结构情况</w:t>
      </w:r>
      <w:bookmarkEnd w:id="39"/>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21年一般公共预算财政拨款支出1285.95万元，主要用于以下方面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一般公共服务（201）</w:t>
      </w:r>
      <w:r>
        <w:rPr>
          <w:rFonts w:hint="eastAsia" w:ascii="仿宋" w:hAnsi="仿宋" w:eastAsia="仿宋"/>
          <w:color w:val="000000" w:themeColor="text1"/>
          <w:sz w:val="32"/>
          <w:szCs w:val="32"/>
          <w14:textFill>
            <w14:solidFill>
              <w14:schemeClr w14:val="tx1"/>
            </w14:solidFill>
          </w14:textFill>
        </w:rPr>
        <w:t>支出709.66万元，占55.19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农林水（213）</w:t>
      </w:r>
      <w:r>
        <w:rPr>
          <w:rFonts w:hint="eastAsia" w:ascii="仿宋" w:hAnsi="仿宋" w:eastAsia="仿宋"/>
          <w:bCs/>
          <w:color w:val="000000" w:themeColor="text1"/>
          <w:sz w:val="32"/>
          <w:szCs w:val="32"/>
          <w14:textFill>
            <w14:solidFill>
              <w14:schemeClr w14:val="tx1"/>
            </w14:solidFill>
          </w14:textFill>
        </w:rPr>
        <w:t>支出346.75</w:t>
      </w:r>
      <w:r>
        <w:rPr>
          <w:rFonts w:hint="eastAsia" w:ascii="仿宋" w:hAnsi="仿宋" w:eastAsia="仿宋"/>
          <w:color w:val="000000" w:themeColor="text1"/>
          <w:sz w:val="32"/>
          <w:szCs w:val="32"/>
          <w14:textFill>
            <w14:solidFill>
              <w14:schemeClr w14:val="tx1"/>
            </w14:solidFill>
          </w14:textFill>
        </w:rPr>
        <w:t>万元，占26.96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城镇社区（212）</w:t>
      </w:r>
      <w:r>
        <w:rPr>
          <w:rFonts w:hint="eastAsia" w:ascii="仿宋" w:hAnsi="仿宋" w:eastAsia="仿宋"/>
          <w:color w:val="000000" w:themeColor="text1"/>
          <w:sz w:val="32"/>
          <w:szCs w:val="32"/>
          <w14:textFill>
            <w14:solidFill>
              <w14:schemeClr w14:val="tx1"/>
            </w14:solidFill>
          </w14:textFill>
        </w:rPr>
        <w:t>支出10.00万元，占0.78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文化旅游体育与传媒（207）</w:t>
      </w:r>
      <w:r>
        <w:rPr>
          <w:rFonts w:hint="eastAsia" w:ascii="仿宋" w:hAnsi="仿宋" w:eastAsia="仿宋"/>
          <w:color w:val="000000" w:themeColor="text1"/>
          <w:sz w:val="32"/>
          <w:szCs w:val="32"/>
          <w14:textFill>
            <w14:solidFill>
              <w14:schemeClr w14:val="tx1"/>
            </w14:solidFill>
          </w14:textFill>
        </w:rPr>
        <w:t>支出33.00万元</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占2.57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支出85.23万元，占6.62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color w:val="000000" w:themeColor="text1"/>
          <w:sz w:val="32"/>
          <w:szCs w:val="32"/>
          <w14:textFill>
            <w14:solidFill>
              <w14:schemeClr w14:val="tx1"/>
            </w14:solidFill>
          </w14:textFill>
        </w:rPr>
        <w:t>（210）</w:t>
      </w:r>
      <w:r>
        <w:rPr>
          <w:rFonts w:hint="eastAsia" w:ascii="新宋体" w:hAnsi="新宋体" w:eastAsia="新宋体" w:cs="新宋体"/>
          <w:color w:val="000000" w:themeColor="text1"/>
          <w:sz w:val="32"/>
          <w:szCs w:val="32"/>
          <w14:textFill>
            <w14:solidFill>
              <w14:schemeClr w14:val="tx1"/>
            </w14:solidFill>
          </w14:textFill>
        </w:rPr>
        <w:t>39.88</w:t>
      </w:r>
      <w:r>
        <w:rPr>
          <w:rFonts w:hint="eastAsia" w:ascii="仿宋" w:hAnsi="仿宋" w:eastAsia="仿宋"/>
          <w:color w:val="000000" w:themeColor="text1"/>
          <w:sz w:val="32"/>
          <w:szCs w:val="32"/>
          <w14:textFill>
            <w14:solidFill>
              <w14:schemeClr w14:val="tx1"/>
            </w14:solidFill>
          </w14:textFill>
        </w:rPr>
        <w:t>万元，占3.1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color w:val="000000" w:themeColor="text1"/>
          <w:sz w:val="32"/>
          <w:szCs w:val="32"/>
          <w14:textFill>
            <w14:solidFill>
              <w14:schemeClr w14:val="tx1"/>
            </w14:solidFill>
          </w14:textFill>
        </w:rPr>
        <w:t>（221）</w:t>
      </w:r>
      <w:r>
        <w:rPr>
          <w:rFonts w:hint="eastAsia" w:ascii="仿宋" w:hAnsi="仿宋" w:eastAsia="仿宋"/>
          <w:color w:val="000000" w:themeColor="text1"/>
          <w:sz w:val="32"/>
          <w:szCs w:val="32"/>
          <w14:textFill>
            <w14:solidFill>
              <w14:schemeClr w14:val="tx1"/>
            </w14:solidFill>
          </w14:textFill>
        </w:rPr>
        <w:t>支出61.43万</w:t>
      </w:r>
      <w:r>
        <w:rPr>
          <w:rFonts w:hint="eastAsia" w:ascii="新宋体" w:hAnsi="新宋体" w:eastAsia="新宋体" w:cs="新宋体"/>
          <w:color w:val="000000" w:themeColor="text1"/>
          <w:sz w:val="32"/>
          <w:szCs w:val="32"/>
          <w14:textFill>
            <w14:solidFill>
              <w14:schemeClr w14:val="tx1"/>
            </w14:solidFill>
          </w14:textFill>
        </w:rPr>
        <w:t>元，占4.78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64384" behindDoc="1" locked="0" layoutInCell="1" allowOverlap="1">
            <wp:simplePos x="0" y="0"/>
            <wp:positionH relativeFrom="column">
              <wp:posOffset>323215</wp:posOffset>
            </wp:positionH>
            <wp:positionV relativeFrom="paragraph">
              <wp:posOffset>99060</wp:posOffset>
            </wp:positionV>
            <wp:extent cx="3818890" cy="2540635"/>
            <wp:effectExtent l="4445" t="4445" r="5715" b="762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（图6：一般公共预算财政拨款支出决算结构）（饼状图）</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40" w:name="_Toc15377212"/>
      <w:r>
        <w:rPr>
          <w:rFonts w:hint="eastAsia" w:ascii="仿宋" w:hAnsi="仿宋" w:eastAsia="仿宋"/>
          <w:b/>
          <w:color w:val="000000" w:themeColor="text1"/>
          <w:sz w:val="32"/>
          <w:szCs w:val="32"/>
          <w14:textFill>
            <w14:solidFill>
              <w14:schemeClr w14:val="tx1"/>
            </w14:solidFill>
          </w14:textFill>
        </w:rPr>
        <w:t>（三）一般公共预算财政拨款支出决算具体情况</w:t>
      </w:r>
      <w:bookmarkEnd w:id="40"/>
    </w:p>
    <w:p>
      <w:pPr>
        <w:spacing w:line="600" w:lineRule="exact"/>
        <w:ind w:firstLine="643" w:firstLineChars="200"/>
        <w:outlineLvl w:val="2"/>
        <w:rPr>
          <w:rFonts w:ascii="仿宋" w:hAnsi="仿宋" w:eastAsia="仿宋"/>
          <w:color w:val="000000" w:themeColor="text1"/>
          <w:sz w:val="32"/>
          <w:szCs w:val="32"/>
          <w14:textFill>
            <w14:solidFill>
              <w14:schemeClr w14:val="tx1"/>
            </w14:solidFill>
          </w14:textFill>
        </w:rPr>
      </w:pPr>
      <w:bookmarkStart w:id="41" w:name="_Toc15378460"/>
      <w:bookmarkStart w:id="42" w:name="_Toc15377444"/>
      <w:bookmarkStart w:id="43" w:name="_Toc15377213"/>
      <w:r>
        <w:rPr>
          <w:rFonts w:hint="eastAsia" w:ascii="仿宋" w:hAnsi="仿宋" w:eastAsia="仿宋"/>
          <w:b/>
          <w:color w:val="000000" w:themeColor="text1"/>
          <w:sz w:val="32"/>
          <w:szCs w:val="32"/>
          <w14:textFill>
            <w14:solidFill>
              <w14:schemeClr w14:val="tx1"/>
            </w14:solidFill>
          </w14:textFill>
        </w:rPr>
        <w:t>2021年一般公共预算支出决算数为1285.95万元</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完成预算100</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。其中：</w:t>
      </w:r>
      <w:bookmarkEnd w:id="41"/>
      <w:bookmarkEnd w:id="42"/>
      <w:bookmarkEnd w:id="43"/>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6"/>
          <w:rFonts w:ascii="仿宋" w:hAnsi="仿宋" w:eastAsia="仿宋"/>
          <w:bCs/>
          <w:color w:val="000000" w:themeColor="text1"/>
          <w:sz w:val="32"/>
          <w:szCs w:val="32"/>
          <w14:textFill>
            <w14:solidFill>
              <w14:schemeClr w14:val="tx1"/>
            </w14:solidFill>
          </w14:textFill>
        </w:rPr>
        <w:t>1.</w:t>
      </w:r>
      <w:r>
        <w:rPr>
          <w:rStyle w:val="16"/>
          <w:rFonts w:hint="eastAsia" w:ascii="仿宋" w:hAnsi="仿宋" w:eastAsia="仿宋"/>
          <w:bCs/>
          <w:color w:val="000000" w:themeColor="text1"/>
          <w:sz w:val="32"/>
          <w:szCs w:val="32"/>
          <w14:textFill>
            <w14:solidFill>
              <w14:schemeClr w14:val="tx1"/>
            </w14:solidFill>
          </w14:textFill>
        </w:rPr>
        <w:t>一般公共服务</w:t>
      </w:r>
      <w:r>
        <w:rPr>
          <w:rStyle w:val="16"/>
          <w:rFonts w:ascii="仿宋" w:hAnsi="仿宋" w:eastAsia="仿宋"/>
          <w:bCs/>
          <w:color w:val="000000" w:themeColor="text1"/>
          <w:sz w:val="32"/>
          <w:szCs w:val="32"/>
          <w14:textFill>
            <w14:solidFill>
              <w14:schemeClr w14:val="tx1"/>
            </w14:solidFill>
          </w14:textFill>
        </w:rPr>
        <w:t>:</w:t>
      </w:r>
      <w:r>
        <w:rPr>
          <w:rStyle w:val="16"/>
          <w:rFonts w:ascii="仿宋" w:hAnsi="仿宋" w:eastAsia="仿宋"/>
          <w:b w:val="0"/>
          <w:bCs/>
          <w:color w:val="000000" w:themeColor="text1"/>
          <w:sz w:val="32"/>
          <w:szCs w:val="32"/>
          <w14:textFill>
            <w14:solidFill>
              <w14:schemeClr w14:val="tx1"/>
            </w14:solidFill>
          </w14:textFill>
        </w:rPr>
        <w:t xml:space="preserve"> </w:t>
      </w:r>
      <w:r>
        <w:rPr>
          <w:rStyle w:val="16"/>
          <w:rFonts w:hint="eastAsia" w:ascii="仿宋" w:hAnsi="仿宋" w:eastAsia="仿宋"/>
          <w:b w:val="0"/>
          <w:bCs/>
          <w:color w:val="000000" w:themeColor="text1"/>
          <w:sz w:val="32"/>
          <w:szCs w:val="32"/>
          <w14:textFill>
            <w14:solidFill>
              <w14:schemeClr w14:val="tx1"/>
            </w14:solidFill>
          </w14:textFill>
        </w:rPr>
        <w:t>2010101行政运行支出102.65万元，完成预算100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。2010104人大会议支出2.3万元，完成预算100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。2010107人大代表履职能力提升支出1.8万元，完成预算100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。2010108代表工作支出1万元，完成预算100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。2010301行政运行295.20万元，完成预算100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。2010302一般行政管理事务30.07万元，完成预算100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。2010350事业运行229.62万元，完成预算100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。2010601行政运行19.08万元，完成预算100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。2013101行政运行27.93万元，完成预算100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2</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文化体育与传媒</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 xml:space="preserve"> </w:t>
      </w:r>
      <w:r>
        <w:rPr>
          <w:rStyle w:val="16"/>
          <w:rFonts w:hint="eastAsia" w:ascii="仿宋" w:hAnsi="仿宋" w:eastAsia="仿宋"/>
          <w:b w:val="0"/>
          <w:bCs/>
          <w:color w:val="000000" w:themeColor="text1"/>
          <w:sz w:val="32"/>
          <w:szCs w:val="32"/>
          <w14:textFill>
            <w14:solidFill>
              <w14:schemeClr w14:val="tx1"/>
            </w14:solidFill>
          </w14:textFill>
        </w:rPr>
        <w:t>2070199其他文化和旅游支出33万元，完成预算100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3</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社会保障和就业</w:t>
      </w:r>
      <w:r>
        <w:rPr>
          <w:rStyle w:val="16"/>
          <w:rFonts w:ascii="仿宋" w:hAnsi="仿宋" w:eastAsia="仿宋"/>
          <w:bCs/>
          <w:color w:val="000000" w:themeColor="text1"/>
          <w:sz w:val="32"/>
          <w:szCs w:val="32"/>
          <w14:textFill>
            <w14:solidFill>
              <w14:schemeClr w14:val="tx1"/>
            </w14:solidFill>
          </w14:textFill>
        </w:rPr>
        <w:t>:</w:t>
      </w:r>
      <w:r>
        <w:rPr>
          <w:rStyle w:val="16"/>
          <w:rFonts w:ascii="仿宋" w:hAnsi="仿宋" w:eastAsia="仿宋"/>
          <w:b w:val="0"/>
          <w:bCs/>
          <w:color w:val="000000" w:themeColor="text1"/>
          <w:sz w:val="32"/>
          <w:szCs w:val="32"/>
          <w14:textFill>
            <w14:solidFill>
              <w14:schemeClr w14:val="tx1"/>
            </w14:solidFill>
          </w14:textFill>
        </w:rPr>
        <w:t xml:space="preserve"> </w:t>
      </w:r>
      <w:r>
        <w:rPr>
          <w:rStyle w:val="16"/>
          <w:rFonts w:hint="eastAsia" w:ascii="仿宋" w:hAnsi="仿宋" w:eastAsia="仿宋"/>
          <w:b w:val="0"/>
          <w:bCs/>
          <w:color w:val="000000" w:themeColor="text1"/>
          <w:sz w:val="32"/>
          <w:szCs w:val="32"/>
          <w14:textFill>
            <w14:solidFill>
              <w14:schemeClr w14:val="tx1"/>
            </w14:solidFill>
          </w14:textFill>
        </w:rPr>
        <w:t>2080208基层政权建设和社区治理3.73万元，完成预算100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。2080505机关事业单位基本养老保险缴费支出54.11万元，完成预算100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。2080506机关事业单位职业年金缴费支出27.10万元，完成预算100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。2082802一般行政管理事务支出0.3万元，完成预算100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Style w:val="16"/>
          <w:rFonts w:ascii="仿宋" w:hAnsi="仿宋" w:eastAsia="仿宋"/>
          <w:b w:val="0"/>
          <w:bCs/>
          <w:color w:val="000000" w:themeColor="text1"/>
          <w:sz w:val="32"/>
          <w:szCs w:val="32"/>
          <w14:textFill>
            <w14:solidFill>
              <w14:schemeClr w14:val="tx1"/>
            </w14:solidFill>
          </w14:textFill>
        </w:rPr>
      </w:pPr>
      <w:r>
        <w:rPr>
          <w:rStyle w:val="16"/>
          <w:rFonts w:hint="eastAsia" w:ascii="仿宋" w:hAnsi="仿宋" w:eastAsia="仿宋"/>
          <w:bCs/>
          <w:color w:val="000000" w:themeColor="text1"/>
          <w:sz w:val="32"/>
          <w:szCs w:val="32"/>
          <w14:textFill>
            <w14:solidFill>
              <w14:schemeClr w14:val="tx1"/>
            </w14:solidFill>
          </w14:textFill>
        </w:rPr>
        <w:t>4</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医疗卫生与计划生育</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color w:val="000000" w:themeColor="text1"/>
          <w:sz w:val="32"/>
          <w:szCs w:val="32"/>
          <w14:textFill>
            <w14:solidFill>
              <w14:schemeClr w14:val="tx1"/>
            </w14:solidFill>
          </w14:textFill>
        </w:rPr>
        <w:t>2100409重大公共卫生服务支出2.00万元，</w:t>
      </w:r>
      <w:r>
        <w:rPr>
          <w:rStyle w:val="16"/>
          <w:rFonts w:hint="eastAsia" w:ascii="仿宋" w:hAnsi="仿宋" w:eastAsia="仿宋"/>
          <w:b w:val="0"/>
          <w:bCs/>
          <w:color w:val="000000" w:themeColor="text1"/>
          <w:sz w:val="32"/>
          <w:szCs w:val="32"/>
          <w14:textFill>
            <w14:solidFill>
              <w14:schemeClr w14:val="tx1"/>
            </w14:solidFill>
          </w14:textFill>
        </w:rPr>
        <w:t>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。2101101行政单位医疗支出18.73万元，完成预算100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。2101102事业单位医疗支出11.15万元，完成预算100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。2101103公务员医疗补助支出5.42万元，完成预算100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。2101199其他行政事业单位医疗支出2.58万元，完成预算100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Style w:val="16"/>
          <w:rFonts w:ascii="仿宋" w:hAnsi="仿宋" w:eastAsia="仿宋"/>
          <w:b w:val="0"/>
          <w:bCs/>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5.城镇社区</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2120501城镇社区环境卫生支出10.00万元，完成预算100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Style w:val="16"/>
          <w:rFonts w:ascii="仿宋" w:hAnsi="仿宋" w:eastAsia="仿宋"/>
          <w:b w:val="0"/>
          <w:bCs/>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6.农林水</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2130199其他农业农村支出172.05万元，完成预算100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。2130504农村基础设施建设支出13.64万元，完成预算100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。2130599其他扶贫支出61.35万元，完成预算100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。2130705对村民委员会和村党支部的补助支出88.22万元，完成预算100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。2130706对村集体经济组织的补助11.49万元，完成预算100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Style w:val="16"/>
          <w:rFonts w:ascii="仿宋" w:hAnsi="仿宋" w:eastAsia="仿宋"/>
          <w:b w:val="0"/>
          <w:bCs/>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7.住房保障支出</w:t>
      </w:r>
      <w:r>
        <w:rPr>
          <w:rStyle w:val="16"/>
          <w:rFonts w:ascii="仿宋" w:hAnsi="仿宋" w:eastAsia="仿宋"/>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2210201住房公积金支出决算为61.43万元，完成预算100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p>
    <w:p>
      <w:pPr>
        <w:tabs>
          <w:tab w:val="right" w:pos="8306"/>
        </w:tabs>
        <w:spacing w:line="600" w:lineRule="exact"/>
        <w:ind w:firstLine="640"/>
        <w:outlineLvl w:val="1"/>
        <w:rPr>
          <w:rStyle w:val="27"/>
          <w:color w:val="000000" w:themeColor="text1"/>
          <w14:textFill>
            <w14:solidFill>
              <w14:schemeClr w14:val="tx1"/>
            </w14:solidFill>
          </w14:textFill>
        </w:rPr>
      </w:pPr>
      <w:bookmarkStart w:id="44" w:name="_Toc15377214"/>
      <w:bookmarkStart w:id="45" w:name="_Toc15396608"/>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27"/>
          <w:rFonts w:hint="eastAsia" w:ascii="黑体" w:hAnsi="黑体" w:eastAsia="黑体"/>
          <w:b w:val="0"/>
          <w:color w:val="000000" w:themeColor="text1"/>
          <w14:textFill>
            <w14:solidFill>
              <w14:schemeClr w14:val="tx1"/>
            </w14:solidFill>
          </w14:textFill>
        </w:rPr>
        <w:t>般公共预算财政拨款基本支出决算情况说明</w:t>
      </w:r>
      <w:bookmarkEnd w:id="44"/>
      <w:bookmarkEnd w:id="45"/>
      <w:r>
        <w:rPr>
          <w:rStyle w:val="27"/>
          <w:rFonts w:ascii="黑体" w:hAnsi="黑体" w:eastAsia="黑体"/>
          <w:b w:val="0"/>
          <w:color w:val="000000" w:themeColor="text1"/>
          <w14:textFill>
            <w14:solidFill>
              <w14:schemeClr w14:val="tx1"/>
            </w14:solidFill>
          </w14:textFill>
        </w:rPr>
        <w:tab/>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21年一般公共预算财政拨款基本支出854.99万元，其中：</w:t>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人员经费772.47万元，主要包括：基本工资233.88万元、津贴补贴319.78万元、奖金11.1万元、绩效工资16.22万元、机关事业单位基本养老保险缴费54.22万元、职业年金缴费27.2万元、职工基本医疗保险缴费29.88万元、公务员医疗补助缴费5.45万元，其他社会保障缴费3.7万元、住房公积金61.54万元、医疗费9.5万元。</w:t>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日常公用经费82.52万元，主要包括：办公费37.22万元、印刷费12.5万元、电费8万元、差旅费6万元、维修（护）费10万元、培训费4万元、公务用车运行维护费4.8万元。</w:t>
      </w:r>
    </w:p>
    <w:p>
      <w:pPr>
        <w:spacing w:line="600" w:lineRule="exact"/>
        <w:ind w:firstLine="640"/>
        <w:outlineLvl w:val="1"/>
        <w:rPr>
          <w:rStyle w:val="27"/>
          <w:rFonts w:ascii="黑体" w:hAnsi="黑体" w:eastAsia="黑体"/>
          <w:b w:val="0"/>
          <w:color w:val="000000" w:themeColor="text1"/>
          <w14:textFill>
            <w14:solidFill>
              <w14:schemeClr w14:val="tx1"/>
            </w14:solidFill>
          </w14:textFill>
        </w:rPr>
      </w:pPr>
      <w:bookmarkStart w:id="46" w:name="_Toc15377215"/>
      <w:bookmarkStart w:id="47" w:name="_Toc15396609"/>
      <w:r>
        <w:rPr>
          <w:rFonts w:hint="eastAsia" w:ascii="黑体" w:eastAsia="黑体"/>
          <w:color w:val="000000" w:themeColor="text1"/>
          <w:sz w:val="32"/>
          <w:szCs w:val="32"/>
          <w14:textFill>
            <w14:solidFill>
              <w14:schemeClr w14:val="tx1"/>
            </w14:solidFill>
          </w14:textFill>
        </w:rPr>
        <w:t>七、</w:t>
      </w:r>
      <w:r>
        <w:rPr>
          <w:rStyle w:val="27"/>
          <w:rFonts w:hint="eastAsia" w:ascii="黑体" w:hAnsi="黑体" w:eastAsia="黑体"/>
          <w:color w:val="000000" w:themeColor="text1"/>
          <w14:textFill>
            <w14:solidFill>
              <w14:schemeClr w14:val="tx1"/>
            </w14:solidFill>
          </w14:textFill>
        </w:rPr>
        <w:t>“</w:t>
      </w:r>
      <w:r>
        <w:rPr>
          <w:rStyle w:val="27"/>
          <w:rFonts w:hint="eastAsia" w:ascii="黑体" w:hAnsi="黑体" w:eastAsia="黑体"/>
          <w:b w:val="0"/>
          <w:color w:val="000000" w:themeColor="text1"/>
          <w14:textFill>
            <w14:solidFill>
              <w14:schemeClr w14:val="tx1"/>
            </w14:solidFill>
          </w14:textFill>
        </w:rPr>
        <w:t>三公”经费财政拨款支出决算情况说明</w:t>
      </w:r>
      <w:bookmarkEnd w:id="46"/>
      <w:bookmarkEnd w:id="47"/>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48" w:name="_Toc15377216"/>
      <w:r>
        <w:rPr>
          <w:rFonts w:hint="eastAsia" w:ascii="仿宋" w:hAnsi="仿宋" w:eastAsia="仿宋"/>
          <w:b/>
          <w:color w:val="000000" w:themeColor="text1"/>
          <w:sz w:val="32"/>
          <w:szCs w:val="32"/>
          <w14:textFill>
            <w14:solidFill>
              <w14:schemeClr w14:val="tx1"/>
            </w14:solidFill>
          </w14:textFill>
        </w:rPr>
        <w:t>（一）“三公”经费财政拨款支出决算总体情况说明</w:t>
      </w:r>
      <w:bookmarkEnd w:id="48"/>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21年“三公”经费财政拨款支出决算为4.8万元，完成预算100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，决算数与预算数持平。</w:t>
      </w:r>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49" w:name="_Toc15377217"/>
      <w:r>
        <w:rPr>
          <w:rFonts w:hint="eastAsia" w:ascii="仿宋" w:hAnsi="仿宋" w:eastAsia="仿宋"/>
          <w:b/>
          <w:color w:val="000000" w:themeColor="text1"/>
          <w:sz w:val="32"/>
          <w:szCs w:val="32"/>
          <w14:textFill>
            <w14:solidFill>
              <w14:schemeClr w14:val="tx1"/>
            </w14:solidFill>
          </w14:textFill>
        </w:rPr>
        <w:t>（二）“三公”经费财政拨款支出决算具体情况说明</w:t>
      </w:r>
      <w:bookmarkEnd w:id="49"/>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14:textFill>
            <w14:solidFill>
              <w14:schemeClr w14:val="tx1"/>
            </w14:solidFill>
          </w14:textFill>
        </w:rPr>
        <w:t>21年“三公”经费财政拨款支出决算中，因公出国（境）费支出决算0万元，占0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；公务用车购置及运行维护费支出决算4.8万元，占100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；公务接待费支出决算0万元，占0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。具体情况如下：</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935" distR="114935" simplePos="0" relativeHeight="251665408" behindDoc="1" locked="0" layoutInCell="1" allowOverlap="1">
            <wp:simplePos x="0" y="0"/>
            <wp:positionH relativeFrom="column">
              <wp:posOffset>323215</wp:posOffset>
            </wp:positionH>
            <wp:positionV relativeFrom="paragraph">
              <wp:posOffset>146685</wp:posOffset>
            </wp:positionV>
            <wp:extent cx="4103370" cy="2540000"/>
            <wp:effectExtent l="4445" t="4445" r="6985"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（图7：“三公”经费财政拨款支出结构）（饼状图）</w:t>
      </w:r>
    </w:p>
    <w:p>
      <w:pPr>
        <w:spacing w:line="600" w:lineRule="exact"/>
        <w:ind w:firstLine="640"/>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1.</w:t>
      </w:r>
      <w:r>
        <w:rPr>
          <w:rFonts w:hint="eastAsia" w:ascii="仿宋_GB2312" w:eastAsia="仿宋_GB2312"/>
          <w:b/>
          <w:color w:val="000000" w:themeColor="text1"/>
          <w:sz w:val="32"/>
          <w:szCs w:val="32"/>
          <w14:textFill>
            <w14:solidFill>
              <w14:schemeClr w14:val="tx1"/>
            </w14:solidFill>
          </w14:textFill>
        </w:rPr>
        <w:t>因公出国（境）经费支出</w:t>
      </w:r>
      <w:r>
        <w:rPr>
          <w:rFonts w:hint="eastAsia" w:ascii="仿宋_GB2312" w:eastAsia="仿宋_GB2312"/>
          <w:color w:val="000000" w:themeColor="text1"/>
          <w:sz w:val="32"/>
          <w:szCs w:val="32"/>
          <w14:textFill>
            <w14:solidFill>
              <w14:schemeClr w14:val="tx1"/>
            </w14:solidFill>
          </w14:textFill>
        </w:rPr>
        <w:t>0万元，</w:t>
      </w:r>
      <w:r>
        <w:rPr>
          <w:rStyle w:val="16"/>
          <w:rFonts w:hint="eastAsia" w:ascii="仿宋" w:hAnsi="仿宋" w:eastAsia="仿宋"/>
          <w:b w:val="0"/>
          <w:bCs/>
          <w:color w:val="000000" w:themeColor="text1"/>
          <w:sz w:val="32"/>
          <w:szCs w:val="32"/>
          <w14:textFill>
            <w14:solidFill>
              <w14:schemeClr w14:val="tx1"/>
            </w14:solidFill>
          </w14:textFill>
        </w:rPr>
        <w:t>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全年安排因公出国（境）团组0次，出国（境）0人。因公出国（境）支出决算比</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20年无变化。</w:t>
      </w:r>
    </w:p>
    <w:p>
      <w:pPr>
        <w:spacing w:line="600" w:lineRule="exact"/>
        <w:ind w:firstLine="640"/>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2.</w:t>
      </w:r>
      <w:r>
        <w:rPr>
          <w:rFonts w:hint="eastAsia" w:ascii="仿宋_GB2312" w:eastAsia="仿宋_GB2312"/>
          <w:b/>
          <w:color w:val="000000" w:themeColor="text1"/>
          <w:sz w:val="32"/>
          <w:szCs w:val="32"/>
          <w14:textFill>
            <w14:solidFill>
              <w14:schemeClr w14:val="tx1"/>
            </w14:solidFill>
          </w14:textFill>
        </w:rPr>
        <w:t>公务用车购置及运行维护费支出</w:t>
      </w:r>
      <w:r>
        <w:rPr>
          <w:rFonts w:hint="eastAsia" w:ascii="仿宋_GB2312" w:eastAsia="仿宋_GB2312"/>
          <w:color w:val="000000" w:themeColor="text1"/>
          <w:sz w:val="32"/>
          <w:szCs w:val="32"/>
          <w14:textFill>
            <w14:solidFill>
              <w14:schemeClr w14:val="tx1"/>
            </w14:solidFill>
          </w14:textFill>
        </w:rPr>
        <w:t>4.8万元,</w:t>
      </w:r>
      <w:r>
        <w:rPr>
          <w:rStyle w:val="16"/>
          <w:rFonts w:hint="eastAsia" w:ascii="仿宋" w:hAnsi="仿宋" w:eastAsia="仿宋"/>
          <w:b w:val="0"/>
          <w:bCs/>
          <w:color w:val="000000" w:themeColor="text1"/>
          <w:sz w:val="32"/>
          <w:szCs w:val="32"/>
          <w14:textFill>
            <w14:solidFill>
              <w14:schemeClr w14:val="tx1"/>
            </w14:solidFill>
          </w14:textFill>
        </w:rPr>
        <w:t>完成预算100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公务用车购置及运行维护费支出决算比</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20年增加3.53万元，增长277</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。主要原因是2021年度公务用车维修费用增加，公务用车使用时间增加。</w:t>
      </w: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其中：</w:t>
      </w:r>
      <w:r>
        <w:rPr>
          <w:rFonts w:hint="eastAsia" w:ascii="仿宋_GB2312" w:eastAsia="仿宋_GB2312"/>
          <w:b/>
          <w:color w:val="000000" w:themeColor="text1"/>
          <w:sz w:val="32"/>
          <w:szCs w:val="32"/>
          <w14:textFill>
            <w14:solidFill>
              <w14:schemeClr w14:val="tx1"/>
            </w14:solidFill>
          </w14:textFill>
        </w:rPr>
        <w:t>公务用车购置支出</w:t>
      </w:r>
      <w:r>
        <w:rPr>
          <w:rFonts w:hint="eastAsia" w:ascii="仿宋_GB2312" w:eastAsia="仿宋_GB2312"/>
          <w:color w:val="000000" w:themeColor="text1"/>
          <w:sz w:val="32"/>
          <w:szCs w:val="32"/>
          <w14:textFill>
            <w14:solidFill>
              <w14:schemeClr w14:val="tx1"/>
            </w14:solidFill>
          </w14:textFill>
        </w:rPr>
        <w:t>0万元。全年按规定更新购置公务用车0辆，金额0</w:t>
      </w:r>
      <w:r>
        <w:rPr>
          <w:rFonts w:ascii="仿宋_GB2312" w:eastAsia="仿宋_GB2312"/>
          <w:color w:val="000000" w:themeColor="text1"/>
          <w:sz w:val="32"/>
          <w:szCs w:val="32"/>
          <w14:textFill>
            <w14:solidFill>
              <w14:schemeClr w14:val="tx1"/>
            </w14:solidFill>
          </w14:textFill>
        </w:rPr>
        <w:t>元。</w:t>
      </w: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月底，单位共有公务用车4辆，其中：主要领导干部用车0辆、机要通信用车0辆、应急保障用车2辆、 执法执勤用车0辆、其他车辆2辆。</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 xml:space="preserve">公务用车运行维护费支出 </w:t>
      </w:r>
      <w:r>
        <w:rPr>
          <w:rFonts w:hint="eastAsia" w:ascii="仿宋_GB2312" w:eastAsia="仿宋_GB2312"/>
          <w:color w:val="000000" w:themeColor="text1"/>
          <w:sz w:val="32"/>
          <w:szCs w:val="32"/>
          <w14:textFill>
            <w14:solidFill>
              <w14:schemeClr w14:val="tx1"/>
            </w14:solidFill>
          </w14:textFill>
        </w:rPr>
        <w:t>4.8万元。主要用于下牧业开展工作、到县参加会议、办事、日常辖区巡逻、出差等所需的公务用车燃料费、维修费、过路过桥费、保险费等支出。</w:t>
      </w:r>
    </w:p>
    <w:p>
      <w:pPr>
        <w:numPr>
          <w:ilvl w:val="0"/>
          <w:numId w:val="2"/>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公务接待费支出</w:t>
      </w:r>
      <w:r>
        <w:rPr>
          <w:rFonts w:hint="eastAsia" w:ascii="仿宋_GB2312" w:eastAsia="仿宋_GB2312"/>
          <w:color w:val="000000" w:themeColor="text1"/>
          <w:sz w:val="32"/>
          <w:szCs w:val="32"/>
          <w14:textFill>
            <w14:solidFill>
              <w14:schemeClr w14:val="tx1"/>
            </w14:solidFill>
          </w14:textFill>
        </w:rPr>
        <w:t>0万元，</w:t>
      </w:r>
      <w:r>
        <w:rPr>
          <w:rStyle w:val="16"/>
          <w:rFonts w:hint="eastAsia" w:ascii="仿宋" w:hAnsi="仿宋" w:eastAsia="仿宋"/>
          <w:b w:val="0"/>
          <w:bCs/>
          <w:color w:val="000000" w:themeColor="text1"/>
          <w:sz w:val="32"/>
          <w:szCs w:val="32"/>
          <w14:textFill>
            <w14:solidFill>
              <w14:schemeClr w14:val="tx1"/>
            </w14:solidFill>
          </w14:textFill>
        </w:rPr>
        <w:t>完成预算0</w:t>
      </w:r>
      <w:r>
        <w:rPr>
          <w:rStyle w:val="16"/>
          <w:rFonts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公务接待费支出决算与</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20年持平，主要原因是当年无接待。</w:t>
      </w:r>
    </w:p>
    <w:p>
      <w:pPr>
        <w:numPr>
          <w:ilvl w:val="0"/>
          <w:numId w:val="2"/>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1285" w:firstLineChars="400"/>
        <w:rPr>
          <w:rFonts w:ascii="黑体" w:eastAsia="黑体"/>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外事接待支出</w:t>
      </w:r>
      <w:r>
        <w:rPr>
          <w:rFonts w:hint="eastAsia" w:ascii="仿宋" w:hAnsi="仿宋" w:eastAsia="仿宋"/>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bookmarkStart w:id="50" w:name="_Toc15377218"/>
      <w:bookmarkStart w:id="51" w:name="_Toc15396610"/>
    </w:p>
    <w:p>
      <w:pPr>
        <w:spacing w:line="600" w:lineRule="exact"/>
        <w:ind w:firstLine="640"/>
        <w:outlineLvl w:val="1"/>
        <w:rPr>
          <w:rStyle w:val="27"/>
          <w:rFonts w:ascii="黑体" w:hAnsi="黑体" w:eastAsia="黑体"/>
          <w:color w:val="000000" w:themeColor="text1"/>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八、</w:t>
      </w:r>
      <w:r>
        <w:rPr>
          <w:rStyle w:val="27"/>
          <w:rFonts w:hint="eastAsia" w:ascii="黑体" w:hAnsi="黑体" w:eastAsia="黑体"/>
          <w:b w:val="0"/>
          <w:color w:val="000000" w:themeColor="text1"/>
          <w14:textFill>
            <w14:solidFill>
              <w14:schemeClr w14:val="tx1"/>
            </w14:solidFill>
          </w14:textFill>
        </w:rPr>
        <w:t>政府性基金预算支出决算情况说明</w:t>
      </w:r>
      <w:bookmarkEnd w:id="50"/>
      <w:bookmarkEnd w:id="51"/>
    </w:p>
    <w:p>
      <w:pPr>
        <w:spacing w:line="600" w:lineRule="exact"/>
        <w:ind w:firstLine="64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21年政府性基金预算拨款支出0万元。</w:t>
      </w:r>
    </w:p>
    <w:p>
      <w:pPr>
        <w:numPr>
          <w:ilvl w:val="0"/>
          <w:numId w:val="3"/>
        </w:numPr>
        <w:spacing w:line="600" w:lineRule="exact"/>
        <w:ind w:firstLine="640"/>
        <w:outlineLvl w:val="1"/>
        <w:rPr>
          <w:rStyle w:val="27"/>
          <w:rFonts w:ascii="黑体" w:hAnsi="黑体" w:eastAsia="黑体"/>
          <w:b w:val="0"/>
          <w:color w:val="000000" w:themeColor="text1"/>
          <w14:textFill>
            <w14:solidFill>
              <w14:schemeClr w14:val="tx1"/>
            </w14:solidFill>
          </w14:textFill>
        </w:rPr>
      </w:pPr>
      <w:bookmarkStart w:id="52" w:name="_Toc15377219"/>
      <w:bookmarkStart w:id="53" w:name="_Toc15396611"/>
      <w:r>
        <w:rPr>
          <w:rStyle w:val="27"/>
          <w:rFonts w:hint="eastAsia" w:ascii="黑体" w:hAnsi="黑体" w:eastAsia="黑体"/>
          <w:b w:val="0"/>
          <w:color w:val="000000" w:themeColor="text1"/>
          <w14:textFill>
            <w14:solidFill>
              <w14:schemeClr w14:val="tx1"/>
            </w14:solidFill>
          </w14:textFill>
        </w:rPr>
        <w:t>国有资本经营预算支出决算情况说明</w:t>
      </w:r>
      <w:bookmarkEnd w:id="52"/>
      <w:bookmarkEnd w:id="53"/>
    </w:p>
    <w:p>
      <w:pPr>
        <w:spacing w:line="600" w:lineRule="exact"/>
        <w:ind w:firstLine="64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21年国有资本经营预算拨款支出0万元。</w:t>
      </w:r>
    </w:p>
    <w:p>
      <w:pPr>
        <w:spacing w:line="600" w:lineRule="exact"/>
        <w:ind w:firstLine="800" w:firstLineChars="250"/>
        <w:outlineLvl w:val="1"/>
        <w:rPr>
          <w:rStyle w:val="27"/>
          <w:rFonts w:ascii="黑体" w:hAnsi="黑体" w:eastAsia="黑体"/>
          <w:color w:val="000000" w:themeColor="text1"/>
          <w14:textFill>
            <w14:solidFill>
              <w14:schemeClr w14:val="tx1"/>
            </w14:solidFill>
          </w14:textFill>
        </w:rPr>
      </w:pPr>
      <w:bookmarkStart w:id="54" w:name="_Toc15396612"/>
      <w:bookmarkStart w:id="55" w:name="_Toc15377221"/>
      <w:r>
        <w:rPr>
          <w:rFonts w:hint="eastAsia" w:ascii="黑体" w:hAnsi="黑体" w:eastAsia="黑体"/>
          <w:color w:val="000000" w:themeColor="text1"/>
          <w:sz w:val="32"/>
          <w:szCs w:val="32"/>
          <w14:textFill>
            <w14:solidFill>
              <w14:schemeClr w14:val="tx1"/>
            </w14:solidFill>
          </w14:textFill>
        </w:rPr>
        <w:t>十</w:t>
      </w:r>
      <w:r>
        <w:rPr>
          <w:rStyle w:val="27"/>
          <w:rFonts w:hint="eastAsia" w:ascii="黑体" w:hAnsi="黑体" w:eastAsia="黑体"/>
          <w:color w:val="000000" w:themeColor="text1"/>
          <w14:textFill>
            <w14:solidFill>
              <w14:schemeClr w14:val="tx1"/>
            </w14:solidFill>
          </w14:textFill>
        </w:rPr>
        <w:t>、</w:t>
      </w:r>
      <w:r>
        <w:rPr>
          <w:rStyle w:val="27"/>
          <w:rFonts w:hint="eastAsia" w:ascii="黑体" w:hAnsi="黑体" w:eastAsia="黑体"/>
          <w:b w:val="0"/>
          <w:color w:val="000000" w:themeColor="text1"/>
          <w14:textFill>
            <w14:solidFill>
              <w14:schemeClr w14:val="tx1"/>
            </w14:solidFill>
          </w14:textFill>
        </w:rPr>
        <w:t>其他重要事项的情况说明</w:t>
      </w:r>
      <w:bookmarkEnd w:id="54"/>
      <w:bookmarkEnd w:id="55"/>
    </w:p>
    <w:p>
      <w:pPr>
        <w:spacing w:line="600" w:lineRule="exact"/>
        <w:ind w:firstLine="643" w:firstLineChars="200"/>
        <w:outlineLvl w:val="2"/>
        <w:rPr>
          <w:rFonts w:ascii="仿宋" w:hAnsi="仿宋" w:eastAsia="仿宋"/>
          <w:color w:val="000000" w:themeColor="text1"/>
          <w:sz w:val="32"/>
          <w:szCs w:val="32"/>
          <w14:textFill>
            <w14:solidFill>
              <w14:schemeClr w14:val="tx1"/>
            </w14:solidFill>
          </w14:textFill>
        </w:rPr>
      </w:pPr>
      <w:bookmarkStart w:id="56" w:name="_Toc15377222"/>
      <w:r>
        <w:rPr>
          <w:rFonts w:hint="eastAsia" w:ascii="仿宋" w:hAnsi="仿宋" w:eastAsia="仿宋"/>
          <w:b/>
          <w:color w:val="000000" w:themeColor="text1"/>
          <w:sz w:val="32"/>
          <w:szCs w:val="32"/>
          <w14:textFill>
            <w14:solidFill>
              <w14:schemeClr w14:val="tx1"/>
            </w14:solidFill>
          </w14:textFill>
        </w:rPr>
        <w:t>（一）机关运行经费支出情况</w:t>
      </w:r>
      <w:bookmarkEnd w:id="56"/>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21年，安曲镇人民政府机关运行经费支出82.52万元，比</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20年增加19.44万元，上升30.81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。主要原因是2021年机关执行各项规定开展工作量增加，相应支出增加。</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57" w:name="_Toc15377223"/>
      <w:r>
        <w:rPr>
          <w:rFonts w:hint="eastAsia" w:ascii="仿宋" w:hAnsi="仿宋" w:eastAsia="仿宋"/>
          <w:b/>
          <w:color w:val="000000" w:themeColor="text1"/>
          <w:sz w:val="32"/>
          <w:szCs w:val="32"/>
          <w14:textFill>
            <w14:solidFill>
              <w14:schemeClr w14:val="tx1"/>
            </w14:solidFill>
          </w14:textFill>
        </w:rPr>
        <w:t>（二）政府采购支出情况</w:t>
      </w:r>
      <w:bookmarkEnd w:id="57"/>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21年，安曲镇人民政府采购支出总额0万元，其中：政府采购货物支出0万元、政府采购工程支出0万元、政府采购服务支出0万元。</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58" w:name="_Toc15377224"/>
      <w:r>
        <w:rPr>
          <w:rFonts w:hint="eastAsia" w:ascii="仿宋" w:hAnsi="仿宋" w:eastAsia="仿宋"/>
          <w:b/>
          <w:color w:val="000000" w:themeColor="text1"/>
          <w:sz w:val="32"/>
          <w:szCs w:val="32"/>
          <w14:textFill>
            <w14:solidFill>
              <w14:schemeClr w14:val="tx1"/>
            </w14:solidFill>
          </w14:textFill>
        </w:rPr>
        <w:t>（三）国有资产占有使用情况</w:t>
      </w:r>
      <w:bookmarkEnd w:id="58"/>
    </w:p>
    <w:p>
      <w:pPr>
        <w:autoSpaceDE w:val="0"/>
        <w:autoSpaceDN w:val="0"/>
        <w:adjustRightInd w:val="0"/>
        <w:spacing w:line="600" w:lineRule="exact"/>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日，安曲镇人民政府共有车辆4辆，其中：主要领导干部用车0辆、机要通信用车0辆、应急保障用车2辆、其他用车2辆，其他用车主要是用于下牧业开展工作、到县参加会议、办事、日常辖区巡逻、出差等单价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万元以上专用设备0台（套）。</w:t>
      </w:r>
    </w:p>
    <w:p>
      <w:pPr>
        <w:numPr>
          <w:ilvl w:val="0"/>
          <w:numId w:val="4"/>
        </w:numPr>
        <w:autoSpaceDE w:val="0"/>
        <w:autoSpaceDN w:val="0"/>
        <w:adjustRightInd w:val="0"/>
        <w:spacing w:line="600" w:lineRule="exact"/>
        <w:ind w:firstLine="643" w:firstLineChars="200"/>
        <w:jc w:val="left"/>
        <w:outlineLvl w:val="2"/>
        <w:rPr>
          <w:rFonts w:hint="eastAsia" w:ascii="仿宋" w:hAnsi="仿宋" w:eastAsia="仿宋"/>
          <w:b/>
          <w:sz w:val="32"/>
          <w:szCs w:val="32"/>
          <w:highlight w:val="none"/>
        </w:rPr>
      </w:pPr>
      <w:r>
        <w:rPr>
          <w:rFonts w:hint="eastAsia" w:ascii="仿宋" w:hAnsi="仿宋" w:eastAsia="仿宋"/>
          <w:b/>
          <w:sz w:val="32"/>
          <w:szCs w:val="32"/>
          <w:highlight w:val="none"/>
        </w:rPr>
        <w:t>预算绩效管理情况</w:t>
      </w:r>
    </w:p>
    <w:p>
      <w:pPr>
        <w:numPr>
          <w:ilvl w:val="0"/>
          <w:numId w:val="0"/>
        </w:numPr>
        <w:autoSpaceDE w:val="0"/>
        <w:autoSpaceDN w:val="0"/>
        <w:adjustRightInd w:val="0"/>
        <w:spacing w:line="600" w:lineRule="exact"/>
        <w:ind w:firstLine="640" w:firstLineChars="200"/>
        <w:jc w:val="left"/>
        <w:outlineLvl w:val="2"/>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根据预算绩效管理要求，本部门（单位）在年初预算编制阶段，安曲镇下哈拉玛村</w:t>
      </w:r>
      <w:r>
        <w:rPr>
          <w:rFonts w:hint="eastAsia" w:ascii="仿宋_GB2312" w:hAnsi="仿宋_GB2312" w:eastAsia="仿宋_GB2312" w:cs="仿宋_GB2312"/>
          <w:sz w:val="32"/>
          <w:szCs w:val="32"/>
          <w:highlight w:val="none"/>
          <w:lang w:eastAsia="zh-CN"/>
        </w:rPr>
        <w:t>民族</w:t>
      </w:r>
      <w:r>
        <w:rPr>
          <w:rFonts w:hint="eastAsia" w:ascii="仿宋_GB2312" w:hAnsi="仿宋_GB2312" w:eastAsia="仿宋_GB2312" w:cs="仿宋_GB2312"/>
          <w:sz w:val="32"/>
          <w:szCs w:val="32"/>
          <w:highlight w:val="none"/>
        </w:rPr>
        <w:t>团结进步新村项目，红原县工代赈示范工程建设项目，安曲镇农特产品购物中心和农村电商中心建设项目，下哈拉玛村牧业生产点（草原防火通道）道路及桥梁建设项目，安曲镇板涵桥建设项目，安曲镇牧业生产点（草原防火通道）道路维修项目，省、州下达“下哈拉玛村乡村振兴示范村”，州级下达“安曲镇乡村振兴示范镇”奖励资金项目，20</w:t>
      </w:r>
      <w:r>
        <w:rPr>
          <w:rFonts w:ascii="仿宋_GB2312" w:hAnsi="仿宋_GB2312" w:eastAsia="仿宋_GB2312" w:cs="仿宋_GB2312"/>
          <w:sz w:val="32"/>
          <w:szCs w:val="32"/>
          <w:highlight w:val="none"/>
        </w:rPr>
        <w:t>21</w:t>
      </w:r>
      <w:r>
        <w:rPr>
          <w:rFonts w:hint="eastAsia" w:ascii="仿宋_GB2312" w:hAnsi="仿宋_GB2312" w:eastAsia="仿宋_GB2312" w:cs="仿宋_GB2312"/>
          <w:sz w:val="32"/>
          <w:szCs w:val="32"/>
          <w:highlight w:val="none"/>
        </w:rPr>
        <w:t>年村级运行维护费项目对</w:t>
      </w:r>
      <w:r>
        <w:rPr>
          <w:rFonts w:ascii="仿宋_GB2312" w:hAnsi="仿宋_GB2312" w:eastAsia="仿宋_GB2312" w:cs="仿宋_GB2312"/>
          <w:sz w:val="32"/>
          <w:szCs w:val="32"/>
          <w:highlight w:val="none"/>
        </w:rPr>
        <w:t>9</w:t>
      </w:r>
      <w:r>
        <w:rPr>
          <w:rFonts w:hint="eastAsia" w:ascii="仿宋_GB2312" w:hAnsi="仿宋_GB2312" w:eastAsia="仿宋_GB2312" w:cs="仿宋_GB2312"/>
          <w:sz w:val="32"/>
          <w:szCs w:val="32"/>
          <w:highlight w:val="none"/>
        </w:rPr>
        <w:t>个项目编制了绩效目标，预算执行过程中，选取</w:t>
      </w:r>
      <w:r>
        <w:rPr>
          <w:rFonts w:ascii="仿宋_GB2312" w:hAnsi="仿宋_GB2312" w:eastAsia="仿宋_GB2312" w:cs="仿宋_GB2312"/>
          <w:sz w:val="32"/>
          <w:szCs w:val="32"/>
          <w:highlight w:val="none"/>
        </w:rPr>
        <w:t>9</w:t>
      </w:r>
      <w:r>
        <w:rPr>
          <w:rFonts w:hint="eastAsia" w:ascii="仿宋_GB2312" w:hAnsi="仿宋_GB2312" w:eastAsia="仿宋_GB2312" w:cs="仿宋_GB2312"/>
          <w:sz w:val="32"/>
          <w:szCs w:val="32"/>
          <w:highlight w:val="none"/>
        </w:rPr>
        <w:t>个项目开展绩效监控，年终执行完毕后，对</w:t>
      </w:r>
      <w:r>
        <w:rPr>
          <w:rFonts w:ascii="仿宋_GB2312" w:hAnsi="仿宋_GB2312" w:eastAsia="仿宋_GB2312" w:cs="仿宋_GB2312"/>
          <w:sz w:val="32"/>
          <w:szCs w:val="32"/>
          <w:highlight w:val="none"/>
        </w:rPr>
        <w:t>9</w:t>
      </w:r>
      <w:r>
        <w:rPr>
          <w:rFonts w:hint="eastAsia" w:ascii="仿宋_GB2312" w:hAnsi="仿宋_GB2312" w:eastAsia="仿宋_GB2312" w:cs="仿宋_GB2312"/>
          <w:sz w:val="32"/>
          <w:szCs w:val="32"/>
          <w:highlight w:val="none"/>
        </w:rPr>
        <w:t>个项目开展了绩效目标完成情况自评。</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本部门按要求对20</w:t>
      </w:r>
      <w:r>
        <w:rPr>
          <w:rFonts w:ascii="仿宋_GB2312" w:hAnsi="仿宋_GB2312" w:eastAsia="仿宋_GB2312" w:cs="仿宋_GB2312"/>
          <w:sz w:val="32"/>
          <w:szCs w:val="32"/>
          <w:highlight w:val="none"/>
        </w:rPr>
        <w:t>21</w:t>
      </w:r>
      <w:r>
        <w:rPr>
          <w:rFonts w:hint="eastAsia" w:ascii="仿宋_GB2312" w:hAnsi="仿宋_GB2312" w:eastAsia="仿宋_GB2312" w:cs="仿宋_GB2312"/>
          <w:sz w:val="32"/>
          <w:szCs w:val="32"/>
          <w:highlight w:val="none"/>
        </w:rPr>
        <w:t>年部门整体支出开展绩效自评，从评价情况来看完成效果较好。本部门还自行组织了</w:t>
      </w:r>
      <w:r>
        <w:rPr>
          <w:rFonts w:ascii="仿宋_GB2312" w:hAnsi="仿宋_GB2312" w:eastAsia="仿宋_GB2312" w:cs="仿宋_GB2312"/>
          <w:sz w:val="32"/>
          <w:szCs w:val="32"/>
          <w:highlight w:val="none"/>
        </w:rPr>
        <w:t>2</w:t>
      </w:r>
      <w:r>
        <w:rPr>
          <w:rFonts w:hint="eastAsia" w:ascii="仿宋_GB2312" w:hAnsi="仿宋_GB2312" w:eastAsia="仿宋_GB2312" w:cs="仿宋_GB2312"/>
          <w:sz w:val="32"/>
          <w:szCs w:val="32"/>
          <w:highlight w:val="none"/>
        </w:rPr>
        <w:t>个项目支出绩效评价，从评价情况来看完成情况较好。</w:t>
      </w:r>
    </w:p>
    <w:p>
      <w:pPr>
        <w:tabs>
          <w:tab w:val="left" w:pos="312"/>
        </w:tabs>
        <w:spacing w:line="580" w:lineRule="exact"/>
        <w:ind w:firstLine="640" w:firstLineChars="200"/>
        <w:rPr>
          <w:rFonts w:ascii="仿宋" w:hAnsi="仿宋" w:eastAsia="仿宋"/>
          <w:sz w:val="32"/>
          <w:szCs w:val="32"/>
          <w:highlight w:val="none"/>
        </w:rPr>
      </w:pPr>
      <w:r>
        <w:rPr>
          <w:rFonts w:hint="eastAsia" w:ascii="仿宋_GB2312" w:hAnsi="仿宋_GB2312" w:eastAsia="仿宋_GB2312" w:cs="仿宋_GB2312"/>
          <w:sz w:val="32"/>
          <w:szCs w:val="32"/>
          <w:highlight w:val="none"/>
        </w:rPr>
        <w:t>20</w:t>
      </w:r>
      <w:r>
        <w:rPr>
          <w:rFonts w:ascii="仿宋_GB2312" w:hAnsi="仿宋_GB2312" w:eastAsia="仿宋_GB2312" w:cs="仿宋_GB2312"/>
          <w:sz w:val="32"/>
          <w:szCs w:val="32"/>
          <w:highlight w:val="none"/>
        </w:rPr>
        <w:t>21</w:t>
      </w:r>
      <w:r>
        <w:rPr>
          <w:rFonts w:hint="eastAsia" w:ascii="仿宋_GB2312" w:hAnsi="仿宋_GB2312" w:eastAsia="仿宋_GB2312" w:cs="仿宋_GB2312"/>
          <w:sz w:val="32"/>
          <w:szCs w:val="32"/>
          <w:highlight w:val="none"/>
        </w:rPr>
        <w:t>年村级运行维护费项目</w:t>
      </w:r>
      <w:r>
        <w:rPr>
          <w:rFonts w:hint="eastAsia" w:ascii="仿宋_GB2312" w:hAnsi="仿宋_GB2312" w:eastAsia="仿宋_GB2312" w:cs="仿宋_GB2312"/>
          <w:sz w:val="32"/>
          <w:szCs w:val="32"/>
          <w:highlight w:val="none"/>
          <w:lang w:eastAsia="zh-CN"/>
        </w:rPr>
        <w:t>：</w:t>
      </w:r>
      <w:r>
        <w:rPr>
          <w:rFonts w:hint="eastAsia" w:ascii="仿宋" w:hAnsi="仿宋" w:eastAsia="仿宋"/>
          <w:sz w:val="32"/>
          <w:szCs w:val="32"/>
          <w:highlight w:val="none"/>
        </w:rPr>
        <w:t>购置相关办公及取暖用品，为方便冬季开展，村内环境治理，日常牧道维修，自来水通畅保障，村办公经费。</w:t>
      </w:r>
      <w:r>
        <w:rPr>
          <w:rFonts w:hint="eastAsia" w:ascii="仿宋_GB2312" w:hAnsi="仿宋_GB2312" w:eastAsia="仿宋_GB2312" w:cs="仿宋_GB2312"/>
          <w:sz w:val="32"/>
          <w:szCs w:val="32"/>
          <w:highlight w:val="none"/>
        </w:rPr>
        <w:t>项目全年预算数33万元，执行数为33万元，完成预算的100%</w:t>
      </w:r>
      <w:r>
        <w:rPr>
          <w:rFonts w:hint="eastAsia" w:ascii="仿宋" w:hAnsi="仿宋" w:eastAsia="仿宋"/>
          <w:sz w:val="32"/>
          <w:szCs w:val="32"/>
          <w:highlight w:val="none"/>
        </w:rPr>
        <w:t>。</w:t>
      </w:r>
    </w:p>
    <w:p>
      <w:pPr>
        <w:numPr>
          <w:ilvl w:val="0"/>
          <w:numId w:val="0"/>
        </w:numPr>
        <w:spacing w:line="580" w:lineRule="exact"/>
        <w:ind w:firstLine="640" w:firstLineChars="200"/>
        <w:rPr>
          <w:rFonts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项目绩效目标完成情况</w:t>
      </w:r>
    </w:p>
    <w:p>
      <w:pPr>
        <w:numPr>
          <w:ilvl w:val="0"/>
          <w:numId w:val="0"/>
        </w:num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本部门在20</w:t>
      </w:r>
      <w:r>
        <w:rPr>
          <w:rFonts w:ascii="仿宋_GB2312" w:hAnsi="仿宋_GB2312" w:eastAsia="仿宋_GB2312" w:cs="仿宋_GB2312"/>
          <w:sz w:val="32"/>
          <w:szCs w:val="32"/>
          <w:highlight w:val="none"/>
        </w:rPr>
        <w:t>21</w:t>
      </w:r>
      <w:r>
        <w:rPr>
          <w:rFonts w:hint="eastAsia" w:ascii="仿宋_GB2312" w:hAnsi="仿宋_GB2312" w:eastAsia="仿宋_GB2312" w:cs="仿宋_GB2312"/>
          <w:sz w:val="32"/>
          <w:szCs w:val="32"/>
          <w:highlight w:val="none"/>
        </w:rPr>
        <w:t>年度部门决算中反映安曲镇</w:t>
      </w:r>
      <w:r>
        <w:rPr>
          <w:rFonts w:hint="eastAsia" w:ascii="仿宋_GB2312" w:hAnsi="仿宋_GB2312" w:eastAsia="仿宋_GB2312" w:cs="仿宋_GB2312"/>
          <w:sz w:val="32"/>
          <w:szCs w:val="32"/>
        </w:rPr>
        <w:t>下哈拉玛村</w:t>
      </w:r>
      <w:bookmarkStart w:id="77" w:name="_GoBack"/>
      <w:bookmarkEnd w:id="77"/>
      <w:r>
        <w:rPr>
          <w:rFonts w:hint="eastAsia" w:ascii="仿宋_GB2312" w:hAnsi="仿宋_GB2312" w:eastAsia="仿宋_GB2312" w:cs="仿宋_GB2312"/>
          <w:sz w:val="32"/>
          <w:szCs w:val="32"/>
          <w:lang w:eastAsia="zh-CN"/>
        </w:rPr>
        <w:t>民族</w:t>
      </w:r>
      <w:r>
        <w:rPr>
          <w:rFonts w:hint="eastAsia" w:ascii="仿宋_GB2312" w:hAnsi="仿宋_GB2312" w:eastAsia="仿宋_GB2312" w:cs="仿宋_GB2312"/>
          <w:sz w:val="32"/>
          <w:szCs w:val="32"/>
        </w:rPr>
        <w:t>团结进步新村项目，红原县工代赈示范工程建设项目，安曲镇农特产品购物中心和农村电商中心建设项目，下哈拉玛村牧业生产点（草原防火通道）道路及桥梁建设项目，安曲镇板涵桥建设项目，安曲镇牧业生产点（草原防火通道）道路维修项目，省、州下达“下哈拉玛村乡村振兴示范村”建</w:t>
      </w:r>
      <w:r>
        <w:rPr>
          <w:rFonts w:hint="eastAsia" w:ascii="仿宋_GB2312" w:hAnsi="仿宋_GB2312" w:eastAsia="仿宋_GB2312" w:cs="仿宋_GB2312"/>
          <w:sz w:val="32"/>
          <w:szCs w:val="32"/>
          <w:highlight w:val="none"/>
        </w:rPr>
        <w:t>设项目，州级下达“安曲镇乡村振兴示范镇”奖励资金项目，20</w:t>
      </w:r>
      <w:r>
        <w:rPr>
          <w:rFonts w:ascii="仿宋_GB2312" w:hAnsi="仿宋_GB2312" w:eastAsia="仿宋_GB2312" w:cs="仿宋_GB2312"/>
          <w:sz w:val="32"/>
          <w:szCs w:val="32"/>
          <w:highlight w:val="none"/>
        </w:rPr>
        <w:t>21</w:t>
      </w:r>
      <w:r>
        <w:rPr>
          <w:rFonts w:hint="eastAsia" w:ascii="仿宋_GB2312" w:hAnsi="仿宋_GB2312" w:eastAsia="仿宋_GB2312" w:cs="仿宋_GB2312"/>
          <w:sz w:val="32"/>
          <w:szCs w:val="32"/>
          <w:highlight w:val="none"/>
        </w:rPr>
        <w:t>年村级运行维护费项目等</w:t>
      </w:r>
      <w:r>
        <w:rPr>
          <w:rFonts w:ascii="仿宋_GB2312" w:hAnsi="仿宋_GB2312" w:eastAsia="仿宋_GB2312" w:cs="仿宋_GB2312"/>
          <w:sz w:val="32"/>
          <w:szCs w:val="32"/>
          <w:highlight w:val="none"/>
        </w:rPr>
        <w:t>9</w:t>
      </w:r>
      <w:r>
        <w:rPr>
          <w:rFonts w:hint="eastAsia" w:ascii="仿宋_GB2312" w:hAnsi="仿宋_GB2312" w:eastAsia="仿宋_GB2312" w:cs="仿宋_GB2312"/>
          <w:sz w:val="32"/>
          <w:szCs w:val="32"/>
          <w:highlight w:val="none"/>
        </w:rPr>
        <w:t>个项目绩效目标实际完成情况。</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（1）安曲镇下哈拉玛村</w:t>
      </w:r>
      <w:r>
        <w:rPr>
          <w:rFonts w:hint="eastAsia" w:ascii="仿宋_GB2312" w:hAnsi="仿宋_GB2312" w:eastAsia="仿宋_GB2312" w:cs="仿宋_GB2312"/>
          <w:sz w:val="32"/>
          <w:szCs w:val="32"/>
          <w:highlight w:val="none"/>
          <w:lang w:eastAsia="zh-CN"/>
        </w:rPr>
        <w:t>民族</w:t>
      </w:r>
      <w:r>
        <w:rPr>
          <w:rFonts w:hint="eastAsia" w:ascii="仿宋_GB2312" w:hAnsi="仿宋_GB2312" w:eastAsia="仿宋_GB2312" w:cs="仿宋_GB2312"/>
          <w:sz w:val="32"/>
          <w:szCs w:val="32"/>
          <w:highlight w:val="none"/>
        </w:rPr>
        <w:t>团结进步新村项目，全年预算数</w:t>
      </w:r>
      <w:r>
        <w:rPr>
          <w:rFonts w:ascii="仿宋_GB2312" w:hAnsi="仿宋_GB2312" w:eastAsia="仿宋_GB2312" w:cs="仿宋_GB2312"/>
          <w:sz w:val="32"/>
          <w:szCs w:val="32"/>
          <w:highlight w:val="none"/>
        </w:rPr>
        <w:t>500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32"/>
          <w:szCs w:val="32"/>
          <w:highlight w:val="none"/>
        </w:rPr>
        <w:t>500</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100</w:t>
      </w:r>
      <w:r>
        <w:rPr>
          <w:rFonts w:hint="eastAsia" w:ascii="仿宋_GB2312" w:hAnsi="仿宋_GB2312" w:eastAsia="仿宋_GB2312" w:cs="仿宋_GB2312"/>
          <w:sz w:val="32"/>
          <w:szCs w:val="32"/>
          <w:highlight w:val="none"/>
        </w:rPr>
        <w:t>%。(项目实施后将提升该村集体经济产业发展和村内基础设施建设，从而保障广大牧民群众生产生活质量）</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（2）红原县工代赈示范工程建设项目，绩效目标完成情况综述。项目全年预算数</w:t>
      </w:r>
      <w:r>
        <w:rPr>
          <w:rFonts w:ascii="仿宋_GB2312" w:hAnsi="仿宋_GB2312" w:eastAsia="仿宋_GB2312" w:cs="仿宋_GB2312"/>
          <w:sz w:val="32"/>
          <w:szCs w:val="32"/>
          <w:highlight w:val="none"/>
        </w:rPr>
        <w:t>500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32"/>
          <w:szCs w:val="32"/>
          <w:highlight w:val="none"/>
        </w:rPr>
        <w:t>496</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99.2</w:t>
      </w:r>
      <w:r>
        <w:rPr>
          <w:rFonts w:hint="eastAsia" w:ascii="仿宋_GB2312" w:hAnsi="仿宋_GB2312" w:eastAsia="仿宋_GB2312" w:cs="仿宋_GB2312"/>
          <w:sz w:val="32"/>
          <w:szCs w:val="32"/>
          <w:highlight w:val="none"/>
        </w:rPr>
        <w:t>%。通过项目实施极大减少了我镇产生内涝的安全隐患，从而保障广大牧民群众生产生活。</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（3）安曲镇农特产品购物中心和农村电商中心建设项目，项目全年预算数</w:t>
      </w:r>
      <w:r>
        <w:rPr>
          <w:rFonts w:ascii="仿宋_GB2312" w:hAnsi="仿宋_GB2312" w:eastAsia="仿宋_GB2312" w:cs="仿宋_GB2312"/>
          <w:sz w:val="32"/>
          <w:szCs w:val="32"/>
          <w:highlight w:val="none"/>
        </w:rPr>
        <w:t>400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32"/>
          <w:szCs w:val="32"/>
          <w:highlight w:val="none"/>
        </w:rPr>
        <w:t>400</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100</w:t>
      </w:r>
      <w:r>
        <w:rPr>
          <w:rFonts w:hint="eastAsia" w:ascii="仿宋_GB2312" w:hAnsi="仿宋_GB2312" w:eastAsia="仿宋_GB2312" w:cs="仿宋_GB2312"/>
          <w:sz w:val="32"/>
          <w:szCs w:val="32"/>
          <w:highlight w:val="none"/>
        </w:rPr>
        <w:t>%。通过项目实施，将提升该村集体经济产业发展和村内基础设施建设，从而保障广大牧民群众生产生活质量）</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（4）下哈拉玛村牧业生产点（草原防火通道）道路及桥梁建设项目，项目全年预算数</w:t>
      </w:r>
      <w:r>
        <w:rPr>
          <w:rFonts w:ascii="仿宋_GB2312" w:hAnsi="仿宋_GB2312" w:eastAsia="仿宋_GB2312" w:cs="仿宋_GB2312"/>
          <w:sz w:val="32"/>
          <w:szCs w:val="32"/>
          <w:highlight w:val="none"/>
        </w:rPr>
        <w:t>200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28"/>
          <w:szCs w:val="28"/>
          <w:highlight w:val="none"/>
        </w:rPr>
        <w:t>195</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97.5</w:t>
      </w:r>
      <w:r>
        <w:rPr>
          <w:rFonts w:hint="eastAsia" w:ascii="仿宋_GB2312" w:hAnsi="仿宋_GB2312" w:eastAsia="仿宋_GB2312" w:cs="仿宋_GB2312"/>
          <w:sz w:val="32"/>
          <w:szCs w:val="32"/>
          <w:highlight w:val="none"/>
        </w:rPr>
        <w:t>%。通过项目实施促进哈拉玛村集体经济收入。</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5</w:t>
      </w:r>
      <w:r>
        <w:rPr>
          <w:rFonts w:hint="eastAsia" w:ascii="仿宋_GB2312" w:hAnsi="仿宋_GB2312" w:eastAsia="仿宋_GB2312" w:cs="仿宋_GB2312"/>
          <w:sz w:val="32"/>
          <w:szCs w:val="32"/>
          <w:highlight w:val="none"/>
        </w:rPr>
        <w:t>）安曲镇板涵桥建设项目，项目全年预算数</w:t>
      </w:r>
      <w:r>
        <w:rPr>
          <w:rFonts w:ascii="仿宋_GB2312" w:hAnsi="仿宋_GB2312" w:eastAsia="仿宋_GB2312" w:cs="仿宋_GB2312"/>
          <w:sz w:val="32"/>
          <w:szCs w:val="32"/>
          <w:highlight w:val="none"/>
        </w:rPr>
        <w:t>40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28"/>
          <w:szCs w:val="28"/>
          <w:highlight w:val="none"/>
        </w:rPr>
        <w:t>39.4305</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98.57</w:t>
      </w:r>
      <w:r>
        <w:rPr>
          <w:rFonts w:hint="eastAsia" w:ascii="仿宋_GB2312" w:hAnsi="仿宋_GB2312" w:eastAsia="仿宋_GB2312" w:cs="仿宋_GB2312"/>
          <w:sz w:val="32"/>
          <w:szCs w:val="32"/>
          <w:highlight w:val="none"/>
        </w:rPr>
        <w:t>%。通过项目实施将极大提升牧民方便牧民群众出行，从而增加收入。</w:t>
      </w:r>
    </w:p>
    <w:p>
      <w:pPr>
        <w:pStyle w:val="2"/>
        <w:rPr>
          <w:highlight w:val="none"/>
        </w:rPr>
      </w:pP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6</w:t>
      </w:r>
      <w:r>
        <w:rPr>
          <w:rFonts w:hint="eastAsia" w:ascii="仿宋_GB2312" w:hAnsi="仿宋_GB2312" w:eastAsia="仿宋_GB2312" w:cs="仿宋_GB2312"/>
          <w:sz w:val="32"/>
          <w:szCs w:val="32"/>
          <w:highlight w:val="none"/>
        </w:rPr>
        <w:t>）安曲镇牧业生产点（草原防火通道）道路维修项目，项目全年预算数</w:t>
      </w:r>
      <w:r>
        <w:rPr>
          <w:rFonts w:ascii="仿宋_GB2312" w:hAnsi="仿宋_GB2312" w:eastAsia="仿宋_GB2312" w:cs="仿宋_GB2312"/>
          <w:sz w:val="32"/>
          <w:szCs w:val="32"/>
          <w:highlight w:val="none"/>
        </w:rPr>
        <w:t>15</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28"/>
          <w:szCs w:val="28"/>
          <w:highlight w:val="none"/>
        </w:rPr>
        <w:t>15</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100</w:t>
      </w:r>
      <w:r>
        <w:rPr>
          <w:rFonts w:hint="eastAsia" w:ascii="仿宋_GB2312" w:hAnsi="仿宋_GB2312" w:eastAsia="仿宋_GB2312" w:cs="仿宋_GB2312"/>
          <w:sz w:val="32"/>
          <w:szCs w:val="32"/>
          <w:highlight w:val="none"/>
        </w:rPr>
        <w:t>%。通过项目实施对各村牧道交通条件进行维护，极大方便牧民出行。</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7</w:t>
      </w:r>
      <w:r>
        <w:rPr>
          <w:rFonts w:hint="eastAsia" w:ascii="仿宋_GB2312" w:hAnsi="仿宋_GB2312" w:eastAsia="仿宋_GB2312" w:cs="仿宋_GB2312"/>
          <w:sz w:val="32"/>
          <w:szCs w:val="32"/>
          <w:highlight w:val="none"/>
        </w:rPr>
        <w:t>）省、州下达“下哈拉玛村乡村振兴示范村”建设项目，项目全年预算数</w:t>
      </w:r>
      <w:r>
        <w:rPr>
          <w:rFonts w:ascii="仿宋_GB2312" w:hAnsi="仿宋_GB2312" w:eastAsia="仿宋_GB2312" w:cs="仿宋_GB2312"/>
          <w:sz w:val="32"/>
          <w:szCs w:val="32"/>
          <w:highlight w:val="none"/>
        </w:rPr>
        <w:t>60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28"/>
          <w:szCs w:val="28"/>
          <w:highlight w:val="none"/>
        </w:rPr>
        <w:t>58.9</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98.1</w:t>
      </w:r>
      <w:r>
        <w:rPr>
          <w:rFonts w:hint="eastAsia" w:ascii="仿宋_GB2312" w:hAnsi="仿宋_GB2312" w:eastAsia="仿宋_GB2312" w:cs="仿宋_GB2312"/>
          <w:sz w:val="32"/>
          <w:szCs w:val="32"/>
          <w:highlight w:val="none"/>
        </w:rPr>
        <w:t>%。通过项目实施促进下哈拉玛村远牧点交通条件。</w:t>
      </w:r>
    </w:p>
    <w:p>
      <w:pPr>
        <w:spacing w:line="58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ascii="仿宋_GB2312" w:hAnsi="仿宋_GB2312" w:eastAsia="仿宋_GB2312" w:cs="仿宋_GB2312"/>
          <w:sz w:val="32"/>
          <w:szCs w:val="32"/>
          <w:highlight w:val="none"/>
        </w:rPr>
        <w:t>8</w:t>
      </w:r>
      <w:r>
        <w:rPr>
          <w:rFonts w:hint="eastAsia" w:ascii="仿宋_GB2312" w:hAnsi="仿宋_GB2312" w:eastAsia="仿宋_GB2312" w:cs="仿宋_GB2312"/>
          <w:sz w:val="32"/>
          <w:szCs w:val="32"/>
          <w:highlight w:val="none"/>
        </w:rPr>
        <w:t>）州级下达“安曲镇乡村振兴示范镇”奖励资金项目，项目全年预算数</w:t>
      </w:r>
      <w:r>
        <w:rPr>
          <w:rFonts w:ascii="仿宋_GB2312" w:hAnsi="仿宋_GB2312" w:eastAsia="仿宋_GB2312" w:cs="仿宋_GB2312"/>
          <w:sz w:val="32"/>
          <w:szCs w:val="32"/>
          <w:highlight w:val="none"/>
        </w:rPr>
        <w:t>100</w:t>
      </w:r>
      <w:r>
        <w:rPr>
          <w:rFonts w:hint="eastAsia" w:ascii="仿宋_GB2312" w:hAnsi="仿宋_GB2312" w:eastAsia="仿宋_GB2312" w:cs="仿宋_GB2312"/>
          <w:sz w:val="32"/>
          <w:szCs w:val="32"/>
          <w:highlight w:val="none"/>
        </w:rPr>
        <w:t>万元，执行数为</w:t>
      </w:r>
      <w:r>
        <w:rPr>
          <w:rFonts w:ascii="仿宋_GB2312" w:hAnsi="仿宋_GB2312" w:eastAsia="仿宋_GB2312" w:cs="仿宋_GB2312"/>
          <w:sz w:val="28"/>
          <w:szCs w:val="28"/>
          <w:highlight w:val="none"/>
        </w:rPr>
        <w:t>100</w:t>
      </w:r>
      <w:r>
        <w:rPr>
          <w:rFonts w:hint="eastAsia" w:ascii="仿宋_GB2312" w:hAnsi="仿宋_GB2312" w:eastAsia="仿宋_GB2312" w:cs="仿宋_GB2312"/>
          <w:sz w:val="32"/>
          <w:szCs w:val="32"/>
          <w:highlight w:val="none"/>
        </w:rPr>
        <w:t>万元，完成预算的</w:t>
      </w:r>
      <w:r>
        <w:rPr>
          <w:rFonts w:ascii="仿宋_GB2312" w:hAnsi="仿宋_GB2312" w:eastAsia="仿宋_GB2312" w:cs="仿宋_GB2312"/>
          <w:sz w:val="32"/>
          <w:szCs w:val="32"/>
          <w:highlight w:val="none"/>
        </w:rPr>
        <w:t>100</w:t>
      </w:r>
      <w:r>
        <w:rPr>
          <w:rFonts w:hint="eastAsia" w:ascii="仿宋_GB2312" w:hAnsi="仿宋_GB2312" w:eastAsia="仿宋_GB2312" w:cs="仿宋_GB2312"/>
          <w:sz w:val="32"/>
          <w:szCs w:val="32"/>
          <w:highlight w:val="none"/>
        </w:rPr>
        <w:t>%。通过项目实施改善镇区人居环境。</w:t>
      </w:r>
    </w:p>
    <w:tbl>
      <w:tblPr>
        <w:tblStyle w:val="14"/>
        <w:tblW w:w="9895" w:type="dxa"/>
        <w:jc w:val="center"/>
        <w:tblLayout w:type="fixed"/>
        <w:tblCellMar>
          <w:top w:w="15" w:type="dxa"/>
          <w:left w:w="15" w:type="dxa"/>
          <w:bottom w:w="15" w:type="dxa"/>
          <w:right w:w="15" w:type="dxa"/>
        </w:tblCellMar>
      </w:tblPr>
      <w:tblGrid>
        <w:gridCol w:w="373"/>
        <w:gridCol w:w="250"/>
        <w:gridCol w:w="199"/>
        <w:gridCol w:w="764"/>
        <w:gridCol w:w="225"/>
        <w:gridCol w:w="823"/>
        <w:gridCol w:w="199"/>
        <w:gridCol w:w="565"/>
        <w:gridCol w:w="172"/>
        <w:gridCol w:w="1010"/>
        <w:gridCol w:w="145"/>
        <w:gridCol w:w="1607"/>
        <w:gridCol w:w="104"/>
        <w:gridCol w:w="1465"/>
        <w:gridCol w:w="63"/>
        <w:gridCol w:w="58"/>
        <w:gridCol w:w="1347"/>
        <w:gridCol w:w="526"/>
      </w:tblGrid>
      <w:tr>
        <w:tblPrEx>
          <w:tblCellMar>
            <w:top w:w="15" w:type="dxa"/>
            <w:left w:w="15" w:type="dxa"/>
            <w:bottom w:w="15" w:type="dxa"/>
            <w:right w:w="15" w:type="dxa"/>
          </w:tblCellMar>
        </w:tblPrEx>
        <w:trPr>
          <w:gridBefore w:val="1"/>
          <w:wBefore w:w="373" w:type="dxa"/>
          <w:trHeight w:val="285" w:hRule="atLeast"/>
          <w:jc w:val="center"/>
        </w:trPr>
        <w:tc>
          <w:tcPr>
            <w:tcW w:w="9522" w:type="dxa"/>
            <w:gridSpan w:val="17"/>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项目支出绩效目标完成情况表1</w:t>
            </w:r>
          </w:p>
        </w:tc>
      </w:tr>
      <w:tr>
        <w:tblPrEx>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项目名称</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hint="eastAsia" w:ascii="宋体" w:hAnsi="宋体" w:cs="宋体"/>
                <w:b/>
                <w:sz w:val="24"/>
                <w:highlight w:val="none"/>
              </w:rPr>
              <w:t>安曲镇下哈拉玛村</w:t>
            </w:r>
            <w:r>
              <w:rPr>
                <w:rFonts w:hint="eastAsia" w:ascii="宋体" w:hAnsi="宋体" w:cs="宋体"/>
                <w:b/>
                <w:sz w:val="24"/>
                <w:highlight w:val="none"/>
                <w:lang w:eastAsia="zh-CN"/>
              </w:rPr>
              <w:t>民族</w:t>
            </w:r>
            <w:r>
              <w:rPr>
                <w:rFonts w:hint="eastAsia" w:ascii="宋体" w:hAnsi="宋体" w:cs="宋体"/>
                <w:b/>
                <w:sz w:val="24"/>
                <w:highlight w:val="none"/>
              </w:rPr>
              <w:t>团结进步新村项目</w:t>
            </w:r>
          </w:p>
        </w:tc>
      </w:tr>
      <w:tr>
        <w:tblPrEx>
          <w:tblCellMar>
            <w:top w:w="15" w:type="dxa"/>
            <w:left w:w="15" w:type="dxa"/>
            <w:bottom w:w="15" w:type="dxa"/>
            <w:right w:w="15" w:type="dxa"/>
          </w:tblCellMar>
        </w:tblPrEx>
        <w:trPr>
          <w:gridBefore w:val="1"/>
          <w:wBefore w:w="373" w:type="dxa"/>
          <w:trHeight w:val="287"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预算单位</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hint="eastAsia" w:ascii="宋体" w:hAnsi="宋体" w:cs="宋体"/>
                <w:b/>
                <w:sz w:val="24"/>
                <w:highlight w:val="none"/>
              </w:rPr>
              <w:t>红原县安曲镇人民政府</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ascii="宋体" w:hAnsi="宋体" w:cs="宋体"/>
                <w:b/>
                <w:sz w:val="24"/>
                <w:highlight w:val="none"/>
              </w:rPr>
              <w:t>500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执行数:</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ascii="仿宋_GB2312" w:hAnsi="仿宋_GB2312" w:eastAsia="仿宋_GB2312" w:cs="仿宋_GB2312"/>
                <w:sz w:val="28"/>
                <w:szCs w:val="28"/>
                <w:highlight w:val="none"/>
              </w:rPr>
              <w:t>500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highlight w:val="none"/>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ascii="宋体" w:hAnsi="宋体" w:cs="宋体"/>
                <w:b/>
                <w:sz w:val="24"/>
                <w:highlight w:val="none"/>
              </w:rPr>
              <w:t>500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其中-财政拨款:</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ascii="宋体" w:hAnsi="宋体" w:cs="宋体"/>
                <w:b/>
                <w:sz w:val="24"/>
                <w:highlight w:val="none"/>
              </w:rPr>
              <w:t>500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highlight w:val="none"/>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hint="eastAsia" w:ascii="宋体" w:hAnsi="宋体" w:cs="宋体"/>
                <w:b/>
                <w:sz w:val="24"/>
                <w:highlight w:val="none"/>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其它资金:</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hint="eastAsia" w:ascii="宋体" w:hAnsi="宋体" w:cs="宋体"/>
                <w:b/>
                <w:sz w:val="24"/>
                <w:highlight w:val="none"/>
              </w:rPr>
              <w:t>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预期目标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sz w:val="24"/>
                <w:highlight w:val="none"/>
              </w:rPr>
            </w:pPr>
            <w:r>
              <w:rPr>
                <w:rFonts w:hint="eastAsia" w:ascii="宋体" w:hAnsi="宋体" w:cs="宋体"/>
                <w:b/>
                <w:kern w:val="0"/>
                <w:sz w:val="24"/>
                <w:highlight w:val="none"/>
              </w:rPr>
              <w:t>实际完成目标</w:t>
            </w:r>
          </w:p>
        </w:tc>
      </w:tr>
      <w:tr>
        <w:tblPrEx>
          <w:tblCellMar>
            <w:top w:w="15" w:type="dxa"/>
            <w:left w:w="15" w:type="dxa"/>
            <w:bottom w:w="15" w:type="dxa"/>
            <w:right w:w="15" w:type="dxa"/>
          </w:tblCellMar>
        </w:tblPrEx>
        <w:trPr>
          <w:gridBefore w:val="1"/>
          <w:wBefore w:w="373" w:type="dxa"/>
          <w:trHeight w:val="19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sz w:val="20"/>
                <w:szCs w:val="20"/>
                <w:highlight w:val="none"/>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sz w:val="24"/>
                <w:highlight w:val="none"/>
              </w:rPr>
            </w:pPr>
            <w:r>
              <w:rPr>
                <w:rFonts w:hint="eastAsia" w:ascii="宋体" w:hAnsi="宋体" w:cs="宋体"/>
                <w:b/>
                <w:sz w:val="24"/>
                <w:highlight w:val="none"/>
              </w:rPr>
              <w:t>完成年度目标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4"/>
                <w:highlight w:val="none"/>
              </w:rPr>
            </w:pPr>
            <w:r>
              <w:rPr>
                <w:rFonts w:hint="eastAsia" w:ascii="宋体" w:hAnsi="宋体" w:cs="宋体"/>
                <w:sz w:val="24"/>
                <w:highlight w:val="none"/>
              </w:rPr>
              <w:t>新建村集体产业发展基础设施，巩固村集体经济发展。</w:t>
            </w:r>
          </w:p>
        </w:tc>
      </w:tr>
      <w:tr>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sz w:val="24"/>
                <w:highlight w:val="none"/>
              </w:rPr>
            </w:pPr>
            <w:r>
              <w:rPr>
                <w:rFonts w:hint="eastAsia" w:ascii="仿宋_GB2312" w:hAnsi="宋体" w:eastAsia="仿宋_GB2312" w:cs="仿宋_GB2312"/>
                <w:kern w:val="0"/>
                <w:sz w:val="24"/>
                <w:highlight w:val="none"/>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sz w:val="20"/>
                <w:szCs w:val="20"/>
                <w:highlight w:val="none"/>
              </w:rPr>
            </w:pPr>
            <w:r>
              <w:rPr>
                <w:rFonts w:hint="eastAsia" w:ascii="宋体" w:hAnsi="宋体" w:cs="宋体"/>
                <w:b/>
                <w:kern w:val="0"/>
                <w:sz w:val="20"/>
                <w:szCs w:val="20"/>
                <w:highlight w:val="none"/>
              </w:rPr>
              <w:t>一级指标</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sz w:val="20"/>
                <w:szCs w:val="20"/>
                <w:highlight w:val="none"/>
              </w:rPr>
            </w:pPr>
            <w:r>
              <w:rPr>
                <w:rFonts w:hint="eastAsia" w:ascii="宋体" w:hAnsi="宋体" w:cs="宋体"/>
                <w:b/>
                <w:kern w:val="0"/>
                <w:sz w:val="20"/>
                <w:szCs w:val="20"/>
                <w:highlight w:val="none"/>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sz w:val="20"/>
                <w:szCs w:val="20"/>
                <w:highlight w:val="none"/>
              </w:rPr>
            </w:pPr>
            <w:r>
              <w:rPr>
                <w:rFonts w:hint="eastAsia" w:ascii="宋体" w:hAnsi="宋体" w:cs="宋体"/>
                <w:b/>
                <w:kern w:val="0"/>
                <w:sz w:val="20"/>
                <w:szCs w:val="20"/>
                <w:highlight w:val="none"/>
              </w:rPr>
              <w:t>三级指标</w:t>
            </w:r>
          </w:p>
        </w:tc>
        <w:tc>
          <w:tcPr>
            <w:tcW w:w="29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sz w:val="20"/>
                <w:szCs w:val="20"/>
                <w:highlight w:val="none"/>
              </w:rPr>
            </w:pPr>
            <w:r>
              <w:rPr>
                <w:rFonts w:hint="eastAsia" w:ascii="宋体" w:hAnsi="宋体" w:cs="宋体"/>
                <w:b/>
                <w:kern w:val="0"/>
                <w:sz w:val="20"/>
                <w:szCs w:val="20"/>
                <w:highlight w:val="none"/>
              </w:rPr>
              <w:t>指标评价内容</w:t>
            </w:r>
          </w:p>
        </w:tc>
        <w:tc>
          <w:tcPr>
            <w:tcW w:w="16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sz w:val="20"/>
                <w:szCs w:val="20"/>
                <w:highlight w:val="none"/>
              </w:rPr>
            </w:pPr>
            <w:r>
              <w:rPr>
                <w:rFonts w:hint="eastAsia" w:ascii="宋体" w:hAnsi="宋体" w:cs="宋体"/>
                <w:b/>
                <w:kern w:val="0"/>
                <w:sz w:val="20"/>
                <w:szCs w:val="20"/>
                <w:highlight w:val="none"/>
              </w:rPr>
              <w:t>预期指标值(包含数字及文字描述)</w:t>
            </w:r>
          </w:p>
        </w:tc>
        <w:tc>
          <w:tcPr>
            <w:tcW w:w="19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sz w:val="20"/>
                <w:szCs w:val="20"/>
                <w:highlight w:val="none"/>
              </w:rPr>
            </w:pPr>
            <w:r>
              <w:rPr>
                <w:rFonts w:hint="eastAsia" w:ascii="宋体" w:hAnsi="宋体" w:cs="宋体"/>
                <w:b/>
                <w:kern w:val="0"/>
                <w:sz w:val="20"/>
                <w:szCs w:val="20"/>
                <w:highlight w:val="none"/>
              </w:rPr>
              <w:t>实际完成指标值(包含数字及文字描述)</w:t>
            </w:r>
          </w:p>
        </w:tc>
      </w:tr>
      <w:tr>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r>
      <w:tr>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sz w:val="20"/>
                <w:szCs w:val="20"/>
                <w:highlight w:val="none"/>
              </w:rPr>
            </w:pP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养殖基地及村内基础设施建设建设</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养殖基地及村内基础设施建设建设</w:t>
            </w:r>
          </w:p>
        </w:tc>
      </w:tr>
      <w:tr>
        <w:tblPrEx>
          <w:tblCellMar>
            <w:top w:w="15" w:type="dxa"/>
            <w:left w:w="15" w:type="dxa"/>
            <w:bottom w:w="15" w:type="dxa"/>
            <w:right w:w="15" w:type="dxa"/>
          </w:tblCellMar>
        </w:tblPrEx>
        <w:trPr>
          <w:gridBefore w:val="1"/>
          <w:wBefore w:w="373" w:type="dxa"/>
          <w:trHeight w:val="64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工期一年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已完成</w:t>
            </w:r>
          </w:p>
        </w:tc>
      </w:tr>
      <w:tr>
        <w:tblPrEx>
          <w:tblCellMar>
            <w:top w:w="15" w:type="dxa"/>
            <w:left w:w="15" w:type="dxa"/>
            <w:bottom w:w="15" w:type="dxa"/>
            <w:right w:w="15" w:type="dxa"/>
          </w:tblCellMar>
        </w:tblPrEx>
        <w:trPr>
          <w:gridBefore w:val="1"/>
          <w:wBefore w:w="373" w:type="dxa"/>
          <w:trHeight w:val="6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15" w:type="dxa"/>
            <w:left w:w="15" w:type="dxa"/>
            <w:bottom w:w="15" w:type="dxa"/>
            <w:right w:w="15" w:type="dxa"/>
          </w:tblCellMar>
        </w:tblPrEx>
        <w:trPr>
          <w:gridBefore w:val="1"/>
          <w:wBefore w:w="373" w:type="dxa"/>
          <w:trHeight w:val="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红原县项目资金管理办法</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82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 xml:space="preserve">是 </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 xml:space="preserve"> 1</w:t>
            </w:r>
          </w:p>
        </w:tc>
      </w:tr>
      <w:tr>
        <w:tblPrEx>
          <w:tblCellMar>
            <w:top w:w="15" w:type="dxa"/>
            <w:left w:w="15" w:type="dxa"/>
            <w:bottom w:w="15" w:type="dxa"/>
            <w:right w:w="15" w:type="dxa"/>
          </w:tblCellMar>
        </w:tblPrEx>
        <w:trPr>
          <w:gridBefore w:val="1"/>
          <w:wBefore w:w="373" w:type="dxa"/>
          <w:trHeight w:val="10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p>
        </w:tc>
      </w:tr>
      <w:tr>
        <w:tblPrEx>
          <w:tblCellMar>
            <w:top w:w="15" w:type="dxa"/>
            <w:left w:w="15" w:type="dxa"/>
            <w:bottom w:w="15" w:type="dxa"/>
            <w:right w:w="15" w:type="dxa"/>
          </w:tblCellMar>
        </w:tblPrEx>
        <w:trPr>
          <w:gridBefore w:val="1"/>
          <w:wBefore w:w="373" w:type="dxa"/>
          <w:trHeight w:val="54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11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按工程进度拨付</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按工程进度拨付</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该项目未存在调整</w:t>
            </w:r>
          </w:p>
        </w:tc>
      </w:tr>
      <w:tr>
        <w:tblPrEx>
          <w:tblCellMar>
            <w:top w:w="15" w:type="dxa"/>
            <w:left w:w="15" w:type="dxa"/>
            <w:bottom w:w="15" w:type="dxa"/>
            <w:right w:w="15" w:type="dxa"/>
          </w:tblCellMar>
        </w:tblPrEx>
        <w:trPr>
          <w:gridBefore w:val="1"/>
          <w:wBefore w:w="373" w:type="dxa"/>
          <w:trHeight w:val="8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该项目未存在调整</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项目绩效</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sz w:val="20"/>
                <w:szCs w:val="20"/>
                <w:highlight w:val="none"/>
              </w:rPr>
            </w:pPr>
            <w:r>
              <w:rPr>
                <w:rFonts w:hint="eastAsia" w:ascii="宋体" w:hAnsi="宋体" w:cs="宋体"/>
                <w:sz w:val="20"/>
                <w:szCs w:val="20"/>
                <w:highlight w:val="none"/>
              </w:rPr>
              <w:t>100%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15" w:type="dxa"/>
            <w:left w:w="15" w:type="dxa"/>
            <w:bottom w:w="15" w:type="dxa"/>
            <w:right w:w="15" w:type="dxa"/>
          </w:tblCellMar>
        </w:tblPrEx>
        <w:trPr>
          <w:gridBefore w:val="1"/>
          <w:wBefore w:w="373" w:type="dxa"/>
          <w:trHeight w:val="79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整体产业结构得到优化提高，村集体经济收入得到提升</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整体产业结构得到优化提高，村集体经济收入得到提升</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社会效益明显，提升村集体收入的同时，增加牧民收入。</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社会效益明显，提升村集体收入的同时，增加牧民收入。</w:t>
            </w:r>
          </w:p>
        </w:tc>
      </w:tr>
      <w:tr>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优化整体配套设施</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优化整体配套设施</w:t>
            </w:r>
          </w:p>
        </w:tc>
      </w:tr>
      <w:tr>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sz w:val="20"/>
                <w:szCs w:val="20"/>
                <w:highlight w:val="none"/>
              </w:rPr>
            </w:pPr>
            <w:r>
              <w:rPr>
                <w:rFonts w:hint="eastAsia" w:ascii="宋体" w:hAnsi="宋体" w:cs="宋体"/>
                <w:sz w:val="20"/>
                <w:szCs w:val="20"/>
                <w:highlight w:val="none"/>
              </w:rPr>
              <w:t>提高人居环境生活质量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sz w:val="20"/>
                <w:szCs w:val="20"/>
                <w:highlight w:val="none"/>
              </w:rPr>
            </w:pPr>
            <w:r>
              <w:rPr>
                <w:rFonts w:hint="eastAsia" w:ascii="宋体" w:hAnsi="宋体" w:cs="宋体"/>
                <w:sz w:val="20"/>
                <w:szCs w:val="20"/>
                <w:highlight w:val="none"/>
              </w:rPr>
              <w:t>提高人居环境生活质量</w:t>
            </w:r>
          </w:p>
        </w:tc>
      </w:tr>
      <w:tr>
        <w:tblPrEx>
          <w:tblCellMar>
            <w:top w:w="15" w:type="dxa"/>
            <w:left w:w="15" w:type="dxa"/>
            <w:bottom w:w="15" w:type="dxa"/>
            <w:right w:w="15" w:type="dxa"/>
          </w:tblCellMar>
        </w:tblPrEx>
        <w:trPr>
          <w:gridBefore w:val="1"/>
          <w:wBefore w:w="373" w:type="dxa"/>
          <w:trHeight w:val="108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sz w:val="20"/>
                <w:szCs w:val="20"/>
                <w:highlight w:val="none"/>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满意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sz w:val="20"/>
                <w:szCs w:val="20"/>
                <w:highlight w:val="none"/>
              </w:rPr>
            </w:pPr>
            <w:r>
              <w:rPr>
                <w:rFonts w:hint="eastAsia" w:ascii="宋体" w:hAnsi="宋体" w:cs="宋体"/>
                <w:sz w:val="20"/>
                <w:szCs w:val="20"/>
                <w:highlight w:val="none"/>
              </w:rPr>
              <w:t>满意</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kern w:val="0"/>
                <w:sz w:val="24"/>
                <w:highlight w:val="none"/>
              </w:rPr>
            </w:pPr>
          </w:p>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项目支出绩效目标完成情况表2</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kern w:val="0"/>
                <w:sz w:val="24"/>
                <w:highlight w:val="none"/>
              </w:rPr>
            </w:pPr>
            <w:r>
              <w:rPr>
                <w:rFonts w:hint="eastAsia" w:ascii="宋体" w:hAnsi="宋体" w:cs="宋体"/>
                <w:b/>
                <w:sz w:val="24"/>
                <w:highlight w:val="none"/>
              </w:rPr>
              <w:t>红原县工代赈示范工程建设项目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红原县安曲镇人民政府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500</w:t>
            </w:r>
            <w:r>
              <w:rPr>
                <w:rFonts w:hint="eastAsia" w:ascii="宋体" w:hAnsi="宋体" w:cs="宋体"/>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500</w:t>
            </w:r>
            <w:r>
              <w:rPr>
                <w:rFonts w:hint="eastAsia" w:ascii="宋体" w:hAnsi="宋体" w:cs="宋体"/>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500</w:t>
            </w:r>
            <w:r>
              <w:rPr>
                <w:rFonts w:hint="eastAsia" w:ascii="宋体" w:hAnsi="宋体" w:cs="宋体"/>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496</w:t>
            </w:r>
            <w:r>
              <w:rPr>
                <w:rFonts w:hint="eastAsia" w:ascii="宋体" w:hAnsi="宋体" w:cs="宋体"/>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镇内整体环境卫生维护</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对往年的内涝隐患点进行治理</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8"/>
                  <wp:cNvGraphicFramePr/>
                  <a:graphic xmlns:a="http://schemas.openxmlformats.org/drawingml/2006/main">
                    <a:graphicData uri="http://schemas.openxmlformats.org/drawingml/2006/picture">
                      <pic:pic xmlns:pic="http://schemas.openxmlformats.org/drawingml/2006/picture">
                        <pic:nvPicPr>
                          <pic:cNvPr id="9"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8281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村内排水渠建设</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村内排水渠建设</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68384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6848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3" name="直接连接符_5"/>
                  <wp:cNvGraphicFramePr/>
                  <a:graphic xmlns:a="http://schemas.openxmlformats.org/drawingml/2006/main">
                    <a:graphicData uri="http://schemas.openxmlformats.org/drawingml/2006/picture">
                      <pic:pic xmlns:pic="http://schemas.openxmlformats.org/drawingml/2006/picture">
                        <pic:nvPicPr>
                          <pic:cNvPr id="13"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减少发生内涝的可能性，从而保障广大群众生命财产安全</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减少发生内涝的可能性，从而保障广大群众生命财产安全</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项目支出绩效目标完成情况表3</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安曲镇农特产品购物中心和农村电商中心建设项目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红原县安曲镇人民政府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400</w:t>
            </w:r>
            <w:r>
              <w:rPr>
                <w:rFonts w:hint="eastAsia" w:ascii="宋体" w:hAnsi="宋体" w:cs="宋体"/>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400</w:t>
            </w:r>
            <w:r>
              <w:rPr>
                <w:rFonts w:hint="eastAsia" w:ascii="宋体" w:hAnsi="宋体" w:cs="宋体"/>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400</w:t>
            </w:r>
            <w:r>
              <w:rPr>
                <w:rFonts w:hint="eastAsia" w:ascii="宋体" w:hAnsi="宋体" w:cs="宋体"/>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400</w:t>
            </w:r>
            <w:r>
              <w:rPr>
                <w:rFonts w:hint="eastAsia" w:ascii="宋体" w:hAnsi="宋体" w:cs="宋体"/>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建设美术馆、公共图书馆、文化馆（站）</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新建农村综合服务体</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6858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869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8896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农村综合服务设施设施建设</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农村综合服务设施设施建设</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68998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69100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通过项目实施，将给该村增加一处村集体产业，从而是该村集体经济增收</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通过项目实施，将给该村增加一处村集体产业，从而是该村集体经济增收</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该场所可以长期使用。</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该场所可以长期使用。</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村级运行维护项目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33万元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33万元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33万元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33万元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提升改造村委会办公场所及设备，改善办公环境</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村内环境治理及牧道维修，日常自来水维护，村办公费等。</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8"/>
                  <wp:cNvGraphicFramePr/>
                  <a:graphic xmlns:a="http://schemas.openxmlformats.org/drawingml/2006/main">
                    <a:graphicData uri="http://schemas.openxmlformats.org/drawingml/2006/picture">
                      <pic:pic xmlns:pic="http://schemas.openxmlformats.org/drawingml/2006/picture">
                        <pic:nvPicPr>
                          <pic:cNvPr id="27"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9"/>
                  <wp:cNvGraphicFramePr/>
                  <a:graphic xmlns:a="http://schemas.openxmlformats.org/drawingml/2006/main">
                    <a:graphicData uri="http://schemas.openxmlformats.org/drawingml/2006/picture">
                      <pic:pic xmlns:pic="http://schemas.openxmlformats.org/drawingml/2006/picture">
                        <pic:nvPicPr>
                          <pic:cNvPr id="28"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7667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7"/>
                  <wp:cNvGraphicFramePr/>
                  <a:graphic xmlns:a="http://schemas.openxmlformats.org/drawingml/2006/main">
                    <a:graphicData uri="http://schemas.openxmlformats.org/drawingml/2006/picture">
                      <pic:pic xmlns:pic="http://schemas.openxmlformats.org/drawingml/2006/picture">
                        <pic:nvPicPr>
                          <pic:cNvPr id="29"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4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村内环境治理及牧道维修，日常自来水维护，村办公费等。</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村内环境治理及牧道维修，日常自来水维护，村办公费等。</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67769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67872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1" name="直接连接符_5"/>
                  <wp:cNvGraphicFramePr/>
                  <a:graphic xmlns:a="http://schemas.openxmlformats.org/drawingml/2006/main">
                    <a:graphicData uri="http://schemas.openxmlformats.org/drawingml/2006/picture">
                      <pic:pic xmlns:pic="http://schemas.openxmlformats.org/drawingml/2006/picture">
                        <pic:nvPicPr>
                          <pic:cNvPr id="21"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提升改造村委会办公场所及设备，改善办公环境</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提升改造村委会办公场所及设备，改善办公环境</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提升改造村委会办公场所及设备，改善办公环境</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sz w:val="20"/>
                <w:szCs w:val="20"/>
                <w:highlight w:val="none"/>
              </w:rPr>
              <w:t>对村委会围墙进行维修和绿化，采购办公设备</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sz w:val="20"/>
                <w:szCs w:val="20"/>
                <w:highlight w:val="none"/>
              </w:rPr>
              <w:t>对村委会围墙进行维修和绿化，采购办公设备</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bl>
    <w:p>
      <w:pPr>
        <w:spacing w:line="580" w:lineRule="exact"/>
        <w:rPr>
          <w:rFonts w:ascii="仿宋_GB2312" w:hAnsi="仿宋_GB2312" w:eastAsia="仿宋_GB2312" w:cs="仿宋_GB2312"/>
          <w:sz w:val="32"/>
          <w:szCs w:val="32"/>
          <w:highlight w:val="none"/>
        </w:rPr>
      </w:pPr>
    </w:p>
    <w:tbl>
      <w:tblPr>
        <w:tblStyle w:val="14"/>
        <w:tblW w:w="9895" w:type="dxa"/>
        <w:jc w:val="center"/>
        <w:tblLayout w:type="fixed"/>
        <w:tblCellMar>
          <w:top w:w="0" w:type="dxa"/>
          <w:left w:w="0" w:type="dxa"/>
          <w:bottom w:w="0" w:type="dxa"/>
          <w:right w:w="0" w:type="dxa"/>
        </w:tblCellMar>
      </w:tblPr>
      <w:tblGrid>
        <w:gridCol w:w="659"/>
        <w:gridCol w:w="1255"/>
        <w:gridCol w:w="1079"/>
        <w:gridCol w:w="778"/>
        <w:gridCol w:w="1220"/>
        <w:gridCol w:w="1807"/>
        <w:gridCol w:w="1547"/>
        <w:gridCol w:w="1550"/>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下哈拉玛村牧业生产点（草原防火通道）道路及桥梁建设项目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安曲镇人民政府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200</w:t>
            </w:r>
            <w:r>
              <w:rPr>
                <w:rFonts w:hint="eastAsia" w:ascii="宋体" w:hAnsi="宋体" w:cs="宋体"/>
                <w:kern w:val="0"/>
                <w:sz w:val="24"/>
                <w:highlight w:val="none"/>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195</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200</w:t>
            </w:r>
            <w:r>
              <w:rPr>
                <w:rFonts w:hint="eastAsia" w:ascii="宋体" w:hAnsi="宋体" w:cs="宋体"/>
                <w:kern w:val="0"/>
                <w:sz w:val="24"/>
                <w:highlight w:val="none"/>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195</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提升改造村委会办公场所及设备，改善办公环境</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kern w:val="0"/>
                <w:sz w:val="24"/>
                <w:highlight w:val="none"/>
              </w:rPr>
            </w:pPr>
            <w:r>
              <w:rPr>
                <w:rFonts w:hint="eastAsia" w:ascii="宋体" w:hAnsi="宋体" w:cs="宋体"/>
                <w:kern w:val="0"/>
                <w:sz w:val="20"/>
                <w:szCs w:val="20"/>
                <w:highlight w:val="none"/>
              </w:rPr>
              <w:t>新建1</w:t>
            </w:r>
            <w:r>
              <w:rPr>
                <w:rFonts w:ascii="宋体" w:hAnsi="宋体" w:cs="宋体"/>
                <w:kern w:val="0"/>
                <w:sz w:val="20"/>
                <w:szCs w:val="20"/>
                <w:highlight w:val="none"/>
              </w:rPr>
              <w:t>2.2</w:t>
            </w:r>
            <w:r>
              <w:rPr>
                <w:rFonts w:hint="eastAsia" w:ascii="宋体" w:hAnsi="宋体" w:cs="宋体"/>
                <w:kern w:val="0"/>
                <w:sz w:val="20"/>
                <w:szCs w:val="20"/>
                <w:highlight w:val="none"/>
              </w:rPr>
              <w:t>公里牧业生产性道路，及一座桥梁。</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2" name="直接连接符_10"/>
                  <wp:cNvGraphicFramePr/>
                  <a:graphic xmlns:a="http://schemas.openxmlformats.org/drawingml/2006/main">
                    <a:graphicData uri="http://schemas.openxmlformats.org/drawingml/2006/picture">
                      <pic:pic xmlns:pic="http://schemas.openxmlformats.org/drawingml/2006/picture">
                        <pic:nvPicPr>
                          <pic:cNvPr id="22"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8"/>
                  <wp:cNvGraphicFramePr/>
                  <a:graphic xmlns:a="http://schemas.openxmlformats.org/drawingml/2006/main">
                    <a:graphicData uri="http://schemas.openxmlformats.org/drawingml/2006/picture">
                      <pic:pic xmlns:pic="http://schemas.openxmlformats.org/drawingml/2006/picture">
                        <pic:nvPicPr>
                          <pic:cNvPr id="23"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4" name="直接连接符_9"/>
                  <wp:cNvGraphicFramePr/>
                  <a:graphic xmlns:a="http://schemas.openxmlformats.org/drawingml/2006/main">
                    <a:graphicData uri="http://schemas.openxmlformats.org/drawingml/2006/picture">
                      <pic:pic xmlns:pic="http://schemas.openxmlformats.org/drawingml/2006/picture">
                        <pic:nvPicPr>
                          <pic:cNvPr id="24"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7"/>
                  <wp:cNvGraphicFramePr/>
                  <a:graphic xmlns:a="http://schemas.openxmlformats.org/drawingml/2006/main">
                    <a:graphicData uri="http://schemas.openxmlformats.org/drawingml/2006/picture">
                      <pic:pic xmlns:pic="http://schemas.openxmlformats.org/drawingml/2006/picture">
                        <pic:nvPicPr>
                          <pic:cNvPr id="25"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新建1</w:t>
            </w:r>
            <w:r>
              <w:rPr>
                <w:rFonts w:ascii="宋体" w:hAnsi="宋体" w:cs="宋体"/>
                <w:kern w:val="0"/>
                <w:sz w:val="20"/>
                <w:szCs w:val="20"/>
                <w:highlight w:val="none"/>
              </w:rPr>
              <w:t>2.2</w:t>
            </w:r>
            <w:r>
              <w:rPr>
                <w:rFonts w:hint="eastAsia" w:ascii="宋体" w:hAnsi="宋体" w:cs="宋体"/>
                <w:kern w:val="0"/>
                <w:sz w:val="20"/>
                <w:szCs w:val="20"/>
                <w:highlight w:val="none"/>
              </w:rPr>
              <w:t>公里牧业生产性道路，及一座桥梁。</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新建1</w:t>
            </w:r>
            <w:r>
              <w:rPr>
                <w:rFonts w:ascii="宋体" w:hAnsi="宋体" w:cs="宋体"/>
                <w:kern w:val="0"/>
                <w:sz w:val="20"/>
                <w:szCs w:val="20"/>
                <w:highlight w:val="none"/>
              </w:rPr>
              <w:t>2.2</w:t>
            </w:r>
            <w:r>
              <w:rPr>
                <w:rFonts w:hint="eastAsia" w:ascii="宋体" w:hAnsi="宋体" w:cs="宋体"/>
                <w:kern w:val="0"/>
                <w:sz w:val="20"/>
                <w:szCs w:val="20"/>
                <w:highlight w:val="none"/>
              </w:rPr>
              <w:t>公里牧业生产性道路，及一座桥梁。</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0" name="直接连接符_6"/>
                  <wp:cNvGraphicFramePr/>
                  <a:graphic xmlns:a="http://schemas.openxmlformats.org/drawingml/2006/main">
                    <a:graphicData uri="http://schemas.openxmlformats.org/drawingml/2006/picture">
                      <pic:pic xmlns:pic="http://schemas.openxmlformats.org/drawingml/2006/picture">
                        <pic:nvPicPr>
                          <pic:cNvPr id="30"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1" name="直接连接符_5"/>
                  <wp:cNvGraphicFramePr/>
                  <a:graphic xmlns:a="http://schemas.openxmlformats.org/drawingml/2006/main">
                    <a:graphicData uri="http://schemas.openxmlformats.org/drawingml/2006/picture">
                      <pic:pic xmlns:pic="http://schemas.openxmlformats.org/drawingml/2006/picture">
                        <pic:nvPicPr>
                          <pic:cNvPr id="31"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通过项目实施，提升了政府公信力，同时也增强了为民办事的信心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过项目实施，提升了政府公信力，同时也增强了为民办事的信心</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bl>
    <w:p>
      <w:pPr>
        <w:spacing w:line="580" w:lineRule="exact"/>
        <w:ind w:left="630"/>
        <w:rPr>
          <w:rFonts w:ascii="仿宋_GB2312" w:hAnsi="仿宋_GB2312" w:eastAsia="仿宋_GB2312" w:cs="仿宋_GB2312"/>
          <w:sz w:val="32"/>
          <w:szCs w:val="32"/>
          <w:highlight w:val="none"/>
        </w:rPr>
      </w:pPr>
    </w:p>
    <w:tbl>
      <w:tblPr>
        <w:tblStyle w:val="14"/>
        <w:tblW w:w="9895" w:type="dxa"/>
        <w:jc w:val="center"/>
        <w:tblLayout w:type="fixed"/>
        <w:tblCellMar>
          <w:top w:w="0" w:type="dxa"/>
          <w:left w:w="0" w:type="dxa"/>
          <w:bottom w:w="0" w:type="dxa"/>
          <w:right w:w="0" w:type="dxa"/>
        </w:tblCellMar>
      </w:tblPr>
      <w:tblGrid>
        <w:gridCol w:w="659"/>
        <w:gridCol w:w="1255"/>
        <w:gridCol w:w="1079"/>
        <w:gridCol w:w="778"/>
        <w:gridCol w:w="1220"/>
        <w:gridCol w:w="1807"/>
        <w:gridCol w:w="1547"/>
        <w:gridCol w:w="1550"/>
      </w:tblGrid>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安曲镇板涵桥建设项目</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安曲镇人民政府</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40</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39.4305</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40</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39.4305</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提升改造村委会办公场所及设备，改善办公环境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kern w:val="0"/>
                <w:sz w:val="24"/>
                <w:highlight w:val="none"/>
              </w:rPr>
            </w:pPr>
            <w:r>
              <w:rPr>
                <w:rFonts w:hint="eastAsia" w:ascii="宋体" w:hAnsi="宋体" w:cs="宋体"/>
                <w:kern w:val="0"/>
                <w:sz w:val="20"/>
                <w:szCs w:val="20"/>
                <w:highlight w:val="none"/>
              </w:rPr>
              <w:t>新建4座板涵桥。</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6920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3" name="直接连接符_10"/>
                  <wp:cNvGraphicFramePr/>
                  <a:graphic xmlns:a="http://schemas.openxmlformats.org/drawingml/2006/main">
                    <a:graphicData uri="http://schemas.openxmlformats.org/drawingml/2006/picture">
                      <pic:pic xmlns:pic="http://schemas.openxmlformats.org/drawingml/2006/picture">
                        <pic:nvPicPr>
                          <pic:cNvPr id="33"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930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4" name="直接连接符_8"/>
                  <wp:cNvGraphicFramePr/>
                  <a:graphic xmlns:a="http://schemas.openxmlformats.org/drawingml/2006/main">
                    <a:graphicData uri="http://schemas.openxmlformats.org/drawingml/2006/picture">
                      <pic:pic xmlns:pic="http://schemas.openxmlformats.org/drawingml/2006/picture">
                        <pic:nvPicPr>
                          <pic:cNvPr id="34"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940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9"/>
                  <wp:cNvGraphicFramePr/>
                  <a:graphic xmlns:a="http://schemas.openxmlformats.org/drawingml/2006/main">
                    <a:graphicData uri="http://schemas.openxmlformats.org/drawingml/2006/picture">
                      <pic:pic xmlns:pic="http://schemas.openxmlformats.org/drawingml/2006/picture">
                        <pic:nvPicPr>
                          <pic:cNvPr id="35"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951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6" name="直接连接符_7"/>
                  <wp:cNvGraphicFramePr/>
                  <a:graphic xmlns:a="http://schemas.openxmlformats.org/drawingml/2006/main">
                    <a:graphicData uri="http://schemas.openxmlformats.org/drawingml/2006/picture">
                      <pic:pic xmlns:pic="http://schemas.openxmlformats.org/drawingml/2006/picture">
                        <pic:nvPicPr>
                          <pic:cNvPr id="36"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新建4座板涵桥。</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新建4座板涵桥。</w:t>
            </w:r>
          </w:p>
        </w:tc>
      </w:tr>
      <w:tr>
        <w:tblPrEx>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r>
      <w:tr>
        <w:tblPrEx>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6961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7" name="直接连接符_6"/>
                  <wp:cNvGraphicFramePr/>
                  <a:graphic xmlns:a="http://schemas.openxmlformats.org/drawingml/2006/main">
                    <a:graphicData uri="http://schemas.openxmlformats.org/drawingml/2006/picture">
                      <pic:pic xmlns:pic="http://schemas.openxmlformats.org/drawingml/2006/picture">
                        <pic:nvPicPr>
                          <pic:cNvPr id="37"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6971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8" name="直接连接符_5"/>
                  <wp:cNvGraphicFramePr/>
                  <a:graphic xmlns:a="http://schemas.openxmlformats.org/drawingml/2006/main">
                    <a:graphicData uri="http://schemas.openxmlformats.org/drawingml/2006/picture">
                      <pic:pic xmlns:pic="http://schemas.openxmlformats.org/drawingml/2006/picture">
                        <pic:nvPicPr>
                          <pic:cNvPr id="38"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r>
      <w:tr>
        <w:tblPrEx>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过项目实施，提升了政府公信力，同时也增强了为民办事的信心</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r>
      <w:tr>
        <w:tblPrEx>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r>
      <w:tr>
        <w:tblPrEx>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安曲镇牧业生产点（草原防火通道）道路维修项目</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安曲镇人民政府</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15</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15</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15</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15</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提升改造村委会办公场所及设备，改善办公环境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kern w:val="0"/>
                <w:sz w:val="24"/>
                <w:highlight w:val="none"/>
              </w:rPr>
            </w:pPr>
            <w:r>
              <w:rPr>
                <w:rFonts w:hint="eastAsia" w:ascii="宋体" w:hAnsi="宋体" w:cs="宋体"/>
                <w:kern w:val="0"/>
                <w:sz w:val="20"/>
                <w:szCs w:val="20"/>
                <w:highlight w:val="none"/>
              </w:rPr>
              <w:t>维修牧业生产性道路1</w:t>
            </w:r>
            <w:r>
              <w:rPr>
                <w:rFonts w:ascii="宋体" w:hAnsi="宋体" w:cs="宋体"/>
                <w:kern w:val="0"/>
                <w:sz w:val="20"/>
                <w:szCs w:val="20"/>
                <w:highlight w:val="none"/>
              </w:rPr>
              <w:t>5</w:t>
            </w:r>
            <w:r>
              <w:rPr>
                <w:rFonts w:hint="eastAsia" w:ascii="宋体" w:hAnsi="宋体" w:cs="宋体"/>
                <w:kern w:val="0"/>
                <w:sz w:val="20"/>
                <w:szCs w:val="20"/>
                <w:highlight w:val="none"/>
              </w:rPr>
              <w:t>公里。</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6981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9" name="直接连接符_10"/>
                  <wp:cNvGraphicFramePr/>
                  <a:graphic xmlns:a="http://schemas.openxmlformats.org/drawingml/2006/main">
                    <a:graphicData uri="http://schemas.openxmlformats.org/drawingml/2006/picture">
                      <pic:pic xmlns:pic="http://schemas.openxmlformats.org/drawingml/2006/picture">
                        <pic:nvPicPr>
                          <pic:cNvPr id="39"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6992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0" name="直接连接符_8"/>
                  <wp:cNvGraphicFramePr/>
                  <a:graphic xmlns:a="http://schemas.openxmlformats.org/drawingml/2006/main">
                    <a:graphicData uri="http://schemas.openxmlformats.org/drawingml/2006/picture">
                      <pic:pic xmlns:pic="http://schemas.openxmlformats.org/drawingml/2006/picture">
                        <pic:nvPicPr>
                          <pic:cNvPr id="40"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002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1" name="直接连接符_9"/>
                  <wp:cNvGraphicFramePr/>
                  <a:graphic xmlns:a="http://schemas.openxmlformats.org/drawingml/2006/main">
                    <a:graphicData uri="http://schemas.openxmlformats.org/drawingml/2006/picture">
                      <pic:pic xmlns:pic="http://schemas.openxmlformats.org/drawingml/2006/picture">
                        <pic:nvPicPr>
                          <pic:cNvPr id="41"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012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2" name="直接连接符_7"/>
                  <wp:cNvGraphicFramePr/>
                  <a:graphic xmlns:a="http://schemas.openxmlformats.org/drawingml/2006/main">
                    <a:graphicData uri="http://schemas.openxmlformats.org/drawingml/2006/picture">
                      <pic:pic xmlns:pic="http://schemas.openxmlformats.org/drawingml/2006/picture">
                        <pic:nvPicPr>
                          <pic:cNvPr id="42"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维修牧业生产性道路1</w:t>
            </w:r>
            <w:r>
              <w:rPr>
                <w:rFonts w:ascii="宋体" w:hAnsi="宋体" w:cs="宋体"/>
                <w:kern w:val="0"/>
                <w:sz w:val="20"/>
                <w:szCs w:val="20"/>
                <w:highlight w:val="none"/>
              </w:rPr>
              <w:t>5</w:t>
            </w:r>
            <w:r>
              <w:rPr>
                <w:rFonts w:hint="eastAsia" w:ascii="宋体" w:hAnsi="宋体" w:cs="宋体"/>
                <w:kern w:val="0"/>
                <w:sz w:val="20"/>
                <w:szCs w:val="20"/>
                <w:highlight w:val="none"/>
              </w:rPr>
              <w:t>公里。</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维修牧业生产性道路1</w:t>
            </w:r>
            <w:r>
              <w:rPr>
                <w:rFonts w:ascii="宋体" w:hAnsi="宋体" w:cs="宋体"/>
                <w:kern w:val="0"/>
                <w:sz w:val="20"/>
                <w:szCs w:val="20"/>
                <w:highlight w:val="none"/>
              </w:rPr>
              <w:t>5</w:t>
            </w:r>
            <w:r>
              <w:rPr>
                <w:rFonts w:hint="eastAsia" w:ascii="宋体" w:hAnsi="宋体" w:cs="宋体"/>
                <w:kern w:val="0"/>
                <w:sz w:val="20"/>
                <w:szCs w:val="20"/>
                <w:highlight w:val="none"/>
              </w:rPr>
              <w:t>公里。</w:t>
            </w:r>
          </w:p>
        </w:tc>
      </w:tr>
      <w:tr>
        <w:tblPrEx>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r>
      <w:tr>
        <w:tblPrEx>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7022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3" name="直接连接符_6"/>
                  <wp:cNvGraphicFramePr/>
                  <a:graphic xmlns:a="http://schemas.openxmlformats.org/drawingml/2006/main">
                    <a:graphicData uri="http://schemas.openxmlformats.org/drawingml/2006/picture">
                      <pic:pic xmlns:pic="http://schemas.openxmlformats.org/drawingml/2006/picture">
                        <pic:nvPicPr>
                          <pic:cNvPr id="43"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7032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44" name="直接连接符_5"/>
                  <wp:cNvGraphicFramePr/>
                  <a:graphic xmlns:a="http://schemas.openxmlformats.org/drawingml/2006/main">
                    <a:graphicData uri="http://schemas.openxmlformats.org/drawingml/2006/picture">
                      <pic:pic xmlns:pic="http://schemas.openxmlformats.org/drawingml/2006/picture">
                        <pic:nvPicPr>
                          <pic:cNvPr id="44"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r>
      <w:tr>
        <w:tblPrEx>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过项目实施，提升了政府公信力，同时也增强了为民办事的信心</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r>
      <w:tr>
        <w:tblPrEx>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r>
      <w:tr>
        <w:tblPrEx>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省、州下达“下哈拉玛村乡村振兴示范村”建设项目</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安曲镇人民政府</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60</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58.9</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60</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58.9</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提升改造村委会办公场所及设备，改善办公环境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kern w:val="0"/>
                <w:sz w:val="24"/>
                <w:highlight w:val="none"/>
              </w:rPr>
            </w:pPr>
            <w:r>
              <w:rPr>
                <w:rFonts w:hint="eastAsia" w:ascii="宋体" w:hAnsi="宋体" w:cs="宋体"/>
                <w:kern w:val="0"/>
                <w:sz w:val="20"/>
                <w:szCs w:val="20"/>
                <w:highlight w:val="none"/>
              </w:rPr>
              <w:t>新建</w:t>
            </w:r>
            <w:r>
              <w:rPr>
                <w:rFonts w:ascii="宋体" w:hAnsi="宋体" w:cs="宋体"/>
                <w:kern w:val="0"/>
                <w:sz w:val="20"/>
                <w:szCs w:val="20"/>
                <w:highlight w:val="none"/>
              </w:rPr>
              <w:t>6</w:t>
            </w:r>
            <w:r>
              <w:rPr>
                <w:rFonts w:hint="eastAsia" w:ascii="宋体" w:hAnsi="宋体" w:cs="宋体"/>
                <w:kern w:val="0"/>
                <w:sz w:val="20"/>
                <w:szCs w:val="20"/>
                <w:highlight w:val="none"/>
              </w:rPr>
              <w:t>座板涵桥。</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7043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5" name="直接连接符_10"/>
                  <wp:cNvGraphicFramePr/>
                  <a:graphic xmlns:a="http://schemas.openxmlformats.org/drawingml/2006/main">
                    <a:graphicData uri="http://schemas.openxmlformats.org/drawingml/2006/picture">
                      <pic:pic xmlns:pic="http://schemas.openxmlformats.org/drawingml/2006/picture">
                        <pic:nvPicPr>
                          <pic:cNvPr id="45"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053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6" name="直接连接符_8"/>
                  <wp:cNvGraphicFramePr/>
                  <a:graphic xmlns:a="http://schemas.openxmlformats.org/drawingml/2006/main">
                    <a:graphicData uri="http://schemas.openxmlformats.org/drawingml/2006/picture">
                      <pic:pic xmlns:pic="http://schemas.openxmlformats.org/drawingml/2006/picture">
                        <pic:nvPicPr>
                          <pic:cNvPr id="46"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063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7" name="直接连接符_9"/>
                  <wp:cNvGraphicFramePr/>
                  <a:graphic xmlns:a="http://schemas.openxmlformats.org/drawingml/2006/main">
                    <a:graphicData uri="http://schemas.openxmlformats.org/drawingml/2006/picture">
                      <pic:pic xmlns:pic="http://schemas.openxmlformats.org/drawingml/2006/picture">
                        <pic:nvPicPr>
                          <pic:cNvPr id="47"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073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48" name="直接连接符_7"/>
                  <wp:cNvGraphicFramePr/>
                  <a:graphic xmlns:a="http://schemas.openxmlformats.org/drawingml/2006/main">
                    <a:graphicData uri="http://schemas.openxmlformats.org/drawingml/2006/picture">
                      <pic:pic xmlns:pic="http://schemas.openxmlformats.org/drawingml/2006/picture">
                        <pic:nvPicPr>
                          <pic:cNvPr id="48"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新建</w:t>
            </w:r>
            <w:r>
              <w:rPr>
                <w:rFonts w:ascii="宋体" w:hAnsi="宋体" w:cs="宋体"/>
                <w:kern w:val="0"/>
                <w:sz w:val="20"/>
                <w:szCs w:val="20"/>
                <w:highlight w:val="none"/>
              </w:rPr>
              <w:t>6</w:t>
            </w:r>
            <w:r>
              <w:rPr>
                <w:rFonts w:hint="eastAsia" w:ascii="宋体" w:hAnsi="宋体" w:cs="宋体"/>
                <w:kern w:val="0"/>
                <w:sz w:val="20"/>
                <w:szCs w:val="20"/>
                <w:highlight w:val="none"/>
              </w:rPr>
              <w:t>座板涵桥。</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新建</w:t>
            </w:r>
            <w:r>
              <w:rPr>
                <w:rFonts w:ascii="宋体" w:hAnsi="宋体" w:cs="宋体"/>
                <w:kern w:val="0"/>
                <w:sz w:val="20"/>
                <w:szCs w:val="20"/>
                <w:highlight w:val="none"/>
              </w:rPr>
              <w:t>6</w:t>
            </w:r>
            <w:r>
              <w:rPr>
                <w:rFonts w:hint="eastAsia" w:ascii="宋体" w:hAnsi="宋体" w:cs="宋体"/>
                <w:kern w:val="0"/>
                <w:sz w:val="20"/>
                <w:szCs w:val="20"/>
                <w:highlight w:val="none"/>
              </w:rPr>
              <w:t>座板涵桥。</w:t>
            </w:r>
          </w:p>
        </w:tc>
      </w:tr>
      <w:tr>
        <w:tblPrEx>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r>
      <w:tr>
        <w:tblPrEx>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70841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49" name="直接连接符_6"/>
                  <wp:cNvGraphicFramePr/>
                  <a:graphic xmlns:a="http://schemas.openxmlformats.org/drawingml/2006/main">
                    <a:graphicData uri="http://schemas.openxmlformats.org/drawingml/2006/picture">
                      <pic:pic xmlns:pic="http://schemas.openxmlformats.org/drawingml/2006/picture">
                        <pic:nvPicPr>
                          <pic:cNvPr id="49"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7094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0" name="直接连接符_5"/>
                  <wp:cNvGraphicFramePr/>
                  <a:graphic xmlns:a="http://schemas.openxmlformats.org/drawingml/2006/main">
                    <a:graphicData uri="http://schemas.openxmlformats.org/drawingml/2006/picture">
                      <pic:pic xmlns:pic="http://schemas.openxmlformats.org/drawingml/2006/picture">
                        <pic:nvPicPr>
                          <pic:cNvPr id="50"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通过项目实施，完善该村远牧交通基础设施设备，提升该区域牧民收入</w:t>
            </w:r>
          </w:p>
        </w:tc>
      </w:tr>
      <w:tr>
        <w:tblPrEx>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过项目实施，提升了政府公信力，同时也增强了为民办事的信心</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通过项目实施对应对草原火情起到关键性的作用</w:t>
            </w:r>
          </w:p>
        </w:tc>
      </w:tr>
      <w:tr>
        <w:tblPrEx>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r>
      <w:tr>
        <w:tblPrEx>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州级下达“安曲镇乡村振兴示范镇”奖励资金项目</w:t>
            </w:r>
          </w:p>
        </w:tc>
      </w:tr>
      <w:tr>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安曲镇人民政府</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100</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100</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100</w:t>
            </w:r>
            <w:r>
              <w:rPr>
                <w:rFonts w:hint="eastAsia" w:ascii="宋体" w:hAnsi="宋体" w:cs="宋体"/>
                <w:kern w:val="0"/>
                <w:sz w:val="24"/>
                <w:highlight w:val="none"/>
              </w:rPr>
              <w:t>万元</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100</w:t>
            </w:r>
            <w:r>
              <w:rPr>
                <w:rFonts w:hint="eastAsia" w:ascii="宋体" w:hAnsi="宋体" w:cs="宋体"/>
                <w:kern w:val="0"/>
                <w:sz w:val="24"/>
                <w:highlight w:val="none"/>
              </w:rPr>
              <w:t>万元</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233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0</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实际完成目标</w:t>
            </w:r>
          </w:p>
        </w:tc>
      </w:tr>
      <w:tr>
        <w:tblPrEx>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p>
        </w:tc>
        <w:tc>
          <w:tcPr>
            <w:tcW w:w="311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hint="eastAsia" w:ascii="宋体" w:hAnsi="宋体" w:cs="宋体"/>
                <w:kern w:val="0"/>
                <w:sz w:val="20"/>
                <w:szCs w:val="20"/>
                <w:highlight w:val="none"/>
              </w:rPr>
              <w:t>提升改造村委会办公场所及设备，改善办公环境</w:t>
            </w:r>
          </w:p>
        </w:tc>
        <w:tc>
          <w:tcPr>
            <w:tcW w:w="612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kern w:val="0"/>
                <w:sz w:val="24"/>
                <w:highlight w:val="none"/>
              </w:rPr>
            </w:pPr>
            <w:r>
              <w:rPr>
                <w:rFonts w:hint="eastAsia" w:ascii="宋体" w:hAnsi="宋体" w:cs="宋体"/>
                <w:kern w:val="0"/>
                <w:sz w:val="20"/>
                <w:szCs w:val="20"/>
                <w:highlight w:val="none"/>
              </w:rPr>
              <w:t>对镇辖区人居环境进行综合治理提升</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kern w:val="0"/>
                <w:sz w:val="24"/>
                <w:highlight w:val="none"/>
              </w:rPr>
            </w:pPr>
            <w:r>
              <w:rPr>
                <w:rFonts w:ascii="宋体" w:hAnsi="宋体" w:cs="宋体"/>
                <w:kern w:val="0"/>
                <w:sz w:val="24"/>
                <w:highlight w:val="none"/>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drawing>
                <wp:anchor distT="0" distB="0" distL="114300" distR="114300" simplePos="0" relativeHeight="2517104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1" name="直接连接符_10"/>
                  <wp:cNvGraphicFramePr/>
                  <a:graphic xmlns:a="http://schemas.openxmlformats.org/drawingml/2006/main">
                    <a:graphicData uri="http://schemas.openxmlformats.org/drawingml/2006/picture">
                      <pic:pic xmlns:pic="http://schemas.openxmlformats.org/drawingml/2006/picture">
                        <pic:nvPicPr>
                          <pic:cNvPr id="51" name="直接连接符_10"/>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114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2" name="直接连接符_8"/>
                  <wp:cNvGraphicFramePr/>
                  <a:graphic xmlns:a="http://schemas.openxmlformats.org/drawingml/2006/main">
                    <a:graphicData uri="http://schemas.openxmlformats.org/drawingml/2006/picture">
                      <pic:pic xmlns:pic="http://schemas.openxmlformats.org/drawingml/2006/picture">
                        <pic:nvPicPr>
                          <pic:cNvPr id="52" name="直接连接符_8"/>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125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3" name="直接连接符_9"/>
                  <wp:cNvGraphicFramePr/>
                  <a:graphic xmlns:a="http://schemas.openxmlformats.org/drawingml/2006/main">
                    <a:graphicData uri="http://schemas.openxmlformats.org/drawingml/2006/picture">
                      <pic:pic xmlns:pic="http://schemas.openxmlformats.org/drawingml/2006/picture">
                        <pic:nvPicPr>
                          <pic:cNvPr id="53" name="直接连接符_9"/>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drawing>
                <wp:anchor distT="0" distB="0" distL="114300" distR="114300" simplePos="0" relativeHeight="2517135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54" name="直接连接符_7"/>
                  <wp:cNvGraphicFramePr/>
                  <a:graphic xmlns:a="http://schemas.openxmlformats.org/drawingml/2006/main">
                    <a:graphicData uri="http://schemas.openxmlformats.org/drawingml/2006/picture">
                      <pic:pic xmlns:pic="http://schemas.openxmlformats.org/drawingml/2006/picture">
                        <pic:nvPicPr>
                          <pic:cNvPr id="54" name="直接连接符_7"/>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4"/>
                <w:highlight w:val="none"/>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kern w:val="0"/>
                <w:sz w:val="24"/>
                <w:highlight w:val="none"/>
              </w:rPr>
            </w:pPr>
            <w:r>
              <w:rPr>
                <w:rFonts w:hint="eastAsia" w:ascii="宋体" w:hAnsi="宋体" w:cs="宋体"/>
                <w:kern w:val="0"/>
                <w:sz w:val="24"/>
                <w:highlight w:val="none"/>
              </w:rPr>
              <w:t>实际完成指标值(包含数字及文字描述)</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sz w:val="20"/>
                <w:szCs w:val="20"/>
                <w:highlight w:val="none"/>
              </w:rPr>
            </w:pP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对镇辖区人居环境进行综合治理提升</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sz w:val="20"/>
                <w:szCs w:val="20"/>
                <w:highlight w:val="none"/>
              </w:rPr>
            </w:pPr>
            <w:r>
              <w:rPr>
                <w:rFonts w:hint="eastAsia" w:ascii="宋体" w:hAnsi="宋体" w:cs="宋体"/>
                <w:kern w:val="0"/>
                <w:sz w:val="20"/>
                <w:szCs w:val="20"/>
                <w:highlight w:val="none"/>
              </w:rPr>
              <w:t>对镇辖区人居环境进行综合治理提升</w:t>
            </w:r>
          </w:p>
        </w:tc>
      </w:tr>
      <w:tr>
        <w:tblPrEx>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按时完工</w:t>
            </w:r>
          </w:p>
        </w:tc>
      </w:tr>
      <w:tr>
        <w:tblPrEx>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已制定</w:t>
            </w:r>
          </w:p>
        </w:tc>
      </w:tr>
      <w:tr>
        <w:tblPrEx>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2个</w:t>
            </w:r>
          </w:p>
        </w:tc>
      </w:tr>
      <w:tr>
        <w:tblPrEx>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集中</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2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均衡</w:t>
            </w:r>
          </w:p>
        </w:tc>
        <w:tc>
          <w:tcPr>
            <w:tcW w:w="18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是</w:t>
            </w:r>
          </w:p>
        </w:tc>
      </w:tr>
      <w:tr>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bdr w:val="single" w:color="000000" w:sz="4" w:space="0"/>
              </w:rPr>
              <w:drawing>
                <wp:anchor distT="0" distB="0" distL="114300" distR="114300" simplePos="0" relativeHeight="251714560"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55" name="直接连接符_6"/>
                  <wp:cNvGraphicFramePr/>
                  <a:graphic xmlns:a="http://schemas.openxmlformats.org/drawingml/2006/main">
                    <a:graphicData uri="http://schemas.openxmlformats.org/drawingml/2006/picture">
                      <pic:pic xmlns:pic="http://schemas.openxmlformats.org/drawingml/2006/picture">
                        <pic:nvPicPr>
                          <pic:cNvPr id="55" name="直接连接符_6"/>
                          <pic:cNvPicPr/>
                        </pic:nvPicPr>
                        <pic:blipFill>
                          <a:blip r:embed="rId15"/>
                          <a:stretch>
                            <a:fillRect/>
                          </a:stretch>
                        </pic:blipFill>
                        <pic:spPr>
                          <a:xfrm>
                            <a:off x="0" y="0"/>
                            <a:ext cx="28575" cy="9525"/>
                          </a:xfrm>
                          <a:prstGeom prst="rect">
                            <a:avLst/>
                          </a:prstGeom>
                          <a:noFill/>
                          <a:ln>
                            <a:noFill/>
                          </a:ln>
                        </pic:spPr>
                      </pic:pic>
                    </a:graphicData>
                  </a:graphic>
                </wp:anchor>
              </w:drawing>
            </w:r>
            <w:r>
              <w:rPr>
                <w:rFonts w:hint="eastAsia" w:ascii="宋体" w:hAnsi="宋体" w:cs="宋体"/>
                <w:kern w:val="0"/>
                <w:sz w:val="20"/>
                <w:szCs w:val="20"/>
                <w:highlight w:val="none"/>
                <w:bdr w:val="single" w:color="000000" w:sz="4" w:space="0"/>
              </w:rPr>
              <w:drawing>
                <wp:anchor distT="0" distB="0" distL="114300" distR="114300" simplePos="0" relativeHeight="25171558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56" name="直接连接符_5"/>
                  <wp:cNvGraphicFramePr/>
                  <a:graphic xmlns:a="http://schemas.openxmlformats.org/drawingml/2006/main">
                    <a:graphicData uri="http://schemas.openxmlformats.org/drawingml/2006/picture">
                      <pic:pic xmlns:pic="http://schemas.openxmlformats.org/drawingml/2006/picture">
                        <pic:nvPicPr>
                          <pic:cNvPr id="56" name="直接连接符_5"/>
                          <pic:cNvPicPr/>
                        </pic:nvPicPr>
                        <pic:blipFill>
                          <a:blip r:embed="rId16"/>
                          <a:stretch>
                            <a:fillRect/>
                          </a:stretch>
                        </pic:blipFill>
                        <pic:spPr>
                          <a:xfrm>
                            <a:off x="0" y="0"/>
                            <a:ext cx="9525" cy="9525"/>
                          </a:xfrm>
                          <a:prstGeom prst="rect">
                            <a:avLst/>
                          </a:prstGeom>
                          <a:noFill/>
                          <a:ln>
                            <a:noFill/>
                          </a:ln>
                        </pic:spPr>
                      </pic:pic>
                    </a:graphicData>
                  </a:graphic>
                </wp:anchor>
              </w:drawing>
            </w:r>
            <w:r>
              <w:rPr>
                <w:rFonts w:hint="eastAsia" w:ascii="宋体" w:hAnsi="宋体" w:cs="宋体"/>
                <w:kern w:val="0"/>
                <w:sz w:val="20"/>
                <w:szCs w:val="20"/>
                <w:highlight w:val="none"/>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符合</w:t>
            </w:r>
          </w:p>
        </w:tc>
      </w:tr>
      <w:tr>
        <w:tblPrEx>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100%</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通过项目实施，对镇村内人居环境进行综合提升，对群众起到经济效益起到关键性作用</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kern w:val="0"/>
                <w:sz w:val="20"/>
                <w:szCs w:val="20"/>
                <w:highlight w:val="none"/>
              </w:rPr>
            </w:pPr>
            <w:r>
              <w:rPr>
                <w:rFonts w:hint="eastAsia" w:ascii="宋体" w:hAnsi="宋体" w:cs="宋体"/>
                <w:kern w:val="0"/>
                <w:sz w:val="20"/>
                <w:szCs w:val="20"/>
                <w:highlight w:val="none"/>
              </w:rPr>
              <w:t>通过项目实施，对镇村内人居环境进行综合提升，对群众起到经济效益起到关键性作用</w:t>
            </w:r>
          </w:p>
        </w:tc>
      </w:tr>
      <w:tr>
        <w:tblPrEx>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过项目实施，提升了政府公信力，同时也增强了为民办事的信心</w:t>
            </w:r>
          </w:p>
        </w:tc>
      </w:tr>
      <w:tr>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sz w:val="20"/>
                <w:szCs w:val="20"/>
                <w:highlight w:val="none"/>
              </w:rPr>
            </w:pPr>
            <w:r>
              <w:rPr>
                <w:rFonts w:hint="eastAsia" w:ascii="宋体" w:hAnsi="宋体" w:cs="宋体"/>
                <w:kern w:val="0"/>
                <w:sz w:val="20"/>
                <w:szCs w:val="20"/>
                <w:highlight w:val="none"/>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通过项目实施村容村貌得到有效提升</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kern w:val="0"/>
                <w:sz w:val="20"/>
                <w:szCs w:val="20"/>
                <w:highlight w:val="none"/>
              </w:rPr>
              <w:t>通过项目实施村容村貌得到有效提升</w:t>
            </w:r>
          </w:p>
        </w:tc>
      </w:tr>
      <w:tr>
        <w:tblPrEx>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sz w:val="20"/>
                <w:szCs w:val="20"/>
                <w:highlight w:val="none"/>
              </w:rPr>
            </w:pP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sz w:val="20"/>
                <w:szCs w:val="20"/>
                <w:highlight w:val="none"/>
              </w:rPr>
            </w:pPr>
            <w:r>
              <w:rPr>
                <w:rFonts w:hint="eastAsia" w:ascii="宋体" w:hAnsi="宋体" w:cs="宋体"/>
                <w:kern w:val="0"/>
                <w:sz w:val="20"/>
                <w:szCs w:val="20"/>
                <w:highlight w:val="none"/>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sz w:val="20"/>
                <w:szCs w:val="20"/>
                <w:highlight w:val="none"/>
              </w:rPr>
            </w:pPr>
            <w:r>
              <w:rPr>
                <w:rFonts w:hint="eastAsia" w:ascii="宋体" w:hAnsi="宋体" w:cs="宋体"/>
                <w:kern w:val="0"/>
                <w:sz w:val="20"/>
                <w:szCs w:val="20"/>
                <w:highlight w:val="none"/>
              </w:rPr>
              <w:t>该项目可持续1</w:t>
            </w:r>
            <w:r>
              <w:rPr>
                <w:rFonts w:ascii="宋体" w:hAnsi="宋体" w:cs="宋体"/>
                <w:kern w:val="0"/>
                <w:sz w:val="20"/>
                <w:szCs w:val="20"/>
                <w:highlight w:val="none"/>
              </w:rPr>
              <w:t>0</w:t>
            </w:r>
            <w:r>
              <w:rPr>
                <w:rFonts w:hint="eastAsia" w:ascii="宋体" w:hAnsi="宋体" w:cs="宋体"/>
                <w:kern w:val="0"/>
                <w:sz w:val="20"/>
                <w:szCs w:val="20"/>
                <w:highlight w:val="none"/>
              </w:rPr>
              <w:t>年。</w:t>
            </w:r>
          </w:p>
        </w:tc>
      </w:tr>
      <w:tr>
        <w:tblPrEx>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sz w:val="24"/>
                <w:highlight w:val="none"/>
              </w:rP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sz w:val="20"/>
                <w:szCs w:val="20"/>
                <w:highlight w:val="none"/>
              </w:rPr>
            </w:pPr>
          </w:p>
        </w:tc>
        <w:tc>
          <w:tcPr>
            <w:tcW w:w="10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满意度</w:t>
            </w:r>
          </w:p>
        </w:tc>
        <w:tc>
          <w:tcPr>
            <w:tcW w:w="7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20"/>
                <w:szCs w:val="20"/>
                <w:highlight w:val="none"/>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sz w:val="20"/>
                <w:szCs w:val="20"/>
                <w:highlight w:val="none"/>
              </w:rPr>
            </w:pPr>
            <w:r>
              <w:rPr>
                <w:rFonts w:hint="eastAsia" w:ascii="宋体" w:hAnsi="宋体" w:cs="宋体"/>
                <w:sz w:val="20"/>
                <w:szCs w:val="20"/>
                <w:highlight w:val="none"/>
              </w:rPr>
              <w:t>群众满意度高，使用效益高</w:t>
            </w:r>
          </w:p>
        </w:tc>
      </w:tr>
    </w:tbl>
    <w:p>
      <w:pPr>
        <w:spacing w:line="580" w:lineRule="exact"/>
        <w:ind w:left="630"/>
        <w:rPr>
          <w:rFonts w:ascii="仿宋_GB2312" w:hAnsi="仿宋_GB2312" w:eastAsia="仿宋_GB2312" w:cs="仿宋_GB2312"/>
          <w:sz w:val="32"/>
          <w:szCs w:val="32"/>
          <w:highlight w:val="none"/>
        </w:rPr>
      </w:pPr>
      <w:r>
        <w:rPr>
          <w:rFonts w:hint="eastAsia" w:ascii="楷体_GB2312" w:hAnsi="楷体_GB2312" w:eastAsia="楷体_GB2312" w:cs="楷体_GB2312"/>
          <w:sz w:val="32"/>
          <w:szCs w:val="32"/>
          <w:highlight w:val="none"/>
        </w:rPr>
        <w:t>2.部门绩效评价结果</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本部门按要求对2021年部门整体支出绩效评价情况开展自评，《安曲镇人民政府2021年整体支出绩效评价报告》见附件（附件1）。</w:t>
      </w:r>
    </w:p>
    <w:p>
      <w:pPr>
        <w:spacing w:line="580" w:lineRule="exact"/>
        <w:ind w:firstLine="640" w:firstLineChars="200"/>
        <w:rPr>
          <w:rFonts w:ascii="仿宋_GB2312" w:eastAsia="仿宋_GB2312"/>
          <w:b/>
          <w:color w:val="000000" w:themeColor="text1"/>
          <w:sz w:val="32"/>
          <w:szCs w:val="32"/>
          <w14:textFill>
            <w14:solidFill>
              <w14:schemeClr w14:val="tx1"/>
            </w14:solidFill>
          </w14:textFill>
        </w:rPr>
      </w:pPr>
      <w:r>
        <w:rPr>
          <w:rFonts w:hint="eastAsia" w:ascii="仿宋_GB2312" w:hAnsi="仿宋_GB2312" w:eastAsia="仿宋_GB2312" w:cs="仿宋_GB2312"/>
          <w:sz w:val="32"/>
          <w:szCs w:val="32"/>
          <w:highlight w:val="none"/>
        </w:rPr>
        <w:t>本部门自行组织对村级运行项目开展了绩效评价，《村</w:t>
      </w:r>
      <w:r>
        <w:rPr>
          <w:rFonts w:hint="eastAsia" w:ascii="仿宋_GB2312" w:hAnsi="仿宋_GB2312" w:eastAsia="仿宋_GB2312" w:cs="仿宋_GB2312"/>
          <w:sz w:val="32"/>
          <w:szCs w:val="32"/>
        </w:rPr>
        <w:t>级运行项目2021年绩效评价报告》见附件（附件2）。（非涉密部门均需公开部门整体支出评价报告，部门自行组织的绩效评价情况根据部门实际公开，若未组织项目绩效评价，则只需说明部门整体支出绩效评价情况</w:t>
      </w:r>
      <w:r>
        <w:rPr>
          <w:rFonts w:hint="eastAsia" w:ascii="仿宋_GB2312" w:hAnsi="仿宋_GB2312" w:eastAsia="仿宋_GB2312" w:cs="仿宋_GB2312"/>
          <w:color w:val="000000" w:themeColor="text1"/>
          <w:sz w:val="32"/>
          <w:szCs w:val="32"/>
          <w14:textFill>
            <w14:solidFill>
              <w14:schemeClr w14:val="tx1"/>
            </w14:solidFill>
          </w14:textFill>
        </w:rPr>
        <w:t>）</w:t>
      </w: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numPr>
          <w:ilvl w:val="0"/>
          <w:numId w:val="5"/>
        </w:numPr>
        <w:spacing w:line="600" w:lineRule="exact"/>
        <w:ind w:firstLine="660" w:firstLineChars="150"/>
        <w:jc w:val="center"/>
        <w:outlineLvl w:val="0"/>
        <w:rPr>
          <w:rStyle w:val="26"/>
          <w:rFonts w:ascii="黑体" w:hAnsi="黑体" w:eastAsia="黑体"/>
          <w:b w:val="0"/>
          <w:color w:val="000000" w:themeColor="text1"/>
          <w14:textFill>
            <w14:solidFill>
              <w14:schemeClr w14:val="tx1"/>
            </w14:solidFill>
          </w14:textFill>
        </w:rPr>
      </w:pPr>
      <w:bookmarkStart w:id="59" w:name="_Toc15377225"/>
      <w:bookmarkStart w:id="60" w:name="_Toc15396613"/>
      <w:r>
        <w:rPr>
          <w:rFonts w:hint="eastAsia" w:ascii="黑体" w:hAnsi="黑体" w:eastAsia="黑体"/>
          <w:color w:val="000000" w:themeColor="text1"/>
          <w:sz w:val="44"/>
          <w:szCs w:val="44"/>
          <w14:textFill>
            <w14:solidFill>
              <w14:schemeClr w14:val="tx1"/>
            </w14:solidFill>
          </w14:textFill>
        </w:rPr>
        <w:t>名</w:t>
      </w:r>
      <w:r>
        <w:rPr>
          <w:rStyle w:val="26"/>
          <w:rFonts w:hint="eastAsia" w:ascii="黑体" w:hAnsi="黑体" w:eastAsia="黑体"/>
          <w:b w:val="0"/>
          <w:color w:val="000000" w:themeColor="text1"/>
          <w14:textFill>
            <w14:solidFill>
              <w14:schemeClr w14:val="tx1"/>
            </w14:solidFill>
          </w14:textFill>
        </w:rPr>
        <w:t>词解释</w:t>
      </w:r>
      <w:bookmarkEnd w:id="59"/>
      <w:bookmarkEnd w:id="60"/>
    </w:p>
    <w:p>
      <w:pPr>
        <w:spacing w:line="600" w:lineRule="exact"/>
        <w:jc w:val="left"/>
        <w:rPr>
          <w:rFonts w:ascii="宋体"/>
          <w:b/>
          <w:color w:val="000000" w:themeColor="text1"/>
          <w:sz w:val="44"/>
          <w:szCs w:val="44"/>
          <w14:textFill>
            <w14:solidFill>
              <w14:schemeClr w14:val="tx1"/>
            </w14:solidFill>
          </w14:textFill>
        </w:rPr>
      </w:pP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财政拨款收入：指单位从同级财政部门取得的财政预算资金。</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事业收入：指事业单位开展专业业务活动及辅助活动取得的收入。</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其他收入：指单位取得的除上述收入以外的各项收入。主要是银行存款利息收入等。</w:t>
      </w:r>
      <w:r>
        <w:rPr>
          <w:rFonts w:ascii="仿宋_GB2312" w:eastAsia="仿宋_GB2312"/>
          <w:color w:val="000000" w:themeColor="text1"/>
          <w:sz w:val="32"/>
          <w:szCs w:val="32"/>
          <w14:textFill>
            <w14:solidFill>
              <w14:schemeClr w14:val="tx1"/>
            </w14:solidFill>
          </w14:textFill>
        </w:rPr>
        <w:t xml:space="preserve"> </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14:textFill>
            <w14:solidFill>
              <w14:schemeClr w14:val="tx1"/>
            </w14:solidFill>
          </w14:textFill>
        </w:rPr>
        <w:t xml:space="preserve"> </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年初结转和结余：指以前年度尚未完成、结转到本年按有关规定继续使用的资金。</w:t>
      </w:r>
      <w:r>
        <w:rPr>
          <w:rFonts w:ascii="仿宋_GB2312" w:eastAsia="仿宋_GB2312"/>
          <w:color w:val="000000" w:themeColor="text1"/>
          <w:sz w:val="32"/>
          <w:szCs w:val="32"/>
          <w14:textFill>
            <w14:solidFill>
              <w14:schemeClr w14:val="tx1"/>
            </w14:solidFill>
          </w14:textFill>
        </w:rPr>
        <w:t xml:space="preserve"> </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、年末结转和结余：指单位按有关规定结转到下年或以后年度继续使用的资金。</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一般公共服务：201类20101款人大事务，2010101项指人大工作人员工资，2010301指行政工作人员工资、2010601行政运行财政所工作人员工资、2010108人大代表工作经费。</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文化体育与传媒：207类20701款2070199项指其他文化支出文化院坝工作经费。</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社会保障和就业：208类20802款2080208项指基层政权和社区建设，2080505指机关事业单位基本养老保险缴费支出，2080506指机关事业单位职业年金缴费支出2081107指残疾人生活和护理补助，2082102指农村特困人员救助。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12</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卫生健康：210类21004款2100409项指公共卫生专项资金。</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13</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城镇社区：212类21205，2120501指城镇社区环境卫生支出。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农林水：213类21301款2130152项指对高校毕业生到基层任职补助，2130504指农村基础设施建设，2130705指对村民委员会和村党支部的补助。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交通运输：214类21401款2140104项指公路建设。</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16</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住房保障：221类22102款2210201项指住房公积金。</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color w:val="000000" w:themeColor="text1"/>
          <w:sz w:val="32"/>
          <w:szCs w:val="32"/>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bookmarkStart w:id="61" w:name="_Toc15396614"/>
      <w:bookmarkStart w:id="62" w:name="_Toc15377226"/>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Fonts w:ascii="黑体" w:hAnsi="黑体" w:eastAsia="黑体"/>
          <w:color w:val="000000" w:themeColor="text1"/>
          <w:sz w:val="44"/>
          <w:szCs w:val="44"/>
          <w14:textFill>
            <w14:solidFill>
              <w14:schemeClr w14:val="tx1"/>
            </w14:solidFill>
          </w14:textFill>
        </w:rPr>
      </w:pPr>
    </w:p>
    <w:p>
      <w:pPr>
        <w:spacing w:line="600" w:lineRule="exact"/>
        <w:jc w:val="center"/>
        <w:outlineLvl w:val="0"/>
        <w:rPr>
          <w:rStyle w:val="26"/>
          <w:rFonts w:ascii="黑体" w:hAnsi="黑体" w:eastAsia="黑体"/>
          <w:b w:val="0"/>
          <w:color w:val="000000" w:themeColor="text1"/>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第</w:t>
      </w:r>
      <w:r>
        <w:rPr>
          <w:rStyle w:val="26"/>
          <w:rFonts w:hint="eastAsia" w:ascii="黑体" w:hAnsi="黑体" w:eastAsia="黑体"/>
          <w:b w:val="0"/>
          <w:color w:val="000000" w:themeColor="text1"/>
          <w14:textFill>
            <w14:solidFill>
              <w14:schemeClr w14:val="tx1"/>
            </w14:solidFill>
          </w14:textFill>
        </w:rPr>
        <w:t>四部分 附件</w:t>
      </w:r>
      <w:bookmarkEnd w:id="61"/>
    </w:p>
    <w:p>
      <w:pPr>
        <w:spacing w:line="600" w:lineRule="exact"/>
        <w:jc w:val="left"/>
        <w:outlineLvl w:val="0"/>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0"/>
          <w:szCs w:val="44"/>
          <w:lang w:val="zh-CN"/>
          <w14:textFill>
            <w14:solidFill>
              <w14:schemeClr w14:val="tx1"/>
            </w14:solidFill>
          </w14:textFill>
        </w:rPr>
      </w:pPr>
      <w:r>
        <w:rPr>
          <w:rFonts w:hint="eastAsia" w:ascii="方正小标宋简体" w:hAnsi="宋体" w:eastAsia="方正小标宋简体"/>
          <w:color w:val="000000" w:themeColor="text1"/>
          <w:kern w:val="0"/>
          <w:sz w:val="40"/>
          <w:szCs w:val="44"/>
          <w14:textFill>
            <w14:solidFill>
              <w14:schemeClr w14:val="tx1"/>
            </w14:solidFill>
          </w14:textFill>
        </w:rPr>
        <w:t>安曲镇人民政府</w:t>
      </w:r>
      <w:r>
        <w:rPr>
          <w:rFonts w:ascii="方正小标宋简体" w:hAnsi="宋体" w:eastAsia="方正小标宋简体"/>
          <w:color w:val="000000" w:themeColor="text1"/>
          <w:kern w:val="0"/>
          <w:sz w:val="40"/>
          <w:szCs w:val="44"/>
          <w14:textFill>
            <w14:solidFill>
              <w14:schemeClr w14:val="tx1"/>
            </w14:solidFill>
          </w14:textFill>
        </w:rPr>
        <w:t>20</w:t>
      </w:r>
      <w:r>
        <w:rPr>
          <w:rFonts w:hint="eastAsia" w:ascii="方正小标宋简体" w:hAnsi="宋体" w:eastAsia="方正小标宋简体"/>
          <w:color w:val="000000" w:themeColor="text1"/>
          <w:kern w:val="0"/>
          <w:sz w:val="40"/>
          <w:szCs w:val="44"/>
          <w14:textFill>
            <w14:solidFill>
              <w14:schemeClr w14:val="tx1"/>
            </w14:solidFill>
          </w14:textFill>
        </w:rPr>
        <w:t>21</w:t>
      </w:r>
      <w:r>
        <w:rPr>
          <w:rFonts w:ascii="方正小标宋简体" w:hAnsi="宋体" w:eastAsia="方正小标宋简体"/>
          <w:color w:val="000000" w:themeColor="text1"/>
          <w:kern w:val="0"/>
          <w:sz w:val="40"/>
          <w:szCs w:val="44"/>
          <w14:textFill>
            <w14:solidFill>
              <w14:schemeClr w14:val="tx1"/>
            </w14:solidFill>
          </w14:textFill>
        </w:rPr>
        <w:t>年部门</w:t>
      </w:r>
      <w:r>
        <w:rPr>
          <w:rFonts w:hint="eastAsia" w:ascii="方正小标宋简体" w:hAnsi="宋体" w:eastAsia="方正小标宋简体"/>
          <w:color w:val="000000" w:themeColor="text1"/>
          <w:kern w:val="0"/>
          <w:sz w:val="40"/>
          <w:szCs w:val="44"/>
          <w:lang w:val="zh-CN"/>
          <w14:textFill>
            <w14:solidFill>
              <w14:schemeClr w14:val="tx1"/>
            </w14:solidFill>
          </w14:textFill>
        </w:rPr>
        <w:t>整体支出绩效评价报告</w:t>
      </w:r>
    </w:p>
    <w:p>
      <w:pPr>
        <w:widowControl/>
        <w:spacing w:line="580" w:lineRule="exact"/>
        <w:ind w:firstLine="640" w:firstLineChars="200"/>
        <w:contextualSpacing/>
        <w:jc w:val="center"/>
        <w:rPr>
          <w:rFonts w:ascii="仿宋_GB2312" w:hAnsi="宋体" w:eastAsia="仿宋_GB2312"/>
          <w:color w:val="000000" w:themeColor="text1"/>
          <w:sz w:val="32"/>
          <w:szCs w:val="32"/>
          <w:shd w:val="clear" w:color="auto" w:fill="FFFFFF"/>
          <w14:textFill>
            <w14:solidFill>
              <w14:schemeClr w14:val="tx1"/>
            </w14:solidFill>
          </w14:textFill>
        </w:rPr>
      </w:pPr>
      <w:r>
        <w:rPr>
          <w:rFonts w:hint="eastAsia" w:ascii="仿宋_GB2312" w:hAnsi="宋体" w:eastAsia="仿宋_GB2312"/>
          <w:color w:val="000000" w:themeColor="text1"/>
          <w:sz w:val="32"/>
          <w:szCs w:val="32"/>
          <w:shd w:val="clear" w:color="auto" w:fill="FFFFFF"/>
          <w14:textFill>
            <w14:solidFill>
              <w14:schemeClr w14:val="tx1"/>
            </w14:solidFill>
          </w14:textFill>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themeColor="text1"/>
          <w:kern w:val="0"/>
          <w:sz w:val="24"/>
          <w:szCs w:val="32"/>
          <w:shd w:val="clear" w:color="auto"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一、</w:t>
      </w:r>
      <w:r>
        <w:rPr>
          <w:rFonts w:hint="eastAsia" w:ascii="黑体" w:hAnsi="宋体" w:eastAsia="黑体" w:cs="宋体"/>
          <w:color w:val="000000" w:themeColor="text1"/>
          <w:kern w:val="0"/>
          <w:sz w:val="32"/>
          <w:szCs w:val="32"/>
          <w:shd w:val="clear" w:color="auto" w:fill="FFFFFF"/>
          <w:lang w:val="zh-CN"/>
          <w14:textFill>
            <w14:solidFill>
              <w14:schemeClr w14:val="tx1"/>
            </w14:solidFill>
          </w14:textFill>
        </w:rPr>
        <w:t>部门（单位）概况</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（一）机构组成</w:t>
      </w:r>
    </w:p>
    <w:p>
      <w:pPr>
        <w:snapToGrid w:val="0"/>
        <w:spacing w:line="520" w:lineRule="exact"/>
        <w:ind w:firstLine="640" w:firstLineChars="200"/>
        <w:rPr>
          <w:rFonts w:ascii="仿宋_GB2312" w:hAnsi="仿宋_GB2312" w:eastAsia="仿宋_GB2312" w:cs="仿宋_GB2312"/>
          <w:bCs/>
          <w:color w:val="000000" w:themeColor="text1"/>
          <w:sz w:val="32"/>
          <w:szCs w:val="32"/>
          <w:lang w:val="zh-CN"/>
          <w14:textFill>
            <w14:solidFill>
              <w14:schemeClr w14:val="tx1"/>
            </w14:solidFill>
          </w14:textFill>
        </w:rPr>
      </w:pPr>
      <w:r>
        <w:rPr>
          <w:rFonts w:hint="eastAsia" w:ascii="仿宋_GB2312" w:hAnsi="仿宋_GB2312" w:eastAsia="仿宋_GB2312" w:cs="仿宋_GB2312"/>
          <w:bCs/>
          <w:color w:val="000000" w:themeColor="text1"/>
          <w:sz w:val="32"/>
          <w:szCs w:val="32"/>
          <w:lang w:val="zh-CN"/>
          <w14:textFill>
            <w14:solidFill>
              <w14:schemeClr w14:val="tx1"/>
            </w14:solidFill>
          </w14:textFill>
        </w:rPr>
        <w:t>红原县安曲镇人民政府是行政单位，执行行政单位会计制度，我单位下属二级决算单位0个，其中行政单位</w:t>
      </w:r>
      <w:r>
        <w:rPr>
          <w:rFonts w:hint="eastAsia" w:ascii="仿宋_GB2312" w:hAnsi="仿宋_GB2312" w:eastAsia="仿宋_GB2312" w:cs="仿宋_GB2312"/>
          <w:bCs/>
          <w:color w:val="000000" w:themeColor="text1"/>
          <w:sz w:val="32"/>
          <w:szCs w:val="32"/>
          <w14:textFill>
            <w14:solidFill>
              <w14:schemeClr w14:val="tx1"/>
            </w14:solidFill>
          </w14:textFill>
        </w:rPr>
        <w:t>1</w:t>
      </w:r>
      <w:r>
        <w:rPr>
          <w:rFonts w:hint="eastAsia" w:ascii="仿宋_GB2312" w:hAnsi="仿宋_GB2312" w:eastAsia="仿宋_GB2312" w:cs="仿宋_GB2312"/>
          <w:bCs/>
          <w:color w:val="000000" w:themeColor="text1"/>
          <w:sz w:val="32"/>
          <w:szCs w:val="32"/>
          <w:lang w:val="zh-CN"/>
          <w14:textFill>
            <w14:solidFill>
              <w14:schemeClr w14:val="tx1"/>
            </w14:solidFill>
          </w14:textFill>
        </w:rPr>
        <w:t>个，参照公务员法管理的事业单位0个，其他事业单位0个。是独立核算的机构，是独立编报决算的单位。安曲镇辖区</w:t>
      </w:r>
      <w:r>
        <w:rPr>
          <w:rFonts w:hint="eastAsia" w:ascii="仿宋_GB2312" w:hAnsi="仿宋_GB2312" w:eastAsia="仿宋_GB2312" w:cs="仿宋_GB2312"/>
          <w:bCs/>
          <w:color w:val="000000" w:themeColor="text1"/>
          <w:sz w:val="32"/>
          <w:szCs w:val="32"/>
          <w14:textFill>
            <w14:solidFill>
              <w14:schemeClr w14:val="tx1"/>
            </w14:solidFill>
          </w14:textFill>
        </w:rPr>
        <w:t>3</w:t>
      </w:r>
      <w:r>
        <w:rPr>
          <w:rFonts w:hint="eastAsia" w:ascii="仿宋_GB2312" w:hAnsi="仿宋_GB2312" w:eastAsia="仿宋_GB2312" w:cs="仿宋_GB2312"/>
          <w:bCs/>
          <w:color w:val="000000" w:themeColor="text1"/>
          <w:sz w:val="32"/>
          <w:szCs w:val="32"/>
          <w:lang w:val="zh-CN"/>
          <w14:textFill>
            <w14:solidFill>
              <w14:schemeClr w14:val="tx1"/>
            </w14:solidFill>
          </w14:textFill>
        </w:rPr>
        <w:t>个行政村，总共</w:t>
      </w:r>
      <w:r>
        <w:rPr>
          <w:rFonts w:hint="eastAsia" w:ascii="仿宋_GB2312" w:hAnsi="仿宋_GB2312" w:eastAsia="仿宋_GB2312" w:cs="仿宋_GB2312"/>
          <w:bCs/>
          <w:color w:val="000000" w:themeColor="text1"/>
          <w:sz w:val="32"/>
          <w:szCs w:val="32"/>
          <w14:textFill>
            <w14:solidFill>
              <w14:schemeClr w14:val="tx1"/>
            </w14:solidFill>
          </w14:textFill>
        </w:rPr>
        <w:t>15</w:t>
      </w:r>
      <w:r>
        <w:rPr>
          <w:rFonts w:hint="eastAsia" w:ascii="仿宋_GB2312" w:hAnsi="仿宋_GB2312" w:eastAsia="仿宋_GB2312" w:cs="仿宋_GB2312"/>
          <w:bCs/>
          <w:color w:val="000000" w:themeColor="text1"/>
          <w:sz w:val="32"/>
          <w:szCs w:val="32"/>
          <w:lang w:val="zh-CN"/>
          <w14:textFill>
            <w14:solidFill>
              <w14:schemeClr w14:val="tx1"/>
            </w14:solidFill>
          </w14:textFill>
        </w:rPr>
        <w:t>名村干部。</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（二）机构职能</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镇党委工作职责</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镇党委是本镇各项工作的领导核心，是农村改革和经济建设的直接组织者和领导者，其主要职责:</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1.负责贯彻执行党的路线方针政策和上级党组织及本镇党员代表大会的决议;</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2.讨论决定本镇经济建设和社会发展的重大问题;</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3.领导镇政权机关和群众组织，支持和保证这些机机关和组织依照国家法律法规及各自章程充分行使职权;</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4.加强镇党委自身建设和以党支部为核心的村级组织建设;</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5.按照干部管理权限，负责对干部的教育、培养、选拔、考核和监督工作;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6.领导本镇的社会主义民主法制建设和精神文明建设，以及社会治安综合治理、维护稳定、党风廉政和计划生育等工作。</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镇人民代表大会工作职责</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1.负责召开本级人民代表大会会议的具体准备工作: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2.负责联系本级人民代表大会代表，组织代表开展活动，总结交流代表小组活动经验；</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3.反映代表和群众对本级人民政府工作的建议、批评</w:t>
      </w:r>
    </w:p>
    <w:p>
      <w:pPr>
        <w:spacing w:line="576" w:lineRule="exact"/>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意见；</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4.参加本级人民政府的重要会议;</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5.组织实施本级人民代表大会和主席团决定的事项；</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6.督促办理代表和人民群众的来信来访。</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镇人民政府工作职责</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1.贯彻执行党的路线方针政策和国家法律法规，贯彻执</w:t>
      </w:r>
    </w:p>
    <w:p>
      <w:pPr>
        <w:spacing w:line="576" w:lineRule="exact"/>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行上级行政机关的决议、命令及同级党委的决定，执行镇人民代表大会的决议;</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2.对镇人民代表大会及其主席团和上级行政机关负责</w:t>
      </w:r>
    </w:p>
    <w:p>
      <w:pPr>
        <w:spacing w:line="576" w:lineRule="exact"/>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并报告工作;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3.编制和执行镇国民经济和社会发展计划，编制并执</w:t>
      </w:r>
    </w:p>
    <w:p>
      <w:pPr>
        <w:spacing w:line="576" w:lineRule="exact"/>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执行行政预算;</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4.管理本行政区域经济和各项社会事业的行政工作；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5.负责辖区内法律赋予的行政执法工作，维护社会秩序，保护公民人身、民主、财产等权利，保护各种经济组织的合法权益;</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6.指导、支持和帮助村民委员会工作;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7.法律规定赋予的其它职责。</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bidi="ar"/>
        </w:rPr>
      </w:pPr>
      <w:r>
        <w:rPr>
          <w:rFonts w:hint="eastAsia" w:ascii="仿宋_GB2312" w:hAnsi="仿宋_GB2312" w:eastAsia="仿宋_GB2312" w:cs="仿宋_GB2312"/>
          <w:b/>
          <w:bCs/>
          <w:color w:val="333333"/>
          <w:kern w:val="0"/>
          <w:sz w:val="32"/>
          <w:szCs w:val="32"/>
          <w:shd w:val="clear" w:color="auto" w:fill="FFFFFF"/>
          <w:lang w:bidi="ar"/>
        </w:rPr>
        <w:t>纪委（派出监察室）工作职责</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3.领导下辖纪检组织的工作，指导村务监督机构的工作。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4.负责村（社）纪检监察组织的自身建设。</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5.完成县纪委监委和乡镇党委交办的其他任务。</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bidi="ar"/>
        </w:rPr>
      </w:pPr>
      <w:r>
        <w:rPr>
          <w:rFonts w:hint="eastAsia" w:ascii="仿宋_GB2312" w:hAnsi="仿宋_GB2312" w:eastAsia="仿宋_GB2312" w:cs="仿宋_GB2312"/>
          <w:b/>
          <w:bCs/>
          <w:color w:val="333333"/>
          <w:kern w:val="0"/>
          <w:sz w:val="32"/>
          <w:szCs w:val="32"/>
          <w:shd w:val="clear" w:color="auto" w:fill="FFFFFF"/>
          <w:lang w:bidi="ar"/>
        </w:rPr>
        <w:t>镇人民武装部工作职责</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1.负责民兵组织建设、政治教育、军事训练;</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2.为本系统自主择业转业干部提供管理和服务;</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3.组织带领民兵完成战备执勤任务，配合公安部门维护社会治安;</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4.战时组织带领民兵参军参战，支援前线;</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5.负责征兵工作和预备役士兵、预备役军官登记统计等工作;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6.协同预备役部(分)队落实参训人员，做好兵员管理、动员集结等工作;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7.协助有关部门开展国防教育，做好退伍人员的安置和烈军属的优抚工作;</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8.完成地方党委、人民政府和上级军事机关交给的其他工作任务。</w:t>
      </w: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人员概况</w:t>
      </w:r>
    </w:p>
    <w:p>
      <w:pPr>
        <w:spacing w:line="576" w:lineRule="exact"/>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全镇总编制37名，其中：行政编制：21名，事业编制：14名，行政工勤编制：2名。有编在岗人员总数35名，其中：行政人员20名，事业人员13名，行政工勤人员2名，安曲镇下辖3个行政村，村干部15名，村民小组长26名。</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（一）部门财政资金收入情况</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2021年安曲镇人民政府收入预算总额为660.6092万元，其中：当年财政拨款收入660.6092万元。相应安排支出预算660.6092万元，其中：一般公共服务433.9996万元，社会保障和就业68.024万元，医疗卫生35.7821万元，城乡社区支出10.00万元，农林水支出62.296万元，住房保障支出50.5075万元。</w:t>
      </w:r>
    </w:p>
    <w:p>
      <w:pPr>
        <w:widowControl/>
        <w:adjustRightInd w:val="0"/>
        <w:snapToGrid w:val="0"/>
        <w:spacing w:line="576" w:lineRule="exact"/>
        <w:ind w:firstLine="643" w:firstLineChars="200"/>
        <w:jc w:val="left"/>
        <w:outlineLvl w:val="1"/>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（二）支出预算安排情况</w:t>
      </w:r>
    </w:p>
    <w:p>
      <w:pPr>
        <w:spacing w:line="56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安曲镇人民政府预算安排支出主要用于保障本部门机构正常运转、完成日常工作任务以及承担政府事业发展相关工作。  </w:t>
      </w:r>
    </w:p>
    <w:p>
      <w:pPr>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基本支出620.0272万元。其中人员经费支出568.9736万元，机关运行经费51.0536万元，其中办公费14.4857万元，印刷费2.4万元，电费2万元，邮电费2.5万元，取暖费1万元，差旅费6.5万元，维修（护）费0.8万元，会议费0.8万元，培训费3.8万元，公务接待费0.5万元，劳务费2万元，工会经费4.1598万元，公务用车运行维护费9.7万元，信息网络构建费0.408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三、部门整体预算绩效管理情况</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（一）部门预算管理</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包括部门绩效目标制定、目标实现、预算编制准确、支出控制、预算动态调整、执行进度、预算完成情况和违规记录等情况。</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（二）预算编制情况</w:t>
      </w:r>
    </w:p>
    <w:p>
      <w:pPr>
        <w:widowControl/>
        <w:adjustRightInd w:val="0"/>
        <w:snapToGrid w:val="0"/>
        <w:spacing w:line="480" w:lineRule="exact"/>
        <w:ind w:firstLine="72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（三）执行管理情况</w:t>
      </w:r>
      <w:r>
        <w:rPr>
          <w:rFonts w:hint="eastAsia" w:ascii="仿宋_GB2312" w:hAnsi="仿宋_GB2312" w:eastAsia="仿宋_GB2312" w:cs="仿宋_GB2312"/>
          <w:b/>
          <w:bCs/>
          <w:color w:val="333333"/>
          <w:kern w:val="0"/>
          <w:sz w:val="32"/>
          <w:szCs w:val="32"/>
          <w:shd w:val="clear" w:color="auto" w:fill="FFFFFF"/>
          <w:lang w:val="zh-CN" w:bidi="ar"/>
        </w:rPr>
        <w:tab/>
      </w:r>
    </w:p>
    <w:p>
      <w:pPr>
        <w:pStyle w:val="7"/>
        <w:spacing w:before="93" w:line="576" w:lineRule="exact"/>
        <w:ind w:firstLine="640" w:firstLineChars="200"/>
        <w:rPr>
          <w:rFonts w:hAnsi="宋体" w:cs="宋体"/>
          <w:color w:val="000000" w:themeColor="text1"/>
          <w:sz w:val="32"/>
          <w:szCs w:val="32"/>
          <w:shd w:val="clear" w:color="auto" w:fill="FFFFFF"/>
          <w:lang w:val="zh-CN"/>
          <w14:textFill>
            <w14:solidFill>
              <w14:schemeClr w14:val="tx1"/>
            </w14:solidFill>
          </w14:textFill>
        </w:rPr>
      </w:pPr>
      <w:r>
        <w:rPr>
          <w:rFonts w:hint="eastAsia" w:hAnsi="宋体" w:cs="宋体"/>
          <w:color w:val="000000" w:themeColor="text1"/>
          <w:sz w:val="32"/>
          <w:szCs w:val="32"/>
          <w:shd w:val="clear" w:color="auto" w:fill="FFFFFF"/>
          <w:lang w:val="zh-CN"/>
          <w14:textFill>
            <w14:solidFill>
              <w14:schemeClr w14:val="tx1"/>
            </w14:solidFill>
          </w14:textFill>
        </w:rPr>
        <w:t>在预算执行中，我镇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（四）综合管理情况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1.</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资产管理情况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2.</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内控制度管理</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一、明确了记账人员与审批人员、经办人员的职责权限，使其相互分离、相互制约，以明确责任，防止舞弊，各项业务事项得以有序进行。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二、明确了财务收支审批程序和审批人的权限和责任，规范了各项资金的使用，提高了资金使用效益。</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三、明确经费支出的范围和开支标准，采取各种有效措施控制经费开支，杜绝了浪费现象的发生。</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四、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3.</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信息(三公及预算决算)公开情况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根据县政府相关工作要求，及时依法在政府官方网站对“三公经费”及预算、决算进行公示，授受社会的监督。</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4.</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财务财政监督情况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（四）结果应用情况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包括绩效自评公开、评价结果整改和应用结果反馈等情况。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14:textFill>
            <w14:solidFill>
              <w14:schemeClr w14:val="tx1"/>
            </w14:solidFill>
          </w14:textFill>
        </w:rPr>
        <w:t>1.</w:t>
      </w:r>
      <w:r>
        <w:rPr>
          <w:rFonts w:hint="eastAsia" w:ascii="楷体" w:hAnsi="楷体" w:eastAsia="楷体" w:cs="宋体"/>
          <w:color w:val="000000" w:themeColor="text1"/>
          <w:kern w:val="0"/>
          <w:sz w:val="32"/>
          <w:lang w:val="zh-CN"/>
          <w14:textFill>
            <w14:solidFill>
              <w14:schemeClr w14:val="tx1"/>
            </w14:solidFill>
          </w14:textFill>
        </w:rPr>
        <w:t>部门职责履行情况分析</w:t>
      </w:r>
    </w:p>
    <w:p>
      <w:pPr>
        <w:widowControl/>
        <w:adjustRightInd w:val="0"/>
        <w:snapToGrid w:val="0"/>
        <w:spacing w:line="560" w:lineRule="exact"/>
        <w:ind w:firstLine="640" w:firstLineChars="200"/>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21</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14:textFill>
            <w14:solidFill>
              <w14:schemeClr w14:val="tx1"/>
            </w14:solidFill>
          </w14:textFill>
        </w:rPr>
        <w:t>2.</w:t>
      </w:r>
      <w:r>
        <w:rPr>
          <w:rFonts w:hint="eastAsia" w:ascii="楷体" w:hAnsi="楷体" w:eastAsia="楷体" w:cs="宋体"/>
          <w:color w:val="000000" w:themeColor="text1"/>
          <w:kern w:val="0"/>
          <w:sz w:val="32"/>
          <w:lang w:val="zh-CN"/>
          <w14:textFill>
            <w14:solidFill>
              <w14:schemeClr w14:val="tx1"/>
            </w14:solidFill>
          </w14:textFill>
        </w:rPr>
        <w:t>社会经济效益分析</w:t>
      </w:r>
    </w:p>
    <w:p>
      <w:pPr>
        <w:widowControl/>
        <w:adjustRightInd w:val="0"/>
        <w:snapToGrid w:val="0"/>
        <w:spacing w:line="560" w:lineRule="exact"/>
        <w:ind w:firstLine="640" w:firstLineChars="200"/>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rPr>
          <w:rFonts w:ascii="楷体" w:hAnsi="楷体" w:eastAsia="楷体" w:cs="宋体"/>
          <w:color w:val="000000" w:themeColor="text1"/>
          <w:kern w:val="0"/>
          <w:sz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（五）行政效能分析</w:t>
      </w:r>
    </w:p>
    <w:p>
      <w:pPr>
        <w:widowControl/>
        <w:adjustRightInd w:val="0"/>
        <w:snapToGrid w:val="0"/>
        <w:spacing w:line="560" w:lineRule="exact"/>
        <w:ind w:firstLine="640" w:firstLineChars="200"/>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（一）评价结论</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14:textFill>
            <w14:solidFill>
              <w14:schemeClr w14:val="tx1"/>
            </w14:solidFill>
          </w14:textFill>
        </w:rPr>
        <w:t>2021年度根据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adjustRightInd w:val="0"/>
        <w:snapToGrid w:val="0"/>
        <w:spacing w:line="580" w:lineRule="exact"/>
        <w:ind w:firstLine="643" w:firstLineChars="200"/>
        <w:contextualSpacing/>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（二）存在问题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1.资产录入系统不及时，未定期清查盘点，未及时报废已到使用年限的资产。</w:t>
      </w:r>
    </w:p>
    <w:p>
      <w:pPr>
        <w:widowControl/>
        <w:adjustRightInd w:val="0"/>
        <w:snapToGrid w:val="0"/>
        <w:spacing w:line="56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2.内控制度建立的不够健全、完善、责任划分不够明确、执行力度不强。</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lang w:val="zh-CN"/>
          <w14:textFill>
            <w14:solidFill>
              <w14:schemeClr w14:val="tx1"/>
            </w14:solidFill>
          </w14:textFill>
        </w:rPr>
        <w:t>会计核算欠规范，经费支出核算过程中，部分存在部分大额办公支出无明细、发票内容填写不规范等现象。</w:t>
      </w:r>
    </w:p>
    <w:p>
      <w:pPr>
        <w:widowControl/>
        <w:adjustRightInd w:val="0"/>
        <w:snapToGrid w:val="0"/>
        <w:spacing w:line="560" w:lineRule="exact"/>
        <w:ind w:firstLine="643" w:firstLineChars="200"/>
        <w:jc w:val="left"/>
        <w:rPr>
          <w:rFonts w:ascii="仿宋_GB2312" w:hAnsi="仿宋_GB2312" w:eastAsia="仿宋_GB2312" w:cs="仿宋_GB2312"/>
          <w:b/>
          <w:bCs/>
          <w:color w:val="333333"/>
          <w:kern w:val="0"/>
          <w:sz w:val="32"/>
          <w:szCs w:val="32"/>
          <w:shd w:val="clear" w:color="auto" w:fill="FFFFFF"/>
          <w:lang w:val="zh-CN" w:bidi="ar"/>
        </w:rPr>
      </w:pPr>
      <w:r>
        <w:rPr>
          <w:rFonts w:hint="eastAsia" w:ascii="仿宋_GB2312" w:hAnsi="仿宋_GB2312" w:eastAsia="仿宋_GB2312" w:cs="仿宋_GB2312"/>
          <w:b/>
          <w:bCs/>
          <w:color w:val="333333"/>
          <w:kern w:val="0"/>
          <w:sz w:val="32"/>
          <w:szCs w:val="32"/>
          <w:shd w:val="clear" w:color="auto" w:fill="FFFFFF"/>
          <w:lang w:val="zh-CN" w:bidi="ar"/>
        </w:rPr>
        <w:t>（三）改进建议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1.</w:t>
      </w:r>
      <w:r>
        <w:rPr>
          <w:rFonts w:hint="eastAsia" w:ascii="仿宋_GB2312" w:eastAsia="仿宋_GB2312"/>
          <w:color w:val="000000" w:themeColor="text1"/>
          <w:sz w:val="32"/>
          <w:szCs w:val="32"/>
          <w:lang w:val="zh-CN"/>
          <w14:textFill>
            <w14:solidFill>
              <w14:schemeClr w14:val="tx1"/>
            </w14:solidFill>
          </w14:textFill>
        </w:rPr>
        <w:t>单位资产管理由办公室总负责，使用人具体负责管理，对不能继续使用的资产由使用人交回办公室并提出申请，由办公室提供材料交给财务室按照相关程序统一处置。财政所应及时在系统中录入资产信息，每年对单位资产进行一次集中清理，对不能使用的资产及时报相关部门进行报废处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lang w:val="zh-CN"/>
          <w14:textFill>
            <w14:solidFill>
              <w14:schemeClr w14:val="tx1"/>
            </w14:solidFill>
          </w14:textFill>
        </w:rPr>
        <w:t>进一步完善内部管理制度，提升管理效能，更好地履行生态文明建设职能。</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lang w:val="zh-CN"/>
          <w14:textFill>
            <w14:solidFill>
              <w14:schemeClr w14:val="tx1"/>
            </w14:solidFill>
          </w14:textFill>
        </w:rPr>
        <w:t>规范账务处理，提高财务信息质量</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pStyle w:val="6"/>
        <w:spacing w:line="576" w:lineRule="exact"/>
        <w:ind w:firstLine="640"/>
        <w:rPr>
          <w:rFonts w:ascii="仿宋_GB2312" w:hAnsi="宋体" w:eastAsia="仿宋_GB2312" w:cs="Times New Roman"/>
          <w:color w:val="000000" w:themeColor="text1"/>
          <w:sz w:val="32"/>
          <w:szCs w:val="32"/>
          <w14:textFill>
            <w14:solidFill>
              <w14:schemeClr w14:val="tx1"/>
            </w14:solidFill>
          </w14:textFill>
        </w:rPr>
      </w:pPr>
    </w:p>
    <w:p>
      <w:pPr>
        <w:widowControl/>
        <w:adjustRightInd w:val="0"/>
        <w:snapToGrid w:val="0"/>
        <w:spacing w:line="580" w:lineRule="exact"/>
        <w:ind w:left="72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rPr>
          <w:rFonts w:ascii="黑体" w:hAnsi="黑体" w:eastAsia="黑体" w:cs="黑体"/>
          <w:color w:val="000000" w:themeColor="text1"/>
          <w:sz w:val="32"/>
          <w:szCs w:val="32"/>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highlight w:val="none"/>
          <w:lang w:val="zh-CN"/>
          <w14:textFill>
            <w14:solidFill>
              <w14:schemeClr w14:val="tx1"/>
            </w14:solidFill>
          </w14:textFill>
        </w:rPr>
      </w:pPr>
      <w:r>
        <w:rPr>
          <w:rFonts w:hint="eastAsia" w:ascii="方正小标宋简体" w:hAnsi="宋体" w:eastAsia="方正小标宋简体"/>
          <w:color w:val="000000" w:themeColor="text1"/>
          <w:kern w:val="0"/>
          <w:sz w:val="44"/>
          <w:szCs w:val="44"/>
          <w:highlight w:val="none"/>
          <w14:textFill>
            <w14:solidFill>
              <w14:schemeClr w14:val="tx1"/>
            </w14:solidFill>
          </w14:textFill>
        </w:rPr>
        <w:t>安曲镇</w:t>
      </w:r>
      <w:r>
        <w:rPr>
          <w:rFonts w:hint="eastAsia" w:ascii="方正小标宋简体" w:hAnsi="宋体" w:eastAsia="方正小标宋简体"/>
          <w:color w:val="000000" w:themeColor="text1"/>
          <w:kern w:val="0"/>
          <w:sz w:val="44"/>
          <w:szCs w:val="44"/>
          <w:highlight w:val="none"/>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highlight w:val="none"/>
          <w14:textFill>
            <w14:solidFill>
              <w14:schemeClr w14:val="tx1"/>
            </w14:solidFill>
          </w14:textFill>
        </w:rPr>
        <w:t>20</w:t>
      </w:r>
      <w:r>
        <w:rPr>
          <w:rFonts w:ascii="方正小标宋简体" w:hAnsi="宋体" w:eastAsia="方正小标宋简体"/>
          <w:color w:val="000000" w:themeColor="text1"/>
          <w:kern w:val="0"/>
          <w:sz w:val="44"/>
          <w:szCs w:val="44"/>
          <w:highlight w:val="none"/>
          <w14:textFill>
            <w14:solidFill>
              <w14:schemeClr w14:val="tx1"/>
            </w14:solidFill>
          </w14:textFill>
        </w:rPr>
        <w:t>21</w:t>
      </w:r>
      <w:r>
        <w:rPr>
          <w:rFonts w:hint="eastAsia" w:ascii="方正小标宋简体" w:hAnsi="宋体" w:eastAsia="方正小标宋简体"/>
          <w:color w:val="000000" w:themeColor="text1"/>
          <w:kern w:val="0"/>
          <w:sz w:val="44"/>
          <w:szCs w:val="44"/>
          <w:highlight w:val="none"/>
          <w14:textFill>
            <w14:solidFill>
              <w14:schemeClr w14:val="tx1"/>
            </w14:solidFill>
          </w14:textFill>
        </w:rPr>
        <w:t>年</w:t>
      </w:r>
      <w:r>
        <w:rPr>
          <w:rFonts w:hint="eastAsia" w:ascii="方正小标宋简体" w:hAnsi="宋体" w:eastAsia="方正小标宋简体"/>
          <w:color w:val="000000" w:themeColor="text1"/>
          <w:kern w:val="0"/>
          <w:sz w:val="44"/>
          <w:szCs w:val="44"/>
          <w:highlight w:val="none"/>
          <w:lang w:val="zh-CN"/>
          <w14:textFill>
            <w14:solidFill>
              <w14:schemeClr w14:val="tx1"/>
            </w14:solidFill>
          </w14:textFill>
        </w:rPr>
        <w:t>绩效评价报告</w:t>
      </w:r>
    </w:p>
    <w:p>
      <w:pPr>
        <w:spacing w:line="600" w:lineRule="exact"/>
        <w:rPr>
          <w:rFonts w:ascii="宋体" w:hAnsi="宋体"/>
          <w:color w:val="000000" w:themeColor="text1"/>
          <w:sz w:val="32"/>
          <w:szCs w:val="32"/>
          <w:highlight w:val="none"/>
          <w:lang w:val="zh-CN"/>
          <w14:textFill>
            <w14:solidFill>
              <w14:schemeClr w14:val="tx1"/>
            </w14:solidFill>
          </w14:textFill>
        </w:rPr>
      </w:pPr>
    </w:p>
    <w:p>
      <w:pPr>
        <w:adjustRightInd w:val="0"/>
        <w:snapToGrid w:val="0"/>
        <w:spacing w:line="600" w:lineRule="exact"/>
        <w:ind w:firstLine="720"/>
        <w:rPr>
          <w:rFonts w:ascii="黑体" w:hAnsi="宋体" w:eastAsia="黑体"/>
          <w:color w:val="000000" w:themeColor="text1"/>
          <w:sz w:val="32"/>
          <w:szCs w:val="32"/>
          <w:highlight w:val="none"/>
          <w:lang w:val="zh-CN"/>
          <w14:textFill>
            <w14:solidFill>
              <w14:schemeClr w14:val="tx1"/>
            </w14:solidFill>
          </w14:textFill>
        </w:rPr>
      </w:pPr>
      <w:r>
        <w:rPr>
          <w:rFonts w:hint="eastAsia" w:ascii="黑体" w:hAnsi="宋体" w:eastAsia="黑体"/>
          <w:color w:val="000000" w:themeColor="text1"/>
          <w:sz w:val="32"/>
          <w:szCs w:val="32"/>
          <w:highlight w:val="none"/>
          <w14:textFill>
            <w14:solidFill>
              <w14:schemeClr w14:val="tx1"/>
            </w14:solidFill>
          </w14:textFill>
        </w:rPr>
        <w:t>一、</w:t>
      </w:r>
      <w:r>
        <w:rPr>
          <w:rFonts w:hint="eastAsia" w:ascii="黑体" w:hAnsi="宋体" w:eastAsia="黑体"/>
          <w:color w:val="000000" w:themeColor="text1"/>
          <w:sz w:val="32"/>
          <w:szCs w:val="32"/>
          <w:highlight w:val="none"/>
          <w:lang w:val="zh-CN"/>
          <w14:textFill>
            <w14:solidFill>
              <w14:schemeClr w14:val="tx1"/>
            </w14:solidFill>
          </w14:textFill>
        </w:rPr>
        <w:t>项目概况</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（一）项目基本情况</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（二）项目绩效目标</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1．</w:t>
      </w:r>
      <w:r>
        <w:rPr>
          <w:rFonts w:hint="eastAsia" w:ascii="仿宋" w:hAnsi="仿宋" w:eastAsia="仿宋"/>
          <w:color w:val="000000" w:themeColor="text1"/>
          <w:sz w:val="32"/>
          <w:szCs w:val="32"/>
          <w:highlight w:val="none"/>
          <w14:textFill>
            <w14:solidFill>
              <w14:schemeClr w14:val="tx1"/>
            </w14:solidFill>
          </w14:textFill>
        </w:rPr>
        <w:t>按照年初设定目标及实施内容实施。</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2．申报内容与实际相符，切实解决当前急需项目。</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（三）项目自评步骤及方法。</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highlight w:val="none"/>
          <w14:textFill>
            <w14:solidFill>
              <w14:schemeClr w14:val="tx1"/>
            </w14:solidFill>
          </w14:textFill>
        </w:rPr>
      </w:pPr>
      <w:r>
        <w:rPr>
          <w:rFonts w:hint="eastAsia" w:ascii="黑体" w:hAnsi="宋体" w:eastAsia="黑体"/>
          <w:color w:val="000000" w:themeColor="text1"/>
          <w:sz w:val="32"/>
          <w:szCs w:val="32"/>
          <w:highlight w:val="none"/>
          <w14:textFill>
            <w14:solidFill>
              <w14:schemeClr w14:val="tx1"/>
            </w14:solidFill>
          </w14:textFill>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通过实地查看和村民大会的召开讨论，定好项目的具体内容，询问专业人员确定项目资金的预算及编制实施方案并上报相关部门。</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（二）资金计划、到位及使用情况（可用表格形式反映）。</w:t>
      </w:r>
    </w:p>
    <w:p>
      <w:pPr>
        <w:adjustRightInd w:val="0"/>
        <w:snapToGrid w:val="0"/>
        <w:spacing w:line="600" w:lineRule="exact"/>
        <w:ind w:firstLine="720"/>
        <w:rPr>
          <w:rFonts w:ascii="楷体_GB2312" w:hAnsi="宋体" w:eastAsia="楷体_GB2312"/>
          <w:color w:val="000000" w:themeColor="text1"/>
          <w:sz w:val="32"/>
          <w:szCs w:val="32"/>
          <w:highlight w:val="none"/>
          <w:lang w:val="zh-CN"/>
          <w14:textFill>
            <w14:solidFill>
              <w14:schemeClr w14:val="tx1"/>
            </w14:solidFill>
          </w14:textFill>
        </w:rPr>
      </w:pPr>
      <w:r>
        <w:rPr>
          <w:rFonts w:hint="eastAsia" w:ascii="楷体_GB2312" w:hAnsi="宋体" w:eastAsia="楷体_GB2312"/>
          <w:color w:val="000000" w:themeColor="text1"/>
          <w:sz w:val="32"/>
          <w:szCs w:val="32"/>
          <w:highlight w:val="none"/>
          <w:lang w:val="zh-CN"/>
          <w14:textFill>
            <w14:solidFill>
              <w14:schemeClr w14:val="tx1"/>
            </w14:solidFill>
          </w14:textFill>
        </w:rPr>
        <w:t>1．资金计划。</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楷体_GB2312" w:hAnsi="宋体" w:eastAsia="楷体_GB2312"/>
          <w:color w:val="000000" w:themeColor="text1"/>
          <w:sz w:val="32"/>
          <w:szCs w:val="32"/>
          <w:highlight w:val="none"/>
          <w:lang w:val="zh-CN"/>
          <w14:textFill>
            <w14:solidFill>
              <w14:schemeClr w14:val="tx1"/>
            </w14:solidFill>
          </w14:textFill>
        </w:rPr>
        <w:t>资金纳入</w:t>
      </w:r>
      <w:r>
        <w:rPr>
          <w:rFonts w:hint="eastAsia" w:ascii="楷体_GB2312" w:hAnsi="宋体" w:eastAsia="楷体_GB2312"/>
          <w:color w:val="000000" w:themeColor="text1"/>
          <w:sz w:val="32"/>
          <w:szCs w:val="32"/>
          <w:highlight w:val="none"/>
          <w14:textFill>
            <w14:solidFill>
              <w14:schemeClr w14:val="tx1"/>
            </w14:solidFill>
          </w14:textFill>
        </w:rPr>
        <w:t>20</w:t>
      </w:r>
      <w:r>
        <w:rPr>
          <w:rFonts w:ascii="楷体_GB2312" w:hAnsi="宋体" w:eastAsia="楷体_GB2312"/>
          <w:color w:val="000000" w:themeColor="text1"/>
          <w:sz w:val="32"/>
          <w:szCs w:val="32"/>
          <w:highlight w:val="none"/>
          <w14:textFill>
            <w14:solidFill>
              <w14:schemeClr w14:val="tx1"/>
            </w14:solidFill>
          </w14:textFill>
        </w:rPr>
        <w:t>21</w:t>
      </w:r>
      <w:r>
        <w:rPr>
          <w:rFonts w:hint="eastAsia" w:ascii="楷体_GB2312" w:hAnsi="宋体" w:eastAsia="楷体_GB2312"/>
          <w:color w:val="000000" w:themeColor="text1"/>
          <w:sz w:val="32"/>
          <w:szCs w:val="32"/>
          <w:highlight w:val="none"/>
          <w14:textFill>
            <w14:solidFill>
              <w14:schemeClr w14:val="tx1"/>
            </w14:solidFill>
          </w14:textFill>
        </w:rPr>
        <w:t>年预算</w:t>
      </w:r>
      <w:r>
        <w:rPr>
          <w:rFonts w:hint="eastAsia" w:ascii="仿宋_GB2312" w:hAnsi="宋体" w:eastAsia="仿宋_GB2312"/>
          <w:color w:val="000000" w:themeColor="text1"/>
          <w:sz w:val="32"/>
          <w:szCs w:val="32"/>
          <w:highlight w:val="none"/>
          <w:lang w:val="zh-CN"/>
          <w14:textFill>
            <w14:solidFill>
              <w14:schemeClr w14:val="tx1"/>
            </w14:solidFill>
          </w14:textFill>
        </w:rPr>
        <w:t>。</w:t>
      </w:r>
    </w:p>
    <w:p>
      <w:pPr>
        <w:adjustRightInd w:val="0"/>
        <w:snapToGrid w:val="0"/>
        <w:spacing w:line="600" w:lineRule="exact"/>
        <w:ind w:firstLine="720"/>
        <w:rPr>
          <w:rFonts w:ascii="楷体_GB2312" w:hAnsi="宋体" w:eastAsia="楷体_GB2312"/>
          <w:color w:val="000000" w:themeColor="text1"/>
          <w:sz w:val="32"/>
          <w:szCs w:val="32"/>
          <w:highlight w:val="none"/>
          <w:lang w:val="zh-CN"/>
          <w14:textFill>
            <w14:solidFill>
              <w14:schemeClr w14:val="tx1"/>
            </w14:solidFill>
          </w14:textFill>
        </w:rPr>
      </w:pPr>
      <w:r>
        <w:rPr>
          <w:rFonts w:hint="eastAsia" w:ascii="楷体_GB2312" w:hAnsi="宋体" w:eastAsia="楷体_GB2312"/>
          <w:color w:val="000000" w:themeColor="text1"/>
          <w:sz w:val="32"/>
          <w:szCs w:val="32"/>
          <w:highlight w:val="none"/>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资金已于20</w:t>
      </w:r>
      <w:r>
        <w:rPr>
          <w:rFonts w:ascii="仿宋_GB2312" w:hAnsi="宋体" w:eastAsia="仿宋_GB2312"/>
          <w:color w:val="000000" w:themeColor="text1"/>
          <w:sz w:val="32"/>
          <w:szCs w:val="32"/>
          <w:highlight w:val="none"/>
          <w:lang w:val="zh-CN"/>
          <w14:textFill>
            <w14:solidFill>
              <w14:schemeClr w14:val="tx1"/>
            </w14:solidFill>
          </w14:textFill>
        </w:rPr>
        <w:t>21</w:t>
      </w:r>
      <w:r>
        <w:rPr>
          <w:rFonts w:hint="eastAsia" w:ascii="仿宋_GB2312" w:hAnsi="宋体" w:eastAsia="仿宋_GB2312"/>
          <w:color w:val="000000" w:themeColor="text1"/>
          <w:sz w:val="32"/>
          <w:szCs w:val="32"/>
          <w:highlight w:val="none"/>
          <w:lang w:val="zh-CN"/>
          <w14:textFill>
            <w14:solidFill>
              <w14:schemeClr w14:val="tx1"/>
            </w14:solidFill>
          </w14:textFill>
        </w:rPr>
        <w:t>年到位，与计划相符合。</w:t>
      </w:r>
    </w:p>
    <w:p>
      <w:pPr>
        <w:numPr>
          <w:ilvl w:val="0"/>
          <w:numId w:val="7"/>
        </w:numPr>
        <w:adjustRightInd w:val="0"/>
        <w:snapToGrid w:val="0"/>
        <w:spacing w:line="600" w:lineRule="exact"/>
        <w:ind w:firstLine="640" w:firstLineChars="200"/>
        <w:rPr>
          <w:rFonts w:ascii="楷体_GB2312" w:hAnsi="宋体" w:eastAsia="楷体_GB2312"/>
          <w:color w:val="000000" w:themeColor="text1"/>
          <w:sz w:val="32"/>
          <w:szCs w:val="32"/>
          <w:highlight w:val="none"/>
          <w:lang w:val="zh-CN"/>
          <w14:textFill>
            <w14:solidFill>
              <w14:schemeClr w14:val="tx1"/>
            </w14:solidFill>
          </w14:textFill>
        </w:rPr>
      </w:pPr>
      <w:r>
        <w:rPr>
          <w:rFonts w:hint="eastAsia" w:ascii="楷体_GB2312" w:hAnsi="宋体" w:eastAsia="楷体_GB2312"/>
          <w:color w:val="000000" w:themeColor="text1"/>
          <w:sz w:val="32"/>
          <w:szCs w:val="32"/>
          <w:highlight w:val="none"/>
          <w:lang w:val="zh-CN"/>
          <w14:textFill>
            <w14:solidFill>
              <w14:schemeClr w14:val="tx1"/>
            </w14:solidFill>
          </w14:textFill>
        </w:rPr>
        <w:t>资金使用。</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所有项目目前已通过镇村初验，综合拨付率达</w:t>
      </w:r>
      <w:r>
        <w:rPr>
          <w:rFonts w:ascii="仿宋_GB2312" w:hAnsi="宋体" w:eastAsia="仿宋_GB2312"/>
          <w:color w:val="000000" w:themeColor="text1"/>
          <w:sz w:val="32"/>
          <w:szCs w:val="32"/>
          <w:highlight w:val="none"/>
          <w14:textFill>
            <w14:solidFill>
              <w14:schemeClr w14:val="tx1"/>
            </w14:solidFill>
          </w14:textFill>
        </w:rPr>
        <w:t>96</w:t>
      </w:r>
      <w:r>
        <w:rPr>
          <w:rFonts w:hint="eastAsia" w:ascii="仿宋_GB2312" w:hAnsi="宋体" w:eastAsia="仿宋_GB2312"/>
          <w:color w:val="000000" w:themeColor="text1"/>
          <w:sz w:val="32"/>
          <w:szCs w:val="32"/>
          <w:highlight w:val="none"/>
          <w14:textFill>
            <w14:solidFill>
              <w14:schemeClr w14:val="tx1"/>
            </w14:solidFill>
          </w14:textFill>
        </w:rPr>
        <w:t>%以上，项目资金与预算相符合。</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（三）项目财务管理情况。</w:t>
      </w:r>
    </w:p>
    <w:p>
      <w:pPr>
        <w:adjustRightInd w:val="0"/>
        <w:snapToGrid w:val="0"/>
        <w:spacing w:line="600" w:lineRule="exact"/>
        <w:ind w:firstLine="640" w:firstLineChars="20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highlight w:val="none"/>
          <w14:textFill>
            <w14:solidFill>
              <w14:schemeClr w14:val="tx1"/>
            </w14:solidFill>
          </w14:textFill>
        </w:rPr>
      </w:pPr>
      <w:r>
        <w:rPr>
          <w:rFonts w:hint="eastAsia" w:ascii="黑体" w:hAnsi="宋体" w:eastAsia="黑体"/>
          <w:color w:val="000000" w:themeColor="text1"/>
          <w:sz w:val="32"/>
          <w:szCs w:val="32"/>
          <w:highlight w:val="none"/>
          <w14:textFill>
            <w14:solidFill>
              <w14:schemeClr w14:val="tx1"/>
            </w14:solidFill>
          </w14:textFill>
        </w:rPr>
        <w:t>三、项目实施及管理情况</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结合项目组织实施管理办法，重点围绕以下内容进行分析评价，并对自评中发现的问题分析说明。</w:t>
      </w:r>
    </w:p>
    <w:p>
      <w:pPr>
        <w:numPr>
          <w:ilvl w:val="0"/>
          <w:numId w:val="8"/>
        </w:num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项目组织架构及实施流程。</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项目成立了以镇、村成员牵头的分解项目理事会，主要负责对项目的推进和项目的监管。制定了一套切实可行的管理制度并与理事会成员的组成进行了为期7日的公示公告，公式期内无异议。</w:t>
      </w:r>
    </w:p>
    <w:p>
      <w:pPr>
        <w:numPr>
          <w:ilvl w:val="0"/>
          <w:numId w:val="8"/>
        </w:num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项目管理情况。</w:t>
      </w:r>
    </w:p>
    <w:p>
      <w:pPr>
        <w:adjustRightInd w:val="0"/>
        <w:snapToGrid w:val="0"/>
        <w:spacing w:line="600" w:lineRule="exact"/>
        <w:ind w:firstLine="640" w:firstLineChars="20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numPr>
          <w:ilvl w:val="0"/>
          <w:numId w:val="8"/>
        </w:num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项目监管情况。</w:t>
      </w:r>
    </w:p>
    <w:p>
      <w:pPr>
        <w:adjustRightInd w:val="0"/>
        <w:snapToGrid w:val="0"/>
        <w:spacing w:line="600" w:lineRule="exact"/>
        <w:ind w:firstLine="640" w:firstLineChars="20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项目成立了以村委会成员牵头的项目理事会，主要负责对项目的推进和项目的监管。制定了一套切实可行的管理制度并与理事会成员的组成进行了为期7日的公示公告，公式期内无异议。</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黑体" w:hAnsi="宋体" w:eastAsia="黑体"/>
          <w:color w:val="000000" w:themeColor="text1"/>
          <w:sz w:val="32"/>
          <w:szCs w:val="32"/>
          <w:highlight w:val="none"/>
          <w14:textFill>
            <w14:solidFill>
              <w14:schemeClr w14:val="tx1"/>
            </w14:solidFill>
          </w14:textFill>
        </w:rPr>
        <w:t>四、项目绩效情况</w:t>
      </w:r>
      <w:r>
        <w:rPr>
          <w:rFonts w:hint="eastAsia" w:ascii="仿宋_GB2312" w:hAnsi="宋体" w:eastAsia="仿宋_GB2312"/>
          <w:color w:val="000000" w:themeColor="text1"/>
          <w:sz w:val="32"/>
          <w:szCs w:val="32"/>
          <w:highlight w:val="none"/>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（一）项目完成情况。</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（二）项目效益情况。</w:t>
      </w:r>
    </w:p>
    <w:p>
      <w:pPr>
        <w:adjustRightInd w:val="0"/>
        <w:snapToGrid w:val="0"/>
        <w:spacing w:line="600" w:lineRule="exact"/>
        <w:ind w:firstLine="72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color w:val="000000" w:themeColor="text1"/>
          <w:sz w:val="32"/>
          <w:szCs w:val="32"/>
          <w:highlight w:val="none"/>
          <w14:textFill>
            <w14:solidFill>
              <w14:schemeClr w14:val="tx1"/>
            </w14:solidFill>
          </w14:textFill>
        </w:rPr>
      </w:pPr>
      <w:r>
        <w:rPr>
          <w:rFonts w:hint="eastAsia" w:ascii="黑体" w:hAnsi="宋体" w:eastAsia="黑体"/>
          <w:color w:val="000000" w:themeColor="text1"/>
          <w:sz w:val="32"/>
          <w:szCs w:val="32"/>
          <w:highlight w:val="none"/>
          <w14:textFill>
            <w14:solidFill>
              <w14:schemeClr w14:val="tx1"/>
            </w14:solidFill>
          </w14:textFill>
        </w:rPr>
        <w:t>五、评价结论及建议</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highlight w:val="none"/>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项目建成后，后期维护不到位。</w:t>
      </w:r>
      <w:r>
        <w:rPr>
          <w:rFonts w:hint="eastAsia" w:ascii="仿宋_GB2312" w:hAnsi="宋体" w:eastAsia="仿宋_GB2312"/>
          <w:color w:val="000000" w:themeColor="text1"/>
          <w:sz w:val="32"/>
          <w:szCs w:val="32"/>
          <w:highlight w:val="none"/>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highlight w:val="none"/>
          <w:lang w:val="zh-CN"/>
          <w14:textFill>
            <w14:solidFill>
              <w14:schemeClr w14:val="tx1"/>
            </w14:solidFill>
          </w14:textFill>
        </w:rPr>
      </w:pPr>
      <w:r>
        <w:rPr>
          <w:rFonts w:hint="eastAsia" w:ascii="楷体_GB2312" w:hAnsi="宋体" w:eastAsia="楷体_GB2312"/>
          <w:b/>
          <w:color w:val="000000" w:themeColor="text1"/>
          <w:sz w:val="32"/>
          <w:szCs w:val="32"/>
          <w:highlight w:val="none"/>
          <w:lang w:val="zh-CN"/>
          <w14:textFill>
            <w14:solidFill>
              <w14:schemeClr w14:val="tx1"/>
            </w14:solidFill>
          </w14:textFill>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highlight w:val="none"/>
          <w:lang w:val="zh-CN"/>
          <w14:textFill>
            <w14:solidFill>
              <w14:schemeClr w14:val="tx1"/>
            </w14:solidFill>
          </w14:textFill>
        </w:rPr>
      </w:pPr>
      <w:r>
        <w:rPr>
          <w:rFonts w:hint="eastAsia" w:ascii="仿宋_GB2312" w:hAnsi="宋体" w:eastAsia="仿宋_GB2312"/>
          <w:color w:val="000000" w:themeColor="text1"/>
          <w:sz w:val="32"/>
          <w:szCs w:val="32"/>
          <w:highlight w:val="none"/>
          <w:lang w:val="zh-CN"/>
          <w14:textFill>
            <w14:solidFill>
              <w14:schemeClr w14:val="tx1"/>
            </w14:solidFill>
          </w14:textFill>
        </w:rPr>
        <w:t>建议上级部门拨付后期专项维护费用。</w:t>
      </w:r>
    </w:p>
    <w:p>
      <w:pPr>
        <w:spacing w:line="580" w:lineRule="exact"/>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outlineLvl w:val="0"/>
        <w:rPr>
          <w:rStyle w:val="26"/>
          <w:rFonts w:ascii="黑体" w:hAnsi="黑体" w:eastAsia="黑体"/>
          <w:b w:val="0"/>
          <w:color w:val="000000" w:themeColor="text1"/>
          <w14:textFill>
            <w14:solidFill>
              <w14:schemeClr w14:val="tx1"/>
            </w14:solidFill>
          </w14:textFill>
        </w:rPr>
      </w:pPr>
      <w:bookmarkStart w:id="63" w:name="_Toc15396618"/>
      <w:r>
        <w:rPr>
          <w:rFonts w:hint="eastAsia" w:ascii="黑体" w:hAnsi="黑体" w:eastAsia="黑体"/>
          <w:color w:val="000000" w:themeColor="text1"/>
          <w:sz w:val="44"/>
          <w:szCs w:val="44"/>
          <w14:textFill>
            <w14:solidFill>
              <w14:schemeClr w14:val="tx1"/>
            </w14:solidFill>
          </w14:textFill>
        </w:rPr>
        <w:t>第</w:t>
      </w:r>
      <w:r>
        <w:rPr>
          <w:rStyle w:val="26"/>
          <w:rFonts w:hint="eastAsia" w:ascii="黑体" w:hAnsi="黑体" w:eastAsia="黑体"/>
          <w:b w:val="0"/>
          <w:color w:val="000000" w:themeColor="text1"/>
          <w14:textFill>
            <w14:solidFill>
              <w14:schemeClr w14:val="tx1"/>
            </w14:solidFill>
          </w14:textFill>
        </w:rPr>
        <w:t>五部分 附表</w:t>
      </w:r>
      <w:bookmarkEnd w:id="62"/>
      <w:bookmarkEnd w:id="63"/>
    </w:p>
    <w:p>
      <w:pPr>
        <w:spacing w:line="600" w:lineRule="exact"/>
        <w:jc w:val="center"/>
        <w:outlineLvl w:val="0"/>
        <w:rPr>
          <w:rFonts w:ascii="仿宋" w:hAnsi="仿宋" w:eastAsia="仿宋"/>
          <w:b/>
          <w:color w:val="000000" w:themeColor="text1"/>
          <w:sz w:val="44"/>
          <w:szCs w:val="44"/>
          <w14:textFill>
            <w14:solidFill>
              <w14:schemeClr w14:val="tx1"/>
            </w14:solidFill>
          </w14:textFill>
        </w:rPr>
      </w:pPr>
    </w:p>
    <w:p>
      <w:pPr>
        <w:pStyle w:val="4"/>
        <w:rPr>
          <w:rFonts w:ascii="仿宋" w:hAnsi="仿宋" w:eastAsia="仿宋"/>
          <w:color w:val="000000" w:themeColor="text1"/>
          <w14:textFill>
            <w14:solidFill>
              <w14:schemeClr w14:val="tx1"/>
            </w14:solidFill>
          </w14:textFill>
        </w:rPr>
      </w:pPr>
      <w:bookmarkStart w:id="64" w:name="_Toc15396619"/>
      <w:r>
        <w:rPr>
          <w:rFonts w:hint="eastAsia" w:ascii="仿宋" w:hAnsi="仿宋" w:eastAsia="仿宋"/>
          <w:b w:val="0"/>
          <w:color w:val="000000" w:themeColor="text1"/>
          <w14:textFill>
            <w14:solidFill>
              <w14:schemeClr w14:val="tx1"/>
            </w14:solidFill>
          </w14:textFill>
        </w:rPr>
        <w:t>一、收</w:t>
      </w:r>
      <w:r>
        <w:rPr>
          <w:rStyle w:val="27"/>
          <w:rFonts w:hint="eastAsia" w:ascii="仿宋" w:hAnsi="仿宋" w:eastAsia="仿宋"/>
          <w:b w:val="0"/>
          <w:bCs w:val="0"/>
          <w:color w:val="000000" w:themeColor="text1"/>
          <w14:textFill>
            <w14:solidFill>
              <w14:schemeClr w14:val="tx1"/>
            </w14:solidFill>
          </w14:textFill>
        </w:rPr>
        <w:t>入支出决算总表</w:t>
      </w:r>
      <w:bookmarkEnd w:id="64"/>
    </w:p>
    <w:p>
      <w:pPr>
        <w:pStyle w:val="4"/>
        <w:rPr>
          <w:rFonts w:ascii="仿宋" w:hAnsi="仿宋" w:eastAsia="仿宋"/>
          <w:color w:val="000000" w:themeColor="text1"/>
          <w14:textFill>
            <w14:solidFill>
              <w14:schemeClr w14:val="tx1"/>
            </w14:solidFill>
          </w14:textFill>
        </w:rPr>
      </w:pPr>
      <w:bookmarkStart w:id="65" w:name="_Toc15396620"/>
      <w:r>
        <w:rPr>
          <w:rFonts w:hint="eastAsia" w:ascii="仿宋" w:hAnsi="仿宋" w:eastAsia="仿宋"/>
          <w:b w:val="0"/>
          <w:color w:val="000000" w:themeColor="text1"/>
          <w14:textFill>
            <w14:solidFill>
              <w14:schemeClr w14:val="tx1"/>
            </w14:solidFill>
          </w14:textFill>
        </w:rPr>
        <w:t>二、收</w:t>
      </w:r>
      <w:r>
        <w:rPr>
          <w:rStyle w:val="27"/>
          <w:rFonts w:hint="eastAsia" w:ascii="仿宋" w:hAnsi="仿宋" w:eastAsia="仿宋"/>
          <w:b w:val="0"/>
          <w:bCs w:val="0"/>
          <w:color w:val="000000" w:themeColor="text1"/>
          <w14:textFill>
            <w14:solidFill>
              <w14:schemeClr w14:val="tx1"/>
            </w14:solidFill>
          </w14:textFill>
        </w:rPr>
        <w:t>入决算表</w:t>
      </w:r>
      <w:bookmarkEnd w:id="65"/>
    </w:p>
    <w:p>
      <w:pPr>
        <w:pStyle w:val="4"/>
        <w:rPr>
          <w:rFonts w:ascii="仿宋" w:hAnsi="仿宋" w:eastAsia="仿宋"/>
          <w:color w:val="000000" w:themeColor="text1"/>
          <w14:textFill>
            <w14:solidFill>
              <w14:schemeClr w14:val="tx1"/>
            </w14:solidFill>
          </w14:textFill>
        </w:rPr>
      </w:pPr>
      <w:bookmarkStart w:id="66" w:name="_Toc15396621"/>
      <w:r>
        <w:rPr>
          <w:rStyle w:val="27"/>
          <w:rFonts w:hint="eastAsia" w:ascii="仿宋" w:hAnsi="仿宋" w:eastAsia="仿宋"/>
          <w:b w:val="0"/>
          <w:bCs w:val="0"/>
          <w:color w:val="000000" w:themeColor="text1"/>
          <w14:textFill>
            <w14:solidFill>
              <w14:schemeClr w14:val="tx1"/>
            </w14:solidFill>
          </w14:textFill>
        </w:rPr>
        <w:t>三、</w:t>
      </w:r>
      <w:r>
        <w:rPr>
          <w:rFonts w:hint="eastAsia" w:ascii="仿宋" w:hAnsi="仿宋" w:eastAsia="仿宋"/>
          <w:b w:val="0"/>
          <w:color w:val="000000" w:themeColor="text1"/>
          <w14:textFill>
            <w14:solidFill>
              <w14:schemeClr w14:val="tx1"/>
            </w14:solidFill>
          </w14:textFill>
        </w:rPr>
        <w:t>支</w:t>
      </w:r>
      <w:r>
        <w:rPr>
          <w:rStyle w:val="27"/>
          <w:rFonts w:hint="eastAsia" w:ascii="仿宋" w:hAnsi="仿宋" w:eastAsia="仿宋"/>
          <w:b w:val="0"/>
          <w:bCs w:val="0"/>
          <w:color w:val="000000" w:themeColor="text1"/>
          <w14:textFill>
            <w14:solidFill>
              <w14:schemeClr w14:val="tx1"/>
            </w14:solidFill>
          </w14:textFill>
        </w:rPr>
        <w:t>出决算表</w:t>
      </w:r>
      <w:bookmarkEnd w:id="66"/>
    </w:p>
    <w:p>
      <w:pPr>
        <w:pStyle w:val="4"/>
        <w:rPr>
          <w:rFonts w:ascii="仿宋" w:hAnsi="仿宋" w:eastAsia="仿宋"/>
          <w:b w:val="0"/>
          <w:color w:val="000000" w:themeColor="text1"/>
          <w14:textFill>
            <w14:solidFill>
              <w14:schemeClr w14:val="tx1"/>
            </w14:solidFill>
          </w14:textFill>
        </w:rPr>
      </w:pPr>
      <w:bookmarkStart w:id="67" w:name="_Toc15396622"/>
      <w:r>
        <w:rPr>
          <w:rStyle w:val="27"/>
          <w:rFonts w:hint="eastAsia" w:ascii="仿宋" w:hAnsi="仿宋" w:eastAsia="仿宋"/>
          <w:b w:val="0"/>
          <w:bCs w:val="0"/>
          <w:color w:val="000000" w:themeColor="text1"/>
          <w14:textFill>
            <w14:solidFill>
              <w14:schemeClr w14:val="tx1"/>
            </w14:solidFill>
          </w14:textFill>
        </w:rPr>
        <w:t>四、</w:t>
      </w:r>
      <w:r>
        <w:rPr>
          <w:rFonts w:hint="eastAsia" w:ascii="仿宋" w:hAnsi="仿宋" w:eastAsia="仿宋"/>
          <w:b w:val="0"/>
          <w:color w:val="000000" w:themeColor="text1"/>
          <w14:textFill>
            <w14:solidFill>
              <w14:schemeClr w14:val="tx1"/>
            </w14:solidFill>
          </w14:textFill>
        </w:rPr>
        <w:t>财</w:t>
      </w:r>
      <w:r>
        <w:rPr>
          <w:rStyle w:val="27"/>
          <w:rFonts w:hint="eastAsia" w:ascii="仿宋" w:hAnsi="仿宋" w:eastAsia="仿宋"/>
          <w:b w:val="0"/>
          <w:bCs w:val="0"/>
          <w:color w:val="000000" w:themeColor="text1"/>
          <w14:textFill>
            <w14:solidFill>
              <w14:schemeClr w14:val="tx1"/>
            </w14:solidFill>
          </w14:textFill>
        </w:rPr>
        <w:t>政拨款收入支出决算总表</w:t>
      </w:r>
      <w:bookmarkEnd w:id="67"/>
    </w:p>
    <w:p>
      <w:pPr>
        <w:pStyle w:val="4"/>
        <w:rPr>
          <w:rStyle w:val="27"/>
          <w:rFonts w:ascii="仿宋" w:hAnsi="仿宋" w:eastAsia="仿宋"/>
          <w:b w:val="0"/>
          <w:bCs w:val="0"/>
          <w:color w:val="000000" w:themeColor="text1"/>
          <w14:textFill>
            <w14:solidFill>
              <w14:schemeClr w14:val="tx1"/>
            </w14:solidFill>
          </w14:textFill>
        </w:rPr>
      </w:pPr>
      <w:bookmarkStart w:id="68" w:name="_Toc15396623"/>
      <w:r>
        <w:rPr>
          <w:rStyle w:val="27"/>
          <w:rFonts w:hint="eastAsia" w:ascii="仿宋" w:hAnsi="仿宋" w:eastAsia="仿宋"/>
          <w:b w:val="0"/>
          <w:bCs w:val="0"/>
          <w:color w:val="000000" w:themeColor="text1"/>
          <w14:textFill>
            <w14:solidFill>
              <w14:schemeClr w14:val="tx1"/>
            </w14:solidFill>
          </w14:textFill>
        </w:rPr>
        <w:t>五、</w:t>
      </w:r>
      <w:r>
        <w:rPr>
          <w:rFonts w:hint="eastAsia" w:ascii="仿宋" w:hAnsi="仿宋" w:eastAsia="仿宋"/>
          <w:b w:val="0"/>
          <w:color w:val="000000" w:themeColor="text1"/>
          <w14:textFill>
            <w14:solidFill>
              <w14:schemeClr w14:val="tx1"/>
            </w14:solidFill>
          </w14:textFill>
        </w:rPr>
        <w:t>财</w:t>
      </w:r>
      <w:r>
        <w:rPr>
          <w:rStyle w:val="27"/>
          <w:rFonts w:hint="eastAsia" w:ascii="仿宋" w:hAnsi="仿宋" w:eastAsia="仿宋"/>
          <w:b w:val="0"/>
          <w:bCs w:val="0"/>
          <w:color w:val="000000" w:themeColor="text1"/>
          <w14:textFill>
            <w14:solidFill>
              <w14:schemeClr w14:val="tx1"/>
            </w14:solidFill>
          </w14:textFill>
        </w:rPr>
        <w:t>政拨款支出决算明细表</w:t>
      </w:r>
      <w:bookmarkEnd w:id="68"/>
      <w:bookmarkStart w:id="69" w:name="_Toc15396624"/>
    </w:p>
    <w:p>
      <w:pPr>
        <w:pStyle w:val="4"/>
        <w:rPr>
          <w:rFonts w:ascii="仿宋" w:hAnsi="仿宋" w:eastAsia="仿宋"/>
          <w:color w:val="000000" w:themeColor="text1"/>
          <w14:textFill>
            <w14:solidFill>
              <w14:schemeClr w14:val="tx1"/>
            </w14:solidFill>
          </w14:textFill>
        </w:rPr>
      </w:pPr>
      <w:r>
        <w:rPr>
          <w:rStyle w:val="27"/>
          <w:rFonts w:hint="eastAsia" w:ascii="仿宋" w:hAnsi="仿宋" w:eastAsia="仿宋"/>
          <w:b w:val="0"/>
          <w:bCs w:val="0"/>
          <w:color w:val="000000" w:themeColor="text1"/>
          <w14:textFill>
            <w14:solidFill>
              <w14:schemeClr w14:val="tx1"/>
            </w14:solidFill>
          </w14:textFill>
        </w:rPr>
        <w:t>六、</w:t>
      </w:r>
      <w:r>
        <w:rPr>
          <w:rFonts w:hint="eastAsia" w:ascii="仿宋" w:hAnsi="仿宋" w:eastAsia="仿宋"/>
          <w:b w:val="0"/>
          <w:color w:val="000000" w:themeColor="text1"/>
          <w14:textFill>
            <w14:solidFill>
              <w14:schemeClr w14:val="tx1"/>
            </w14:solidFill>
          </w14:textFill>
        </w:rPr>
        <w:t>一</w:t>
      </w:r>
      <w:r>
        <w:rPr>
          <w:rStyle w:val="27"/>
          <w:rFonts w:hint="eastAsia" w:ascii="仿宋" w:hAnsi="仿宋" w:eastAsia="仿宋"/>
          <w:b w:val="0"/>
          <w:bCs w:val="0"/>
          <w:color w:val="000000" w:themeColor="text1"/>
          <w14:textFill>
            <w14:solidFill>
              <w14:schemeClr w14:val="tx1"/>
            </w14:solidFill>
          </w14:textFill>
        </w:rPr>
        <w:t>般公共预算财政拨款支出决算表</w:t>
      </w:r>
      <w:bookmarkEnd w:id="69"/>
    </w:p>
    <w:p>
      <w:pPr>
        <w:pStyle w:val="4"/>
        <w:rPr>
          <w:rFonts w:ascii="仿宋" w:hAnsi="仿宋" w:eastAsia="仿宋"/>
          <w:color w:val="000000" w:themeColor="text1"/>
          <w14:textFill>
            <w14:solidFill>
              <w14:schemeClr w14:val="tx1"/>
            </w14:solidFill>
          </w14:textFill>
        </w:rPr>
      </w:pPr>
      <w:bookmarkStart w:id="70" w:name="_Toc15396625"/>
      <w:r>
        <w:rPr>
          <w:rStyle w:val="27"/>
          <w:rFonts w:hint="eastAsia" w:ascii="仿宋" w:hAnsi="仿宋" w:eastAsia="仿宋"/>
          <w:b w:val="0"/>
          <w:bCs w:val="0"/>
          <w:color w:val="000000" w:themeColor="text1"/>
          <w14:textFill>
            <w14:solidFill>
              <w14:schemeClr w14:val="tx1"/>
            </w14:solidFill>
          </w14:textFill>
        </w:rPr>
        <w:t>七、</w:t>
      </w:r>
      <w:r>
        <w:rPr>
          <w:rFonts w:hint="eastAsia" w:ascii="仿宋" w:hAnsi="仿宋" w:eastAsia="仿宋"/>
          <w:b w:val="0"/>
          <w:color w:val="000000" w:themeColor="text1"/>
          <w14:textFill>
            <w14:solidFill>
              <w14:schemeClr w14:val="tx1"/>
            </w14:solidFill>
          </w14:textFill>
        </w:rPr>
        <w:t>一</w:t>
      </w:r>
      <w:r>
        <w:rPr>
          <w:rStyle w:val="27"/>
          <w:rFonts w:hint="eastAsia" w:ascii="仿宋" w:hAnsi="仿宋" w:eastAsia="仿宋"/>
          <w:b w:val="0"/>
          <w:bCs w:val="0"/>
          <w:color w:val="000000" w:themeColor="text1"/>
          <w14:textFill>
            <w14:solidFill>
              <w14:schemeClr w14:val="tx1"/>
            </w14:solidFill>
          </w14:textFill>
        </w:rPr>
        <w:t>般公共预算财政拨款支出决算明细表</w:t>
      </w:r>
      <w:bookmarkEnd w:id="70"/>
    </w:p>
    <w:p>
      <w:pPr>
        <w:pStyle w:val="4"/>
        <w:rPr>
          <w:rFonts w:ascii="仿宋" w:hAnsi="仿宋" w:eastAsia="仿宋"/>
          <w:color w:val="000000" w:themeColor="text1"/>
          <w14:textFill>
            <w14:solidFill>
              <w14:schemeClr w14:val="tx1"/>
            </w14:solidFill>
          </w14:textFill>
        </w:rPr>
      </w:pPr>
      <w:bookmarkStart w:id="71" w:name="_Toc15396626"/>
      <w:r>
        <w:rPr>
          <w:rStyle w:val="27"/>
          <w:rFonts w:hint="eastAsia" w:ascii="仿宋" w:hAnsi="仿宋" w:eastAsia="仿宋"/>
          <w:b w:val="0"/>
          <w:bCs w:val="0"/>
          <w:color w:val="000000" w:themeColor="text1"/>
          <w14:textFill>
            <w14:solidFill>
              <w14:schemeClr w14:val="tx1"/>
            </w14:solidFill>
          </w14:textFill>
        </w:rPr>
        <w:t>八、</w:t>
      </w:r>
      <w:r>
        <w:rPr>
          <w:rFonts w:hint="eastAsia" w:ascii="仿宋" w:hAnsi="仿宋" w:eastAsia="仿宋"/>
          <w:b w:val="0"/>
          <w:color w:val="000000" w:themeColor="text1"/>
          <w14:textFill>
            <w14:solidFill>
              <w14:schemeClr w14:val="tx1"/>
            </w14:solidFill>
          </w14:textFill>
        </w:rPr>
        <w:t>一</w:t>
      </w:r>
      <w:r>
        <w:rPr>
          <w:rStyle w:val="27"/>
          <w:rFonts w:hint="eastAsia" w:ascii="仿宋" w:hAnsi="仿宋" w:eastAsia="仿宋"/>
          <w:b w:val="0"/>
          <w:bCs w:val="0"/>
          <w:color w:val="000000" w:themeColor="text1"/>
          <w14:textFill>
            <w14:solidFill>
              <w14:schemeClr w14:val="tx1"/>
            </w14:solidFill>
          </w14:textFill>
        </w:rPr>
        <w:t>般公共预算财政拨款基本支出决算表</w:t>
      </w:r>
      <w:bookmarkEnd w:id="71"/>
    </w:p>
    <w:p>
      <w:pPr>
        <w:pStyle w:val="4"/>
        <w:rPr>
          <w:rFonts w:ascii="仿宋" w:hAnsi="仿宋" w:eastAsia="仿宋"/>
          <w:color w:val="000000" w:themeColor="text1"/>
          <w14:textFill>
            <w14:solidFill>
              <w14:schemeClr w14:val="tx1"/>
            </w14:solidFill>
          </w14:textFill>
        </w:rPr>
      </w:pPr>
      <w:bookmarkStart w:id="72" w:name="_Toc15396627"/>
      <w:r>
        <w:rPr>
          <w:rStyle w:val="27"/>
          <w:rFonts w:hint="eastAsia" w:ascii="仿宋" w:hAnsi="仿宋" w:eastAsia="仿宋"/>
          <w:b w:val="0"/>
          <w:bCs w:val="0"/>
          <w:color w:val="000000" w:themeColor="text1"/>
          <w14:textFill>
            <w14:solidFill>
              <w14:schemeClr w14:val="tx1"/>
            </w14:solidFill>
          </w14:textFill>
        </w:rPr>
        <w:t>九、</w:t>
      </w:r>
      <w:r>
        <w:rPr>
          <w:rFonts w:hint="eastAsia" w:ascii="仿宋" w:hAnsi="仿宋" w:eastAsia="仿宋"/>
          <w:b w:val="0"/>
          <w:color w:val="000000" w:themeColor="text1"/>
          <w14:textFill>
            <w14:solidFill>
              <w14:schemeClr w14:val="tx1"/>
            </w14:solidFill>
          </w14:textFill>
        </w:rPr>
        <w:t>一</w:t>
      </w:r>
      <w:r>
        <w:rPr>
          <w:rStyle w:val="27"/>
          <w:rFonts w:hint="eastAsia" w:ascii="仿宋" w:hAnsi="仿宋" w:eastAsia="仿宋"/>
          <w:b w:val="0"/>
          <w:bCs w:val="0"/>
          <w:color w:val="000000" w:themeColor="text1"/>
          <w14:textFill>
            <w14:solidFill>
              <w14:schemeClr w14:val="tx1"/>
            </w14:solidFill>
          </w14:textFill>
        </w:rPr>
        <w:t>般公共预算财政拨款项目支出决算表</w:t>
      </w:r>
      <w:bookmarkEnd w:id="72"/>
    </w:p>
    <w:p>
      <w:pPr>
        <w:pStyle w:val="4"/>
        <w:rPr>
          <w:rFonts w:ascii="仿宋" w:hAnsi="仿宋" w:eastAsia="仿宋"/>
          <w:color w:val="000000" w:themeColor="text1"/>
          <w14:textFill>
            <w14:solidFill>
              <w14:schemeClr w14:val="tx1"/>
            </w14:solidFill>
          </w14:textFill>
        </w:rPr>
      </w:pPr>
      <w:bookmarkStart w:id="73" w:name="_Toc15396628"/>
      <w:r>
        <w:rPr>
          <w:rStyle w:val="27"/>
          <w:rFonts w:hint="eastAsia" w:ascii="仿宋" w:hAnsi="仿宋" w:eastAsia="仿宋"/>
          <w:b w:val="0"/>
          <w:bCs w:val="0"/>
          <w:color w:val="000000" w:themeColor="text1"/>
          <w14:textFill>
            <w14:solidFill>
              <w14:schemeClr w14:val="tx1"/>
            </w14:solidFill>
          </w14:textFill>
        </w:rPr>
        <w:t>十、</w:t>
      </w:r>
      <w:r>
        <w:rPr>
          <w:rFonts w:hint="eastAsia" w:ascii="仿宋" w:hAnsi="仿宋" w:eastAsia="仿宋"/>
          <w:b w:val="0"/>
          <w:color w:val="000000" w:themeColor="text1"/>
          <w14:textFill>
            <w14:solidFill>
              <w14:schemeClr w14:val="tx1"/>
            </w14:solidFill>
          </w14:textFill>
        </w:rPr>
        <w:t>一</w:t>
      </w:r>
      <w:r>
        <w:rPr>
          <w:rStyle w:val="27"/>
          <w:rFonts w:hint="eastAsia" w:ascii="仿宋" w:hAnsi="仿宋" w:eastAsia="仿宋"/>
          <w:b w:val="0"/>
          <w:bCs w:val="0"/>
          <w:color w:val="000000" w:themeColor="text1"/>
          <w14:textFill>
            <w14:solidFill>
              <w14:schemeClr w14:val="tx1"/>
            </w14:solidFill>
          </w14:textFill>
        </w:rPr>
        <w:t>般公共预算财政拨款“三公”经费支出决算表</w:t>
      </w:r>
      <w:bookmarkEnd w:id="73"/>
    </w:p>
    <w:p>
      <w:pPr>
        <w:pStyle w:val="4"/>
        <w:rPr>
          <w:rFonts w:ascii="仿宋" w:hAnsi="仿宋" w:eastAsia="仿宋"/>
          <w:color w:val="000000" w:themeColor="text1"/>
          <w14:textFill>
            <w14:solidFill>
              <w14:schemeClr w14:val="tx1"/>
            </w14:solidFill>
          </w14:textFill>
        </w:rPr>
      </w:pPr>
      <w:bookmarkStart w:id="74" w:name="_Toc15396629"/>
      <w:r>
        <w:rPr>
          <w:rStyle w:val="27"/>
          <w:rFonts w:hint="eastAsia" w:ascii="仿宋" w:hAnsi="仿宋" w:eastAsia="仿宋"/>
          <w:b w:val="0"/>
          <w:bCs w:val="0"/>
          <w:color w:val="000000" w:themeColor="text1"/>
          <w14:textFill>
            <w14:solidFill>
              <w14:schemeClr w14:val="tx1"/>
            </w14:solidFill>
          </w14:textFill>
        </w:rPr>
        <w:t>十一、</w:t>
      </w:r>
      <w:r>
        <w:rPr>
          <w:rFonts w:hint="eastAsia" w:ascii="仿宋" w:hAnsi="仿宋" w:eastAsia="仿宋"/>
          <w:b w:val="0"/>
          <w:color w:val="000000" w:themeColor="text1"/>
          <w14:textFill>
            <w14:solidFill>
              <w14:schemeClr w14:val="tx1"/>
            </w14:solidFill>
          </w14:textFill>
        </w:rPr>
        <w:t>政</w:t>
      </w:r>
      <w:r>
        <w:rPr>
          <w:rStyle w:val="27"/>
          <w:rFonts w:hint="eastAsia" w:ascii="仿宋" w:hAnsi="仿宋" w:eastAsia="仿宋"/>
          <w:b w:val="0"/>
          <w:bCs w:val="0"/>
          <w:color w:val="000000" w:themeColor="text1"/>
          <w14:textFill>
            <w14:solidFill>
              <w14:schemeClr w14:val="tx1"/>
            </w14:solidFill>
          </w14:textFill>
        </w:rPr>
        <w:t>府性基金预算财政拨款收入支出决算表</w:t>
      </w:r>
      <w:bookmarkEnd w:id="74"/>
    </w:p>
    <w:p>
      <w:pPr>
        <w:pStyle w:val="4"/>
        <w:rPr>
          <w:rFonts w:ascii="仿宋" w:hAnsi="仿宋" w:eastAsia="仿宋"/>
          <w:color w:val="000000" w:themeColor="text1"/>
          <w14:textFill>
            <w14:solidFill>
              <w14:schemeClr w14:val="tx1"/>
            </w14:solidFill>
          </w14:textFill>
        </w:rPr>
      </w:pPr>
      <w:bookmarkStart w:id="75" w:name="_Toc15396630"/>
      <w:r>
        <w:rPr>
          <w:rStyle w:val="27"/>
          <w:rFonts w:hint="eastAsia" w:ascii="仿宋" w:hAnsi="仿宋" w:eastAsia="仿宋"/>
          <w:b w:val="0"/>
          <w:bCs w:val="0"/>
          <w:color w:val="000000" w:themeColor="text1"/>
          <w14:textFill>
            <w14:solidFill>
              <w14:schemeClr w14:val="tx1"/>
            </w14:solidFill>
          </w14:textFill>
        </w:rPr>
        <w:t>十二、</w:t>
      </w:r>
      <w:r>
        <w:rPr>
          <w:rFonts w:hint="eastAsia" w:ascii="仿宋" w:hAnsi="仿宋" w:eastAsia="仿宋"/>
          <w:b w:val="0"/>
          <w:color w:val="000000" w:themeColor="text1"/>
          <w14:textFill>
            <w14:solidFill>
              <w14:schemeClr w14:val="tx1"/>
            </w14:solidFill>
          </w14:textFill>
        </w:rPr>
        <w:t>政</w:t>
      </w:r>
      <w:r>
        <w:rPr>
          <w:rStyle w:val="27"/>
          <w:rFonts w:hint="eastAsia" w:ascii="仿宋" w:hAnsi="仿宋" w:eastAsia="仿宋"/>
          <w:b w:val="0"/>
          <w:bCs w:val="0"/>
          <w:color w:val="000000" w:themeColor="text1"/>
          <w14:textFill>
            <w14:solidFill>
              <w14:schemeClr w14:val="tx1"/>
            </w14:solidFill>
          </w14:textFill>
        </w:rPr>
        <w:t>府性基金预算财政拨款“三公”经费支出决算表</w:t>
      </w:r>
      <w:bookmarkEnd w:id="75"/>
    </w:p>
    <w:p>
      <w:pPr>
        <w:pStyle w:val="4"/>
        <w:rPr>
          <w:rFonts w:ascii="仿宋" w:hAnsi="仿宋" w:eastAsia="仿宋"/>
          <w:color w:val="000000" w:themeColor="text1"/>
          <w14:textFill>
            <w14:solidFill>
              <w14:schemeClr w14:val="tx1"/>
            </w14:solidFill>
          </w14:textFill>
        </w:rPr>
      </w:pPr>
      <w:bookmarkStart w:id="76" w:name="_Toc15396631"/>
      <w:r>
        <w:rPr>
          <w:rStyle w:val="27"/>
          <w:rFonts w:hint="eastAsia" w:ascii="仿宋" w:hAnsi="仿宋" w:eastAsia="仿宋"/>
          <w:b w:val="0"/>
          <w:bCs w:val="0"/>
          <w:color w:val="000000" w:themeColor="text1"/>
          <w14:textFill>
            <w14:solidFill>
              <w14:schemeClr w14:val="tx1"/>
            </w14:solidFill>
          </w14:textFill>
        </w:rPr>
        <w:t>十三、</w:t>
      </w:r>
      <w:r>
        <w:rPr>
          <w:rFonts w:hint="eastAsia" w:ascii="仿宋" w:hAnsi="仿宋" w:eastAsia="仿宋"/>
          <w:b w:val="0"/>
          <w:color w:val="000000" w:themeColor="text1"/>
          <w14:textFill>
            <w14:solidFill>
              <w14:schemeClr w14:val="tx1"/>
            </w14:solidFill>
          </w14:textFill>
        </w:rPr>
        <w:t>国</w:t>
      </w:r>
      <w:r>
        <w:rPr>
          <w:rStyle w:val="27"/>
          <w:rFonts w:hint="eastAsia" w:ascii="仿宋" w:hAnsi="仿宋" w:eastAsia="仿宋"/>
          <w:b w:val="0"/>
          <w:bCs w:val="0"/>
          <w:color w:val="000000" w:themeColor="text1"/>
          <w14:textFill>
            <w14:solidFill>
              <w14:schemeClr w14:val="tx1"/>
            </w14:solidFill>
          </w14:textFill>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3088E"/>
    <w:multiLevelType w:val="singleLevel"/>
    <w:tmpl w:val="A623088E"/>
    <w:lvl w:ilvl="0" w:tentative="0">
      <w:start w:val="3"/>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42B4C073"/>
    <w:multiLevelType w:val="singleLevel"/>
    <w:tmpl w:val="42B4C073"/>
    <w:lvl w:ilvl="0" w:tentative="0">
      <w:start w:val="3"/>
      <w:numFmt w:val="chineseCounting"/>
      <w:suff w:val="nothing"/>
      <w:lvlText w:val="（%1）"/>
      <w:lvlJc w:val="left"/>
      <w:rPr>
        <w:rFonts w:hint="eastAsia"/>
      </w:rPr>
    </w:lvl>
  </w:abstractNum>
  <w:abstractNum w:abstractNumId="5">
    <w:nsid w:val="6B25997A"/>
    <w:multiLevelType w:val="singleLevel"/>
    <w:tmpl w:val="6B25997A"/>
    <w:lvl w:ilvl="0" w:tentative="0">
      <w:start w:val="1"/>
      <w:numFmt w:val="chineseCounting"/>
      <w:suff w:val="nothing"/>
      <w:lvlText w:val="（%1）"/>
      <w:lvlJc w:val="left"/>
      <w:rPr>
        <w:rFonts w:hint="eastAsia"/>
      </w:rPr>
    </w:lvl>
  </w:abstractNum>
  <w:abstractNum w:abstractNumId="6">
    <w:nsid w:val="6FF1A95B"/>
    <w:multiLevelType w:val="singleLevel"/>
    <w:tmpl w:val="6FF1A95B"/>
    <w:lvl w:ilvl="0" w:tentative="0">
      <w:start w:val="1"/>
      <w:numFmt w:val="decimal"/>
      <w:lvlText w:val="%1."/>
      <w:lvlJc w:val="left"/>
      <w:pPr>
        <w:tabs>
          <w:tab w:val="left" w:pos="312"/>
        </w:tabs>
      </w:pPr>
    </w:lvl>
  </w:abstractNum>
  <w:abstractNum w:abstractNumId="7">
    <w:nsid w:val="70996883"/>
    <w:multiLevelType w:val="singleLevel"/>
    <w:tmpl w:val="70996883"/>
    <w:lvl w:ilvl="0" w:tentative="0">
      <w:start w:val="4"/>
      <w:numFmt w:val="chineseCounting"/>
      <w:suff w:val="nothing"/>
      <w:lvlText w:val="（%1）"/>
      <w:lvlJc w:val="left"/>
      <w:rPr>
        <w:rFonts w:hint="eastAsia"/>
      </w:rPr>
    </w:lvl>
  </w:abstractNum>
  <w:num w:numId="1">
    <w:abstractNumId w:val="3"/>
  </w:num>
  <w:num w:numId="2">
    <w:abstractNumId w:val="0"/>
  </w:num>
  <w:num w:numId="3">
    <w:abstractNumId w:val="1"/>
  </w:num>
  <w:num w:numId="4">
    <w:abstractNumId w:val="7"/>
  </w:num>
  <w:num w:numId="5">
    <w:abstractNumId w:val="2"/>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g3ODUyOTFjNzc4OWEyODIxMTQ4MDhiOGY2NGEzMmY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C54E5"/>
    <w:rsid w:val="000D1267"/>
    <w:rsid w:val="000D1D50"/>
    <w:rsid w:val="000D5782"/>
    <w:rsid w:val="000D6721"/>
    <w:rsid w:val="000E6613"/>
    <w:rsid w:val="000E7119"/>
    <w:rsid w:val="00114E9B"/>
    <w:rsid w:val="00142216"/>
    <w:rsid w:val="001442E9"/>
    <w:rsid w:val="00144D6A"/>
    <w:rsid w:val="0014729F"/>
    <w:rsid w:val="00157BAB"/>
    <w:rsid w:val="001654D1"/>
    <w:rsid w:val="00174518"/>
    <w:rsid w:val="0018106D"/>
    <w:rsid w:val="001877A7"/>
    <w:rsid w:val="00191536"/>
    <w:rsid w:val="00196687"/>
    <w:rsid w:val="001A1E56"/>
    <w:rsid w:val="001C0962"/>
    <w:rsid w:val="001C3CD5"/>
    <w:rsid w:val="001D7531"/>
    <w:rsid w:val="001E737D"/>
    <w:rsid w:val="001F0592"/>
    <w:rsid w:val="001F5E92"/>
    <w:rsid w:val="001F7506"/>
    <w:rsid w:val="002006CD"/>
    <w:rsid w:val="00200A0B"/>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E5D45"/>
    <w:rsid w:val="002F1818"/>
    <w:rsid w:val="002F567B"/>
    <w:rsid w:val="003069D0"/>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3C93"/>
    <w:rsid w:val="003E6F55"/>
    <w:rsid w:val="003F6619"/>
    <w:rsid w:val="00406254"/>
    <w:rsid w:val="00416CD4"/>
    <w:rsid w:val="004223DE"/>
    <w:rsid w:val="00434489"/>
    <w:rsid w:val="00437085"/>
    <w:rsid w:val="00443880"/>
    <w:rsid w:val="004464F4"/>
    <w:rsid w:val="00471401"/>
    <w:rsid w:val="00473F31"/>
    <w:rsid w:val="004758E0"/>
    <w:rsid w:val="0048263A"/>
    <w:rsid w:val="00487E5D"/>
    <w:rsid w:val="004A711F"/>
    <w:rsid w:val="004B199D"/>
    <w:rsid w:val="004B4690"/>
    <w:rsid w:val="004E0A2D"/>
    <w:rsid w:val="004E206B"/>
    <w:rsid w:val="004E6DF7"/>
    <w:rsid w:val="004F0FBD"/>
    <w:rsid w:val="004F403E"/>
    <w:rsid w:val="00505A47"/>
    <w:rsid w:val="00512FDA"/>
    <w:rsid w:val="00520DA0"/>
    <w:rsid w:val="005431B1"/>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07DD"/>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4721F"/>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5E46"/>
    <w:rsid w:val="00AB64C9"/>
    <w:rsid w:val="00AC3C6A"/>
    <w:rsid w:val="00AD0F83"/>
    <w:rsid w:val="00AD159D"/>
    <w:rsid w:val="00AD5620"/>
    <w:rsid w:val="00AD656B"/>
    <w:rsid w:val="00AD7C1B"/>
    <w:rsid w:val="00AE16BA"/>
    <w:rsid w:val="00AE1EBE"/>
    <w:rsid w:val="00AF37A0"/>
    <w:rsid w:val="00B03C9D"/>
    <w:rsid w:val="00B060AE"/>
    <w:rsid w:val="00B10517"/>
    <w:rsid w:val="00B14E76"/>
    <w:rsid w:val="00B161B8"/>
    <w:rsid w:val="00B2048C"/>
    <w:rsid w:val="00B267A5"/>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4FE0"/>
    <w:rsid w:val="00DA634F"/>
    <w:rsid w:val="00DA65AC"/>
    <w:rsid w:val="00DB1913"/>
    <w:rsid w:val="00DC410D"/>
    <w:rsid w:val="00DC5A81"/>
    <w:rsid w:val="00DC68CA"/>
    <w:rsid w:val="00DC7CBA"/>
    <w:rsid w:val="00DD73B7"/>
    <w:rsid w:val="00DF28BC"/>
    <w:rsid w:val="00DF34B9"/>
    <w:rsid w:val="00DF7548"/>
    <w:rsid w:val="00E01053"/>
    <w:rsid w:val="00E07ACF"/>
    <w:rsid w:val="00E108A9"/>
    <w:rsid w:val="00E14C9E"/>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B2FE3"/>
    <w:rsid w:val="00FD3CC1"/>
    <w:rsid w:val="00FE3877"/>
    <w:rsid w:val="00FF1E02"/>
    <w:rsid w:val="00FF30B4"/>
    <w:rsid w:val="01437D58"/>
    <w:rsid w:val="01EF67DE"/>
    <w:rsid w:val="02B55949"/>
    <w:rsid w:val="03922815"/>
    <w:rsid w:val="04A36B2F"/>
    <w:rsid w:val="062A4E58"/>
    <w:rsid w:val="06931D6B"/>
    <w:rsid w:val="069768F6"/>
    <w:rsid w:val="06A648FE"/>
    <w:rsid w:val="06D74B35"/>
    <w:rsid w:val="07BF4C08"/>
    <w:rsid w:val="07DB0C2F"/>
    <w:rsid w:val="07F876A6"/>
    <w:rsid w:val="081D1B91"/>
    <w:rsid w:val="08B6624A"/>
    <w:rsid w:val="09E00A8B"/>
    <w:rsid w:val="0A95254D"/>
    <w:rsid w:val="0B3A446F"/>
    <w:rsid w:val="0CE5081B"/>
    <w:rsid w:val="0CF27549"/>
    <w:rsid w:val="0CF50E1F"/>
    <w:rsid w:val="0DA139E2"/>
    <w:rsid w:val="0E113796"/>
    <w:rsid w:val="0EF75E8E"/>
    <w:rsid w:val="0F692C78"/>
    <w:rsid w:val="0FD54089"/>
    <w:rsid w:val="10A71C6C"/>
    <w:rsid w:val="10C055FF"/>
    <w:rsid w:val="1276481D"/>
    <w:rsid w:val="128F3449"/>
    <w:rsid w:val="12DA3707"/>
    <w:rsid w:val="13001549"/>
    <w:rsid w:val="13781A27"/>
    <w:rsid w:val="142B6A9A"/>
    <w:rsid w:val="14771CDF"/>
    <w:rsid w:val="147A744D"/>
    <w:rsid w:val="15556A3F"/>
    <w:rsid w:val="15997E8E"/>
    <w:rsid w:val="16BB723D"/>
    <w:rsid w:val="1B2D318F"/>
    <w:rsid w:val="1CFA7929"/>
    <w:rsid w:val="22673393"/>
    <w:rsid w:val="22B13FD2"/>
    <w:rsid w:val="23FE7256"/>
    <w:rsid w:val="240371BF"/>
    <w:rsid w:val="24D049BC"/>
    <w:rsid w:val="251472CE"/>
    <w:rsid w:val="27633DAE"/>
    <w:rsid w:val="2914516F"/>
    <w:rsid w:val="296038EA"/>
    <w:rsid w:val="29837DB2"/>
    <w:rsid w:val="29AA7275"/>
    <w:rsid w:val="29E90B31"/>
    <w:rsid w:val="29FD04D3"/>
    <w:rsid w:val="2A955020"/>
    <w:rsid w:val="2ACA0F27"/>
    <w:rsid w:val="2B2B0C1C"/>
    <w:rsid w:val="2C864D5D"/>
    <w:rsid w:val="2E450300"/>
    <w:rsid w:val="2E7C70B7"/>
    <w:rsid w:val="2EE1150A"/>
    <w:rsid w:val="2F770839"/>
    <w:rsid w:val="2FC53A81"/>
    <w:rsid w:val="30AD6A75"/>
    <w:rsid w:val="30C22D2D"/>
    <w:rsid w:val="30E46D36"/>
    <w:rsid w:val="3173284C"/>
    <w:rsid w:val="31912DF9"/>
    <w:rsid w:val="319F7F4E"/>
    <w:rsid w:val="31DC06A5"/>
    <w:rsid w:val="31F91AF9"/>
    <w:rsid w:val="32380D4D"/>
    <w:rsid w:val="33245982"/>
    <w:rsid w:val="356130B4"/>
    <w:rsid w:val="3607034A"/>
    <w:rsid w:val="365E2B3F"/>
    <w:rsid w:val="37054DE9"/>
    <w:rsid w:val="39490501"/>
    <w:rsid w:val="3A543DA5"/>
    <w:rsid w:val="3AA479A0"/>
    <w:rsid w:val="3D3648BE"/>
    <w:rsid w:val="41230EF6"/>
    <w:rsid w:val="41794EFB"/>
    <w:rsid w:val="42E023B9"/>
    <w:rsid w:val="43226F0F"/>
    <w:rsid w:val="43CF01E0"/>
    <w:rsid w:val="442231A0"/>
    <w:rsid w:val="44837216"/>
    <w:rsid w:val="449838A8"/>
    <w:rsid w:val="45AD4CB1"/>
    <w:rsid w:val="45F0214F"/>
    <w:rsid w:val="46767E82"/>
    <w:rsid w:val="47C36A0E"/>
    <w:rsid w:val="48133F67"/>
    <w:rsid w:val="48850E27"/>
    <w:rsid w:val="48ED191F"/>
    <w:rsid w:val="49104C10"/>
    <w:rsid w:val="49BD60E2"/>
    <w:rsid w:val="4A064990"/>
    <w:rsid w:val="4AD14F9E"/>
    <w:rsid w:val="4B1931D8"/>
    <w:rsid w:val="4B75001F"/>
    <w:rsid w:val="4BFF2F92"/>
    <w:rsid w:val="4D223028"/>
    <w:rsid w:val="4E4B72E5"/>
    <w:rsid w:val="4ECE2238"/>
    <w:rsid w:val="4F5A4C16"/>
    <w:rsid w:val="5022177E"/>
    <w:rsid w:val="52AD0B85"/>
    <w:rsid w:val="53A37630"/>
    <w:rsid w:val="53B128A4"/>
    <w:rsid w:val="541141C2"/>
    <w:rsid w:val="545755E1"/>
    <w:rsid w:val="54E80D14"/>
    <w:rsid w:val="55A61F25"/>
    <w:rsid w:val="55B6198C"/>
    <w:rsid w:val="55F042D1"/>
    <w:rsid w:val="56AB7432"/>
    <w:rsid w:val="56FC5D0D"/>
    <w:rsid w:val="570367CF"/>
    <w:rsid w:val="57874C1F"/>
    <w:rsid w:val="57A70DE1"/>
    <w:rsid w:val="58266327"/>
    <w:rsid w:val="58DC24B1"/>
    <w:rsid w:val="58F4280F"/>
    <w:rsid w:val="593D249C"/>
    <w:rsid w:val="59926DC7"/>
    <w:rsid w:val="5A6F39BB"/>
    <w:rsid w:val="5C126FED"/>
    <w:rsid w:val="5FA66996"/>
    <w:rsid w:val="611B3E90"/>
    <w:rsid w:val="6155202D"/>
    <w:rsid w:val="622F287E"/>
    <w:rsid w:val="62F95FBA"/>
    <w:rsid w:val="63515A9B"/>
    <w:rsid w:val="6360350B"/>
    <w:rsid w:val="640B1E46"/>
    <w:rsid w:val="644256A7"/>
    <w:rsid w:val="657A22EF"/>
    <w:rsid w:val="668E5D09"/>
    <w:rsid w:val="66C53FF7"/>
    <w:rsid w:val="67046E21"/>
    <w:rsid w:val="6878475E"/>
    <w:rsid w:val="696454C1"/>
    <w:rsid w:val="69E93FCD"/>
    <w:rsid w:val="6A2151A2"/>
    <w:rsid w:val="6CB01564"/>
    <w:rsid w:val="6D37551F"/>
    <w:rsid w:val="6E7C7415"/>
    <w:rsid w:val="6E85572B"/>
    <w:rsid w:val="6EA15F68"/>
    <w:rsid w:val="6F821B59"/>
    <w:rsid w:val="6F871F4B"/>
    <w:rsid w:val="70725AE5"/>
    <w:rsid w:val="72734D90"/>
    <w:rsid w:val="72D26AA6"/>
    <w:rsid w:val="735A3766"/>
    <w:rsid w:val="74FD327C"/>
    <w:rsid w:val="76471EEA"/>
    <w:rsid w:val="778C1481"/>
    <w:rsid w:val="782E0265"/>
    <w:rsid w:val="7A805F3F"/>
    <w:rsid w:val="7AB0519F"/>
    <w:rsid w:val="7B2A04FA"/>
    <w:rsid w:val="7D575CC9"/>
    <w:rsid w:val="7EC46D37"/>
    <w:rsid w:val="7EF731D3"/>
    <w:rsid w:val="7FC86B1E"/>
    <w:rsid w:val="CAFF6D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2">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6">
    <w:name w:val="Normal Indent"/>
    <w:basedOn w:val="1"/>
    <w:qFormat/>
    <w:uiPriority w:val="0"/>
    <w:pPr>
      <w:ind w:firstLine="420" w:firstLineChars="200"/>
    </w:pPr>
    <w:rPr>
      <w:rFonts w:ascii="Calibri" w:hAnsi="Calibri" w:cs="黑体"/>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2"/>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表段落1"/>
    <w:basedOn w:val="1"/>
    <w:qFormat/>
    <w:uiPriority w:val="34"/>
    <w:pPr>
      <w:ind w:firstLine="420" w:firstLineChars="200"/>
    </w:pPr>
  </w:style>
  <w:style w:type="character" w:customStyle="1" w:styleId="26">
    <w:name w:val="标题 1 字符"/>
    <w:basedOn w:val="15"/>
    <w:link w:val="3"/>
    <w:qFormat/>
    <w:uiPriority w:val="9"/>
    <w:rPr>
      <w:rFonts w:ascii="Times New Roman" w:hAnsi="Times New Roman"/>
      <w:b/>
      <w:bCs/>
      <w:kern w:val="44"/>
      <w:sz w:val="44"/>
      <w:szCs w:val="44"/>
    </w:rPr>
  </w:style>
  <w:style w:type="character" w:customStyle="1" w:styleId="27">
    <w:name w:val="标题 2 字符"/>
    <w:basedOn w:val="15"/>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5"/>
    <w:qFormat/>
    <w:uiPriority w:val="9"/>
    <w:rPr>
      <w:rFonts w:ascii="Times New Roman" w:hAnsi="Times New Roman"/>
      <w:b/>
      <w:bCs/>
      <w:kern w:val="2"/>
      <w:sz w:val="32"/>
      <w:szCs w:val="32"/>
    </w:rPr>
  </w:style>
  <w:style w:type="paragraph" w:customStyle="1" w:styleId="31">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2021</a:t>
            </a:r>
            <a:r>
              <a:rPr lang="zh-CN" altLang="en-US"/>
              <a:t>年收支变动情况图（万元）</a:t>
            </a:r>
            <a:endParaRPr lang="zh-CN" altLang="en-US"/>
          </a:p>
        </c:rich>
      </c:tx>
      <c:layout>
        <c:manualLayout>
          <c:xMode val="edge"/>
          <c:yMode val="edge"/>
          <c:x val="0.388965517241379"/>
          <c:y val="0.043301069791136"/>
        </c:manualLayout>
      </c:layout>
      <c:overlay val="0"/>
      <c:spPr>
        <a:noFill/>
        <a:ln>
          <a:noFill/>
        </a:ln>
        <a:effectLst/>
      </c:spPr>
    </c:title>
    <c:autoTitleDeleted val="0"/>
    <c:plotArea>
      <c:layout>
        <c:manualLayout>
          <c:layoutTarget val="inner"/>
          <c:xMode val="edge"/>
          <c:yMode val="edge"/>
          <c:x val="0.0647662835249042"/>
          <c:y val="0.230555085753099"/>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Sheet1!$B$2</c:f>
              <c:numCache>
                <c:formatCode>General</c:formatCode>
                <c:ptCount val="1"/>
                <c:pt idx="0">
                  <c:v>1285.95</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Sheet1!$C$2</c:f>
              <c:numCache>
                <c:formatCode>General</c:formatCode>
                <c:ptCount val="1"/>
                <c:pt idx="0">
                  <c:v>1285.95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68769396"/>
        <c:axId val="842422400"/>
      </c:barChart>
      <c:catAx>
        <c:axId val="9687693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b"/>
      <c:legendEntry>
        <c:idx val="2"/>
        <c:delete val="1"/>
      </c:legendEntry>
      <c:layout>
        <c:manualLayout>
          <c:xMode val="edge"/>
          <c:yMode val="edge"/>
          <c:x val="0.12727969348659"/>
          <c:y val="0.043555781966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收入决算结构图（万元）</a:t>
            </a:r>
            <a:endParaRPr lang="zh-CN" altLang="en-US"/>
          </a:p>
        </c:rich>
      </c:tx>
      <c:layout>
        <c:manualLayout>
          <c:xMode val="edge"/>
          <c:yMode val="edge"/>
          <c:x val="0.441337695046205"/>
          <c:y val="0.048938161106590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strCache>
            </c:strRef>
          </c:cat>
          <c:val>
            <c:numRef>
              <c:f>Sheet1!$B$2:$B$3</c:f>
              <c:numCache>
                <c:formatCode>General</c:formatCode>
                <c:ptCount val="2"/>
                <c:pt idx="0">
                  <c:v>1285.95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支出决算结构图（万元）</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854.99</c:v>
                </c:pt>
                <c:pt idx="1">
                  <c:v>430.96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lang="zh-CN" altLang="en-US"/>
              <a:t>、</a:t>
            </a:r>
            <a:r>
              <a:rPr lang="en-US" altLang="zh-CN"/>
              <a:t>2021</a:t>
            </a:r>
            <a:r>
              <a:rPr lang="zh-CN" altLang="en-US"/>
              <a:t>年度财政拨款收、支决算总计变动情况表</a:t>
            </a:r>
            <a:endParaRPr lang="zh-CN" altLang="en-US"/>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851.67</c:v>
                </c:pt>
                <c:pt idx="1">
                  <c:v>1285.95</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Sheet1!$C$2:$C$3</c:f>
              <c:numCache>
                <c:formatCode>General</c:formatCode>
                <c:ptCount val="2"/>
                <c:pt idx="0">
                  <c:v>1126.31</c:v>
                </c:pt>
                <c:pt idx="1">
                  <c:v>1285.95</c:v>
                </c:pt>
              </c:numCache>
            </c:numRef>
          </c:val>
        </c:ser>
        <c:dLbls>
          <c:showLegendKey val="0"/>
          <c:showVal val="0"/>
          <c:showCatName val="0"/>
          <c:showSerName val="0"/>
          <c:showPercent val="0"/>
          <c:showBubbleSize val="0"/>
        </c:dLbls>
        <c:gapWidth val="219"/>
        <c:overlap val="-27"/>
        <c:axId val="812231112"/>
        <c:axId val="567768063"/>
      </c:barChart>
      <c:catAx>
        <c:axId val="8122311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1"/>
        <c:delete val="1"/>
      </c:legendEntry>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一般公共预算财政拨款支出决算变动情况表</a:t>
            </a:r>
            <a:endParaRPr lang="zh-CN" altLang="en-US"/>
          </a:p>
        </c:rich>
      </c:tx>
      <c:layout>
        <c:manualLayout>
          <c:xMode val="edge"/>
          <c:yMode val="edge"/>
          <c:x val="0.0790812002034243"/>
          <c:y val="0.702089704383282"/>
        </c:manualLayout>
      </c:layout>
      <c:overlay val="0"/>
      <c:spPr>
        <a:solidFill>
          <a:schemeClr val="bg1"/>
        </a:solidFill>
        <a:ln>
          <a:noFill/>
        </a:ln>
        <a:effectLst/>
      </c:spPr>
    </c:title>
    <c:autoTitleDeleted val="0"/>
    <c:plotArea>
      <c:layout>
        <c:manualLayout>
          <c:layoutTarget val="inner"/>
          <c:xMode val="edge"/>
          <c:yMode val="edge"/>
          <c:x val="0.0980272596843616"/>
          <c:y val="0.16993030202456"/>
          <c:w val="0.896592539454806"/>
          <c:h val="0.435579156986392"/>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2020年</c:v>
                </c:pt>
                <c:pt idx="1">
                  <c:v>2021年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1126.31</c:v>
                </c:pt>
                <c:pt idx="1">
                  <c:v>1285.95</c:v>
                </c:pt>
              </c:numCache>
            </c:numRef>
          </c:val>
        </c:ser>
        <c:dLbls>
          <c:showLegendKey val="0"/>
          <c:showVal val="0"/>
          <c:showCatName val="0"/>
          <c:showSerName val="0"/>
          <c:showPercent val="0"/>
          <c:showBubbleSize val="0"/>
        </c:dLbls>
        <c:gapWidth val="219"/>
        <c:overlap val="-27"/>
        <c:axId val="973666578"/>
        <c:axId val="135195795"/>
      </c:barChart>
      <c:catAx>
        <c:axId val="97366657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3666578"/>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556789286319715"/>
          <c:y val="0.02752293577981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lang="zh-CN" altLang="en-US" sz="1200">
                <a:solidFill>
                  <a:schemeClr val="tx1">
                    <a:lumMod val="65000"/>
                    <a:lumOff val="35000"/>
                  </a:schemeClr>
                </a:solidFill>
                <a:uFill>
                  <a:solidFill>
                    <a:schemeClr val="tx1">
                      <a:lumMod val="65000"/>
                      <a:lumOff val="35000"/>
                    </a:schemeClr>
                  </a:solidFill>
                </a:uFill>
              </a:rPr>
              <a:t>一般公共预算财政拨款支出决算结构图</a:t>
            </a:r>
            <a:endParaRPr lang="zh-CN" altLang="en-US" sz="1200">
              <a:solidFill>
                <a:schemeClr val="tx1">
                  <a:lumMod val="65000"/>
                  <a:lumOff val="35000"/>
                </a:schemeClr>
              </a:solidFill>
              <a:uFill>
                <a:solidFill>
                  <a:schemeClr val="tx1">
                    <a:lumMod val="65000"/>
                    <a:lumOff val="35000"/>
                  </a:schemeClr>
                </a:solidFill>
              </a:uFill>
            </a:endParaRPr>
          </a:p>
        </c:rich>
      </c:tx>
      <c:layout>
        <c:manualLayout>
          <c:xMode val="edge"/>
          <c:yMode val="edge"/>
          <c:x val="0.143165946125707"/>
          <c:y val="0.0362409397650587"/>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c:v>
                </c:pt>
                <c:pt idx="1">
                  <c:v>农林水</c:v>
                </c:pt>
                <c:pt idx="2">
                  <c:v>城乡社区</c:v>
                </c:pt>
                <c:pt idx="3">
                  <c:v>文化旅游体育与传媒</c:v>
                </c:pt>
                <c:pt idx="4">
                  <c:v>社会保障和就业</c:v>
                </c:pt>
                <c:pt idx="5">
                  <c:v>卫生健康</c:v>
                </c:pt>
                <c:pt idx="6">
                  <c:v>住房保障</c:v>
                </c:pt>
              </c:strCache>
            </c:strRef>
          </c:cat>
          <c:val>
            <c:numRef>
              <c:f>Sheet1!$B$2:$B$8</c:f>
              <c:numCache>
                <c:formatCode>General</c:formatCode>
                <c:ptCount val="7"/>
                <c:pt idx="0">
                  <c:v>709.66</c:v>
                </c:pt>
                <c:pt idx="1">
                  <c:v>346.75</c:v>
                </c:pt>
                <c:pt idx="2">
                  <c:v>10</c:v>
                </c:pt>
                <c:pt idx="3">
                  <c:v>33</c:v>
                </c:pt>
                <c:pt idx="4">
                  <c:v>85.23</c:v>
                </c:pt>
                <c:pt idx="5">
                  <c:v>39.88</c:v>
                </c:pt>
                <c:pt idx="6">
                  <c:v>61.43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0877951446624543"/>
          <c:y val="0.886778305423644"/>
          <c:w val="0.906883937479215"/>
          <c:h val="0.0832291927018245"/>
        </c:manualLayout>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“三公经费财政拨款”支出结构图</a:t>
            </a:r>
            <a:endParaRPr lang="zh-CN" altLang="en-US"/>
          </a:p>
        </c:rich>
      </c:tx>
      <c:layout>
        <c:manualLayout>
          <c:xMode val="edge"/>
          <c:yMode val="edge"/>
          <c:x val="0.05338904363974"/>
          <c:y val="0.02375"/>
        </c:manualLayout>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公务用车运行维护费</c:v>
                </c:pt>
              </c:strCache>
            </c:strRef>
          </c:cat>
          <c:val>
            <c:numRef>
              <c:f>Sheet1!$B$2</c:f>
              <c:numCache>
                <c:formatCode>General</c:formatCode>
                <c:ptCount val="1"/>
                <c:pt idx="0">
                  <c:v>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531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63</Pages>
  <Words>28488</Words>
  <Characters>32125</Characters>
  <Lines>251</Lines>
  <Paragraphs>70</Paragraphs>
  <TotalTime>12</TotalTime>
  <ScaleCrop>false</ScaleCrop>
  <LinksUpToDate>false</LinksUpToDate>
  <CharactersWithSpaces>32189</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2022-12-16T16:14:00Z</dcterms:created>
  <dc:creator>曹颖</dc:creator>
  <cp:lastModifiedBy>ruijie</cp:lastModifiedBy>
  <cp:lastPrinted>2020-10-20T18:35:00Z</cp:lastPrinted>
  <dcterms:modified xsi:type="dcterms:W3CDTF">2023-07-03T17:08:26Z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C6A3B9AE1F8348D2914D119D804322BD</vt:lpwstr>
  </property>
</Properties>
</file>