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0163D">
      <w:pPr>
        <w:spacing w:line="600" w:lineRule="exact"/>
        <w:jc w:val="center"/>
        <w:outlineLvl w:val="0"/>
        <w:rPr>
          <w:rFonts w:ascii="方正小标宋简体" w:hAnsi="宋体" w:eastAsia="方正小标宋简体"/>
          <w:color w:val="000000"/>
          <w:sz w:val="72"/>
          <w:szCs w:val="72"/>
        </w:rPr>
      </w:pPr>
      <w:bookmarkStart w:id="0" w:name="_Toc15306267"/>
    </w:p>
    <w:p w14:paraId="306432F7">
      <w:pPr>
        <w:spacing w:line="600" w:lineRule="exact"/>
        <w:jc w:val="center"/>
        <w:outlineLvl w:val="0"/>
        <w:rPr>
          <w:rFonts w:ascii="方正小标宋简体" w:hAnsi="宋体" w:eastAsia="方正小标宋简体"/>
          <w:color w:val="000000"/>
          <w:sz w:val="72"/>
          <w:szCs w:val="72"/>
        </w:rPr>
      </w:pPr>
    </w:p>
    <w:p w14:paraId="0EE4C37F">
      <w:pPr>
        <w:spacing w:line="600" w:lineRule="exact"/>
        <w:jc w:val="center"/>
        <w:outlineLvl w:val="0"/>
        <w:rPr>
          <w:rFonts w:ascii="方正小标宋简体" w:hAnsi="宋体" w:eastAsia="方正小标宋简体"/>
          <w:color w:val="000000"/>
          <w:sz w:val="72"/>
          <w:szCs w:val="72"/>
        </w:rPr>
      </w:pPr>
    </w:p>
    <w:p w14:paraId="2F097F24">
      <w:pPr>
        <w:spacing w:line="600" w:lineRule="exact"/>
        <w:jc w:val="center"/>
        <w:outlineLvl w:val="0"/>
        <w:rPr>
          <w:rFonts w:ascii="方正小标宋简体" w:hAnsi="宋体" w:eastAsia="方正小标宋简体"/>
          <w:color w:val="000000"/>
          <w:sz w:val="72"/>
          <w:szCs w:val="72"/>
        </w:rPr>
      </w:pPr>
    </w:p>
    <w:p w14:paraId="73F13A98">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7425"/>
      <w:bookmarkStart w:id="5" w:name="_Toc15378441"/>
      <w:r>
        <w:rPr>
          <w:rFonts w:ascii="黑体" w:hAnsi="黑体" w:eastAsia="黑体"/>
          <w:color w:val="000000"/>
          <w:sz w:val="72"/>
          <w:szCs w:val="72"/>
        </w:rPr>
        <w:t>2021</w:t>
      </w:r>
      <w:r>
        <w:rPr>
          <w:rFonts w:hint="eastAsia" w:ascii="方正小标宋简体" w:hAnsi="宋体" w:eastAsia="方正小标宋简体"/>
          <w:color w:val="000000"/>
          <w:sz w:val="72"/>
          <w:szCs w:val="72"/>
        </w:rPr>
        <w:t>年度</w:t>
      </w:r>
      <w:bookmarkEnd w:id="1"/>
      <w:bookmarkEnd w:id="2"/>
      <w:bookmarkEnd w:id="3"/>
      <w:bookmarkEnd w:id="4"/>
      <w:bookmarkEnd w:id="5"/>
    </w:p>
    <w:p w14:paraId="706A656C">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96476"/>
      <w:bookmarkStart w:id="9" w:name="_Toc15377194"/>
      <w:bookmarkStart w:id="10" w:name="_Toc15378442"/>
      <w:r>
        <w:rPr>
          <w:rFonts w:hint="eastAsia" w:ascii="方正小标宋简体" w:hAnsi="宋体" w:eastAsia="方正小标宋简体"/>
          <w:color w:val="000000"/>
          <w:sz w:val="72"/>
          <w:szCs w:val="72"/>
        </w:rPr>
        <w:t>四川省阿坝州红原县</w:t>
      </w:r>
      <w:bookmarkEnd w:id="0"/>
      <w:bookmarkStart w:id="11" w:name="_Toc15306268"/>
      <w:r>
        <w:rPr>
          <w:rFonts w:hint="eastAsia" w:ascii="方正小标宋简体" w:hAnsi="宋体" w:eastAsia="方正小标宋简体"/>
          <w:color w:val="000000"/>
          <w:sz w:val="72"/>
          <w:szCs w:val="72"/>
        </w:rPr>
        <w:t>科学技术和农业畜牧局部门</w:t>
      </w:r>
      <w:r>
        <w:rPr>
          <w:rFonts w:ascii="方正小标宋简体" w:hAnsi="宋体" w:eastAsia="方正小标宋简体"/>
          <w:color w:val="000000"/>
          <w:sz w:val="72"/>
          <w:szCs w:val="72"/>
        </w:rPr>
        <w:t xml:space="preserve">  </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14:paraId="5F2560DB">
      <w:pPr>
        <w:rPr>
          <w:rFonts w:ascii="方正小标宋简体" w:hAnsi="宋体" w:eastAsia="方正小标宋简体"/>
          <w:sz w:val="36"/>
          <w:szCs w:val="36"/>
        </w:rPr>
      </w:pPr>
    </w:p>
    <w:p w14:paraId="6C6A847B">
      <w:pPr>
        <w:rPr>
          <w:rFonts w:ascii="方正小标宋简体" w:hAnsi="宋体" w:eastAsia="方正小标宋简体"/>
          <w:sz w:val="36"/>
          <w:szCs w:val="36"/>
        </w:rPr>
      </w:pPr>
    </w:p>
    <w:p w14:paraId="2EFAB6C3">
      <w:pPr>
        <w:autoSpaceDE w:val="0"/>
        <w:autoSpaceDN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保密审查情况：已审查，内容审定</w:t>
      </w:r>
    </w:p>
    <w:p w14:paraId="0EBEEB77">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C04DF81">
      <w:pPr>
        <w:widowControl/>
        <w:jc w:val="center"/>
        <w:rPr>
          <w:rFonts w:ascii="黑体" w:hAnsi="黑体" w:eastAsia="黑体"/>
          <w:color w:val="000000"/>
          <w:sz w:val="48"/>
          <w:szCs w:val="48"/>
        </w:rPr>
      </w:pPr>
      <w:r>
        <w:rPr>
          <w:rFonts w:ascii="方正小标宋简体" w:hAnsi="宋体" w:eastAsia="方正小标宋简体"/>
          <w:sz w:val="32"/>
          <w:szCs w:val="32"/>
        </w:rPr>
        <w:br w:type="page"/>
      </w:r>
      <w:r>
        <w:rPr>
          <w:rFonts w:hint="eastAsia" w:ascii="黑体" w:hAnsi="黑体" w:eastAsia="黑体"/>
          <w:color w:val="000000"/>
          <w:sz w:val="48"/>
          <w:szCs w:val="48"/>
        </w:rPr>
        <w:t>目录</w:t>
      </w:r>
    </w:p>
    <w:p w14:paraId="2D6DE295">
      <w:pPr>
        <w:widowControl/>
        <w:jc w:val="center"/>
        <w:rPr>
          <w:rFonts w:hint="eastAsia" w:ascii="仿宋_GB2312" w:hAnsi="仿宋_GB2312" w:eastAsia="仿宋_GB2312" w:cs="仿宋_GB2312"/>
          <w:sz w:val="32"/>
          <w:szCs w:val="32"/>
        </w:rPr>
      </w:pPr>
    </w:p>
    <w:p w14:paraId="57075029">
      <w:pPr>
        <w:pStyle w:val="1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公开时间：2022年11月30日</w:t>
      </w:r>
    </w:p>
    <w:p w14:paraId="68E4654D">
      <w:pPr>
        <w:rPr>
          <w:rFonts w:hint="eastAsia" w:ascii="仿宋_GB2312" w:hAnsi="仿宋_GB2312" w:eastAsia="仿宋_GB2312" w:cs="仿宋_GB2312"/>
          <w:sz w:val="32"/>
          <w:szCs w:val="32"/>
        </w:rPr>
      </w:pPr>
    </w:p>
    <w:p w14:paraId="5FB5A5E9">
      <w:pPr>
        <w:pStyle w:val="14"/>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p>
    <w:p w14:paraId="10A9025D">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14:paraId="342D37C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14:paraId="1223E370">
      <w:pPr>
        <w:pStyle w:val="2"/>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（二）2021年重点工作完成情况</w:t>
      </w:r>
    </w:p>
    <w:p w14:paraId="4898AD1A">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二、机构设置</w:t>
      </w:r>
    </w:p>
    <w:p w14:paraId="0E42AD74">
      <w:pPr>
        <w:pStyle w:val="14"/>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第二部分2021年度部门决算情况说明</w:t>
      </w:r>
    </w:p>
    <w:p w14:paraId="7CBA1D0D">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p>
    <w:p w14:paraId="1358C550">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p>
    <w:p w14:paraId="7D178C64">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p>
    <w:p w14:paraId="45675698">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14:paraId="10800264">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14:paraId="37E336E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（一）一般公共预算财政拨款支出决算总体情况</w:t>
      </w:r>
    </w:p>
    <w:p w14:paraId="42BFA8C2">
      <w:pPr>
        <w:pStyle w:val="2"/>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（二）一般公共预算财政拨款支出决算结构情况</w:t>
      </w:r>
    </w:p>
    <w:p w14:paraId="39725AD6">
      <w:pPr>
        <w:pStyle w:val="2"/>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（三）一般公共预算财政拨款支出决算具体情况</w:t>
      </w:r>
    </w:p>
    <w:p w14:paraId="158C6A8E">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14:paraId="300007CC">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p>
    <w:p w14:paraId="61CCBD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（一）“三公”经费财政拨款支出决算总体情况说明</w:t>
      </w:r>
    </w:p>
    <w:p w14:paraId="7046661B">
      <w:pPr>
        <w:pStyle w:val="2"/>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（二）“三公”经费财政拨款支出决算具体情况说明</w:t>
      </w:r>
    </w:p>
    <w:p w14:paraId="0F3F93BB">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14:paraId="59917488">
      <w:pPr>
        <w:pStyle w:val="15"/>
        <w:adjustRightInd w:val="0"/>
        <w:snapToGrid w:val="0"/>
        <w:spacing w:line="440" w:lineRule="exact"/>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 国有资本经营预算支出决算情况说明</w:t>
      </w:r>
    </w:p>
    <w:p w14:paraId="293A29F7">
      <w:pPr>
        <w:adjustRightInd w:val="0"/>
        <w:snapToGrid w:val="0"/>
        <w:spacing w:line="440" w:lineRule="exact"/>
        <w:ind w:firstLine="640" w:firstLineChars="200"/>
        <w:jc w:val="left"/>
        <w:rPr>
          <w:rFonts w:hint="eastAsia" w:ascii="仿宋_GB2312" w:hAnsi="仿宋_GB2312" w:eastAsia="仿宋_GB2312" w:cs="仿宋_GB2312"/>
          <w:sz w:val="32"/>
          <w:szCs w:val="32"/>
        </w:rPr>
      </w:pPr>
      <w:r>
        <w:rPr>
          <w:rStyle w:val="20"/>
          <w:rFonts w:hint="eastAsia" w:ascii="仿宋_GB2312" w:hAnsi="仿宋_GB2312" w:eastAsia="仿宋_GB2312" w:cs="仿宋_GB2312"/>
          <w:color w:val="000000"/>
          <w:sz w:val="32"/>
          <w:szCs w:val="32"/>
          <w:u w:val="none"/>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p>
    <w:p w14:paraId="6C7FCC31">
      <w:pPr>
        <w:pStyle w:val="2"/>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（一）机关运行经费支出情况</w:t>
      </w:r>
    </w:p>
    <w:p w14:paraId="54207A95">
      <w:pPr>
        <w:pStyle w:val="2"/>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（二）政府采购支出情况</w:t>
      </w:r>
    </w:p>
    <w:p w14:paraId="3F581A3A">
      <w:pPr>
        <w:pStyle w:val="2"/>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14:paraId="3C07A33C">
      <w:pPr>
        <w:pStyle w:val="2"/>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（四）预算绩效管理情况</w:t>
      </w:r>
    </w:p>
    <w:p w14:paraId="403403D1">
      <w:pPr>
        <w:pStyle w:val="14"/>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p>
    <w:p w14:paraId="5401143F">
      <w:pPr>
        <w:pStyle w:val="14"/>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p>
    <w:p w14:paraId="755FB749">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1BAA83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红原县科学技术和农业畜牧局部门2021年部门整体支出绩效评价报告</w:t>
      </w:r>
    </w:p>
    <w:p w14:paraId="39A49223">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7608C84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项目2021年绩效评价报告</w:t>
      </w:r>
    </w:p>
    <w:p w14:paraId="51B84492">
      <w:pPr>
        <w:pStyle w:val="14"/>
        <w:adjustRightInd w:val="0"/>
        <w:snapToGrid w:val="0"/>
        <w:spacing w:before="0"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p>
    <w:p w14:paraId="5AB843B6">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7BB38067">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12613A89">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7FC6C6F6">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6CA01F9D">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1FDE1335">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0313CBE4">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1BE52EF6">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14:paraId="174DDEFE">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0D949992">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14:paraId="247BFB09">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14:paraId="6CEB3D4A">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14:paraId="7D9B2AD5">
      <w:pPr>
        <w:pStyle w:val="15"/>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十三、国有资本经营预算财政拨款收入支出决算表</w:t>
      </w:r>
    </w:p>
    <w:p w14:paraId="16A3147C">
      <w:pPr>
        <w:ind w:left="0" w:leftChars="0" w:firstLine="419" w:firstLineChars="13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十四、国有资本经营预算财政拨款支出决算表</w:t>
      </w:r>
    </w:p>
    <w:p w14:paraId="3BD5C557">
      <w:pPr>
        <w:widowControl/>
        <w:spacing w:line="440" w:lineRule="exact"/>
        <w:jc w:val="left"/>
        <w:rPr>
          <w:rFonts w:ascii="仿宋" w:hAnsi="仿宋" w:eastAsia="仿宋"/>
          <w:bCs/>
          <w:kern w:val="44"/>
          <w:sz w:val="24"/>
        </w:rPr>
      </w:pPr>
      <w:bookmarkStart w:id="12" w:name="_Toc15377196"/>
      <w:bookmarkStart w:id="13" w:name="_Toc15396599"/>
      <w:r>
        <w:rPr>
          <w:rFonts w:hint="eastAsia" w:ascii="仿宋_GB2312" w:hAnsi="仿宋_GB2312" w:eastAsia="仿宋_GB2312" w:cs="仿宋_GB2312"/>
          <w:b/>
          <w:sz w:val="32"/>
          <w:szCs w:val="32"/>
        </w:rPr>
        <w:br w:type="page"/>
      </w:r>
    </w:p>
    <w:p w14:paraId="0BD14C30">
      <w:pPr>
        <w:pStyle w:val="4"/>
        <w:jc w:val="center"/>
        <w:rPr>
          <w:rStyle w:val="21"/>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1"/>
          <w:rFonts w:hint="eastAsia" w:ascii="黑体" w:hAnsi="黑体" w:eastAsia="黑体"/>
          <w:b w:val="0"/>
          <w:bCs w:val="0"/>
        </w:rPr>
        <w:t>部门概况</w:t>
      </w:r>
      <w:bookmarkEnd w:id="12"/>
      <w:bookmarkEnd w:id="13"/>
    </w:p>
    <w:p w14:paraId="6889EFB3">
      <w:pPr>
        <w:widowControl/>
        <w:jc w:val="left"/>
        <w:rPr>
          <w:rFonts w:ascii="黑体" w:eastAsia="黑体"/>
          <w:color w:val="000000"/>
          <w:sz w:val="32"/>
          <w:szCs w:val="32"/>
        </w:rPr>
      </w:pPr>
    </w:p>
    <w:p w14:paraId="07E327C5">
      <w:pPr>
        <w:pStyle w:val="5"/>
        <w:rPr>
          <w:rStyle w:val="22"/>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2"/>
          <w:rFonts w:hint="eastAsia" w:ascii="黑体" w:hAnsi="黑体" w:eastAsia="黑体"/>
          <w:b w:val="0"/>
          <w:bCs w:val="0"/>
        </w:rPr>
        <w:t>本职能及主要工作</w:t>
      </w:r>
      <w:bookmarkEnd w:id="14"/>
      <w:bookmarkEnd w:id="15"/>
    </w:p>
    <w:p w14:paraId="4EE2AC3F">
      <w:pPr>
        <w:pStyle w:val="9"/>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bookmarkStart w:id="16" w:name="_Toc15377198"/>
      <w:bookmarkStart w:id="17" w:name="_Toc15378445"/>
      <w:r>
        <w:rPr>
          <w:rFonts w:hint="eastAsia" w:ascii="仿宋_GB2312" w:hAnsi="仿宋_GB2312" w:eastAsia="仿宋_GB2312" w:cs="仿宋_GB2312"/>
          <w:bCs/>
          <w:color w:val="000000"/>
          <w:sz w:val="32"/>
          <w:szCs w:val="32"/>
        </w:rPr>
        <w:t>（一）主要职能。</w:t>
      </w:r>
      <w:bookmarkEnd w:id="16"/>
      <w:bookmarkEnd w:id="17"/>
      <w:bookmarkStart w:id="18" w:name="_Toc15377199"/>
      <w:bookmarkStart w:id="19" w:name="_Toc15378446"/>
    </w:p>
    <w:p w14:paraId="1D24E41B">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color w:val="02020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 理、农资管理、农机监理、农民负担监管，参与基本农田保护查处农业违法行为；负责开展技术推广和农民科技教育与培训，指导农业社会化服务体系建设及农业专业协会管理；负责农技、农经、农机等初级专业技术职务评聘。 </w:t>
      </w:r>
    </w:p>
    <w:p w14:paraId="44C00AC4">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color w:val="020202"/>
          <w:sz w:val="32"/>
          <w:szCs w:val="32"/>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草原的保护建设与利用、饲萆饲料及添加济、兽医药政等行政执法和管理工作；分析制定畜牧业生产的经济指标、统计等工作 。</w:t>
      </w:r>
    </w:p>
    <w:p w14:paraId="4F033931">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color w:val="020202"/>
          <w:sz w:val="32"/>
          <w:szCs w:val="32"/>
        </w:rPr>
        <w:t>负责全县兽医医政、兽药药政和饲料饲政工作；监督 实施畜牧兽医、兽药、饲料地方标准；负责生猪屠宰管理；负责畜种、草种资源保护与建设；推广畜禽优良品种和畜禽繁育、饲养新技术 。</w:t>
      </w:r>
    </w:p>
    <w:p w14:paraId="5DAC2554">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color w:val="020202"/>
          <w:sz w:val="32"/>
          <w:szCs w:val="32"/>
        </w:rPr>
        <w:t>组织实施全县动物防疫检疫工作和重大疫情的扑灭工作；开展动物防疫检疫和兽药饲料生产技术服务。</w:t>
      </w:r>
    </w:p>
    <w:p w14:paraId="6C39A1D1">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color w:val="020202"/>
          <w:sz w:val="32"/>
          <w:szCs w:val="32"/>
        </w:rPr>
        <w:t>研究拟定畜牧产业化经营政策和畜产品市场体系建 设与发展规划，提供市场信息服务，推进畜牧产业化发展；开展产业发展技术交流与合作工作，积极引进资金和先进技术 。</w:t>
      </w:r>
    </w:p>
    <w:p w14:paraId="003A499D">
      <w:pPr>
        <w:ind w:firstLine="640" w:firstLineChars="200"/>
        <w:jc w:val="left"/>
        <w:rPr>
          <w:rFonts w:hint="eastAsia" w:ascii="仿宋_GB2312" w:hAnsi="仿宋_GB2312" w:eastAsia="仿宋_GB2312" w:cs="仿宋_GB2312"/>
          <w:color w:val="020202"/>
          <w:sz w:val="32"/>
          <w:szCs w:val="32"/>
        </w:rPr>
      </w:pPr>
      <w:r>
        <w:rPr>
          <w:rFonts w:hint="eastAsia" w:ascii="仿宋_GB2312" w:hAnsi="仿宋_GB2312" w:eastAsia="仿宋_GB2312" w:cs="仿宋_GB2312"/>
          <w:sz w:val="32"/>
          <w:szCs w:val="32"/>
        </w:rPr>
        <w:t>管理国家、省、州和县扶持畜牧业资金的统筹安排及监督管理;组织畜牧兽医行业建设项目的实施 。</w:t>
      </w:r>
    </w:p>
    <w:p w14:paraId="128D60F2">
      <w:pPr>
        <w:pStyle w:val="9"/>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（二）2021年重点工作完成情况。</w:t>
      </w:r>
      <w:bookmarkEnd w:id="18"/>
      <w:bookmarkEnd w:id="19"/>
    </w:p>
    <w:p w14:paraId="2FED5143">
      <w:pPr>
        <w:spacing w:line="560" w:lineRule="exact"/>
        <w:ind w:firstLine="321" w:firstLineChars="100"/>
        <w:jc w:val="left"/>
        <w:rPr>
          <w:rFonts w:ascii="楷体" w:hAnsi="楷体" w:eastAsia="楷体" w:cs="楷体"/>
          <w:b/>
          <w:sz w:val="32"/>
          <w:szCs w:val="32"/>
        </w:rPr>
      </w:pPr>
      <w:bookmarkStart w:id="20" w:name="_Toc15396601"/>
      <w:bookmarkStart w:id="21" w:name="_Toc15377200"/>
      <w:r>
        <w:rPr>
          <w:rFonts w:hint="eastAsia" w:ascii="楷体" w:hAnsi="楷体" w:eastAsia="楷体" w:cs="楷体"/>
          <w:b/>
          <w:sz w:val="32"/>
          <w:szCs w:val="32"/>
        </w:rPr>
        <w:t>（一）加快推进牦牛现代农业园区发展</w:t>
      </w:r>
    </w:p>
    <w:p w14:paraId="31447227">
      <w:pPr>
        <w:spacing w:line="560" w:lineRule="exact"/>
        <w:ind w:firstLine="643"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w:t>
      </w:r>
      <w:r>
        <w:rPr>
          <w:rFonts w:hint="eastAsia" w:ascii="仿宋_GB2312" w:hAnsi="仿宋_GB2312" w:eastAsia="仿宋_GB2312" w:cs="仿宋_GB2312"/>
          <w:kern w:val="0"/>
          <w:sz w:val="32"/>
          <w:szCs w:val="32"/>
        </w:rPr>
        <w:t>我县抓住产业区域优势、特色资源优势、政策支撑优势三大优势，提出了“一园主导、多园支撑、全域创建”的现代农业园区建设思路，同时也明确了以红原县牦牛现代农业园区为主导，配套牧草、牦牛种业园区，形成“畜、种、草”配套全产业链。</w:t>
      </w:r>
    </w:p>
    <w:p w14:paraId="7DB28FBC">
      <w:pPr>
        <w:spacing w:line="560" w:lineRule="exact"/>
        <w:ind w:firstLine="643"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w:t>
      </w:r>
      <w:r>
        <w:rPr>
          <w:rFonts w:hint="eastAsia" w:ascii="仿宋_GB2312" w:hAnsi="仿宋_GB2312" w:eastAsia="仿宋_GB2312" w:cs="仿宋_GB2312"/>
          <w:kern w:val="0"/>
          <w:sz w:val="32"/>
          <w:szCs w:val="32"/>
        </w:rPr>
        <w:t>2021年，园区实现麦洼牦牛活畜交易23余万头，实现麦洼牦牛肉生产加工1.9万吨，奶3.8万吨，开发麦洼牦牛产品45个，申报认证“</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品一标”18个（麦洼牦牛）。园区实现新增总产值29300万元，主导产业（麦洼牦牛）总产值达93000万元，占园区总产值的89%。园区内麦洼牦牛养殖示范户人均可支配收入3.1万元，高于全县平均水平的20%以上。园区直接带动全县农民增收1740万元，辐射带动农民增收2090万元。</w:t>
      </w:r>
    </w:p>
    <w:p w14:paraId="569E73CB">
      <w:pPr>
        <w:spacing w:line="560" w:lineRule="exact"/>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（二）农村合作经济经营管理工作</w:t>
      </w:r>
    </w:p>
    <w:p w14:paraId="5AC0379E">
      <w:pPr>
        <w:pStyle w:val="4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1、盘活用好村级公有资产：</w:t>
      </w:r>
      <w:r>
        <w:rPr>
          <w:rFonts w:hint="eastAsia" w:ascii="仿宋_GB2312" w:hAnsi="仿宋_GB2312" w:eastAsia="仿宋_GB2312" w:cs="仿宋_GB2312"/>
          <w:sz w:val="32"/>
          <w:szCs w:val="32"/>
        </w:rPr>
        <w:t>已清理盘活资产5宗，剩余6宗闲置资产，总闲置资产面积4449.07㎡，金额846.58万元；现闲置资产数量面积1727.12㎡，金额173.14万元；盘活资产数量面积2721.95，金额673.44万元。</w:t>
      </w:r>
    </w:p>
    <w:p w14:paraId="7BD300E1">
      <w:pPr>
        <w:pStyle w:val="4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2、开展合并村集体经济融合发展试点：</w:t>
      </w:r>
      <w:r>
        <w:rPr>
          <w:rFonts w:hint="eastAsia" w:ascii="仿宋_GB2312" w:hAnsi="仿宋_GB2312" w:eastAsia="仿宋_GB2312" w:cs="仿宋_GB2312"/>
          <w:sz w:val="32"/>
          <w:szCs w:val="32"/>
        </w:rPr>
        <w:t>目前全县共确认成员42410人，量化资产27029.47万元，截止2020年12月31日，共清查出村集体资产总计37327.22万元。全县村集体经济收入共计412.10万元。</w:t>
      </w:r>
    </w:p>
    <w:p w14:paraId="07F4E224">
      <w:pPr>
        <w:pStyle w:val="4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3、农业耕地地力保护补贴工作</w:t>
      </w:r>
      <w:r>
        <w:rPr>
          <w:rFonts w:hint="eastAsia" w:ascii="仿宋_GB2312" w:hAnsi="仿宋_GB2312" w:eastAsia="仿宋_GB2312" w:cs="仿宋_GB2312"/>
          <w:sz w:val="32"/>
          <w:szCs w:val="32"/>
        </w:rPr>
        <w:t>：截至目前，我县耕地地力保护补贴发放面积为面积1009.63亩，农户494户，补贴标准56.42元/亩，实现兑付资</w:t>
      </w:r>
      <w:r>
        <w:rPr>
          <w:rFonts w:hint="eastAsia" w:ascii="仿宋_GB2312" w:hAnsi="仿宋_GB2312" w:eastAsia="仿宋_GB2312" w:cs="仿宋_GB2312"/>
          <w:spacing w:val="-20"/>
          <w:w w:val="90"/>
          <w:sz w:val="32"/>
          <w:szCs w:val="32"/>
        </w:rPr>
        <w:t>金56963.51元。</w:t>
      </w:r>
      <w:r>
        <w:rPr>
          <w:rFonts w:hint="eastAsia" w:ascii="仿宋_GB2312" w:hAnsi="仿宋_GB2312" w:eastAsia="仿宋_GB2312" w:cs="仿宋_GB2312"/>
          <w:sz w:val="32"/>
          <w:szCs w:val="32"/>
        </w:rPr>
        <w:t>剩余36.49元正在退回国库中。</w:t>
      </w:r>
    </w:p>
    <w:p w14:paraId="3F404C89">
      <w:pPr>
        <w:numPr>
          <w:ilvl w:val="0"/>
          <w:numId w:val="1"/>
        </w:numPr>
        <w:spacing w:line="560" w:lineRule="exact"/>
        <w:ind w:firstLine="643" w:firstLineChars="200"/>
        <w:rPr>
          <w:rFonts w:hint="eastAsia" w:ascii="楷体" w:hAnsi="楷体" w:eastAsia="楷体" w:cs="楷体"/>
          <w:b/>
          <w:color w:val="000000"/>
          <w:sz w:val="32"/>
          <w:szCs w:val="32"/>
        </w:rPr>
      </w:pPr>
      <w:r>
        <w:rPr>
          <w:rFonts w:hint="eastAsia" w:ascii="楷体" w:hAnsi="楷体" w:eastAsia="楷体" w:cs="楷体"/>
          <w:b/>
          <w:color w:val="000000"/>
          <w:sz w:val="32"/>
          <w:szCs w:val="32"/>
        </w:rPr>
        <w:t>农业综合执法工作</w:t>
      </w:r>
    </w:p>
    <w:p w14:paraId="5401A2E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1、加强执法队伍建设，提高执法队伍整体素质。</w:t>
      </w:r>
      <w:r>
        <w:rPr>
          <w:rFonts w:hint="eastAsia" w:ascii="仿宋_GB2312" w:hAnsi="仿宋_GB2312" w:eastAsia="仿宋_GB2312" w:cs="仿宋_GB2312"/>
          <w:sz w:val="32"/>
          <w:szCs w:val="32"/>
        </w:rPr>
        <w:t>行政执法人员进行11次《中华人民共和国动物防疫法（2021新版）》、《行政处罚法》等法律法规和专业知识的强化学习，提高执法人员素质；认真实行持证上岗制度，健立健全各种规章制度，规范执法行为。</w:t>
      </w:r>
    </w:p>
    <w:p w14:paraId="21295A91">
      <w:pPr>
        <w:spacing w:line="560" w:lineRule="exact"/>
        <w:ind w:firstLine="643" w:firstLineChars="200"/>
        <w:jc w:val="left"/>
        <w:rPr>
          <w:rFonts w:hint="eastAsia" w:ascii="仿宋_GB2312" w:hAnsi="仿宋_GB2312" w:eastAsia="仿宋_GB2312" w:cs="仿宋_GB2312"/>
          <w:color w:val="1C1E1B"/>
          <w:sz w:val="32"/>
          <w:szCs w:val="32"/>
        </w:rPr>
      </w:pPr>
      <w:r>
        <w:rPr>
          <w:rFonts w:hint="eastAsia" w:ascii="仿宋_GB2312" w:hAnsi="仿宋_GB2312" w:eastAsia="仿宋_GB2312" w:cs="仿宋_GB2312"/>
          <w:b/>
          <w:bCs/>
          <w:sz w:val="32"/>
          <w:szCs w:val="32"/>
        </w:rPr>
        <w:t>2、加强兽药执法监督管理工作。</w:t>
      </w:r>
      <w:r>
        <w:rPr>
          <w:rFonts w:hint="eastAsia" w:ascii="仿宋_GB2312" w:hAnsi="仿宋_GB2312" w:eastAsia="仿宋_GB2312" w:cs="仿宋_GB2312"/>
          <w:color w:val="1C1E1B"/>
          <w:sz w:val="32"/>
          <w:szCs w:val="32"/>
        </w:rPr>
        <w:t>对全县12家兽药经营企业进行了10次兽药执法检查。签订阿坝州兽药经营企业承诺书7份、告知书7份，下发责令整改通知书6份。办理《兽药经营许可证》3家。</w:t>
      </w:r>
    </w:p>
    <w:p w14:paraId="509CCD9E">
      <w:pPr>
        <w:spacing w:line="560" w:lineRule="exact"/>
        <w:ind w:firstLine="643"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3、动物无害化处理监督管理。</w:t>
      </w:r>
      <w:r>
        <w:rPr>
          <w:rFonts w:hint="eastAsia" w:ascii="仿宋_GB2312" w:hAnsi="仿宋_GB2312" w:eastAsia="仿宋_GB2312" w:cs="仿宋_GB2312"/>
          <w:color w:val="000000"/>
          <w:sz w:val="32"/>
          <w:szCs w:val="32"/>
        </w:rPr>
        <w:t>截止到2021年10月31日无害化处理病死和死因不明牦牛23988头，无害化处理病死和死因不明畜禽肉产品16375Kg。</w:t>
      </w:r>
    </w:p>
    <w:p w14:paraId="061137EE">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4、动物屠宰检疫监管。</w:t>
      </w:r>
      <w:r>
        <w:rPr>
          <w:rFonts w:hint="eastAsia" w:ascii="仿宋_GB2312" w:hAnsi="仿宋_GB2312" w:eastAsia="仿宋_GB2312" w:cs="仿宋_GB2312"/>
          <w:sz w:val="32"/>
          <w:szCs w:val="32"/>
        </w:rPr>
        <w:t>认真落实各项措施和责任，开展好动物屠宰检疫工作，加大屠宰企业防疫、检疫监督力度。截止到10月31日共屠宰生猪700头、</w:t>
      </w:r>
      <w:r>
        <w:rPr>
          <w:rFonts w:hint="eastAsia" w:ascii="仿宋_GB2312" w:hAnsi="仿宋_GB2312" w:eastAsia="仿宋_GB2312" w:cs="仿宋_GB2312"/>
          <w:color w:val="000000"/>
          <w:sz w:val="32"/>
          <w:szCs w:val="32"/>
        </w:rPr>
        <w:t>PCR“非洲猪瘟”自检73份</w:t>
      </w:r>
      <w:r>
        <w:rPr>
          <w:rFonts w:hint="eastAsia" w:ascii="仿宋_GB2312" w:hAnsi="仿宋_GB2312" w:eastAsia="仿宋_GB2312" w:cs="仿宋_GB2312"/>
          <w:sz w:val="32"/>
          <w:szCs w:val="32"/>
        </w:rPr>
        <w:t>、“瘦肉精”抽测16份。2021年截止10月31</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共屠宰牦牛</w:t>
      </w:r>
      <w:r>
        <w:rPr>
          <w:rFonts w:hint="eastAsia" w:ascii="仿宋_GB2312" w:hAnsi="仿宋_GB2312" w:eastAsia="仿宋_GB2312" w:cs="仿宋_GB2312"/>
          <w:color w:val="000000"/>
          <w:sz w:val="32"/>
          <w:szCs w:val="32"/>
        </w:rPr>
        <w:t>牛18858</w:t>
      </w:r>
      <w:r>
        <w:rPr>
          <w:rFonts w:hint="eastAsia" w:ascii="仿宋_GB2312" w:hAnsi="仿宋_GB2312" w:eastAsia="仿宋_GB2312" w:cs="仿宋_GB2312"/>
          <w:sz w:val="32"/>
          <w:szCs w:val="32"/>
        </w:rPr>
        <w:t>头。</w:t>
      </w:r>
      <w:bookmarkStart w:id="73" w:name="_GoBack"/>
      <w:bookmarkEnd w:id="73"/>
    </w:p>
    <w:p w14:paraId="7CD6C2B3">
      <w:pPr>
        <w:spacing w:line="560"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rPr>
        <w:t>（四）脱贫攻坚工作</w:t>
      </w:r>
    </w:p>
    <w:p w14:paraId="7CE76734">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1、加强科普宣传</w:t>
      </w:r>
      <w:r>
        <w:rPr>
          <w:rFonts w:hint="eastAsia" w:ascii="仿宋_GB2312" w:hAnsi="仿宋_GB2312" w:eastAsia="仿宋_GB2312" w:cs="仿宋_GB2312"/>
          <w:kern w:val="0"/>
          <w:sz w:val="32"/>
          <w:szCs w:val="32"/>
        </w:rPr>
        <w:t>：科技活动宣传周活动1次，发放藏汉双语种养殖业科普实用技术丛书4种，200余册。</w:t>
      </w:r>
      <w:r>
        <w:rPr>
          <w:rFonts w:hint="eastAsia" w:ascii="仿宋_GB2312" w:hAnsi="仿宋_GB2312" w:eastAsia="仿宋_GB2312" w:cs="仿宋_GB2312"/>
          <w:sz w:val="32"/>
          <w:szCs w:val="32"/>
        </w:rPr>
        <w:t>开展各类科技培训3期，累计培训学员500余人。组织基层干部、致富带头人、企业技术骨干等学员前往绵阳考察学习1次，共计30余人。</w:t>
      </w:r>
    </w:p>
    <w:p w14:paraId="4A4A5192">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2、产业帮扶工作</w:t>
      </w:r>
      <w:r>
        <w:rPr>
          <w:rFonts w:hint="eastAsia" w:ascii="仿宋_GB2312" w:hAnsi="仿宋_GB2312" w:eastAsia="仿宋_GB2312" w:cs="仿宋_GB2312"/>
          <w:sz w:val="32"/>
          <w:szCs w:val="32"/>
        </w:rPr>
        <w:t>：为蔬菜种植农户引进三青莴笋种子4斤、辣椒苗5000株、百香果180（番茄）苗8000株。</w:t>
      </w:r>
    </w:p>
    <w:p w14:paraId="22E9F6B0">
      <w:pPr>
        <w:spacing w:line="560" w:lineRule="exact"/>
        <w:ind w:firstLine="643" w:firstLineChars="200"/>
        <w:rPr>
          <w:rFonts w:hint="eastAsia"/>
        </w:rPr>
      </w:pPr>
      <w:r>
        <w:rPr>
          <w:rFonts w:hint="eastAsia" w:ascii="仿宋_GB2312" w:hAnsi="仿宋_GB2312" w:eastAsia="仿宋_GB2312" w:cs="仿宋_GB2312"/>
          <w:b/>
          <w:bCs/>
          <w:sz w:val="32"/>
          <w:szCs w:val="32"/>
        </w:rPr>
        <w:t>3、科技扶贫在线平台工作</w:t>
      </w:r>
      <w:r>
        <w:rPr>
          <w:rFonts w:hint="eastAsia" w:ascii="仿宋_GB2312" w:hAnsi="仿宋_GB2312" w:eastAsia="仿宋_GB2312" w:cs="仿宋_GB2312"/>
          <w:sz w:val="32"/>
          <w:szCs w:val="32"/>
        </w:rPr>
        <w:t>：截止</w:t>
      </w:r>
      <w:r>
        <w:rPr>
          <w:rFonts w:hint="eastAsia" w:ascii="仿宋_GB2312" w:hAnsi="仿宋_GB2312" w:eastAsia="仿宋_GB2312" w:cs="仿宋_GB2312"/>
          <w:sz w:val="32"/>
          <w:szCs w:val="32"/>
          <w:lang w:val="en-US" w:eastAsia="zh-CN"/>
        </w:rPr>
        <w:t>2021年年底</w:t>
      </w:r>
      <w:r>
        <w:rPr>
          <w:rFonts w:hint="eastAsia" w:ascii="仿宋_GB2312" w:hAnsi="仿宋_GB2312" w:eastAsia="仿宋_GB2312" w:cs="仿宋_GB2312"/>
          <w:sz w:val="32"/>
          <w:szCs w:val="32"/>
        </w:rPr>
        <w:t>目前完成注册入库专家34名，信息人员245名，接受在线信息咨询222条，完成有效帮扶服务209余次。</w:t>
      </w:r>
    </w:p>
    <w:p w14:paraId="2C90538D">
      <w:pPr>
        <w:spacing w:line="560" w:lineRule="exact"/>
        <w:ind w:firstLine="643" w:firstLineChars="200"/>
        <w:rPr>
          <w:rFonts w:hint="eastAsia" w:ascii="仿宋_GB2312" w:hAnsi="仿宋_GB2312" w:eastAsia="仿宋_GB2312" w:cs="仿宋_GB2312"/>
          <w:kern w:val="0"/>
          <w:sz w:val="32"/>
          <w:szCs w:val="32"/>
        </w:rPr>
      </w:pPr>
      <w:r>
        <w:rPr>
          <w:rFonts w:hint="eastAsia" w:ascii="楷体" w:hAnsi="楷体" w:eastAsia="楷体" w:cs="楷体"/>
          <w:b/>
          <w:sz w:val="32"/>
          <w:szCs w:val="32"/>
        </w:rPr>
        <w:t>（五）项目建设工作：</w:t>
      </w:r>
      <w:r>
        <w:rPr>
          <w:rFonts w:hint="eastAsia" w:ascii="仿宋_GB2312" w:hAnsi="仿宋_GB2312" w:eastAsia="仿宋_GB2312" w:cs="仿宋_GB2312"/>
          <w:kern w:val="0"/>
          <w:sz w:val="32"/>
          <w:szCs w:val="32"/>
        </w:rPr>
        <w:t>1、2021年共实施农牧业项目28个,总投资10659.484435万元，其中：财政整合资金项目8个，总投资1838.98万元，行业项目类项目19个，总投资8645.5015万元。</w:t>
      </w:r>
    </w:p>
    <w:p w14:paraId="4225D564">
      <w:pPr>
        <w:pStyle w:val="4"/>
        <w:widowControl/>
        <w:adjustRightInd w:val="0"/>
        <w:snapToGrid w:val="0"/>
        <w:spacing w:before="0" w:beforeAutospacing="0" w:after="150" w:afterAutospacing="0" w:line="560" w:lineRule="exact"/>
        <w:ind w:firstLine="640" w:firstLineChars="200"/>
        <w:jc w:val="both"/>
        <w:rPr>
          <w:rFonts w:ascii="仿宋_GB2312" w:hAnsi="仿宋_GB2312" w:eastAsia="仿宋_GB2312" w:cs="仿宋_GB2312"/>
          <w:b w:val="0"/>
          <w:bCs/>
          <w:sz w:val="32"/>
          <w:szCs w:val="32"/>
        </w:rPr>
      </w:pPr>
      <w:r>
        <w:rPr>
          <w:rFonts w:ascii="仿宋_GB2312" w:hAnsi="仿宋_GB2312" w:eastAsia="仿宋_GB2312" w:cs="仿宋_GB2312"/>
          <w:b w:val="0"/>
          <w:kern w:val="0"/>
          <w:sz w:val="32"/>
          <w:szCs w:val="32"/>
        </w:rPr>
        <w:t>2、大力实施乡村振兴，补齐农业农村短板：</w:t>
      </w:r>
      <w:r>
        <w:rPr>
          <w:rFonts w:ascii="仿宋_GB2312" w:hAnsi="仿宋_GB2312" w:eastAsia="仿宋_GB2312" w:cs="仿宋_GB2312"/>
          <w:b w:val="0"/>
          <w:bCs/>
          <w:sz w:val="32"/>
          <w:szCs w:val="32"/>
        </w:rPr>
        <w:t>2021年我县整合资金12441万元，（其中：基础设施投入3909万元，产业投入</w:t>
      </w:r>
      <w:r>
        <w:rPr>
          <w:rFonts w:ascii="仿宋_GB2312" w:hAnsi="仿宋_GB2312" w:eastAsia="仿宋_GB2312" w:cs="仿宋_GB2312"/>
          <w:b w:val="0"/>
          <w:bCs/>
          <w:color w:val="000000"/>
          <w:sz w:val="32"/>
          <w:szCs w:val="32"/>
        </w:rPr>
        <w:t>7914.5</w:t>
      </w:r>
      <w:r>
        <w:rPr>
          <w:rFonts w:ascii="仿宋_GB2312" w:hAnsi="仿宋_GB2312" w:eastAsia="仿宋_GB2312" w:cs="仿宋_GB2312"/>
          <w:b w:val="0"/>
          <w:bCs/>
          <w:sz w:val="32"/>
          <w:szCs w:val="32"/>
        </w:rPr>
        <w:t>万元，人居环境整治投入567.5万元），共涉及项目59个，不断提升农村基础设施，推动产业发展。</w:t>
      </w:r>
    </w:p>
    <w:p w14:paraId="1D86534C">
      <w:pPr>
        <w:adjustRightInd w:val="0"/>
        <w:snapToGrid w:val="0"/>
        <w:spacing w:line="560" w:lineRule="exact"/>
        <w:ind w:firstLine="640" w:firstLineChars="200"/>
        <w:rPr>
          <w:rFonts w:hint="eastAsia" w:ascii="仿宋_GB2312" w:hAnsi="仿宋_GB2312" w:eastAsia="仿宋_GB2312" w:cs="仿宋_GB2312"/>
          <w:bCs/>
          <w:kern w:val="44"/>
          <w:sz w:val="32"/>
          <w:szCs w:val="32"/>
          <w:lang w:bidi="ar"/>
        </w:rPr>
      </w:pPr>
      <w:r>
        <w:rPr>
          <w:rFonts w:hint="eastAsia" w:ascii="仿宋_GB2312" w:hAnsi="仿宋_GB2312" w:eastAsia="仿宋_GB2312" w:cs="仿宋_GB2312"/>
          <w:bCs/>
          <w:kern w:val="44"/>
          <w:sz w:val="32"/>
          <w:szCs w:val="32"/>
          <w:lang w:bidi="ar"/>
        </w:rPr>
        <w:t>3、全面开展落实惠农政策：兑付2021年农业耕地地力保护补贴5.7万元；2021年农牧民补助奖励政策补助5277.835万元。</w:t>
      </w:r>
    </w:p>
    <w:p w14:paraId="13D03163">
      <w:pPr>
        <w:pStyle w:val="7"/>
        <w:spacing w:line="560" w:lineRule="exact"/>
        <w:ind w:firstLine="643"/>
        <w:rPr>
          <w:rFonts w:hint="eastAsia" w:ascii="楷体" w:hAnsi="楷体" w:eastAsia="楷体" w:cs="楷体"/>
          <w:b/>
          <w:color w:val="FF0000"/>
          <w:sz w:val="32"/>
          <w:szCs w:val="32"/>
        </w:rPr>
      </w:pPr>
      <w:r>
        <w:rPr>
          <w:rFonts w:hint="eastAsia" w:ascii="楷体" w:hAnsi="楷体" w:eastAsia="楷体" w:cs="楷体"/>
          <w:b/>
          <w:sz w:val="32"/>
          <w:szCs w:val="32"/>
        </w:rPr>
        <w:t>（六）乡村振兴战略稳步实施：</w:t>
      </w:r>
    </w:p>
    <w:p w14:paraId="1888E287">
      <w:pPr>
        <w:pStyle w:val="2"/>
        <w:spacing w:after="0" w:line="560" w:lineRule="exact"/>
        <w:ind w:left="0" w:leftChars="0"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1、加快农村人居环境整治，促进乡村生态振兴：</w:t>
      </w:r>
      <w:r>
        <w:rPr>
          <w:rFonts w:hint="eastAsia" w:ascii="仿宋_GB2312" w:hAnsi="仿宋_GB2312" w:eastAsia="仿宋_GB2312" w:cs="仿宋_GB2312"/>
          <w:sz w:val="32"/>
          <w:szCs w:val="32"/>
        </w:rPr>
        <w:t>2021年以来持续推进农村污水、垃圾、厕所“三大革命”，结合全域无垃圾示范创建，开展村庄清洁行动，</w:t>
      </w:r>
      <w:r>
        <w:rPr>
          <w:rFonts w:hint="eastAsia" w:ascii="仿宋_GB2312" w:hAnsi="仿宋_GB2312" w:eastAsia="仿宋_GB2312" w:cs="仿宋_GB2312"/>
          <w:kern w:val="0"/>
          <w:sz w:val="32"/>
          <w:szCs w:val="32"/>
          <w:lang w:bidi="ar"/>
        </w:rPr>
        <w:t>深入整治农村人居环境，</w:t>
      </w:r>
      <w:r>
        <w:rPr>
          <w:rFonts w:hint="eastAsia" w:ascii="仿宋_GB2312" w:hAnsi="仿宋_GB2312" w:eastAsia="仿宋_GB2312" w:cs="仿宋_GB2312"/>
          <w:b/>
          <w:bCs/>
          <w:kern w:val="0"/>
          <w:sz w:val="32"/>
          <w:szCs w:val="32"/>
          <w:lang w:bidi="ar"/>
        </w:rPr>
        <w:t>一是户厕：</w:t>
      </w:r>
      <w:r>
        <w:rPr>
          <w:rFonts w:hint="eastAsia" w:ascii="仿宋_GB2312" w:hAnsi="仿宋_GB2312" w:eastAsia="仿宋_GB2312" w:cs="仿宋_GB2312"/>
          <w:color w:val="000000"/>
          <w:sz w:val="32"/>
          <w:szCs w:val="32"/>
        </w:rPr>
        <w:t>新建农村户用无害化卫生厕所305户</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kern w:val="0"/>
          <w:sz w:val="32"/>
          <w:szCs w:val="32"/>
          <w:lang w:bidi="ar"/>
        </w:rPr>
        <w:t>二是污水</w:t>
      </w:r>
      <w:r>
        <w:rPr>
          <w:rFonts w:hint="eastAsia" w:ascii="仿宋_GB2312" w:hAnsi="仿宋_GB2312" w:eastAsia="仿宋_GB2312" w:cs="仿宋_GB2312"/>
          <w:b/>
          <w:bCs/>
          <w:sz w:val="32"/>
          <w:szCs w:val="32"/>
          <w:shd w:val="clear" w:color="auto" w:fill="FFFFFF"/>
        </w:rPr>
        <w:t>：</w:t>
      </w:r>
      <w:r>
        <w:rPr>
          <w:rFonts w:hint="eastAsia" w:ascii="仿宋_GB2312" w:hAnsi="仿宋_GB2312" w:eastAsia="仿宋_GB2312" w:cs="仿宋_GB2312"/>
          <w:sz w:val="32"/>
          <w:szCs w:val="32"/>
          <w:shd w:val="clear" w:color="auto" w:fill="FFFFFF"/>
        </w:rPr>
        <w:t>完成</w:t>
      </w:r>
      <w:r>
        <w:rPr>
          <w:rFonts w:hint="eastAsia" w:ascii="仿宋_GB2312" w:hAnsi="仿宋_GB2312" w:eastAsia="仿宋_GB2312" w:cs="仿宋_GB2312"/>
          <w:sz w:val="32"/>
          <w:szCs w:val="32"/>
        </w:rPr>
        <w:t>安曲镇下哈啦玛村污水处理站建设，现正在调试试运行中，邛溪镇热坤村污水已接入城区污水支管网进行处理，色地镇、瓦切镇、龙日镇三个集镇正在开展污水处理设施设备建设前期工作，刷经寺镇污水处理设施项目计划今年年底竣工。</w:t>
      </w:r>
      <w:r>
        <w:rPr>
          <w:rFonts w:hint="eastAsia" w:ascii="仿宋_GB2312" w:hAnsi="仿宋_GB2312" w:eastAsia="仿宋_GB2312" w:cs="仿宋_GB2312"/>
          <w:b/>
          <w:bCs/>
          <w:sz w:val="32"/>
          <w:szCs w:val="32"/>
        </w:rPr>
        <w:t>三是垃圾</w:t>
      </w:r>
      <w:r>
        <w:rPr>
          <w:rFonts w:hint="eastAsia" w:ascii="仿宋_GB2312" w:hAnsi="仿宋_GB2312" w:eastAsia="仿宋_GB2312" w:cs="仿宋_GB2312"/>
          <w:sz w:val="32"/>
          <w:szCs w:val="32"/>
        </w:rPr>
        <w:t>：各乡镇清理农村生活垃圾401吨，经过垃圾中转压缩站压缩后运往县垃圾焚烧厂处理。</w:t>
      </w:r>
      <w:r>
        <w:rPr>
          <w:rFonts w:hint="eastAsia" w:ascii="仿宋_GB2312" w:hAnsi="仿宋_GB2312" w:eastAsia="仿宋_GB2312" w:cs="仿宋_GB2312"/>
          <w:b/>
          <w:bCs/>
          <w:sz w:val="32"/>
          <w:szCs w:val="32"/>
        </w:rPr>
        <w:t>四是公厕：</w:t>
      </w:r>
      <w:r>
        <w:rPr>
          <w:rFonts w:hint="eastAsia" w:ascii="仿宋_GB2312" w:hAnsi="仿宋_GB2312" w:eastAsia="仿宋_GB2312" w:cs="仿宋_GB2312"/>
          <w:sz w:val="32"/>
          <w:szCs w:val="32"/>
        </w:rPr>
        <w:t>2021年结合省文旅大会召开契机，我县今年已改造公路沿线和城区公厕10座、新建公厕9座，计划投资410余万元，所有厕所均在7月30日前全部竣工并投入使用。</w:t>
      </w:r>
      <w:r>
        <w:rPr>
          <w:rFonts w:hint="eastAsia" w:ascii="楷体_GB2312" w:hAnsi="楷体_GB2312" w:eastAsia="楷体_GB2312" w:cs="楷体_GB2312"/>
          <w:b/>
          <w:bCs/>
          <w:sz w:val="32"/>
          <w:szCs w:val="32"/>
        </w:rPr>
        <w:t>五是村庄清洁：</w:t>
      </w:r>
      <w:r>
        <w:rPr>
          <w:rFonts w:hint="eastAsia" w:ascii="仿宋_GB2312" w:hAnsi="仿宋_GB2312" w:eastAsia="仿宋_GB2312" w:cs="仿宋_GB2312"/>
          <w:sz w:val="32"/>
          <w:szCs w:val="32"/>
        </w:rPr>
        <w:t>全县10个乡镇31个行政自然村截止本月收集清运农村生活垃圾401吨，清理村内沟渠52公里，发动农民群众投工投劳3300人次，开展进村入户宣传教育122场次3150人，张贴宣传标语数量10条。</w:t>
      </w:r>
      <w:r>
        <w:rPr>
          <w:rFonts w:hint="eastAsia" w:ascii="楷体_GB2312" w:hAnsi="楷体_GB2312" w:eastAsia="楷体_GB2312" w:cs="楷体_GB2312"/>
          <w:b/>
          <w:bCs/>
          <w:color w:val="000000"/>
          <w:sz w:val="32"/>
          <w:szCs w:val="32"/>
        </w:rPr>
        <w:t>六是畜禽养殖废弃物资源化利用情况:</w:t>
      </w:r>
      <w:r>
        <w:rPr>
          <w:rFonts w:hint="eastAsia" w:ascii="仿宋_GB2312" w:hAnsi="仿宋_GB2312" w:eastAsia="仿宋_GB2312" w:cs="仿宋_GB2312"/>
          <w:sz w:val="32"/>
          <w:szCs w:val="32"/>
        </w:rPr>
        <w:t>继续开展常态化工作，加大宣传动员，利用宣传栏，传单等形式进行大力宣传，同时加强执法监管，加大联合执法力度，坚决杜绝畜禽养殖污染的发生。</w:t>
      </w:r>
    </w:p>
    <w:p w14:paraId="44D02939">
      <w:pPr>
        <w:pStyle w:val="2"/>
        <w:spacing w:after="0" w:line="560" w:lineRule="exact"/>
        <w:ind w:left="0" w:leftChars="0" w:firstLine="643"/>
        <w:rPr>
          <w:rFonts w:hint="eastAsia" w:ascii="仿宋_GB2312" w:hAnsi="仿宋_GB2312" w:eastAsia="仿宋_GB2312" w:cs="仿宋_GB2312"/>
          <w:sz w:val="32"/>
          <w:szCs w:val="32"/>
        </w:rPr>
      </w:pPr>
      <w:r>
        <w:rPr>
          <w:rFonts w:hint="eastAsia" w:ascii="楷体" w:hAnsi="楷体" w:eastAsia="楷体" w:cs="楷体"/>
          <w:b/>
          <w:bCs/>
          <w:sz w:val="32"/>
          <w:szCs w:val="32"/>
        </w:rPr>
        <w:t>2、加快完善农村基本公共服务。</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不断强化省、州乡村振兴试点示范。持续巩固2020年省、州乡村振兴示范镇、村（州级先进乡镇：安曲镇；省级示范村：安曲镇下哈拉玛村；州级示范村：瓦切镇日干村）创建成果。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全力完成2020年续建项目，项目建成后，将有效提高乡村基础设施及公共文化服务水平，改善试点镇村农村人居环境，促进产业振兴、生态振兴和文化振兴。</w:t>
      </w:r>
    </w:p>
    <w:p w14:paraId="12A53D8A">
      <w:pPr>
        <w:pStyle w:val="2"/>
        <w:spacing w:line="560" w:lineRule="exact"/>
        <w:ind w:left="0" w:leftChars="0" w:firstLine="643"/>
        <w:rPr>
          <w:rFonts w:ascii="楷体" w:hAnsi="楷体" w:eastAsia="楷体" w:cs="楷体"/>
          <w:b/>
          <w:sz w:val="32"/>
          <w:szCs w:val="32"/>
        </w:rPr>
      </w:pPr>
      <w:r>
        <w:rPr>
          <w:rFonts w:hint="eastAsia" w:ascii="楷体" w:hAnsi="楷体" w:eastAsia="楷体" w:cs="楷体"/>
          <w:b/>
          <w:sz w:val="32"/>
          <w:szCs w:val="32"/>
        </w:rPr>
        <w:t>(七）农业农村改革深入推进</w:t>
      </w:r>
    </w:p>
    <w:p w14:paraId="4C84220F">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1、开展“长江黄河十年禁捕”宣传指导工作</w:t>
      </w:r>
      <w:r>
        <w:rPr>
          <w:rFonts w:hint="eastAsia" w:ascii="仿宋_GB2312" w:hAnsi="仿宋_GB2312" w:eastAsia="仿宋_GB2312" w:cs="仿宋_GB2312"/>
          <w:color w:val="000000"/>
          <w:sz w:val="32"/>
          <w:szCs w:val="32"/>
        </w:rPr>
        <w:t>：办理长江黄河十年禁捕违法捕捞、运输野生鱼类案件2起，处罚金33600元。</w:t>
      </w:r>
    </w:p>
    <w:p w14:paraId="41EB0D97">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2、增值放流工作</w:t>
      </w:r>
      <w:r>
        <w:rPr>
          <w:rFonts w:hint="eastAsia" w:ascii="仿宋_GB2312" w:hAnsi="仿宋_GB2312" w:eastAsia="仿宋_GB2312" w:cs="仿宋_GB2312"/>
          <w:color w:val="000000"/>
          <w:sz w:val="32"/>
          <w:szCs w:val="32"/>
        </w:rPr>
        <w:t>：放流珍稀鱼苗似鲶高原鳅9528尾、经济鱼苗黄河裸裂尻37000尾。</w:t>
      </w:r>
    </w:p>
    <w:p w14:paraId="1E6DCA9E">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3、开展农村面源污染防治工作</w:t>
      </w:r>
      <w:r>
        <w:rPr>
          <w:rFonts w:hint="eastAsia" w:ascii="仿宋_GB2312" w:hAnsi="仿宋_GB2312" w:eastAsia="仿宋_GB2312" w:cs="仿宋_GB2312"/>
          <w:color w:val="000000"/>
          <w:sz w:val="32"/>
          <w:szCs w:val="32"/>
        </w:rPr>
        <w:t xml:space="preserve">：安装面源污染防治标识标牌10个。 </w:t>
      </w:r>
    </w:p>
    <w:p w14:paraId="28F9F7EE">
      <w:pPr>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eastAsia="仿宋_GB2312"/>
          <w:b/>
          <w:bCs/>
          <w:color w:val="000000"/>
          <w:sz w:val="32"/>
          <w:szCs w:val="32"/>
        </w:rPr>
        <w:t>4、农机安全生产工作</w:t>
      </w:r>
      <w:r>
        <w:rPr>
          <w:rFonts w:hint="eastAsia" w:ascii="仿宋_GB2312" w:eastAsia="仿宋_GB2312"/>
          <w:color w:val="000000"/>
          <w:sz w:val="32"/>
          <w:szCs w:val="32"/>
        </w:rPr>
        <w:t>：农机安全生产宣传和农机购置补贴政策宣传3次，发放宣传资料490余份，出动人员23人次。受教育人数达590人次。</w:t>
      </w:r>
      <w:r>
        <w:rPr>
          <w:rFonts w:hint="eastAsia" w:ascii="仿宋_GB2312" w:hAnsi="仿宋_GB2312" w:eastAsia="仿宋_GB2312" w:cs="仿宋_GB2312"/>
          <w:color w:val="000000"/>
          <w:sz w:val="32"/>
          <w:szCs w:val="32"/>
        </w:rPr>
        <w:t xml:space="preserve">     </w:t>
      </w:r>
    </w:p>
    <w:p w14:paraId="77E072D3">
      <w:pPr>
        <w:pStyle w:val="7"/>
        <w:spacing w:line="560" w:lineRule="exact"/>
        <w:ind w:firstLine="643"/>
        <w:rPr>
          <w:rFonts w:ascii="楷体" w:hAnsi="楷体" w:eastAsia="楷体" w:cs="楷体"/>
          <w:b/>
          <w:sz w:val="32"/>
          <w:szCs w:val="32"/>
        </w:rPr>
      </w:pPr>
      <w:r>
        <w:rPr>
          <w:rFonts w:hint="eastAsia" w:ascii="楷体" w:hAnsi="楷体" w:eastAsia="楷体" w:cs="楷体"/>
          <w:b/>
          <w:sz w:val="32"/>
          <w:szCs w:val="32"/>
        </w:rPr>
        <w:t>（八）草原生态保护补助奖励机制工作</w:t>
      </w:r>
    </w:p>
    <w:p w14:paraId="7D8E05BA">
      <w:pPr>
        <w:pStyle w:val="7"/>
        <w:spacing w:line="560" w:lineRule="exact"/>
        <w:ind w:firstLine="640"/>
        <w:rPr>
          <w:rFonts w:hint="eastAsia" w:ascii="仿宋_GB2312" w:hAnsi="仿宋_GB2312" w:eastAsia="仿宋_GB2312" w:cs="仿宋_GB2312"/>
          <w:bCs/>
          <w:kern w:val="44"/>
          <w:sz w:val="32"/>
          <w:szCs w:val="32"/>
          <w:lang w:bidi="ar"/>
        </w:rPr>
      </w:pPr>
      <w:r>
        <w:rPr>
          <w:rFonts w:hint="eastAsia" w:ascii="仿宋_GB2312" w:hAnsi="仿宋_GB2312" w:eastAsia="仿宋_GB2312" w:cs="仿宋_GB2312"/>
          <w:bCs/>
          <w:kern w:val="44"/>
          <w:sz w:val="32"/>
          <w:szCs w:val="32"/>
          <w:lang w:bidi="ar"/>
        </w:rPr>
        <w:t>目前实施禁牧476万亩，推行草畜平衡643.15万亩。</w:t>
      </w:r>
    </w:p>
    <w:p w14:paraId="3782E583">
      <w:pPr>
        <w:spacing w:line="56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（九）动物疫病防控工作</w:t>
      </w:r>
    </w:p>
    <w:p w14:paraId="457B7D05">
      <w:pPr>
        <w:tabs>
          <w:tab w:val="left" w:pos="6810"/>
        </w:tabs>
        <w:ind w:firstLine="640" w:firstLineChars="200"/>
        <w:rPr>
          <w:rFonts w:hint="eastAsia" w:ascii="仿宋_GB2312" w:hAnsi="仿宋_GB2312" w:eastAsia="仿宋_GB2312" w:cs="仿宋_GB2312"/>
          <w:bCs/>
          <w:kern w:val="44"/>
          <w:sz w:val="32"/>
          <w:szCs w:val="32"/>
          <w:lang w:bidi="ar"/>
        </w:rPr>
      </w:pPr>
      <w:r>
        <w:rPr>
          <w:rFonts w:hint="eastAsia" w:ascii="仿宋_GB2312" w:hAnsi="仿宋_GB2312" w:eastAsia="仿宋_GB2312" w:cs="仿宋_GB2312"/>
          <w:bCs/>
          <w:kern w:val="44"/>
          <w:sz w:val="32"/>
          <w:szCs w:val="32"/>
          <w:lang w:bidi="ar"/>
        </w:rPr>
        <w:t>狠抓强制免疫工作，截止目前为止共发放口蹄疫二价苗360万ml，布氏杆菌疫苗904万头份、布氏杆菌苗稀释液904ml，小反刍兽疫疫苗3万头份，多杀性巴士杆菌病灭活苗1280万ml，无荚膜炭疽芽孢疫苗180万头份，羊快疫、猝狙、羔羊痢疾、肠毒血症三联四防活疫苗24万ml，犊牛副伤寒130万ml、包虫病犬驱虫药268800片。</w:t>
      </w:r>
    </w:p>
    <w:p w14:paraId="2814D006">
      <w:pPr>
        <w:pStyle w:val="2"/>
        <w:ind w:left="0" w:leftChars="0" w:firstLine="643"/>
        <w:rPr>
          <w:rFonts w:hint="eastAsia" w:ascii="楷体" w:hAnsi="楷体" w:eastAsia="楷体" w:cs="楷体"/>
          <w:b/>
          <w:bCs/>
          <w:sz w:val="32"/>
          <w:szCs w:val="32"/>
        </w:rPr>
      </w:pPr>
      <w:r>
        <w:rPr>
          <w:rFonts w:hint="eastAsia" w:ascii="楷体" w:hAnsi="楷体" w:eastAsia="楷体" w:cs="楷体"/>
          <w:b/>
          <w:bCs/>
          <w:sz w:val="32"/>
          <w:szCs w:val="32"/>
        </w:rPr>
        <w:t>（十）切实开展农畜产品质量安全保障工作</w:t>
      </w:r>
    </w:p>
    <w:p w14:paraId="4DDA3FEE">
      <w:pPr>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kern w:val="44"/>
          <w:sz w:val="32"/>
          <w:szCs w:val="32"/>
          <w:lang w:bidi="ar"/>
        </w:rPr>
        <w:t>1、实验室检测工作</w:t>
      </w:r>
      <w:r>
        <w:rPr>
          <w:rFonts w:hint="eastAsia" w:ascii="仿宋_GB2312" w:hAnsi="仿宋_GB2312" w:eastAsia="仿宋_GB2312" w:cs="仿宋_GB2312"/>
          <w:bCs/>
          <w:kern w:val="44"/>
          <w:sz w:val="32"/>
          <w:szCs w:val="32"/>
          <w:lang w:bidi="ar"/>
        </w:rPr>
        <w:t>：</w:t>
      </w:r>
      <w:r>
        <w:rPr>
          <w:rFonts w:hint="eastAsia" w:ascii="仿宋_GB2312" w:hAnsi="仿宋_GB2312" w:eastAsia="仿宋_GB2312" w:cs="仿宋_GB2312"/>
          <w:sz w:val="32"/>
          <w:szCs w:val="32"/>
        </w:rPr>
        <w:t>共508个检测任务，检测完成率100%，监测结果均合格。</w:t>
      </w:r>
    </w:p>
    <w:p w14:paraId="5744A79A">
      <w:pPr>
        <w:ind w:firstLine="643"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b/>
          <w:bCs/>
          <w:sz w:val="32"/>
          <w:szCs w:val="32"/>
        </w:rPr>
        <w:t>2、农产品质量安全追溯体系建设工作</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基地巡查共计录入300条，生产经营主体农产品质量安全追溯管理信息平台产品生产批次已录入1020条、销售批次1385条，全面完成2021年度任务。</w:t>
      </w:r>
    </w:p>
    <w:p w14:paraId="2AD11806">
      <w:pPr>
        <w:ind w:firstLine="643"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3、三品一标工作</w:t>
      </w:r>
      <w:r>
        <w:rPr>
          <w:rFonts w:hint="eastAsia" w:ascii="仿宋_GB2312" w:hAnsi="仿宋_GB2312" w:eastAsia="仿宋_GB2312" w:cs="仿宋_GB2312"/>
          <w:color w:val="000000"/>
          <w:kern w:val="0"/>
          <w:sz w:val="32"/>
          <w:szCs w:val="32"/>
        </w:rPr>
        <w:t>：截止目前，“三品一标”产品共计34个，新申报无公害农产品3个。开具打印有效合格证1272张。</w:t>
      </w:r>
    </w:p>
    <w:p w14:paraId="34851CAD">
      <w:pPr>
        <w:pStyle w:val="2"/>
        <w:ind w:left="0" w:leftChars="0" w:firstLine="643"/>
        <w:rPr>
          <w:rFonts w:hint="eastAsia" w:ascii="楷体" w:hAnsi="楷体" w:eastAsia="楷体" w:cs="楷体"/>
          <w:b/>
          <w:bCs/>
          <w:sz w:val="32"/>
          <w:szCs w:val="32"/>
        </w:rPr>
      </w:pPr>
      <w:r>
        <w:rPr>
          <w:rFonts w:hint="eastAsia" w:ascii="楷体" w:hAnsi="楷体" w:eastAsia="楷体" w:cs="楷体"/>
          <w:b/>
          <w:bCs/>
          <w:color w:val="000000"/>
          <w:kern w:val="0"/>
          <w:sz w:val="32"/>
          <w:szCs w:val="32"/>
        </w:rPr>
        <w:t>（十一）积极推动畜牧改良工作</w:t>
      </w:r>
    </w:p>
    <w:p w14:paraId="1F653C3C">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1、红原县有机肥处理厂建设：</w:t>
      </w:r>
      <w:r>
        <w:rPr>
          <w:rFonts w:hint="eastAsia" w:ascii="仿宋_GB2312" w:hAnsi="仿宋_GB2312" w:eastAsia="仿宋_GB2312" w:cs="仿宋_GB2312"/>
          <w:sz w:val="32"/>
          <w:szCs w:val="32"/>
        </w:rPr>
        <w:t>红原县建立有机肥处理厂一座，占地16余亩，预计年处理畜禽粪便1.5万吨，生产有机肥1.1万吨。</w:t>
      </w:r>
    </w:p>
    <w:p w14:paraId="709C6E5C">
      <w:p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2、牦牛冻精改良工作：</w:t>
      </w:r>
      <w:r>
        <w:rPr>
          <w:rFonts w:hint="eastAsia" w:ascii="仿宋_GB2312" w:hAnsi="仿宋_GB2312" w:eastAsia="仿宋_GB2312" w:cs="仿宋_GB2312"/>
          <w:sz w:val="32"/>
          <w:szCs w:val="32"/>
        </w:rPr>
        <w:t>2021年红原县共设牦牛冻精改良点33个，参配母牦牛2200余头</w:t>
      </w:r>
      <w:r>
        <w:rPr>
          <w:rFonts w:hint="eastAsia" w:ascii="仿宋_GB2312" w:hAnsi="仿宋_GB2312" w:eastAsia="仿宋_GB2312" w:cs="仿宋_GB2312"/>
          <w:sz w:val="32"/>
          <w:szCs w:val="32"/>
          <w:lang w:eastAsia="zh-CN"/>
        </w:rPr>
        <w:t>。</w:t>
      </w:r>
    </w:p>
    <w:p w14:paraId="380445C7">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3、牲畜良种工作：</w:t>
      </w:r>
      <w:r>
        <w:rPr>
          <w:rFonts w:hint="eastAsia" w:ascii="仿宋_GB2312" w:hAnsi="仿宋_GB2312" w:eastAsia="仿宋_GB2312" w:cs="仿宋_GB2312"/>
          <w:sz w:val="32"/>
          <w:szCs w:val="32"/>
        </w:rPr>
        <w:t>红原县2021年牲畜良种补贴项目补贴种公牛158头，每头补贴5000元。</w:t>
      </w:r>
    </w:p>
    <w:p w14:paraId="2CCAC7CC">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（十二）农村新冠疫情防控。</w:t>
      </w:r>
    </w:p>
    <w:p w14:paraId="27EED793">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eastAsia="仿宋_GB2312" w:cs="仿宋_GB2312"/>
          <w:b/>
          <w:color w:val="333333"/>
          <w:sz w:val="32"/>
          <w:szCs w:val="32"/>
        </w:rPr>
        <w:t>强化组织领导、压实工作责任：</w:t>
      </w:r>
      <w:r>
        <w:rPr>
          <w:rFonts w:hint="eastAsia" w:ascii="仿宋_GB2312" w:hAnsi="仿宋_GB2312" w:eastAsia="仿宋_GB2312" w:cs="仿宋_GB2312"/>
          <w:sz w:val="32"/>
          <w:szCs w:val="32"/>
        </w:rPr>
        <w:t>全面落实结合《红原县新冠肺炎疫情常态化防控工作方案》、《红原县新冠肺炎疫情防控工作应急预案》等文件要求，重点推动落实疫情防控决策部署和要求，落实镇、村属地管理责任，联防联控机制建立以及疫情监测排查、重点人员健康管理等措施，适时开展督查指导，压实工作责任。</w:t>
      </w:r>
    </w:p>
    <w:p w14:paraId="473DB61F">
      <w:pPr>
        <w:spacing w:line="560" w:lineRule="exact"/>
        <w:ind w:firstLine="640" w:firstLineChars="200"/>
        <w:rPr>
          <w:rStyle w:val="45"/>
          <w:rFonts w:hint="eastAsia" w:ascii="仿宋_GB2312" w:eastAsia="仿宋_GB2312"/>
          <w:color w:val="000000"/>
          <w:spacing w:val="-6"/>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
          <w:bCs/>
          <w:sz w:val="32"/>
          <w:szCs w:val="32"/>
        </w:rPr>
        <w:t>农村疫情宣传情况：</w:t>
      </w:r>
      <w:r>
        <w:rPr>
          <w:rStyle w:val="45"/>
          <w:rFonts w:hint="eastAsia" w:ascii="仿宋_GB2312" w:eastAsia="仿宋_GB2312"/>
          <w:color w:val="000000"/>
          <w:spacing w:val="-6"/>
          <w:sz w:val="32"/>
          <w:szCs w:val="32"/>
        </w:rPr>
        <w:t>突出重点，推进疫情防控工作常态化、长效化。各乡镇农业农村服务中心</w:t>
      </w:r>
      <w:r>
        <w:rPr>
          <w:rFonts w:hint="eastAsia" w:ascii="仿宋_GB2312" w:hAnsi="仿宋_GB2312" w:eastAsia="仿宋_GB2312" w:cs="仿宋_GB2312"/>
          <w:color w:val="000000"/>
          <w:sz w:val="32"/>
          <w:szCs w:val="32"/>
        </w:rPr>
        <w:t>通过走村入户、村村通、流动宣传车、张贴发放告示、微信短信等线上线下各类宣传途径宣传疫情防控知识、个人防护措施。结合冬春疫情防控大宣传行动，开展“两联一进”群众全覆盖工作，宣传文明卫生习惯、动物疫病防控知识、新冠肺炎疫情季传染病防控知识，积极引导群众正确认识疫情，科学佩戴口罩，少聚集。截至目前宣传</w:t>
      </w:r>
      <w:r>
        <w:rPr>
          <w:rStyle w:val="45"/>
          <w:rFonts w:hint="eastAsia" w:ascii="仿宋_GB2312" w:eastAsia="仿宋_GB2312"/>
          <w:color w:val="000000"/>
          <w:spacing w:val="-6"/>
          <w:sz w:val="32"/>
          <w:szCs w:val="32"/>
        </w:rPr>
        <w:t>累计</w:t>
      </w:r>
      <w:r>
        <w:rPr>
          <w:rStyle w:val="45"/>
          <w:rFonts w:hint="eastAsia" w:ascii="仿宋_GB2312" w:eastAsia="仿宋_GB2312"/>
          <w:spacing w:val="-6"/>
          <w:sz w:val="32"/>
          <w:szCs w:val="32"/>
        </w:rPr>
        <w:t>246</w:t>
      </w:r>
      <w:r>
        <w:rPr>
          <w:rStyle w:val="45"/>
          <w:rFonts w:hint="eastAsia" w:ascii="仿宋_GB2312" w:eastAsia="仿宋_GB2312"/>
          <w:color w:val="000000"/>
          <w:spacing w:val="-6"/>
          <w:sz w:val="32"/>
          <w:szCs w:val="32"/>
        </w:rPr>
        <w:t>次。</w:t>
      </w:r>
    </w:p>
    <w:p w14:paraId="70503B5C">
      <w:pPr>
        <w:pStyle w:val="9"/>
        <w:spacing w:before="93" w:line="560" w:lineRule="exact"/>
        <w:ind w:firstLine="643" w:firstLineChars="200"/>
        <w:rPr>
          <w:rStyle w:val="22"/>
          <w:rFonts w:ascii="楷体" w:hAnsi="楷体" w:eastAsia="楷体"/>
          <w:spacing w:val="-20"/>
          <w:kern w:val="0"/>
        </w:rPr>
      </w:pPr>
      <w:r>
        <w:rPr>
          <w:rFonts w:hint="eastAsia" w:ascii="黑体" w:eastAsia="黑体"/>
          <w:b/>
          <w:color w:val="000000"/>
          <w:sz w:val="32"/>
          <w:szCs w:val="32"/>
        </w:rPr>
        <w:t>二、</w:t>
      </w:r>
      <w:r>
        <w:rPr>
          <w:rFonts w:hint="eastAsia" w:ascii="黑体" w:hAnsi="黑体" w:eastAsia="黑体"/>
          <w:b/>
          <w:color w:val="000000"/>
          <w:sz w:val="32"/>
          <w:szCs w:val="32"/>
        </w:rPr>
        <w:t>机</w:t>
      </w:r>
      <w:r>
        <w:rPr>
          <w:rStyle w:val="22"/>
          <w:rFonts w:hint="eastAsia" w:ascii="黑体" w:hAnsi="黑体" w:eastAsia="黑体"/>
        </w:rPr>
        <w:t>构设置</w:t>
      </w:r>
      <w:bookmarkEnd w:id="20"/>
      <w:bookmarkEnd w:id="21"/>
    </w:p>
    <w:p w14:paraId="09923CEF">
      <w:pPr>
        <w:ind w:firstLine="640" w:firstLineChars="200"/>
        <w:rPr>
          <w:rFonts w:ascii="仿宋_GB2312" w:eastAsia="仿宋_GB2312"/>
          <w:sz w:val="32"/>
          <w:szCs w:val="32"/>
        </w:rPr>
      </w:pPr>
      <w:r>
        <w:rPr>
          <w:rFonts w:hint="eastAsia" w:ascii="仿宋" w:hAnsi="仿宋" w:eastAsia="仿宋"/>
          <w:sz w:val="32"/>
          <w:szCs w:val="32"/>
        </w:rPr>
        <w:t>我单位为独立核算全额拨款行政单位，</w:t>
      </w:r>
      <w:r>
        <w:rPr>
          <w:rFonts w:hint="eastAsia" w:ascii="仿宋_GB2312" w:eastAsia="仿宋_GB2312"/>
          <w:sz w:val="32"/>
          <w:szCs w:val="32"/>
        </w:rPr>
        <w:t>下设内设机构</w:t>
      </w:r>
      <w:r>
        <w:rPr>
          <w:rFonts w:hint="eastAsia" w:ascii="仿宋_GB2312" w:eastAsia="仿宋_GB2312"/>
          <w:sz w:val="32"/>
          <w:szCs w:val="32"/>
          <w:lang w:val="en-US" w:eastAsia="zh-CN"/>
        </w:rPr>
        <w:t>5</w:t>
      </w:r>
      <w:r>
        <w:rPr>
          <w:rFonts w:hint="eastAsia" w:ascii="仿宋_GB2312" w:eastAsia="仿宋_GB2312"/>
          <w:sz w:val="32"/>
          <w:szCs w:val="32"/>
        </w:rPr>
        <w:t>个，下属参公事业站股</w:t>
      </w:r>
      <w:r>
        <w:rPr>
          <w:rFonts w:hint="eastAsia" w:ascii="仿宋_GB2312" w:eastAsia="仿宋_GB2312"/>
          <w:sz w:val="32"/>
          <w:szCs w:val="32"/>
          <w:lang w:val="en-US" w:eastAsia="zh-CN"/>
        </w:rPr>
        <w:t>3</w:t>
      </w:r>
      <w:r>
        <w:rPr>
          <w:rFonts w:hint="eastAsia" w:ascii="仿宋_GB2312" w:eastAsia="仿宋_GB2312"/>
          <w:sz w:val="32"/>
          <w:szCs w:val="32"/>
        </w:rPr>
        <w:t>个，下属事业站股</w:t>
      </w:r>
      <w:r>
        <w:rPr>
          <w:rFonts w:hint="eastAsia" w:ascii="仿宋_GB2312" w:eastAsia="仿宋_GB2312"/>
          <w:sz w:val="32"/>
          <w:szCs w:val="32"/>
          <w:lang w:val="en-US" w:eastAsia="zh-CN"/>
        </w:rPr>
        <w:t>8</w:t>
      </w:r>
      <w:r>
        <w:rPr>
          <w:rFonts w:hint="eastAsia" w:ascii="仿宋_GB2312" w:eastAsia="仿宋_GB2312"/>
          <w:sz w:val="32"/>
          <w:szCs w:val="32"/>
        </w:rPr>
        <w:t>个。纳入红原县科农局</w:t>
      </w:r>
      <w:r>
        <w:rPr>
          <w:rFonts w:ascii="仿宋_GB2312" w:eastAsia="仿宋_GB2312"/>
          <w:sz w:val="32"/>
          <w:szCs w:val="32"/>
        </w:rPr>
        <w:t>2021</w:t>
      </w:r>
      <w:r>
        <w:rPr>
          <w:rFonts w:hint="eastAsia" w:ascii="仿宋_GB2312" w:eastAsia="仿宋_GB2312"/>
          <w:sz w:val="32"/>
          <w:szCs w:val="32"/>
        </w:rPr>
        <w:t>年度部门决算编制范围的二级预算单位为</w:t>
      </w:r>
      <w:r>
        <w:rPr>
          <w:rFonts w:ascii="仿宋_GB2312" w:eastAsia="仿宋_GB2312"/>
          <w:sz w:val="32"/>
          <w:szCs w:val="32"/>
        </w:rPr>
        <w:t>0</w:t>
      </w:r>
      <w:r>
        <w:rPr>
          <w:rFonts w:hint="eastAsia" w:ascii="仿宋_GB2312" w:eastAsia="仿宋_GB2312"/>
          <w:sz w:val="32"/>
          <w:szCs w:val="32"/>
        </w:rPr>
        <w:t>个。</w:t>
      </w:r>
    </w:p>
    <w:p w14:paraId="0DC19DCC">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43D2CD96">
      <w:pPr>
        <w:pStyle w:val="4"/>
        <w:keepNext/>
        <w:keepLines/>
        <w:pageBreakBefore w:val="0"/>
        <w:widowControl w:val="0"/>
        <w:kinsoku/>
        <w:wordWrap/>
        <w:overflowPunct/>
        <w:topLinePunct w:val="0"/>
        <w:autoSpaceDE/>
        <w:autoSpaceDN/>
        <w:bidi w:val="0"/>
        <w:adjustRightInd/>
        <w:snapToGrid/>
        <w:spacing w:before="0" w:after="0" w:line="576" w:lineRule="exact"/>
        <w:ind w:right="0"/>
        <w:jc w:val="right"/>
        <w:textAlignment w:val="auto"/>
        <w:outlineLvl w:val="0"/>
      </w:pPr>
      <w:bookmarkStart w:id="22" w:name="_Toc15377204"/>
      <w:bookmarkStart w:id="23" w:name="_Toc15396602"/>
      <w:r>
        <w:rPr>
          <w:rFonts w:hint="eastAsia" w:ascii="黑体" w:hAnsi="黑体" w:eastAsia="黑体"/>
          <w:b w:val="0"/>
          <w:color w:val="000000"/>
        </w:rPr>
        <w:t>第二部分</w:t>
      </w:r>
      <w:r>
        <w:rPr>
          <w:rFonts w:ascii="黑体" w:hAnsi="黑体" w:eastAsia="黑体"/>
          <w:color w:val="000000"/>
        </w:rPr>
        <w:t xml:space="preserve"> </w:t>
      </w:r>
      <w:r>
        <w:rPr>
          <w:rStyle w:val="21"/>
          <w:rFonts w:ascii="黑体" w:hAnsi="黑体" w:eastAsia="黑体"/>
          <w:b w:val="0"/>
          <w:bCs w:val="0"/>
        </w:rPr>
        <w:t>2021</w:t>
      </w:r>
      <w:r>
        <w:rPr>
          <w:rStyle w:val="21"/>
          <w:rFonts w:hint="eastAsia" w:ascii="黑体" w:hAnsi="黑体" w:eastAsia="黑体"/>
          <w:b w:val="0"/>
          <w:bCs w:val="0"/>
        </w:rPr>
        <w:t>年度部门决算情况说明</w:t>
      </w:r>
      <w:bookmarkEnd w:id="22"/>
      <w:bookmarkEnd w:id="23"/>
    </w:p>
    <w:p w14:paraId="1A27DE99">
      <w:pPr>
        <w:pStyle w:val="34"/>
        <w:numPr>
          <w:ilvl w:val="0"/>
          <w:numId w:val="2"/>
        </w:numPr>
        <w:spacing w:line="600" w:lineRule="exact"/>
        <w:ind w:firstLineChars="0"/>
        <w:outlineLvl w:val="1"/>
        <w:rPr>
          <w:rStyle w:val="22"/>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2"/>
          <w:rFonts w:hint="eastAsia" w:ascii="黑体" w:hAnsi="黑体" w:eastAsia="黑体"/>
          <w:b w:val="0"/>
        </w:rPr>
        <w:t>入支出决算总体情况说明</w:t>
      </w:r>
      <w:bookmarkEnd w:id="24"/>
      <w:bookmarkEnd w:id="25"/>
    </w:p>
    <w:p w14:paraId="652F9934">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2021年度年收、支总计</w:t>
      </w:r>
      <w:r>
        <w:rPr>
          <w:rFonts w:hint="eastAsia" w:ascii="仿宋_GB2312" w:hAnsi="仿宋_GB2312" w:eastAsia="仿宋_GB2312" w:cs="仿宋_GB2312"/>
          <w:color w:val="000000"/>
          <w:sz w:val="32"/>
          <w:szCs w:val="32"/>
          <w:lang w:val="en-US" w:eastAsia="zh-CN"/>
        </w:rPr>
        <w:t>15317.84</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年相比收、支总计各</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109.02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0.72</w:t>
      </w:r>
      <w:r>
        <w:rPr>
          <w:rFonts w:hint="eastAsia" w:ascii="仿宋_GB2312" w:hAnsi="仿宋_GB2312" w:eastAsia="仿宋_GB2312" w:cs="仿宋_GB2312"/>
          <w:color w:val="000000"/>
          <w:sz w:val="32"/>
          <w:szCs w:val="32"/>
        </w:rPr>
        <w:t>%，减少原因是：2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年单位承担建设的项目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，相应下达项目资金也</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14:paraId="386CBE6E">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（图1：收、支决算总计变动情况图）（柱状图）</w:t>
      </w:r>
    </w:p>
    <w:p w14:paraId="1DEB71C1">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5" o:spt="75" type="#_x0000_t75" style="height:142.5pt;width:216pt;" o:ole="t" filled="f" o:preferrelative="t" stroked="f" coordsize="21600,21600">
            <v:path/>
            <v:fill on="f" focussize="0,0"/>
            <v:stroke on="f"/>
            <v:imagedata r:id="rId9" o:title=""/>
            <o:lock v:ext="edit" aspectratio="t"/>
            <w10:wrap type="none"/>
            <w10:anchorlock/>
          </v:shape>
          <o:OLEObject Type="Embed" ProgID="MSGraph.Chart.8" ShapeID="_x0000_i1025" DrawAspect="Content" ObjectID="_1468075725" r:id="rId8">
            <o:LockedField>false</o:LockedField>
          </o:OLEObject>
        </w:object>
      </w:r>
    </w:p>
    <w:p w14:paraId="65913D29">
      <w:pPr>
        <w:pStyle w:val="34"/>
        <w:numPr>
          <w:ilvl w:val="0"/>
          <w:numId w:val="2"/>
        </w:numPr>
        <w:spacing w:line="600" w:lineRule="exact"/>
        <w:ind w:firstLineChars="0"/>
        <w:outlineLvl w:val="1"/>
        <w:rPr>
          <w:rStyle w:val="22"/>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2"/>
          <w:rFonts w:hint="eastAsia" w:ascii="黑体" w:hAnsi="黑体" w:eastAsia="黑体"/>
          <w:b w:val="0"/>
        </w:rPr>
        <w:t>入决算情况说明</w:t>
      </w:r>
      <w:bookmarkEnd w:id="26"/>
      <w:bookmarkEnd w:id="27"/>
    </w:p>
    <w:p w14:paraId="1E045B46">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w:t>
      </w:r>
      <w:r>
        <w:rPr>
          <w:rFonts w:hint="eastAsia" w:ascii="仿宋_GB2312" w:hAnsi="仿宋_GB2312" w:eastAsia="仿宋_GB2312" w:cs="仿宋_GB2312"/>
          <w:color w:val="000000"/>
          <w:sz w:val="32"/>
          <w:szCs w:val="32"/>
          <w:lang w:val="en-US" w:eastAsia="zh-CN"/>
        </w:rPr>
        <w:t>14286.98</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14017.18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98.11</w:t>
      </w:r>
      <w:r>
        <w:rPr>
          <w:rFonts w:hint="eastAsia" w:ascii="仿宋_GB2312" w:hAnsi="仿宋_GB2312" w:eastAsia="仿宋_GB2312" w:cs="仿宋_GB2312"/>
          <w:color w:val="000000"/>
          <w:sz w:val="32"/>
          <w:szCs w:val="32"/>
        </w:rPr>
        <w:t>%；政府性基金预算财政拨款收入0.00万元，占0.00%；上级补助收入0.00万元，占0.00%；事业收入0.00万元，占0.00%；经营收入0.00万元，占0.00%；附属单位上缴收入0.00万元，占0.00%；其他收入</w:t>
      </w:r>
      <w:r>
        <w:rPr>
          <w:rFonts w:hint="eastAsia" w:ascii="仿宋_GB2312" w:hAnsi="仿宋_GB2312" w:eastAsia="仿宋_GB2312" w:cs="仿宋_GB2312"/>
          <w:color w:val="000000"/>
          <w:sz w:val="32"/>
          <w:szCs w:val="32"/>
          <w:lang w:val="en-US" w:eastAsia="zh-CN"/>
        </w:rPr>
        <w:t>269.80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1.89</w:t>
      </w:r>
      <w:r>
        <w:rPr>
          <w:rFonts w:hint="eastAsia" w:ascii="仿宋_GB2312" w:hAnsi="仿宋_GB2312" w:eastAsia="仿宋_GB2312" w:cs="仿宋_GB2312"/>
          <w:color w:val="000000"/>
          <w:sz w:val="32"/>
          <w:szCs w:val="32"/>
        </w:rPr>
        <w:t>%。</w:t>
      </w:r>
    </w:p>
    <w:p w14:paraId="5707ADE8">
      <w:pPr>
        <w:spacing w:line="600" w:lineRule="exact"/>
        <w:ind w:firstLine="640" w:firstLineChars="200"/>
        <w:outlineLvl w:val="1"/>
        <w:rPr>
          <w:rFonts w:ascii="仿宋" w:hAnsi="仿宋" w:eastAsia="仿宋"/>
          <w:color w:val="000000"/>
          <w:sz w:val="32"/>
          <w:szCs w:val="32"/>
        </w:rPr>
      </w:pPr>
    </w:p>
    <w:p w14:paraId="72F1BA65">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14:paraId="2D485A5C">
      <w:pPr>
        <w:ind w:firstLine="640" w:firstLineChars="200"/>
        <w:rPr>
          <w:rFonts w:ascii="仿宋_GB2312" w:eastAsia="仿宋_GB2312"/>
          <w:color w:val="FF0000"/>
          <w:sz w:val="32"/>
          <w:szCs w:val="32"/>
        </w:rPr>
      </w:pPr>
      <w:r>
        <w:rPr>
          <w:rFonts w:ascii="仿宋_GB2312" w:eastAsia="仿宋_GB2312"/>
          <w:color w:val="FF0000"/>
          <w:sz w:val="32"/>
          <w:szCs w:val="32"/>
        </w:rPr>
        <w:object>
          <v:shape id="_x0000_i1026" o:spt="75" type="#_x0000_t75" style="height:142.5pt;width:216pt;" o:ole="t" filled="f" o:preferrelative="t" stroked="f" coordsize="21600,21600">
            <v:path/>
            <v:fill on="f" focussize="0,0"/>
            <v:stroke on="f"/>
            <v:imagedata r:id="rId11" o:title=""/>
            <o:lock v:ext="edit" aspectratio="t"/>
            <w10:wrap type="none"/>
            <w10:anchorlock/>
          </v:shape>
          <o:OLEObject Type="Embed" ProgID="MSGraph.Chart.8" ShapeID="_x0000_i1026" DrawAspect="Content" ObjectID="_1468075726" r:id="rId10">
            <o:LockedField>false</o:LockedField>
          </o:OLEObject>
        </w:object>
      </w:r>
    </w:p>
    <w:p w14:paraId="4711CB33">
      <w:pPr>
        <w:pStyle w:val="34"/>
        <w:numPr>
          <w:ilvl w:val="0"/>
          <w:numId w:val="2"/>
        </w:numPr>
        <w:spacing w:line="600" w:lineRule="exact"/>
        <w:ind w:firstLineChars="0"/>
        <w:outlineLvl w:val="1"/>
        <w:rPr>
          <w:rStyle w:val="22"/>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2"/>
          <w:rFonts w:hint="eastAsia" w:ascii="黑体" w:hAnsi="黑体" w:eastAsia="黑体"/>
          <w:b w:val="0"/>
        </w:rPr>
        <w:t>出决算情况说明</w:t>
      </w:r>
      <w:bookmarkEnd w:id="28"/>
      <w:bookmarkEnd w:id="29"/>
    </w:p>
    <w:p w14:paraId="352A86E9">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2021年本年支出合计</w:t>
      </w:r>
      <w:r>
        <w:rPr>
          <w:rFonts w:hint="eastAsia" w:ascii="仿宋_GB2312" w:hAnsi="仿宋_GB2312" w:eastAsia="仿宋_GB2312" w:cs="仿宋_GB2312"/>
          <w:color w:val="000000"/>
          <w:sz w:val="32"/>
          <w:szCs w:val="32"/>
          <w:lang w:val="en-US" w:eastAsia="zh-CN"/>
        </w:rPr>
        <w:t>15311.19</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2514.78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16.42</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12796.41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83.58</w:t>
      </w:r>
      <w:r>
        <w:rPr>
          <w:rFonts w:hint="eastAsia" w:ascii="仿宋_GB2312" w:hAnsi="仿宋_GB2312" w:eastAsia="仿宋_GB2312" w:cs="仿宋_GB2312"/>
          <w:color w:val="000000"/>
          <w:sz w:val="32"/>
          <w:szCs w:val="32"/>
        </w:rPr>
        <w:t>%；上缴上级支出0.00万元，占0.00%；经营支出0.00万元，占0.00%；对附属单位补助支出0.00万元，占0.00%。</w:t>
      </w:r>
    </w:p>
    <w:p w14:paraId="149E1C7A">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p>
    <w:p w14:paraId="131EFE0D">
      <w:pPr>
        <w:ind w:firstLine="640" w:firstLineChars="200"/>
        <w:rPr>
          <w:rFonts w:ascii="仿宋_GB2312" w:eastAsia="仿宋_GB2312"/>
          <w:color w:val="FF0000"/>
          <w:sz w:val="32"/>
          <w:szCs w:val="32"/>
        </w:rPr>
      </w:pPr>
      <w:bookmarkStart w:id="30" w:name="_Toc15396606"/>
      <w:bookmarkStart w:id="31" w:name="_Toc15377208"/>
      <w:r>
        <w:rPr>
          <w:rFonts w:ascii="仿宋_GB2312" w:eastAsia="仿宋_GB2312"/>
          <w:color w:val="FF0000"/>
          <w:sz w:val="32"/>
          <w:szCs w:val="32"/>
        </w:rPr>
        <w:object>
          <v:shape id="_x0000_i1027" o:spt="75" type="#_x0000_t75" style="height:142.5pt;width:216pt;" o:ole="t" filled="f" o:preferrelative="t" stroked="f" coordsize="21600,21600">
            <v:path/>
            <v:fill on="f" focussize="0,0"/>
            <v:stroke on="f"/>
            <v:imagedata r:id="rId13" o:title=""/>
            <o:lock v:ext="edit" aspectratio="t"/>
            <w10:wrap type="none"/>
            <w10:anchorlock/>
          </v:shape>
          <o:OLEObject Type="Embed" ProgID="MSGraph.Chart.8" ShapeID="_x0000_i1027" DrawAspect="Content" ObjectID="_1468075727" r:id="rId12">
            <o:LockedField>false</o:LockedField>
          </o:OLEObject>
        </w:object>
      </w:r>
    </w:p>
    <w:p w14:paraId="601EA19E">
      <w:pPr>
        <w:ind w:firstLine="640" w:firstLineChars="200"/>
        <w:rPr>
          <w:rStyle w:val="22"/>
          <w:rFonts w:ascii="黑体" w:hAnsi="黑体" w:eastAsia="黑体"/>
          <w:b w:val="0"/>
        </w:rPr>
      </w:pPr>
      <w:r>
        <w:rPr>
          <w:rFonts w:hint="eastAsia" w:ascii="黑体" w:hAnsi="黑体" w:eastAsia="黑体"/>
          <w:color w:val="000000"/>
          <w:sz w:val="32"/>
          <w:szCs w:val="32"/>
        </w:rPr>
        <w:t>四、财</w:t>
      </w:r>
      <w:r>
        <w:rPr>
          <w:rStyle w:val="22"/>
          <w:rFonts w:hint="eastAsia" w:ascii="黑体" w:hAnsi="黑体" w:eastAsia="黑体"/>
          <w:b w:val="0"/>
        </w:rPr>
        <w:t>政拨款收入支出决算总体情况说明</w:t>
      </w:r>
      <w:bookmarkEnd w:id="30"/>
      <w:bookmarkEnd w:id="31"/>
    </w:p>
    <w:p w14:paraId="0CAA353A">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2021年财政拨款收、支总计</w:t>
      </w:r>
      <w:r>
        <w:rPr>
          <w:rFonts w:hint="eastAsia" w:ascii="仿宋_GB2312" w:hAnsi="仿宋_GB2312" w:eastAsia="仿宋_GB2312" w:cs="仿宋_GB2312"/>
          <w:color w:val="000000"/>
          <w:sz w:val="32"/>
          <w:szCs w:val="32"/>
          <w:lang w:val="en-US" w:eastAsia="zh-CN"/>
        </w:rPr>
        <w:t>15048.04</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年相比收、支总计各减少</w:t>
      </w:r>
      <w:r>
        <w:rPr>
          <w:rFonts w:hint="eastAsia" w:ascii="仿宋_GB2312" w:hAnsi="仿宋_GB2312" w:eastAsia="仿宋_GB2312" w:cs="仿宋_GB2312"/>
          <w:color w:val="000000"/>
          <w:sz w:val="32"/>
          <w:szCs w:val="32"/>
          <w:lang w:val="en-US" w:eastAsia="zh-CN"/>
        </w:rPr>
        <w:t>119.08</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0.79</w:t>
      </w:r>
      <w:r>
        <w:rPr>
          <w:rFonts w:hint="eastAsia" w:ascii="仿宋_GB2312" w:hAnsi="仿宋_GB2312" w:eastAsia="仿宋_GB2312" w:cs="仿宋_GB2312"/>
          <w:color w:val="000000"/>
          <w:sz w:val="32"/>
          <w:szCs w:val="32"/>
        </w:rPr>
        <w:t>%，减少原因是：项目建设多为跨年建设，支出比上年减少。</w:t>
      </w:r>
    </w:p>
    <w:p w14:paraId="2A9B434B">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（图4：财政拨款收、支决算总计变动情况）（柱状图）</w:t>
      </w:r>
    </w:p>
    <w:p w14:paraId="6F2A1FC3">
      <w:pPr>
        <w:ind w:firstLine="641"/>
        <w:rPr>
          <w:rFonts w:ascii="仿宋" w:hAnsi="仿宋" w:eastAsia="仿宋"/>
          <w:b/>
          <w:color w:val="00B050"/>
          <w:sz w:val="32"/>
          <w:szCs w:val="32"/>
        </w:rPr>
      </w:pPr>
      <w:r>
        <w:rPr>
          <w:rFonts w:ascii="仿宋" w:hAnsi="仿宋" w:eastAsia="仿宋"/>
          <w:b/>
          <w:color w:val="00B050"/>
          <w:sz w:val="32"/>
          <w:szCs w:val="32"/>
        </w:rPr>
        <w:object>
          <v:shape id="_x0000_i1028" o:spt="75" type="#_x0000_t75" style="height:142.5pt;width:216pt;" o:ole="t" filled="f" o:preferrelative="t" stroked="f" coordsize="21600,21600">
            <v:path/>
            <v:fill on="f" focussize="0,0"/>
            <v:stroke on="f"/>
            <v:imagedata r:id="rId15" o:title=""/>
            <o:lock v:ext="edit" aspectratio="t"/>
            <w10:wrap type="none"/>
            <w10:anchorlock/>
          </v:shape>
          <o:OLEObject Type="Embed" ProgID="MSGraph.Chart.8" ShapeID="_x0000_i1028" DrawAspect="Content" ObjectID="_1468075728" r:id="rId14">
            <o:LockedField>false</o:LockedField>
          </o:OLEObject>
        </w:object>
      </w:r>
    </w:p>
    <w:p w14:paraId="7C73F002">
      <w:pPr>
        <w:spacing w:line="600" w:lineRule="exact"/>
        <w:ind w:firstLine="640" w:firstLineChars="200"/>
        <w:outlineLvl w:val="1"/>
        <w:rPr>
          <w:rStyle w:val="22"/>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2"/>
          <w:rFonts w:hint="eastAsia" w:ascii="黑体" w:hAnsi="黑体" w:eastAsia="黑体"/>
          <w:b w:val="0"/>
        </w:rPr>
        <w:t>般公共预算财政拨款支出决算情况说明</w:t>
      </w:r>
      <w:bookmarkEnd w:id="32"/>
      <w:bookmarkEnd w:id="33"/>
    </w:p>
    <w:p w14:paraId="510259B1">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5E126900">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2021年一般公共预算财政拨款支出</w:t>
      </w:r>
      <w:r>
        <w:rPr>
          <w:rFonts w:hint="eastAsia" w:ascii="仿宋_GB2312" w:hAnsi="仿宋_GB2312" w:eastAsia="仿宋_GB2312" w:cs="仿宋_GB2312"/>
          <w:color w:val="000000"/>
          <w:sz w:val="32"/>
          <w:szCs w:val="32"/>
          <w:lang w:val="en-US" w:eastAsia="zh-CN"/>
        </w:rPr>
        <w:t>15048.04</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98.28</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737.40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5.15</w:t>
      </w:r>
      <w:r>
        <w:rPr>
          <w:rFonts w:hint="eastAsia" w:ascii="仿宋_GB2312" w:hAnsi="仿宋_GB2312" w:eastAsia="仿宋_GB2312" w:cs="仿宋_GB2312"/>
          <w:color w:val="000000"/>
          <w:sz w:val="32"/>
          <w:szCs w:val="32"/>
        </w:rPr>
        <w:t>%。主要变动原因是：项目建设</w:t>
      </w:r>
      <w:r>
        <w:rPr>
          <w:rFonts w:hint="eastAsia" w:ascii="仿宋_GB2312" w:hAnsi="仿宋_GB2312" w:eastAsia="仿宋_GB2312" w:cs="仿宋_GB2312"/>
          <w:color w:val="000000"/>
          <w:sz w:val="32"/>
          <w:szCs w:val="32"/>
          <w:lang w:eastAsia="zh-CN"/>
        </w:rPr>
        <w:t>进度较快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资金拨付率提高</w:t>
      </w:r>
      <w:r>
        <w:rPr>
          <w:rFonts w:hint="eastAsia" w:ascii="仿宋_GB2312" w:hAnsi="仿宋_GB2312" w:eastAsia="仿宋_GB2312" w:cs="仿宋_GB2312"/>
          <w:color w:val="000000"/>
          <w:sz w:val="32"/>
          <w:szCs w:val="32"/>
        </w:rPr>
        <w:t>。</w:t>
      </w:r>
    </w:p>
    <w:p w14:paraId="536F07DE">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（图5：一般公共预算财政拨款支出决算变动情况）（柱状图）</w:t>
      </w:r>
    </w:p>
    <w:p w14:paraId="24B3F6CB">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9" o:spt="75" type="#_x0000_t75" style="height:142.5pt;width:216pt;" o:ole="t" filled="f" o:preferrelative="t" stroked="f" coordsize="21600,21600">
            <v:path/>
            <v:fill on="f" focussize="0,0"/>
            <v:stroke on="f"/>
            <v:imagedata r:id="rId17" o:title=""/>
            <o:lock v:ext="edit" aspectratio="t"/>
            <w10:wrap type="none"/>
            <w10:anchorlock/>
          </v:shape>
          <o:OLEObject Type="Embed" ProgID="MSGraph.Chart.8" ShapeID="_x0000_i1029" DrawAspect="Content" ObjectID="_1468075729" r:id="rId16">
            <o:LockedField>false</o:LockedField>
          </o:OLEObject>
        </w:object>
      </w:r>
    </w:p>
    <w:p w14:paraId="32ED1A3C">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63B12FF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2021年一般公共预算财政拨款支出</w:t>
      </w:r>
      <w:r>
        <w:rPr>
          <w:rFonts w:hint="eastAsia" w:ascii="仿宋_GB2312" w:hAnsi="仿宋_GB2312" w:eastAsia="仿宋_GB2312" w:cs="仿宋_GB2312"/>
          <w:color w:val="000000"/>
          <w:sz w:val="32"/>
          <w:szCs w:val="32"/>
          <w:lang w:val="en-US" w:eastAsia="zh-CN"/>
        </w:rPr>
        <w:t>15048.04</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color w:val="000000"/>
          <w:sz w:val="32"/>
          <w:szCs w:val="32"/>
        </w:rPr>
        <w:t>一般公共服务（类）</w:t>
      </w:r>
      <w:r>
        <w:rPr>
          <w:rFonts w:hint="eastAsia" w:ascii="仿宋_GB2312" w:hAnsi="仿宋_GB2312" w:eastAsia="仿宋_GB2312" w:cs="仿宋_GB2312"/>
          <w:color w:val="000000"/>
          <w:sz w:val="32"/>
          <w:szCs w:val="32"/>
        </w:rPr>
        <w:t>支出0.00万元，占0.00%；</w:t>
      </w:r>
      <w:r>
        <w:rPr>
          <w:rFonts w:hint="eastAsia" w:ascii="仿宋_GB2312" w:hAnsi="仿宋_GB2312" w:eastAsia="仿宋_GB2312" w:cs="仿宋_GB2312"/>
          <w:b/>
          <w:bCs/>
          <w:color w:val="000000"/>
          <w:sz w:val="32"/>
          <w:szCs w:val="32"/>
        </w:rPr>
        <w:t>外交支出（类）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国防支出（类）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公共安全（类）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教育支出（类）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color w:val="000000"/>
          <w:sz w:val="32"/>
          <w:szCs w:val="32"/>
        </w:rPr>
        <w:t>科学技术（类）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172.85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文化旅游体育与传媒（类）</w:t>
      </w:r>
      <w:r>
        <w:rPr>
          <w:rFonts w:hint="eastAsia" w:ascii="仿宋_GB2312" w:hAnsi="仿宋_GB2312" w:eastAsia="仿宋_GB2312" w:cs="仿宋_GB2312"/>
          <w:color w:val="000000"/>
          <w:sz w:val="32"/>
          <w:szCs w:val="32"/>
        </w:rPr>
        <w:t>支出0.00万元，占0.00%；</w:t>
      </w:r>
      <w:r>
        <w:rPr>
          <w:rFonts w:hint="eastAsia" w:ascii="仿宋_GB2312" w:hAnsi="仿宋_GB2312" w:eastAsia="仿宋_GB2312" w:cs="仿宋_GB2312"/>
          <w:b/>
          <w:color w:val="000000"/>
          <w:sz w:val="32"/>
          <w:szCs w:val="32"/>
        </w:rPr>
        <w:t>社会保障和就业（类）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241.33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1.60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卫生健康支出（类）</w:t>
      </w:r>
      <w:r>
        <w:rPr>
          <w:rFonts w:hint="eastAsia" w:ascii="仿宋_GB2312" w:hAnsi="仿宋_GB2312" w:eastAsia="仿宋_GB2312" w:cs="仿宋_GB2312"/>
          <w:color w:val="000000"/>
          <w:sz w:val="32"/>
          <w:szCs w:val="32"/>
          <w:lang w:val="en-US" w:eastAsia="zh-CN"/>
        </w:rPr>
        <w:t>112.28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0.75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节能环保支出（类）</w:t>
      </w:r>
      <w:r>
        <w:rPr>
          <w:rFonts w:hint="eastAsia" w:ascii="仿宋_GB2312" w:hAnsi="仿宋_GB2312" w:eastAsia="仿宋_GB2312" w:cs="仿宋_GB2312"/>
          <w:color w:val="000000"/>
          <w:sz w:val="32"/>
          <w:szCs w:val="32"/>
          <w:lang w:val="en-US" w:eastAsia="zh-CN"/>
        </w:rPr>
        <w:t>881.66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5.85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城乡社区支出（类）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农林水支出（类）</w:t>
      </w:r>
      <w:r>
        <w:rPr>
          <w:rFonts w:hint="eastAsia" w:ascii="仿宋_GB2312" w:hAnsi="仿宋_GB2312" w:eastAsia="仿宋_GB2312" w:cs="仿宋_GB2312"/>
          <w:color w:val="000000"/>
          <w:sz w:val="32"/>
          <w:szCs w:val="32"/>
          <w:lang w:val="en-US" w:eastAsia="zh-CN"/>
        </w:rPr>
        <w:t>13413.44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89.14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交通运输支出（类）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资源勘探信息等支出（类）</w:t>
      </w:r>
      <w:r>
        <w:rPr>
          <w:rFonts w:hint="eastAsia" w:ascii="仿宋_GB2312" w:hAnsi="仿宋_GB2312" w:eastAsia="仿宋_GB2312" w:cs="仿宋_GB2312"/>
          <w:color w:val="000000"/>
          <w:sz w:val="32"/>
          <w:szCs w:val="32"/>
          <w:lang w:val="en-US" w:eastAsia="zh-CN"/>
        </w:rPr>
        <w:t>70.00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0.47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商业服务业等支出（类）</w:t>
      </w:r>
      <w:r>
        <w:rPr>
          <w:rFonts w:hint="eastAsia" w:ascii="仿宋_GB2312" w:hAnsi="仿宋_GB2312" w:eastAsia="仿宋_GB2312" w:cs="仿宋_GB2312"/>
          <w:color w:val="000000"/>
          <w:sz w:val="32"/>
          <w:szCs w:val="32"/>
          <w:lang w:val="en-US" w:eastAsia="zh-CN"/>
        </w:rPr>
        <w:t>1.71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金融支出（类）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援助其他地区支出（类）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自然资源海洋气象等支出（类）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住房保障支出（类）</w:t>
      </w:r>
      <w:r>
        <w:rPr>
          <w:rFonts w:hint="eastAsia" w:ascii="仿宋_GB2312" w:hAnsi="仿宋_GB2312" w:eastAsia="仿宋_GB2312" w:cs="仿宋_GB2312"/>
          <w:color w:val="000000"/>
          <w:sz w:val="32"/>
          <w:szCs w:val="32"/>
          <w:lang w:val="en-US" w:eastAsia="zh-CN"/>
        </w:rPr>
        <w:t>153.37</w:t>
      </w:r>
      <w:r>
        <w:rPr>
          <w:rFonts w:hint="eastAsia" w:ascii="仿宋_GB2312" w:hAnsi="仿宋_GB2312" w:eastAsia="仿宋_GB2312" w:cs="仿宋_GB2312"/>
          <w:color w:val="000000"/>
          <w:sz w:val="32"/>
          <w:szCs w:val="32"/>
        </w:rPr>
        <w:t>万元，占1.</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粮油物资储备支出（类）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国有资本经营预算支出(类）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灾害防治及应急管理支出（类）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color w:val="000000"/>
          <w:sz w:val="32"/>
          <w:szCs w:val="32"/>
        </w:rPr>
        <w:t>其他</w:t>
      </w:r>
      <w:r>
        <w:rPr>
          <w:rFonts w:hint="eastAsia" w:ascii="仿宋_GB2312" w:hAnsi="仿宋_GB2312" w:eastAsia="仿宋_GB2312" w:cs="仿宋_GB2312"/>
          <w:b/>
          <w:bCs/>
          <w:color w:val="000000"/>
          <w:sz w:val="32"/>
          <w:szCs w:val="32"/>
        </w:rPr>
        <w:t>支出（类）</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债务还本支出（类）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债务付息支出(类）</w:t>
      </w:r>
      <w:r>
        <w:rPr>
          <w:rFonts w:hint="eastAsia" w:ascii="仿宋_GB2312" w:hAnsi="仿宋_GB2312" w:eastAsia="仿宋_GB2312" w:cs="仿宋_GB2312"/>
          <w:color w:val="000000"/>
          <w:sz w:val="32"/>
          <w:szCs w:val="32"/>
        </w:rPr>
        <w:t>0.00万元，占0.00%；</w:t>
      </w:r>
      <w:r>
        <w:rPr>
          <w:rFonts w:hint="eastAsia" w:ascii="仿宋_GB2312" w:hAnsi="仿宋_GB2312" w:eastAsia="仿宋_GB2312" w:cs="仿宋_GB2312"/>
          <w:b/>
          <w:bCs/>
          <w:color w:val="000000"/>
          <w:sz w:val="32"/>
          <w:szCs w:val="32"/>
        </w:rPr>
        <w:t>抗役特别国债安排的支出（类）</w:t>
      </w:r>
      <w:r>
        <w:rPr>
          <w:rFonts w:hint="eastAsia" w:ascii="仿宋_GB2312" w:hAnsi="仿宋_GB2312" w:eastAsia="仿宋_GB2312" w:cs="仿宋_GB2312"/>
          <w:color w:val="000000"/>
          <w:sz w:val="32"/>
          <w:szCs w:val="32"/>
        </w:rPr>
        <w:t xml:space="preserve">0.00万元，占0.00%。 </w:t>
      </w:r>
    </w:p>
    <w:p w14:paraId="1F435225">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14:paraId="40DEA3F4">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30" o:spt="75" type="#_x0000_t75" style="height:190.75pt;width:358.05pt;" o:ole="t" filled="f" o:preferrelative="t" stroked="f" coordsize="21600,21600">
            <v:path/>
            <v:fill on="f" focussize="0,0"/>
            <v:stroke on="f"/>
            <v:imagedata r:id="rId19" o:title=""/>
            <o:lock v:ext="edit" aspectratio="t"/>
            <w10:wrap type="none"/>
            <w10:anchorlock/>
          </v:shape>
          <o:OLEObject Type="Embed" ProgID="MSGraph.Chart.8" ShapeID="_x0000_i1030" DrawAspect="Content" ObjectID="_1468075730" r:id="rId18">
            <o:LockedField>false</o:LockedField>
          </o:OLEObject>
        </w:object>
      </w:r>
    </w:p>
    <w:p w14:paraId="1921156C">
      <w:pPr>
        <w:spacing w:line="600" w:lineRule="exact"/>
        <w:ind w:firstLine="643" w:firstLineChars="200"/>
        <w:outlineLvl w:val="2"/>
        <w:rPr>
          <w:rFonts w:hint="eastAsia" w:ascii="仿宋_GB2312" w:hAnsi="仿宋_GB2312" w:eastAsia="仿宋_GB2312" w:cs="仿宋_GB2312"/>
          <w:b/>
          <w:color w:val="000000"/>
          <w:sz w:val="32"/>
          <w:szCs w:val="32"/>
        </w:rPr>
      </w:pPr>
      <w:bookmarkStart w:id="36" w:name="_Toc15377212"/>
      <w:r>
        <w:rPr>
          <w:rFonts w:hint="eastAsia" w:ascii="仿宋_GB2312" w:hAnsi="仿宋_GB2312" w:eastAsia="仿宋_GB2312" w:cs="仿宋_GB2312"/>
          <w:b/>
          <w:color w:val="000000"/>
          <w:sz w:val="32"/>
          <w:szCs w:val="32"/>
        </w:rPr>
        <w:t>（三）一般公共预算财政拨款支出决算具体情况</w:t>
      </w:r>
      <w:bookmarkEnd w:id="36"/>
    </w:p>
    <w:p w14:paraId="4D421E65">
      <w:pPr>
        <w:spacing w:line="600" w:lineRule="exact"/>
        <w:ind w:firstLine="640" w:firstLineChars="200"/>
        <w:outlineLvl w:val="2"/>
        <w:rPr>
          <w:rFonts w:hint="eastAsia" w:ascii="仿宋_GB2312" w:hAnsi="仿宋_GB2312" w:eastAsia="仿宋_GB2312" w:cs="仿宋_GB2312"/>
          <w:b/>
          <w:color w:val="FF0000"/>
          <w:sz w:val="32"/>
          <w:szCs w:val="32"/>
        </w:rPr>
      </w:pPr>
      <w:bookmarkStart w:id="37" w:name="_Toc15378460"/>
      <w:bookmarkStart w:id="38" w:name="_Toc15377444"/>
      <w:bookmarkStart w:id="39" w:name="_Toc15377213"/>
      <w:r>
        <w:rPr>
          <w:rFonts w:hint="eastAsia" w:ascii="仿宋_GB2312" w:hAnsi="仿宋_GB2312" w:eastAsia="仿宋_GB2312" w:cs="仿宋_GB2312"/>
          <w:color w:val="000000"/>
          <w:sz w:val="32"/>
          <w:szCs w:val="32"/>
        </w:rPr>
        <w:t>2021年一般公共预算支出决算数为</w:t>
      </w:r>
      <w:r>
        <w:rPr>
          <w:rFonts w:hint="eastAsia" w:ascii="仿宋_GB2312" w:hAnsi="仿宋_GB2312" w:eastAsia="仿宋_GB2312" w:cs="仿宋_GB2312"/>
          <w:color w:val="000000"/>
          <w:sz w:val="32"/>
          <w:szCs w:val="32"/>
          <w:lang w:val="en-US" w:eastAsia="zh-CN"/>
        </w:rPr>
        <w:t>15048.04</w:t>
      </w:r>
      <w:r>
        <w:rPr>
          <w:rFonts w:hint="eastAsia" w:ascii="仿宋_GB2312" w:hAnsi="仿宋_GB2312" w:eastAsia="仿宋_GB2312" w:cs="仿宋_GB2312"/>
          <w:color w:val="000000"/>
          <w:sz w:val="32"/>
          <w:szCs w:val="32"/>
        </w:rPr>
        <w:t>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 xml:space="preserve"> 100</w:t>
      </w:r>
      <w:r>
        <w:rPr>
          <w:rStyle w:val="19"/>
          <w:rFonts w:hint="eastAsia" w:ascii="仿宋_GB2312" w:hAnsi="仿宋_GB2312" w:eastAsia="仿宋_GB2312" w:cs="仿宋_GB2312"/>
          <w:b w:val="0"/>
          <w:bCs/>
          <w:color w:val="000000"/>
          <w:sz w:val="32"/>
          <w:szCs w:val="32"/>
        </w:rPr>
        <w:t>%。其中：</w:t>
      </w:r>
      <w:bookmarkEnd w:id="37"/>
      <w:bookmarkEnd w:id="38"/>
      <w:bookmarkEnd w:id="39"/>
    </w:p>
    <w:p w14:paraId="67C0C106">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1.科学技术（类）</w:t>
      </w:r>
      <w:r>
        <w:rPr>
          <w:rStyle w:val="19"/>
          <w:rFonts w:hint="eastAsia" w:ascii="仿宋_GB2312" w:hAnsi="仿宋_GB2312" w:eastAsia="仿宋_GB2312" w:cs="仿宋_GB2312"/>
          <w:bCs/>
          <w:color w:val="000000"/>
          <w:sz w:val="32"/>
          <w:szCs w:val="32"/>
          <w:lang w:eastAsia="zh-CN"/>
        </w:rPr>
        <w:t>科学技术管理事务</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其他科学技术管理事务支出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115.96</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548652C3">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科学技术（类）技术研究与开发（款）其他技术研究与开发支出（项）: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44.57</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30292765">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科学技术（类）科技</w:t>
      </w:r>
      <w:r>
        <w:rPr>
          <w:rStyle w:val="19"/>
          <w:rFonts w:hint="eastAsia" w:ascii="仿宋_GB2312" w:hAnsi="仿宋_GB2312" w:eastAsia="仿宋_GB2312" w:cs="仿宋_GB2312"/>
          <w:bCs/>
          <w:color w:val="000000"/>
          <w:sz w:val="32"/>
          <w:szCs w:val="32"/>
          <w:lang w:eastAsia="zh-CN"/>
        </w:rPr>
        <w:t>重大项目</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重点研发计划</w:t>
      </w:r>
      <w:r>
        <w:rPr>
          <w:rStyle w:val="19"/>
          <w:rFonts w:hint="eastAsia" w:ascii="仿宋_GB2312" w:hAnsi="仿宋_GB2312" w:eastAsia="仿宋_GB2312" w:cs="仿宋_GB2312"/>
          <w:bCs/>
          <w:color w:val="000000"/>
          <w:sz w:val="32"/>
          <w:szCs w:val="32"/>
        </w:rPr>
        <w:t>支出（项）: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3.5</w:t>
      </w:r>
      <w:r>
        <w:rPr>
          <w:rStyle w:val="19"/>
          <w:rFonts w:hint="eastAsia" w:ascii="仿宋_GB2312" w:hAnsi="仿宋_GB2312" w:eastAsia="仿宋_GB2312" w:cs="仿宋_GB2312"/>
          <w:b w:val="0"/>
          <w:bCs/>
          <w:color w:val="000000"/>
          <w:sz w:val="32"/>
          <w:szCs w:val="32"/>
        </w:rPr>
        <w:t>万元，完成预算100%，决算数等于预算数。</w:t>
      </w:r>
    </w:p>
    <w:p w14:paraId="1B20015A">
      <w:pPr>
        <w:pStyle w:val="2"/>
        <w:ind w:left="0" w:leftChars="0" w:firstLine="643" w:firstLineChars="200"/>
        <w:rPr>
          <w:rFonts w:hint="eastAsia" w:ascii="仿宋_GB2312" w:hAnsi="仿宋_GB2312" w:eastAsia="仿宋_GB2312" w:cs="仿宋_GB2312"/>
          <w:sz w:val="32"/>
          <w:szCs w:val="32"/>
        </w:rPr>
      </w:pPr>
      <w:r>
        <w:rPr>
          <w:rStyle w:val="19"/>
          <w:rFonts w:hint="eastAsia" w:ascii="仿宋_GB2312" w:hAnsi="仿宋_GB2312" w:eastAsia="仿宋_GB2312" w:cs="仿宋_GB2312"/>
          <w:bCs/>
          <w:color w:val="000000"/>
          <w:sz w:val="32"/>
          <w:szCs w:val="32"/>
        </w:rPr>
        <w:t>科学技术（类）</w:t>
      </w:r>
      <w:r>
        <w:rPr>
          <w:rStyle w:val="19"/>
          <w:rFonts w:hint="eastAsia" w:ascii="仿宋_GB2312" w:hAnsi="仿宋_GB2312" w:eastAsia="仿宋_GB2312" w:cs="仿宋_GB2312"/>
          <w:bCs/>
          <w:color w:val="000000"/>
          <w:sz w:val="32"/>
          <w:szCs w:val="32"/>
          <w:lang w:eastAsia="zh-CN"/>
        </w:rPr>
        <w:t>其他科学技术</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其他科学技术</w:t>
      </w:r>
      <w:r>
        <w:rPr>
          <w:rStyle w:val="19"/>
          <w:rFonts w:hint="eastAsia" w:ascii="仿宋_GB2312" w:hAnsi="仿宋_GB2312" w:eastAsia="仿宋_GB2312" w:cs="仿宋_GB2312"/>
          <w:bCs/>
          <w:color w:val="000000"/>
          <w:sz w:val="32"/>
          <w:szCs w:val="32"/>
        </w:rPr>
        <w:t>支出（项）: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8.81</w:t>
      </w:r>
      <w:r>
        <w:rPr>
          <w:rStyle w:val="19"/>
          <w:rFonts w:hint="eastAsia" w:ascii="仿宋_GB2312" w:hAnsi="仿宋_GB2312" w:eastAsia="仿宋_GB2312" w:cs="仿宋_GB2312"/>
          <w:b w:val="0"/>
          <w:bCs/>
          <w:color w:val="000000"/>
          <w:sz w:val="32"/>
          <w:szCs w:val="32"/>
        </w:rPr>
        <w:t>万元，完成预算100%，决算数等于预算数。</w:t>
      </w:r>
    </w:p>
    <w:p w14:paraId="1833F30B">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2.社会保障和就业（类）行政事业单位</w:t>
      </w:r>
      <w:r>
        <w:rPr>
          <w:rStyle w:val="19"/>
          <w:rFonts w:hint="eastAsia" w:ascii="仿宋_GB2312" w:hAnsi="仿宋_GB2312" w:eastAsia="仿宋_GB2312" w:cs="仿宋_GB2312"/>
          <w:bCs/>
          <w:color w:val="000000"/>
          <w:sz w:val="32"/>
          <w:szCs w:val="32"/>
          <w:lang w:eastAsia="zh-CN"/>
        </w:rPr>
        <w:t>养老</w:t>
      </w:r>
      <w:r>
        <w:rPr>
          <w:rStyle w:val="19"/>
          <w:rFonts w:hint="eastAsia" w:ascii="仿宋_GB2312" w:hAnsi="仿宋_GB2312" w:eastAsia="仿宋_GB2312" w:cs="仿宋_GB2312"/>
          <w:bCs/>
          <w:color w:val="000000"/>
          <w:sz w:val="32"/>
          <w:szCs w:val="32"/>
        </w:rPr>
        <w:t>（款）机关事业单位基本养老保险缴费支出（项）: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161.12</w:t>
      </w:r>
      <w:r>
        <w:rPr>
          <w:rStyle w:val="19"/>
          <w:rFonts w:hint="eastAsia" w:ascii="仿宋_GB2312" w:hAnsi="仿宋_GB2312" w:eastAsia="仿宋_GB2312" w:cs="仿宋_GB2312"/>
          <w:b w:val="0"/>
          <w:bCs/>
          <w:color w:val="000000"/>
          <w:sz w:val="32"/>
          <w:szCs w:val="32"/>
        </w:rPr>
        <w:t>万元，完成预算100%，决算数等于预算数。</w:t>
      </w:r>
    </w:p>
    <w:p w14:paraId="5F1479EF">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社会保障和就业（类）行政事业单位</w:t>
      </w:r>
      <w:r>
        <w:rPr>
          <w:rStyle w:val="19"/>
          <w:rFonts w:hint="eastAsia" w:ascii="仿宋_GB2312" w:hAnsi="仿宋_GB2312" w:eastAsia="仿宋_GB2312" w:cs="仿宋_GB2312"/>
          <w:bCs/>
          <w:color w:val="000000"/>
          <w:sz w:val="32"/>
          <w:szCs w:val="32"/>
          <w:lang w:eastAsia="zh-CN"/>
        </w:rPr>
        <w:t>养老</w:t>
      </w:r>
      <w:r>
        <w:rPr>
          <w:rStyle w:val="19"/>
          <w:rFonts w:hint="eastAsia" w:ascii="仿宋_GB2312" w:hAnsi="仿宋_GB2312" w:eastAsia="仿宋_GB2312" w:cs="仿宋_GB2312"/>
          <w:bCs/>
          <w:color w:val="000000"/>
          <w:sz w:val="32"/>
          <w:szCs w:val="32"/>
        </w:rPr>
        <w:t>（款）机关事业单位职业年金缴费支出（项）: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80.21</w:t>
      </w:r>
      <w:r>
        <w:rPr>
          <w:rStyle w:val="19"/>
          <w:rFonts w:hint="eastAsia" w:ascii="仿宋_GB2312" w:hAnsi="仿宋_GB2312" w:eastAsia="仿宋_GB2312" w:cs="仿宋_GB2312"/>
          <w:b w:val="0"/>
          <w:bCs/>
          <w:color w:val="000000"/>
          <w:sz w:val="32"/>
          <w:szCs w:val="32"/>
        </w:rPr>
        <w:t>万元，完成预算100%，决算数等于预算数。</w:t>
      </w:r>
    </w:p>
    <w:p w14:paraId="688632DE">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19"/>
          <w:rFonts w:hint="eastAsia" w:ascii="仿宋_GB2312" w:hAnsi="仿宋_GB2312" w:eastAsia="仿宋_GB2312" w:cs="仿宋_GB2312"/>
          <w:bCs/>
          <w:color w:val="000000"/>
          <w:sz w:val="32"/>
          <w:szCs w:val="32"/>
        </w:rPr>
        <w:t>（类）公共卫生（款）重大公共卫生服务（项）: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4.16</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11AC7257">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卫生健康支出</w:t>
      </w:r>
      <w:r>
        <w:rPr>
          <w:rStyle w:val="19"/>
          <w:rFonts w:hint="eastAsia" w:ascii="仿宋_GB2312" w:hAnsi="仿宋_GB2312" w:eastAsia="仿宋_GB2312" w:cs="仿宋_GB2312"/>
          <w:bCs/>
          <w:color w:val="000000"/>
          <w:sz w:val="32"/>
          <w:szCs w:val="32"/>
        </w:rPr>
        <w:t>（类）行政事业单位医疗（款）行政单位医疗（项）: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33.07</w:t>
      </w:r>
      <w:r>
        <w:rPr>
          <w:rStyle w:val="19"/>
          <w:rFonts w:hint="eastAsia" w:ascii="仿宋_GB2312" w:hAnsi="仿宋_GB2312" w:eastAsia="仿宋_GB2312" w:cs="仿宋_GB2312"/>
          <w:b w:val="0"/>
          <w:bCs/>
          <w:color w:val="000000"/>
          <w:sz w:val="32"/>
          <w:szCs w:val="32"/>
        </w:rPr>
        <w:t>万元，完成预算100%，决算数等于预算数。</w:t>
      </w:r>
    </w:p>
    <w:p w14:paraId="7030A736">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卫生健康支出</w:t>
      </w:r>
      <w:r>
        <w:rPr>
          <w:rStyle w:val="19"/>
          <w:rFonts w:hint="eastAsia" w:ascii="仿宋_GB2312" w:hAnsi="仿宋_GB2312" w:eastAsia="仿宋_GB2312" w:cs="仿宋_GB2312"/>
          <w:bCs/>
          <w:color w:val="000000"/>
          <w:sz w:val="32"/>
          <w:szCs w:val="32"/>
        </w:rPr>
        <w:t>（类）行政事业单位医疗（款）事业单位医疗（项）: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44.13</w:t>
      </w:r>
      <w:r>
        <w:rPr>
          <w:rStyle w:val="19"/>
          <w:rFonts w:hint="eastAsia" w:ascii="仿宋_GB2312" w:hAnsi="仿宋_GB2312" w:eastAsia="仿宋_GB2312" w:cs="仿宋_GB2312"/>
          <w:b w:val="0"/>
          <w:bCs/>
          <w:color w:val="000000"/>
          <w:sz w:val="32"/>
          <w:szCs w:val="32"/>
        </w:rPr>
        <w:t>万元，完成预算100%，决算数等于预算数。</w:t>
      </w:r>
    </w:p>
    <w:p w14:paraId="77D71657">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卫生健康支出</w:t>
      </w:r>
      <w:r>
        <w:rPr>
          <w:rStyle w:val="19"/>
          <w:rFonts w:hint="eastAsia" w:ascii="仿宋_GB2312" w:hAnsi="仿宋_GB2312" w:eastAsia="仿宋_GB2312" w:cs="仿宋_GB2312"/>
          <w:bCs/>
          <w:color w:val="000000"/>
          <w:sz w:val="32"/>
          <w:szCs w:val="32"/>
        </w:rPr>
        <w:t>（类）行政事业单位医疗（款）公务员医疗补助（项）: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7.63</w:t>
      </w:r>
      <w:r>
        <w:rPr>
          <w:rStyle w:val="19"/>
          <w:rFonts w:hint="eastAsia" w:ascii="仿宋_GB2312" w:hAnsi="仿宋_GB2312" w:eastAsia="仿宋_GB2312" w:cs="仿宋_GB2312"/>
          <w:b w:val="0"/>
          <w:bCs/>
          <w:color w:val="000000"/>
          <w:sz w:val="32"/>
          <w:szCs w:val="32"/>
        </w:rPr>
        <w:t>万元，完成预算100%，决算数等于预算数。</w:t>
      </w:r>
    </w:p>
    <w:p w14:paraId="16B08582">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卫生健康支出</w:t>
      </w:r>
      <w:r>
        <w:rPr>
          <w:rStyle w:val="19"/>
          <w:rFonts w:hint="eastAsia" w:ascii="仿宋_GB2312" w:hAnsi="仿宋_GB2312" w:eastAsia="仿宋_GB2312" w:cs="仿宋_GB2312"/>
          <w:bCs/>
          <w:color w:val="000000"/>
          <w:sz w:val="32"/>
          <w:szCs w:val="32"/>
        </w:rPr>
        <w:t>（类）行政事业单位医疗（款）其他行政事业单位医疗支出（项）: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23.30</w:t>
      </w:r>
      <w:r>
        <w:rPr>
          <w:rStyle w:val="19"/>
          <w:rFonts w:hint="eastAsia" w:ascii="仿宋_GB2312" w:hAnsi="仿宋_GB2312" w:eastAsia="仿宋_GB2312" w:cs="仿宋_GB2312"/>
          <w:b w:val="0"/>
          <w:bCs/>
          <w:color w:val="000000"/>
          <w:sz w:val="32"/>
          <w:szCs w:val="32"/>
        </w:rPr>
        <w:t>万元，完成预算100%，决算数等于预算数。</w:t>
      </w:r>
    </w:p>
    <w:p w14:paraId="1BB69AA1">
      <w:pPr>
        <w:numPr>
          <w:ilvl w:val="0"/>
          <w:numId w:val="3"/>
        </w:num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节能环保支出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环境保护管理事务</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其他环境保护管理事务支出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40.74</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68434D09">
      <w:pPr>
        <w:numPr>
          <w:ilvl w:val="0"/>
          <w:numId w:val="0"/>
        </w:numPr>
        <w:spacing w:line="600" w:lineRule="exact"/>
        <w:ind w:firstLine="964" w:firstLineChars="3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节能环保支出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污染防治</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其他污染防治支出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775.64</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562F3575">
      <w:pPr>
        <w:numPr>
          <w:ilvl w:val="0"/>
          <w:numId w:val="0"/>
        </w:numPr>
        <w:spacing w:line="600" w:lineRule="exact"/>
        <w:ind w:firstLine="964" w:firstLineChars="3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节能环保支出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自然生态保护</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农村环境保护支出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59.17</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24881C89">
      <w:pPr>
        <w:numPr>
          <w:ilvl w:val="0"/>
          <w:numId w:val="0"/>
        </w:numPr>
        <w:spacing w:line="600" w:lineRule="exact"/>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color w:val="000000"/>
          <w:sz w:val="32"/>
          <w:szCs w:val="32"/>
        </w:rPr>
        <w:t>节能环保支出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退牧还草</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退牧还草工程建设支出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6.11</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78834B44">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rPr>
        <w:t>5.</w:t>
      </w: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（类）农业农村（款）行政运行（项）: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797.93</w:t>
      </w:r>
      <w:r>
        <w:rPr>
          <w:rStyle w:val="19"/>
          <w:rFonts w:hint="eastAsia" w:ascii="仿宋_GB2312" w:hAnsi="仿宋_GB2312" w:eastAsia="仿宋_GB2312" w:cs="仿宋_GB2312"/>
          <w:b w:val="0"/>
          <w:bCs/>
          <w:color w:val="000000"/>
          <w:sz w:val="32"/>
          <w:szCs w:val="32"/>
        </w:rPr>
        <w:t>万元，完成预算100%，决算数等于预算数。</w:t>
      </w:r>
    </w:p>
    <w:p w14:paraId="5F257534">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（类）农业农村（款）事业运行（项）: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969.40</w:t>
      </w:r>
      <w:r>
        <w:rPr>
          <w:rStyle w:val="19"/>
          <w:rFonts w:hint="eastAsia" w:ascii="仿宋_GB2312" w:hAnsi="仿宋_GB2312" w:eastAsia="仿宋_GB2312" w:cs="仿宋_GB2312"/>
          <w:b w:val="0"/>
          <w:bCs/>
          <w:color w:val="000000"/>
          <w:sz w:val="32"/>
          <w:szCs w:val="32"/>
        </w:rPr>
        <w:t>万元，完成预算100%，决算数等于预算数；</w:t>
      </w:r>
    </w:p>
    <w:p w14:paraId="35A94677">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（类）农业农村（款）科技转化与推广服务（项）: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13.58</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732A1F01">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（类）农业农村（款）病虫害控制（项）: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21.51</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%，决算数小于预算数。</w:t>
      </w:r>
    </w:p>
    <w:p w14:paraId="2DC5FEBA">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w:t>
      </w:r>
      <w:r>
        <w:rPr>
          <w:rStyle w:val="19"/>
          <w:rFonts w:hint="eastAsia" w:ascii="仿宋_GB2312" w:hAnsi="仿宋_GB2312" w:eastAsia="仿宋_GB2312" w:cs="仿宋_GB2312"/>
          <w:bCs/>
          <w:color w:val="000000"/>
          <w:sz w:val="32"/>
          <w:szCs w:val="32"/>
          <w:lang w:eastAsia="zh-CN"/>
        </w:rPr>
        <w:t>执法监管</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27.83</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21F8DBEE">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（类）农业农村（款）防灾救灾（项）: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19.00</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50752331">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（类）农业农村（款）农业生产发展（项）: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2214.56</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6F12053F">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（类）农业农村（款）</w:t>
      </w:r>
      <w:r>
        <w:rPr>
          <w:rStyle w:val="19"/>
          <w:rFonts w:hint="eastAsia" w:ascii="仿宋_GB2312" w:hAnsi="仿宋_GB2312" w:eastAsia="仿宋_GB2312" w:cs="仿宋_GB2312"/>
          <w:bCs/>
          <w:color w:val="000000"/>
          <w:sz w:val="32"/>
          <w:szCs w:val="32"/>
          <w:lang w:eastAsia="zh-CN"/>
        </w:rPr>
        <w:t>其他农业农村支出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5475.38</w:t>
      </w:r>
      <w:r>
        <w:rPr>
          <w:rStyle w:val="19"/>
          <w:rFonts w:hint="eastAsia" w:ascii="仿宋_GB2312" w:hAnsi="仿宋_GB2312" w:eastAsia="仿宋_GB2312" w:cs="仿宋_GB2312"/>
          <w:b w:val="0"/>
          <w:bCs/>
          <w:color w:val="000000"/>
          <w:sz w:val="32"/>
          <w:szCs w:val="32"/>
        </w:rPr>
        <w:t>万元，完成预算100%，决算数等于预算数。</w:t>
      </w:r>
    </w:p>
    <w:p w14:paraId="75B1075E">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林业和草原</w:t>
      </w:r>
      <w:r>
        <w:rPr>
          <w:rStyle w:val="19"/>
          <w:rFonts w:hint="eastAsia" w:ascii="仿宋_GB2312" w:hAnsi="仿宋_GB2312" w:eastAsia="仿宋_GB2312" w:cs="仿宋_GB2312"/>
          <w:bCs/>
          <w:color w:val="000000"/>
          <w:sz w:val="32"/>
          <w:szCs w:val="32"/>
        </w:rPr>
        <w:t>（款）其他</w:t>
      </w:r>
      <w:r>
        <w:rPr>
          <w:rStyle w:val="19"/>
          <w:rFonts w:hint="eastAsia" w:ascii="仿宋_GB2312" w:hAnsi="仿宋_GB2312" w:eastAsia="仿宋_GB2312" w:cs="仿宋_GB2312"/>
          <w:bCs/>
          <w:color w:val="000000"/>
          <w:sz w:val="32"/>
          <w:szCs w:val="32"/>
          <w:lang w:eastAsia="zh-CN"/>
        </w:rPr>
        <w:t>林业和草原</w:t>
      </w:r>
      <w:r>
        <w:rPr>
          <w:rStyle w:val="19"/>
          <w:rFonts w:hint="eastAsia" w:ascii="仿宋_GB2312" w:hAnsi="仿宋_GB2312" w:eastAsia="仿宋_GB2312" w:cs="仿宋_GB2312"/>
          <w:bCs/>
          <w:color w:val="000000"/>
          <w:sz w:val="32"/>
          <w:szCs w:val="32"/>
        </w:rPr>
        <w:t>支出（项）: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5.15</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5ABB694F">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（类）扶贫（款）农村基础设施建设（项）: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761.94</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11CB1339">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（类）扶贫（款）生产发展（项）: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784.14</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%，决算数小于预算数，原因是：部分项目跨年度实施。</w:t>
      </w:r>
    </w:p>
    <w:p w14:paraId="3870A6E3">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（类）扶贫（款）其他扶贫支出（项）: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2097.53</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2D2B6E74">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sz w:val="32"/>
          <w:szCs w:val="32"/>
        </w:rPr>
        <w:t>农林水支出</w:t>
      </w:r>
      <w:r>
        <w:rPr>
          <w:rStyle w:val="19"/>
          <w:rFonts w:hint="eastAsia" w:ascii="仿宋_GB2312" w:hAnsi="仿宋_GB2312" w:eastAsia="仿宋_GB2312" w:cs="仿宋_GB2312"/>
          <w:bCs/>
          <w:sz w:val="32"/>
          <w:szCs w:val="32"/>
        </w:rPr>
        <w:t>（类）农村综合改革（款）对</w:t>
      </w:r>
      <w:r>
        <w:rPr>
          <w:rStyle w:val="19"/>
          <w:rFonts w:hint="eastAsia" w:ascii="仿宋_GB2312" w:hAnsi="仿宋_GB2312" w:eastAsia="仿宋_GB2312" w:cs="仿宋_GB2312"/>
          <w:bCs/>
          <w:sz w:val="32"/>
          <w:szCs w:val="32"/>
          <w:lang w:eastAsia="zh-CN"/>
        </w:rPr>
        <w:t>村级公益事业建设的补助</w:t>
      </w:r>
      <w:r>
        <w:rPr>
          <w:rStyle w:val="19"/>
          <w:rFonts w:hint="eastAsia" w:ascii="仿宋_GB2312" w:hAnsi="仿宋_GB2312" w:eastAsia="仿宋_GB2312" w:cs="仿宋_GB2312"/>
          <w:bCs/>
          <w:sz w:val="32"/>
          <w:szCs w:val="32"/>
        </w:rPr>
        <w:t>（项）: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46.62</w:t>
      </w:r>
      <w:r>
        <w:rPr>
          <w:rStyle w:val="19"/>
          <w:rFonts w:hint="eastAsia" w:ascii="仿宋_GB2312" w:hAnsi="仿宋_GB2312" w:eastAsia="仿宋_GB2312" w:cs="仿宋_GB2312"/>
          <w:b w:val="0"/>
          <w:bCs/>
          <w:color w:val="000000"/>
          <w:sz w:val="32"/>
          <w:szCs w:val="32"/>
        </w:rPr>
        <w:t>万元，完成预算100%，决算数等于预算数。</w:t>
      </w:r>
    </w:p>
    <w:p w14:paraId="1B362B7A">
      <w:pPr>
        <w:pStyle w:val="2"/>
        <w:ind w:left="0" w:leftChars="0"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农林水支出</w:t>
      </w:r>
      <w:r>
        <w:rPr>
          <w:rStyle w:val="19"/>
          <w:rFonts w:hint="eastAsia" w:ascii="仿宋_GB2312" w:hAnsi="仿宋_GB2312" w:eastAsia="仿宋_GB2312" w:cs="仿宋_GB2312"/>
          <w:bCs/>
          <w:sz w:val="32"/>
          <w:szCs w:val="32"/>
        </w:rPr>
        <w:t>（类）农村综合改革（款）</w:t>
      </w:r>
      <w:r>
        <w:rPr>
          <w:rStyle w:val="19"/>
          <w:rFonts w:hint="eastAsia" w:ascii="仿宋_GB2312" w:hAnsi="仿宋_GB2312" w:eastAsia="仿宋_GB2312" w:cs="仿宋_GB2312"/>
          <w:bCs/>
          <w:sz w:val="32"/>
          <w:szCs w:val="32"/>
          <w:lang w:eastAsia="zh-CN"/>
        </w:rPr>
        <w:t>其他农村综合改革</w:t>
      </w:r>
      <w:r>
        <w:rPr>
          <w:rStyle w:val="19"/>
          <w:rFonts w:hint="eastAsia" w:ascii="仿宋_GB2312" w:hAnsi="仿宋_GB2312" w:eastAsia="仿宋_GB2312" w:cs="仿宋_GB2312"/>
          <w:bCs/>
          <w:sz w:val="32"/>
          <w:szCs w:val="32"/>
        </w:rPr>
        <w:t>（项）:</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140.96</w:t>
      </w:r>
      <w:r>
        <w:rPr>
          <w:rStyle w:val="19"/>
          <w:rFonts w:hint="eastAsia" w:ascii="仿宋_GB2312" w:hAnsi="仿宋_GB2312" w:eastAsia="仿宋_GB2312" w:cs="仿宋_GB2312"/>
          <w:b w:val="0"/>
          <w:bCs/>
          <w:color w:val="000000"/>
          <w:sz w:val="32"/>
          <w:szCs w:val="32"/>
        </w:rPr>
        <w:t>万元，完成预算100%，决算数等于预算数。</w:t>
      </w:r>
    </w:p>
    <w:p w14:paraId="766E1A22">
      <w:pPr>
        <w:spacing w:line="600" w:lineRule="exact"/>
        <w:ind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惠普金融发展支出</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农业保险保费补贴</w:t>
      </w:r>
      <w:r>
        <w:rPr>
          <w:rStyle w:val="19"/>
          <w:rFonts w:hint="eastAsia" w:ascii="仿宋_GB2312" w:hAnsi="仿宋_GB2312" w:eastAsia="仿宋_GB2312" w:cs="仿宋_GB2312"/>
          <w:bCs/>
          <w:color w:val="000000"/>
          <w:sz w:val="32"/>
          <w:szCs w:val="32"/>
        </w:rPr>
        <w:t>支出（项）: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27.52</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49FF4410">
      <w:pPr>
        <w:pStyle w:val="2"/>
        <w:ind w:left="0" w:leftChars="0" w:firstLine="643" w:firstLineChars="20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农林水支出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其他农林水支出</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其他农林水支出</w:t>
      </w:r>
      <w:r>
        <w:rPr>
          <w:rStyle w:val="19"/>
          <w:rFonts w:hint="eastAsia" w:ascii="仿宋_GB2312" w:hAnsi="仿宋_GB2312" w:eastAsia="仿宋_GB2312" w:cs="仿宋_GB2312"/>
          <w:bCs/>
          <w:color w:val="000000"/>
          <w:sz w:val="32"/>
          <w:szCs w:val="32"/>
        </w:rPr>
        <w:t>支出（项）: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10.40</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%，决算数</w:t>
      </w:r>
      <w:r>
        <w:rPr>
          <w:rStyle w:val="19"/>
          <w:rFonts w:hint="eastAsia" w:ascii="仿宋_GB2312" w:hAnsi="仿宋_GB2312" w:eastAsia="仿宋_GB2312" w:cs="仿宋_GB2312"/>
          <w:b w:val="0"/>
          <w:bCs/>
          <w:color w:val="000000"/>
          <w:sz w:val="32"/>
          <w:szCs w:val="32"/>
          <w:lang w:eastAsia="zh-CN"/>
        </w:rPr>
        <w:t>等于</w:t>
      </w:r>
      <w:r>
        <w:rPr>
          <w:rStyle w:val="19"/>
          <w:rFonts w:hint="eastAsia" w:ascii="仿宋_GB2312" w:hAnsi="仿宋_GB2312" w:eastAsia="仿宋_GB2312" w:cs="仿宋_GB2312"/>
          <w:b w:val="0"/>
          <w:bCs/>
          <w:color w:val="000000"/>
          <w:sz w:val="32"/>
          <w:szCs w:val="32"/>
        </w:rPr>
        <w:t>预算数。</w:t>
      </w:r>
    </w:p>
    <w:p w14:paraId="2B136484">
      <w:pPr>
        <w:numPr>
          <w:ilvl w:val="0"/>
          <w:numId w:val="0"/>
        </w:numPr>
        <w:ind w:leftChars="200"/>
        <w:rPr>
          <w:rStyle w:val="19"/>
          <w:rFonts w:hint="eastAsia" w:ascii="仿宋_GB2312" w:hAnsi="仿宋_GB2312" w:eastAsia="仿宋_GB2312" w:cs="仿宋_GB2312"/>
          <w:b w:val="0"/>
          <w:bCs/>
          <w:color w:val="000000"/>
          <w:sz w:val="32"/>
          <w:szCs w:val="32"/>
          <w:lang w:eastAsia="zh-CN"/>
        </w:rPr>
      </w:pPr>
      <w:r>
        <w:rPr>
          <w:rStyle w:val="19"/>
          <w:rFonts w:hint="eastAsia" w:ascii="仿宋_GB2312" w:hAnsi="仿宋_GB2312" w:eastAsia="仿宋_GB2312" w:cs="仿宋_GB2312"/>
          <w:bCs/>
          <w:color w:val="000000"/>
          <w:sz w:val="32"/>
          <w:szCs w:val="32"/>
        </w:rPr>
        <w:t>6.</w:t>
      </w:r>
      <w:r>
        <w:rPr>
          <w:rFonts w:hint="eastAsia" w:ascii="仿宋_GB2312" w:hAnsi="仿宋_GB2312" w:eastAsia="仿宋_GB2312" w:cs="仿宋_GB2312"/>
          <w:b/>
          <w:bCs/>
          <w:color w:val="000000"/>
          <w:sz w:val="32"/>
          <w:szCs w:val="32"/>
          <w:lang w:eastAsia="zh-CN"/>
        </w:rPr>
        <w:t>资源勘探工业信息等支出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工业和信息产业监管</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产业发展支出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70.00</w:t>
      </w:r>
      <w:r>
        <w:rPr>
          <w:rStyle w:val="19"/>
          <w:rFonts w:hint="eastAsia" w:ascii="仿宋_GB2312" w:hAnsi="仿宋_GB2312" w:eastAsia="仿宋_GB2312" w:cs="仿宋_GB2312"/>
          <w:b w:val="0"/>
          <w:bCs/>
          <w:color w:val="000000"/>
          <w:sz w:val="32"/>
          <w:szCs w:val="32"/>
        </w:rPr>
        <w:t>万元，完成预算100%，决算数等于预算数</w:t>
      </w:r>
      <w:r>
        <w:rPr>
          <w:rStyle w:val="19"/>
          <w:rFonts w:hint="eastAsia" w:ascii="仿宋_GB2312" w:hAnsi="仿宋_GB2312" w:eastAsia="仿宋_GB2312" w:cs="仿宋_GB2312"/>
          <w:b w:val="0"/>
          <w:bCs/>
          <w:color w:val="000000"/>
          <w:sz w:val="32"/>
          <w:szCs w:val="32"/>
          <w:lang w:eastAsia="zh-CN"/>
        </w:rPr>
        <w:t>。</w:t>
      </w:r>
    </w:p>
    <w:p w14:paraId="33018CF7">
      <w:pPr>
        <w:numPr>
          <w:ilvl w:val="0"/>
          <w:numId w:val="0"/>
        </w:numPr>
        <w:ind w:left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7、</w:t>
      </w:r>
      <w:r>
        <w:rPr>
          <w:rFonts w:hint="eastAsia" w:ascii="仿宋_GB2312" w:hAnsi="仿宋_GB2312" w:eastAsia="仿宋_GB2312" w:cs="仿宋_GB2312"/>
          <w:b/>
          <w:bCs/>
          <w:color w:val="000000"/>
          <w:sz w:val="32"/>
          <w:szCs w:val="32"/>
          <w:lang w:eastAsia="zh-CN"/>
        </w:rPr>
        <w:t>商业服务业等支出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商业流通事务</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其他商业流通事务支出</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1.71</w:t>
      </w:r>
      <w:r>
        <w:rPr>
          <w:rStyle w:val="19"/>
          <w:rFonts w:hint="eastAsia" w:ascii="仿宋_GB2312" w:hAnsi="仿宋_GB2312" w:eastAsia="仿宋_GB2312" w:cs="仿宋_GB2312"/>
          <w:b w:val="0"/>
          <w:bCs/>
          <w:color w:val="000000"/>
          <w:sz w:val="32"/>
          <w:szCs w:val="32"/>
        </w:rPr>
        <w:t>万元，完成预算100%，决算数等于预算数</w:t>
      </w:r>
      <w:r>
        <w:rPr>
          <w:rStyle w:val="19"/>
          <w:rFonts w:hint="eastAsia" w:ascii="仿宋_GB2312" w:hAnsi="仿宋_GB2312" w:eastAsia="仿宋_GB2312" w:cs="仿宋_GB2312"/>
          <w:b w:val="0"/>
          <w:bCs/>
          <w:color w:val="000000"/>
          <w:sz w:val="32"/>
          <w:szCs w:val="32"/>
          <w:lang w:eastAsia="zh-CN"/>
        </w:rPr>
        <w:t>。</w:t>
      </w:r>
    </w:p>
    <w:p w14:paraId="00712504">
      <w:pPr>
        <w:spacing w:line="600" w:lineRule="exact"/>
        <w:ind w:firstLine="643" w:firstLine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lang w:val="en-US" w:eastAsia="zh-CN"/>
        </w:rPr>
        <w:t>8</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19"/>
          <w:rFonts w:hint="eastAsia" w:ascii="仿宋_GB2312" w:hAnsi="仿宋_GB2312" w:eastAsia="仿宋_GB2312" w:cs="仿宋_GB2312"/>
          <w:bCs/>
          <w:color w:val="000000"/>
          <w:sz w:val="32"/>
          <w:szCs w:val="32"/>
        </w:rPr>
        <w:t>（类）住房改革支出（款）住房公积金（项）: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153.37</w:t>
      </w:r>
      <w:r>
        <w:rPr>
          <w:rStyle w:val="19"/>
          <w:rFonts w:hint="eastAsia" w:ascii="仿宋_GB2312" w:hAnsi="仿宋_GB2312" w:eastAsia="仿宋_GB2312" w:cs="仿宋_GB2312"/>
          <w:b w:val="0"/>
          <w:bCs/>
          <w:color w:val="000000"/>
          <w:sz w:val="32"/>
          <w:szCs w:val="32"/>
        </w:rPr>
        <w:t>万元，完成预算100%，决算数等于预算数。</w:t>
      </w:r>
    </w:p>
    <w:p w14:paraId="409189EA">
      <w:pPr>
        <w:pStyle w:val="2"/>
        <w:ind w:left="0" w:leftChars="0" w:firstLine="472" w:firstLineChars="147"/>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9</w:t>
      </w:r>
      <w:r>
        <w:rPr>
          <w:rFonts w:hint="eastAsia" w:ascii="仿宋_GB2312" w:hAnsi="仿宋_GB2312" w:eastAsia="仿宋_GB2312" w:cs="仿宋_GB2312"/>
          <w:b/>
          <w:sz w:val="32"/>
          <w:szCs w:val="32"/>
        </w:rPr>
        <w:t>、其他支出（类）其他支出（款）其他支出（项）</w:t>
      </w:r>
    </w:p>
    <w:p w14:paraId="25214E7B">
      <w:pPr>
        <w:pStyle w:val="2"/>
        <w:ind w:left="0" w:leftChars="0" w:firstLine="470" w:firstLineChars="147"/>
        <w:rPr>
          <w:rFonts w:hint="eastAsia" w:ascii="仿宋_GB2312" w:hAnsi="仿宋_GB2312" w:eastAsia="仿宋_GB2312" w:cs="仿宋_GB2312"/>
          <w:b/>
          <w:sz w:val="32"/>
          <w:szCs w:val="32"/>
        </w:rPr>
      </w:pPr>
      <w:r>
        <w:rPr>
          <w:rStyle w:val="19"/>
          <w:rFonts w:hint="eastAsia" w:ascii="仿宋_GB2312" w:hAnsi="仿宋_GB2312" w:eastAsia="仿宋_GB2312" w:cs="仿宋_GB2312"/>
          <w:b w:val="0"/>
          <w:bCs/>
          <w:sz w:val="32"/>
          <w:szCs w:val="32"/>
        </w:rPr>
        <w:t>支出决算为</w:t>
      </w:r>
      <w:r>
        <w:rPr>
          <w:rStyle w:val="19"/>
          <w:rFonts w:hint="eastAsia" w:ascii="仿宋_GB2312" w:hAnsi="仿宋_GB2312" w:eastAsia="仿宋_GB2312" w:cs="仿宋_GB2312"/>
          <w:b w:val="0"/>
          <w:bCs/>
          <w:sz w:val="32"/>
          <w:szCs w:val="32"/>
          <w:lang w:val="en-US" w:eastAsia="zh-CN"/>
        </w:rPr>
        <w:t>1.4</w:t>
      </w:r>
      <w:r>
        <w:rPr>
          <w:rStyle w:val="19"/>
          <w:rFonts w:hint="eastAsia" w:ascii="仿宋_GB2312" w:hAnsi="仿宋_GB2312" w:eastAsia="仿宋_GB2312" w:cs="仿宋_GB2312"/>
          <w:b w:val="0"/>
          <w:bCs/>
          <w:sz w:val="32"/>
          <w:szCs w:val="32"/>
        </w:rPr>
        <w:t>万元，完成预算100%，决算数等于预算数。</w:t>
      </w:r>
    </w:p>
    <w:p w14:paraId="7B317964">
      <w:pPr>
        <w:tabs>
          <w:tab w:val="right" w:pos="8306"/>
        </w:tabs>
        <w:spacing w:line="600" w:lineRule="exact"/>
        <w:ind w:left="0" w:leftChars="0" w:firstLine="0" w:firstLineChars="0"/>
        <w:outlineLvl w:val="1"/>
        <w:rPr>
          <w:rStyle w:val="22"/>
          <w:rFonts w:hint="eastAsia" w:ascii="仿宋_GB2312" w:hAnsi="仿宋_GB2312" w:eastAsia="仿宋_GB2312" w:cs="仿宋_GB2312"/>
          <w:sz w:val="32"/>
          <w:szCs w:val="32"/>
        </w:rPr>
      </w:pPr>
      <w:bookmarkStart w:id="40" w:name="_Toc15377214"/>
      <w:bookmarkStart w:id="41" w:name="_Toc15396608"/>
      <w:r>
        <w:rPr>
          <w:rFonts w:hint="eastAsia" w:ascii="仿宋_GB2312" w:hAnsi="仿宋_GB2312" w:eastAsia="仿宋_GB2312" w:cs="仿宋_GB2312"/>
          <w:b/>
          <w:bCs/>
          <w:color w:val="000000"/>
          <w:sz w:val="32"/>
          <w:szCs w:val="32"/>
        </w:rPr>
        <w:t>六、一</w:t>
      </w:r>
      <w:r>
        <w:rPr>
          <w:rStyle w:val="22"/>
          <w:rFonts w:hint="eastAsia" w:ascii="仿宋_GB2312" w:hAnsi="仿宋_GB2312" w:eastAsia="仿宋_GB2312" w:cs="仿宋_GB2312"/>
          <w:b/>
          <w:bCs/>
          <w:sz w:val="32"/>
          <w:szCs w:val="32"/>
        </w:rPr>
        <w:t>般公共预算财政拨款基本支出决算情况说明</w:t>
      </w:r>
      <w:bookmarkEnd w:id="40"/>
      <w:bookmarkEnd w:id="41"/>
      <w:r>
        <w:rPr>
          <w:rStyle w:val="22"/>
          <w:rFonts w:hint="eastAsia" w:ascii="仿宋_GB2312" w:hAnsi="仿宋_GB2312" w:eastAsia="仿宋_GB2312" w:cs="仿宋_GB2312"/>
          <w:b w:val="0"/>
          <w:sz w:val="32"/>
          <w:szCs w:val="32"/>
        </w:rPr>
        <w:tab/>
      </w:r>
    </w:p>
    <w:p w14:paraId="29C23923">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w:t>
      </w:r>
      <w:r>
        <w:rPr>
          <w:rFonts w:hint="eastAsia" w:ascii="仿宋_GB2312" w:hAnsi="仿宋_GB2312" w:eastAsia="仿宋_GB2312" w:cs="仿宋_GB2312"/>
          <w:color w:val="000000"/>
          <w:sz w:val="32"/>
          <w:szCs w:val="32"/>
          <w:lang w:val="en-US" w:eastAsia="zh-CN"/>
        </w:rPr>
        <w:t>2270.16</w:t>
      </w:r>
      <w:r>
        <w:rPr>
          <w:rFonts w:hint="eastAsia" w:ascii="仿宋_GB2312" w:hAnsi="仿宋_GB2312" w:eastAsia="仿宋_GB2312" w:cs="仿宋_GB2312"/>
          <w:color w:val="000000"/>
          <w:sz w:val="32"/>
          <w:szCs w:val="32"/>
        </w:rPr>
        <w:t>万元，其中：</w:t>
      </w:r>
    </w:p>
    <w:p w14:paraId="72FA451A">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2157.62</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353.67</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1012.39</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14.05</w:t>
      </w:r>
      <w:r>
        <w:rPr>
          <w:rFonts w:hint="eastAsia" w:ascii="仿宋_GB2312" w:hAnsi="仿宋_GB2312" w:eastAsia="仿宋_GB2312" w:cs="仿宋_GB2312"/>
          <w:color w:val="000000"/>
          <w:sz w:val="32"/>
          <w:szCs w:val="32"/>
        </w:rPr>
        <w:t>万元、伙食补助费0万元、绩效工资</w:t>
      </w:r>
      <w:r>
        <w:rPr>
          <w:rFonts w:hint="eastAsia" w:ascii="仿宋_GB2312" w:hAnsi="仿宋_GB2312" w:eastAsia="仿宋_GB2312" w:cs="仿宋_GB2312"/>
          <w:color w:val="000000"/>
          <w:sz w:val="32"/>
          <w:szCs w:val="32"/>
          <w:lang w:val="en-US" w:eastAsia="zh-CN"/>
        </w:rPr>
        <w:t>166.92</w:t>
      </w:r>
      <w:r>
        <w:rPr>
          <w:rFonts w:hint="eastAsia" w:ascii="仿宋_GB2312" w:hAnsi="仿宋_GB2312" w:eastAsia="仿宋_GB2312" w:cs="仿宋_GB2312"/>
          <w:color w:val="000000"/>
          <w:sz w:val="32"/>
          <w:szCs w:val="32"/>
        </w:rPr>
        <w:t>万元、机关事业单位基本养老保险缴费</w:t>
      </w:r>
      <w:r>
        <w:rPr>
          <w:rFonts w:hint="eastAsia" w:ascii="仿宋_GB2312" w:hAnsi="仿宋_GB2312" w:eastAsia="仿宋_GB2312" w:cs="仿宋_GB2312"/>
          <w:color w:val="000000"/>
          <w:sz w:val="32"/>
          <w:szCs w:val="32"/>
          <w:lang w:val="en-US" w:eastAsia="zh-CN"/>
        </w:rPr>
        <w:t>161.12</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80.21</w:t>
      </w:r>
      <w:r>
        <w:rPr>
          <w:rFonts w:hint="eastAsia" w:ascii="仿宋_GB2312" w:hAnsi="仿宋_GB2312" w:eastAsia="仿宋_GB2312" w:cs="仿宋_GB2312"/>
          <w:color w:val="000000"/>
          <w:sz w:val="32"/>
          <w:szCs w:val="32"/>
        </w:rPr>
        <w:t>万元、公务员医疗补助缴费</w:t>
      </w:r>
      <w:r>
        <w:rPr>
          <w:rFonts w:hint="eastAsia" w:ascii="仿宋_GB2312" w:hAnsi="仿宋_GB2312" w:eastAsia="仿宋_GB2312" w:cs="仿宋_GB2312"/>
          <w:color w:val="000000"/>
          <w:sz w:val="32"/>
          <w:szCs w:val="32"/>
          <w:lang w:val="en-US" w:eastAsia="zh-CN"/>
        </w:rPr>
        <w:t>30.93</w:t>
      </w:r>
      <w:r>
        <w:rPr>
          <w:rFonts w:hint="eastAsia" w:ascii="仿宋_GB2312" w:hAnsi="仿宋_GB2312" w:eastAsia="仿宋_GB2312" w:cs="仿宋_GB2312"/>
          <w:color w:val="000000"/>
          <w:sz w:val="32"/>
          <w:szCs w:val="32"/>
        </w:rPr>
        <w:t>万元、职工基本医疗保险缴费</w:t>
      </w:r>
      <w:r>
        <w:rPr>
          <w:rFonts w:hint="eastAsia" w:ascii="仿宋_GB2312" w:hAnsi="仿宋_GB2312" w:eastAsia="仿宋_GB2312" w:cs="仿宋_GB2312"/>
          <w:color w:val="000000"/>
          <w:sz w:val="32"/>
          <w:szCs w:val="32"/>
          <w:lang w:val="en-US" w:eastAsia="zh-CN"/>
        </w:rPr>
        <w:t>77.20</w:t>
      </w:r>
      <w:r>
        <w:rPr>
          <w:rFonts w:hint="eastAsia" w:ascii="仿宋_GB2312" w:hAnsi="仿宋_GB2312" w:eastAsia="仿宋_GB2312" w:cs="仿宋_GB2312"/>
          <w:color w:val="000000"/>
          <w:sz w:val="32"/>
          <w:szCs w:val="32"/>
        </w:rPr>
        <w:t>万元、其他社会保障缴费</w:t>
      </w:r>
      <w:r>
        <w:rPr>
          <w:rFonts w:hint="eastAsia" w:ascii="仿宋_GB2312" w:hAnsi="仿宋_GB2312" w:eastAsia="仿宋_GB2312" w:cs="仿宋_GB2312"/>
          <w:color w:val="000000"/>
          <w:sz w:val="32"/>
          <w:szCs w:val="32"/>
          <w:lang w:val="en-US" w:eastAsia="zh-CN"/>
        </w:rPr>
        <w:t>28.44</w:t>
      </w:r>
      <w:r>
        <w:rPr>
          <w:rFonts w:hint="eastAsia" w:ascii="仿宋_GB2312" w:hAnsi="仿宋_GB2312" w:eastAsia="仿宋_GB2312" w:cs="仿宋_GB2312"/>
          <w:color w:val="000000"/>
          <w:sz w:val="32"/>
          <w:szCs w:val="32"/>
        </w:rPr>
        <w:t>万元、医疗费</w:t>
      </w:r>
      <w:r>
        <w:rPr>
          <w:rFonts w:hint="eastAsia" w:ascii="仿宋_GB2312" w:hAnsi="仿宋_GB2312" w:eastAsia="仿宋_GB2312" w:cs="仿宋_GB2312"/>
          <w:color w:val="000000"/>
          <w:sz w:val="32"/>
          <w:szCs w:val="32"/>
          <w:lang w:val="en-US" w:eastAsia="zh-CN"/>
        </w:rPr>
        <w:t>9.36</w:t>
      </w:r>
      <w:r>
        <w:rPr>
          <w:rFonts w:hint="eastAsia" w:ascii="仿宋_GB2312" w:hAnsi="仿宋_GB2312" w:eastAsia="仿宋_GB2312" w:cs="仿宋_GB2312"/>
          <w:color w:val="000000"/>
          <w:sz w:val="32"/>
          <w:szCs w:val="32"/>
        </w:rPr>
        <w:t>万元、其他工资福利支出</w:t>
      </w:r>
      <w:r>
        <w:rPr>
          <w:rFonts w:hint="eastAsia" w:ascii="仿宋_GB2312" w:hAnsi="仿宋_GB2312" w:eastAsia="仿宋_GB2312" w:cs="仿宋_GB2312"/>
          <w:color w:val="000000"/>
          <w:sz w:val="32"/>
          <w:szCs w:val="32"/>
          <w:lang w:val="en-US" w:eastAsia="zh-CN"/>
        </w:rPr>
        <w:t>26.77</w:t>
      </w:r>
      <w:r>
        <w:rPr>
          <w:rFonts w:hint="eastAsia" w:ascii="仿宋_GB2312" w:hAnsi="仿宋_GB2312" w:eastAsia="仿宋_GB2312" w:cs="仿宋_GB2312"/>
          <w:color w:val="000000"/>
          <w:sz w:val="32"/>
          <w:szCs w:val="32"/>
        </w:rPr>
        <w:t>万元、离休费0万元、退休费0万元、抚恤金0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rPr>
        <w:t>万元、生活补助</w:t>
      </w:r>
      <w:r>
        <w:rPr>
          <w:rFonts w:hint="eastAsia" w:ascii="仿宋_GB2312" w:hAnsi="仿宋_GB2312" w:eastAsia="仿宋_GB2312" w:cs="仿宋_GB2312"/>
          <w:color w:val="000000"/>
          <w:sz w:val="32"/>
          <w:szCs w:val="32"/>
          <w:lang w:val="en-US" w:eastAsia="zh-CN"/>
        </w:rPr>
        <w:t>38.72</w:t>
      </w:r>
      <w:r>
        <w:rPr>
          <w:rFonts w:hint="eastAsia" w:ascii="仿宋_GB2312" w:hAnsi="仿宋_GB2312" w:eastAsia="仿宋_GB2312" w:cs="仿宋_GB2312"/>
          <w:color w:val="000000"/>
          <w:sz w:val="32"/>
          <w:szCs w:val="32"/>
        </w:rPr>
        <w:t>万元、医疗费补助</w:t>
      </w:r>
      <w:r>
        <w:rPr>
          <w:rFonts w:hint="eastAsia" w:ascii="仿宋_GB2312" w:hAnsi="仿宋_GB2312" w:eastAsia="仿宋_GB2312" w:cs="仿宋_GB2312"/>
          <w:color w:val="000000"/>
          <w:sz w:val="32"/>
          <w:szCs w:val="32"/>
          <w:lang w:val="en-US" w:eastAsia="zh-CN"/>
        </w:rPr>
        <w:t>4.43</w:t>
      </w:r>
      <w:r>
        <w:rPr>
          <w:rFonts w:hint="eastAsia" w:ascii="仿宋_GB2312" w:hAnsi="仿宋_GB2312" w:eastAsia="仿宋_GB2312" w:cs="仿宋_GB2312"/>
          <w:color w:val="000000"/>
          <w:sz w:val="32"/>
          <w:szCs w:val="32"/>
        </w:rPr>
        <w:t>万元、奖励金</w:t>
      </w:r>
      <w:r>
        <w:rPr>
          <w:rFonts w:hint="eastAsia" w:ascii="仿宋_GB2312" w:hAnsi="仿宋_GB2312" w:eastAsia="仿宋_GB2312" w:cs="仿宋_GB2312"/>
          <w:color w:val="000000"/>
          <w:sz w:val="32"/>
          <w:szCs w:val="32"/>
          <w:lang w:val="en-US" w:eastAsia="zh-CN"/>
        </w:rPr>
        <w:t>0.04</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153.37</w:t>
      </w:r>
      <w:r>
        <w:rPr>
          <w:rFonts w:hint="eastAsia" w:ascii="仿宋_GB2312" w:hAnsi="仿宋_GB2312" w:eastAsia="仿宋_GB2312" w:cs="仿宋_GB2312"/>
          <w:color w:val="000000"/>
          <w:sz w:val="32"/>
          <w:szCs w:val="32"/>
        </w:rPr>
        <w:t>万元、其他对个人和家庭的补助支出0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，个人农业生产补贴</w:t>
      </w:r>
      <w:r>
        <w:rPr>
          <w:rFonts w:hint="eastAsia" w:ascii="仿宋_GB2312" w:hAnsi="仿宋_GB2312" w:eastAsia="仿宋_GB2312" w:cs="仿宋_GB2312"/>
          <w:color w:val="000000"/>
          <w:sz w:val="32"/>
          <w:szCs w:val="32"/>
          <w:lang w:val="en-US" w:eastAsia="zh-CN"/>
        </w:rPr>
        <w:t>0.00万元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112.54</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29.53</w:t>
      </w:r>
      <w:r>
        <w:rPr>
          <w:rFonts w:hint="eastAsia" w:ascii="仿宋_GB2312" w:hAnsi="仿宋_GB2312" w:eastAsia="仿宋_GB2312" w:cs="仿宋_GB2312"/>
          <w:color w:val="000000"/>
          <w:sz w:val="32"/>
          <w:szCs w:val="32"/>
        </w:rPr>
        <w:t>万元、印刷费0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rPr>
        <w:t>万元、咨询费</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万元、手续费0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rPr>
        <w:t>万元、水费</w:t>
      </w:r>
      <w:r>
        <w:rPr>
          <w:rFonts w:hint="eastAsia" w:ascii="仿宋_GB2312" w:hAnsi="仿宋_GB2312" w:eastAsia="仿宋_GB2312" w:cs="仿宋_GB2312"/>
          <w:color w:val="000000"/>
          <w:sz w:val="32"/>
          <w:szCs w:val="32"/>
          <w:lang w:val="en-US" w:eastAsia="zh-CN"/>
        </w:rPr>
        <w:t>0.45</w:t>
      </w:r>
      <w:r>
        <w:rPr>
          <w:rFonts w:hint="eastAsia" w:ascii="仿宋_GB2312" w:hAnsi="仿宋_GB2312" w:eastAsia="仿宋_GB2312" w:cs="仿宋_GB2312"/>
          <w:color w:val="000000"/>
          <w:sz w:val="32"/>
          <w:szCs w:val="32"/>
        </w:rPr>
        <w:t>万元、电费</w:t>
      </w:r>
      <w:r>
        <w:rPr>
          <w:rFonts w:hint="eastAsia" w:ascii="仿宋_GB2312" w:hAnsi="仿宋_GB2312" w:eastAsia="仿宋_GB2312" w:cs="仿宋_GB2312"/>
          <w:color w:val="000000"/>
          <w:sz w:val="32"/>
          <w:szCs w:val="32"/>
          <w:lang w:val="en-US" w:eastAsia="zh-CN"/>
        </w:rPr>
        <w:t>4.03</w:t>
      </w:r>
      <w:r>
        <w:rPr>
          <w:rFonts w:hint="eastAsia" w:ascii="仿宋_GB2312" w:hAnsi="仿宋_GB2312" w:eastAsia="仿宋_GB2312" w:cs="仿宋_GB2312"/>
          <w:color w:val="000000"/>
          <w:sz w:val="32"/>
          <w:szCs w:val="32"/>
        </w:rPr>
        <w:t>万元、邮电费</w:t>
      </w:r>
      <w:r>
        <w:rPr>
          <w:rFonts w:hint="eastAsia" w:ascii="仿宋_GB2312" w:hAnsi="仿宋_GB2312" w:eastAsia="仿宋_GB2312" w:cs="仿宋_GB2312"/>
          <w:color w:val="000000"/>
          <w:sz w:val="32"/>
          <w:szCs w:val="32"/>
          <w:lang w:val="en-US" w:eastAsia="zh-CN"/>
        </w:rPr>
        <w:t>4.98</w:t>
      </w:r>
      <w:r>
        <w:rPr>
          <w:rFonts w:hint="eastAsia" w:ascii="仿宋_GB2312" w:hAnsi="仿宋_GB2312" w:eastAsia="仿宋_GB2312" w:cs="仿宋_GB2312"/>
          <w:color w:val="000000"/>
          <w:sz w:val="32"/>
          <w:szCs w:val="32"/>
        </w:rPr>
        <w:t>万元、取暖费</w:t>
      </w:r>
      <w:r>
        <w:rPr>
          <w:rFonts w:hint="eastAsia" w:ascii="仿宋_GB2312" w:hAnsi="仿宋_GB2312" w:eastAsia="仿宋_GB2312" w:cs="仿宋_GB2312"/>
          <w:color w:val="000000"/>
          <w:sz w:val="32"/>
          <w:szCs w:val="32"/>
          <w:lang w:val="en-US" w:eastAsia="zh-CN"/>
        </w:rPr>
        <w:t>2.98</w:t>
      </w:r>
      <w:r>
        <w:rPr>
          <w:rFonts w:hint="eastAsia" w:ascii="仿宋_GB2312" w:hAnsi="仿宋_GB2312" w:eastAsia="仿宋_GB2312" w:cs="仿宋_GB2312"/>
          <w:color w:val="000000"/>
          <w:sz w:val="32"/>
          <w:szCs w:val="32"/>
        </w:rPr>
        <w:t>万元、物业管理费0万元、差旅费</w:t>
      </w:r>
      <w:r>
        <w:rPr>
          <w:rFonts w:hint="eastAsia" w:ascii="仿宋_GB2312" w:hAnsi="仿宋_GB2312" w:eastAsia="仿宋_GB2312" w:cs="仿宋_GB2312"/>
          <w:color w:val="000000"/>
          <w:sz w:val="32"/>
          <w:szCs w:val="32"/>
          <w:lang w:val="en-US" w:eastAsia="zh-CN"/>
        </w:rPr>
        <w:t>36.05</w:t>
      </w:r>
      <w:r>
        <w:rPr>
          <w:rFonts w:hint="eastAsia" w:ascii="仿宋_GB2312" w:hAnsi="仿宋_GB2312" w:eastAsia="仿宋_GB2312" w:cs="仿宋_GB2312"/>
          <w:color w:val="000000"/>
          <w:sz w:val="32"/>
          <w:szCs w:val="32"/>
        </w:rPr>
        <w:t>万元、因公出国（境）费用0万元、维修（护）费0万元、租赁费</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万元、会议费0万元、培训费</w:t>
      </w:r>
      <w:r>
        <w:rPr>
          <w:rFonts w:hint="eastAsia" w:ascii="仿宋_GB2312" w:hAnsi="仿宋_GB2312" w:eastAsia="仿宋_GB2312" w:cs="仿宋_GB2312"/>
          <w:color w:val="000000"/>
          <w:sz w:val="32"/>
          <w:szCs w:val="32"/>
          <w:lang w:val="en-US" w:eastAsia="zh-CN"/>
        </w:rPr>
        <w:t>0.98</w:t>
      </w:r>
      <w:r>
        <w:rPr>
          <w:rFonts w:hint="eastAsia" w:ascii="仿宋_GB2312" w:hAnsi="仿宋_GB2312" w:eastAsia="仿宋_GB2312" w:cs="仿宋_GB2312"/>
          <w:color w:val="000000"/>
          <w:sz w:val="32"/>
          <w:szCs w:val="32"/>
        </w:rPr>
        <w:t>万元、公务接待费</w:t>
      </w:r>
      <w:r>
        <w:rPr>
          <w:rFonts w:hint="eastAsia" w:ascii="仿宋_GB2312" w:hAnsi="仿宋_GB2312" w:eastAsia="仿宋_GB2312" w:cs="仿宋_GB2312"/>
          <w:color w:val="000000"/>
          <w:sz w:val="32"/>
          <w:szCs w:val="32"/>
          <w:lang w:val="en-US" w:eastAsia="zh-CN"/>
        </w:rPr>
        <w:t>1.98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专用材料</w:t>
      </w:r>
      <w:r>
        <w:rPr>
          <w:rFonts w:hint="eastAsia" w:ascii="仿宋_GB2312" w:hAnsi="仿宋_GB2312" w:eastAsia="仿宋_GB2312" w:cs="仿宋_GB2312"/>
          <w:color w:val="000000"/>
          <w:sz w:val="32"/>
          <w:szCs w:val="32"/>
          <w:lang w:val="en-US" w:eastAsia="zh-CN"/>
        </w:rPr>
        <w:t>0.00万元、</w:t>
      </w:r>
      <w:r>
        <w:rPr>
          <w:rFonts w:hint="eastAsia" w:ascii="仿宋_GB2312" w:hAnsi="仿宋_GB2312" w:eastAsia="仿宋_GB2312" w:cs="仿宋_GB2312"/>
          <w:color w:val="000000"/>
          <w:sz w:val="32"/>
          <w:szCs w:val="32"/>
        </w:rPr>
        <w:t>劳务费</w:t>
      </w:r>
      <w:r>
        <w:rPr>
          <w:rFonts w:hint="eastAsia" w:ascii="仿宋_GB2312" w:hAnsi="仿宋_GB2312" w:eastAsia="仿宋_GB2312" w:cs="仿宋_GB2312"/>
          <w:color w:val="000000"/>
          <w:sz w:val="32"/>
          <w:szCs w:val="32"/>
          <w:lang w:val="en-US" w:eastAsia="zh-CN"/>
        </w:rPr>
        <w:t>2.88</w:t>
      </w:r>
      <w:r>
        <w:rPr>
          <w:rFonts w:hint="eastAsia" w:ascii="仿宋_GB2312" w:hAnsi="仿宋_GB2312" w:eastAsia="仿宋_GB2312" w:cs="仿宋_GB2312"/>
          <w:color w:val="000000"/>
          <w:sz w:val="32"/>
          <w:szCs w:val="32"/>
        </w:rPr>
        <w:t>万元、委托业务费</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万元、工会经费0万元、福利费0万元、公务用车运行维护费</w:t>
      </w:r>
      <w:r>
        <w:rPr>
          <w:rFonts w:hint="eastAsia" w:ascii="仿宋_GB2312" w:hAnsi="仿宋_GB2312" w:eastAsia="仿宋_GB2312" w:cs="仿宋_GB2312"/>
          <w:color w:val="000000"/>
          <w:sz w:val="32"/>
          <w:szCs w:val="32"/>
          <w:lang w:val="en-US" w:eastAsia="zh-CN"/>
        </w:rPr>
        <w:t>26.98</w:t>
      </w:r>
      <w:r>
        <w:rPr>
          <w:rFonts w:hint="eastAsia" w:ascii="仿宋_GB2312" w:hAnsi="仿宋_GB2312" w:eastAsia="仿宋_GB2312" w:cs="仿宋_GB2312"/>
          <w:color w:val="000000"/>
          <w:sz w:val="32"/>
          <w:szCs w:val="32"/>
        </w:rPr>
        <w:t>万元、其他交通费</w:t>
      </w:r>
      <w:r>
        <w:rPr>
          <w:rFonts w:hint="eastAsia" w:ascii="仿宋_GB2312" w:hAnsi="仿宋_GB2312" w:eastAsia="仿宋_GB2312" w:cs="仿宋_GB2312"/>
          <w:color w:val="000000"/>
          <w:sz w:val="32"/>
          <w:szCs w:val="32"/>
          <w:lang w:val="en-US" w:eastAsia="zh-CN"/>
        </w:rPr>
        <w:t>1.70万元</w:t>
      </w:r>
      <w:r>
        <w:rPr>
          <w:rFonts w:hint="eastAsia" w:ascii="仿宋_GB2312" w:hAnsi="仿宋_GB2312" w:eastAsia="仿宋_GB2312" w:cs="仿宋_GB2312"/>
          <w:color w:val="000000"/>
          <w:sz w:val="32"/>
          <w:szCs w:val="32"/>
        </w:rPr>
        <w:t>、税金及附加费用0万元、其他商品和服务支出0万元、办公设备购置0万元、专用设备购置0万元、信息网络及软件购置更新0万元、其他资本性支出0万元。</w:t>
      </w:r>
    </w:p>
    <w:p w14:paraId="7B1671AB">
      <w:pPr>
        <w:spacing w:line="600" w:lineRule="exact"/>
        <w:ind w:left="0" w:leftChars="0" w:firstLine="220" w:firstLineChars="0"/>
        <w:outlineLvl w:val="1"/>
        <w:rPr>
          <w:rStyle w:val="22"/>
          <w:rFonts w:hint="eastAsia" w:ascii="仿宋_GB2312" w:hAnsi="仿宋_GB2312" w:eastAsia="仿宋_GB2312" w:cs="仿宋_GB2312"/>
          <w:b/>
          <w:bCs/>
          <w:sz w:val="32"/>
          <w:szCs w:val="32"/>
        </w:rPr>
      </w:pPr>
      <w:bookmarkStart w:id="42" w:name="_Toc15396609"/>
      <w:bookmarkStart w:id="43" w:name="_Toc15377215"/>
      <w:r>
        <w:rPr>
          <w:rFonts w:hint="eastAsia" w:ascii="仿宋_GB2312" w:hAnsi="仿宋_GB2312" w:eastAsia="仿宋_GB2312" w:cs="仿宋_GB2312"/>
          <w:b/>
          <w:bCs/>
          <w:color w:val="000000"/>
          <w:sz w:val="32"/>
          <w:szCs w:val="32"/>
        </w:rPr>
        <w:t>七、</w:t>
      </w:r>
      <w:r>
        <w:rPr>
          <w:rStyle w:val="22"/>
          <w:rFonts w:hint="eastAsia" w:ascii="仿宋_GB2312" w:hAnsi="仿宋_GB2312" w:eastAsia="仿宋_GB2312" w:cs="仿宋_GB2312"/>
          <w:b/>
          <w:bCs/>
          <w:sz w:val="32"/>
          <w:szCs w:val="32"/>
        </w:rPr>
        <w:t>“三公”经费财政拨款支出决算情况说明</w:t>
      </w:r>
      <w:bookmarkEnd w:id="42"/>
      <w:bookmarkEnd w:id="43"/>
    </w:p>
    <w:p w14:paraId="2886631E">
      <w:pPr>
        <w:spacing w:line="600" w:lineRule="exact"/>
        <w:ind w:firstLine="640"/>
        <w:outlineLvl w:val="2"/>
        <w:rPr>
          <w:rFonts w:hint="eastAsia" w:ascii="仿宋_GB2312" w:hAnsi="仿宋_GB2312" w:eastAsia="仿宋_GB2312" w:cs="仿宋_GB2312"/>
          <w:b/>
          <w:color w:val="000000"/>
          <w:sz w:val="32"/>
          <w:szCs w:val="32"/>
        </w:rPr>
      </w:pPr>
      <w:bookmarkStart w:id="44" w:name="_Toc15377216"/>
      <w:r>
        <w:rPr>
          <w:rFonts w:hint="eastAsia" w:ascii="仿宋_GB2312" w:hAnsi="仿宋_GB2312" w:eastAsia="仿宋_GB2312" w:cs="仿宋_GB2312"/>
          <w:b/>
          <w:color w:val="000000"/>
          <w:sz w:val="32"/>
          <w:szCs w:val="32"/>
        </w:rPr>
        <w:t>（一）“三公”经费财政拨款支出决算总体情况说明</w:t>
      </w:r>
      <w:bookmarkEnd w:id="44"/>
    </w:p>
    <w:p w14:paraId="00E8FD2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w:t>
      </w:r>
      <w:r>
        <w:rPr>
          <w:rFonts w:hint="eastAsia" w:ascii="仿宋_GB2312" w:hAnsi="仿宋_GB2312" w:eastAsia="仿宋_GB2312" w:cs="仿宋_GB2312"/>
          <w:color w:val="000000"/>
          <w:sz w:val="32"/>
          <w:szCs w:val="32"/>
          <w:lang w:val="en-US" w:eastAsia="zh-CN"/>
        </w:rPr>
        <w:t>28.96</w:t>
      </w:r>
      <w:r>
        <w:rPr>
          <w:rFonts w:hint="eastAsia" w:ascii="仿宋_GB2312" w:hAnsi="仿宋_GB2312" w:eastAsia="仿宋_GB2312" w:cs="仿宋_GB2312"/>
          <w:color w:val="000000"/>
          <w:sz w:val="32"/>
          <w:szCs w:val="32"/>
        </w:rPr>
        <w:t>万元，完成预算100%，决算数与预算数持平。</w:t>
      </w:r>
    </w:p>
    <w:p w14:paraId="5E18FB18">
      <w:pPr>
        <w:spacing w:line="600" w:lineRule="exact"/>
        <w:ind w:firstLine="640"/>
        <w:outlineLvl w:val="2"/>
        <w:rPr>
          <w:rFonts w:hint="eastAsia" w:ascii="仿宋_GB2312" w:hAnsi="仿宋_GB2312" w:eastAsia="仿宋_GB2312" w:cs="仿宋_GB2312"/>
          <w:b/>
          <w:color w:val="000000"/>
          <w:sz w:val="32"/>
          <w:szCs w:val="32"/>
        </w:rPr>
      </w:pPr>
      <w:bookmarkStart w:id="45" w:name="_Toc15377217"/>
      <w:r>
        <w:rPr>
          <w:rFonts w:hint="eastAsia" w:ascii="仿宋_GB2312" w:hAnsi="仿宋_GB2312" w:eastAsia="仿宋_GB2312" w:cs="仿宋_GB2312"/>
          <w:b/>
          <w:color w:val="000000"/>
          <w:sz w:val="32"/>
          <w:szCs w:val="32"/>
        </w:rPr>
        <w:t>（二）“三公”经费财政拨款支出决算具体情况说明</w:t>
      </w:r>
      <w:bookmarkEnd w:id="45"/>
    </w:p>
    <w:p w14:paraId="020EB325">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2021年“三公”经费财政拨款支出决算中，因公出国（境）费支出决算0万元，占0%；公务用车购置及运行维护费支出决算</w:t>
      </w:r>
      <w:r>
        <w:rPr>
          <w:rFonts w:hint="eastAsia" w:ascii="仿宋_GB2312" w:hAnsi="仿宋_GB2312" w:eastAsia="仿宋_GB2312" w:cs="仿宋_GB2312"/>
          <w:color w:val="000000"/>
          <w:sz w:val="32"/>
          <w:szCs w:val="32"/>
          <w:lang w:val="en-US" w:eastAsia="zh-CN"/>
        </w:rPr>
        <w:t>26.98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93.16</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1.98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6.84</w:t>
      </w:r>
      <w:r>
        <w:rPr>
          <w:rFonts w:hint="eastAsia" w:ascii="仿宋_GB2312" w:hAnsi="仿宋_GB2312" w:eastAsia="仿宋_GB2312" w:cs="仿宋_GB2312"/>
          <w:color w:val="000000"/>
          <w:sz w:val="32"/>
          <w:szCs w:val="32"/>
        </w:rPr>
        <w:t>%。具体情况如下：</w:t>
      </w:r>
    </w:p>
    <w:p w14:paraId="04B84BE9">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（图7：“三公”经费财政拨款支出结构）（饼状图）</w:t>
      </w:r>
    </w:p>
    <w:p w14:paraId="02561A45">
      <w:pPr>
        <w:ind w:firstLine="64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object>
          <v:shape id="_x0000_i1031" o:spt="75" type="#_x0000_t75" style="height:142.5pt;width:216pt;" o:ole="t" filled="f" o:preferrelative="t" stroked="f" coordsize="21600,21600">
            <v:path/>
            <v:fill on="f" focussize="0,0"/>
            <v:stroke on="f"/>
            <v:imagedata r:id="rId21" o:title=""/>
            <o:lock v:ext="edit" aspectratio="t"/>
            <w10:wrap type="none"/>
            <w10:anchorlock/>
          </v:shape>
          <o:OLEObject Type="Embed" ProgID="MSGraph.Chart.8" ShapeID="_x0000_i1031" DrawAspect="Content" ObjectID="_1468075731" r:id="rId20">
            <o:LockedField>false</o:LockedField>
          </o:OLEObject>
        </w:object>
      </w:r>
    </w:p>
    <w:p w14:paraId="7E72DEC1">
      <w:pPr>
        <w:spacing w:line="600" w:lineRule="exact"/>
        <w:ind w:firstLine="64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9"/>
          <w:rFonts w:hint="eastAsia" w:ascii="仿宋_GB2312" w:hAnsi="仿宋_GB2312" w:eastAsia="仿宋_GB2312" w:cs="仿宋_GB2312"/>
          <w:b w:val="0"/>
          <w:bCs/>
          <w:color w:val="000000"/>
          <w:sz w:val="32"/>
          <w:szCs w:val="32"/>
        </w:rPr>
        <w:t>完成预算0%。</w:t>
      </w:r>
      <w:r>
        <w:rPr>
          <w:rFonts w:hint="eastAsia" w:ascii="仿宋_GB2312" w:hAnsi="仿宋_GB2312" w:eastAsia="仿宋_GB2312" w:cs="仿宋_GB2312"/>
          <w:color w:val="000000"/>
          <w:sz w:val="32"/>
          <w:szCs w:val="32"/>
        </w:rPr>
        <w:t>全年安排因公出国（境）团组0次，出国（境）0人。因公出国（境）支出决算比20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年持平。</w:t>
      </w:r>
    </w:p>
    <w:p w14:paraId="08CBCAEC">
      <w:pPr>
        <w:spacing w:line="600" w:lineRule="exact"/>
        <w:ind w:firstLine="64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26.98</w:t>
      </w:r>
      <w:r>
        <w:rPr>
          <w:rFonts w:hint="eastAsia" w:ascii="仿宋_GB2312" w:hAnsi="仿宋_GB2312" w:eastAsia="仿宋_GB2312" w:cs="仿宋_GB2312"/>
          <w:color w:val="000000"/>
          <w:sz w:val="32"/>
          <w:szCs w:val="32"/>
        </w:rPr>
        <w:t>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98.76</w:t>
      </w:r>
      <w:r>
        <w:rPr>
          <w:rStyle w:val="19"/>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48.08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64.05</w:t>
      </w:r>
      <w:r>
        <w:rPr>
          <w:rFonts w:hint="eastAsia" w:ascii="仿宋_GB2312" w:hAnsi="仿宋_GB2312" w:eastAsia="仿宋_GB2312" w:cs="仿宋_GB2312"/>
          <w:color w:val="000000"/>
          <w:sz w:val="32"/>
          <w:szCs w:val="32"/>
        </w:rPr>
        <w:t>%。主要原因是20年新购公务用车1辆。</w:t>
      </w:r>
    </w:p>
    <w:p w14:paraId="2D775EE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万元。截至202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辆，其中：主要领导干部用车0辆、机要通信用车0辆、应急保障用车</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辆、 执法执勤用车0辆、其他公务用车0辆。</w:t>
      </w:r>
    </w:p>
    <w:p w14:paraId="1BABB608">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26.98</w:t>
      </w:r>
      <w:r>
        <w:rPr>
          <w:rFonts w:hint="eastAsia" w:ascii="仿宋_GB2312" w:hAnsi="仿宋_GB2312" w:eastAsia="仿宋_GB2312" w:cs="仿宋_GB2312"/>
          <w:color w:val="000000"/>
          <w:sz w:val="32"/>
          <w:szCs w:val="32"/>
        </w:rPr>
        <w:t>万元。主要用于2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年农牧业基础设施建设、牲畜疫病防疫工作、农业产业发展、草原生态资源保护、乡村振兴、农业园区建设等所需的公务用车燃料费、维修费、过路过桥费、保险费等支出。</w:t>
      </w:r>
    </w:p>
    <w:p w14:paraId="30649FB5">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1.98</w:t>
      </w:r>
      <w:r>
        <w:rPr>
          <w:rFonts w:hint="eastAsia" w:ascii="仿宋_GB2312" w:hAnsi="仿宋_GB2312" w:eastAsia="仿宋_GB2312" w:cs="仿宋_GB2312"/>
          <w:color w:val="000000"/>
          <w:sz w:val="32"/>
          <w:szCs w:val="32"/>
        </w:rPr>
        <w:t>万元，</w:t>
      </w:r>
      <w:r>
        <w:rPr>
          <w:rStyle w:val="19"/>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年减少0.</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8万元，减少</w:t>
      </w:r>
      <w:r>
        <w:rPr>
          <w:rFonts w:hint="eastAsia" w:ascii="仿宋_GB2312" w:hAnsi="仿宋_GB2312" w:eastAsia="仿宋_GB2312" w:cs="仿宋_GB2312"/>
          <w:color w:val="000000"/>
          <w:sz w:val="32"/>
          <w:szCs w:val="32"/>
          <w:lang w:val="en-US" w:eastAsia="zh-CN"/>
        </w:rPr>
        <w:t>3.88</w:t>
      </w:r>
      <w:r>
        <w:rPr>
          <w:rFonts w:hint="eastAsia" w:ascii="仿宋_GB2312" w:hAnsi="仿宋_GB2312" w:eastAsia="仿宋_GB2312" w:cs="仿宋_GB2312"/>
          <w:color w:val="000000"/>
          <w:sz w:val="32"/>
          <w:szCs w:val="32"/>
        </w:rPr>
        <w:t>%。主要原因是严格贯彻“八项”规定，严格把控接待事项、厉行节约。</w:t>
      </w:r>
    </w:p>
    <w:p w14:paraId="29FC3438">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1.98</w:t>
      </w:r>
      <w:r>
        <w:rPr>
          <w:rFonts w:hint="eastAsia" w:ascii="仿宋_GB2312" w:hAnsi="仿宋_GB2312" w:eastAsia="仿宋_GB2312" w:cs="仿宋_GB2312"/>
          <w:color w:val="000000"/>
          <w:sz w:val="32"/>
          <w:szCs w:val="32"/>
        </w:rPr>
        <w:t>万元，接待4</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批次，3</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人次（不包括陪同人员），共计支出</w:t>
      </w:r>
      <w:r>
        <w:rPr>
          <w:rFonts w:hint="eastAsia" w:ascii="仿宋_GB2312" w:hAnsi="仿宋_GB2312" w:eastAsia="仿宋_GB2312" w:cs="仿宋_GB2312"/>
          <w:color w:val="000000"/>
          <w:sz w:val="32"/>
          <w:szCs w:val="32"/>
          <w:lang w:val="en-US" w:eastAsia="zh-CN"/>
        </w:rPr>
        <w:t>1.98</w:t>
      </w:r>
      <w:r>
        <w:rPr>
          <w:rFonts w:hint="eastAsia" w:ascii="仿宋_GB2312" w:hAnsi="仿宋_GB2312" w:eastAsia="仿宋_GB2312" w:cs="仿宋_GB2312"/>
          <w:color w:val="000000"/>
          <w:sz w:val="32"/>
          <w:szCs w:val="32"/>
        </w:rPr>
        <w:t>万元，具体内容包括：乡村振兴建设、生态奖补项目验收、动物防疫防治工作指导、检查、产业园区建设等。</w:t>
      </w:r>
    </w:p>
    <w:p w14:paraId="1FBF31C3">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rPr>
        <w:t>0万元，外事接待0批次，0人，共计支出0万元。</w:t>
      </w:r>
      <w:bookmarkStart w:id="46" w:name="_Toc15377218"/>
      <w:bookmarkStart w:id="47" w:name="_Toc15396610"/>
    </w:p>
    <w:p w14:paraId="69C84B8B">
      <w:pPr>
        <w:spacing w:line="600" w:lineRule="exact"/>
        <w:ind w:firstLine="640"/>
        <w:outlineLvl w:val="1"/>
        <w:rPr>
          <w:rStyle w:val="22"/>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八、</w:t>
      </w:r>
      <w:r>
        <w:rPr>
          <w:rStyle w:val="22"/>
          <w:rFonts w:hint="eastAsia" w:ascii="仿宋_GB2312" w:hAnsi="仿宋_GB2312" w:eastAsia="仿宋_GB2312" w:cs="仿宋_GB2312"/>
          <w:b/>
          <w:bCs/>
          <w:sz w:val="32"/>
          <w:szCs w:val="32"/>
        </w:rPr>
        <w:t>政府性基金预算支出决算情况说明</w:t>
      </w:r>
      <w:bookmarkEnd w:id="46"/>
      <w:bookmarkEnd w:id="47"/>
    </w:p>
    <w:p w14:paraId="6CD53A54">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2021年政府性基金预算拨款支出0万元。</w:t>
      </w:r>
    </w:p>
    <w:p w14:paraId="6CCA1F4A">
      <w:pPr>
        <w:numPr>
          <w:ilvl w:val="0"/>
          <w:numId w:val="4"/>
        </w:numPr>
        <w:spacing w:line="600" w:lineRule="exact"/>
        <w:ind w:firstLine="640"/>
        <w:outlineLvl w:val="1"/>
        <w:rPr>
          <w:rStyle w:val="22"/>
          <w:rFonts w:hint="eastAsia" w:ascii="仿宋_GB2312" w:hAnsi="仿宋_GB2312" w:eastAsia="仿宋_GB2312" w:cs="仿宋_GB2312"/>
          <w:b/>
          <w:bCs w:val="0"/>
          <w:sz w:val="32"/>
          <w:szCs w:val="32"/>
        </w:rPr>
      </w:pPr>
      <w:bookmarkStart w:id="48" w:name="_Toc15396611"/>
      <w:bookmarkStart w:id="49" w:name="_Toc15377219"/>
      <w:r>
        <w:rPr>
          <w:rStyle w:val="22"/>
          <w:rFonts w:hint="eastAsia" w:ascii="仿宋_GB2312" w:hAnsi="仿宋_GB2312" w:eastAsia="仿宋_GB2312" w:cs="仿宋_GB2312"/>
          <w:b/>
          <w:bCs w:val="0"/>
          <w:sz w:val="32"/>
          <w:szCs w:val="32"/>
        </w:rPr>
        <w:t>国有资本经营预算支出决算情况说明</w:t>
      </w:r>
      <w:bookmarkEnd w:id="48"/>
      <w:bookmarkEnd w:id="49"/>
    </w:p>
    <w:p w14:paraId="41647101">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2021年国有资本经营预算拨款支出0万元。</w:t>
      </w:r>
    </w:p>
    <w:p w14:paraId="2F455EEF">
      <w:pPr>
        <w:spacing w:line="600" w:lineRule="exact"/>
        <w:ind w:firstLine="643" w:firstLineChars="200"/>
        <w:outlineLvl w:val="1"/>
        <w:rPr>
          <w:rStyle w:val="22"/>
          <w:rFonts w:hint="eastAsia" w:ascii="仿宋_GB2312" w:hAnsi="仿宋_GB2312" w:eastAsia="仿宋_GB2312" w:cs="仿宋_GB2312"/>
          <w:b/>
          <w:bCs/>
          <w:sz w:val="32"/>
          <w:szCs w:val="32"/>
        </w:rPr>
      </w:pPr>
      <w:bookmarkStart w:id="50" w:name="_Toc15377221"/>
      <w:bookmarkStart w:id="51" w:name="_Toc15396612"/>
      <w:r>
        <w:rPr>
          <w:rFonts w:hint="eastAsia" w:ascii="仿宋_GB2312" w:hAnsi="仿宋_GB2312" w:eastAsia="仿宋_GB2312" w:cs="仿宋_GB2312"/>
          <w:b/>
          <w:bCs/>
          <w:color w:val="000000"/>
          <w:sz w:val="32"/>
          <w:szCs w:val="32"/>
        </w:rPr>
        <w:t>十</w:t>
      </w:r>
      <w:r>
        <w:rPr>
          <w:rStyle w:val="22"/>
          <w:rFonts w:hint="eastAsia" w:ascii="仿宋_GB2312" w:hAnsi="仿宋_GB2312" w:eastAsia="仿宋_GB2312" w:cs="仿宋_GB2312"/>
          <w:b/>
          <w:bCs/>
          <w:sz w:val="32"/>
          <w:szCs w:val="32"/>
        </w:rPr>
        <w:t>、其他重要事项的情况说明</w:t>
      </w:r>
      <w:bookmarkEnd w:id="50"/>
      <w:bookmarkEnd w:id="51"/>
    </w:p>
    <w:p w14:paraId="57ED838D">
      <w:pPr>
        <w:spacing w:line="600" w:lineRule="exact"/>
        <w:ind w:firstLine="643" w:firstLineChars="200"/>
        <w:outlineLvl w:val="2"/>
        <w:rPr>
          <w:rFonts w:hint="eastAsia" w:ascii="仿宋_GB2312" w:hAnsi="仿宋_GB2312" w:eastAsia="仿宋_GB2312" w:cs="仿宋_GB2312"/>
          <w:color w:val="000000"/>
          <w:sz w:val="32"/>
          <w:szCs w:val="32"/>
        </w:rPr>
      </w:pPr>
      <w:bookmarkStart w:id="52" w:name="_Toc15377222"/>
      <w:r>
        <w:rPr>
          <w:rFonts w:hint="eastAsia" w:ascii="仿宋_GB2312" w:hAnsi="仿宋_GB2312" w:eastAsia="仿宋_GB2312" w:cs="仿宋_GB2312"/>
          <w:b/>
          <w:color w:val="000000"/>
          <w:sz w:val="32"/>
          <w:szCs w:val="32"/>
        </w:rPr>
        <w:t>（一）机关运行经费支出情况</w:t>
      </w:r>
      <w:bookmarkEnd w:id="52"/>
    </w:p>
    <w:p w14:paraId="44A57AD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2021年，阿坝州红原县科学技术和农业畜牧局（汇总）机关运行经费支出 </w:t>
      </w:r>
      <w:r>
        <w:rPr>
          <w:rFonts w:hint="eastAsia" w:ascii="仿宋_GB2312" w:hAnsi="仿宋_GB2312" w:eastAsia="仿宋_GB2312" w:cs="仿宋_GB2312"/>
          <w:color w:val="000000"/>
          <w:sz w:val="32"/>
          <w:szCs w:val="32"/>
          <w:lang w:val="en-US" w:eastAsia="zh-CN"/>
        </w:rPr>
        <w:t>53.18</w:t>
      </w:r>
      <w:r>
        <w:rPr>
          <w:rFonts w:hint="eastAsia" w:ascii="仿宋_GB2312" w:hAnsi="仿宋_GB2312" w:eastAsia="仿宋_GB2312" w:cs="仿宋_GB2312"/>
          <w:color w:val="000000"/>
          <w:sz w:val="32"/>
          <w:szCs w:val="32"/>
        </w:rPr>
        <w:t>万元，比2020年减少10.</w:t>
      </w:r>
      <w:r>
        <w:rPr>
          <w:rFonts w:hint="eastAsia" w:ascii="仿宋_GB2312" w:hAnsi="仿宋_GB2312" w:eastAsia="仿宋_GB2312" w:cs="仿宋_GB2312"/>
          <w:color w:val="000000"/>
          <w:sz w:val="32"/>
          <w:szCs w:val="32"/>
          <w:lang w:val="en-US" w:eastAsia="zh-CN"/>
        </w:rPr>
        <w:t>55</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24.75</w:t>
      </w:r>
      <w:r>
        <w:rPr>
          <w:rFonts w:hint="eastAsia" w:ascii="仿宋_GB2312" w:hAnsi="仿宋_GB2312" w:eastAsia="仿宋_GB2312" w:cs="仿宋_GB2312"/>
          <w:color w:val="000000"/>
          <w:sz w:val="32"/>
          <w:szCs w:val="32"/>
        </w:rPr>
        <w:t>%，主要原因是公务用车运行费和接待费比上年减少。</w:t>
      </w:r>
    </w:p>
    <w:p w14:paraId="24041BCA">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3" w:name="_Toc15377223"/>
      <w:r>
        <w:rPr>
          <w:rFonts w:hint="eastAsia" w:ascii="仿宋_GB2312" w:hAnsi="仿宋_GB2312" w:eastAsia="仿宋_GB2312" w:cs="仿宋_GB2312"/>
          <w:b/>
          <w:color w:val="000000"/>
          <w:sz w:val="32"/>
          <w:szCs w:val="32"/>
        </w:rPr>
        <w:t>（二）政府采购支出情况</w:t>
      </w:r>
      <w:bookmarkEnd w:id="53"/>
    </w:p>
    <w:p w14:paraId="24ADB0F7">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2021年，阿坝州红原县科学技术和农业畜牧局（汇总）政府采购支出总额</w:t>
      </w:r>
      <w:r>
        <w:rPr>
          <w:rFonts w:hint="eastAsia" w:ascii="仿宋_GB2312" w:hAnsi="仿宋_GB2312" w:eastAsia="仿宋_GB2312" w:cs="仿宋_GB2312"/>
          <w:color w:val="000000"/>
          <w:sz w:val="32"/>
          <w:szCs w:val="32"/>
          <w:lang w:val="en-US" w:eastAsia="zh-CN"/>
        </w:rPr>
        <w:t>253.67</w:t>
      </w:r>
      <w:r>
        <w:rPr>
          <w:rFonts w:hint="eastAsia" w:ascii="仿宋_GB2312" w:hAnsi="仿宋_GB2312" w:eastAsia="仿宋_GB2312" w:cs="仿宋_GB2312"/>
          <w:color w:val="000000"/>
          <w:sz w:val="32"/>
          <w:szCs w:val="32"/>
        </w:rPr>
        <w:t>万元，其中：政府采购货物支出</w:t>
      </w:r>
      <w:r>
        <w:rPr>
          <w:rFonts w:hint="eastAsia" w:ascii="仿宋_GB2312" w:hAnsi="仿宋_GB2312" w:eastAsia="仿宋_GB2312" w:cs="仿宋_GB2312"/>
          <w:color w:val="000000"/>
          <w:sz w:val="32"/>
          <w:szCs w:val="32"/>
          <w:lang w:val="en-US" w:eastAsia="zh-CN"/>
        </w:rPr>
        <w:t>253.67</w:t>
      </w:r>
      <w:r>
        <w:rPr>
          <w:rFonts w:hint="eastAsia" w:ascii="仿宋_GB2312" w:hAnsi="仿宋_GB2312" w:eastAsia="仿宋_GB2312" w:cs="仿宋_GB2312"/>
          <w:color w:val="000000"/>
          <w:sz w:val="32"/>
          <w:szCs w:val="32"/>
        </w:rPr>
        <w:t>万元、政府采购工程支出0万元、政府采购服务支出0万元。授予中小企业合同金额</w:t>
      </w:r>
      <w:r>
        <w:rPr>
          <w:rFonts w:hint="eastAsia" w:ascii="仿宋_GB2312" w:hAnsi="仿宋_GB2312" w:eastAsia="仿宋_GB2312" w:cs="仿宋_GB2312"/>
          <w:color w:val="000000"/>
          <w:sz w:val="32"/>
          <w:szCs w:val="32"/>
          <w:lang w:val="en-US" w:eastAsia="zh-CN"/>
        </w:rPr>
        <w:t>253.67</w:t>
      </w:r>
      <w:r>
        <w:rPr>
          <w:rFonts w:hint="eastAsia" w:ascii="仿宋_GB2312" w:hAnsi="仿宋_GB2312" w:eastAsia="仿宋_GB2312" w:cs="仿宋_GB2312"/>
          <w:color w:val="000000"/>
          <w:sz w:val="32"/>
          <w:szCs w:val="32"/>
        </w:rPr>
        <w:t>万元，占政府采购支出总额的100%，其中：授予小微企业合同金额</w:t>
      </w:r>
      <w:r>
        <w:rPr>
          <w:rFonts w:hint="eastAsia" w:ascii="仿宋_GB2312" w:hAnsi="仿宋_GB2312" w:eastAsia="仿宋_GB2312" w:cs="仿宋_GB2312"/>
          <w:color w:val="000000"/>
          <w:sz w:val="32"/>
          <w:szCs w:val="32"/>
          <w:lang w:val="en-US" w:eastAsia="zh-CN"/>
        </w:rPr>
        <w:t>253.67</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14:paraId="5747309F">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4" w:name="_Toc15377224"/>
      <w:r>
        <w:rPr>
          <w:rFonts w:hint="eastAsia" w:ascii="仿宋_GB2312" w:hAnsi="仿宋_GB2312" w:eastAsia="仿宋_GB2312" w:cs="仿宋_GB2312"/>
          <w:b/>
          <w:color w:val="000000"/>
          <w:sz w:val="32"/>
          <w:szCs w:val="32"/>
        </w:rPr>
        <w:t>（三）国有资产占有使用情况</w:t>
      </w:r>
      <w:bookmarkEnd w:id="54"/>
    </w:p>
    <w:p w14:paraId="29DBED8A">
      <w:pPr>
        <w:autoSpaceDE w:val="0"/>
        <w:autoSpaceDN w:val="0"/>
        <w:adjustRightInd w:val="0"/>
        <w:spacing w:line="600" w:lineRule="exact"/>
        <w:ind w:firstLine="640" w:firstLineChars="200"/>
        <w:jc w:val="left"/>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截至2021年12月31日，，阿坝州红原县科学技术和农业畜牧局（汇总）共有车辆6辆，其中：主要领导干部用车0辆、机要通信用车0辆、应急保障用车6辆、其他用车0辆，其他用车主要是用于公务用车及执法用车，单价50万元以上通用设备0台（套），单价100万元以上专用设备0台（套）。</w:t>
      </w:r>
    </w:p>
    <w:p w14:paraId="7E4A25F1">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（四）预算绩效管理情况。</w:t>
      </w:r>
    </w:p>
    <w:p w14:paraId="3EDCBD07">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根据预算绩效管理要求，本部门（单位）在年初预算编制阶段，组织对4</w:t>
      </w:r>
      <w:r>
        <w:rPr>
          <w:rFonts w:hint="eastAsia" w:ascii="仿宋_GB2312" w:hAnsi="仿宋_GB2312" w:eastAsia="仿宋_GB2312" w:cs="仿宋_GB2312"/>
          <w:sz w:val="32"/>
          <w:szCs w:val="32"/>
          <w:lang w:eastAsia="zh-CN"/>
        </w:rPr>
        <w:t>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4个</w:t>
      </w:r>
      <w:r>
        <w:rPr>
          <w:rFonts w:hint="eastAsia" w:ascii="仿宋_GB2312" w:hAnsi="仿宋_GB2312" w:eastAsia="仿宋_GB2312" w:cs="仿宋_GB2312"/>
          <w:sz w:val="32"/>
          <w:szCs w:val="32"/>
        </w:rPr>
        <w:t>项目编制了绩效目标，预算执行过程中，选取4个项目开展绩效监控，年终执行完毕后，对</w:t>
      </w:r>
      <w:r>
        <w:rPr>
          <w:rFonts w:hint="eastAsia" w:ascii="仿宋_GB2312" w:hAnsi="仿宋_GB2312" w:eastAsia="仿宋_GB2312" w:cs="仿宋_GB2312"/>
          <w:color w:val="000000"/>
          <w:sz w:val="32"/>
          <w:szCs w:val="32"/>
        </w:rPr>
        <w:t>12</w:t>
      </w:r>
      <w:r>
        <w:rPr>
          <w:rFonts w:hint="eastAsia" w:ascii="仿宋_GB2312" w:hAnsi="仿宋_GB2312" w:eastAsia="仿宋_GB2312" w:cs="仿宋_GB2312"/>
          <w:sz w:val="32"/>
          <w:szCs w:val="32"/>
        </w:rPr>
        <w:t>个项目开展了绩效目标完成情况梳理填报。</w:t>
      </w:r>
    </w:p>
    <w:p w14:paraId="0E63A97D">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开展绩效自评，从评价情况来看，单位能够按照国家法律、法规来进行预算管理，严格财经纪律，保障财务管理工作和资金使用效率，坚持把有限的资金用在农牧业发展工作中。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个项目绩效评价，从评价情况来看完成了预定绩效目标，达到了预期的社会和经济效益，切实提高了牧民群众的生产、生活质量。</w:t>
      </w:r>
    </w:p>
    <w:p w14:paraId="729E7BC7">
      <w:pPr>
        <w:numPr>
          <w:ilvl w:val="0"/>
          <w:numId w:val="5"/>
        </w:numPr>
        <w:spacing w:line="580" w:lineRule="exact"/>
        <w:ind w:firstLine="640" w:firstLineChars="200"/>
        <w:rPr>
          <w:rFonts w:hint="eastAsia" w:ascii="仿宋_GB2312" w:hAnsi="仿宋_GB2312" w:eastAsia="仿宋_GB2312" w:cs="仿宋_GB2312"/>
          <w:sz w:val="32"/>
          <w:szCs w:val="32"/>
        </w:rPr>
        <w:sectPr>
          <w:headerReference r:id="rId3" w:type="default"/>
          <w:footerReference r:id="rId4" w:type="default"/>
          <w:pgSz w:w="11940" w:h="16840"/>
          <w:pgMar w:top="1440" w:right="1760" w:bottom="1280" w:left="1760" w:header="0" w:footer="800" w:gutter="0"/>
          <w:cols w:space="720" w:num="1"/>
        </w:sectPr>
      </w:pPr>
      <w:r>
        <w:rPr>
          <w:rFonts w:hint="eastAsia" w:ascii="仿宋_GB2312" w:hAnsi="仿宋_GB2312" w:eastAsia="仿宋_GB2312" w:cs="仿宋_GB2312"/>
          <w:sz w:val="32"/>
          <w:szCs w:val="32"/>
        </w:rPr>
        <w:t>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本部门在2021年度部门决算中反映“</w:t>
      </w:r>
      <w:r>
        <w:rPr>
          <w:rFonts w:hint="eastAsia" w:ascii="仿宋_GB2312" w:hAnsi="仿宋_GB2312" w:eastAsia="仿宋_GB2312" w:cs="仿宋_GB2312"/>
          <w:color w:val="000000"/>
          <w:sz w:val="32"/>
          <w:szCs w:val="32"/>
          <w:lang w:val="en-US" w:eastAsia="zh-CN"/>
        </w:rPr>
        <w:t>红原县有机肥处理厂建设项目（二期）</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lang w:val="en-US" w:eastAsia="zh-CN"/>
        </w:rPr>
        <w:t>红原县2021年各乡镇多功能牲畜防疫巷道圈建设项目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牲畜牲畜良种补贴项目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个项目绩效目标实际完成情况。（本单位部门项目绩效目标个数在</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个以上的，选取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个项目进行公开，目标个数在</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个以下的，全部进行公开，公开内容包括选取的全部项目完成情况综述和完成情况表）</w:t>
      </w:r>
      <w:r>
        <w:rPr>
          <w:rFonts w:hint="eastAsia" w:ascii="仿宋_GB2312" w:hAnsi="仿宋_GB2312" w:eastAsia="仿宋_GB2312" w:cs="仿宋_GB2312"/>
          <w:sz w:val="32"/>
          <w:szCs w:val="32"/>
        </w:rPr>
        <w:pict>
          <v:shape id="_x0000_s1026" o:spid="_x0000_s1026" o:spt="202" type="#_x0000_t202" style="position:absolute;left:0pt;margin-left:295pt;margin-top:708pt;height:21pt;width:25pt;mso-position-horizontal-relative:page;z-index:251659264;mso-width-relative:page;mso-height-relative:page;" filled="f" stroked="f" coordsize="21600,21600" o:gfxdata="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W2GQB9kAAAANAQAADwAAAAAAAAABACAAAAAiAAAAZHJzL2Rvd25yZXYueG1s&#10;UEsBAhQAFAAAAAgAh07iQPPQB1C+AQAAUQMAAA4AAAAAAAAAAQAgAAAAKAEAAGRycy9lMm9Eb2Mu&#10;eG1sUEsFBgAAAAAGAAYAWQEAAFgFAAAAAA==&#10;">
            <v:path/>
            <v:fill on="f" focussize="0,0"/>
            <v:stroke on="f" weight="0.5pt"/>
            <v:imagedata o:title=""/>
            <o:lock v:ext="edit" aspectratio="f"/>
            <v:textbox inset="2pt,0mm,2pt,0mm">
              <w:txbxContent>
                <w:p w14:paraId="039E6292">
                  <w:pPr>
                    <w:spacing w:line="340" w:lineRule="exact"/>
                    <w:jc w:val="center"/>
                  </w:pPr>
                  <w:r>
                    <w:rPr>
                      <w:rFonts w:hint="eastAsia" w:ascii="Arial" w:hAnsi="Arial" w:eastAsia="Arial"/>
                      <w:color w:val="000000"/>
                      <w:sz w:val="20"/>
                    </w:rPr>
                    <w:t>16</w:t>
                  </w:r>
                </w:p>
              </w:txbxContent>
            </v:textbox>
          </v:shape>
        </w:pict>
      </w:r>
    </w:p>
    <w:p w14:paraId="3A379253">
      <w:pPr>
        <w:rPr>
          <w:rFonts w:hint="eastAsia"/>
          <w:lang w:val="en-US" w:eastAsia="zh-CN"/>
        </w:rPr>
      </w:pPr>
    </w:p>
    <w:p w14:paraId="6AB1E150"/>
    <w:p w14:paraId="699E4019">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2AED205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年部门整体支出绩效评价情况开展自评，《科农局</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7BBE91F2">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w:t>
      </w:r>
      <w:r>
        <w:rPr>
          <w:rFonts w:hint="eastAsia" w:ascii="仿宋_GB2312" w:hAnsi="仿宋_GB2312" w:eastAsia="仿宋_GB2312" w:cs="仿宋_GB2312"/>
          <w:color w:val="000000"/>
          <w:sz w:val="32"/>
          <w:szCs w:val="32"/>
          <w:lang w:val="en-US" w:eastAsia="zh-CN"/>
        </w:rPr>
        <w:t>红原县有机肥处理厂建设项目（二期）</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lang w:val="en-US" w:eastAsia="zh-CN"/>
        </w:rPr>
        <w:t>红原县2021年各乡镇多功能牲畜防疫巷道圈建设项目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牲畜牲畜良种补贴项目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完善</w:t>
      </w:r>
      <w:r>
        <w:rPr>
          <w:rFonts w:hint="eastAsia" w:ascii="仿宋_GB2312" w:hAnsi="仿宋_GB2312" w:eastAsia="仿宋_GB2312" w:cs="仿宋_GB2312"/>
          <w:sz w:val="32"/>
          <w:szCs w:val="32"/>
        </w:rPr>
        <w:t>预算项目开展了绩效评价，见附件（附件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14:paraId="5B0D84C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CB97095">
      <w:pPr>
        <w:numPr>
          <w:ilvl w:val="0"/>
          <w:numId w:val="6"/>
        </w:numPr>
        <w:spacing w:line="600" w:lineRule="exact"/>
        <w:ind w:firstLine="660" w:firstLineChars="150"/>
        <w:jc w:val="center"/>
        <w:outlineLvl w:val="0"/>
        <w:rPr>
          <w:rStyle w:val="21"/>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1"/>
          <w:rFonts w:hint="eastAsia" w:ascii="黑体" w:hAnsi="黑体" w:eastAsia="黑体"/>
          <w:b w:val="0"/>
        </w:rPr>
        <w:t>词解释</w:t>
      </w:r>
      <w:bookmarkEnd w:id="55"/>
      <w:bookmarkEnd w:id="56"/>
    </w:p>
    <w:p w14:paraId="17AB90DB">
      <w:pPr>
        <w:spacing w:line="600" w:lineRule="exact"/>
        <w:jc w:val="left"/>
        <w:rPr>
          <w:rFonts w:ascii="宋体"/>
          <w:b/>
          <w:color w:val="000000"/>
          <w:sz w:val="44"/>
          <w:szCs w:val="44"/>
        </w:rPr>
      </w:pPr>
    </w:p>
    <w:p w14:paraId="4E15CCE9">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1B0E031">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0D25AC8A">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17D57C5A">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1EBF2506">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98AA92E">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679D275">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09831FB">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1DC48329">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79E4EC7F">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145CB207">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76B1697A">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0C2EB95A">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137259F8">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7218C966">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0977A54B">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5361E92D">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442BE99E">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01D439DA">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129A1B64">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16DAB133">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68AE4F6E">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7BEBF4E9">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4A39EC66">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7B2FC65C">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4A3C23B8">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6F0CA3CF">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7D4771E2">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6BADE62A">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4C380557">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w:t>
      </w:r>
      <w:r>
        <w:rPr>
          <w:rFonts w:hint="eastAsia" w:ascii="仿宋" w:hAnsi="仿宋" w:eastAsia="仿宋"/>
          <w:b/>
          <w:color w:val="000000"/>
          <w:sz w:val="32"/>
          <w:szCs w:val="32"/>
          <w:lang w:val="en-US" w:eastAsia="zh-CN"/>
        </w:rPr>
        <w:t>20</w:t>
      </w:r>
      <w:r>
        <w:rPr>
          <w:rFonts w:hint="eastAsia" w:ascii="仿宋" w:hAnsi="仿宋" w:eastAsia="仿宋"/>
          <w:b/>
          <w:color w:val="000000"/>
          <w:sz w:val="32"/>
          <w:szCs w:val="32"/>
        </w:rPr>
        <w:t>年政府收支分类科目》增减内容。）</w:t>
      </w:r>
    </w:p>
    <w:p w14:paraId="506BC171">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0C5309CB">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3574EA0">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6E33459B">
      <w:pPr>
        <w:pStyle w:val="3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EF52141">
      <w:pPr>
        <w:pStyle w:val="3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8EAE3A">
      <w:pPr>
        <w:pStyle w:val="33"/>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14:paraId="12A70EA1">
      <w:pPr>
        <w:pStyle w:val="33"/>
        <w:spacing w:line="560" w:lineRule="exact"/>
        <w:ind w:firstLine="640" w:firstLineChars="200"/>
        <w:rPr>
          <w:rFonts w:ascii="仿宋_GB2312" w:eastAsia="仿宋_GB2312" w:cs="黑体"/>
          <w:sz w:val="32"/>
          <w:szCs w:val="32"/>
        </w:rPr>
      </w:pPr>
    </w:p>
    <w:p w14:paraId="5141A4ED">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52531BE5">
      <w:pPr>
        <w:spacing w:line="600" w:lineRule="exact"/>
        <w:jc w:val="center"/>
        <w:outlineLvl w:val="0"/>
        <w:rPr>
          <w:rStyle w:val="21"/>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1"/>
          <w:rFonts w:hint="eastAsia" w:ascii="黑体" w:hAnsi="黑体" w:eastAsia="黑体"/>
          <w:b w:val="0"/>
        </w:rPr>
        <w:t>四部分</w:t>
      </w:r>
      <w:r>
        <w:rPr>
          <w:rStyle w:val="21"/>
          <w:rFonts w:ascii="黑体" w:hAnsi="黑体" w:eastAsia="黑体"/>
          <w:b w:val="0"/>
        </w:rPr>
        <w:t xml:space="preserve"> </w:t>
      </w:r>
      <w:r>
        <w:rPr>
          <w:rStyle w:val="21"/>
          <w:rFonts w:hint="eastAsia" w:ascii="黑体" w:hAnsi="黑体" w:eastAsia="黑体"/>
          <w:b w:val="0"/>
        </w:rPr>
        <w:t>附件</w:t>
      </w:r>
      <w:bookmarkEnd w:id="58"/>
    </w:p>
    <w:p w14:paraId="54D1FD83">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70193562">
      <w:pPr>
        <w:spacing w:line="580" w:lineRule="exact"/>
        <w:jc w:val="center"/>
        <w:rPr>
          <w:rFonts w:ascii="方正小标宋简体" w:hAnsi="方正小标宋简体" w:eastAsia="方正小标宋简体" w:cs="方正小标宋简体"/>
          <w:sz w:val="44"/>
          <w:szCs w:val="44"/>
        </w:rPr>
      </w:pPr>
    </w:p>
    <w:p w14:paraId="4D315EE6">
      <w:pPr>
        <w:spacing w:line="600" w:lineRule="exact"/>
        <w:jc w:val="center"/>
        <w:rPr>
          <w:rFonts w:hint="eastAsia" w:ascii="方正小标宋_GBK" w:hAnsi="方正小标宋_GBK" w:eastAsia="方正小标宋_GBK" w:cs="方正小标宋_GBK"/>
          <w:color w:val="000000"/>
          <w:kern w:val="0"/>
          <w:sz w:val="40"/>
          <w:szCs w:val="44"/>
          <w:lang w:val="zh-CN"/>
        </w:rPr>
      </w:pPr>
      <w:r>
        <w:rPr>
          <w:rFonts w:hint="eastAsia" w:ascii="方正小标宋_GBK" w:hAnsi="方正小标宋_GBK" w:eastAsia="方正小标宋_GBK" w:cs="方正小标宋_GBK"/>
          <w:color w:val="000000"/>
          <w:kern w:val="0"/>
          <w:sz w:val="40"/>
          <w:szCs w:val="44"/>
          <w:lang w:val="zh-CN"/>
        </w:rPr>
        <w:t>科农局部门</w:t>
      </w:r>
      <w:r>
        <w:rPr>
          <w:rFonts w:hint="eastAsia" w:ascii="方正小标宋_GBK" w:hAnsi="方正小标宋_GBK" w:eastAsia="方正小标宋_GBK" w:cs="方正小标宋_GBK"/>
          <w:color w:val="000000"/>
          <w:kern w:val="0"/>
          <w:sz w:val="40"/>
          <w:szCs w:val="44"/>
        </w:rPr>
        <w:t>2021年部门</w:t>
      </w:r>
      <w:r>
        <w:rPr>
          <w:rFonts w:hint="eastAsia" w:ascii="方正小标宋_GBK" w:hAnsi="方正小标宋_GBK" w:eastAsia="方正小标宋_GBK" w:cs="方正小标宋_GBK"/>
          <w:color w:val="000000"/>
          <w:kern w:val="0"/>
          <w:sz w:val="40"/>
          <w:szCs w:val="44"/>
          <w:lang w:val="zh-CN"/>
        </w:rPr>
        <w:t>整体支出绩效评价报告</w:t>
      </w:r>
    </w:p>
    <w:p w14:paraId="3D0749ED">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473E1698">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11888931">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263F2B46">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1D47E463">
      <w:pPr>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bCs/>
          <w:sz w:val="32"/>
          <w:szCs w:val="32"/>
        </w:rPr>
        <w:t>我单位为独立核算全额拨款行政单位</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下设</w:t>
      </w:r>
      <w:r>
        <w:rPr>
          <w:rFonts w:hint="eastAsia" w:ascii="仿宋_GB2312" w:hAnsi="仿宋_GB2312" w:eastAsia="仿宋_GB2312" w:cs="仿宋_GB2312"/>
          <w:sz w:val="32"/>
          <w:szCs w:val="32"/>
        </w:rPr>
        <w:t>内设机构</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个，下属参公事业站</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个，下属事业站股</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个</w:t>
      </w:r>
      <w:r>
        <w:rPr>
          <w:rFonts w:hint="eastAsia" w:ascii="仿宋_GB2312" w:hAnsi="仿宋_GB2312" w:eastAsia="仿宋_GB2312" w:cs="仿宋_GB2312"/>
          <w:bCs/>
          <w:sz w:val="32"/>
          <w:szCs w:val="32"/>
        </w:rPr>
        <w:t>。</w:t>
      </w:r>
    </w:p>
    <w:p w14:paraId="27E35746">
      <w:pPr>
        <w:widowControl/>
        <w:numPr>
          <w:ilvl w:val="0"/>
          <w:numId w:val="7"/>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23CB1912">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Pr>
          <w:rFonts w:ascii="宋体" w:cs="宋体"/>
          <w:sz w:val="32"/>
          <w:szCs w:val="32"/>
        </w:rPr>
        <w:t> </w:t>
      </w:r>
      <w:r>
        <w:rPr>
          <w:rFonts w:hint="eastAsia" w:ascii="仿宋_GB2312" w:hAnsi="仿宋" w:eastAsia="仿宋_GB2312" w:cs="仿宋_GB2312"/>
          <w:sz w:val="32"/>
          <w:szCs w:val="32"/>
        </w:rPr>
        <w:t>理、农资管理、农机监理、农民负担监管，参与基本农田保护查处农业违法行为；负责开展技术推广和农民科技教育与培训，指导农业社会化服务体系建设及农业专业协会管理；负责农技、农经、农机等初级专业技术职务评聘。</w:t>
      </w:r>
      <w:r>
        <w:rPr>
          <w:rFonts w:ascii="宋体" w:cs="宋体"/>
          <w:sz w:val="32"/>
          <w:szCs w:val="32"/>
        </w:rPr>
        <w:t> </w:t>
      </w:r>
    </w:p>
    <w:p w14:paraId="152B63B1">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饲萆饲料及添加济、兽医药政等行政执法和管理工作；分析制定畜牧业生产的经济指标、统计等工作</w:t>
      </w:r>
      <w:r>
        <w:rPr>
          <w:rFonts w:ascii="宋体" w:cs="宋体"/>
          <w:sz w:val="32"/>
          <w:szCs w:val="32"/>
        </w:rPr>
        <w:t> </w:t>
      </w:r>
      <w:r>
        <w:rPr>
          <w:rFonts w:hint="eastAsia" w:ascii="仿宋_GB2312" w:hAnsi="仿宋" w:eastAsia="仿宋_GB2312" w:cs="仿宋_GB2312"/>
          <w:sz w:val="32"/>
          <w:szCs w:val="32"/>
        </w:rPr>
        <w:t>。</w:t>
      </w:r>
    </w:p>
    <w:p w14:paraId="15D4C1F3">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负责全县兽医医政、兽药药政和饲料饲政工作；监督</w:t>
      </w:r>
      <w:r>
        <w:rPr>
          <w:rFonts w:ascii="宋体" w:cs="宋体"/>
          <w:sz w:val="32"/>
          <w:szCs w:val="32"/>
        </w:rPr>
        <w:t> </w:t>
      </w:r>
      <w:r>
        <w:rPr>
          <w:rFonts w:hint="eastAsia" w:ascii="仿宋_GB2312" w:hAnsi="仿宋" w:eastAsia="仿宋_GB2312" w:cs="仿宋_GB2312"/>
          <w:sz w:val="32"/>
          <w:szCs w:val="32"/>
        </w:rPr>
        <w:t>实施畜牧兽医、兽药、饲料地方标准；负责生猪屠宰管理；负责畜种、草种资源保护与建设；推广畜禽优良品种和畜禽繁育、饲养新技术</w:t>
      </w:r>
      <w:r>
        <w:rPr>
          <w:rFonts w:ascii="宋体" w:cs="宋体"/>
          <w:sz w:val="32"/>
          <w:szCs w:val="32"/>
        </w:rPr>
        <w:t> </w:t>
      </w:r>
      <w:r>
        <w:rPr>
          <w:rFonts w:hint="eastAsia" w:ascii="仿宋_GB2312" w:hAnsi="仿宋" w:eastAsia="仿宋_GB2312" w:cs="仿宋_GB2312"/>
          <w:sz w:val="32"/>
          <w:szCs w:val="32"/>
        </w:rPr>
        <w:t>。</w:t>
      </w:r>
    </w:p>
    <w:p w14:paraId="613E9CD1">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组织实施全县动物防疫检疫工作和重大疫情的扑灭工作；开展动物防疫检疫和兽药饲料生产技术服务。</w:t>
      </w:r>
    </w:p>
    <w:p w14:paraId="670A68CF">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研究拟定畜牧产业化经营政策和畜产品市场体系建</w:t>
      </w:r>
      <w:r>
        <w:rPr>
          <w:rFonts w:ascii="宋体" w:cs="宋体"/>
          <w:sz w:val="32"/>
          <w:szCs w:val="32"/>
        </w:rPr>
        <w:t> </w:t>
      </w:r>
      <w:r>
        <w:rPr>
          <w:rFonts w:hint="eastAsia" w:ascii="仿宋_GB2312" w:hAnsi="仿宋" w:eastAsia="仿宋_GB2312" w:cs="仿宋_GB2312"/>
          <w:sz w:val="32"/>
          <w:szCs w:val="32"/>
        </w:rPr>
        <w:t>设与发展规划，提供市场信息服务，推进畜牧产业化发展；开展产业发展技术交流与合作工作，积极引进资金和先进技术</w:t>
      </w:r>
      <w:r>
        <w:rPr>
          <w:rFonts w:ascii="宋体" w:cs="宋体"/>
          <w:sz w:val="32"/>
          <w:szCs w:val="32"/>
        </w:rPr>
        <w:t> </w:t>
      </w:r>
      <w:r>
        <w:rPr>
          <w:rFonts w:hint="eastAsia" w:ascii="仿宋_GB2312" w:hAnsi="仿宋" w:eastAsia="仿宋_GB2312" w:cs="仿宋_GB2312"/>
          <w:sz w:val="32"/>
          <w:szCs w:val="32"/>
        </w:rPr>
        <w:t>。</w:t>
      </w:r>
    </w:p>
    <w:p w14:paraId="17F9787F">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管理国家、省、州和县扶持畜牧业资金的统筹安排及</w:t>
      </w:r>
      <w:r>
        <w:rPr>
          <w:rFonts w:ascii="宋体" w:cs="宋体"/>
          <w:sz w:val="32"/>
          <w:szCs w:val="32"/>
        </w:rPr>
        <w:t> </w:t>
      </w:r>
      <w:r>
        <w:rPr>
          <w:rFonts w:hint="eastAsia" w:ascii="仿宋_GB2312" w:hAnsi="仿宋" w:eastAsia="仿宋_GB2312" w:cs="仿宋_GB2312"/>
          <w:sz w:val="32"/>
          <w:szCs w:val="32"/>
        </w:rPr>
        <w:t>监督管理</w:t>
      </w:r>
      <w:r>
        <w:rPr>
          <w:rFonts w:ascii="仿宋_GB2312" w:hAnsi="仿宋" w:eastAsia="仿宋_GB2312" w:cs="仿宋_GB2312"/>
          <w:sz w:val="32"/>
          <w:szCs w:val="32"/>
        </w:rPr>
        <w:t>;</w:t>
      </w:r>
      <w:r>
        <w:rPr>
          <w:rFonts w:hint="eastAsia" w:ascii="仿宋_GB2312" w:hAnsi="仿宋" w:eastAsia="仿宋_GB2312" w:cs="仿宋_GB2312"/>
          <w:sz w:val="32"/>
          <w:szCs w:val="32"/>
        </w:rPr>
        <w:t>组织畜牧兽医行业建设项目的实施</w:t>
      </w:r>
      <w:r>
        <w:rPr>
          <w:rFonts w:ascii="宋体" w:cs="宋体"/>
          <w:sz w:val="32"/>
          <w:szCs w:val="32"/>
        </w:rPr>
        <w:t> </w:t>
      </w:r>
      <w:r>
        <w:rPr>
          <w:rFonts w:hint="eastAsia" w:ascii="仿宋_GB2312" w:hAnsi="仿宋" w:eastAsia="仿宋_GB2312" w:cs="仿宋_GB2312"/>
          <w:sz w:val="32"/>
          <w:szCs w:val="32"/>
        </w:rPr>
        <w:t>。</w:t>
      </w:r>
    </w:p>
    <w:p w14:paraId="32B86F83">
      <w:pPr>
        <w:widowControl/>
        <w:numPr>
          <w:ilvl w:val="0"/>
          <w:numId w:val="7"/>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14:paraId="66373C69">
      <w:pPr>
        <w:spacing w:line="560" w:lineRule="exact"/>
        <w:ind w:firstLine="960" w:firstLineChars="300"/>
        <w:jc w:val="left"/>
        <w:rPr>
          <w:lang w:val="zh-CN"/>
        </w:rPr>
      </w:pPr>
      <w:r>
        <w:rPr>
          <w:rFonts w:hint="eastAsia" w:ascii="仿宋" w:hAnsi="仿宋" w:eastAsia="仿宋" w:cs="仿宋_GB2312"/>
          <w:bCs/>
          <w:sz w:val="32"/>
          <w:szCs w:val="32"/>
        </w:rPr>
        <w:t>截止</w:t>
      </w:r>
      <w:r>
        <w:rPr>
          <w:rFonts w:ascii="仿宋_GB2312" w:hAnsi="仿宋" w:eastAsia="仿宋_GB2312"/>
          <w:sz w:val="32"/>
          <w:szCs w:val="32"/>
        </w:rPr>
        <w:t>2021</w:t>
      </w:r>
      <w:r>
        <w:rPr>
          <w:rFonts w:hint="eastAsia" w:ascii="仿宋_GB2312" w:hAnsi="仿宋" w:eastAsia="仿宋_GB2312"/>
          <w:sz w:val="32"/>
          <w:szCs w:val="32"/>
        </w:rPr>
        <w:t>年编制</w:t>
      </w:r>
      <w:r>
        <w:rPr>
          <w:rFonts w:ascii="仿宋_GB2312" w:hAnsi="仿宋" w:eastAsia="仿宋_GB2312"/>
          <w:sz w:val="32"/>
          <w:szCs w:val="32"/>
        </w:rPr>
        <w:t>104</w:t>
      </w:r>
      <w:r>
        <w:rPr>
          <w:rFonts w:hint="eastAsia" w:ascii="仿宋_GB2312" w:hAnsi="仿宋" w:eastAsia="仿宋_GB2312"/>
          <w:sz w:val="32"/>
          <w:szCs w:val="32"/>
        </w:rPr>
        <w:t>人，其中行政编制</w:t>
      </w:r>
      <w:r>
        <w:rPr>
          <w:rFonts w:ascii="仿宋_GB2312" w:hAnsi="仿宋" w:eastAsia="仿宋_GB2312"/>
          <w:sz w:val="32"/>
          <w:szCs w:val="32"/>
        </w:rPr>
        <w:t>11</w:t>
      </w:r>
      <w:r>
        <w:rPr>
          <w:rFonts w:hint="eastAsia" w:ascii="仿宋_GB2312" w:hAnsi="仿宋" w:eastAsia="仿宋_GB2312"/>
          <w:sz w:val="32"/>
          <w:szCs w:val="32"/>
        </w:rPr>
        <w:t>名</w:t>
      </w:r>
      <w:r>
        <w:rPr>
          <w:rFonts w:ascii="仿宋_GB2312" w:hAnsi="仿宋" w:eastAsia="仿宋_GB2312"/>
          <w:sz w:val="32"/>
          <w:szCs w:val="32"/>
        </w:rPr>
        <w:t>.</w:t>
      </w:r>
      <w:r>
        <w:rPr>
          <w:rFonts w:hint="eastAsia" w:ascii="仿宋_GB2312" w:hAnsi="仿宋" w:eastAsia="仿宋_GB2312"/>
          <w:sz w:val="32"/>
          <w:szCs w:val="32"/>
        </w:rPr>
        <w:t>参公编制</w:t>
      </w:r>
      <w:r>
        <w:rPr>
          <w:rFonts w:ascii="仿宋_GB2312" w:hAnsi="仿宋" w:eastAsia="仿宋_GB2312"/>
          <w:sz w:val="32"/>
          <w:szCs w:val="32"/>
        </w:rPr>
        <w:t>40</w:t>
      </w:r>
      <w:r>
        <w:rPr>
          <w:rFonts w:hint="eastAsia" w:ascii="仿宋_GB2312" w:hAnsi="仿宋" w:eastAsia="仿宋_GB2312"/>
          <w:sz w:val="32"/>
          <w:szCs w:val="32"/>
        </w:rPr>
        <w:t>名，事业编制</w:t>
      </w:r>
      <w:r>
        <w:rPr>
          <w:rFonts w:ascii="仿宋_GB2312" w:hAnsi="仿宋" w:eastAsia="仿宋_GB2312"/>
          <w:sz w:val="32"/>
          <w:szCs w:val="32"/>
        </w:rPr>
        <w:t>53</w:t>
      </w:r>
      <w:r>
        <w:rPr>
          <w:rFonts w:hint="eastAsia" w:ascii="仿宋_GB2312" w:hAnsi="仿宋" w:eastAsia="仿宋_GB2312"/>
          <w:sz w:val="32"/>
          <w:szCs w:val="32"/>
        </w:rPr>
        <w:t>名</w:t>
      </w:r>
      <w:r>
        <w:rPr>
          <w:rFonts w:hint="eastAsia" w:ascii="仿宋" w:hAnsi="仿宋" w:eastAsia="仿宋" w:cs="仿宋_GB2312"/>
          <w:bCs/>
          <w:sz w:val="32"/>
          <w:szCs w:val="32"/>
        </w:rPr>
        <w:t>；年末在职职工</w:t>
      </w:r>
      <w:r>
        <w:rPr>
          <w:rFonts w:ascii="仿宋" w:hAnsi="仿宋" w:eastAsia="仿宋" w:cs="仿宋_GB2312"/>
          <w:bCs/>
          <w:sz w:val="32"/>
          <w:szCs w:val="32"/>
        </w:rPr>
        <w:t>1</w:t>
      </w:r>
      <w:r>
        <w:rPr>
          <w:rFonts w:hint="eastAsia" w:ascii="仿宋" w:hAnsi="仿宋" w:eastAsia="仿宋" w:cs="仿宋_GB2312"/>
          <w:bCs/>
          <w:sz w:val="32"/>
          <w:szCs w:val="32"/>
          <w:lang w:val="en-US" w:eastAsia="zh-CN"/>
        </w:rPr>
        <w:t>02</w:t>
      </w:r>
      <w:r>
        <w:rPr>
          <w:rFonts w:hint="eastAsia" w:ascii="仿宋" w:hAnsi="仿宋" w:eastAsia="仿宋" w:cs="仿宋_GB2312"/>
          <w:bCs/>
          <w:sz w:val="32"/>
          <w:szCs w:val="32"/>
        </w:rPr>
        <w:t>人，其中行政</w:t>
      </w:r>
      <w:r>
        <w:rPr>
          <w:rFonts w:ascii="仿宋" w:hAnsi="仿宋" w:eastAsia="仿宋" w:cs="仿宋_GB2312"/>
          <w:bCs/>
          <w:sz w:val="32"/>
          <w:szCs w:val="32"/>
        </w:rPr>
        <w:t>1</w:t>
      </w:r>
      <w:r>
        <w:rPr>
          <w:rFonts w:hint="eastAsia" w:ascii="仿宋" w:hAnsi="仿宋" w:eastAsia="仿宋" w:cs="仿宋_GB2312"/>
          <w:bCs/>
          <w:sz w:val="32"/>
          <w:szCs w:val="32"/>
          <w:lang w:val="en-US" w:eastAsia="zh-CN"/>
        </w:rPr>
        <w:t>5</w:t>
      </w:r>
      <w:r>
        <w:rPr>
          <w:rFonts w:hint="eastAsia" w:ascii="仿宋" w:hAnsi="仿宋" w:eastAsia="仿宋" w:cs="仿宋_GB2312"/>
          <w:bCs/>
          <w:sz w:val="32"/>
          <w:szCs w:val="32"/>
        </w:rPr>
        <w:t>人，参公</w:t>
      </w:r>
      <w:r>
        <w:rPr>
          <w:rFonts w:ascii="仿宋" w:hAnsi="仿宋" w:eastAsia="仿宋" w:cs="仿宋_GB2312"/>
          <w:bCs/>
          <w:sz w:val="32"/>
          <w:szCs w:val="32"/>
        </w:rPr>
        <w:t>3</w:t>
      </w:r>
      <w:r>
        <w:rPr>
          <w:rFonts w:hint="eastAsia" w:ascii="仿宋" w:hAnsi="仿宋" w:eastAsia="仿宋" w:cs="仿宋_GB2312"/>
          <w:bCs/>
          <w:sz w:val="32"/>
          <w:szCs w:val="32"/>
          <w:lang w:val="en-US" w:eastAsia="zh-CN"/>
        </w:rPr>
        <w:t>0</w:t>
      </w:r>
      <w:r>
        <w:rPr>
          <w:rFonts w:hint="eastAsia" w:ascii="仿宋" w:hAnsi="仿宋" w:eastAsia="仿宋" w:cs="仿宋_GB2312"/>
          <w:bCs/>
          <w:sz w:val="32"/>
          <w:szCs w:val="32"/>
        </w:rPr>
        <w:t>人，事业人员</w:t>
      </w:r>
      <w:r>
        <w:rPr>
          <w:rFonts w:hint="eastAsia" w:ascii="仿宋" w:hAnsi="仿宋" w:eastAsia="仿宋" w:cs="仿宋_GB2312"/>
          <w:bCs/>
          <w:sz w:val="32"/>
          <w:szCs w:val="32"/>
          <w:lang w:val="en-US" w:eastAsia="zh-CN"/>
        </w:rPr>
        <w:t>57</w:t>
      </w:r>
      <w:r>
        <w:rPr>
          <w:rFonts w:hint="eastAsia" w:ascii="仿宋" w:hAnsi="仿宋" w:eastAsia="仿宋" w:cs="仿宋_GB2312"/>
          <w:bCs/>
          <w:sz w:val="32"/>
          <w:szCs w:val="32"/>
        </w:rPr>
        <w:t>人。</w:t>
      </w:r>
    </w:p>
    <w:p w14:paraId="2E068882">
      <w:pPr>
        <w:widowControl/>
        <w:adjustRightInd w:val="0"/>
        <w:snapToGrid w:val="0"/>
        <w:spacing w:line="580" w:lineRule="exact"/>
        <w:ind w:left="0" w:leftChars="0" w:firstLine="217" w:firstLineChars="68"/>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344FF14E">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14:paraId="7E4168AB">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14017.18</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1030.85</w:t>
      </w:r>
      <w:r>
        <w:rPr>
          <w:rFonts w:hint="eastAsia" w:ascii="仿宋_GB2312" w:hAnsi="仿宋_GB2312" w:eastAsia="仿宋_GB2312" w:cs="仿宋_GB2312"/>
          <w:sz w:val="32"/>
          <w:szCs w:val="32"/>
        </w:rPr>
        <w:t>万元。</w:t>
      </w:r>
    </w:p>
    <w:p w14:paraId="2E310323">
      <w:pPr>
        <w:widowControl/>
        <w:numPr>
          <w:ilvl w:val="0"/>
          <w:numId w:val="8"/>
        </w:numPr>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14:paraId="7E01F5F0">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15311.19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2514.78</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12796.41</w:t>
      </w:r>
      <w:r>
        <w:rPr>
          <w:rFonts w:hint="eastAsia" w:ascii="仿宋_GB2312" w:hAnsi="仿宋_GB2312" w:eastAsia="仿宋_GB2312" w:cs="仿宋_GB2312"/>
          <w:sz w:val="32"/>
          <w:szCs w:val="32"/>
        </w:rPr>
        <w:t>万元；</w:t>
      </w:r>
    </w:p>
    <w:p w14:paraId="66B32B5B">
      <w:pPr>
        <w:ind w:firstLine="480" w:firstLineChars="150"/>
        <w:rPr>
          <w:rFonts w:ascii="仿宋_GB2312" w:hAnsi="仿宋_GB2312" w:eastAsia="仿宋_GB2312" w:cs="仿宋_GB2312"/>
          <w:color w:val="000000"/>
          <w:sz w:val="32"/>
          <w:szCs w:val="32"/>
          <w:lang w:val="zh-CN"/>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年年末结转结余</w:t>
      </w:r>
      <w:r>
        <w:rPr>
          <w:rFonts w:hint="eastAsia" w:ascii="仿宋_GB2312" w:hAnsi="仿宋_GB2312" w:eastAsia="仿宋_GB2312" w:cs="仿宋_GB2312"/>
          <w:color w:val="000000"/>
          <w:sz w:val="32"/>
          <w:szCs w:val="32"/>
          <w:lang w:val="en-US" w:eastAsia="zh-CN"/>
        </w:rPr>
        <w:t>6.65</w:t>
      </w:r>
      <w:r>
        <w:rPr>
          <w:rFonts w:hint="eastAsia" w:ascii="仿宋_GB2312" w:hAnsi="仿宋_GB2312" w:eastAsia="仿宋_GB2312" w:cs="仿宋_GB2312"/>
          <w:color w:val="000000"/>
          <w:sz w:val="32"/>
          <w:szCs w:val="32"/>
        </w:rPr>
        <w:t>万元，其中项目支出结转结余</w:t>
      </w:r>
      <w:r>
        <w:rPr>
          <w:rFonts w:hint="eastAsia" w:ascii="仿宋_GB2312" w:hAnsi="仿宋_GB2312" w:eastAsia="仿宋_GB2312" w:cs="仿宋_GB2312"/>
          <w:color w:val="000000"/>
          <w:sz w:val="32"/>
          <w:szCs w:val="32"/>
          <w:lang w:val="en-US" w:eastAsia="zh-CN"/>
        </w:rPr>
        <w:t>3.65</w:t>
      </w:r>
      <w:r>
        <w:rPr>
          <w:rFonts w:hint="eastAsia" w:ascii="仿宋_GB2312" w:hAnsi="仿宋_GB2312" w:eastAsia="仿宋_GB2312" w:cs="仿宋_GB2312"/>
          <w:color w:val="000000"/>
          <w:sz w:val="32"/>
          <w:szCs w:val="32"/>
        </w:rPr>
        <w:t>万元。</w:t>
      </w:r>
    </w:p>
    <w:p w14:paraId="5A4C3D7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3AFF34A6">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3F86960B">
      <w:pPr>
        <w:widowControl/>
        <w:spacing w:line="540" w:lineRule="atLeast"/>
        <w:ind w:firstLine="800" w:firstLineChars="250"/>
        <w:rPr>
          <w:rFonts w:ascii="仿宋_GB2312" w:hAnsi="仿宋_GB2312" w:eastAsia="仿宋_GB2312" w:cs="仿宋_GB2312"/>
          <w:color w:val="030303"/>
          <w:kern w:val="0"/>
          <w:sz w:val="32"/>
          <w:szCs w:val="32"/>
        </w:rPr>
      </w:pPr>
      <w:r>
        <w:rPr>
          <w:rFonts w:hint="eastAsia" w:ascii="仿宋_GB2312" w:hAnsi="仿宋_GB2312" w:eastAsia="仿宋_GB2312" w:cs="仿宋_GB2312"/>
          <w:color w:val="030303"/>
          <w:sz w:val="32"/>
          <w:szCs w:val="32"/>
          <w:shd w:val="clear" w:color="auto" w:fill="FFFFFF"/>
        </w:rPr>
        <w:t>按照县财政预算编制工作要求，组织财务人员积极参与预算编制培训会，及时掌握预算编制口径等相关知识，在编制中</w:t>
      </w:r>
      <w:r>
        <w:rPr>
          <w:rFonts w:hint="eastAsia" w:ascii="仿宋_GB2312" w:hAnsi="仿宋_GB2312" w:eastAsia="仿宋_GB2312" w:cs="仿宋_GB2312"/>
          <w:color w:val="030303"/>
          <w:kern w:val="0"/>
          <w:sz w:val="32"/>
          <w:szCs w:val="32"/>
        </w:rPr>
        <w:t>根据《中华人民共和国预算法》及红原县财政局的要求，结合本单位实际，按照增收节支、厉行节约、绩效优化的原则，</w:t>
      </w:r>
      <w:r>
        <w:rPr>
          <w:rFonts w:hint="eastAsia" w:ascii="仿宋_GB2312" w:hAnsi="仿宋_GB2312" w:eastAsia="仿宋_GB2312" w:cs="仿宋_GB2312"/>
          <w:color w:val="030303"/>
          <w:sz w:val="32"/>
          <w:szCs w:val="32"/>
          <w:shd w:val="clear" w:color="auto" w:fill="FFFFFF"/>
        </w:rPr>
        <w:t>全面、及时、完整地编制了单位预算，</w:t>
      </w:r>
      <w:r>
        <w:rPr>
          <w:rFonts w:hint="eastAsia" w:ascii="仿宋_GB2312" w:hAnsi="仿宋_GB2312" w:eastAsia="仿宋_GB2312" w:cs="仿宋_GB2312"/>
          <w:color w:val="030303"/>
          <w:kern w:val="0"/>
          <w:sz w:val="32"/>
          <w:szCs w:val="32"/>
        </w:rPr>
        <w:t>严控“三公”经费管理，从严从紧编制预算，</w:t>
      </w:r>
      <w:r>
        <w:rPr>
          <w:rFonts w:hint="eastAsia" w:ascii="仿宋_GB2312" w:hAnsi="仿宋_GB2312" w:eastAsia="仿宋_GB2312" w:cs="仿宋_GB2312"/>
          <w:color w:val="030303"/>
          <w:sz w:val="32"/>
          <w:szCs w:val="32"/>
          <w:shd w:val="clear" w:color="auto" w:fill="FFFFFF"/>
        </w:rPr>
        <w:t>并经财政部门审核后予以下达。</w:t>
      </w:r>
      <w:r>
        <w:rPr>
          <w:rFonts w:hint="eastAsia" w:ascii="仿宋_GB2312" w:hAnsi="仿宋_GB2312" w:eastAsia="仿宋_GB2312" w:cs="仿宋_GB2312"/>
          <w:color w:val="030303"/>
          <w:kern w:val="0"/>
          <w:sz w:val="32"/>
          <w:szCs w:val="32"/>
        </w:rPr>
        <w:t>根据年初的</w:t>
      </w:r>
      <w:r>
        <w:rPr>
          <w:rFonts w:hint="eastAsia" w:ascii="仿宋_GB2312" w:hAnsi="仿宋_GB2312" w:eastAsia="仿宋_GB2312" w:cs="仿宋_GB2312"/>
          <w:color w:val="030303"/>
          <w:sz w:val="32"/>
          <w:szCs w:val="32"/>
          <w:shd w:val="clear" w:color="auto" w:fill="FFFFFF"/>
        </w:rPr>
        <w:t>预算指标</w:t>
      </w:r>
      <w:r>
        <w:rPr>
          <w:rFonts w:hint="eastAsia" w:ascii="仿宋_GB2312" w:hAnsi="仿宋_GB2312" w:eastAsia="仿宋_GB2312" w:cs="仿宋_GB2312"/>
          <w:color w:val="030303"/>
          <w:kern w:val="0"/>
          <w:sz w:val="32"/>
          <w:szCs w:val="32"/>
        </w:rPr>
        <w:t>下达数，合理编制资金使用进度方案，深化预算绩效管理，提高资金使用效益。</w:t>
      </w:r>
    </w:p>
    <w:p w14:paraId="7F56E601">
      <w:pPr>
        <w:widowControl/>
        <w:spacing w:line="540" w:lineRule="atLeas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color w:val="030303"/>
          <w:kern w:val="0"/>
          <w:sz w:val="32"/>
          <w:szCs w:val="32"/>
        </w:rPr>
        <w:t>认真编制部门绩效报告，报告完整、合理体现单位</w:t>
      </w:r>
      <w:r>
        <w:rPr>
          <w:rFonts w:ascii="仿宋_GB2312" w:hAnsi="仿宋_GB2312" w:eastAsia="仿宋_GB2312" w:cs="仿宋_GB2312"/>
          <w:color w:val="030303"/>
          <w:kern w:val="0"/>
          <w:sz w:val="32"/>
          <w:szCs w:val="32"/>
        </w:rPr>
        <w:t>20</w:t>
      </w:r>
      <w:r>
        <w:rPr>
          <w:rFonts w:hint="eastAsia" w:ascii="仿宋_GB2312" w:hAnsi="仿宋_GB2312" w:eastAsia="仿宋_GB2312" w:cs="仿宋_GB2312"/>
          <w:color w:val="030303"/>
          <w:kern w:val="0"/>
          <w:sz w:val="32"/>
          <w:szCs w:val="32"/>
        </w:rPr>
        <w:t>年度履职情况，对本年建设的重点工作和项目进行绩效评价。</w:t>
      </w:r>
    </w:p>
    <w:p w14:paraId="5A93000A">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14:paraId="5EA9C6C8">
      <w:pPr>
        <w:pStyle w:val="2"/>
        <w:ind w:left="0" w:leftChars="0" w:firstLine="1059" w:firstLineChars="331"/>
        <w:rPr>
          <w:rFonts w:ascii="仿宋_GB2312" w:hAnsi="仿宋_GB2312" w:eastAsia="仿宋_GB2312" w:cs="仿宋_GB2312"/>
          <w:sz w:val="32"/>
          <w:szCs w:val="32"/>
          <w:lang w:val="zh-CN"/>
        </w:rPr>
      </w:pPr>
      <w:r>
        <w:rPr>
          <w:rFonts w:ascii="仿宋_GB2312" w:hAnsi="仿宋_GB2312" w:eastAsia="仿宋_GB2312" w:cs="仿宋_GB2312"/>
          <w:color w:val="030303"/>
          <w:sz w:val="32"/>
          <w:szCs w:val="32"/>
          <w:shd w:val="clear" w:color="auto" w:fill="FFFFFF"/>
        </w:rPr>
        <w:t>2021</w:t>
      </w:r>
      <w:r>
        <w:rPr>
          <w:rFonts w:hint="eastAsia" w:ascii="仿宋_GB2312" w:hAnsi="仿宋_GB2312" w:eastAsia="仿宋_GB2312" w:cs="仿宋_GB2312"/>
          <w:color w:val="030303"/>
          <w:sz w:val="32"/>
          <w:szCs w:val="32"/>
          <w:shd w:val="clear" w:color="auto" w:fill="FFFFFF"/>
        </w:rPr>
        <w:t>年，我单位严格按照国家的法律法规加强预算管理，大力提倡勤俭节约，坚持把有限的经费用在农牧业发展工作中，坚持财政预算管理制度，坚持“以收定支”，做好预算支出及执行情况调度，</w:t>
      </w:r>
      <w:r>
        <w:rPr>
          <w:rFonts w:hint="eastAsia" w:ascii="仿宋_GB2312" w:hAnsi="仿宋_GB2312" w:eastAsia="仿宋_GB2312" w:cs="仿宋_GB2312"/>
          <w:sz w:val="32"/>
          <w:szCs w:val="32"/>
        </w:rPr>
        <w:t>做到每笔支出有据可查、有法可依</w:t>
      </w:r>
      <w:r>
        <w:rPr>
          <w:rFonts w:hint="eastAsia" w:ascii="仿宋_GB2312" w:hAnsi="仿宋_GB2312" w:eastAsia="仿宋_GB2312" w:cs="仿宋_GB2312"/>
          <w:color w:val="030303"/>
          <w:sz w:val="32"/>
          <w:szCs w:val="32"/>
          <w:shd w:val="clear" w:color="auto" w:fill="FFFFFF"/>
        </w:rPr>
        <w:t>，确保了</w:t>
      </w:r>
      <w:r>
        <w:rPr>
          <w:rFonts w:ascii="仿宋_GB2312" w:hAnsi="仿宋_GB2312" w:eastAsia="仿宋_GB2312" w:cs="仿宋_GB2312"/>
          <w:color w:val="030303"/>
          <w:sz w:val="32"/>
          <w:szCs w:val="32"/>
          <w:shd w:val="clear" w:color="auto" w:fill="FFFFFF"/>
        </w:rPr>
        <w:t xml:space="preserve"> </w:t>
      </w:r>
      <w:r>
        <w:rPr>
          <w:rFonts w:hint="eastAsia" w:ascii="仿宋_GB2312" w:hAnsi="仿宋_GB2312" w:eastAsia="仿宋_GB2312" w:cs="仿宋_GB2312"/>
          <w:color w:val="030303"/>
          <w:sz w:val="32"/>
          <w:szCs w:val="32"/>
          <w:shd w:val="clear" w:color="auto" w:fill="FFFFFF"/>
        </w:rPr>
        <w:t>“三公”经费预算支出在严格控制在预算内，严格财经纪律，严格财务制度严格审批程序，确定支出都符合相关的要求，通过以上这些措施，较好地保证了财务管理工作和资金使用效率</w:t>
      </w:r>
    </w:p>
    <w:p w14:paraId="10319BA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01804BC5">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（一）评价结论</w:t>
      </w:r>
      <w:r>
        <w:rPr>
          <w:rFonts w:ascii="仿宋_GB2312" w:hAnsi="仿宋_GB2312" w:eastAsia="仿宋_GB2312" w:cs="仿宋_GB2312"/>
          <w:sz w:val="32"/>
          <w:szCs w:val="32"/>
        </w:rPr>
        <w:t xml:space="preserve"> </w:t>
      </w:r>
    </w:p>
    <w:p w14:paraId="36924837">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color w:val="030303"/>
          <w:sz w:val="32"/>
          <w:szCs w:val="32"/>
          <w:shd w:val="clear" w:color="auto" w:fill="FFFFFF"/>
        </w:rPr>
        <w:t>根据红原县绩效评价整体支出绩效为“好”。</w:t>
      </w:r>
    </w:p>
    <w:p w14:paraId="20F56C77">
      <w:pPr>
        <w:widowControl/>
        <w:numPr>
          <w:ilvl w:val="0"/>
          <w:numId w:val="8"/>
        </w:numPr>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存在问题</w:t>
      </w:r>
    </w:p>
    <w:p w14:paraId="2B34D960">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、近年来，</w:t>
      </w:r>
      <w:r>
        <w:rPr>
          <w:rFonts w:hint="eastAsia" w:ascii="仿宋_GB2312" w:hAnsi="仿宋_GB2312" w:eastAsia="仿宋_GB2312" w:cs="仿宋_GB2312"/>
          <w:color w:val="030303"/>
          <w:sz w:val="32"/>
          <w:szCs w:val="32"/>
          <w:shd w:val="clear" w:color="auto" w:fill="FFFFFF"/>
        </w:rPr>
        <w:t>相关资金使用管理的法律、法规规定出台较多，政府采购的规定也不断的在变化，经办人员未及时进行知识更新，造成了工作中诸多不便，影响到工作效率。</w:t>
      </w:r>
    </w:p>
    <w:p w14:paraId="354E0D2A">
      <w:pPr>
        <w:ind w:firstLine="480" w:firstLineChars="150"/>
        <w:rPr>
          <w:rFonts w:ascii="仿宋_GB2312" w:hAnsi="仿宋_GB2312" w:eastAsia="仿宋_GB2312" w:cs="仿宋_GB2312"/>
          <w:sz w:val="32"/>
          <w:szCs w:val="32"/>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项目建设上，由于本地的实际情况，项目容易形成跨年建设，形成财政资金的拨付进度缓慢，年末财政资金结余资金较大。但一味的催促项目施工进度，要求资金的拨付达到一定的比例，又造成了项目财务资料收集延迟、内业资料的不完整，对以后项目的审计和上级部门检查造成了一些隐患。</w:t>
      </w:r>
    </w:p>
    <w:p w14:paraId="5F2F56F0">
      <w:pPr>
        <w:widowControl/>
        <w:numPr>
          <w:ilvl w:val="0"/>
          <w:numId w:val="8"/>
        </w:numPr>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14:paraId="4904EF1B">
      <w:pPr>
        <w:ind w:firstLine="960" w:firstLineChars="300"/>
        <w:rPr>
          <w:rFonts w:ascii="仿宋_GB2312" w:hAnsi="仿宋_GB2312" w:eastAsia="仿宋_GB2312" w:cs="仿宋_GB2312"/>
          <w:color w:val="030303"/>
          <w:sz w:val="32"/>
          <w:szCs w:val="32"/>
          <w:shd w:val="clear" w:color="auto" w:fill="FFFFFF"/>
        </w:rPr>
      </w:pPr>
      <w:r>
        <w:rPr>
          <w:rFonts w:hint="eastAsia" w:ascii="仿宋_GB2312" w:hAnsi="仿宋_GB2312" w:eastAsia="仿宋_GB2312" w:cs="仿宋_GB2312"/>
          <w:color w:val="030303"/>
          <w:sz w:val="32"/>
          <w:szCs w:val="32"/>
          <w:shd w:val="clear" w:color="auto" w:fill="FFFFFF"/>
        </w:rPr>
        <w:t>在加强工作人员自身业务知识的学习同时，积极向相关部门争取各类专业培训机会，通过学习不断加强业务素质，强化处理日常工作的能力。</w:t>
      </w:r>
    </w:p>
    <w:p w14:paraId="35DB45BC">
      <w:pPr>
        <w:ind w:firstLine="640" w:firstLineChars="200"/>
        <w:rPr>
          <w:rFonts w:ascii="仿宋_GB2312" w:hAnsi="仿宋_GB2312" w:eastAsia="仿宋_GB2312" w:cs="仿宋_GB2312"/>
          <w:color w:val="030303"/>
          <w:sz w:val="32"/>
          <w:szCs w:val="32"/>
          <w:shd w:val="clear" w:color="auto" w:fill="FFFFFF"/>
        </w:rPr>
      </w:pPr>
      <w:r>
        <w:rPr>
          <w:rFonts w:hint="eastAsia" w:ascii="仿宋_GB2312" w:hAnsi="仿宋_GB2312" w:eastAsia="仿宋_GB2312" w:cs="仿宋_GB2312"/>
          <w:color w:val="030303"/>
          <w:sz w:val="32"/>
          <w:szCs w:val="32"/>
          <w:shd w:val="clear" w:color="auto" w:fill="FFFFFF"/>
        </w:rPr>
        <w:t>对本年度即将建设的项目，成立项目领导小组，整合单位股站人力资源，提前安排、布置前期工作，建立行之有效的约束机制和激励机制，责任到人，根据实际情况，尽量将项目建设开工时间提前，加强项目建设的中、后期管理，在确保项目建设质量的前提下，不断督促项目的建设进度，并按照专项资金管理办法，及时拨付项目资金。</w:t>
      </w:r>
    </w:p>
    <w:p w14:paraId="55A0D188">
      <w:pPr>
        <w:ind w:firstLine="640" w:firstLineChars="200"/>
        <w:rPr>
          <w:rFonts w:ascii="仿宋_GB2312" w:hAnsi="仿宋_GB2312" w:eastAsia="仿宋_GB2312" w:cs="仿宋_GB2312"/>
          <w:color w:val="030303"/>
          <w:sz w:val="32"/>
          <w:szCs w:val="32"/>
          <w:shd w:val="clear" w:color="auto" w:fill="FFFFFF"/>
        </w:rPr>
      </w:pPr>
    </w:p>
    <w:p w14:paraId="02F86628">
      <w:pPr>
        <w:spacing w:line="580" w:lineRule="exact"/>
        <w:ind w:firstLine="640" w:firstLineChars="200"/>
        <w:rPr>
          <w:rFonts w:ascii="仿宋_GB2312" w:hAnsi="仿宋_GB2312" w:eastAsia="仿宋_GB2312" w:cs="仿宋_GB2312"/>
          <w:sz w:val="32"/>
          <w:szCs w:val="32"/>
        </w:rPr>
      </w:pPr>
    </w:p>
    <w:p w14:paraId="0B76F400">
      <w:pPr>
        <w:pStyle w:val="2"/>
        <w:ind w:firstLine="640"/>
        <w:rPr>
          <w:rFonts w:ascii="仿宋_GB2312" w:hAnsi="仿宋_GB2312" w:eastAsia="仿宋_GB2312" w:cs="仿宋_GB2312"/>
          <w:sz w:val="32"/>
          <w:szCs w:val="32"/>
        </w:rPr>
      </w:pPr>
    </w:p>
    <w:p w14:paraId="54836E49">
      <w:pPr>
        <w:pStyle w:val="2"/>
        <w:ind w:firstLine="640"/>
        <w:rPr>
          <w:rFonts w:ascii="仿宋_GB2312" w:hAnsi="仿宋_GB2312" w:eastAsia="仿宋_GB2312" w:cs="仿宋_GB2312"/>
          <w:sz w:val="32"/>
          <w:szCs w:val="32"/>
        </w:rPr>
      </w:pPr>
    </w:p>
    <w:p w14:paraId="5E68B712">
      <w:pPr>
        <w:pStyle w:val="2"/>
        <w:ind w:firstLine="640"/>
        <w:rPr>
          <w:rFonts w:ascii="仿宋_GB2312" w:hAnsi="仿宋_GB2312" w:eastAsia="仿宋_GB2312" w:cs="仿宋_GB2312"/>
          <w:sz w:val="32"/>
          <w:szCs w:val="32"/>
        </w:rPr>
      </w:pPr>
    </w:p>
    <w:p w14:paraId="2614E708">
      <w:pPr>
        <w:pStyle w:val="2"/>
      </w:pPr>
    </w:p>
    <w:p w14:paraId="4F84F0A6">
      <w:pPr>
        <w:spacing w:line="580" w:lineRule="exact"/>
        <w:ind w:firstLine="640" w:firstLineChars="200"/>
        <w:rPr>
          <w:rFonts w:ascii="仿宋_GB2312" w:hAnsi="仿宋_GB2312" w:eastAsia="仿宋_GB2312" w:cs="仿宋_GB2312"/>
          <w:sz w:val="32"/>
          <w:szCs w:val="32"/>
        </w:rPr>
      </w:pPr>
    </w:p>
    <w:p w14:paraId="1815E3CF">
      <w:pPr>
        <w:pStyle w:val="2"/>
        <w:ind w:firstLine="640"/>
        <w:rPr>
          <w:rFonts w:ascii="仿宋_GB2312" w:hAnsi="仿宋_GB2312" w:eastAsia="仿宋_GB2312" w:cs="仿宋_GB2312"/>
          <w:sz w:val="32"/>
          <w:szCs w:val="32"/>
        </w:rPr>
      </w:pPr>
    </w:p>
    <w:p w14:paraId="69DD242A">
      <w:pPr>
        <w:pStyle w:val="2"/>
        <w:ind w:firstLine="640"/>
        <w:rPr>
          <w:rFonts w:ascii="仿宋_GB2312" w:hAnsi="仿宋_GB2312" w:eastAsia="仿宋_GB2312" w:cs="仿宋_GB2312"/>
          <w:sz w:val="32"/>
          <w:szCs w:val="32"/>
        </w:rPr>
      </w:pPr>
    </w:p>
    <w:p w14:paraId="3EB13E4C">
      <w:pPr>
        <w:pStyle w:val="2"/>
        <w:ind w:firstLine="640"/>
        <w:rPr>
          <w:rFonts w:ascii="仿宋_GB2312" w:hAnsi="仿宋_GB2312" w:eastAsia="仿宋_GB2312" w:cs="仿宋_GB2312"/>
          <w:sz w:val="32"/>
          <w:szCs w:val="32"/>
        </w:rPr>
      </w:pPr>
    </w:p>
    <w:p w14:paraId="33E03A70">
      <w:pPr>
        <w:pStyle w:val="2"/>
        <w:ind w:firstLine="640"/>
        <w:rPr>
          <w:rFonts w:ascii="仿宋_GB2312" w:hAnsi="仿宋_GB2312" w:eastAsia="仿宋_GB2312" w:cs="仿宋_GB2312"/>
          <w:sz w:val="32"/>
          <w:szCs w:val="32"/>
        </w:rPr>
      </w:pPr>
    </w:p>
    <w:p w14:paraId="37D2F55A">
      <w:pPr>
        <w:pStyle w:val="2"/>
        <w:ind w:firstLine="640"/>
        <w:rPr>
          <w:rFonts w:ascii="仿宋_GB2312" w:hAnsi="仿宋_GB2312" w:eastAsia="仿宋_GB2312" w:cs="仿宋_GB2312"/>
          <w:sz w:val="32"/>
          <w:szCs w:val="32"/>
        </w:rPr>
      </w:pPr>
    </w:p>
    <w:p w14:paraId="6B0684FC">
      <w:pPr>
        <w:pStyle w:val="2"/>
        <w:ind w:firstLine="640"/>
        <w:rPr>
          <w:rFonts w:ascii="仿宋_GB2312" w:hAnsi="仿宋_GB2312" w:eastAsia="仿宋_GB2312" w:cs="仿宋_GB2312"/>
          <w:sz w:val="32"/>
          <w:szCs w:val="32"/>
        </w:rPr>
      </w:pPr>
    </w:p>
    <w:p w14:paraId="059DBFB5">
      <w:pPr>
        <w:pStyle w:val="2"/>
        <w:ind w:firstLine="640"/>
        <w:rPr>
          <w:rFonts w:ascii="仿宋_GB2312" w:hAnsi="仿宋_GB2312" w:eastAsia="仿宋_GB2312" w:cs="仿宋_GB2312"/>
          <w:sz w:val="32"/>
          <w:szCs w:val="32"/>
        </w:rPr>
      </w:pPr>
    </w:p>
    <w:p w14:paraId="1E0B9E3F">
      <w:pPr>
        <w:pStyle w:val="2"/>
        <w:ind w:firstLine="640"/>
        <w:rPr>
          <w:rFonts w:ascii="仿宋_GB2312" w:hAnsi="仿宋_GB2312" w:eastAsia="仿宋_GB2312" w:cs="仿宋_GB2312"/>
          <w:sz w:val="32"/>
          <w:szCs w:val="32"/>
        </w:rPr>
      </w:pPr>
    </w:p>
    <w:p w14:paraId="0C5BE5BA">
      <w:pPr>
        <w:pStyle w:val="2"/>
        <w:ind w:firstLine="640"/>
        <w:rPr>
          <w:rFonts w:ascii="仿宋_GB2312" w:hAnsi="仿宋_GB2312" w:eastAsia="仿宋_GB2312" w:cs="仿宋_GB2312"/>
          <w:sz w:val="32"/>
          <w:szCs w:val="32"/>
        </w:rPr>
      </w:pPr>
    </w:p>
    <w:p w14:paraId="1267F74E">
      <w:pPr>
        <w:spacing w:line="580" w:lineRule="exact"/>
        <w:rPr>
          <w:rFonts w:ascii="黑体" w:hAnsi="黑体" w:eastAsia="黑体" w:cs="黑体"/>
          <w:sz w:val="32"/>
          <w:szCs w:val="32"/>
        </w:rPr>
      </w:pPr>
    </w:p>
    <w:p w14:paraId="3780AC57">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14:paraId="061E22C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color w:val="000000"/>
          <w:sz w:val="44"/>
          <w:szCs w:val="44"/>
          <w:lang w:val="en-US" w:eastAsia="zh-CN"/>
        </w:rPr>
      </w:pPr>
      <w:bookmarkStart w:id="59" w:name="_Toc15396618"/>
    </w:p>
    <w:p w14:paraId="20E74EA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val="en-US" w:eastAsia="zh-CN"/>
        </w:rPr>
        <w:t>红原县有机肥处理厂建设项目（二期）</w:t>
      </w:r>
      <w:r>
        <w:rPr>
          <w:rFonts w:hint="eastAsia" w:ascii="方正小标宋简体" w:hAnsi="方正小标宋简体" w:eastAsia="方正小标宋简体" w:cs="方正小标宋简体"/>
          <w:color w:val="000000"/>
          <w:sz w:val="44"/>
          <w:szCs w:val="44"/>
        </w:rPr>
        <w:t>资金</w:t>
      </w:r>
    </w:p>
    <w:p w14:paraId="510A8F5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sz w:val="44"/>
          <w:szCs w:val="44"/>
        </w:rPr>
        <w:t>绩效自评总结报告</w:t>
      </w:r>
    </w:p>
    <w:p w14:paraId="6D5A4D91">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黑体" w:hAnsi="黑体" w:eastAsia="黑体" w:cs="黑体"/>
          <w:color w:val="000000"/>
          <w:sz w:val="32"/>
          <w:szCs w:val="32"/>
        </w:rPr>
      </w:pPr>
    </w:p>
    <w:p w14:paraId="02E8310E">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黑体" w:hAnsi="黑体" w:eastAsia="黑体" w:cs="黑体"/>
          <w:sz w:val="32"/>
          <w:szCs w:val="32"/>
          <w:lang w:eastAsia="zh-CN"/>
        </w:rPr>
      </w:pPr>
      <w:r>
        <w:rPr>
          <w:rFonts w:hint="eastAsia" w:ascii="黑体" w:hAnsi="黑体" w:eastAsia="黑体" w:cs="黑体"/>
          <w:color w:val="000000"/>
          <w:sz w:val="32"/>
          <w:szCs w:val="32"/>
        </w:rPr>
        <w:t>一、</w:t>
      </w:r>
      <w:r>
        <w:rPr>
          <w:rFonts w:hint="eastAsia" w:ascii="黑体" w:hAnsi="黑体" w:eastAsia="黑体" w:cs="黑体"/>
          <w:color w:val="000000"/>
          <w:sz w:val="32"/>
          <w:szCs w:val="32"/>
          <w:lang w:eastAsia="zh-CN"/>
        </w:rPr>
        <w:t>项目概况</w:t>
      </w:r>
    </w:p>
    <w:p w14:paraId="64B66D3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（一）项目基本情况</w:t>
      </w:r>
    </w:p>
    <w:p w14:paraId="32FAF0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为将有机肥处理厂建设项目完整建设完成，</w:t>
      </w:r>
      <w:r>
        <w:rPr>
          <w:rFonts w:hint="eastAsia" w:ascii="仿宋_GB2312" w:hAnsi="仿宋_GB2312" w:eastAsia="仿宋_GB2312" w:cs="仿宋_GB2312"/>
          <w:bCs/>
          <w:sz w:val="32"/>
          <w:szCs w:val="32"/>
        </w:rPr>
        <w:t>2021年1月，红原县</w:t>
      </w:r>
      <w:r>
        <w:rPr>
          <w:rFonts w:hint="eastAsia" w:ascii="仿宋_GB2312" w:hAnsi="仿宋_GB2312" w:eastAsia="仿宋_GB2312" w:cs="仿宋_GB2312"/>
          <w:bCs/>
          <w:sz w:val="32"/>
          <w:szCs w:val="32"/>
          <w:lang w:val="en-US" w:eastAsia="zh-CN"/>
        </w:rPr>
        <w:t>脱贫攻坚领导小组办公室关于下发《红原县脱贫攻坚领导小组办公室关于下达2021年脱贫攻坚项目建设的通知》</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红脱贫办〔2020〕101号），</w:t>
      </w:r>
      <w:r>
        <w:rPr>
          <w:rFonts w:hint="eastAsia" w:ascii="仿宋_GB2312" w:hAnsi="仿宋_GB2312" w:eastAsia="仿宋_GB2312" w:cs="仿宋_GB2312"/>
          <w:bCs/>
          <w:sz w:val="32"/>
          <w:szCs w:val="32"/>
        </w:rPr>
        <w:t>下达红原县有机肥处理厂建设项目资金800万元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其中500万元</w:t>
      </w:r>
      <w:r>
        <w:rPr>
          <w:rFonts w:hint="eastAsia" w:ascii="仿宋_GB2312" w:hAnsi="仿宋_GB2312" w:eastAsia="仿宋_GB2312" w:cs="仿宋_GB2312"/>
          <w:bCs/>
          <w:sz w:val="32"/>
          <w:szCs w:val="32"/>
          <w:lang w:val="en-US" w:eastAsia="zh-CN"/>
        </w:rPr>
        <w:t>为2020年有机肥处理厂建设项目1000万元中</w:t>
      </w:r>
      <w:r>
        <w:rPr>
          <w:rFonts w:hint="eastAsia" w:ascii="仿宋_GB2312" w:hAnsi="仿宋_GB2312" w:eastAsia="仿宋_GB2312" w:cs="仿宋_GB2312"/>
          <w:bCs/>
          <w:sz w:val="32"/>
          <w:szCs w:val="32"/>
        </w:rPr>
        <w:t>为迎接脱贫攻坚检查被收回</w:t>
      </w:r>
      <w:r>
        <w:rPr>
          <w:rFonts w:hint="eastAsia" w:ascii="仿宋_GB2312" w:hAnsi="仿宋_GB2312" w:eastAsia="仿宋_GB2312" w:cs="仿宋_GB2312"/>
          <w:bCs/>
          <w:sz w:val="32"/>
          <w:szCs w:val="32"/>
          <w:lang w:val="en-US" w:eastAsia="zh-CN"/>
        </w:rPr>
        <w:t>的500万元</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将</w:t>
      </w:r>
      <w:r>
        <w:rPr>
          <w:rFonts w:hint="eastAsia" w:ascii="仿宋_GB2312" w:hAnsi="仿宋_GB2312" w:eastAsia="仿宋_GB2312" w:cs="仿宋_GB2312"/>
          <w:bCs/>
          <w:sz w:val="32"/>
          <w:szCs w:val="32"/>
        </w:rPr>
        <w:t>继续用</w:t>
      </w:r>
      <w:r>
        <w:rPr>
          <w:rFonts w:hint="eastAsia" w:ascii="仿宋_GB2312" w:hAnsi="仿宋_GB2312" w:eastAsia="仿宋_GB2312" w:cs="仿宋_GB2312"/>
          <w:bCs/>
          <w:sz w:val="32"/>
          <w:szCs w:val="32"/>
          <w:lang w:val="en-US" w:eastAsia="zh-CN"/>
        </w:rPr>
        <w:t>使用于有机肥处理厂未完成的工程建设，属续建项目。</w:t>
      </w:r>
    </w:p>
    <w:p w14:paraId="0B3C96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另有</w:t>
      </w: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0万元</w:t>
      </w:r>
      <w:r>
        <w:rPr>
          <w:rFonts w:hint="eastAsia" w:ascii="仿宋_GB2312" w:hAnsi="仿宋_GB2312" w:eastAsia="仿宋_GB2312" w:cs="仿宋_GB2312"/>
          <w:bCs/>
          <w:sz w:val="32"/>
          <w:szCs w:val="32"/>
          <w:lang w:val="en-US" w:eastAsia="zh-CN"/>
        </w:rPr>
        <w:t>为有机肥处理厂附属设施建设，单独到县发展和改革局进行立项，并获得了批复，属新建招投标项目</w:t>
      </w:r>
      <w:r>
        <w:rPr>
          <w:rFonts w:hint="eastAsia" w:ascii="仿宋_GB2312" w:hAnsi="仿宋_GB2312" w:eastAsia="仿宋_GB2312" w:cs="仿宋_GB2312"/>
          <w:sz w:val="32"/>
          <w:szCs w:val="32"/>
        </w:rPr>
        <w:t>。</w:t>
      </w:r>
    </w:p>
    <w:p w14:paraId="33DC295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（二）项目绩效目标</w:t>
      </w:r>
    </w:p>
    <w:p w14:paraId="43ECD3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rPr>
      </w:pPr>
      <w:r>
        <w:rPr>
          <w:rFonts w:hint="eastAsia" w:ascii="仿宋_GB2312" w:hAnsi="仿宋_GB2312" w:eastAsia="仿宋_GB2312" w:cs="仿宋_GB2312"/>
          <w:bCs/>
          <w:sz w:val="32"/>
          <w:szCs w:val="32"/>
          <w:lang w:val="en-US" w:eastAsia="zh-CN"/>
        </w:rPr>
        <w:t>粪污处理设施投资少，养殖户畜禽污染治理的积极性低、粪污收集处置难度大，畜禽养殖粪污资源化利用程度不高。另外，畜禽养殖场户养殖污染治理不达标，环保部门将采取关停、限养、整改等措施，将严重影响其生产经营的稳定性。避免粪污处理设施重复投资，拟将畜禽粪便统一收集、集中处理，按照减量化、资源化和无害化的原则，以肥料化利用为主要方向，并积极与农场种植业、水产养殖业相结合，发展绿色循环农业。</w:t>
      </w:r>
    </w:p>
    <w:p w14:paraId="7A049B39">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本项目建设内容为：总占地面积8666.67平方米（约13.00亩），容积率0.46，占地面积4018m2，建筑密度46.4%，绿化率19%，厂区道路及其它1632m2，绿化1672m2。</w:t>
      </w:r>
    </w:p>
    <w:p w14:paraId="1544B44E">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总建筑面积4126m2，其中原料库1300m2，发酵车间576m2，二次发酵车间420m2，成品库1300m2，鲜粪堆放场288m2，分析实验室32m2，配套用房210m2。</w:t>
      </w:r>
    </w:p>
    <w:p w14:paraId="7DBB00F9">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总图工程。场地平整1672m2、道路及广场1632m2、景观绿化1672m2、室外给排水3304m2、室外电气工程3304m2、围墙365.73m、变压器1套、路灯10套、大门2项。</w:t>
      </w:r>
    </w:p>
    <w:p w14:paraId="437ABDF8">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设备购置。1000 型双轴，N=11kw1台、LXFD N=18kw，行车式宽槽翻抛机1台、14x4米，N=4kw滚筒筛1台、JH1M，N=2kw自动称重包装机1台、JH650x40M， N=6kw皮带输送机3台、ZL18装载机1台、50CN装载机1台、小松110挖掘机1台。</w:t>
      </w:r>
    </w:p>
    <w:p w14:paraId="609FCAA7">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建设外墙约357米，围墙采用M7.5混合砂浆砌10砖采用C25案混凝士基础；围墙基础采用钢箭混凝士条形基础；并放量于强风化层之上承载力特征ok&gt;180KPa；每隔2-3米设置一个钢筋混泥土固定住，钢铁制品及预埋件应刷红丹防锈漆2道进行防锈处理；清水砖墙外露部分均以1:2水泥砂浆勾缝；围圈墙每15米和与房屋相连处设置一道胀缩缝，缝宽度为30mm，肉源清靠线左在柱处理；围墙每个开间应设一过水洞洞宽120mm，洞高60mm，洞底与地面同高内确随20mm)1:2水泥砂。</w:t>
      </w:r>
    </w:p>
    <w:p w14:paraId="66B6B947">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硬化厂区内道路及场地。硬化7米宽道路约525米。采用毛渣石夯实基础，200厚碎石，150厚二灰碎石，乳化沥青头层，40后粗粒式沥青混泥土。30厚中粒式沥青混泥土。</w:t>
      </w:r>
    </w:p>
    <w:p w14:paraId="5EB2D237">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修建消防水池、消防控制室并配置消防控制设备。修建消防水池324立方，消防控制室和水泵房80平米。</w:t>
      </w:r>
    </w:p>
    <w:p w14:paraId="14D130EB">
      <w:pPr>
        <w:pStyle w:val="8"/>
        <w:rPr>
          <w:rFonts w:hint="eastAsia" w:ascii="黑体" w:hAnsi="黑体" w:eastAsia="黑体" w:cs="黑体"/>
          <w:color w:val="000000"/>
          <w:sz w:val="32"/>
          <w:szCs w:val="32"/>
        </w:rPr>
      </w:pPr>
      <w:r>
        <w:rPr>
          <w:rFonts w:hint="eastAsia" w:ascii="仿宋_GB2312" w:hAnsi="仿宋_GB2312" w:eastAsia="仿宋_GB2312" w:cs="仿宋_GB2312"/>
          <w:color w:val="000000"/>
          <w:sz w:val="32"/>
          <w:szCs w:val="32"/>
          <w:lang w:val="en-US" w:eastAsia="zh-CN"/>
        </w:rPr>
        <w:t xml:space="preserve">   （三）项目自评步骤及方法</w:t>
      </w:r>
    </w:p>
    <w:p w14:paraId="3EF5AB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红原县有机肥处理厂建设项目（二期），该项目于2021年11月完成建设，项目完成后首先由项目经办人员对项目实地查看、座谈等方式，开展项目自评，并结合实地查看、座谈结果，统计填写项目自评表、审核表、运行监控表等，最后</w:t>
      </w:r>
      <w:r>
        <w:rPr>
          <w:rFonts w:hint="eastAsia" w:ascii="仿宋_GB2312" w:hAnsi="仿宋_GB2312" w:eastAsia="仿宋_GB2312" w:cs="仿宋_GB2312"/>
          <w:color w:val="auto"/>
          <w:kern w:val="2"/>
          <w:sz w:val="32"/>
          <w:szCs w:val="32"/>
          <w:lang w:val="en-US" w:eastAsia="zh-CN" w:bidi="ar-SA"/>
        </w:rPr>
        <w:t>分别报送局分管领导、主要领导审阅后再报送。</w:t>
      </w:r>
    </w:p>
    <w:p w14:paraId="2C5706CD">
      <w:pPr>
        <w:keepNext w:val="0"/>
        <w:keepLines w:val="0"/>
        <w:pageBreakBefore w:val="0"/>
        <w:widowControl w:val="0"/>
        <w:numPr>
          <w:ilvl w:val="0"/>
          <w:numId w:val="9"/>
        </w:numPr>
        <w:kinsoku/>
        <w:wordWrap/>
        <w:overflowPunct/>
        <w:topLinePunct w:val="0"/>
        <w:autoSpaceDE/>
        <w:autoSpaceDN/>
        <w:bidi w:val="0"/>
        <w:adjustRightInd/>
        <w:snapToGrid/>
        <w:spacing w:line="576" w:lineRule="exact"/>
        <w:ind w:firstLine="700"/>
        <w:jc w:val="left"/>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项目资金申报及使用情况</w:t>
      </w:r>
    </w:p>
    <w:p w14:paraId="7702E65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964" w:firstLineChars="300"/>
        <w:jc w:val="left"/>
        <w:textAlignment w:val="auto"/>
        <w:rPr>
          <w:rFonts w:hint="eastAsia" w:ascii="楷体" w:hAnsi="楷体" w:eastAsia="楷体" w:cs="楷体"/>
          <w:b/>
          <w:bCs/>
          <w:kern w:val="2"/>
          <w:sz w:val="32"/>
          <w:szCs w:val="32"/>
          <w:lang w:val="en-US" w:eastAsia="zh-CN"/>
        </w:rPr>
      </w:pPr>
      <w:r>
        <w:rPr>
          <w:rFonts w:hint="eastAsia" w:ascii="楷体" w:hAnsi="楷体" w:eastAsia="楷体" w:cs="楷体"/>
          <w:b/>
          <w:bCs/>
          <w:kern w:val="2"/>
          <w:sz w:val="32"/>
          <w:szCs w:val="32"/>
          <w:lang w:val="en-US" w:eastAsia="zh-CN"/>
        </w:rPr>
        <w:t>（一）资金投入情况分析。</w:t>
      </w:r>
    </w:p>
    <w:p w14:paraId="20541A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1.项目资金到位情况分析：根据</w:t>
      </w:r>
      <w:r>
        <w:rPr>
          <w:rFonts w:hint="eastAsia" w:ascii="仿宋_GB2312" w:hAnsi="仿宋_GB2312" w:eastAsia="仿宋_GB2312" w:cs="仿宋_GB2312"/>
          <w:bCs/>
          <w:sz w:val="32"/>
          <w:szCs w:val="32"/>
        </w:rPr>
        <w:t>红原县</w:t>
      </w:r>
      <w:r>
        <w:rPr>
          <w:rFonts w:hint="eastAsia" w:ascii="仿宋_GB2312" w:hAnsi="仿宋_GB2312" w:eastAsia="仿宋_GB2312" w:cs="仿宋_GB2312"/>
          <w:bCs/>
          <w:sz w:val="32"/>
          <w:szCs w:val="32"/>
          <w:lang w:val="en-US" w:eastAsia="zh-CN"/>
        </w:rPr>
        <w:t>脱贫攻坚领导小组办公室关于下发《红原县脱贫攻坚领导小组办公室关于下达2021年脱贫攻坚项目建设的通知》</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红脱贫办〔2020〕101号），</w:t>
      </w:r>
      <w:r>
        <w:rPr>
          <w:rFonts w:hint="eastAsia" w:ascii="仿宋_GB2312" w:hAnsi="仿宋_GB2312" w:eastAsia="仿宋_GB2312" w:cs="仿宋_GB2312"/>
          <w:sz w:val="32"/>
          <w:szCs w:val="32"/>
          <w:lang w:val="en-US" w:eastAsia="zh-CN"/>
        </w:rPr>
        <w:t>资金到位800万元。</w:t>
      </w:r>
    </w:p>
    <w:p w14:paraId="4FE0F367">
      <w:pPr>
        <w:keepNext w:val="0"/>
        <w:keepLines w:val="0"/>
        <w:pageBreakBefore w:val="0"/>
        <w:widowControl w:val="0"/>
        <w:numPr>
          <w:ilvl w:val="0"/>
          <w:numId w:val="10"/>
        </w:numPr>
        <w:kinsoku/>
        <w:wordWrap/>
        <w:overflowPunct/>
        <w:topLinePunct w:val="0"/>
        <w:autoSpaceDE/>
        <w:autoSpaceDN/>
        <w:bidi w:val="0"/>
        <w:adjustRightInd/>
        <w:snapToGrid/>
        <w:spacing w:line="576" w:lineRule="exact"/>
        <w:ind w:left="0" w:leftChars="0" w:firstLine="700" w:firstLineChars="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kern w:val="2"/>
          <w:sz w:val="32"/>
          <w:szCs w:val="32"/>
          <w:lang w:val="en-US" w:eastAsia="zh-CN" w:bidi="ar-SA"/>
        </w:rPr>
        <w:t>项目资金执行情况分析：</w:t>
      </w:r>
      <w:r>
        <w:rPr>
          <w:rFonts w:hint="eastAsia" w:ascii="仿宋_GB2312" w:hAnsi="仿宋_GB2312" w:eastAsia="仿宋_GB2312" w:cs="仿宋_GB2312"/>
          <w:color w:val="000000"/>
          <w:sz w:val="32"/>
          <w:szCs w:val="32"/>
          <w:lang w:val="en-US" w:eastAsia="zh-CN"/>
        </w:rPr>
        <w:t>共下达资金800万元整，其中500万元用于有机肥处理厂建设项目（续建）资金；另有300万元为有机肥处理厂附属设施建设项目（新建）资金。800万元资金中已拨付了711.491809万元，剩余88.508191万元（其中2022年需要使用资金合计50.753654万元；结余37.754537万元，被收回统筹使用）。</w:t>
      </w:r>
    </w:p>
    <w:p w14:paraId="31AE11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三、项目实施及管理情况</w:t>
      </w:r>
    </w:p>
    <w:p w14:paraId="3E3CCD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lang w:val="en-US" w:eastAsia="zh-CN"/>
        </w:rPr>
      </w:pPr>
      <w:r>
        <w:rPr>
          <w:rFonts w:hint="eastAsia" w:ascii="仿宋_GB2312" w:hAnsi="仿宋_GB2312" w:eastAsia="仿宋_GB2312" w:cs="仿宋_GB2312"/>
          <w:sz w:val="32"/>
          <w:szCs w:val="32"/>
          <w:lang w:val="en-US" w:eastAsia="zh-CN"/>
        </w:rPr>
        <w:t>项目资金管理情况：我县为进一步加强资金管理，</w:t>
      </w:r>
      <w:r>
        <w:rPr>
          <w:rFonts w:hint="eastAsia" w:ascii="仿宋_GB2312" w:hAnsi="仿宋_GB2312" w:eastAsia="仿宋_GB2312" w:cs="仿宋_GB2312"/>
          <w:b w:val="0"/>
          <w:bCs w:val="0"/>
          <w:sz w:val="32"/>
          <w:szCs w:val="32"/>
          <w:lang w:val="en-US" w:eastAsia="zh-CN"/>
        </w:rPr>
        <w:t>要求</w:t>
      </w:r>
      <w:r>
        <w:rPr>
          <w:rFonts w:hint="eastAsia" w:ascii="仿宋_GB2312" w:hAnsi="仿宋_GB2312" w:eastAsia="仿宋_GB2312" w:cs="仿宋_GB2312"/>
          <w:sz w:val="32"/>
          <w:szCs w:val="32"/>
        </w:rPr>
        <w:t>在资金使用方面</w:t>
      </w:r>
      <w:r>
        <w:rPr>
          <w:rFonts w:hint="eastAsia" w:ascii="仿宋_GB2312" w:hAnsi="仿宋_GB2312" w:eastAsia="仿宋_GB2312" w:cs="仿宋_GB2312"/>
          <w:sz w:val="32"/>
          <w:szCs w:val="32"/>
          <w:lang w:eastAsia="zh-CN"/>
        </w:rPr>
        <w:t>，严格执行</w:t>
      </w:r>
      <w:r>
        <w:rPr>
          <w:rFonts w:hint="eastAsia" w:ascii="仿宋_GB2312" w:hAnsi="仿宋_GB2312" w:eastAsia="仿宋_GB2312" w:cs="仿宋_GB2312"/>
          <w:color w:val="auto"/>
          <w:sz w:val="32"/>
          <w:szCs w:val="32"/>
          <w:lang w:val="en-US" w:eastAsia="zh-CN"/>
        </w:rPr>
        <w:t>国家有关会计核算制度和财务规定、</w:t>
      </w:r>
      <w:r>
        <w:rPr>
          <w:rFonts w:hint="eastAsia" w:ascii="仿宋_GB2312" w:hAnsi="仿宋_GB2312" w:eastAsia="仿宋_GB2312" w:cs="仿宋_GB2312"/>
          <w:sz w:val="32"/>
          <w:szCs w:val="32"/>
          <w:lang w:eastAsia="zh-CN"/>
        </w:rPr>
        <w:t>县级报账、专账核算制度</w:t>
      </w:r>
      <w:r>
        <w:rPr>
          <w:rFonts w:hint="eastAsia" w:ascii="仿宋_GB2312" w:hAnsi="仿宋_GB2312" w:eastAsia="仿宋_GB2312" w:cs="仿宋_GB2312"/>
          <w:sz w:val="32"/>
          <w:szCs w:val="32"/>
        </w:rPr>
        <w:t>，任何单位和个人不得以任何理由挪作它用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确保资金专款专用，不得截留、挤占、挪用，不得虚报冒领，并进行县级公示，接受干部群众、社会各界监督，确保专项资金安全规范、有效使用，同时建立健全发放手续，实行公示制度，通过“一卡通”的形式直接发放给农户，严禁现金，做到公开、公正、透明。</w:t>
      </w:r>
      <w:r>
        <w:rPr>
          <w:rFonts w:hint="eastAsia" w:ascii="仿宋_GB2312" w:hAnsi="仿宋_GB2312" w:eastAsia="仿宋_GB2312" w:cs="仿宋_GB2312"/>
          <w:sz w:val="32"/>
          <w:szCs w:val="32"/>
          <w:shd w:val="clear" w:color="auto" w:fill="auto"/>
          <w:lang w:val="zh-CN"/>
        </w:rPr>
        <w:t>项目主管部门积极会同</w:t>
      </w:r>
      <w:r>
        <w:rPr>
          <w:rFonts w:hint="eastAsia" w:ascii="仿宋_GB2312" w:hAnsi="仿宋_GB2312" w:eastAsia="仿宋_GB2312" w:cs="仿宋_GB2312"/>
          <w:sz w:val="32"/>
          <w:szCs w:val="32"/>
          <w:shd w:val="clear" w:color="auto" w:fill="auto"/>
          <w:lang w:val="en-US" w:eastAsia="zh-CN"/>
        </w:rPr>
        <w:t>纪委</w:t>
      </w:r>
      <w:r>
        <w:rPr>
          <w:rFonts w:hint="eastAsia" w:ascii="仿宋_GB2312" w:hAnsi="仿宋_GB2312" w:eastAsia="仿宋_GB2312" w:cs="仿宋_GB2312"/>
          <w:sz w:val="32"/>
          <w:szCs w:val="32"/>
          <w:shd w:val="clear" w:color="auto" w:fill="auto"/>
          <w:lang w:val="zh-CN"/>
        </w:rPr>
        <w:t>监委、财政、审计等部门对资金使用情况进行督导检查，发现任何挪用挤占扶贫项目资金、侵害群众利益的行为，将依法依纪追究责任。</w:t>
      </w:r>
    </w:p>
    <w:p w14:paraId="6F181C93">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楷体" w:hAnsi="楷体" w:eastAsia="楷体" w:cs="楷体"/>
          <w:b/>
          <w:bCs/>
          <w:kern w:val="2"/>
          <w:sz w:val="32"/>
          <w:szCs w:val="32"/>
          <w:lang w:val="en-US" w:eastAsia="zh-CN"/>
        </w:rPr>
      </w:pPr>
      <w:r>
        <w:rPr>
          <w:rFonts w:hint="eastAsia" w:ascii="宋体" w:hAnsi="宋体"/>
          <w:b/>
          <w:bCs/>
          <w:color w:val="000000"/>
          <w:sz w:val="32"/>
          <w:szCs w:val="32"/>
          <w:lang w:eastAsia="zh-CN"/>
        </w:rPr>
        <w:t>四、项目绩效情况</w:t>
      </w:r>
    </w:p>
    <w:p w14:paraId="53901DA2">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1.产出指标完成情况分析：</w:t>
      </w:r>
      <w:r>
        <w:rPr>
          <w:rFonts w:hint="eastAsia" w:ascii="仿宋_GB2312" w:hAnsi="仿宋_GB2312" w:eastAsia="仿宋_GB2312" w:cs="仿宋_GB2312"/>
          <w:sz w:val="32"/>
          <w:szCs w:val="32"/>
          <w:lang w:val="en-US" w:eastAsia="zh-CN"/>
        </w:rPr>
        <w:t>红原县有机肥处理厂建设项目（二期），共下达资金800万元，</w:t>
      </w:r>
      <w:r>
        <w:rPr>
          <w:rFonts w:hint="eastAsia" w:ascii="仿宋_GB2312" w:hAnsi="仿宋_GB2312" w:eastAsia="仿宋_GB2312" w:cs="仿宋_GB2312"/>
          <w:color w:val="auto"/>
          <w:kern w:val="2"/>
          <w:sz w:val="32"/>
          <w:szCs w:val="32"/>
          <w:lang w:val="en-US" w:eastAsia="zh-CN" w:bidi="ar-SA"/>
        </w:rPr>
        <w:t>截止2021年11月底严格按照建设要求完成有机废处理厂建设项目（续建）和有机肥处理厂附属设施建设项目（新建）建设，建设过程中，为进一步保证项目规范建设，保障项目质量和实施进度，我县始终坚持以县委、县政府对项目实施成效负总责，统筹工作推进，确保项目资金及时筹措到位，其他相关部门相互配合协调、主管部门具体实施的原则，确保项目严格按照项目建设时间节点全面完成建设任务，同时强化项目督查，将</w:t>
      </w:r>
      <w:r>
        <w:rPr>
          <w:rFonts w:hint="eastAsia" w:ascii="仿宋_GB2312" w:hAnsi="仿宋_GB2312" w:eastAsia="仿宋_GB2312" w:cs="仿宋_GB2312"/>
          <w:sz w:val="32"/>
          <w:szCs w:val="32"/>
          <w:lang w:val="en-US" w:eastAsia="zh-CN"/>
        </w:rPr>
        <w:t>红原县有机肥处理厂建设项目（二期）建设</w:t>
      </w:r>
      <w:r>
        <w:rPr>
          <w:rFonts w:hint="eastAsia" w:ascii="仿宋_GB2312" w:hAnsi="仿宋_GB2312" w:eastAsia="仿宋_GB2312" w:cs="仿宋_GB2312"/>
          <w:color w:val="auto"/>
          <w:kern w:val="2"/>
          <w:sz w:val="32"/>
          <w:szCs w:val="32"/>
          <w:lang w:val="en-US" w:eastAsia="zh-CN" w:bidi="ar-SA"/>
        </w:rPr>
        <w:t>工作纳入年度目标考核，从实施前、实施中、实施后进行督导，同时由县目标绩效督查办公室牵头，定期不定期对工作开展情况进行督查，对工作中浮在面上、敷衍塞责、进度缓慢相关责任人严肃问责。</w:t>
      </w:r>
    </w:p>
    <w:p w14:paraId="6859F58D">
      <w:pPr>
        <w:keepNext w:val="0"/>
        <w:keepLines w:val="0"/>
        <w:pageBreakBefore w:val="0"/>
        <w:widowControl w:val="0"/>
        <w:kinsoku/>
        <w:wordWrap/>
        <w:overflowPunct/>
        <w:topLinePunct w:val="0"/>
        <w:autoSpaceDE/>
        <w:autoSpaceDN/>
        <w:bidi w:val="0"/>
        <w:adjustRightInd/>
        <w:snapToGrid/>
        <w:spacing w:line="576" w:lineRule="exact"/>
        <w:ind w:firstLine="620"/>
        <w:jc w:val="left"/>
        <w:textAlignment w:val="auto"/>
        <w:outlineLvl w:val="9"/>
        <w:rPr>
          <w:rFonts w:hint="default" w:ascii="宋体" w:hAnsi="宋体" w:eastAsia="宋体"/>
          <w:color w:val="000000"/>
          <w:sz w:val="30"/>
          <w:lang w:val="en-US"/>
        </w:rPr>
      </w:pPr>
      <w:r>
        <w:rPr>
          <w:rFonts w:hint="eastAsia" w:ascii="仿宋_GB2312" w:hAnsi="仿宋_GB2312" w:eastAsia="仿宋_GB2312" w:cs="仿宋_GB2312"/>
          <w:color w:val="auto"/>
          <w:kern w:val="2"/>
          <w:sz w:val="32"/>
          <w:szCs w:val="32"/>
          <w:lang w:val="en-US" w:eastAsia="zh-CN" w:bidi="ar-SA"/>
        </w:rPr>
        <w:t>2.效益指标完成情况分析：2021年我县及时的完成了</w:t>
      </w:r>
      <w:r>
        <w:rPr>
          <w:rFonts w:hint="eastAsia" w:ascii="仿宋_GB2312" w:hAnsi="仿宋_GB2312" w:eastAsia="仿宋_GB2312" w:cs="仿宋_GB2312"/>
          <w:sz w:val="32"/>
          <w:szCs w:val="32"/>
          <w:lang w:val="en-US" w:eastAsia="zh-CN"/>
        </w:rPr>
        <w:t>红原县有机肥处理厂建设项目（二期）</w:t>
      </w:r>
      <w:r>
        <w:rPr>
          <w:rFonts w:hint="eastAsia" w:ascii="仿宋_GB2312" w:hAnsi="仿宋_GB2312" w:eastAsia="仿宋_GB2312" w:cs="仿宋_GB2312"/>
          <w:color w:val="auto"/>
          <w:kern w:val="2"/>
          <w:sz w:val="32"/>
          <w:szCs w:val="32"/>
          <w:lang w:val="en-US" w:eastAsia="zh-CN" w:bidi="ar-SA"/>
        </w:rPr>
        <w:t>目标任务，到年底全部完成项目的100%，资金拨付97%，除质保金外3%外，拨付率97%。</w:t>
      </w:r>
      <w:r>
        <w:rPr>
          <w:rFonts w:hint="eastAsia" w:ascii="仿宋_GB2312" w:hAnsi="仿宋_GB2312" w:eastAsia="仿宋_GB2312" w:cs="仿宋_GB2312"/>
          <w:b/>
          <w:bCs/>
          <w:color w:val="auto"/>
          <w:kern w:val="2"/>
          <w:sz w:val="32"/>
          <w:szCs w:val="32"/>
          <w:lang w:val="en-US" w:eastAsia="zh-CN" w:bidi="ar-SA"/>
        </w:rPr>
        <w:t>一是经济效益：</w:t>
      </w:r>
      <w:r>
        <w:rPr>
          <w:rFonts w:hint="eastAsia" w:ascii="仿宋_GB2312" w:hAnsi="仿宋_GB2312" w:eastAsia="仿宋_GB2312" w:cs="仿宋_GB2312"/>
          <w:color w:val="000000"/>
          <w:sz w:val="32"/>
          <w:szCs w:val="32"/>
          <w:lang w:eastAsia="zh-CN"/>
        </w:rPr>
        <w:t>项目建成将</w:t>
      </w:r>
      <w:r>
        <w:rPr>
          <w:rFonts w:hint="eastAsia" w:ascii="仿宋_GB2312" w:hAnsi="仿宋_GB2312" w:eastAsia="仿宋_GB2312" w:cs="仿宋_GB2312"/>
          <w:sz w:val="32"/>
          <w:szCs w:val="32"/>
        </w:rPr>
        <w:t>实现项目区域内畜禽粪便和养殖污水的综合利用率达到90%以上，规模化养殖场粪污处理设施装备配套率达到95%以上，增加了畜禽粪污利用的经济效益。同时，农民种地大多依赖化肥，过去种养分离导致土壤有机质下降，土质退化，使化肥利用率降低，用量增大，大大增加了种植成本。实施有机肥和沼液，推行种养结合，以有机肥替代化肥，极大地减少了化肥使用量，在化肥不断涨价的情况下，降低了种植成本。</w:t>
      </w:r>
      <w:r>
        <w:rPr>
          <w:rFonts w:hint="eastAsia" w:ascii="仿宋_GB2312" w:hAnsi="仿宋_GB2312" w:eastAsia="仿宋_GB2312" w:cs="仿宋_GB2312"/>
          <w:b/>
          <w:bCs/>
          <w:color w:val="auto"/>
          <w:kern w:val="2"/>
          <w:sz w:val="32"/>
          <w:szCs w:val="32"/>
          <w:lang w:val="en-US" w:eastAsia="zh-CN" w:bidi="ar-SA"/>
        </w:rPr>
        <w:t>二是社会效益：</w:t>
      </w:r>
      <w:r>
        <w:rPr>
          <w:rFonts w:hint="eastAsia" w:ascii="仿宋_GB2312" w:hAnsi="仿宋_GB2312" w:eastAsia="仿宋_GB2312" w:cs="仿宋_GB2312"/>
          <w:color w:val="000000"/>
          <w:sz w:val="32"/>
          <w:szCs w:val="32"/>
          <w:lang w:eastAsia="zh-CN"/>
        </w:rPr>
        <w:t>促进农民持续增收，通过项目实施，将畜禽粪污等废弃物转变为有机肥等资源，变废为宝，既减轻了环境保护压力，又拓宽了农民增收渠道；推动有机肥替代化肥，减少了化肥使用量，同时增施有机肥可提高农作物抗性，减轻病虫害的发生，降低农药使用量，从而节约种植成本，促进农民增收；通过畜禽粪污资源化利用模式的推广，将有效促进区域农牧结合、种养循环，实现农业可持续发展，</w:t>
      </w:r>
      <w:r>
        <w:rPr>
          <w:rFonts w:hint="eastAsia" w:ascii="仿宋_GB2312" w:hAnsi="仿宋_GB2312" w:eastAsia="仿宋_GB2312" w:cs="仿宋_GB2312"/>
          <w:color w:val="000000"/>
          <w:sz w:val="32"/>
          <w:szCs w:val="32"/>
          <w:lang w:val="en-US" w:eastAsia="zh-CN"/>
        </w:rPr>
        <w:t>项目运营后，全县收益人数将≥1000人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auto"/>
          <w:kern w:val="2"/>
          <w:sz w:val="32"/>
          <w:szCs w:val="32"/>
          <w:lang w:val="en-US" w:eastAsia="zh-CN" w:bidi="ar-SA"/>
        </w:rPr>
        <w:t>三是生态效益：</w:t>
      </w:r>
      <w:r>
        <w:rPr>
          <w:rFonts w:hint="eastAsia" w:ascii="仿宋_GB2312" w:hAnsi="仿宋_GB2312" w:eastAsia="仿宋_GB2312" w:cs="仿宋_GB2312"/>
          <w:color w:val="000000"/>
          <w:sz w:val="32"/>
          <w:szCs w:val="32"/>
          <w:lang w:eastAsia="zh-CN"/>
        </w:rPr>
        <w:t>通过项目建设，</w:t>
      </w:r>
      <w:r>
        <w:rPr>
          <w:rFonts w:hint="eastAsia" w:ascii="仿宋_GB2312" w:hAnsi="仿宋_GB2312" w:eastAsia="仿宋_GB2312" w:cs="仿宋_GB2312"/>
          <w:sz w:val="32"/>
          <w:szCs w:val="32"/>
        </w:rPr>
        <w:t>每年将促进</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万吨以上畜禽粪便转化成有机肥，</w:t>
      </w:r>
      <w:r>
        <w:rPr>
          <w:rFonts w:hint="eastAsia" w:ascii="仿宋_GB2312" w:hAnsi="仿宋_GB2312" w:eastAsia="仿宋_GB2312" w:cs="仿宋_GB2312"/>
          <w:color w:val="000000"/>
          <w:sz w:val="32"/>
          <w:szCs w:val="32"/>
          <w:lang w:eastAsia="zh-CN"/>
        </w:rPr>
        <w:t>每年将</w:t>
      </w:r>
      <w:r>
        <w:rPr>
          <w:rFonts w:hint="eastAsia" w:ascii="仿宋_GB2312" w:hAnsi="仿宋_GB2312" w:eastAsia="仿宋_GB2312" w:cs="仿宋_GB2312"/>
          <w:color w:val="000000"/>
          <w:sz w:val="32"/>
          <w:szCs w:val="32"/>
          <w:lang w:val="en-US" w:eastAsia="zh-CN"/>
        </w:rPr>
        <w:t>生产近1.1</w:t>
      </w:r>
      <w:r>
        <w:rPr>
          <w:rFonts w:hint="eastAsia" w:ascii="仿宋_GB2312" w:hAnsi="仿宋_GB2312" w:eastAsia="仿宋_GB2312" w:cs="仿宋_GB2312"/>
          <w:color w:val="000000"/>
          <w:sz w:val="32"/>
          <w:szCs w:val="32"/>
          <w:lang w:eastAsia="zh-CN"/>
        </w:rPr>
        <w:t>万吨以上有机肥，施用有机肥可有效提升土壤有机质含量，增加土壤养分含量，增强土壤微生物活力，改善土壤结构，提升耕地质量，促进农田永续利用。施用有机肥，将大大提升作物的有机品质，促进更多有机产品的形成。</w:t>
      </w:r>
      <w:r>
        <w:rPr>
          <w:rFonts w:hint="eastAsia" w:ascii="仿宋_GB2312" w:hAnsi="仿宋_GB2312" w:eastAsia="仿宋_GB2312" w:cs="仿宋_GB2312"/>
          <w:sz w:val="32"/>
          <w:szCs w:val="32"/>
        </w:rPr>
        <w:t>可使全县畜禽粪污综合利用率达到90%以上，有效减少养殖粪污及农村生活污水排放量，削减BOD</w:t>
      </w:r>
      <w:r>
        <w:rPr>
          <w:rFonts w:hint="eastAsia" w:ascii="仿宋_GB2312" w:hAnsi="仿宋_GB2312" w:eastAsia="仿宋_GB2312" w:cs="仿宋_GB2312"/>
          <w:sz w:val="32"/>
          <w:szCs w:val="32"/>
          <w:vertAlign w:val="subscript"/>
        </w:rPr>
        <w:t>5</w:t>
      </w:r>
      <w:r>
        <w:rPr>
          <w:rFonts w:hint="eastAsia" w:ascii="仿宋_GB2312" w:hAnsi="仿宋_GB2312" w:eastAsia="仿宋_GB2312" w:cs="仿宋_GB2312"/>
          <w:sz w:val="32"/>
          <w:szCs w:val="32"/>
        </w:rPr>
        <w:t>、COD</w:t>
      </w:r>
      <w:r>
        <w:rPr>
          <w:rFonts w:hint="eastAsia" w:ascii="仿宋_GB2312" w:hAnsi="仿宋_GB2312" w:eastAsia="仿宋_GB2312" w:cs="仿宋_GB2312"/>
          <w:sz w:val="32"/>
          <w:szCs w:val="32"/>
          <w:vertAlign w:val="subscript"/>
        </w:rPr>
        <w:t>Cr</w:t>
      </w:r>
      <w:r>
        <w:rPr>
          <w:rFonts w:hint="eastAsia" w:ascii="仿宋_GB2312" w:hAnsi="仿宋_GB2312" w:eastAsia="仿宋_GB2312" w:cs="仿宋_GB2312"/>
          <w:sz w:val="32"/>
          <w:szCs w:val="32"/>
        </w:rPr>
        <w:t>排放量、氨氮排放量，减少化肥、农药的施用量，有效控制农业面源污染，促进农田生态环境改善，保护优质的水资源和良好的生态环境，实现农业面源污染治理的目标。</w:t>
      </w:r>
      <w:r>
        <w:rPr>
          <w:rFonts w:hint="eastAsia" w:ascii="仿宋_GB2312" w:hAnsi="仿宋_GB2312" w:eastAsia="仿宋_GB2312" w:cs="仿宋_GB2312"/>
          <w:b/>
          <w:bCs/>
          <w:color w:val="auto"/>
          <w:kern w:val="2"/>
          <w:sz w:val="32"/>
          <w:szCs w:val="32"/>
          <w:lang w:val="en-US" w:eastAsia="zh-CN" w:bidi="ar-SA"/>
        </w:rPr>
        <w:t>四是可持续影响：</w:t>
      </w:r>
      <w:r>
        <w:rPr>
          <w:rFonts w:hint="eastAsia" w:ascii="仿宋_GB2312" w:hAnsi="仿宋_GB2312" w:eastAsia="仿宋_GB2312" w:cs="仿宋_GB2312"/>
          <w:sz w:val="32"/>
          <w:szCs w:val="32"/>
          <w:lang w:val="en-US" w:eastAsia="zh-CN"/>
        </w:rPr>
        <w:t>项目建成后，项目持续使用年限达7年以上。</w:t>
      </w:r>
    </w:p>
    <w:p w14:paraId="702E5C1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3.满意度指标完成情况分析：自2021年底项目建成以来，我县通过座谈、现场咨询等方式对受益户满意度指标进行调查，通过调查受益户对项目实施满意度达95%以上。</w:t>
      </w:r>
    </w:p>
    <w:p w14:paraId="121D92C6">
      <w:pPr>
        <w:pStyle w:val="2"/>
        <w:widowControl w:val="0"/>
        <w:spacing w:after="0" w:line="560" w:lineRule="exact"/>
        <w:ind w:left="0" w:leftChars="0" w:firstLine="0" w:firstLineChars="0"/>
        <w:rPr>
          <w:rFonts w:ascii="仿宋_GB2312" w:hAnsi="仿宋_GB2312" w:eastAsia="仿宋_GB2312" w:cs="仿宋_GB2312"/>
          <w:kern w:val="2"/>
          <w:sz w:val="32"/>
          <w:szCs w:val="32"/>
        </w:rPr>
      </w:pPr>
    </w:p>
    <w:p w14:paraId="704F899E">
      <w:pPr>
        <w:rPr>
          <w:rFonts w:hint="eastAsia" w:eastAsia="仿宋_GB2312"/>
          <w:lang w:eastAsia="zh-CN"/>
        </w:rPr>
      </w:pPr>
      <w:r>
        <w:rPr>
          <w:rFonts w:hint="eastAsia" w:ascii="仿宋_GB2312" w:hAnsi="仿宋_GB2312" w:eastAsia="仿宋_GB2312" w:cs="仿宋_GB2312"/>
          <w:kern w:val="2"/>
          <w:sz w:val="32"/>
          <w:szCs w:val="32"/>
          <w:lang w:eastAsia="zh-CN"/>
        </w:rPr>
        <w:t>附表</w:t>
      </w: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958"/>
        <w:gridCol w:w="2459"/>
        <w:gridCol w:w="2394"/>
        <w:gridCol w:w="2392"/>
      </w:tblGrid>
      <w:tr w14:paraId="3D3B329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8F585BA">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(2021</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795E4B75">
        <w:tblPrEx>
          <w:tblCellMar>
            <w:top w:w="0" w:type="dxa"/>
            <w:left w:w="0" w:type="dxa"/>
            <w:bottom w:w="0" w:type="dxa"/>
            <w:right w:w="0" w:type="dxa"/>
          </w:tblCellMar>
        </w:tblPrEx>
        <w:trPr>
          <w:trHeight w:val="276" w:hRule="atLeast"/>
          <w:jc w:val="center"/>
        </w:trPr>
        <w:tc>
          <w:tcPr>
            <w:tcW w:w="27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A703F">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2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DB2B2">
            <w:pPr>
              <w:widowControl/>
              <w:jc w:val="center"/>
              <w:textAlignment w:val="center"/>
              <w:rPr>
                <w:rFonts w:hint="eastAsia" w:ascii="宋体" w:eastAsia="宋体" w:cs="宋体"/>
                <w:color w:val="000000"/>
                <w:sz w:val="28"/>
                <w:szCs w:val="28"/>
                <w:lang w:eastAsia="zh-CN"/>
              </w:rPr>
            </w:pPr>
            <w:r>
              <w:rPr>
                <w:rFonts w:hint="eastAsia" w:ascii="宋体" w:hAnsi="宋体" w:cs="宋体"/>
                <w:sz w:val="32"/>
                <w:szCs w:val="32"/>
                <w:lang w:eastAsia="zh-CN"/>
              </w:rPr>
              <w:t>红原县有机肥处理厂</w:t>
            </w:r>
            <w:r>
              <w:rPr>
                <w:rFonts w:hint="eastAsia" w:ascii="宋体" w:hAnsi="宋体" w:cs="宋体"/>
                <w:sz w:val="32"/>
                <w:szCs w:val="32"/>
              </w:rPr>
              <w:t>建设项目</w:t>
            </w:r>
            <w:r>
              <w:rPr>
                <w:rFonts w:hint="eastAsia" w:ascii="宋体" w:hAnsi="宋体" w:cs="宋体"/>
                <w:sz w:val="32"/>
                <w:szCs w:val="32"/>
                <w:lang w:eastAsia="zh-CN"/>
              </w:rPr>
              <w:t>（二期）</w:t>
            </w:r>
          </w:p>
        </w:tc>
      </w:tr>
      <w:tr w14:paraId="10FE0AD7">
        <w:tblPrEx>
          <w:tblCellMar>
            <w:top w:w="0" w:type="dxa"/>
            <w:left w:w="0" w:type="dxa"/>
            <w:bottom w:w="0" w:type="dxa"/>
            <w:right w:w="0" w:type="dxa"/>
          </w:tblCellMar>
        </w:tblPrEx>
        <w:trPr>
          <w:trHeight w:val="276" w:hRule="atLeast"/>
          <w:jc w:val="center"/>
        </w:trPr>
        <w:tc>
          <w:tcPr>
            <w:tcW w:w="271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A247B0">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2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1C0BFD">
            <w:pPr>
              <w:widowControl/>
              <w:jc w:val="center"/>
              <w:textAlignment w:val="center"/>
              <w:rPr>
                <w:rFonts w:ascii="宋体" w:cs="宋体"/>
                <w:color w:val="000000"/>
                <w:sz w:val="24"/>
              </w:rPr>
            </w:pPr>
            <w:r>
              <w:rPr>
                <w:rFonts w:hint="eastAsia" w:ascii="宋体" w:cs="宋体"/>
                <w:color w:val="000000"/>
                <w:sz w:val="24"/>
              </w:rPr>
              <w:t>科农局</w:t>
            </w:r>
          </w:p>
        </w:tc>
      </w:tr>
      <w:tr w14:paraId="70C3445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9D145F">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7001EE">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F40AF8">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800.00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DFCAC">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019D7">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711.491809</w:t>
            </w:r>
          </w:p>
        </w:tc>
      </w:tr>
      <w:tr w14:paraId="464EB94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547FD">
            <w:pPr>
              <w:jc w:val="center"/>
              <w:rPr>
                <w:rFonts w:ascii="宋体" w:cs="宋体"/>
                <w:color w:val="000000"/>
                <w:sz w:val="24"/>
              </w:rPr>
            </w:pPr>
          </w:p>
        </w:tc>
        <w:tc>
          <w:tcPr>
            <w:tcW w:w="2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497BF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9CAF4C">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800.00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0E486">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4C201">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711.491809</w:t>
            </w:r>
          </w:p>
        </w:tc>
      </w:tr>
      <w:tr w14:paraId="7A638D25">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94D514">
            <w:pPr>
              <w:jc w:val="center"/>
              <w:rPr>
                <w:rFonts w:ascii="宋体" w:cs="宋体"/>
                <w:color w:val="000000"/>
                <w:sz w:val="24"/>
              </w:rPr>
            </w:pPr>
          </w:p>
        </w:tc>
        <w:tc>
          <w:tcPr>
            <w:tcW w:w="23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BE448">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96298">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C5BB9">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E0EEF">
            <w:pPr>
              <w:jc w:val="center"/>
              <w:rPr>
                <w:rFonts w:ascii="宋体" w:cs="宋体"/>
                <w:color w:val="000000"/>
                <w:sz w:val="24"/>
              </w:rPr>
            </w:pPr>
          </w:p>
        </w:tc>
      </w:tr>
      <w:tr w14:paraId="2C463B8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15D8DC">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3D9101">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3384D4">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006C95B0">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3B2EBE">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67E608">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总建筑面积4126m2，其中原料库1300m2，发酵车间576m2，二次发酵车间420m2，成品库1300m2，鲜粪堆放场288m2，分析实验室32m2，配套用房210m2。</w:t>
            </w:r>
          </w:p>
          <w:p w14:paraId="478199AA">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总图工程。场地平整1672m2、道路及广场1632m2、景观绿化1672m2、室外给排水3304m2、室外电气工程3304m2、围墙365.73m、变压器1套、路灯10套、大门2项。</w:t>
            </w:r>
          </w:p>
          <w:p w14:paraId="7B2F4FD6">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设备购置。1000 型双轴，N=11kw1台、LXFD N=18kw，行车式宽槽翻抛机1台、14x4米，N=4kw滚筒筛1台、JH1M，N=2kw自动称重包装机1台、JH650x40M， N=6kw皮带输送机3台、ZL18装载机1台、50CN装载机1台、小松110挖掘机1台。</w:t>
            </w:r>
          </w:p>
          <w:p w14:paraId="134EFD0F">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建设外墙约357米，围墙采用M7.5混合砂浆砌10砖采用C25案混凝士基础；围墙基础采用钢箭混凝士条形基础；并放量于强风化层之上承载力特征ok&gt;180KPa；每隔2-3米设置一个钢筋混泥土固定住，钢铁制品及预埋件应刷红丹防锈漆2道进行防锈处理；清水砖墙外露部分均以1:2水泥砂浆勾缝；围圈墙每15米和与房屋相连处设置一道胀缩缝，缝宽度为30mm，肉源清靠线左在柱处理；围墙每个开间应设一过水洞洞宽120mm，涧高60mm，洞底与地面同高内确随20mm)1:2水泥砂。</w:t>
            </w:r>
          </w:p>
          <w:p w14:paraId="4AAC825D">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硬化厂区内道路及场地。硬化7米宽道路约525米。采用毛渣石夯实基础，200厚碎石，150厚二灰碎石，乳化沥青头层，40后粗粒式沥青混泥土。30厚中粒式沥青混泥土。</w:t>
            </w:r>
          </w:p>
          <w:p w14:paraId="4550CB44">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修建消防水池、消防控制室并配置消防控制设备。修建消防水池324立方，消防控制室和水泵房80平米。</w:t>
            </w:r>
          </w:p>
          <w:p w14:paraId="034A11DD">
            <w:pPr>
              <w:widowControl/>
              <w:textAlignment w:val="center"/>
              <w:rPr>
                <w:rFonts w:ascii="宋体" w:cs="宋体"/>
                <w:color w:val="000000"/>
                <w:sz w:val="24"/>
              </w:rPr>
            </w:pPr>
          </w:p>
          <w:p w14:paraId="0C3323E1">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248216">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ascii="宋体" w:cs="宋体"/>
                <w:color w:val="000000"/>
                <w:sz w:val="24"/>
              </w:rPr>
            </w:pPr>
            <w:r>
              <w:rPr>
                <w:rFonts w:hint="eastAsia" w:ascii="宋体" w:cs="宋体"/>
                <w:color w:val="000000"/>
                <w:sz w:val="24"/>
              </w:rPr>
              <w:t>完成</w:t>
            </w:r>
            <w:r>
              <w:rPr>
                <w:rFonts w:hint="eastAsia" w:asciiTheme="minorEastAsia" w:hAnsiTheme="minorEastAsia" w:eastAsiaTheme="minorEastAsia" w:cstheme="minorEastAsia"/>
                <w:color w:val="000000"/>
                <w:sz w:val="24"/>
                <w:szCs w:val="24"/>
                <w:lang w:eastAsia="zh-CN"/>
              </w:rPr>
              <w:t>原料库1300m2，发酵车间576m2，二次发酵车间420m2，成品库1300m2，鲜粪堆放场288m2，分析实验室32m2，配套用房210m2。场地平整1672m2、道路及广场1632m2、景观绿化1672m2、室外给排水3304m2、室外电气工程3304m2、围墙365.73m、变压器1套、路灯10套、大门2项</w:t>
            </w:r>
            <w:r>
              <w:rPr>
                <w:rFonts w:hint="eastAsia" w:ascii="宋体" w:cs="宋体"/>
                <w:color w:val="000000"/>
                <w:sz w:val="24"/>
              </w:rPr>
              <w:t>等建设</w:t>
            </w:r>
            <w:r>
              <w:rPr>
                <w:rFonts w:hint="eastAsia" w:ascii="宋体" w:cs="宋体"/>
                <w:color w:val="000000"/>
                <w:sz w:val="24"/>
                <w:lang w:eastAsia="zh-CN"/>
              </w:rPr>
              <w:t>，及设备采购</w:t>
            </w:r>
            <w:r>
              <w:rPr>
                <w:rFonts w:hint="eastAsia" w:ascii="宋体" w:cs="宋体"/>
                <w:color w:val="000000"/>
                <w:sz w:val="24"/>
              </w:rPr>
              <w:t>，通过验收。</w:t>
            </w:r>
          </w:p>
        </w:tc>
      </w:tr>
      <w:tr w14:paraId="7FBD4F0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B91D325">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2FA6C3">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25EB6">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50E33A">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C5A2AD">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90669">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33C67FD7">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414B507">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959D6">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5529E">
            <w:pPr>
              <w:widowControl/>
              <w:jc w:val="center"/>
              <w:textAlignment w:val="center"/>
              <w:rPr>
                <w:rFonts w:ascii="宋体" w:cs="宋体"/>
                <w:color w:val="000000"/>
                <w:sz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D563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112F7">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原料库1300m2，发酵车间576m2，二次发酵车间420m2，成品库1300m2，鲜粪堆放场288m2，分析实验室32m2，配套用房210m2。</w:t>
            </w:r>
          </w:p>
          <w:p w14:paraId="2554F51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6936D4">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宋体" w:cs="宋体"/>
                <w:color w:val="000000"/>
                <w:sz w:val="24"/>
              </w:rPr>
              <w:t>完成</w:t>
            </w:r>
            <w:r>
              <w:rPr>
                <w:rFonts w:hint="eastAsia" w:asciiTheme="minorEastAsia" w:hAnsiTheme="minorEastAsia" w:eastAsiaTheme="minorEastAsia" w:cstheme="minorEastAsia"/>
                <w:color w:val="000000"/>
                <w:sz w:val="24"/>
                <w:szCs w:val="24"/>
                <w:lang w:eastAsia="zh-CN"/>
              </w:rPr>
              <w:t>原料库1300m2，发酵车间576m2，二次发酵车间420m2，成品库1300m2，鲜粪堆放场288m2，分析实验室32m2，配套用房210m2。</w:t>
            </w:r>
          </w:p>
          <w:p w14:paraId="0B688CD1">
            <w:pPr>
              <w:widowControl/>
              <w:jc w:val="center"/>
              <w:textAlignment w:val="center"/>
              <w:rPr>
                <w:rFonts w:ascii="宋体" w:cs="宋体"/>
                <w:color w:val="000000"/>
                <w:sz w:val="24"/>
              </w:rPr>
            </w:pPr>
          </w:p>
        </w:tc>
      </w:tr>
      <w:tr w14:paraId="44EEFA2D">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AED2FE8">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652D35">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796AF1">
            <w:pPr>
              <w:widowControl/>
              <w:jc w:val="center"/>
              <w:textAlignment w:val="center"/>
              <w:rPr>
                <w:rFonts w:ascii="宋体" w:cs="宋体"/>
                <w:color w:val="000000"/>
                <w:sz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76FFD">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B2800B">
            <w:pPr>
              <w:widowControl/>
              <w:jc w:val="center"/>
              <w:textAlignment w:val="center"/>
              <w:rPr>
                <w:rFonts w:ascii="宋体" w:cs="宋体"/>
                <w:color w:val="000000"/>
                <w:sz w:val="24"/>
              </w:rPr>
            </w:pPr>
            <w:r>
              <w:rPr>
                <w:rFonts w:hint="eastAsia" w:asciiTheme="minorEastAsia" w:hAnsiTheme="minorEastAsia" w:eastAsiaTheme="minorEastAsia" w:cstheme="minorEastAsia"/>
                <w:color w:val="000000"/>
                <w:sz w:val="24"/>
                <w:szCs w:val="24"/>
                <w:lang w:eastAsia="zh-CN"/>
              </w:rPr>
              <w:t>场地平整1672m2、道路及广场1632m2、景观绿化1672m2、室外给排水3304m2、室外电气工程3304m2、围墙365.73m、变压器1套、路灯10套、大门2项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FDD64">
            <w:pPr>
              <w:widowControl/>
              <w:jc w:val="center"/>
              <w:textAlignment w:val="center"/>
              <w:rPr>
                <w:rFonts w:ascii="宋体" w:cs="宋体"/>
                <w:color w:val="000000"/>
                <w:sz w:val="24"/>
              </w:rPr>
            </w:pPr>
            <w:r>
              <w:rPr>
                <w:rFonts w:hint="eastAsia" w:ascii="宋体" w:cs="宋体"/>
                <w:color w:val="000000"/>
                <w:sz w:val="24"/>
              </w:rPr>
              <w:t>完成</w:t>
            </w:r>
            <w:r>
              <w:rPr>
                <w:rFonts w:hint="eastAsia" w:asciiTheme="minorEastAsia" w:hAnsiTheme="minorEastAsia" w:eastAsiaTheme="minorEastAsia" w:cstheme="minorEastAsia"/>
                <w:color w:val="000000"/>
                <w:sz w:val="24"/>
                <w:szCs w:val="24"/>
                <w:lang w:eastAsia="zh-CN"/>
              </w:rPr>
              <w:t>场地平整1672m2、道路及广场1632m2、景观绿化1672m2、室外给排水3304m2、室外电气工程3304m2、围墙365.73m、变压器1套、路灯10套、大门2项</w:t>
            </w:r>
          </w:p>
        </w:tc>
      </w:tr>
      <w:tr w14:paraId="5918180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C238706">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90F439">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B2B69">
            <w:pPr>
              <w:widowControl/>
              <w:jc w:val="center"/>
              <w:textAlignment w:val="center"/>
              <w:rPr>
                <w:rFonts w:ascii="宋体" w:cs="宋体"/>
                <w:color w:val="000000"/>
                <w:sz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BADD2D">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4564C">
            <w:pPr>
              <w:widowControl/>
              <w:jc w:val="center"/>
              <w:textAlignment w:val="center"/>
              <w:rPr>
                <w:rFonts w:ascii="宋体" w:cs="宋体"/>
                <w:color w:val="000000"/>
                <w:sz w:val="24"/>
              </w:rPr>
            </w:pPr>
            <w:r>
              <w:rPr>
                <w:rFonts w:hint="eastAsia" w:asciiTheme="minorEastAsia" w:hAnsiTheme="minorEastAsia" w:eastAsiaTheme="minorEastAsia" w:cstheme="minorEastAsia"/>
                <w:color w:val="000000"/>
                <w:sz w:val="24"/>
                <w:szCs w:val="24"/>
                <w:lang w:eastAsia="zh-CN"/>
              </w:rPr>
              <w:t>硬化7米宽道路约525米。采用毛渣石夯实基础，200厚碎石，150厚二灰碎石，乳化沥青头层，40后粗粒式沥青混泥土。30厚中粒式沥青混泥土。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33FE6">
            <w:pPr>
              <w:widowControl/>
              <w:jc w:val="center"/>
              <w:textAlignment w:val="center"/>
              <w:rPr>
                <w:rFonts w:ascii="宋体" w:cs="宋体"/>
                <w:color w:val="000000"/>
                <w:sz w:val="24"/>
              </w:rPr>
            </w:pPr>
            <w:r>
              <w:rPr>
                <w:rFonts w:hint="eastAsia" w:ascii="宋体" w:cs="宋体"/>
                <w:color w:val="000000"/>
                <w:sz w:val="24"/>
              </w:rPr>
              <w:t>完成</w:t>
            </w:r>
            <w:r>
              <w:rPr>
                <w:rFonts w:hint="eastAsia" w:asciiTheme="minorEastAsia" w:hAnsiTheme="minorEastAsia" w:eastAsiaTheme="minorEastAsia" w:cstheme="minorEastAsia"/>
                <w:color w:val="000000"/>
                <w:sz w:val="24"/>
                <w:szCs w:val="24"/>
                <w:lang w:eastAsia="zh-CN"/>
              </w:rPr>
              <w:t>硬化7米宽道路约525米。采用毛渣石夯实基础，200厚碎石，150厚二灰碎石，乳化沥青头层，40后粗粒式沥青混泥土。30厚中粒式沥青混泥土。</w:t>
            </w:r>
          </w:p>
        </w:tc>
      </w:tr>
      <w:tr w14:paraId="0DA135F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2C155AB">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BFB970">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F0DEC">
            <w:pPr>
              <w:widowControl/>
              <w:jc w:val="center"/>
              <w:textAlignment w:val="center"/>
              <w:rPr>
                <w:rFonts w:ascii="宋体" w:cs="宋体"/>
                <w:color w:val="000000"/>
                <w:sz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12A6C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99593">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修建消防水池、消防控制室并配置消防控制设备。修建消防水池324立方，消防控制室和水泵房80平米。</w:t>
            </w:r>
          </w:p>
          <w:p w14:paraId="4BEC0672">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C59E8C">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sz w:val="24"/>
                <w:szCs w:val="24"/>
                <w:lang w:eastAsia="zh-CN"/>
              </w:rPr>
            </w:pPr>
            <w:r>
              <w:rPr>
                <w:rFonts w:hint="eastAsia" w:ascii="宋体" w:cs="宋体"/>
                <w:color w:val="000000"/>
                <w:sz w:val="24"/>
              </w:rPr>
              <w:t>完成</w:t>
            </w:r>
            <w:r>
              <w:rPr>
                <w:rFonts w:hint="eastAsia" w:asciiTheme="minorEastAsia" w:hAnsiTheme="minorEastAsia" w:eastAsiaTheme="minorEastAsia" w:cstheme="minorEastAsia"/>
                <w:color w:val="000000"/>
                <w:sz w:val="24"/>
                <w:szCs w:val="24"/>
                <w:lang w:eastAsia="zh-CN"/>
              </w:rPr>
              <w:t>修建消防水池、消防控制室并配置消防控制设备。修建消防水池324立方，消防控制室和水泵房80平米。</w:t>
            </w:r>
          </w:p>
          <w:p w14:paraId="1651B4B2">
            <w:pPr>
              <w:widowControl/>
              <w:jc w:val="center"/>
              <w:textAlignment w:val="center"/>
              <w:rPr>
                <w:rFonts w:ascii="宋体" w:cs="宋体"/>
                <w:color w:val="000000"/>
                <w:sz w:val="24"/>
              </w:rPr>
            </w:pPr>
          </w:p>
        </w:tc>
      </w:tr>
      <w:tr w14:paraId="7493455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9638A6B">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B44DC9">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0AC9B">
            <w:pPr>
              <w:widowControl/>
              <w:jc w:val="center"/>
              <w:textAlignment w:val="center"/>
              <w:rPr>
                <w:rFonts w:ascii="宋体" w:cs="宋体"/>
                <w:color w:val="000000"/>
                <w:sz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DD883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6A283">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设备购置。1000 型双轴，N=11kw1台、LXFD N=18kw，行车式宽槽翻抛机1台、14x4米，N=4kw滚筒筛1台、JH1M，N=2kw自动称重包装机1台、JH650x40M， N=6kw皮带输送机3台、ZL18装载机1台、50CN装载机1台、小松110挖掘机1台。</w:t>
            </w:r>
          </w:p>
          <w:p w14:paraId="1F1CA1B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0DFBF">
            <w:pPr>
              <w:keepNext w:val="0"/>
              <w:keepLines w:val="0"/>
              <w:pageBreakBefore w:val="0"/>
              <w:widowControl w:val="0"/>
              <w:kinsoku/>
              <w:wordWrap/>
              <w:overflowPunct/>
              <w:topLinePunct w:val="0"/>
              <w:autoSpaceDE/>
              <w:autoSpaceDN/>
              <w:bidi w:val="0"/>
              <w:adjustRightInd/>
              <w:snapToGrid/>
              <w:spacing w:line="576" w:lineRule="exact"/>
              <w:ind w:firstLine="700"/>
              <w:jc w:val="left"/>
              <w:textAlignment w:val="auto"/>
              <w:rPr>
                <w:rFonts w:hint="eastAsia" w:asciiTheme="minorEastAsia" w:hAnsiTheme="minorEastAsia" w:eastAsiaTheme="minorEastAsia" w:cstheme="minorEastAsia"/>
                <w:color w:val="000000"/>
                <w:sz w:val="24"/>
                <w:szCs w:val="24"/>
                <w:lang w:eastAsia="zh-CN"/>
              </w:rPr>
            </w:pPr>
            <w:r>
              <w:rPr>
                <w:rFonts w:hint="eastAsia" w:ascii="宋体" w:cs="宋体"/>
                <w:color w:val="000000"/>
                <w:sz w:val="24"/>
              </w:rPr>
              <w:t>完成</w:t>
            </w:r>
            <w:r>
              <w:rPr>
                <w:rFonts w:hint="eastAsia" w:asciiTheme="minorEastAsia" w:hAnsiTheme="minorEastAsia" w:eastAsiaTheme="minorEastAsia" w:cstheme="minorEastAsia"/>
                <w:color w:val="000000"/>
                <w:sz w:val="24"/>
                <w:szCs w:val="24"/>
                <w:lang w:eastAsia="zh-CN"/>
              </w:rPr>
              <w:t>设备购置。1000 型双轴，N=11kw1台、LXFD N=18kw，行车式宽槽翻抛机1台、14x4米，N=4kw滚筒筛1台、JH1M，N=2kw自动称重包装机1台、JH650x40M， N=6kw皮带输送机3台、ZL18装载机1台、50CN装载机1台、小松110挖掘机1台。</w:t>
            </w:r>
          </w:p>
          <w:p w14:paraId="36674F54">
            <w:pPr>
              <w:widowControl/>
              <w:jc w:val="center"/>
              <w:textAlignment w:val="center"/>
              <w:rPr>
                <w:rFonts w:ascii="宋体" w:cs="宋体"/>
                <w:color w:val="000000"/>
                <w:sz w:val="24"/>
              </w:rPr>
            </w:pPr>
          </w:p>
        </w:tc>
      </w:tr>
      <w:tr w14:paraId="2E59AA0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7A58CB1">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8E960">
            <w:pPr>
              <w:widowControl/>
              <w:jc w:val="center"/>
              <w:textAlignment w:val="center"/>
              <w:rPr>
                <w:rFonts w:ascii="宋体" w:cs="宋体"/>
                <w:color w:val="000000"/>
                <w:sz w:val="24"/>
              </w:rPr>
            </w:pPr>
            <w:r>
              <w:rPr>
                <w:rFonts w:hint="eastAsia" w:ascii="宋体" w:hAnsi="宋体" w:cs="宋体"/>
                <w:color w:val="000000"/>
                <w:sz w:val="24"/>
              </w:rPr>
              <w:t>……</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7CD425">
            <w:pPr>
              <w:widowControl/>
              <w:jc w:val="center"/>
              <w:textAlignment w:val="center"/>
              <w:rPr>
                <w:rFonts w:ascii="宋体" w:cs="宋体"/>
                <w:color w:val="000000"/>
                <w:sz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7B98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DF04F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098B71">
            <w:pPr>
              <w:widowControl/>
              <w:jc w:val="center"/>
              <w:textAlignment w:val="center"/>
              <w:rPr>
                <w:rFonts w:ascii="宋体" w:cs="宋体"/>
                <w:color w:val="000000"/>
                <w:sz w:val="24"/>
              </w:rPr>
            </w:pPr>
          </w:p>
        </w:tc>
      </w:tr>
      <w:tr w14:paraId="356B4DA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E8AC934">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68F2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效益指标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A5029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经济效益</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791764">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F8C97">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EF8EEC">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rPr>
              <w:t>实现项目区域内畜禽粪便和养殖污水的综合利用率达到90%以上，规模化养殖场粪污处理设施装备配套率达到95%以上，增加了畜禽粪污利用的经济效益。</w:t>
            </w:r>
          </w:p>
        </w:tc>
      </w:tr>
      <w:tr w14:paraId="72A1F96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C8A06CF">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4521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效益指标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D145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社会效益</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CFB48">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5531BD">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0332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促进农民持续增收，通过项目实施，将畜禽粪污等废弃物转变为有机肥等资源，变废为宝，既减轻了环境保护压力，又拓宽了农民增收渠道；推动有机肥替代化肥，减少了化肥使用量，同时增施有机肥可提高农作物抗性，减轻病虫害的发生，降低农药使用量，从而节约种植成本，促进农民增收</w:t>
            </w:r>
          </w:p>
        </w:tc>
      </w:tr>
      <w:tr w14:paraId="6AB3321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904FFE6">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A4FE52">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效益指标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69DE4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生态效益</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9D917">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2B574C">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862D3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通过项目建设，</w:t>
            </w:r>
            <w:r>
              <w:rPr>
                <w:rFonts w:hint="eastAsia" w:ascii="宋体" w:hAnsi="宋体" w:eastAsia="宋体" w:cs="宋体"/>
                <w:sz w:val="24"/>
                <w:szCs w:val="24"/>
              </w:rPr>
              <w:t>每年将促进</w:t>
            </w:r>
            <w:r>
              <w:rPr>
                <w:rFonts w:hint="eastAsia" w:ascii="宋体" w:hAnsi="宋体" w:eastAsia="宋体" w:cs="宋体"/>
                <w:sz w:val="24"/>
                <w:szCs w:val="24"/>
                <w:lang w:val="en-US" w:eastAsia="zh-CN"/>
              </w:rPr>
              <w:t>1.5</w:t>
            </w:r>
            <w:r>
              <w:rPr>
                <w:rFonts w:hint="eastAsia" w:ascii="宋体" w:hAnsi="宋体" w:eastAsia="宋体" w:cs="宋体"/>
                <w:sz w:val="24"/>
                <w:szCs w:val="24"/>
              </w:rPr>
              <w:t>万吨以上畜禽粪便转化成有机肥，</w:t>
            </w:r>
            <w:r>
              <w:rPr>
                <w:rFonts w:hint="eastAsia" w:ascii="宋体" w:hAnsi="宋体" w:eastAsia="宋体" w:cs="宋体"/>
                <w:color w:val="000000"/>
                <w:sz w:val="24"/>
                <w:szCs w:val="24"/>
                <w:lang w:eastAsia="zh-CN"/>
              </w:rPr>
              <w:t>每年将</w:t>
            </w:r>
            <w:r>
              <w:rPr>
                <w:rFonts w:hint="eastAsia" w:ascii="宋体" w:hAnsi="宋体" w:eastAsia="宋体" w:cs="宋体"/>
                <w:color w:val="000000"/>
                <w:sz w:val="24"/>
                <w:szCs w:val="24"/>
                <w:lang w:val="en-US" w:eastAsia="zh-CN"/>
              </w:rPr>
              <w:t>生产近1.1</w:t>
            </w:r>
            <w:r>
              <w:rPr>
                <w:rFonts w:hint="eastAsia" w:ascii="宋体" w:hAnsi="宋体" w:eastAsia="宋体" w:cs="宋体"/>
                <w:color w:val="000000"/>
                <w:sz w:val="24"/>
                <w:szCs w:val="24"/>
                <w:lang w:eastAsia="zh-CN"/>
              </w:rPr>
              <w:t>万吨以上有机肥，施用有机肥可有效提升土壤有机质含量，增加土壤养分含量，增强土壤微生物活力，改善土壤结构，提升耕地质量，促进农田永续利用。</w:t>
            </w:r>
          </w:p>
        </w:tc>
      </w:tr>
      <w:tr w14:paraId="009FE490">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B00A79">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8FB28">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效益指标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00920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可持续效益</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F4333">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D5819">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12FC7">
            <w:pPr>
              <w:keepNext w:val="0"/>
              <w:keepLines w:val="0"/>
              <w:pageBreakBefore w:val="0"/>
              <w:widowControl w:val="0"/>
              <w:kinsoku/>
              <w:wordWrap/>
              <w:overflowPunct/>
              <w:topLinePunct w:val="0"/>
              <w:autoSpaceDE/>
              <w:autoSpaceDN/>
              <w:bidi w:val="0"/>
              <w:adjustRightInd/>
              <w:snapToGrid/>
              <w:spacing w:line="576" w:lineRule="exact"/>
              <w:ind w:firstLine="620"/>
              <w:jc w:val="left"/>
              <w:textAlignment w:val="auto"/>
              <w:rPr>
                <w:rFonts w:hint="eastAsia" w:ascii="宋体" w:hAnsi="宋体" w:eastAsia="宋体" w:cs="宋体"/>
                <w:color w:val="000000"/>
                <w:sz w:val="24"/>
                <w:szCs w:val="24"/>
                <w:lang w:val="en-US"/>
              </w:rPr>
            </w:pPr>
            <w:r>
              <w:rPr>
                <w:rFonts w:hint="eastAsia" w:ascii="宋体" w:hAnsi="宋体" w:eastAsia="宋体" w:cs="宋体"/>
                <w:sz w:val="24"/>
                <w:szCs w:val="24"/>
                <w:lang w:val="en-US" w:eastAsia="zh-CN"/>
              </w:rPr>
              <w:t>项目建成后，项目持续使用年限达7年以上。</w:t>
            </w:r>
          </w:p>
          <w:p w14:paraId="65828A57">
            <w:pPr>
              <w:widowControl/>
              <w:jc w:val="center"/>
              <w:textAlignment w:val="center"/>
              <w:rPr>
                <w:rFonts w:hint="eastAsia" w:ascii="宋体" w:hAnsi="宋体" w:eastAsia="宋体" w:cs="宋体"/>
                <w:color w:val="000000"/>
                <w:sz w:val="24"/>
                <w:szCs w:val="24"/>
              </w:rPr>
            </w:pPr>
          </w:p>
          <w:p w14:paraId="41F69C28">
            <w:pPr>
              <w:widowControl/>
              <w:jc w:val="center"/>
              <w:textAlignment w:val="center"/>
              <w:rPr>
                <w:rFonts w:hint="eastAsia" w:ascii="宋体" w:hAnsi="宋体" w:eastAsia="宋体" w:cs="宋体"/>
                <w:color w:val="000000"/>
                <w:sz w:val="24"/>
                <w:szCs w:val="24"/>
              </w:rPr>
            </w:pPr>
          </w:p>
        </w:tc>
      </w:tr>
      <w:tr w14:paraId="6B1B0E47">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53B242E">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D2C45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满意度指标</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15A26">
            <w:pPr>
              <w:widowControl/>
              <w:jc w:val="center"/>
              <w:textAlignment w:val="center"/>
              <w:rPr>
                <w:rFonts w:hint="eastAsia" w:ascii="宋体" w:hAnsi="宋体" w:eastAsia="宋体" w:cs="宋体"/>
                <w:color w:val="000000"/>
                <w:sz w:val="24"/>
                <w:szCs w:val="24"/>
              </w:rPr>
            </w:pP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11EBF">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CC975">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958BD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满意</w:t>
            </w:r>
          </w:p>
        </w:tc>
      </w:tr>
    </w:tbl>
    <w:p w14:paraId="39C99225">
      <w:pPr>
        <w:widowControl/>
        <w:jc w:val="left"/>
        <w:rPr>
          <w:rStyle w:val="21"/>
          <w:rFonts w:ascii="黑体" w:hAnsi="黑体" w:eastAsia="黑体"/>
          <w:b w:val="0"/>
        </w:rPr>
      </w:pPr>
    </w:p>
    <w:p w14:paraId="74859C1F">
      <w:pPr>
        <w:widowControl/>
        <w:jc w:val="left"/>
        <w:rPr>
          <w:rStyle w:val="21"/>
          <w:rFonts w:ascii="黑体" w:hAnsi="黑体" w:eastAsia="黑体"/>
          <w:b w:val="0"/>
        </w:rPr>
      </w:pPr>
    </w:p>
    <w:p w14:paraId="7E8409E2">
      <w:pPr>
        <w:widowControl/>
        <w:jc w:val="left"/>
        <w:rPr>
          <w:rStyle w:val="21"/>
          <w:rFonts w:ascii="黑体" w:hAnsi="黑体" w:eastAsia="黑体"/>
          <w:b w:val="0"/>
        </w:rPr>
      </w:pPr>
    </w:p>
    <w:p w14:paraId="4CCB7426">
      <w:pPr>
        <w:widowControl/>
        <w:jc w:val="left"/>
        <w:rPr>
          <w:rStyle w:val="21"/>
          <w:rFonts w:ascii="黑体" w:hAnsi="黑体" w:eastAsia="黑体"/>
          <w:b w:val="0"/>
        </w:rPr>
      </w:pPr>
    </w:p>
    <w:p w14:paraId="78962340">
      <w:pPr>
        <w:pStyle w:val="8"/>
        <w:rPr>
          <w:rStyle w:val="21"/>
          <w:rFonts w:ascii="黑体" w:hAnsi="黑体" w:eastAsia="黑体"/>
          <w:b w:val="0"/>
        </w:rPr>
      </w:pPr>
    </w:p>
    <w:p w14:paraId="4011EB9B">
      <w:pPr>
        <w:rPr>
          <w:rStyle w:val="21"/>
          <w:rFonts w:ascii="黑体" w:hAnsi="黑体" w:eastAsia="黑体"/>
          <w:b w:val="0"/>
        </w:rPr>
      </w:pPr>
    </w:p>
    <w:p w14:paraId="27D54D85">
      <w:pPr>
        <w:pStyle w:val="8"/>
        <w:rPr>
          <w:rStyle w:val="21"/>
          <w:rFonts w:ascii="黑体" w:hAnsi="黑体" w:eastAsia="黑体"/>
          <w:b w:val="0"/>
        </w:rPr>
      </w:pPr>
    </w:p>
    <w:p w14:paraId="47FACC0F">
      <w:pPr>
        <w:rPr>
          <w:rStyle w:val="21"/>
          <w:rFonts w:ascii="黑体" w:hAnsi="黑体" w:eastAsia="黑体"/>
          <w:b w:val="0"/>
        </w:rPr>
      </w:pPr>
    </w:p>
    <w:p w14:paraId="5485F354">
      <w:pPr>
        <w:pStyle w:val="8"/>
        <w:rPr>
          <w:rStyle w:val="21"/>
          <w:rFonts w:ascii="黑体" w:hAnsi="黑体" w:eastAsia="黑体"/>
          <w:b w:val="0"/>
        </w:rPr>
      </w:pPr>
    </w:p>
    <w:p w14:paraId="5A86ADE6">
      <w:pPr>
        <w:rPr>
          <w:rStyle w:val="21"/>
          <w:rFonts w:ascii="黑体" w:hAnsi="黑体" w:eastAsia="黑体"/>
          <w:b w:val="0"/>
        </w:rPr>
      </w:pPr>
    </w:p>
    <w:p w14:paraId="1FC5A03A">
      <w:pPr>
        <w:pStyle w:val="8"/>
        <w:rPr>
          <w:rStyle w:val="21"/>
          <w:rFonts w:ascii="黑体" w:hAnsi="黑体" w:eastAsia="黑体"/>
          <w:b w:val="0"/>
        </w:rPr>
      </w:pPr>
    </w:p>
    <w:p w14:paraId="2167BAEE">
      <w:pPr>
        <w:rPr>
          <w:rStyle w:val="21"/>
          <w:rFonts w:ascii="黑体" w:hAnsi="黑体" w:eastAsia="黑体"/>
          <w:b w:val="0"/>
        </w:rPr>
      </w:pPr>
    </w:p>
    <w:p w14:paraId="20F93C3B">
      <w:pPr>
        <w:pStyle w:val="8"/>
        <w:rPr>
          <w:rStyle w:val="21"/>
          <w:rFonts w:ascii="黑体" w:hAnsi="黑体" w:eastAsia="黑体"/>
          <w:b w:val="0"/>
        </w:rPr>
      </w:pPr>
    </w:p>
    <w:p w14:paraId="6A027923">
      <w:pPr>
        <w:rPr>
          <w:rStyle w:val="21"/>
          <w:rFonts w:ascii="黑体" w:hAnsi="黑体" w:eastAsia="黑体"/>
          <w:b w:val="0"/>
        </w:rPr>
      </w:pPr>
    </w:p>
    <w:p w14:paraId="2A265BAD">
      <w:pPr>
        <w:pStyle w:val="8"/>
        <w:rPr>
          <w:rStyle w:val="21"/>
          <w:rFonts w:ascii="黑体" w:hAnsi="黑体" w:eastAsia="黑体"/>
          <w:b w:val="0"/>
        </w:rPr>
      </w:pPr>
    </w:p>
    <w:p w14:paraId="288F76CE">
      <w:pPr>
        <w:rPr>
          <w:rStyle w:val="21"/>
          <w:rFonts w:ascii="黑体" w:hAnsi="黑体" w:eastAsia="黑体"/>
          <w:b w:val="0"/>
        </w:rPr>
      </w:pPr>
    </w:p>
    <w:p w14:paraId="0CE57ED2">
      <w:pPr>
        <w:pStyle w:val="8"/>
        <w:rPr>
          <w:rStyle w:val="21"/>
          <w:rFonts w:ascii="黑体" w:hAnsi="黑体" w:eastAsia="黑体"/>
          <w:b w:val="0"/>
        </w:rPr>
      </w:pPr>
    </w:p>
    <w:p w14:paraId="66ACEB40">
      <w:pPr>
        <w:rPr>
          <w:rStyle w:val="21"/>
          <w:rFonts w:ascii="黑体" w:hAnsi="黑体" w:eastAsia="黑体"/>
          <w:b w:val="0"/>
        </w:rPr>
      </w:pPr>
    </w:p>
    <w:p w14:paraId="71399222">
      <w:pPr>
        <w:pStyle w:val="8"/>
        <w:rPr>
          <w:rStyle w:val="21"/>
          <w:rFonts w:ascii="黑体" w:hAnsi="黑体" w:eastAsia="黑体"/>
          <w:b w:val="0"/>
        </w:rPr>
      </w:pPr>
    </w:p>
    <w:p w14:paraId="0688626A">
      <w:pPr>
        <w:pStyle w:val="37"/>
        <w:spacing w:line="600" w:lineRule="exact"/>
        <w:jc w:val="center"/>
        <w:outlineLvl w:val="0"/>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红原县2021年牲畜良种补贴项目</w:t>
      </w:r>
    </w:p>
    <w:p w14:paraId="2445AE7F">
      <w:pPr>
        <w:spacing w:line="540" w:lineRule="exact"/>
        <w:jc w:val="center"/>
      </w:pPr>
      <w:r>
        <w:rPr>
          <w:rFonts w:hint="eastAsia" w:ascii="方正小标宋简体" w:hAnsi="方正小标宋简体" w:eastAsia="方正小标宋简体" w:cs="方正小标宋简体"/>
          <w:b w:val="0"/>
          <w:bCs w:val="0"/>
          <w:i w:val="0"/>
          <w:color w:val="auto"/>
          <w:kern w:val="0"/>
          <w:sz w:val="44"/>
          <w:szCs w:val="44"/>
          <w:u w:val="none"/>
          <w:lang w:val="en-US" w:eastAsia="zh-CN" w:bidi="ar"/>
        </w:rPr>
        <w:t>资金绩效自评总结报告</w:t>
      </w:r>
    </w:p>
    <w:p w14:paraId="3E917C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olor w:val="auto"/>
          <w:kern w:val="0"/>
          <w:sz w:val="44"/>
          <w:szCs w:val="44"/>
          <w:u w:val="none"/>
          <w:lang w:val="en-US" w:eastAsia="zh-CN" w:bidi="ar"/>
        </w:rPr>
      </w:pPr>
    </w:p>
    <w:p w14:paraId="4003C349">
      <w:pPr>
        <w:keepNext w:val="0"/>
        <w:keepLines w:val="0"/>
        <w:pageBreakBefore w:val="0"/>
        <w:widowControl w:val="0"/>
        <w:kinsoku/>
        <w:wordWrap/>
        <w:overflowPunct/>
        <w:topLinePunct w:val="0"/>
        <w:autoSpaceDE/>
        <w:autoSpaceDN/>
        <w:bidi w:val="0"/>
        <w:adjustRightInd/>
        <w:snapToGrid/>
        <w:spacing w:line="560" w:lineRule="exact"/>
        <w:ind w:leftChars="0"/>
        <w:jc w:val="both"/>
        <w:textAlignment w:val="auto"/>
        <w:rPr>
          <w:rFonts w:hint="eastAsia" w:ascii="方正小标宋简体" w:hAnsi="方正小标宋简体" w:eastAsia="方正小标宋简体" w:cs="方正小标宋简体"/>
          <w:b w:val="0"/>
          <w:bCs w:val="0"/>
          <w:i w:val="0"/>
          <w:color w:val="auto"/>
          <w:kern w:val="0"/>
          <w:sz w:val="44"/>
          <w:szCs w:val="44"/>
          <w:u w:val="none"/>
          <w:lang w:val="en-US" w:eastAsia="zh-CN" w:bidi="ar"/>
        </w:rPr>
      </w:pPr>
    </w:p>
    <w:p w14:paraId="04E509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i w:val="0"/>
          <w:color w:val="auto"/>
          <w:kern w:val="0"/>
          <w:sz w:val="32"/>
          <w:szCs w:val="32"/>
          <w:u w:val="none"/>
          <w:lang w:val="en-US" w:eastAsia="zh-CN" w:bidi="ar"/>
        </w:rPr>
      </w:pPr>
      <w:r>
        <w:rPr>
          <w:rFonts w:hint="eastAsia" w:ascii="仿宋_GB2312" w:hAnsi="仿宋_GB2312" w:eastAsia="仿宋_GB2312" w:cs="仿宋_GB2312"/>
          <w:b/>
          <w:bCs/>
          <w:i w:val="0"/>
          <w:color w:val="auto"/>
          <w:kern w:val="0"/>
          <w:sz w:val="32"/>
          <w:szCs w:val="32"/>
          <w:u w:val="none"/>
          <w:lang w:val="en-US" w:eastAsia="zh-CN" w:bidi="ar"/>
        </w:rPr>
        <w:t>一、绩效目标分解下达情况</w:t>
      </w:r>
    </w:p>
    <w:p w14:paraId="517F108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sz w:val="32"/>
          <w:szCs w:val="32"/>
          <w:lang w:val="en-US" w:eastAsia="zh-CN"/>
        </w:rPr>
      </w:pPr>
      <w:r>
        <w:rPr>
          <w:rFonts w:hint="eastAsia" w:ascii="仿宋_GB2312" w:hAnsi="仿宋_GB2312" w:eastAsia="仿宋_GB2312" w:cs="仿宋_GB2312"/>
          <w:b/>
          <w:bCs/>
          <w:sz w:val="32"/>
          <w:szCs w:val="32"/>
          <w:lang w:val="en-US" w:eastAsia="zh-CN"/>
        </w:rPr>
        <w:t>（一）财政衔接资金下达预算及项目情况</w:t>
      </w:r>
    </w:p>
    <w:p w14:paraId="77491A51">
      <w:pPr>
        <w:numPr>
          <w:ilvl w:val="0"/>
          <w:numId w:val="0"/>
        </w:numPr>
        <w:ind w:firstLine="640" w:firstLineChars="200"/>
        <w:jc w:val="both"/>
        <w:rPr>
          <w:rFonts w:hint="eastAsia" w:ascii="仿宋_GB2312" w:hAnsi="仿宋_GB2312" w:eastAsia="仿宋_GB2312" w:cs="仿宋_GB2312"/>
          <w:b w:val="0"/>
          <w:bCs/>
          <w:color w:val="000000"/>
          <w:kern w:val="2"/>
          <w:sz w:val="32"/>
          <w:szCs w:val="32"/>
          <w:lang w:val="zh-CN" w:eastAsia="zh-CN" w:bidi="ar-SA"/>
        </w:rPr>
      </w:pPr>
      <w:r>
        <w:rPr>
          <w:rFonts w:hint="eastAsia" w:ascii="仿宋_GB2312" w:hAnsi="仿宋_GB2312" w:eastAsia="仿宋_GB2312" w:cs="仿宋_GB2312"/>
          <w:b w:val="0"/>
          <w:bCs/>
          <w:color w:val="000000"/>
          <w:kern w:val="2"/>
          <w:sz w:val="32"/>
          <w:szCs w:val="32"/>
          <w:lang w:val="en-US" w:eastAsia="zh-CN" w:bidi="ar-SA"/>
        </w:rPr>
        <w:t>红原县2021年牲畜良种补贴资金来源于《中央财政农业生产发展资金》（阿州财农〔2021〕34号），共计79万元整，补贴标准为2000元/头，根据市场调查并结合实际情况，由于补贴标准太低，受补助对象（农牧民）不愿意够买，故将此资金作为涉农资金收回整合使用，后将补贴标准提高到5000元/头，县人民政府以《红原县财政局 红原县乡村振兴局 红原县民族宗教局 红原县水务局 红原县林业和草原局 红原县科学技术和农业畜牧局 红原县经济商务和信息化局 红原县文化体育和旅游局 红原交通运输局 红原县住房和城乡建设局关于下2021年财政涉农统筹整合项目资金的通知》（红财发〔2021〕106号）文件，下发了牲畜良种补贴资金79万元整，并由红原县科学技术和农业畜牧局实施了牲畜良种补贴项目。</w:t>
      </w:r>
      <w:r>
        <w:rPr>
          <w:rFonts w:hint="eastAsia" w:ascii="仿宋_GB2312" w:hAnsi="仿宋_GB2312" w:eastAsia="仿宋_GB2312" w:cs="仿宋_GB2312"/>
          <w:b w:val="0"/>
          <w:bCs/>
          <w:color w:val="000000"/>
          <w:kern w:val="2"/>
          <w:sz w:val="32"/>
          <w:szCs w:val="32"/>
          <w:lang w:val="zh-CN" w:eastAsia="zh-CN" w:bidi="ar-SA"/>
        </w:rPr>
        <w:t>符合资金管理办法等相关规定。</w:t>
      </w:r>
    </w:p>
    <w:p w14:paraId="2D708B7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（二）财政衔接资金项目绩效目标设定情况</w:t>
      </w:r>
    </w:p>
    <w:p w14:paraId="370AF5BA">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楷体" w:hAnsi="楷体" w:eastAsia="楷体" w:cs="楷体"/>
          <w:b/>
          <w:bCs/>
          <w:sz w:val="32"/>
          <w:szCs w:val="32"/>
          <w:lang w:val="en-US" w:eastAsia="zh-CN"/>
        </w:rPr>
      </w:pPr>
      <w:r>
        <w:rPr>
          <w:rFonts w:hint="eastAsia" w:ascii="仿宋_GB2312" w:hAnsi="仿宋_GB2312" w:eastAsia="仿宋_GB2312" w:cs="仿宋_GB2312"/>
          <w:b w:val="0"/>
          <w:bCs/>
          <w:sz w:val="32"/>
          <w:szCs w:val="32"/>
          <w:lang w:val="en-US" w:eastAsia="zh-CN"/>
        </w:rPr>
        <w:t>为了实现畜牧业良种化发展。将改造和提升红原县畜牧业的传统经营模式，以良种、良畜带动畜牧业结构优化，推动畜牧业的发展和完善，加强畜牧良种繁育体系建设，加快牲畜良种推广，提高畜牧良种利用率，提升麦洼牦牛生产发展水平，加快转变生产方式，促进畜牧业向高端化、绿色化、智能化、融合化转型升级。提高农民养殖的积极性，可以有效促进红原县畜牧业发展，促进社会和谐发展。调动养殖户使用良种的积极性，提升畜牧业综合生产能力品质和效益，增强市场竞争力，扩大红原县集体经济规模，促进畜牧业发展和农民增收，巩固脱贫攻坚成果，助推乡村振兴战略。</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color w:val="auto"/>
          <w:sz w:val="32"/>
          <w:szCs w:val="32"/>
          <w:lang w:val="en-US" w:eastAsia="zh-CN"/>
        </w:rPr>
        <w:t>发挥财政奖补示范作用，在有资质的选育场购买优质种公牛158头，每头0.5万元，用于补助</w:t>
      </w:r>
      <w:r>
        <w:rPr>
          <w:rFonts w:hint="eastAsia" w:ascii="仿宋_GB2312" w:hAnsi="仿宋_GB2312" w:eastAsia="仿宋_GB2312" w:cs="仿宋_GB2312"/>
          <w:sz w:val="32"/>
          <w:szCs w:val="32"/>
          <w:lang w:val="en-US" w:eastAsia="zh-CN"/>
        </w:rPr>
        <w:t>全县各乡镇有资格享受牧户。</w:t>
      </w:r>
    </w:p>
    <w:p w14:paraId="0D9C0D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i w:val="0"/>
          <w:color w:val="auto"/>
          <w:kern w:val="0"/>
          <w:sz w:val="32"/>
          <w:szCs w:val="32"/>
          <w:u w:val="none"/>
          <w:lang w:val="en-US" w:eastAsia="zh-CN" w:bidi="ar"/>
        </w:rPr>
      </w:pPr>
      <w:r>
        <w:rPr>
          <w:rFonts w:hint="eastAsia" w:ascii="黑体" w:hAnsi="黑体" w:eastAsia="黑体" w:cs="黑体"/>
          <w:b w:val="0"/>
          <w:bCs w:val="0"/>
          <w:i w:val="0"/>
          <w:color w:val="auto"/>
          <w:kern w:val="0"/>
          <w:sz w:val="32"/>
          <w:szCs w:val="32"/>
          <w:u w:val="none"/>
          <w:lang w:val="en-US" w:eastAsia="zh-CN" w:bidi="ar"/>
        </w:rPr>
        <w:t>二、绩效自评工作开展情况</w:t>
      </w:r>
    </w:p>
    <w:p w14:paraId="6849AE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红原县2021年牲畜良种补贴项目项目，该项目于2021年10月实施完成，项目完成后首先由项目经办人员对该乡镇、村牧户通过实地查看、座谈等方式，开展项目自评，并结合实地查看、座谈结果，统计填写项目自评表、审核表、运行监控表等，最后</w:t>
      </w:r>
      <w:r>
        <w:rPr>
          <w:rFonts w:hint="eastAsia" w:ascii="仿宋_GB2312" w:hAnsi="仿宋_GB2312" w:eastAsia="仿宋_GB2312" w:cs="仿宋_GB2312"/>
          <w:color w:val="auto"/>
          <w:kern w:val="2"/>
          <w:sz w:val="32"/>
          <w:szCs w:val="32"/>
          <w:lang w:val="en-US" w:eastAsia="zh-CN" w:bidi="ar-SA"/>
        </w:rPr>
        <w:t>分别报送局分管领导、主要领导审阅后再报送。</w:t>
      </w:r>
    </w:p>
    <w:p w14:paraId="61557F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i w:val="0"/>
          <w:color w:val="auto"/>
          <w:kern w:val="0"/>
          <w:sz w:val="32"/>
          <w:szCs w:val="32"/>
          <w:u w:val="none"/>
          <w:lang w:val="en-US" w:eastAsia="zh-CN" w:bidi="ar"/>
        </w:rPr>
      </w:pPr>
      <w:r>
        <w:rPr>
          <w:rFonts w:hint="eastAsia" w:ascii="黑体" w:hAnsi="黑体" w:eastAsia="黑体" w:cs="黑体"/>
          <w:b w:val="0"/>
          <w:bCs w:val="0"/>
          <w:i w:val="0"/>
          <w:color w:val="auto"/>
          <w:kern w:val="0"/>
          <w:sz w:val="32"/>
          <w:szCs w:val="32"/>
          <w:u w:val="none"/>
          <w:lang w:val="en-US" w:eastAsia="zh-CN" w:bidi="ar"/>
        </w:rPr>
        <w:t>三、绩效目标完成情况分析</w:t>
      </w:r>
    </w:p>
    <w:p w14:paraId="62004BAF">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b/>
          <w:bCs/>
          <w:sz w:val="32"/>
          <w:szCs w:val="32"/>
        </w:rPr>
      </w:pPr>
      <w:r>
        <w:rPr>
          <w:rFonts w:hint="eastAsia" w:ascii="楷体" w:hAnsi="楷体" w:eastAsia="楷体" w:cs="楷体"/>
          <w:sz w:val="32"/>
          <w:szCs w:val="32"/>
          <w:lang w:val="en-US" w:eastAsia="zh-CN"/>
        </w:rPr>
        <w:t>（一）</w:t>
      </w:r>
      <w:r>
        <w:rPr>
          <w:rFonts w:hint="eastAsia" w:ascii="楷体" w:hAnsi="楷体" w:eastAsia="楷体" w:cs="楷体"/>
          <w:b/>
          <w:bCs/>
          <w:sz w:val="32"/>
          <w:szCs w:val="32"/>
        </w:rPr>
        <w:t>资金投入情况分析</w:t>
      </w:r>
    </w:p>
    <w:p w14:paraId="278D98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1.项目资金到位情况分析：根据</w:t>
      </w:r>
      <w:r>
        <w:rPr>
          <w:rFonts w:hint="eastAsia" w:ascii="仿宋_GB2312" w:hAnsi="仿宋_GB2312" w:eastAsia="仿宋_GB2312" w:cs="仿宋_GB2312"/>
          <w:b w:val="0"/>
          <w:bCs/>
          <w:color w:val="000000"/>
          <w:kern w:val="2"/>
          <w:sz w:val="32"/>
          <w:szCs w:val="32"/>
          <w:lang w:val="en-US" w:eastAsia="zh-CN" w:bidi="ar-SA"/>
        </w:rPr>
        <w:t>《红原县财政局 红原县乡村振兴局 红原县民族宗教局 红原县水务局 红原县林业和草原局 红原县科学技术和农业畜牧局 红原县经济商务和信息化局 红原县文化体育和旅游局 红原交通运输局 红原县住房和城乡建设局关于下2021年财政涉农统筹整合项目资金的通知》（红财发〔2021〕106号）文件，资金到位79万元整。</w:t>
      </w:r>
    </w:p>
    <w:p w14:paraId="181352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2.项目资金执行情况：</w:t>
      </w:r>
      <w:r>
        <w:rPr>
          <w:rFonts w:hint="eastAsia" w:ascii="仿宋_GB2312" w:hAnsi="仿宋_GB2312" w:eastAsia="仿宋_GB2312" w:cs="仿宋_GB2312"/>
          <w:sz w:val="32"/>
          <w:szCs w:val="32"/>
          <w:lang w:val="en-US" w:eastAsia="zh-CN"/>
        </w:rPr>
        <w:t>红原县2021年牲畜良种补贴项目，共下达资金79万元，</w:t>
      </w:r>
      <w:r>
        <w:rPr>
          <w:rFonts w:hint="eastAsia" w:ascii="仿宋_GB2312" w:hAnsi="仿宋_GB2312" w:eastAsia="仿宋_GB2312" w:cs="仿宋_GB2312"/>
          <w:sz w:val="32"/>
          <w:szCs w:val="32"/>
          <w:lang w:eastAsia="zh-CN"/>
        </w:rPr>
        <w:t>截止目前，</w:t>
      </w:r>
      <w:r>
        <w:rPr>
          <w:rFonts w:hint="eastAsia" w:ascii="仿宋_GB2312" w:hAnsi="仿宋_GB2312" w:eastAsia="仿宋_GB2312" w:cs="仿宋_GB2312"/>
          <w:sz w:val="32"/>
          <w:szCs w:val="32"/>
          <w:lang w:val="en-US" w:eastAsia="zh-CN"/>
        </w:rPr>
        <w:t>已拨付79万元，拨付率100%。</w:t>
      </w:r>
    </w:p>
    <w:p w14:paraId="6E876F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shd w:val="clear" w:color="auto" w:fill="auto"/>
          <w:lang w:val="zh-CN"/>
        </w:rPr>
      </w:pPr>
      <w:r>
        <w:rPr>
          <w:rFonts w:hint="eastAsia" w:ascii="仿宋_GB2312" w:hAnsi="仿宋_GB2312" w:eastAsia="仿宋_GB2312" w:cs="仿宋_GB2312"/>
          <w:sz w:val="32"/>
          <w:szCs w:val="32"/>
          <w:lang w:val="en-US" w:eastAsia="zh-CN"/>
        </w:rPr>
        <w:t>3.项目资金管理情况：我县为进一步加强资金管理，</w:t>
      </w:r>
      <w:r>
        <w:rPr>
          <w:rFonts w:hint="eastAsia" w:ascii="仿宋_GB2312" w:hAnsi="仿宋_GB2312" w:eastAsia="仿宋_GB2312" w:cs="仿宋_GB2312"/>
          <w:b w:val="0"/>
          <w:bCs w:val="0"/>
          <w:sz w:val="32"/>
          <w:szCs w:val="32"/>
          <w:lang w:val="en-US" w:eastAsia="zh-CN"/>
        </w:rPr>
        <w:t>要求</w:t>
      </w:r>
      <w:r>
        <w:rPr>
          <w:rFonts w:hint="eastAsia" w:ascii="仿宋_GB2312" w:hAnsi="仿宋_GB2312" w:eastAsia="仿宋_GB2312" w:cs="仿宋_GB2312"/>
          <w:sz w:val="32"/>
          <w:szCs w:val="32"/>
        </w:rPr>
        <w:t>在资金使用方面</w:t>
      </w:r>
      <w:r>
        <w:rPr>
          <w:rFonts w:hint="eastAsia" w:ascii="仿宋_GB2312" w:hAnsi="仿宋_GB2312" w:eastAsia="仿宋_GB2312" w:cs="仿宋_GB2312"/>
          <w:sz w:val="32"/>
          <w:szCs w:val="32"/>
          <w:lang w:eastAsia="zh-CN"/>
        </w:rPr>
        <w:t>，严格执行</w:t>
      </w:r>
      <w:r>
        <w:rPr>
          <w:rFonts w:hint="eastAsia" w:ascii="仿宋_GB2312" w:hAnsi="仿宋_GB2312" w:eastAsia="仿宋_GB2312" w:cs="仿宋_GB2312"/>
          <w:color w:val="auto"/>
          <w:sz w:val="32"/>
          <w:szCs w:val="32"/>
          <w:lang w:val="en-US" w:eastAsia="zh-CN"/>
        </w:rPr>
        <w:t>国家有关会计核算制度和财务规定、</w:t>
      </w:r>
      <w:r>
        <w:rPr>
          <w:rFonts w:hint="eastAsia" w:ascii="仿宋_GB2312" w:hAnsi="仿宋_GB2312" w:eastAsia="仿宋_GB2312" w:cs="仿宋_GB2312"/>
          <w:sz w:val="32"/>
          <w:szCs w:val="32"/>
          <w:lang w:eastAsia="zh-CN"/>
        </w:rPr>
        <w:t>县级报账、专账核算制度</w:t>
      </w:r>
      <w:r>
        <w:rPr>
          <w:rFonts w:hint="eastAsia" w:ascii="仿宋_GB2312" w:hAnsi="仿宋_GB2312" w:eastAsia="仿宋_GB2312" w:cs="仿宋_GB2312"/>
          <w:sz w:val="32"/>
          <w:szCs w:val="32"/>
        </w:rPr>
        <w:t>，任何单位和个人不得以任何理由挪作它用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确保资金专款专用，不得截留、挤占、挪用，不得虚报冒领，并进行县级公示，接受干部群众、社会各界监督，确保专项资金安全规范、有效使用，同时建立健全发放手续，实行公示制度，通过“一卡通”的形式直接发放给农户，严禁现金，做到公开、公正、透明。</w:t>
      </w:r>
      <w:r>
        <w:rPr>
          <w:rFonts w:hint="eastAsia" w:ascii="仿宋_GB2312" w:hAnsi="仿宋_GB2312" w:eastAsia="仿宋_GB2312" w:cs="仿宋_GB2312"/>
          <w:sz w:val="32"/>
          <w:szCs w:val="32"/>
          <w:shd w:val="clear" w:color="auto" w:fill="auto"/>
          <w:lang w:val="zh-CN"/>
        </w:rPr>
        <w:t>项目主管部门积极会同</w:t>
      </w:r>
      <w:r>
        <w:rPr>
          <w:rFonts w:hint="eastAsia" w:ascii="仿宋_GB2312" w:hAnsi="仿宋_GB2312" w:eastAsia="仿宋_GB2312" w:cs="仿宋_GB2312"/>
          <w:sz w:val="32"/>
          <w:szCs w:val="32"/>
          <w:shd w:val="clear" w:color="auto" w:fill="auto"/>
          <w:lang w:val="en-US" w:eastAsia="zh-CN"/>
        </w:rPr>
        <w:t>纪委</w:t>
      </w:r>
      <w:r>
        <w:rPr>
          <w:rFonts w:hint="eastAsia" w:ascii="仿宋_GB2312" w:hAnsi="仿宋_GB2312" w:eastAsia="仿宋_GB2312" w:cs="仿宋_GB2312"/>
          <w:sz w:val="32"/>
          <w:szCs w:val="32"/>
          <w:shd w:val="clear" w:color="auto" w:fill="auto"/>
          <w:lang w:val="zh-CN"/>
        </w:rPr>
        <w:t>监委、财政、审计等部门对资金使用情况进行督导检查，发现任何挪用挤占扶贫项目资金、侵害群众利益的行为，将依法依纪追究责任。</w:t>
      </w:r>
    </w:p>
    <w:p w14:paraId="110B475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bCs/>
          <w:sz w:val="32"/>
          <w:szCs w:val="32"/>
          <w:lang w:val="zh-CN" w:eastAsia="zh-CN"/>
        </w:rPr>
        <w:t>（二）</w:t>
      </w:r>
      <w:r>
        <w:rPr>
          <w:rFonts w:hint="eastAsia" w:ascii="楷体" w:hAnsi="楷体" w:eastAsia="楷体" w:cs="楷体"/>
          <w:b/>
          <w:bCs/>
          <w:sz w:val="32"/>
          <w:szCs w:val="32"/>
          <w:lang w:val="en-US" w:eastAsia="zh-CN"/>
        </w:rPr>
        <w:t>绩效目标完成情况分析</w:t>
      </w:r>
    </w:p>
    <w:p w14:paraId="25F3953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1.产出指标完成情况分析：</w:t>
      </w:r>
      <w:r>
        <w:rPr>
          <w:rFonts w:hint="eastAsia" w:ascii="仿宋_GB2312" w:hAnsi="仿宋_GB2312" w:eastAsia="仿宋_GB2312" w:cs="仿宋_GB2312"/>
          <w:sz w:val="32"/>
          <w:szCs w:val="32"/>
          <w:lang w:val="en-US" w:eastAsia="zh-CN"/>
        </w:rPr>
        <w:t>红原县2021年牲畜良种补贴项目，共下达资金79万元，</w:t>
      </w:r>
      <w:r>
        <w:rPr>
          <w:rFonts w:hint="eastAsia" w:ascii="仿宋_GB2312" w:hAnsi="仿宋_GB2312" w:eastAsia="仿宋_GB2312" w:cs="仿宋_GB2312"/>
          <w:color w:val="auto"/>
          <w:kern w:val="2"/>
          <w:sz w:val="32"/>
          <w:szCs w:val="32"/>
          <w:lang w:val="en-US" w:eastAsia="zh-CN" w:bidi="ar-SA"/>
        </w:rPr>
        <w:t>截止2021年10月底严格按照5000元/头的标准完成了158头优质种公牛的购买，并将种公牛补助给了有资格享受牲畜良种补贴的牧户，在实施过程中，为进一步保证项目规范建设，保障项目质量和实施进度，我县始终坚持以县委、县政府对项目实施成效负总责，统筹工作推进，确保项目资金及时筹措到位，其他相关部门相互配合协调、县级主管部门具体实施的原则，确保项目严格按照项目建设时间节点全面完成建设任务，同时强化项目督查，将牲畜良种补贴工作纳入年度目标考核，从项目实施前、实施中、实施后进行督导，同时由县目标绩效督查办公室牵头，定期不定期对工作开展情况进行督查，对工作中浮在面上、敷衍塞责、进度缓慢相关责任人严肃问责。</w:t>
      </w:r>
    </w:p>
    <w:p w14:paraId="6E17134A">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2"/>
          <w:sz w:val="32"/>
          <w:szCs w:val="32"/>
          <w:lang w:val="en-US" w:eastAsia="zh-CN" w:bidi="ar-SA"/>
        </w:rPr>
        <w:t>2.效益指标完成情况分析：我县及时的完成了2021年牲畜良种补贴目标任务，到年底全部完成项目的100%，资金拨付100%。项目建成后：</w:t>
      </w:r>
      <w:r>
        <w:rPr>
          <w:rFonts w:hint="eastAsia" w:ascii="仿宋_GB2312" w:hAnsi="仿宋_GB2312" w:eastAsia="仿宋_GB2312" w:cs="仿宋_GB2312"/>
          <w:b/>
          <w:bCs/>
          <w:color w:val="auto"/>
          <w:kern w:val="2"/>
          <w:sz w:val="32"/>
          <w:szCs w:val="32"/>
          <w:lang w:val="en-US" w:eastAsia="zh-CN" w:bidi="ar-SA"/>
        </w:rPr>
        <w:t>一是经济效益：</w:t>
      </w:r>
      <w:r>
        <w:rPr>
          <w:rFonts w:hint="eastAsia" w:ascii="仿宋_GB2312" w:hAnsi="仿宋_GB2312" w:eastAsia="仿宋_GB2312" w:cs="仿宋_GB2312"/>
          <w:sz w:val="32"/>
          <w:szCs w:val="32"/>
          <w:lang w:val="en-US" w:eastAsia="zh-CN"/>
        </w:rPr>
        <w:t>可减少牧户购买生产资料成本，增加牧户财产值。</w:t>
      </w:r>
      <w:r>
        <w:rPr>
          <w:rFonts w:hint="eastAsia" w:ascii="仿宋_GB2312" w:hAnsi="仿宋_GB2312" w:eastAsia="仿宋_GB2312" w:cs="仿宋_GB2312"/>
          <w:b/>
          <w:bCs/>
          <w:color w:val="auto"/>
          <w:kern w:val="2"/>
          <w:sz w:val="32"/>
          <w:szCs w:val="32"/>
          <w:lang w:val="en-US" w:eastAsia="zh-CN" w:bidi="ar-SA"/>
        </w:rPr>
        <w:t xml:space="preserve"> 二是社会效益</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b w:val="0"/>
          <w:bCs/>
          <w:sz w:val="32"/>
          <w:szCs w:val="32"/>
          <w:lang w:val="en-US" w:eastAsia="zh-CN"/>
        </w:rPr>
        <w:t>麦洼牦牛长期处于近亲交配，导致优良的麦洼牦牛品质持续退化，体质弱，体态小等。实施牲畜良种补贴，能有效的减少近亲交配，改善麦洼牦牛群体结构，达到提纯复壮的目的，同时也能改善畜副产品质量，从而提高农牧民经济增收和生活水平。包括</w:t>
      </w:r>
      <w:r>
        <w:rPr>
          <w:rFonts w:hint="eastAsia" w:ascii="仿宋_GB2312" w:hAnsi="仿宋_GB2312" w:eastAsia="仿宋_GB2312" w:cs="仿宋_GB2312"/>
          <w:sz w:val="32"/>
          <w:szCs w:val="32"/>
          <w:lang w:val="en-US" w:eastAsia="zh-CN"/>
        </w:rPr>
        <w:t>收益一般农户人口≥150人。</w:t>
      </w:r>
      <w:r>
        <w:rPr>
          <w:rFonts w:hint="eastAsia" w:ascii="仿宋_GB2312" w:hAnsi="仿宋_GB2312" w:eastAsia="仿宋_GB2312" w:cs="仿宋_GB2312"/>
          <w:b/>
          <w:bCs/>
          <w:sz w:val="32"/>
          <w:szCs w:val="32"/>
          <w:lang w:val="en-US" w:eastAsia="zh-CN"/>
        </w:rPr>
        <w:t>三是生态效益：</w:t>
      </w:r>
      <w:r>
        <w:rPr>
          <w:rFonts w:hint="eastAsia" w:ascii="仿宋_GB2312" w:hAnsi="仿宋_GB2312" w:eastAsia="仿宋_GB2312" w:cs="仿宋_GB2312"/>
          <w:sz w:val="32"/>
          <w:szCs w:val="32"/>
          <w:lang w:val="en-US" w:eastAsia="zh-CN"/>
        </w:rPr>
        <w:t>优化牲畜结构，减少劣质牲畜，保护生态环境。</w:t>
      </w:r>
      <w:r>
        <w:rPr>
          <w:rFonts w:hint="eastAsia" w:ascii="仿宋_GB2312" w:hAnsi="仿宋_GB2312" w:eastAsia="仿宋_GB2312" w:cs="仿宋_GB2312"/>
          <w:b/>
          <w:bCs/>
          <w:sz w:val="32"/>
          <w:szCs w:val="32"/>
          <w:lang w:val="en-US" w:eastAsia="zh-CN"/>
        </w:rPr>
        <w:t>四是可持续效益：</w:t>
      </w:r>
      <w:r>
        <w:rPr>
          <w:rFonts w:hint="eastAsia" w:ascii="仿宋_GB2312" w:hAnsi="仿宋_GB2312" w:eastAsia="仿宋_GB2312" w:cs="仿宋_GB2312"/>
          <w:sz w:val="32"/>
          <w:szCs w:val="32"/>
          <w:lang w:val="en-US" w:eastAsia="zh-CN"/>
        </w:rPr>
        <w:t>项目建成后，项目持续使用年限达3年以上。</w:t>
      </w:r>
    </w:p>
    <w:p w14:paraId="642B45E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3.满意度指标完成情况分析：自2021年底项目建成以来，我县通过座谈、现场咨询等方式对农牧户满意度指标进行调查，通过调查农牧户对项目实施满意度达95%以上，项目社会效益和经济效益明显，达到预期效果。</w:t>
      </w:r>
    </w:p>
    <w:p w14:paraId="414141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i w:val="0"/>
          <w:color w:val="auto"/>
          <w:kern w:val="0"/>
          <w:sz w:val="32"/>
          <w:szCs w:val="32"/>
          <w:u w:val="none"/>
          <w:lang w:val="en-US" w:eastAsia="zh-CN" w:bidi="ar"/>
        </w:rPr>
      </w:pPr>
      <w:r>
        <w:rPr>
          <w:rFonts w:hint="eastAsia" w:ascii="黑体" w:hAnsi="黑体" w:eastAsia="黑体" w:cs="黑体"/>
          <w:b w:val="0"/>
          <w:bCs w:val="0"/>
          <w:i w:val="0"/>
          <w:color w:val="auto"/>
          <w:kern w:val="0"/>
          <w:sz w:val="32"/>
          <w:szCs w:val="32"/>
          <w:u w:val="none"/>
          <w:lang w:val="en-US" w:eastAsia="zh-CN" w:bidi="ar"/>
        </w:rPr>
        <w:t>四、资产后续管护及运营情况</w:t>
      </w:r>
    </w:p>
    <w:p w14:paraId="7DD437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auto"/>
          <w:kern w:val="2"/>
          <w:sz w:val="32"/>
          <w:szCs w:val="32"/>
          <w:lang w:val="en-US" w:eastAsia="zh-CN" w:bidi="ar-SA"/>
        </w:rPr>
        <w:t>项目</w:t>
      </w:r>
      <w:r>
        <w:rPr>
          <w:rFonts w:hint="eastAsia" w:ascii="Times New Roman" w:hAnsi="Times New Roman" w:eastAsia="仿宋_GB2312" w:cs="Times New Roman"/>
          <w:kern w:val="2"/>
          <w:sz w:val="32"/>
          <w:szCs w:val="32"/>
          <w:lang w:val="en-US" w:eastAsia="zh-CN" w:bidi="zh-TW"/>
        </w:rPr>
        <w:t>建成后原则上按照“谁受益、谁管护”的原则进行后续管护，为进一步保障优质种公牛发挥有效作用，进一步明确建立了由农牧户自行管护为主,乡镇、村监管为辅的后期管护机制。</w:t>
      </w:r>
    </w:p>
    <w:p w14:paraId="21AF9B4A">
      <w:pPr>
        <w:pStyle w:val="8"/>
      </w:pPr>
    </w:p>
    <w:p w14:paraId="49B4A146">
      <w:pPr>
        <w:rPr>
          <w:rStyle w:val="21"/>
          <w:rFonts w:hint="eastAsia" w:asciiTheme="minorEastAsia" w:hAnsiTheme="minorEastAsia" w:eastAsiaTheme="minorEastAsia" w:cstheme="minorEastAsia"/>
          <w:b w:val="0"/>
          <w:sz w:val="24"/>
          <w:szCs w:val="24"/>
          <w:lang w:eastAsia="zh-CN"/>
        </w:rPr>
      </w:pPr>
      <w:r>
        <w:rPr>
          <w:rStyle w:val="21"/>
          <w:rFonts w:hint="eastAsia" w:asciiTheme="minorEastAsia" w:hAnsiTheme="minorEastAsia" w:eastAsiaTheme="minorEastAsia" w:cstheme="minorEastAsia"/>
          <w:b w:val="0"/>
          <w:sz w:val="24"/>
          <w:szCs w:val="24"/>
          <w:lang w:eastAsia="zh-CN"/>
        </w:rPr>
        <w:t>附表</w:t>
      </w: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335C582D">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E4AA5E8">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5206F1B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D889A">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24B6FD">
            <w:pPr>
              <w:widowControl/>
              <w:ind w:firstLine="1920" w:firstLineChars="600"/>
              <w:jc w:val="both"/>
              <w:textAlignment w:val="center"/>
              <w:rPr>
                <w:rFonts w:hint="eastAsia" w:ascii="宋体" w:eastAsia="宋体" w:cs="宋体"/>
                <w:color w:val="000000"/>
                <w:sz w:val="24"/>
                <w:lang w:eastAsia="zh-CN"/>
              </w:rPr>
            </w:pPr>
            <w:r>
              <w:rPr>
                <w:rFonts w:hint="eastAsia" w:ascii="宋体" w:hAnsi="宋体" w:cs="宋体"/>
                <w:sz w:val="32"/>
                <w:szCs w:val="32"/>
                <w:lang w:eastAsia="zh-CN"/>
              </w:rPr>
              <w:t>牲畜良种补贴项目</w:t>
            </w:r>
          </w:p>
        </w:tc>
      </w:tr>
      <w:tr w14:paraId="10BA867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169B4">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01C754">
            <w:pPr>
              <w:widowControl/>
              <w:jc w:val="center"/>
              <w:textAlignment w:val="center"/>
              <w:rPr>
                <w:rFonts w:ascii="宋体" w:cs="宋体"/>
                <w:color w:val="000000"/>
                <w:sz w:val="24"/>
              </w:rPr>
            </w:pPr>
            <w:r>
              <w:rPr>
                <w:rFonts w:hint="eastAsia" w:ascii="宋体" w:cs="宋体"/>
                <w:color w:val="000000"/>
                <w:sz w:val="24"/>
              </w:rPr>
              <w:t>科农局</w:t>
            </w:r>
          </w:p>
        </w:tc>
      </w:tr>
      <w:tr w14:paraId="071B2DE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B2C8C">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4BA06D">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957F0">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D3973D">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38690">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79.00</w:t>
            </w:r>
          </w:p>
        </w:tc>
      </w:tr>
      <w:tr w14:paraId="068DA763">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60E98">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E509D">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BC23E8">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749A5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AD6BB9">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79.00</w:t>
            </w:r>
          </w:p>
        </w:tc>
      </w:tr>
      <w:tr w14:paraId="57E9A66D">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36847">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C93571">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5C92C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6B7981">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ADF7B">
            <w:pPr>
              <w:jc w:val="center"/>
              <w:rPr>
                <w:rFonts w:ascii="宋体" w:cs="宋体"/>
                <w:color w:val="000000"/>
                <w:sz w:val="24"/>
              </w:rPr>
            </w:pPr>
          </w:p>
        </w:tc>
      </w:tr>
      <w:tr w14:paraId="0831F4A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E663A7">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BC5EFF">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E784D">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1E361549">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42C25F">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E59555">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color w:val="auto"/>
                <w:sz w:val="24"/>
                <w:szCs w:val="24"/>
                <w:lang w:val="en-US" w:eastAsia="zh-CN"/>
              </w:rPr>
              <w:t>在有资质的选育场购买优质种公牛158头，每头0.5万元，用于补助</w:t>
            </w:r>
            <w:r>
              <w:rPr>
                <w:rFonts w:hint="eastAsia" w:ascii="宋体" w:hAnsi="宋体" w:eastAsia="宋体" w:cs="宋体"/>
                <w:sz w:val="24"/>
                <w:szCs w:val="24"/>
                <w:lang w:val="en-US" w:eastAsia="zh-CN"/>
              </w:rPr>
              <w:t>全县各乡镇有资格享受牧户。</w:t>
            </w:r>
          </w:p>
          <w:p w14:paraId="3C520EAC">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47AF1">
            <w:pPr>
              <w:widowControl/>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auto"/>
                <w:kern w:val="2"/>
                <w:sz w:val="24"/>
                <w:szCs w:val="24"/>
                <w:lang w:val="en-US" w:eastAsia="zh-CN" w:bidi="ar-SA"/>
              </w:rPr>
              <w:t>截止2021年10月底严格按照5000元/头的标准完成了158头优质种公牛的购买，并将种公牛补助给了有资格享受牲畜良种补贴的牧户。</w:t>
            </w:r>
          </w:p>
          <w:p w14:paraId="65AECA80">
            <w:pPr>
              <w:widowControl/>
              <w:jc w:val="center"/>
              <w:textAlignment w:val="center"/>
              <w:rPr>
                <w:rFonts w:ascii="宋体" w:cs="宋体"/>
                <w:color w:val="000000"/>
                <w:sz w:val="24"/>
              </w:rPr>
            </w:pPr>
          </w:p>
        </w:tc>
      </w:tr>
      <w:tr w14:paraId="40439911">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42E08BF">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0B3A63">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8F38F">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3B91F">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8C4210">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FA98BD">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5514F391">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F73BF8">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6EFEF">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E8FA8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62038">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E82929">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color w:val="auto"/>
                <w:sz w:val="24"/>
                <w:szCs w:val="24"/>
                <w:lang w:val="en-US" w:eastAsia="zh-CN"/>
              </w:rPr>
              <w:t>在有资质的选育场购买优质种公牛158头，每头0.5万元，用于补助</w:t>
            </w:r>
            <w:r>
              <w:rPr>
                <w:rFonts w:hint="eastAsia" w:ascii="宋体" w:hAnsi="宋体" w:eastAsia="宋体" w:cs="宋体"/>
                <w:sz w:val="24"/>
                <w:szCs w:val="24"/>
                <w:lang w:val="en-US" w:eastAsia="zh-CN"/>
              </w:rPr>
              <w:t>全县各乡镇有资格享受牧户。</w:t>
            </w:r>
          </w:p>
          <w:p w14:paraId="27201DAB">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2D1BFB">
            <w:pPr>
              <w:widowControl/>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auto"/>
                <w:kern w:val="2"/>
                <w:sz w:val="24"/>
                <w:szCs w:val="24"/>
                <w:lang w:val="en-US" w:eastAsia="zh-CN" w:bidi="ar-SA"/>
              </w:rPr>
              <w:t>截止2021年10月底严格按照5000元/头的标准完成了158头优质种公牛的购买，并将种公牛补助给了有资格享受牲畜良种补贴的牧户。</w:t>
            </w:r>
          </w:p>
          <w:p w14:paraId="7AA0DBB7">
            <w:pPr>
              <w:widowControl/>
              <w:jc w:val="center"/>
              <w:textAlignment w:val="center"/>
              <w:rPr>
                <w:rFonts w:ascii="宋体" w:cs="宋体"/>
                <w:color w:val="000000"/>
                <w:sz w:val="24"/>
              </w:rPr>
            </w:pPr>
          </w:p>
        </w:tc>
      </w:tr>
      <w:tr w14:paraId="116CC08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241D3C0">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752C6">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8CD01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FB97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D248A">
            <w:pPr>
              <w:widowControl/>
              <w:jc w:val="both"/>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A1AA7">
            <w:pPr>
              <w:widowControl/>
              <w:jc w:val="center"/>
              <w:textAlignment w:val="center"/>
              <w:rPr>
                <w:rFonts w:ascii="宋体" w:cs="宋体"/>
                <w:color w:val="000000"/>
                <w:sz w:val="24"/>
              </w:rPr>
            </w:pPr>
          </w:p>
        </w:tc>
      </w:tr>
      <w:tr w14:paraId="64187EF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D0E710E">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0CF63">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4361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52AC7">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322B45">
            <w:pPr>
              <w:widowControl/>
              <w:jc w:val="both"/>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C35145">
            <w:pPr>
              <w:widowControl/>
              <w:jc w:val="both"/>
              <w:textAlignment w:val="center"/>
              <w:rPr>
                <w:rFonts w:ascii="宋体" w:cs="宋体"/>
                <w:color w:val="000000"/>
                <w:sz w:val="24"/>
              </w:rPr>
            </w:pPr>
          </w:p>
        </w:tc>
      </w:tr>
      <w:tr w14:paraId="600BF2C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3920843">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9E854">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BCA1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B99CD">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DEB42C">
            <w:pPr>
              <w:widowControl/>
              <w:jc w:val="both"/>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064DD6">
            <w:pPr>
              <w:widowControl/>
              <w:jc w:val="both"/>
              <w:textAlignment w:val="center"/>
              <w:rPr>
                <w:rFonts w:ascii="宋体" w:cs="宋体"/>
                <w:color w:val="000000"/>
                <w:sz w:val="24"/>
              </w:rPr>
            </w:pPr>
          </w:p>
        </w:tc>
      </w:tr>
      <w:tr w14:paraId="75C438E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DDC3A03">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42D94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AD5E5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596E68">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E2E58">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5A314">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lang w:val="en-US" w:eastAsia="zh-CN"/>
              </w:rPr>
              <w:t>可减少牧户购买生产资料成本，增加牧户财产值。</w:t>
            </w:r>
          </w:p>
        </w:tc>
      </w:tr>
      <w:tr w14:paraId="4091FAA1">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483E604">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6E339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7848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FD665C">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A4003">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E802B">
            <w:pPr>
              <w:widowControl/>
              <w:jc w:val="center"/>
              <w:textAlignment w:val="center"/>
              <w:rPr>
                <w:rFonts w:hint="eastAsia" w:ascii="宋体" w:hAnsi="宋体" w:eastAsia="宋体" w:cs="宋体"/>
                <w:color w:val="000000"/>
                <w:sz w:val="24"/>
                <w:szCs w:val="24"/>
              </w:rPr>
            </w:pPr>
            <w:r>
              <w:rPr>
                <w:rFonts w:hint="eastAsia" w:ascii="宋体" w:hAnsi="宋体" w:eastAsia="宋体" w:cs="宋体"/>
                <w:b w:val="0"/>
                <w:bCs/>
                <w:sz w:val="24"/>
                <w:szCs w:val="24"/>
                <w:lang w:val="en-US" w:eastAsia="zh-CN"/>
              </w:rPr>
              <w:t>麦洼牦牛长期处于近亲交配，导致优良的麦洼牦牛品质持续退化，体质弱，体态小等。实施牲畜良种补贴，能有效的减少近亲交配，改善麦洼牦牛群体结构，达到提纯复壮的目的，同时也能改善畜副产品质量，从而提高农牧民经济增收和生活水平。包括</w:t>
            </w:r>
            <w:r>
              <w:rPr>
                <w:rFonts w:hint="eastAsia" w:ascii="宋体" w:hAnsi="宋体" w:eastAsia="宋体" w:cs="宋体"/>
                <w:sz w:val="24"/>
                <w:szCs w:val="24"/>
                <w:lang w:val="en-US" w:eastAsia="zh-CN"/>
              </w:rPr>
              <w:t>收益一般农户人口≥150人。</w:t>
            </w:r>
          </w:p>
        </w:tc>
      </w:tr>
      <w:tr w14:paraId="53748E2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CAB55D6">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7EEE8">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3366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5A6CE">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06F5E">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025A43">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lang w:val="en-US" w:eastAsia="zh-CN"/>
              </w:rPr>
              <w:t>优化牲畜结构，减少劣质牲畜，保护生态环境。</w:t>
            </w:r>
          </w:p>
        </w:tc>
      </w:tr>
      <w:tr w14:paraId="77847FA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355C3FF">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DD91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3FE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可持续发展</w:t>
            </w:r>
            <w:r>
              <w:rPr>
                <w:rFonts w:hint="eastAsia" w:ascii="宋体" w:hAnsi="宋体" w:eastAsia="宋体" w:cs="宋体"/>
                <w:color w:val="000000"/>
                <w:sz w:val="24"/>
                <w:szCs w:val="24"/>
              </w:rPr>
              <w:t>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25B818">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D3F8D">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1A47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项目建成后，项目持续使用年限达3年以上。</w:t>
            </w:r>
          </w:p>
          <w:p w14:paraId="2D078E63">
            <w:pPr>
              <w:widowControl/>
              <w:jc w:val="center"/>
              <w:textAlignment w:val="center"/>
              <w:rPr>
                <w:rFonts w:hint="eastAsia" w:ascii="宋体" w:hAnsi="宋体" w:eastAsia="宋体" w:cs="宋体"/>
                <w:color w:val="000000"/>
                <w:sz w:val="24"/>
                <w:szCs w:val="24"/>
              </w:rPr>
            </w:pPr>
          </w:p>
        </w:tc>
      </w:tr>
      <w:tr w14:paraId="3AE7FCF0">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C93D04C">
            <w:pPr>
              <w:widowControl/>
              <w:jc w:val="center"/>
              <w:textAlignment w:val="center"/>
              <w:rPr>
                <w:rFonts w:hint="eastAsia" w:ascii="宋体" w:hAns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68BE2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77155">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CFF35">
            <w:pPr>
              <w:widowControl/>
              <w:jc w:val="center"/>
              <w:textAlignment w:val="center"/>
              <w:rPr>
                <w:rFonts w:hint="eastAsia" w:ascii="宋体" w:hAns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7AADF2">
            <w:pPr>
              <w:widowControl/>
              <w:jc w:val="center"/>
              <w:textAlignment w:val="center"/>
              <w:rPr>
                <w:rFonts w:hint="eastAsia" w:ascii="宋体" w:hAnsi="宋体" w:eastAsia="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CF50BE">
            <w:pPr>
              <w:widowControl/>
              <w:jc w:val="center"/>
              <w:textAlignment w:val="center"/>
              <w:rPr>
                <w:rFonts w:hint="eastAsia" w:ascii="宋体" w:hAnsi="宋体" w:eastAsia="宋体" w:cs="宋体"/>
                <w:color w:val="000000"/>
                <w:sz w:val="24"/>
                <w:szCs w:val="24"/>
              </w:rPr>
            </w:pPr>
            <w:r>
              <w:rPr>
                <w:rFonts w:hint="eastAsia" w:ascii="宋体" w:hAnsi="宋体" w:eastAsia="宋体" w:cstheme="minorBidi"/>
                <w:color w:val="000000"/>
                <w:sz w:val="24"/>
                <w:szCs w:val="24"/>
                <w:lang w:val="en-US" w:eastAsia="zh-CN"/>
              </w:rPr>
              <w:t>服务群众满意度达到95%以上</w:t>
            </w:r>
          </w:p>
        </w:tc>
      </w:tr>
    </w:tbl>
    <w:p w14:paraId="20C2993C">
      <w:pPr>
        <w:spacing w:line="54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color w:val="000000"/>
          <w:sz w:val="44"/>
          <w:szCs w:val="44"/>
          <w:lang w:val="en-US" w:eastAsia="zh-CN"/>
        </w:rPr>
        <w:t>红原县2021年各乡镇多功能牲畜防疫巷道圈建设项目</w:t>
      </w:r>
      <w:r>
        <w:rPr>
          <w:rFonts w:hint="eastAsia" w:ascii="方正小标宋_GBK" w:hAnsi="方正小标宋_GBK" w:eastAsia="方正小标宋_GBK" w:cs="方正小标宋_GBK"/>
          <w:color w:val="000000"/>
          <w:sz w:val="44"/>
          <w:szCs w:val="44"/>
        </w:rPr>
        <w:t>绩效自评报告</w:t>
      </w:r>
    </w:p>
    <w:p w14:paraId="1E9EF93D">
      <w:pPr>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color w:val="000000"/>
          <w:sz w:val="32"/>
          <w:szCs w:val="32"/>
        </w:rPr>
        <w:t>一、</w:t>
      </w:r>
      <w:r>
        <w:rPr>
          <w:rFonts w:hint="eastAsia" w:ascii="仿宋_GB2312" w:hAnsi="仿宋_GB2312" w:eastAsia="仿宋_GB2312" w:cs="仿宋_GB2312"/>
          <w:b/>
          <w:bCs/>
          <w:color w:val="000000"/>
          <w:sz w:val="32"/>
          <w:szCs w:val="32"/>
          <w:lang w:eastAsia="zh-CN"/>
        </w:rPr>
        <w:t>项目概况</w:t>
      </w:r>
    </w:p>
    <w:p w14:paraId="7BE8DCA1">
      <w:pPr>
        <w:pageBreakBefore w:val="0"/>
        <w:widowControl w:val="0"/>
        <w:kinsoku/>
        <w:wordWrap/>
        <w:overflowPunct/>
        <w:topLinePunct w:val="0"/>
        <w:autoSpaceDE/>
        <w:autoSpaceDN/>
        <w:bidi w:val="0"/>
        <w:adjustRightInd/>
        <w:snapToGrid/>
        <w:spacing w:line="560" w:lineRule="exact"/>
        <w:ind w:left="0" w:firstLine="700"/>
        <w:jc w:val="left"/>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b/>
          <w:bCs/>
          <w:color w:val="000000"/>
          <w:sz w:val="32"/>
          <w:szCs w:val="32"/>
          <w:lang w:eastAsia="zh-CN"/>
        </w:rPr>
        <w:t>（一）项目基本情况</w:t>
      </w:r>
    </w:p>
    <w:p w14:paraId="7F4AD932">
      <w:pPr>
        <w:pageBreakBefore w:val="0"/>
        <w:widowControl w:val="0"/>
        <w:kinsoku/>
        <w:wordWrap/>
        <w:overflowPunct/>
        <w:topLinePunct w:val="0"/>
        <w:autoSpaceDE/>
        <w:autoSpaceDN/>
        <w:bidi w:val="0"/>
        <w:adjustRightInd/>
        <w:snapToGrid/>
        <w:spacing w:line="560" w:lineRule="exact"/>
        <w:ind w:left="0" w:firstLine="960" w:firstLineChars="3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2021年8月红原县财政局已红财发（2021）106号下达资金392万元。</w:t>
      </w:r>
    </w:p>
    <w:p w14:paraId="015300FE">
      <w:pPr>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jc w:val="lef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eastAsia="zh-CN"/>
        </w:rPr>
        <w:t>（二）项目绩效目标</w:t>
      </w:r>
    </w:p>
    <w:p w14:paraId="5AB22A33">
      <w:pPr>
        <w:pageBreakBefore w:val="0"/>
        <w:widowControl w:val="0"/>
        <w:numPr>
          <w:ilvl w:val="0"/>
          <w:numId w:val="0"/>
        </w:numPr>
        <w:kinsoku/>
        <w:wordWrap/>
        <w:overflowPunct/>
        <w:topLinePunct w:val="0"/>
        <w:autoSpaceDE/>
        <w:autoSpaceDN/>
        <w:bidi w:val="0"/>
        <w:adjustRightInd/>
        <w:snapToGrid/>
        <w:spacing w:line="560" w:lineRule="exact"/>
        <w:ind w:left="0" w:firstLine="960" w:firstLineChars="3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全县共建巷道圈</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个，每个巷道圈面积</w:t>
      </w:r>
      <w:r>
        <w:rPr>
          <w:rFonts w:hint="eastAsia" w:ascii="仿宋_GB2312" w:hAnsi="仿宋_GB2312" w:eastAsia="仿宋_GB2312" w:cs="仿宋_GB2312"/>
          <w:color w:val="000000"/>
          <w:sz w:val="32"/>
          <w:szCs w:val="32"/>
          <w:lang w:val="en-US" w:eastAsia="zh-CN"/>
        </w:rPr>
        <w:t>424.63</w:t>
      </w:r>
      <w:r>
        <w:rPr>
          <w:rFonts w:hint="eastAsia" w:ascii="仿宋_GB2312" w:hAnsi="仿宋_GB2312" w:eastAsia="仿宋_GB2312" w:cs="仿宋_GB2312"/>
          <w:color w:val="000000"/>
          <w:sz w:val="32"/>
          <w:szCs w:val="32"/>
        </w:rPr>
        <w:t>平米。共建巷道圈面积</w:t>
      </w:r>
      <w:r>
        <w:rPr>
          <w:rFonts w:hint="eastAsia" w:ascii="仿宋_GB2312" w:hAnsi="仿宋_GB2312" w:eastAsia="仿宋_GB2312" w:cs="仿宋_GB2312"/>
          <w:color w:val="000000"/>
          <w:sz w:val="32"/>
          <w:szCs w:val="32"/>
          <w:lang w:val="en-US" w:eastAsia="zh-CN"/>
        </w:rPr>
        <w:t>20806.87</w:t>
      </w:r>
      <w:r>
        <w:rPr>
          <w:rFonts w:hint="eastAsia" w:ascii="仿宋_GB2312" w:hAnsi="仿宋_GB2312" w:eastAsia="仿宋_GB2312" w:cs="仿宋_GB2312"/>
          <w:color w:val="000000"/>
          <w:sz w:val="32"/>
          <w:szCs w:val="32"/>
        </w:rPr>
        <w:t>平米。</w:t>
      </w:r>
    </w:p>
    <w:p w14:paraId="1B4656B0">
      <w:pPr>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b/>
          <w:bCs/>
          <w:color w:val="000000"/>
          <w:sz w:val="32"/>
          <w:szCs w:val="32"/>
          <w:lang w:eastAsia="zh-CN"/>
        </w:rPr>
        <w:t>二、项目</w:t>
      </w:r>
      <w:r>
        <w:rPr>
          <w:rFonts w:hint="eastAsia" w:ascii="仿宋_GB2312" w:hAnsi="仿宋_GB2312" w:eastAsia="仿宋_GB2312" w:cs="仿宋_GB2312"/>
          <w:b/>
          <w:bCs/>
          <w:color w:val="000000"/>
          <w:sz w:val="32"/>
          <w:szCs w:val="32"/>
        </w:rPr>
        <w:t>自评</w:t>
      </w:r>
      <w:r>
        <w:rPr>
          <w:rFonts w:hint="eastAsia" w:ascii="仿宋_GB2312" w:hAnsi="仿宋_GB2312" w:eastAsia="仿宋_GB2312" w:cs="仿宋_GB2312"/>
          <w:b/>
          <w:bCs/>
          <w:color w:val="000000"/>
          <w:sz w:val="32"/>
          <w:szCs w:val="32"/>
          <w:lang w:eastAsia="zh-CN"/>
        </w:rPr>
        <w:t>步骤及方法</w:t>
      </w:r>
    </w:p>
    <w:p w14:paraId="13161F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自评工作开展范围</w:t>
      </w:r>
      <w:r>
        <w:rPr>
          <w:rFonts w:hint="eastAsia" w:ascii="仿宋_GB2312" w:hAnsi="仿宋_GB2312" w:eastAsia="仿宋_GB2312" w:cs="仿宋_GB2312"/>
          <w:color w:val="000000"/>
          <w:sz w:val="32"/>
          <w:szCs w:val="32"/>
          <w:lang w:val="en-US" w:eastAsia="zh-CN"/>
        </w:rPr>
        <w:t>为全县</w:t>
      </w:r>
      <w:r>
        <w:rPr>
          <w:rFonts w:hint="eastAsia" w:ascii="仿宋_GB2312" w:hAnsi="仿宋_GB2312" w:eastAsia="仿宋_GB2312" w:cs="仿宋_GB2312"/>
          <w:color w:val="000000"/>
          <w:sz w:val="32"/>
          <w:szCs w:val="32"/>
        </w:rPr>
        <w:t>、对象</w:t>
      </w:r>
      <w:r>
        <w:rPr>
          <w:rFonts w:hint="eastAsia" w:ascii="仿宋_GB2312" w:hAnsi="仿宋_GB2312" w:eastAsia="仿宋_GB2312" w:cs="仿宋_GB2312"/>
          <w:color w:val="000000"/>
          <w:sz w:val="32"/>
          <w:szCs w:val="32"/>
          <w:lang w:val="en-US" w:eastAsia="zh-CN"/>
        </w:rPr>
        <w:t>为服务群众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2021年10月</w:t>
      </w:r>
      <w:r>
        <w:rPr>
          <w:rFonts w:hint="eastAsia" w:ascii="仿宋_GB2312" w:hAnsi="仿宋_GB2312" w:eastAsia="仿宋_GB2312" w:cs="仿宋_GB2312"/>
          <w:color w:val="000000"/>
          <w:sz w:val="32"/>
          <w:szCs w:val="32"/>
        </w:rPr>
        <w:t>。</w:t>
      </w:r>
    </w:p>
    <w:p w14:paraId="298A5260">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color w:val="000000"/>
          <w:sz w:val="32"/>
          <w:szCs w:val="32"/>
        </w:rPr>
        <w:t>三、</w:t>
      </w:r>
      <w:r>
        <w:rPr>
          <w:rFonts w:hint="eastAsia" w:ascii="仿宋_GB2312" w:hAnsi="仿宋_GB2312" w:eastAsia="仿宋_GB2312" w:cs="仿宋_GB2312"/>
          <w:b/>
          <w:bCs/>
          <w:color w:val="000000"/>
          <w:sz w:val="32"/>
          <w:szCs w:val="32"/>
          <w:lang w:eastAsia="zh-CN"/>
        </w:rPr>
        <w:t>项目资金申报及使用情况</w:t>
      </w:r>
    </w:p>
    <w:p w14:paraId="61C24903">
      <w:pPr>
        <w:keepNext w:val="0"/>
        <w:keepLines w:val="0"/>
        <w:pageBreakBefore w:val="0"/>
        <w:widowControl w:val="0"/>
        <w:kinsoku/>
        <w:wordWrap/>
        <w:overflowPunct/>
        <w:topLinePunct w:val="0"/>
        <w:autoSpaceDE/>
        <w:autoSpaceDN/>
        <w:bidi w:val="0"/>
        <w:adjustRightInd/>
        <w:snapToGrid/>
        <w:spacing w:line="560" w:lineRule="exact"/>
        <w:ind w:firstLine="321" w:firstLineChars="1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（一）资金投入情况分析。</w:t>
      </w:r>
    </w:p>
    <w:p w14:paraId="64D798CE">
      <w:pPr>
        <w:keepNext w:val="0"/>
        <w:keepLines w:val="0"/>
        <w:pageBreakBefore w:val="0"/>
        <w:widowControl w:val="0"/>
        <w:kinsoku/>
        <w:wordWrap/>
        <w:overflowPunct/>
        <w:topLinePunct w:val="0"/>
        <w:autoSpaceDE/>
        <w:autoSpaceDN/>
        <w:bidi w:val="0"/>
        <w:adjustRightInd/>
        <w:snapToGrid/>
        <w:spacing w:line="560" w:lineRule="exact"/>
        <w:ind w:left="0" w:leftChars="0" w:firstLine="7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1．项目资金到位情况分析。</w:t>
      </w:r>
    </w:p>
    <w:p w14:paraId="5FF7B4E8">
      <w:pPr>
        <w:keepNext w:val="0"/>
        <w:keepLines w:val="0"/>
        <w:pageBreakBefore w:val="0"/>
        <w:widowControl w:val="0"/>
        <w:kinsoku/>
        <w:wordWrap/>
        <w:overflowPunct/>
        <w:topLinePunct w:val="0"/>
        <w:autoSpaceDE/>
        <w:autoSpaceDN/>
        <w:bidi w:val="0"/>
        <w:adjustRightInd/>
        <w:snapToGrid/>
        <w:spacing w:line="560" w:lineRule="exact"/>
        <w:ind w:left="0" w:leftChars="0" w:firstLine="7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项目资金到位392万元。</w:t>
      </w:r>
    </w:p>
    <w:p w14:paraId="50A90146">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700" w:firstLineChars="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项目资金执行情况分析。</w:t>
      </w:r>
    </w:p>
    <w:p w14:paraId="5EA3F9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left"/>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使用392万元。</w:t>
      </w:r>
    </w:p>
    <w:p w14:paraId="363F26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321" w:firstLineChars="100"/>
        <w:jc w:val="lef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(二)</w:t>
      </w:r>
      <w:r>
        <w:rPr>
          <w:rFonts w:hint="eastAsia" w:ascii="仿宋_GB2312" w:hAnsi="仿宋_GB2312" w:eastAsia="仿宋_GB2312" w:cs="仿宋_GB2312"/>
          <w:b/>
          <w:bCs/>
          <w:color w:val="000000"/>
          <w:sz w:val="32"/>
          <w:szCs w:val="32"/>
        </w:rPr>
        <w:t>项目资金管理情况分析。</w:t>
      </w:r>
    </w:p>
    <w:p w14:paraId="3303D49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为防止项目国家建设资金被挪用、占用、浪费，保证项目顺利实施，红原县扶贫开发局必须在县财政局协助下制定严格的资金使用规定和程序，接受监督、检查和审计。 </w:t>
      </w:r>
    </w:p>
    <w:p w14:paraId="4AF372EC">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1、严格资金管理，实行专款专用</w:t>
      </w:r>
    </w:p>
    <w:p w14:paraId="23F60F85">
      <w:pPr>
        <w:pStyle w:val="8"/>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在资金使用方面，根据国家有关规定，国家转移支付用于国家项目建设的资金必须专款专用，任何单位和个人不得以任何理由挪作它用。统一资金报帐制度，严格帐目管理、监督，确保资金正确使用。</w:t>
      </w:r>
    </w:p>
    <w:p w14:paraId="2F387124">
      <w:pPr>
        <w:pStyle w:val="8"/>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2、工程建设项目实行招投标制进行建设，红原县扶贫开发局应加强工程现场监管，确保工程质量。</w:t>
      </w:r>
    </w:p>
    <w:p w14:paraId="4AA205E6">
      <w:pPr>
        <w:pStyle w:val="5"/>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lang w:eastAsia="zh-CN"/>
        </w:rPr>
        <w:t>四、</w:t>
      </w:r>
      <w:r>
        <w:rPr>
          <w:rFonts w:hint="eastAsia"/>
        </w:rPr>
        <w:t>绩效目标完成情况分析。</w:t>
      </w:r>
    </w:p>
    <w:p w14:paraId="63580621">
      <w:pPr>
        <w:pageBreakBefore w:val="0"/>
        <w:widowControl w:val="0"/>
        <w:kinsoku/>
        <w:wordWrap/>
        <w:overflowPunct/>
        <w:topLinePunct w:val="0"/>
        <w:autoSpaceDE/>
        <w:autoSpaceDN/>
        <w:bidi w:val="0"/>
        <w:adjustRightInd/>
        <w:snapToGrid/>
        <w:spacing w:line="560" w:lineRule="exact"/>
        <w:ind w:left="0" w:firstLine="7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lang w:eastAsia="zh-CN"/>
        </w:rPr>
        <w:t>（一）</w:t>
      </w:r>
      <w:r>
        <w:rPr>
          <w:rFonts w:hint="eastAsia" w:ascii="仿宋_GB2312" w:hAnsi="仿宋_GB2312" w:eastAsia="仿宋_GB2312" w:cs="仿宋_GB2312"/>
          <w:b/>
          <w:bCs/>
          <w:color w:val="000000"/>
          <w:sz w:val="32"/>
          <w:szCs w:val="32"/>
        </w:rPr>
        <w:t>产出指标完成情况分析。</w:t>
      </w:r>
    </w:p>
    <w:p w14:paraId="077673C6">
      <w:pPr>
        <w:pageBreakBefore w:val="0"/>
        <w:widowControl w:val="0"/>
        <w:kinsoku/>
        <w:wordWrap/>
        <w:overflowPunct/>
        <w:topLinePunct w:val="0"/>
        <w:autoSpaceDE/>
        <w:autoSpaceDN/>
        <w:bidi w:val="0"/>
        <w:adjustRightInd/>
        <w:snapToGrid/>
        <w:spacing w:line="560" w:lineRule="exact"/>
        <w:ind w:left="0" w:firstLine="7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包括产出数量、质量、时效、以及成本指标完成情况。</w:t>
      </w:r>
    </w:p>
    <w:p w14:paraId="227FE4DB">
      <w:pPr>
        <w:pageBreakBefore w:val="0"/>
        <w:widowControl w:val="0"/>
        <w:kinsoku/>
        <w:wordWrap/>
        <w:overflowPunct/>
        <w:topLinePunct w:val="0"/>
        <w:autoSpaceDE/>
        <w:autoSpaceDN/>
        <w:bidi w:val="0"/>
        <w:adjustRightInd/>
        <w:snapToGrid/>
        <w:spacing w:line="560" w:lineRule="exact"/>
        <w:ind w:left="0" w:firstLine="7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eastAsia="zh-CN"/>
        </w:rPr>
        <w:t>（二）</w:t>
      </w:r>
      <w:r>
        <w:rPr>
          <w:rFonts w:hint="eastAsia" w:ascii="仿宋_GB2312" w:hAnsi="仿宋_GB2312" w:eastAsia="仿宋_GB2312" w:cs="仿宋_GB2312"/>
          <w:b/>
          <w:bCs/>
          <w:color w:val="000000"/>
          <w:sz w:val="32"/>
          <w:szCs w:val="32"/>
        </w:rPr>
        <w:t>效益指标完成情况分析。</w:t>
      </w:r>
    </w:p>
    <w:p w14:paraId="0FFEA7B2">
      <w:pPr>
        <w:pageBreakBefore w:val="0"/>
        <w:widowControl w:val="0"/>
        <w:kinsoku/>
        <w:wordWrap/>
        <w:overflowPunct/>
        <w:topLinePunct w:val="0"/>
        <w:autoSpaceDE/>
        <w:autoSpaceDN/>
        <w:bidi w:val="0"/>
        <w:adjustRightInd/>
        <w:snapToGrid/>
        <w:spacing w:line="560" w:lineRule="exact"/>
        <w:ind w:left="0" w:firstLine="62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生态效益分析</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通过红原县2021年各乡镇牲畜防疫巷道圈建设项目的实施，有利于草畜品种改良、人工种草、草畜动态平衡等现代畜牧生产技术得到应用推广。项目建成后在牲畜疾病预防、牲畜出栏方面带来极大的方便，可以实现畜牧生产和草原保护建设良性发展。</w:t>
      </w:r>
    </w:p>
    <w:p w14:paraId="185B094D">
      <w:pPr>
        <w:pageBreakBefore w:val="0"/>
        <w:widowControl w:val="0"/>
        <w:kinsoku/>
        <w:wordWrap/>
        <w:overflowPunct/>
        <w:topLinePunct w:val="0"/>
        <w:autoSpaceDE/>
        <w:autoSpaceDN/>
        <w:bidi w:val="0"/>
        <w:adjustRightInd/>
        <w:snapToGrid/>
        <w:spacing w:line="560" w:lineRule="exact"/>
        <w:ind w:left="0" w:firstLine="62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经济效益分析</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项目运营后</w:t>
      </w:r>
      <w:r>
        <w:rPr>
          <w:rFonts w:hint="eastAsia" w:ascii="仿宋_GB2312" w:hAnsi="仿宋_GB2312" w:eastAsia="仿宋_GB2312" w:cs="仿宋_GB2312"/>
          <w:color w:val="000000"/>
          <w:sz w:val="32"/>
          <w:szCs w:val="32"/>
        </w:rPr>
        <w:t>本身不能产生直接经济效益，但由于工程施工</w:t>
      </w:r>
      <w:r>
        <w:rPr>
          <w:rFonts w:hint="eastAsia" w:ascii="仿宋_GB2312" w:hAnsi="仿宋_GB2312" w:eastAsia="仿宋_GB2312" w:cs="仿宋_GB2312"/>
          <w:color w:val="000000"/>
          <w:sz w:val="32"/>
          <w:szCs w:val="32"/>
          <w:lang w:eastAsia="zh-CN"/>
        </w:rPr>
        <w:t>所需要农民工，因此，本项目的实施可为当地农民工提供就业机会，增加收入；</w:t>
      </w:r>
      <w:r>
        <w:rPr>
          <w:rFonts w:hint="eastAsia" w:ascii="仿宋_GB2312" w:hAnsi="仿宋_GB2312" w:eastAsia="仿宋_GB2312" w:cs="仿宋_GB2312"/>
          <w:color w:val="000000"/>
          <w:sz w:val="32"/>
          <w:szCs w:val="32"/>
          <w:lang w:val="en-US" w:eastAsia="zh-CN"/>
        </w:rPr>
        <w:t>另外红原县2021年各乡镇牲畜防疫巷道圈建设项目</w:t>
      </w:r>
      <w:r>
        <w:rPr>
          <w:rFonts w:hint="eastAsia" w:ascii="仿宋_GB2312" w:hAnsi="仿宋_GB2312" w:eastAsia="仿宋_GB2312" w:cs="仿宋_GB2312"/>
          <w:color w:val="000000"/>
          <w:sz w:val="32"/>
          <w:szCs w:val="32"/>
          <w:lang w:eastAsia="zh-CN"/>
        </w:rPr>
        <w:t>的实施，将有效推行培育和发展牧区新型经营主体，有效防止牲畜病害产生，构建新型市场经营方式，为牧区畜牧业经济增长打下坚实的基础。</w:t>
      </w:r>
    </w:p>
    <w:p w14:paraId="072A96AA">
      <w:pPr>
        <w:pageBreakBefore w:val="0"/>
        <w:widowControl w:val="0"/>
        <w:kinsoku/>
        <w:wordWrap/>
        <w:overflowPunct/>
        <w:topLinePunct w:val="0"/>
        <w:autoSpaceDE/>
        <w:autoSpaceDN/>
        <w:bidi w:val="0"/>
        <w:adjustRightInd/>
        <w:snapToGrid/>
        <w:spacing w:line="560" w:lineRule="exact"/>
        <w:ind w:left="0" w:firstLine="62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社会效益分析</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红原县2021年各乡镇牲畜防疫巷道圈建设项目</w:t>
      </w:r>
      <w:r>
        <w:rPr>
          <w:rFonts w:hint="eastAsia" w:ascii="仿宋_GB2312" w:hAnsi="仿宋_GB2312" w:eastAsia="仿宋_GB2312" w:cs="仿宋_GB2312"/>
          <w:color w:val="000000"/>
          <w:sz w:val="32"/>
          <w:szCs w:val="32"/>
        </w:rPr>
        <w:t>的实施，将进一步加快草原畜牧业转型升级，促进畜牧业生产方式转变，带动和提高周边地区畜牧生产能力提高，促进牧户增收，有利于维护民族地区团结和社会稳定。</w:t>
      </w:r>
    </w:p>
    <w:p w14:paraId="6C192699">
      <w:pPr>
        <w:pageBreakBefore w:val="0"/>
        <w:widowControl w:val="0"/>
        <w:kinsoku/>
        <w:wordWrap/>
        <w:overflowPunct/>
        <w:topLinePunct w:val="0"/>
        <w:autoSpaceDE/>
        <w:autoSpaceDN/>
        <w:bidi w:val="0"/>
        <w:adjustRightInd/>
        <w:snapToGrid/>
        <w:spacing w:line="560" w:lineRule="exact"/>
        <w:ind w:left="0" w:firstLine="62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eastAsia="zh-CN"/>
        </w:rPr>
        <w:t>（三）</w:t>
      </w:r>
      <w:r>
        <w:rPr>
          <w:rFonts w:hint="eastAsia" w:ascii="仿宋_GB2312" w:hAnsi="仿宋_GB2312" w:eastAsia="仿宋_GB2312" w:cs="仿宋_GB2312"/>
          <w:b/>
          <w:bCs/>
          <w:color w:val="000000"/>
          <w:sz w:val="32"/>
          <w:szCs w:val="32"/>
        </w:rPr>
        <w:t>满意度指标完成情况分析。</w:t>
      </w:r>
    </w:p>
    <w:p w14:paraId="59EFCA73">
      <w:pPr>
        <w:pStyle w:val="8"/>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服务群众满意度达到95%以上。</w:t>
      </w:r>
    </w:p>
    <w:p w14:paraId="2DF10B4D">
      <w:pPr>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eastAsia="zh-CN"/>
        </w:rPr>
        <w:t>五</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lang w:val="en-US" w:eastAsia="zh-CN"/>
        </w:rPr>
        <w:t>资产后续管护及运营情况</w:t>
      </w:r>
    </w:p>
    <w:p w14:paraId="4A3766F2">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项目建成后，由项目关联乡镇人民政府监督关联村成立巷道圈管理小组，按照谁使用谁受益谁负责的办法成立巷道圈管理小组，管理小组由巷道圈就近牧户为主要成员，村书记或是村长为组长。</w:t>
      </w:r>
    </w:p>
    <w:p w14:paraId="7459F8C9">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宋体" w:hAnsi="宋体" w:eastAsia="宋体" w:cstheme="minorBidi"/>
          <w:color w:val="000000"/>
          <w:sz w:val="30"/>
          <w:szCs w:val="22"/>
          <w:lang w:val="en-US" w:eastAsia="zh-CN"/>
        </w:rPr>
      </w:pPr>
      <w:r>
        <w:rPr>
          <w:rFonts w:hint="eastAsia" w:ascii="仿宋_GB2312" w:hAnsi="仿宋_GB2312" w:eastAsia="仿宋_GB2312" w:cs="仿宋_GB2312"/>
          <w:color w:val="000000"/>
          <w:sz w:val="32"/>
          <w:szCs w:val="32"/>
          <w:lang w:val="en-US" w:eastAsia="zh-CN"/>
        </w:rPr>
        <w:t>管理小组负责对巷道圈的合理使用和安全维护负责，乡镇人民政府定期组织巡查。</w:t>
      </w:r>
    </w:p>
    <w:p w14:paraId="4206D1A4">
      <w:pPr>
        <w:pStyle w:val="8"/>
        <w:pageBreakBefore w:val="0"/>
        <w:widowControl w:val="0"/>
        <w:kinsoku/>
        <w:wordWrap/>
        <w:overflowPunct/>
        <w:topLinePunct w:val="0"/>
        <w:autoSpaceDE/>
        <w:autoSpaceDN/>
        <w:bidi w:val="0"/>
        <w:adjustRightInd/>
        <w:snapToGrid/>
        <w:spacing w:line="560" w:lineRule="exact"/>
        <w:ind w:left="0"/>
        <w:textAlignment w:val="auto"/>
        <w:rPr>
          <w:rFonts w:hint="eastAsia" w:ascii="宋体" w:hAnsi="宋体" w:cs="宋体"/>
          <w:sz w:val="24"/>
          <w:szCs w:val="24"/>
          <w:lang w:eastAsia="zh-CN"/>
        </w:rPr>
      </w:pPr>
    </w:p>
    <w:p w14:paraId="4496EFC7">
      <w:pPr>
        <w:pStyle w:val="8"/>
        <w:pageBreakBefore w:val="0"/>
        <w:widowControl w:val="0"/>
        <w:kinsoku/>
        <w:wordWrap/>
        <w:overflowPunct/>
        <w:topLinePunct w:val="0"/>
        <w:autoSpaceDE/>
        <w:autoSpaceDN/>
        <w:bidi w:val="0"/>
        <w:adjustRightInd/>
        <w:snapToGrid/>
        <w:spacing w:line="560" w:lineRule="exact"/>
        <w:ind w:left="0"/>
        <w:textAlignment w:val="auto"/>
        <w:rPr>
          <w:rFonts w:hint="eastAsia" w:ascii="宋体" w:hAnsi="宋体" w:eastAsia="宋体" w:cs="宋体"/>
          <w:sz w:val="24"/>
          <w:szCs w:val="24"/>
          <w:lang w:eastAsia="zh-CN"/>
        </w:rPr>
      </w:pPr>
      <w:r>
        <w:rPr>
          <w:rFonts w:hint="eastAsia" w:ascii="宋体" w:hAnsi="宋体" w:cs="宋体"/>
          <w:sz w:val="24"/>
          <w:szCs w:val="24"/>
          <w:lang w:eastAsia="zh-CN"/>
        </w:rPr>
        <w:t>附表</w:t>
      </w:r>
    </w:p>
    <w:p w14:paraId="736E8EA7">
      <w:pPr>
        <w:rPr>
          <w:rFonts w:hint="eastAsia" w:ascii="宋体" w:hAnsi="宋体" w:eastAsia="宋体" w:cs="宋体"/>
          <w:sz w:val="24"/>
          <w:szCs w:val="24"/>
        </w:rPr>
      </w:pPr>
    </w:p>
    <w:p w14:paraId="4B743660">
      <w:pPr>
        <w:pStyle w:val="8"/>
        <w:rPr>
          <w:rFonts w:hint="eastAsia" w:ascii="宋体" w:hAnsi="宋体" w:eastAsia="宋体" w:cs="宋体"/>
          <w:sz w:val="24"/>
          <w:szCs w:val="24"/>
        </w:rPr>
      </w:pPr>
    </w:p>
    <w:tbl>
      <w:tblPr>
        <w:tblStyle w:val="17"/>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B0E94B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C6643ED">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2376E01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6E564">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AED22">
            <w:pPr>
              <w:widowControl/>
              <w:jc w:val="center"/>
              <w:textAlignment w:val="center"/>
              <w:rPr>
                <w:rFonts w:ascii="宋体" w:cs="宋体"/>
                <w:color w:val="000000"/>
                <w:sz w:val="24"/>
              </w:rPr>
            </w:pPr>
            <w:r>
              <w:rPr>
                <w:rFonts w:hint="eastAsia" w:ascii="宋体" w:hAnsi="宋体" w:eastAsia="宋体"/>
                <w:color w:val="000000"/>
                <w:sz w:val="30"/>
                <w:lang w:val="en-US" w:eastAsia="zh-CN"/>
              </w:rPr>
              <w:t>各乡镇多功能牲畜防疫巷道圈建设项目</w:t>
            </w:r>
          </w:p>
        </w:tc>
      </w:tr>
      <w:tr w14:paraId="0CEA860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81B79">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173C6">
            <w:pPr>
              <w:widowControl/>
              <w:jc w:val="center"/>
              <w:textAlignment w:val="center"/>
              <w:rPr>
                <w:rFonts w:ascii="宋体" w:cs="宋体"/>
                <w:color w:val="000000"/>
                <w:sz w:val="24"/>
              </w:rPr>
            </w:pPr>
            <w:r>
              <w:rPr>
                <w:rFonts w:hint="eastAsia" w:ascii="宋体" w:cs="宋体"/>
                <w:color w:val="000000"/>
                <w:sz w:val="24"/>
              </w:rPr>
              <w:t>科农局</w:t>
            </w:r>
          </w:p>
        </w:tc>
      </w:tr>
      <w:tr w14:paraId="5FD23F0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F04E64">
            <w:pPr>
              <w:widowControl/>
              <w:jc w:val="center"/>
              <w:textAlignment w:val="center"/>
              <w:rPr>
                <w:rFonts w:hint="eastAsia" w:ascii="宋体" w:eastAsia="宋体" w:cs="宋体"/>
                <w:color w:val="000000"/>
                <w:sz w:val="24"/>
                <w:lang w:eastAsia="zh-CN"/>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21495">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2051D3">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392.00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20587">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189E7">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392.00</w:t>
            </w:r>
          </w:p>
        </w:tc>
      </w:tr>
      <w:tr w14:paraId="4253287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FC97E">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C22A0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2BE5CC">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392.00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C458F6">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289A94">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392.00</w:t>
            </w:r>
          </w:p>
        </w:tc>
      </w:tr>
      <w:tr w14:paraId="31DA6582">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997BEE">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5103F">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0E4D87">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59C2B">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FB6A63">
            <w:pPr>
              <w:jc w:val="center"/>
              <w:rPr>
                <w:rFonts w:ascii="宋体" w:cs="宋体"/>
                <w:color w:val="000000"/>
                <w:sz w:val="24"/>
              </w:rPr>
            </w:pPr>
          </w:p>
        </w:tc>
      </w:tr>
      <w:tr w14:paraId="79DF1AD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50B4A9">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37638">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5CE29">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1E318812">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61C08B">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00B42E">
            <w:pPr>
              <w:numPr>
                <w:ilvl w:val="0"/>
                <w:numId w:val="0"/>
              </w:numPr>
              <w:spacing w:line="540" w:lineRule="exact"/>
              <w:ind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全县共建巷道圈</w:t>
            </w:r>
            <w:r>
              <w:rPr>
                <w:rFonts w:hint="eastAsia" w:ascii="宋体" w:hAnsi="宋体" w:eastAsia="宋体"/>
                <w:color w:val="000000"/>
                <w:sz w:val="24"/>
                <w:szCs w:val="24"/>
                <w:lang w:val="en-US" w:eastAsia="zh-CN"/>
              </w:rPr>
              <w:t>49</w:t>
            </w:r>
            <w:r>
              <w:rPr>
                <w:rFonts w:hint="eastAsia" w:ascii="宋体" w:hAnsi="宋体" w:eastAsia="宋体"/>
                <w:color w:val="000000"/>
                <w:sz w:val="24"/>
                <w:szCs w:val="24"/>
              </w:rPr>
              <w:t>个，每个巷道圈面积</w:t>
            </w:r>
            <w:r>
              <w:rPr>
                <w:rFonts w:hint="eastAsia" w:ascii="宋体" w:hAnsi="宋体" w:eastAsia="宋体"/>
                <w:color w:val="000000"/>
                <w:sz w:val="24"/>
                <w:szCs w:val="24"/>
                <w:lang w:val="en-US" w:eastAsia="zh-CN"/>
              </w:rPr>
              <w:t>424.63</w:t>
            </w:r>
            <w:r>
              <w:rPr>
                <w:rFonts w:hint="eastAsia" w:ascii="宋体" w:hAnsi="宋体" w:eastAsia="宋体"/>
                <w:color w:val="000000"/>
                <w:sz w:val="24"/>
                <w:szCs w:val="24"/>
              </w:rPr>
              <w:t>平米。共建巷道圈面积</w:t>
            </w:r>
            <w:r>
              <w:rPr>
                <w:rFonts w:hint="eastAsia" w:ascii="宋体" w:hAnsi="宋体" w:eastAsia="宋体"/>
                <w:color w:val="000000"/>
                <w:sz w:val="24"/>
                <w:szCs w:val="24"/>
                <w:lang w:val="en-US" w:eastAsia="zh-CN"/>
              </w:rPr>
              <w:t>20806.87</w:t>
            </w:r>
            <w:r>
              <w:rPr>
                <w:rFonts w:hint="eastAsia" w:ascii="宋体" w:hAnsi="宋体" w:eastAsia="宋体"/>
                <w:color w:val="000000"/>
                <w:sz w:val="24"/>
                <w:szCs w:val="24"/>
              </w:rPr>
              <w:t>平米。</w:t>
            </w:r>
          </w:p>
          <w:p w14:paraId="3869B155">
            <w:pPr>
              <w:widowControl/>
              <w:jc w:val="center"/>
              <w:textAlignment w:val="center"/>
              <w:rPr>
                <w:rFonts w:ascii="宋体" w:cs="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1D42F6">
            <w:pPr>
              <w:numPr>
                <w:ilvl w:val="0"/>
                <w:numId w:val="0"/>
              </w:numPr>
              <w:spacing w:line="540" w:lineRule="exact"/>
              <w:ind w:firstLine="480" w:firstLineChars="200"/>
              <w:jc w:val="left"/>
              <w:rPr>
                <w:rFonts w:hint="eastAsia" w:ascii="宋体" w:hAnsi="宋体" w:eastAsia="宋体"/>
                <w:color w:val="000000"/>
                <w:sz w:val="24"/>
                <w:szCs w:val="24"/>
              </w:rPr>
            </w:pPr>
            <w:r>
              <w:rPr>
                <w:rFonts w:hint="eastAsia" w:ascii="宋体" w:hAnsi="宋体"/>
                <w:color w:val="000000"/>
                <w:sz w:val="24"/>
                <w:szCs w:val="24"/>
                <w:lang w:eastAsia="zh-CN"/>
              </w:rPr>
              <w:t>完成</w:t>
            </w:r>
            <w:r>
              <w:rPr>
                <w:rFonts w:hint="eastAsia" w:ascii="宋体" w:hAnsi="宋体" w:eastAsia="宋体"/>
                <w:color w:val="000000"/>
                <w:sz w:val="24"/>
                <w:szCs w:val="24"/>
              </w:rPr>
              <w:t>全县共建巷道圈</w:t>
            </w:r>
            <w:r>
              <w:rPr>
                <w:rFonts w:hint="eastAsia" w:ascii="宋体" w:hAnsi="宋体" w:eastAsia="宋体"/>
                <w:color w:val="000000"/>
                <w:sz w:val="24"/>
                <w:szCs w:val="24"/>
                <w:lang w:val="en-US" w:eastAsia="zh-CN"/>
              </w:rPr>
              <w:t>49</w:t>
            </w:r>
            <w:r>
              <w:rPr>
                <w:rFonts w:hint="eastAsia" w:ascii="宋体" w:hAnsi="宋体" w:eastAsia="宋体"/>
                <w:color w:val="000000"/>
                <w:sz w:val="24"/>
                <w:szCs w:val="24"/>
              </w:rPr>
              <w:t>个，每个巷道圈面积</w:t>
            </w:r>
            <w:r>
              <w:rPr>
                <w:rFonts w:hint="eastAsia" w:ascii="宋体" w:hAnsi="宋体" w:eastAsia="宋体"/>
                <w:color w:val="000000"/>
                <w:sz w:val="24"/>
                <w:szCs w:val="24"/>
                <w:lang w:val="en-US" w:eastAsia="zh-CN"/>
              </w:rPr>
              <w:t>424.63</w:t>
            </w:r>
            <w:r>
              <w:rPr>
                <w:rFonts w:hint="eastAsia" w:ascii="宋体" w:hAnsi="宋体" w:eastAsia="宋体"/>
                <w:color w:val="000000"/>
                <w:sz w:val="24"/>
                <w:szCs w:val="24"/>
              </w:rPr>
              <w:t>平米。共建巷道圈面积</w:t>
            </w:r>
            <w:r>
              <w:rPr>
                <w:rFonts w:hint="eastAsia" w:ascii="宋体" w:hAnsi="宋体" w:eastAsia="宋体"/>
                <w:color w:val="000000"/>
                <w:sz w:val="24"/>
                <w:szCs w:val="24"/>
                <w:lang w:val="en-US" w:eastAsia="zh-CN"/>
              </w:rPr>
              <w:t>20806.87</w:t>
            </w:r>
            <w:r>
              <w:rPr>
                <w:rFonts w:hint="eastAsia" w:ascii="宋体" w:hAnsi="宋体" w:eastAsia="宋体"/>
                <w:color w:val="000000"/>
                <w:sz w:val="24"/>
                <w:szCs w:val="24"/>
              </w:rPr>
              <w:t>平米。</w:t>
            </w:r>
          </w:p>
          <w:p w14:paraId="6A5CC246">
            <w:pPr>
              <w:widowControl/>
              <w:jc w:val="center"/>
              <w:textAlignment w:val="center"/>
              <w:rPr>
                <w:rFonts w:ascii="宋体" w:cs="宋体"/>
                <w:color w:val="000000"/>
                <w:sz w:val="24"/>
                <w:szCs w:val="24"/>
              </w:rPr>
            </w:pPr>
          </w:p>
        </w:tc>
      </w:tr>
      <w:tr w14:paraId="475508FF">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D378B2F">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E47091">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FDFCF">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1ACE4">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AAF3F4">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F8A4E">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72513787">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A8D8568">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2C882B">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EC7E0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C246E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8464E4">
            <w:pPr>
              <w:widowControl/>
              <w:ind w:firstLine="480" w:firstLineChars="200"/>
              <w:jc w:val="both"/>
              <w:textAlignment w:val="center"/>
              <w:rPr>
                <w:rFonts w:ascii="宋体" w:cs="宋体"/>
                <w:color w:val="000000"/>
                <w:sz w:val="24"/>
              </w:rPr>
            </w:pPr>
            <w:r>
              <w:rPr>
                <w:rFonts w:hint="eastAsia" w:ascii="宋体" w:hAnsi="宋体" w:eastAsia="宋体"/>
                <w:color w:val="000000"/>
                <w:sz w:val="24"/>
                <w:szCs w:val="24"/>
                <w:lang w:val="en-US" w:eastAsia="zh-CN"/>
              </w:rPr>
              <w:t>49</w:t>
            </w:r>
            <w:r>
              <w:rPr>
                <w:rFonts w:hint="eastAsia" w:ascii="宋体" w:hAnsi="宋体" w:eastAsia="宋体"/>
                <w:color w:val="000000"/>
                <w:sz w:val="24"/>
                <w:szCs w:val="24"/>
              </w:rPr>
              <w:t>个巷道圈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F8AF8B">
            <w:pPr>
              <w:widowControl/>
              <w:jc w:val="center"/>
              <w:textAlignment w:val="center"/>
              <w:rPr>
                <w:rFonts w:ascii="宋体" w:cs="宋体"/>
                <w:color w:val="000000"/>
                <w:sz w:val="24"/>
              </w:rPr>
            </w:pPr>
            <w:r>
              <w:rPr>
                <w:rFonts w:hint="eastAsia" w:ascii="宋体" w:hAnsi="宋体" w:eastAsia="宋体"/>
                <w:color w:val="000000"/>
                <w:sz w:val="24"/>
                <w:szCs w:val="24"/>
                <w:lang w:val="en-US" w:eastAsia="zh-CN"/>
              </w:rPr>
              <w:t>49</w:t>
            </w:r>
            <w:r>
              <w:rPr>
                <w:rFonts w:hint="eastAsia" w:ascii="宋体" w:hAnsi="宋体" w:eastAsia="宋体"/>
                <w:color w:val="000000"/>
                <w:sz w:val="24"/>
                <w:szCs w:val="24"/>
              </w:rPr>
              <w:t>个巷道圈</w:t>
            </w:r>
          </w:p>
        </w:tc>
      </w:tr>
      <w:tr w14:paraId="05A4BAF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D13614A">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D2F0E">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59E92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A5C7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00CA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A5CE5">
            <w:pPr>
              <w:widowControl/>
              <w:jc w:val="center"/>
              <w:textAlignment w:val="center"/>
              <w:rPr>
                <w:rFonts w:ascii="宋体" w:cs="宋体"/>
                <w:color w:val="000000"/>
                <w:sz w:val="24"/>
              </w:rPr>
            </w:pPr>
          </w:p>
        </w:tc>
      </w:tr>
      <w:tr w14:paraId="4DAC6AD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F84D089">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99236">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7D163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073E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167E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DBE7B">
            <w:pPr>
              <w:widowControl/>
              <w:jc w:val="center"/>
              <w:textAlignment w:val="center"/>
              <w:rPr>
                <w:rFonts w:ascii="宋体" w:cs="宋体"/>
                <w:color w:val="000000"/>
                <w:sz w:val="24"/>
              </w:rPr>
            </w:pPr>
          </w:p>
        </w:tc>
      </w:tr>
      <w:tr w14:paraId="733776E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607D979">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26FE4">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B1FC1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83C2A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C2920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358101">
            <w:pPr>
              <w:widowControl/>
              <w:jc w:val="center"/>
              <w:textAlignment w:val="center"/>
              <w:rPr>
                <w:rFonts w:ascii="宋体" w:cs="宋体"/>
                <w:color w:val="000000"/>
                <w:sz w:val="24"/>
              </w:rPr>
            </w:pPr>
          </w:p>
        </w:tc>
      </w:tr>
      <w:tr w14:paraId="1773DD5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AEC8EE6">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145BB1">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9BDFA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A8E0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E7922">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18CCA">
            <w:pPr>
              <w:widowControl/>
              <w:jc w:val="center"/>
              <w:textAlignment w:val="center"/>
              <w:rPr>
                <w:rFonts w:ascii="宋体" w:cs="宋体"/>
                <w:color w:val="000000"/>
                <w:sz w:val="24"/>
              </w:rPr>
            </w:pPr>
          </w:p>
        </w:tc>
      </w:tr>
      <w:tr w14:paraId="797132B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393B8F8">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764AD">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D9109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95CFB8">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EC912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DAD3F">
            <w:pPr>
              <w:widowControl/>
              <w:jc w:val="center"/>
              <w:textAlignment w:val="center"/>
              <w:rPr>
                <w:rFonts w:ascii="宋体" w:cs="宋体"/>
                <w:color w:val="000000"/>
                <w:sz w:val="24"/>
                <w:szCs w:val="24"/>
              </w:rPr>
            </w:pPr>
          </w:p>
        </w:tc>
      </w:tr>
      <w:tr w14:paraId="4ACEA29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A7CDDF9">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E85519">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B32968">
            <w:pPr>
              <w:widowControl/>
              <w:jc w:val="center"/>
              <w:textAlignment w:val="center"/>
              <w:rPr>
                <w:rFonts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BDC36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6BCA3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7C9DCB">
            <w:pPr>
              <w:spacing w:line="540" w:lineRule="exact"/>
              <w:ind w:firstLine="620"/>
              <w:jc w:val="left"/>
              <w:rPr>
                <w:rFonts w:hint="eastAsia" w:ascii="宋体" w:hAnsi="宋体" w:eastAsia="宋体"/>
                <w:color w:val="000000"/>
                <w:sz w:val="24"/>
                <w:szCs w:val="24"/>
                <w:lang w:val="en-US" w:eastAsia="zh-CN"/>
              </w:rPr>
            </w:pPr>
            <w:r>
              <w:rPr>
                <w:rFonts w:hint="eastAsia" w:ascii="宋体" w:hAnsi="宋体" w:eastAsia="宋体"/>
                <w:color w:val="000000"/>
                <w:sz w:val="24"/>
                <w:szCs w:val="24"/>
                <w:lang w:eastAsia="zh-CN"/>
              </w:rPr>
              <w:t>有效防止牲畜病害产生，构建新型市场经营方式，为牧区畜牧业经济增长打下坚实的基础。</w:t>
            </w:r>
          </w:p>
          <w:p w14:paraId="6258D460">
            <w:pPr>
              <w:widowControl/>
              <w:jc w:val="center"/>
              <w:textAlignment w:val="center"/>
              <w:rPr>
                <w:rFonts w:ascii="宋体" w:cs="宋体"/>
                <w:color w:val="000000"/>
                <w:sz w:val="24"/>
                <w:szCs w:val="24"/>
              </w:rPr>
            </w:pPr>
          </w:p>
        </w:tc>
      </w:tr>
      <w:tr w14:paraId="13A98CA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DFE899D">
            <w:pPr>
              <w:widowControl/>
              <w:jc w:val="center"/>
              <w:textAlignment w:val="center"/>
              <w:rPr>
                <w:rFonts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EDF884">
            <w:pPr>
              <w:widowControl/>
              <w:jc w:val="center"/>
              <w:textAlignment w:val="center"/>
              <w:rPr>
                <w:rFonts w:ascii="宋体" w:cs="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9CD78">
            <w:pPr>
              <w:widowControl/>
              <w:jc w:val="center"/>
              <w:textAlignment w:val="center"/>
              <w:rPr>
                <w:rFonts w:ascii="宋体" w:cs="宋体"/>
                <w:color w:val="000000"/>
                <w:sz w:val="24"/>
                <w:szCs w:val="24"/>
              </w:rPr>
            </w:pPr>
            <w:r>
              <w:rPr>
                <w:rFonts w:hint="eastAsia" w:ascii="宋体" w:cs="宋体"/>
                <w:color w:val="000000"/>
                <w:sz w:val="24"/>
                <w:szCs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59C68">
            <w:pPr>
              <w:widowControl/>
              <w:jc w:val="center"/>
              <w:textAlignment w:val="center"/>
              <w:rPr>
                <w:rFonts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86802">
            <w:pPr>
              <w:widowControl/>
              <w:jc w:val="center"/>
              <w:textAlignment w:val="center"/>
              <w:rPr>
                <w:rFonts w:ascii="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F6826B">
            <w:pPr>
              <w:spacing w:line="540" w:lineRule="exact"/>
              <w:ind w:firstLine="620"/>
              <w:jc w:val="left"/>
              <w:rPr>
                <w:rFonts w:hint="eastAsia" w:ascii="宋体" w:hAnsi="宋体" w:eastAsia="宋体"/>
                <w:color w:val="000000"/>
                <w:sz w:val="24"/>
                <w:szCs w:val="24"/>
              </w:rPr>
            </w:pPr>
            <w:r>
              <w:rPr>
                <w:rFonts w:hint="eastAsia" w:ascii="宋体" w:hAnsi="宋体" w:eastAsia="宋体"/>
                <w:color w:val="000000"/>
                <w:sz w:val="24"/>
                <w:szCs w:val="24"/>
              </w:rPr>
              <w:t>进一步加快草原畜牧业转型升级，促进畜牧业生产方式转变，带动和提高周边地区畜牧生产能力提高，促进牧户增收，有利于维护民族地区团结和社会稳定。</w:t>
            </w:r>
          </w:p>
          <w:p w14:paraId="7C72DD96">
            <w:pPr>
              <w:widowControl/>
              <w:jc w:val="center"/>
              <w:textAlignment w:val="center"/>
              <w:rPr>
                <w:rFonts w:ascii="宋体" w:cs="宋体"/>
                <w:color w:val="000000"/>
                <w:sz w:val="24"/>
                <w:szCs w:val="24"/>
              </w:rPr>
            </w:pPr>
          </w:p>
        </w:tc>
      </w:tr>
      <w:tr w14:paraId="75F16BB1">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EC50395">
            <w:pPr>
              <w:widowControl/>
              <w:jc w:val="center"/>
              <w:textAlignment w:val="center"/>
              <w:rPr>
                <w:rFonts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C02C0">
            <w:pPr>
              <w:widowControl/>
              <w:jc w:val="center"/>
              <w:textAlignment w:val="center"/>
              <w:rPr>
                <w:rFonts w:ascii="宋体" w:cs="宋体"/>
                <w:color w:val="000000"/>
                <w:kern w:val="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C1FC8">
            <w:pPr>
              <w:widowControl/>
              <w:jc w:val="center"/>
              <w:textAlignment w:val="center"/>
              <w:rPr>
                <w:rFonts w:ascii="宋体" w:cs="宋体"/>
                <w:color w:val="000000"/>
                <w:sz w:val="24"/>
                <w:szCs w:val="24"/>
              </w:rPr>
            </w:pPr>
            <w:r>
              <w:rPr>
                <w:rFonts w:hint="eastAsia" w:ascii="宋体" w:cs="宋体"/>
                <w:color w:val="000000"/>
                <w:sz w:val="24"/>
                <w:szCs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E26C9">
            <w:pPr>
              <w:widowControl/>
              <w:jc w:val="center"/>
              <w:textAlignment w:val="center"/>
              <w:rPr>
                <w:rFonts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6B93BF">
            <w:pPr>
              <w:widowControl/>
              <w:jc w:val="center"/>
              <w:textAlignment w:val="center"/>
              <w:rPr>
                <w:rFonts w:ascii="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AF0E36">
            <w:pPr>
              <w:widowControl/>
              <w:jc w:val="center"/>
              <w:textAlignment w:val="center"/>
              <w:rPr>
                <w:rFonts w:ascii="宋体" w:cs="宋体"/>
                <w:color w:val="000000"/>
                <w:sz w:val="24"/>
                <w:szCs w:val="24"/>
              </w:rPr>
            </w:pPr>
            <w:r>
              <w:rPr>
                <w:rFonts w:hint="eastAsia" w:ascii="宋体" w:hAnsi="宋体" w:eastAsia="宋体"/>
                <w:color w:val="000000"/>
                <w:sz w:val="24"/>
                <w:szCs w:val="24"/>
                <w:lang w:val="en-US" w:eastAsia="zh-CN"/>
              </w:rPr>
              <w:t>有利于草畜品种改良、人工种草、草畜动态平衡等现代畜牧生产技术得到应用推广。项目建成后在牲畜疾病预防、牲畜出栏方面带来极大的方便，可以实现畜牧生产和草原保护建设良性发展</w:t>
            </w:r>
          </w:p>
        </w:tc>
      </w:tr>
      <w:tr w14:paraId="3771D01A">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55A4362">
            <w:pPr>
              <w:widowControl/>
              <w:jc w:val="center"/>
              <w:textAlignment w:val="center"/>
              <w:rPr>
                <w:rFonts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232E6">
            <w:pPr>
              <w:widowControl/>
              <w:jc w:val="center"/>
              <w:textAlignment w:val="center"/>
              <w:rPr>
                <w:rFonts w:ascii="宋体" w:cs="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6EA9F">
            <w:pPr>
              <w:widowControl/>
              <w:jc w:val="center"/>
              <w:textAlignment w:val="center"/>
              <w:rPr>
                <w:rFonts w:ascii="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A8A4B">
            <w:pPr>
              <w:widowControl/>
              <w:jc w:val="center"/>
              <w:textAlignment w:val="center"/>
              <w:rPr>
                <w:rFonts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44073">
            <w:pPr>
              <w:widowControl/>
              <w:jc w:val="center"/>
              <w:textAlignment w:val="center"/>
              <w:rPr>
                <w:rFonts w:ascii="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932F6">
            <w:pPr>
              <w:widowControl/>
              <w:jc w:val="center"/>
              <w:textAlignment w:val="center"/>
              <w:rPr>
                <w:rFonts w:ascii="宋体" w:cs="宋体"/>
                <w:color w:val="000000"/>
                <w:sz w:val="24"/>
                <w:szCs w:val="24"/>
              </w:rPr>
            </w:pPr>
            <w:r>
              <w:rPr>
                <w:rFonts w:hint="eastAsia" w:ascii="宋体" w:cs="宋体"/>
                <w:color w:val="000000"/>
                <w:sz w:val="24"/>
                <w:szCs w:val="24"/>
              </w:rPr>
              <w:t>满意</w:t>
            </w:r>
          </w:p>
        </w:tc>
      </w:tr>
    </w:tbl>
    <w:p w14:paraId="279AAFB5">
      <w:pPr>
        <w:spacing w:line="580" w:lineRule="exact"/>
        <w:rPr>
          <w:rFonts w:ascii="仿宋_GB2312" w:hAnsi="仿宋_GB2312" w:eastAsia="仿宋_GB2312" w:cs="仿宋_GB2312"/>
          <w:sz w:val="32"/>
          <w:szCs w:val="32"/>
        </w:rPr>
      </w:pPr>
      <w:r>
        <w:rPr>
          <w:rFonts w:ascii="仿宋_GB2312" w:hAnsi="仿宋_GB2312" w:eastAsia="仿宋_GB2312" w:cs="仿宋_GB2312"/>
          <w:sz w:val="24"/>
          <w:szCs w:val="24"/>
        </w:rPr>
        <w:t xml:space="preserve">    </w:t>
      </w:r>
    </w:p>
    <w:p w14:paraId="2B0BEE1E">
      <w:pPr>
        <w:spacing w:line="580" w:lineRule="exact"/>
        <w:ind w:left="630"/>
        <w:rPr>
          <w:rFonts w:ascii="仿宋_GB2312" w:hAnsi="仿宋_GB2312" w:eastAsia="仿宋_GB2312" w:cs="仿宋_GB2312"/>
          <w:sz w:val="32"/>
          <w:szCs w:val="32"/>
        </w:rPr>
      </w:pPr>
    </w:p>
    <w:p w14:paraId="2B5AC92E">
      <w:pPr>
        <w:spacing w:line="580" w:lineRule="exact"/>
        <w:ind w:left="630"/>
        <w:rPr>
          <w:rFonts w:ascii="仿宋_GB2312" w:hAnsi="仿宋_GB2312" w:eastAsia="仿宋_GB2312" w:cs="仿宋_GB2312"/>
          <w:sz w:val="32"/>
          <w:szCs w:val="32"/>
        </w:rPr>
      </w:pPr>
    </w:p>
    <w:p w14:paraId="20BA79EB">
      <w:pPr>
        <w:pStyle w:val="8"/>
        <w:rPr>
          <w:rStyle w:val="21"/>
          <w:rFonts w:ascii="黑体" w:hAnsi="黑体" w:eastAsia="黑体"/>
          <w:b w:val="0"/>
        </w:rPr>
      </w:pPr>
    </w:p>
    <w:p w14:paraId="443E07D0">
      <w:pPr>
        <w:rPr>
          <w:rStyle w:val="21"/>
          <w:rFonts w:ascii="黑体" w:hAnsi="黑体" w:eastAsia="黑体"/>
          <w:b w:val="0"/>
        </w:rPr>
      </w:pPr>
    </w:p>
    <w:p w14:paraId="32AB10D9">
      <w:pPr>
        <w:pStyle w:val="8"/>
        <w:rPr>
          <w:rStyle w:val="21"/>
          <w:rFonts w:ascii="黑体" w:hAnsi="黑体" w:eastAsia="黑体"/>
          <w:b w:val="0"/>
        </w:rPr>
      </w:pPr>
    </w:p>
    <w:p w14:paraId="060EBB82">
      <w:pPr>
        <w:rPr>
          <w:rStyle w:val="21"/>
          <w:rFonts w:ascii="黑体" w:hAnsi="黑体" w:eastAsia="黑体"/>
          <w:b w:val="0"/>
        </w:rPr>
      </w:pPr>
    </w:p>
    <w:p w14:paraId="48D85F1A">
      <w:pPr>
        <w:widowControl/>
        <w:jc w:val="left"/>
        <w:rPr>
          <w:rStyle w:val="21"/>
          <w:rFonts w:ascii="黑体" w:hAnsi="黑体" w:eastAsia="黑体"/>
          <w:b w:val="0"/>
        </w:rPr>
      </w:pPr>
    </w:p>
    <w:p w14:paraId="0B60AD30">
      <w:pPr>
        <w:widowControl/>
        <w:jc w:val="left"/>
        <w:rPr>
          <w:rStyle w:val="21"/>
          <w:rFonts w:ascii="黑体" w:hAnsi="黑体" w:eastAsia="黑体"/>
          <w:b w:val="0"/>
        </w:rPr>
      </w:pPr>
    </w:p>
    <w:p w14:paraId="260E4584">
      <w:pPr>
        <w:widowControl/>
        <w:jc w:val="left"/>
        <w:rPr>
          <w:rStyle w:val="21"/>
          <w:rFonts w:ascii="黑体" w:hAnsi="黑体" w:eastAsia="黑体"/>
          <w:b w:val="0"/>
        </w:rPr>
      </w:pPr>
    </w:p>
    <w:p w14:paraId="2530076B">
      <w:pPr>
        <w:widowControl/>
        <w:jc w:val="left"/>
        <w:rPr>
          <w:rStyle w:val="21"/>
          <w:rFonts w:ascii="黑体" w:hAnsi="黑体" w:eastAsia="黑体"/>
          <w:b w:val="0"/>
        </w:rPr>
      </w:pPr>
      <w:r>
        <w:rPr>
          <w:rStyle w:val="21"/>
          <w:rFonts w:ascii="黑体" w:hAnsi="黑体" w:eastAsia="黑体"/>
          <w:b w:val="0"/>
        </w:rPr>
        <w:t xml:space="preserve">            </w:t>
      </w:r>
      <w:r>
        <w:rPr>
          <w:rFonts w:hint="eastAsia" w:ascii="黑体" w:hAnsi="黑体" w:eastAsia="黑体"/>
          <w:color w:val="000000"/>
          <w:sz w:val="44"/>
          <w:szCs w:val="44"/>
        </w:rPr>
        <w:t>第</w:t>
      </w:r>
      <w:r>
        <w:rPr>
          <w:rStyle w:val="21"/>
          <w:rFonts w:hint="eastAsia" w:ascii="黑体" w:hAnsi="黑体" w:eastAsia="黑体"/>
          <w:b w:val="0"/>
        </w:rPr>
        <w:t>五部分</w:t>
      </w:r>
      <w:r>
        <w:rPr>
          <w:rStyle w:val="21"/>
          <w:rFonts w:ascii="黑体" w:hAnsi="黑体" w:eastAsia="黑体"/>
          <w:b w:val="0"/>
        </w:rPr>
        <w:t xml:space="preserve"> </w:t>
      </w:r>
      <w:r>
        <w:rPr>
          <w:rStyle w:val="21"/>
          <w:rFonts w:hint="eastAsia" w:ascii="黑体" w:hAnsi="黑体" w:eastAsia="黑体"/>
          <w:b w:val="0"/>
        </w:rPr>
        <w:t>附表</w:t>
      </w:r>
      <w:bookmarkEnd w:id="57"/>
      <w:bookmarkEnd w:id="59"/>
    </w:p>
    <w:p w14:paraId="391C9B1C">
      <w:pPr>
        <w:spacing w:line="600" w:lineRule="exact"/>
        <w:jc w:val="center"/>
        <w:outlineLvl w:val="0"/>
        <w:rPr>
          <w:rFonts w:ascii="仿宋" w:hAnsi="仿宋" w:eastAsia="仿宋"/>
          <w:b/>
          <w:color w:val="000000"/>
          <w:sz w:val="44"/>
          <w:szCs w:val="44"/>
        </w:rPr>
      </w:pPr>
    </w:p>
    <w:p w14:paraId="2195DEF2">
      <w:pPr>
        <w:pStyle w:val="5"/>
        <w:numPr>
          <w:ilvl w:val="0"/>
          <w:numId w:val="11"/>
        </w:numPr>
        <w:rPr>
          <w:rFonts w:hint="eastAsia" w:ascii="仿宋_GB2312" w:hAnsi="仿宋_GB2312" w:eastAsia="仿宋_GB2312" w:cs="仿宋_GB2312"/>
          <w:color w:val="000000"/>
        </w:rPr>
      </w:pPr>
      <w:bookmarkStart w:id="60" w:name="_Toc15396619"/>
      <w:r>
        <w:rPr>
          <w:rFonts w:hint="eastAsia" w:ascii="仿宋_GB2312" w:hAnsi="仿宋_GB2312" w:eastAsia="仿宋_GB2312" w:cs="仿宋_GB2312"/>
          <w:b w:val="0"/>
          <w:color w:val="000000"/>
        </w:rPr>
        <w:t>收</w:t>
      </w:r>
      <w:r>
        <w:rPr>
          <w:rStyle w:val="22"/>
          <w:rFonts w:hint="eastAsia" w:ascii="仿宋_GB2312" w:hAnsi="仿宋_GB2312" w:eastAsia="仿宋_GB2312" w:cs="仿宋_GB2312"/>
          <w:b w:val="0"/>
          <w:bCs w:val="0"/>
        </w:rPr>
        <w:t>入支出决算总表</w:t>
      </w:r>
      <w:bookmarkEnd w:id="60"/>
    </w:p>
    <w:p w14:paraId="200EDAB2">
      <w:pPr>
        <w:pStyle w:val="5"/>
        <w:rPr>
          <w:rFonts w:hint="eastAsia" w:ascii="仿宋_GB2312" w:hAnsi="仿宋_GB2312" w:eastAsia="仿宋_GB2312" w:cs="仿宋_GB2312"/>
          <w:color w:val="000000"/>
        </w:rPr>
      </w:pPr>
      <w:bookmarkStart w:id="61" w:name="_Toc15396620"/>
      <w:r>
        <w:rPr>
          <w:rFonts w:hint="eastAsia" w:ascii="仿宋_GB2312" w:hAnsi="仿宋_GB2312" w:eastAsia="仿宋_GB2312" w:cs="仿宋_GB2312"/>
          <w:b w:val="0"/>
          <w:color w:val="000000"/>
        </w:rPr>
        <w:t>二、收</w:t>
      </w:r>
      <w:r>
        <w:rPr>
          <w:rStyle w:val="22"/>
          <w:rFonts w:hint="eastAsia" w:ascii="仿宋_GB2312" w:hAnsi="仿宋_GB2312" w:eastAsia="仿宋_GB2312" w:cs="仿宋_GB2312"/>
          <w:b w:val="0"/>
          <w:bCs w:val="0"/>
        </w:rPr>
        <w:t>入决算表</w:t>
      </w:r>
      <w:bookmarkEnd w:id="61"/>
    </w:p>
    <w:p w14:paraId="6B5B8787">
      <w:pPr>
        <w:pStyle w:val="5"/>
        <w:rPr>
          <w:rFonts w:hint="eastAsia" w:ascii="仿宋_GB2312" w:hAnsi="仿宋_GB2312" w:eastAsia="仿宋_GB2312" w:cs="仿宋_GB2312"/>
          <w:color w:val="000000"/>
        </w:rPr>
      </w:pPr>
      <w:bookmarkStart w:id="62" w:name="_Toc15396621"/>
      <w:r>
        <w:rPr>
          <w:rStyle w:val="22"/>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2"/>
          <w:rFonts w:hint="eastAsia" w:ascii="仿宋_GB2312" w:hAnsi="仿宋_GB2312" w:eastAsia="仿宋_GB2312" w:cs="仿宋_GB2312"/>
          <w:b w:val="0"/>
          <w:bCs w:val="0"/>
        </w:rPr>
        <w:t>出决算表</w:t>
      </w:r>
      <w:bookmarkEnd w:id="62"/>
    </w:p>
    <w:p w14:paraId="5B02510C">
      <w:pPr>
        <w:pStyle w:val="5"/>
        <w:rPr>
          <w:rFonts w:hint="eastAsia" w:ascii="仿宋_GB2312" w:hAnsi="仿宋_GB2312" w:eastAsia="仿宋_GB2312" w:cs="仿宋_GB2312"/>
          <w:b w:val="0"/>
          <w:color w:val="000000"/>
        </w:rPr>
      </w:pPr>
      <w:bookmarkStart w:id="63" w:name="_Toc15396622"/>
      <w:r>
        <w:rPr>
          <w:rStyle w:val="22"/>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2"/>
          <w:rFonts w:hint="eastAsia" w:ascii="仿宋_GB2312" w:hAnsi="仿宋_GB2312" w:eastAsia="仿宋_GB2312" w:cs="仿宋_GB2312"/>
          <w:b w:val="0"/>
          <w:bCs w:val="0"/>
        </w:rPr>
        <w:t>政拨款收入支出决算总表</w:t>
      </w:r>
      <w:bookmarkEnd w:id="63"/>
    </w:p>
    <w:p w14:paraId="67945730">
      <w:pPr>
        <w:pStyle w:val="5"/>
        <w:rPr>
          <w:rStyle w:val="22"/>
          <w:rFonts w:hint="eastAsia" w:ascii="仿宋_GB2312" w:hAnsi="仿宋_GB2312" w:eastAsia="仿宋_GB2312" w:cs="仿宋_GB2312"/>
          <w:b w:val="0"/>
          <w:bCs w:val="0"/>
        </w:rPr>
      </w:pPr>
      <w:bookmarkStart w:id="64" w:name="_Toc15396623"/>
      <w:r>
        <w:rPr>
          <w:rStyle w:val="22"/>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2"/>
          <w:rFonts w:hint="eastAsia" w:ascii="仿宋_GB2312" w:hAnsi="仿宋_GB2312" w:eastAsia="仿宋_GB2312" w:cs="仿宋_GB2312"/>
          <w:b w:val="0"/>
          <w:bCs w:val="0"/>
        </w:rPr>
        <w:t>政拨款支出决算明细表</w:t>
      </w:r>
      <w:bookmarkEnd w:id="64"/>
      <w:bookmarkStart w:id="65" w:name="_Toc15396624"/>
    </w:p>
    <w:p w14:paraId="3A2E8CE2">
      <w:pPr>
        <w:pStyle w:val="5"/>
        <w:rPr>
          <w:rFonts w:hint="eastAsia" w:ascii="仿宋_GB2312" w:hAnsi="仿宋_GB2312" w:eastAsia="仿宋_GB2312" w:cs="仿宋_GB2312"/>
          <w:color w:val="000000"/>
        </w:rPr>
      </w:pPr>
      <w:r>
        <w:rPr>
          <w:rStyle w:val="22"/>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般公共预算财政拨款支出决算表</w:t>
      </w:r>
      <w:bookmarkEnd w:id="65"/>
    </w:p>
    <w:p w14:paraId="36E2DBA2">
      <w:pPr>
        <w:pStyle w:val="5"/>
        <w:rPr>
          <w:rFonts w:hint="eastAsia" w:ascii="仿宋_GB2312" w:hAnsi="仿宋_GB2312" w:eastAsia="仿宋_GB2312" w:cs="仿宋_GB2312"/>
          <w:color w:val="000000"/>
        </w:rPr>
      </w:pPr>
      <w:bookmarkStart w:id="66" w:name="_Toc15396625"/>
      <w:r>
        <w:rPr>
          <w:rStyle w:val="22"/>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般公共预算财政拨款支出决算明细表</w:t>
      </w:r>
      <w:bookmarkEnd w:id="66"/>
    </w:p>
    <w:p w14:paraId="4D2EA6F6">
      <w:pPr>
        <w:pStyle w:val="5"/>
        <w:rPr>
          <w:rFonts w:hint="eastAsia" w:ascii="仿宋_GB2312" w:hAnsi="仿宋_GB2312" w:eastAsia="仿宋_GB2312" w:cs="仿宋_GB2312"/>
          <w:color w:val="000000"/>
        </w:rPr>
      </w:pPr>
      <w:bookmarkStart w:id="67" w:name="_Toc15396626"/>
      <w:r>
        <w:rPr>
          <w:rStyle w:val="22"/>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般公共预算财政拨款基本支出决算表</w:t>
      </w:r>
      <w:bookmarkEnd w:id="67"/>
    </w:p>
    <w:p w14:paraId="6D2C6C23">
      <w:pPr>
        <w:pStyle w:val="5"/>
        <w:rPr>
          <w:rFonts w:hint="eastAsia" w:ascii="仿宋_GB2312" w:hAnsi="仿宋_GB2312" w:eastAsia="仿宋_GB2312" w:cs="仿宋_GB2312"/>
          <w:color w:val="000000"/>
        </w:rPr>
      </w:pPr>
      <w:bookmarkStart w:id="68" w:name="_Toc15396627"/>
      <w:r>
        <w:rPr>
          <w:rStyle w:val="22"/>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般公共预算财政拨款项目支出决算表</w:t>
      </w:r>
      <w:bookmarkEnd w:id="68"/>
    </w:p>
    <w:p w14:paraId="04B6753E">
      <w:pPr>
        <w:pStyle w:val="5"/>
        <w:rPr>
          <w:rFonts w:hint="eastAsia" w:ascii="仿宋_GB2312" w:hAnsi="仿宋_GB2312" w:eastAsia="仿宋_GB2312" w:cs="仿宋_GB2312"/>
          <w:color w:val="000000"/>
        </w:rPr>
      </w:pPr>
      <w:bookmarkStart w:id="69" w:name="_Toc15396628"/>
      <w:r>
        <w:rPr>
          <w:rStyle w:val="22"/>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般公共预算财政拨款“三公”经费支出决算表</w:t>
      </w:r>
      <w:bookmarkEnd w:id="69"/>
    </w:p>
    <w:p w14:paraId="3818B640">
      <w:pPr>
        <w:pStyle w:val="5"/>
        <w:rPr>
          <w:rFonts w:hint="eastAsia" w:ascii="仿宋_GB2312" w:hAnsi="仿宋_GB2312" w:eastAsia="仿宋_GB2312" w:cs="仿宋_GB2312"/>
          <w:color w:val="000000"/>
        </w:rPr>
      </w:pPr>
      <w:bookmarkStart w:id="70" w:name="_Toc15396629"/>
      <w:r>
        <w:rPr>
          <w:rStyle w:val="22"/>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2"/>
          <w:rFonts w:hint="eastAsia" w:ascii="仿宋_GB2312" w:hAnsi="仿宋_GB2312" w:eastAsia="仿宋_GB2312" w:cs="仿宋_GB2312"/>
          <w:b w:val="0"/>
          <w:bCs w:val="0"/>
        </w:rPr>
        <w:t>府性基金预算财政拨款收入支出决算表</w:t>
      </w:r>
      <w:bookmarkEnd w:id="70"/>
    </w:p>
    <w:p w14:paraId="279F95A1">
      <w:pPr>
        <w:pStyle w:val="5"/>
        <w:rPr>
          <w:rFonts w:hint="eastAsia" w:ascii="仿宋_GB2312" w:hAnsi="仿宋_GB2312" w:eastAsia="仿宋_GB2312" w:cs="仿宋_GB2312"/>
          <w:color w:val="000000"/>
        </w:rPr>
      </w:pPr>
      <w:bookmarkStart w:id="71" w:name="_Toc15396630"/>
      <w:r>
        <w:rPr>
          <w:rStyle w:val="22"/>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2"/>
          <w:rFonts w:hint="eastAsia" w:ascii="仿宋_GB2312" w:hAnsi="仿宋_GB2312" w:eastAsia="仿宋_GB2312" w:cs="仿宋_GB2312"/>
          <w:b w:val="0"/>
          <w:bCs w:val="0"/>
        </w:rPr>
        <w:t>府性基金预算财政拨款“三公”经费支出决算表</w:t>
      </w:r>
      <w:bookmarkEnd w:id="71"/>
    </w:p>
    <w:p w14:paraId="1FF9B13B">
      <w:pPr>
        <w:pStyle w:val="5"/>
        <w:rPr>
          <w:rFonts w:hint="eastAsia" w:ascii="仿宋_GB2312" w:hAnsi="仿宋_GB2312" w:eastAsia="仿宋_GB2312" w:cs="仿宋_GB2312"/>
          <w:color w:val="000000"/>
        </w:rPr>
      </w:pPr>
      <w:bookmarkStart w:id="72" w:name="_Toc15396631"/>
      <w:r>
        <w:rPr>
          <w:rStyle w:val="22"/>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2"/>
          <w:rFonts w:hint="eastAsia" w:ascii="仿宋_GB2312" w:hAnsi="仿宋_GB2312" w:eastAsia="仿宋_GB2312" w:cs="仿宋_GB2312"/>
          <w:b w:val="0"/>
          <w:bCs w:val="0"/>
        </w:rPr>
        <w:t>有资本经营预算支出决算表</w:t>
      </w:r>
      <w:bookmarkEnd w:id="72"/>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F8AAE">
    <w:pPr>
      <w:spacing w:line="340" w:lineRule="exact"/>
      <w:jc w:val="center"/>
    </w:pPr>
    <w:r>
      <w:rPr>
        <w:rFonts w:hint="eastAsia" w:ascii="Arial" w:hAnsi="Arial" w:eastAsia="Arial"/>
        <w:color w:val="000000"/>
        <w:sz w:val="20"/>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AAF9E">
    <w:pPr>
      <w:pStyle w:val="12"/>
      <w:jc w:val="center"/>
    </w:pPr>
    <w:r>
      <w:fldChar w:fldCharType="begin"/>
    </w:r>
    <w:r>
      <w:instrText xml:space="preserve">PAGE   \* MERGEFORMAT</w:instrText>
    </w:r>
    <w:r>
      <w:fldChar w:fldCharType="separate"/>
    </w:r>
    <w:r>
      <w:rPr>
        <w:lang w:val="zh-CN"/>
      </w:rPr>
      <w:t>19</w:t>
    </w:r>
    <w:r>
      <w:rPr>
        <w:lang w:val="zh-CN"/>
      </w:rPr>
      <w:fldChar w:fldCharType="end"/>
    </w:r>
  </w:p>
  <w:p w14:paraId="2068EDF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BDA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56ACF">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8FC8E"/>
    <w:multiLevelType w:val="singleLevel"/>
    <w:tmpl w:val="83E8FC8E"/>
    <w:lvl w:ilvl="0" w:tentative="0">
      <w:start w:val="2"/>
      <w:numFmt w:val="chineseCounting"/>
      <w:suff w:val="nothing"/>
      <w:lvlText w:val="（%1）"/>
      <w:lvlJc w:val="left"/>
      <w:rPr>
        <w:rFonts w:hint="eastAsia" w:cs="Times New Roman"/>
      </w:rPr>
    </w:lvl>
  </w:abstractNum>
  <w:abstractNum w:abstractNumId="1">
    <w:nsid w:val="A9585997"/>
    <w:multiLevelType w:val="singleLevel"/>
    <w:tmpl w:val="A9585997"/>
    <w:lvl w:ilvl="0" w:tentative="0">
      <w:start w:val="2"/>
      <w:numFmt w:val="chineseCounting"/>
      <w:suff w:val="nothing"/>
      <w:lvlText w:val="（%1）"/>
      <w:lvlJc w:val="left"/>
      <w:rPr>
        <w:rFonts w:hint="eastAsia" w:cs="Times New Roman"/>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DD180115"/>
    <w:multiLevelType w:val="singleLevel"/>
    <w:tmpl w:val="DD180115"/>
    <w:lvl w:ilvl="0" w:tentative="0">
      <w:start w:val="1"/>
      <w:numFmt w:val="decimal"/>
      <w:lvlText w:val="%1."/>
      <w:lvlJc w:val="left"/>
      <w:pPr>
        <w:tabs>
          <w:tab w:val="left" w:pos="312"/>
        </w:tabs>
      </w:p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01FF3A56"/>
    <w:multiLevelType w:val="singleLevel"/>
    <w:tmpl w:val="01FF3A56"/>
    <w:lvl w:ilvl="0" w:tentative="0">
      <w:start w:val="2"/>
      <w:numFmt w:val="decimal"/>
      <w:suff w:val="nothing"/>
      <w:lvlText w:val="%1．"/>
      <w:lvlJc w:val="left"/>
    </w:lvl>
  </w:abstractNum>
  <w:abstractNum w:abstractNumId="6">
    <w:nsid w:val="0E9274F2"/>
    <w:multiLevelType w:val="singleLevel"/>
    <w:tmpl w:val="0E9274F2"/>
    <w:lvl w:ilvl="0" w:tentative="0">
      <w:start w:val="3"/>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455"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1CBECD50"/>
    <w:multiLevelType w:val="singleLevel"/>
    <w:tmpl w:val="1CBECD50"/>
    <w:lvl w:ilvl="0" w:tentative="0">
      <w:start w:val="1"/>
      <w:numFmt w:val="chineseCounting"/>
      <w:suff w:val="space"/>
      <w:lvlText w:val="%1、"/>
      <w:lvlJc w:val="left"/>
      <w:rPr>
        <w:rFonts w:hint="eastAsia" w:cs="Times New Roman"/>
      </w:rPr>
    </w:lvl>
  </w:abstractNum>
  <w:abstractNum w:abstractNumId="9">
    <w:nsid w:val="2E461809"/>
    <w:multiLevelType w:val="singleLevel"/>
    <w:tmpl w:val="2E461809"/>
    <w:lvl w:ilvl="0" w:tentative="0">
      <w:start w:val="4"/>
      <w:numFmt w:val="decimal"/>
      <w:lvlText w:val="%1."/>
      <w:lvlJc w:val="left"/>
      <w:pPr>
        <w:tabs>
          <w:tab w:val="left" w:pos="312"/>
        </w:tabs>
      </w:pPr>
    </w:lvl>
  </w:abstractNum>
  <w:abstractNum w:abstractNumId="10">
    <w:nsid w:val="3C6599AC"/>
    <w:multiLevelType w:val="singleLevel"/>
    <w:tmpl w:val="3C6599AC"/>
    <w:lvl w:ilvl="0" w:tentative="0">
      <w:start w:val="2"/>
      <w:numFmt w:val="chineseCounting"/>
      <w:suff w:val="nothing"/>
      <w:lvlText w:val="%1、"/>
      <w:lvlJc w:val="left"/>
      <w:rPr>
        <w:rFonts w:hint="eastAsia"/>
      </w:rPr>
    </w:lvl>
  </w:abstractNum>
  <w:num w:numId="1">
    <w:abstractNumId w:val="6"/>
  </w:num>
  <w:num w:numId="2">
    <w:abstractNumId w:val="7"/>
  </w:num>
  <w:num w:numId="3">
    <w:abstractNumId w:val="9"/>
  </w:num>
  <w:num w:numId="4">
    <w:abstractNumId w:val="2"/>
  </w:num>
  <w:num w:numId="5">
    <w:abstractNumId w:val="3"/>
  </w:num>
  <w:num w:numId="6">
    <w:abstractNumId w:val="4"/>
  </w:num>
  <w:num w:numId="7">
    <w:abstractNumId w:val="0"/>
  </w:num>
  <w:num w:numId="8">
    <w:abstractNumId w:val="1"/>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4182"/>
    <w:rsid w:val="00014FEC"/>
    <w:rsid w:val="000222C6"/>
    <w:rsid w:val="000239EB"/>
    <w:rsid w:val="0002549F"/>
    <w:rsid w:val="000468DB"/>
    <w:rsid w:val="00050BF1"/>
    <w:rsid w:val="0006487A"/>
    <w:rsid w:val="00065F8F"/>
    <w:rsid w:val="00070A43"/>
    <w:rsid w:val="00073126"/>
    <w:rsid w:val="000768F2"/>
    <w:rsid w:val="0009184B"/>
    <w:rsid w:val="00094236"/>
    <w:rsid w:val="0009593C"/>
    <w:rsid w:val="00097322"/>
    <w:rsid w:val="000A6A92"/>
    <w:rsid w:val="000B047F"/>
    <w:rsid w:val="000B1D92"/>
    <w:rsid w:val="000B3AEC"/>
    <w:rsid w:val="000B5923"/>
    <w:rsid w:val="000B5A48"/>
    <w:rsid w:val="000B6FF3"/>
    <w:rsid w:val="000C3467"/>
    <w:rsid w:val="000C3CA6"/>
    <w:rsid w:val="000D1267"/>
    <w:rsid w:val="000D1D50"/>
    <w:rsid w:val="000D5782"/>
    <w:rsid w:val="000E4C9F"/>
    <w:rsid w:val="000E6613"/>
    <w:rsid w:val="000E7119"/>
    <w:rsid w:val="0011280A"/>
    <w:rsid w:val="00114E9B"/>
    <w:rsid w:val="00126A4F"/>
    <w:rsid w:val="00142216"/>
    <w:rsid w:val="00142D18"/>
    <w:rsid w:val="00144D6A"/>
    <w:rsid w:val="0014729F"/>
    <w:rsid w:val="00157BAB"/>
    <w:rsid w:val="00164D56"/>
    <w:rsid w:val="001654D1"/>
    <w:rsid w:val="0017077F"/>
    <w:rsid w:val="00174518"/>
    <w:rsid w:val="001775B5"/>
    <w:rsid w:val="00177C96"/>
    <w:rsid w:val="0018106D"/>
    <w:rsid w:val="00184F60"/>
    <w:rsid w:val="001877A7"/>
    <w:rsid w:val="00191536"/>
    <w:rsid w:val="00196687"/>
    <w:rsid w:val="001C0962"/>
    <w:rsid w:val="001C62DD"/>
    <w:rsid w:val="001D3616"/>
    <w:rsid w:val="001D7531"/>
    <w:rsid w:val="001E109B"/>
    <w:rsid w:val="001E52E9"/>
    <w:rsid w:val="001E737D"/>
    <w:rsid w:val="001F0592"/>
    <w:rsid w:val="001F7506"/>
    <w:rsid w:val="002006CD"/>
    <w:rsid w:val="00202B36"/>
    <w:rsid w:val="00204B7A"/>
    <w:rsid w:val="00204CDE"/>
    <w:rsid w:val="0021101A"/>
    <w:rsid w:val="00220536"/>
    <w:rsid w:val="00227B9D"/>
    <w:rsid w:val="00235629"/>
    <w:rsid w:val="00236F21"/>
    <w:rsid w:val="00253824"/>
    <w:rsid w:val="00260C38"/>
    <w:rsid w:val="002616C0"/>
    <w:rsid w:val="00265372"/>
    <w:rsid w:val="002662AA"/>
    <w:rsid w:val="00275BBF"/>
    <w:rsid w:val="00280496"/>
    <w:rsid w:val="00294DC9"/>
    <w:rsid w:val="00295495"/>
    <w:rsid w:val="002A31DE"/>
    <w:rsid w:val="002A7D81"/>
    <w:rsid w:val="002B2613"/>
    <w:rsid w:val="002B64DB"/>
    <w:rsid w:val="002D19B0"/>
    <w:rsid w:val="002D4ADC"/>
    <w:rsid w:val="002D6D05"/>
    <w:rsid w:val="002E4200"/>
    <w:rsid w:val="002F1818"/>
    <w:rsid w:val="002F567B"/>
    <w:rsid w:val="003216A9"/>
    <w:rsid w:val="00321F96"/>
    <w:rsid w:val="00325732"/>
    <w:rsid w:val="003277D7"/>
    <w:rsid w:val="00335A74"/>
    <w:rsid w:val="00345921"/>
    <w:rsid w:val="0035385A"/>
    <w:rsid w:val="0036561B"/>
    <w:rsid w:val="0037013F"/>
    <w:rsid w:val="0038017E"/>
    <w:rsid w:val="00380C92"/>
    <w:rsid w:val="003A1DBD"/>
    <w:rsid w:val="003A484F"/>
    <w:rsid w:val="003A4883"/>
    <w:rsid w:val="003B0BE0"/>
    <w:rsid w:val="003B0C1B"/>
    <w:rsid w:val="003B1E02"/>
    <w:rsid w:val="003B688C"/>
    <w:rsid w:val="003C0291"/>
    <w:rsid w:val="003C39AE"/>
    <w:rsid w:val="003C4C39"/>
    <w:rsid w:val="003C7B60"/>
    <w:rsid w:val="003D0C0F"/>
    <w:rsid w:val="003D0C44"/>
    <w:rsid w:val="003D15DB"/>
    <w:rsid w:val="003D1FB2"/>
    <w:rsid w:val="003D66DA"/>
    <w:rsid w:val="003E1310"/>
    <w:rsid w:val="003E2D80"/>
    <w:rsid w:val="003E6F55"/>
    <w:rsid w:val="003F59A5"/>
    <w:rsid w:val="003F6619"/>
    <w:rsid w:val="003F6D85"/>
    <w:rsid w:val="00406254"/>
    <w:rsid w:val="00410187"/>
    <w:rsid w:val="00416CD4"/>
    <w:rsid w:val="004223DE"/>
    <w:rsid w:val="00426CE0"/>
    <w:rsid w:val="00434489"/>
    <w:rsid w:val="00437085"/>
    <w:rsid w:val="004431DB"/>
    <w:rsid w:val="00443880"/>
    <w:rsid w:val="004464F4"/>
    <w:rsid w:val="00471401"/>
    <w:rsid w:val="00473F31"/>
    <w:rsid w:val="00477E02"/>
    <w:rsid w:val="0048263A"/>
    <w:rsid w:val="0048604B"/>
    <w:rsid w:val="00487E5D"/>
    <w:rsid w:val="00492266"/>
    <w:rsid w:val="00492B5C"/>
    <w:rsid w:val="004A711F"/>
    <w:rsid w:val="004B199D"/>
    <w:rsid w:val="004B4690"/>
    <w:rsid w:val="004C47BF"/>
    <w:rsid w:val="004C79A2"/>
    <w:rsid w:val="004D3EEC"/>
    <w:rsid w:val="004E0A2D"/>
    <w:rsid w:val="004E206B"/>
    <w:rsid w:val="004E2DFB"/>
    <w:rsid w:val="004E60C3"/>
    <w:rsid w:val="004E6DF7"/>
    <w:rsid w:val="004E73BA"/>
    <w:rsid w:val="004F0B63"/>
    <w:rsid w:val="004F0FBD"/>
    <w:rsid w:val="004F3E4A"/>
    <w:rsid w:val="004F403E"/>
    <w:rsid w:val="00503D4D"/>
    <w:rsid w:val="00505A47"/>
    <w:rsid w:val="00507F8C"/>
    <w:rsid w:val="00512FDA"/>
    <w:rsid w:val="00520DA0"/>
    <w:rsid w:val="00525901"/>
    <w:rsid w:val="005664BB"/>
    <w:rsid w:val="00566FFA"/>
    <w:rsid w:val="0057481D"/>
    <w:rsid w:val="00575F0B"/>
    <w:rsid w:val="0058486E"/>
    <w:rsid w:val="00585B33"/>
    <w:rsid w:val="0059014D"/>
    <w:rsid w:val="005B5C64"/>
    <w:rsid w:val="005C62F5"/>
    <w:rsid w:val="005C6BD0"/>
    <w:rsid w:val="005C6C4C"/>
    <w:rsid w:val="005D1C8B"/>
    <w:rsid w:val="005D468D"/>
    <w:rsid w:val="005D5CED"/>
    <w:rsid w:val="005F1A4C"/>
    <w:rsid w:val="00605688"/>
    <w:rsid w:val="006070AF"/>
    <w:rsid w:val="00607E6C"/>
    <w:rsid w:val="006101B1"/>
    <w:rsid w:val="00612801"/>
    <w:rsid w:val="00614E44"/>
    <w:rsid w:val="0062270A"/>
    <w:rsid w:val="00622830"/>
    <w:rsid w:val="00623B47"/>
    <w:rsid w:val="00623DA0"/>
    <w:rsid w:val="00630AEF"/>
    <w:rsid w:val="006325F8"/>
    <w:rsid w:val="00633463"/>
    <w:rsid w:val="00634C9A"/>
    <w:rsid w:val="0064049E"/>
    <w:rsid w:val="006440E4"/>
    <w:rsid w:val="0066343B"/>
    <w:rsid w:val="00664777"/>
    <w:rsid w:val="006748A4"/>
    <w:rsid w:val="00681A31"/>
    <w:rsid w:val="00683E73"/>
    <w:rsid w:val="006A3141"/>
    <w:rsid w:val="006A35E9"/>
    <w:rsid w:val="006A5E34"/>
    <w:rsid w:val="006B2422"/>
    <w:rsid w:val="006B2B9A"/>
    <w:rsid w:val="006C1937"/>
    <w:rsid w:val="006C2023"/>
    <w:rsid w:val="006E0403"/>
    <w:rsid w:val="006E0624"/>
    <w:rsid w:val="006F020C"/>
    <w:rsid w:val="006F1E7A"/>
    <w:rsid w:val="007127B7"/>
    <w:rsid w:val="00713910"/>
    <w:rsid w:val="0071798E"/>
    <w:rsid w:val="00722B93"/>
    <w:rsid w:val="00723321"/>
    <w:rsid w:val="007249DF"/>
    <w:rsid w:val="00727533"/>
    <w:rsid w:val="007367F6"/>
    <w:rsid w:val="007416B6"/>
    <w:rsid w:val="00746F48"/>
    <w:rsid w:val="00750CE1"/>
    <w:rsid w:val="0075404D"/>
    <w:rsid w:val="0076182A"/>
    <w:rsid w:val="00767B7E"/>
    <w:rsid w:val="007770C3"/>
    <w:rsid w:val="00780AEC"/>
    <w:rsid w:val="00784D24"/>
    <w:rsid w:val="00785FBA"/>
    <w:rsid w:val="00786E4A"/>
    <w:rsid w:val="00786F89"/>
    <w:rsid w:val="007875EB"/>
    <w:rsid w:val="00790970"/>
    <w:rsid w:val="0079426B"/>
    <w:rsid w:val="00794DB3"/>
    <w:rsid w:val="00797D60"/>
    <w:rsid w:val="007A602B"/>
    <w:rsid w:val="007B1359"/>
    <w:rsid w:val="007D1682"/>
    <w:rsid w:val="007D312A"/>
    <w:rsid w:val="007D3F19"/>
    <w:rsid w:val="007D5B31"/>
    <w:rsid w:val="007E23B0"/>
    <w:rsid w:val="007E4BBB"/>
    <w:rsid w:val="007F0AC9"/>
    <w:rsid w:val="007F1991"/>
    <w:rsid w:val="007F22C6"/>
    <w:rsid w:val="007F2C2F"/>
    <w:rsid w:val="007F3449"/>
    <w:rsid w:val="007F55FC"/>
    <w:rsid w:val="007F5665"/>
    <w:rsid w:val="007F7CEC"/>
    <w:rsid w:val="00800112"/>
    <w:rsid w:val="00802B1D"/>
    <w:rsid w:val="00813348"/>
    <w:rsid w:val="008253BB"/>
    <w:rsid w:val="00833962"/>
    <w:rsid w:val="0083706E"/>
    <w:rsid w:val="008371FE"/>
    <w:rsid w:val="008408F6"/>
    <w:rsid w:val="008423A5"/>
    <w:rsid w:val="00850625"/>
    <w:rsid w:val="00853718"/>
    <w:rsid w:val="00855221"/>
    <w:rsid w:val="00860645"/>
    <w:rsid w:val="00862A2A"/>
    <w:rsid w:val="00871F71"/>
    <w:rsid w:val="00872FD8"/>
    <w:rsid w:val="00885AF4"/>
    <w:rsid w:val="008939CD"/>
    <w:rsid w:val="008A3403"/>
    <w:rsid w:val="008B768C"/>
    <w:rsid w:val="008C4DB1"/>
    <w:rsid w:val="008C4EAF"/>
    <w:rsid w:val="008C5176"/>
    <w:rsid w:val="008C7FD0"/>
    <w:rsid w:val="008D13A3"/>
    <w:rsid w:val="008E1DE7"/>
    <w:rsid w:val="008E3536"/>
    <w:rsid w:val="008E707C"/>
    <w:rsid w:val="008E7847"/>
    <w:rsid w:val="00900B08"/>
    <w:rsid w:val="00902155"/>
    <w:rsid w:val="00902FA3"/>
    <w:rsid w:val="009114A0"/>
    <w:rsid w:val="00916251"/>
    <w:rsid w:val="00920573"/>
    <w:rsid w:val="00923564"/>
    <w:rsid w:val="0092392E"/>
    <w:rsid w:val="009315F9"/>
    <w:rsid w:val="00933499"/>
    <w:rsid w:val="00935C98"/>
    <w:rsid w:val="009362E4"/>
    <w:rsid w:val="00945C0A"/>
    <w:rsid w:val="00946945"/>
    <w:rsid w:val="00950E02"/>
    <w:rsid w:val="00951248"/>
    <w:rsid w:val="0095152F"/>
    <w:rsid w:val="00954C49"/>
    <w:rsid w:val="00955E37"/>
    <w:rsid w:val="0097099F"/>
    <w:rsid w:val="00971997"/>
    <w:rsid w:val="00971FFC"/>
    <w:rsid w:val="0097707A"/>
    <w:rsid w:val="00983C42"/>
    <w:rsid w:val="0098660A"/>
    <w:rsid w:val="009931C3"/>
    <w:rsid w:val="009A670E"/>
    <w:rsid w:val="009B2C43"/>
    <w:rsid w:val="009B4EAE"/>
    <w:rsid w:val="009B5536"/>
    <w:rsid w:val="009B7573"/>
    <w:rsid w:val="009C119A"/>
    <w:rsid w:val="009C22F4"/>
    <w:rsid w:val="009C2E98"/>
    <w:rsid w:val="009C3722"/>
    <w:rsid w:val="009C37FB"/>
    <w:rsid w:val="009D3447"/>
    <w:rsid w:val="009D4711"/>
    <w:rsid w:val="009E291B"/>
    <w:rsid w:val="009E520D"/>
    <w:rsid w:val="009F1185"/>
    <w:rsid w:val="009F18CD"/>
    <w:rsid w:val="009F2A13"/>
    <w:rsid w:val="009F3E4F"/>
    <w:rsid w:val="009F7527"/>
    <w:rsid w:val="009F7AE4"/>
    <w:rsid w:val="00A039ED"/>
    <w:rsid w:val="00A04EB0"/>
    <w:rsid w:val="00A13CC1"/>
    <w:rsid w:val="00A16847"/>
    <w:rsid w:val="00A237D8"/>
    <w:rsid w:val="00A247D0"/>
    <w:rsid w:val="00A268C4"/>
    <w:rsid w:val="00A307CD"/>
    <w:rsid w:val="00A331C8"/>
    <w:rsid w:val="00A35117"/>
    <w:rsid w:val="00A40104"/>
    <w:rsid w:val="00A40A00"/>
    <w:rsid w:val="00A4142F"/>
    <w:rsid w:val="00A422EB"/>
    <w:rsid w:val="00A45BB7"/>
    <w:rsid w:val="00A509B0"/>
    <w:rsid w:val="00A56DF2"/>
    <w:rsid w:val="00A56E6E"/>
    <w:rsid w:val="00A643BE"/>
    <w:rsid w:val="00A662AB"/>
    <w:rsid w:val="00A67AB5"/>
    <w:rsid w:val="00A72ABC"/>
    <w:rsid w:val="00A733B2"/>
    <w:rsid w:val="00A741C2"/>
    <w:rsid w:val="00A904D6"/>
    <w:rsid w:val="00A91760"/>
    <w:rsid w:val="00A93B00"/>
    <w:rsid w:val="00A93C21"/>
    <w:rsid w:val="00AB64C9"/>
    <w:rsid w:val="00AB69AA"/>
    <w:rsid w:val="00AC3C6A"/>
    <w:rsid w:val="00AC6269"/>
    <w:rsid w:val="00AD0F83"/>
    <w:rsid w:val="00AD5620"/>
    <w:rsid w:val="00AD656B"/>
    <w:rsid w:val="00AD6FFA"/>
    <w:rsid w:val="00AD7C1B"/>
    <w:rsid w:val="00AE16BA"/>
    <w:rsid w:val="00AE1EBE"/>
    <w:rsid w:val="00AE3C8E"/>
    <w:rsid w:val="00AE5268"/>
    <w:rsid w:val="00AF37A0"/>
    <w:rsid w:val="00AF7AF6"/>
    <w:rsid w:val="00B023AE"/>
    <w:rsid w:val="00B03C9D"/>
    <w:rsid w:val="00B060AE"/>
    <w:rsid w:val="00B06C13"/>
    <w:rsid w:val="00B10517"/>
    <w:rsid w:val="00B123A0"/>
    <w:rsid w:val="00B125B1"/>
    <w:rsid w:val="00B14E76"/>
    <w:rsid w:val="00B161B8"/>
    <w:rsid w:val="00B2048C"/>
    <w:rsid w:val="00B2260B"/>
    <w:rsid w:val="00B310B9"/>
    <w:rsid w:val="00B348F8"/>
    <w:rsid w:val="00B35F3F"/>
    <w:rsid w:val="00B36CBB"/>
    <w:rsid w:val="00B425E0"/>
    <w:rsid w:val="00B440AA"/>
    <w:rsid w:val="00B44B70"/>
    <w:rsid w:val="00B52B0D"/>
    <w:rsid w:val="00B53C56"/>
    <w:rsid w:val="00B57DAF"/>
    <w:rsid w:val="00B61B91"/>
    <w:rsid w:val="00B704C5"/>
    <w:rsid w:val="00B71721"/>
    <w:rsid w:val="00B77EA6"/>
    <w:rsid w:val="00B80A7C"/>
    <w:rsid w:val="00B81598"/>
    <w:rsid w:val="00B841F1"/>
    <w:rsid w:val="00B86FA1"/>
    <w:rsid w:val="00B9077A"/>
    <w:rsid w:val="00B944D6"/>
    <w:rsid w:val="00BA38A9"/>
    <w:rsid w:val="00BB4DF0"/>
    <w:rsid w:val="00BC289F"/>
    <w:rsid w:val="00BC2D50"/>
    <w:rsid w:val="00BC341D"/>
    <w:rsid w:val="00BC5361"/>
    <w:rsid w:val="00BC5460"/>
    <w:rsid w:val="00BC6B50"/>
    <w:rsid w:val="00BD046E"/>
    <w:rsid w:val="00BD0E25"/>
    <w:rsid w:val="00BD5CF7"/>
    <w:rsid w:val="00BE5CDE"/>
    <w:rsid w:val="00BF4057"/>
    <w:rsid w:val="00BF5BD6"/>
    <w:rsid w:val="00C03E31"/>
    <w:rsid w:val="00C11D07"/>
    <w:rsid w:val="00C30E69"/>
    <w:rsid w:val="00C33E72"/>
    <w:rsid w:val="00C354B2"/>
    <w:rsid w:val="00C35554"/>
    <w:rsid w:val="00C37506"/>
    <w:rsid w:val="00C42709"/>
    <w:rsid w:val="00C533CC"/>
    <w:rsid w:val="00C5751C"/>
    <w:rsid w:val="00C61BFC"/>
    <w:rsid w:val="00C62B85"/>
    <w:rsid w:val="00C65438"/>
    <w:rsid w:val="00C67D43"/>
    <w:rsid w:val="00C819DC"/>
    <w:rsid w:val="00C864DC"/>
    <w:rsid w:val="00C91CBB"/>
    <w:rsid w:val="00C950C9"/>
    <w:rsid w:val="00CA35BE"/>
    <w:rsid w:val="00CB2EBD"/>
    <w:rsid w:val="00CB3661"/>
    <w:rsid w:val="00CB4E70"/>
    <w:rsid w:val="00CB5486"/>
    <w:rsid w:val="00CC09B6"/>
    <w:rsid w:val="00CC666F"/>
    <w:rsid w:val="00CC7715"/>
    <w:rsid w:val="00CD1E3F"/>
    <w:rsid w:val="00CE44F6"/>
    <w:rsid w:val="00CE49DA"/>
    <w:rsid w:val="00CE7B61"/>
    <w:rsid w:val="00CF10DE"/>
    <w:rsid w:val="00D00095"/>
    <w:rsid w:val="00D01319"/>
    <w:rsid w:val="00D114F0"/>
    <w:rsid w:val="00D14265"/>
    <w:rsid w:val="00D179F5"/>
    <w:rsid w:val="00D20620"/>
    <w:rsid w:val="00D2207C"/>
    <w:rsid w:val="00D254F7"/>
    <w:rsid w:val="00D26091"/>
    <w:rsid w:val="00D2685C"/>
    <w:rsid w:val="00D27DAC"/>
    <w:rsid w:val="00D33910"/>
    <w:rsid w:val="00D34E7C"/>
    <w:rsid w:val="00D35489"/>
    <w:rsid w:val="00D36AFE"/>
    <w:rsid w:val="00D43D99"/>
    <w:rsid w:val="00D47014"/>
    <w:rsid w:val="00D50011"/>
    <w:rsid w:val="00D51276"/>
    <w:rsid w:val="00D64E91"/>
    <w:rsid w:val="00D7035F"/>
    <w:rsid w:val="00D90459"/>
    <w:rsid w:val="00D93227"/>
    <w:rsid w:val="00DA5DBB"/>
    <w:rsid w:val="00DA634F"/>
    <w:rsid w:val="00DA65AC"/>
    <w:rsid w:val="00DB1913"/>
    <w:rsid w:val="00DC410D"/>
    <w:rsid w:val="00DC5A81"/>
    <w:rsid w:val="00DC68CA"/>
    <w:rsid w:val="00DC7CBA"/>
    <w:rsid w:val="00DD3463"/>
    <w:rsid w:val="00DD73B7"/>
    <w:rsid w:val="00DE3268"/>
    <w:rsid w:val="00DF03D7"/>
    <w:rsid w:val="00DF28BC"/>
    <w:rsid w:val="00DF34B9"/>
    <w:rsid w:val="00DF7548"/>
    <w:rsid w:val="00E001C8"/>
    <w:rsid w:val="00E01053"/>
    <w:rsid w:val="00E05A47"/>
    <w:rsid w:val="00E07ACF"/>
    <w:rsid w:val="00E21F8E"/>
    <w:rsid w:val="00E251A3"/>
    <w:rsid w:val="00E331A1"/>
    <w:rsid w:val="00E33202"/>
    <w:rsid w:val="00E336A9"/>
    <w:rsid w:val="00E45D86"/>
    <w:rsid w:val="00E472B1"/>
    <w:rsid w:val="00E50624"/>
    <w:rsid w:val="00E548FB"/>
    <w:rsid w:val="00E568DF"/>
    <w:rsid w:val="00E64269"/>
    <w:rsid w:val="00E66006"/>
    <w:rsid w:val="00E66797"/>
    <w:rsid w:val="00E82267"/>
    <w:rsid w:val="00E853CE"/>
    <w:rsid w:val="00E862B1"/>
    <w:rsid w:val="00E867B6"/>
    <w:rsid w:val="00E87F08"/>
    <w:rsid w:val="00EA010F"/>
    <w:rsid w:val="00ED1B63"/>
    <w:rsid w:val="00ED3C1F"/>
    <w:rsid w:val="00ED4085"/>
    <w:rsid w:val="00ED420E"/>
    <w:rsid w:val="00ED6FBE"/>
    <w:rsid w:val="00EE2F57"/>
    <w:rsid w:val="00EF30A4"/>
    <w:rsid w:val="00EF4C34"/>
    <w:rsid w:val="00EF77C6"/>
    <w:rsid w:val="00F05438"/>
    <w:rsid w:val="00F1361C"/>
    <w:rsid w:val="00F156F0"/>
    <w:rsid w:val="00F160C7"/>
    <w:rsid w:val="00F21F5B"/>
    <w:rsid w:val="00F2408F"/>
    <w:rsid w:val="00F240E9"/>
    <w:rsid w:val="00F253C7"/>
    <w:rsid w:val="00F30244"/>
    <w:rsid w:val="00F36D8F"/>
    <w:rsid w:val="00F417B1"/>
    <w:rsid w:val="00F45853"/>
    <w:rsid w:val="00F602DF"/>
    <w:rsid w:val="00F754A1"/>
    <w:rsid w:val="00F76C45"/>
    <w:rsid w:val="00F81FD9"/>
    <w:rsid w:val="00F841AA"/>
    <w:rsid w:val="00F84A94"/>
    <w:rsid w:val="00F87E96"/>
    <w:rsid w:val="00F97245"/>
    <w:rsid w:val="00FA23E8"/>
    <w:rsid w:val="00FA70B9"/>
    <w:rsid w:val="00FB794A"/>
    <w:rsid w:val="00FD3CC1"/>
    <w:rsid w:val="00FF1E02"/>
    <w:rsid w:val="00FF30B4"/>
    <w:rsid w:val="00FF49E3"/>
    <w:rsid w:val="01713ACD"/>
    <w:rsid w:val="022A62B2"/>
    <w:rsid w:val="04FE368F"/>
    <w:rsid w:val="06257FDB"/>
    <w:rsid w:val="07D52FF3"/>
    <w:rsid w:val="087E70C6"/>
    <w:rsid w:val="088E14EE"/>
    <w:rsid w:val="0AFB3A91"/>
    <w:rsid w:val="0BC86C5D"/>
    <w:rsid w:val="0C6A2C50"/>
    <w:rsid w:val="0E12101F"/>
    <w:rsid w:val="0EF27C8B"/>
    <w:rsid w:val="0F725250"/>
    <w:rsid w:val="0FAE1A6A"/>
    <w:rsid w:val="0FE332A8"/>
    <w:rsid w:val="0FEB238B"/>
    <w:rsid w:val="10A97576"/>
    <w:rsid w:val="10C055FF"/>
    <w:rsid w:val="10E676ED"/>
    <w:rsid w:val="1138469E"/>
    <w:rsid w:val="127E631B"/>
    <w:rsid w:val="12F7763F"/>
    <w:rsid w:val="14246ED2"/>
    <w:rsid w:val="14AF1E97"/>
    <w:rsid w:val="14B20647"/>
    <w:rsid w:val="154658F2"/>
    <w:rsid w:val="15856240"/>
    <w:rsid w:val="16BB723D"/>
    <w:rsid w:val="18230318"/>
    <w:rsid w:val="18741253"/>
    <w:rsid w:val="1930572A"/>
    <w:rsid w:val="19C57D60"/>
    <w:rsid w:val="1A785832"/>
    <w:rsid w:val="1A83534F"/>
    <w:rsid w:val="1AF01220"/>
    <w:rsid w:val="1B066CD1"/>
    <w:rsid w:val="1D2B4A62"/>
    <w:rsid w:val="1EF379CF"/>
    <w:rsid w:val="1EF57E9D"/>
    <w:rsid w:val="1F02359B"/>
    <w:rsid w:val="1F660C09"/>
    <w:rsid w:val="1FEF5307"/>
    <w:rsid w:val="20532BC3"/>
    <w:rsid w:val="2132377F"/>
    <w:rsid w:val="2142500C"/>
    <w:rsid w:val="21E874B8"/>
    <w:rsid w:val="227D434F"/>
    <w:rsid w:val="23DA1FDD"/>
    <w:rsid w:val="240371BF"/>
    <w:rsid w:val="24561388"/>
    <w:rsid w:val="251D16BE"/>
    <w:rsid w:val="26333E8A"/>
    <w:rsid w:val="26A5289B"/>
    <w:rsid w:val="26B1621C"/>
    <w:rsid w:val="28581AB9"/>
    <w:rsid w:val="291E03F0"/>
    <w:rsid w:val="29A86314"/>
    <w:rsid w:val="29FD04D3"/>
    <w:rsid w:val="2A691FE0"/>
    <w:rsid w:val="2B3D05B1"/>
    <w:rsid w:val="2B7B798B"/>
    <w:rsid w:val="2B9E2399"/>
    <w:rsid w:val="2C245EB1"/>
    <w:rsid w:val="2CB8218F"/>
    <w:rsid w:val="2CE336B4"/>
    <w:rsid w:val="2D132D52"/>
    <w:rsid w:val="2E786DD9"/>
    <w:rsid w:val="2FFD0ABB"/>
    <w:rsid w:val="300B425F"/>
    <w:rsid w:val="302A1EAD"/>
    <w:rsid w:val="310B7C75"/>
    <w:rsid w:val="319F7F4E"/>
    <w:rsid w:val="31B27749"/>
    <w:rsid w:val="33361FD2"/>
    <w:rsid w:val="333C0BA4"/>
    <w:rsid w:val="342A2761"/>
    <w:rsid w:val="34490FF0"/>
    <w:rsid w:val="34691E87"/>
    <w:rsid w:val="354261C9"/>
    <w:rsid w:val="362116F2"/>
    <w:rsid w:val="381D4309"/>
    <w:rsid w:val="391347A6"/>
    <w:rsid w:val="396A2F92"/>
    <w:rsid w:val="39E50F4D"/>
    <w:rsid w:val="3B396099"/>
    <w:rsid w:val="3C0D2BF4"/>
    <w:rsid w:val="3C54034D"/>
    <w:rsid w:val="3D43304E"/>
    <w:rsid w:val="3EAF4FFA"/>
    <w:rsid w:val="3EFC2904"/>
    <w:rsid w:val="4031180E"/>
    <w:rsid w:val="403E0ADA"/>
    <w:rsid w:val="425C269F"/>
    <w:rsid w:val="432E4E92"/>
    <w:rsid w:val="44047D65"/>
    <w:rsid w:val="442F4D4A"/>
    <w:rsid w:val="445F15CF"/>
    <w:rsid w:val="4481065F"/>
    <w:rsid w:val="450473BE"/>
    <w:rsid w:val="45757300"/>
    <w:rsid w:val="47891B4F"/>
    <w:rsid w:val="4832653B"/>
    <w:rsid w:val="487107CD"/>
    <w:rsid w:val="489D20E8"/>
    <w:rsid w:val="48FD118F"/>
    <w:rsid w:val="4A724556"/>
    <w:rsid w:val="4B1931D8"/>
    <w:rsid w:val="4B9554AB"/>
    <w:rsid w:val="4D3A7738"/>
    <w:rsid w:val="4DCA3D04"/>
    <w:rsid w:val="4ECE2238"/>
    <w:rsid w:val="4F9A0993"/>
    <w:rsid w:val="50250AB0"/>
    <w:rsid w:val="518909BD"/>
    <w:rsid w:val="53825196"/>
    <w:rsid w:val="53DD51E7"/>
    <w:rsid w:val="546F0403"/>
    <w:rsid w:val="54C06EEE"/>
    <w:rsid w:val="54EE2077"/>
    <w:rsid w:val="553F7A79"/>
    <w:rsid w:val="57A70DE1"/>
    <w:rsid w:val="598001FF"/>
    <w:rsid w:val="5C07111D"/>
    <w:rsid w:val="5C6F1DCF"/>
    <w:rsid w:val="5D7D54B9"/>
    <w:rsid w:val="5FE56A84"/>
    <w:rsid w:val="61274E61"/>
    <w:rsid w:val="61BC1BEA"/>
    <w:rsid w:val="61D13947"/>
    <w:rsid w:val="61E671FB"/>
    <w:rsid w:val="627E7833"/>
    <w:rsid w:val="64A0209B"/>
    <w:rsid w:val="64E9031C"/>
    <w:rsid w:val="6543242A"/>
    <w:rsid w:val="65A13CFC"/>
    <w:rsid w:val="663E3193"/>
    <w:rsid w:val="666A564D"/>
    <w:rsid w:val="66C16CD5"/>
    <w:rsid w:val="67A02158"/>
    <w:rsid w:val="69062AAA"/>
    <w:rsid w:val="6938033F"/>
    <w:rsid w:val="698B254B"/>
    <w:rsid w:val="6A672491"/>
    <w:rsid w:val="6BD57DC0"/>
    <w:rsid w:val="6E6E7180"/>
    <w:rsid w:val="71104987"/>
    <w:rsid w:val="71BC781A"/>
    <w:rsid w:val="726F0B53"/>
    <w:rsid w:val="72734D90"/>
    <w:rsid w:val="73713F3A"/>
    <w:rsid w:val="758A7779"/>
    <w:rsid w:val="76B91663"/>
    <w:rsid w:val="77CF69C6"/>
    <w:rsid w:val="79177DAF"/>
    <w:rsid w:val="79AF2D9F"/>
    <w:rsid w:val="7B052A87"/>
    <w:rsid w:val="7B6206AC"/>
    <w:rsid w:val="7C39057A"/>
    <w:rsid w:val="7E5D3632"/>
    <w:rsid w:val="7EE8498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qFormat="1" w:unhideWhenUsed="0" w:uiPriority="99" w:semiHidden="0"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1"/>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22"/>
    <w:qFormat/>
    <w:uiPriority w:val="99"/>
    <w:pPr>
      <w:keepNext/>
      <w:keepLines/>
      <w:spacing w:before="260" w:after="260" w:line="416" w:lineRule="auto"/>
      <w:outlineLvl w:val="1"/>
    </w:pPr>
    <w:rPr>
      <w:rFonts w:ascii="Cambria" w:hAnsi="Cambria"/>
      <w:b/>
      <w:bCs/>
      <w:sz w:val="32"/>
      <w:szCs w:val="32"/>
    </w:rPr>
  </w:style>
  <w:style w:type="paragraph" w:styleId="6">
    <w:name w:val="heading 3"/>
    <w:basedOn w:val="1"/>
    <w:next w:val="1"/>
    <w:link w:val="23"/>
    <w:qFormat/>
    <w:uiPriority w:val="99"/>
    <w:pPr>
      <w:keepNext/>
      <w:keepLines/>
      <w:spacing w:before="260" w:after="260" w:line="416" w:lineRule="auto"/>
      <w:outlineLvl w:val="2"/>
    </w:pPr>
    <w:rPr>
      <w:b/>
      <w:bCs/>
      <w:sz w:val="32"/>
      <w:szCs w:val="32"/>
    </w:rPr>
  </w:style>
  <w:style w:type="character" w:default="1" w:styleId="18">
    <w:name w:val="Default Paragraph Font"/>
    <w:semiHidden/>
    <w:qFormat/>
    <w:uiPriority w:val="99"/>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28"/>
    <w:qFormat/>
    <w:uiPriority w:val="99"/>
    <w:pPr>
      <w:widowControl/>
      <w:spacing w:line="357" w:lineRule="atLeast"/>
      <w:ind w:firstLine="420" w:firstLineChars="200"/>
    </w:pPr>
    <w:rPr>
      <w:color w:val="000000"/>
      <w:kern w:val="0"/>
      <w:szCs w:val="20"/>
      <w:u w:color="000000"/>
    </w:rPr>
  </w:style>
  <w:style w:type="paragraph" w:styleId="3">
    <w:name w:val="Body Text Indent"/>
    <w:basedOn w:val="1"/>
    <w:next w:val="2"/>
    <w:link w:val="25"/>
    <w:qFormat/>
    <w:uiPriority w:val="99"/>
    <w:pPr>
      <w:spacing w:after="120"/>
      <w:ind w:left="420" w:leftChars="200"/>
    </w:pPr>
  </w:style>
  <w:style w:type="paragraph" w:styleId="7">
    <w:name w:val="Normal Indent"/>
    <w:basedOn w:val="1"/>
    <w:next w:val="1"/>
    <w:qFormat/>
    <w:locked/>
    <w:uiPriority w:val="99"/>
    <w:pPr>
      <w:ind w:firstLine="420" w:firstLineChars="200"/>
    </w:pPr>
  </w:style>
  <w:style w:type="paragraph" w:styleId="8">
    <w:name w:val="toa heading"/>
    <w:basedOn w:val="1"/>
    <w:next w:val="1"/>
    <w:qFormat/>
    <w:locked/>
    <w:uiPriority w:val="99"/>
    <w:pPr>
      <w:spacing w:before="120"/>
    </w:pPr>
    <w:rPr>
      <w:rFonts w:ascii="Arial" w:hAnsi="Arial" w:cs="Arial"/>
      <w:sz w:val="24"/>
    </w:rPr>
  </w:style>
  <w:style w:type="paragraph" w:styleId="9">
    <w:name w:val="Body Text"/>
    <w:basedOn w:val="1"/>
    <w:next w:val="1"/>
    <w:link w:val="32"/>
    <w:qFormat/>
    <w:uiPriority w:val="99"/>
    <w:pPr>
      <w:spacing w:beforeLines="30"/>
    </w:pPr>
    <w:rPr>
      <w:rFonts w:ascii="仿宋_GB2312" w:eastAsia="仿宋_GB2312"/>
      <w:kern w:val="0"/>
      <w:sz w:val="24"/>
      <w:szCs w:val="20"/>
    </w:rPr>
  </w:style>
  <w:style w:type="paragraph" w:styleId="10">
    <w:name w:val="toc 3"/>
    <w:basedOn w:val="1"/>
    <w:next w:val="1"/>
    <w:qFormat/>
    <w:uiPriority w:val="99"/>
    <w:pPr>
      <w:tabs>
        <w:tab w:val="right" w:leader="dot" w:pos="8296"/>
      </w:tabs>
      <w:ind w:left="840" w:leftChars="400"/>
    </w:pPr>
  </w:style>
  <w:style w:type="paragraph" w:styleId="11">
    <w:name w:val="Balloon Text"/>
    <w:basedOn w:val="1"/>
    <w:link w:val="26"/>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5">
    <w:name w:val="toc 2"/>
    <w:basedOn w:val="1"/>
    <w:next w:val="1"/>
    <w:qFormat/>
    <w:uiPriority w:val="99"/>
    <w:pPr>
      <w:tabs>
        <w:tab w:val="right" w:leader="dot" w:pos="8296"/>
      </w:tabs>
      <w:ind w:left="420" w:leftChars="200"/>
    </w:pPr>
  </w:style>
  <w:style w:type="paragraph" w:styleId="16">
    <w:name w:val="Normal (Web)"/>
    <w:basedOn w:val="1"/>
    <w:semiHidden/>
    <w:qFormat/>
    <w:locked/>
    <w:uiPriority w:val="99"/>
    <w:pPr>
      <w:jc w:val="left"/>
    </w:pPr>
    <w:rPr>
      <w:rFonts w:ascii="Calibri" w:hAnsi="Calibri" w:eastAsia="仿宋_GB2312"/>
      <w:kern w:val="0"/>
      <w:sz w:val="24"/>
    </w:rPr>
  </w:style>
  <w:style w:type="character" w:styleId="19">
    <w:name w:val="Strong"/>
    <w:basedOn w:val="18"/>
    <w:qFormat/>
    <w:uiPriority w:val="99"/>
    <w:rPr>
      <w:rFonts w:cs="Times New Roman"/>
      <w:b/>
    </w:rPr>
  </w:style>
  <w:style w:type="character" w:styleId="20">
    <w:name w:val="Hyperlink"/>
    <w:basedOn w:val="18"/>
    <w:qFormat/>
    <w:uiPriority w:val="99"/>
    <w:rPr>
      <w:rFonts w:cs="Times New Roman"/>
      <w:color w:val="0000FF"/>
      <w:u w:val="single"/>
    </w:rPr>
  </w:style>
  <w:style w:type="character" w:customStyle="1" w:styleId="21">
    <w:name w:val="Heading 1 Char"/>
    <w:basedOn w:val="18"/>
    <w:link w:val="4"/>
    <w:qFormat/>
    <w:locked/>
    <w:uiPriority w:val="99"/>
    <w:rPr>
      <w:rFonts w:ascii="Times New Roman" w:hAnsi="Times New Roman" w:cs="Times New Roman"/>
      <w:b/>
      <w:bCs/>
      <w:kern w:val="44"/>
      <w:sz w:val="44"/>
      <w:szCs w:val="44"/>
    </w:rPr>
  </w:style>
  <w:style w:type="character" w:customStyle="1" w:styleId="22">
    <w:name w:val="Heading 2 Char"/>
    <w:basedOn w:val="18"/>
    <w:link w:val="5"/>
    <w:qFormat/>
    <w:locked/>
    <w:uiPriority w:val="99"/>
    <w:rPr>
      <w:rFonts w:ascii="Cambria" w:hAnsi="Cambria" w:eastAsia="宋体" w:cs="Times New Roman"/>
      <w:b/>
      <w:bCs/>
      <w:kern w:val="2"/>
      <w:sz w:val="32"/>
      <w:szCs w:val="32"/>
    </w:rPr>
  </w:style>
  <w:style w:type="character" w:customStyle="1" w:styleId="23">
    <w:name w:val="Heading 3 Char"/>
    <w:basedOn w:val="18"/>
    <w:link w:val="6"/>
    <w:qFormat/>
    <w:locked/>
    <w:uiPriority w:val="99"/>
    <w:rPr>
      <w:rFonts w:ascii="Times New Roman" w:hAnsi="Times New Roman" w:cs="Times New Roman"/>
      <w:b/>
      <w:bCs/>
      <w:kern w:val="2"/>
      <w:sz w:val="32"/>
      <w:szCs w:val="32"/>
    </w:rPr>
  </w:style>
  <w:style w:type="character" w:customStyle="1" w:styleId="24">
    <w:name w:val="Body Text Char"/>
    <w:basedOn w:val="18"/>
    <w:link w:val="9"/>
    <w:semiHidden/>
    <w:qFormat/>
    <w:locked/>
    <w:uiPriority w:val="99"/>
    <w:rPr>
      <w:rFonts w:ascii="Times New Roman" w:hAnsi="Times New Roman" w:cs="Times New Roman"/>
      <w:sz w:val="24"/>
      <w:szCs w:val="24"/>
    </w:rPr>
  </w:style>
  <w:style w:type="character" w:customStyle="1" w:styleId="25">
    <w:name w:val="Body Text Indent Char"/>
    <w:basedOn w:val="18"/>
    <w:link w:val="3"/>
    <w:semiHidden/>
    <w:qFormat/>
    <w:locked/>
    <w:uiPriority w:val="99"/>
    <w:rPr>
      <w:rFonts w:cs="Times New Roman"/>
      <w:sz w:val="24"/>
      <w:szCs w:val="24"/>
    </w:rPr>
  </w:style>
  <w:style w:type="character" w:customStyle="1" w:styleId="26">
    <w:name w:val="Balloon Text Char"/>
    <w:basedOn w:val="18"/>
    <w:link w:val="11"/>
    <w:semiHidden/>
    <w:qFormat/>
    <w:locked/>
    <w:uiPriority w:val="99"/>
    <w:rPr>
      <w:rFonts w:ascii="Times New Roman" w:hAnsi="Times New Roman" w:cs="Times New Roman"/>
      <w:kern w:val="2"/>
      <w:sz w:val="18"/>
      <w:szCs w:val="18"/>
    </w:rPr>
  </w:style>
  <w:style w:type="character" w:customStyle="1" w:styleId="27">
    <w:name w:val="Footer Char"/>
    <w:basedOn w:val="18"/>
    <w:link w:val="12"/>
    <w:semiHidden/>
    <w:qFormat/>
    <w:locked/>
    <w:uiPriority w:val="99"/>
    <w:rPr>
      <w:rFonts w:ascii="Times New Roman" w:hAnsi="Times New Roman" w:cs="Times New Roman"/>
      <w:sz w:val="18"/>
      <w:szCs w:val="18"/>
    </w:rPr>
  </w:style>
  <w:style w:type="character" w:customStyle="1" w:styleId="28">
    <w:name w:val="Body Text First Indent 2 Char"/>
    <w:basedOn w:val="25"/>
    <w:link w:val="2"/>
    <w:semiHidden/>
    <w:qFormat/>
    <w:locked/>
    <w:uiPriority w:val="99"/>
  </w:style>
  <w:style w:type="character" w:customStyle="1" w:styleId="29">
    <w:name w:val="Header Char"/>
    <w:basedOn w:val="18"/>
    <w:link w:val="13"/>
    <w:semiHidden/>
    <w:qFormat/>
    <w:locked/>
    <w:uiPriority w:val="99"/>
    <w:rPr>
      <w:rFonts w:ascii="Times New Roman" w:hAnsi="Times New Roman" w:cs="Times New Roman"/>
      <w:sz w:val="18"/>
      <w:szCs w:val="18"/>
    </w:rPr>
  </w:style>
  <w:style w:type="character" w:customStyle="1" w:styleId="30">
    <w:name w:val="Header Char1"/>
    <w:link w:val="13"/>
    <w:semiHidden/>
    <w:qFormat/>
    <w:locked/>
    <w:uiPriority w:val="99"/>
    <w:rPr>
      <w:sz w:val="18"/>
    </w:rPr>
  </w:style>
  <w:style w:type="character" w:customStyle="1" w:styleId="31">
    <w:name w:val="Footer Char1"/>
    <w:link w:val="12"/>
    <w:qFormat/>
    <w:locked/>
    <w:uiPriority w:val="99"/>
    <w:rPr>
      <w:sz w:val="18"/>
    </w:rPr>
  </w:style>
  <w:style w:type="character" w:customStyle="1" w:styleId="32">
    <w:name w:val="Body Text Char1"/>
    <w:link w:val="9"/>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4">
    <w:name w:val="List Paragraph"/>
    <w:basedOn w:val="1"/>
    <w:qFormat/>
    <w:uiPriority w:val="99"/>
    <w:pPr>
      <w:ind w:firstLine="420" w:firstLineChars="200"/>
    </w:pPr>
  </w:style>
  <w:style w:type="paragraph" w:customStyle="1" w:styleId="35">
    <w:name w:val="TOC 标题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四号正文"/>
    <w:basedOn w:val="1"/>
    <w:qFormat/>
    <w:uiPriority w:val="99"/>
    <w:pPr>
      <w:spacing w:line="360" w:lineRule="auto"/>
    </w:pPr>
    <w:rPr>
      <w:rFonts w:ascii="??" w:hAnsi="??"/>
      <w:color w:val="000000"/>
      <w:kern w:val="0"/>
      <w:sz w:val="28"/>
      <w:szCs w:val="21"/>
      <w:lang w:val="zh-CN"/>
    </w:rPr>
  </w:style>
  <w:style w:type="paragraph" w:customStyle="1" w:styleId="38">
    <w:name w:val="p0"/>
    <w:basedOn w:val="1"/>
    <w:qFormat/>
    <w:uiPriority w:val="99"/>
    <w:pPr>
      <w:widowControl/>
      <w:spacing w:line="357" w:lineRule="atLeast"/>
    </w:pPr>
    <w:rPr>
      <w:color w:val="000000"/>
      <w:kern w:val="0"/>
      <w:szCs w:val="21"/>
      <w:u w:color="000000"/>
    </w:rPr>
  </w:style>
  <w:style w:type="paragraph" w:customStyle="1" w:styleId="39">
    <w:name w:val="Body text|1"/>
    <w:basedOn w:val="1"/>
    <w:qFormat/>
    <w:uiPriority w:val="99"/>
    <w:pPr>
      <w:spacing w:line="468" w:lineRule="auto"/>
      <w:ind w:firstLine="400"/>
    </w:pPr>
    <w:rPr>
      <w:rFonts w:ascii="宋体" w:hAnsi="宋体" w:cs="宋体"/>
      <w:color w:val="2B3644"/>
      <w:sz w:val="28"/>
      <w:szCs w:val="28"/>
      <w:lang w:val="zh-TW" w:eastAsia="zh-TW"/>
    </w:rPr>
  </w:style>
  <w:style w:type="paragraph" w:customStyle="1" w:styleId="40">
    <w:name w:val="0"/>
    <w:next w:val="41"/>
    <w:qFormat/>
    <w:uiPriority w:val="0"/>
    <w:pPr>
      <w:snapToGrid w:val="0"/>
    </w:pPr>
    <w:rPr>
      <w:rFonts w:ascii="Times New Roman" w:hAnsi="Times New Roman" w:eastAsia="宋体" w:cs="Times New Roman"/>
      <w:sz w:val="21"/>
      <w:lang w:val="en-US" w:eastAsia="zh-CN" w:bidi="ar-SA"/>
    </w:rPr>
  </w:style>
  <w:style w:type="paragraph" w:customStyle="1" w:styleId="41">
    <w:name w:val="文章副标题"/>
    <w:basedOn w:val="1"/>
    <w:next w:val="42"/>
    <w:qFormat/>
    <w:uiPriority w:val="0"/>
    <w:pPr>
      <w:spacing w:before="187" w:beforeLines="0" w:after="175" w:afterLines="0" w:line="374" w:lineRule="atLeast"/>
      <w:ind w:firstLine="0"/>
      <w:jc w:val="center"/>
      <w:textAlignment w:val="baseline"/>
    </w:pPr>
    <w:rPr>
      <w:rFonts w:ascii="Times New Roman" w:hAnsi="Times New Roman" w:eastAsia="宋体"/>
      <w:color w:val="000000"/>
      <w:sz w:val="36"/>
      <w:u w:val="none" w:color="000000"/>
      <w:vertAlign w:val="baseline"/>
      <w:lang w:val="en-US" w:eastAsia="zh-CN"/>
    </w:rPr>
  </w:style>
  <w:style w:type="paragraph" w:customStyle="1" w:styleId="42">
    <w:name w:val="章标题"/>
    <w:basedOn w:val="1"/>
    <w:next w:val="43"/>
    <w:qFormat/>
    <w:uiPriority w:val="0"/>
    <w:pPr>
      <w:spacing w:before="158" w:beforeLines="0" w:after="153" w:afterLines="0" w:line="323" w:lineRule="atLeast"/>
      <w:ind w:firstLine="0"/>
      <w:jc w:val="center"/>
      <w:textAlignment w:val="baseline"/>
    </w:pPr>
    <w:rPr>
      <w:rFonts w:ascii="Arial" w:hAnsi="Arial" w:eastAsia="黑体"/>
      <w:color w:val="000000"/>
      <w:sz w:val="31"/>
      <w:u w:val="none" w:color="000000"/>
      <w:vertAlign w:val="baseline"/>
      <w:lang w:val="en-US" w:eastAsia="zh-CN"/>
    </w:rPr>
  </w:style>
  <w:style w:type="paragraph" w:customStyle="1" w:styleId="43">
    <w:name w:val="节标题"/>
    <w:basedOn w:val="1"/>
    <w:next w:val="44"/>
    <w:qFormat/>
    <w:uiPriority w:val="0"/>
    <w:pPr>
      <w:spacing w:line="289" w:lineRule="atLeast"/>
      <w:ind w:firstLine="0"/>
      <w:jc w:val="center"/>
      <w:textAlignment w:val="baseline"/>
    </w:pPr>
    <w:rPr>
      <w:rFonts w:ascii="Times New Roman" w:hAnsi="Times New Roman" w:eastAsia="宋体"/>
      <w:color w:val="000000"/>
      <w:sz w:val="28"/>
      <w:u w:val="none" w:color="000000"/>
      <w:vertAlign w:val="baseline"/>
      <w:lang w:val="en-US" w:eastAsia="zh-CN"/>
    </w:rPr>
  </w:style>
  <w:style w:type="paragraph" w:customStyle="1" w:styleId="44">
    <w:name w:val="小节标题"/>
    <w:basedOn w:val="1"/>
    <w:next w:val="1"/>
    <w:qFormat/>
    <w:uiPriority w:val="0"/>
    <w:pPr>
      <w:spacing w:before="175" w:beforeLines="0" w:after="102" w:afterLines="0" w:line="351" w:lineRule="atLeast"/>
      <w:ind w:firstLine="0"/>
      <w:jc w:val="both"/>
      <w:textAlignment w:val="baseline"/>
    </w:pPr>
    <w:rPr>
      <w:rFonts w:ascii="Times New Roman" w:hAnsi="Times New Roman" w:eastAsia="黑体"/>
      <w:color w:val="000000"/>
      <w:sz w:val="21"/>
      <w:u w:val="none" w:color="000000"/>
      <w:vertAlign w:val="baseline"/>
      <w:lang w:val="en-US" w:eastAsia="zh-CN"/>
    </w:rPr>
  </w:style>
  <w:style w:type="character" w:customStyle="1" w:styleId="45">
    <w:name w:val="15"/>
    <w:basedOn w:val="18"/>
    <w:qFormat/>
    <w:uiPriority w:val="0"/>
    <w:rPr>
      <w:rFonts w:hint="default" w:ascii="Calibri" w:hAnsi="Calibri" w:eastAsia="宋体" w:cs="Times New Roman"/>
      <w:kern w:val="2"/>
      <w:sz w:val="21"/>
      <w:szCs w:val="21"/>
    </w:rPr>
  </w:style>
  <w:style w:type="paragraph" w:customStyle="1" w:styleId="4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47">
    <w:name w:val="无间隔1"/>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7.e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6.bin"/><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56</Pages>
  <Words>22316</Words>
  <Characters>24913</Characters>
  <Lines>0</Lines>
  <Paragraphs>0</Paragraphs>
  <TotalTime>69</TotalTime>
  <ScaleCrop>false</ScaleCrop>
  <LinksUpToDate>false</LinksUpToDate>
  <CharactersWithSpaces>25041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Cber</cp:lastModifiedBy>
  <cp:lastPrinted>2021-11-29T06:27:00Z</cp:lastPrinted>
  <dcterms:modified xsi:type="dcterms:W3CDTF">2025-04-09T06:35:46Z</dcterms:modified>
  <dc:title>四川省***</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eyJoZGlkIjoiYWE2ZDk0NDgzMGE4YTQwNDkwNmY1ZDk3NWI5YzQxOWQiLCJ1c2VySWQiOiIxMTcwODM4MzI2In0=</vt:lpwstr>
  </property>
  <property fmtid="{D5CDD505-2E9C-101B-9397-08002B2CF9AE}" pid="4" name="ICV">
    <vt:lpwstr>60B2973DA357458AA392E331E8DC3512_12</vt:lpwstr>
  </property>
</Properties>
</file>