
<file path=[Content_Types].xml><?xml version="1.0" encoding="utf-8"?>
<Types xmlns="http://schemas.openxmlformats.org/package/2006/content-types">
  <Default Extension="bmp" ContentType="image/bmp"/>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0ECB0F2">
      <w:pPr>
        <w:keepNext w:val="0"/>
        <w:keepLines w:val="0"/>
        <w:pageBreakBefore w:val="0"/>
        <w:widowControl w:val="0"/>
        <w:suppressLineNumbers w:val="0"/>
        <w:suppressAutoHyphens w:val="0"/>
        <w:kinsoku/>
        <w:wordWrap/>
        <w:overflowPunct/>
        <w:topLinePunct w:val="0"/>
        <w:autoSpaceDE/>
        <w:autoSpaceDN/>
        <w:bidi w:val="0"/>
        <w:spacing w:line="550" w:lineRule="atLeast"/>
        <w:jc w:val="center"/>
        <w:rPr>
          <w:rFonts w:ascii="黑体" w:eastAsia="黑体"/>
          <w:sz w:val="72"/>
          <w:szCs w:val="72"/>
        </w:rPr>
      </w:pPr>
      <w:bookmarkStart w:id="0" w:name="_Toc15378441"/>
      <w:bookmarkStart w:id="1" w:name="_Toc15377425"/>
      <w:bookmarkStart w:id="2" w:name="_Toc15396597"/>
      <w:bookmarkStart w:id="3" w:name="_Toc15396475"/>
      <w:bookmarkStart w:id="4" w:name="_Toc15377193"/>
    </w:p>
    <w:p w14:paraId="1ABFFA7A">
      <w:pPr>
        <w:keepNext w:val="0"/>
        <w:keepLines w:val="0"/>
        <w:pageBreakBefore w:val="0"/>
        <w:widowControl w:val="0"/>
        <w:suppressLineNumbers w:val="0"/>
        <w:suppressAutoHyphens w:val="0"/>
        <w:kinsoku/>
        <w:wordWrap/>
        <w:overflowPunct/>
        <w:topLinePunct w:val="0"/>
        <w:autoSpaceDE/>
        <w:autoSpaceDN/>
        <w:bidi w:val="0"/>
        <w:spacing w:line="550" w:lineRule="atLeast"/>
        <w:jc w:val="center"/>
        <w:rPr>
          <w:rFonts w:ascii="黑体" w:eastAsia="黑体"/>
          <w:sz w:val="72"/>
          <w:szCs w:val="72"/>
        </w:rPr>
      </w:pPr>
    </w:p>
    <w:p w14:paraId="5B37294F">
      <w:pPr>
        <w:keepNext w:val="0"/>
        <w:keepLines w:val="0"/>
        <w:pageBreakBefore w:val="0"/>
        <w:widowControl w:val="0"/>
        <w:suppressLineNumbers w:val="0"/>
        <w:suppressAutoHyphens w:val="0"/>
        <w:kinsoku/>
        <w:wordWrap/>
        <w:overflowPunct/>
        <w:topLinePunct w:val="0"/>
        <w:autoSpaceDE/>
        <w:autoSpaceDN/>
        <w:bidi w:val="0"/>
        <w:spacing w:line="550" w:lineRule="atLeast"/>
        <w:jc w:val="center"/>
        <w:rPr>
          <w:rFonts w:ascii="黑体" w:eastAsia="黑体"/>
          <w:sz w:val="72"/>
          <w:szCs w:val="72"/>
        </w:rPr>
      </w:pPr>
    </w:p>
    <w:p w14:paraId="160F59BD">
      <w:pPr>
        <w:keepNext w:val="0"/>
        <w:keepLines w:val="0"/>
        <w:pageBreakBefore w:val="0"/>
        <w:widowControl w:val="0"/>
        <w:suppressLineNumbers w:val="0"/>
        <w:suppressAutoHyphens w:val="0"/>
        <w:kinsoku/>
        <w:wordWrap/>
        <w:overflowPunct/>
        <w:topLinePunct w:val="0"/>
        <w:autoSpaceDE/>
        <w:autoSpaceDN/>
        <w:bidi w:val="0"/>
        <w:spacing w:line="550" w:lineRule="atLeast"/>
        <w:jc w:val="center"/>
        <w:rPr>
          <w:rFonts w:ascii="黑体" w:eastAsia="黑体"/>
          <w:sz w:val="72"/>
          <w:szCs w:val="72"/>
        </w:rPr>
      </w:pPr>
    </w:p>
    <w:p w14:paraId="312CF68C">
      <w:pPr>
        <w:keepNext w:val="0"/>
        <w:keepLines w:val="0"/>
        <w:pageBreakBefore w:val="0"/>
        <w:widowControl w:val="0"/>
        <w:suppressLineNumbers w:val="0"/>
        <w:suppressAutoHyphens w:val="0"/>
        <w:kinsoku/>
        <w:wordWrap/>
        <w:overflowPunct/>
        <w:topLinePunct w:val="0"/>
        <w:autoSpaceDE/>
        <w:autoSpaceDN/>
        <w:bidi w:val="0"/>
        <w:spacing w:line="550" w:lineRule="atLeast"/>
        <w:jc w:val="center"/>
        <w:rPr>
          <w:rFonts w:ascii="黑体" w:eastAsia="黑体"/>
          <w:sz w:val="72"/>
          <w:szCs w:val="72"/>
        </w:rPr>
      </w:pPr>
    </w:p>
    <w:p w14:paraId="123189A1">
      <w:pPr>
        <w:keepNext w:val="0"/>
        <w:keepLines w:val="0"/>
        <w:pageBreakBefore w:val="0"/>
        <w:widowControl w:val="0"/>
        <w:suppressLineNumbers w:val="0"/>
        <w:suppressAutoHyphens w:val="0"/>
        <w:kinsoku/>
        <w:wordWrap/>
        <w:overflowPunct/>
        <w:topLinePunct w:val="0"/>
        <w:autoSpaceDE/>
        <w:autoSpaceDN/>
        <w:bidi w:val="0"/>
        <w:spacing w:line="550" w:lineRule="atLeast"/>
        <w:jc w:val="center"/>
        <w:rPr>
          <w:rFonts w:ascii="黑体" w:eastAsia="黑体"/>
          <w:sz w:val="72"/>
          <w:szCs w:val="72"/>
        </w:rPr>
      </w:pPr>
      <w:r>
        <w:rPr>
          <w:rFonts w:ascii="黑体" w:eastAsia="黑体"/>
          <w:sz w:val="72"/>
          <w:szCs w:val="72"/>
        </w:rPr>
        <w:t>2021</w:t>
      </w:r>
      <w:r>
        <w:rPr>
          <w:rFonts w:hint="eastAsia" w:ascii="黑体" w:eastAsia="黑体"/>
          <w:sz w:val="72"/>
          <w:szCs w:val="72"/>
        </w:rPr>
        <w:t>年度</w:t>
      </w:r>
      <w:bookmarkEnd w:id="0"/>
      <w:bookmarkEnd w:id="1"/>
      <w:bookmarkEnd w:id="2"/>
      <w:bookmarkEnd w:id="3"/>
      <w:bookmarkEnd w:id="4"/>
    </w:p>
    <w:p w14:paraId="6BB1D9E2">
      <w:pPr>
        <w:keepNext w:val="0"/>
        <w:keepLines w:val="0"/>
        <w:pageBreakBefore w:val="0"/>
        <w:widowControl w:val="0"/>
        <w:suppressLineNumbers w:val="0"/>
        <w:suppressAutoHyphens w:val="0"/>
        <w:kinsoku/>
        <w:wordWrap/>
        <w:overflowPunct/>
        <w:topLinePunct w:val="0"/>
        <w:autoSpaceDE/>
        <w:autoSpaceDN/>
        <w:bidi w:val="0"/>
        <w:spacing w:line="550" w:lineRule="atLeast"/>
        <w:jc w:val="center"/>
        <w:rPr>
          <w:rFonts w:hint="eastAsia" w:ascii="方正小标宋简体" w:eastAsia="方正小标宋简体"/>
          <w:sz w:val="72"/>
          <w:szCs w:val="72"/>
        </w:rPr>
      </w:pPr>
      <w:bookmarkStart w:id="5" w:name="_Toc15396598"/>
      <w:bookmarkStart w:id="6" w:name="_Toc15378442"/>
      <w:bookmarkStart w:id="7" w:name="_Toc15396476"/>
      <w:bookmarkStart w:id="8" w:name="_Toc15377426"/>
      <w:bookmarkStart w:id="9" w:name="_Toc15377194"/>
      <w:r>
        <w:rPr>
          <w:rFonts w:hint="eastAsia" w:ascii="方正小标宋简体" w:eastAsia="方正小标宋简体"/>
          <w:sz w:val="72"/>
          <w:szCs w:val="72"/>
        </w:rPr>
        <w:t>四川省</w:t>
      </w:r>
      <w:bookmarkStart w:id="10" w:name="_Toc15306268"/>
      <w:r>
        <w:rPr>
          <w:rFonts w:hint="eastAsia" w:ascii="方正小标宋简体" w:eastAsia="方正小标宋简体"/>
          <w:sz w:val="72"/>
          <w:szCs w:val="72"/>
        </w:rPr>
        <w:t>阿坝州红原县</w:t>
      </w:r>
    </w:p>
    <w:p w14:paraId="22FD53AF">
      <w:pPr>
        <w:keepNext w:val="0"/>
        <w:keepLines w:val="0"/>
        <w:pageBreakBefore w:val="0"/>
        <w:widowControl w:val="0"/>
        <w:suppressLineNumbers w:val="0"/>
        <w:suppressAutoHyphens w:val="0"/>
        <w:kinsoku/>
        <w:wordWrap/>
        <w:overflowPunct/>
        <w:topLinePunct w:val="0"/>
        <w:autoSpaceDE/>
        <w:autoSpaceDN/>
        <w:bidi w:val="0"/>
        <w:spacing w:line="550" w:lineRule="atLeast"/>
        <w:jc w:val="center"/>
        <w:rPr>
          <w:rFonts w:ascii="方正小标宋简体" w:eastAsia="方正小标宋简体"/>
          <w:sz w:val="72"/>
          <w:szCs w:val="72"/>
        </w:rPr>
      </w:pPr>
      <w:r>
        <w:rPr>
          <w:rFonts w:hint="eastAsia" w:ascii="方正小标宋简体" w:eastAsia="方正小标宋简体"/>
          <w:sz w:val="72"/>
          <w:szCs w:val="72"/>
        </w:rPr>
        <w:t>部门决算</w:t>
      </w:r>
      <w:bookmarkEnd w:id="5"/>
      <w:bookmarkEnd w:id="6"/>
      <w:bookmarkEnd w:id="7"/>
      <w:bookmarkEnd w:id="8"/>
      <w:bookmarkEnd w:id="9"/>
      <w:bookmarkEnd w:id="10"/>
    </w:p>
    <w:p w14:paraId="1FEF6EEA">
      <w:pPr>
        <w:keepNext w:val="0"/>
        <w:keepLines w:val="0"/>
        <w:pageBreakBefore w:val="0"/>
        <w:widowControl/>
        <w:suppressLineNumbers w:val="0"/>
        <w:suppressAutoHyphens w:val="0"/>
        <w:kinsoku/>
        <w:wordWrap/>
        <w:overflowPunct/>
        <w:topLinePunct w:val="0"/>
        <w:autoSpaceDE/>
        <w:autoSpaceDN/>
        <w:bidi w:val="0"/>
        <w:spacing w:line="550" w:lineRule="atLeast"/>
        <w:rPr>
          <w:rFonts w:ascii="方正小标宋简体" w:eastAsia="方正小标宋简体"/>
          <w:color w:val="000000"/>
          <w:sz w:val="36"/>
          <w:szCs w:val="36"/>
        </w:rPr>
      </w:pPr>
    </w:p>
    <w:p w14:paraId="01079EA6">
      <w:pPr>
        <w:pStyle w:val="13"/>
        <w:pBdr>
          <w:top w:val="none" w:color="auto" w:sz="0" w:space="0"/>
          <w:left w:val="none" w:color="auto" w:sz="0" w:space="0"/>
          <w:bottom w:val="none" w:color="auto" w:sz="0" w:space="0"/>
          <w:right w:val="none" w:color="auto" w:sz="0" w:space="0"/>
        </w:pBdr>
        <w:shd w:val="clear" w:color="auto" w:fill="FFFFFF"/>
        <w:jc w:val="center"/>
        <w:rPr>
          <w:vanish w:val="0"/>
        </w:rPr>
      </w:pPr>
      <w:r>
        <w:rPr>
          <w:vanish w:val="0"/>
        </w:rPr>
        <w:t> </w:t>
      </w:r>
    </w:p>
    <w:p w14:paraId="075A565C">
      <w:pPr>
        <w:pStyle w:val="13"/>
        <w:pBdr>
          <w:top w:val="none" w:color="auto" w:sz="0" w:space="0"/>
          <w:left w:val="none" w:color="auto" w:sz="0" w:space="0"/>
          <w:bottom w:val="none" w:color="auto" w:sz="0" w:space="0"/>
          <w:right w:val="none" w:color="auto" w:sz="0" w:space="0"/>
        </w:pBdr>
        <w:shd w:val="clear" w:color="auto" w:fill="FFFFFF"/>
        <w:jc w:val="center"/>
        <w:rPr>
          <w:vanish w:val="0"/>
        </w:rPr>
      </w:pPr>
      <w:r>
        <w:rPr>
          <w:vanish w:val="0"/>
        </w:rPr>
        <w:t> </w:t>
      </w:r>
    </w:p>
    <w:p w14:paraId="387E7A33">
      <w:pPr>
        <w:pStyle w:val="13"/>
        <w:pBdr>
          <w:top w:val="none" w:color="auto" w:sz="0" w:space="0"/>
          <w:left w:val="none" w:color="auto" w:sz="0" w:space="0"/>
          <w:bottom w:val="none" w:color="auto" w:sz="0" w:space="0"/>
          <w:right w:val="none" w:color="auto" w:sz="0" w:space="0"/>
        </w:pBdr>
        <w:shd w:val="clear" w:color="auto" w:fill="FFFFFF"/>
        <w:jc w:val="center"/>
        <w:rPr>
          <w:vanish w:val="0"/>
        </w:rPr>
      </w:pPr>
      <w:r>
        <w:rPr>
          <w:vanish w:val="0"/>
        </w:rPr>
        <w:t> </w:t>
      </w:r>
    </w:p>
    <w:p w14:paraId="4601931D">
      <w:pPr>
        <w:pStyle w:val="13"/>
        <w:pBdr>
          <w:top w:val="none" w:color="auto" w:sz="0" w:space="0"/>
          <w:left w:val="none" w:color="auto" w:sz="0" w:space="0"/>
          <w:bottom w:val="none" w:color="auto" w:sz="0" w:space="0"/>
          <w:right w:val="none" w:color="auto" w:sz="0" w:space="0"/>
        </w:pBdr>
        <w:shd w:val="clear" w:color="auto" w:fill="FFFFFF"/>
        <w:jc w:val="center"/>
        <w:rPr>
          <w:vanish w:val="0"/>
        </w:rPr>
      </w:pPr>
    </w:p>
    <w:p w14:paraId="6211B430">
      <w:pPr>
        <w:pStyle w:val="13"/>
        <w:pBdr>
          <w:top w:val="none" w:color="auto" w:sz="0" w:space="0"/>
          <w:left w:val="none" w:color="auto" w:sz="0" w:space="0"/>
          <w:bottom w:val="none" w:color="auto" w:sz="0" w:space="0"/>
          <w:right w:val="none" w:color="auto" w:sz="0" w:space="0"/>
        </w:pBdr>
        <w:shd w:val="clear" w:color="auto" w:fill="FFFFFF"/>
        <w:jc w:val="center"/>
        <w:rPr>
          <w:vanish w:val="0"/>
        </w:rPr>
      </w:pPr>
    </w:p>
    <w:p w14:paraId="1D3D6153">
      <w:pPr>
        <w:pStyle w:val="13"/>
        <w:pBdr>
          <w:top w:val="none" w:color="auto" w:sz="0" w:space="0"/>
          <w:left w:val="none" w:color="auto" w:sz="0" w:space="0"/>
          <w:bottom w:val="none" w:color="auto" w:sz="0" w:space="0"/>
          <w:right w:val="none" w:color="auto" w:sz="0" w:space="0"/>
        </w:pBdr>
        <w:shd w:val="clear" w:color="auto" w:fill="FFFFFF"/>
        <w:jc w:val="center"/>
        <w:rPr>
          <w:vanish w:val="0"/>
        </w:rPr>
      </w:pPr>
    </w:p>
    <w:p w14:paraId="7C764E17">
      <w:pPr>
        <w:pStyle w:val="10"/>
        <w:keepNext w:val="0"/>
        <w:keepLines w:val="0"/>
        <w:pageBreakBefore w:val="0"/>
        <w:widowControl w:val="0"/>
        <w:suppressLineNumbers w:val="0"/>
        <w:suppressAutoHyphens w:val="0"/>
        <w:kinsoku/>
        <w:wordWrap/>
        <w:overflowPunct/>
        <w:topLinePunct w:val="0"/>
        <w:autoSpaceDE/>
        <w:autoSpaceDN/>
        <w:spacing w:line="550" w:lineRule="atLeast"/>
        <w:jc w:val="center"/>
        <w:rPr>
          <w:rFonts w:hint="eastAsia" w:ascii="等线" w:eastAsia="等线" w:cs="Times New Roman"/>
          <w:b w:val="0"/>
          <w:caps/>
          <w:smallCaps w:val="0"/>
          <w:kern w:val="2"/>
          <w:shd w:val="clear" w:color="auto" w:fill="auto"/>
        </w:rPr>
      </w:pPr>
      <w:r>
        <w:rPr>
          <w:vanish w:val="0"/>
        </w:rPr>
        <w:t> </w:t>
      </w:r>
      <w:r>
        <w:rPr>
          <w:rFonts w:ascii="仿宋_GB2312" w:eastAsia="仿宋_GB2312" w:cs="Times New Roman"/>
          <w:kern w:val="2"/>
          <w:sz w:val="32"/>
          <w:szCs w:val="32"/>
          <w:shd w:val="clear" w:color="auto" w:fill="auto"/>
        </w:rPr>
        <w:t>已经保密审查、内容审定，同意对外公开</w:t>
      </w:r>
      <w:r>
        <w:rPr>
          <w:rFonts w:ascii="Times New Roman" w:hAnsi="Times New Roman" w:eastAsia="FangSong_GB2312"/>
          <w:vanish w:val="0"/>
          <w:kern w:val="2"/>
          <w:sz w:val="32"/>
          <w:szCs w:val="32"/>
        </w:rPr>
        <w:br w:type="textWrapping" w:clear="all"/>
      </w:r>
      <w:r>
        <w:rPr>
          <w:rFonts w:hint="eastAsia" w:ascii="等线" w:eastAsia="等线" w:cs="Times New Roman"/>
          <w:b w:val="0"/>
          <w:caps/>
          <w:smallCaps w:val="0"/>
          <w:kern w:val="2"/>
          <w:shd w:val="clear" w:color="auto" w:fill="auto"/>
        </w:rPr>
        <w:t>公开时间：2022年</w:t>
      </w:r>
      <w:r>
        <w:rPr>
          <w:rFonts w:ascii="等线" w:eastAsia="等线" w:cs="Times New Roman"/>
          <w:b w:val="0"/>
          <w:caps/>
          <w:smallCaps w:val="0"/>
          <w:kern w:val="2"/>
          <w:shd w:val="clear" w:color="auto" w:fill="auto"/>
        </w:rPr>
        <w:t>12</w:t>
      </w:r>
      <w:r>
        <w:rPr>
          <w:rFonts w:hint="eastAsia" w:ascii="等线" w:eastAsia="等线" w:cs="Times New Roman"/>
          <w:b w:val="0"/>
          <w:caps/>
          <w:smallCaps w:val="0"/>
          <w:kern w:val="2"/>
          <w:shd w:val="clear" w:color="auto" w:fill="auto"/>
        </w:rPr>
        <w:t>月</w:t>
      </w:r>
      <w:r>
        <w:rPr>
          <w:rFonts w:ascii="等线" w:eastAsia="等线" w:cs="Times New Roman"/>
          <w:b w:val="0"/>
          <w:caps/>
          <w:smallCaps w:val="0"/>
          <w:kern w:val="2"/>
          <w:shd w:val="clear" w:color="auto" w:fill="auto"/>
        </w:rPr>
        <w:t>15</w:t>
      </w:r>
      <w:r>
        <w:rPr>
          <w:rFonts w:hint="eastAsia" w:ascii="等线" w:eastAsia="等线" w:cs="Times New Roman"/>
          <w:b w:val="0"/>
          <w:caps/>
          <w:smallCaps w:val="0"/>
          <w:kern w:val="2"/>
          <w:shd w:val="clear" w:color="auto" w:fill="auto"/>
        </w:rPr>
        <w:t>日</w:t>
      </w:r>
    </w:p>
    <w:p w14:paraId="789D5680">
      <w:pPr>
        <w:pStyle w:val="13"/>
        <w:pBdr>
          <w:top w:val="none" w:color="auto" w:sz="0" w:space="0"/>
          <w:left w:val="none" w:color="auto" w:sz="0" w:space="0"/>
          <w:bottom w:val="none" w:color="auto" w:sz="0" w:space="0"/>
          <w:right w:val="none" w:color="auto" w:sz="0" w:space="0"/>
        </w:pBdr>
        <w:shd w:val="clear" w:color="auto" w:fill="FFFFFF"/>
        <w:jc w:val="center"/>
        <w:rPr>
          <w:rFonts w:ascii="仿宋_GB2312" w:eastAsia="仿宋_GB2312"/>
          <w:kern w:val="2"/>
          <w:sz w:val="32"/>
          <w:szCs w:val="32"/>
        </w:rPr>
      </w:pPr>
      <w:r>
        <w:rPr>
          <w:rFonts w:hint="eastAsia" w:ascii="黑体" w:eastAsia="黑体" w:cs="Times New Roman"/>
          <w:color w:val="000000"/>
          <w:kern w:val="2"/>
          <w:sz w:val="48"/>
          <w:szCs w:val="48"/>
          <w:shd w:val="clear" w:color="auto" w:fill="auto"/>
        </w:rPr>
        <w:t>目录</w:t>
      </w:r>
    </w:p>
    <w:p w14:paraId="37AED734">
      <w:pPr>
        <w:pStyle w:val="9"/>
        <w:tabs>
          <w:tab w:val="right" w:leader="dot" w:pos="8305"/>
        </w:tabs>
        <w:rPr>
          <w:rFonts w:hint="eastAsia" w:ascii="黑体" w:eastAsia="黑体" w:cs="楷体"/>
          <w:bCs/>
          <w:caps/>
          <w:smallCaps w:val="0"/>
          <w:color w:val="FF0000"/>
          <w:kern w:val="2"/>
          <w:sz w:val="20"/>
          <w:szCs w:val="20"/>
          <w:shd w:val="clear" w:color="auto" w:fill="auto"/>
          <w:lang w:val="en-US" w:eastAsia="zh-CN"/>
        </w:rPr>
      </w:pPr>
    </w:p>
    <w:p w14:paraId="09E9D356">
      <w:pPr>
        <w:pStyle w:val="9"/>
        <w:tabs>
          <w:tab w:val="right" w:leader="dot" w:pos="8305"/>
        </w:tabs>
      </w:pPr>
      <w:r>
        <w:rPr>
          <w:rFonts w:hint="eastAsia" w:ascii="黑体" w:eastAsia="黑体" w:cs="楷体"/>
          <w:bCs/>
          <w:caps/>
          <w:smallCaps w:val="0"/>
          <w:color w:val="FF0000"/>
          <w:kern w:val="2"/>
          <w:sz w:val="20"/>
          <w:szCs w:val="20"/>
          <w:shd w:val="clear" w:color="auto" w:fill="auto"/>
          <w:lang w:val="en-US" w:eastAsia="zh-CN"/>
        </w:rPr>
        <w:fldChar w:fldCharType="begin"/>
      </w:r>
      <w:r>
        <w:rPr>
          <w:rFonts w:hint="eastAsia" w:ascii="黑体" w:eastAsia="黑体" w:cs="楷体"/>
          <w:bCs/>
          <w:caps/>
          <w:smallCaps w:val="0"/>
          <w:color w:val="FF0000"/>
          <w:kern w:val="2"/>
          <w:sz w:val="20"/>
          <w:szCs w:val="20"/>
          <w:shd w:val="clear" w:color="auto" w:fill="auto"/>
          <w:lang w:val="en-US" w:eastAsia="zh-CN"/>
        </w:rPr>
        <w:instrText xml:space="preserve">TOC \o "1-3" \h \u </w:instrText>
      </w:r>
      <w:r>
        <w:rPr>
          <w:rFonts w:hint="eastAsia" w:ascii="黑体" w:eastAsia="黑体" w:cs="楷体"/>
          <w:bCs/>
          <w:caps/>
          <w:smallCaps w:val="0"/>
          <w:color w:val="FF0000"/>
          <w:kern w:val="2"/>
          <w:sz w:val="20"/>
          <w:szCs w:val="20"/>
          <w:shd w:val="clear" w:color="auto" w:fill="auto"/>
          <w:lang w:val="en-US" w:eastAsia="zh-CN"/>
        </w:rPr>
        <w:fldChar w:fldCharType="separate"/>
      </w:r>
      <w:r>
        <w:rPr>
          <w:rFonts w:hint="eastAsia" w:ascii="黑体" w:eastAsia="黑体" w:cs="楷体"/>
          <w:bCs/>
          <w:caps/>
          <w:smallCaps w:val="0"/>
          <w:kern w:val="2"/>
          <w:szCs w:val="20"/>
          <w:shd w:val="clear" w:color="auto" w:fill="auto"/>
          <w:lang w:val="en-US" w:eastAsia="zh-CN"/>
        </w:rPr>
        <w:fldChar w:fldCharType="begin"/>
      </w:r>
      <w:r>
        <w:rPr>
          <w:rFonts w:hint="eastAsia" w:ascii="黑体" w:eastAsia="黑体" w:cs="楷体"/>
          <w:bCs/>
          <w:caps/>
          <w:smallCaps w:val="0"/>
          <w:kern w:val="2"/>
          <w:szCs w:val="20"/>
          <w:shd w:val="clear" w:color="auto" w:fill="auto"/>
          <w:lang w:val="en-US" w:eastAsia="zh-CN"/>
        </w:rPr>
        <w:instrText xml:space="preserve"> HYPERLINK \l _Toc11250 </w:instrText>
      </w:r>
      <w:r>
        <w:rPr>
          <w:rFonts w:hint="eastAsia" w:ascii="黑体" w:eastAsia="黑体" w:cs="楷体"/>
          <w:bCs/>
          <w:caps/>
          <w:smallCaps w:val="0"/>
          <w:kern w:val="2"/>
          <w:szCs w:val="20"/>
          <w:shd w:val="clear" w:color="auto" w:fill="auto"/>
          <w:lang w:val="en-US" w:eastAsia="zh-CN"/>
        </w:rPr>
        <w:fldChar w:fldCharType="separate"/>
      </w:r>
      <w:r>
        <w:rPr>
          <w:rFonts w:hint="eastAsia" w:ascii="黑体" w:eastAsia="黑体"/>
          <w:kern w:val="44"/>
          <w:szCs w:val="44"/>
          <w:shd w:val="clear" w:color="auto" w:fill="auto"/>
        </w:rPr>
        <w:t>第一部分部门概况</w:t>
      </w:r>
      <w:r>
        <w:tab/>
      </w:r>
      <w:r>
        <w:fldChar w:fldCharType="begin"/>
      </w:r>
      <w:r>
        <w:instrText xml:space="preserve"> PAGEREF _Toc11250 </w:instrText>
      </w:r>
      <w:r>
        <w:fldChar w:fldCharType="separate"/>
      </w:r>
      <w:r>
        <w:t>3</w:t>
      </w:r>
      <w:r>
        <w:fldChar w:fldCharType="end"/>
      </w:r>
      <w:r>
        <w:rPr>
          <w:rFonts w:hint="eastAsia" w:ascii="黑体" w:eastAsia="黑体" w:cs="楷体"/>
          <w:bCs/>
          <w:caps/>
          <w:smallCaps w:val="0"/>
          <w:color w:val="FF0000"/>
          <w:kern w:val="2"/>
          <w:szCs w:val="20"/>
          <w:shd w:val="clear" w:color="auto" w:fill="auto"/>
          <w:lang w:val="en-US" w:eastAsia="zh-CN"/>
        </w:rPr>
        <w:fldChar w:fldCharType="end"/>
      </w:r>
    </w:p>
    <w:p w14:paraId="39613BF8">
      <w:pPr>
        <w:pStyle w:val="12"/>
        <w:tabs>
          <w:tab w:val="right" w:leader="dot" w:pos="8305"/>
        </w:tabs>
      </w:pPr>
      <w:r>
        <w:rPr>
          <w:rFonts w:hint="eastAsia" w:ascii="黑体" w:eastAsia="黑体" w:cs="楷体"/>
          <w:bCs/>
          <w:caps/>
          <w:smallCaps w:val="0"/>
          <w:kern w:val="2"/>
          <w:szCs w:val="20"/>
          <w:shd w:val="clear" w:color="auto" w:fill="auto"/>
          <w:lang w:val="en-US" w:eastAsia="zh-CN"/>
        </w:rPr>
        <w:fldChar w:fldCharType="begin"/>
      </w:r>
      <w:r>
        <w:rPr>
          <w:rFonts w:hint="eastAsia" w:ascii="黑体" w:eastAsia="黑体" w:cs="楷体"/>
          <w:bCs/>
          <w:caps/>
          <w:smallCaps w:val="0"/>
          <w:kern w:val="2"/>
          <w:szCs w:val="20"/>
          <w:shd w:val="clear" w:color="auto" w:fill="auto"/>
          <w:lang w:val="en-US" w:eastAsia="zh-CN"/>
        </w:rPr>
        <w:instrText xml:space="preserve"> HYPERLINK \l _Toc29581 </w:instrText>
      </w:r>
      <w:r>
        <w:rPr>
          <w:rFonts w:hint="eastAsia" w:ascii="黑体" w:eastAsia="黑体" w:cs="楷体"/>
          <w:bCs/>
          <w:caps/>
          <w:smallCaps w:val="0"/>
          <w:kern w:val="2"/>
          <w:szCs w:val="20"/>
          <w:shd w:val="clear" w:color="auto" w:fill="auto"/>
          <w:lang w:val="en-US" w:eastAsia="zh-CN"/>
        </w:rPr>
        <w:fldChar w:fldCharType="separate"/>
      </w:r>
      <w:r>
        <w:rPr>
          <w:rFonts w:hint="eastAsia" w:ascii="黑体" w:eastAsia="黑体" w:cs="楷体"/>
          <w:kern w:val="2"/>
          <w:szCs w:val="32"/>
          <w:shd w:val="clear" w:color="auto" w:fill="auto"/>
        </w:rPr>
        <w:t>一、基本职能及主要工作</w:t>
      </w:r>
      <w:r>
        <w:tab/>
      </w:r>
      <w:r>
        <w:fldChar w:fldCharType="begin"/>
      </w:r>
      <w:r>
        <w:instrText xml:space="preserve"> PAGEREF _Toc29581 </w:instrText>
      </w:r>
      <w:r>
        <w:fldChar w:fldCharType="separate"/>
      </w:r>
      <w:r>
        <w:t>3</w:t>
      </w:r>
      <w:r>
        <w:fldChar w:fldCharType="end"/>
      </w:r>
      <w:r>
        <w:rPr>
          <w:rFonts w:hint="eastAsia" w:ascii="黑体" w:eastAsia="黑体" w:cs="楷体"/>
          <w:bCs/>
          <w:caps/>
          <w:smallCaps w:val="0"/>
          <w:color w:val="FF0000"/>
          <w:kern w:val="2"/>
          <w:szCs w:val="20"/>
          <w:shd w:val="clear" w:color="auto" w:fill="auto"/>
          <w:lang w:val="en-US" w:eastAsia="zh-CN"/>
        </w:rPr>
        <w:fldChar w:fldCharType="end"/>
      </w:r>
    </w:p>
    <w:p w14:paraId="45D00A54">
      <w:pPr>
        <w:pStyle w:val="9"/>
        <w:tabs>
          <w:tab w:val="right" w:leader="dot" w:pos="8305"/>
        </w:tabs>
      </w:pPr>
      <w:r>
        <w:rPr>
          <w:rFonts w:hint="eastAsia" w:ascii="黑体" w:eastAsia="黑体" w:cs="楷体"/>
          <w:bCs/>
          <w:caps/>
          <w:smallCaps w:val="0"/>
          <w:kern w:val="2"/>
          <w:szCs w:val="20"/>
          <w:shd w:val="clear" w:color="auto" w:fill="auto"/>
          <w:lang w:val="en-US" w:eastAsia="zh-CN"/>
        </w:rPr>
        <w:fldChar w:fldCharType="begin"/>
      </w:r>
      <w:r>
        <w:rPr>
          <w:rFonts w:hint="eastAsia" w:ascii="黑体" w:eastAsia="黑体" w:cs="楷体"/>
          <w:bCs/>
          <w:caps/>
          <w:smallCaps w:val="0"/>
          <w:kern w:val="2"/>
          <w:szCs w:val="20"/>
          <w:shd w:val="clear" w:color="auto" w:fill="auto"/>
          <w:lang w:val="en-US" w:eastAsia="zh-CN"/>
        </w:rPr>
        <w:instrText xml:space="preserve"> HYPERLINK \l _Toc25443 </w:instrText>
      </w:r>
      <w:r>
        <w:rPr>
          <w:rFonts w:hint="eastAsia" w:ascii="黑体" w:eastAsia="黑体" w:cs="楷体"/>
          <w:bCs/>
          <w:caps/>
          <w:smallCaps w:val="0"/>
          <w:kern w:val="2"/>
          <w:szCs w:val="20"/>
          <w:shd w:val="clear" w:color="auto" w:fill="auto"/>
          <w:lang w:val="en-US" w:eastAsia="zh-CN"/>
        </w:rPr>
        <w:fldChar w:fldCharType="separate"/>
      </w:r>
      <w:r>
        <w:rPr>
          <w:rFonts w:hint="eastAsia" w:ascii="黑体" w:eastAsia="黑体"/>
          <w:i w:val="0"/>
          <w:caps w:val="0"/>
          <w:smallCaps w:val="0"/>
          <w:strike w:val="0"/>
          <w:dstrike w:val="0"/>
          <w:vanish w:val="0"/>
          <w:kern w:val="44"/>
          <w:szCs w:val="44"/>
          <w:shd w:val="clear" w:color="auto" w:fill="auto"/>
        </w:rPr>
        <w:t>第二部分 2021年度部门决算情况说明</w:t>
      </w:r>
      <w:r>
        <w:tab/>
      </w:r>
      <w:r>
        <w:fldChar w:fldCharType="begin"/>
      </w:r>
      <w:r>
        <w:instrText xml:space="preserve"> PAGEREF _Toc25443 </w:instrText>
      </w:r>
      <w:r>
        <w:fldChar w:fldCharType="separate"/>
      </w:r>
      <w:r>
        <w:t>8</w:t>
      </w:r>
      <w:r>
        <w:fldChar w:fldCharType="end"/>
      </w:r>
      <w:r>
        <w:rPr>
          <w:rFonts w:hint="eastAsia" w:ascii="黑体" w:eastAsia="黑体" w:cs="楷体"/>
          <w:bCs/>
          <w:caps/>
          <w:smallCaps w:val="0"/>
          <w:color w:val="FF0000"/>
          <w:kern w:val="2"/>
          <w:szCs w:val="20"/>
          <w:shd w:val="clear" w:color="auto" w:fill="auto"/>
          <w:lang w:val="en-US" w:eastAsia="zh-CN"/>
        </w:rPr>
        <w:fldChar w:fldCharType="end"/>
      </w:r>
    </w:p>
    <w:p w14:paraId="326697DA">
      <w:pPr>
        <w:pStyle w:val="12"/>
        <w:tabs>
          <w:tab w:val="right" w:leader="dot" w:pos="8305"/>
        </w:tabs>
      </w:pPr>
      <w:r>
        <w:rPr>
          <w:rFonts w:hint="eastAsia" w:ascii="黑体" w:eastAsia="黑体" w:cs="楷体"/>
          <w:bCs/>
          <w:caps/>
          <w:smallCaps w:val="0"/>
          <w:kern w:val="2"/>
          <w:szCs w:val="20"/>
          <w:shd w:val="clear" w:color="auto" w:fill="auto"/>
          <w:lang w:val="en-US" w:eastAsia="zh-CN"/>
        </w:rPr>
        <w:fldChar w:fldCharType="begin"/>
      </w:r>
      <w:r>
        <w:rPr>
          <w:rFonts w:hint="eastAsia" w:ascii="黑体" w:eastAsia="黑体" w:cs="楷体"/>
          <w:bCs/>
          <w:caps/>
          <w:smallCaps w:val="0"/>
          <w:kern w:val="2"/>
          <w:szCs w:val="20"/>
          <w:shd w:val="clear" w:color="auto" w:fill="auto"/>
          <w:lang w:val="en-US" w:eastAsia="zh-CN"/>
        </w:rPr>
        <w:instrText xml:space="preserve"> HYPERLINK \l _Toc21853 </w:instrText>
      </w:r>
      <w:r>
        <w:rPr>
          <w:rFonts w:hint="eastAsia" w:ascii="黑体" w:eastAsia="黑体" w:cs="楷体"/>
          <w:bCs/>
          <w:caps/>
          <w:smallCaps w:val="0"/>
          <w:kern w:val="2"/>
          <w:szCs w:val="20"/>
          <w:shd w:val="clear" w:color="auto" w:fill="auto"/>
          <w:lang w:val="en-US" w:eastAsia="zh-CN"/>
        </w:rPr>
        <w:fldChar w:fldCharType="separate"/>
      </w:r>
      <w:r>
        <w:rPr>
          <w:rFonts w:ascii="黑体" w:eastAsia="黑体" w:cs="楷体"/>
          <w:kern w:val="2"/>
          <w:szCs w:val="32"/>
          <w:shd w:val="clear" w:color="auto" w:fill="auto"/>
        </w:rPr>
        <w:t>一</w:t>
      </w:r>
      <w:r>
        <w:rPr>
          <w:rFonts w:ascii="仿宋_GB2312" w:eastAsia="仿宋_GB2312" w:cs="Times New Roman"/>
          <w:kern w:val="2"/>
          <w:szCs w:val="32"/>
        </w:rPr>
        <w:t>、</w:t>
      </w:r>
      <w:r>
        <w:rPr>
          <w:rFonts w:hint="eastAsia" w:ascii="黑体" w:eastAsia="黑体" w:cs="楷体"/>
          <w:kern w:val="2"/>
          <w:szCs w:val="32"/>
          <w:shd w:val="clear" w:color="auto" w:fill="auto"/>
        </w:rPr>
        <w:t>收入支出决算总体情况说明</w:t>
      </w:r>
      <w:r>
        <w:tab/>
      </w:r>
      <w:r>
        <w:fldChar w:fldCharType="begin"/>
      </w:r>
      <w:r>
        <w:instrText xml:space="preserve"> PAGEREF _Toc21853 </w:instrText>
      </w:r>
      <w:r>
        <w:fldChar w:fldCharType="separate"/>
      </w:r>
      <w:r>
        <w:t>8</w:t>
      </w:r>
      <w:r>
        <w:fldChar w:fldCharType="end"/>
      </w:r>
      <w:r>
        <w:rPr>
          <w:rFonts w:hint="eastAsia" w:ascii="黑体" w:eastAsia="黑体" w:cs="楷体"/>
          <w:bCs/>
          <w:caps/>
          <w:smallCaps w:val="0"/>
          <w:color w:val="FF0000"/>
          <w:kern w:val="2"/>
          <w:szCs w:val="20"/>
          <w:shd w:val="clear" w:color="auto" w:fill="auto"/>
          <w:lang w:val="en-US" w:eastAsia="zh-CN"/>
        </w:rPr>
        <w:fldChar w:fldCharType="end"/>
      </w:r>
    </w:p>
    <w:p w14:paraId="08DCD640">
      <w:pPr>
        <w:pStyle w:val="12"/>
        <w:tabs>
          <w:tab w:val="right" w:leader="dot" w:pos="8305"/>
        </w:tabs>
      </w:pPr>
      <w:r>
        <w:rPr>
          <w:rFonts w:hint="eastAsia" w:ascii="黑体" w:eastAsia="黑体" w:cs="楷体"/>
          <w:bCs/>
          <w:caps/>
          <w:smallCaps w:val="0"/>
          <w:kern w:val="2"/>
          <w:szCs w:val="20"/>
          <w:shd w:val="clear" w:color="auto" w:fill="auto"/>
          <w:lang w:val="en-US" w:eastAsia="zh-CN"/>
        </w:rPr>
        <w:fldChar w:fldCharType="begin"/>
      </w:r>
      <w:r>
        <w:rPr>
          <w:rFonts w:hint="eastAsia" w:ascii="黑体" w:eastAsia="黑体" w:cs="楷体"/>
          <w:bCs/>
          <w:caps/>
          <w:smallCaps w:val="0"/>
          <w:kern w:val="2"/>
          <w:szCs w:val="20"/>
          <w:shd w:val="clear" w:color="auto" w:fill="auto"/>
          <w:lang w:val="en-US" w:eastAsia="zh-CN"/>
        </w:rPr>
        <w:instrText xml:space="preserve"> HYPERLINK \l _Toc15018 </w:instrText>
      </w:r>
      <w:r>
        <w:rPr>
          <w:rFonts w:hint="eastAsia" w:ascii="黑体" w:eastAsia="黑体" w:cs="楷体"/>
          <w:bCs/>
          <w:caps/>
          <w:smallCaps w:val="0"/>
          <w:kern w:val="2"/>
          <w:szCs w:val="20"/>
          <w:shd w:val="clear" w:color="auto" w:fill="auto"/>
          <w:lang w:val="en-US" w:eastAsia="zh-CN"/>
        </w:rPr>
        <w:fldChar w:fldCharType="separate"/>
      </w:r>
      <w:r>
        <w:rPr>
          <w:rFonts w:ascii="黑体" w:eastAsia="黑体" w:cs="楷体"/>
          <w:kern w:val="2"/>
          <w:szCs w:val="32"/>
          <w:shd w:val="clear" w:color="auto" w:fill="auto"/>
        </w:rPr>
        <w:t>二、收入决算情况说明</w:t>
      </w:r>
      <w:r>
        <w:tab/>
      </w:r>
      <w:r>
        <w:fldChar w:fldCharType="begin"/>
      </w:r>
      <w:r>
        <w:instrText xml:space="preserve"> PAGEREF _Toc15018 </w:instrText>
      </w:r>
      <w:r>
        <w:fldChar w:fldCharType="separate"/>
      </w:r>
      <w:r>
        <w:t>8</w:t>
      </w:r>
      <w:r>
        <w:fldChar w:fldCharType="end"/>
      </w:r>
      <w:r>
        <w:rPr>
          <w:rFonts w:hint="eastAsia" w:ascii="黑体" w:eastAsia="黑体" w:cs="楷体"/>
          <w:bCs/>
          <w:caps/>
          <w:smallCaps w:val="0"/>
          <w:color w:val="FF0000"/>
          <w:kern w:val="2"/>
          <w:szCs w:val="20"/>
          <w:shd w:val="clear" w:color="auto" w:fill="auto"/>
          <w:lang w:val="en-US" w:eastAsia="zh-CN"/>
        </w:rPr>
        <w:fldChar w:fldCharType="end"/>
      </w:r>
    </w:p>
    <w:p w14:paraId="0385C8EB">
      <w:pPr>
        <w:pStyle w:val="12"/>
        <w:tabs>
          <w:tab w:val="right" w:leader="dot" w:pos="8305"/>
        </w:tabs>
      </w:pPr>
      <w:r>
        <w:rPr>
          <w:rFonts w:hint="eastAsia" w:ascii="黑体" w:eastAsia="黑体" w:cs="楷体"/>
          <w:bCs/>
          <w:caps/>
          <w:smallCaps w:val="0"/>
          <w:kern w:val="2"/>
          <w:szCs w:val="20"/>
          <w:shd w:val="clear" w:color="auto" w:fill="auto"/>
          <w:lang w:val="en-US" w:eastAsia="zh-CN"/>
        </w:rPr>
        <w:fldChar w:fldCharType="begin"/>
      </w:r>
      <w:r>
        <w:rPr>
          <w:rFonts w:hint="eastAsia" w:ascii="黑体" w:eastAsia="黑体" w:cs="楷体"/>
          <w:bCs/>
          <w:caps/>
          <w:smallCaps w:val="0"/>
          <w:kern w:val="2"/>
          <w:szCs w:val="20"/>
          <w:shd w:val="clear" w:color="auto" w:fill="auto"/>
          <w:lang w:val="en-US" w:eastAsia="zh-CN"/>
        </w:rPr>
        <w:instrText xml:space="preserve"> HYPERLINK \l _Toc6658 </w:instrText>
      </w:r>
      <w:r>
        <w:rPr>
          <w:rFonts w:hint="eastAsia" w:ascii="黑体" w:eastAsia="黑体" w:cs="楷体"/>
          <w:bCs/>
          <w:caps/>
          <w:smallCaps w:val="0"/>
          <w:kern w:val="2"/>
          <w:szCs w:val="20"/>
          <w:shd w:val="clear" w:color="auto" w:fill="auto"/>
          <w:lang w:val="en-US" w:eastAsia="zh-CN"/>
        </w:rPr>
        <w:fldChar w:fldCharType="separate"/>
      </w:r>
      <w:r>
        <w:rPr>
          <w:rFonts w:ascii="黑体" w:eastAsia="黑体" w:cs="楷体"/>
          <w:kern w:val="2"/>
          <w:szCs w:val="32"/>
          <w:shd w:val="clear" w:color="auto" w:fill="auto"/>
        </w:rPr>
        <w:t>三、支出决算情况说明</w:t>
      </w:r>
      <w:r>
        <w:tab/>
      </w:r>
      <w:r>
        <w:fldChar w:fldCharType="begin"/>
      </w:r>
      <w:r>
        <w:instrText xml:space="preserve"> PAGEREF _Toc6658 </w:instrText>
      </w:r>
      <w:r>
        <w:fldChar w:fldCharType="separate"/>
      </w:r>
      <w:r>
        <w:t>9</w:t>
      </w:r>
      <w:r>
        <w:fldChar w:fldCharType="end"/>
      </w:r>
      <w:r>
        <w:rPr>
          <w:rFonts w:hint="eastAsia" w:ascii="黑体" w:eastAsia="黑体" w:cs="楷体"/>
          <w:bCs/>
          <w:caps/>
          <w:smallCaps w:val="0"/>
          <w:color w:val="FF0000"/>
          <w:kern w:val="2"/>
          <w:szCs w:val="20"/>
          <w:shd w:val="clear" w:color="auto" w:fill="auto"/>
          <w:lang w:val="en-US" w:eastAsia="zh-CN"/>
        </w:rPr>
        <w:fldChar w:fldCharType="end"/>
      </w:r>
    </w:p>
    <w:p w14:paraId="599BB254">
      <w:pPr>
        <w:pStyle w:val="12"/>
        <w:tabs>
          <w:tab w:val="right" w:leader="dot" w:pos="8305"/>
        </w:tabs>
      </w:pPr>
      <w:r>
        <w:rPr>
          <w:rFonts w:hint="eastAsia" w:ascii="黑体" w:eastAsia="黑体" w:cs="楷体"/>
          <w:bCs/>
          <w:caps/>
          <w:smallCaps w:val="0"/>
          <w:kern w:val="2"/>
          <w:szCs w:val="20"/>
          <w:shd w:val="clear" w:color="auto" w:fill="auto"/>
          <w:lang w:val="en-US" w:eastAsia="zh-CN"/>
        </w:rPr>
        <w:fldChar w:fldCharType="begin"/>
      </w:r>
      <w:r>
        <w:rPr>
          <w:rFonts w:hint="eastAsia" w:ascii="黑体" w:eastAsia="黑体" w:cs="楷体"/>
          <w:bCs/>
          <w:caps/>
          <w:smallCaps w:val="0"/>
          <w:kern w:val="2"/>
          <w:szCs w:val="20"/>
          <w:shd w:val="clear" w:color="auto" w:fill="auto"/>
          <w:lang w:val="en-US" w:eastAsia="zh-CN"/>
        </w:rPr>
        <w:instrText xml:space="preserve"> HYPERLINK \l _Toc19315 </w:instrText>
      </w:r>
      <w:r>
        <w:rPr>
          <w:rFonts w:hint="eastAsia" w:ascii="黑体" w:eastAsia="黑体" w:cs="楷体"/>
          <w:bCs/>
          <w:caps/>
          <w:smallCaps w:val="0"/>
          <w:kern w:val="2"/>
          <w:szCs w:val="20"/>
          <w:shd w:val="clear" w:color="auto" w:fill="auto"/>
          <w:lang w:val="en-US" w:eastAsia="zh-CN"/>
        </w:rPr>
        <w:fldChar w:fldCharType="separate"/>
      </w:r>
      <w:r>
        <w:rPr>
          <w:rFonts w:ascii="黑体" w:eastAsia="黑体" w:cs="楷体"/>
          <w:kern w:val="2"/>
          <w:szCs w:val="32"/>
          <w:shd w:val="clear" w:color="auto" w:fill="auto"/>
        </w:rPr>
        <w:t> 四、财政拨款收入支出决算总体情况说明</w:t>
      </w:r>
      <w:r>
        <w:tab/>
      </w:r>
      <w:r>
        <w:fldChar w:fldCharType="begin"/>
      </w:r>
      <w:r>
        <w:instrText xml:space="preserve"> PAGEREF _Toc19315 </w:instrText>
      </w:r>
      <w:r>
        <w:fldChar w:fldCharType="separate"/>
      </w:r>
      <w:r>
        <w:t>10</w:t>
      </w:r>
      <w:r>
        <w:fldChar w:fldCharType="end"/>
      </w:r>
      <w:r>
        <w:rPr>
          <w:rFonts w:hint="eastAsia" w:ascii="黑体" w:eastAsia="黑体" w:cs="楷体"/>
          <w:bCs/>
          <w:caps/>
          <w:smallCaps w:val="0"/>
          <w:color w:val="FF0000"/>
          <w:kern w:val="2"/>
          <w:szCs w:val="20"/>
          <w:shd w:val="clear" w:color="auto" w:fill="auto"/>
          <w:lang w:val="en-US" w:eastAsia="zh-CN"/>
        </w:rPr>
        <w:fldChar w:fldCharType="end"/>
      </w:r>
    </w:p>
    <w:p w14:paraId="5BA77793">
      <w:pPr>
        <w:pStyle w:val="12"/>
        <w:tabs>
          <w:tab w:val="right" w:leader="dot" w:pos="8305"/>
        </w:tabs>
      </w:pPr>
      <w:r>
        <w:rPr>
          <w:rFonts w:hint="eastAsia" w:ascii="黑体" w:eastAsia="黑体" w:cs="楷体"/>
          <w:bCs/>
          <w:caps/>
          <w:smallCaps w:val="0"/>
          <w:kern w:val="2"/>
          <w:szCs w:val="20"/>
          <w:shd w:val="clear" w:color="auto" w:fill="auto"/>
          <w:lang w:val="en-US" w:eastAsia="zh-CN"/>
        </w:rPr>
        <w:fldChar w:fldCharType="begin"/>
      </w:r>
      <w:r>
        <w:rPr>
          <w:rFonts w:hint="eastAsia" w:ascii="黑体" w:eastAsia="黑体" w:cs="楷体"/>
          <w:bCs/>
          <w:caps/>
          <w:smallCaps w:val="0"/>
          <w:kern w:val="2"/>
          <w:szCs w:val="20"/>
          <w:shd w:val="clear" w:color="auto" w:fill="auto"/>
          <w:lang w:val="en-US" w:eastAsia="zh-CN"/>
        </w:rPr>
        <w:instrText xml:space="preserve"> HYPERLINK \l _Toc4393 </w:instrText>
      </w:r>
      <w:r>
        <w:rPr>
          <w:rFonts w:hint="eastAsia" w:ascii="黑体" w:eastAsia="黑体" w:cs="楷体"/>
          <w:bCs/>
          <w:caps/>
          <w:smallCaps w:val="0"/>
          <w:kern w:val="2"/>
          <w:szCs w:val="20"/>
          <w:shd w:val="clear" w:color="auto" w:fill="auto"/>
          <w:lang w:val="en-US" w:eastAsia="zh-CN"/>
        </w:rPr>
        <w:fldChar w:fldCharType="separate"/>
      </w:r>
      <w:r>
        <w:rPr>
          <w:rFonts w:ascii="黑体" w:eastAsia="黑体" w:cs="楷体"/>
          <w:kern w:val="2"/>
          <w:szCs w:val="32"/>
          <w:shd w:val="clear" w:color="auto" w:fill="auto"/>
        </w:rPr>
        <w:t>五、一般公共预算财政拨款支出决算情况说明</w:t>
      </w:r>
      <w:r>
        <w:tab/>
      </w:r>
      <w:r>
        <w:fldChar w:fldCharType="begin"/>
      </w:r>
      <w:r>
        <w:instrText xml:space="preserve"> PAGEREF _Toc4393 </w:instrText>
      </w:r>
      <w:r>
        <w:fldChar w:fldCharType="separate"/>
      </w:r>
      <w:r>
        <w:t>11</w:t>
      </w:r>
      <w:r>
        <w:fldChar w:fldCharType="end"/>
      </w:r>
      <w:r>
        <w:rPr>
          <w:rFonts w:hint="eastAsia" w:ascii="黑体" w:eastAsia="黑体" w:cs="楷体"/>
          <w:bCs/>
          <w:caps/>
          <w:smallCaps w:val="0"/>
          <w:color w:val="FF0000"/>
          <w:kern w:val="2"/>
          <w:szCs w:val="20"/>
          <w:shd w:val="clear" w:color="auto" w:fill="auto"/>
          <w:lang w:val="en-US" w:eastAsia="zh-CN"/>
        </w:rPr>
        <w:fldChar w:fldCharType="end"/>
      </w:r>
    </w:p>
    <w:p w14:paraId="1818836D">
      <w:pPr>
        <w:pStyle w:val="12"/>
        <w:tabs>
          <w:tab w:val="right" w:leader="dot" w:pos="8305"/>
        </w:tabs>
      </w:pPr>
      <w:r>
        <w:rPr>
          <w:rFonts w:hint="eastAsia" w:ascii="黑体" w:eastAsia="黑体" w:cs="楷体"/>
          <w:bCs/>
          <w:caps/>
          <w:smallCaps w:val="0"/>
          <w:kern w:val="2"/>
          <w:szCs w:val="20"/>
          <w:shd w:val="clear" w:color="auto" w:fill="auto"/>
          <w:lang w:val="en-US" w:eastAsia="zh-CN"/>
        </w:rPr>
        <w:fldChar w:fldCharType="begin"/>
      </w:r>
      <w:r>
        <w:rPr>
          <w:rFonts w:hint="eastAsia" w:ascii="黑体" w:eastAsia="黑体" w:cs="楷体"/>
          <w:bCs/>
          <w:caps/>
          <w:smallCaps w:val="0"/>
          <w:kern w:val="2"/>
          <w:szCs w:val="20"/>
          <w:shd w:val="clear" w:color="auto" w:fill="auto"/>
          <w:lang w:val="en-US" w:eastAsia="zh-CN"/>
        </w:rPr>
        <w:instrText xml:space="preserve"> HYPERLINK \l _Toc6297 </w:instrText>
      </w:r>
      <w:r>
        <w:rPr>
          <w:rFonts w:hint="eastAsia" w:ascii="黑体" w:eastAsia="黑体" w:cs="楷体"/>
          <w:bCs/>
          <w:caps/>
          <w:smallCaps w:val="0"/>
          <w:kern w:val="2"/>
          <w:szCs w:val="20"/>
          <w:shd w:val="clear" w:color="auto" w:fill="auto"/>
          <w:lang w:val="en-US" w:eastAsia="zh-CN"/>
        </w:rPr>
        <w:fldChar w:fldCharType="separate"/>
      </w:r>
      <w:r>
        <w:rPr>
          <w:rFonts w:ascii="黑体" w:eastAsia="黑体" w:cs="楷体"/>
          <w:i w:val="0"/>
          <w:caps w:val="0"/>
          <w:smallCaps w:val="0"/>
          <w:strike w:val="0"/>
          <w:dstrike w:val="0"/>
          <w:vanish w:val="0"/>
          <w:kern w:val="2"/>
          <w:szCs w:val="32"/>
          <w:shd w:val="clear" w:color="auto" w:fill="auto"/>
        </w:rPr>
        <w:t> 六、一般公共预算财政拨款基本支出决算情况说明   </w:t>
      </w:r>
      <w:r>
        <w:tab/>
      </w:r>
      <w:r>
        <w:fldChar w:fldCharType="begin"/>
      </w:r>
      <w:r>
        <w:instrText xml:space="preserve"> PAGEREF _Toc6297 </w:instrText>
      </w:r>
      <w:r>
        <w:fldChar w:fldCharType="separate"/>
      </w:r>
      <w:r>
        <w:t>13</w:t>
      </w:r>
      <w:r>
        <w:fldChar w:fldCharType="end"/>
      </w:r>
      <w:r>
        <w:rPr>
          <w:rFonts w:hint="eastAsia" w:ascii="黑体" w:eastAsia="黑体" w:cs="楷体"/>
          <w:bCs/>
          <w:caps/>
          <w:smallCaps w:val="0"/>
          <w:color w:val="FF0000"/>
          <w:kern w:val="2"/>
          <w:szCs w:val="20"/>
          <w:shd w:val="clear" w:color="auto" w:fill="auto"/>
          <w:lang w:val="en-US" w:eastAsia="zh-CN"/>
        </w:rPr>
        <w:fldChar w:fldCharType="end"/>
      </w:r>
    </w:p>
    <w:p w14:paraId="75FE0F49">
      <w:pPr>
        <w:pStyle w:val="12"/>
        <w:tabs>
          <w:tab w:val="right" w:leader="dot" w:pos="8305"/>
        </w:tabs>
      </w:pPr>
      <w:r>
        <w:rPr>
          <w:rFonts w:hint="eastAsia" w:ascii="黑体" w:eastAsia="黑体" w:cs="楷体"/>
          <w:bCs/>
          <w:caps/>
          <w:smallCaps w:val="0"/>
          <w:kern w:val="2"/>
          <w:szCs w:val="20"/>
          <w:shd w:val="clear" w:color="auto" w:fill="auto"/>
          <w:lang w:val="en-US" w:eastAsia="zh-CN"/>
        </w:rPr>
        <w:fldChar w:fldCharType="begin"/>
      </w:r>
      <w:r>
        <w:rPr>
          <w:rFonts w:hint="eastAsia" w:ascii="黑体" w:eastAsia="黑体" w:cs="楷体"/>
          <w:bCs/>
          <w:caps/>
          <w:smallCaps w:val="0"/>
          <w:kern w:val="2"/>
          <w:szCs w:val="20"/>
          <w:shd w:val="clear" w:color="auto" w:fill="auto"/>
          <w:lang w:val="en-US" w:eastAsia="zh-CN"/>
        </w:rPr>
        <w:instrText xml:space="preserve"> HYPERLINK \l _Toc1155 </w:instrText>
      </w:r>
      <w:r>
        <w:rPr>
          <w:rFonts w:hint="eastAsia" w:ascii="黑体" w:eastAsia="黑体" w:cs="楷体"/>
          <w:bCs/>
          <w:caps/>
          <w:smallCaps w:val="0"/>
          <w:kern w:val="2"/>
          <w:szCs w:val="20"/>
          <w:shd w:val="clear" w:color="auto" w:fill="auto"/>
          <w:lang w:val="en-US" w:eastAsia="zh-CN"/>
        </w:rPr>
        <w:fldChar w:fldCharType="separate"/>
      </w:r>
      <w:r>
        <w:rPr>
          <w:rFonts w:ascii="黑体" w:eastAsia="黑体" w:cs="楷体"/>
          <w:i w:val="0"/>
          <w:caps w:val="0"/>
          <w:smallCaps w:val="0"/>
          <w:strike w:val="0"/>
          <w:dstrike w:val="0"/>
          <w:vanish w:val="0"/>
          <w:kern w:val="2"/>
          <w:szCs w:val="32"/>
          <w:shd w:val="clear" w:color="auto" w:fill="auto"/>
        </w:rPr>
        <w:t> 七、“三公”经费财政拨款支出决算情况说明</w:t>
      </w:r>
      <w:r>
        <w:tab/>
      </w:r>
      <w:r>
        <w:fldChar w:fldCharType="begin"/>
      </w:r>
      <w:r>
        <w:instrText xml:space="preserve"> PAGEREF _Toc1155 </w:instrText>
      </w:r>
      <w:r>
        <w:fldChar w:fldCharType="separate"/>
      </w:r>
      <w:r>
        <w:t>15</w:t>
      </w:r>
      <w:r>
        <w:fldChar w:fldCharType="end"/>
      </w:r>
      <w:r>
        <w:rPr>
          <w:rFonts w:hint="eastAsia" w:ascii="黑体" w:eastAsia="黑体" w:cs="楷体"/>
          <w:bCs/>
          <w:caps/>
          <w:smallCaps w:val="0"/>
          <w:color w:val="FF0000"/>
          <w:kern w:val="2"/>
          <w:szCs w:val="20"/>
          <w:shd w:val="clear" w:color="auto" w:fill="auto"/>
          <w:lang w:val="en-US" w:eastAsia="zh-CN"/>
        </w:rPr>
        <w:fldChar w:fldCharType="end"/>
      </w:r>
    </w:p>
    <w:p w14:paraId="0777D22D">
      <w:pPr>
        <w:pStyle w:val="12"/>
        <w:tabs>
          <w:tab w:val="right" w:leader="dot" w:pos="8305"/>
        </w:tabs>
      </w:pPr>
      <w:r>
        <w:rPr>
          <w:rFonts w:hint="eastAsia" w:ascii="黑体" w:eastAsia="黑体" w:cs="楷体"/>
          <w:bCs/>
          <w:caps/>
          <w:smallCaps w:val="0"/>
          <w:kern w:val="2"/>
          <w:szCs w:val="20"/>
          <w:shd w:val="clear" w:color="auto" w:fill="auto"/>
          <w:lang w:val="en-US" w:eastAsia="zh-CN"/>
        </w:rPr>
        <w:fldChar w:fldCharType="begin"/>
      </w:r>
      <w:r>
        <w:rPr>
          <w:rFonts w:hint="eastAsia" w:ascii="黑体" w:eastAsia="黑体" w:cs="楷体"/>
          <w:bCs/>
          <w:caps/>
          <w:smallCaps w:val="0"/>
          <w:kern w:val="2"/>
          <w:szCs w:val="20"/>
          <w:shd w:val="clear" w:color="auto" w:fill="auto"/>
          <w:lang w:val="en-US" w:eastAsia="zh-CN"/>
        </w:rPr>
        <w:instrText xml:space="preserve"> HYPERLINK \l _Toc22089 </w:instrText>
      </w:r>
      <w:r>
        <w:rPr>
          <w:rFonts w:hint="eastAsia" w:ascii="黑体" w:eastAsia="黑体" w:cs="楷体"/>
          <w:bCs/>
          <w:caps/>
          <w:smallCaps w:val="0"/>
          <w:kern w:val="2"/>
          <w:szCs w:val="20"/>
          <w:shd w:val="clear" w:color="auto" w:fill="auto"/>
          <w:lang w:val="en-US" w:eastAsia="zh-CN"/>
        </w:rPr>
        <w:fldChar w:fldCharType="separate"/>
      </w:r>
      <w:r>
        <w:rPr>
          <w:rFonts w:ascii="黑体" w:eastAsia="黑体" w:cs="楷体"/>
          <w:i w:val="0"/>
          <w:caps w:val="0"/>
          <w:smallCaps w:val="0"/>
          <w:strike w:val="0"/>
          <w:dstrike w:val="0"/>
          <w:vanish w:val="0"/>
          <w:kern w:val="2"/>
          <w:szCs w:val="32"/>
          <w:shd w:val="clear" w:color="auto" w:fill="auto"/>
        </w:rPr>
        <w:t> 八、政府性基金预算支出决算情况说明</w:t>
      </w:r>
      <w:r>
        <w:tab/>
      </w:r>
      <w:r>
        <w:fldChar w:fldCharType="begin"/>
      </w:r>
      <w:r>
        <w:instrText xml:space="preserve"> PAGEREF _Toc22089 </w:instrText>
      </w:r>
      <w:r>
        <w:fldChar w:fldCharType="separate"/>
      </w:r>
      <w:r>
        <w:t>16</w:t>
      </w:r>
      <w:r>
        <w:fldChar w:fldCharType="end"/>
      </w:r>
      <w:r>
        <w:rPr>
          <w:rFonts w:hint="eastAsia" w:ascii="黑体" w:eastAsia="黑体" w:cs="楷体"/>
          <w:bCs/>
          <w:caps/>
          <w:smallCaps w:val="0"/>
          <w:color w:val="FF0000"/>
          <w:kern w:val="2"/>
          <w:szCs w:val="20"/>
          <w:shd w:val="clear" w:color="auto" w:fill="auto"/>
          <w:lang w:val="en-US" w:eastAsia="zh-CN"/>
        </w:rPr>
        <w:fldChar w:fldCharType="end"/>
      </w:r>
    </w:p>
    <w:p w14:paraId="77AE0292">
      <w:pPr>
        <w:pStyle w:val="12"/>
        <w:tabs>
          <w:tab w:val="right" w:leader="dot" w:pos="8305"/>
        </w:tabs>
      </w:pPr>
      <w:r>
        <w:rPr>
          <w:rFonts w:hint="eastAsia" w:ascii="黑体" w:eastAsia="黑体" w:cs="楷体"/>
          <w:bCs/>
          <w:caps/>
          <w:smallCaps w:val="0"/>
          <w:kern w:val="2"/>
          <w:szCs w:val="20"/>
          <w:shd w:val="clear" w:color="auto" w:fill="auto"/>
          <w:lang w:val="en-US" w:eastAsia="zh-CN"/>
        </w:rPr>
        <w:fldChar w:fldCharType="begin"/>
      </w:r>
      <w:r>
        <w:rPr>
          <w:rFonts w:hint="eastAsia" w:ascii="黑体" w:eastAsia="黑体" w:cs="楷体"/>
          <w:bCs/>
          <w:caps/>
          <w:smallCaps w:val="0"/>
          <w:kern w:val="2"/>
          <w:szCs w:val="20"/>
          <w:shd w:val="clear" w:color="auto" w:fill="auto"/>
          <w:lang w:val="en-US" w:eastAsia="zh-CN"/>
        </w:rPr>
        <w:instrText xml:space="preserve"> HYPERLINK \l _Toc3034 </w:instrText>
      </w:r>
      <w:r>
        <w:rPr>
          <w:rFonts w:hint="eastAsia" w:ascii="黑体" w:eastAsia="黑体" w:cs="楷体"/>
          <w:bCs/>
          <w:caps/>
          <w:smallCaps w:val="0"/>
          <w:kern w:val="2"/>
          <w:szCs w:val="20"/>
          <w:shd w:val="clear" w:color="auto" w:fill="auto"/>
          <w:lang w:val="en-US" w:eastAsia="zh-CN"/>
        </w:rPr>
        <w:fldChar w:fldCharType="separate"/>
      </w:r>
      <w:r>
        <w:rPr>
          <w:rFonts w:ascii="黑体" w:eastAsia="黑体" w:cs="楷体"/>
          <w:i w:val="0"/>
          <w:caps w:val="0"/>
          <w:smallCaps w:val="0"/>
          <w:strike w:val="0"/>
          <w:dstrike w:val="0"/>
          <w:vanish w:val="0"/>
          <w:kern w:val="2"/>
          <w:szCs w:val="32"/>
          <w:shd w:val="clear" w:color="auto" w:fill="auto"/>
        </w:rPr>
        <w:t>九、国有资本经营预算支出决算情况说明</w:t>
      </w:r>
      <w:r>
        <w:tab/>
      </w:r>
      <w:r>
        <w:fldChar w:fldCharType="begin"/>
      </w:r>
      <w:r>
        <w:instrText xml:space="preserve"> PAGEREF _Toc3034 </w:instrText>
      </w:r>
      <w:r>
        <w:fldChar w:fldCharType="separate"/>
      </w:r>
      <w:r>
        <w:t>16</w:t>
      </w:r>
      <w:r>
        <w:fldChar w:fldCharType="end"/>
      </w:r>
      <w:r>
        <w:rPr>
          <w:rFonts w:hint="eastAsia" w:ascii="黑体" w:eastAsia="黑体" w:cs="楷体"/>
          <w:bCs/>
          <w:caps/>
          <w:smallCaps w:val="0"/>
          <w:color w:val="FF0000"/>
          <w:kern w:val="2"/>
          <w:szCs w:val="20"/>
          <w:shd w:val="clear" w:color="auto" w:fill="auto"/>
          <w:lang w:val="en-US" w:eastAsia="zh-CN"/>
        </w:rPr>
        <w:fldChar w:fldCharType="end"/>
      </w:r>
    </w:p>
    <w:p w14:paraId="0588D409">
      <w:pPr>
        <w:pStyle w:val="12"/>
        <w:tabs>
          <w:tab w:val="right" w:leader="dot" w:pos="8305"/>
        </w:tabs>
      </w:pPr>
      <w:r>
        <w:rPr>
          <w:rFonts w:hint="eastAsia" w:ascii="黑体" w:eastAsia="黑体" w:cs="楷体"/>
          <w:bCs/>
          <w:caps/>
          <w:smallCaps w:val="0"/>
          <w:kern w:val="2"/>
          <w:szCs w:val="20"/>
          <w:shd w:val="clear" w:color="auto" w:fill="auto"/>
          <w:lang w:val="en-US" w:eastAsia="zh-CN"/>
        </w:rPr>
        <w:fldChar w:fldCharType="begin"/>
      </w:r>
      <w:r>
        <w:rPr>
          <w:rFonts w:hint="eastAsia" w:ascii="黑体" w:eastAsia="黑体" w:cs="楷体"/>
          <w:bCs/>
          <w:caps/>
          <w:smallCaps w:val="0"/>
          <w:kern w:val="2"/>
          <w:szCs w:val="20"/>
          <w:shd w:val="clear" w:color="auto" w:fill="auto"/>
          <w:lang w:val="en-US" w:eastAsia="zh-CN"/>
        </w:rPr>
        <w:instrText xml:space="preserve"> HYPERLINK \l _Toc26668 </w:instrText>
      </w:r>
      <w:r>
        <w:rPr>
          <w:rFonts w:hint="eastAsia" w:ascii="黑体" w:eastAsia="黑体" w:cs="楷体"/>
          <w:bCs/>
          <w:caps/>
          <w:smallCaps w:val="0"/>
          <w:kern w:val="2"/>
          <w:szCs w:val="20"/>
          <w:shd w:val="clear" w:color="auto" w:fill="auto"/>
          <w:lang w:val="en-US" w:eastAsia="zh-CN"/>
        </w:rPr>
        <w:fldChar w:fldCharType="separate"/>
      </w:r>
      <w:r>
        <w:rPr>
          <w:rFonts w:ascii="黑体" w:eastAsia="黑体" w:cs="楷体"/>
          <w:i w:val="0"/>
          <w:caps w:val="0"/>
          <w:smallCaps w:val="0"/>
          <w:strike w:val="0"/>
          <w:dstrike w:val="0"/>
          <w:vanish w:val="0"/>
          <w:kern w:val="2"/>
          <w:szCs w:val="32"/>
          <w:shd w:val="clear" w:color="auto" w:fill="auto"/>
        </w:rPr>
        <w:t>十、其他重要事项的情况说明</w:t>
      </w:r>
      <w:r>
        <w:tab/>
      </w:r>
      <w:r>
        <w:fldChar w:fldCharType="begin"/>
      </w:r>
      <w:r>
        <w:instrText xml:space="preserve"> PAGEREF _Toc26668 </w:instrText>
      </w:r>
      <w:r>
        <w:fldChar w:fldCharType="separate"/>
      </w:r>
      <w:r>
        <w:t>17</w:t>
      </w:r>
      <w:r>
        <w:fldChar w:fldCharType="end"/>
      </w:r>
      <w:r>
        <w:rPr>
          <w:rFonts w:hint="eastAsia" w:ascii="黑体" w:eastAsia="黑体" w:cs="楷体"/>
          <w:bCs/>
          <w:caps/>
          <w:smallCaps w:val="0"/>
          <w:color w:val="FF0000"/>
          <w:kern w:val="2"/>
          <w:szCs w:val="20"/>
          <w:shd w:val="clear" w:color="auto" w:fill="auto"/>
          <w:lang w:val="en-US" w:eastAsia="zh-CN"/>
        </w:rPr>
        <w:fldChar w:fldCharType="end"/>
      </w:r>
    </w:p>
    <w:p w14:paraId="44828866">
      <w:pPr>
        <w:pStyle w:val="12"/>
        <w:tabs>
          <w:tab w:val="right" w:leader="dot" w:pos="8305"/>
        </w:tabs>
        <w:ind w:left="0" w:firstLine="0"/>
      </w:pPr>
      <w:r>
        <w:rPr>
          <w:rFonts w:hint="eastAsia" w:ascii="黑体" w:eastAsia="黑体" w:cs="楷体"/>
          <w:bCs/>
          <w:caps/>
          <w:smallCaps w:val="0"/>
          <w:kern w:val="2"/>
          <w:szCs w:val="20"/>
          <w:shd w:val="clear" w:color="auto" w:fill="auto"/>
          <w:lang w:val="en-US" w:eastAsia="zh-CN"/>
        </w:rPr>
        <w:fldChar w:fldCharType="begin"/>
      </w:r>
      <w:r>
        <w:rPr>
          <w:rFonts w:hint="eastAsia" w:ascii="黑体" w:eastAsia="黑体" w:cs="楷体"/>
          <w:bCs/>
          <w:caps/>
          <w:smallCaps w:val="0"/>
          <w:kern w:val="2"/>
          <w:szCs w:val="20"/>
          <w:shd w:val="clear" w:color="auto" w:fill="auto"/>
          <w:lang w:val="en-US" w:eastAsia="zh-CN"/>
        </w:rPr>
        <w:instrText xml:space="preserve"> HYPERLINK \l _Toc8984 </w:instrText>
      </w:r>
      <w:r>
        <w:rPr>
          <w:rFonts w:hint="eastAsia" w:ascii="黑体" w:eastAsia="黑体" w:cs="楷体"/>
          <w:bCs/>
          <w:caps/>
          <w:smallCaps w:val="0"/>
          <w:kern w:val="2"/>
          <w:szCs w:val="20"/>
          <w:shd w:val="clear" w:color="auto" w:fill="auto"/>
          <w:lang w:val="en-US" w:eastAsia="zh-CN"/>
        </w:rPr>
        <w:fldChar w:fldCharType="separate"/>
      </w:r>
      <w:r>
        <w:rPr>
          <w:rFonts w:ascii="黑体" w:eastAsia="黑体" w:cs="楷体"/>
          <w:i w:val="0"/>
          <w:caps w:val="0"/>
          <w:smallCaps w:val="0"/>
          <w:strike w:val="0"/>
          <w:dstrike w:val="0"/>
          <w:vanish w:val="0"/>
          <w:kern w:val="2"/>
          <w:szCs w:val="32"/>
          <w:shd w:val="clear" w:color="auto" w:fill="auto"/>
        </w:rPr>
        <w:t>第三部分 名词解释</w:t>
      </w:r>
      <w:r>
        <w:tab/>
      </w:r>
      <w:r>
        <w:fldChar w:fldCharType="begin"/>
      </w:r>
      <w:r>
        <w:instrText xml:space="preserve"> PAGEREF _Toc8984 </w:instrText>
      </w:r>
      <w:r>
        <w:fldChar w:fldCharType="separate"/>
      </w:r>
      <w:r>
        <w:t>18</w:t>
      </w:r>
      <w:r>
        <w:fldChar w:fldCharType="end"/>
      </w:r>
      <w:r>
        <w:rPr>
          <w:rFonts w:hint="eastAsia" w:ascii="黑体" w:eastAsia="黑体" w:cs="楷体"/>
          <w:bCs/>
          <w:caps/>
          <w:smallCaps w:val="0"/>
          <w:color w:val="FF0000"/>
          <w:kern w:val="2"/>
          <w:szCs w:val="20"/>
          <w:shd w:val="clear" w:color="auto" w:fill="auto"/>
          <w:lang w:val="en-US" w:eastAsia="zh-CN"/>
        </w:rPr>
        <w:fldChar w:fldCharType="end"/>
      </w:r>
    </w:p>
    <w:p w14:paraId="0FB84F70">
      <w:pPr>
        <w:pStyle w:val="12"/>
        <w:tabs>
          <w:tab w:val="right" w:leader="dot" w:pos="8305"/>
        </w:tabs>
        <w:ind w:left="0" w:firstLine="0"/>
      </w:pPr>
      <w:r>
        <w:rPr>
          <w:rFonts w:hint="eastAsia" w:ascii="黑体" w:eastAsia="黑体" w:cs="楷体"/>
          <w:bCs/>
          <w:caps/>
          <w:smallCaps w:val="0"/>
          <w:kern w:val="2"/>
          <w:szCs w:val="20"/>
          <w:shd w:val="clear" w:color="auto" w:fill="auto"/>
          <w:lang w:val="en-US" w:eastAsia="zh-CN"/>
        </w:rPr>
        <w:fldChar w:fldCharType="begin"/>
      </w:r>
      <w:r>
        <w:rPr>
          <w:rFonts w:hint="eastAsia" w:ascii="黑体" w:eastAsia="黑体" w:cs="楷体"/>
          <w:bCs/>
          <w:caps/>
          <w:smallCaps w:val="0"/>
          <w:kern w:val="2"/>
          <w:szCs w:val="20"/>
          <w:shd w:val="clear" w:color="auto" w:fill="auto"/>
          <w:lang w:val="en-US" w:eastAsia="zh-CN"/>
        </w:rPr>
        <w:instrText xml:space="preserve"> HYPERLINK \l _Toc28128 </w:instrText>
      </w:r>
      <w:r>
        <w:rPr>
          <w:rFonts w:hint="eastAsia" w:ascii="黑体" w:eastAsia="黑体" w:cs="楷体"/>
          <w:bCs/>
          <w:caps/>
          <w:smallCaps w:val="0"/>
          <w:kern w:val="2"/>
          <w:szCs w:val="20"/>
          <w:shd w:val="clear" w:color="auto" w:fill="auto"/>
          <w:lang w:val="en-US" w:eastAsia="zh-CN"/>
        </w:rPr>
        <w:fldChar w:fldCharType="separate"/>
      </w:r>
      <w:r>
        <w:rPr>
          <w:rFonts w:ascii="黑体" w:eastAsia="黑体" w:cs="楷体"/>
          <w:i w:val="0"/>
          <w:caps w:val="0"/>
          <w:smallCaps w:val="0"/>
          <w:strike w:val="0"/>
          <w:dstrike w:val="0"/>
          <w:vanish w:val="0"/>
          <w:kern w:val="2"/>
          <w:szCs w:val="32"/>
          <w:shd w:val="clear" w:color="auto" w:fill="auto"/>
        </w:rPr>
        <w:t>第四部分 附件</w:t>
      </w:r>
      <w:r>
        <w:tab/>
      </w:r>
      <w:r>
        <w:fldChar w:fldCharType="begin"/>
      </w:r>
      <w:r>
        <w:instrText xml:space="preserve"> PAGEREF _Toc28128 </w:instrText>
      </w:r>
      <w:r>
        <w:fldChar w:fldCharType="separate"/>
      </w:r>
      <w:r>
        <w:t>20</w:t>
      </w:r>
      <w:r>
        <w:fldChar w:fldCharType="end"/>
      </w:r>
      <w:r>
        <w:rPr>
          <w:rFonts w:hint="eastAsia" w:ascii="黑体" w:eastAsia="黑体" w:cs="楷体"/>
          <w:bCs/>
          <w:caps/>
          <w:smallCaps w:val="0"/>
          <w:color w:val="FF0000"/>
          <w:kern w:val="2"/>
          <w:szCs w:val="20"/>
          <w:shd w:val="clear" w:color="auto" w:fill="auto"/>
          <w:lang w:val="en-US" w:eastAsia="zh-CN"/>
        </w:rPr>
        <w:fldChar w:fldCharType="end"/>
      </w:r>
    </w:p>
    <w:p w14:paraId="6521AB2A">
      <w:pPr>
        <w:pStyle w:val="12"/>
        <w:tabs>
          <w:tab w:val="right" w:leader="dot" w:pos="8305"/>
        </w:tabs>
        <w:ind w:left="0" w:firstLine="0"/>
      </w:pPr>
      <w:r>
        <w:rPr>
          <w:rFonts w:hint="eastAsia" w:ascii="黑体" w:eastAsia="黑体" w:cs="楷体"/>
          <w:bCs/>
          <w:caps/>
          <w:smallCaps w:val="0"/>
          <w:kern w:val="2"/>
          <w:szCs w:val="20"/>
          <w:shd w:val="clear" w:color="auto" w:fill="auto"/>
          <w:lang w:val="en-US" w:eastAsia="zh-CN"/>
        </w:rPr>
        <w:fldChar w:fldCharType="begin"/>
      </w:r>
      <w:r>
        <w:rPr>
          <w:rFonts w:hint="eastAsia" w:ascii="黑体" w:eastAsia="黑体" w:cs="楷体"/>
          <w:bCs/>
          <w:caps/>
          <w:smallCaps w:val="0"/>
          <w:kern w:val="2"/>
          <w:szCs w:val="20"/>
          <w:shd w:val="clear" w:color="auto" w:fill="auto"/>
          <w:lang w:val="en-US" w:eastAsia="zh-CN"/>
        </w:rPr>
        <w:instrText xml:space="preserve"> HYPERLINK \l _Toc8160 </w:instrText>
      </w:r>
      <w:r>
        <w:rPr>
          <w:rFonts w:hint="eastAsia" w:ascii="黑体" w:eastAsia="黑体" w:cs="楷体"/>
          <w:bCs/>
          <w:caps/>
          <w:smallCaps w:val="0"/>
          <w:kern w:val="2"/>
          <w:szCs w:val="20"/>
          <w:shd w:val="clear" w:color="auto" w:fill="auto"/>
          <w:lang w:val="en-US" w:eastAsia="zh-CN"/>
        </w:rPr>
        <w:fldChar w:fldCharType="separate"/>
      </w:r>
      <w:r>
        <w:rPr>
          <w:rFonts w:ascii="黑体" w:eastAsia="黑体" w:cs="楷体"/>
          <w:i w:val="0"/>
          <w:caps w:val="0"/>
          <w:smallCaps w:val="0"/>
          <w:strike w:val="0"/>
          <w:dstrike w:val="0"/>
          <w:vanish w:val="0"/>
          <w:kern w:val="2"/>
          <w:szCs w:val="32"/>
          <w:shd w:val="clear" w:color="auto" w:fill="auto"/>
        </w:rPr>
        <w:t>第五部分 附表</w:t>
      </w:r>
      <w:r>
        <w:tab/>
      </w:r>
      <w:r>
        <w:fldChar w:fldCharType="begin"/>
      </w:r>
      <w:r>
        <w:instrText xml:space="preserve"> PAGEREF _Toc8160 </w:instrText>
      </w:r>
      <w:r>
        <w:fldChar w:fldCharType="separate"/>
      </w:r>
      <w:r>
        <w:t>33</w:t>
      </w:r>
      <w:r>
        <w:fldChar w:fldCharType="end"/>
      </w:r>
      <w:r>
        <w:rPr>
          <w:rFonts w:hint="eastAsia" w:ascii="黑体" w:eastAsia="黑体" w:cs="楷体"/>
          <w:bCs/>
          <w:caps/>
          <w:smallCaps w:val="0"/>
          <w:color w:val="FF0000"/>
          <w:kern w:val="2"/>
          <w:szCs w:val="20"/>
          <w:shd w:val="clear" w:color="auto" w:fill="auto"/>
          <w:lang w:val="en-US" w:eastAsia="zh-CN"/>
        </w:rPr>
        <w:fldChar w:fldCharType="end"/>
      </w:r>
    </w:p>
    <w:p w14:paraId="2B8B473A">
      <w:pPr>
        <w:pStyle w:val="12"/>
        <w:tabs>
          <w:tab w:val="right" w:leader="dot" w:pos="8305"/>
        </w:tabs>
      </w:pPr>
      <w:r>
        <w:rPr>
          <w:rFonts w:hint="eastAsia" w:ascii="黑体" w:eastAsia="黑体" w:cs="楷体"/>
          <w:bCs/>
          <w:caps/>
          <w:smallCaps w:val="0"/>
          <w:kern w:val="2"/>
          <w:szCs w:val="20"/>
          <w:shd w:val="clear" w:color="auto" w:fill="auto"/>
          <w:lang w:val="en-US" w:eastAsia="zh-CN"/>
        </w:rPr>
        <w:fldChar w:fldCharType="begin"/>
      </w:r>
      <w:r>
        <w:rPr>
          <w:rFonts w:hint="eastAsia" w:ascii="黑体" w:eastAsia="黑体" w:cs="楷体"/>
          <w:bCs/>
          <w:caps/>
          <w:smallCaps w:val="0"/>
          <w:kern w:val="2"/>
          <w:szCs w:val="20"/>
          <w:shd w:val="clear" w:color="auto" w:fill="auto"/>
          <w:lang w:val="en-US" w:eastAsia="zh-CN"/>
        </w:rPr>
        <w:instrText xml:space="preserve"> HYPERLINK \l _Toc19418 </w:instrText>
      </w:r>
      <w:r>
        <w:rPr>
          <w:rFonts w:hint="eastAsia" w:ascii="黑体" w:eastAsia="黑体" w:cs="楷体"/>
          <w:bCs/>
          <w:caps/>
          <w:smallCaps w:val="0"/>
          <w:kern w:val="2"/>
          <w:szCs w:val="20"/>
          <w:shd w:val="clear" w:color="auto" w:fill="auto"/>
          <w:lang w:val="en-US" w:eastAsia="zh-CN"/>
        </w:rPr>
        <w:fldChar w:fldCharType="separate"/>
      </w:r>
      <w:r>
        <w:rPr>
          <w:rFonts w:hint="eastAsia" w:ascii="黑体" w:eastAsia="黑体" w:cs="楷体"/>
          <w:i w:val="0"/>
          <w:caps w:val="0"/>
          <w:smallCaps w:val="0"/>
          <w:strike w:val="0"/>
          <w:dstrike w:val="0"/>
          <w:vanish w:val="0"/>
          <w:kern w:val="2"/>
          <w:szCs w:val="32"/>
          <w:shd w:val="clear" w:color="auto" w:fill="auto"/>
        </w:rPr>
        <w:t>一、收入支出决算总表</w:t>
      </w:r>
      <w:r>
        <w:tab/>
      </w:r>
      <w:r>
        <w:fldChar w:fldCharType="begin"/>
      </w:r>
      <w:r>
        <w:instrText xml:space="preserve"> PAGEREF _Toc19418 </w:instrText>
      </w:r>
      <w:r>
        <w:fldChar w:fldCharType="separate"/>
      </w:r>
      <w:r>
        <w:t>33</w:t>
      </w:r>
      <w:r>
        <w:fldChar w:fldCharType="end"/>
      </w:r>
      <w:r>
        <w:rPr>
          <w:rFonts w:hint="eastAsia" w:ascii="黑体" w:eastAsia="黑体" w:cs="楷体"/>
          <w:bCs/>
          <w:caps/>
          <w:smallCaps w:val="0"/>
          <w:color w:val="FF0000"/>
          <w:kern w:val="2"/>
          <w:szCs w:val="20"/>
          <w:shd w:val="clear" w:color="auto" w:fill="auto"/>
          <w:lang w:val="en-US" w:eastAsia="zh-CN"/>
        </w:rPr>
        <w:fldChar w:fldCharType="end"/>
      </w:r>
    </w:p>
    <w:p w14:paraId="2E15FD3E">
      <w:pPr>
        <w:pStyle w:val="12"/>
        <w:tabs>
          <w:tab w:val="right" w:leader="dot" w:pos="8305"/>
        </w:tabs>
      </w:pPr>
      <w:r>
        <w:rPr>
          <w:rFonts w:hint="eastAsia" w:ascii="黑体" w:eastAsia="黑体" w:cs="楷体"/>
          <w:bCs/>
          <w:caps/>
          <w:smallCaps w:val="0"/>
          <w:kern w:val="2"/>
          <w:szCs w:val="20"/>
          <w:shd w:val="clear" w:color="auto" w:fill="auto"/>
          <w:lang w:val="en-US" w:eastAsia="zh-CN"/>
        </w:rPr>
        <w:fldChar w:fldCharType="begin"/>
      </w:r>
      <w:r>
        <w:rPr>
          <w:rFonts w:hint="eastAsia" w:ascii="黑体" w:eastAsia="黑体" w:cs="楷体"/>
          <w:bCs/>
          <w:caps/>
          <w:smallCaps w:val="0"/>
          <w:kern w:val="2"/>
          <w:szCs w:val="20"/>
          <w:shd w:val="clear" w:color="auto" w:fill="auto"/>
          <w:lang w:val="en-US" w:eastAsia="zh-CN"/>
        </w:rPr>
        <w:instrText xml:space="preserve"> HYPERLINK \l _Toc1661 </w:instrText>
      </w:r>
      <w:r>
        <w:rPr>
          <w:rFonts w:hint="eastAsia" w:ascii="黑体" w:eastAsia="黑体" w:cs="楷体"/>
          <w:bCs/>
          <w:caps/>
          <w:smallCaps w:val="0"/>
          <w:kern w:val="2"/>
          <w:szCs w:val="20"/>
          <w:shd w:val="clear" w:color="auto" w:fill="auto"/>
          <w:lang w:val="en-US" w:eastAsia="zh-CN"/>
        </w:rPr>
        <w:fldChar w:fldCharType="separate"/>
      </w:r>
      <w:r>
        <w:rPr>
          <w:rFonts w:hint="eastAsia" w:ascii="黑体" w:eastAsia="黑体" w:cs="楷体"/>
          <w:i w:val="0"/>
          <w:caps w:val="0"/>
          <w:smallCaps w:val="0"/>
          <w:strike w:val="0"/>
          <w:dstrike w:val="0"/>
          <w:vanish w:val="0"/>
          <w:kern w:val="2"/>
          <w:szCs w:val="32"/>
          <w:shd w:val="clear" w:color="auto" w:fill="auto"/>
        </w:rPr>
        <w:t>二、收入决算表</w:t>
      </w:r>
      <w:r>
        <w:tab/>
      </w:r>
      <w:r>
        <w:fldChar w:fldCharType="begin"/>
      </w:r>
      <w:r>
        <w:instrText xml:space="preserve"> PAGEREF _Toc1661 </w:instrText>
      </w:r>
      <w:r>
        <w:fldChar w:fldCharType="separate"/>
      </w:r>
      <w:r>
        <w:t>33</w:t>
      </w:r>
      <w:r>
        <w:fldChar w:fldCharType="end"/>
      </w:r>
      <w:r>
        <w:rPr>
          <w:rFonts w:hint="eastAsia" w:ascii="黑体" w:eastAsia="黑体" w:cs="楷体"/>
          <w:bCs/>
          <w:caps/>
          <w:smallCaps w:val="0"/>
          <w:color w:val="FF0000"/>
          <w:kern w:val="2"/>
          <w:szCs w:val="20"/>
          <w:shd w:val="clear" w:color="auto" w:fill="auto"/>
          <w:lang w:val="en-US" w:eastAsia="zh-CN"/>
        </w:rPr>
        <w:fldChar w:fldCharType="end"/>
      </w:r>
    </w:p>
    <w:p w14:paraId="78C4DD6B">
      <w:pPr>
        <w:pStyle w:val="12"/>
        <w:tabs>
          <w:tab w:val="right" w:leader="dot" w:pos="8305"/>
        </w:tabs>
      </w:pPr>
      <w:r>
        <w:rPr>
          <w:rFonts w:hint="eastAsia" w:ascii="黑体" w:eastAsia="黑体" w:cs="楷体"/>
          <w:bCs/>
          <w:caps/>
          <w:smallCaps w:val="0"/>
          <w:kern w:val="2"/>
          <w:szCs w:val="20"/>
          <w:shd w:val="clear" w:color="auto" w:fill="auto"/>
          <w:lang w:val="en-US" w:eastAsia="zh-CN"/>
        </w:rPr>
        <w:fldChar w:fldCharType="begin"/>
      </w:r>
      <w:r>
        <w:rPr>
          <w:rFonts w:hint="eastAsia" w:ascii="黑体" w:eastAsia="黑体" w:cs="楷体"/>
          <w:bCs/>
          <w:caps/>
          <w:smallCaps w:val="0"/>
          <w:kern w:val="2"/>
          <w:szCs w:val="20"/>
          <w:shd w:val="clear" w:color="auto" w:fill="auto"/>
          <w:lang w:val="en-US" w:eastAsia="zh-CN"/>
        </w:rPr>
        <w:instrText xml:space="preserve"> HYPERLINK \l _Toc3917 </w:instrText>
      </w:r>
      <w:r>
        <w:rPr>
          <w:rFonts w:hint="eastAsia" w:ascii="黑体" w:eastAsia="黑体" w:cs="楷体"/>
          <w:bCs/>
          <w:caps/>
          <w:smallCaps w:val="0"/>
          <w:kern w:val="2"/>
          <w:szCs w:val="20"/>
          <w:shd w:val="clear" w:color="auto" w:fill="auto"/>
          <w:lang w:val="en-US" w:eastAsia="zh-CN"/>
        </w:rPr>
        <w:fldChar w:fldCharType="separate"/>
      </w:r>
      <w:r>
        <w:rPr>
          <w:rFonts w:hint="eastAsia" w:ascii="黑体" w:eastAsia="黑体" w:cs="楷体"/>
          <w:i w:val="0"/>
          <w:caps w:val="0"/>
          <w:smallCaps w:val="0"/>
          <w:strike w:val="0"/>
          <w:dstrike w:val="0"/>
          <w:vanish w:val="0"/>
          <w:kern w:val="2"/>
          <w:szCs w:val="32"/>
          <w:shd w:val="clear" w:color="auto" w:fill="auto"/>
        </w:rPr>
        <w:t>三、支出决算表</w:t>
      </w:r>
      <w:r>
        <w:tab/>
      </w:r>
      <w:r>
        <w:fldChar w:fldCharType="begin"/>
      </w:r>
      <w:r>
        <w:instrText xml:space="preserve"> PAGEREF _Toc3917 </w:instrText>
      </w:r>
      <w:r>
        <w:fldChar w:fldCharType="separate"/>
      </w:r>
      <w:r>
        <w:t>33</w:t>
      </w:r>
      <w:r>
        <w:fldChar w:fldCharType="end"/>
      </w:r>
      <w:r>
        <w:rPr>
          <w:rFonts w:hint="eastAsia" w:ascii="黑体" w:eastAsia="黑体" w:cs="楷体"/>
          <w:bCs/>
          <w:caps/>
          <w:smallCaps w:val="0"/>
          <w:color w:val="FF0000"/>
          <w:kern w:val="2"/>
          <w:szCs w:val="20"/>
          <w:shd w:val="clear" w:color="auto" w:fill="auto"/>
          <w:lang w:val="en-US" w:eastAsia="zh-CN"/>
        </w:rPr>
        <w:fldChar w:fldCharType="end"/>
      </w:r>
    </w:p>
    <w:p w14:paraId="07668D99">
      <w:pPr>
        <w:pStyle w:val="12"/>
        <w:tabs>
          <w:tab w:val="right" w:leader="dot" w:pos="8305"/>
        </w:tabs>
      </w:pPr>
      <w:r>
        <w:rPr>
          <w:rFonts w:hint="eastAsia" w:ascii="黑体" w:eastAsia="黑体" w:cs="楷体"/>
          <w:bCs/>
          <w:caps/>
          <w:smallCaps w:val="0"/>
          <w:kern w:val="2"/>
          <w:szCs w:val="20"/>
          <w:shd w:val="clear" w:color="auto" w:fill="auto"/>
          <w:lang w:val="en-US" w:eastAsia="zh-CN"/>
        </w:rPr>
        <w:fldChar w:fldCharType="begin"/>
      </w:r>
      <w:r>
        <w:rPr>
          <w:rFonts w:hint="eastAsia" w:ascii="黑体" w:eastAsia="黑体" w:cs="楷体"/>
          <w:bCs/>
          <w:caps/>
          <w:smallCaps w:val="0"/>
          <w:kern w:val="2"/>
          <w:szCs w:val="20"/>
          <w:shd w:val="clear" w:color="auto" w:fill="auto"/>
          <w:lang w:val="en-US" w:eastAsia="zh-CN"/>
        </w:rPr>
        <w:instrText xml:space="preserve"> HYPERLINK \l _Toc11619 </w:instrText>
      </w:r>
      <w:r>
        <w:rPr>
          <w:rFonts w:hint="eastAsia" w:ascii="黑体" w:eastAsia="黑体" w:cs="楷体"/>
          <w:bCs/>
          <w:caps/>
          <w:smallCaps w:val="0"/>
          <w:kern w:val="2"/>
          <w:szCs w:val="20"/>
          <w:shd w:val="clear" w:color="auto" w:fill="auto"/>
          <w:lang w:val="en-US" w:eastAsia="zh-CN"/>
        </w:rPr>
        <w:fldChar w:fldCharType="separate"/>
      </w:r>
      <w:r>
        <w:rPr>
          <w:rFonts w:hint="eastAsia" w:ascii="黑体" w:eastAsia="黑体" w:cs="楷体"/>
          <w:i w:val="0"/>
          <w:caps w:val="0"/>
          <w:smallCaps w:val="0"/>
          <w:strike w:val="0"/>
          <w:dstrike w:val="0"/>
          <w:vanish w:val="0"/>
          <w:kern w:val="2"/>
          <w:szCs w:val="32"/>
          <w:shd w:val="clear" w:color="auto" w:fill="auto"/>
        </w:rPr>
        <w:t>四、财政拨款收入支出决算总表</w:t>
      </w:r>
      <w:r>
        <w:tab/>
      </w:r>
      <w:r>
        <w:fldChar w:fldCharType="begin"/>
      </w:r>
      <w:r>
        <w:instrText xml:space="preserve"> PAGEREF _Toc11619 </w:instrText>
      </w:r>
      <w:r>
        <w:fldChar w:fldCharType="separate"/>
      </w:r>
      <w:r>
        <w:t>33</w:t>
      </w:r>
      <w:r>
        <w:fldChar w:fldCharType="end"/>
      </w:r>
      <w:r>
        <w:rPr>
          <w:rFonts w:hint="eastAsia" w:ascii="黑体" w:eastAsia="黑体" w:cs="楷体"/>
          <w:bCs/>
          <w:caps/>
          <w:smallCaps w:val="0"/>
          <w:color w:val="FF0000"/>
          <w:kern w:val="2"/>
          <w:szCs w:val="20"/>
          <w:shd w:val="clear" w:color="auto" w:fill="auto"/>
          <w:lang w:val="en-US" w:eastAsia="zh-CN"/>
        </w:rPr>
        <w:fldChar w:fldCharType="end"/>
      </w:r>
    </w:p>
    <w:p w14:paraId="1F989A81">
      <w:pPr>
        <w:pStyle w:val="12"/>
        <w:tabs>
          <w:tab w:val="right" w:leader="dot" w:pos="8305"/>
        </w:tabs>
      </w:pPr>
      <w:r>
        <w:rPr>
          <w:rFonts w:hint="eastAsia" w:ascii="黑体" w:eastAsia="黑体" w:cs="楷体"/>
          <w:bCs/>
          <w:caps/>
          <w:smallCaps w:val="0"/>
          <w:kern w:val="2"/>
          <w:szCs w:val="20"/>
          <w:shd w:val="clear" w:color="auto" w:fill="auto"/>
          <w:lang w:val="en-US" w:eastAsia="zh-CN"/>
        </w:rPr>
        <w:fldChar w:fldCharType="begin"/>
      </w:r>
      <w:r>
        <w:rPr>
          <w:rFonts w:hint="eastAsia" w:ascii="黑体" w:eastAsia="黑体" w:cs="楷体"/>
          <w:bCs/>
          <w:caps/>
          <w:smallCaps w:val="0"/>
          <w:kern w:val="2"/>
          <w:szCs w:val="20"/>
          <w:shd w:val="clear" w:color="auto" w:fill="auto"/>
          <w:lang w:val="en-US" w:eastAsia="zh-CN"/>
        </w:rPr>
        <w:instrText xml:space="preserve"> HYPERLINK \l _Toc16768 </w:instrText>
      </w:r>
      <w:r>
        <w:rPr>
          <w:rFonts w:hint="eastAsia" w:ascii="黑体" w:eastAsia="黑体" w:cs="楷体"/>
          <w:bCs/>
          <w:caps/>
          <w:smallCaps w:val="0"/>
          <w:kern w:val="2"/>
          <w:szCs w:val="20"/>
          <w:shd w:val="clear" w:color="auto" w:fill="auto"/>
          <w:lang w:val="en-US" w:eastAsia="zh-CN"/>
        </w:rPr>
        <w:fldChar w:fldCharType="separate"/>
      </w:r>
      <w:r>
        <w:rPr>
          <w:rFonts w:hint="eastAsia" w:ascii="黑体" w:eastAsia="黑体" w:cs="楷体"/>
          <w:i w:val="0"/>
          <w:caps w:val="0"/>
          <w:smallCaps w:val="0"/>
          <w:strike w:val="0"/>
          <w:dstrike w:val="0"/>
          <w:vanish w:val="0"/>
          <w:kern w:val="2"/>
          <w:szCs w:val="32"/>
          <w:shd w:val="clear" w:color="auto" w:fill="auto"/>
        </w:rPr>
        <w:t>五、财政拨款支出决算明细表</w:t>
      </w:r>
      <w:r>
        <w:tab/>
      </w:r>
      <w:r>
        <w:fldChar w:fldCharType="begin"/>
      </w:r>
      <w:r>
        <w:instrText xml:space="preserve"> PAGEREF _Toc16768 </w:instrText>
      </w:r>
      <w:r>
        <w:fldChar w:fldCharType="separate"/>
      </w:r>
      <w:r>
        <w:t>33</w:t>
      </w:r>
      <w:r>
        <w:fldChar w:fldCharType="end"/>
      </w:r>
      <w:r>
        <w:rPr>
          <w:rFonts w:hint="eastAsia" w:ascii="黑体" w:eastAsia="黑体" w:cs="楷体"/>
          <w:bCs/>
          <w:caps/>
          <w:smallCaps w:val="0"/>
          <w:color w:val="FF0000"/>
          <w:kern w:val="2"/>
          <w:szCs w:val="20"/>
          <w:shd w:val="clear" w:color="auto" w:fill="auto"/>
          <w:lang w:val="en-US" w:eastAsia="zh-CN"/>
        </w:rPr>
        <w:fldChar w:fldCharType="end"/>
      </w:r>
    </w:p>
    <w:p w14:paraId="7EEAFBDB">
      <w:pPr>
        <w:pStyle w:val="12"/>
        <w:tabs>
          <w:tab w:val="right" w:leader="dot" w:pos="8305"/>
        </w:tabs>
      </w:pPr>
      <w:r>
        <w:rPr>
          <w:rFonts w:hint="eastAsia" w:ascii="黑体" w:eastAsia="黑体" w:cs="楷体"/>
          <w:bCs/>
          <w:caps/>
          <w:smallCaps w:val="0"/>
          <w:kern w:val="2"/>
          <w:szCs w:val="20"/>
          <w:shd w:val="clear" w:color="auto" w:fill="auto"/>
          <w:lang w:val="en-US" w:eastAsia="zh-CN"/>
        </w:rPr>
        <w:fldChar w:fldCharType="begin"/>
      </w:r>
      <w:r>
        <w:rPr>
          <w:rFonts w:hint="eastAsia" w:ascii="黑体" w:eastAsia="黑体" w:cs="楷体"/>
          <w:bCs/>
          <w:caps/>
          <w:smallCaps w:val="0"/>
          <w:kern w:val="2"/>
          <w:szCs w:val="20"/>
          <w:shd w:val="clear" w:color="auto" w:fill="auto"/>
          <w:lang w:val="en-US" w:eastAsia="zh-CN"/>
        </w:rPr>
        <w:instrText xml:space="preserve"> HYPERLINK \l _Toc12858 </w:instrText>
      </w:r>
      <w:r>
        <w:rPr>
          <w:rFonts w:hint="eastAsia" w:ascii="黑体" w:eastAsia="黑体" w:cs="楷体"/>
          <w:bCs/>
          <w:caps/>
          <w:smallCaps w:val="0"/>
          <w:kern w:val="2"/>
          <w:szCs w:val="20"/>
          <w:shd w:val="clear" w:color="auto" w:fill="auto"/>
          <w:lang w:val="en-US" w:eastAsia="zh-CN"/>
        </w:rPr>
        <w:fldChar w:fldCharType="separate"/>
      </w:r>
      <w:r>
        <w:rPr>
          <w:rFonts w:hint="eastAsia" w:ascii="黑体" w:eastAsia="黑体" w:cs="楷体"/>
          <w:i w:val="0"/>
          <w:caps w:val="0"/>
          <w:smallCaps w:val="0"/>
          <w:strike w:val="0"/>
          <w:dstrike w:val="0"/>
          <w:vanish w:val="0"/>
          <w:kern w:val="2"/>
          <w:szCs w:val="32"/>
          <w:shd w:val="clear" w:color="auto" w:fill="auto"/>
        </w:rPr>
        <w:t>六、一般公共预算财政拨款支出决算表</w:t>
      </w:r>
      <w:r>
        <w:tab/>
      </w:r>
      <w:r>
        <w:fldChar w:fldCharType="begin"/>
      </w:r>
      <w:r>
        <w:instrText xml:space="preserve"> PAGEREF _Toc12858 </w:instrText>
      </w:r>
      <w:r>
        <w:fldChar w:fldCharType="separate"/>
      </w:r>
      <w:r>
        <w:t>33</w:t>
      </w:r>
      <w:r>
        <w:fldChar w:fldCharType="end"/>
      </w:r>
      <w:r>
        <w:rPr>
          <w:rFonts w:hint="eastAsia" w:ascii="黑体" w:eastAsia="黑体" w:cs="楷体"/>
          <w:bCs/>
          <w:caps/>
          <w:smallCaps w:val="0"/>
          <w:color w:val="FF0000"/>
          <w:kern w:val="2"/>
          <w:szCs w:val="20"/>
          <w:shd w:val="clear" w:color="auto" w:fill="auto"/>
          <w:lang w:val="en-US" w:eastAsia="zh-CN"/>
        </w:rPr>
        <w:fldChar w:fldCharType="end"/>
      </w:r>
    </w:p>
    <w:p w14:paraId="41A13177">
      <w:pPr>
        <w:pStyle w:val="12"/>
        <w:tabs>
          <w:tab w:val="right" w:leader="dot" w:pos="8305"/>
        </w:tabs>
      </w:pPr>
      <w:r>
        <w:rPr>
          <w:rFonts w:hint="eastAsia" w:ascii="黑体" w:eastAsia="黑体" w:cs="楷体"/>
          <w:bCs/>
          <w:caps/>
          <w:smallCaps w:val="0"/>
          <w:kern w:val="2"/>
          <w:szCs w:val="20"/>
          <w:shd w:val="clear" w:color="auto" w:fill="auto"/>
          <w:lang w:val="en-US" w:eastAsia="zh-CN"/>
        </w:rPr>
        <w:fldChar w:fldCharType="begin"/>
      </w:r>
      <w:r>
        <w:rPr>
          <w:rFonts w:hint="eastAsia" w:ascii="黑体" w:eastAsia="黑体" w:cs="楷体"/>
          <w:bCs/>
          <w:caps/>
          <w:smallCaps w:val="0"/>
          <w:kern w:val="2"/>
          <w:szCs w:val="20"/>
          <w:shd w:val="clear" w:color="auto" w:fill="auto"/>
          <w:lang w:val="en-US" w:eastAsia="zh-CN"/>
        </w:rPr>
        <w:instrText xml:space="preserve"> HYPERLINK \l _Toc12367 </w:instrText>
      </w:r>
      <w:r>
        <w:rPr>
          <w:rFonts w:hint="eastAsia" w:ascii="黑体" w:eastAsia="黑体" w:cs="楷体"/>
          <w:bCs/>
          <w:caps/>
          <w:smallCaps w:val="0"/>
          <w:kern w:val="2"/>
          <w:szCs w:val="20"/>
          <w:shd w:val="clear" w:color="auto" w:fill="auto"/>
          <w:lang w:val="en-US" w:eastAsia="zh-CN"/>
        </w:rPr>
        <w:fldChar w:fldCharType="separate"/>
      </w:r>
      <w:r>
        <w:rPr>
          <w:rFonts w:hint="eastAsia" w:ascii="黑体" w:eastAsia="黑体" w:cs="楷体"/>
          <w:i w:val="0"/>
          <w:caps w:val="0"/>
          <w:smallCaps w:val="0"/>
          <w:strike w:val="0"/>
          <w:dstrike w:val="0"/>
          <w:vanish w:val="0"/>
          <w:kern w:val="2"/>
          <w:szCs w:val="32"/>
          <w:shd w:val="clear" w:color="auto" w:fill="auto"/>
        </w:rPr>
        <w:t>七、一般公共预算财政拨款支出决算明细表</w:t>
      </w:r>
      <w:r>
        <w:tab/>
      </w:r>
      <w:r>
        <w:fldChar w:fldCharType="begin"/>
      </w:r>
      <w:r>
        <w:instrText xml:space="preserve"> PAGEREF _Toc12367 </w:instrText>
      </w:r>
      <w:r>
        <w:fldChar w:fldCharType="separate"/>
      </w:r>
      <w:r>
        <w:t>33</w:t>
      </w:r>
      <w:r>
        <w:fldChar w:fldCharType="end"/>
      </w:r>
      <w:r>
        <w:rPr>
          <w:rFonts w:hint="eastAsia" w:ascii="黑体" w:eastAsia="黑体" w:cs="楷体"/>
          <w:bCs/>
          <w:caps/>
          <w:smallCaps w:val="0"/>
          <w:color w:val="FF0000"/>
          <w:kern w:val="2"/>
          <w:szCs w:val="20"/>
          <w:shd w:val="clear" w:color="auto" w:fill="auto"/>
          <w:lang w:val="en-US" w:eastAsia="zh-CN"/>
        </w:rPr>
        <w:fldChar w:fldCharType="end"/>
      </w:r>
    </w:p>
    <w:p w14:paraId="508DF4D3">
      <w:pPr>
        <w:pStyle w:val="12"/>
        <w:tabs>
          <w:tab w:val="right" w:leader="dot" w:pos="8305"/>
        </w:tabs>
      </w:pPr>
      <w:r>
        <w:rPr>
          <w:rFonts w:hint="eastAsia" w:ascii="黑体" w:eastAsia="黑体" w:cs="楷体"/>
          <w:bCs/>
          <w:caps/>
          <w:smallCaps w:val="0"/>
          <w:kern w:val="2"/>
          <w:szCs w:val="20"/>
          <w:shd w:val="clear" w:color="auto" w:fill="auto"/>
          <w:lang w:val="en-US" w:eastAsia="zh-CN"/>
        </w:rPr>
        <w:fldChar w:fldCharType="begin"/>
      </w:r>
      <w:r>
        <w:rPr>
          <w:rFonts w:hint="eastAsia" w:ascii="黑体" w:eastAsia="黑体" w:cs="楷体"/>
          <w:bCs/>
          <w:caps/>
          <w:smallCaps w:val="0"/>
          <w:kern w:val="2"/>
          <w:szCs w:val="20"/>
          <w:shd w:val="clear" w:color="auto" w:fill="auto"/>
          <w:lang w:val="en-US" w:eastAsia="zh-CN"/>
        </w:rPr>
        <w:instrText xml:space="preserve"> HYPERLINK \l _Toc32504 </w:instrText>
      </w:r>
      <w:r>
        <w:rPr>
          <w:rFonts w:hint="eastAsia" w:ascii="黑体" w:eastAsia="黑体" w:cs="楷体"/>
          <w:bCs/>
          <w:caps/>
          <w:smallCaps w:val="0"/>
          <w:kern w:val="2"/>
          <w:szCs w:val="20"/>
          <w:shd w:val="clear" w:color="auto" w:fill="auto"/>
          <w:lang w:val="en-US" w:eastAsia="zh-CN"/>
        </w:rPr>
        <w:fldChar w:fldCharType="separate"/>
      </w:r>
      <w:r>
        <w:rPr>
          <w:rFonts w:hint="eastAsia" w:ascii="黑体" w:eastAsia="黑体" w:cs="楷体"/>
          <w:i w:val="0"/>
          <w:caps w:val="0"/>
          <w:smallCaps w:val="0"/>
          <w:strike w:val="0"/>
          <w:dstrike w:val="0"/>
          <w:vanish w:val="0"/>
          <w:kern w:val="2"/>
          <w:szCs w:val="32"/>
          <w:shd w:val="clear" w:color="auto" w:fill="auto"/>
        </w:rPr>
        <w:t>八、一般公共预算财政拨款基本支出决算表</w:t>
      </w:r>
      <w:r>
        <w:tab/>
      </w:r>
      <w:r>
        <w:fldChar w:fldCharType="begin"/>
      </w:r>
      <w:r>
        <w:instrText xml:space="preserve"> PAGEREF _Toc32504 </w:instrText>
      </w:r>
      <w:r>
        <w:fldChar w:fldCharType="separate"/>
      </w:r>
      <w:r>
        <w:t>33</w:t>
      </w:r>
      <w:r>
        <w:fldChar w:fldCharType="end"/>
      </w:r>
      <w:r>
        <w:rPr>
          <w:rFonts w:hint="eastAsia" w:ascii="黑体" w:eastAsia="黑体" w:cs="楷体"/>
          <w:bCs/>
          <w:caps/>
          <w:smallCaps w:val="0"/>
          <w:color w:val="FF0000"/>
          <w:kern w:val="2"/>
          <w:szCs w:val="20"/>
          <w:shd w:val="clear" w:color="auto" w:fill="auto"/>
          <w:lang w:val="en-US" w:eastAsia="zh-CN"/>
        </w:rPr>
        <w:fldChar w:fldCharType="end"/>
      </w:r>
    </w:p>
    <w:p w14:paraId="4C950A10">
      <w:pPr>
        <w:pStyle w:val="12"/>
        <w:tabs>
          <w:tab w:val="right" w:leader="dot" w:pos="8305"/>
        </w:tabs>
      </w:pPr>
      <w:r>
        <w:rPr>
          <w:rFonts w:hint="eastAsia" w:ascii="黑体" w:eastAsia="黑体" w:cs="楷体"/>
          <w:bCs/>
          <w:caps/>
          <w:smallCaps w:val="0"/>
          <w:kern w:val="2"/>
          <w:szCs w:val="20"/>
          <w:shd w:val="clear" w:color="auto" w:fill="auto"/>
          <w:lang w:val="en-US" w:eastAsia="zh-CN"/>
        </w:rPr>
        <w:fldChar w:fldCharType="begin"/>
      </w:r>
      <w:r>
        <w:rPr>
          <w:rFonts w:hint="eastAsia" w:ascii="黑体" w:eastAsia="黑体" w:cs="楷体"/>
          <w:bCs/>
          <w:caps/>
          <w:smallCaps w:val="0"/>
          <w:kern w:val="2"/>
          <w:szCs w:val="20"/>
          <w:shd w:val="clear" w:color="auto" w:fill="auto"/>
          <w:lang w:val="en-US" w:eastAsia="zh-CN"/>
        </w:rPr>
        <w:instrText xml:space="preserve"> HYPERLINK \l _Toc19251 </w:instrText>
      </w:r>
      <w:r>
        <w:rPr>
          <w:rFonts w:hint="eastAsia" w:ascii="黑体" w:eastAsia="黑体" w:cs="楷体"/>
          <w:bCs/>
          <w:caps/>
          <w:smallCaps w:val="0"/>
          <w:kern w:val="2"/>
          <w:szCs w:val="20"/>
          <w:shd w:val="clear" w:color="auto" w:fill="auto"/>
          <w:lang w:val="en-US" w:eastAsia="zh-CN"/>
        </w:rPr>
        <w:fldChar w:fldCharType="separate"/>
      </w:r>
      <w:r>
        <w:rPr>
          <w:rFonts w:hint="eastAsia" w:ascii="黑体" w:eastAsia="黑体" w:cs="楷体"/>
          <w:i w:val="0"/>
          <w:caps w:val="0"/>
          <w:smallCaps w:val="0"/>
          <w:strike w:val="0"/>
          <w:dstrike w:val="0"/>
          <w:vanish w:val="0"/>
          <w:kern w:val="2"/>
          <w:szCs w:val="32"/>
          <w:shd w:val="clear" w:color="auto" w:fill="auto"/>
        </w:rPr>
        <w:t>九、一般公共预算财政拨款项目支出决算表</w:t>
      </w:r>
      <w:r>
        <w:tab/>
      </w:r>
      <w:r>
        <w:fldChar w:fldCharType="begin"/>
      </w:r>
      <w:r>
        <w:instrText xml:space="preserve"> PAGEREF _Toc19251 </w:instrText>
      </w:r>
      <w:r>
        <w:fldChar w:fldCharType="separate"/>
      </w:r>
      <w:r>
        <w:t>33</w:t>
      </w:r>
      <w:r>
        <w:fldChar w:fldCharType="end"/>
      </w:r>
      <w:r>
        <w:rPr>
          <w:rFonts w:hint="eastAsia" w:ascii="黑体" w:eastAsia="黑体" w:cs="楷体"/>
          <w:bCs/>
          <w:caps/>
          <w:smallCaps w:val="0"/>
          <w:color w:val="FF0000"/>
          <w:kern w:val="2"/>
          <w:szCs w:val="20"/>
          <w:shd w:val="clear" w:color="auto" w:fill="auto"/>
          <w:lang w:val="en-US" w:eastAsia="zh-CN"/>
        </w:rPr>
        <w:fldChar w:fldCharType="end"/>
      </w:r>
    </w:p>
    <w:p w14:paraId="37517FBC">
      <w:pPr>
        <w:pStyle w:val="12"/>
        <w:tabs>
          <w:tab w:val="right" w:leader="dot" w:pos="8305"/>
        </w:tabs>
      </w:pPr>
      <w:r>
        <w:rPr>
          <w:rFonts w:hint="eastAsia" w:ascii="黑体" w:eastAsia="黑体" w:cs="楷体"/>
          <w:bCs/>
          <w:caps/>
          <w:smallCaps w:val="0"/>
          <w:kern w:val="2"/>
          <w:szCs w:val="20"/>
          <w:shd w:val="clear" w:color="auto" w:fill="auto"/>
          <w:lang w:val="en-US" w:eastAsia="zh-CN"/>
        </w:rPr>
        <w:fldChar w:fldCharType="begin"/>
      </w:r>
      <w:r>
        <w:rPr>
          <w:rFonts w:hint="eastAsia" w:ascii="黑体" w:eastAsia="黑体" w:cs="楷体"/>
          <w:bCs/>
          <w:caps/>
          <w:smallCaps w:val="0"/>
          <w:kern w:val="2"/>
          <w:szCs w:val="20"/>
          <w:shd w:val="clear" w:color="auto" w:fill="auto"/>
          <w:lang w:val="en-US" w:eastAsia="zh-CN"/>
        </w:rPr>
        <w:instrText xml:space="preserve"> HYPERLINK \l _Toc17674 </w:instrText>
      </w:r>
      <w:r>
        <w:rPr>
          <w:rFonts w:hint="eastAsia" w:ascii="黑体" w:eastAsia="黑体" w:cs="楷体"/>
          <w:bCs/>
          <w:caps/>
          <w:smallCaps w:val="0"/>
          <w:kern w:val="2"/>
          <w:szCs w:val="20"/>
          <w:shd w:val="clear" w:color="auto" w:fill="auto"/>
          <w:lang w:val="en-US" w:eastAsia="zh-CN"/>
        </w:rPr>
        <w:fldChar w:fldCharType="separate"/>
      </w:r>
      <w:r>
        <w:rPr>
          <w:rFonts w:hint="eastAsia" w:ascii="黑体" w:eastAsia="黑体" w:cs="楷体"/>
          <w:i w:val="0"/>
          <w:caps w:val="0"/>
          <w:smallCaps w:val="0"/>
          <w:strike w:val="0"/>
          <w:dstrike w:val="0"/>
          <w:vanish w:val="0"/>
          <w:kern w:val="2"/>
          <w:szCs w:val="32"/>
          <w:shd w:val="clear" w:color="auto" w:fill="auto"/>
        </w:rPr>
        <w:t>十、一般公共预算财政拨款“三公”经费支出决算表</w:t>
      </w:r>
      <w:r>
        <w:tab/>
      </w:r>
      <w:r>
        <w:fldChar w:fldCharType="begin"/>
      </w:r>
      <w:r>
        <w:instrText xml:space="preserve"> PAGEREF _Toc17674 </w:instrText>
      </w:r>
      <w:r>
        <w:fldChar w:fldCharType="separate"/>
      </w:r>
      <w:r>
        <w:t>33</w:t>
      </w:r>
      <w:r>
        <w:fldChar w:fldCharType="end"/>
      </w:r>
      <w:r>
        <w:rPr>
          <w:rFonts w:hint="eastAsia" w:ascii="黑体" w:eastAsia="黑体" w:cs="楷体"/>
          <w:bCs/>
          <w:caps/>
          <w:smallCaps w:val="0"/>
          <w:color w:val="FF0000"/>
          <w:kern w:val="2"/>
          <w:szCs w:val="20"/>
          <w:shd w:val="clear" w:color="auto" w:fill="auto"/>
          <w:lang w:val="en-US" w:eastAsia="zh-CN"/>
        </w:rPr>
        <w:fldChar w:fldCharType="end"/>
      </w:r>
    </w:p>
    <w:p w14:paraId="10021C8B">
      <w:pPr>
        <w:pStyle w:val="12"/>
        <w:tabs>
          <w:tab w:val="right" w:leader="dot" w:pos="8305"/>
        </w:tabs>
      </w:pPr>
      <w:r>
        <w:rPr>
          <w:rFonts w:hint="eastAsia" w:ascii="黑体" w:eastAsia="黑体" w:cs="楷体"/>
          <w:bCs/>
          <w:caps/>
          <w:smallCaps w:val="0"/>
          <w:kern w:val="2"/>
          <w:szCs w:val="20"/>
          <w:shd w:val="clear" w:color="auto" w:fill="auto"/>
          <w:lang w:val="en-US" w:eastAsia="zh-CN"/>
        </w:rPr>
        <w:fldChar w:fldCharType="begin"/>
      </w:r>
      <w:r>
        <w:rPr>
          <w:rFonts w:hint="eastAsia" w:ascii="黑体" w:eastAsia="黑体" w:cs="楷体"/>
          <w:bCs/>
          <w:caps/>
          <w:smallCaps w:val="0"/>
          <w:kern w:val="2"/>
          <w:szCs w:val="20"/>
          <w:shd w:val="clear" w:color="auto" w:fill="auto"/>
          <w:lang w:val="en-US" w:eastAsia="zh-CN"/>
        </w:rPr>
        <w:instrText xml:space="preserve"> HYPERLINK \l _Toc26205 </w:instrText>
      </w:r>
      <w:r>
        <w:rPr>
          <w:rFonts w:hint="eastAsia" w:ascii="黑体" w:eastAsia="黑体" w:cs="楷体"/>
          <w:bCs/>
          <w:caps/>
          <w:smallCaps w:val="0"/>
          <w:kern w:val="2"/>
          <w:szCs w:val="20"/>
          <w:shd w:val="clear" w:color="auto" w:fill="auto"/>
          <w:lang w:val="en-US" w:eastAsia="zh-CN"/>
        </w:rPr>
        <w:fldChar w:fldCharType="separate"/>
      </w:r>
      <w:r>
        <w:rPr>
          <w:rFonts w:hint="eastAsia" w:ascii="黑体" w:eastAsia="黑体" w:cs="楷体"/>
          <w:i w:val="0"/>
          <w:caps w:val="0"/>
          <w:smallCaps w:val="0"/>
          <w:strike w:val="0"/>
          <w:dstrike w:val="0"/>
          <w:vanish w:val="0"/>
          <w:kern w:val="2"/>
          <w:szCs w:val="32"/>
          <w:shd w:val="clear" w:color="auto" w:fill="auto"/>
        </w:rPr>
        <w:t>十一、政府性基金预算财政拨款收入支出决算表</w:t>
      </w:r>
      <w:r>
        <w:tab/>
      </w:r>
      <w:r>
        <w:fldChar w:fldCharType="begin"/>
      </w:r>
      <w:r>
        <w:instrText xml:space="preserve"> PAGEREF _Toc26205 </w:instrText>
      </w:r>
      <w:r>
        <w:fldChar w:fldCharType="separate"/>
      </w:r>
      <w:r>
        <w:t>33</w:t>
      </w:r>
      <w:r>
        <w:fldChar w:fldCharType="end"/>
      </w:r>
      <w:r>
        <w:rPr>
          <w:rFonts w:hint="eastAsia" w:ascii="黑体" w:eastAsia="黑体" w:cs="楷体"/>
          <w:bCs/>
          <w:caps/>
          <w:smallCaps w:val="0"/>
          <w:color w:val="FF0000"/>
          <w:kern w:val="2"/>
          <w:szCs w:val="20"/>
          <w:shd w:val="clear" w:color="auto" w:fill="auto"/>
          <w:lang w:val="en-US" w:eastAsia="zh-CN"/>
        </w:rPr>
        <w:fldChar w:fldCharType="end"/>
      </w:r>
    </w:p>
    <w:p w14:paraId="43B473A3">
      <w:pPr>
        <w:pStyle w:val="12"/>
        <w:tabs>
          <w:tab w:val="right" w:leader="dot" w:pos="8305"/>
        </w:tabs>
      </w:pPr>
      <w:r>
        <w:rPr>
          <w:rFonts w:hint="eastAsia" w:ascii="黑体" w:eastAsia="黑体" w:cs="楷体"/>
          <w:bCs/>
          <w:caps/>
          <w:smallCaps w:val="0"/>
          <w:kern w:val="2"/>
          <w:szCs w:val="20"/>
          <w:shd w:val="clear" w:color="auto" w:fill="auto"/>
          <w:lang w:val="en-US" w:eastAsia="zh-CN"/>
        </w:rPr>
        <w:fldChar w:fldCharType="begin"/>
      </w:r>
      <w:r>
        <w:rPr>
          <w:rFonts w:hint="eastAsia" w:ascii="黑体" w:eastAsia="黑体" w:cs="楷体"/>
          <w:bCs/>
          <w:caps/>
          <w:smallCaps w:val="0"/>
          <w:kern w:val="2"/>
          <w:szCs w:val="20"/>
          <w:shd w:val="clear" w:color="auto" w:fill="auto"/>
          <w:lang w:val="en-US" w:eastAsia="zh-CN"/>
        </w:rPr>
        <w:instrText xml:space="preserve"> HYPERLINK \l _Toc5771 </w:instrText>
      </w:r>
      <w:r>
        <w:rPr>
          <w:rFonts w:hint="eastAsia" w:ascii="黑体" w:eastAsia="黑体" w:cs="楷体"/>
          <w:bCs/>
          <w:caps/>
          <w:smallCaps w:val="0"/>
          <w:kern w:val="2"/>
          <w:szCs w:val="20"/>
          <w:shd w:val="clear" w:color="auto" w:fill="auto"/>
          <w:lang w:val="en-US" w:eastAsia="zh-CN"/>
        </w:rPr>
        <w:fldChar w:fldCharType="separate"/>
      </w:r>
      <w:r>
        <w:rPr>
          <w:rFonts w:hint="eastAsia" w:ascii="黑体" w:eastAsia="黑体" w:cs="楷体"/>
          <w:i w:val="0"/>
          <w:caps w:val="0"/>
          <w:smallCaps w:val="0"/>
          <w:strike w:val="0"/>
          <w:dstrike w:val="0"/>
          <w:vanish w:val="0"/>
          <w:kern w:val="2"/>
          <w:szCs w:val="32"/>
          <w:shd w:val="clear" w:color="auto" w:fill="auto"/>
        </w:rPr>
        <w:t>十二、政府性基金预算财政拨款“三公”经费支出决算表</w:t>
      </w:r>
      <w:r>
        <w:tab/>
      </w:r>
      <w:r>
        <w:fldChar w:fldCharType="begin"/>
      </w:r>
      <w:r>
        <w:instrText xml:space="preserve"> PAGEREF _Toc5771 </w:instrText>
      </w:r>
      <w:r>
        <w:fldChar w:fldCharType="separate"/>
      </w:r>
      <w:r>
        <w:t>33</w:t>
      </w:r>
      <w:r>
        <w:fldChar w:fldCharType="end"/>
      </w:r>
      <w:r>
        <w:rPr>
          <w:rFonts w:hint="eastAsia" w:ascii="黑体" w:eastAsia="黑体" w:cs="楷体"/>
          <w:bCs/>
          <w:caps/>
          <w:smallCaps w:val="0"/>
          <w:color w:val="FF0000"/>
          <w:kern w:val="2"/>
          <w:szCs w:val="20"/>
          <w:shd w:val="clear" w:color="auto" w:fill="auto"/>
          <w:lang w:val="en-US" w:eastAsia="zh-CN"/>
        </w:rPr>
        <w:fldChar w:fldCharType="end"/>
      </w:r>
    </w:p>
    <w:p w14:paraId="124BD39E">
      <w:pPr>
        <w:pStyle w:val="12"/>
        <w:tabs>
          <w:tab w:val="right" w:leader="dot" w:pos="8305"/>
        </w:tabs>
      </w:pPr>
      <w:r>
        <w:rPr>
          <w:rFonts w:hint="eastAsia" w:ascii="黑体" w:eastAsia="黑体" w:cs="楷体"/>
          <w:bCs/>
          <w:caps/>
          <w:smallCaps w:val="0"/>
          <w:kern w:val="2"/>
          <w:szCs w:val="20"/>
          <w:shd w:val="clear" w:color="auto" w:fill="auto"/>
          <w:lang w:val="en-US" w:eastAsia="zh-CN"/>
        </w:rPr>
        <w:fldChar w:fldCharType="begin"/>
      </w:r>
      <w:r>
        <w:rPr>
          <w:rFonts w:hint="eastAsia" w:ascii="黑体" w:eastAsia="黑体" w:cs="楷体"/>
          <w:bCs/>
          <w:caps/>
          <w:smallCaps w:val="0"/>
          <w:kern w:val="2"/>
          <w:szCs w:val="20"/>
          <w:shd w:val="clear" w:color="auto" w:fill="auto"/>
          <w:lang w:val="en-US" w:eastAsia="zh-CN"/>
        </w:rPr>
        <w:instrText xml:space="preserve"> HYPERLINK \l _Toc18302 </w:instrText>
      </w:r>
      <w:r>
        <w:rPr>
          <w:rFonts w:hint="eastAsia" w:ascii="黑体" w:eastAsia="黑体" w:cs="楷体"/>
          <w:bCs/>
          <w:caps/>
          <w:smallCaps w:val="0"/>
          <w:kern w:val="2"/>
          <w:szCs w:val="20"/>
          <w:shd w:val="clear" w:color="auto" w:fill="auto"/>
          <w:lang w:val="en-US" w:eastAsia="zh-CN"/>
        </w:rPr>
        <w:fldChar w:fldCharType="separate"/>
      </w:r>
      <w:r>
        <w:rPr>
          <w:rFonts w:hint="eastAsia" w:ascii="黑体" w:eastAsia="黑体" w:cs="楷体"/>
          <w:i w:val="0"/>
          <w:caps w:val="0"/>
          <w:smallCaps w:val="0"/>
          <w:strike w:val="0"/>
          <w:dstrike w:val="0"/>
          <w:vanish w:val="0"/>
          <w:kern w:val="2"/>
          <w:szCs w:val="32"/>
          <w:shd w:val="clear" w:color="auto" w:fill="auto"/>
        </w:rPr>
        <w:t>十三、国有资本经营预算财政拨款收入支出决算表</w:t>
      </w:r>
      <w:r>
        <w:tab/>
      </w:r>
      <w:r>
        <w:fldChar w:fldCharType="begin"/>
      </w:r>
      <w:r>
        <w:instrText xml:space="preserve"> PAGEREF _Toc18302 </w:instrText>
      </w:r>
      <w:r>
        <w:fldChar w:fldCharType="separate"/>
      </w:r>
      <w:r>
        <w:t>33</w:t>
      </w:r>
      <w:r>
        <w:fldChar w:fldCharType="end"/>
      </w:r>
      <w:r>
        <w:rPr>
          <w:rFonts w:hint="eastAsia" w:ascii="黑体" w:eastAsia="黑体" w:cs="楷体"/>
          <w:bCs/>
          <w:caps/>
          <w:smallCaps w:val="0"/>
          <w:color w:val="FF0000"/>
          <w:kern w:val="2"/>
          <w:szCs w:val="20"/>
          <w:shd w:val="clear" w:color="auto" w:fill="auto"/>
          <w:lang w:val="en-US" w:eastAsia="zh-CN"/>
        </w:rPr>
        <w:fldChar w:fldCharType="end"/>
      </w:r>
    </w:p>
    <w:p w14:paraId="2125E0C2">
      <w:pPr>
        <w:pStyle w:val="12"/>
        <w:tabs>
          <w:tab w:val="right" w:leader="dot" w:pos="8305"/>
        </w:tabs>
      </w:pPr>
      <w:r>
        <w:rPr>
          <w:rFonts w:hint="eastAsia" w:ascii="黑体" w:eastAsia="黑体" w:cs="楷体"/>
          <w:bCs/>
          <w:caps/>
          <w:smallCaps w:val="0"/>
          <w:kern w:val="2"/>
          <w:szCs w:val="20"/>
          <w:shd w:val="clear" w:color="auto" w:fill="auto"/>
          <w:lang w:val="en-US" w:eastAsia="zh-CN"/>
        </w:rPr>
        <w:fldChar w:fldCharType="begin"/>
      </w:r>
      <w:r>
        <w:rPr>
          <w:rFonts w:hint="eastAsia" w:ascii="黑体" w:eastAsia="黑体" w:cs="楷体"/>
          <w:bCs/>
          <w:caps/>
          <w:smallCaps w:val="0"/>
          <w:kern w:val="2"/>
          <w:szCs w:val="20"/>
          <w:shd w:val="clear" w:color="auto" w:fill="auto"/>
          <w:lang w:val="en-US" w:eastAsia="zh-CN"/>
        </w:rPr>
        <w:instrText xml:space="preserve"> HYPERLINK \l _Toc13922 </w:instrText>
      </w:r>
      <w:r>
        <w:rPr>
          <w:rFonts w:hint="eastAsia" w:ascii="黑体" w:eastAsia="黑体" w:cs="楷体"/>
          <w:bCs/>
          <w:caps/>
          <w:smallCaps w:val="0"/>
          <w:kern w:val="2"/>
          <w:szCs w:val="20"/>
          <w:shd w:val="clear" w:color="auto" w:fill="auto"/>
          <w:lang w:val="en-US" w:eastAsia="zh-CN"/>
        </w:rPr>
        <w:fldChar w:fldCharType="separate"/>
      </w:r>
      <w:r>
        <w:rPr>
          <w:rFonts w:hint="eastAsia" w:ascii="黑体" w:eastAsia="黑体" w:cs="楷体"/>
          <w:i w:val="0"/>
          <w:caps w:val="0"/>
          <w:smallCaps w:val="0"/>
          <w:strike w:val="0"/>
          <w:dstrike w:val="0"/>
          <w:vanish w:val="0"/>
          <w:kern w:val="2"/>
          <w:szCs w:val="32"/>
          <w:shd w:val="clear" w:color="auto" w:fill="auto"/>
        </w:rPr>
        <w:t>十四、国有资本经营预算财政拨款支出决算表</w:t>
      </w:r>
      <w:r>
        <w:tab/>
      </w:r>
      <w:r>
        <w:fldChar w:fldCharType="begin"/>
      </w:r>
      <w:r>
        <w:instrText xml:space="preserve"> PAGEREF _Toc13922 </w:instrText>
      </w:r>
      <w:r>
        <w:fldChar w:fldCharType="separate"/>
      </w:r>
      <w:r>
        <w:t>33</w:t>
      </w:r>
      <w:r>
        <w:fldChar w:fldCharType="end"/>
      </w:r>
      <w:r>
        <w:rPr>
          <w:rFonts w:hint="eastAsia" w:ascii="黑体" w:eastAsia="黑体" w:cs="楷体"/>
          <w:bCs/>
          <w:caps/>
          <w:smallCaps w:val="0"/>
          <w:color w:val="FF0000"/>
          <w:kern w:val="2"/>
          <w:szCs w:val="20"/>
          <w:shd w:val="clear" w:color="auto" w:fill="auto"/>
          <w:lang w:val="en-US" w:eastAsia="zh-CN"/>
        </w:rPr>
        <w:fldChar w:fldCharType="end"/>
      </w:r>
    </w:p>
    <w:p w14:paraId="44C45CB2">
      <w:pPr>
        <w:pStyle w:val="12"/>
        <w:tabs>
          <w:tab w:val="right" w:leader="dot" w:pos="8305"/>
        </w:tabs>
      </w:pPr>
    </w:p>
    <w:p w14:paraId="57005BD5">
      <w:pPr>
        <w:keepNext w:val="0"/>
        <w:keepLines w:val="0"/>
        <w:pageBreakBefore w:val="0"/>
        <w:widowControl w:val="0"/>
        <w:suppressLineNumbers w:val="0"/>
        <w:suppressAutoHyphens w:val="0"/>
        <w:spacing w:line="570" w:lineRule="exact"/>
        <w:ind w:left="-12" w:leftChars="-5" w:firstLine="480" w:firstLineChars="200"/>
        <w:rPr>
          <w:rFonts w:hint="eastAsia" w:ascii="黑体" w:eastAsia="黑体" w:cs="楷体"/>
          <w:bCs/>
          <w:caps/>
          <w:smallCaps w:val="0"/>
          <w:color w:val="FF0000"/>
          <w:kern w:val="2"/>
          <w:sz w:val="20"/>
          <w:szCs w:val="20"/>
          <w:shd w:val="clear" w:color="auto" w:fill="auto"/>
          <w:lang w:val="en-US" w:eastAsia="zh-CN"/>
        </w:rPr>
      </w:pPr>
      <w:r>
        <w:rPr>
          <w:rFonts w:hint="eastAsia" w:ascii="黑体" w:eastAsia="黑体" w:cs="楷体"/>
          <w:bCs/>
          <w:caps/>
          <w:smallCaps w:val="0"/>
          <w:color w:val="FF0000"/>
          <w:kern w:val="2"/>
          <w:szCs w:val="20"/>
          <w:shd w:val="clear" w:color="auto" w:fill="auto"/>
          <w:lang w:val="en-US" w:eastAsia="zh-CN"/>
        </w:rPr>
        <w:fldChar w:fldCharType="end"/>
      </w:r>
    </w:p>
    <w:p w14:paraId="78F24A70">
      <w:pPr>
        <w:pStyle w:val="13"/>
        <w:pBdr>
          <w:top w:val="none" w:color="auto" w:sz="0" w:space="0"/>
          <w:left w:val="none" w:color="auto" w:sz="0" w:space="0"/>
          <w:bottom w:val="none" w:color="auto" w:sz="0" w:space="0"/>
          <w:right w:val="none" w:color="auto" w:sz="0" w:space="0"/>
        </w:pBdr>
        <w:shd w:val="clear" w:color="auto" w:fill="FFFFFF"/>
        <w:rPr>
          <w:rFonts w:ascii="Times New Roman" w:hAnsi="Times New Roman" w:eastAsia="FangSong_GB2312"/>
          <w:vanish w:val="0"/>
          <w:kern w:val="2"/>
          <w:sz w:val="32"/>
          <w:szCs w:val="32"/>
        </w:rPr>
      </w:pPr>
    </w:p>
    <w:p w14:paraId="231BF797">
      <w:pPr>
        <w:pStyle w:val="13"/>
        <w:pBdr>
          <w:top w:val="none" w:color="auto" w:sz="0" w:space="0"/>
          <w:left w:val="none" w:color="auto" w:sz="0" w:space="0"/>
          <w:bottom w:val="none" w:color="auto" w:sz="0" w:space="0"/>
          <w:right w:val="none" w:color="auto" w:sz="0" w:space="0"/>
        </w:pBdr>
        <w:shd w:val="clear" w:color="auto" w:fill="FFFFFF"/>
        <w:rPr>
          <w:rFonts w:ascii="Times New Roman" w:hAnsi="Times New Roman" w:eastAsia="FangSong_GB2312"/>
          <w:vanish w:val="0"/>
          <w:kern w:val="2"/>
          <w:sz w:val="32"/>
          <w:szCs w:val="32"/>
        </w:rPr>
      </w:pPr>
    </w:p>
    <w:p w14:paraId="66D7A2BD">
      <w:pPr>
        <w:pStyle w:val="2"/>
        <w:keepNext/>
        <w:keepLines/>
        <w:pageBreakBefore w:val="0"/>
        <w:widowControl w:val="0"/>
        <w:suppressLineNumbers w:val="0"/>
        <w:suppressAutoHyphens w:val="0"/>
        <w:kinsoku/>
        <w:wordWrap/>
        <w:overflowPunct/>
        <w:topLinePunct w:val="0"/>
        <w:autoSpaceDE/>
        <w:autoSpaceDN/>
        <w:spacing w:line="550" w:lineRule="atLeast"/>
        <w:jc w:val="center"/>
        <w:rPr>
          <w:rFonts w:hint="eastAsia" w:ascii="黑体" w:eastAsia="黑体"/>
          <w:b w:val="0"/>
          <w:kern w:val="44"/>
          <w:sz w:val="44"/>
          <w:szCs w:val="44"/>
          <w:shd w:val="clear" w:color="auto" w:fill="auto"/>
        </w:rPr>
      </w:pPr>
      <w:bookmarkStart w:id="11" w:name="_Toc11250"/>
      <w:r>
        <w:rPr>
          <w:rFonts w:hint="eastAsia" w:ascii="黑体" w:eastAsia="黑体"/>
          <w:b w:val="0"/>
          <w:kern w:val="44"/>
          <w:sz w:val="44"/>
          <w:szCs w:val="44"/>
          <w:shd w:val="clear" w:color="auto" w:fill="auto"/>
        </w:rPr>
        <w:t>第一部分部门概况</w:t>
      </w:r>
      <w:bookmarkEnd w:id="11"/>
    </w:p>
    <w:p w14:paraId="63FC354D">
      <w:pPr>
        <w:pStyle w:val="3"/>
        <w:keepNext/>
        <w:keepLines/>
        <w:pageBreakBefore w:val="0"/>
        <w:widowControl w:val="0"/>
        <w:suppressLineNumbers w:val="0"/>
        <w:suppressAutoHyphens w:val="0"/>
        <w:kinsoku/>
        <w:wordWrap/>
        <w:overflowPunct/>
        <w:topLinePunct w:val="0"/>
        <w:autoSpaceDE/>
        <w:autoSpaceDN/>
        <w:spacing w:line="550" w:lineRule="atLeast"/>
        <w:ind w:firstLine="643" w:firstLineChars="200"/>
        <w:rPr>
          <w:rFonts w:hint="eastAsia" w:ascii="黑体" w:eastAsia="黑体" w:cs="楷体"/>
          <w:color w:val="000000"/>
          <w:kern w:val="2"/>
          <w:sz w:val="32"/>
          <w:szCs w:val="32"/>
          <w:shd w:val="clear" w:color="auto" w:fill="auto"/>
        </w:rPr>
      </w:pPr>
      <w:bookmarkStart w:id="12" w:name="_Toc29581"/>
      <w:r>
        <w:rPr>
          <w:rFonts w:hint="eastAsia" w:ascii="黑体" w:eastAsia="黑体" w:cs="楷体"/>
          <w:color w:val="000000"/>
          <w:kern w:val="2"/>
          <w:sz w:val="32"/>
          <w:szCs w:val="32"/>
          <w:shd w:val="clear" w:color="auto" w:fill="auto"/>
        </w:rPr>
        <w:t>一、基本职能及主要工作</w:t>
      </w:r>
      <w:bookmarkEnd w:id="12"/>
    </w:p>
    <w:p w14:paraId="16D8CCB7">
      <w:pPr>
        <w:pStyle w:val="19"/>
        <w:spacing w:line="576" w:lineRule="exact"/>
        <w:jc w:val="left"/>
        <w:rPr>
          <w:rFonts w:ascii="仿宋_GB2312" w:eastAsia="仿宋_GB2312" w:cs="Times New Roman"/>
          <w:kern w:val="2"/>
          <w:sz w:val="32"/>
          <w:szCs w:val="32"/>
          <w:shd w:val="clear" w:color="auto" w:fill="auto"/>
        </w:rPr>
      </w:pPr>
      <w:r>
        <w:rPr>
          <w:rFonts w:ascii="仿宋_GB2312" w:eastAsia="仿宋_GB2312" w:cs="Times New Roman"/>
          <w:b/>
          <w:bCs/>
          <w:kern w:val="2"/>
          <w:sz w:val="32"/>
          <w:szCs w:val="20"/>
          <w:shd w:val="clear" w:color="auto" w:fill="auto"/>
        </w:rPr>
        <w:t>（一）主要职能。</w:t>
      </w:r>
      <w:r>
        <w:rPr>
          <w:rFonts w:ascii="仿宋_GB2312" w:eastAsia="仿宋_GB2312" w:cs="Times New Roman"/>
          <w:kern w:val="2"/>
          <w:sz w:val="32"/>
          <w:szCs w:val="32"/>
          <w:shd w:val="clear" w:color="auto" w:fill="auto"/>
        </w:rPr>
        <w:t>（职能参照州政府批准的三定方案）</w:t>
      </w:r>
    </w:p>
    <w:p w14:paraId="70A99AAE">
      <w:pPr>
        <w:pStyle w:val="19"/>
        <w:spacing w:line="576" w:lineRule="exact"/>
        <w:jc w:val="left"/>
        <w:rPr>
          <w:rFonts w:hint="eastAsia" w:ascii="仿宋_GB2312" w:eastAsia="仿宋_GB2312" w:cs="黑体"/>
          <w:kern w:val="2"/>
          <w:sz w:val="32"/>
          <w:szCs w:val="32"/>
          <w:lang w:val="en-US" w:eastAsia="zh-CN" w:bidi="ar-SA"/>
        </w:rPr>
      </w:pPr>
      <w:r>
        <w:rPr>
          <w:rFonts w:hint="eastAsia" w:ascii="仿宋_GB2312" w:eastAsia="仿宋_GB2312" w:cs="黑体"/>
          <w:kern w:val="2"/>
          <w:sz w:val="32"/>
          <w:szCs w:val="32"/>
          <w:lang w:val="en-US" w:eastAsia="zh-CN" w:bidi="ar-SA"/>
        </w:rPr>
        <w:t>（1）拟定和执行红原县财政的发展战略、规划、方针政策，分析研究中、长期财政规划执行情况；贯彻执行财政分配政策和财政改革方案；参与宏观经济分析预测和全县重大宏观经济政策的制定；提出运用财税政策实施宏观经济调控和综合平衡全县财力的建议；制定构建地方公共财政体系的政策、制度；指导全县财政工作。</w:t>
      </w:r>
    </w:p>
    <w:p w14:paraId="0CFDB0DE">
      <w:pPr>
        <w:pStyle w:val="19"/>
        <w:keepNext w:val="0"/>
        <w:keepLines w:val="0"/>
        <w:pageBreakBefore w:val="0"/>
        <w:widowControl/>
        <w:suppressLineNumbers w:val="0"/>
        <w:suppressAutoHyphens w:val="0"/>
        <w:spacing w:line="576" w:lineRule="exact"/>
        <w:jc w:val="left"/>
        <w:rPr>
          <w:rFonts w:hint="eastAsia" w:ascii="仿宋_GB2312" w:eastAsia="仿宋_GB2312" w:cs="黑体"/>
          <w:kern w:val="2"/>
          <w:sz w:val="32"/>
          <w:szCs w:val="32"/>
          <w:lang w:val="en-US" w:eastAsia="zh-CN" w:bidi="ar-SA"/>
        </w:rPr>
      </w:pPr>
      <w:r>
        <w:rPr>
          <w:rFonts w:hint="eastAsia" w:ascii="仿宋_GB2312" w:eastAsia="仿宋_GB2312" w:cs="黑体"/>
          <w:kern w:val="2"/>
          <w:sz w:val="32"/>
          <w:szCs w:val="32"/>
          <w:lang w:val="en-US" w:eastAsia="zh-CN" w:bidi="ar-SA"/>
        </w:rPr>
        <w:t>（2）贯彻执行国家财税方面的法律、法规和方针、政策，负责组织起草地方性财税法规草案、实施办法和规章制度并组织实施。管理中央转贷的特种国债。</w:t>
      </w:r>
    </w:p>
    <w:p w14:paraId="093A53F7">
      <w:pPr>
        <w:pStyle w:val="19"/>
        <w:keepNext w:val="0"/>
        <w:keepLines w:val="0"/>
        <w:pageBreakBefore w:val="0"/>
        <w:widowControl/>
        <w:suppressLineNumbers w:val="0"/>
        <w:suppressAutoHyphens w:val="0"/>
        <w:spacing w:line="576" w:lineRule="exact"/>
        <w:jc w:val="left"/>
        <w:rPr>
          <w:rFonts w:hint="eastAsia" w:ascii="仿宋_GB2312" w:eastAsia="仿宋_GB2312" w:cs="黑体"/>
          <w:kern w:val="2"/>
          <w:sz w:val="32"/>
          <w:szCs w:val="32"/>
          <w:lang w:val="en-US" w:eastAsia="zh-CN" w:bidi="ar-SA"/>
        </w:rPr>
      </w:pPr>
      <w:r>
        <w:rPr>
          <w:rFonts w:hint="eastAsia" w:ascii="仿宋_GB2312" w:eastAsia="仿宋_GB2312" w:cs="黑体"/>
          <w:kern w:val="2"/>
          <w:sz w:val="32"/>
          <w:szCs w:val="32"/>
          <w:lang w:val="en-US" w:eastAsia="zh-CN" w:bidi="ar-SA"/>
        </w:rPr>
        <w:t>（3）承担各项财政收支管理的责任。负责编制年度县级预算草案并组织执行；受县政府委托，向县人民代表大会报告 县本级财政预算及其执行情况，向县人大常委会报告决算；组织制定经费开支标准、定额，负责审核批复部门（单位）的年度预决算。</w:t>
      </w:r>
    </w:p>
    <w:p w14:paraId="2F87CDCB">
      <w:pPr>
        <w:pStyle w:val="19"/>
        <w:keepNext w:val="0"/>
        <w:keepLines w:val="0"/>
        <w:pageBreakBefore w:val="0"/>
        <w:widowControl/>
        <w:suppressLineNumbers w:val="0"/>
        <w:suppressAutoHyphens w:val="0"/>
        <w:spacing w:line="576" w:lineRule="exact"/>
        <w:jc w:val="left"/>
        <w:rPr>
          <w:rFonts w:hint="eastAsia" w:ascii="仿宋_GB2312" w:eastAsia="仿宋_GB2312" w:cs="黑体"/>
          <w:kern w:val="2"/>
          <w:sz w:val="32"/>
          <w:szCs w:val="32"/>
          <w:lang w:val="en-US" w:eastAsia="zh-CN" w:bidi="ar-SA"/>
        </w:rPr>
      </w:pPr>
      <w:r>
        <w:rPr>
          <w:rFonts w:hint="eastAsia" w:ascii="仿宋_GB2312" w:eastAsia="仿宋_GB2312" w:cs="黑体"/>
          <w:kern w:val="2"/>
          <w:sz w:val="32"/>
          <w:szCs w:val="32"/>
          <w:lang w:val="en-US" w:eastAsia="zh-CN" w:bidi="ar-SA"/>
        </w:rPr>
        <w:t>（4）负责政府非税收入管理。负责政府性基金管理，按规定管理行政事业性收费。管理财政票据。按规定管理彩票基金。</w:t>
      </w:r>
    </w:p>
    <w:p w14:paraId="5FE85052">
      <w:pPr>
        <w:pStyle w:val="19"/>
        <w:keepNext w:val="0"/>
        <w:keepLines w:val="0"/>
        <w:pageBreakBefore w:val="0"/>
        <w:widowControl/>
        <w:suppressLineNumbers w:val="0"/>
        <w:suppressAutoHyphens w:val="0"/>
        <w:spacing w:line="576" w:lineRule="exact"/>
        <w:jc w:val="left"/>
        <w:rPr>
          <w:rFonts w:hint="eastAsia" w:ascii="仿宋_GB2312" w:eastAsia="仿宋_GB2312" w:cs="黑体"/>
          <w:kern w:val="2"/>
          <w:sz w:val="32"/>
          <w:szCs w:val="32"/>
          <w:lang w:val="en-US" w:eastAsia="zh-CN" w:bidi="ar-SA"/>
        </w:rPr>
      </w:pPr>
      <w:r>
        <w:rPr>
          <w:rFonts w:hint="eastAsia" w:ascii="仿宋_GB2312" w:eastAsia="仿宋_GB2312" w:cs="黑体"/>
          <w:kern w:val="2"/>
          <w:sz w:val="32"/>
          <w:szCs w:val="32"/>
          <w:lang w:val="en-US" w:eastAsia="zh-CN" w:bidi="ar-SA"/>
        </w:rPr>
        <w:t>（5）组织制定全县国库管理制度、国库集中收付制度，指导和监督国库业务，按规定开展国库现金管理工作。负责制定政府采购制度，监督管理全县政府采购工作。</w:t>
      </w:r>
    </w:p>
    <w:p w14:paraId="4BA35DEE">
      <w:pPr>
        <w:pStyle w:val="19"/>
        <w:keepNext w:val="0"/>
        <w:keepLines w:val="0"/>
        <w:pageBreakBefore w:val="0"/>
        <w:widowControl/>
        <w:suppressLineNumbers w:val="0"/>
        <w:suppressAutoHyphens w:val="0"/>
        <w:spacing w:line="576" w:lineRule="exact"/>
        <w:jc w:val="left"/>
        <w:rPr>
          <w:rFonts w:hint="eastAsia" w:ascii="仿宋_GB2312" w:eastAsia="仿宋_GB2312" w:cs="黑体"/>
          <w:kern w:val="2"/>
          <w:sz w:val="32"/>
          <w:szCs w:val="32"/>
          <w:lang w:val="en-US" w:eastAsia="zh-CN" w:bidi="ar-SA"/>
        </w:rPr>
      </w:pPr>
      <w:r>
        <w:rPr>
          <w:rFonts w:hint="eastAsia" w:ascii="仿宋_GB2312" w:eastAsia="仿宋_GB2312" w:cs="黑体"/>
          <w:kern w:val="2"/>
          <w:sz w:val="32"/>
          <w:szCs w:val="32"/>
          <w:lang w:val="en-US" w:eastAsia="zh-CN" w:bidi="ar-SA"/>
        </w:rPr>
        <w:t>（6）会同有关部门管理全县社会保障和就业及医疗卫生支出，会同有关部门拟定社会保障资金（基金）的财务管理制度，编制县级社会保障预决算草案。</w:t>
      </w:r>
    </w:p>
    <w:p w14:paraId="62F3E239">
      <w:pPr>
        <w:pStyle w:val="19"/>
        <w:keepNext w:val="0"/>
        <w:keepLines w:val="0"/>
        <w:pageBreakBefore w:val="0"/>
        <w:widowControl/>
        <w:suppressLineNumbers w:val="0"/>
        <w:suppressAutoHyphens w:val="0"/>
        <w:spacing w:line="576" w:lineRule="exact"/>
        <w:jc w:val="left"/>
        <w:rPr>
          <w:rFonts w:hint="eastAsia" w:ascii="仿宋_GB2312" w:eastAsia="仿宋_GB2312" w:cs="黑体"/>
          <w:kern w:val="2"/>
          <w:sz w:val="32"/>
          <w:szCs w:val="32"/>
          <w:lang w:val="en-US" w:eastAsia="zh-CN" w:bidi="ar-SA"/>
        </w:rPr>
      </w:pPr>
      <w:r>
        <w:rPr>
          <w:rFonts w:hint="eastAsia" w:ascii="仿宋_GB2312" w:eastAsia="仿宋_GB2312" w:cs="黑体"/>
          <w:kern w:val="2"/>
          <w:sz w:val="32"/>
          <w:szCs w:val="32"/>
          <w:lang w:val="en-US" w:eastAsia="zh-CN" w:bidi="ar-SA"/>
        </w:rPr>
        <w:t>（7）负责组织执行政府债务管理制度和政策，制定具体管理办法，负责管理政府债务，防范财政风险。</w:t>
      </w:r>
    </w:p>
    <w:p w14:paraId="43F3878A">
      <w:pPr>
        <w:pStyle w:val="19"/>
        <w:keepNext w:val="0"/>
        <w:keepLines w:val="0"/>
        <w:pageBreakBefore w:val="0"/>
        <w:widowControl/>
        <w:suppressLineNumbers w:val="0"/>
        <w:suppressAutoHyphens w:val="0"/>
        <w:spacing w:line="576" w:lineRule="exact"/>
        <w:jc w:val="left"/>
        <w:rPr>
          <w:rFonts w:hint="eastAsia" w:ascii="仿宋_GB2312" w:eastAsia="仿宋_GB2312" w:cs="黑体"/>
          <w:kern w:val="2"/>
          <w:sz w:val="32"/>
          <w:szCs w:val="32"/>
          <w:lang w:val="en-US" w:eastAsia="zh-CN" w:bidi="ar-SA"/>
        </w:rPr>
      </w:pPr>
      <w:r>
        <w:rPr>
          <w:rFonts w:hint="eastAsia" w:ascii="仿宋_GB2312" w:eastAsia="仿宋_GB2312" w:cs="黑体"/>
          <w:kern w:val="2"/>
          <w:sz w:val="32"/>
          <w:szCs w:val="32"/>
          <w:lang w:val="en-US" w:eastAsia="zh-CN" w:bidi="ar-SA"/>
        </w:rPr>
        <w:t>（8）负责审核和汇总编制全县国有资本经营预决算草案，制定国有资本经营预算的制度和办法，收取县本级企业国有资本收益，组织实施企业财务制度，按规定管理金融类国有资产，参与拟定企业国有资产管理相关制度，按规定管理资产评估工作。</w:t>
      </w:r>
    </w:p>
    <w:p w14:paraId="5338B130">
      <w:pPr>
        <w:pStyle w:val="19"/>
        <w:keepNext w:val="0"/>
        <w:keepLines w:val="0"/>
        <w:pageBreakBefore w:val="0"/>
        <w:widowControl/>
        <w:suppressLineNumbers w:val="0"/>
        <w:suppressAutoHyphens w:val="0"/>
        <w:spacing w:line="576" w:lineRule="exact"/>
        <w:jc w:val="left"/>
        <w:rPr>
          <w:rFonts w:hint="eastAsia" w:ascii="仿宋_GB2312" w:eastAsia="仿宋_GB2312" w:cs="黑体"/>
          <w:kern w:val="2"/>
          <w:sz w:val="32"/>
          <w:szCs w:val="32"/>
          <w:lang w:val="en-US" w:eastAsia="zh-CN" w:bidi="ar-SA"/>
        </w:rPr>
      </w:pPr>
      <w:r>
        <w:rPr>
          <w:rFonts w:hint="eastAsia" w:ascii="仿宋_GB2312" w:eastAsia="仿宋_GB2312" w:cs="黑体"/>
          <w:kern w:val="2"/>
          <w:sz w:val="32"/>
          <w:szCs w:val="32"/>
          <w:lang w:val="en-US" w:eastAsia="zh-CN" w:bidi="ar-SA"/>
        </w:rPr>
        <w:t>（9）负责制定全县行政事业单位国有资产管理规章制度及县级机关事业国有资产收益管理办法并对执行情况进行监督检查，负责县级机关国有资产经营收益财政专户管理工作。制定需要全县同意规定的开支标准和支出政策。</w:t>
      </w:r>
    </w:p>
    <w:p w14:paraId="4AA913BD">
      <w:pPr>
        <w:pStyle w:val="19"/>
        <w:keepNext w:val="0"/>
        <w:keepLines w:val="0"/>
        <w:pageBreakBefore w:val="0"/>
        <w:widowControl/>
        <w:suppressLineNumbers w:val="0"/>
        <w:suppressAutoHyphens w:val="0"/>
        <w:spacing w:line="576" w:lineRule="exact"/>
        <w:jc w:val="left"/>
        <w:rPr>
          <w:rFonts w:hint="eastAsia" w:ascii="仿宋_GB2312" w:eastAsia="仿宋_GB2312" w:cs="黑体"/>
          <w:kern w:val="2"/>
          <w:sz w:val="32"/>
          <w:szCs w:val="32"/>
          <w:lang w:val="en-US" w:eastAsia="zh-CN" w:bidi="ar-SA"/>
        </w:rPr>
      </w:pPr>
      <w:r>
        <w:rPr>
          <w:rFonts w:hint="eastAsia" w:ascii="仿宋_GB2312" w:eastAsia="仿宋_GB2312" w:cs="黑体"/>
          <w:kern w:val="2"/>
          <w:sz w:val="32"/>
          <w:szCs w:val="32"/>
          <w:lang w:val="en-US" w:eastAsia="zh-CN" w:bidi="ar-SA"/>
        </w:rPr>
        <w:t>（10）负责办理和监督财政性经济发展支出、政府性投资项目的财政拨款，负责投资评审管理工作，参与拟定政府性建设投资的有关政策，制定基本建设财务制度，负责有关政策性补贴和专项储备资金财务管理工作。负责全县农业综合开发管理工作。</w:t>
      </w:r>
    </w:p>
    <w:p w14:paraId="432B3F1E">
      <w:pPr>
        <w:pStyle w:val="19"/>
        <w:keepNext w:val="0"/>
        <w:keepLines w:val="0"/>
        <w:pageBreakBefore w:val="0"/>
        <w:widowControl/>
        <w:suppressLineNumbers w:val="0"/>
        <w:suppressAutoHyphens w:val="0"/>
        <w:spacing w:line="576" w:lineRule="exact"/>
        <w:jc w:val="left"/>
        <w:rPr>
          <w:rFonts w:hint="eastAsia" w:ascii="仿宋_GB2312" w:eastAsia="仿宋_GB2312" w:cs="黑体"/>
          <w:kern w:val="2"/>
          <w:sz w:val="32"/>
          <w:szCs w:val="32"/>
          <w:lang w:val="en-US" w:eastAsia="zh-CN" w:bidi="ar-SA"/>
        </w:rPr>
      </w:pPr>
      <w:r>
        <w:rPr>
          <w:rFonts w:hint="eastAsia" w:ascii="仿宋_GB2312" w:eastAsia="仿宋_GB2312" w:cs="黑体"/>
          <w:kern w:val="2"/>
          <w:sz w:val="32"/>
          <w:szCs w:val="32"/>
          <w:lang w:val="en-US" w:eastAsia="zh-CN" w:bidi="ar-SA"/>
        </w:rPr>
        <w:t>（11）负责管理全县会计工作，监督和规范会计行为，组织实施国家统一会计制度和补充规定；会同有关部门管理会计专业技术职称工作。</w:t>
      </w:r>
    </w:p>
    <w:p w14:paraId="4E51A54C">
      <w:pPr>
        <w:pStyle w:val="19"/>
        <w:keepNext w:val="0"/>
        <w:keepLines w:val="0"/>
        <w:pageBreakBefore w:val="0"/>
        <w:widowControl/>
        <w:suppressLineNumbers w:val="0"/>
        <w:suppressAutoHyphens w:val="0"/>
        <w:spacing w:line="576" w:lineRule="exact"/>
        <w:jc w:val="left"/>
        <w:rPr>
          <w:rFonts w:hint="eastAsia" w:ascii="仿宋_GB2312" w:eastAsia="仿宋_GB2312" w:cs="黑体"/>
          <w:kern w:val="2"/>
          <w:sz w:val="32"/>
          <w:szCs w:val="32"/>
          <w:lang w:val="en-US" w:eastAsia="zh-CN" w:bidi="ar-SA"/>
        </w:rPr>
      </w:pPr>
      <w:r>
        <w:rPr>
          <w:rFonts w:hint="eastAsia" w:ascii="仿宋_GB2312" w:eastAsia="仿宋_GB2312" w:cs="黑体"/>
          <w:kern w:val="2"/>
          <w:sz w:val="32"/>
          <w:szCs w:val="32"/>
          <w:lang w:val="en-US" w:eastAsia="zh-CN" w:bidi="ar-SA"/>
        </w:rPr>
        <w:t>（12）负责财政资金绩效评价。监督检查财税政策、法律法规的执行情况，反映财政收支中的重大问题。依法查处重点违反财经纪律的行为。</w:t>
      </w:r>
    </w:p>
    <w:p w14:paraId="0C30823A">
      <w:pPr>
        <w:pStyle w:val="19"/>
        <w:keepNext w:val="0"/>
        <w:keepLines w:val="0"/>
        <w:pageBreakBefore w:val="0"/>
        <w:widowControl/>
        <w:suppressLineNumbers w:val="0"/>
        <w:shd w:val="clear" w:color="auto" w:fill="auto"/>
        <w:suppressAutoHyphens w:val="0"/>
        <w:spacing w:line="576" w:lineRule="exact"/>
        <w:jc w:val="left"/>
        <w:rPr>
          <w:rFonts w:hint="eastAsia" w:ascii="仿宋_GB2312" w:eastAsia="仿宋_GB2312" w:cs="黑体"/>
          <w:kern w:val="2"/>
          <w:sz w:val="32"/>
          <w:szCs w:val="32"/>
          <w:lang w:val="en-US" w:eastAsia="zh-CN" w:bidi="ar-SA"/>
        </w:rPr>
      </w:pPr>
      <w:r>
        <w:rPr>
          <w:rFonts w:hint="eastAsia" w:ascii="仿宋_GB2312" w:eastAsia="仿宋_GB2312" w:cs="黑体"/>
          <w:kern w:val="2"/>
          <w:sz w:val="32"/>
          <w:szCs w:val="32"/>
          <w:lang w:val="en-US" w:eastAsia="zh-CN" w:bidi="ar-SA"/>
        </w:rPr>
        <w:t>（13）制定财政科研计划和教育培训规划；组织财政业务培训；负责财政信息和财政宣传工作；指导全县财政系统抓好精神文明建设和廉政建设，做好财政系统干部职工的思想政治工作。</w:t>
      </w:r>
    </w:p>
    <w:p w14:paraId="50CAC1DE">
      <w:pPr>
        <w:pStyle w:val="19"/>
        <w:keepNext w:val="0"/>
        <w:keepLines w:val="0"/>
        <w:pageBreakBefore w:val="0"/>
        <w:widowControl/>
        <w:suppressLineNumbers w:val="0"/>
        <w:shd w:val="clear" w:color="auto" w:fill="auto"/>
        <w:suppressAutoHyphens w:val="0"/>
        <w:spacing w:line="576" w:lineRule="exact"/>
        <w:jc w:val="left"/>
        <w:rPr>
          <w:rFonts w:hint="eastAsia" w:ascii="仿宋_GB2312" w:eastAsia="仿宋_GB2312" w:cs="黑体"/>
          <w:kern w:val="2"/>
          <w:sz w:val="32"/>
          <w:szCs w:val="32"/>
          <w:lang w:val="en-US" w:eastAsia="zh-CN" w:bidi="ar-SA"/>
        </w:rPr>
      </w:pPr>
      <w:r>
        <w:rPr>
          <w:rFonts w:hint="eastAsia" w:ascii="仿宋_GB2312" w:eastAsia="仿宋_GB2312" w:cs="黑体"/>
          <w:kern w:val="2"/>
          <w:sz w:val="32"/>
          <w:szCs w:val="32"/>
          <w:lang w:val="en-US" w:eastAsia="zh-CN" w:bidi="ar-SA"/>
        </w:rPr>
        <w:t>（14）承担县政府公布的有关行政审批事项。</w:t>
      </w:r>
    </w:p>
    <w:p w14:paraId="5DF886D8">
      <w:pPr>
        <w:pStyle w:val="19"/>
        <w:keepNext w:val="0"/>
        <w:keepLines w:val="0"/>
        <w:pageBreakBefore w:val="0"/>
        <w:widowControl/>
        <w:suppressLineNumbers w:val="0"/>
        <w:shd w:val="clear" w:color="auto" w:fill="auto"/>
        <w:suppressAutoHyphens w:val="0"/>
        <w:spacing w:line="576" w:lineRule="exact"/>
        <w:jc w:val="left"/>
        <w:rPr>
          <w:rFonts w:hint="eastAsia" w:ascii="仿宋_GB2312" w:eastAsia="仿宋_GB2312" w:cs="黑体"/>
          <w:kern w:val="2"/>
          <w:sz w:val="32"/>
          <w:szCs w:val="32"/>
          <w:lang w:val="en-US" w:eastAsia="zh-CN" w:bidi="ar-SA"/>
        </w:rPr>
      </w:pPr>
      <w:r>
        <w:rPr>
          <w:rFonts w:hint="eastAsia" w:ascii="仿宋_GB2312" w:eastAsia="仿宋_GB2312" w:cs="黑体"/>
          <w:kern w:val="2"/>
          <w:sz w:val="32"/>
          <w:szCs w:val="32"/>
          <w:lang w:val="en-US" w:eastAsia="zh-CN" w:bidi="ar-SA"/>
        </w:rPr>
        <w:t>（15）承办县政府交办的其他事项。</w:t>
      </w:r>
    </w:p>
    <w:p w14:paraId="57171BFA">
      <w:pPr>
        <w:pStyle w:val="13"/>
        <w:shd w:val="clear" w:color="auto" w:fill="FFFFFF"/>
        <w:ind w:left="420"/>
        <w:rPr>
          <w:rFonts w:ascii="仿宋_GB2312" w:eastAsia="仿宋_GB2312" w:cs="Times New Roman"/>
          <w:b/>
          <w:bCs/>
          <w:kern w:val="2"/>
          <w:sz w:val="32"/>
          <w:szCs w:val="20"/>
          <w:shd w:val="clear" w:color="auto" w:fill="auto"/>
        </w:rPr>
      </w:pPr>
      <w:r>
        <w:rPr>
          <w:rFonts w:ascii="仿宋_GB2312" w:eastAsia="仿宋_GB2312" w:cs="Times New Roman"/>
          <w:b/>
          <w:bCs/>
          <w:kern w:val="2"/>
          <w:sz w:val="32"/>
          <w:szCs w:val="20"/>
          <w:shd w:val="clear" w:color="auto" w:fill="auto"/>
        </w:rPr>
        <w:t>（二）2021年重点工作完成情况。</w:t>
      </w:r>
    </w:p>
    <w:p w14:paraId="71DBD55C">
      <w:pPr>
        <w:pStyle w:val="13"/>
        <w:shd w:val="clear" w:color="auto" w:fill="FFFFFF"/>
        <w:ind w:firstLine="643" w:firstLineChars="200"/>
        <w:rPr>
          <w:rFonts w:ascii="仿宋_GB2312" w:eastAsia="仿宋_GB2312" w:cs="Times New Roman"/>
          <w:b/>
          <w:bCs/>
          <w:kern w:val="2"/>
          <w:sz w:val="32"/>
          <w:szCs w:val="20"/>
        </w:rPr>
      </w:pPr>
      <w:r>
        <w:rPr>
          <w:rFonts w:ascii="Times New Roman" w:hAnsi="Times New Roman" w:eastAsia="楷体_GB2312" w:cs="Times New Roman"/>
          <w:b/>
          <w:bCs/>
          <w:color w:val="000000"/>
          <w:sz w:val="32"/>
          <w:szCs w:val="32"/>
          <w:shd w:val="clear" w:color="auto" w:fill="FFFFFF"/>
        </w:rPr>
        <w:t>1.</w:t>
      </w:r>
      <w:r>
        <w:rPr>
          <w:rFonts w:hint="eastAsia" w:ascii="仿宋_GB2312" w:eastAsia="仿宋_GB2312" w:cs="Times New Roman"/>
          <w:b/>
          <w:bCs/>
          <w:color w:val="000000"/>
          <w:sz w:val="32"/>
          <w:szCs w:val="32"/>
          <w:shd w:val="clear" w:color="auto" w:fill="FFFFFF"/>
        </w:rPr>
        <w:t>以财源建设为导向，增强财政事业发展后劲。</w:t>
      </w:r>
      <w:r>
        <w:rPr>
          <w:rFonts w:hint="eastAsia" w:ascii="仿宋_GB2312" w:eastAsia="仿宋_GB2312" w:cs="Times New Roman"/>
          <w:b/>
          <w:bCs/>
          <w:sz w:val="32"/>
          <w:szCs w:val="32"/>
        </w:rPr>
        <w:t>一是强化收入组织责任。</w:t>
      </w:r>
      <w:r>
        <w:rPr>
          <w:rFonts w:ascii="Times New Roman" w:hAnsi="Times New Roman" w:eastAsia="仿宋_GB2312" w:cs="Times New Roman"/>
          <w:sz w:val="32"/>
          <w:szCs w:val="32"/>
        </w:rPr>
        <w:t>结合对2022年财政收入情况的预判，科学做好收入任务分解，精准落实财税部门征收责任。</w:t>
      </w:r>
      <w:r>
        <w:rPr>
          <w:rFonts w:ascii="Times New Roman" w:hAnsi="Times New Roman" w:eastAsia="仿宋_GB2312" w:cs="Times New Roman"/>
          <w:b/>
          <w:bCs/>
          <w:sz w:val="32"/>
          <w:szCs w:val="32"/>
        </w:rPr>
        <w:t>二是强化预算执行。</w:t>
      </w:r>
      <w:r>
        <w:rPr>
          <w:rFonts w:ascii="Times New Roman" w:hAnsi="Times New Roman" w:eastAsia="仿宋_GB2312" w:cs="Times New Roman"/>
          <w:sz w:val="32"/>
          <w:szCs w:val="32"/>
        </w:rPr>
        <w:t>调动多方积极性，协调相关建设的耕地占用税和国有资产收益及时入库，按月分析收入执行情况，确保年终完成</w:t>
      </w:r>
      <w:r>
        <w:rPr>
          <w:rFonts w:hint="eastAsia" w:ascii="Times New Roman" w:hAnsi="Times New Roman" w:eastAsia="仿宋_GB2312" w:cs="Times New Roman"/>
          <w:sz w:val="32"/>
          <w:szCs w:val="32"/>
          <w:lang w:val="en-US" w:eastAsia="zh-CN"/>
        </w:rPr>
        <w:t>9000</w:t>
      </w:r>
      <w:r>
        <w:rPr>
          <w:rFonts w:ascii="Times New Roman" w:hAnsi="Times New Roman" w:eastAsia="仿宋_GB2312" w:cs="Times New Roman"/>
          <w:sz w:val="32"/>
          <w:szCs w:val="32"/>
        </w:rPr>
        <w:t>万元收入目标任务。</w:t>
      </w:r>
      <w:r>
        <w:rPr>
          <w:rFonts w:ascii="Times New Roman" w:hAnsi="Times New Roman" w:eastAsia="仿宋_GB2312" w:cs="Times New Roman"/>
          <w:b/>
          <w:bCs/>
          <w:sz w:val="32"/>
          <w:szCs w:val="32"/>
        </w:rPr>
        <w:t>三是加强政策和资金争取。</w:t>
      </w:r>
      <w:r>
        <w:rPr>
          <w:rFonts w:ascii="Times New Roman" w:hAnsi="Times New Roman" w:eastAsia="仿宋_GB2312" w:cs="Times New Roman"/>
          <w:sz w:val="32"/>
          <w:szCs w:val="32"/>
        </w:rPr>
        <w:t>鼓励和支持各部门提前谋划和储备项目，争取转移支付资金，缓解我县收入压力。</w:t>
      </w:r>
    </w:p>
    <w:p w14:paraId="2633CEE6">
      <w:pPr>
        <w:keepNext w:val="0"/>
        <w:keepLines w:val="0"/>
        <w:pageBreakBefore w:val="0"/>
        <w:widowControl w:val="0"/>
        <w:suppressLineNumbers w:val="0"/>
        <w:shd w:val="clear" w:color="auto" w:fill="FFFFFF"/>
        <w:suppressAutoHyphens w:val="0"/>
        <w:kinsoku/>
        <w:wordWrap/>
        <w:overflowPunct/>
        <w:topLinePunct w:val="0"/>
        <w:autoSpaceDE/>
        <w:autoSpaceDN/>
        <w:bidi w:val="0"/>
        <w:adjustRightInd/>
        <w:snapToGrid/>
        <w:spacing w:line="540" w:lineRule="exact"/>
        <w:ind w:left="0" w:right="0" w:firstLine="641"/>
        <w:contextualSpacing w:val="0"/>
        <w:jc w:val="both"/>
        <w:textAlignment w:val="auto"/>
        <w:rPr>
          <w:rFonts w:ascii="Times New Roman" w:hAnsi="Times New Roman" w:eastAsia="仿宋_GB2312" w:cs="Times New Roman"/>
          <w:color w:val="000000"/>
          <w:sz w:val="32"/>
          <w:szCs w:val="32"/>
          <w:shd w:val="clear" w:color="auto" w:fill="FFFFFF"/>
        </w:rPr>
      </w:pPr>
      <w:r>
        <w:rPr>
          <w:rFonts w:ascii="Times New Roman" w:hAnsi="Times New Roman" w:eastAsia="楷体_GB2312" w:cs="Times New Roman"/>
          <w:b/>
          <w:bCs/>
          <w:color w:val="000000"/>
          <w:sz w:val="32"/>
          <w:szCs w:val="32"/>
          <w:shd w:val="clear" w:color="auto" w:fill="FFFFFF"/>
        </w:rPr>
        <w:t>2.</w:t>
      </w:r>
      <w:r>
        <w:rPr>
          <w:rFonts w:hint="eastAsia" w:ascii="仿宋_GB2312" w:eastAsia="仿宋_GB2312" w:cs="Times New Roman"/>
          <w:b/>
          <w:bCs/>
          <w:color w:val="000000"/>
          <w:sz w:val="32"/>
          <w:szCs w:val="32"/>
          <w:shd w:val="clear" w:color="auto" w:fill="FFFFFF"/>
        </w:rPr>
        <w:t>以优化支出为重点，推动民生福祉不断增进。</w:t>
      </w:r>
      <w:r>
        <w:rPr>
          <w:rFonts w:ascii="Times New Roman" w:hAnsi="Times New Roman" w:eastAsia="仿宋_GB2312" w:cs="Times New Roman"/>
          <w:sz w:val="32"/>
          <w:szCs w:val="32"/>
        </w:rPr>
        <w:t>坚持量入为出，深化零基预算理念实施，建立有保有压的分配机制，提高支出政策和项目资金的有效性。</w:t>
      </w:r>
      <w:r>
        <w:rPr>
          <w:rFonts w:ascii="Times New Roman" w:hAnsi="Times New Roman" w:eastAsia="仿宋_GB2312" w:cs="Times New Roman"/>
          <w:b/>
          <w:bCs/>
          <w:color w:val="000000"/>
          <w:sz w:val="32"/>
          <w:szCs w:val="32"/>
          <w:shd w:val="clear" w:color="auto" w:fill="FFFFFF"/>
        </w:rPr>
        <w:t>一是树牢“过紧日子”思想。</w:t>
      </w:r>
      <w:r>
        <w:rPr>
          <w:rFonts w:ascii="Times New Roman" w:hAnsi="Times New Roman" w:eastAsia="仿宋_GB2312" w:cs="Times New Roman"/>
          <w:color w:val="000000"/>
          <w:sz w:val="32"/>
          <w:szCs w:val="32"/>
          <w:shd w:val="clear" w:color="auto" w:fill="FFFFFF"/>
        </w:rPr>
        <w:t>从严控制一般性支出和“三公”经费支出，大力压减非急需非刚性支出，聚焦财力，优先保障“三保”支出，合理保障县级重大改革、重要政策和重点项目实施。</w:t>
      </w:r>
      <w:r>
        <w:rPr>
          <w:rFonts w:ascii="Times New Roman" w:hAnsi="Times New Roman" w:eastAsia="仿宋_GB2312" w:cs="Times New Roman"/>
          <w:b/>
          <w:bCs/>
          <w:color w:val="000000"/>
          <w:sz w:val="32"/>
          <w:szCs w:val="32"/>
          <w:shd w:val="clear" w:color="auto" w:fill="FFFFFF"/>
        </w:rPr>
        <w:t>二是全面推进乡村振兴。</w:t>
      </w:r>
      <w:r>
        <w:rPr>
          <w:rFonts w:ascii="Times New Roman" w:hAnsi="Times New Roman" w:eastAsia="仿宋_GB2312" w:cs="Times New Roman"/>
          <w:color w:val="000000"/>
          <w:sz w:val="32"/>
          <w:szCs w:val="32"/>
          <w:shd w:val="clear" w:color="auto" w:fill="FFFFFF"/>
        </w:rPr>
        <w:t>探索建立乡村振兴项目资金资产管理长效机制。落实“四个不摘”要求，保持现有帮扶政策、资金支持、帮扶力量总体稳定，实现巩固拓展脱贫攻坚成果同乡村振兴有效衔接。</w:t>
      </w:r>
      <w:r>
        <w:rPr>
          <w:rFonts w:ascii="Times New Roman" w:hAnsi="Times New Roman" w:eastAsia="仿宋_GB2312" w:cs="Times New Roman"/>
          <w:b/>
          <w:bCs/>
          <w:color w:val="000000"/>
          <w:sz w:val="32"/>
          <w:szCs w:val="32"/>
          <w:shd w:val="clear" w:color="auto" w:fill="FFFFFF"/>
        </w:rPr>
        <w:t>三是着力保障民生支出。</w:t>
      </w:r>
      <w:r>
        <w:rPr>
          <w:rFonts w:ascii="Times New Roman" w:hAnsi="Times New Roman" w:eastAsia="仿宋_GB2312" w:cs="Times New Roman"/>
          <w:color w:val="000000"/>
          <w:sz w:val="32"/>
          <w:szCs w:val="32"/>
          <w:shd w:val="clear" w:color="auto" w:fill="FFFFFF"/>
        </w:rPr>
        <w:t>在杜绝超财力安排支出的前提下着力安排好民生支出，支持教育均衡发展、支持抓好常态化疫情防控、支持推进社会保障全民覆盖。</w:t>
      </w:r>
    </w:p>
    <w:p w14:paraId="54F9F944">
      <w:pPr>
        <w:keepNext w:val="0"/>
        <w:keepLines w:val="0"/>
        <w:pageBreakBefore w:val="0"/>
        <w:widowControl w:val="0"/>
        <w:suppressLineNumbers w:val="0"/>
        <w:suppressAutoHyphens w:val="0"/>
        <w:adjustRightInd/>
        <w:snapToGrid/>
        <w:spacing w:line="560" w:lineRule="atLeast"/>
        <w:ind w:firstLine="643" w:firstLineChars="200"/>
        <w:contextualSpacing w:val="0"/>
        <w:rPr>
          <w:rFonts w:ascii="Times New Roman" w:hAnsi="Times New Roman" w:eastAsia="仿宋_GB2312" w:cs="Times New Roman"/>
          <w:color w:val="000000"/>
          <w:sz w:val="32"/>
          <w:szCs w:val="32"/>
          <w:shd w:val="clear" w:color="auto" w:fill="FFFFFF"/>
        </w:rPr>
      </w:pPr>
      <w:r>
        <w:rPr>
          <w:rFonts w:ascii="Times New Roman" w:hAnsi="Times New Roman" w:eastAsia="楷体_GB2312" w:cs="Times New Roman"/>
          <w:b/>
          <w:bCs/>
          <w:color w:val="000000"/>
          <w:sz w:val="32"/>
          <w:szCs w:val="32"/>
          <w:shd w:val="clear" w:color="auto" w:fill="FFFFFF"/>
        </w:rPr>
        <w:t>3.</w:t>
      </w:r>
      <w:r>
        <w:rPr>
          <w:rFonts w:hint="eastAsia" w:ascii="仿宋_GB2312" w:eastAsia="仿宋_GB2312" w:cs="Times New Roman"/>
          <w:b/>
          <w:bCs/>
          <w:color w:val="000000"/>
          <w:sz w:val="32"/>
          <w:szCs w:val="32"/>
          <w:shd w:val="clear" w:color="auto" w:fill="FFFFFF"/>
        </w:rPr>
        <w:t>以财政改革为核心，推动财政治理效能提升。</w:t>
      </w:r>
      <w:r>
        <w:rPr>
          <w:rFonts w:ascii="Times New Roman" w:hAnsi="Times New Roman" w:eastAsia="仿宋_GB2312" w:cs="Times New Roman"/>
          <w:color w:val="000000"/>
          <w:sz w:val="32"/>
          <w:szCs w:val="32"/>
          <w:shd w:val="clear" w:color="auto" w:fill="FFFFFF"/>
        </w:rPr>
        <w:t>深化财政改革，加快建立现代财税体制，切实提升财政治理效能。</w:t>
      </w:r>
      <w:r>
        <w:rPr>
          <w:rFonts w:ascii="Times New Roman" w:hAnsi="Times New Roman" w:eastAsia="仿宋_GB2312" w:cs="Times New Roman"/>
          <w:b/>
          <w:bCs/>
          <w:color w:val="000000"/>
          <w:sz w:val="32"/>
          <w:szCs w:val="32"/>
          <w:shd w:val="clear" w:color="auto" w:fill="FFFFFF"/>
        </w:rPr>
        <w:t>一是加强预算执行刚性约束。</w:t>
      </w:r>
      <w:r>
        <w:rPr>
          <w:rFonts w:ascii="Times New Roman" w:hAnsi="Times New Roman" w:eastAsia="仿宋_GB2312" w:cs="Times New Roman"/>
          <w:color w:val="000000"/>
          <w:sz w:val="32"/>
          <w:szCs w:val="32"/>
          <w:shd w:val="clear" w:color="auto" w:fill="FFFFFF"/>
        </w:rPr>
        <w:t>加大各类结转结余资金盘活使用力度，及时清理收回支出进度不符合要求的项目资金，统筹用于重点项目支出。严格执行人大批准的预算，坚持做到先有预算后有支出，实施预算支出项目化管理，对未纳入预算项目库的支出，不予预算安排。</w:t>
      </w:r>
      <w:r>
        <w:rPr>
          <w:rFonts w:ascii="Times New Roman" w:hAnsi="Times New Roman" w:eastAsia="仿宋_GB2312" w:cs="Times New Roman"/>
          <w:b/>
          <w:bCs/>
          <w:color w:val="000000"/>
          <w:sz w:val="32"/>
          <w:szCs w:val="32"/>
          <w:shd w:val="clear" w:color="auto" w:fill="FFFFFF"/>
        </w:rPr>
        <w:t>二是深入推进预算绩效管理改革。</w:t>
      </w:r>
      <w:r>
        <w:rPr>
          <w:rFonts w:ascii="Times New Roman" w:hAnsi="Times New Roman" w:eastAsia="仿宋_GB2312" w:cs="Times New Roman"/>
          <w:color w:val="000000"/>
          <w:sz w:val="32"/>
          <w:szCs w:val="32"/>
          <w:shd w:val="clear" w:color="auto" w:fill="FFFFFF"/>
        </w:rPr>
        <w:t>切实提高财政资金使用效益，加强绩效目标编制管理，健全绩效指标和标准体系。加强财政绩效评价、监督和审计成果的运用；逐步实现“全方位、全过程、全覆盖”的预算绩效管理机制。</w:t>
      </w:r>
      <w:r>
        <w:rPr>
          <w:rFonts w:ascii="Times New Roman" w:hAnsi="Times New Roman" w:eastAsia="仿宋_GB2312" w:cs="Times New Roman"/>
          <w:b/>
          <w:bCs/>
          <w:color w:val="000000"/>
          <w:sz w:val="32"/>
          <w:szCs w:val="32"/>
          <w:shd w:val="clear" w:color="auto" w:fill="FFFFFF"/>
        </w:rPr>
        <w:t>三是全面推进预算管理一体化改革。</w:t>
      </w:r>
      <w:r>
        <w:rPr>
          <w:rFonts w:ascii="Times New Roman" w:hAnsi="Times New Roman" w:eastAsia="仿宋_GB2312" w:cs="Times New Roman"/>
          <w:color w:val="000000"/>
          <w:sz w:val="32"/>
          <w:szCs w:val="32"/>
          <w:shd w:val="clear" w:color="auto" w:fill="FFFFFF"/>
        </w:rPr>
        <w:t>实现资金从部门预算</w:t>
      </w:r>
      <w:r>
        <w:rPr>
          <w:rFonts w:hint="eastAsia" w:ascii="Times New Roman" w:hAnsi="Times New Roman" w:eastAsia="仿宋_GB2312" w:cs="Times New Roman"/>
          <w:color w:val="000000"/>
          <w:sz w:val="32"/>
          <w:szCs w:val="32"/>
          <w:shd w:val="clear" w:color="auto" w:fill="FFFFFF"/>
          <w:lang w:eastAsia="zh-CN"/>
        </w:rPr>
        <w:t>编制</w:t>
      </w:r>
      <w:r>
        <w:rPr>
          <w:rFonts w:ascii="Times New Roman" w:hAnsi="Times New Roman" w:eastAsia="仿宋_GB2312" w:cs="Times New Roman"/>
          <w:color w:val="000000"/>
          <w:sz w:val="32"/>
          <w:szCs w:val="32"/>
          <w:shd w:val="clear" w:color="auto" w:fill="FFFFFF"/>
        </w:rPr>
        <w:t>、预算安排、资金支付、</w:t>
      </w:r>
      <w:r>
        <w:rPr>
          <w:rFonts w:ascii="Times New Roman" w:hAnsi="Times New Roman" w:eastAsia="仿宋_GB2312" w:cs="Times New Roman"/>
          <w:color w:val="000000"/>
          <w:spacing w:val="-5"/>
          <w:sz w:val="32"/>
          <w:szCs w:val="32"/>
          <w:shd w:val="clear" w:color="auto" w:fill="FFFFFF"/>
        </w:rPr>
        <w:t>单位账务处理全过程清晰，以信息化手段提升财政资金使用效能。</w:t>
      </w:r>
    </w:p>
    <w:p w14:paraId="1DF4B40E">
      <w:pPr>
        <w:keepNext w:val="0"/>
        <w:keepLines w:val="0"/>
        <w:pageBreakBefore w:val="0"/>
        <w:widowControl w:val="0"/>
        <w:suppressLineNumbers w:val="0"/>
        <w:suppressAutoHyphens w:val="0"/>
        <w:adjustRightInd/>
        <w:snapToGrid/>
        <w:spacing w:line="560" w:lineRule="atLeast"/>
        <w:ind w:firstLine="643" w:firstLineChars="200"/>
        <w:contextualSpacing w:val="0"/>
        <w:rPr>
          <w:rFonts w:ascii="Times New Roman" w:hAnsi="Times New Roman" w:eastAsia="仿宋_GB2312" w:cs="Times New Roman"/>
          <w:color w:val="000000"/>
          <w:sz w:val="32"/>
          <w:szCs w:val="32"/>
          <w:shd w:val="clear" w:color="auto" w:fill="FFFFFF"/>
        </w:rPr>
      </w:pPr>
      <w:r>
        <w:rPr>
          <w:rFonts w:ascii="Times New Roman" w:hAnsi="Times New Roman" w:eastAsia="楷体_GB2312" w:cs="Times New Roman"/>
          <w:b/>
          <w:bCs/>
          <w:color w:val="000000"/>
          <w:sz w:val="32"/>
          <w:szCs w:val="32"/>
          <w:shd w:val="clear" w:color="auto" w:fill="FFFFFF"/>
        </w:rPr>
        <w:t>4.</w:t>
      </w:r>
      <w:r>
        <w:rPr>
          <w:rFonts w:hint="eastAsia" w:ascii="仿宋_GB2312" w:eastAsia="仿宋_GB2312" w:cs="Times New Roman"/>
          <w:b/>
          <w:bCs/>
          <w:color w:val="000000"/>
          <w:sz w:val="32"/>
          <w:szCs w:val="32"/>
          <w:shd w:val="clear" w:color="auto" w:fill="FFFFFF"/>
        </w:rPr>
        <w:t>以筑牢底线为目标，推动重点领域风险防控。</w:t>
      </w:r>
      <w:r>
        <w:rPr>
          <w:rFonts w:ascii="Times New Roman" w:hAnsi="Times New Roman" w:eastAsia="仿宋_GB2312" w:cs="Times New Roman"/>
          <w:color w:val="000000"/>
          <w:sz w:val="32"/>
          <w:szCs w:val="32"/>
          <w:shd w:val="clear" w:color="auto" w:fill="FFFFFF"/>
        </w:rPr>
        <w:t>坚持大局意识底线思维，强化风险防控意识，完善财政风险防控体系，筑牢风险防控底线。</w:t>
      </w:r>
      <w:r>
        <w:rPr>
          <w:rFonts w:ascii="Times New Roman" w:hAnsi="Times New Roman" w:eastAsia="仿宋_GB2312" w:cs="Times New Roman"/>
          <w:b/>
          <w:bCs/>
          <w:color w:val="000000"/>
          <w:sz w:val="32"/>
          <w:szCs w:val="32"/>
          <w:shd w:val="clear" w:color="auto" w:fill="FFFFFF"/>
        </w:rPr>
        <w:t>一是切实兜牢“三保”底线。</w:t>
      </w:r>
      <w:r>
        <w:rPr>
          <w:rFonts w:ascii="Times New Roman" w:hAnsi="Times New Roman" w:eastAsia="仿宋_GB2312" w:cs="Times New Roman"/>
          <w:color w:val="000000"/>
          <w:sz w:val="32"/>
          <w:szCs w:val="32"/>
          <w:shd w:val="clear" w:color="auto" w:fill="FFFFFF"/>
        </w:rPr>
        <w:t>始终坚持“三保”支出在财政支出中的优先顺序，坚决兜住“三保”底线，坚决不留硬缺口。</w:t>
      </w:r>
      <w:r>
        <w:rPr>
          <w:rFonts w:ascii="Times New Roman" w:hAnsi="Times New Roman" w:eastAsia="仿宋_GB2312" w:cs="Times New Roman"/>
          <w:b/>
          <w:bCs/>
          <w:color w:val="000000"/>
          <w:sz w:val="32"/>
          <w:szCs w:val="32"/>
          <w:shd w:val="clear" w:color="auto" w:fill="FFFFFF"/>
        </w:rPr>
        <w:t>二是切实坚守库款底线。</w:t>
      </w:r>
      <w:r>
        <w:rPr>
          <w:rFonts w:ascii="Times New Roman" w:hAnsi="Times New Roman" w:eastAsia="仿宋_GB2312" w:cs="Times New Roman"/>
          <w:color w:val="000000"/>
          <w:sz w:val="32"/>
          <w:szCs w:val="32"/>
          <w:shd w:val="clear" w:color="auto" w:fill="FFFFFF"/>
        </w:rPr>
        <w:t>加强与上级部门对接，结合财政库款管理情况，科学、合理调度国库资金，对库款水平实行动态监控，进一步提高库款保障水平。</w:t>
      </w:r>
      <w:r>
        <w:rPr>
          <w:rFonts w:ascii="Times New Roman" w:hAnsi="Times New Roman" w:eastAsia="仿宋_GB2312" w:cs="Times New Roman"/>
          <w:b/>
          <w:bCs/>
          <w:color w:val="000000"/>
          <w:sz w:val="32"/>
          <w:szCs w:val="32"/>
          <w:shd w:val="clear" w:color="auto" w:fill="FFFFFF"/>
        </w:rPr>
        <w:t>三是切实防范债务风险。</w:t>
      </w:r>
      <w:r>
        <w:rPr>
          <w:rFonts w:ascii="Times New Roman" w:hAnsi="Times New Roman" w:eastAsia="仿宋_GB2312" w:cs="Times New Roman"/>
          <w:color w:val="000000"/>
          <w:sz w:val="32"/>
          <w:szCs w:val="32"/>
          <w:shd w:val="clear" w:color="auto" w:fill="FFFFFF"/>
        </w:rPr>
        <w:t>遏增量，化存量，完善债务化解方案，积极妥善化解债务存量。健全规范政府举债融资机制，实现“借、用、还”相统一。</w:t>
      </w:r>
    </w:p>
    <w:p w14:paraId="09DF1426">
      <w:pPr>
        <w:keepNext w:val="0"/>
        <w:keepLines w:val="0"/>
        <w:pageBreakBefore w:val="0"/>
        <w:widowControl w:val="0"/>
        <w:suppressLineNumbers w:val="0"/>
        <w:suppressAutoHyphens w:val="0"/>
        <w:adjustRightInd/>
        <w:snapToGrid/>
        <w:spacing w:line="560" w:lineRule="atLeast"/>
        <w:ind w:firstLine="640" w:firstLineChars="200"/>
        <w:contextualSpacing w:val="0"/>
        <w:rPr>
          <w:rFonts w:ascii="黑体" w:eastAsia="黑体" w:cs="楷体"/>
          <w:color w:val="000000"/>
          <w:kern w:val="2"/>
          <w:sz w:val="32"/>
          <w:szCs w:val="32"/>
          <w:shd w:val="clear" w:color="auto" w:fill="auto"/>
        </w:rPr>
      </w:pPr>
      <w:r>
        <w:rPr>
          <w:rFonts w:hint="eastAsia" w:ascii="黑体" w:eastAsia="黑体" w:cs="楷体"/>
          <w:color w:val="000000"/>
          <w:kern w:val="2"/>
          <w:sz w:val="32"/>
          <w:szCs w:val="32"/>
          <w:shd w:val="clear" w:color="auto" w:fill="auto"/>
        </w:rPr>
        <w:t>二、机构设置</w:t>
      </w:r>
    </w:p>
    <w:p w14:paraId="06C442A3">
      <w:pPr>
        <w:keepNext w:val="0"/>
        <w:keepLines w:val="0"/>
        <w:pageBreakBefore w:val="0"/>
        <w:widowControl w:val="0"/>
        <w:suppressLineNumbers w:val="0"/>
        <w:suppressAutoHyphens w:val="0"/>
        <w:adjustRightInd/>
        <w:snapToGrid/>
        <w:spacing w:line="560" w:lineRule="atLeast"/>
        <w:ind w:firstLine="640" w:firstLineChars="200"/>
        <w:contextualSpacing w:val="0"/>
        <w:jc w:val="both"/>
        <w:rPr>
          <w:rFonts w:hint="eastAsia" w:ascii="仿宋_GB2312" w:eastAsia="仿宋_GB2312" w:cs="仿宋_GB2312"/>
          <w:kern w:val="2"/>
          <w:sz w:val="32"/>
          <w:szCs w:val="32"/>
          <w:shd w:val="clear" w:color="auto" w:fill="auto"/>
        </w:rPr>
      </w:pPr>
      <w:r>
        <w:rPr>
          <w:rFonts w:hint="eastAsia" w:ascii="仿宋_GB2312" w:eastAsia="仿宋_GB2312" w:cs="仿宋_GB2312"/>
          <w:kern w:val="2"/>
          <w:sz w:val="32"/>
          <w:szCs w:val="32"/>
          <w:shd w:val="clear" w:color="auto" w:fill="auto"/>
        </w:rPr>
        <w:t xml:space="preserve"> 阿坝州红原县财政局下设单位（股室）10个，其中行政单位股室个，参照公务员法管理的事业单位股室1个：国库集中支付中心，其他事业单位股室3个分别是：网管中心、财政评审中心、国有资产管理中心。纳入阿坝州红原县财政局2021年度部门决算编制范围的二级预算单位包括：阿坝州红原县财政局（本级）、阿坝州红原县财政局投资评审中心。</w:t>
      </w:r>
    </w:p>
    <w:p w14:paraId="1CB4FD69">
      <w:pPr>
        <w:pStyle w:val="2"/>
        <w:keepNext/>
        <w:keepLines/>
        <w:pageBreakBefore w:val="0"/>
        <w:widowControl w:val="0"/>
        <w:suppressLineNumbers w:val="0"/>
        <w:shd w:val="clear" w:color="auto" w:fill="auto"/>
        <w:suppressAutoHyphens w:val="0"/>
        <w:kinsoku/>
        <w:wordWrap/>
        <w:overflowPunct/>
        <w:topLinePunct w:val="0"/>
        <w:autoSpaceDE/>
        <w:autoSpaceDN/>
        <w:spacing w:line="550" w:lineRule="atLeast"/>
        <w:jc w:val="center"/>
        <w:rPr>
          <w:rFonts w:hint="eastAsia" w:ascii="黑体" w:eastAsia="黑体"/>
          <w:b w:val="0"/>
          <w:i w:val="0"/>
          <w:caps w:val="0"/>
          <w:smallCaps w:val="0"/>
          <w:strike w:val="0"/>
          <w:dstrike w:val="0"/>
          <w:vanish w:val="0"/>
          <w:kern w:val="44"/>
          <w:sz w:val="44"/>
          <w:szCs w:val="44"/>
          <w:shd w:val="clear" w:color="auto" w:fill="auto"/>
        </w:rPr>
      </w:pPr>
      <w:bookmarkStart w:id="13" w:name="_Toc25443"/>
      <w:r>
        <w:rPr>
          <w:rFonts w:hint="eastAsia" w:ascii="黑体" w:eastAsia="黑体"/>
          <w:b w:val="0"/>
          <w:i w:val="0"/>
          <w:caps w:val="0"/>
          <w:smallCaps w:val="0"/>
          <w:strike w:val="0"/>
          <w:dstrike w:val="0"/>
          <w:vanish w:val="0"/>
          <w:kern w:val="44"/>
          <w:sz w:val="44"/>
          <w:szCs w:val="44"/>
          <w:shd w:val="clear" w:color="auto" w:fill="auto"/>
        </w:rPr>
        <w:t>第二部分 2021年度部门决算情况说明</w:t>
      </w:r>
      <w:bookmarkEnd w:id="13"/>
    </w:p>
    <w:p w14:paraId="6D3A4B40">
      <w:pPr>
        <w:pStyle w:val="3"/>
        <w:keepNext/>
        <w:keepLines/>
        <w:pageBreakBefore w:val="0"/>
        <w:widowControl w:val="0"/>
        <w:suppressLineNumbers w:val="0"/>
        <w:suppressAutoHyphens w:val="0"/>
        <w:kinsoku/>
        <w:wordWrap/>
        <w:overflowPunct/>
        <w:topLinePunct w:val="0"/>
        <w:autoSpaceDE/>
        <w:autoSpaceDN/>
        <w:spacing w:line="550" w:lineRule="atLeast"/>
        <w:ind w:firstLine="643" w:firstLineChars="200"/>
        <w:rPr>
          <w:rFonts w:hint="eastAsia" w:ascii="黑体" w:eastAsia="黑体" w:cs="楷体"/>
          <w:color w:val="000000"/>
          <w:kern w:val="2"/>
          <w:sz w:val="32"/>
          <w:szCs w:val="32"/>
          <w:shd w:val="clear" w:color="auto" w:fill="auto"/>
        </w:rPr>
      </w:pPr>
      <w:bookmarkStart w:id="14" w:name="_Toc21853"/>
      <w:r>
        <w:rPr>
          <w:rFonts w:ascii="黑体" w:eastAsia="黑体" w:cs="楷体"/>
          <w:color w:val="000000"/>
          <w:kern w:val="2"/>
          <w:sz w:val="32"/>
          <w:szCs w:val="32"/>
          <w:shd w:val="clear" w:color="auto" w:fill="auto"/>
        </w:rPr>
        <w:t>一</w:t>
      </w:r>
      <w:r>
        <w:rPr>
          <w:rFonts w:ascii="仿宋_GB2312" w:eastAsia="仿宋_GB2312" w:cs="Times New Roman"/>
          <w:kern w:val="2"/>
          <w:sz w:val="32"/>
          <w:szCs w:val="32"/>
        </w:rPr>
        <w:t>、</w:t>
      </w:r>
      <w:r>
        <w:rPr>
          <w:rFonts w:hint="eastAsia" w:ascii="黑体" w:eastAsia="黑体" w:cs="楷体"/>
          <w:color w:val="000000"/>
          <w:kern w:val="2"/>
          <w:sz w:val="32"/>
          <w:szCs w:val="32"/>
          <w:shd w:val="clear" w:color="auto" w:fill="auto"/>
        </w:rPr>
        <w:t>收入支出决算总体情况说明</w:t>
      </w:r>
      <w:bookmarkEnd w:id="14"/>
    </w:p>
    <w:p w14:paraId="07FE1F8C">
      <w:pPr>
        <w:keepNext w:val="0"/>
        <w:keepLines w:val="0"/>
        <w:pageBreakBefore w:val="0"/>
        <w:widowControl w:val="0"/>
        <w:suppressLineNumbers w:val="0"/>
        <w:suppressAutoHyphens w:val="0"/>
        <w:spacing w:line="560" w:lineRule="atLeast"/>
        <w:ind w:firstLine="640" w:firstLineChars="200"/>
        <w:jc w:val="both"/>
        <w:rPr>
          <w:rFonts w:hint="eastAsia" w:ascii="仿宋_GB2312" w:eastAsia="仿宋_GB2312" w:cs="仿宋_GB2312"/>
          <w:bCs/>
          <w:kern w:val="2"/>
          <w:sz w:val="32"/>
          <w:szCs w:val="32"/>
        </w:rPr>
      </w:pPr>
      <w:r>
        <w:rPr>
          <w:rFonts w:hint="eastAsia" w:ascii="仿宋_GB2312" w:eastAsia="仿宋_GB2312" w:cs="仿宋_GB2312"/>
          <w:kern w:val="2"/>
          <w:sz w:val="32"/>
          <w:szCs w:val="32"/>
        </w:rPr>
        <w:t>2021年度收入总计1,111.46万元、支出总计1111.46万元。与2020年相比，收入增加146.06万元，增长15.13%</w:t>
      </w:r>
      <w:r>
        <w:rPr>
          <w:rFonts w:ascii="仿宋_GB2312" w:eastAsia="仿宋_GB2312" w:cs="仿宋_GB2312"/>
          <w:kern w:val="2"/>
          <w:sz w:val="32"/>
          <w:szCs w:val="32"/>
        </w:rPr>
        <w:t>，</w:t>
      </w:r>
      <w:r>
        <w:rPr>
          <w:rFonts w:hint="eastAsia" w:ascii="仿宋_GB2312" w:eastAsia="仿宋_GB2312" w:cs="Times New Roman"/>
          <w:kern w:val="2"/>
          <w:sz w:val="32"/>
          <w:szCs w:val="32"/>
        </w:rPr>
        <w:t>主</w:t>
      </w:r>
      <w:r>
        <w:rPr>
          <w:rFonts w:hint="eastAsia" w:ascii="仿宋" w:eastAsia="仿宋" w:cs="Times New Roman"/>
          <w:color w:val="000000"/>
          <w:sz w:val="32"/>
          <w:szCs w:val="32"/>
        </w:rPr>
        <w:t>要变动原因是</w:t>
      </w:r>
      <w:r>
        <w:rPr>
          <w:rFonts w:ascii="仿宋" w:eastAsia="仿宋" w:cs="Times New Roman"/>
          <w:b/>
          <w:bCs/>
          <w:color w:val="000000"/>
          <w:sz w:val="32"/>
          <w:szCs w:val="32"/>
        </w:rPr>
        <w:t>一是</w:t>
      </w:r>
      <w:r>
        <w:rPr>
          <w:rFonts w:hint="eastAsia" w:ascii="仿宋" w:eastAsia="仿宋"/>
          <w:color w:val="000000"/>
          <w:sz w:val="32"/>
          <w:szCs w:val="32"/>
          <w:lang w:val="en-US" w:eastAsia="zh-CN"/>
        </w:rPr>
        <w:t>21年发放的20年目标奖较20年发放19年目标奖高</w:t>
      </w:r>
      <w:r>
        <w:rPr>
          <w:rFonts w:ascii="仿宋" w:eastAsia="仿宋"/>
          <w:color w:val="000000"/>
          <w:sz w:val="32"/>
          <w:szCs w:val="32"/>
          <w:lang w:val="en-US" w:eastAsia="zh-CN"/>
        </w:rPr>
        <w:t>。</w:t>
      </w:r>
      <w:r>
        <w:rPr>
          <w:rFonts w:ascii="仿宋" w:eastAsia="仿宋"/>
          <w:b/>
          <w:bCs/>
          <w:color w:val="000000"/>
          <w:sz w:val="32"/>
          <w:szCs w:val="32"/>
          <w:lang w:val="en-US" w:eastAsia="zh-CN"/>
        </w:rPr>
        <w:t>二是</w:t>
      </w:r>
      <w:r>
        <w:rPr>
          <w:rFonts w:ascii="仿宋" w:eastAsia="仿宋"/>
          <w:color w:val="000000"/>
          <w:sz w:val="32"/>
          <w:szCs w:val="32"/>
          <w:lang w:val="en-US" w:eastAsia="zh-CN"/>
        </w:rPr>
        <w:t>2021年有新增人员。</w:t>
      </w:r>
      <w:r>
        <w:rPr>
          <w:rFonts w:hint="eastAsia" w:ascii="仿宋_GB2312" w:eastAsia="仿宋_GB2312" w:cs="仿宋_GB2312"/>
          <w:kern w:val="2"/>
          <w:sz w:val="32"/>
          <w:szCs w:val="32"/>
        </w:rPr>
        <w:t>支出增加总计各增加14.17万元，增长1.29%。主要变动原因是有新增人员。</w:t>
      </w:r>
    </w:p>
    <w:p w14:paraId="5FB10C14">
      <w:pPr>
        <w:pStyle w:val="13"/>
        <w:shd w:val="clear" w:color="auto" w:fill="FFFFFF"/>
        <w:ind w:left="420"/>
        <w:rPr>
          <w:rFonts w:ascii="仿宋_GB2312" w:eastAsia="仿宋_GB2312" w:cs="Times New Roman"/>
          <w:color w:val="FF0000"/>
          <w:kern w:val="2"/>
          <w:sz w:val="32"/>
          <w:szCs w:val="32"/>
          <w:shd w:val="clear" w:color="auto" w:fill="auto"/>
        </w:rPr>
      </w:pPr>
      <w:r>
        <w:rPr>
          <w:rFonts w:ascii="仿宋_GB2312" w:eastAsia="仿宋_GB2312" w:cs="Times New Roman"/>
          <w:color w:val="FF0000"/>
          <w:kern w:val="2"/>
          <w:sz w:val="32"/>
          <w:szCs w:val="32"/>
          <w:shd w:val="clear" w:color="auto" w:fill="auto"/>
        </w:rPr>
        <w:drawing>
          <wp:inline distT="0" distB="0" distL="84455" distR="84455">
            <wp:extent cx="4571365" cy="2742565"/>
            <wp:effectExtent l="0" t="0" r="6" b="21"/>
            <wp:docPr id="1" name="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pic:cNvPicPr>
                      <a:picLocks noChangeAspect="1"/>
                    </pic:cNvPicPr>
                  </pic:nvPicPr>
                  <pic:blipFill>
                    <a:blip r:embed="rId8"/>
                    <a:stretch>
                      <a:fillRect/>
                    </a:stretch>
                  </pic:blipFill>
                  <pic:spPr>
                    <a:xfrm>
                      <a:off x="0" y="0"/>
                      <a:ext cx="4571365" cy="2742565"/>
                    </a:xfrm>
                    <a:prstGeom prst="rect">
                      <a:avLst/>
                    </a:prstGeom>
                    <a:noFill/>
                    <a:ln w="9525" cap="flat" cmpd="sng">
                      <a:noFill/>
                      <a:prstDash val="solid"/>
                      <a:miter/>
                    </a:ln>
                  </pic:spPr>
                </pic:pic>
              </a:graphicData>
            </a:graphic>
          </wp:inline>
        </w:drawing>
      </w:r>
    </w:p>
    <w:p w14:paraId="12E69778">
      <w:pPr>
        <w:pStyle w:val="13"/>
        <w:shd w:val="clear" w:color="auto" w:fill="FFFFFF"/>
        <w:ind w:left="420"/>
        <w:rPr>
          <w:rFonts w:ascii="仿宋_GB2312" w:eastAsia="仿宋_GB2312" w:cs="Times New Roman"/>
          <w:color w:val="000000"/>
          <w:kern w:val="2"/>
          <w:sz w:val="32"/>
          <w:szCs w:val="32"/>
        </w:rPr>
      </w:pPr>
      <w:r>
        <w:rPr>
          <w:rFonts w:ascii="仿宋_GB2312" w:eastAsia="仿宋_GB2312" w:cs="Times New Roman"/>
          <w:color w:val="000000"/>
          <w:kern w:val="2"/>
          <w:sz w:val="32"/>
          <w:szCs w:val="32"/>
          <w:shd w:val="clear" w:color="auto" w:fill="auto"/>
        </w:rPr>
        <w:t>（图1：收、支决算总计变动情况图）（柱状图）</w:t>
      </w:r>
    </w:p>
    <w:p w14:paraId="13B238E1">
      <w:pPr>
        <w:pStyle w:val="3"/>
        <w:keepNext/>
        <w:keepLines/>
        <w:pageBreakBefore w:val="0"/>
        <w:widowControl w:val="0"/>
        <w:suppressLineNumbers w:val="0"/>
        <w:suppressAutoHyphens w:val="0"/>
        <w:kinsoku/>
        <w:wordWrap/>
        <w:overflowPunct/>
        <w:topLinePunct w:val="0"/>
        <w:autoSpaceDE/>
        <w:autoSpaceDN/>
        <w:spacing w:line="550" w:lineRule="atLeast"/>
        <w:ind w:firstLine="643" w:firstLineChars="200"/>
        <w:rPr>
          <w:rFonts w:ascii="黑体" w:eastAsia="黑体" w:cs="楷体"/>
          <w:color w:val="000000"/>
          <w:kern w:val="2"/>
          <w:sz w:val="32"/>
          <w:szCs w:val="32"/>
          <w:shd w:val="clear" w:color="auto" w:fill="auto"/>
        </w:rPr>
      </w:pPr>
      <w:bookmarkStart w:id="15" w:name="_Toc15018"/>
      <w:r>
        <w:rPr>
          <w:rFonts w:ascii="黑体" w:eastAsia="黑体" w:cs="楷体"/>
          <w:color w:val="000000"/>
          <w:kern w:val="2"/>
          <w:sz w:val="32"/>
          <w:szCs w:val="32"/>
          <w:shd w:val="clear" w:color="auto" w:fill="auto"/>
        </w:rPr>
        <w:t>二、收入决算情况说明</w:t>
      </w:r>
      <w:bookmarkEnd w:id="15"/>
    </w:p>
    <w:p w14:paraId="51D80AB2">
      <w:pPr>
        <w:keepNext w:val="0"/>
        <w:keepLines w:val="0"/>
        <w:pageBreakBefore w:val="0"/>
        <w:widowControl w:val="0"/>
        <w:suppressLineNumbers w:val="0"/>
        <w:suppressAutoHyphens w:val="0"/>
        <w:spacing w:line="570" w:lineRule="exact"/>
        <w:ind w:left="0" w:firstLine="640" w:firstLineChars="200"/>
        <w:jc w:val="both"/>
        <w:rPr>
          <w:rFonts w:ascii="仿宋_GB2312" w:eastAsia="仿宋_GB2312" w:cs="Times New Roman"/>
          <w:kern w:val="2"/>
          <w:sz w:val="32"/>
          <w:szCs w:val="32"/>
          <w:shd w:val="clear" w:color="auto" w:fill="auto"/>
        </w:rPr>
      </w:pPr>
      <w:r>
        <w:rPr>
          <w:rFonts w:ascii="仿宋_GB2312" w:eastAsia="仿宋_GB2312" w:cs="Times New Roman"/>
          <w:kern w:val="2"/>
          <w:sz w:val="32"/>
          <w:szCs w:val="32"/>
          <w:shd w:val="clear" w:color="auto" w:fill="auto"/>
        </w:rPr>
        <w:t>2021年本年收入合计1,111.46万元，其中：一般公共预算财政拨款收入1,111.46万元，占100.00%；政府性基</w:t>
      </w:r>
    </w:p>
    <w:p w14:paraId="3F3E2B11">
      <w:pPr>
        <w:keepNext w:val="0"/>
        <w:keepLines w:val="0"/>
        <w:pageBreakBefore w:val="0"/>
        <w:widowControl w:val="0"/>
        <w:suppressLineNumbers w:val="0"/>
        <w:suppressAutoHyphens w:val="0"/>
        <w:spacing w:line="570" w:lineRule="exact"/>
        <w:ind w:left="0" w:firstLine="640" w:firstLineChars="200"/>
        <w:jc w:val="both"/>
        <w:rPr>
          <w:rFonts w:ascii="仿宋_GB2312" w:eastAsia="仿宋_GB2312" w:cs="Times New Roman"/>
          <w:kern w:val="2"/>
          <w:sz w:val="32"/>
          <w:szCs w:val="32"/>
        </w:rPr>
      </w:pPr>
      <w:r>
        <w:rPr>
          <w:rFonts w:ascii="仿宋_GB2312" w:eastAsia="仿宋_GB2312" w:cs="Times New Roman"/>
          <w:kern w:val="2"/>
          <w:sz w:val="32"/>
          <w:szCs w:val="32"/>
          <w:shd w:val="clear" w:color="auto" w:fill="auto"/>
        </w:rPr>
        <w:t>金预算财政拨款收入0.00万元，占0.00%；国有资本经营预算财政拨款收入0.00万元，占0.00%；上级补助收入0.00万元，占0.00%；事业收入0.00万元，占0.00%%；经营收入0.00万元，占0.00%%；附属单位上缴收入0.00万元，占0.00%；其他收入0.00万元，占0.00%。</w:t>
      </w:r>
      <w:r>
        <w:rPr>
          <w:rFonts w:ascii="仿宋_GB2312" w:eastAsia="仿宋_GB2312" w:cs="Times New Roman"/>
          <w:kern w:val="2"/>
          <w:sz w:val="32"/>
          <w:szCs w:val="32"/>
          <w:shd w:val="clear" w:color="auto" w:fill="auto"/>
        </w:rPr>
        <w:drawing>
          <wp:anchor distT="0" distB="0" distL="84455" distR="84455" simplePos="0" relativeHeight="251659264" behindDoc="0" locked="0" layoutInCell="1" allowOverlap="1">
            <wp:simplePos x="0" y="0"/>
            <wp:positionH relativeFrom="column">
              <wp:posOffset>405765</wp:posOffset>
            </wp:positionH>
            <wp:positionV relativeFrom="paragraph">
              <wp:posOffset>-2379980</wp:posOffset>
            </wp:positionV>
            <wp:extent cx="4572000" cy="2743200"/>
            <wp:effectExtent l="0" t="0" r="25" b="42"/>
            <wp:wrapSquare wrapText="bothSides"/>
            <wp:docPr id="4" name="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pic:cNvPicPr>
                      <a:picLocks noChangeAspect="1"/>
                    </pic:cNvPicPr>
                  </pic:nvPicPr>
                  <pic:blipFill>
                    <a:blip r:embed="rId9"/>
                    <a:stretch>
                      <a:fillRect/>
                    </a:stretch>
                  </pic:blipFill>
                  <pic:spPr>
                    <a:xfrm>
                      <a:off x="0" y="0"/>
                      <a:ext cx="4572000" cy="2743200"/>
                    </a:xfrm>
                    <a:prstGeom prst="rect">
                      <a:avLst/>
                    </a:prstGeom>
                    <a:noFill/>
                    <a:ln w="9525" cap="flat" cmpd="sng">
                      <a:noFill/>
                      <a:prstDash val="solid"/>
                      <a:miter/>
                    </a:ln>
                  </pic:spPr>
                </pic:pic>
              </a:graphicData>
            </a:graphic>
          </wp:anchor>
        </w:drawing>
      </w:r>
    </w:p>
    <w:p w14:paraId="41660F2C">
      <w:pPr>
        <w:pStyle w:val="13"/>
        <w:shd w:val="clear" w:color="auto" w:fill="FFFFFF"/>
        <w:ind w:left="420"/>
        <w:rPr>
          <w:rFonts w:ascii="仿宋_GB2312" w:eastAsia="仿宋_GB2312" w:cs="Times New Roman"/>
          <w:color w:val="000000"/>
          <w:kern w:val="2"/>
          <w:sz w:val="32"/>
          <w:szCs w:val="32"/>
        </w:rPr>
      </w:pPr>
      <w:r>
        <w:rPr>
          <w:rFonts w:ascii="仿宋_GB2312" w:eastAsia="仿宋_GB2312" w:cs="Times New Roman"/>
          <w:color w:val="000000"/>
          <w:kern w:val="2"/>
          <w:sz w:val="32"/>
          <w:szCs w:val="32"/>
          <w:shd w:val="clear" w:color="auto" w:fill="auto"/>
        </w:rPr>
        <w:t>（图2：收入决算结构图）（饼状图）</w:t>
      </w:r>
    </w:p>
    <w:p w14:paraId="2341293E">
      <w:pPr>
        <w:pStyle w:val="3"/>
        <w:keepNext/>
        <w:keepLines/>
        <w:pageBreakBefore w:val="0"/>
        <w:widowControl w:val="0"/>
        <w:suppressLineNumbers w:val="0"/>
        <w:suppressAutoHyphens w:val="0"/>
        <w:kinsoku/>
        <w:wordWrap/>
        <w:overflowPunct/>
        <w:topLinePunct w:val="0"/>
        <w:autoSpaceDE/>
        <w:autoSpaceDN/>
        <w:spacing w:line="550" w:lineRule="atLeast"/>
        <w:ind w:firstLine="643" w:firstLineChars="200"/>
        <w:rPr>
          <w:rFonts w:ascii="黑体" w:eastAsia="黑体" w:cs="楷体"/>
          <w:color w:val="000000"/>
          <w:kern w:val="2"/>
          <w:sz w:val="32"/>
          <w:szCs w:val="32"/>
          <w:shd w:val="clear" w:color="auto" w:fill="auto"/>
        </w:rPr>
      </w:pPr>
      <w:bookmarkStart w:id="16" w:name="_Toc6658"/>
      <w:r>
        <w:rPr>
          <w:rFonts w:ascii="黑体" w:eastAsia="黑体" w:cs="楷体"/>
          <w:color w:val="000000"/>
          <w:kern w:val="2"/>
          <w:sz w:val="32"/>
          <w:szCs w:val="32"/>
          <w:shd w:val="clear" w:color="auto" w:fill="auto"/>
        </w:rPr>
        <w:t>三、支出决算情况说明</w:t>
      </w:r>
      <w:bookmarkEnd w:id="16"/>
    </w:p>
    <w:p w14:paraId="609A9B69">
      <w:pPr>
        <w:keepNext w:val="0"/>
        <w:keepLines w:val="0"/>
        <w:pageBreakBefore w:val="0"/>
        <w:widowControl w:val="0"/>
        <w:suppressLineNumbers w:val="0"/>
        <w:suppressAutoHyphens w:val="0"/>
        <w:spacing w:line="570" w:lineRule="exact"/>
        <w:ind w:left="0" w:firstLine="640" w:firstLineChars="200"/>
        <w:jc w:val="both"/>
        <w:rPr>
          <w:rFonts w:ascii="仿宋_GB2312" w:eastAsia="仿宋_GB2312" w:cs="Times New Roman"/>
          <w:kern w:val="2"/>
          <w:sz w:val="32"/>
          <w:szCs w:val="32"/>
          <w:shd w:val="clear" w:color="auto" w:fill="auto"/>
        </w:rPr>
      </w:pPr>
      <w:r>
        <w:rPr>
          <w:rFonts w:ascii="仿宋_GB2312" w:eastAsia="仿宋_GB2312" w:cs="Times New Roman"/>
          <w:kern w:val="2"/>
          <w:sz w:val="32"/>
          <w:szCs w:val="32"/>
          <w:shd w:val="clear" w:color="auto" w:fill="auto"/>
        </w:rPr>
        <w:t>2021年本年支出合计1,111.46万元，其中：基本支出763.25万元，占68.67%；项目支出348.21万元，占31.33%；上缴上级支出0.00万元，占0.00%；经营支出0.00万元，占经营支出0.00万元，占 0.00%；对附属单位补助支出0.00万元，占0.00%。</w:t>
      </w:r>
    </w:p>
    <w:p w14:paraId="0F962B34">
      <w:pPr>
        <w:keepNext w:val="0"/>
        <w:keepLines w:val="0"/>
        <w:pageBreakBefore w:val="0"/>
        <w:widowControl w:val="0"/>
        <w:suppressLineNumbers w:val="0"/>
        <w:suppressAutoHyphens w:val="0"/>
        <w:spacing w:line="570" w:lineRule="exact"/>
        <w:ind w:left="0" w:firstLine="640" w:firstLineChars="200"/>
        <w:jc w:val="both"/>
        <w:rPr>
          <w:rFonts w:ascii="仿宋_GB2312" w:eastAsia="仿宋_GB2312" w:cs="Times New Roman"/>
          <w:kern w:val="2"/>
          <w:sz w:val="32"/>
          <w:szCs w:val="32"/>
          <w:shd w:val="clear" w:color="auto" w:fill="auto"/>
        </w:rPr>
      </w:pPr>
      <w:r>
        <w:rPr>
          <w:rFonts w:ascii="仿宋_GB2312" w:eastAsia="仿宋_GB2312" w:cs="Times New Roman"/>
          <w:kern w:val="2"/>
          <w:sz w:val="32"/>
          <w:szCs w:val="32"/>
          <w:shd w:val="clear" w:color="auto" w:fill="auto"/>
        </w:rPr>
        <w:drawing>
          <wp:anchor distT="0" distB="0" distL="84455" distR="84455" simplePos="0" relativeHeight="251659264" behindDoc="0" locked="0" layoutInCell="1" allowOverlap="1">
            <wp:simplePos x="0" y="0"/>
            <wp:positionH relativeFrom="column">
              <wp:posOffset>780415</wp:posOffset>
            </wp:positionH>
            <wp:positionV relativeFrom="paragraph">
              <wp:posOffset>52070</wp:posOffset>
            </wp:positionV>
            <wp:extent cx="3667125" cy="2200275"/>
            <wp:effectExtent l="0" t="0" r="22" b="47"/>
            <wp:wrapSquare wrapText="bothSides"/>
            <wp:docPr id="7" name="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pic:cNvPicPr>
                      <a:picLocks noChangeAspect="1"/>
                    </pic:cNvPicPr>
                  </pic:nvPicPr>
                  <pic:blipFill>
                    <a:blip r:embed="rId10"/>
                    <a:stretch>
                      <a:fillRect/>
                    </a:stretch>
                  </pic:blipFill>
                  <pic:spPr>
                    <a:xfrm>
                      <a:off x="0" y="0"/>
                      <a:ext cx="3667047" cy="2200002"/>
                    </a:xfrm>
                    <a:prstGeom prst="rect">
                      <a:avLst/>
                    </a:prstGeom>
                    <a:noFill/>
                    <a:ln w="9525" cap="flat" cmpd="sng">
                      <a:noFill/>
                      <a:prstDash val="solid"/>
                      <a:miter/>
                    </a:ln>
                  </pic:spPr>
                </pic:pic>
              </a:graphicData>
            </a:graphic>
          </wp:anchor>
        </w:drawing>
      </w:r>
    </w:p>
    <w:p w14:paraId="50B42A14">
      <w:pPr>
        <w:keepNext w:val="0"/>
        <w:keepLines w:val="0"/>
        <w:pageBreakBefore w:val="0"/>
        <w:widowControl w:val="0"/>
        <w:suppressLineNumbers w:val="0"/>
        <w:suppressAutoHyphens w:val="0"/>
        <w:spacing w:line="570" w:lineRule="exact"/>
        <w:ind w:left="0" w:firstLine="640" w:firstLineChars="200"/>
        <w:jc w:val="both"/>
        <w:rPr>
          <w:rFonts w:ascii="仿宋_GB2312" w:eastAsia="仿宋_GB2312" w:cs="Times New Roman"/>
          <w:kern w:val="2"/>
          <w:sz w:val="32"/>
          <w:szCs w:val="32"/>
          <w:shd w:val="clear" w:color="auto" w:fill="auto"/>
        </w:rPr>
      </w:pPr>
    </w:p>
    <w:p w14:paraId="3C00B082">
      <w:pPr>
        <w:keepNext w:val="0"/>
        <w:keepLines w:val="0"/>
        <w:pageBreakBefore w:val="0"/>
        <w:widowControl w:val="0"/>
        <w:suppressLineNumbers w:val="0"/>
        <w:suppressAutoHyphens w:val="0"/>
        <w:spacing w:line="570" w:lineRule="exact"/>
        <w:ind w:left="0" w:firstLine="640" w:firstLineChars="200"/>
        <w:jc w:val="both"/>
        <w:rPr>
          <w:rFonts w:ascii="仿宋_GB2312" w:eastAsia="仿宋_GB2312" w:cs="Times New Roman"/>
          <w:kern w:val="2"/>
          <w:sz w:val="32"/>
          <w:szCs w:val="32"/>
          <w:shd w:val="clear" w:color="auto" w:fill="auto"/>
        </w:rPr>
      </w:pPr>
    </w:p>
    <w:p w14:paraId="3BCEC390">
      <w:pPr>
        <w:keepNext w:val="0"/>
        <w:keepLines w:val="0"/>
        <w:pageBreakBefore w:val="0"/>
        <w:widowControl w:val="0"/>
        <w:suppressLineNumbers w:val="0"/>
        <w:suppressAutoHyphens w:val="0"/>
        <w:spacing w:line="570" w:lineRule="exact"/>
        <w:ind w:left="0" w:firstLine="640" w:firstLineChars="200"/>
        <w:jc w:val="both"/>
        <w:rPr>
          <w:rFonts w:ascii="仿宋_GB2312" w:eastAsia="仿宋_GB2312" w:cs="Times New Roman"/>
          <w:kern w:val="2"/>
          <w:sz w:val="32"/>
          <w:szCs w:val="32"/>
          <w:shd w:val="clear" w:color="auto" w:fill="auto"/>
        </w:rPr>
      </w:pPr>
    </w:p>
    <w:p w14:paraId="2C5BCB03">
      <w:pPr>
        <w:keepNext w:val="0"/>
        <w:keepLines w:val="0"/>
        <w:pageBreakBefore w:val="0"/>
        <w:widowControl w:val="0"/>
        <w:suppressLineNumbers w:val="0"/>
        <w:suppressAutoHyphens w:val="0"/>
        <w:spacing w:line="570" w:lineRule="exact"/>
        <w:ind w:left="0" w:firstLine="640" w:firstLineChars="200"/>
        <w:jc w:val="both"/>
        <w:rPr>
          <w:rFonts w:ascii="仿宋_GB2312" w:eastAsia="仿宋_GB2312" w:cs="Times New Roman"/>
          <w:kern w:val="2"/>
          <w:sz w:val="32"/>
          <w:szCs w:val="32"/>
          <w:shd w:val="clear" w:color="auto" w:fill="auto"/>
        </w:rPr>
      </w:pPr>
    </w:p>
    <w:p w14:paraId="4CC5271F">
      <w:pPr>
        <w:keepNext w:val="0"/>
        <w:keepLines w:val="0"/>
        <w:pageBreakBefore w:val="0"/>
        <w:widowControl w:val="0"/>
        <w:suppressLineNumbers w:val="0"/>
        <w:suppressAutoHyphens w:val="0"/>
        <w:spacing w:line="570" w:lineRule="exact"/>
        <w:ind w:left="0" w:firstLine="640" w:firstLineChars="200"/>
        <w:jc w:val="both"/>
        <w:rPr>
          <w:rFonts w:ascii="仿宋_GB2312" w:eastAsia="仿宋_GB2312" w:cs="Times New Roman"/>
          <w:bCs/>
          <w:color w:val="000000"/>
          <w:kern w:val="2"/>
          <w:sz w:val="32"/>
          <w:szCs w:val="32"/>
          <w:shd w:val="clear" w:color="auto" w:fill="auto"/>
        </w:rPr>
      </w:pPr>
    </w:p>
    <w:p w14:paraId="35897BC6">
      <w:pPr>
        <w:keepNext w:val="0"/>
        <w:keepLines w:val="0"/>
        <w:pageBreakBefore w:val="0"/>
        <w:widowControl w:val="0"/>
        <w:suppressLineNumbers w:val="0"/>
        <w:suppressAutoHyphens w:val="0"/>
        <w:spacing w:line="570" w:lineRule="exact"/>
        <w:ind w:left="0" w:firstLine="640" w:firstLineChars="200"/>
        <w:jc w:val="both"/>
        <w:rPr>
          <w:rFonts w:ascii="仿宋_GB2312" w:eastAsia="仿宋_GB2312" w:cs="Times New Roman"/>
          <w:kern w:val="2"/>
          <w:sz w:val="32"/>
          <w:szCs w:val="32"/>
        </w:rPr>
      </w:pPr>
      <w:r>
        <w:rPr>
          <w:rFonts w:ascii="仿宋_GB2312" w:eastAsia="仿宋_GB2312" w:cs="Times New Roman"/>
          <w:bCs/>
          <w:color w:val="000000"/>
          <w:kern w:val="2"/>
          <w:sz w:val="32"/>
          <w:szCs w:val="32"/>
          <w:shd w:val="clear" w:color="auto" w:fill="auto"/>
        </w:rPr>
        <w:t>（注：数据来源于财决04表，仅罗列本部门涉及的支出。）</w:t>
      </w:r>
      <w:r>
        <w:rPr>
          <w:rFonts w:ascii="仿宋_GB2312" w:eastAsia="仿宋_GB2312" w:cs="Times New Roman"/>
          <w:color w:val="000000"/>
          <w:kern w:val="2"/>
          <w:sz w:val="32"/>
          <w:szCs w:val="32"/>
          <w:shd w:val="clear" w:color="auto" w:fill="auto"/>
        </w:rPr>
        <w:t>（图3：支出决算结构图）（饼状图）</w:t>
      </w:r>
    </w:p>
    <w:p w14:paraId="14989D39">
      <w:pPr>
        <w:pStyle w:val="3"/>
        <w:keepNext/>
        <w:keepLines/>
        <w:pageBreakBefore w:val="0"/>
        <w:widowControl w:val="0"/>
        <w:suppressLineNumbers w:val="0"/>
        <w:suppressAutoHyphens w:val="0"/>
        <w:kinsoku/>
        <w:wordWrap/>
        <w:overflowPunct/>
        <w:topLinePunct w:val="0"/>
        <w:autoSpaceDE/>
        <w:autoSpaceDN/>
        <w:spacing w:line="550" w:lineRule="atLeast"/>
        <w:ind w:firstLine="640" w:firstLineChars="200"/>
        <w:rPr>
          <w:rFonts w:ascii="黑体" w:eastAsia="黑体" w:cs="楷体"/>
          <w:color w:val="000000"/>
          <w:kern w:val="2"/>
          <w:sz w:val="32"/>
          <w:szCs w:val="32"/>
          <w:shd w:val="clear" w:color="auto" w:fill="auto"/>
        </w:rPr>
      </w:pPr>
      <w:bookmarkStart w:id="17" w:name="_Toc19315"/>
      <w:r>
        <w:rPr>
          <w:rFonts w:ascii="黑体" w:eastAsia="黑体" w:cs="楷体"/>
          <w:b w:val="0"/>
          <w:color w:val="000000"/>
          <w:kern w:val="2"/>
          <w:sz w:val="32"/>
          <w:szCs w:val="32"/>
          <w:shd w:val="clear" w:color="auto" w:fill="auto"/>
        </w:rPr>
        <w:t> </w:t>
      </w:r>
      <w:r>
        <w:rPr>
          <w:rFonts w:ascii="黑体" w:eastAsia="黑体" w:cs="楷体"/>
          <w:color w:val="000000"/>
          <w:kern w:val="2"/>
          <w:sz w:val="32"/>
          <w:szCs w:val="32"/>
          <w:shd w:val="clear" w:color="auto" w:fill="auto"/>
        </w:rPr>
        <w:t>四、财政拨款收入支出决算总体情况说明</w:t>
      </w:r>
      <w:bookmarkEnd w:id="17"/>
    </w:p>
    <w:p w14:paraId="01A09BA3">
      <w:pPr>
        <w:keepNext w:val="0"/>
        <w:keepLines w:val="0"/>
        <w:pageBreakBefore w:val="0"/>
        <w:widowControl w:val="0"/>
        <w:suppressLineNumbers w:val="0"/>
        <w:suppressAutoHyphens w:val="0"/>
        <w:spacing w:line="570" w:lineRule="exact"/>
        <w:ind w:left="0" w:firstLine="640" w:firstLineChars="200"/>
        <w:jc w:val="both"/>
        <w:rPr>
          <w:rFonts w:ascii="仿宋_GB2312" w:eastAsia="仿宋_GB2312" w:cs="Times New Roman"/>
          <w:kern w:val="2"/>
          <w:sz w:val="32"/>
          <w:szCs w:val="32"/>
        </w:rPr>
      </w:pPr>
      <w:r>
        <w:rPr>
          <w:rFonts w:ascii="仿宋_GB2312" w:eastAsia="仿宋_GB2312" w:cs="Times New Roman"/>
          <w:kern w:val="2"/>
          <w:sz w:val="32"/>
          <w:szCs w:val="32"/>
          <w:shd w:val="clear" w:color="auto" w:fill="auto"/>
        </w:rPr>
        <w:t>2021年财政拨款收入总计1,111.46万元、支出总计1,111.46万元。与2020年相比，财政拨款收入总计增加146.06万元，</w:t>
      </w:r>
      <w:r>
        <w:rPr>
          <w:rFonts w:ascii="仿宋_GB2312" w:eastAsia="仿宋_GB2312" w:cs="Times New Roman"/>
          <w:kern w:val="2"/>
          <w:sz w:val="32"/>
          <w:szCs w:val="32"/>
        </w:rPr>
        <w:t>增长15.13%。</w:t>
      </w:r>
      <w:r>
        <w:rPr>
          <w:rFonts w:hint="eastAsia" w:ascii="仿宋_GB2312" w:eastAsia="仿宋_GB2312" w:cs="Times New Roman"/>
          <w:kern w:val="2"/>
          <w:sz w:val="32"/>
          <w:szCs w:val="32"/>
        </w:rPr>
        <w:t>主</w:t>
      </w:r>
      <w:r>
        <w:rPr>
          <w:rFonts w:hint="eastAsia" w:ascii="仿宋" w:eastAsia="仿宋" w:cs="Times New Roman"/>
          <w:color w:val="000000"/>
          <w:sz w:val="32"/>
          <w:szCs w:val="32"/>
        </w:rPr>
        <w:t>要变动原因是</w:t>
      </w:r>
      <w:r>
        <w:rPr>
          <w:rFonts w:ascii="仿宋" w:eastAsia="仿宋" w:cs="Times New Roman"/>
          <w:b/>
          <w:bCs/>
          <w:color w:val="000000"/>
          <w:sz w:val="32"/>
          <w:szCs w:val="32"/>
        </w:rPr>
        <w:t>一是</w:t>
      </w:r>
      <w:r>
        <w:rPr>
          <w:rFonts w:hint="eastAsia" w:ascii="仿宋" w:eastAsia="仿宋"/>
          <w:color w:val="000000"/>
          <w:sz w:val="32"/>
          <w:szCs w:val="32"/>
          <w:lang w:val="en-US" w:eastAsia="zh-CN"/>
        </w:rPr>
        <w:t>21年发放的20年目标奖较20年发放19年目标奖高</w:t>
      </w:r>
      <w:r>
        <w:rPr>
          <w:rFonts w:ascii="仿宋" w:eastAsia="仿宋"/>
          <w:color w:val="000000"/>
          <w:sz w:val="32"/>
          <w:szCs w:val="32"/>
          <w:lang w:val="en-US" w:eastAsia="zh-CN"/>
        </w:rPr>
        <w:t>。</w:t>
      </w:r>
      <w:r>
        <w:rPr>
          <w:rFonts w:ascii="仿宋" w:eastAsia="仿宋"/>
          <w:b/>
          <w:bCs/>
          <w:color w:val="000000"/>
          <w:sz w:val="32"/>
          <w:szCs w:val="32"/>
          <w:lang w:val="en-US" w:eastAsia="zh-CN"/>
        </w:rPr>
        <w:t>二是</w:t>
      </w:r>
      <w:r>
        <w:rPr>
          <w:rFonts w:ascii="仿宋" w:eastAsia="仿宋"/>
          <w:color w:val="000000"/>
          <w:sz w:val="32"/>
          <w:szCs w:val="32"/>
          <w:lang w:val="en-US" w:eastAsia="zh-CN"/>
        </w:rPr>
        <w:t>2021年有新增人员。</w:t>
      </w:r>
      <w:r>
        <w:rPr>
          <w:rFonts w:ascii="仿宋_GB2312" w:eastAsia="仿宋_GB2312" w:cs="Times New Roman"/>
          <w:kern w:val="2"/>
          <w:sz w:val="32"/>
          <w:szCs w:val="32"/>
          <w:shd w:val="clear" w:color="auto" w:fill="auto"/>
        </w:rPr>
        <w:t>支出总计增加14.14万元</w:t>
      </w:r>
      <w:r>
        <w:rPr>
          <w:rFonts w:ascii="仿宋_GB2312" w:eastAsia="仿宋_GB2312" w:cs="Times New Roman"/>
          <w:kern w:val="2"/>
          <w:sz w:val="32"/>
          <w:szCs w:val="32"/>
        </w:rPr>
        <w:t>，增长1.29%。主要变动原因是有新增人员。</w:t>
      </w:r>
    </w:p>
    <w:p w14:paraId="68876FE0">
      <w:pPr>
        <w:keepNext w:val="0"/>
        <w:keepLines w:val="0"/>
        <w:pageBreakBefore w:val="0"/>
        <w:widowControl w:val="0"/>
        <w:suppressLineNumbers w:val="0"/>
        <w:suppressAutoHyphens w:val="0"/>
        <w:spacing w:line="570" w:lineRule="exact"/>
        <w:jc w:val="both"/>
        <w:rPr>
          <w:rFonts w:ascii="仿宋_GB2312" w:eastAsia="仿宋_GB2312" w:cs="Times New Roman"/>
          <w:kern w:val="2"/>
          <w:sz w:val="32"/>
          <w:szCs w:val="32"/>
        </w:rPr>
      </w:pPr>
      <w:r>
        <w:rPr>
          <w:rFonts w:ascii="楷体" w:eastAsia="楷体" w:cs="楷体"/>
          <w:b/>
          <w:bCs/>
          <w:kern w:val="2"/>
          <w:sz w:val="32"/>
          <w:szCs w:val="32"/>
        </w:rPr>
        <w:drawing>
          <wp:anchor distT="0" distB="0" distL="84455" distR="84455" simplePos="0" relativeHeight="251659264" behindDoc="0" locked="0" layoutInCell="1" allowOverlap="1">
            <wp:simplePos x="0" y="0"/>
            <wp:positionH relativeFrom="column">
              <wp:posOffset>408940</wp:posOffset>
            </wp:positionH>
            <wp:positionV relativeFrom="paragraph">
              <wp:posOffset>146685</wp:posOffset>
            </wp:positionV>
            <wp:extent cx="4572000" cy="2743200"/>
            <wp:effectExtent l="0" t="0" r="27" b="42"/>
            <wp:wrapSquare wrapText="bothSides"/>
            <wp:docPr id="10" name="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pic:cNvPicPr>
                      <a:picLocks noChangeAspect="1"/>
                    </pic:cNvPicPr>
                  </pic:nvPicPr>
                  <pic:blipFill>
                    <a:blip r:embed="rId11"/>
                    <a:stretch>
                      <a:fillRect/>
                    </a:stretch>
                  </pic:blipFill>
                  <pic:spPr>
                    <a:xfrm>
                      <a:off x="0" y="0"/>
                      <a:ext cx="4571998" cy="2743200"/>
                    </a:xfrm>
                    <a:prstGeom prst="rect">
                      <a:avLst/>
                    </a:prstGeom>
                    <a:noFill/>
                    <a:ln w="9525" cap="flat" cmpd="sng">
                      <a:noFill/>
                      <a:prstDash val="solid"/>
                      <a:miter/>
                    </a:ln>
                  </pic:spPr>
                </pic:pic>
              </a:graphicData>
            </a:graphic>
          </wp:anchor>
        </w:drawing>
      </w:r>
    </w:p>
    <w:p w14:paraId="3A964F91">
      <w:pPr>
        <w:pStyle w:val="13"/>
        <w:shd w:val="clear" w:color="auto" w:fill="FFFFFF"/>
        <w:ind w:left="420"/>
        <w:rPr>
          <w:rFonts w:ascii="仿宋_GB2312" w:eastAsia="仿宋_GB2312" w:cs="Times New Roman"/>
          <w:color w:val="000000"/>
          <w:kern w:val="2"/>
          <w:sz w:val="32"/>
          <w:szCs w:val="32"/>
        </w:rPr>
      </w:pPr>
      <w:r>
        <w:rPr>
          <w:rFonts w:ascii="仿宋_GB2312" w:eastAsia="仿宋_GB2312" w:cs="Times New Roman"/>
          <w:color w:val="000000"/>
          <w:kern w:val="2"/>
          <w:sz w:val="32"/>
          <w:szCs w:val="32"/>
          <w:shd w:val="clear" w:color="auto" w:fill="auto"/>
        </w:rPr>
        <w:t>（图4：财政拨款收、支决算总计变动情况）（柱状图）</w:t>
      </w:r>
    </w:p>
    <w:p w14:paraId="4F6040AD">
      <w:pPr>
        <w:pStyle w:val="3"/>
        <w:keepNext/>
        <w:keepLines/>
        <w:pageBreakBefore w:val="0"/>
        <w:widowControl w:val="0"/>
        <w:suppressLineNumbers w:val="0"/>
        <w:suppressAutoHyphens w:val="0"/>
        <w:kinsoku/>
        <w:wordWrap/>
        <w:overflowPunct/>
        <w:topLinePunct w:val="0"/>
        <w:autoSpaceDE/>
        <w:autoSpaceDN/>
        <w:spacing w:line="550" w:lineRule="atLeast"/>
        <w:ind w:firstLine="643" w:firstLineChars="200"/>
        <w:rPr>
          <w:rFonts w:ascii="黑体" w:eastAsia="黑体" w:cs="楷体"/>
          <w:color w:val="000000"/>
          <w:kern w:val="2"/>
          <w:sz w:val="32"/>
          <w:szCs w:val="32"/>
          <w:shd w:val="clear" w:color="auto" w:fill="auto"/>
        </w:rPr>
      </w:pPr>
      <w:bookmarkStart w:id="18" w:name="_Toc4393"/>
      <w:r>
        <w:rPr>
          <w:rFonts w:ascii="黑体" w:eastAsia="黑体" w:cs="楷体"/>
          <w:color w:val="000000"/>
          <w:kern w:val="2"/>
          <w:sz w:val="32"/>
          <w:szCs w:val="32"/>
          <w:shd w:val="clear" w:color="auto" w:fill="auto"/>
        </w:rPr>
        <w:t>五、一般公共预算财政拨款支出决算情况说明</w:t>
      </w:r>
      <w:bookmarkEnd w:id="18"/>
    </w:p>
    <w:p w14:paraId="1D94819C">
      <w:pPr>
        <w:pStyle w:val="13"/>
        <w:numPr>
          <w:ilvl w:val="0"/>
          <w:numId w:val="1"/>
        </w:numPr>
        <w:shd w:val="clear" w:color="auto" w:fill="FFFFFF"/>
        <w:rPr>
          <w:rFonts w:ascii="仿宋_GB2312" w:eastAsia="仿宋_GB2312"/>
          <w:b/>
          <w:bCs/>
          <w:kern w:val="2"/>
          <w:sz w:val="32"/>
          <w:szCs w:val="20"/>
          <w:shd w:val="clear" w:color="auto" w:fill="auto"/>
        </w:rPr>
      </w:pPr>
      <w:r>
        <w:rPr>
          <w:rFonts w:ascii="仿宋_GB2312" w:eastAsia="仿宋_GB2312"/>
          <w:b/>
          <w:bCs/>
          <w:kern w:val="2"/>
          <w:sz w:val="32"/>
          <w:szCs w:val="20"/>
          <w:shd w:val="clear" w:color="auto" w:fill="auto"/>
        </w:rPr>
        <w:t>一般公共预算财政拨款支出决算总体情况</w:t>
      </w:r>
    </w:p>
    <w:p w14:paraId="7BA504AE">
      <w:pPr>
        <w:keepNext w:val="0"/>
        <w:keepLines w:val="0"/>
        <w:pageBreakBefore w:val="0"/>
        <w:widowControl w:val="0"/>
        <w:suppressLineNumbers w:val="0"/>
        <w:suppressAutoHyphens w:val="0"/>
        <w:spacing w:line="570" w:lineRule="exact"/>
        <w:ind w:left="0" w:firstLine="640" w:firstLineChars="200"/>
        <w:jc w:val="both"/>
        <w:rPr>
          <w:rFonts w:ascii="仿宋_GB2312" w:eastAsia="仿宋_GB2312" w:cs="Times New Roman"/>
          <w:kern w:val="2"/>
          <w:sz w:val="32"/>
          <w:szCs w:val="32"/>
        </w:rPr>
      </w:pPr>
      <w:r>
        <w:rPr>
          <w:rFonts w:ascii="仿宋_GB2312" w:eastAsia="仿宋_GB2312" w:cs="Times New Roman"/>
          <w:kern w:val="2"/>
          <w:sz w:val="32"/>
          <w:szCs w:val="32"/>
        </w:rPr>
        <w:t>2021年一般公共预算财政拨款支出1,111.46万元，占本年支出合计的100.00%。与2020年相比，一般公共预算财政拨款支出增加14.17万元，增长1.29%。主要变动原因是有新增人员。</w:t>
      </w:r>
    </w:p>
    <w:p w14:paraId="0A5DBA96">
      <w:pPr>
        <w:keepNext w:val="0"/>
        <w:keepLines w:val="0"/>
        <w:pageBreakBefore w:val="0"/>
        <w:widowControl w:val="0"/>
        <w:suppressLineNumbers w:val="0"/>
        <w:suppressAutoHyphens w:val="0"/>
        <w:spacing w:line="570" w:lineRule="exact"/>
        <w:ind w:left="0" w:firstLine="640" w:firstLineChars="200"/>
        <w:jc w:val="both"/>
        <w:rPr>
          <w:rFonts w:ascii="仿宋_GB2312" w:eastAsia="仿宋_GB2312" w:cs="Times New Roman"/>
          <w:kern w:val="2"/>
          <w:sz w:val="32"/>
          <w:szCs w:val="32"/>
        </w:rPr>
      </w:pPr>
      <w:r>
        <w:rPr>
          <w:rFonts w:ascii="仿宋_GB2312" w:eastAsia="仿宋_GB2312" w:cs="Times New Roman"/>
          <w:color w:val="FF0000"/>
          <w:kern w:val="2"/>
          <w:sz w:val="32"/>
          <w:szCs w:val="32"/>
          <w:shd w:val="clear" w:color="auto" w:fill="auto"/>
        </w:rPr>
        <w:drawing>
          <wp:anchor distT="0" distB="0" distL="84455" distR="84455" simplePos="0" relativeHeight="251659264" behindDoc="0" locked="0" layoutInCell="1" allowOverlap="1">
            <wp:simplePos x="0" y="0"/>
            <wp:positionH relativeFrom="column">
              <wp:posOffset>510540</wp:posOffset>
            </wp:positionH>
            <wp:positionV relativeFrom="paragraph">
              <wp:posOffset>221615</wp:posOffset>
            </wp:positionV>
            <wp:extent cx="4572000" cy="2743200"/>
            <wp:effectExtent l="0" t="0" r="25" b="42"/>
            <wp:wrapSquare wrapText="bothSides"/>
            <wp:docPr id="13" name="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pic:cNvPicPr>
                      <a:picLocks noChangeAspect="1"/>
                    </pic:cNvPicPr>
                  </pic:nvPicPr>
                  <pic:blipFill>
                    <a:blip r:embed="rId12"/>
                    <a:stretch>
                      <a:fillRect/>
                    </a:stretch>
                  </pic:blipFill>
                  <pic:spPr>
                    <a:xfrm>
                      <a:off x="0" y="0"/>
                      <a:ext cx="4572000" cy="2743200"/>
                    </a:xfrm>
                    <a:prstGeom prst="rect">
                      <a:avLst/>
                    </a:prstGeom>
                    <a:noFill/>
                    <a:ln w="9525" cap="flat" cmpd="sng">
                      <a:noFill/>
                      <a:prstDash val="solid"/>
                      <a:miter/>
                    </a:ln>
                  </pic:spPr>
                </pic:pic>
              </a:graphicData>
            </a:graphic>
          </wp:anchor>
        </w:drawing>
      </w:r>
    </w:p>
    <w:p w14:paraId="5334A85B">
      <w:pPr>
        <w:keepNext w:val="0"/>
        <w:keepLines w:val="0"/>
        <w:pageBreakBefore w:val="0"/>
        <w:widowControl w:val="0"/>
        <w:suppressLineNumbers w:val="0"/>
        <w:suppressAutoHyphens w:val="0"/>
        <w:spacing w:line="570" w:lineRule="exact"/>
        <w:ind w:left="0" w:firstLine="640" w:firstLineChars="200"/>
        <w:jc w:val="both"/>
        <w:rPr>
          <w:rFonts w:ascii="仿宋_GB2312" w:eastAsia="仿宋_GB2312" w:cs="Times New Roman"/>
          <w:kern w:val="2"/>
          <w:sz w:val="32"/>
          <w:szCs w:val="32"/>
        </w:rPr>
      </w:pPr>
    </w:p>
    <w:p w14:paraId="612A948C">
      <w:pPr>
        <w:keepNext w:val="0"/>
        <w:keepLines w:val="0"/>
        <w:pageBreakBefore w:val="0"/>
        <w:widowControl w:val="0"/>
        <w:suppressLineNumbers w:val="0"/>
        <w:suppressAutoHyphens w:val="0"/>
        <w:spacing w:line="570" w:lineRule="exact"/>
        <w:jc w:val="both"/>
        <w:rPr>
          <w:rFonts w:ascii="仿宋_GB2312" w:eastAsia="仿宋_GB2312" w:cs="Times New Roman"/>
          <w:kern w:val="2"/>
          <w:sz w:val="32"/>
          <w:szCs w:val="32"/>
        </w:rPr>
      </w:pPr>
    </w:p>
    <w:p w14:paraId="15CE839A">
      <w:pPr>
        <w:keepNext w:val="0"/>
        <w:keepLines w:val="0"/>
        <w:pageBreakBefore w:val="0"/>
        <w:widowControl w:val="0"/>
        <w:suppressLineNumbers w:val="0"/>
        <w:suppressAutoHyphens w:val="0"/>
        <w:spacing w:line="570" w:lineRule="exact"/>
        <w:ind w:left="0" w:firstLine="640" w:firstLineChars="200"/>
        <w:jc w:val="both"/>
        <w:rPr>
          <w:rFonts w:ascii="仿宋_GB2312" w:eastAsia="仿宋_GB2312" w:cs="Times New Roman"/>
          <w:bCs/>
          <w:kern w:val="2"/>
          <w:sz w:val="32"/>
          <w:szCs w:val="32"/>
        </w:rPr>
      </w:pPr>
    </w:p>
    <w:p w14:paraId="604C0A2F">
      <w:pPr>
        <w:keepNext w:val="0"/>
        <w:keepLines w:val="0"/>
        <w:pageBreakBefore w:val="0"/>
        <w:widowControl w:val="0"/>
        <w:suppressLineNumbers w:val="0"/>
        <w:suppressAutoHyphens w:val="0"/>
        <w:spacing w:line="570" w:lineRule="exact"/>
        <w:ind w:left="0" w:firstLine="640" w:firstLineChars="200"/>
        <w:jc w:val="both"/>
        <w:rPr>
          <w:rFonts w:ascii="仿宋_GB2312" w:eastAsia="仿宋_GB2312" w:cs="Times New Roman"/>
          <w:bCs/>
          <w:kern w:val="2"/>
          <w:sz w:val="32"/>
          <w:szCs w:val="32"/>
        </w:rPr>
      </w:pPr>
    </w:p>
    <w:p w14:paraId="0303E9DD">
      <w:pPr>
        <w:keepNext w:val="0"/>
        <w:keepLines w:val="0"/>
        <w:pageBreakBefore w:val="0"/>
        <w:widowControl w:val="0"/>
        <w:suppressLineNumbers w:val="0"/>
        <w:suppressAutoHyphens w:val="0"/>
        <w:spacing w:line="570" w:lineRule="exact"/>
        <w:ind w:left="0" w:firstLine="640" w:firstLineChars="200"/>
        <w:jc w:val="both"/>
        <w:rPr>
          <w:rFonts w:ascii="仿宋_GB2312" w:eastAsia="仿宋_GB2312" w:cs="Times New Roman"/>
          <w:bCs/>
          <w:kern w:val="2"/>
          <w:sz w:val="32"/>
          <w:szCs w:val="32"/>
        </w:rPr>
      </w:pPr>
    </w:p>
    <w:p w14:paraId="2EB7153A">
      <w:pPr>
        <w:keepNext w:val="0"/>
        <w:keepLines w:val="0"/>
        <w:pageBreakBefore w:val="0"/>
        <w:widowControl w:val="0"/>
        <w:suppressLineNumbers w:val="0"/>
        <w:suppressAutoHyphens w:val="0"/>
        <w:spacing w:line="570" w:lineRule="exact"/>
        <w:ind w:left="0" w:firstLine="640" w:firstLineChars="200"/>
        <w:jc w:val="both"/>
        <w:rPr>
          <w:rFonts w:ascii="仿宋_GB2312" w:eastAsia="仿宋_GB2312" w:cs="Times New Roman"/>
          <w:bCs/>
          <w:kern w:val="2"/>
          <w:sz w:val="32"/>
          <w:szCs w:val="32"/>
        </w:rPr>
      </w:pPr>
    </w:p>
    <w:p w14:paraId="7F5541AF">
      <w:pPr>
        <w:keepNext w:val="0"/>
        <w:keepLines w:val="0"/>
        <w:pageBreakBefore w:val="0"/>
        <w:widowControl w:val="0"/>
        <w:suppressLineNumbers w:val="0"/>
        <w:suppressAutoHyphens w:val="0"/>
        <w:spacing w:line="570" w:lineRule="exact"/>
        <w:ind w:left="0" w:firstLine="640" w:firstLineChars="200"/>
        <w:jc w:val="both"/>
        <w:rPr>
          <w:rFonts w:ascii="仿宋_GB2312" w:eastAsia="仿宋_GB2312" w:cs="Times New Roman"/>
          <w:bCs/>
          <w:kern w:val="2"/>
          <w:sz w:val="32"/>
          <w:szCs w:val="32"/>
        </w:rPr>
      </w:pPr>
    </w:p>
    <w:p w14:paraId="55465DC7">
      <w:pPr>
        <w:pStyle w:val="13"/>
        <w:shd w:val="clear" w:color="auto" w:fill="FFFFFF"/>
        <w:ind w:left="420" w:firstLine="160" w:firstLineChars="50"/>
        <w:rPr>
          <w:rFonts w:ascii="仿宋_GB2312" w:eastAsia="仿宋_GB2312" w:cs="Times New Roman"/>
          <w:color w:val="000000"/>
          <w:kern w:val="2"/>
          <w:sz w:val="32"/>
          <w:szCs w:val="32"/>
          <w:shd w:val="clear" w:color="auto" w:fill="auto"/>
        </w:rPr>
      </w:pPr>
      <w:r>
        <w:rPr>
          <w:rFonts w:ascii="仿宋_GB2312" w:eastAsia="仿宋_GB2312" w:cs="Times New Roman"/>
          <w:color w:val="000000"/>
          <w:kern w:val="2"/>
          <w:sz w:val="32"/>
          <w:szCs w:val="32"/>
          <w:shd w:val="clear" w:color="auto" w:fill="auto"/>
        </w:rPr>
        <w:t>（图5：一般公共预算财政拨款支出决算变动情况）（柱状图）</w:t>
      </w:r>
    </w:p>
    <w:p w14:paraId="0B4436C9">
      <w:pPr>
        <w:pStyle w:val="13"/>
        <w:shd w:val="clear" w:color="auto" w:fill="FFFFFF"/>
        <w:ind w:left="420" w:firstLine="160" w:firstLineChars="50"/>
        <w:rPr>
          <w:rFonts w:ascii="仿宋_GB2312" w:eastAsia="仿宋_GB2312" w:cs="Times New Roman"/>
          <w:b/>
          <w:bCs/>
          <w:kern w:val="2"/>
          <w:sz w:val="32"/>
          <w:szCs w:val="20"/>
          <w:shd w:val="clear" w:color="auto" w:fill="auto"/>
        </w:rPr>
      </w:pPr>
      <w:r>
        <w:rPr>
          <w:rFonts w:ascii="仿宋_GB2312" w:eastAsia="仿宋_GB2312" w:cs="Times New Roman"/>
          <w:kern w:val="2"/>
          <w:sz w:val="32"/>
          <w:szCs w:val="32"/>
          <w:shd w:val="clear" w:color="auto" w:fill="auto"/>
        </w:rPr>
        <w:t> </w:t>
      </w:r>
      <w:r>
        <w:rPr>
          <w:rFonts w:hint="eastAsia" w:ascii="仿宋_GB2312" w:eastAsia="仿宋_GB2312" w:cs="Times New Roman"/>
          <w:b/>
          <w:bCs/>
          <w:kern w:val="2"/>
          <w:sz w:val="32"/>
          <w:szCs w:val="20"/>
          <w:shd w:val="clear" w:color="auto" w:fill="auto"/>
        </w:rPr>
        <w:t>（二）一般公共预算财政拨款支出决算结构情况</w:t>
      </w:r>
    </w:p>
    <w:p w14:paraId="79EFB3D0">
      <w:pPr>
        <w:keepNext w:val="0"/>
        <w:keepLines w:val="0"/>
        <w:pageBreakBefore w:val="0"/>
        <w:widowControl w:val="0"/>
        <w:suppressLineNumbers w:val="0"/>
        <w:suppressAutoHyphens w:val="0"/>
        <w:spacing w:line="570" w:lineRule="exact"/>
        <w:ind w:left="0" w:firstLine="640" w:firstLineChars="200"/>
        <w:jc w:val="both"/>
        <w:rPr>
          <w:rFonts w:ascii="仿宋_GB2312" w:eastAsia="仿宋_GB2312" w:cs="Times New Roman"/>
          <w:bCs/>
          <w:kern w:val="2"/>
          <w:sz w:val="32"/>
          <w:szCs w:val="32"/>
        </w:rPr>
      </w:pPr>
      <w:r>
        <w:rPr>
          <w:rFonts w:ascii="仿宋_GB2312" w:eastAsia="仿宋_GB2312" w:cs="Times New Roman"/>
          <w:kern w:val="2"/>
          <w:sz w:val="32"/>
          <w:szCs w:val="32"/>
        </w:rPr>
        <w:t>2021年一般公共预算财政拨款支出1,111.46万元，主要用于以下方面:</w:t>
      </w:r>
      <w:r>
        <w:rPr>
          <w:rFonts w:hint="eastAsia" w:ascii="仿宋_GB2312" w:eastAsia="仿宋_GB2312" w:cs="Times New Roman"/>
          <w:kern w:val="2"/>
          <w:sz w:val="32"/>
          <w:szCs w:val="32"/>
        </w:rPr>
        <w:t>一般公共服务（类）</w:t>
      </w:r>
      <w:r>
        <w:rPr>
          <w:rFonts w:ascii="仿宋_GB2312" w:eastAsia="仿宋_GB2312" w:cs="Times New Roman"/>
          <w:kern w:val="2"/>
          <w:sz w:val="32"/>
          <w:szCs w:val="32"/>
        </w:rPr>
        <w:t>支出942.08万元，占84.76%；</w:t>
      </w:r>
      <w:r>
        <w:rPr>
          <w:rFonts w:hint="eastAsia" w:ascii="仿宋_GB2312" w:eastAsia="仿宋_GB2312" w:cs="Times New Roman"/>
          <w:kern w:val="2"/>
          <w:sz w:val="32"/>
          <w:szCs w:val="32"/>
        </w:rPr>
        <w:t>教育支出（类）</w:t>
      </w:r>
      <w:r>
        <w:rPr>
          <w:rFonts w:ascii="仿宋_GB2312" w:eastAsia="仿宋_GB2312" w:cs="Times New Roman"/>
          <w:kern w:val="2"/>
          <w:sz w:val="32"/>
          <w:szCs w:val="32"/>
        </w:rPr>
        <w:t>0.00万元，占0.00%；</w:t>
      </w:r>
      <w:r>
        <w:rPr>
          <w:rFonts w:hint="eastAsia" w:ascii="仿宋_GB2312" w:eastAsia="仿宋_GB2312" w:cs="Times New Roman"/>
          <w:kern w:val="2"/>
          <w:sz w:val="32"/>
          <w:szCs w:val="32"/>
        </w:rPr>
        <w:t>科学技术（类）</w:t>
      </w:r>
      <w:r>
        <w:rPr>
          <w:rFonts w:ascii="仿宋_GB2312" w:eastAsia="仿宋_GB2312" w:cs="Times New Roman"/>
          <w:kern w:val="2"/>
          <w:sz w:val="32"/>
          <w:szCs w:val="32"/>
        </w:rPr>
        <w:t>支出0.00万元，占0.00%；</w:t>
      </w:r>
      <w:r>
        <w:rPr>
          <w:rFonts w:hint="eastAsia" w:ascii="仿宋_GB2312" w:eastAsia="仿宋_GB2312" w:cs="Times New Roman"/>
          <w:kern w:val="2"/>
          <w:sz w:val="32"/>
          <w:szCs w:val="32"/>
        </w:rPr>
        <w:t>文化旅游体育与传媒（类）支出0.00万元，占0.00%；社会保障和就业（类）</w:t>
      </w:r>
      <w:r>
        <w:rPr>
          <w:rFonts w:ascii="仿宋_GB2312" w:eastAsia="仿宋_GB2312" w:cs="Times New Roman"/>
          <w:kern w:val="2"/>
          <w:sz w:val="32"/>
          <w:szCs w:val="32"/>
        </w:rPr>
        <w:t>支出81.76万元，占7.35%；</w:t>
      </w:r>
      <w:r>
        <w:rPr>
          <w:rFonts w:hint="eastAsia" w:ascii="仿宋_GB2312" w:eastAsia="仿宋_GB2312" w:cs="Times New Roman"/>
          <w:kern w:val="2"/>
          <w:sz w:val="32"/>
          <w:szCs w:val="32"/>
        </w:rPr>
        <w:t>卫生健康支出</w:t>
      </w:r>
      <w:r>
        <w:rPr>
          <w:rFonts w:ascii="仿宋_GB2312" w:eastAsia="仿宋_GB2312" w:cs="Times New Roman"/>
          <w:kern w:val="2"/>
          <w:sz w:val="32"/>
          <w:szCs w:val="32"/>
        </w:rPr>
        <w:t>34.74万元，占3.13%；住房保障支出52.88万元，占4.76%。</w:t>
      </w:r>
    </w:p>
    <w:p w14:paraId="23597092">
      <w:pPr>
        <w:pStyle w:val="13"/>
        <w:shd w:val="clear" w:color="auto" w:fill="FFFFFF"/>
        <w:ind w:left="420" w:firstLine="160" w:firstLineChars="50"/>
        <w:rPr>
          <w:rFonts w:ascii="仿宋_GB2312" w:eastAsia="仿宋_GB2312" w:cs="Times New Roman"/>
          <w:kern w:val="2"/>
          <w:sz w:val="32"/>
          <w:szCs w:val="32"/>
          <w:shd w:val="clear" w:color="auto" w:fill="auto"/>
        </w:rPr>
      </w:pPr>
      <w:r>
        <w:rPr>
          <w:rFonts w:ascii="仿宋_GB2312" w:eastAsia="仿宋_GB2312" w:cs="Times New Roman"/>
          <w:kern w:val="2"/>
          <w:sz w:val="32"/>
          <w:szCs w:val="32"/>
          <w:shd w:val="clear" w:color="auto" w:fill="auto"/>
        </w:rPr>
        <w:drawing>
          <wp:inline distT="0" distB="0" distL="84455" distR="84455">
            <wp:extent cx="4971415" cy="2982595"/>
            <wp:effectExtent l="0" t="0" r="12" b="18"/>
            <wp:docPr id="16" name="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pic:cNvPicPr>
                      <a:picLocks noChangeAspect="1"/>
                    </pic:cNvPicPr>
                  </pic:nvPicPr>
                  <pic:blipFill>
                    <a:blip r:embed="rId13"/>
                    <a:stretch>
                      <a:fillRect/>
                    </a:stretch>
                  </pic:blipFill>
                  <pic:spPr>
                    <a:xfrm>
                      <a:off x="0" y="0"/>
                      <a:ext cx="4971415" cy="2982595"/>
                    </a:xfrm>
                    <a:prstGeom prst="rect">
                      <a:avLst/>
                    </a:prstGeom>
                    <a:noFill/>
                    <a:ln w="9525" cap="flat" cmpd="sng">
                      <a:noFill/>
                      <a:prstDash val="solid"/>
                      <a:miter/>
                    </a:ln>
                  </pic:spPr>
                </pic:pic>
              </a:graphicData>
            </a:graphic>
          </wp:inline>
        </w:drawing>
      </w:r>
    </w:p>
    <w:p w14:paraId="33754DBE">
      <w:pPr>
        <w:pStyle w:val="13"/>
        <w:shd w:val="clear" w:color="auto" w:fill="FFFFFF"/>
        <w:ind w:left="420" w:firstLine="160" w:firstLineChars="50"/>
        <w:rPr>
          <w:rFonts w:ascii="仿宋_GB2312" w:eastAsia="仿宋_GB2312" w:cs="Times New Roman"/>
          <w:color w:val="000000"/>
          <w:kern w:val="2"/>
          <w:sz w:val="32"/>
          <w:szCs w:val="32"/>
          <w:shd w:val="clear" w:color="auto" w:fill="auto"/>
        </w:rPr>
      </w:pPr>
      <w:r>
        <w:rPr>
          <w:rFonts w:ascii="仿宋_GB2312" w:eastAsia="仿宋_GB2312" w:cs="Times New Roman"/>
          <w:kern w:val="2"/>
          <w:sz w:val="32"/>
          <w:szCs w:val="32"/>
          <w:shd w:val="clear" w:color="auto" w:fill="auto"/>
        </w:rPr>
        <w:t> </w:t>
      </w:r>
      <w:r>
        <w:rPr>
          <w:rFonts w:ascii="仿宋_GB2312" w:eastAsia="仿宋_GB2312" w:cs="Times New Roman"/>
          <w:color w:val="000000"/>
          <w:kern w:val="2"/>
          <w:sz w:val="32"/>
          <w:szCs w:val="32"/>
          <w:shd w:val="clear" w:color="auto" w:fill="auto"/>
        </w:rPr>
        <w:t>（图6：一般公共预算财政拨款支出决算结构）（饼状图）</w:t>
      </w:r>
    </w:p>
    <w:p w14:paraId="5C286027">
      <w:pPr>
        <w:pStyle w:val="13"/>
        <w:shd w:val="clear" w:color="auto" w:fill="FFFFFF"/>
        <w:ind w:left="420" w:firstLine="160" w:firstLineChars="50"/>
        <w:rPr>
          <w:rFonts w:ascii="仿宋_GB2312" w:eastAsia="仿宋_GB2312" w:cs="Times New Roman"/>
          <w:b/>
          <w:bCs/>
          <w:kern w:val="2"/>
          <w:sz w:val="32"/>
          <w:szCs w:val="20"/>
          <w:shd w:val="clear" w:color="auto" w:fill="auto"/>
        </w:rPr>
      </w:pPr>
      <w:r>
        <w:rPr>
          <w:rFonts w:ascii="仿宋_GB2312" w:eastAsia="仿宋_GB2312" w:cs="Times New Roman"/>
          <w:kern w:val="2"/>
          <w:sz w:val="32"/>
          <w:szCs w:val="32"/>
          <w:shd w:val="clear" w:color="auto" w:fill="auto"/>
        </w:rPr>
        <w:t> </w:t>
      </w:r>
      <w:r>
        <w:rPr>
          <w:rFonts w:ascii="仿宋_GB2312" w:eastAsia="仿宋_GB2312" w:cs="Times New Roman"/>
          <w:b/>
          <w:bCs/>
          <w:kern w:val="2"/>
          <w:sz w:val="32"/>
          <w:szCs w:val="20"/>
          <w:shd w:val="clear" w:color="auto" w:fill="auto"/>
        </w:rPr>
        <w:t>（三）一般公共预算财政拨款支出决算具体情况</w:t>
      </w:r>
    </w:p>
    <w:p w14:paraId="0528F334">
      <w:pPr>
        <w:keepNext w:val="0"/>
        <w:keepLines w:val="0"/>
        <w:pageBreakBefore w:val="0"/>
        <w:widowControl w:val="0"/>
        <w:suppressLineNumbers w:val="0"/>
        <w:suppressAutoHyphens w:val="0"/>
        <w:spacing w:line="570" w:lineRule="exact"/>
        <w:ind w:left="0" w:firstLine="640" w:firstLineChars="200"/>
        <w:jc w:val="both"/>
        <w:rPr>
          <w:rFonts w:ascii="仿宋_GB2312" w:eastAsia="仿宋_GB2312" w:cs="Times New Roman"/>
          <w:kern w:val="2"/>
          <w:sz w:val="32"/>
          <w:szCs w:val="32"/>
        </w:rPr>
      </w:pPr>
      <w:r>
        <w:rPr>
          <w:rFonts w:hint="eastAsia" w:ascii="仿宋_GB2312" w:eastAsia="仿宋_GB2312" w:cs="Times New Roman"/>
          <w:kern w:val="2"/>
          <w:sz w:val="32"/>
          <w:szCs w:val="32"/>
        </w:rPr>
        <w:t>2021年一般公共预算支出决算数为1,111.46</w:t>
      </w:r>
      <w:r>
        <w:rPr>
          <w:rFonts w:ascii="仿宋_GB2312" w:eastAsia="仿宋_GB2312" w:cs="Times New Roman"/>
          <w:kern w:val="2"/>
          <w:sz w:val="32"/>
          <w:szCs w:val="32"/>
        </w:rPr>
        <w:t>，</w:t>
      </w:r>
      <w:r>
        <w:rPr>
          <w:rFonts w:hint="eastAsia" w:ascii="仿宋_GB2312" w:eastAsia="仿宋_GB2312" w:cs="Times New Roman"/>
          <w:kern w:val="2"/>
          <w:sz w:val="32"/>
          <w:szCs w:val="32"/>
        </w:rPr>
        <w:t>完成预算100.00%。其中：</w:t>
      </w:r>
    </w:p>
    <w:p w14:paraId="6D96535A">
      <w:pPr>
        <w:keepNext w:val="0"/>
        <w:keepLines w:val="0"/>
        <w:pageBreakBefore w:val="0"/>
        <w:widowControl w:val="0"/>
        <w:suppressLineNumbers w:val="0"/>
        <w:suppressAutoHyphens w:val="0"/>
        <w:kinsoku/>
        <w:wordWrap/>
        <w:overflowPunct/>
        <w:topLinePunct w:val="0"/>
        <w:autoSpaceDE/>
        <w:autoSpaceDN/>
        <w:bidi w:val="0"/>
        <w:spacing w:line="550" w:lineRule="atLeast"/>
        <w:ind w:left="0" w:firstLine="643" w:firstLineChars="200"/>
        <w:textAlignment w:val="auto"/>
        <w:rPr>
          <w:rFonts w:hint="eastAsia" w:ascii="仿宋_GB2312" w:eastAsia="仿宋_GB2312" w:cs="仿宋_GB2312"/>
          <w:b/>
          <w:color w:val="000000"/>
          <w:sz w:val="32"/>
          <w:szCs w:val="32"/>
        </w:rPr>
      </w:pPr>
      <w:r>
        <w:rPr>
          <w:rStyle w:val="16"/>
          <w:rFonts w:hint="eastAsia" w:ascii="仿宋_GB2312" w:eastAsia="仿宋_GB2312" w:cs="仿宋_GB2312"/>
          <w:b/>
          <w:bCs/>
          <w:color w:val="000000"/>
          <w:sz w:val="32"/>
          <w:szCs w:val="32"/>
          <w:lang w:val="en-US" w:eastAsia="zh-CN"/>
        </w:rPr>
        <w:t>1.</w:t>
      </w:r>
      <w:r>
        <w:rPr>
          <w:rStyle w:val="16"/>
          <w:rFonts w:hint="eastAsia" w:ascii="仿宋_GB2312" w:eastAsia="仿宋_GB2312" w:cs="仿宋_GB2312"/>
          <w:b/>
          <w:bCs/>
          <w:color w:val="000000"/>
          <w:sz w:val="32"/>
          <w:szCs w:val="32"/>
        </w:rPr>
        <w:t>一般公共服务20106财政事务:</w:t>
      </w:r>
      <w:r>
        <w:rPr>
          <w:rStyle w:val="16"/>
          <w:rFonts w:hint="eastAsia" w:ascii="仿宋_GB2312" w:eastAsia="仿宋_GB2312" w:cs="仿宋_GB2312"/>
          <w:b w:val="0"/>
          <w:bCs/>
          <w:color w:val="000000"/>
          <w:sz w:val="32"/>
          <w:szCs w:val="32"/>
        </w:rPr>
        <w:t>支出决算为</w:t>
      </w:r>
      <w:r>
        <w:rPr>
          <w:rStyle w:val="16"/>
          <w:rFonts w:ascii="仿宋_GB2312" w:eastAsia="仿宋_GB2312" w:cs="仿宋_GB2312"/>
          <w:b w:val="0"/>
          <w:bCs/>
          <w:color w:val="000000"/>
          <w:sz w:val="32"/>
          <w:szCs w:val="32"/>
        </w:rPr>
        <w:t>942.08</w:t>
      </w:r>
      <w:r>
        <w:rPr>
          <w:rStyle w:val="16"/>
          <w:rFonts w:hint="eastAsia" w:ascii="仿宋_GB2312" w:eastAsia="仿宋_GB2312" w:cs="仿宋_GB2312"/>
          <w:b w:val="0"/>
          <w:bCs/>
          <w:color w:val="000000"/>
          <w:sz w:val="32"/>
          <w:szCs w:val="32"/>
        </w:rPr>
        <w:t>万元，完成预算100%。其中：2010601行政运行支出</w:t>
      </w:r>
      <w:r>
        <w:rPr>
          <w:rStyle w:val="16"/>
          <w:rFonts w:ascii="仿宋_GB2312" w:eastAsia="仿宋_GB2312" w:cs="仿宋_GB2312"/>
          <w:b w:val="0"/>
          <w:bCs/>
          <w:color w:val="000000"/>
          <w:sz w:val="32"/>
          <w:szCs w:val="32"/>
        </w:rPr>
        <w:t>466.09</w:t>
      </w:r>
      <w:r>
        <w:rPr>
          <w:rStyle w:val="16"/>
          <w:rFonts w:hint="eastAsia" w:ascii="仿宋_GB2312" w:eastAsia="仿宋_GB2312" w:cs="仿宋_GB2312"/>
          <w:b w:val="0"/>
          <w:bCs/>
          <w:color w:val="000000"/>
          <w:sz w:val="32"/>
          <w:szCs w:val="32"/>
        </w:rPr>
        <w:t>万元，完成预算100%。</w:t>
      </w:r>
      <w:r>
        <w:rPr>
          <w:rStyle w:val="16"/>
          <w:rFonts w:ascii="仿宋_GB2312" w:eastAsia="仿宋_GB2312" w:cs="仿宋_GB2312"/>
          <w:b w:val="0"/>
          <w:bCs/>
          <w:color w:val="000000"/>
          <w:sz w:val="32"/>
          <w:szCs w:val="32"/>
        </w:rPr>
        <w:t>2010602一般行政管理</w:t>
      </w:r>
      <w:r>
        <w:rPr>
          <w:rStyle w:val="16"/>
          <w:rFonts w:hint="eastAsia" w:ascii="仿宋_GB2312" w:eastAsia="仿宋_GB2312" w:cs="仿宋_GB2312"/>
          <w:b w:val="0"/>
          <w:bCs/>
          <w:color w:val="000000"/>
          <w:sz w:val="32"/>
          <w:szCs w:val="32"/>
          <w:lang w:eastAsia="zh-CN"/>
        </w:rPr>
        <w:t>事务</w:t>
      </w:r>
      <w:bookmarkStart w:id="63" w:name="_GoBack"/>
      <w:bookmarkEnd w:id="63"/>
      <w:r>
        <w:rPr>
          <w:rStyle w:val="16"/>
          <w:rFonts w:ascii="仿宋_GB2312" w:eastAsia="仿宋_GB2312" w:cs="仿宋_GB2312"/>
          <w:b w:val="0"/>
          <w:bCs/>
          <w:color w:val="000000"/>
          <w:sz w:val="32"/>
          <w:szCs w:val="32"/>
        </w:rPr>
        <w:t>1.64万元。</w:t>
      </w:r>
      <w:r>
        <w:rPr>
          <w:rStyle w:val="16"/>
          <w:rFonts w:hint="eastAsia" w:ascii="仿宋_GB2312" w:eastAsia="仿宋_GB2312" w:cs="仿宋_GB2312"/>
          <w:b w:val="0"/>
          <w:bCs/>
          <w:color w:val="000000"/>
          <w:sz w:val="32"/>
          <w:szCs w:val="32"/>
        </w:rPr>
        <w:t>2010604预算改革业务</w:t>
      </w:r>
      <w:r>
        <w:rPr>
          <w:rStyle w:val="16"/>
          <w:rFonts w:ascii="仿宋_GB2312" w:eastAsia="仿宋_GB2312" w:cs="仿宋_GB2312"/>
          <w:b w:val="0"/>
          <w:bCs/>
          <w:color w:val="000000"/>
          <w:sz w:val="32"/>
          <w:szCs w:val="32"/>
        </w:rPr>
        <w:t>26.5</w:t>
      </w:r>
      <w:r>
        <w:rPr>
          <w:rStyle w:val="16"/>
          <w:rFonts w:hint="eastAsia" w:ascii="仿宋_GB2312" w:eastAsia="仿宋_GB2312" w:cs="仿宋_GB2312"/>
          <w:b w:val="0"/>
          <w:bCs/>
          <w:color w:val="000000"/>
          <w:sz w:val="32"/>
          <w:szCs w:val="32"/>
        </w:rPr>
        <w:t>万元，完成预算100%。201060</w:t>
      </w:r>
      <w:r>
        <w:rPr>
          <w:rStyle w:val="16"/>
          <w:rFonts w:ascii="仿宋_GB2312" w:eastAsia="仿宋_GB2312" w:cs="仿宋_GB2312"/>
          <w:b w:val="0"/>
          <w:bCs/>
          <w:color w:val="000000"/>
          <w:sz w:val="32"/>
          <w:szCs w:val="32"/>
        </w:rPr>
        <w:t>7信息化建设45.8</w:t>
      </w:r>
      <w:r>
        <w:rPr>
          <w:rStyle w:val="16"/>
          <w:rFonts w:hint="eastAsia" w:ascii="仿宋_GB2312" w:eastAsia="仿宋_GB2312" w:cs="仿宋_GB2312"/>
          <w:b w:val="0"/>
          <w:bCs/>
          <w:color w:val="000000"/>
          <w:sz w:val="32"/>
          <w:szCs w:val="32"/>
        </w:rPr>
        <w:t>万元，完成预算100%。2010608财政委托业务支出</w:t>
      </w:r>
      <w:r>
        <w:rPr>
          <w:rStyle w:val="16"/>
          <w:rFonts w:ascii="仿宋_GB2312" w:eastAsia="仿宋_GB2312" w:cs="仿宋_GB2312"/>
          <w:b w:val="0"/>
          <w:bCs/>
          <w:color w:val="000000"/>
          <w:sz w:val="32"/>
          <w:szCs w:val="32"/>
        </w:rPr>
        <w:t>220.12</w:t>
      </w:r>
      <w:r>
        <w:rPr>
          <w:rStyle w:val="16"/>
          <w:rFonts w:hint="eastAsia" w:ascii="仿宋_GB2312" w:eastAsia="仿宋_GB2312" w:cs="仿宋_GB2312"/>
          <w:b w:val="0"/>
          <w:bCs/>
          <w:color w:val="000000"/>
          <w:sz w:val="32"/>
          <w:szCs w:val="32"/>
        </w:rPr>
        <w:t>万元，完成预算100%。2010650事业运行</w:t>
      </w:r>
      <w:r>
        <w:rPr>
          <w:rStyle w:val="16"/>
          <w:rFonts w:ascii="仿宋_GB2312" w:eastAsia="仿宋_GB2312" w:cs="仿宋_GB2312"/>
          <w:b w:val="0"/>
          <w:bCs/>
          <w:color w:val="000000"/>
          <w:sz w:val="32"/>
          <w:szCs w:val="32"/>
        </w:rPr>
        <w:t>127.78</w:t>
      </w:r>
      <w:r>
        <w:rPr>
          <w:rStyle w:val="16"/>
          <w:rFonts w:hint="eastAsia" w:ascii="仿宋_GB2312" w:eastAsia="仿宋_GB2312" w:cs="仿宋_GB2312"/>
          <w:b w:val="0"/>
          <w:bCs/>
          <w:color w:val="000000"/>
          <w:sz w:val="32"/>
          <w:szCs w:val="32"/>
        </w:rPr>
        <w:t>万元，完成预算100%。2010699其他财政事务支出</w:t>
      </w:r>
      <w:r>
        <w:rPr>
          <w:rStyle w:val="16"/>
          <w:rFonts w:ascii="仿宋_GB2312" w:eastAsia="仿宋_GB2312" w:cs="仿宋_GB2312"/>
          <w:b w:val="0"/>
          <w:bCs/>
          <w:color w:val="000000"/>
          <w:sz w:val="32"/>
          <w:szCs w:val="32"/>
        </w:rPr>
        <w:t>54.15</w:t>
      </w:r>
      <w:r>
        <w:rPr>
          <w:rStyle w:val="16"/>
          <w:rFonts w:hint="eastAsia" w:ascii="仿宋_GB2312" w:eastAsia="仿宋_GB2312" w:cs="仿宋_GB2312"/>
          <w:b w:val="0"/>
          <w:bCs/>
          <w:color w:val="000000"/>
          <w:sz w:val="32"/>
          <w:szCs w:val="32"/>
        </w:rPr>
        <w:t>万元完，成预算100%。</w:t>
      </w:r>
    </w:p>
    <w:p w14:paraId="04F2F8A9">
      <w:pPr>
        <w:keepNext w:val="0"/>
        <w:keepLines w:val="0"/>
        <w:pageBreakBefore w:val="0"/>
        <w:widowControl w:val="0"/>
        <w:suppressLineNumbers w:val="0"/>
        <w:suppressAutoHyphens w:val="0"/>
        <w:kinsoku/>
        <w:wordWrap/>
        <w:overflowPunct/>
        <w:topLinePunct w:val="0"/>
        <w:autoSpaceDE/>
        <w:autoSpaceDN/>
        <w:bidi w:val="0"/>
        <w:spacing w:line="550" w:lineRule="atLeast"/>
        <w:ind w:firstLine="643" w:firstLineChars="200"/>
        <w:textAlignment w:val="auto"/>
        <w:rPr>
          <w:rStyle w:val="16"/>
          <w:rFonts w:hint="eastAsia" w:ascii="仿宋_GB2312" w:eastAsia="仿宋_GB2312" w:cs="仿宋_GB2312"/>
          <w:b w:val="0"/>
          <w:bCs/>
          <w:color w:val="000000"/>
          <w:sz w:val="32"/>
          <w:szCs w:val="32"/>
        </w:rPr>
      </w:pPr>
      <w:r>
        <w:rPr>
          <w:rStyle w:val="16"/>
          <w:rFonts w:hint="eastAsia" w:ascii="仿宋_GB2312" w:eastAsia="仿宋_GB2312" w:cs="仿宋_GB2312"/>
          <w:b/>
          <w:bCs/>
          <w:color w:val="000000"/>
          <w:sz w:val="32"/>
          <w:szCs w:val="32"/>
        </w:rPr>
        <w:t>2.社会保障和就业20805行政事业单位养老支出:</w:t>
      </w:r>
      <w:r>
        <w:rPr>
          <w:rStyle w:val="16"/>
          <w:rFonts w:hint="eastAsia" w:ascii="仿宋_GB2312" w:eastAsia="仿宋_GB2312" w:cs="仿宋_GB2312"/>
          <w:b w:val="0"/>
          <w:bCs/>
          <w:color w:val="000000"/>
          <w:sz w:val="32"/>
          <w:szCs w:val="32"/>
        </w:rPr>
        <w:t>2080505机关事业单位基本养老保险缴费支出</w:t>
      </w:r>
      <w:r>
        <w:rPr>
          <w:rStyle w:val="16"/>
          <w:rFonts w:ascii="仿宋_GB2312" w:eastAsia="仿宋_GB2312" w:cs="仿宋_GB2312"/>
          <w:b w:val="0"/>
          <w:bCs/>
          <w:color w:val="000000"/>
          <w:sz w:val="32"/>
          <w:szCs w:val="32"/>
        </w:rPr>
        <w:t>54.51</w:t>
      </w:r>
      <w:r>
        <w:rPr>
          <w:rStyle w:val="16"/>
          <w:rFonts w:hint="eastAsia" w:ascii="仿宋_GB2312" w:eastAsia="仿宋_GB2312" w:cs="仿宋_GB2312"/>
          <w:b w:val="0"/>
          <w:bCs/>
          <w:color w:val="000000"/>
          <w:sz w:val="32"/>
          <w:szCs w:val="32"/>
        </w:rPr>
        <w:t>万元，完成预算100%。2080506机关事业单位职业年金缴费支出</w:t>
      </w:r>
      <w:r>
        <w:rPr>
          <w:rStyle w:val="16"/>
          <w:rFonts w:ascii="仿宋_GB2312" w:eastAsia="仿宋_GB2312" w:cs="仿宋_GB2312"/>
          <w:b w:val="0"/>
          <w:bCs/>
          <w:color w:val="000000"/>
          <w:sz w:val="32"/>
          <w:szCs w:val="32"/>
        </w:rPr>
        <w:t>27.25</w:t>
      </w:r>
      <w:r>
        <w:rPr>
          <w:rStyle w:val="16"/>
          <w:rFonts w:hint="eastAsia" w:ascii="仿宋_GB2312" w:eastAsia="仿宋_GB2312" w:cs="仿宋_GB2312"/>
          <w:b w:val="0"/>
          <w:bCs/>
          <w:color w:val="000000"/>
          <w:sz w:val="32"/>
          <w:szCs w:val="32"/>
        </w:rPr>
        <w:t>万元，完成预算100%。</w:t>
      </w:r>
    </w:p>
    <w:p w14:paraId="34BA3762">
      <w:pPr>
        <w:keepNext w:val="0"/>
        <w:keepLines w:val="0"/>
        <w:pageBreakBefore w:val="0"/>
        <w:widowControl w:val="0"/>
        <w:suppressLineNumbers w:val="0"/>
        <w:suppressAutoHyphens w:val="0"/>
        <w:kinsoku/>
        <w:wordWrap/>
        <w:overflowPunct/>
        <w:topLinePunct w:val="0"/>
        <w:autoSpaceDE/>
        <w:autoSpaceDN/>
        <w:bidi w:val="0"/>
        <w:spacing w:line="550" w:lineRule="atLeast"/>
        <w:ind w:firstLine="643" w:firstLineChars="200"/>
        <w:textAlignment w:val="auto"/>
        <w:rPr>
          <w:rStyle w:val="16"/>
          <w:rFonts w:hint="eastAsia" w:ascii="仿宋_GB2312" w:eastAsia="仿宋_GB2312" w:cs="仿宋_GB2312"/>
          <w:b w:val="0"/>
          <w:bCs/>
          <w:color w:val="000000"/>
          <w:sz w:val="32"/>
          <w:szCs w:val="32"/>
        </w:rPr>
      </w:pPr>
      <w:r>
        <w:rPr>
          <w:rStyle w:val="16"/>
          <w:rFonts w:hint="eastAsia" w:ascii="仿宋_GB2312" w:eastAsia="仿宋_GB2312" w:cs="仿宋_GB2312"/>
          <w:b/>
          <w:bCs/>
          <w:color w:val="000000"/>
          <w:sz w:val="32"/>
          <w:szCs w:val="32"/>
        </w:rPr>
        <w:t>3.</w:t>
      </w:r>
      <w:r>
        <w:rPr>
          <w:rFonts w:hint="eastAsia" w:ascii="仿宋_GB2312" w:eastAsia="仿宋_GB2312" w:cs="仿宋_GB2312"/>
          <w:b/>
          <w:bCs/>
          <w:color w:val="000000"/>
          <w:sz w:val="32"/>
          <w:szCs w:val="32"/>
        </w:rPr>
        <w:t>卫生健康</w:t>
      </w:r>
      <w:r>
        <w:rPr>
          <w:rStyle w:val="16"/>
          <w:rFonts w:hint="eastAsia" w:ascii="仿宋_GB2312" w:eastAsia="仿宋_GB2312" w:cs="仿宋_GB2312"/>
          <w:b/>
          <w:bCs/>
          <w:color w:val="000000"/>
          <w:sz w:val="32"/>
          <w:szCs w:val="32"/>
        </w:rPr>
        <w:t>21011行政事业单位医疗:</w:t>
      </w:r>
      <w:r>
        <w:rPr>
          <w:rStyle w:val="16"/>
          <w:rFonts w:hint="eastAsia" w:ascii="仿宋_GB2312" w:eastAsia="仿宋_GB2312" w:cs="仿宋_GB2312"/>
          <w:b w:val="0"/>
          <w:bCs/>
          <w:color w:val="000000"/>
          <w:sz w:val="32"/>
          <w:szCs w:val="32"/>
        </w:rPr>
        <w:t>2101101行政单位医疗支出22.</w:t>
      </w:r>
      <w:r>
        <w:rPr>
          <w:rStyle w:val="16"/>
          <w:rFonts w:ascii="仿宋_GB2312" w:eastAsia="仿宋_GB2312" w:cs="仿宋_GB2312"/>
          <w:b w:val="0"/>
          <w:bCs/>
          <w:color w:val="000000"/>
          <w:sz w:val="32"/>
          <w:szCs w:val="32"/>
        </w:rPr>
        <w:t>5</w:t>
      </w:r>
      <w:r>
        <w:rPr>
          <w:rStyle w:val="16"/>
          <w:rFonts w:hint="eastAsia" w:ascii="仿宋_GB2312" w:eastAsia="仿宋_GB2312" w:cs="仿宋_GB2312"/>
          <w:b w:val="0"/>
          <w:bCs/>
          <w:color w:val="000000"/>
          <w:sz w:val="32"/>
          <w:szCs w:val="32"/>
        </w:rPr>
        <w:t>8万元，完成预算100%。2101102事业单位医疗支出</w:t>
      </w:r>
      <w:r>
        <w:rPr>
          <w:rStyle w:val="16"/>
          <w:rFonts w:ascii="仿宋_GB2312" w:eastAsia="仿宋_GB2312" w:cs="仿宋_GB2312"/>
          <w:b w:val="0"/>
          <w:bCs/>
          <w:color w:val="000000"/>
          <w:sz w:val="32"/>
          <w:szCs w:val="32"/>
        </w:rPr>
        <w:t>4.17</w:t>
      </w:r>
      <w:r>
        <w:rPr>
          <w:rStyle w:val="16"/>
          <w:rFonts w:hint="eastAsia" w:ascii="仿宋_GB2312" w:eastAsia="仿宋_GB2312" w:cs="仿宋_GB2312"/>
          <w:b w:val="0"/>
          <w:bCs/>
          <w:color w:val="000000"/>
          <w:sz w:val="32"/>
          <w:szCs w:val="32"/>
        </w:rPr>
        <w:t>万元，完成预算100%。2101103公务员医疗补助支出</w:t>
      </w:r>
      <w:r>
        <w:rPr>
          <w:rStyle w:val="16"/>
          <w:rFonts w:ascii="仿宋_GB2312" w:eastAsia="仿宋_GB2312" w:cs="仿宋_GB2312"/>
          <w:b w:val="0"/>
          <w:bCs/>
          <w:color w:val="000000"/>
          <w:sz w:val="32"/>
          <w:szCs w:val="32"/>
        </w:rPr>
        <w:t>6.65</w:t>
      </w:r>
      <w:r>
        <w:rPr>
          <w:rStyle w:val="16"/>
          <w:rFonts w:hint="eastAsia" w:ascii="仿宋_GB2312" w:eastAsia="仿宋_GB2312" w:cs="仿宋_GB2312"/>
          <w:b w:val="0"/>
          <w:bCs/>
          <w:color w:val="000000"/>
          <w:sz w:val="32"/>
          <w:szCs w:val="32"/>
        </w:rPr>
        <w:t>万元，完成预算100%。2101199其他行政事业单位医疗支出</w:t>
      </w:r>
      <w:r>
        <w:rPr>
          <w:rStyle w:val="16"/>
          <w:rFonts w:ascii="仿宋_GB2312" w:eastAsia="仿宋_GB2312" w:cs="仿宋_GB2312"/>
          <w:b w:val="0"/>
          <w:bCs/>
          <w:color w:val="000000"/>
          <w:sz w:val="32"/>
          <w:szCs w:val="32"/>
        </w:rPr>
        <w:t>1.35</w:t>
      </w:r>
      <w:r>
        <w:rPr>
          <w:rStyle w:val="16"/>
          <w:rFonts w:hint="eastAsia" w:ascii="仿宋_GB2312" w:eastAsia="仿宋_GB2312" w:cs="仿宋_GB2312"/>
          <w:b w:val="0"/>
          <w:bCs/>
          <w:color w:val="000000"/>
          <w:sz w:val="32"/>
          <w:szCs w:val="32"/>
        </w:rPr>
        <w:t>万元，完成预算100%。</w:t>
      </w:r>
    </w:p>
    <w:p w14:paraId="6F64EDA3">
      <w:pPr>
        <w:keepNext w:val="0"/>
        <w:keepLines w:val="0"/>
        <w:pageBreakBefore w:val="0"/>
        <w:widowControl w:val="0"/>
        <w:suppressLineNumbers w:val="0"/>
        <w:suppressAutoHyphens w:val="0"/>
        <w:kinsoku/>
        <w:wordWrap/>
        <w:overflowPunct/>
        <w:topLinePunct w:val="0"/>
        <w:autoSpaceDE/>
        <w:autoSpaceDN/>
        <w:bidi w:val="0"/>
        <w:spacing w:line="550" w:lineRule="atLeast"/>
        <w:ind w:firstLine="643" w:firstLineChars="200"/>
        <w:textAlignment w:val="auto"/>
        <w:rPr>
          <w:rStyle w:val="16"/>
          <w:rFonts w:hint="eastAsia" w:ascii="仿宋_GB2312" w:eastAsia="仿宋_GB2312" w:cs="仿宋_GB2312"/>
          <w:b w:val="0"/>
          <w:bCs/>
          <w:color w:val="000000"/>
          <w:sz w:val="32"/>
          <w:szCs w:val="32"/>
        </w:rPr>
      </w:pPr>
      <w:r>
        <w:rPr>
          <w:rStyle w:val="16"/>
          <w:rFonts w:hint="eastAsia" w:ascii="仿宋_GB2312" w:eastAsia="仿宋_GB2312" w:cs="仿宋_GB2312"/>
          <w:b/>
          <w:bCs/>
          <w:color w:val="000000"/>
          <w:sz w:val="32"/>
          <w:szCs w:val="32"/>
        </w:rPr>
        <w:t>4</w:t>
      </w:r>
      <w:r>
        <w:rPr>
          <w:rStyle w:val="16"/>
          <w:rFonts w:hint="eastAsia" w:ascii="仿宋_GB2312" w:eastAsia="仿宋_GB2312" w:cs="仿宋_GB2312"/>
          <w:b w:val="0"/>
          <w:bCs/>
          <w:color w:val="000000"/>
          <w:sz w:val="32"/>
          <w:szCs w:val="32"/>
        </w:rPr>
        <w:t>.</w:t>
      </w:r>
      <w:r>
        <w:rPr>
          <w:rStyle w:val="16"/>
          <w:rFonts w:hint="eastAsia" w:ascii="仿宋_GB2312" w:eastAsia="仿宋_GB2312" w:cs="仿宋_GB2312"/>
          <w:b/>
          <w:bCs/>
          <w:color w:val="000000"/>
          <w:sz w:val="32"/>
          <w:szCs w:val="32"/>
        </w:rPr>
        <w:t>住房和保障支出22102住房改革支出：</w:t>
      </w:r>
      <w:r>
        <w:rPr>
          <w:rStyle w:val="16"/>
          <w:rFonts w:hint="eastAsia" w:ascii="仿宋_GB2312" w:eastAsia="仿宋_GB2312" w:cs="仿宋_GB2312"/>
          <w:b w:val="0"/>
          <w:bCs/>
          <w:color w:val="000000"/>
          <w:sz w:val="32"/>
          <w:szCs w:val="32"/>
        </w:rPr>
        <w:t>支出决算为</w:t>
      </w:r>
      <w:r>
        <w:rPr>
          <w:rStyle w:val="16"/>
          <w:rFonts w:ascii="仿宋_GB2312" w:eastAsia="仿宋_GB2312" w:cs="仿宋_GB2312"/>
          <w:b w:val="0"/>
          <w:bCs/>
          <w:color w:val="000000"/>
          <w:sz w:val="32"/>
          <w:szCs w:val="32"/>
        </w:rPr>
        <w:t>52.88</w:t>
      </w:r>
      <w:r>
        <w:rPr>
          <w:rStyle w:val="16"/>
          <w:rFonts w:hint="eastAsia" w:ascii="仿宋_GB2312" w:eastAsia="仿宋_GB2312" w:cs="仿宋_GB2312"/>
          <w:b w:val="0"/>
          <w:bCs/>
          <w:color w:val="000000"/>
          <w:sz w:val="32"/>
          <w:szCs w:val="32"/>
        </w:rPr>
        <w:t>万元，完成预算100%。</w:t>
      </w:r>
    </w:p>
    <w:p w14:paraId="72DF1D33">
      <w:pPr>
        <w:pStyle w:val="3"/>
        <w:keepNext/>
        <w:keepLines/>
        <w:pageBreakBefore w:val="0"/>
        <w:widowControl w:val="0"/>
        <w:suppressLineNumbers w:val="0"/>
        <w:shd w:val="clear" w:color="auto" w:fill="auto"/>
        <w:suppressAutoHyphens w:val="0"/>
        <w:kinsoku/>
        <w:wordWrap/>
        <w:overflowPunct/>
        <w:topLinePunct w:val="0"/>
        <w:autoSpaceDE/>
        <w:autoSpaceDN/>
        <w:spacing w:line="550" w:lineRule="atLeast"/>
        <w:ind w:firstLine="640" w:firstLineChars="200"/>
        <w:rPr>
          <w:rFonts w:ascii="黑体" w:eastAsia="黑体" w:cs="楷体"/>
          <w:b w:val="0"/>
          <w:i w:val="0"/>
          <w:caps w:val="0"/>
          <w:smallCaps w:val="0"/>
          <w:strike w:val="0"/>
          <w:dstrike w:val="0"/>
          <w:vanish w:val="0"/>
          <w:color w:val="000000"/>
          <w:kern w:val="2"/>
          <w:sz w:val="32"/>
          <w:szCs w:val="32"/>
          <w:shd w:val="clear" w:color="auto" w:fill="auto"/>
        </w:rPr>
      </w:pPr>
      <w:bookmarkStart w:id="19" w:name="_Toc6297"/>
      <w:r>
        <w:rPr>
          <w:rFonts w:ascii="黑体" w:eastAsia="黑体" w:cs="楷体"/>
          <w:b w:val="0"/>
          <w:i w:val="0"/>
          <w:caps w:val="0"/>
          <w:smallCaps w:val="0"/>
          <w:strike w:val="0"/>
          <w:dstrike w:val="0"/>
          <w:vanish w:val="0"/>
          <w:color w:val="000000"/>
          <w:kern w:val="2"/>
          <w:sz w:val="32"/>
          <w:szCs w:val="32"/>
          <w:shd w:val="clear" w:color="auto" w:fill="auto"/>
        </w:rPr>
        <w:t> 六、一般公共预算财政拨款基本支出决算情况说明   </w:t>
      </w:r>
      <w:bookmarkEnd w:id="19"/>
    </w:p>
    <w:p w14:paraId="01DB513D">
      <w:pPr>
        <w:keepNext w:val="0"/>
        <w:keepLines w:val="0"/>
        <w:pageBreakBefore w:val="0"/>
        <w:widowControl w:val="0"/>
        <w:suppressLineNumbers w:val="0"/>
        <w:suppressAutoHyphens w:val="0"/>
        <w:spacing w:line="570" w:lineRule="exact"/>
        <w:ind w:left="0" w:firstLine="640" w:firstLineChars="200"/>
        <w:jc w:val="both"/>
        <w:rPr>
          <w:rFonts w:hint="eastAsia" w:ascii="仿宋_GB2312" w:eastAsia="仿宋_GB2312" w:cs="Times New Roman"/>
          <w:kern w:val="2"/>
          <w:sz w:val="32"/>
          <w:szCs w:val="32"/>
        </w:rPr>
      </w:pPr>
      <w:r>
        <w:rPr>
          <w:rFonts w:hint="eastAsia" w:ascii="仿宋_GB2312" w:eastAsia="仿宋_GB2312" w:cs="Times New Roman"/>
          <w:kern w:val="2"/>
          <w:sz w:val="32"/>
          <w:szCs w:val="32"/>
        </w:rPr>
        <w:t>2021年一般公共预算财政拨款基本支出763.25万元，其中：</w:t>
      </w:r>
    </w:p>
    <w:p w14:paraId="76A1AF88">
      <w:pPr>
        <w:keepNext w:val="0"/>
        <w:keepLines w:val="0"/>
        <w:pageBreakBefore w:val="0"/>
        <w:widowControl w:val="0"/>
        <w:suppressLineNumbers w:val="0"/>
        <w:suppressAutoHyphens w:val="0"/>
        <w:spacing w:line="570" w:lineRule="exact"/>
        <w:ind w:left="0" w:firstLine="640" w:firstLineChars="200"/>
        <w:jc w:val="both"/>
        <w:rPr>
          <w:rFonts w:hint="eastAsia" w:ascii="仿宋_GB2312" w:eastAsia="仿宋_GB2312" w:cs="Times New Roman"/>
          <w:kern w:val="2"/>
          <w:sz w:val="32"/>
          <w:szCs w:val="32"/>
        </w:rPr>
      </w:pPr>
      <w:r>
        <w:rPr>
          <w:rFonts w:hint="eastAsia" w:ascii="仿宋_GB2312" w:eastAsia="仿宋_GB2312" w:cs="Times New Roman"/>
          <w:kern w:val="2"/>
          <w:sz w:val="32"/>
          <w:szCs w:val="32"/>
        </w:rPr>
        <w:t>人员经费721.22万元，主要包括：基本工资123.25万元、津贴补贴258.32万元、奖金113.78万元、伙食补助费0万元、绩效工资30.6万元、机关事业单位基本养老保险缴费54.5万元、职业年金缴费27.25万元、职工基本医疗保险缴费26.75万元、公务员医疗补助缴费8万元、其他社会保障缴费7.53万元、其他工资福利支出0万元、医疗费3万元、离休费0万元、退休费0万元、抚恤金0万元、生活补助14.5万元、医疗费补助0.82万元、奖励金0.04万元、住房公积金52.88万元、其他对个人和家庭的补助支出0万元。</w:t>
      </w:r>
    </w:p>
    <w:p w14:paraId="5738E9F5">
      <w:pPr>
        <w:keepNext w:val="0"/>
        <w:keepLines w:val="0"/>
        <w:pageBreakBefore w:val="0"/>
        <w:widowControl w:val="0"/>
        <w:suppressLineNumbers w:val="0"/>
        <w:suppressAutoHyphens w:val="0"/>
        <w:spacing w:line="570" w:lineRule="exact"/>
        <w:ind w:left="0" w:firstLine="640" w:firstLineChars="200"/>
        <w:jc w:val="both"/>
        <w:rPr>
          <w:rFonts w:hint="eastAsia" w:ascii="仿宋_GB2312" w:eastAsia="仿宋_GB2312" w:cs="Times New Roman"/>
          <w:kern w:val="2"/>
          <w:sz w:val="32"/>
          <w:szCs w:val="32"/>
        </w:rPr>
      </w:pPr>
      <w:r>
        <w:rPr>
          <w:rFonts w:hint="eastAsia" w:ascii="仿宋_GB2312" w:eastAsia="仿宋_GB2312" w:cs="Times New Roman"/>
          <w:kern w:val="2"/>
          <w:sz w:val="32"/>
          <w:szCs w:val="32"/>
        </w:rPr>
        <w:t>公用经费42.03万元，主要包括：办公费</w:t>
      </w:r>
      <w:r>
        <w:rPr>
          <w:rFonts w:ascii="仿宋_GB2312" w:eastAsia="仿宋_GB2312" w:cs="Times New Roman"/>
          <w:kern w:val="2"/>
          <w:sz w:val="32"/>
          <w:szCs w:val="32"/>
        </w:rPr>
        <w:t>9.65万元</w:t>
      </w:r>
      <w:r>
        <w:rPr>
          <w:rFonts w:hint="eastAsia" w:ascii="仿宋_GB2312" w:eastAsia="仿宋_GB2312" w:cs="Times New Roman"/>
          <w:kern w:val="2"/>
          <w:sz w:val="32"/>
          <w:szCs w:val="32"/>
        </w:rPr>
        <w:t>、印刷费</w:t>
      </w:r>
      <w:r>
        <w:rPr>
          <w:rFonts w:ascii="仿宋_GB2312" w:eastAsia="仿宋_GB2312" w:cs="Times New Roman"/>
          <w:kern w:val="2"/>
          <w:sz w:val="32"/>
          <w:szCs w:val="32"/>
        </w:rPr>
        <w:t>0.1万元</w:t>
      </w:r>
      <w:r>
        <w:rPr>
          <w:rFonts w:hint="eastAsia" w:ascii="仿宋_GB2312" w:eastAsia="仿宋_GB2312" w:cs="Times New Roman"/>
          <w:kern w:val="2"/>
          <w:sz w:val="32"/>
          <w:szCs w:val="32"/>
        </w:rPr>
        <w:t>、咨询费</w:t>
      </w:r>
      <w:r>
        <w:rPr>
          <w:rFonts w:ascii="仿宋_GB2312" w:eastAsia="仿宋_GB2312" w:cs="Times New Roman"/>
          <w:kern w:val="2"/>
          <w:sz w:val="32"/>
          <w:szCs w:val="32"/>
        </w:rPr>
        <w:t>0万元</w:t>
      </w:r>
      <w:r>
        <w:rPr>
          <w:rFonts w:hint="eastAsia" w:ascii="仿宋_GB2312" w:eastAsia="仿宋_GB2312" w:cs="Times New Roman"/>
          <w:kern w:val="2"/>
          <w:sz w:val="32"/>
          <w:szCs w:val="32"/>
        </w:rPr>
        <w:t>、手续费</w:t>
      </w:r>
      <w:r>
        <w:rPr>
          <w:rFonts w:ascii="仿宋_GB2312" w:eastAsia="仿宋_GB2312" w:cs="Times New Roman"/>
          <w:kern w:val="2"/>
          <w:sz w:val="32"/>
          <w:szCs w:val="32"/>
        </w:rPr>
        <w:t>0万元</w:t>
      </w:r>
      <w:r>
        <w:rPr>
          <w:rFonts w:hint="eastAsia" w:ascii="仿宋_GB2312" w:eastAsia="仿宋_GB2312" w:cs="Times New Roman"/>
          <w:kern w:val="2"/>
          <w:sz w:val="32"/>
          <w:szCs w:val="32"/>
        </w:rPr>
        <w:t>、水费</w:t>
      </w:r>
      <w:r>
        <w:rPr>
          <w:rFonts w:ascii="仿宋_GB2312" w:eastAsia="仿宋_GB2312" w:cs="Times New Roman"/>
          <w:kern w:val="2"/>
          <w:sz w:val="32"/>
          <w:szCs w:val="32"/>
        </w:rPr>
        <w:t>0.29万元</w:t>
      </w:r>
      <w:r>
        <w:rPr>
          <w:rFonts w:hint="eastAsia" w:ascii="仿宋_GB2312" w:eastAsia="仿宋_GB2312" w:cs="Times New Roman"/>
          <w:kern w:val="2"/>
          <w:sz w:val="32"/>
          <w:szCs w:val="32"/>
        </w:rPr>
        <w:t>、电费</w:t>
      </w:r>
      <w:r>
        <w:rPr>
          <w:rFonts w:ascii="仿宋_GB2312" w:eastAsia="仿宋_GB2312" w:cs="Times New Roman"/>
          <w:kern w:val="2"/>
          <w:sz w:val="32"/>
          <w:szCs w:val="32"/>
        </w:rPr>
        <w:t>6万元</w:t>
      </w:r>
      <w:r>
        <w:rPr>
          <w:rFonts w:hint="eastAsia" w:ascii="仿宋_GB2312" w:eastAsia="仿宋_GB2312" w:cs="Times New Roman"/>
          <w:kern w:val="2"/>
          <w:sz w:val="32"/>
          <w:szCs w:val="32"/>
        </w:rPr>
        <w:t>、邮电费</w:t>
      </w:r>
      <w:r>
        <w:rPr>
          <w:rFonts w:ascii="仿宋_GB2312" w:eastAsia="仿宋_GB2312" w:cs="Times New Roman"/>
          <w:kern w:val="2"/>
          <w:sz w:val="32"/>
          <w:szCs w:val="32"/>
        </w:rPr>
        <w:t>0.41万元</w:t>
      </w:r>
      <w:r>
        <w:rPr>
          <w:rFonts w:hint="eastAsia" w:ascii="仿宋_GB2312" w:eastAsia="仿宋_GB2312" w:cs="Times New Roman"/>
          <w:kern w:val="2"/>
          <w:sz w:val="32"/>
          <w:szCs w:val="32"/>
        </w:rPr>
        <w:t>、取暖费</w:t>
      </w:r>
      <w:r>
        <w:rPr>
          <w:rFonts w:ascii="仿宋_GB2312" w:eastAsia="仿宋_GB2312" w:cs="Times New Roman"/>
          <w:kern w:val="2"/>
          <w:sz w:val="32"/>
          <w:szCs w:val="32"/>
        </w:rPr>
        <w:t>0万元</w:t>
      </w:r>
      <w:r>
        <w:rPr>
          <w:rFonts w:hint="eastAsia" w:ascii="仿宋_GB2312" w:eastAsia="仿宋_GB2312" w:cs="Times New Roman"/>
          <w:kern w:val="2"/>
          <w:sz w:val="32"/>
          <w:szCs w:val="32"/>
        </w:rPr>
        <w:t>、物业管理费</w:t>
      </w:r>
      <w:r>
        <w:rPr>
          <w:rFonts w:ascii="仿宋_GB2312" w:eastAsia="仿宋_GB2312" w:cs="Times New Roman"/>
          <w:kern w:val="2"/>
          <w:sz w:val="32"/>
          <w:szCs w:val="32"/>
        </w:rPr>
        <w:t>0万元</w:t>
      </w:r>
      <w:r>
        <w:rPr>
          <w:rFonts w:hint="eastAsia" w:ascii="仿宋_GB2312" w:eastAsia="仿宋_GB2312" w:cs="Times New Roman"/>
          <w:kern w:val="2"/>
          <w:sz w:val="32"/>
          <w:szCs w:val="32"/>
        </w:rPr>
        <w:t>、差旅费</w:t>
      </w:r>
      <w:r>
        <w:rPr>
          <w:rFonts w:ascii="仿宋_GB2312" w:eastAsia="仿宋_GB2312" w:cs="Times New Roman"/>
          <w:kern w:val="2"/>
          <w:sz w:val="32"/>
          <w:szCs w:val="32"/>
        </w:rPr>
        <w:t>8.49万元</w:t>
      </w:r>
      <w:r>
        <w:rPr>
          <w:rFonts w:hint="eastAsia" w:ascii="仿宋_GB2312" w:eastAsia="仿宋_GB2312" w:cs="Times New Roman"/>
          <w:kern w:val="2"/>
          <w:sz w:val="32"/>
          <w:szCs w:val="32"/>
        </w:rPr>
        <w:t>、因公出国（境）费用</w:t>
      </w:r>
      <w:r>
        <w:rPr>
          <w:rFonts w:ascii="仿宋_GB2312" w:eastAsia="仿宋_GB2312" w:cs="Times New Roman"/>
          <w:kern w:val="2"/>
          <w:sz w:val="32"/>
          <w:szCs w:val="32"/>
        </w:rPr>
        <w:t>0万元</w:t>
      </w:r>
      <w:r>
        <w:rPr>
          <w:rFonts w:hint="eastAsia" w:ascii="仿宋_GB2312" w:eastAsia="仿宋_GB2312" w:cs="Times New Roman"/>
          <w:kern w:val="2"/>
          <w:sz w:val="32"/>
          <w:szCs w:val="32"/>
        </w:rPr>
        <w:t>、会议费</w:t>
      </w:r>
      <w:r>
        <w:rPr>
          <w:rFonts w:ascii="仿宋_GB2312" w:eastAsia="仿宋_GB2312" w:cs="Times New Roman"/>
          <w:kern w:val="2"/>
          <w:sz w:val="32"/>
          <w:szCs w:val="32"/>
        </w:rPr>
        <w:t>0万元</w:t>
      </w:r>
      <w:r>
        <w:rPr>
          <w:rFonts w:hint="eastAsia" w:ascii="仿宋_GB2312" w:eastAsia="仿宋_GB2312" w:cs="Times New Roman"/>
          <w:kern w:val="2"/>
          <w:sz w:val="32"/>
          <w:szCs w:val="32"/>
        </w:rPr>
        <w:t>、维修（护）费</w:t>
      </w:r>
      <w:r>
        <w:rPr>
          <w:rFonts w:ascii="仿宋_GB2312" w:eastAsia="仿宋_GB2312" w:cs="Times New Roman"/>
          <w:kern w:val="2"/>
          <w:sz w:val="32"/>
          <w:szCs w:val="32"/>
        </w:rPr>
        <w:t>0万元</w:t>
      </w:r>
      <w:r>
        <w:rPr>
          <w:rFonts w:hint="eastAsia" w:ascii="仿宋_GB2312" w:eastAsia="仿宋_GB2312" w:cs="Times New Roman"/>
          <w:kern w:val="2"/>
          <w:sz w:val="32"/>
          <w:szCs w:val="32"/>
        </w:rPr>
        <w:t>、租赁费</w:t>
      </w:r>
      <w:r>
        <w:rPr>
          <w:rFonts w:ascii="仿宋_GB2312" w:eastAsia="仿宋_GB2312" w:cs="Times New Roman"/>
          <w:kern w:val="2"/>
          <w:sz w:val="32"/>
          <w:szCs w:val="32"/>
        </w:rPr>
        <w:t>0万元</w:t>
      </w:r>
      <w:r>
        <w:rPr>
          <w:rFonts w:hint="eastAsia" w:ascii="仿宋_GB2312" w:eastAsia="仿宋_GB2312" w:cs="Times New Roman"/>
          <w:kern w:val="2"/>
          <w:sz w:val="32"/>
          <w:szCs w:val="32"/>
        </w:rPr>
        <w:t>、培训费</w:t>
      </w:r>
      <w:r>
        <w:rPr>
          <w:rFonts w:ascii="仿宋_GB2312" w:eastAsia="仿宋_GB2312" w:cs="Times New Roman"/>
          <w:kern w:val="2"/>
          <w:sz w:val="32"/>
          <w:szCs w:val="32"/>
        </w:rPr>
        <w:t>0.09万元</w:t>
      </w:r>
      <w:r>
        <w:rPr>
          <w:rFonts w:hint="eastAsia" w:ascii="仿宋_GB2312" w:eastAsia="仿宋_GB2312" w:cs="Times New Roman"/>
          <w:kern w:val="2"/>
          <w:sz w:val="32"/>
          <w:szCs w:val="32"/>
        </w:rPr>
        <w:t>、公务接待费</w:t>
      </w:r>
      <w:r>
        <w:rPr>
          <w:rFonts w:ascii="仿宋_GB2312" w:eastAsia="仿宋_GB2312" w:cs="Times New Roman"/>
          <w:kern w:val="2"/>
          <w:sz w:val="32"/>
          <w:szCs w:val="32"/>
        </w:rPr>
        <w:t>0.57万元</w:t>
      </w:r>
      <w:r>
        <w:rPr>
          <w:rFonts w:hint="eastAsia" w:ascii="仿宋_GB2312" w:eastAsia="仿宋_GB2312" w:cs="Times New Roman"/>
          <w:kern w:val="2"/>
          <w:sz w:val="32"/>
          <w:szCs w:val="32"/>
        </w:rPr>
        <w:t>、劳务费</w:t>
      </w:r>
      <w:r>
        <w:rPr>
          <w:rFonts w:ascii="仿宋_GB2312" w:eastAsia="仿宋_GB2312" w:cs="Times New Roman"/>
          <w:kern w:val="2"/>
          <w:sz w:val="32"/>
          <w:szCs w:val="32"/>
        </w:rPr>
        <w:t>6.24万元</w:t>
      </w:r>
      <w:r>
        <w:rPr>
          <w:rFonts w:hint="eastAsia" w:ascii="仿宋_GB2312" w:eastAsia="仿宋_GB2312" w:cs="Times New Roman"/>
          <w:kern w:val="2"/>
          <w:sz w:val="32"/>
          <w:szCs w:val="32"/>
        </w:rPr>
        <w:t>、委托业务费</w:t>
      </w:r>
      <w:r>
        <w:rPr>
          <w:rFonts w:ascii="仿宋_GB2312" w:eastAsia="仿宋_GB2312" w:cs="Times New Roman"/>
          <w:kern w:val="2"/>
          <w:sz w:val="32"/>
          <w:szCs w:val="32"/>
        </w:rPr>
        <w:t>0.46万元</w:t>
      </w:r>
      <w:r>
        <w:rPr>
          <w:rFonts w:hint="eastAsia" w:ascii="仿宋_GB2312" w:eastAsia="仿宋_GB2312" w:cs="Times New Roman"/>
          <w:kern w:val="2"/>
          <w:sz w:val="32"/>
          <w:szCs w:val="32"/>
        </w:rPr>
        <w:t>、工会经费</w:t>
      </w:r>
      <w:r>
        <w:rPr>
          <w:rFonts w:ascii="仿宋_GB2312" w:eastAsia="仿宋_GB2312" w:cs="Times New Roman"/>
          <w:kern w:val="2"/>
          <w:sz w:val="32"/>
          <w:szCs w:val="32"/>
        </w:rPr>
        <w:t>0万元</w:t>
      </w:r>
      <w:r>
        <w:rPr>
          <w:rFonts w:hint="eastAsia" w:ascii="仿宋_GB2312" w:eastAsia="仿宋_GB2312" w:cs="Times New Roman"/>
          <w:kern w:val="2"/>
          <w:sz w:val="32"/>
          <w:szCs w:val="32"/>
        </w:rPr>
        <w:t>、福利费</w:t>
      </w:r>
      <w:r>
        <w:rPr>
          <w:rFonts w:ascii="仿宋_GB2312" w:eastAsia="仿宋_GB2312" w:cs="Times New Roman"/>
          <w:kern w:val="2"/>
          <w:sz w:val="32"/>
          <w:szCs w:val="32"/>
        </w:rPr>
        <w:t>0万元</w:t>
      </w:r>
      <w:r>
        <w:rPr>
          <w:rFonts w:hint="eastAsia" w:ascii="仿宋_GB2312" w:eastAsia="仿宋_GB2312" w:cs="Times New Roman"/>
          <w:kern w:val="2"/>
          <w:sz w:val="32"/>
          <w:szCs w:val="32"/>
        </w:rPr>
        <w:t>、公务用车运行维护费</w:t>
      </w:r>
      <w:r>
        <w:rPr>
          <w:rFonts w:ascii="仿宋_GB2312" w:eastAsia="仿宋_GB2312" w:cs="Times New Roman"/>
          <w:kern w:val="2"/>
          <w:sz w:val="32"/>
          <w:szCs w:val="32"/>
        </w:rPr>
        <w:t>9.73万元</w:t>
      </w:r>
      <w:r>
        <w:rPr>
          <w:rFonts w:hint="eastAsia" w:ascii="仿宋_GB2312" w:eastAsia="仿宋_GB2312" w:cs="Times New Roman"/>
          <w:kern w:val="2"/>
          <w:sz w:val="32"/>
          <w:szCs w:val="32"/>
        </w:rPr>
        <w:t>、其他交通费</w:t>
      </w:r>
      <w:r>
        <w:rPr>
          <w:rFonts w:ascii="仿宋_GB2312" w:eastAsia="仿宋_GB2312" w:cs="Times New Roman"/>
          <w:kern w:val="2"/>
          <w:sz w:val="32"/>
          <w:szCs w:val="32"/>
        </w:rPr>
        <w:t>0万元</w:t>
      </w:r>
      <w:r>
        <w:rPr>
          <w:rFonts w:hint="eastAsia" w:ascii="仿宋_GB2312" w:eastAsia="仿宋_GB2312" w:cs="Times New Roman"/>
          <w:kern w:val="2"/>
          <w:sz w:val="32"/>
          <w:szCs w:val="32"/>
        </w:rPr>
        <w:t>、税金及附加费用</w:t>
      </w:r>
      <w:r>
        <w:rPr>
          <w:rFonts w:ascii="仿宋_GB2312" w:eastAsia="仿宋_GB2312" w:cs="Times New Roman"/>
          <w:kern w:val="2"/>
          <w:sz w:val="32"/>
          <w:szCs w:val="32"/>
        </w:rPr>
        <w:t>0万元</w:t>
      </w:r>
      <w:r>
        <w:rPr>
          <w:rFonts w:hint="eastAsia" w:ascii="仿宋_GB2312" w:eastAsia="仿宋_GB2312" w:cs="Times New Roman"/>
          <w:kern w:val="2"/>
          <w:sz w:val="32"/>
          <w:szCs w:val="32"/>
        </w:rPr>
        <w:t>、其他商品和服务支出</w:t>
      </w:r>
      <w:r>
        <w:rPr>
          <w:rFonts w:ascii="仿宋_GB2312" w:eastAsia="仿宋_GB2312" w:cs="Times New Roman"/>
          <w:kern w:val="2"/>
          <w:sz w:val="32"/>
          <w:szCs w:val="32"/>
        </w:rPr>
        <w:t>0万元</w:t>
      </w:r>
      <w:r>
        <w:rPr>
          <w:rFonts w:hint="eastAsia" w:ascii="仿宋_GB2312" w:eastAsia="仿宋_GB2312" w:cs="Times New Roman"/>
          <w:kern w:val="2"/>
          <w:sz w:val="32"/>
          <w:szCs w:val="32"/>
        </w:rPr>
        <w:t>、办公设备购置</w:t>
      </w:r>
      <w:r>
        <w:rPr>
          <w:rFonts w:ascii="仿宋_GB2312" w:eastAsia="仿宋_GB2312" w:cs="Times New Roman"/>
          <w:kern w:val="2"/>
          <w:sz w:val="32"/>
          <w:szCs w:val="32"/>
        </w:rPr>
        <w:t>0万元</w:t>
      </w:r>
      <w:r>
        <w:rPr>
          <w:rFonts w:hint="eastAsia" w:ascii="仿宋_GB2312" w:eastAsia="仿宋_GB2312" w:cs="Times New Roman"/>
          <w:kern w:val="2"/>
          <w:sz w:val="32"/>
          <w:szCs w:val="32"/>
        </w:rPr>
        <w:t>、专用设备购置</w:t>
      </w:r>
      <w:r>
        <w:rPr>
          <w:rFonts w:ascii="仿宋_GB2312" w:eastAsia="仿宋_GB2312" w:cs="Times New Roman"/>
          <w:kern w:val="2"/>
          <w:sz w:val="32"/>
          <w:szCs w:val="32"/>
        </w:rPr>
        <w:t>0万元</w:t>
      </w:r>
      <w:r>
        <w:rPr>
          <w:rFonts w:hint="eastAsia" w:ascii="仿宋_GB2312" w:eastAsia="仿宋_GB2312" w:cs="Times New Roman"/>
          <w:kern w:val="2"/>
          <w:sz w:val="32"/>
          <w:szCs w:val="32"/>
        </w:rPr>
        <w:t>、信息网络及软件购置更新</w:t>
      </w:r>
      <w:r>
        <w:rPr>
          <w:rFonts w:ascii="仿宋_GB2312" w:eastAsia="仿宋_GB2312" w:cs="Times New Roman"/>
          <w:kern w:val="2"/>
          <w:sz w:val="32"/>
          <w:szCs w:val="32"/>
        </w:rPr>
        <w:t>0万元</w:t>
      </w:r>
      <w:r>
        <w:rPr>
          <w:rFonts w:hint="eastAsia" w:ascii="仿宋_GB2312" w:eastAsia="仿宋_GB2312" w:cs="Times New Roman"/>
          <w:kern w:val="2"/>
          <w:sz w:val="32"/>
          <w:szCs w:val="32"/>
        </w:rPr>
        <w:t>、其他资本性支出</w:t>
      </w:r>
      <w:r>
        <w:rPr>
          <w:rFonts w:ascii="仿宋_GB2312" w:eastAsia="仿宋_GB2312" w:cs="Times New Roman"/>
          <w:kern w:val="2"/>
          <w:sz w:val="32"/>
          <w:szCs w:val="32"/>
        </w:rPr>
        <w:t>0万元</w:t>
      </w:r>
      <w:r>
        <w:rPr>
          <w:rFonts w:hint="eastAsia" w:ascii="仿宋_GB2312" w:eastAsia="仿宋_GB2312" w:cs="Times New Roman"/>
          <w:kern w:val="2"/>
          <w:sz w:val="32"/>
          <w:szCs w:val="32"/>
        </w:rPr>
        <w:t>。</w:t>
      </w:r>
    </w:p>
    <w:p w14:paraId="033B942A">
      <w:pPr>
        <w:pStyle w:val="3"/>
        <w:keepNext/>
        <w:keepLines/>
        <w:pageBreakBefore w:val="0"/>
        <w:widowControl w:val="0"/>
        <w:suppressLineNumbers w:val="0"/>
        <w:shd w:val="clear" w:color="auto" w:fill="auto"/>
        <w:suppressAutoHyphens w:val="0"/>
        <w:kinsoku/>
        <w:wordWrap/>
        <w:overflowPunct/>
        <w:topLinePunct w:val="0"/>
        <w:autoSpaceDE/>
        <w:autoSpaceDN/>
        <w:spacing w:line="550" w:lineRule="atLeast"/>
        <w:ind w:firstLine="640" w:firstLineChars="200"/>
        <w:rPr>
          <w:rFonts w:ascii="黑体" w:eastAsia="黑体" w:cs="楷体"/>
          <w:b w:val="0"/>
          <w:i w:val="0"/>
          <w:caps w:val="0"/>
          <w:smallCaps w:val="0"/>
          <w:strike w:val="0"/>
          <w:dstrike w:val="0"/>
          <w:vanish w:val="0"/>
          <w:color w:val="000000"/>
          <w:kern w:val="2"/>
          <w:sz w:val="32"/>
          <w:szCs w:val="32"/>
          <w:shd w:val="clear" w:color="auto" w:fill="auto"/>
        </w:rPr>
      </w:pPr>
      <w:bookmarkStart w:id="20" w:name="_Toc1155"/>
      <w:r>
        <w:rPr>
          <w:rFonts w:ascii="黑体" w:eastAsia="黑体" w:cs="楷体"/>
          <w:b w:val="0"/>
          <w:i w:val="0"/>
          <w:caps w:val="0"/>
          <w:smallCaps w:val="0"/>
          <w:strike w:val="0"/>
          <w:dstrike w:val="0"/>
          <w:vanish w:val="0"/>
          <w:color w:val="000000"/>
          <w:kern w:val="2"/>
          <w:sz w:val="32"/>
          <w:szCs w:val="32"/>
          <w:shd w:val="clear" w:color="auto" w:fill="auto"/>
        </w:rPr>
        <w:t> 七、“三公”经费财政拨款支出决算情况说明</w:t>
      </w:r>
      <w:bookmarkEnd w:id="20"/>
    </w:p>
    <w:p w14:paraId="2A1A836B">
      <w:pPr>
        <w:pStyle w:val="13"/>
        <w:shd w:val="clear" w:color="auto" w:fill="FFFFFF"/>
        <w:ind w:firstLine="643" w:firstLineChars="200"/>
        <w:rPr>
          <w:rFonts w:ascii="仿宋_GB2312" w:eastAsia="仿宋_GB2312" w:cs="Times New Roman"/>
          <w:b/>
          <w:bCs/>
          <w:kern w:val="2"/>
          <w:sz w:val="32"/>
          <w:szCs w:val="20"/>
          <w:shd w:val="clear" w:color="auto" w:fill="auto"/>
        </w:rPr>
      </w:pPr>
      <w:r>
        <w:rPr>
          <w:rFonts w:hint="eastAsia" w:ascii="仿宋_GB2312" w:eastAsia="仿宋_GB2312" w:cs="Times New Roman"/>
          <w:b/>
          <w:bCs/>
          <w:kern w:val="2"/>
          <w:sz w:val="32"/>
          <w:szCs w:val="20"/>
          <w:shd w:val="clear" w:color="auto" w:fill="auto"/>
        </w:rPr>
        <w:t>（一）“三公”经费财政拨款支出决算总体情况说明</w:t>
      </w:r>
    </w:p>
    <w:p w14:paraId="3041AFFF">
      <w:pPr>
        <w:keepNext w:val="0"/>
        <w:keepLines w:val="0"/>
        <w:pageBreakBefore w:val="0"/>
        <w:widowControl w:val="0"/>
        <w:suppressLineNumbers w:val="0"/>
        <w:suppressAutoHyphens w:val="0"/>
        <w:spacing w:line="570" w:lineRule="exact"/>
        <w:ind w:left="0" w:firstLine="640" w:firstLineChars="200"/>
        <w:jc w:val="both"/>
        <w:rPr>
          <w:rFonts w:ascii="仿宋_GB2312" w:eastAsia="仿宋_GB2312" w:cs="Times New Roman"/>
          <w:kern w:val="2"/>
          <w:sz w:val="32"/>
          <w:szCs w:val="32"/>
        </w:rPr>
      </w:pPr>
      <w:r>
        <w:rPr>
          <w:rFonts w:hint="eastAsia" w:ascii="仿宋_GB2312" w:eastAsia="仿宋_GB2312" w:cs="Times New Roman"/>
          <w:kern w:val="2"/>
          <w:sz w:val="32"/>
          <w:szCs w:val="32"/>
        </w:rPr>
        <w:t>2021年“三公”经费财政拨款支出决算为17.11万元，完成预算</w:t>
      </w:r>
      <w:r>
        <w:rPr>
          <w:rFonts w:ascii="仿宋_GB2312" w:eastAsia="仿宋_GB2312" w:cs="Times New Roman"/>
          <w:kern w:val="2"/>
          <w:sz w:val="32"/>
          <w:szCs w:val="32"/>
        </w:rPr>
        <w:t>100</w:t>
      </w:r>
      <w:r>
        <w:rPr>
          <w:rFonts w:hint="eastAsia" w:ascii="仿宋_GB2312" w:eastAsia="仿宋_GB2312" w:cs="Times New Roman"/>
          <w:kern w:val="2"/>
          <w:sz w:val="32"/>
          <w:szCs w:val="32"/>
        </w:rPr>
        <w:t>%</w:t>
      </w:r>
      <w:r>
        <w:rPr>
          <w:rFonts w:ascii="仿宋_GB2312" w:eastAsia="仿宋_GB2312" w:cs="Times New Roman"/>
          <w:kern w:val="2"/>
          <w:sz w:val="32"/>
          <w:szCs w:val="32"/>
        </w:rPr>
        <w:t>。</w:t>
      </w:r>
    </w:p>
    <w:p w14:paraId="3326898E">
      <w:pPr>
        <w:keepNext w:val="0"/>
        <w:keepLines w:val="0"/>
        <w:pageBreakBefore w:val="0"/>
        <w:widowControl w:val="0"/>
        <w:suppressLineNumbers w:val="0"/>
        <w:suppressAutoHyphens w:val="0"/>
        <w:spacing w:line="570" w:lineRule="exact"/>
        <w:ind w:left="0" w:firstLine="643" w:firstLineChars="200"/>
        <w:jc w:val="both"/>
        <w:rPr>
          <w:rFonts w:ascii="仿宋_GB2312" w:eastAsia="仿宋_GB2312" w:cs="Times New Roman"/>
          <w:b/>
          <w:bCs/>
          <w:kern w:val="2"/>
          <w:sz w:val="32"/>
          <w:szCs w:val="20"/>
          <w:shd w:val="clear" w:color="auto" w:fill="auto"/>
        </w:rPr>
      </w:pPr>
      <w:r>
        <w:rPr>
          <w:rFonts w:ascii="仿宋_GB2312" w:eastAsia="仿宋_GB2312" w:cs="Times New Roman"/>
          <w:b/>
          <w:bCs/>
          <w:kern w:val="2"/>
          <w:sz w:val="32"/>
          <w:szCs w:val="20"/>
          <w:shd w:val="clear" w:color="auto" w:fill="auto"/>
        </w:rPr>
        <w:t>（二）“三公”经费财政拨款支出决算具体情况说明</w:t>
      </w:r>
    </w:p>
    <w:p w14:paraId="14783301">
      <w:pPr>
        <w:keepNext w:val="0"/>
        <w:keepLines w:val="0"/>
        <w:pageBreakBefore w:val="0"/>
        <w:widowControl w:val="0"/>
        <w:suppressLineNumbers w:val="0"/>
        <w:suppressAutoHyphens w:val="0"/>
        <w:spacing w:line="570" w:lineRule="exact"/>
        <w:ind w:left="0" w:firstLine="640" w:firstLineChars="200"/>
        <w:jc w:val="both"/>
        <w:rPr>
          <w:rFonts w:ascii="仿宋_GB2312" w:eastAsia="仿宋_GB2312" w:cs="Times New Roman"/>
          <w:kern w:val="2"/>
          <w:sz w:val="32"/>
          <w:szCs w:val="32"/>
        </w:rPr>
      </w:pPr>
      <w:r>
        <w:rPr>
          <w:rFonts w:hint="eastAsia" w:ascii="仿宋_GB2312" w:eastAsia="仿宋_GB2312" w:cs="Times New Roman"/>
          <w:kern w:val="2"/>
          <w:sz w:val="32"/>
          <w:szCs w:val="32"/>
        </w:rPr>
        <w:t>2021年“三公”经费财政拨款支出决算中，因公出国（境）费支出决算0.00万元，占0.00%；公务用车购置及运行维护费支出决算12.78万元，占74.69%；公务接待费支出决算4.33万元，占25.31%。具体情况如下：</w:t>
      </w:r>
    </w:p>
    <w:p w14:paraId="0CF77443">
      <w:pPr>
        <w:keepNext w:val="0"/>
        <w:keepLines w:val="0"/>
        <w:pageBreakBefore w:val="0"/>
        <w:widowControl w:val="0"/>
        <w:suppressLineNumbers w:val="0"/>
        <w:suppressAutoHyphens w:val="0"/>
        <w:spacing w:line="570" w:lineRule="exact"/>
        <w:ind w:left="0" w:firstLine="640" w:firstLineChars="200"/>
        <w:jc w:val="both"/>
        <w:rPr>
          <w:rFonts w:hint="eastAsia" w:ascii="仿宋_GB2312" w:eastAsia="仿宋_GB2312" w:cs="Times New Roman"/>
          <w:kern w:val="2"/>
          <w:sz w:val="32"/>
          <w:szCs w:val="32"/>
        </w:rPr>
      </w:pPr>
      <w:r>
        <w:rPr>
          <w:rFonts w:ascii="仿宋_GB2312" w:eastAsia="仿宋_GB2312" w:cs="Times New Roman"/>
          <w:bCs/>
          <w:kern w:val="2"/>
          <w:sz w:val="32"/>
          <w:szCs w:val="32"/>
        </w:rPr>
        <w:drawing>
          <wp:anchor distT="0" distB="0" distL="84455" distR="84455" simplePos="0" relativeHeight="251659264" behindDoc="0" locked="0" layoutInCell="1" allowOverlap="1">
            <wp:simplePos x="0" y="0"/>
            <wp:positionH relativeFrom="column">
              <wp:posOffset>349250</wp:posOffset>
            </wp:positionH>
            <wp:positionV relativeFrom="paragraph">
              <wp:posOffset>192405</wp:posOffset>
            </wp:positionV>
            <wp:extent cx="4572000" cy="2743200"/>
            <wp:effectExtent l="0" t="0" r="25" b="42"/>
            <wp:wrapSquare wrapText="bothSides"/>
            <wp:docPr id="19" name="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pic:cNvPicPr>
                      <a:picLocks noChangeAspect="1"/>
                    </pic:cNvPicPr>
                  </pic:nvPicPr>
                  <pic:blipFill>
                    <a:blip r:embed="rId14"/>
                    <a:stretch>
                      <a:fillRect/>
                    </a:stretch>
                  </pic:blipFill>
                  <pic:spPr>
                    <a:xfrm>
                      <a:off x="0" y="0"/>
                      <a:ext cx="4572000" cy="2743200"/>
                    </a:xfrm>
                    <a:prstGeom prst="rect">
                      <a:avLst/>
                    </a:prstGeom>
                    <a:noFill/>
                    <a:ln w="9525" cap="flat" cmpd="sng">
                      <a:noFill/>
                      <a:prstDash val="solid"/>
                      <a:miter/>
                    </a:ln>
                  </pic:spPr>
                </pic:pic>
              </a:graphicData>
            </a:graphic>
          </wp:anchor>
        </w:drawing>
      </w:r>
      <w:r>
        <w:rPr>
          <w:rFonts w:ascii="仿宋_GB2312" w:eastAsia="仿宋_GB2312" w:cs="Times New Roman"/>
          <w:color w:val="000000"/>
          <w:kern w:val="2"/>
          <w:sz w:val="32"/>
          <w:szCs w:val="32"/>
          <w:shd w:val="clear" w:color="auto" w:fill="auto"/>
        </w:rPr>
        <w:t>（图7：“三公”经费财政拨款支出结构）（饼状图）</w:t>
      </w:r>
    </w:p>
    <w:p w14:paraId="33AFE77D">
      <w:pPr>
        <w:spacing w:line="600" w:lineRule="exact"/>
        <w:ind w:firstLine="640"/>
        <w:rPr>
          <w:rFonts w:hint="eastAsia" w:ascii="仿宋_GB2312" w:eastAsia="仿宋_GB2312" w:cs="Times New Roman"/>
          <w:kern w:val="2"/>
          <w:sz w:val="32"/>
          <w:szCs w:val="32"/>
        </w:rPr>
      </w:pPr>
      <w:r>
        <w:rPr>
          <w:rFonts w:hint="eastAsia" w:ascii="仿宋_GB2312" w:eastAsia="仿宋_GB2312" w:cs="仿宋_GB2312"/>
          <w:b/>
          <w:color w:val="000000"/>
          <w:sz w:val="32"/>
          <w:szCs w:val="32"/>
        </w:rPr>
        <w:t>1.因公出国（境）经费支出0.00万元，</w:t>
      </w:r>
      <w:r>
        <w:rPr>
          <w:rFonts w:hint="eastAsia" w:ascii="仿宋_GB2312" w:eastAsia="仿宋_GB2312" w:cs="Times New Roman"/>
          <w:kern w:val="2"/>
          <w:sz w:val="32"/>
          <w:szCs w:val="32"/>
        </w:rPr>
        <w:t>完成预算0.00%。全年安排因公出国（境）团组0次，出国（境）0人。因公出国（境）支出决算与2020年持平。</w:t>
      </w:r>
    </w:p>
    <w:p w14:paraId="640AD80E">
      <w:pPr>
        <w:spacing w:line="600" w:lineRule="exact"/>
        <w:ind w:firstLine="640"/>
        <w:rPr>
          <w:rFonts w:hint="eastAsia" w:ascii="仿宋_GB2312" w:eastAsia="仿宋_GB2312" w:cs="仿宋_GB2312"/>
          <w:color w:val="000000"/>
          <w:sz w:val="32"/>
          <w:szCs w:val="32"/>
        </w:rPr>
      </w:pPr>
      <w:r>
        <w:rPr>
          <w:rFonts w:hint="eastAsia" w:ascii="仿宋_GB2312" w:eastAsia="仿宋_GB2312" w:cs="仿宋_GB2312"/>
          <w:b/>
          <w:color w:val="000000"/>
          <w:sz w:val="32"/>
          <w:szCs w:val="32"/>
        </w:rPr>
        <w:t>2.公务用车购置及运行维护费支出12.78万元,</w:t>
      </w:r>
      <w:r>
        <w:rPr>
          <w:rFonts w:hint="eastAsia" w:ascii="仿宋_GB2312" w:eastAsia="仿宋_GB2312" w:cs="Times New Roman"/>
          <w:kern w:val="2"/>
          <w:sz w:val="32"/>
          <w:szCs w:val="32"/>
        </w:rPr>
        <w:t>完成预算100%。</w:t>
      </w:r>
      <w:r>
        <w:rPr>
          <w:rFonts w:ascii="仿宋_GB2312" w:eastAsia="仿宋_GB2312" w:cs="仿宋_GB2312"/>
          <w:color w:val="000000"/>
          <w:sz w:val="32"/>
          <w:szCs w:val="32"/>
        </w:rPr>
        <w:t>增加2.88万元，增加29</w:t>
      </w:r>
      <w:r>
        <w:rPr>
          <w:rFonts w:hint="eastAsia" w:ascii="仿宋_GB2312" w:eastAsia="仿宋_GB2312" w:cs="仿宋_GB2312"/>
          <w:color w:val="000000"/>
          <w:sz w:val="32"/>
          <w:szCs w:val="32"/>
        </w:rPr>
        <w:t>%</w:t>
      </w:r>
      <w:r>
        <w:rPr>
          <w:rFonts w:ascii="仿宋_GB2312" w:eastAsia="仿宋_GB2312" w:cs="仿宋_GB2312"/>
          <w:color w:val="000000"/>
          <w:sz w:val="32"/>
          <w:szCs w:val="32"/>
        </w:rPr>
        <w:t>。</w:t>
      </w:r>
      <w:r>
        <w:rPr>
          <w:rFonts w:hint="eastAsia" w:ascii="仿宋_GB2312" w:eastAsia="仿宋_GB2312" w:cs="Times New Roman"/>
          <w:kern w:val="2"/>
          <w:sz w:val="32"/>
          <w:szCs w:val="32"/>
          <w:lang w:eastAsia="zh-CN"/>
        </w:rPr>
        <w:t>主要</w:t>
      </w:r>
      <w:r>
        <w:rPr>
          <w:rFonts w:hint="eastAsia" w:ascii="仿宋_GB2312" w:eastAsia="仿宋_GB2312" w:cs="仿宋_GB2312"/>
          <w:color w:val="000000"/>
          <w:sz w:val="32"/>
          <w:szCs w:val="32"/>
          <w:lang w:eastAsia="zh-CN"/>
        </w:rPr>
        <w:t>用于</w:t>
      </w:r>
      <w:r>
        <w:rPr>
          <w:rFonts w:ascii="仿宋_GB2312" w:eastAsia="仿宋_GB2312" w:cs="仿宋_GB2312"/>
          <w:color w:val="000000"/>
          <w:sz w:val="32"/>
          <w:szCs w:val="32"/>
          <w:lang w:eastAsia="zh-CN"/>
        </w:rPr>
        <w:t>财政</w:t>
      </w:r>
      <w:r>
        <w:rPr>
          <w:rFonts w:hint="eastAsia" w:ascii="仿宋_GB2312" w:eastAsia="仿宋_GB2312" w:cs="仿宋_GB2312"/>
          <w:color w:val="000000"/>
          <w:sz w:val="32"/>
          <w:szCs w:val="32"/>
          <w:lang w:eastAsia="zh-CN"/>
        </w:rPr>
        <w:t>工作出差、开展脱贫攻坚工作下乡等所需的公务用车燃料费、维修费、过路过桥费、保险费等支出。</w:t>
      </w:r>
    </w:p>
    <w:p w14:paraId="389D0DF9">
      <w:pPr>
        <w:keepNext w:val="0"/>
        <w:keepLines w:val="0"/>
        <w:pageBreakBefore w:val="0"/>
        <w:widowControl w:val="0"/>
        <w:suppressLineNumbers w:val="0"/>
        <w:suppressAutoHyphens w:val="0"/>
        <w:kinsoku/>
        <w:wordWrap/>
        <w:overflowPunct/>
        <w:topLinePunct w:val="0"/>
        <w:autoSpaceDE/>
        <w:autoSpaceDN/>
        <w:spacing w:line="550" w:lineRule="atLeast"/>
        <w:ind w:firstLine="640" w:firstLineChars="200"/>
        <w:rPr>
          <w:rFonts w:hint="eastAsia" w:ascii="仿宋_GB2312" w:eastAsia="仿宋_GB2312" w:cs="仿宋_GB2312"/>
          <w:b/>
          <w:color w:val="000000"/>
          <w:sz w:val="32"/>
          <w:szCs w:val="32"/>
        </w:rPr>
      </w:pPr>
      <w:r>
        <w:rPr>
          <w:rFonts w:hint="eastAsia" w:ascii="仿宋_GB2312" w:eastAsia="仿宋_GB2312" w:cs="仿宋_GB2312"/>
          <w:color w:val="000000"/>
          <w:sz w:val="32"/>
          <w:szCs w:val="32"/>
        </w:rPr>
        <w:t>其中</w:t>
      </w:r>
      <w:r>
        <w:rPr>
          <w:rFonts w:hint="eastAsia" w:ascii="仿宋_GB2312" w:eastAsia="仿宋_GB2312" w:cs="仿宋_GB2312"/>
          <w:b/>
          <w:color w:val="000000"/>
          <w:sz w:val="32"/>
          <w:szCs w:val="32"/>
        </w:rPr>
        <w:t>公务用车购置支出</w:t>
      </w:r>
      <w:r>
        <w:rPr>
          <w:rFonts w:hint="eastAsia" w:ascii="仿宋_GB2312" w:eastAsia="仿宋_GB2312" w:cs="仿宋_GB2312"/>
          <w:b/>
          <w:bCs/>
          <w:color w:val="000000"/>
          <w:sz w:val="32"/>
          <w:szCs w:val="32"/>
        </w:rPr>
        <w:t>0万元</w:t>
      </w:r>
      <w:r>
        <w:rPr>
          <w:rFonts w:hint="eastAsia" w:ascii="仿宋_GB2312" w:eastAsia="仿宋_GB2312" w:cs="仿宋_GB2312"/>
          <w:color w:val="000000"/>
          <w:sz w:val="32"/>
          <w:szCs w:val="32"/>
        </w:rPr>
        <w:t>。全年按规定更新购置公务用车0辆，其中：轿车0辆、金额0万元，越野车0辆、金额0万元，载客汽车0辆、金额0万元。截至202</w:t>
      </w:r>
      <w:r>
        <w:rPr>
          <w:rFonts w:ascii="仿宋_GB2312" w:eastAsia="仿宋_GB2312" w:cs="仿宋_GB2312"/>
          <w:color w:val="000000"/>
          <w:sz w:val="32"/>
          <w:szCs w:val="32"/>
        </w:rPr>
        <w:t>1</w:t>
      </w:r>
      <w:r>
        <w:rPr>
          <w:rFonts w:hint="eastAsia" w:ascii="仿宋_GB2312" w:eastAsia="仿宋_GB2312" w:cs="仿宋_GB2312"/>
          <w:color w:val="000000"/>
          <w:sz w:val="32"/>
          <w:szCs w:val="32"/>
        </w:rPr>
        <w:t>年12月底，单位共有公务用车2辆，其中：轿车0辆、越野车2辆、载客汽车0辆。</w:t>
      </w:r>
    </w:p>
    <w:p w14:paraId="28726244">
      <w:pPr>
        <w:keepNext w:val="0"/>
        <w:keepLines w:val="0"/>
        <w:pageBreakBefore w:val="0"/>
        <w:widowControl w:val="0"/>
        <w:suppressLineNumbers w:val="0"/>
        <w:suppressAutoHyphens w:val="0"/>
        <w:spacing w:line="570" w:lineRule="exact"/>
        <w:ind w:left="0" w:firstLine="643" w:firstLineChars="200"/>
        <w:jc w:val="both"/>
        <w:rPr>
          <w:rFonts w:hint="eastAsia" w:ascii="仿宋_GB2312" w:eastAsia="仿宋_GB2312" w:cs="Times New Roman"/>
          <w:kern w:val="2"/>
          <w:sz w:val="32"/>
          <w:szCs w:val="32"/>
        </w:rPr>
      </w:pPr>
      <w:r>
        <w:rPr>
          <w:rFonts w:hint="eastAsia" w:ascii="仿宋_GB2312" w:eastAsia="仿宋_GB2312" w:cs="Times New Roman"/>
          <w:b/>
          <w:bCs/>
          <w:kern w:val="2"/>
          <w:sz w:val="32"/>
          <w:szCs w:val="32"/>
        </w:rPr>
        <w:t>公务用车运行维护费支出12.78万元</w:t>
      </w:r>
      <w:r>
        <w:rPr>
          <w:rFonts w:hint="eastAsia" w:ascii="仿宋_GB2312" w:eastAsia="仿宋_GB2312" w:cs="Times New Roman"/>
          <w:kern w:val="2"/>
          <w:sz w:val="32"/>
          <w:szCs w:val="32"/>
        </w:rPr>
        <w:t>。</w:t>
      </w:r>
      <w:r>
        <w:rPr>
          <w:rFonts w:ascii="仿宋_GB2312" w:eastAsia="仿宋_GB2312" w:cs="仿宋_GB2312"/>
          <w:color w:val="000000"/>
          <w:sz w:val="32"/>
          <w:szCs w:val="32"/>
        </w:rPr>
        <w:t>增加2.88万元，增加29.07</w:t>
      </w:r>
      <w:r>
        <w:rPr>
          <w:rFonts w:hint="eastAsia" w:ascii="仿宋_GB2312" w:eastAsia="仿宋_GB2312" w:cs="仿宋_GB2312"/>
          <w:color w:val="000000"/>
          <w:sz w:val="32"/>
          <w:szCs w:val="32"/>
        </w:rPr>
        <w:t>%</w:t>
      </w:r>
      <w:r>
        <w:rPr>
          <w:rFonts w:ascii="仿宋_GB2312" w:eastAsia="仿宋_GB2312" w:cs="仿宋_GB2312"/>
          <w:color w:val="000000"/>
          <w:sz w:val="32"/>
          <w:szCs w:val="32"/>
        </w:rPr>
        <w:t>。</w:t>
      </w:r>
      <w:r>
        <w:rPr>
          <w:rFonts w:hint="eastAsia" w:ascii="仿宋_GB2312" w:eastAsia="仿宋_GB2312" w:cs="Times New Roman"/>
          <w:kern w:val="2"/>
          <w:sz w:val="32"/>
          <w:szCs w:val="32"/>
        </w:rPr>
        <w:t>主要用于</w:t>
      </w:r>
      <w:r>
        <w:rPr>
          <w:rFonts w:ascii="仿宋_GB2312" w:eastAsia="仿宋_GB2312" w:cs="Times New Roman"/>
          <w:kern w:val="2"/>
          <w:sz w:val="32"/>
          <w:szCs w:val="32"/>
        </w:rPr>
        <w:t>职工出差、</w:t>
      </w:r>
      <w:r>
        <w:rPr>
          <w:rFonts w:hint="eastAsia" w:ascii="仿宋_GB2312" w:eastAsia="仿宋_GB2312" w:cs="仿宋_GB2312"/>
          <w:color w:val="000000"/>
          <w:sz w:val="32"/>
          <w:szCs w:val="32"/>
        </w:rPr>
        <w:t>开展脱贫攻坚工作下乡等</w:t>
      </w:r>
      <w:r>
        <w:rPr>
          <w:rFonts w:hint="eastAsia" w:ascii="仿宋_GB2312" w:eastAsia="仿宋_GB2312" w:cs="Times New Roman"/>
          <w:kern w:val="2"/>
          <w:sz w:val="32"/>
          <w:szCs w:val="32"/>
        </w:rPr>
        <w:t>所需的公务用车燃料费、维修费、过路过桥费、保险费等支出。</w:t>
      </w:r>
    </w:p>
    <w:p w14:paraId="1EB2CC6D">
      <w:pPr>
        <w:keepNext w:val="0"/>
        <w:keepLines w:val="0"/>
        <w:pageBreakBefore w:val="0"/>
        <w:widowControl w:val="0"/>
        <w:suppressLineNumbers w:val="0"/>
        <w:suppressAutoHyphens w:val="0"/>
        <w:spacing w:line="570" w:lineRule="exact"/>
        <w:ind w:left="0" w:firstLine="643" w:firstLineChars="200"/>
        <w:jc w:val="both"/>
        <w:rPr>
          <w:rFonts w:hint="eastAsia" w:ascii="仿宋_GB2312" w:eastAsia="仿宋_GB2312" w:cs="Times New Roman"/>
          <w:kern w:val="2"/>
          <w:sz w:val="32"/>
          <w:szCs w:val="32"/>
        </w:rPr>
      </w:pPr>
      <w:r>
        <w:rPr>
          <w:rFonts w:hint="eastAsia" w:ascii="仿宋_GB2312" w:eastAsia="仿宋_GB2312" w:cs="Times New Roman"/>
          <w:b/>
          <w:bCs/>
          <w:kern w:val="2"/>
          <w:sz w:val="32"/>
          <w:szCs w:val="32"/>
        </w:rPr>
        <w:t>3.公务接待费支出4.33万元，</w:t>
      </w:r>
      <w:r>
        <w:rPr>
          <w:rFonts w:hint="eastAsia" w:ascii="仿宋_GB2312" w:eastAsia="仿宋_GB2312" w:cs="Times New Roman"/>
          <w:kern w:val="2"/>
          <w:sz w:val="32"/>
          <w:szCs w:val="32"/>
        </w:rPr>
        <w:t>完成预算100%。</w:t>
      </w:r>
      <w:r>
        <w:rPr>
          <w:rFonts w:hint="eastAsia" w:ascii="仿宋_GB2312" w:eastAsia="仿宋_GB2312" w:cs="仿宋_GB2312"/>
          <w:color w:val="000000"/>
          <w:sz w:val="32"/>
          <w:szCs w:val="32"/>
        </w:rPr>
        <w:t>公务接待费支出决算比2020年</w:t>
      </w:r>
      <w:r>
        <w:rPr>
          <w:rFonts w:ascii="仿宋_GB2312" w:eastAsia="仿宋_GB2312" w:cs="仿宋_GB2312"/>
          <w:color w:val="000000"/>
          <w:sz w:val="32"/>
          <w:szCs w:val="32"/>
        </w:rPr>
        <w:t>增加4.23</w:t>
      </w:r>
      <w:r>
        <w:rPr>
          <w:rFonts w:hint="eastAsia" w:ascii="仿宋_GB2312" w:eastAsia="仿宋_GB2312" w:cs="仿宋_GB2312"/>
          <w:color w:val="000000"/>
          <w:sz w:val="32"/>
          <w:szCs w:val="32"/>
        </w:rPr>
        <w:t>万元，</w:t>
      </w:r>
      <w:r>
        <w:rPr>
          <w:rFonts w:ascii="仿宋_GB2312" w:eastAsia="仿宋_GB2312" w:cs="仿宋_GB2312"/>
          <w:color w:val="000000"/>
          <w:sz w:val="32"/>
          <w:szCs w:val="32"/>
        </w:rPr>
        <w:t>增加4229.8</w:t>
      </w:r>
      <w:r>
        <w:rPr>
          <w:rFonts w:hint="eastAsia" w:ascii="仿宋_GB2312" w:eastAsia="仿宋_GB2312" w:cs="仿宋_GB2312"/>
          <w:color w:val="000000"/>
          <w:sz w:val="32"/>
          <w:szCs w:val="32"/>
        </w:rPr>
        <w:t>%。</w:t>
      </w:r>
      <w:r>
        <w:rPr>
          <w:rFonts w:hint="eastAsia" w:ascii="仿宋_GB2312" w:eastAsia="仿宋_GB2312" w:cs="Times New Roman"/>
          <w:kern w:val="2"/>
          <w:sz w:val="32"/>
          <w:szCs w:val="32"/>
        </w:rPr>
        <w:t>主要原因是</w:t>
      </w:r>
      <w:r>
        <w:rPr>
          <w:rFonts w:ascii="仿宋_GB2312" w:eastAsia="仿宋_GB2312" w:cs="Times New Roman"/>
          <w:kern w:val="2"/>
          <w:sz w:val="32"/>
          <w:szCs w:val="32"/>
        </w:rPr>
        <w:t>开展会计专项监督交叉检查、内控检查等</w:t>
      </w:r>
      <w:r>
        <w:rPr>
          <w:rFonts w:hint="eastAsia" w:ascii="仿宋_GB2312" w:eastAsia="仿宋_GB2312" w:cs="Times New Roman"/>
          <w:kern w:val="2"/>
          <w:sz w:val="32"/>
          <w:szCs w:val="32"/>
        </w:rPr>
        <w:t>业务活动开支</w:t>
      </w:r>
      <w:r>
        <w:rPr>
          <w:rFonts w:ascii="仿宋_GB2312" w:eastAsia="仿宋_GB2312" w:cs="Times New Roman"/>
          <w:kern w:val="2"/>
          <w:sz w:val="32"/>
          <w:szCs w:val="32"/>
        </w:rPr>
        <w:t>的</w:t>
      </w:r>
      <w:r>
        <w:rPr>
          <w:rFonts w:hint="eastAsia" w:ascii="仿宋_GB2312" w:eastAsia="仿宋_GB2312" w:cs="Times New Roman"/>
          <w:kern w:val="2"/>
          <w:sz w:val="32"/>
          <w:szCs w:val="32"/>
        </w:rPr>
        <w:t>住宿费、用餐费等。</w:t>
      </w:r>
    </w:p>
    <w:p w14:paraId="0F349F6F">
      <w:pPr>
        <w:keepNext w:val="0"/>
        <w:keepLines w:val="0"/>
        <w:pageBreakBefore w:val="0"/>
        <w:widowControl w:val="0"/>
        <w:suppressLineNumbers w:val="0"/>
        <w:suppressAutoHyphens w:val="0"/>
        <w:spacing w:line="570" w:lineRule="exact"/>
        <w:ind w:left="0" w:firstLine="640" w:firstLineChars="200"/>
        <w:jc w:val="both"/>
        <w:rPr>
          <w:rFonts w:hint="eastAsia" w:ascii="仿宋_GB2312" w:eastAsia="仿宋_GB2312" w:cs="Times New Roman"/>
          <w:kern w:val="2"/>
          <w:sz w:val="32"/>
          <w:szCs w:val="32"/>
        </w:rPr>
      </w:pPr>
      <w:r>
        <w:rPr>
          <w:rFonts w:hint="eastAsia" w:ascii="仿宋_GB2312" w:eastAsia="仿宋_GB2312" w:cs="Times New Roman"/>
          <w:kern w:val="2"/>
          <w:sz w:val="32"/>
          <w:szCs w:val="32"/>
        </w:rPr>
        <w:t>外事接待支出0.00万元，外事接待0批次，0人，共计支出0.00万元</w:t>
      </w:r>
      <w:r>
        <w:rPr>
          <w:rFonts w:ascii="仿宋_GB2312" w:eastAsia="仿宋_GB2312" w:cs="Times New Roman"/>
          <w:kern w:val="2"/>
          <w:sz w:val="32"/>
          <w:szCs w:val="32"/>
        </w:rPr>
        <w:t>。</w:t>
      </w:r>
    </w:p>
    <w:p w14:paraId="0AD265B1">
      <w:pPr>
        <w:pStyle w:val="3"/>
        <w:keepNext/>
        <w:keepLines/>
        <w:pageBreakBefore w:val="0"/>
        <w:widowControl w:val="0"/>
        <w:suppressLineNumbers w:val="0"/>
        <w:shd w:val="clear" w:color="auto" w:fill="auto"/>
        <w:suppressAutoHyphens w:val="0"/>
        <w:kinsoku/>
        <w:wordWrap/>
        <w:overflowPunct/>
        <w:topLinePunct w:val="0"/>
        <w:autoSpaceDE/>
        <w:autoSpaceDN/>
        <w:spacing w:line="550" w:lineRule="atLeast"/>
        <w:ind w:firstLine="640" w:firstLineChars="200"/>
        <w:rPr>
          <w:rFonts w:ascii="黑体" w:eastAsia="黑体" w:cs="楷体"/>
          <w:b w:val="0"/>
          <w:i w:val="0"/>
          <w:caps w:val="0"/>
          <w:smallCaps w:val="0"/>
          <w:strike w:val="0"/>
          <w:dstrike w:val="0"/>
          <w:vanish w:val="0"/>
          <w:color w:val="000000"/>
          <w:kern w:val="2"/>
          <w:sz w:val="32"/>
          <w:szCs w:val="32"/>
          <w:shd w:val="clear" w:color="auto" w:fill="auto"/>
        </w:rPr>
      </w:pPr>
      <w:bookmarkStart w:id="21" w:name="_Toc22089"/>
      <w:r>
        <w:rPr>
          <w:rFonts w:ascii="黑体" w:eastAsia="黑体" w:cs="楷体"/>
          <w:b w:val="0"/>
          <w:i w:val="0"/>
          <w:caps w:val="0"/>
          <w:smallCaps w:val="0"/>
          <w:strike w:val="0"/>
          <w:dstrike w:val="0"/>
          <w:vanish w:val="0"/>
          <w:color w:val="000000"/>
          <w:kern w:val="2"/>
          <w:sz w:val="32"/>
          <w:szCs w:val="32"/>
          <w:shd w:val="clear" w:color="auto" w:fill="auto"/>
        </w:rPr>
        <w:t> 八、政府性基金预算支出决算情况说明</w:t>
      </w:r>
      <w:bookmarkEnd w:id="21"/>
    </w:p>
    <w:p w14:paraId="34D17708">
      <w:pPr>
        <w:pStyle w:val="13"/>
        <w:shd w:val="clear" w:color="auto" w:fill="FFFFFF"/>
        <w:ind w:left="420" w:firstLine="160" w:firstLineChars="50"/>
        <w:rPr>
          <w:rFonts w:hint="eastAsia" w:ascii="楷体" w:eastAsia="楷体" w:cs="楷体"/>
          <w:b/>
          <w:bCs/>
          <w:kern w:val="2"/>
          <w:sz w:val="32"/>
          <w:szCs w:val="32"/>
        </w:rPr>
      </w:pPr>
      <w:r>
        <w:rPr>
          <w:rFonts w:hint="eastAsia" w:ascii="仿宋_GB2312" w:eastAsia="仿宋_GB2312" w:cs="Times New Roman"/>
          <w:kern w:val="2"/>
          <w:sz w:val="32"/>
          <w:szCs w:val="32"/>
        </w:rPr>
        <w:t>2021年政府性基金预算财政拨款支出0.00万元。</w:t>
      </w:r>
    </w:p>
    <w:p w14:paraId="555AF979">
      <w:pPr>
        <w:pStyle w:val="3"/>
        <w:keepNext/>
        <w:keepLines/>
        <w:pageBreakBefore w:val="0"/>
        <w:widowControl w:val="0"/>
        <w:suppressLineNumbers w:val="0"/>
        <w:shd w:val="clear" w:color="auto" w:fill="auto"/>
        <w:suppressAutoHyphens w:val="0"/>
        <w:kinsoku/>
        <w:wordWrap/>
        <w:overflowPunct/>
        <w:topLinePunct w:val="0"/>
        <w:autoSpaceDE/>
        <w:autoSpaceDN/>
        <w:spacing w:line="550" w:lineRule="atLeast"/>
        <w:ind w:firstLine="640" w:firstLineChars="200"/>
        <w:rPr>
          <w:rFonts w:ascii="黑体" w:eastAsia="黑体" w:cs="楷体"/>
          <w:b w:val="0"/>
          <w:i w:val="0"/>
          <w:caps w:val="0"/>
          <w:smallCaps w:val="0"/>
          <w:strike w:val="0"/>
          <w:dstrike w:val="0"/>
          <w:vanish w:val="0"/>
          <w:color w:val="000000"/>
          <w:kern w:val="2"/>
          <w:sz w:val="32"/>
          <w:szCs w:val="32"/>
          <w:shd w:val="clear" w:color="auto" w:fill="auto"/>
        </w:rPr>
      </w:pPr>
      <w:bookmarkStart w:id="22" w:name="_Toc3034"/>
      <w:r>
        <w:rPr>
          <w:rFonts w:ascii="黑体" w:eastAsia="黑体" w:cs="楷体"/>
          <w:b w:val="0"/>
          <w:i w:val="0"/>
          <w:caps w:val="0"/>
          <w:smallCaps w:val="0"/>
          <w:strike w:val="0"/>
          <w:dstrike w:val="0"/>
          <w:vanish w:val="0"/>
          <w:color w:val="000000"/>
          <w:kern w:val="2"/>
          <w:sz w:val="32"/>
          <w:szCs w:val="32"/>
          <w:shd w:val="clear" w:color="auto" w:fill="auto"/>
        </w:rPr>
        <w:t>九、国有资本经营预算支出决算情况说明</w:t>
      </w:r>
      <w:bookmarkEnd w:id="22"/>
    </w:p>
    <w:p w14:paraId="6154E3FD">
      <w:pPr>
        <w:keepNext w:val="0"/>
        <w:keepLines w:val="0"/>
        <w:pageBreakBefore w:val="0"/>
        <w:widowControl w:val="0"/>
        <w:suppressLineNumbers w:val="0"/>
        <w:suppressAutoHyphens w:val="0"/>
        <w:spacing w:line="570" w:lineRule="exact"/>
        <w:ind w:left="0" w:firstLine="640" w:firstLineChars="200"/>
        <w:jc w:val="both"/>
        <w:rPr>
          <w:rFonts w:hint="eastAsia" w:ascii="仿宋_GB2312" w:eastAsia="仿宋_GB2312" w:cs="Times New Roman"/>
          <w:kern w:val="2"/>
          <w:sz w:val="32"/>
          <w:szCs w:val="32"/>
        </w:rPr>
      </w:pPr>
      <w:r>
        <w:rPr>
          <w:rFonts w:hint="eastAsia" w:ascii="仿宋_GB2312" w:eastAsia="仿宋_GB2312" w:cs="Times New Roman"/>
          <w:kern w:val="2"/>
          <w:sz w:val="32"/>
          <w:szCs w:val="32"/>
        </w:rPr>
        <w:t>2021年国有资本经营预算财政拨款支出0.00万元。</w:t>
      </w:r>
    </w:p>
    <w:p w14:paraId="6C71626F">
      <w:pPr>
        <w:pStyle w:val="3"/>
        <w:keepNext/>
        <w:keepLines/>
        <w:pageBreakBefore w:val="0"/>
        <w:widowControl w:val="0"/>
        <w:suppressLineNumbers w:val="0"/>
        <w:shd w:val="clear" w:color="auto" w:fill="auto"/>
        <w:suppressAutoHyphens w:val="0"/>
        <w:kinsoku/>
        <w:wordWrap/>
        <w:overflowPunct/>
        <w:topLinePunct w:val="0"/>
        <w:autoSpaceDE/>
        <w:autoSpaceDN/>
        <w:spacing w:line="550" w:lineRule="atLeast"/>
        <w:ind w:firstLine="640" w:firstLineChars="200"/>
        <w:rPr>
          <w:rFonts w:ascii="黑体" w:eastAsia="黑体" w:cs="楷体"/>
          <w:b w:val="0"/>
          <w:i w:val="0"/>
          <w:caps w:val="0"/>
          <w:smallCaps w:val="0"/>
          <w:strike w:val="0"/>
          <w:dstrike w:val="0"/>
          <w:vanish w:val="0"/>
          <w:color w:val="000000"/>
          <w:kern w:val="2"/>
          <w:sz w:val="32"/>
          <w:szCs w:val="32"/>
          <w:shd w:val="clear" w:color="auto" w:fill="auto"/>
        </w:rPr>
      </w:pPr>
      <w:bookmarkStart w:id="23" w:name="_Toc26668"/>
      <w:r>
        <w:rPr>
          <w:rFonts w:ascii="黑体" w:eastAsia="黑体" w:cs="楷体"/>
          <w:b w:val="0"/>
          <w:i w:val="0"/>
          <w:caps w:val="0"/>
          <w:smallCaps w:val="0"/>
          <w:strike w:val="0"/>
          <w:dstrike w:val="0"/>
          <w:vanish w:val="0"/>
          <w:color w:val="000000"/>
          <w:kern w:val="2"/>
          <w:sz w:val="32"/>
          <w:szCs w:val="32"/>
          <w:shd w:val="clear" w:color="auto" w:fill="auto"/>
        </w:rPr>
        <w:t>十、其他重要事项的情况说明</w:t>
      </w:r>
      <w:bookmarkEnd w:id="23"/>
    </w:p>
    <w:p w14:paraId="3B69005F">
      <w:pPr>
        <w:pStyle w:val="13"/>
        <w:shd w:val="clear" w:color="auto" w:fill="FFFFFF"/>
        <w:ind w:firstLine="643" w:firstLineChars="200"/>
        <w:rPr>
          <w:rFonts w:ascii="仿宋_GB2312" w:eastAsia="仿宋_GB2312" w:cs="Times New Roman"/>
          <w:b/>
          <w:bCs/>
          <w:kern w:val="2"/>
          <w:sz w:val="32"/>
          <w:szCs w:val="20"/>
          <w:shd w:val="clear" w:color="auto" w:fill="auto"/>
        </w:rPr>
      </w:pPr>
      <w:r>
        <w:rPr>
          <w:rFonts w:hint="eastAsia" w:ascii="仿宋_GB2312" w:eastAsia="仿宋_GB2312" w:cs="Times New Roman"/>
          <w:b/>
          <w:bCs/>
          <w:kern w:val="2"/>
          <w:sz w:val="32"/>
          <w:szCs w:val="20"/>
          <w:shd w:val="clear" w:color="auto" w:fill="auto"/>
        </w:rPr>
        <w:t>（一）机关运行经费支出情况</w:t>
      </w:r>
    </w:p>
    <w:p w14:paraId="56EE806D">
      <w:pPr>
        <w:keepNext w:val="0"/>
        <w:keepLines w:val="0"/>
        <w:pageBreakBefore w:val="0"/>
        <w:widowControl w:val="0"/>
        <w:suppressLineNumbers w:val="0"/>
        <w:suppressAutoHyphens w:val="0"/>
        <w:spacing w:line="570" w:lineRule="exact"/>
        <w:ind w:left="0" w:firstLine="640" w:firstLineChars="200"/>
        <w:jc w:val="both"/>
        <w:rPr>
          <w:rFonts w:hint="eastAsia" w:ascii="仿宋_GB2312" w:eastAsia="仿宋_GB2312" w:cs="Times New Roman"/>
          <w:color w:val="FF0000"/>
          <w:kern w:val="2"/>
          <w:sz w:val="32"/>
          <w:szCs w:val="32"/>
        </w:rPr>
      </w:pPr>
      <w:r>
        <w:rPr>
          <w:rFonts w:hint="eastAsia" w:ascii="仿宋_GB2312" w:eastAsia="仿宋_GB2312" w:cs="Times New Roman"/>
          <w:kern w:val="2"/>
          <w:sz w:val="32"/>
          <w:szCs w:val="32"/>
        </w:rPr>
        <w:t>2021年，阿坝州红原县财政局机关运行经费支出36.31万元，比2020年</w:t>
      </w:r>
      <w:r>
        <w:rPr>
          <w:rFonts w:ascii="仿宋_GB2312" w:eastAsia="仿宋_GB2312" w:cs="Times New Roman"/>
          <w:kern w:val="2"/>
          <w:sz w:val="32"/>
          <w:szCs w:val="32"/>
        </w:rPr>
        <w:t>减少</w:t>
      </w:r>
      <w:r>
        <w:rPr>
          <w:rFonts w:hint="eastAsia" w:ascii="仿宋_GB2312" w:eastAsia="仿宋_GB2312" w:cs="Times New Roman"/>
          <w:kern w:val="2"/>
          <w:sz w:val="32"/>
          <w:szCs w:val="32"/>
        </w:rPr>
        <w:t>1.29万元，</w:t>
      </w:r>
      <w:r>
        <w:rPr>
          <w:rFonts w:ascii="仿宋_GB2312" w:eastAsia="仿宋_GB2312" w:cs="Times New Roman"/>
          <w:kern w:val="2"/>
          <w:sz w:val="32"/>
          <w:szCs w:val="32"/>
        </w:rPr>
        <w:t>减少</w:t>
      </w:r>
      <w:r>
        <w:rPr>
          <w:rFonts w:hint="eastAsia" w:ascii="仿宋_GB2312" w:eastAsia="仿宋_GB2312" w:cs="Times New Roman"/>
          <w:kern w:val="2"/>
          <w:sz w:val="32"/>
          <w:szCs w:val="32"/>
        </w:rPr>
        <w:t>3.4</w:t>
      </w:r>
      <w:r>
        <w:rPr>
          <w:rFonts w:ascii="仿宋_GB2312" w:eastAsia="仿宋_GB2312" w:cs="Times New Roman"/>
          <w:kern w:val="2"/>
          <w:sz w:val="32"/>
          <w:szCs w:val="32"/>
        </w:rPr>
        <w:t>3</w:t>
      </w:r>
      <w:r>
        <w:rPr>
          <w:rFonts w:hint="eastAsia" w:ascii="仿宋_GB2312" w:eastAsia="仿宋_GB2312" w:cs="Times New Roman"/>
          <w:kern w:val="2"/>
          <w:sz w:val="32"/>
          <w:szCs w:val="32"/>
        </w:rPr>
        <w:t>%</w:t>
      </w:r>
      <w:r>
        <w:rPr>
          <w:rFonts w:ascii="仿宋_GB2312" w:eastAsia="仿宋_GB2312" w:cs="Times New Roman"/>
          <w:kern w:val="2"/>
          <w:sz w:val="32"/>
          <w:szCs w:val="32"/>
        </w:rPr>
        <w:t>。</w:t>
      </w:r>
    </w:p>
    <w:p w14:paraId="75DFFDC1">
      <w:pPr>
        <w:pStyle w:val="13"/>
        <w:shd w:val="clear" w:color="auto" w:fill="FFFFFF"/>
        <w:ind w:left="420" w:firstLine="160" w:firstLineChars="50"/>
        <w:rPr>
          <w:rFonts w:ascii="仿宋_GB2312" w:eastAsia="仿宋_GB2312" w:cs="Times New Roman"/>
          <w:color w:val="000000"/>
          <w:kern w:val="2"/>
          <w:sz w:val="32"/>
          <w:szCs w:val="32"/>
          <w:shd w:val="clear" w:color="auto" w:fill="auto"/>
        </w:rPr>
      </w:pPr>
      <w:r>
        <w:rPr>
          <w:rFonts w:hint="eastAsia" w:ascii="仿宋_GB2312" w:eastAsia="仿宋_GB2312" w:cs="Times New Roman"/>
          <w:color w:val="000000"/>
          <w:kern w:val="2"/>
          <w:sz w:val="32"/>
          <w:szCs w:val="32"/>
          <w:shd w:val="clear" w:color="auto" w:fill="auto"/>
        </w:rPr>
        <w:t>（注：数据来源于财决附03表）</w:t>
      </w:r>
    </w:p>
    <w:p w14:paraId="227BE40C">
      <w:pPr>
        <w:pStyle w:val="13"/>
        <w:shd w:val="clear" w:color="auto" w:fill="FFFFFF"/>
        <w:ind w:firstLine="643" w:firstLineChars="200"/>
        <w:rPr>
          <w:rFonts w:ascii="仿宋_GB2312" w:eastAsia="仿宋_GB2312" w:cs="Times New Roman"/>
          <w:b/>
          <w:bCs/>
          <w:kern w:val="2"/>
          <w:sz w:val="32"/>
          <w:szCs w:val="20"/>
          <w:shd w:val="clear" w:color="auto" w:fill="auto"/>
        </w:rPr>
      </w:pPr>
      <w:r>
        <w:rPr>
          <w:rFonts w:ascii="仿宋_GB2312" w:eastAsia="仿宋_GB2312" w:cs="Times New Roman"/>
          <w:b/>
          <w:bCs/>
          <w:kern w:val="2"/>
          <w:sz w:val="32"/>
          <w:szCs w:val="20"/>
          <w:shd w:val="clear" w:color="auto" w:fill="auto"/>
        </w:rPr>
        <w:t>（二）政府采购支出情况</w:t>
      </w:r>
    </w:p>
    <w:p w14:paraId="37E31B45">
      <w:pPr>
        <w:keepNext w:val="0"/>
        <w:keepLines w:val="0"/>
        <w:pageBreakBefore w:val="0"/>
        <w:widowControl w:val="0"/>
        <w:suppressLineNumbers w:val="0"/>
        <w:suppressAutoHyphens w:val="0"/>
        <w:spacing w:line="570" w:lineRule="exact"/>
        <w:ind w:left="0" w:firstLine="640" w:firstLineChars="200"/>
        <w:jc w:val="both"/>
        <w:rPr>
          <w:rFonts w:hint="eastAsia" w:ascii="仿宋_GB2312" w:eastAsia="仿宋_GB2312" w:cs="Times New Roman"/>
          <w:kern w:val="2"/>
          <w:sz w:val="32"/>
          <w:szCs w:val="32"/>
        </w:rPr>
      </w:pPr>
      <w:r>
        <w:rPr>
          <w:rFonts w:hint="eastAsia" w:ascii="仿宋_GB2312" w:eastAsia="仿宋_GB2312" w:cs="Times New Roman"/>
          <w:kern w:val="2"/>
          <w:sz w:val="32"/>
          <w:szCs w:val="32"/>
        </w:rPr>
        <w:t>2021年，阿坝州红原县财政局政府采购支出总额0.00万元，其中：政府采购货物支出0.00万元、政府采购工程支出0.00万元、政府采购服务支出0.00万元。。授予中小企业合同金额0.00万元，占政府采购支出总额的0.00%，其中：授予小微企业合同金额0.00万元，占政府采购支出总额的0.00%。</w:t>
      </w:r>
    </w:p>
    <w:p w14:paraId="0BDB1D0B">
      <w:pPr>
        <w:pStyle w:val="13"/>
        <w:shd w:val="clear" w:color="auto" w:fill="FFFFFF"/>
        <w:ind w:firstLine="643" w:firstLineChars="200"/>
        <w:rPr>
          <w:rFonts w:ascii="仿宋_GB2312" w:eastAsia="仿宋_GB2312" w:cs="Times New Roman"/>
          <w:b/>
          <w:bCs/>
          <w:kern w:val="2"/>
          <w:sz w:val="32"/>
          <w:szCs w:val="20"/>
          <w:shd w:val="clear" w:color="auto" w:fill="auto"/>
        </w:rPr>
      </w:pPr>
      <w:r>
        <w:rPr>
          <w:rFonts w:hint="eastAsia" w:ascii="仿宋_GB2312" w:eastAsia="仿宋_GB2312" w:cs="Times New Roman"/>
          <w:b/>
          <w:bCs/>
          <w:kern w:val="2"/>
          <w:sz w:val="32"/>
          <w:szCs w:val="20"/>
          <w:shd w:val="clear" w:color="auto" w:fill="auto"/>
        </w:rPr>
        <w:t>（三）国有资产占有使用情况</w:t>
      </w:r>
    </w:p>
    <w:p w14:paraId="4EAC76BC">
      <w:pPr>
        <w:keepNext w:val="0"/>
        <w:keepLines w:val="0"/>
        <w:pageBreakBefore w:val="0"/>
        <w:widowControl w:val="0"/>
        <w:suppressLineNumbers w:val="0"/>
        <w:suppressAutoHyphens w:val="0"/>
        <w:kinsoku/>
        <w:wordWrap/>
        <w:overflowPunct/>
        <w:topLinePunct w:val="0"/>
        <w:autoSpaceDE w:val="0"/>
        <w:autoSpaceDN w:val="0"/>
        <w:bidi w:val="0"/>
        <w:adjustRightInd w:val="0"/>
        <w:snapToGrid/>
        <w:spacing w:line="550" w:lineRule="atLeast"/>
        <w:ind w:firstLine="640" w:firstLineChars="200"/>
        <w:contextualSpacing w:val="0"/>
        <w:textAlignment w:val="auto"/>
        <w:rPr>
          <w:rFonts w:hint="eastAsia" w:ascii="仿宋_GB2312" w:eastAsia="仿宋_GB2312"/>
          <w:color w:val="000000"/>
          <w:sz w:val="32"/>
          <w:szCs w:val="32"/>
        </w:rPr>
      </w:pPr>
      <w:r>
        <w:rPr>
          <w:rFonts w:hint="eastAsia" w:ascii="仿宋_GB2312" w:eastAsia="仿宋_GB2312" w:cs="仿宋_GB2312"/>
          <w:color w:val="000000"/>
          <w:sz w:val="32"/>
          <w:szCs w:val="32"/>
        </w:rPr>
        <w:t>截至2020年12月31日，红原县财政局共有车辆2辆，其中：主要领导干部用车0辆、机要通信用车2辆、应急保障用</w:t>
      </w:r>
      <w:r>
        <w:rPr>
          <w:rFonts w:hint="eastAsia" w:ascii="仿宋_GB2312" w:eastAsia="仿宋_GB2312"/>
          <w:color w:val="000000"/>
          <w:sz w:val="32"/>
          <w:szCs w:val="32"/>
        </w:rPr>
        <w:t>车0辆、其他用车0辆。</w:t>
      </w:r>
    </w:p>
    <w:p w14:paraId="3E3CA66C">
      <w:pPr>
        <w:pStyle w:val="13"/>
        <w:shd w:val="clear" w:color="auto" w:fill="FFFFFF"/>
        <w:ind w:firstLine="643" w:firstLineChars="200"/>
        <w:rPr>
          <w:rFonts w:ascii="仿宋_GB2312" w:eastAsia="仿宋_GB2312" w:cs="Times New Roman"/>
          <w:b/>
          <w:bCs/>
          <w:kern w:val="2"/>
          <w:sz w:val="32"/>
          <w:szCs w:val="20"/>
          <w:shd w:val="clear" w:color="auto" w:fill="auto"/>
        </w:rPr>
      </w:pPr>
      <w:r>
        <w:rPr>
          <w:rFonts w:ascii="仿宋_GB2312" w:eastAsia="仿宋_GB2312" w:cs="Times New Roman"/>
          <w:b/>
          <w:bCs/>
          <w:kern w:val="2"/>
          <w:sz w:val="32"/>
          <w:szCs w:val="20"/>
          <w:shd w:val="clear" w:color="auto" w:fill="auto"/>
        </w:rPr>
        <w:t>（四）预算绩效管理情况</w:t>
      </w:r>
    </w:p>
    <w:p w14:paraId="33696740">
      <w:pPr>
        <w:keepNext w:val="0"/>
        <w:keepLines w:val="0"/>
        <w:pageBreakBefore w:val="0"/>
        <w:widowControl w:val="0"/>
        <w:suppressLineNumbers w:val="0"/>
        <w:suppressAutoHyphens w:val="0"/>
        <w:spacing w:line="570" w:lineRule="exact"/>
        <w:ind w:left="0" w:firstLine="640" w:firstLineChars="200"/>
        <w:jc w:val="both"/>
        <w:rPr>
          <w:rFonts w:hint="eastAsia" w:ascii="仿宋_GB2312" w:eastAsia="仿宋_GB2312" w:cs="Times New Roman"/>
          <w:kern w:val="2"/>
          <w:sz w:val="32"/>
          <w:szCs w:val="32"/>
        </w:rPr>
      </w:pPr>
      <w:r>
        <w:rPr>
          <w:rFonts w:hint="eastAsia" w:ascii="仿宋_GB2312" w:eastAsia="仿宋_GB2312" w:cs="Times New Roman"/>
          <w:kern w:val="2"/>
          <w:sz w:val="32"/>
          <w:szCs w:val="32"/>
        </w:rPr>
        <w:t>根据预算绩效管理要求，本部门在2021年度预算编制阶段，组织对红原县财政局财政评审及竣工结算审核项目开展了预算事前绩效评估，对</w:t>
      </w:r>
      <w:r>
        <w:rPr>
          <w:rFonts w:ascii="仿宋_GB2312" w:eastAsia="仿宋_GB2312" w:cs="Times New Roman"/>
          <w:kern w:val="2"/>
          <w:sz w:val="32"/>
          <w:szCs w:val="32"/>
        </w:rPr>
        <w:t>1</w:t>
      </w:r>
      <w:r>
        <w:rPr>
          <w:rFonts w:hint="eastAsia" w:ascii="仿宋_GB2312" w:eastAsia="仿宋_GB2312" w:cs="Times New Roman"/>
          <w:kern w:val="2"/>
          <w:sz w:val="32"/>
          <w:szCs w:val="32"/>
        </w:rPr>
        <w:t>个项目编制了绩效目标，预算执行过程中，选取</w:t>
      </w:r>
      <w:r>
        <w:rPr>
          <w:rFonts w:ascii="仿宋_GB2312" w:eastAsia="仿宋_GB2312" w:cs="Times New Roman"/>
          <w:kern w:val="2"/>
          <w:sz w:val="32"/>
          <w:szCs w:val="32"/>
        </w:rPr>
        <w:t>1</w:t>
      </w:r>
      <w:r>
        <w:rPr>
          <w:rFonts w:hint="eastAsia" w:ascii="仿宋_GB2312" w:eastAsia="仿宋_GB2312" w:cs="Times New Roman"/>
          <w:kern w:val="2"/>
          <w:sz w:val="32"/>
          <w:szCs w:val="32"/>
        </w:rPr>
        <w:t>个项目开展绩效监控，年终执行完毕后，对</w:t>
      </w:r>
      <w:r>
        <w:rPr>
          <w:rFonts w:ascii="仿宋_GB2312" w:eastAsia="仿宋_GB2312" w:cs="Times New Roman"/>
          <w:kern w:val="2"/>
          <w:sz w:val="32"/>
          <w:szCs w:val="32"/>
        </w:rPr>
        <w:t>1</w:t>
      </w:r>
      <w:r>
        <w:rPr>
          <w:rFonts w:hint="eastAsia" w:ascii="仿宋_GB2312" w:eastAsia="仿宋_GB2312" w:cs="Times New Roman"/>
          <w:kern w:val="2"/>
          <w:sz w:val="32"/>
          <w:szCs w:val="32"/>
        </w:rPr>
        <w:t>个项目开展了绩效自评。同时，本部门对2021年部门整体开展绩效自评，《</w:t>
      </w:r>
      <w:r>
        <w:rPr>
          <w:rFonts w:ascii="仿宋_GB2312" w:eastAsia="仿宋_GB2312" w:cs="Times New Roman"/>
          <w:kern w:val="2"/>
          <w:sz w:val="32"/>
          <w:szCs w:val="32"/>
        </w:rPr>
        <w:t>红原县财政局</w:t>
      </w:r>
      <w:r>
        <w:rPr>
          <w:rFonts w:hint="eastAsia" w:ascii="仿宋_GB2312" w:eastAsia="仿宋_GB2312" w:cs="Times New Roman"/>
          <w:kern w:val="2"/>
          <w:sz w:val="32"/>
          <w:szCs w:val="32"/>
        </w:rPr>
        <w:t>2021年整体绩效评价报告》见附件（第四部分）。</w:t>
      </w:r>
    </w:p>
    <w:p w14:paraId="5457F935">
      <w:pPr>
        <w:pStyle w:val="13"/>
        <w:shd w:val="clear" w:color="auto" w:fill="FFFFFF"/>
        <w:ind w:left="420" w:firstLine="160" w:firstLineChars="50"/>
        <w:jc w:val="center"/>
        <w:rPr>
          <w:rFonts w:ascii="仿宋_GB2312" w:eastAsia="仿宋_GB2312" w:cs="Times New Roman"/>
          <w:kern w:val="2"/>
          <w:sz w:val="32"/>
          <w:szCs w:val="32"/>
          <w:shd w:val="clear" w:color="auto" w:fill="auto"/>
        </w:rPr>
      </w:pPr>
      <w:r>
        <w:rPr>
          <w:rFonts w:ascii="仿宋_GB2312" w:eastAsia="仿宋_GB2312" w:cs="Times New Roman"/>
          <w:kern w:val="2"/>
          <w:sz w:val="32"/>
          <w:szCs w:val="32"/>
          <w:shd w:val="clear" w:color="auto" w:fill="auto"/>
        </w:rPr>
        <w:t> </w:t>
      </w:r>
    </w:p>
    <w:p w14:paraId="4935249C">
      <w:pPr>
        <w:pStyle w:val="3"/>
        <w:keepNext/>
        <w:keepLines/>
        <w:pageBreakBefore w:val="0"/>
        <w:widowControl w:val="0"/>
        <w:suppressLineNumbers w:val="0"/>
        <w:shd w:val="clear" w:color="auto" w:fill="auto"/>
        <w:suppressAutoHyphens w:val="0"/>
        <w:kinsoku/>
        <w:wordWrap/>
        <w:overflowPunct/>
        <w:topLinePunct w:val="0"/>
        <w:autoSpaceDE/>
        <w:autoSpaceDN/>
        <w:spacing w:line="550" w:lineRule="atLeast"/>
        <w:ind w:firstLine="640" w:firstLineChars="200"/>
        <w:rPr>
          <w:rFonts w:ascii="黑体" w:eastAsia="黑体" w:cs="楷体"/>
          <w:b w:val="0"/>
          <w:i w:val="0"/>
          <w:caps w:val="0"/>
          <w:smallCaps w:val="0"/>
          <w:strike w:val="0"/>
          <w:dstrike w:val="0"/>
          <w:vanish w:val="0"/>
          <w:color w:val="000000"/>
          <w:kern w:val="2"/>
          <w:sz w:val="32"/>
          <w:szCs w:val="32"/>
          <w:shd w:val="clear" w:color="auto" w:fill="auto"/>
        </w:rPr>
      </w:pPr>
      <w:bookmarkStart w:id="24" w:name="_Toc8984"/>
      <w:r>
        <w:rPr>
          <w:rFonts w:ascii="黑体" w:eastAsia="黑体" w:cs="楷体"/>
          <w:b w:val="0"/>
          <w:i w:val="0"/>
          <w:caps w:val="0"/>
          <w:smallCaps w:val="0"/>
          <w:strike w:val="0"/>
          <w:dstrike w:val="0"/>
          <w:vanish w:val="0"/>
          <w:color w:val="000000"/>
          <w:kern w:val="2"/>
          <w:sz w:val="32"/>
          <w:szCs w:val="32"/>
          <w:shd w:val="clear" w:color="auto" w:fill="auto"/>
        </w:rPr>
        <w:t>第三部分 名词解释</w:t>
      </w:r>
      <w:bookmarkEnd w:id="24"/>
    </w:p>
    <w:p w14:paraId="5DBFCC82">
      <w:pPr>
        <w:keepNext w:val="0"/>
        <w:keepLines w:val="0"/>
        <w:pageBreakBefore w:val="0"/>
        <w:widowControl w:val="0"/>
        <w:suppressLineNumbers w:val="0"/>
        <w:suppressAutoHyphens w:val="0"/>
        <w:spacing w:line="570" w:lineRule="exact"/>
        <w:ind w:left="0" w:firstLine="640" w:firstLineChars="200"/>
        <w:jc w:val="both"/>
        <w:rPr>
          <w:rFonts w:hint="eastAsia" w:ascii="仿宋_GB2312" w:eastAsia="仿宋_GB2312" w:cs="Times New Roman"/>
          <w:kern w:val="2"/>
          <w:sz w:val="32"/>
          <w:szCs w:val="32"/>
        </w:rPr>
      </w:pPr>
      <w:r>
        <w:rPr>
          <w:rFonts w:hint="eastAsia" w:ascii="仿宋_GB2312" w:eastAsia="仿宋_GB2312" w:cs="Times New Roman"/>
          <w:kern w:val="2"/>
          <w:sz w:val="32"/>
          <w:szCs w:val="32"/>
        </w:rPr>
        <w:t>1.财政拨款收入：指单位从同级财政部门取得的财政预算资金。</w:t>
      </w:r>
    </w:p>
    <w:p w14:paraId="7EE5EBD2">
      <w:pPr>
        <w:keepNext w:val="0"/>
        <w:keepLines w:val="0"/>
        <w:pageBreakBefore w:val="0"/>
        <w:widowControl w:val="0"/>
        <w:suppressLineNumbers w:val="0"/>
        <w:suppressAutoHyphens w:val="0"/>
        <w:spacing w:line="570" w:lineRule="exact"/>
        <w:ind w:left="0" w:firstLine="640" w:firstLineChars="200"/>
        <w:jc w:val="both"/>
        <w:rPr>
          <w:rFonts w:hint="eastAsia" w:ascii="仿宋_GB2312" w:eastAsia="仿宋_GB2312" w:cs="Times New Roman"/>
          <w:kern w:val="2"/>
          <w:sz w:val="32"/>
          <w:szCs w:val="32"/>
        </w:rPr>
      </w:pPr>
      <w:r>
        <w:rPr>
          <w:rFonts w:hint="eastAsia" w:ascii="仿宋_GB2312" w:eastAsia="仿宋_GB2312" w:cs="Times New Roman"/>
          <w:kern w:val="2"/>
          <w:sz w:val="32"/>
          <w:szCs w:val="32"/>
        </w:rPr>
        <w:t>2.事业收入：指事业单位开展专业业务活动及辅助活动取得的收入。</w:t>
      </w:r>
    </w:p>
    <w:p w14:paraId="5364EE5E">
      <w:pPr>
        <w:keepNext w:val="0"/>
        <w:keepLines w:val="0"/>
        <w:pageBreakBefore w:val="0"/>
        <w:widowControl w:val="0"/>
        <w:suppressLineNumbers w:val="0"/>
        <w:suppressAutoHyphens w:val="0"/>
        <w:spacing w:line="570" w:lineRule="exact"/>
        <w:ind w:left="0" w:firstLine="640" w:firstLineChars="200"/>
        <w:jc w:val="both"/>
        <w:rPr>
          <w:rFonts w:hint="eastAsia" w:ascii="仿宋_GB2312" w:eastAsia="仿宋_GB2312" w:cs="Times New Roman"/>
          <w:kern w:val="2"/>
          <w:sz w:val="32"/>
          <w:szCs w:val="32"/>
        </w:rPr>
      </w:pPr>
      <w:r>
        <w:rPr>
          <w:rFonts w:hint="eastAsia" w:ascii="仿宋_GB2312" w:eastAsia="仿宋_GB2312" w:cs="Times New Roman"/>
          <w:kern w:val="2"/>
          <w:sz w:val="32"/>
          <w:szCs w:val="32"/>
        </w:rPr>
        <w:t>3.经营收入：指事业单位在专业业务活动及其辅助活动之外开展非独立核算经营活动取得的收入。</w:t>
      </w:r>
    </w:p>
    <w:p w14:paraId="27C5143F">
      <w:pPr>
        <w:keepNext w:val="0"/>
        <w:keepLines w:val="0"/>
        <w:pageBreakBefore w:val="0"/>
        <w:widowControl w:val="0"/>
        <w:suppressLineNumbers w:val="0"/>
        <w:suppressAutoHyphens w:val="0"/>
        <w:spacing w:line="570" w:lineRule="exact"/>
        <w:ind w:left="0" w:firstLine="640" w:firstLineChars="200"/>
        <w:jc w:val="both"/>
        <w:rPr>
          <w:rFonts w:hint="eastAsia" w:ascii="仿宋_GB2312" w:eastAsia="仿宋_GB2312" w:cs="Times New Roman"/>
          <w:kern w:val="2"/>
          <w:sz w:val="32"/>
          <w:szCs w:val="32"/>
        </w:rPr>
      </w:pPr>
      <w:r>
        <w:rPr>
          <w:rFonts w:hint="eastAsia" w:ascii="仿宋_GB2312" w:eastAsia="仿宋_GB2312" w:cs="Times New Roman"/>
          <w:kern w:val="2"/>
          <w:sz w:val="32"/>
          <w:szCs w:val="32"/>
        </w:rPr>
        <w:t>4.其他收入：指单位取得的除上述收入以外的各项收入。</w:t>
      </w:r>
    </w:p>
    <w:p w14:paraId="792C1BDD">
      <w:pPr>
        <w:keepNext w:val="0"/>
        <w:keepLines w:val="0"/>
        <w:pageBreakBefore w:val="0"/>
        <w:widowControl w:val="0"/>
        <w:suppressLineNumbers w:val="0"/>
        <w:suppressAutoHyphens w:val="0"/>
        <w:spacing w:line="570" w:lineRule="exact"/>
        <w:ind w:left="0" w:firstLine="640" w:firstLineChars="200"/>
        <w:jc w:val="both"/>
        <w:rPr>
          <w:rFonts w:hint="eastAsia" w:ascii="仿宋_GB2312" w:eastAsia="仿宋_GB2312" w:cs="Times New Roman"/>
          <w:kern w:val="2"/>
          <w:sz w:val="32"/>
          <w:szCs w:val="32"/>
        </w:rPr>
      </w:pPr>
      <w:r>
        <w:rPr>
          <w:rFonts w:hint="eastAsia" w:ascii="仿宋_GB2312" w:eastAsia="仿宋_GB2312" w:cs="Times New Roman"/>
          <w:kern w:val="2"/>
          <w:sz w:val="32"/>
          <w:szCs w:val="32"/>
        </w:rPr>
        <w:t>5.使用非财政拨款结余：指事业单位使用以前年度积累的非财政拨款结余弥补当年收支差额的金额。</w:t>
      </w:r>
    </w:p>
    <w:p w14:paraId="632F6DB1">
      <w:pPr>
        <w:keepNext w:val="0"/>
        <w:keepLines w:val="0"/>
        <w:pageBreakBefore w:val="0"/>
        <w:widowControl w:val="0"/>
        <w:suppressLineNumbers w:val="0"/>
        <w:suppressAutoHyphens w:val="0"/>
        <w:spacing w:line="570" w:lineRule="exact"/>
        <w:ind w:left="0" w:firstLine="640" w:firstLineChars="200"/>
        <w:jc w:val="both"/>
        <w:rPr>
          <w:rFonts w:hint="eastAsia" w:ascii="仿宋_GB2312" w:eastAsia="仿宋_GB2312" w:cs="Times New Roman"/>
          <w:kern w:val="2"/>
          <w:sz w:val="32"/>
          <w:szCs w:val="32"/>
        </w:rPr>
      </w:pPr>
      <w:r>
        <w:rPr>
          <w:rFonts w:hint="eastAsia" w:ascii="仿宋_GB2312" w:eastAsia="仿宋_GB2312" w:cs="Times New Roman"/>
          <w:kern w:val="2"/>
          <w:sz w:val="32"/>
          <w:szCs w:val="32"/>
        </w:rPr>
        <w:t>6.年初结转和结余：指以前年度尚未完成、结转到本年按有关规定继续使用的资金。</w:t>
      </w:r>
    </w:p>
    <w:p w14:paraId="71B8A6D5">
      <w:pPr>
        <w:keepNext w:val="0"/>
        <w:keepLines w:val="0"/>
        <w:pageBreakBefore w:val="0"/>
        <w:widowControl w:val="0"/>
        <w:suppressLineNumbers w:val="0"/>
        <w:suppressAutoHyphens w:val="0"/>
        <w:spacing w:line="570" w:lineRule="exact"/>
        <w:ind w:left="0" w:firstLine="640" w:firstLineChars="200"/>
        <w:jc w:val="both"/>
        <w:rPr>
          <w:rFonts w:hint="eastAsia" w:ascii="仿宋_GB2312" w:eastAsia="仿宋_GB2312" w:cs="Times New Roman"/>
          <w:kern w:val="2"/>
          <w:sz w:val="32"/>
          <w:szCs w:val="32"/>
        </w:rPr>
      </w:pPr>
      <w:r>
        <w:rPr>
          <w:rFonts w:hint="eastAsia" w:ascii="仿宋_GB2312" w:eastAsia="仿宋_GB2312" w:cs="Times New Roman"/>
          <w:kern w:val="2"/>
          <w:sz w:val="32"/>
          <w:szCs w:val="32"/>
        </w:rPr>
        <w:t>7.结余分配：指事业单位按照会计制度规定缴纳的所得税、提取的专用结余以及转入非财政拨款结余的金额等。</w:t>
      </w:r>
    </w:p>
    <w:p w14:paraId="63ACB405">
      <w:pPr>
        <w:keepNext w:val="0"/>
        <w:keepLines w:val="0"/>
        <w:pageBreakBefore w:val="0"/>
        <w:widowControl w:val="0"/>
        <w:suppressLineNumbers w:val="0"/>
        <w:suppressAutoHyphens w:val="0"/>
        <w:spacing w:line="570" w:lineRule="exact"/>
        <w:ind w:left="0" w:firstLine="640" w:firstLineChars="200"/>
        <w:jc w:val="both"/>
        <w:rPr>
          <w:rFonts w:hint="eastAsia" w:ascii="仿宋_GB2312" w:eastAsia="仿宋_GB2312" w:cs="Times New Roman"/>
          <w:kern w:val="2"/>
          <w:sz w:val="32"/>
          <w:szCs w:val="32"/>
        </w:rPr>
      </w:pPr>
      <w:r>
        <w:rPr>
          <w:rFonts w:hint="eastAsia" w:ascii="仿宋_GB2312" w:eastAsia="仿宋_GB2312" w:cs="Times New Roman"/>
          <w:kern w:val="2"/>
          <w:sz w:val="32"/>
          <w:szCs w:val="32"/>
        </w:rPr>
        <w:t>8、年末结转和结余：指单位按有关规定结转到下年或以后年度继续使用的资金。</w:t>
      </w:r>
    </w:p>
    <w:p w14:paraId="0741EDDD">
      <w:pPr>
        <w:keepNext w:val="0"/>
        <w:keepLines w:val="0"/>
        <w:pageBreakBefore w:val="0"/>
        <w:widowControl w:val="0"/>
        <w:suppressLineNumbers w:val="0"/>
        <w:suppressAutoHyphens w:val="0"/>
        <w:spacing w:line="570" w:lineRule="exact"/>
        <w:ind w:left="0" w:firstLine="640" w:firstLineChars="200"/>
        <w:jc w:val="both"/>
        <w:rPr>
          <w:rFonts w:hint="eastAsia" w:ascii="仿宋_GB2312" w:eastAsia="仿宋_GB2312" w:cs="Times New Roman"/>
          <w:kern w:val="2"/>
          <w:sz w:val="32"/>
          <w:szCs w:val="32"/>
        </w:rPr>
      </w:pPr>
      <w:r>
        <w:rPr>
          <w:rFonts w:hint="eastAsia" w:ascii="仿宋_GB2312" w:eastAsia="仿宋_GB2312" w:cs="Times New Roman"/>
          <w:kern w:val="2"/>
          <w:sz w:val="32"/>
          <w:szCs w:val="32"/>
        </w:rPr>
        <w:t>9.一般公共服务</w:t>
      </w:r>
      <w:r>
        <w:rPr>
          <w:rFonts w:hint="eastAsia" w:ascii="仿宋_GB2312" w:eastAsia="仿宋_GB2312" w:cs="Times New Roman"/>
          <w:kern w:val="2"/>
          <w:sz w:val="32"/>
          <w:szCs w:val="32"/>
          <w:lang w:eastAsia="zh-CN"/>
        </w:rPr>
        <w:t>：</w:t>
      </w:r>
      <w:r>
        <w:rPr>
          <w:rFonts w:hint="eastAsia" w:ascii="仿宋_GB2312" w:eastAsia="仿宋_GB2312" w:cs="Times New Roman"/>
          <w:kern w:val="2"/>
          <w:sz w:val="32"/>
          <w:szCs w:val="32"/>
          <w:lang w:val="en-US" w:eastAsia="zh-CN"/>
        </w:rPr>
        <w:t>201类20106款财政事务</w:t>
      </w:r>
      <w:r>
        <w:rPr>
          <w:rFonts w:hint="eastAsia" w:ascii="仿宋_GB2312" w:eastAsia="仿宋_GB2312" w:cs="Times New Roman"/>
          <w:kern w:val="2"/>
          <w:sz w:val="32"/>
          <w:szCs w:val="32"/>
          <w:lang w:eastAsia="zh-CN"/>
        </w:rPr>
        <w:t>，</w:t>
      </w:r>
      <w:r>
        <w:rPr>
          <w:rFonts w:hint="eastAsia" w:ascii="仿宋_GB2312" w:eastAsia="仿宋_GB2312" w:cs="Times New Roman"/>
          <w:kern w:val="2"/>
          <w:sz w:val="32"/>
          <w:szCs w:val="32"/>
        </w:rPr>
        <w:t>2010</w:t>
      </w:r>
      <w:r>
        <w:rPr>
          <w:rFonts w:hint="eastAsia" w:ascii="仿宋_GB2312" w:eastAsia="仿宋_GB2312" w:cs="Times New Roman"/>
          <w:kern w:val="2"/>
          <w:sz w:val="32"/>
          <w:szCs w:val="32"/>
          <w:lang w:val="en-US" w:eastAsia="zh-CN"/>
        </w:rPr>
        <w:t>6</w:t>
      </w:r>
      <w:r>
        <w:rPr>
          <w:rFonts w:hint="eastAsia" w:ascii="仿宋_GB2312" w:eastAsia="仿宋_GB2312" w:cs="Times New Roman"/>
          <w:kern w:val="2"/>
          <w:sz w:val="32"/>
          <w:szCs w:val="32"/>
        </w:rPr>
        <w:t>01</w:t>
      </w:r>
      <w:r>
        <w:rPr>
          <w:rFonts w:hint="eastAsia" w:ascii="仿宋_GB2312" w:eastAsia="仿宋_GB2312" w:cs="Times New Roman"/>
          <w:kern w:val="2"/>
          <w:sz w:val="32"/>
          <w:szCs w:val="32"/>
          <w:lang w:eastAsia="zh-CN"/>
        </w:rPr>
        <w:t>项指行政运行</w:t>
      </w:r>
      <w:r>
        <w:rPr>
          <w:rFonts w:hint="eastAsia" w:ascii="仿宋_GB2312" w:eastAsia="仿宋_GB2312" w:cs="Times New Roman"/>
          <w:kern w:val="2"/>
          <w:sz w:val="32"/>
          <w:szCs w:val="32"/>
        </w:rPr>
        <w:t>、201060</w:t>
      </w:r>
      <w:r>
        <w:rPr>
          <w:rFonts w:hint="eastAsia" w:ascii="仿宋_GB2312" w:eastAsia="仿宋_GB2312" w:cs="Times New Roman"/>
          <w:kern w:val="2"/>
          <w:sz w:val="32"/>
          <w:szCs w:val="32"/>
          <w:lang w:val="en-US" w:eastAsia="zh-CN"/>
        </w:rPr>
        <w:t>4项</w:t>
      </w:r>
      <w:r>
        <w:rPr>
          <w:rFonts w:hint="eastAsia" w:ascii="仿宋_GB2312" w:eastAsia="仿宋_GB2312" w:cs="Times New Roman"/>
          <w:kern w:val="2"/>
          <w:sz w:val="32"/>
          <w:szCs w:val="32"/>
          <w:lang w:eastAsia="zh-CN"/>
        </w:rPr>
        <w:t>预算改革业务</w:t>
      </w:r>
      <w:r>
        <w:rPr>
          <w:rFonts w:hint="eastAsia" w:ascii="仿宋_GB2312" w:eastAsia="仿宋_GB2312" w:cs="Times New Roman"/>
          <w:kern w:val="2"/>
          <w:sz w:val="32"/>
          <w:szCs w:val="32"/>
        </w:rPr>
        <w:t>、</w:t>
      </w:r>
      <w:r>
        <w:rPr>
          <w:rFonts w:hint="eastAsia" w:ascii="仿宋_GB2312" w:eastAsia="仿宋_GB2312" w:cs="Times New Roman"/>
          <w:kern w:val="2"/>
          <w:sz w:val="32"/>
          <w:szCs w:val="32"/>
          <w:lang w:val="en-US" w:eastAsia="zh-CN"/>
        </w:rPr>
        <w:t>2010605财政国库业务、</w:t>
      </w:r>
      <w:r>
        <w:rPr>
          <w:rFonts w:hint="eastAsia" w:ascii="仿宋_GB2312" w:eastAsia="仿宋_GB2312" w:cs="Times New Roman"/>
          <w:kern w:val="2"/>
          <w:sz w:val="32"/>
          <w:szCs w:val="32"/>
        </w:rPr>
        <w:t>2010</w:t>
      </w:r>
      <w:r>
        <w:rPr>
          <w:rFonts w:hint="eastAsia" w:ascii="仿宋_GB2312" w:eastAsia="仿宋_GB2312" w:cs="Times New Roman"/>
          <w:kern w:val="2"/>
          <w:sz w:val="32"/>
          <w:szCs w:val="32"/>
          <w:lang w:val="en-US" w:eastAsia="zh-CN"/>
        </w:rPr>
        <w:t>6</w:t>
      </w:r>
      <w:r>
        <w:rPr>
          <w:rFonts w:hint="eastAsia" w:ascii="仿宋_GB2312" w:eastAsia="仿宋_GB2312" w:cs="Times New Roman"/>
          <w:kern w:val="2"/>
          <w:sz w:val="32"/>
          <w:szCs w:val="32"/>
        </w:rPr>
        <w:t>0</w:t>
      </w:r>
      <w:r>
        <w:rPr>
          <w:rFonts w:hint="eastAsia" w:ascii="仿宋_GB2312" w:eastAsia="仿宋_GB2312" w:cs="Times New Roman"/>
          <w:kern w:val="2"/>
          <w:sz w:val="32"/>
          <w:szCs w:val="32"/>
          <w:lang w:val="en-US" w:eastAsia="zh-CN"/>
        </w:rPr>
        <w:t>7项指</w:t>
      </w:r>
      <w:r>
        <w:rPr>
          <w:rFonts w:hint="eastAsia" w:ascii="仿宋_GB2312" w:eastAsia="仿宋_GB2312" w:cs="Times New Roman"/>
          <w:kern w:val="2"/>
          <w:sz w:val="32"/>
          <w:szCs w:val="32"/>
          <w:lang w:eastAsia="zh-CN"/>
        </w:rPr>
        <w:t>信息化建设、</w:t>
      </w:r>
      <w:r>
        <w:rPr>
          <w:rFonts w:hint="eastAsia" w:ascii="仿宋_GB2312" w:eastAsia="仿宋_GB2312" w:cs="Times New Roman"/>
          <w:kern w:val="2"/>
          <w:sz w:val="32"/>
          <w:szCs w:val="32"/>
          <w:lang w:val="en-US" w:eastAsia="zh-CN"/>
        </w:rPr>
        <w:t>2010608项指财政委托业务支出、2010650项指事业运行、2010699项指其他财政事务支出</w:t>
      </w:r>
      <w:r>
        <w:rPr>
          <w:rFonts w:hint="eastAsia" w:ascii="仿宋_GB2312" w:eastAsia="仿宋_GB2312" w:cs="Times New Roman"/>
          <w:kern w:val="2"/>
          <w:sz w:val="32"/>
          <w:szCs w:val="32"/>
        </w:rPr>
        <w:t>。</w:t>
      </w:r>
    </w:p>
    <w:p w14:paraId="42FEED5D">
      <w:pPr>
        <w:keepNext w:val="0"/>
        <w:keepLines w:val="0"/>
        <w:pageBreakBefore w:val="0"/>
        <w:widowControl w:val="0"/>
        <w:suppressLineNumbers w:val="0"/>
        <w:suppressAutoHyphens w:val="0"/>
        <w:spacing w:line="570" w:lineRule="exact"/>
        <w:ind w:left="0" w:firstLine="640" w:firstLineChars="200"/>
        <w:jc w:val="both"/>
        <w:rPr>
          <w:rFonts w:hint="eastAsia" w:ascii="仿宋_GB2312" w:eastAsia="仿宋_GB2312" w:cs="Times New Roman"/>
          <w:kern w:val="2"/>
          <w:sz w:val="32"/>
          <w:szCs w:val="32"/>
        </w:rPr>
      </w:pPr>
      <w:r>
        <w:rPr>
          <w:rFonts w:hint="eastAsia" w:ascii="仿宋_GB2312" w:eastAsia="仿宋_GB2312" w:cs="Times New Roman"/>
          <w:kern w:val="2"/>
          <w:sz w:val="32"/>
          <w:szCs w:val="32"/>
          <w:lang w:val="en-US" w:eastAsia="zh-CN"/>
        </w:rPr>
        <w:t>10</w:t>
      </w:r>
      <w:r>
        <w:rPr>
          <w:rFonts w:hint="eastAsia" w:ascii="仿宋_GB2312" w:eastAsia="仿宋_GB2312" w:cs="Times New Roman"/>
          <w:kern w:val="2"/>
          <w:sz w:val="32"/>
          <w:szCs w:val="32"/>
        </w:rPr>
        <w:t>.社会保障和就业</w:t>
      </w:r>
      <w:r>
        <w:rPr>
          <w:rFonts w:hint="eastAsia" w:ascii="仿宋_GB2312" w:eastAsia="仿宋_GB2312" w:cs="Times New Roman"/>
          <w:kern w:val="2"/>
          <w:sz w:val="32"/>
          <w:szCs w:val="32"/>
          <w:lang w:eastAsia="zh-CN"/>
        </w:rPr>
        <w:t>：</w:t>
      </w:r>
      <w:r>
        <w:rPr>
          <w:rFonts w:hint="eastAsia" w:ascii="仿宋_GB2312" w:eastAsia="仿宋_GB2312" w:cs="Times New Roman"/>
          <w:kern w:val="2"/>
          <w:sz w:val="32"/>
          <w:szCs w:val="32"/>
          <w:lang w:val="en-US" w:eastAsia="zh-CN"/>
        </w:rPr>
        <w:t>208类20802款</w:t>
      </w:r>
      <w:r>
        <w:rPr>
          <w:rFonts w:hint="eastAsia" w:ascii="仿宋_GB2312" w:eastAsia="仿宋_GB2312" w:cs="Times New Roman"/>
          <w:kern w:val="2"/>
          <w:sz w:val="32"/>
          <w:szCs w:val="32"/>
        </w:rPr>
        <w:t>2080505</w:t>
      </w:r>
      <w:r>
        <w:rPr>
          <w:rFonts w:hint="eastAsia" w:ascii="仿宋_GB2312" w:eastAsia="仿宋_GB2312" w:cs="Times New Roman"/>
          <w:kern w:val="2"/>
          <w:sz w:val="32"/>
          <w:szCs w:val="32"/>
          <w:lang w:eastAsia="zh-CN"/>
        </w:rPr>
        <w:t>指</w:t>
      </w:r>
      <w:r>
        <w:rPr>
          <w:rFonts w:hint="eastAsia" w:ascii="仿宋_GB2312" w:eastAsia="仿宋_GB2312" w:cs="Times New Roman"/>
          <w:kern w:val="2"/>
          <w:sz w:val="32"/>
          <w:szCs w:val="32"/>
        </w:rPr>
        <w:t>机关事业单位基本养老保险缴费支出，2080506</w:t>
      </w:r>
      <w:r>
        <w:rPr>
          <w:rFonts w:hint="eastAsia" w:ascii="仿宋_GB2312" w:eastAsia="仿宋_GB2312" w:cs="Times New Roman"/>
          <w:kern w:val="2"/>
          <w:sz w:val="32"/>
          <w:szCs w:val="32"/>
          <w:lang w:eastAsia="zh-CN"/>
        </w:rPr>
        <w:t>指</w:t>
      </w:r>
      <w:r>
        <w:rPr>
          <w:rFonts w:hint="eastAsia" w:ascii="仿宋_GB2312" w:eastAsia="仿宋_GB2312" w:cs="Times New Roman"/>
          <w:kern w:val="2"/>
          <w:sz w:val="32"/>
          <w:szCs w:val="32"/>
        </w:rPr>
        <w:t>机关事业单位职业年金缴费支出</w:t>
      </w:r>
      <w:r>
        <w:rPr>
          <w:rFonts w:hint="eastAsia" w:ascii="仿宋_GB2312" w:eastAsia="仿宋_GB2312" w:cs="Times New Roman"/>
          <w:kern w:val="2"/>
          <w:sz w:val="32"/>
          <w:szCs w:val="32"/>
          <w:lang w:eastAsia="zh-CN"/>
        </w:rPr>
        <w:t>。</w:t>
      </w:r>
    </w:p>
    <w:p w14:paraId="28E5F3A8">
      <w:pPr>
        <w:keepNext w:val="0"/>
        <w:keepLines w:val="0"/>
        <w:pageBreakBefore w:val="0"/>
        <w:widowControl w:val="0"/>
        <w:suppressLineNumbers w:val="0"/>
        <w:suppressAutoHyphens w:val="0"/>
        <w:spacing w:line="570" w:lineRule="exact"/>
        <w:ind w:left="0" w:firstLine="640" w:firstLineChars="200"/>
        <w:jc w:val="both"/>
        <w:rPr>
          <w:rFonts w:hint="eastAsia" w:ascii="仿宋_GB2312" w:eastAsia="仿宋_GB2312" w:cs="Times New Roman"/>
          <w:kern w:val="2"/>
          <w:sz w:val="32"/>
          <w:szCs w:val="32"/>
        </w:rPr>
      </w:pPr>
      <w:r>
        <w:rPr>
          <w:rFonts w:hint="eastAsia" w:ascii="仿宋_GB2312" w:eastAsia="仿宋_GB2312" w:cs="Times New Roman"/>
          <w:kern w:val="2"/>
          <w:sz w:val="32"/>
          <w:szCs w:val="32"/>
          <w:lang w:val="en-US" w:eastAsia="zh-CN"/>
        </w:rPr>
        <w:t>11</w:t>
      </w:r>
      <w:r>
        <w:rPr>
          <w:rFonts w:hint="eastAsia" w:ascii="仿宋_GB2312" w:eastAsia="仿宋_GB2312" w:cs="Times New Roman"/>
          <w:kern w:val="2"/>
          <w:sz w:val="32"/>
          <w:szCs w:val="32"/>
        </w:rPr>
        <w:t>.医疗卫生与计划生育：</w:t>
      </w:r>
      <w:r>
        <w:rPr>
          <w:rFonts w:hint="eastAsia" w:ascii="仿宋_GB2312" w:eastAsia="仿宋_GB2312" w:cs="Times New Roman"/>
          <w:kern w:val="2"/>
          <w:sz w:val="32"/>
          <w:szCs w:val="32"/>
          <w:lang w:val="en-US" w:eastAsia="zh-CN"/>
        </w:rPr>
        <w:t>210类21011款</w:t>
      </w:r>
      <w:r>
        <w:rPr>
          <w:rFonts w:hint="eastAsia" w:ascii="仿宋_GB2312" w:eastAsia="仿宋_GB2312" w:cs="Times New Roman"/>
          <w:kern w:val="2"/>
          <w:sz w:val="32"/>
          <w:szCs w:val="32"/>
        </w:rPr>
        <w:t>210</w:t>
      </w:r>
      <w:r>
        <w:rPr>
          <w:rFonts w:hint="eastAsia" w:ascii="仿宋_GB2312" w:eastAsia="仿宋_GB2312" w:cs="Times New Roman"/>
          <w:kern w:val="2"/>
          <w:sz w:val="32"/>
          <w:szCs w:val="32"/>
          <w:lang w:val="en-US" w:eastAsia="zh-CN"/>
        </w:rPr>
        <w:t>1101</w:t>
      </w:r>
      <w:r>
        <w:rPr>
          <w:rFonts w:hint="eastAsia" w:ascii="仿宋_GB2312" w:eastAsia="仿宋_GB2312" w:cs="Times New Roman"/>
          <w:kern w:val="2"/>
          <w:sz w:val="32"/>
          <w:szCs w:val="32"/>
          <w:lang w:eastAsia="zh-CN"/>
        </w:rPr>
        <w:t>项</w:t>
      </w:r>
      <w:r>
        <w:rPr>
          <w:rFonts w:hint="eastAsia" w:ascii="仿宋_GB2312" w:eastAsia="仿宋_GB2312" w:cs="Times New Roman"/>
          <w:kern w:val="2"/>
          <w:sz w:val="32"/>
          <w:szCs w:val="32"/>
        </w:rPr>
        <w:t>指</w:t>
      </w:r>
      <w:r>
        <w:rPr>
          <w:rFonts w:hint="eastAsia" w:ascii="仿宋_GB2312" w:eastAsia="仿宋_GB2312" w:cs="Times New Roman"/>
          <w:kern w:val="2"/>
          <w:sz w:val="32"/>
          <w:szCs w:val="32"/>
          <w:lang w:eastAsia="zh-CN"/>
        </w:rPr>
        <w:t>行政单位医疗、</w:t>
      </w:r>
      <w:r>
        <w:rPr>
          <w:rFonts w:hint="eastAsia" w:ascii="仿宋_GB2312" w:eastAsia="仿宋_GB2312" w:cs="Times New Roman"/>
          <w:kern w:val="2"/>
          <w:sz w:val="32"/>
          <w:szCs w:val="32"/>
          <w:lang w:val="en-US" w:eastAsia="zh-CN"/>
        </w:rPr>
        <w:t>2101102项指事业单位医疗、2101103项指公务员医疗补助、2101199项指其他行政事业单位医疗补助</w:t>
      </w:r>
      <w:r>
        <w:rPr>
          <w:rFonts w:hint="eastAsia" w:ascii="仿宋_GB2312" w:eastAsia="仿宋_GB2312" w:cs="Times New Roman"/>
          <w:kern w:val="2"/>
          <w:sz w:val="32"/>
          <w:szCs w:val="32"/>
        </w:rPr>
        <w:t>。</w:t>
      </w:r>
    </w:p>
    <w:p w14:paraId="4DCE5657">
      <w:pPr>
        <w:keepNext w:val="0"/>
        <w:keepLines w:val="0"/>
        <w:pageBreakBefore w:val="0"/>
        <w:widowControl w:val="0"/>
        <w:suppressLineNumbers w:val="0"/>
        <w:suppressAutoHyphens w:val="0"/>
        <w:spacing w:line="570" w:lineRule="exact"/>
        <w:ind w:left="0" w:firstLine="640" w:firstLineChars="200"/>
        <w:jc w:val="both"/>
        <w:rPr>
          <w:rFonts w:hint="eastAsia" w:ascii="仿宋_GB2312" w:eastAsia="仿宋_GB2312" w:cs="Times New Roman"/>
          <w:kern w:val="2"/>
          <w:sz w:val="32"/>
          <w:szCs w:val="32"/>
        </w:rPr>
      </w:pPr>
      <w:r>
        <w:rPr>
          <w:rFonts w:hint="eastAsia" w:ascii="仿宋_GB2312" w:eastAsia="仿宋_GB2312" w:cs="Times New Roman"/>
          <w:kern w:val="2"/>
          <w:sz w:val="32"/>
          <w:szCs w:val="32"/>
          <w:lang w:val="en-US" w:eastAsia="zh-CN"/>
        </w:rPr>
        <w:t>12</w:t>
      </w:r>
      <w:r>
        <w:rPr>
          <w:rFonts w:hint="eastAsia" w:ascii="仿宋_GB2312" w:eastAsia="仿宋_GB2312" w:cs="Times New Roman"/>
          <w:kern w:val="2"/>
          <w:sz w:val="32"/>
          <w:szCs w:val="32"/>
        </w:rPr>
        <w:t>.住房保障：</w:t>
      </w:r>
      <w:r>
        <w:rPr>
          <w:rFonts w:hint="eastAsia" w:ascii="仿宋_GB2312" w:eastAsia="仿宋_GB2312" w:cs="Times New Roman"/>
          <w:kern w:val="2"/>
          <w:sz w:val="32"/>
          <w:szCs w:val="32"/>
          <w:lang w:val="en-US" w:eastAsia="zh-CN"/>
        </w:rPr>
        <w:t>221类22102款</w:t>
      </w:r>
      <w:r>
        <w:rPr>
          <w:rFonts w:hint="eastAsia" w:ascii="仿宋_GB2312" w:eastAsia="仿宋_GB2312" w:cs="Times New Roman"/>
          <w:kern w:val="2"/>
          <w:sz w:val="32"/>
          <w:szCs w:val="32"/>
        </w:rPr>
        <w:t>2210201</w:t>
      </w:r>
      <w:r>
        <w:rPr>
          <w:rFonts w:hint="eastAsia" w:ascii="仿宋_GB2312" w:eastAsia="仿宋_GB2312" w:cs="Times New Roman"/>
          <w:kern w:val="2"/>
          <w:sz w:val="32"/>
          <w:szCs w:val="32"/>
          <w:lang w:eastAsia="zh-CN"/>
        </w:rPr>
        <w:t>项指</w:t>
      </w:r>
      <w:r>
        <w:rPr>
          <w:rFonts w:hint="eastAsia" w:ascii="仿宋_GB2312" w:eastAsia="仿宋_GB2312" w:cs="Times New Roman"/>
          <w:kern w:val="2"/>
          <w:sz w:val="32"/>
          <w:szCs w:val="32"/>
        </w:rPr>
        <w:t>住房公积金。</w:t>
      </w:r>
    </w:p>
    <w:p w14:paraId="57CEE678">
      <w:pPr>
        <w:keepNext w:val="0"/>
        <w:keepLines w:val="0"/>
        <w:pageBreakBefore w:val="0"/>
        <w:widowControl w:val="0"/>
        <w:suppressLineNumbers w:val="0"/>
        <w:suppressAutoHyphens w:val="0"/>
        <w:spacing w:line="570" w:lineRule="exact"/>
        <w:ind w:left="0" w:firstLine="640" w:firstLineChars="200"/>
        <w:jc w:val="both"/>
        <w:rPr>
          <w:rFonts w:hint="eastAsia" w:ascii="仿宋_GB2312" w:eastAsia="仿宋_GB2312" w:cs="Times New Roman"/>
          <w:kern w:val="2"/>
          <w:sz w:val="32"/>
          <w:szCs w:val="32"/>
        </w:rPr>
      </w:pPr>
      <w:r>
        <w:rPr>
          <w:rFonts w:hint="eastAsia" w:ascii="仿宋_GB2312" w:eastAsia="仿宋_GB2312" w:cs="Times New Roman"/>
          <w:kern w:val="2"/>
          <w:sz w:val="32"/>
          <w:szCs w:val="32"/>
          <w:lang w:val="en-US" w:eastAsia="zh-CN"/>
        </w:rPr>
        <w:t>13.其他支出：201类99款2019999项其他一般公共服务支出。</w:t>
      </w:r>
    </w:p>
    <w:p w14:paraId="3F4B5DA8">
      <w:pPr>
        <w:keepNext w:val="0"/>
        <w:keepLines w:val="0"/>
        <w:pageBreakBefore w:val="0"/>
        <w:widowControl w:val="0"/>
        <w:suppressLineNumbers w:val="0"/>
        <w:suppressAutoHyphens w:val="0"/>
        <w:spacing w:line="570" w:lineRule="exact"/>
        <w:ind w:left="0" w:firstLine="640" w:firstLineChars="200"/>
        <w:jc w:val="both"/>
        <w:rPr>
          <w:rFonts w:hint="eastAsia" w:ascii="仿宋_GB2312" w:eastAsia="仿宋_GB2312" w:cs="Times New Roman"/>
          <w:kern w:val="2"/>
          <w:sz w:val="32"/>
          <w:szCs w:val="32"/>
        </w:rPr>
      </w:pPr>
      <w:r>
        <w:rPr>
          <w:rFonts w:hint="eastAsia" w:ascii="仿宋_GB2312" w:eastAsia="仿宋_GB2312" w:cs="Times New Roman"/>
          <w:kern w:val="2"/>
          <w:sz w:val="32"/>
          <w:szCs w:val="32"/>
        </w:rPr>
        <w:t>14.基本支出：指为保障机构正常运转、完成日常工作任务而发生的人员支出和公用支出。</w:t>
      </w:r>
    </w:p>
    <w:p w14:paraId="6D0D09A0">
      <w:pPr>
        <w:keepNext w:val="0"/>
        <w:keepLines w:val="0"/>
        <w:pageBreakBefore w:val="0"/>
        <w:widowControl w:val="0"/>
        <w:suppressLineNumbers w:val="0"/>
        <w:suppressAutoHyphens w:val="0"/>
        <w:spacing w:line="570" w:lineRule="exact"/>
        <w:ind w:left="0" w:firstLine="640" w:firstLineChars="200"/>
        <w:jc w:val="both"/>
        <w:rPr>
          <w:rFonts w:hint="eastAsia" w:ascii="仿宋_GB2312" w:eastAsia="仿宋_GB2312" w:cs="Times New Roman"/>
          <w:kern w:val="2"/>
          <w:sz w:val="32"/>
          <w:szCs w:val="32"/>
        </w:rPr>
      </w:pPr>
      <w:r>
        <w:rPr>
          <w:rFonts w:hint="eastAsia" w:ascii="仿宋_GB2312" w:eastAsia="仿宋_GB2312" w:cs="Times New Roman"/>
          <w:kern w:val="2"/>
          <w:sz w:val="32"/>
          <w:szCs w:val="32"/>
        </w:rPr>
        <w:t>15.项目支出：指在基本支出之外为完成特定行政任务和事业发展目标所发生的支出。</w:t>
      </w:r>
    </w:p>
    <w:p w14:paraId="30F5A3E3">
      <w:pPr>
        <w:keepNext w:val="0"/>
        <w:keepLines w:val="0"/>
        <w:pageBreakBefore w:val="0"/>
        <w:widowControl w:val="0"/>
        <w:suppressLineNumbers w:val="0"/>
        <w:suppressAutoHyphens w:val="0"/>
        <w:spacing w:line="570" w:lineRule="exact"/>
        <w:ind w:left="0" w:firstLine="640" w:firstLineChars="200"/>
        <w:jc w:val="both"/>
        <w:rPr>
          <w:rFonts w:hint="eastAsia" w:ascii="仿宋_GB2312" w:eastAsia="仿宋_GB2312" w:cs="Times New Roman"/>
          <w:kern w:val="2"/>
          <w:sz w:val="32"/>
          <w:szCs w:val="32"/>
        </w:rPr>
      </w:pPr>
      <w:r>
        <w:rPr>
          <w:rFonts w:hint="eastAsia" w:ascii="仿宋_GB2312" w:eastAsia="仿宋_GB2312" w:cs="Times New Roman"/>
          <w:kern w:val="2"/>
          <w:sz w:val="32"/>
          <w:szCs w:val="32"/>
        </w:rPr>
        <w:t>16.经营支出：指事业单位在专业业务活动及其辅助活动之外开展非独立核算经营活动发生的支出。</w:t>
      </w:r>
    </w:p>
    <w:p w14:paraId="40804E61">
      <w:pPr>
        <w:keepNext w:val="0"/>
        <w:keepLines w:val="0"/>
        <w:pageBreakBefore w:val="0"/>
        <w:widowControl w:val="0"/>
        <w:suppressLineNumbers w:val="0"/>
        <w:suppressAutoHyphens w:val="0"/>
        <w:spacing w:line="570" w:lineRule="exact"/>
        <w:ind w:left="0" w:firstLine="640" w:firstLineChars="200"/>
        <w:jc w:val="both"/>
        <w:rPr>
          <w:rFonts w:hint="eastAsia" w:ascii="仿宋_GB2312" w:eastAsia="仿宋_GB2312" w:cs="Times New Roman"/>
          <w:kern w:val="2"/>
          <w:sz w:val="32"/>
          <w:szCs w:val="32"/>
        </w:rPr>
      </w:pPr>
      <w:r>
        <w:rPr>
          <w:rFonts w:hint="eastAsia" w:ascii="仿宋_GB2312" w:eastAsia="仿宋_GB2312" w:cs="Times New Roman"/>
          <w:kern w:val="2"/>
          <w:sz w:val="32"/>
          <w:szCs w:val="32"/>
        </w:rPr>
        <w:t>17.“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14:paraId="2A9A0751">
      <w:pPr>
        <w:keepNext w:val="0"/>
        <w:keepLines w:val="0"/>
        <w:pageBreakBefore w:val="0"/>
        <w:widowControl w:val="0"/>
        <w:suppressLineNumbers w:val="0"/>
        <w:suppressAutoHyphens w:val="0"/>
        <w:spacing w:line="570" w:lineRule="exact"/>
        <w:ind w:left="0" w:firstLine="640" w:firstLineChars="200"/>
        <w:jc w:val="both"/>
        <w:rPr>
          <w:rFonts w:hint="eastAsia" w:ascii="仿宋_GB2312" w:eastAsia="仿宋_GB2312" w:cs="Times New Roman"/>
          <w:kern w:val="2"/>
          <w:sz w:val="32"/>
          <w:szCs w:val="32"/>
        </w:rPr>
      </w:pPr>
      <w:r>
        <w:rPr>
          <w:rFonts w:hint="eastAsia" w:ascii="仿宋_GB2312" w:eastAsia="仿宋_GB2312" w:cs="Times New Roman"/>
          <w:kern w:val="2"/>
          <w:sz w:val="32"/>
          <w:szCs w:val="32"/>
        </w:rPr>
        <w:t>18.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2307550D">
      <w:pPr>
        <w:pStyle w:val="13"/>
        <w:shd w:val="clear" w:color="auto" w:fill="FFFFFF"/>
        <w:ind w:firstLine="0"/>
        <w:jc w:val="both"/>
        <w:rPr>
          <w:rFonts w:ascii="仿宋_GB2312" w:eastAsia="仿宋_GB2312" w:cs="Times New Roman"/>
          <w:kern w:val="2"/>
          <w:sz w:val="32"/>
          <w:szCs w:val="32"/>
          <w:shd w:val="clear" w:color="auto" w:fill="auto"/>
        </w:rPr>
      </w:pPr>
    </w:p>
    <w:p w14:paraId="4384E3F9">
      <w:pPr>
        <w:pStyle w:val="13"/>
        <w:shd w:val="clear" w:color="auto" w:fill="FFFFFF"/>
        <w:ind w:firstLine="0"/>
        <w:jc w:val="both"/>
        <w:rPr>
          <w:rFonts w:ascii="仿宋_GB2312" w:eastAsia="仿宋_GB2312" w:cs="Times New Roman"/>
          <w:kern w:val="2"/>
          <w:sz w:val="32"/>
          <w:szCs w:val="32"/>
          <w:shd w:val="clear" w:color="auto" w:fill="auto"/>
        </w:rPr>
      </w:pPr>
    </w:p>
    <w:p w14:paraId="2118DB12">
      <w:pPr>
        <w:pStyle w:val="13"/>
        <w:shd w:val="clear" w:color="auto" w:fill="FFFFFF"/>
        <w:ind w:firstLine="0"/>
        <w:jc w:val="both"/>
        <w:rPr>
          <w:rFonts w:ascii="仿宋_GB2312" w:eastAsia="仿宋_GB2312" w:cs="Times New Roman"/>
          <w:kern w:val="2"/>
          <w:sz w:val="32"/>
          <w:szCs w:val="32"/>
          <w:shd w:val="clear" w:color="auto" w:fill="auto"/>
        </w:rPr>
      </w:pPr>
    </w:p>
    <w:p w14:paraId="3BD3BC44">
      <w:pPr>
        <w:pStyle w:val="13"/>
        <w:shd w:val="clear" w:color="auto" w:fill="FFFFFF"/>
        <w:ind w:firstLine="0"/>
        <w:jc w:val="both"/>
        <w:rPr>
          <w:rFonts w:ascii="仿宋_GB2312" w:eastAsia="仿宋_GB2312" w:cs="Times New Roman"/>
          <w:kern w:val="2"/>
          <w:sz w:val="32"/>
          <w:szCs w:val="32"/>
          <w:shd w:val="clear" w:color="auto" w:fill="auto"/>
        </w:rPr>
      </w:pPr>
    </w:p>
    <w:p w14:paraId="7B11B8F6">
      <w:pPr>
        <w:pStyle w:val="13"/>
        <w:shd w:val="clear" w:color="auto" w:fill="FFFFFF"/>
        <w:ind w:firstLine="0"/>
        <w:jc w:val="both"/>
        <w:rPr>
          <w:rFonts w:ascii="仿宋_GB2312" w:eastAsia="仿宋_GB2312" w:cs="Times New Roman"/>
          <w:kern w:val="2"/>
          <w:sz w:val="32"/>
          <w:szCs w:val="32"/>
          <w:shd w:val="clear" w:color="auto" w:fill="auto"/>
        </w:rPr>
      </w:pPr>
    </w:p>
    <w:p w14:paraId="6A329EF8">
      <w:pPr>
        <w:pStyle w:val="13"/>
        <w:shd w:val="clear" w:color="auto" w:fill="FFFFFF"/>
        <w:ind w:firstLine="0"/>
        <w:jc w:val="both"/>
        <w:rPr>
          <w:rFonts w:ascii="仿宋_GB2312" w:eastAsia="仿宋_GB2312" w:cs="Times New Roman"/>
          <w:kern w:val="2"/>
          <w:sz w:val="32"/>
          <w:szCs w:val="32"/>
          <w:shd w:val="clear" w:color="auto" w:fill="auto"/>
        </w:rPr>
      </w:pPr>
    </w:p>
    <w:p w14:paraId="75461854">
      <w:pPr>
        <w:pStyle w:val="13"/>
        <w:shd w:val="clear" w:color="auto" w:fill="FFFFFF"/>
        <w:ind w:firstLine="0"/>
        <w:jc w:val="both"/>
        <w:rPr>
          <w:rFonts w:ascii="仿宋_GB2312" w:eastAsia="仿宋_GB2312" w:cs="Times New Roman"/>
          <w:kern w:val="2"/>
          <w:sz w:val="32"/>
          <w:szCs w:val="32"/>
          <w:shd w:val="clear" w:color="auto" w:fill="auto"/>
        </w:rPr>
      </w:pPr>
    </w:p>
    <w:p w14:paraId="73274A4E">
      <w:pPr>
        <w:pStyle w:val="13"/>
        <w:shd w:val="clear" w:color="auto" w:fill="FFFFFF"/>
        <w:ind w:firstLine="0"/>
        <w:jc w:val="both"/>
        <w:rPr>
          <w:rFonts w:ascii="仿宋_GB2312" w:eastAsia="仿宋_GB2312" w:cs="Times New Roman"/>
          <w:kern w:val="2"/>
          <w:sz w:val="32"/>
          <w:szCs w:val="32"/>
          <w:shd w:val="clear" w:color="auto" w:fill="auto"/>
        </w:rPr>
      </w:pPr>
    </w:p>
    <w:p w14:paraId="7AA435C8">
      <w:pPr>
        <w:pStyle w:val="13"/>
        <w:shd w:val="clear" w:color="auto" w:fill="FFFFFF"/>
        <w:ind w:firstLine="0"/>
        <w:jc w:val="both"/>
        <w:rPr>
          <w:rFonts w:ascii="仿宋_GB2312" w:eastAsia="仿宋_GB2312" w:cs="Times New Roman"/>
          <w:kern w:val="2"/>
          <w:sz w:val="32"/>
          <w:szCs w:val="32"/>
          <w:shd w:val="clear" w:color="auto" w:fill="auto"/>
        </w:rPr>
      </w:pPr>
    </w:p>
    <w:p w14:paraId="0696CC00">
      <w:pPr>
        <w:pStyle w:val="13"/>
        <w:shd w:val="clear" w:color="auto" w:fill="FFFFFF"/>
        <w:ind w:firstLine="0"/>
        <w:jc w:val="both"/>
        <w:rPr>
          <w:rFonts w:ascii="仿宋_GB2312" w:eastAsia="仿宋_GB2312" w:cs="Times New Roman"/>
          <w:kern w:val="2"/>
          <w:sz w:val="32"/>
          <w:szCs w:val="32"/>
          <w:shd w:val="clear" w:color="auto" w:fill="auto"/>
        </w:rPr>
      </w:pPr>
    </w:p>
    <w:p w14:paraId="13621AB4">
      <w:pPr>
        <w:pStyle w:val="3"/>
        <w:keepNext/>
        <w:keepLines/>
        <w:pageBreakBefore w:val="0"/>
        <w:widowControl w:val="0"/>
        <w:suppressLineNumbers w:val="0"/>
        <w:shd w:val="clear" w:color="auto" w:fill="auto"/>
        <w:suppressAutoHyphens w:val="0"/>
        <w:kinsoku/>
        <w:wordWrap/>
        <w:overflowPunct/>
        <w:topLinePunct w:val="0"/>
        <w:autoSpaceDE/>
        <w:autoSpaceDN/>
        <w:spacing w:line="550" w:lineRule="atLeast"/>
        <w:ind w:firstLine="640" w:firstLineChars="200"/>
        <w:rPr>
          <w:rFonts w:ascii="黑体" w:eastAsia="黑体" w:cs="楷体"/>
          <w:b w:val="0"/>
          <w:i w:val="0"/>
          <w:caps w:val="0"/>
          <w:smallCaps w:val="0"/>
          <w:strike w:val="0"/>
          <w:dstrike w:val="0"/>
          <w:vanish w:val="0"/>
          <w:color w:val="000000"/>
          <w:kern w:val="2"/>
          <w:sz w:val="32"/>
          <w:szCs w:val="32"/>
          <w:shd w:val="clear" w:color="auto" w:fill="auto"/>
        </w:rPr>
      </w:pPr>
      <w:bookmarkStart w:id="25" w:name="_Toc28128"/>
      <w:r>
        <w:rPr>
          <w:rFonts w:ascii="黑体" w:eastAsia="黑体" w:cs="楷体"/>
          <w:b w:val="0"/>
          <w:i w:val="0"/>
          <w:caps w:val="0"/>
          <w:smallCaps w:val="0"/>
          <w:strike w:val="0"/>
          <w:dstrike w:val="0"/>
          <w:vanish w:val="0"/>
          <w:color w:val="000000"/>
          <w:kern w:val="2"/>
          <w:sz w:val="32"/>
          <w:szCs w:val="32"/>
          <w:shd w:val="clear" w:color="auto" w:fill="auto"/>
        </w:rPr>
        <w:t> 第四部分 附件</w:t>
      </w:r>
      <w:bookmarkEnd w:id="25"/>
    </w:p>
    <w:p w14:paraId="14171FB5">
      <w:pPr>
        <w:keepNext w:val="0"/>
        <w:keepLines w:val="0"/>
        <w:pageBreakBefore w:val="0"/>
        <w:widowControl w:val="0"/>
        <w:suppressLineNumbers w:val="0"/>
        <w:suppressAutoHyphens w:val="0"/>
        <w:kinsoku/>
        <w:wordWrap/>
        <w:overflowPunct/>
        <w:topLinePunct w:val="0"/>
        <w:autoSpaceDE/>
        <w:autoSpaceDN/>
        <w:spacing w:line="550" w:lineRule="atLeast"/>
        <w:outlineLvl w:val="0"/>
        <w:rPr>
          <w:rFonts w:hint="eastAsia" w:ascii="仿宋_GB2312" w:eastAsia="仿宋_GB2312" w:cs="Times New Roman"/>
          <w:kern w:val="2"/>
          <w:sz w:val="32"/>
          <w:szCs w:val="32"/>
        </w:rPr>
      </w:pPr>
      <w:bookmarkStart w:id="26" w:name="_Toc9395"/>
      <w:bookmarkStart w:id="27" w:name="_Toc30470"/>
      <w:bookmarkStart w:id="28" w:name="_Toc6482"/>
      <w:r>
        <w:rPr>
          <w:rFonts w:hint="eastAsia" w:ascii="仿宋_GB2312" w:eastAsia="仿宋_GB2312" w:cs="Times New Roman"/>
          <w:kern w:val="2"/>
          <w:sz w:val="32"/>
          <w:szCs w:val="32"/>
        </w:rPr>
        <w:t>附件</w:t>
      </w:r>
      <w:r>
        <w:rPr>
          <w:rFonts w:ascii="仿宋_GB2312" w:eastAsia="仿宋_GB2312" w:cs="Times New Roman"/>
          <w:kern w:val="2"/>
          <w:sz w:val="32"/>
          <w:szCs w:val="32"/>
        </w:rPr>
        <w:t>1</w:t>
      </w:r>
      <w:bookmarkEnd w:id="26"/>
      <w:bookmarkEnd w:id="27"/>
      <w:bookmarkEnd w:id="28"/>
    </w:p>
    <w:p w14:paraId="63251FE3">
      <w:pPr>
        <w:keepNext w:val="0"/>
        <w:keepLines w:val="0"/>
        <w:pageBreakBefore w:val="0"/>
        <w:widowControl w:val="0"/>
        <w:suppressLineNumbers w:val="0"/>
        <w:suppressAutoHyphens w:val="0"/>
        <w:kinsoku/>
        <w:wordWrap/>
        <w:overflowPunct/>
        <w:topLinePunct w:val="0"/>
        <w:autoSpaceDE/>
        <w:autoSpaceDN/>
        <w:spacing w:line="550" w:lineRule="atLeast"/>
        <w:jc w:val="center"/>
        <w:outlineLvl w:val="0"/>
        <w:rPr>
          <w:rFonts w:ascii="方正小标宋简体" w:eastAsia="方正小标宋简体" w:cs="方正小标宋简体"/>
          <w:kern w:val="2"/>
          <w:sz w:val="44"/>
          <w:szCs w:val="44"/>
          <w:shd w:val="clear" w:color="auto" w:fill="auto"/>
        </w:rPr>
      </w:pPr>
      <w:bookmarkStart w:id="29" w:name="_Toc29141"/>
      <w:bookmarkStart w:id="30" w:name="_Toc11856"/>
      <w:bookmarkStart w:id="31" w:name="_Toc17973"/>
      <w:bookmarkStart w:id="32" w:name="_Toc14415"/>
      <w:r>
        <w:rPr>
          <w:rFonts w:ascii="方正小标宋简体" w:eastAsia="方正小标宋简体" w:cs="方正小标宋简体"/>
          <w:kern w:val="2"/>
          <w:sz w:val="44"/>
          <w:szCs w:val="44"/>
          <w:shd w:val="clear" w:color="auto" w:fill="auto"/>
        </w:rPr>
        <w:t>红原县财政局</w:t>
      </w:r>
      <w:bookmarkEnd w:id="29"/>
      <w:bookmarkEnd w:id="30"/>
      <w:bookmarkEnd w:id="31"/>
      <w:bookmarkEnd w:id="32"/>
    </w:p>
    <w:p w14:paraId="00E148FE">
      <w:pPr>
        <w:keepNext w:val="0"/>
        <w:keepLines w:val="0"/>
        <w:pageBreakBefore w:val="0"/>
        <w:widowControl w:val="0"/>
        <w:suppressLineNumbers w:val="0"/>
        <w:suppressAutoHyphens w:val="0"/>
        <w:kinsoku/>
        <w:wordWrap/>
        <w:overflowPunct/>
        <w:topLinePunct w:val="0"/>
        <w:autoSpaceDE/>
        <w:autoSpaceDN/>
        <w:spacing w:line="550" w:lineRule="atLeast"/>
        <w:jc w:val="center"/>
        <w:outlineLvl w:val="0"/>
        <w:rPr>
          <w:rFonts w:hint="eastAsia" w:ascii="方正小标宋简体" w:eastAsia="方正小标宋简体" w:cs="方正小标宋简体"/>
          <w:kern w:val="2"/>
          <w:sz w:val="44"/>
          <w:szCs w:val="44"/>
          <w:shd w:val="clear" w:color="auto" w:fill="auto"/>
        </w:rPr>
      </w:pPr>
      <w:bookmarkStart w:id="33" w:name="_Toc26080"/>
      <w:bookmarkStart w:id="34" w:name="_Toc31591"/>
      <w:bookmarkStart w:id="35" w:name="_Toc26958"/>
      <w:bookmarkStart w:id="36" w:name="_Toc26484"/>
      <w:r>
        <w:rPr>
          <w:rFonts w:hint="eastAsia" w:ascii="方正小标宋简体" w:eastAsia="方正小标宋简体" w:cs="方正小标宋简体"/>
          <w:kern w:val="2"/>
          <w:sz w:val="44"/>
          <w:szCs w:val="44"/>
          <w:shd w:val="clear" w:color="auto" w:fill="auto"/>
        </w:rPr>
        <w:t>2021年部门整体绩效评价报告</w:t>
      </w:r>
      <w:bookmarkEnd w:id="33"/>
      <w:bookmarkEnd w:id="34"/>
      <w:bookmarkEnd w:id="35"/>
      <w:bookmarkEnd w:id="36"/>
    </w:p>
    <w:p w14:paraId="7D4DE299">
      <w:pPr>
        <w:pStyle w:val="13"/>
        <w:shd w:val="clear" w:color="auto" w:fill="FFFFFF"/>
        <w:ind w:left="420" w:firstLine="160" w:firstLineChars="50"/>
        <w:rPr>
          <w:rFonts w:ascii="黑体" w:eastAsia="黑体" w:cs="楷体"/>
          <w:bCs/>
          <w:color w:val="000000"/>
          <w:kern w:val="2"/>
          <w:sz w:val="32"/>
          <w:szCs w:val="32"/>
          <w:shd w:val="clear" w:color="auto" w:fill="auto"/>
        </w:rPr>
      </w:pPr>
      <w:r>
        <w:rPr>
          <w:rFonts w:ascii="黑体" w:eastAsia="黑体" w:cs="楷体"/>
          <w:bCs/>
          <w:color w:val="000000"/>
          <w:kern w:val="2"/>
          <w:sz w:val="32"/>
          <w:szCs w:val="32"/>
          <w:shd w:val="clear" w:color="auto" w:fill="auto"/>
        </w:rPr>
        <w:t> 一、部门（单位）概况</w:t>
      </w:r>
    </w:p>
    <w:p w14:paraId="6267F9DF">
      <w:pPr>
        <w:pStyle w:val="13"/>
        <w:numPr>
          <w:ilvl w:val="0"/>
          <w:numId w:val="2"/>
        </w:numPr>
        <w:shd w:val="clear" w:color="auto" w:fill="FFFFFF"/>
        <w:rPr>
          <w:rFonts w:ascii="仿宋_GB2312" w:eastAsia="仿宋_GB2312" w:cs="Times New Roman"/>
          <w:b/>
          <w:bCs/>
          <w:kern w:val="2"/>
          <w:sz w:val="32"/>
          <w:szCs w:val="20"/>
          <w:shd w:val="clear" w:color="auto" w:fill="auto"/>
        </w:rPr>
      </w:pPr>
      <w:r>
        <w:rPr>
          <w:rFonts w:ascii="仿宋_GB2312" w:eastAsia="仿宋_GB2312" w:cs="Times New Roman"/>
          <w:b/>
          <w:bCs/>
          <w:kern w:val="2"/>
          <w:sz w:val="32"/>
          <w:szCs w:val="20"/>
          <w:shd w:val="clear" w:color="auto" w:fill="auto"/>
        </w:rPr>
        <w:t>机构组成。</w:t>
      </w:r>
    </w:p>
    <w:p w14:paraId="5415A428">
      <w:pPr>
        <w:keepNext w:val="0"/>
        <w:keepLines w:val="0"/>
        <w:pageBreakBefore w:val="0"/>
        <w:widowControl w:val="0"/>
        <w:suppressLineNumbers w:val="0"/>
        <w:suppressAutoHyphens w:val="0"/>
        <w:spacing w:line="570" w:lineRule="exact"/>
        <w:ind w:left="0" w:firstLine="640" w:firstLineChars="200"/>
        <w:jc w:val="both"/>
        <w:rPr>
          <w:rFonts w:hint="eastAsia" w:ascii="仿宋_GB2312" w:eastAsia="仿宋_GB2312" w:cs="Times New Roman"/>
          <w:kern w:val="2"/>
          <w:sz w:val="32"/>
          <w:szCs w:val="32"/>
          <w:lang w:val="zh-CN"/>
        </w:rPr>
      </w:pPr>
      <w:r>
        <w:rPr>
          <w:rFonts w:hint="eastAsia" w:ascii="仿宋_GB2312" w:eastAsia="仿宋_GB2312" w:cs="Times New Roman"/>
          <w:kern w:val="2"/>
          <w:sz w:val="32"/>
          <w:szCs w:val="32"/>
        </w:rPr>
        <w:t>红原县财政局下设单位（股室）10个，其中行政单位股室6个，参照公务员法管理的事业单位股室1个：国库集中支付中心，其他事业单位股室3个分别是：网管中心、财政评审中心、国有资产管理中心。</w:t>
      </w:r>
    </w:p>
    <w:p w14:paraId="0E6A27EE">
      <w:pPr>
        <w:pStyle w:val="13"/>
        <w:shd w:val="clear" w:color="auto" w:fill="FFFFFF"/>
        <w:ind w:left="420" w:firstLine="161" w:firstLineChars="50"/>
        <w:rPr>
          <w:rFonts w:ascii="仿宋_GB2312" w:eastAsia="仿宋_GB2312" w:cs="Times New Roman"/>
          <w:b/>
          <w:bCs/>
          <w:kern w:val="2"/>
          <w:sz w:val="32"/>
          <w:szCs w:val="20"/>
          <w:shd w:val="clear" w:color="auto" w:fill="auto"/>
        </w:rPr>
      </w:pPr>
      <w:r>
        <w:rPr>
          <w:rFonts w:ascii="仿宋_GB2312" w:eastAsia="仿宋_GB2312" w:cs="Times New Roman"/>
          <w:b/>
          <w:bCs/>
          <w:kern w:val="2"/>
          <w:sz w:val="32"/>
          <w:szCs w:val="20"/>
          <w:shd w:val="clear" w:color="auto" w:fill="auto"/>
        </w:rPr>
        <w:t>（二）机构职能。</w:t>
      </w:r>
    </w:p>
    <w:p w14:paraId="2591E5A1">
      <w:pPr>
        <w:keepNext w:val="0"/>
        <w:keepLines w:val="0"/>
        <w:pageBreakBefore w:val="0"/>
        <w:widowControl w:val="0"/>
        <w:suppressLineNumbers w:val="0"/>
        <w:suppressAutoHyphens w:val="0"/>
        <w:spacing w:line="570" w:lineRule="exact"/>
        <w:ind w:left="0" w:firstLine="640" w:firstLineChars="200"/>
        <w:jc w:val="both"/>
        <w:rPr>
          <w:rFonts w:hint="eastAsia" w:ascii="仿宋_GB2312" w:eastAsia="仿宋_GB2312" w:cs="Times New Roman"/>
          <w:kern w:val="2"/>
          <w:sz w:val="32"/>
          <w:szCs w:val="32"/>
        </w:rPr>
      </w:pPr>
      <w:r>
        <w:rPr>
          <w:rFonts w:hint="eastAsia" w:ascii="仿宋_GB2312" w:eastAsia="仿宋_GB2312" w:cs="Times New Roman"/>
          <w:kern w:val="2"/>
          <w:sz w:val="32"/>
          <w:szCs w:val="32"/>
        </w:rPr>
        <w:t>（1）拟定和执行红原县财政的发展战略、规划、方针政策，分析研究中、长期财政规划执行情况；贯彻执行财政分配政策和财政改革方案；参与宏观经济分析预测和全县重大宏观经济政策的制定；提出运用财税政策实施宏观经济调控和综合平衡全县财力的建议；制定构建地方公共财政体系的政策、制度；指导全县财政工作。</w:t>
      </w:r>
    </w:p>
    <w:p w14:paraId="1D2FD750">
      <w:pPr>
        <w:keepNext w:val="0"/>
        <w:keepLines w:val="0"/>
        <w:pageBreakBefore w:val="0"/>
        <w:widowControl w:val="0"/>
        <w:suppressLineNumbers w:val="0"/>
        <w:suppressAutoHyphens w:val="0"/>
        <w:spacing w:line="570" w:lineRule="exact"/>
        <w:ind w:left="0" w:firstLine="640" w:firstLineChars="200"/>
        <w:jc w:val="both"/>
        <w:rPr>
          <w:rFonts w:hint="eastAsia" w:ascii="仿宋_GB2312" w:eastAsia="仿宋_GB2312" w:cs="Times New Roman"/>
          <w:kern w:val="2"/>
          <w:sz w:val="32"/>
          <w:szCs w:val="32"/>
        </w:rPr>
      </w:pPr>
      <w:r>
        <w:rPr>
          <w:rFonts w:hint="eastAsia" w:ascii="仿宋_GB2312" w:eastAsia="仿宋_GB2312" w:cs="Times New Roman"/>
          <w:kern w:val="2"/>
          <w:sz w:val="32"/>
          <w:szCs w:val="32"/>
        </w:rPr>
        <w:t>（2）贯彻执行国家财税方面的法律、法规和方针、政策，负责组织起草地方性财税法规草案、实施办法和规章制度并组织实施。管理中央转贷的特种国债。</w:t>
      </w:r>
    </w:p>
    <w:p w14:paraId="6CBB1198">
      <w:pPr>
        <w:keepNext w:val="0"/>
        <w:keepLines w:val="0"/>
        <w:pageBreakBefore w:val="0"/>
        <w:widowControl w:val="0"/>
        <w:suppressLineNumbers w:val="0"/>
        <w:suppressAutoHyphens w:val="0"/>
        <w:spacing w:line="570" w:lineRule="exact"/>
        <w:ind w:left="0" w:firstLine="640" w:firstLineChars="200"/>
        <w:jc w:val="both"/>
        <w:rPr>
          <w:rFonts w:hint="eastAsia" w:ascii="仿宋_GB2312" w:eastAsia="仿宋_GB2312" w:cs="Times New Roman"/>
          <w:kern w:val="2"/>
          <w:sz w:val="32"/>
          <w:szCs w:val="32"/>
        </w:rPr>
      </w:pPr>
      <w:r>
        <w:rPr>
          <w:rFonts w:hint="eastAsia" w:ascii="仿宋_GB2312" w:eastAsia="仿宋_GB2312" w:cs="Times New Roman"/>
          <w:kern w:val="2"/>
          <w:sz w:val="32"/>
          <w:szCs w:val="32"/>
        </w:rPr>
        <w:t>（3）承担各项财政收支管理的责任。负责编制年度县级预算草案并组织执行；受县政府委托，向县人民代表大会报告 县本级财政预算及其执行情况，向县人大常委会报告决算；组织制定经费开支标准、定额，负责审核批复部门（单位）的年度预决算。</w:t>
      </w:r>
    </w:p>
    <w:p w14:paraId="7F6D3CEC">
      <w:pPr>
        <w:keepNext w:val="0"/>
        <w:keepLines w:val="0"/>
        <w:pageBreakBefore w:val="0"/>
        <w:widowControl w:val="0"/>
        <w:suppressLineNumbers w:val="0"/>
        <w:suppressAutoHyphens w:val="0"/>
        <w:spacing w:line="570" w:lineRule="exact"/>
        <w:ind w:left="0" w:firstLine="640" w:firstLineChars="200"/>
        <w:jc w:val="both"/>
        <w:rPr>
          <w:rFonts w:hint="eastAsia" w:ascii="仿宋_GB2312" w:eastAsia="仿宋_GB2312" w:cs="Times New Roman"/>
          <w:kern w:val="2"/>
          <w:sz w:val="32"/>
          <w:szCs w:val="32"/>
        </w:rPr>
      </w:pPr>
      <w:r>
        <w:rPr>
          <w:rFonts w:hint="eastAsia" w:ascii="仿宋_GB2312" w:eastAsia="仿宋_GB2312" w:cs="Times New Roman"/>
          <w:kern w:val="2"/>
          <w:sz w:val="32"/>
          <w:szCs w:val="32"/>
        </w:rPr>
        <w:t>（4）负责政府非税收入管理。负责政府性基金管理，按规定管理行政事业性收费。管理财政票据。按规定管理彩票基金。</w:t>
      </w:r>
    </w:p>
    <w:p w14:paraId="695BE782">
      <w:pPr>
        <w:keepNext w:val="0"/>
        <w:keepLines w:val="0"/>
        <w:pageBreakBefore w:val="0"/>
        <w:widowControl w:val="0"/>
        <w:suppressLineNumbers w:val="0"/>
        <w:suppressAutoHyphens w:val="0"/>
        <w:spacing w:line="570" w:lineRule="exact"/>
        <w:ind w:left="0" w:firstLine="640" w:firstLineChars="200"/>
        <w:jc w:val="both"/>
        <w:rPr>
          <w:rFonts w:hint="eastAsia" w:ascii="仿宋_GB2312" w:eastAsia="仿宋_GB2312" w:cs="Times New Roman"/>
          <w:kern w:val="2"/>
          <w:sz w:val="32"/>
          <w:szCs w:val="32"/>
        </w:rPr>
      </w:pPr>
      <w:r>
        <w:rPr>
          <w:rFonts w:hint="eastAsia" w:ascii="仿宋_GB2312" w:eastAsia="仿宋_GB2312" w:cs="Times New Roman"/>
          <w:kern w:val="2"/>
          <w:sz w:val="32"/>
          <w:szCs w:val="32"/>
        </w:rPr>
        <w:t>（5）组织制定全县国库管理制度、国库集中收付制度，指导和监督国库业务，按规定开展国库现金管理工作。负责制定政府采购制度，监督管理全县政府采购工作。</w:t>
      </w:r>
    </w:p>
    <w:p w14:paraId="713787C3">
      <w:pPr>
        <w:keepNext w:val="0"/>
        <w:keepLines w:val="0"/>
        <w:pageBreakBefore w:val="0"/>
        <w:widowControl w:val="0"/>
        <w:suppressLineNumbers w:val="0"/>
        <w:suppressAutoHyphens w:val="0"/>
        <w:spacing w:line="570" w:lineRule="exact"/>
        <w:ind w:left="0" w:firstLine="640" w:firstLineChars="200"/>
        <w:jc w:val="both"/>
        <w:rPr>
          <w:rFonts w:hint="eastAsia" w:ascii="仿宋_GB2312" w:eastAsia="仿宋_GB2312" w:cs="Times New Roman"/>
          <w:kern w:val="2"/>
          <w:sz w:val="32"/>
          <w:szCs w:val="32"/>
        </w:rPr>
      </w:pPr>
      <w:r>
        <w:rPr>
          <w:rFonts w:hint="eastAsia" w:ascii="仿宋_GB2312" w:eastAsia="仿宋_GB2312" w:cs="Times New Roman"/>
          <w:kern w:val="2"/>
          <w:sz w:val="32"/>
          <w:szCs w:val="32"/>
        </w:rPr>
        <w:t>（6）会同有关部门管理全县社会保障和就业及医疗卫生支出，会同有关部门拟定社会保障资金（基金）的财务管理制度，编制县级社会保障预决算草案。</w:t>
      </w:r>
    </w:p>
    <w:p w14:paraId="5FCC16CC">
      <w:pPr>
        <w:keepNext w:val="0"/>
        <w:keepLines w:val="0"/>
        <w:pageBreakBefore w:val="0"/>
        <w:widowControl w:val="0"/>
        <w:suppressLineNumbers w:val="0"/>
        <w:suppressAutoHyphens w:val="0"/>
        <w:spacing w:line="570" w:lineRule="exact"/>
        <w:ind w:left="0" w:firstLine="640" w:firstLineChars="200"/>
        <w:jc w:val="both"/>
        <w:rPr>
          <w:rFonts w:hint="eastAsia" w:ascii="仿宋_GB2312" w:eastAsia="仿宋_GB2312" w:cs="Times New Roman"/>
          <w:kern w:val="2"/>
          <w:sz w:val="32"/>
          <w:szCs w:val="32"/>
        </w:rPr>
      </w:pPr>
      <w:r>
        <w:rPr>
          <w:rFonts w:hint="eastAsia" w:ascii="仿宋_GB2312" w:eastAsia="仿宋_GB2312" w:cs="Times New Roman"/>
          <w:kern w:val="2"/>
          <w:sz w:val="32"/>
          <w:szCs w:val="32"/>
        </w:rPr>
        <w:t>（7）负责组织执行政府债务管理制度和政策，制定具体管理办法，负责管理政府债务，防范财政风险。</w:t>
      </w:r>
    </w:p>
    <w:p w14:paraId="6C7A54EC">
      <w:pPr>
        <w:keepNext w:val="0"/>
        <w:keepLines w:val="0"/>
        <w:pageBreakBefore w:val="0"/>
        <w:widowControl w:val="0"/>
        <w:suppressLineNumbers w:val="0"/>
        <w:suppressAutoHyphens w:val="0"/>
        <w:spacing w:line="570" w:lineRule="exact"/>
        <w:ind w:left="0" w:firstLine="640" w:firstLineChars="200"/>
        <w:jc w:val="both"/>
        <w:rPr>
          <w:rFonts w:hint="eastAsia" w:ascii="仿宋_GB2312" w:eastAsia="仿宋_GB2312" w:cs="Times New Roman"/>
          <w:kern w:val="2"/>
          <w:sz w:val="32"/>
          <w:szCs w:val="32"/>
        </w:rPr>
      </w:pPr>
      <w:r>
        <w:rPr>
          <w:rFonts w:hint="eastAsia" w:ascii="仿宋_GB2312" w:eastAsia="仿宋_GB2312" w:cs="Times New Roman"/>
          <w:kern w:val="2"/>
          <w:sz w:val="32"/>
          <w:szCs w:val="32"/>
        </w:rPr>
        <w:t>（8）负责审核和汇总编制全县国有资本经营预决算草案，制定国有资本经营预算的制度和办法，收取县本级企业国有资本收益，组织实施企业财务制度，按规定管理金融类国有资产，参与拟定企业国有资产管理相关制度，按规定管理资产评估工作。</w:t>
      </w:r>
    </w:p>
    <w:p w14:paraId="04A36729">
      <w:pPr>
        <w:keepNext w:val="0"/>
        <w:keepLines w:val="0"/>
        <w:pageBreakBefore w:val="0"/>
        <w:widowControl w:val="0"/>
        <w:suppressLineNumbers w:val="0"/>
        <w:suppressAutoHyphens w:val="0"/>
        <w:spacing w:line="570" w:lineRule="exact"/>
        <w:ind w:left="0" w:firstLine="640" w:firstLineChars="200"/>
        <w:jc w:val="both"/>
        <w:rPr>
          <w:rFonts w:hint="eastAsia" w:ascii="仿宋_GB2312" w:eastAsia="仿宋_GB2312" w:cs="Times New Roman"/>
          <w:kern w:val="2"/>
          <w:sz w:val="32"/>
          <w:szCs w:val="32"/>
        </w:rPr>
      </w:pPr>
      <w:r>
        <w:rPr>
          <w:rFonts w:hint="eastAsia" w:ascii="仿宋_GB2312" w:eastAsia="仿宋_GB2312" w:cs="Times New Roman"/>
          <w:kern w:val="2"/>
          <w:sz w:val="32"/>
          <w:szCs w:val="32"/>
        </w:rPr>
        <w:t>（9）负责制定全县行政事业单位国有资产管理规章制度及县级机关事业国有资产收益管理办法并对执行情况进行监督检查，负责县级机关国有资产经营收益财政专户管理工作。制定需要全县同意规定的开支标准和支出政策。</w:t>
      </w:r>
    </w:p>
    <w:p w14:paraId="70157F73">
      <w:pPr>
        <w:keepNext w:val="0"/>
        <w:keepLines w:val="0"/>
        <w:pageBreakBefore w:val="0"/>
        <w:widowControl w:val="0"/>
        <w:suppressLineNumbers w:val="0"/>
        <w:suppressAutoHyphens w:val="0"/>
        <w:spacing w:line="570" w:lineRule="exact"/>
        <w:ind w:left="0" w:firstLine="640" w:firstLineChars="200"/>
        <w:jc w:val="both"/>
        <w:rPr>
          <w:rFonts w:hint="eastAsia" w:ascii="仿宋_GB2312" w:eastAsia="仿宋_GB2312" w:cs="Times New Roman"/>
          <w:kern w:val="2"/>
          <w:sz w:val="32"/>
          <w:szCs w:val="32"/>
        </w:rPr>
      </w:pPr>
      <w:r>
        <w:rPr>
          <w:rFonts w:hint="eastAsia" w:ascii="仿宋_GB2312" w:eastAsia="仿宋_GB2312" w:cs="Times New Roman"/>
          <w:kern w:val="2"/>
          <w:sz w:val="32"/>
          <w:szCs w:val="32"/>
        </w:rPr>
        <w:t>（10）负责办理和监督财政性经济发展支出、政府性投资项目的财政拨款，负责投资评审管理工作，参与拟定政府性建设投资的有关政策，制定基本建设财务制度，负责有关政策性补贴和专项储备资金财务管理工作。负责全县农业综合开发管理工作。</w:t>
      </w:r>
    </w:p>
    <w:p w14:paraId="24F19628">
      <w:pPr>
        <w:keepNext w:val="0"/>
        <w:keepLines w:val="0"/>
        <w:pageBreakBefore w:val="0"/>
        <w:widowControl w:val="0"/>
        <w:suppressLineNumbers w:val="0"/>
        <w:suppressAutoHyphens w:val="0"/>
        <w:spacing w:line="570" w:lineRule="exact"/>
        <w:ind w:left="0" w:firstLine="640" w:firstLineChars="200"/>
        <w:jc w:val="both"/>
        <w:rPr>
          <w:rFonts w:hint="eastAsia" w:ascii="仿宋_GB2312" w:eastAsia="仿宋_GB2312" w:cs="Times New Roman"/>
          <w:kern w:val="2"/>
          <w:sz w:val="32"/>
          <w:szCs w:val="32"/>
        </w:rPr>
      </w:pPr>
      <w:r>
        <w:rPr>
          <w:rFonts w:hint="eastAsia" w:ascii="仿宋_GB2312" w:eastAsia="仿宋_GB2312" w:cs="Times New Roman"/>
          <w:kern w:val="2"/>
          <w:sz w:val="32"/>
          <w:szCs w:val="32"/>
        </w:rPr>
        <w:t>（11）负责管理全县会计工作，监督和规范会计行为，组织实施国家统一会计制度和补充规定；会同有关部门管理会计专业技术职称工作。</w:t>
      </w:r>
    </w:p>
    <w:p w14:paraId="33200056">
      <w:pPr>
        <w:keepNext w:val="0"/>
        <w:keepLines w:val="0"/>
        <w:pageBreakBefore w:val="0"/>
        <w:widowControl w:val="0"/>
        <w:suppressLineNumbers w:val="0"/>
        <w:suppressAutoHyphens w:val="0"/>
        <w:spacing w:line="570" w:lineRule="exact"/>
        <w:ind w:left="0" w:firstLine="640" w:firstLineChars="200"/>
        <w:jc w:val="both"/>
        <w:rPr>
          <w:rFonts w:hint="eastAsia" w:ascii="仿宋_GB2312" w:eastAsia="仿宋_GB2312" w:cs="Times New Roman"/>
          <w:kern w:val="2"/>
          <w:sz w:val="32"/>
          <w:szCs w:val="32"/>
        </w:rPr>
      </w:pPr>
      <w:r>
        <w:rPr>
          <w:rFonts w:hint="eastAsia" w:ascii="仿宋_GB2312" w:eastAsia="仿宋_GB2312" w:cs="Times New Roman"/>
          <w:kern w:val="2"/>
          <w:sz w:val="32"/>
          <w:szCs w:val="32"/>
        </w:rPr>
        <w:t>（12）负责财政资金绩效评价。监督检查财税政策、法律法规的执行情况，反映财政收支中的重大问题。依法查处重点违反财经纪律的行为。</w:t>
      </w:r>
    </w:p>
    <w:p w14:paraId="28F0775A">
      <w:pPr>
        <w:keepNext w:val="0"/>
        <w:keepLines w:val="0"/>
        <w:pageBreakBefore w:val="0"/>
        <w:widowControl w:val="0"/>
        <w:suppressLineNumbers w:val="0"/>
        <w:suppressAutoHyphens w:val="0"/>
        <w:spacing w:line="570" w:lineRule="exact"/>
        <w:ind w:left="0" w:firstLine="640" w:firstLineChars="200"/>
        <w:jc w:val="both"/>
        <w:rPr>
          <w:rFonts w:hint="eastAsia" w:ascii="仿宋_GB2312" w:eastAsia="仿宋_GB2312" w:cs="Times New Roman"/>
          <w:kern w:val="2"/>
          <w:sz w:val="32"/>
          <w:szCs w:val="32"/>
        </w:rPr>
      </w:pPr>
      <w:r>
        <w:rPr>
          <w:rFonts w:hint="eastAsia" w:ascii="仿宋_GB2312" w:eastAsia="仿宋_GB2312" w:cs="Times New Roman"/>
          <w:kern w:val="2"/>
          <w:sz w:val="32"/>
          <w:szCs w:val="32"/>
        </w:rPr>
        <w:t>（13）制定财政科研计划和教育培训规划；组织财政业务培训；负责财政信息和财政宣传工作；指导全县财政系统抓好精神文明建设和廉政建设，做好财政系统干部职工的思想政治工作。</w:t>
      </w:r>
    </w:p>
    <w:p w14:paraId="12196A93">
      <w:pPr>
        <w:keepNext w:val="0"/>
        <w:keepLines w:val="0"/>
        <w:pageBreakBefore w:val="0"/>
        <w:widowControl w:val="0"/>
        <w:suppressLineNumbers w:val="0"/>
        <w:suppressAutoHyphens w:val="0"/>
        <w:spacing w:line="570" w:lineRule="exact"/>
        <w:ind w:left="0" w:firstLine="640" w:firstLineChars="200"/>
        <w:jc w:val="both"/>
        <w:rPr>
          <w:rFonts w:hint="eastAsia" w:ascii="仿宋_GB2312" w:eastAsia="仿宋_GB2312" w:cs="Times New Roman"/>
          <w:kern w:val="2"/>
          <w:sz w:val="32"/>
          <w:szCs w:val="32"/>
        </w:rPr>
      </w:pPr>
      <w:r>
        <w:rPr>
          <w:rFonts w:hint="eastAsia" w:ascii="仿宋_GB2312" w:eastAsia="仿宋_GB2312" w:cs="Times New Roman"/>
          <w:kern w:val="2"/>
          <w:sz w:val="32"/>
          <w:szCs w:val="32"/>
        </w:rPr>
        <w:t>（14）承担县政府公布的有关行政审批事项。</w:t>
      </w:r>
    </w:p>
    <w:p w14:paraId="01E2BDA0">
      <w:pPr>
        <w:keepNext w:val="0"/>
        <w:keepLines w:val="0"/>
        <w:pageBreakBefore w:val="0"/>
        <w:widowControl w:val="0"/>
        <w:suppressLineNumbers w:val="0"/>
        <w:suppressAutoHyphens w:val="0"/>
        <w:spacing w:line="570" w:lineRule="exact"/>
        <w:ind w:left="0" w:firstLine="640" w:firstLineChars="200"/>
        <w:jc w:val="both"/>
        <w:rPr>
          <w:rFonts w:hint="eastAsia" w:ascii="仿宋_GB2312" w:eastAsia="仿宋_GB2312" w:cs="Times New Roman"/>
          <w:kern w:val="2"/>
          <w:sz w:val="32"/>
          <w:szCs w:val="32"/>
        </w:rPr>
      </w:pPr>
      <w:r>
        <w:rPr>
          <w:rFonts w:hint="eastAsia" w:ascii="仿宋_GB2312" w:eastAsia="仿宋_GB2312" w:cs="Times New Roman"/>
          <w:kern w:val="2"/>
          <w:sz w:val="32"/>
          <w:szCs w:val="32"/>
        </w:rPr>
        <w:t>（15）承办县政府交办的其他事项。</w:t>
      </w:r>
    </w:p>
    <w:p w14:paraId="32695DE9">
      <w:pPr>
        <w:pStyle w:val="13"/>
        <w:shd w:val="clear" w:color="auto" w:fill="FFFFFF"/>
        <w:ind w:left="420" w:firstLine="161" w:firstLineChars="50"/>
        <w:rPr>
          <w:rFonts w:ascii="仿宋_GB2312" w:eastAsia="仿宋_GB2312" w:cs="Times New Roman"/>
          <w:b/>
          <w:bCs/>
          <w:kern w:val="2"/>
          <w:sz w:val="32"/>
          <w:szCs w:val="20"/>
          <w:shd w:val="clear" w:color="auto" w:fill="auto"/>
        </w:rPr>
      </w:pPr>
      <w:r>
        <w:rPr>
          <w:rFonts w:ascii="仿宋_GB2312" w:eastAsia="仿宋_GB2312" w:cs="Times New Roman"/>
          <w:b/>
          <w:bCs/>
          <w:kern w:val="2"/>
          <w:sz w:val="32"/>
          <w:szCs w:val="20"/>
          <w:shd w:val="clear" w:color="auto" w:fill="auto"/>
        </w:rPr>
        <w:t>（三）人员概况。</w:t>
      </w:r>
    </w:p>
    <w:p w14:paraId="691BC2D6">
      <w:pPr>
        <w:keepNext w:val="0"/>
        <w:keepLines w:val="0"/>
        <w:pageBreakBefore w:val="0"/>
        <w:widowControl w:val="0"/>
        <w:suppressLineNumbers w:val="0"/>
        <w:suppressAutoHyphens w:val="0"/>
        <w:spacing w:line="570" w:lineRule="exact"/>
        <w:ind w:left="0" w:firstLine="640" w:firstLineChars="200"/>
        <w:jc w:val="both"/>
        <w:rPr>
          <w:rFonts w:hint="eastAsia" w:ascii="仿宋_GB2312" w:eastAsia="仿宋_GB2312" w:cs="Times New Roman"/>
          <w:kern w:val="2"/>
          <w:sz w:val="32"/>
          <w:szCs w:val="32"/>
        </w:rPr>
      </w:pPr>
      <w:r>
        <w:rPr>
          <w:rFonts w:hint="eastAsia" w:ascii="仿宋_GB2312" w:eastAsia="仿宋_GB2312" w:cs="Times New Roman"/>
          <w:kern w:val="2"/>
          <w:sz w:val="32"/>
          <w:szCs w:val="32"/>
        </w:rPr>
        <w:t>我单位为独立核算全额拨款行政单位，截止2021年底我单位共有编制42个，在职39人。</w:t>
      </w:r>
    </w:p>
    <w:p w14:paraId="2DD53937">
      <w:pPr>
        <w:pStyle w:val="13"/>
        <w:shd w:val="clear" w:color="auto" w:fill="FFFFFF"/>
        <w:ind w:left="420" w:firstLine="160" w:firstLineChars="50"/>
        <w:rPr>
          <w:rFonts w:ascii="黑体" w:eastAsia="黑体" w:cs="楷体"/>
          <w:bCs/>
          <w:color w:val="000000"/>
          <w:kern w:val="2"/>
          <w:sz w:val="32"/>
          <w:szCs w:val="32"/>
          <w:shd w:val="clear" w:color="auto" w:fill="auto"/>
        </w:rPr>
      </w:pPr>
      <w:r>
        <w:rPr>
          <w:rFonts w:ascii="黑体" w:eastAsia="黑体" w:cs="楷体"/>
          <w:bCs/>
          <w:color w:val="000000"/>
          <w:kern w:val="2"/>
          <w:sz w:val="32"/>
          <w:szCs w:val="32"/>
          <w:shd w:val="clear" w:color="auto" w:fill="auto"/>
        </w:rPr>
        <w:t>二、部门财政资金收支情况</w:t>
      </w:r>
    </w:p>
    <w:p w14:paraId="533BF5AE">
      <w:pPr>
        <w:pStyle w:val="13"/>
        <w:numPr>
          <w:ilvl w:val="0"/>
          <w:numId w:val="3"/>
        </w:numPr>
        <w:shd w:val="clear" w:color="auto" w:fill="FFFFFF"/>
        <w:rPr>
          <w:rFonts w:ascii="仿宋_GB2312" w:eastAsia="仿宋_GB2312" w:cs="Times New Roman"/>
          <w:b/>
          <w:bCs/>
          <w:kern w:val="2"/>
          <w:sz w:val="32"/>
          <w:szCs w:val="20"/>
          <w:shd w:val="clear" w:color="auto" w:fill="auto"/>
        </w:rPr>
      </w:pPr>
      <w:r>
        <w:rPr>
          <w:rFonts w:ascii="仿宋_GB2312" w:eastAsia="仿宋_GB2312" w:cs="Times New Roman"/>
          <w:b/>
          <w:bCs/>
          <w:kern w:val="2"/>
          <w:sz w:val="32"/>
          <w:szCs w:val="20"/>
          <w:shd w:val="clear" w:color="auto" w:fill="auto"/>
        </w:rPr>
        <w:t>部门财政资金收入情况。</w:t>
      </w:r>
    </w:p>
    <w:p w14:paraId="340B0A00">
      <w:pPr>
        <w:keepNext w:val="0"/>
        <w:keepLines w:val="0"/>
        <w:pageBreakBefore w:val="0"/>
        <w:widowControl w:val="0"/>
        <w:suppressLineNumbers w:val="0"/>
        <w:suppressAutoHyphens w:val="0"/>
        <w:spacing w:line="570" w:lineRule="exact"/>
        <w:ind w:left="0" w:firstLine="640" w:firstLineChars="200"/>
        <w:jc w:val="both"/>
        <w:rPr>
          <w:rFonts w:hint="eastAsia" w:ascii="仿宋_GB2312" w:eastAsia="仿宋_GB2312" w:cs="Times New Roman"/>
          <w:bCs/>
          <w:kern w:val="2"/>
          <w:sz w:val="32"/>
          <w:szCs w:val="32"/>
        </w:rPr>
      </w:pPr>
      <w:r>
        <w:rPr>
          <w:rFonts w:hint="eastAsia" w:ascii="仿宋_GB2312" w:eastAsia="仿宋_GB2312" w:cs="Times New Roman"/>
          <w:kern w:val="2"/>
          <w:sz w:val="32"/>
          <w:szCs w:val="32"/>
        </w:rPr>
        <w:t>本单位2021年本年收入合计1,111.46万元，其中：财政拨款收入1,111.46万元，占100.00%。</w:t>
      </w:r>
    </w:p>
    <w:p w14:paraId="3CFB3811">
      <w:pPr>
        <w:pStyle w:val="13"/>
        <w:shd w:val="clear" w:color="auto" w:fill="FFFFFF"/>
        <w:ind w:firstLine="643" w:firstLineChars="200"/>
        <w:rPr>
          <w:rFonts w:ascii="仿宋_GB2312" w:eastAsia="仿宋_GB2312" w:cs="Times New Roman"/>
          <w:b/>
          <w:bCs/>
          <w:kern w:val="2"/>
          <w:sz w:val="32"/>
          <w:szCs w:val="20"/>
          <w:shd w:val="clear" w:color="auto" w:fill="auto"/>
        </w:rPr>
      </w:pPr>
      <w:r>
        <w:rPr>
          <w:rFonts w:ascii="仿宋_GB2312" w:eastAsia="仿宋_GB2312" w:cs="Times New Roman"/>
          <w:b/>
          <w:bCs/>
          <w:kern w:val="2"/>
          <w:sz w:val="32"/>
          <w:szCs w:val="20"/>
          <w:shd w:val="clear" w:color="auto" w:fill="auto"/>
        </w:rPr>
        <w:t>（二）部门财政资金支出情况。</w:t>
      </w:r>
    </w:p>
    <w:p w14:paraId="373AE2F8">
      <w:pPr>
        <w:keepNext w:val="0"/>
        <w:keepLines w:val="0"/>
        <w:pageBreakBefore w:val="0"/>
        <w:widowControl w:val="0"/>
        <w:suppressLineNumbers w:val="0"/>
        <w:suppressAutoHyphens w:val="0"/>
        <w:spacing w:line="570" w:lineRule="exact"/>
        <w:ind w:left="0" w:firstLine="640" w:firstLineChars="200"/>
        <w:jc w:val="both"/>
        <w:rPr>
          <w:rFonts w:hint="eastAsia" w:ascii="仿宋_GB2312" w:eastAsia="仿宋_GB2312" w:cs="Times New Roman"/>
          <w:bCs/>
          <w:kern w:val="2"/>
          <w:sz w:val="32"/>
          <w:szCs w:val="32"/>
        </w:rPr>
      </w:pPr>
      <w:r>
        <w:rPr>
          <w:rFonts w:hint="eastAsia" w:ascii="仿宋_GB2312" w:eastAsia="仿宋_GB2312" w:cs="Times New Roman"/>
          <w:kern w:val="2"/>
          <w:sz w:val="32"/>
          <w:szCs w:val="32"/>
        </w:rPr>
        <w:t>本单位2021年本年支出合计1,111.46万元，其中：基本支出763.25万元，占68.67%；项目支出348.2</w:t>
      </w:r>
      <w:r>
        <w:rPr>
          <w:rFonts w:ascii="仿宋_GB2312" w:eastAsia="仿宋_GB2312" w:cs="Times New Roman"/>
          <w:kern w:val="2"/>
          <w:sz w:val="32"/>
          <w:szCs w:val="32"/>
        </w:rPr>
        <w:t>1</w:t>
      </w:r>
      <w:r>
        <w:rPr>
          <w:rFonts w:hint="eastAsia" w:ascii="仿宋_GB2312" w:eastAsia="仿宋_GB2312" w:cs="Times New Roman"/>
          <w:kern w:val="2"/>
          <w:sz w:val="32"/>
          <w:szCs w:val="32"/>
        </w:rPr>
        <w:t>万元，占31.33%。</w:t>
      </w:r>
    </w:p>
    <w:p w14:paraId="0BC07575">
      <w:pPr>
        <w:pStyle w:val="13"/>
        <w:shd w:val="clear" w:color="auto" w:fill="FFFFFF"/>
        <w:ind w:left="420" w:firstLine="160" w:firstLineChars="50"/>
        <w:rPr>
          <w:rFonts w:ascii="黑体" w:eastAsia="黑体" w:cs="楷体"/>
          <w:bCs/>
          <w:color w:val="000000"/>
          <w:kern w:val="2"/>
          <w:sz w:val="32"/>
          <w:szCs w:val="32"/>
          <w:shd w:val="clear" w:color="auto" w:fill="auto"/>
        </w:rPr>
      </w:pPr>
      <w:r>
        <w:rPr>
          <w:rFonts w:ascii="黑体" w:eastAsia="黑体" w:cs="楷体"/>
          <w:bCs/>
          <w:color w:val="000000"/>
          <w:kern w:val="2"/>
          <w:sz w:val="32"/>
          <w:szCs w:val="32"/>
          <w:shd w:val="clear" w:color="auto" w:fill="auto"/>
        </w:rPr>
        <w:t>三、部门整体预算绩效管理情况</w:t>
      </w:r>
    </w:p>
    <w:p w14:paraId="69432F5F">
      <w:pPr>
        <w:keepNext w:val="0"/>
        <w:keepLines w:val="0"/>
        <w:pageBreakBefore w:val="0"/>
        <w:widowControl w:val="0"/>
        <w:suppressLineNumbers w:val="0"/>
        <w:suppressAutoHyphens w:val="0"/>
        <w:kinsoku/>
        <w:wordWrap/>
        <w:overflowPunct/>
        <w:topLinePunct w:val="0"/>
        <w:autoSpaceDE/>
        <w:autoSpaceDN/>
        <w:bidi w:val="0"/>
        <w:spacing w:line="500" w:lineRule="exact"/>
        <w:ind w:left="0" w:right="0" w:firstLine="640" w:firstLineChars="200"/>
        <w:textAlignment w:val="auto"/>
        <w:outlineLvl w:val="9"/>
        <w:rPr>
          <w:rFonts w:hint="eastAsia" w:ascii="仿宋_GB2312" w:eastAsia="仿宋_GB2312" w:cs="仿宋_GB2312"/>
          <w:b w:val="0"/>
          <w:bCs w:val="0"/>
          <w:color w:val="000000"/>
          <w:sz w:val="32"/>
          <w:szCs w:val="32"/>
          <w:lang w:val="zh-CN" w:eastAsia="zh-CN"/>
        </w:rPr>
      </w:pPr>
      <w:r>
        <w:rPr>
          <w:rFonts w:hint="eastAsia" w:ascii="仿宋_GB2312" w:eastAsia="仿宋_GB2312" w:cs="仿宋_GB2312"/>
          <w:b w:val="0"/>
          <w:bCs w:val="0"/>
          <w:color w:val="000000"/>
          <w:sz w:val="32"/>
          <w:szCs w:val="32"/>
          <w:lang w:val="zh-CN" w:eastAsia="zh-CN"/>
        </w:rPr>
        <w:t>通过整体绩效自评，反映本部门能按照</w:t>
      </w:r>
      <w:r>
        <w:rPr>
          <w:rFonts w:ascii="仿宋_GB2312" w:eastAsia="仿宋_GB2312" w:cs="仿宋_GB2312"/>
          <w:b w:val="0"/>
          <w:bCs w:val="0"/>
          <w:color w:val="000000"/>
          <w:sz w:val="32"/>
          <w:szCs w:val="32"/>
          <w:lang w:val="zh-CN" w:eastAsia="zh-CN"/>
        </w:rPr>
        <w:t>财政</w:t>
      </w:r>
      <w:r>
        <w:rPr>
          <w:rFonts w:hint="eastAsia" w:ascii="仿宋_GB2312" w:eastAsia="仿宋_GB2312" w:cs="仿宋_GB2312"/>
          <w:b w:val="0"/>
          <w:bCs w:val="0"/>
          <w:color w:val="000000"/>
          <w:sz w:val="32"/>
          <w:szCs w:val="32"/>
          <w:lang w:val="zh-CN" w:eastAsia="zh-CN"/>
        </w:rPr>
        <w:t>相关职责要求有效履行职责，圆满完成了</w:t>
      </w:r>
      <w:r>
        <w:rPr>
          <w:rFonts w:ascii="仿宋_GB2312" w:eastAsia="仿宋_GB2312" w:cs="仿宋_GB2312"/>
          <w:b w:val="0"/>
          <w:bCs w:val="0"/>
          <w:color w:val="000000"/>
          <w:sz w:val="32"/>
          <w:szCs w:val="32"/>
          <w:lang w:val="zh-CN" w:eastAsia="zh-CN"/>
        </w:rPr>
        <w:t>财政</w:t>
      </w:r>
      <w:r>
        <w:rPr>
          <w:rFonts w:hint="eastAsia" w:ascii="仿宋_GB2312" w:eastAsia="仿宋_GB2312" w:cs="仿宋_GB2312"/>
          <w:b w:val="0"/>
          <w:bCs w:val="0"/>
          <w:color w:val="000000"/>
          <w:sz w:val="32"/>
          <w:szCs w:val="32"/>
          <w:lang w:val="zh-CN" w:eastAsia="zh-CN"/>
        </w:rPr>
        <w:t>各项工作任务，绩效评价结果为优</w:t>
      </w:r>
      <w:r>
        <w:rPr>
          <w:rFonts w:ascii="仿宋_GB2312" w:eastAsia="仿宋_GB2312" w:cs="仿宋_GB2312"/>
          <w:b w:val="0"/>
          <w:bCs w:val="0"/>
          <w:color w:val="000000"/>
          <w:sz w:val="32"/>
          <w:szCs w:val="32"/>
          <w:lang w:val="zh-CN" w:eastAsia="zh-CN"/>
        </w:rPr>
        <w:t>。</w:t>
      </w:r>
    </w:p>
    <w:p w14:paraId="7F6947B0">
      <w:pPr>
        <w:pStyle w:val="13"/>
        <w:shd w:val="clear" w:color="auto" w:fill="FFFFFF"/>
        <w:ind w:left="420" w:firstLine="161" w:firstLineChars="50"/>
        <w:rPr>
          <w:rFonts w:ascii="仿宋_GB2312" w:eastAsia="仿宋_GB2312" w:cs="Times New Roman"/>
          <w:b/>
          <w:bCs/>
          <w:color w:val="000000"/>
          <w:kern w:val="2"/>
          <w:sz w:val="32"/>
          <w:szCs w:val="20"/>
          <w:shd w:val="clear" w:color="auto" w:fill="auto"/>
        </w:rPr>
      </w:pPr>
      <w:r>
        <w:rPr>
          <w:rFonts w:ascii="仿宋_GB2312" w:eastAsia="仿宋_GB2312" w:cs="Times New Roman"/>
          <w:b/>
          <w:bCs/>
          <w:color w:val="000000"/>
          <w:kern w:val="2"/>
          <w:sz w:val="32"/>
          <w:szCs w:val="20"/>
          <w:shd w:val="clear" w:color="auto" w:fill="auto"/>
        </w:rPr>
        <w:t>（一）部门预算项目绩效管理。</w:t>
      </w:r>
    </w:p>
    <w:p w14:paraId="34BBE77B">
      <w:pPr>
        <w:pStyle w:val="13"/>
        <w:shd w:val="clear" w:color="auto" w:fill="FFFFFF"/>
        <w:ind w:left="420" w:firstLine="480" w:firstLineChars="150"/>
        <w:rPr>
          <w:rFonts w:ascii="仿宋_GB2312" w:eastAsia="仿宋_GB2312" w:cs="仿宋_GB2312"/>
          <w:b w:val="0"/>
          <w:bCs w:val="0"/>
          <w:color w:val="000000"/>
          <w:sz w:val="32"/>
          <w:szCs w:val="32"/>
          <w:lang w:val="en-US" w:eastAsia="zh-CN"/>
        </w:rPr>
      </w:pPr>
      <w:r>
        <w:rPr>
          <w:rFonts w:hint="eastAsia" w:ascii="仿宋_GB2312" w:eastAsia="仿宋_GB2312" w:cs="仿宋_GB2312"/>
          <w:b w:val="0"/>
          <w:bCs w:val="0"/>
          <w:color w:val="000000"/>
          <w:sz w:val="32"/>
          <w:szCs w:val="32"/>
          <w:lang w:val="en-US" w:eastAsia="zh-CN"/>
        </w:rPr>
        <w:t xml:space="preserve">严格按照综合预算原则。统一编制、统一管理、统筹安排资金，将单位所有安排的各项支出纳入综合预算，确保预算全面、真实反映单位实际的收支情况，使所有收支活动纳入预算管理与监督的范围。 </w:t>
      </w:r>
    </w:p>
    <w:p w14:paraId="24522C05">
      <w:pPr>
        <w:pStyle w:val="13"/>
        <w:shd w:val="clear" w:color="auto" w:fill="FFFFFF"/>
        <w:ind w:left="420" w:firstLine="161" w:firstLineChars="50"/>
        <w:rPr>
          <w:rFonts w:ascii="仿宋_GB2312" w:eastAsia="仿宋_GB2312" w:cs="Times New Roman"/>
          <w:b/>
          <w:bCs/>
          <w:color w:val="000000"/>
          <w:kern w:val="2"/>
          <w:sz w:val="32"/>
          <w:szCs w:val="20"/>
          <w:shd w:val="clear" w:color="auto" w:fill="auto"/>
        </w:rPr>
      </w:pPr>
      <w:r>
        <w:rPr>
          <w:rFonts w:ascii="仿宋_GB2312" w:eastAsia="仿宋_GB2312" w:cs="Times New Roman"/>
          <w:b/>
          <w:bCs/>
          <w:color w:val="000000"/>
          <w:kern w:val="2"/>
          <w:sz w:val="32"/>
          <w:szCs w:val="20"/>
          <w:shd w:val="clear" w:color="auto" w:fill="auto"/>
        </w:rPr>
        <w:t>（二）结果应用情况。</w:t>
      </w:r>
    </w:p>
    <w:p w14:paraId="7ABB87B6">
      <w:pPr>
        <w:keepNext w:val="0"/>
        <w:keepLines w:val="0"/>
        <w:pageBreakBefore w:val="0"/>
        <w:widowControl w:val="0"/>
        <w:suppressLineNumbers w:val="0"/>
        <w:suppressAutoHyphens w:val="0"/>
        <w:spacing w:line="550" w:lineRule="atLeast"/>
        <w:ind w:firstLine="640" w:firstLineChars="200"/>
        <w:jc w:val="both"/>
        <w:rPr>
          <w:rFonts w:hint="eastAsia" w:ascii="仿宋_GB2312" w:eastAsia="仿宋_GB2312" w:cs="仿宋_GB2312"/>
          <w:sz w:val="32"/>
          <w:szCs w:val="32"/>
          <w:lang w:val="zh-CN" w:eastAsia="zh-CN"/>
        </w:rPr>
      </w:pPr>
      <w:r>
        <w:rPr>
          <w:rFonts w:hint="eastAsia" w:ascii="仿宋_GB2312" w:eastAsia="仿宋_GB2312" w:cs="仿宋_GB2312"/>
          <w:sz w:val="32"/>
          <w:szCs w:val="32"/>
          <w:lang w:val="en-US" w:eastAsia="zh-CN"/>
        </w:rPr>
        <w:t>2021年我单位从收支执行，三公经费管理，预算管理，绩效管理等方面进行了详尽</w:t>
      </w:r>
      <w:r>
        <w:rPr>
          <w:rFonts w:hint="eastAsia" w:ascii="仿宋_GB2312" w:eastAsia="仿宋_GB2312" w:cs="仿宋_GB2312"/>
          <w:sz w:val="32"/>
          <w:szCs w:val="32"/>
          <w:lang w:val="zh-CN" w:eastAsia="zh-CN"/>
        </w:rPr>
        <w:t>部门自评、</w:t>
      </w:r>
      <w:r>
        <w:rPr>
          <w:rFonts w:hint="eastAsia" w:ascii="仿宋_GB2312" w:eastAsia="仿宋_GB2312" w:cs="仿宋_GB2312"/>
          <w:sz w:val="32"/>
          <w:szCs w:val="32"/>
          <w:lang w:val="en-US" w:eastAsia="zh-CN"/>
        </w:rPr>
        <w:t>21年预算绩效目标，项目预算绩效目标等均进行了公开，评价结果较好，对部门预算编制不够精准细化的问题将在后续工作中逐步改进。</w:t>
      </w:r>
    </w:p>
    <w:p w14:paraId="46AACC7A">
      <w:pPr>
        <w:pStyle w:val="13"/>
        <w:shd w:val="clear" w:color="auto" w:fill="FFFFFF"/>
        <w:ind w:left="420" w:firstLine="160" w:firstLineChars="50"/>
        <w:rPr>
          <w:rFonts w:ascii="黑体" w:eastAsia="黑体" w:cs="楷体"/>
          <w:bCs/>
          <w:color w:val="000000"/>
          <w:kern w:val="2"/>
          <w:sz w:val="32"/>
          <w:szCs w:val="32"/>
          <w:shd w:val="clear" w:color="auto" w:fill="auto"/>
        </w:rPr>
      </w:pPr>
      <w:r>
        <w:rPr>
          <w:rFonts w:ascii="黑体" w:eastAsia="黑体" w:cs="楷体"/>
          <w:bCs/>
          <w:color w:val="000000"/>
          <w:kern w:val="2"/>
          <w:sz w:val="32"/>
          <w:szCs w:val="32"/>
          <w:shd w:val="clear" w:color="auto" w:fill="auto"/>
        </w:rPr>
        <w:t>四、评价结论及建议</w:t>
      </w:r>
    </w:p>
    <w:p w14:paraId="354A3EA1">
      <w:pPr>
        <w:pStyle w:val="13"/>
        <w:numPr>
          <w:ilvl w:val="0"/>
          <w:numId w:val="4"/>
        </w:numPr>
        <w:shd w:val="clear" w:color="auto" w:fill="FFFFFF"/>
        <w:rPr>
          <w:rFonts w:ascii="仿宋_GB2312" w:eastAsia="仿宋_GB2312" w:cs="Times New Roman"/>
          <w:b/>
          <w:bCs/>
          <w:kern w:val="2"/>
          <w:sz w:val="32"/>
          <w:szCs w:val="20"/>
          <w:shd w:val="clear" w:color="auto" w:fill="auto"/>
        </w:rPr>
      </w:pPr>
      <w:r>
        <w:rPr>
          <w:rFonts w:ascii="仿宋_GB2312" w:eastAsia="仿宋_GB2312" w:cs="Times New Roman"/>
          <w:b/>
          <w:bCs/>
          <w:kern w:val="2"/>
          <w:sz w:val="32"/>
          <w:szCs w:val="20"/>
          <w:shd w:val="clear" w:color="auto" w:fill="auto"/>
        </w:rPr>
        <w:t>评价结论。</w:t>
      </w:r>
    </w:p>
    <w:p w14:paraId="2A115536">
      <w:pPr>
        <w:keepNext w:val="0"/>
        <w:keepLines w:val="0"/>
        <w:pageBreakBefore w:val="0"/>
        <w:widowControl w:val="0"/>
        <w:suppressLineNumbers w:val="0"/>
        <w:suppressAutoHyphens w:val="0"/>
        <w:spacing w:line="550" w:lineRule="atLeast"/>
        <w:ind w:firstLine="640" w:firstLineChars="200"/>
        <w:rPr>
          <w:rFonts w:hint="eastAsia" w:ascii="仿宋_GB2312" w:eastAsia="仿宋_GB2312" w:cs="仿宋_GB2312"/>
          <w:bCs/>
          <w:sz w:val="32"/>
          <w:szCs w:val="32"/>
        </w:rPr>
      </w:pPr>
      <w:r>
        <w:rPr>
          <w:rFonts w:hint="eastAsia" w:ascii="仿宋_GB2312" w:eastAsia="仿宋_GB2312" w:cs="仿宋_GB2312"/>
          <w:sz w:val="32"/>
          <w:szCs w:val="32"/>
        </w:rPr>
        <w:t>根据《2021年红原县部门支出绩效评价指标体系》评分得分97分，部门整体支出绩效为“优”。</w:t>
      </w:r>
    </w:p>
    <w:p w14:paraId="0B913174">
      <w:pPr>
        <w:pStyle w:val="13"/>
        <w:shd w:val="clear" w:color="auto" w:fill="FFFFFF"/>
        <w:ind w:left="420" w:firstLine="161" w:firstLineChars="50"/>
        <w:rPr>
          <w:rFonts w:ascii="仿宋_GB2312" w:eastAsia="仿宋_GB2312" w:cs="Times New Roman"/>
          <w:b/>
          <w:bCs/>
          <w:kern w:val="2"/>
          <w:sz w:val="32"/>
          <w:szCs w:val="20"/>
          <w:shd w:val="clear" w:color="auto" w:fill="auto"/>
        </w:rPr>
      </w:pPr>
      <w:r>
        <w:rPr>
          <w:rFonts w:ascii="仿宋_GB2312" w:eastAsia="仿宋_GB2312" w:cs="Times New Roman"/>
          <w:b/>
          <w:bCs/>
          <w:kern w:val="2"/>
          <w:sz w:val="32"/>
          <w:szCs w:val="20"/>
          <w:shd w:val="clear" w:color="auto" w:fill="auto"/>
        </w:rPr>
        <w:t>（二）存在问题。</w:t>
      </w:r>
    </w:p>
    <w:p w14:paraId="453AC3DC">
      <w:pPr>
        <w:keepNext w:val="0"/>
        <w:keepLines w:val="0"/>
        <w:pageBreakBefore w:val="0"/>
        <w:widowControl w:val="0"/>
        <w:suppressLineNumbers w:val="0"/>
        <w:suppressAutoHyphens w:val="0"/>
        <w:kinsoku/>
        <w:wordWrap/>
        <w:overflowPunct/>
        <w:topLinePunct w:val="0"/>
        <w:autoSpaceDE/>
        <w:autoSpaceDN/>
        <w:bidi w:val="0"/>
        <w:spacing w:line="500" w:lineRule="exact"/>
        <w:ind w:left="0" w:right="0" w:firstLine="640" w:firstLineChars="200"/>
        <w:textAlignment w:val="auto"/>
        <w:outlineLvl w:val="9"/>
        <w:rPr>
          <w:rFonts w:hint="eastAsia" w:ascii="仿宋_GB2312" w:eastAsia="仿宋_GB2312" w:cs="仿宋_GB2312"/>
          <w:b w:val="0"/>
          <w:bCs w:val="0"/>
          <w:color w:val="000000"/>
          <w:sz w:val="32"/>
          <w:szCs w:val="32"/>
          <w:lang w:val="en-US" w:eastAsia="zh-CN"/>
        </w:rPr>
      </w:pPr>
      <w:r>
        <w:rPr>
          <w:rFonts w:hint="eastAsia" w:ascii="仿宋_GB2312" w:eastAsia="仿宋_GB2312" w:cs="仿宋_GB2312"/>
          <w:b w:val="0"/>
          <w:bCs w:val="0"/>
          <w:color w:val="000000"/>
          <w:sz w:val="32"/>
          <w:szCs w:val="32"/>
          <w:lang w:val="en-US" w:eastAsia="zh-CN"/>
        </w:rPr>
        <w:t>1.通过各种途径加强绩效管理学习，科学合理编制预算，严格执行预算。</w:t>
      </w:r>
    </w:p>
    <w:p w14:paraId="6BB39564">
      <w:pPr>
        <w:pStyle w:val="13"/>
        <w:shd w:val="clear" w:color="auto" w:fill="FFFFFF"/>
        <w:ind w:left="420" w:firstLine="160" w:firstLineChars="50"/>
        <w:rPr>
          <w:rFonts w:ascii="仿宋_GB2312" w:eastAsia="仿宋_GB2312" w:cs="仿宋_GB2312"/>
          <w:b w:val="0"/>
          <w:bCs w:val="0"/>
          <w:color w:val="000000"/>
          <w:sz w:val="32"/>
          <w:szCs w:val="32"/>
          <w:lang w:val="en-US" w:eastAsia="zh-CN"/>
        </w:rPr>
      </w:pPr>
      <w:r>
        <w:rPr>
          <w:rFonts w:hint="eastAsia" w:ascii="仿宋_GB2312" w:eastAsia="仿宋_GB2312" w:cs="仿宋_GB2312"/>
          <w:b w:val="0"/>
          <w:bCs w:val="0"/>
          <w:color w:val="000000"/>
          <w:sz w:val="32"/>
          <w:szCs w:val="32"/>
          <w:lang w:val="en-US" w:eastAsia="zh-CN"/>
        </w:rPr>
        <w:t>2.规范账务处理，提高财务信息质量。</w:t>
      </w:r>
    </w:p>
    <w:p w14:paraId="17137FF4">
      <w:pPr>
        <w:pStyle w:val="13"/>
        <w:shd w:val="clear" w:color="auto" w:fill="FFFFFF"/>
        <w:ind w:left="420" w:firstLine="161" w:firstLineChars="50"/>
        <w:rPr>
          <w:rFonts w:ascii="仿宋_GB2312" w:eastAsia="仿宋_GB2312" w:cs="Times New Roman"/>
          <w:b/>
          <w:bCs/>
          <w:kern w:val="2"/>
          <w:sz w:val="32"/>
          <w:szCs w:val="20"/>
          <w:shd w:val="clear" w:color="auto" w:fill="auto"/>
        </w:rPr>
      </w:pPr>
      <w:r>
        <w:rPr>
          <w:rFonts w:ascii="仿宋_GB2312" w:eastAsia="仿宋_GB2312" w:cs="Times New Roman"/>
          <w:b/>
          <w:bCs/>
          <w:kern w:val="2"/>
          <w:sz w:val="32"/>
          <w:szCs w:val="20"/>
          <w:shd w:val="clear" w:color="auto" w:fill="auto"/>
        </w:rPr>
        <w:t>（三）改进建议。</w:t>
      </w:r>
    </w:p>
    <w:p w14:paraId="7C2E09FC">
      <w:pPr>
        <w:keepNext w:val="0"/>
        <w:keepLines w:val="0"/>
        <w:pageBreakBefore w:val="0"/>
        <w:widowControl w:val="0"/>
        <w:suppressLineNumbers w:val="0"/>
        <w:suppressAutoHyphens w:val="0"/>
        <w:kinsoku/>
        <w:wordWrap/>
        <w:overflowPunct/>
        <w:topLinePunct w:val="0"/>
        <w:autoSpaceDE/>
        <w:autoSpaceDN/>
        <w:bidi w:val="0"/>
        <w:spacing w:line="550" w:lineRule="atLeast"/>
        <w:ind w:firstLine="640" w:firstLineChars="200"/>
        <w:rPr>
          <w:rFonts w:hint="eastAsia" w:ascii="仿宋_GB2312" w:eastAsia="仿宋_GB2312" w:cs="仿宋_GB2312"/>
          <w:sz w:val="32"/>
          <w:szCs w:val="32"/>
        </w:rPr>
      </w:pPr>
      <w:r>
        <w:rPr>
          <w:rFonts w:hint="eastAsia" w:ascii="仿宋_GB2312" w:eastAsia="仿宋_GB2312" w:cs="仿宋_GB2312"/>
          <w:sz w:val="32"/>
          <w:szCs w:val="32"/>
        </w:rPr>
        <w:t>1.加强组织领导，增强预算编制的准确性，提高对预算编制与执行的认识，为绩效评价工作开展创造更好的条件</w:t>
      </w:r>
      <w:r>
        <w:rPr>
          <w:rFonts w:ascii="仿宋_GB2312" w:eastAsia="仿宋_GB2312" w:cs="仿宋_GB2312"/>
          <w:sz w:val="32"/>
          <w:szCs w:val="32"/>
        </w:rPr>
        <w:t>。</w:t>
      </w:r>
    </w:p>
    <w:p w14:paraId="155852AB">
      <w:pPr>
        <w:keepNext w:val="0"/>
        <w:keepLines w:val="0"/>
        <w:pageBreakBefore w:val="0"/>
        <w:widowControl w:val="0"/>
        <w:suppressLineNumbers w:val="0"/>
        <w:suppressAutoHyphens w:val="0"/>
        <w:spacing w:line="550" w:lineRule="atLeast"/>
        <w:ind w:firstLine="640" w:firstLineChars="200"/>
        <w:rPr>
          <w:rFonts w:hint="eastAsia" w:ascii="仿宋_GB2312" w:eastAsia="仿宋_GB2312" w:cs="仿宋_GB2312"/>
          <w:sz w:val="32"/>
          <w:szCs w:val="32"/>
        </w:rPr>
      </w:pPr>
      <w:r>
        <w:rPr>
          <w:rFonts w:hint="eastAsia" w:ascii="仿宋_GB2312" w:eastAsia="仿宋_GB2312" w:cs="仿宋_GB2312"/>
          <w:sz w:val="32"/>
          <w:szCs w:val="32"/>
        </w:rPr>
        <w:t>2.建立长效机制，加强管理提高部门支出的绩效成果，为更好的服务工作发挥最大效益</w:t>
      </w:r>
      <w:r>
        <w:rPr>
          <w:rFonts w:ascii="仿宋_GB2312" w:eastAsia="仿宋_GB2312" w:cs="仿宋_GB2312"/>
          <w:sz w:val="32"/>
          <w:szCs w:val="32"/>
        </w:rPr>
        <w:t>。</w:t>
      </w:r>
    </w:p>
    <w:p w14:paraId="1AAA65A4">
      <w:pPr>
        <w:pStyle w:val="13"/>
        <w:shd w:val="clear" w:color="auto" w:fill="FFFFFF"/>
        <w:ind w:left="420" w:firstLine="160" w:firstLineChars="50"/>
        <w:rPr>
          <w:rFonts w:ascii="仿宋_GB2312" w:eastAsia="仿宋_GB2312" w:cs="Times New Roman"/>
          <w:kern w:val="2"/>
          <w:sz w:val="32"/>
          <w:szCs w:val="32"/>
          <w:shd w:val="clear" w:color="auto" w:fill="auto"/>
        </w:rPr>
      </w:pPr>
      <w:r>
        <w:rPr>
          <w:rFonts w:ascii="仿宋_GB2312" w:eastAsia="仿宋_GB2312" w:cs="Times New Roman"/>
          <w:kern w:val="2"/>
          <w:sz w:val="32"/>
          <w:szCs w:val="32"/>
          <w:shd w:val="clear" w:color="auto" w:fill="auto"/>
        </w:rPr>
        <w:t>附件2</w:t>
      </w:r>
    </w:p>
    <w:p w14:paraId="427E3CD5">
      <w:pPr>
        <w:keepNext w:val="0"/>
        <w:keepLines w:val="0"/>
        <w:pageBreakBefore w:val="0"/>
        <w:widowControl w:val="0"/>
        <w:suppressLineNumbers w:val="0"/>
        <w:suppressAutoHyphens w:val="0"/>
        <w:kinsoku/>
        <w:wordWrap/>
        <w:overflowPunct/>
        <w:topLinePunct w:val="0"/>
        <w:autoSpaceDE/>
        <w:autoSpaceDN/>
        <w:bidi w:val="0"/>
        <w:spacing w:line="550" w:lineRule="atLeast"/>
        <w:jc w:val="center"/>
        <w:outlineLvl w:val="0"/>
        <w:rPr>
          <w:rFonts w:ascii="方正小标宋简体" w:eastAsia="方正小标宋简体" w:cs="黑体"/>
          <w:sz w:val="44"/>
          <w:szCs w:val="44"/>
        </w:rPr>
      </w:pPr>
      <w:bookmarkStart w:id="37" w:name="_Toc8351"/>
      <w:bookmarkStart w:id="38" w:name="_Toc3659"/>
      <w:bookmarkStart w:id="39" w:name="_Toc19966"/>
      <w:bookmarkStart w:id="40" w:name="_Toc5794"/>
      <w:bookmarkStart w:id="41" w:name="_Toc89349420"/>
      <w:bookmarkStart w:id="42" w:name="_Toc79163634"/>
      <w:r>
        <w:rPr>
          <w:rFonts w:hint="eastAsia" w:ascii="方正小标宋简体" w:eastAsia="方正小标宋简体" w:cs="黑体"/>
          <w:sz w:val="44"/>
          <w:szCs w:val="44"/>
        </w:rPr>
        <w:t>红原县财政局</w:t>
      </w:r>
      <w:bookmarkEnd w:id="37"/>
      <w:bookmarkEnd w:id="38"/>
      <w:bookmarkEnd w:id="39"/>
      <w:bookmarkEnd w:id="40"/>
    </w:p>
    <w:p w14:paraId="6D9BD6D7">
      <w:pPr>
        <w:keepNext w:val="0"/>
        <w:keepLines w:val="0"/>
        <w:pageBreakBefore w:val="0"/>
        <w:widowControl w:val="0"/>
        <w:suppressLineNumbers w:val="0"/>
        <w:suppressAutoHyphens w:val="0"/>
        <w:kinsoku/>
        <w:wordWrap/>
        <w:overflowPunct/>
        <w:topLinePunct w:val="0"/>
        <w:autoSpaceDE/>
        <w:autoSpaceDN/>
        <w:spacing w:line="550" w:lineRule="atLeast"/>
        <w:jc w:val="center"/>
        <w:outlineLvl w:val="0"/>
        <w:rPr>
          <w:rFonts w:ascii="方正小标宋简体" w:eastAsia="方正小标宋简体" w:cs="黑体"/>
          <w:sz w:val="44"/>
          <w:szCs w:val="44"/>
        </w:rPr>
      </w:pPr>
      <w:bookmarkStart w:id="43" w:name="_Toc16559"/>
      <w:bookmarkStart w:id="44" w:name="_Toc32599"/>
      <w:bookmarkStart w:id="45" w:name="_Toc6015"/>
      <w:bookmarkStart w:id="46" w:name="_Toc20258"/>
      <w:r>
        <w:rPr>
          <w:rFonts w:hint="eastAsia" w:ascii="方正小标宋简体" w:eastAsia="方正小标宋简体" w:cs="黑体"/>
          <w:sz w:val="44"/>
          <w:szCs w:val="44"/>
        </w:rPr>
        <w:t>财政评审及竣工结算审核</w:t>
      </w:r>
      <w:bookmarkEnd w:id="41"/>
      <w:bookmarkStart w:id="47" w:name="_Toc89349421"/>
      <w:r>
        <w:rPr>
          <w:rFonts w:hint="eastAsia" w:ascii="方正小标宋简体" w:eastAsia="方正小标宋简体" w:cs="黑体"/>
          <w:sz w:val="44"/>
          <w:szCs w:val="44"/>
        </w:rPr>
        <w:t>项目202</w:t>
      </w:r>
      <w:r>
        <w:rPr>
          <w:rFonts w:ascii="方正小标宋简体" w:eastAsia="方正小标宋简体" w:cs="黑体"/>
          <w:sz w:val="44"/>
          <w:szCs w:val="44"/>
        </w:rPr>
        <w:t>1</w:t>
      </w:r>
      <w:r>
        <w:rPr>
          <w:rFonts w:hint="eastAsia" w:ascii="方正小标宋简体" w:eastAsia="方正小标宋简体" w:cs="黑体"/>
          <w:sz w:val="44"/>
          <w:szCs w:val="44"/>
        </w:rPr>
        <w:t>年绩效评价报告</w:t>
      </w:r>
      <w:bookmarkEnd w:id="42"/>
      <w:bookmarkEnd w:id="43"/>
      <w:bookmarkEnd w:id="44"/>
      <w:bookmarkEnd w:id="45"/>
      <w:bookmarkEnd w:id="46"/>
      <w:bookmarkEnd w:id="47"/>
    </w:p>
    <w:p w14:paraId="2D0A4D4E">
      <w:pPr>
        <w:pStyle w:val="13"/>
        <w:shd w:val="clear" w:color="auto" w:fill="FFFFFF"/>
        <w:ind w:left="420" w:firstLine="160" w:firstLineChars="50"/>
        <w:rPr>
          <w:rFonts w:ascii="黑体" w:eastAsia="黑体" w:cs="楷体"/>
          <w:bCs/>
          <w:color w:val="000000"/>
          <w:kern w:val="2"/>
          <w:sz w:val="32"/>
          <w:szCs w:val="32"/>
          <w:shd w:val="clear" w:color="auto" w:fill="auto"/>
        </w:rPr>
      </w:pPr>
      <w:r>
        <w:rPr>
          <w:rFonts w:ascii="黑体" w:eastAsia="黑体" w:cs="楷体"/>
          <w:bCs/>
          <w:color w:val="000000"/>
          <w:kern w:val="2"/>
          <w:sz w:val="32"/>
          <w:szCs w:val="32"/>
          <w:shd w:val="clear" w:color="auto" w:fill="auto"/>
        </w:rPr>
        <w:t>一、项目概况</w:t>
      </w:r>
    </w:p>
    <w:p w14:paraId="6DF528BE">
      <w:pPr>
        <w:keepNext w:val="0"/>
        <w:keepLines w:val="0"/>
        <w:pageBreakBefore w:val="0"/>
        <w:widowControl w:val="0"/>
        <w:suppressLineNumbers w:val="0"/>
        <w:suppressAutoHyphens w:val="0"/>
        <w:adjustRightInd/>
        <w:snapToGrid/>
        <w:spacing w:line="570" w:lineRule="exact"/>
        <w:ind w:left="-12" w:leftChars="-5"/>
        <w:contextualSpacing w:val="0"/>
        <w:rPr>
          <w:rFonts w:ascii="楷体" w:eastAsia="楷体" w:cs="楷体"/>
          <w:b/>
          <w:bCs/>
          <w:kern w:val="2"/>
          <w:sz w:val="32"/>
          <w:szCs w:val="32"/>
          <w:shd w:val="clear" w:color="auto" w:fill="auto"/>
        </w:rPr>
      </w:pPr>
      <w:r>
        <w:rPr>
          <w:rFonts w:ascii="楷体" w:eastAsia="楷体" w:cs="楷体"/>
          <w:b/>
          <w:bCs/>
          <w:kern w:val="2"/>
          <w:sz w:val="32"/>
          <w:szCs w:val="32"/>
          <w:shd w:val="clear" w:color="auto" w:fill="auto"/>
        </w:rPr>
        <w:t>（一）项目基本情况。</w:t>
      </w:r>
    </w:p>
    <w:p w14:paraId="63F35ABE">
      <w:pPr>
        <w:keepNext w:val="0"/>
        <w:keepLines w:val="0"/>
        <w:pageBreakBefore w:val="0"/>
        <w:widowControl w:val="0"/>
        <w:suppressLineNumbers w:val="0"/>
        <w:suppressAutoHyphens w:val="0"/>
        <w:kinsoku/>
        <w:wordWrap/>
        <w:overflowPunct/>
        <w:topLinePunct w:val="0"/>
        <w:autoSpaceDE/>
        <w:autoSpaceDN/>
        <w:bidi w:val="0"/>
        <w:adjustRightInd w:val="0"/>
        <w:snapToGrid w:val="0"/>
        <w:spacing w:line="550" w:lineRule="atLeast"/>
        <w:ind w:firstLine="720"/>
        <w:contextualSpacing w:val="0"/>
        <w:rPr>
          <w:rFonts w:ascii="仿宋_GB2312" w:eastAsia="仿宋_GB2312"/>
          <w:sz w:val="32"/>
          <w:szCs w:val="32"/>
          <w:lang w:val="zh-CN"/>
        </w:rPr>
      </w:pPr>
      <w:r>
        <w:rPr>
          <w:rFonts w:ascii="仿宋_GB2312" w:eastAsia="仿宋_GB2312"/>
          <w:sz w:val="32"/>
          <w:szCs w:val="32"/>
          <w:lang w:val="zh-CN"/>
        </w:rPr>
        <w:t>1</w:t>
      </w:r>
      <w:r>
        <w:rPr>
          <w:rFonts w:hint="eastAsia" w:ascii="仿宋_GB2312" w:eastAsia="仿宋_GB2312"/>
          <w:sz w:val="32"/>
          <w:szCs w:val="32"/>
          <w:lang w:val="zh-CN"/>
        </w:rPr>
        <w:t>．红原县财政局主要负责开展全县政府投资项目的招标控制价及竣工结算项目的审核工作，根据与中介服务机构签订的服务合同，给中介服务机构分配项目。</w:t>
      </w:r>
    </w:p>
    <w:p w14:paraId="7BD9AF33">
      <w:pPr>
        <w:keepNext w:val="0"/>
        <w:keepLines w:val="0"/>
        <w:pageBreakBefore w:val="0"/>
        <w:widowControl w:val="0"/>
        <w:suppressLineNumbers w:val="0"/>
        <w:suppressAutoHyphens w:val="0"/>
        <w:kinsoku/>
        <w:wordWrap/>
        <w:overflowPunct/>
        <w:topLinePunct w:val="0"/>
        <w:autoSpaceDE/>
        <w:autoSpaceDN/>
        <w:bidi w:val="0"/>
        <w:adjustRightInd w:val="0"/>
        <w:snapToGrid w:val="0"/>
        <w:spacing w:line="550" w:lineRule="atLeast"/>
        <w:ind w:firstLine="720"/>
        <w:contextualSpacing w:val="0"/>
        <w:rPr>
          <w:rFonts w:ascii="仿宋_GB2312" w:eastAsia="仿宋_GB2312"/>
          <w:sz w:val="32"/>
          <w:szCs w:val="32"/>
          <w:lang w:val="zh-CN"/>
        </w:rPr>
      </w:pPr>
      <w:r>
        <w:rPr>
          <w:rFonts w:ascii="仿宋_GB2312" w:eastAsia="仿宋_GB2312"/>
          <w:sz w:val="32"/>
          <w:szCs w:val="32"/>
          <w:lang w:val="zh-CN"/>
        </w:rPr>
        <w:t>2</w:t>
      </w:r>
      <w:r>
        <w:rPr>
          <w:rFonts w:hint="eastAsia" w:ascii="仿宋_GB2312" w:eastAsia="仿宋_GB2312"/>
          <w:sz w:val="32"/>
          <w:szCs w:val="32"/>
          <w:lang w:val="zh-CN"/>
        </w:rPr>
        <w:t>．根据与中介机构签订的服务合同支付相应服务费用。</w:t>
      </w:r>
    </w:p>
    <w:p w14:paraId="0DB10EDC">
      <w:pPr>
        <w:keepNext w:val="0"/>
        <w:keepLines w:val="0"/>
        <w:pageBreakBefore w:val="0"/>
        <w:widowControl w:val="0"/>
        <w:suppressLineNumbers w:val="0"/>
        <w:suppressAutoHyphens w:val="0"/>
        <w:kinsoku/>
        <w:wordWrap/>
        <w:overflowPunct/>
        <w:topLinePunct w:val="0"/>
        <w:autoSpaceDE/>
        <w:autoSpaceDN/>
        <w:bidi w:val="0"/>
        <w:adjustRightInd w:val="0"/>
        <w:snapToGrid w:val="0"/>
        <w:spacing w:line="550" w:lineRule="atLeast"/>
        <w:ind w:firstLine="720"/>
        <w:contextualSpacing w:val="0"/>
        <w:rPr>
          <w:rFonts w:ascii="仿宋_GB2312" w:eastAsia="仿宋_GB2312"/>
          <w:sz w:val="32"/>
          <w:szCs w:val="32"/>
          <w:lang w:val="zh-CN"/>
        </w:rPr>
      </w:pPr>
      <w:r>
        <w:rPr>
          <w:rFonts w:ascii="仿宋_GB2312" w:eastAsia="仿宋_GB2312"/>
          <w:sz w:val="32"/>
          <w:szCs w:val="32"/>
          <w:lang w:val="zh-CN"/>
        </w:rPr>
        <w:t>3</w:t>
      </w:r>
      <w:r>
        <w:rPr>
          <w:rFonts w:hint="eastAsia" w:ascii="仿宋_GB2312" w:eastAsia="仿宋_GB2312"/>
          <w:sz w:val="32"/>
          <w:szCs w:val="32"/>
          <w:lang w:val="zh-CN"/>
        </w:rPr>
        <w:t>．资金管理办法制定情况，根据各公司竣工结算及招标控制价审核项目完成情况支付相应服务费。</w:t>
      </w:r>
    </w:p>
    <w:p w14:paraId="7B0B755E">
      <w:pPr>
        <w:keepNext w:val="0"/>
        <w:keepLines w:val="0"/>
        <w:pageBreakBefore w:val="0"/>
        <w:widowControl w:val="0"/>
        <w:suppressLineNumbers w:val="0"/>
        <w:suppressAutoHyphens w:val="0"/>
        <w:kinsoku/>
        <w:wordWrap/>
        <w:overflowPunct/>
        <w:topLinePunct w:val="0"/>
        <w:autoSpaceDE/>
        <w:autoSpaceDN/>
        <w:bidi w:val="0"/>
        <w:adjustRightInd w:val="0"/>
        <w:snapToGrid w:val="0"/>
        <w:spacing w:line="550" w:lineRule="atLeast"/>
        <w:ind w:firstLine="720"/>
        <w:contextualSpacing w:val="0"/>
        <w:rPr>
          <w:rFonts w:ascii="仿宋_GB2312" w:eastAsia="仿宋_GB2312"/>
          <w:sz w:val="32"/>
          <w:szCs w:val="32"/>
          <w:lang w:val="zh-CN"/>
        </w:rPr>
      </w:pPr>
      <w:r>
        <w:rPr>
          <w:rFonts w:ascii="仿宋_GB2312" w:eastAsia="仿宋_GB2312"/>
          <w:sz w:val="32"/>
          <w:szCs w:val="32"/>
          <w:lang w:val="zh-CN"/>
        </w:rPr>
        <w:t>4</w:t>
      </w:r>
      <w:r>
        <w:rPr>
          <w:rFonts w:hint="eastAsia" w:ascii="仿宋_GB2312" w:eastAsia="仿宋_GB2312"/>
          <w:sz w:val="32"/>
          <w:szCs w:val="32"/>
          <w:lang w:val="zh-CN"/>
        </w:rPr>
        <w:t>．本着大体平均的原则，根据每家中介机构完成项目的时效性、质量高低来分配项目。</w:t>
      </w:r>
    </w:p>
    <w:p w14:paraId="044FCCEC">
      <w:pPr>
        <w:keepNext w:val="0"/>
        <w:keepLines w:val="0"/>
        <w:pageBreakBefore w:val="0"/>
        <w:widowControl w:val="0"/>
        <w:suppressLineNumbers w:val="0"/>
        <w:suppressAutoHyphens w:val="0"/>
        <w:adjustRightInd/>
        <w:snapToGrid/>
        <w:spacing w:line="570" w:lineRule="exact"/>
        <w:ind w:left="-12" w:leftChars="-5"/>
        <w:contextualSpacing w:val="0"/>
        <w:rPr>
          <w:rFonts w:ascii="楷体" w:eastAsia="楷体" w:cs="楷体"/>
          <w:b/>
          <w:bCs/>
          <w:kern w:val="2"/>
          <w:sz w:val="32"/>
          <w:szCs w:val="32"/>
          <w:shd w:val="clear" w:color="auto" w:fill="auto"/>
        </w:rPr>
      </w:pPr>
      <w:r>
        <w:rPr>
          <w:rFonts w:hint="eastAsia" w:ascii="楷体" w:eastAsia="楷体" w:cs="楷体"/>
          <w:b/>
          <w:bCs/>
          <w:kern w:val="2"/>
          <w:sz w:val="32"/>
          <w:szCs w:val="32"/>
          <w:shd w:val="clear" w:color="auto" w:fill="auto"/>
        </w:rPr>
        <w:t>（二）项目绩效目标。</w:t>
      </w:r>
    </w:p>
    <w:p w14:paraId="5906FF4C">
      <w:pPr>
        <w:keepNext w:val="0"/>
        <w:keepLines w:val="0"/>
        <w:pageBreakBefore w:val="0"/>
        <w:widowControl w:val="0"/>
        <w:suppressLineNumbers w:val="0"/>
        <w:suppressAutoHyphens w:val="0"/>
        <w:kinsoku/>
        <w:wordWrap/>
        <w:overflowPunct/>
        <w:topLinePunct w:val="0"/>
        <w:autoSpaceDE/>
        <w:autoSpaceDN/>
        <w:bidi w:val="0"/>
        <w:adjustRightInd w:val="0"/>
        <w:snapToGrid w:val="0"/>
        <w:spacing w:line="550" w:lineRule="atLeast"/>
        <w:ind w:firstLine="720"/>
        <w:contextualSpacing w:val="0"/>
        <w:rPr>
          <w:rFonts w:ascii="仿宋_GB2312" w:eastAsia="仿宋_GB2312"/>
          <w:sz w:val="32"/>
          <w:szCs w:val="32"/>
          <w:lang w:val="zh-CN"/>
        </w:rPr>
      </w:pPr>
      <w:r>
        <w:rPr>
          <w:rFonts w:ascii="仿宋_GB2312" w:eastAsia="仿宋_GB2312"/>
          <w:sz w:val="32"/>
          <w:szCs w:val="32"/>
          <w:lang w:val="zh-CN"/>
        </w:rPr>
        <w:t>1</w:t>
      </w:r>
      <w:r>
        <w:rPr>
          <w:rFonts w:hint="eastAsia" w:ascii="仿宋_GB2312" w:eastAsia="仿宋_GB2312"/>
          <w:sz w:val="32"/>
          <w:szCs w:val="32"/>
          <w:lang w:val="zh-CN"/>
        </w:rPr>
        <w:t>．政府投资项目招标控制价及竣工结算项目审核。</w:t>
      </w:r>
    </w:p>
    <w:p w14:paraId="350F71EA">
      <w:pPr>
        <w:keepNext w:val="0"/>
        <w:keepLines w:val="0"/>
        <w:pageBreakBefore w:val="0"/>
        <w:widowControl w:val="0"/>
        <w:suppressLineNumbers w:val="0"/>
        <w:suppressAutoHyphens w:val="0"/>
        <w:kinsoku/>
        <w:wordWrap/>
        <w:overflowPunct/>
        <w:topLinePunct w:val="0"/>
        <w:autoSpaceDE/>
        <w:autoSpaceDN/>
        <w:bidi w:val="0"/>
        <w:adjustRightInd w:val="0"/>
        <w:snapToGrid w:val="0"/>
        <w:spacing w:line="550" w:lineRule="atLeast"/>
        <w:ind w:firstLine="720"/>
        <w:contextualSpacing w:val="0"/>
        <w:rPr>
          <w:rFonts w:ascii="仿宋_GB2312" w:eastAsia="仿宋_GB2312"/>
          <w:sz w:val="32"/>
          <w:szCs w:val="32"/>
        </w:rPr>
      </w:pPr>
      <w:r>
        <w:rPr>
          <w:rFonts w:ascii="仿宋_GB2312" w:eastAsia="仿宋_GB2312"/>
          <w:sz w:val="32"/>
          <w:szCs w:val="32"/>
          <w:lang w:val="zh-CN"/>
        </w:rPr>
        <w:t>2</w:t>
      </w:r>
      <w:r>
        <w:rPr>
          <w:rFonts w:hint="eastAsia" w:ascii="仿宋_GB2312" w:eastAsia="仿宋_GB2312"/>
          <w:sz w:val="32"/>
          <w:szCs w:val="32"/>
          <w:lang w:val="zh-CN"/>
        </w:rPr>
        <w:t>．完成我县政府投资项目的招标控制价及竣工结算项目审核工作，完成我县</w:t>
      </w:r>
      <w:r>
        <w:rPr>
          <w:rFonts w:hint="eastAsia" w:ascii="仿宋_GB2312" w:eastAsia="仿宋_GB2312"/>
          <w:sz w:val="32"/>
          <w:szCs w:val="32"/>
        </w:rPr>
        <w:t>2020年度项目业主单位报送的招标控制价及竣工结算审核工作，并在2020年12月20日之前完成所有项目并支付服务费。</w:t>
      </w:r>
    </w:p>
    <w:p w14:paraId="74B1D379">
      <w:pPr>
        <w:keepNext w:val="0"/>
        <w:keepLines w:val="0"/>
        <w:pageBreakBefore w:val="0"/>
        <w:widowControl w:val="0"/>
        <w:suppressLineNumbers w:val="0"/>
        <w:suppressAutoHyphens w:val="0"/>
        <w:kinsoku/>
        <w:wordWrap/>
        <w:overflowPunct/>
        <w:topLinePunct w:val="0"/>
        <w:autoSpaceDE/>
        <w:autoSpaceDN/>
        <w:bidi w:val="0"/>
        <w:adjustRightInd w:val="0"/>
        <w:snapToGrid w:val="0"/>
        <w:spacing w:line="550" w:lineRule="atLeast"/>
        <w:ind w:firstLine="720"/>
        <w:contextualSpacing w:val="0"/>
        <w:rPr>
          <w:rFonts w:ascii="仿宋_GB2312" w:eastAsia="仿宋_GB2312"/>
          <w:sz w:val="32"/>
          <w:szCs w:val="32"/>
          <w:lang w:val="zh-CN"/>
        </w:rPr>
      </w:pPr>
      <w:r>
        <w:rPr>
          <w:rFonts w:ascii="仿宋_GB2312" w:eastAsia="仿宋_GB2312"/>
          <w:sz w:val="32"/>
          <w:szCs w:val="32"/>
          <w:lang w:val="zh-CN"/>
        </w:rPr>
        <w:t>3</w:t>
      </w:r>
      <w:r>
        <w:rPr>
          <w:rFonts w:hint="eastAsia" w:ascii="仿宋_GB2312" w:eastAsia="仿宋_GB2312"/>
          <w:sz w:val="32"/>
          <w:szCs w:val="32"/>
          <w:lang w:val="zh-CN"/>
        </w:rPr>
        <w:t>．分析评价申报内容是否与实际相符，申报目标是否合理可行。</w:t>
      </w:r>
    </w:p>
    <w:p w14:paraId="7EBC0826">
      <w:pPr>
        <w:keepNext w:val="0"/>
        <w:keepLines w:val="0"/>
        <w:pageBreakBefore w:val="0"/>
        <w:widowControl w:val="0"/>
        <w:suppressLineNumbers w:val="0"/>
        <w:suppressAutoHyphens w:val="0"/>
        <w:adjustRightInd/>
        <w:snapToGrid/>
        <w:spacing w:line="570" w:lineRule="exact"/>
        <w:ind w:left="-12" w:leftChars="-5"/>
        <w:contextualSpacing w:val="0"/>
        <w:rPr>
          <w:rFonts w:ascii="楷体" w:eastAsia="楷体" w:cs="楷体"/>
          <w:b/>
          <w:bCs/>
          <w:kern w:val="2"/>
          <w:sz w:val="32"/>
          <w:szCs w:val="32"/>
          <w:shd w:val="clear" w:color="auto" w:fill="auto"/>
        </w:rPr>
      </w:pPr>
      <w:r>
        <w:rPr>
          <w:rFonts w:ascii="楷体" w:eastAsia="楷体" w:cs="楷体"/>
          <w:b/>
          <w:bCs/>
          <w:kern w:val="2"/>
          <w:sz w:val="32"/>
          <w:szCs w:val="32"/>
          <w:shd w:val="clear" w:color="auto" w:fill="auto"/>
        </w:rPr>
        <w:t>（三）项目自评步骤及方法。</w:t>
      </w:r>
    </w:p>
    <w:p w14:paraId="14CE8BE0">
      <w:pPr>
        <w:keepNext w:val="0"/>
        <w:keepLines w:val="0"/>
        <w:pageBreakBefore w:val="0"/>
        <w:widowControl w:val="0"/>
        <w:suppressLineNumbers w:val="0"/>
        <w:suppressAutoHyphens w:val="0"/>
        <w:kinsoku/>
        <w:wordWrap/>
        <w:overflowPunct/>
        <w:topLinePunct w:val="0"/>
        <w:autoSpaceDE/>
        <w:autoSpaceDN/>
        <w:bidi w:val="0"/>
        <w:adjustRightInd w:val="0"/>
        <w:snapToGrid w:val="0"/>
        <w:spacing w:line="550" w:lineRule="atLeast"/>
        <w:ind w:firstLine="720"/>
        <w:contextualSpacing w:val="0"/>
        <w:rPr>
          <w:rFonts w:hint="eastAsia" w:ascii="仿宋_GB2312" w:eastAsia="仿宋_GB2312"/>
          <w:sz w:val="32"/>
          <w:szCs w:val="32"/>
          <w:lang w:val="zh-CN"/>
        </w:rPr>
      </w:pPr>
      <w:r>
        <w:rPr>
          <w:rFonts w:hint="eastAsia" w:ascii="仿宋_GB2312" w:eastAsia="仿宋_GB2312"/>
          <w:sz w:val="32"/>
          <w:szCs w:val="32"/>
          <w:lang w:val="zh-CN"/>
        </w:rPr>
        <w:t>我单位成立了项目绩效考评小组，并制定了考评方案，把招标控制价及竣工结算审核项目的审减金额及审减率作为考评重要依据进行绩效考评。</w:t>
      </w:r>
    </w:p>
    <w:p w14:paraId="274F1424">
      <w:pPr>
        <w:pStyle w:val="13"/>
        <w:shd w:val="clear" w:color="auto" w:fill="FFFFFF"/>
        <w:ind w:left="420" w:firstLine="160" w:firstLineChars="50"/>
        <w:rPr>
          <w:rFonts w:ascii="黑体" w:eastAsia="黑体" w:cs="楷体"/>
          <w:bCs/>
          <w:color w:val="000000"/>
          <w:kern w:val="2"/>
          <w:sz w:val="32"/>
          <w:szCs w:val="32"/>
          <w:shd w:val="clear" w:color="auto" w:fill="auto"/>
        </w:rPr>
      </w:pPr>
      <w:r>
        <w:rPr>
          <w:rFonts w:ascii="黑体" w:eastAsia="黑体" w:cs="楷体"/>
          <w:bCs/>
          <w:color w:val="000000"/>
          <w:kern w:val="2"/>
          <w:sz w:val="32"/>
          <w:szCs w:val="32"/>
          <w:shd w:val="clear" w:color="auto" w:fill="auto"/>
        </w:rPr>
        <w:t>二、项目资金申报及使用情况</w:t>
      </w:r>
    </w:p>
    <w:p w14:paraId="67F700BC">
      <w:pPr>
        <w:pStyle w:val="13"/>
        <w:shd w:val="clear" w:color="auto" w:fill="FFFFFF"/>
        <w:ind w:left="420" w:firstLine="161" w:firstLineChars="50"/>
        <w:rPr>
          <w:rFonts w:ascii="仿宋" w:eastAsia="仿宋" w:cs="仿宋"/>
          <w:b/>
          <w:bCs/>
          <w:kern w:val="2"/>
          <w:sz w:val="32"/>
          <w:szCs w:val="32"/>
          <w:shd w:val="clear" w:color="auto" w:fill="auto"/>
        </w:rPr>
      </w:pPr>
      <w:r>
        <w:rPr>
          <w:rFonts w:ascii="仿宋" w:eastAsia="仿宋" w:cs="仿宋"/>
          <w:b/>
          <w:bCs/>
          <w:kern w:val="2"/>
          <w:sz w:val="32"/>
          <w:szCs w:val="32"/>
          <w:shd w:val="clear" w:color="auto" w:fill="auto"/>
        </w:rPr>
        <w:t>（一）项目资金申报及批复情况。</w:t>
      </w:r>
    </w:p>
    <w:p w14:paraId="0B18F952">
      <w:pPr>
        <w:pStyle w:val="13"/>
        <w:shd w:val="clear" w:color="auto" w:fill="FFFFFF"/>
        <w:ind w:left="420" w:firstLine="480" w:firstLineChars="150"/>
        <w:rPr>
          <w:rFonts w:hint="eastAsia" w:ascii="仿宋_GB2312" w:eastAsia="仿宋_GB2312" w:cs="Times New Roman"/>
          <w:sz w:val="32"/>
          <w:szCs w:val="32"/>
          <w:lang w:val="zh-CN"/>
        </w:rPr>
      </w:pPr>
      <w:r>
        <w:rPr>
          <w:rFonts w:hint="eastAsia" w:ascii="仿宋_GB2312" w:eastAsia="仿宋_GB2312" w:cs="Times New Roman"/>
          <w:sz w:val="32"/>
          <w:szCs w:val="32"/>
          <w:lang w:val="zh-CN"/>
        </w:rPr>
        <w:t>财政评审及竣工结算审核项目资金申报300万元、财政批复300万元。</w:t>
      </w:r>
    </w:p>
    <w:p w14:paraId="5B22160A">
      <w:pPr>
        <w:pStyle w:val="13"/>
        <w:shd w:val="clear" w:color="auto" w:fill="FFFFFF"/>
        <w:ind w:left="420" w:firstLine="161" w:firstLineChars="50"/>
        <w:rPr>
          <w:rFonts w:ascii="仿宋" w:eastAsia="仿宋" w:cs="仿宋"/>
          <w:b/>
          <w:bCs/>
          <w:kern w:val="2"/>
          <w:sz w:val="32"/>
          <w:szCs w:val="32"/>
          <w:shd w:val="clear" w:color="auto" w:fill="auto"/>
        </w:rPr>
      </w:pPr>
      <w:r>
        <w:rPr>
          <w:rFonts w:hint="eastAsia" w:ascii="仿宋" w:eastAsia="仿宋" w:cs="仿宋"/>
          <w:b/>
          <w:bCs/>
          <w:kern w:val="2"/>
          <w:sz w:val="32"/>
          <w:szCs w:val="32"/>
          <w:shd w:val="clear" w:color="auto" w:fill="auto"/>
        </w:rPr>
        <w:t>（二）资金计划、到位及使用情况（可用表格形式反映）。</w:t>
      </w:r>
    </w:p>
    <w:p w14:paraId="56E94E2B">
      <w:pPr>
        <w:pStyle w:val="13"/>
        <w:keepNext w:val="0"/>
        <w:keepLines w:val="0"/>
        <w:pageBreakBefore w:val="0"/>
        <w:widowControl w:val="0"/>
        <w:suppressLineNumbers w:val="0"/>
        <w:suppressAutoHyphens w:val="0"/>
        <w:spacing w:after="0" w:line="540" w:lineRule="exact"/>
        <w:ind w:left="0" w:firstLine="640" w:firstLineChars="200"/>
        <w:jc w:val="both"/>
        <w:rPr>
          <w:rFonts w:hint="eastAsia" w:ascii="仿宋_GB2312" w:eastAsia="仿宋_GB2312" w:cs="仿宋_GB2312"/>
          <w:bCs/>
          <w:color w:val="000000"/>
          <w:sz w:val="32"/>
          <w:szCs w:val="32"/>
          <w:lang w:val="zh-CN"/>
        </w:rPr>
      </w:pPr>
      <w:r>
        <w:rPr>
          <w:rFonts w:hint="eastAsia" w:ascii="仿宋_GB2312" w:eastAsia="仿宋_GB2312" w:cs="仿宋_GB2312"/>
          <w:bCs/>
          <w:color w:val="000000"/>
          <w:sz w:val="32"/>
          <w:szCs w:val="32"/>
          <w:lang w:val="zh-CN"/>
        </w:rPr>
        <w:t>1．县级预算安排资金。</w:t>
      </w:r>
    </w:p>
    <w:p w14:paraId="4F54070A">
      <w:pPr>
        <w:pStyle w:val="13"/>
        <w:keepNext w:val="0"/>
        <w:keepLines w:val="0"/>
        <w:pageBreakBefore w:val="0"/>
        <w:widowControl w:val="0"/>
        <w:suppressLineNumbers w:val="0"/>
        <w:suppressAutoHyphens w:val="0"/>
        <w:spacing w:after="0" w:line="540" w:lineRule="exact"/>
        <w:ind w:left="0" w:firstLine="640" w:firstLineChars="200"/>
        <w:jc w:val="both"/>
        <w:rPr>
          <w:rFonts w:hint="eastAsia" w:ascii="仿宋_GB2312" w:eastAsia="仿宋_GB2312" w:cs="仿宋_GB2312"/>
          <w:bCs/>
          <w:color w:val="000000"/>
          <w:sz w:val="32"/>
          <w:szCs w:val="32"/>
          <w:lang w:val="zh-CN"/>
        </w:rPr>
      </w:pPr>
      <w:r>
        <w:rPr>
          <w:rFonts w:hint="eastAsia" w:ascii="仿宋_GB2312" w:eastAsia="仿宋_GB2312" w:cs="仿宋_GB2312"/>
          <w:bCs/>
          <w:color w:val="000000"/>
          <w:sz w:val="32"/>
          <w:szCs w:val="32"/>
          <w:lang w:val="zh-CN"/>
        </w:rPr>
        <w:t>2．年初预算安排。</w:t>
      </w:r>
    </w:p>
    <w:p w14:paraId="65D18B59">
      <w:pPr>
        <w:pStyle w:val="13"/>
        <w:keepNext w:val="0"/>
        <w:keepLines w:val="0"/>
        <w:pageBreakBefore w:val="0"/>
        <w:widowControl w:val="0"/>
        <w:suppressLineNumbers w:val="0"/>
        <w:suppressAutoHyphens w:val="0"/>
        <w:spacing w:after="0" w:line="540" w:lineRule="exact"/>
        <w:ind w:left="0" w:firstLine="640" w:firstLineChars="200"/>
        <w:jc w:val="both"/>
        <w:rPr>
          <w:rFonts w:hint="eastAsia" w:ascii="仿宋_GB2312" w:eastAsia="仿宋_GB2312" w:cs="仿宋_GB2312"/>
          <w:bCs/>
          <w:color w:val="000000"/>
          <w:sz w:val="32"/>
          <w:szCs w:val="32"/>
          <w:lang w:val="zh-CN"/>
        </w:rPr>
      </w:pPr>
      <w:r>
        <w:rPr>
          <w:rFonts w:hint="eastAsia" w:ascii="仿宋_GB2312" w:eastAsia="仿宋_GB2312" w:cs="仿宋_GB2312"/>
          <w:bCs/>
          <w:color w:val="000000"/>
          <w:sz w:val="32"/>
          <w:szCs w:val="32"/>
          <w:lang w:val="zh-CN"/>
        </w:rPr>
        <w:t>3．根据中介服务合同，2021年度共计支出服务费220.12万元。</w:t>
      </w:r>
    </w:p>
    <w:p w14:paraId="2B94BC2F">
      <w:pPr>
        <w:pStyle w:val="13"/>
        <w:shd w:val="clear" w:color="auto" w:fill="FFFFFF"/>
        <w:ind w:left="420" w:firstLine="161" w:firstLineChars="50"/>
        <w:rPr>
          <w:rFonts w:ascii="仿宋" w:eastAsia="仿宋" w:cs="仿宋"/>
          <w:b/>
          <w:bCs/>
          <w:kern w:val="2"/>
          <w:sz w:val="32"/>
          <w:szCs w:val="32"/>
          <w:shd w:val="clear" w:color="auto" w:fill="auto"/>
        </w:rPr>
      </w:pPr>
      <w:r>
        <w:rPr>
          <w:rFonts w:ascii="仿宋" w:eastAsia="仿宋" w:cs="仿宋"/>
          <w:b/>
          <w:bCs/>
          <w:kern w:val="2"/>
          <w:sz w:val="32"/>
          <w:szCs w:val="32"/>
          <w:shd w:val="clear" w:color="auto" w:fill="auto"/>
        </w:rPr>
        <w:t>（三）项目财务管理情况。</w:t>
      </w:r>
    </w:p>
    <w:p w14:paraId="728CE9EF">
      <w:pPr>
        <w:pStyle w:val="13"/>
        <w:keepNext w:val="0"/>
        <w:keepLines w:val="0"/>
        <w:pageBreakBefore w:val="0"/>
        <w:widowControl w:val="0"/>
        <w:suppressLineNumbers w:val="0"/>
        <w:suppressAutoHyphens w:val="0"/>
        <w:adjustRightInd/>
        <w:snapToGrid/>
        <w:spacing w:after="0" w:line="540" w:lineRule="exact"/>
        <w:ind w:left="0" w:firstLine="640" w:firstLineChars="200"/>
        <w:contextualSpacing w:val="0"/>
        <w:jc w:val="both"/>
        <w:rPr>
          <w:rFonts w:hint="eastAsia" w:ascii="仿宋_GB2312" w:eastAsia="仿宋_GB2312" w:cs="仿宋_GB2312"/>
          <w:bCs/>
          <w:color w:val="000000"/>
          <w:sz w:val="32"/>
          <w:szCs w:val="32"/>
          <w:shd w:val="clear" w:color="auto" w:fill="auto"/>
          <w:lang w:val="zh-CN"/>
        </w:rPr>
      </w:pPr>
      <w:r>
        <w:rPr>
          <w:rFonts w:hint="eastAsia" w:ascii="仿宋_GB2312" w:eastAsia="仿宋_GB2312" w:cs="仿宋_GB2312"/>
          <w:bCs/>
          <w:color w:val="000000"/>
          <w:sz w:val="32"/>
          <w:szCs w:val="32"/>
          <w:shd w:val="clear" w:color="auto" w:fill="auto"/>
          <w:lang w:val="zh-CN"/>
        </w:rPr>
        <w:t>红原县财政局财政评审及竣工结算审核项目实施单位财务管理制度健全，严格执行财务管理制度，账务处理，会计核算。</w:t>
      </w:r>
    </w:p>
    <w:p w14:paraId="4E7FBE97">
      <w:pPr>
        <w:pStyle w:val="13"/>
        <w:shd w:val="clear" w:color="auto" w:fill="FFFFFF"/>
        <w:ind w:left="420" w:firstLine="160" w:firstLineChars="50"/>
        <w:rPr>
          <w:rFonts w:ascii="黑体" w:eastAsia="黑体" w:cs="楷体"/>
          <w:bCs/>
          <w:color w:val="000000"/>
          <w:kern w:val="2"/>
          <w:sz w:val="32"/>
          <w:szCs w:val="32"/>
          <w:shd w:val="clear" w:color="auto" w:fill="auto"/>
        </w:rPr>
      </w:pPr>
      <w:r>
        <w:rPr>
          <w:rFonts w:ascii="黑体" w:eastAsia="黑体" w:cs="楷体"/>
          <w:bCs/>
          <w:color w:val="000000"/>
          <w:kern w:val="2"/>
          <w:sz w:val="32"/>
          <w:szCs w:val="32"/>
          <w:shd w:val="clear" w:color="auto" w:fill="auto"/>
        </w:rPr>
        <w:t>三、项目实施及管理情况</w:t>
      </w:r>
    </w:p>
    <w:p w14:paraId="7977BEE1">
      <w:pPr>
        <w:keepNext w:val="0"/>
        <w:keepLines w:val="0"/>
        <w:pageBreakBefore w:val="0"/>
        <w:widowControl w:val="0"/>
        <w:suppressLineNumbers w:val="0"/>
        <w:suppressAutoHyphens w:val="0"/>
        <w:kinsoku/>
        <w:wordWrap/>
        <w:overflowPunct/>
        <w:topLinePunct w:val="0"/>
        <w:autoSpaceDE/>
        <w:autoSpaceDN/>
        <w:adjustRightInd w:val="0"/>
        <w:snapToGrid w:val="0"/>
        <w:spacing w:line="550" w:lineRule="atLeast"/>
        <w:ind w:firstLine="720"/>
        <w:contextualSpacing w:val="0"/>
        <w:rPr>
          <w:rFonts w:hint="eastAsia" w:ascii="仿宋_GB2312" w:eastAsia="仿宋_GB2312" w:cs="楷体"/>
          <w:bCs/>
          <w:sz w:val="32"/>
          <w:szCs w:val="32"/>
          <w:lang w:val="zh-CN"/>
        </w:rPr>
      </w:pPr>
      <w:r>
        <w:rPr>
          <w:rFonts w:hint="eastAsia" w:ascii="仿宋_GB2312" w:eastAsia="仿宋_GB2312" w:cs="仿宋_GB2312"/>
          <w:bCs/>
          <w:sz w:val="32"/>
          <w:szCs w:val="32"/>
          <w:lang w:val="zh-CN"/>
        </w:rPr>
        <w:t>结合项目组织实施管理办法，重点围绕以下内容进行分析评价，并对自评中发现的问题分析说明。</w:t>
      </w:r>
    </w:p>
    <w:p w14:paraId="2C89FB3E">
      <w:pPr>
        <w:keepNext w:val="0"/>
        <w:keepLines w:val="0"/>
        <w:pageBreakBefore w:val="0"/>
        <w:widowControl w:val="0"/>
        <w:numPr>
          <w:ilvl w:val="0"/>
          <w:numId w:val="5"/>
        </w:numPr>
        <w:suppressLineNumbers w:val="0"/>
        <w:suppressAutoHyphens w:val="0"/>
        <w:adjustRightInd/>
        <w:snapToGrid/>
        <w:spacing w:line="570" w:lineRule="exact"/>
        <w:contextualSpacing w:val="0"/>
        <w:rPr>
          <w:rFonts w:ascii="仿宋" w:eastAsia="仿宋" w:cs="仿宋"/>
          <w:b/>
          <w:bCs/>
          <w:kern w:val="2"/>
          <w:sz w:val="32"/>
          <w:szCs w:val="32"/>
          <w:shd w:val="clear" w:color="auto" w:fill="auto"/>
        </w:rPr>
      </w:pPr>
      <w:r>
        <w:rPr>
          <w:rFonts w:hint="eastAsia" w:ascii="仿宋" w:eastAsia="仿宋" w:cs="仿宋"/>
          <w:b/>
          <w:bCs/>
          <w:kern w:val="2"/>
          <w:sz w:val="32"/>
          <w:szCs w:val="32"/>
          <w:shd w:val="clear" w:color="auto" w:fill="auto"/>
        </w:rPr>
        <w:t>项目组织架构及实施流程。</w:t>
      </w:r>
    </w:p>
    <w:p w14:paraId="51E48EF7">
      <w:pPr>
        <w:pStyle w:val="13"/>
        <w:keepNext w:val="0"/>
        <w:keepLines w:val="0"/>
        <w:pageBreakBefore w:val="0"/>
        <w:widowControl w:val="0"/>
        <w:suppressLineNumbers w:val="0"/>
        <w:suppressAutoHyphens w:val="0"/>
        <w:adjustRightInd/>
        <w:snapToGrid/>
        <w:spacing w:after="0" w:line="540" w:lineRule="exact"/>
        <w:ind w:left="0" w:firstLine="640" w:firstLineChars="200"/>
        <w:contextualSpacing w:val="0"/>
        <w:jc w:val="both"/>
        <w:rPr>
          <w:rFonts w:hint="eastAsia" w:ascii="仿宋_GB2312" w:eastAsia="仿宋_GB2312" w:cs="仿宋_GB2312"/>
          <w:bCs/>
          <w:color w:val="000000"/>
          <w:sz w:val="32"/>
          <w:szCs w:val="32"/>
          <w:shd w:val="clear" w:color="auto" w:fill="auto"/>
          <w:lang w:val="zh-CN"/>
        </w:rPr>
      </w:pPr>
      <w:r>
        <w:rPr>
          <w:rFonts w:hint="eastAsia" w:ascii="仿宋_GB2312" w:eastAsia="仿宋_GB2312" w:cs="仿宋_GB2312"/>
          <w:bCs/>
          <w:color w:val="000000"/>
          <w:sz w:val="32"/>
          <w:szCs w:val="32"/>
          <w:shd w:val="clear" w:color="auto" w:fill="auto"/>
          <w:lang w:val="zh-CN"/>
        </w:rPr>
        <w:t>政府投资项目业主单位，准备招标控制价及竣工结算审核所需资料，报我单位评审中心审核，确定资料无误后，根据中介服务合同及中介服务机构服务质量，将项目分配给各中介机构，由中介机构完成审核工作，项目完成后根据合同支付相应服务费。</w:t>
      </w:r>
    </w:p>
    <w:p w14:paraId="70E01731">
      <w:pPr>
        <w:keepNext w:val="0"/>
        <w:keepLines w:val="0"/>
        <w:pageBreakBefore w:val="0"/>
        <w:widowControl w:val="0"/>
        <w:numPr>
          <w:ilvl w:val="0"/>
          <w:numId w:val="5"/>
        </w:numPr>
        <w:suppressLineNumbers w:val="0"/>
        <w:suppressAutoHyphens w:val="0"/>
        <w:spacing w:line="570" w:lineRule="exact"/>
        <w:rPr>
          <w:rFonts w:hint="eastAsia" w:ascii="仿宋" w:eastAsia="仿宋" w:cs="仿宋"/>
          <w:b/>
          <w:bCs/>
          <w:kern w:val="2"/>
          <w:sz w:val="32"/>
          <w:szCs w:val="32"/>
        </w:rPr>
      </w:pPr>
      <w:r>
        <w:rPr>
          <w:rFonts w:hint="eastAsia" w:ascii="仿宋" w:eastAsia="仿宋" w:cs="仿宋"/>
          <w:b/>
          <w:bCs/>
          <w:kern w:val="2"/>
          <w:sz w:val="32"/>
          <w:szCs w:val="32"/>
        </w:rPr>
        <w:t>项目管理情况。</w:t>
      </w:r>
    </w:p>
    <w:p w14:paraId="57B3C5F6">
      <w:pPr>
        <w:pStyle w:val="13"/>
        <w:keepNext w:val="0"/>
        <w:keepLines w:val="0"/>
        <w:pageBreakBefore w:val="0"/>
        <w:widowControl w:val="0"/>
        <w:suppressLineNumbers w:val="0"/>
        <w:suppressAutoHyphens w:val="0"/>
        <w:spacing w:after="0" w:line="540" w:lineRule="exact"/>
        <w:ind w:left="0" w:firstLine="640" w:firstLineChars="200"/>
        <w:jc w:val="both"/>
        <w:rPr>
          <w:rFonts w:hint="eastAsia" w:ascii="仿宋_GB2312" w:eastAsia="仿宋_GB2312" w:cs="仿宋_GB2312"/>
          <w:bCs/>
          <w:color w:val="000000"/>
          <w:sz w:val="32"/>
          <w:szCs w:val="32"/>
          <w:lang w:val="zh-CN"/>
        </w:rPr>
      </w:pPr>
      <w:r>
        <w:rPr>
          <w:rFonts w:hint="eastAsia" w:ascii="仿宋_GB2312" w:eastAsia="仿宋_GB2312" w:cs="仿宋_GB2312"/>
          <w:bCs/>
          <w:color w:val="000000"/>
          <w:sz w:val="32"/>
          <w:szCs w:val="32"/>
          <w:shd w:val="clear" w:color="auto" w:fill="auto"/>
          <w:lang w:val="zh-CN"/>
        </w:rPr>
        <w:t>按照《财政部关于印发&lt;财政投资评审管理规定&gt;的通知》（财建〔2009〕648号）的文件要求，政府投资项目是用政府财政性资金或政府融资等方式进行投资建设的固定资产投资项目。随着社会事业的发展和“扩内需，保增长”项目的实施，政府投资公共领域项目的不断增加，加强对政府投资工程项目的管理尤为必要。对政府性投资项目进行招标控制价审核和竣工结算价审核是财政监督管理职能的重要组成部分，是合理控制政府投资项目成本费用、节约建设资金和提高财政投资效益的重要手段。</w:t>
      </w:r>
    </w:p>
    <w:p w14:paraId="182C1C85">
      <w:pPr>
        <w:keepNext w:val="0"/>
        <w:keepLines w:val="0"/>
        <w:pageBreakBefore w:val="0"/>
        <w:widowControl w:val="0"/>
        <w:suppressLineNumbers w:val="0"/>
        <w:suppressAutoHyphens w:val="0"/>
        <w:kinsoku/>
        <w:wordWrap/>
        <w:overflowPunct/>
        <w:topLinePunct w:val="0"/>
        <w:autoSpaceDE/>
        <w:autoSpaceDN/>
        <w:bidi w:val="0"/>
        <w:adjustRightInd w:val="0"/>
        <w:snapToGrid w:val="0"/>
        <w:spacing w:line="550" w:lineRule="atLeast"/>
        <w:ind w:firstLine="720"/>
        <w:contextualSpacing w:val="0"/>
        <w:rPr>
          <w:rFonts w:ascii="仿宋" w:eastAsia="仿宋" w:cs="仿宋"/>
          <w:b/>
          <w:bCs/>
          <w:kern w:val="2"/>
          <w:sz w:val="32"/>
          <w:szCs w:val="32"/>
          <w:shd w:val="clear" w:color="auto" w:fill="auto"/>
        </w:rPr>
      </w:pPr>
      <w:r>
        <w:rPr>
          <w:rFonts w:ascii="仿宋" w:eastAsia="仿宋" w:cs="仿宋"/>
          <w:b/>
          <w:bCs/>
          <w:kern w:val="2"/>
          <w:sz w:val="32"/>
          <w:szCs w:val="32"/>
          <w:shd w:val="clear" w:color="auto" w:fill="auto"/>
        </w:rPr>
        <w:t>（三）项目监管情况。</w:t>
      </w:r>
    </w:p>
    <w:p w14:paraId="55B26264">
      <w:pPr>
        <w:pStyle w:val="13"/>
        <w:keepNext w:val="0"/>
        <w:keepLines w:val="0"/>
        <w:pageBreakBefore w:val="0"/>
        <w:widowControl w:val="0"/>
        <w:suppressLineNumbers w:val="0"/>
        <w:suppressAutoHyphens w:val="0"/>
        <w:adjustRightInd/>
        <w:snapToGrid/>
        <w:spacing w:after="0" w:line="540" w:lineRule="exact"/>
        <w:ind w:left="0" w:firstLine="640" w:firstLineChars="200"/>
        <w:contextualSpacing w:val="0"/>
        <w:jc w:val="both"/>
        <w:rPr>
          <w:rFonts w:hint="eastAsia" w:ascii="仿宋_GB2312" w:eastAsia="仿宋_GB2312" w:cs="仿宋_GB2312"/>
          <w:bCs/>
          <w:color w:val="000000"/>
          <w:sz w:val="32"/>
          <w:szCs w:val="32"/>
          <w:shd w:val="clear" w:color="auto" w:fill="auto"/>
          <w:lang w:val="zh-CN"/>
        </w:rPr>
      </w:pPr>
      <w:r>
        <w:rPr>
          <w:rFonts w:hint="eastAsia" w:ascii="仿宋_GB2312" w:eastAsia="仿宋_GB2312" w:cs="仿宋_GB2312"/>
          <w:bCs/>
          <w:color w:val="000000"/>
          <w:sz w:val="32"/>
          <w:szCs w:val="32"/>
          <w:shd w:val="clear" w:color="auto" w:fill="auto"/>
          <w:lang w:val="zh-CN"/>
        </w:rPr>
        <w:t>我单位针对此项目，制定了中介服务机构考核管理办法，考核办法中对不同项目完成的时效、误差率及服务态度进行了约定，同时根据合同条款签订的项目完成时效性及误差率，来对中介服务机构进行综合考评。</w:t>
      </w:r>
    </w:p>
    <w:p w14:paraId="6453A63C">
      <w:pPr>
        <w:pStyle w:val="13"/>
        <w:shd w:val="clear" w:color="auto" w:fill="FFFFFF"/>
        <w:ind w:left="420" w:firstLine="160" w:firstLineChars="50"/>
        <w:rPr>
          <w:rFonts w:ascii="黑体" w:eastAsia="黑体" w:cs="楷体"/>
          <w:bCs/>
          <w:color w:val="000000"/>
          <w:kern w:val="2"/>
          <w:sz w:val="32"/>
          <w:szCs w:val="32"/>
          <w:shd w:val="clear" w:color="auto" w:fill="auto"/>
        </w:rPr>
      </w:pPr>
      <w:r>
        <w:rPr>
          <w:rFonts w:ascii="黑体" w:eastAsia="黑体" w:cs="楷体"/>
          <w:bCs/>
          <w:color w:val="000000"/>
          <w:kern w:val="2"/>
          <w:sz w:val="32"/>
          <w:szCs w:val="32"/>
          <w:shd w:val="clear" w:color="auto" w:fill="auto"/>
        </w:rPr>
        <w:t>四、项目绩效情况</w:t>
      </w:r>
    </w:p>
    <w:p w14:paraId="06CC4933">
      <w:pPr>
        <w:keepNext w:val="0"/>
        <w:keepLines w:val="0"/>
        <w:pageBreakBefore w:val="0"/>
        <w:widowControl w:val="0"/>
        <w:suppressLineNumbers w:val="0"/>
        <w:suppressAutoHyphens w:val="0"/>
        <w:adjustRightInd/>
        <w:snapToGrid/>
        <w:spacing w:line="570" w:lineRule="exact"/>
        <w:ind w:left="14" w:leftChars="6" w:firstLine="482" w:firstLineChars="150"/>
        <w:contextualSpacing w:val="0"/>
        <w:rPr>
          <w:rFonts w:ascii="仿宋" w:eastAsia="仿宋" w:cs="仿宋"/>
          <w:b/>
          <w:bCs/>
          <w:kern w:val="2"/>
          <w:sz w:val="32"/>
          <w:szCs w:val="32"/>
          <w:shd w:val="clear" w:color="auto" w:fill="auto"/>
        </w:rPr>
      </w:pPr>
      <w:r>
        <w:rPr>
          <w:rFonts w:ascii="仿宋" w:eastAsia="仿宋" w:cs="仿宋"/>
          <w:b/>
          <w:bCs/>
          <w:kern w:val="2"/>
          <w:sz w:val="32"/>
          <w:szCs w:val="32"/>
          <w:shd w:val="clear" w:color="auto" w:fill="auto"/>
        </w:rPr>
        <w:t>（一）项目完成情况。</w:t>
      </w:r>
    </w:p>
    <w:p w14:paraId="0D0F9B39">
      <w:pPr>
        <w:pStyle w:val="13"/>
        <w:keepNext w:val="0"/>
        <w:keepLines w:val="0"/>
        <w:pageBreakBefore w:val="0"/>
        <w:widowControl w:val="0"/>
        <w:suppressLineNumbers w:val="0"/>
        <w:suppressAutoHyphens w:val="0"/>
        <w:spacing w:after="0" w:line="540" w:lineRule="exact"/>
        <w:ind w:left="0" w:firstLine="640" w:firstLineChars="200"/>
        <w:jc w:val="both"/>
        <w:rPr>
          <w:rFonts w:hint="eastAsia" w:ascii="仿宋_GB2312" w:eastAsia="仿宋_GB2312" w:cs="仿宋_GB2312"/>
          <w:bCs/>
          <w:color w:val="000000"/>
          <w:sz w:val="32"/>
          <w:szCs w:val="32"/>
          <w:lang w:val="zh-CN"/>
        </w:rPr>
      </w:pPr>
      <w:r>
        <w:rPr>
          <w:rFonts w:hint="eastAsia" w:ascii="仿宋_GB2312" w:eastAsia="仿宋_GB2312" w:cs="仿宋_GB2312"/>
          <w:bCs/>
          <w:color w:val="000000"/>
          <w:sz w:val="32"/>
          <w:szCs w:val="32"/>
          <w:lang w:val="zh-CN"/>
        </w:rPr>
        <w:t>共计完成招标控制价审核</w:t>
      </w:r>
      <w:r>
        <w:rPr>
          <w:rFonts w:hint="eastAsia" w:ascii="仿宋_GB2312" w:eastAsia="仿宋_GB2312" w:cs="仿宋_GB2312"/>
          <w:bCs/>
          <w:color w:val="000000"/>
          <w:sz w:val="32"/>
          <w:szCs w:val="32"/>
          <w:lang w:val="zh-CN" w:eastAsia="zh-CN"/>
        </w:rPr>
        <w:t>202</w:t>
      </w:r>
      <w:r>
        <w:rPr>
          <w:rFonts w:hint="eastAsia" w:ascii="仿宋_GB2312" w:eastAsia="仿宋_GB2312" w:cs="仿宋_GB2312"/>
          <w:bCs/>
          <w:color w:val="000000"/>
          <w:sz w:val="32"/>
          <w:szCs w:val="32"/>
          <w:lang w:val="zh-CN"/>
        </w:rPr>
        <w:t>个，送审金额54671.72 万元，评审金额51987.35万元，</w:t>
      </w:r>
      <w:r>
        <w:rPr>
          <w:rFonts w:hint="eastAsia" w:ascii="仿宋_GB2312" w:eastAsia="仿宋_GB2312" w:cs="仿宋_GB2312"/>
          <w:bCs/>
          <w:color w:val="000000"/>
          <w:sz w:val="32"/>
          <w:szCs w:val="32"/>
          <w:lang w:val="zh-CN" w:eastAsia="zh-CN"/>
        </w:rPr>
        <w:t>审</w:t>
      </w:r>
      <w:r>
        <w:rPr>
          <w:rFonts w:hint="eastAsia" w:ascii="仿宋_GB2312" w:eastAsia="仿宋_GB2312" w:cs="仿宋_GB2312"/>
          <w:bCs/>
          <w:color w:val="000000"/>
          <w:sz w:val="32"/>
          <w:szCs w:val="32"/>
          <w:lang w:val="zh-CN"/>
        </w:rPr>
        <w:t>减金额2684.37万元，核减率</w:t>
      </w:r>
      <w:r>
        <w:rPr>
          <w:rFonts w:hint="eastAsia" w:ascii="仿宋_GB2312" w:eastAsia="仿宋_GB2312" w:cs="仿宋_GB2312"/>
          <w:bCs/>
          <w:color w:val="000000"/>
          <w:sz w:val="32"/>
          <w:szCs w:val="32"/>
          <w:lang w:val="zh-CN" w:eastAsia="zh-CN"/>
        </w:rPr>
        <w:t>4.91</w:t>
      </w:r>
      <w:r>
        <w:rPr>
          <w:rFonts w:hint="eastAsia" w:ascii="仿宋_GB2312" w:eastAsia="仿宋_GB2312" w:cs="仿宋_GB2312"/>
          <w:bCs/>
          <w:color w:val="000000"/>
          <w:sz w:val="32"/>
          <w:szCs w:val="32"/>
          <w:lang w:val="zh-CN"/>
        </w:rPr>
        <w:t>%，；完成竣工结算审核</w:t>
      </w:r>
      <w:r>
        <w:rPr>
          <w:rFonts w:hint="eastAsia" w:ascii="仿宋_GB2312" w:eastAsia="仿宋_GB2312" w:cs="仿宋_GB2312"/>
          <w:bCs/>
          <w:color w:val="000000"/>
          <w:sz w:val="32"/>
          <w:szCs w:val="32"/>
          <w:lang w:val="zh-CN" w:eastAsia="zh-CN"/>
        </w:rPr>
        <w:t>58</w:t>
      </w:r>
      <w:r>
        <w:rPr>
          <w:rFonts w:hint="eastAsia" w:ascii="仿宋_GB2312" w:eastAsia="仿宋_GB2312" w:cs="仿宋_GB2312"/>
          <w:bCs/>
          <w:color w:val="000000"/>
          <w:sz w:val="32"/>
          <w:szCs w:val="32"/>
          <w:lang w:val="zh-CN"/>
        </w:rPr>
        <w:t>个，送审金额</w:t>
      </w:r>
      <w:r>
        <w:rPr>
          <w:rFonts w:hint="eastAsia" w:ascii="仿宋_GB2312" w:eastAsia="仿宋_GB2312" w:cs="仿宋_GB2312"/>
          <w:bCs/>
          <w:color w:val="000000"/>
          <w:sz w:val="32"/>
          <w:szCs w:val="32"/>
          <w:lang w:val="zh-CN" w:eastAsia="zh-CN"/>
        </w:rPr>
        <w:t>34517.71</w:t>
      </w:r>
      <w:r>
        <w:rPr>
          <w:rFonts w:hint="eastAsia" w:ascii="仿宋_GB2312" w:eastAsia="仿宋_GB2312" w:cs="仿宋_GB2312"/>
          <w:bCs/>
          <w:color w:val="000000"/>
          <w:sz w:val="32"/>
          <w:szCs w:val="32"/>
          <w:lang w:val="zh-CN"/>
        </w:rPr>
        <w:t>万元，审定金额</w:t>
      </w:r>
      <w:r>
        <w:rPr>
          <w:rFonts w:hint="eastAsia" w:ascii="仿宋_GB2312" w:eastAsia="仿宋_GB2312" w:cs="仿宋_GB2312"/>
          <w:bCs/>
          <w:color w:val="000000"/>
          <w:sz w:val="32"/>
          <w:szCs w:val="32"/>
          <w:lang w:val="zh-CN" w:eastAsia="zh-CN"/>
        </w:rPr>
        <w:t>33254.28</w:t>
      </w:r>
      <w:r>
        <w:rPr>
          <w:rFonts w:hint="eastAsia" w:ascii="仿宋_GB2312" w:eastAsia="仿宋_GB2312" w:cs="仿宋_GB2312"/>
          <w:bCs/>
          <w:color w:val="000000"/>
          <w:sz w:val="32"/>
          <w:szCs w:val="32"/>
          <w:lang w:val="zh-CN"/>
        </w:rPr>
        <w:t>万元，审减金额</w:t>
      </w:r>
      <w:r>
        <w:rPr>
          <w:rFonts w:hint="eastAsia" w:ascii="仿宋_GB2312" w:eastAsia="仿宋_GB2312" w:cs="仿宋_GB2312"/>
          <w:bCs/>
          <w:color w:val="000000"/>
          <w:sz w:val="32"/>
          <w:szCs w:val="32"/>
          <w:lang w:val="zh-CN" w:eastAsia="zh-CN"/>
        </w:rPr>
        <w:t>1263.43</w:t>
      </w:r>
      <w:r>
        <w:rPr>
          <w:rFonts w:hint="eastAsia" w:ascii="仿宋_GB2312" w:eastAsia="仿宋_GB2312" w:cs="仿宋_GB2312"/>
          <w:bCs/>
          <w:color w:val="000000"/>
          <w:sz w:val="32"/>
          <w:szCs w:val="32"/>
          <w:lang w:val="zh-CN"/>
        </w:rPr>
        <w:t>万元，审减率</w:t>
      </w:r>
      <w:r>
        <w:rPr>
          <w:rFonts w:hint="eastAsia" w:ascii="仿宋_GB2312" w:eastAsia="仿宋_GB2312" w:cs="仿宋_GB2312"/>
          <w:bCs/>
          <w:color w:val="000000"/>
          <w:sz w:val="32"/>
          <w:szCs w:val="32"/>
          <w:lang w:val="zh-CN" w:eastAsia="zh-CN"/>
        </w:rPr>
        <w:t>3.66</w:t>
      </w:r>
      <w:r>
        <w:rPr>
          <w:rFonts w:hint="eastAsia" w:ascii="仿宋_GB2312" w:eastAsia="仿宋_GB2312" w:cs="仿宋_GB2312"/>
          <w:bCs/>
          <w:color w:val="000000"/>
          <w:sz w:val="32"/>
          <w:szCs w:val="32"/>
          <w:lang w:val="zh-CN"/>
        </w:rPr>
        <w:t>%，支出</w:t>
      </w:r>
      <w:r>
        <w:rPr>
          <w:rFonts w:hint="eastAsia" w:ascii="仿宋_GB2312" w:eastAsia="仿宋_GB2312" w:cs="仿宋_GB2312"/>
          <w:bCs/>
          <w:color w:val="000000"/>
          <w:sz w:val="32"/>
          <w:szCs w:val="32"/>
          <w:lang w:val="zh-CN" w:eastAsia="zh-CN"/>
        </w:rPr>
        <w:t>评审咨询费用</w:t>
      </w:r>
      <w:r>
        <w:rPr>
          <w:rFonts w:hint="eastAsia" w:ascii="仿宋_GB2312" w:eastAsia="仿宋_GB2312" w:cs="仿宋_GB2312"/>
          <w:bCs/>
          <w:color w:val="000000"/>
          <w:sz w:val="32"/>
          <w:szCs w:val="32"/>
          <w:lang w:val="zh-CN"/>
        </w:rPr>
        <w:t>金额2</w:t>
      </w:r>
      <w:r>
        <w:rPr>
          <w:rFonts w:hint="eastAsia" w:ascii="仿宋_GB2312" w:eastAsia="仿宋_GB2312" w:cs="仿宋_GB2312"/>
          <w:bCs/>
          <w:color w:val="000000"/>
          <w:sz w:val="32"/>
          <w:szCs w:val="32"/>
          <w:lang w:val="zh-CN" w:eastAsia="zh-CN"/>
        </w:rPr>
        <w:t>20</w:t>
      </w:r>
      <w:r>
        <w:rPr>
          <w:rFonts w:hint="eastAsia" w:ascii="仿宋_GB2312" w:eastAsia="仿宋_GB2312" w:cs="仿宋_GB2312"/>
          <w:bCs/>
          <w:color w:val="000000"/>
          <w:sz w:val="32"/>
          <w:szCs w:val="32"/>
          <w:lang w:val="zh-CN"/>
        </w:rPr>
        <w:t>.1</w:t>
      </w:r>
      <w:r>
        <w:rPr>
          <w:rFonts w:hint="eastAsia" w:ascii="仿宋_GB2312" w:eastAsia="仿宋_GB2312" w:cs="仿宋_GB2312"/>
          <w:bCs/>
          <w:color w:val="000000"/>
          <w:sz w:val="32"/>
          <w:szCs w:val="32"/>
          <w:lang w:val="zh-CN" w:eastAsia="zh-CN"/>
        </w:rPr>
        <w:t>2</w:t>
      </w:r>
      <w:r>
        <w:rPr>
          <w:rFonts w:hint="eastAsia" w:ascii="仿宋_GB2312" w:eastAsia="仿宋_GB2312" w:cs="仿宋_GB2312"/>
          <w:bCs/>
          <w:color w:val="000000"/>
          <w:sz w:val="32"/>
          <w:szCs w:val="32"/>
          <w:lang w:val="zh-CN"/>
        </w:rPr>
        <w:t>万元。</w:t>
      </w:r>
    </w:p>
    <w:p w14:paraId="5AF3F26E">
      <w:pPr>
        <w:keepNext w:val="0"/>
        <w:keepLines w:val="0"/>
        <w:pageBreakBefore w:val="0"/>
        <w:widowControl w:val="0"/>
        <w:suppressLineNumbers w:val="0"/>
        <w:suppressAutoHyphens w:val="0"/>
        <w:spacing w:line="570" w:lineRule="exact"/>
        <w:ind w:left="14" w:leftChars="6" w:firstLine="482" w:firstLineChars="150"/>
        <w:rPr>
          <w:rFonts w:ascii="仿宋" w:eastAsia="仿宋" w:cs="仿宋"/>
          <w:b/>
          <w:bCs/>
          <w:kern w:val="2"/>
          <w:sz w:val="32"/>
          <w:szCs w:val="32"/>
        </w:rPr>
      </w:pPr>
      <w:r>
        <w:rPr>
          <w:rFonts w:hint="eastAsia" w:ascii="仿宋" w:eastAsia="仿宋" w:cs="仿宋"/>
          <w:b/>
          <w:bCs/>
          <w:kern w:val="2"/>
          <w:sz w:val="32"/>
          <w:szCs w:val="32"/>
        </w:rPr>
        <w:t>（二）项目效益情况。</w:t>
      </w:r>
    </w:p>
    <w:p w14:paraId="12762B57">
      <w:pPr>
        <w:pStyle w:val="13"/>
        <w:keepNext w:val="0"/>
        <w:keepLines w:val="0"/>
        <w:pageBreakBefore w:val="0"/>
        <w:widowControl w:val="0"/>
        <w:suppressLineNumbers w:val="0"/>
        <w:suppressAutoHyphens w:val="0"/>
        <w:spacing w:after="0" w:line="540" w:lineRule="exact"/>
        <w:ind w:left="0" w:firstLine="640" w:firstLineChars="200"/>
        <w:jc w:val="both"/>
        <w:rPr>
          <w:rFonts w:hint="eastAsia" w:ascii="仿宋_GB2312" w:eastAsia="仿宋_GB2312" w:cs="仿宋_GB2312"/>
          <w:bCs/>
          <w:color w:val="000000"/>
          <w:sz w:val="32"/>
          <w:szCs w:val="32"/>
          <w:lang w:val="zh-CN"/>
        </w:rPr>
      </w:pPr>
      <w:r>
        <w:rPr>
          <w:rFonts w:hint="eastAsia" w:ascii="仿宋_GB2312" w:eastAsia="仿宋_GB2312" w:cs="仿宋_GB2312"/>
          <w:bCs/>
          <w:color w:val="000000"/>
          <w:sz w:val="32"/>
          <w:szCs w:val="32"/>
          <w:lang w:val="zh-CN" w:eastAsia="zh-CN"/>
        </w:rPr>
        <w:t>1、项目实现的经济效益分析</w:t>
      </w:r>
    </w:p>
    <w:p w14:paraId="45F6AF56">
      <w:pPr>
        <w:pStyle w:val="13"/>
        <w:keepNext w:val="0"/>
        <w:keepLines w:val="0"/>
        <w:pageBreakBefore w:val="0"/>
        <w:widowControl w:val="0"/>
        <w:suppressLineNumbers w:val="0"/>
        <w:suppressAutoHyphens w:val="0"/>
        <w:spacing w:after="0" w:line="540" w:lineRule="exact"/>
        <w:ind w:left="0" w:firstLine="640" w:firstLineChars="200"/>
        <w:jc w:val="both"/>
        <w:rPr>
          <w:rFonts w:hint="eastAsia" w:ascii="仿宋_GB2312" w:eastAsia="仿宋_GB2312" w:cs="仿宋_GB2312"/>
          <w:bCs/>
          <w:color w:val="000000"/>
          <w:sz w:val="32"/>
          <w:szCs w:val="32"/>
          <w:lang w:val="zh-CN"/>
        </w:rPr>
      </w:pPr>
      <w:r>
        <w:rPr>
          <w:rFonts w:hint="eastAsia" w:ascii="仿宋_GB2312" w:eastAsia="仿宋_GB2312" w:cs="仿宋_GB2312"/>
          <w:bCs/>
          <w:color w:val="000000"/>
          <w:sz w:val="32"/>
          <w:szCs w:val="32"/>
          <w:lang w:val="zh-CN" w:eastAsia="zh-CN"/>
        </w:rPr>
        <w:t>招标控制价评审和竣工结算审核项目共审减3947.8万元，通过评审核减不合理的项目支出，提高了财政资金使用效率。</w:t>
      </w:r>
    </w:p>
    <w:p w14:paraId="180D46CC">
      <w:pPr>
        <w:pStyle w:val="13"/>
        <w:keepNext w:val="0"/>
        <w:keepLines w:val="0"/>
        <w:pageBreakBefore w:val="0"/>
        <w:widowControl w:val="0"/>
        <w:suppressLineNumbers w:val="0"/>
        <w:suppressAutoHyphens w:val="0"/>
        <w:spacing w:after="0" w:line="540" w:lineRule="exact"/>
        <w:ind w:left="0" w:firstLine="640" w:firstLineChars="200"/>
        <w:jc w:val="both"/>
        <w:rPr>
          <w:rFonts w:hint="eastAsia" w:ascii="仿宋_GB2312" w:eastAsia="仿宋_GB2312" w:cs="仿宋_GB2312"/>
          <w:bCs/>
          <w:color w:val="000000"/>
          <w:sz w:val="32"/>
          <w:szCs w:val="32"/>
          <w:lang w:val="zh-CN"/>
        </w:rPr>
      </w:pPr>
      <w:r>
        <w:rPr>
          <w:rFonts w:hint="eastAsia" w:ascii="仿宋_GB2312" w:eastAsia="仿宋_GB2312" w:cs="仿宋_GB2312"/>
          <w:bCs/>
          <w:color w:val="000000"/>
          <w:sz w:val="32"/>
          <w:szCs w:val="32"/>
          <w:lang w:val="zh-CN" w:eastAsia="zh-CN"/>
        </w:rPr>
        <w:t>    2、项目实现的社会效益分析</w:t>
      </w:r>
    </w:p>
    <w:p w14:paraId="38D4034B">
      <w:pPr>
        <w:pStyle w:val="13"/>
        <w:keepNext w:val="0"/>
        <w:keepLines w:val="0"/>
        <w:pageBreakBefore w:val="0"/>
        <w:widowControl w:val="0"/>
        <w:suppressLineNumbers w:val="0"/>
        <w:suppressAutoHyphens w:val="0"/>
        <w:spacing w:after="0" w:line="540" w:lineRule="exact"/>
        <w:ind w:left="0" w:firstLine="640" w:firstLineChars="200"/>
        <w:jc w:val="both"/>
        <w:rPr>
          <w:rFonts w:hint="eastAsia" w:ascii="仿宋_GB2312" w:eastAsia="仿宋_GB2312" w:cs="仿宋_GB2312"/>
          <w:bCs/>
          <w:color w:val="000000"/>
          <w:sz w:val="32"/>
          <w:szCs w:val="32"/>
          <w:lang w:val="zh-CN"/>
        </w:rPr>
      </w:pPr>
      <w:r>
        <w:rPr>
          <w:rFonts w:hint="eastAsia" w:ascii="仿宋_GB2312" w:eastAsia="仿宋_GB2312" w:cs="仿宋_GB2312"/>
          <w:bCs/>
          <w:color w:val="000000"/>
          <w:sz w:val="32"/>
          <w:szCs w:val="32"/>
          <w:lang w:val="zh-CN" w:eastAsia="zh-CN"/>
        </w:rPr>
        <w:t>根据县委、县政安排，财政投资评审是为县直部门项目建设资金提供评审服务。2021年度评审中心按照县政府规定的时间节点，完成了项目评审工作，促进政府投资项目顺利实施，完善基础设施，加大民生投入，提高了人们生活水平</w:t>
      </w:r>
      <w:r>
        <w:rPr>
          <w:rFonts w:hint="eastAsia" w:ascii="仿宋_GB2312" w:eastAsia="仿宋_GB2312" w:cs="仿宋_GB2312"/>
          <w:bCs/>
          <w:color w:val="000000"/>
          <w:sz w:val="32"/>
          <w:szCs w:val="32"/>
          <w:lang w:val="zh-CN"/>
        </w:rPr>
        <w:t>。</w:t>
      </w:r>
    </w:p>
    <w:p w14:paraId="704B68B6">
      <w:pPr>
        <w:pStyle w:val="13"/>
        <w:shd w:val="clear" w:color="auto" w:fill="FFFFFF"/>
        <w:ind w:left="420" w:firstLine="160" w:firstLineChars="50"/>
        <w:rPr>
          <w:rFonts w:ascii="黑体" w:eastAsia="黑体" w:cs="楷体"/>
          <w:bCs/>
          <w:color w:val="000000"/>
          <w:kern w:val="2"/>
          <w:sz w:val="32"/>
          <w:szCs w:val="32"/>
          <w:shd w:val="clear" w:color="auto" w:fill="auto"/>
        </w:rPr>
      </w:pPr>
      <w:r>
        <w:rPr>
          <w:rFonts w:ascii="黑体" w:eastAsia="黑体" w:cs="楷体"/>
          <w:bCs/>
          <w:color w:val="000000"/>
          <w:kern w:val="2"/>
          <w:sz w:val="32"/>
          <w:szCs w:val="32"/>
          <w:shd w:val="clear" w:color="auto" w:fill="auto"/>
        </w:rPr>
        <w:t>五、评价结论及建议</w:t>
      </w:r>
    </w:p>
    <w:p w14:paraId="1920D7CE">
      <w:pPr>
        <w:keepNext w:val="0"/>
        <w:keepLines w:val="0"/>
        <w:pageBreakBefore w:val="0"/>
        <w:widowControl w:val="0"/>
        <w:suppressLineNumbers w:val="0"/>
        <w:suppressAutoHyphens w:val="0"/>
        <w:adjustRightInd/>
        <w:snapToGrid/>
        <w:spacing w:line="570" w:lineRule="exact"/>
        <w:ind w:left="14" w:leftChars="6" w:firstLine="482" w:firstLineChars="150"/>
        <w:contextualSpacing w:val="0"/>
        <w:rPr>
          <w:rFonts w:ascii="仿宋" w:eastAsia="仿宋" w:cs="仿宋"/>
          <w:b/>
          <w:bCs/>
          <w:kern w:val="2"/>
          <w:sz w:val="32"/>
          <w:szCs w:val="32"/>
          <w:shd w:val="clear" w:color="auto" w:fill="auto"/>
        </w:rPr>
      </w:pPr>
      <w:r>
        <w:rPr>
          <w:rFonts w:ascii="仿宋" w:eastAsia="仿宋" w:cs="仿宋"/>
          <w:b/>
          <w:bCs/>
          <w:kern w:val="2"/>
          <w:sz w:val="32"/>
          <w:szCs w:val="32"/>
          <w:shd w:val="clear" w:color="auto" w:fill="auto"/>
        </w:rPr>
        <w:t>（一）评价结论。</w:t>
      </w:r>
    </w:p>
    <w:p w14:paraId="1E44DB8B">
      <w:pPr>
        <w:pStyle w:val="13"/>
        <w:keepNext w:val="0"/>
        <w:keepLines w:val="0"/>
        <w:pageBreakBefore w:val="0"/>
        <w:widowControl w:val="0"/>
        <w:suppressLineNumbers w:val="0"/>
        <w:suppressAutoHyphens w:val="0"/>
        <w:adjustRightInd/>
        <w:snapToGrid/>
        <w:spacing w:after="0" w:line="540" w:lineRule="exact"/>
        <w:ind w:left="0" w:firstLine="640" w:firstLineChars="200"/>
        <w:contextualSpacing w:val="0"/>
        <w:jc w:val="both"/>
        <w:rPr>
          <w:rFonts w:hint="eastAsia" w:ascii="仿宋_GB2312" w:eastAsia="仿宋_GB2312" w:cs="仿宋_GB2312"/>
          <w:bCs/>
          <w:color w:val="000000"/>
          <w:sz w:val="32"/>
          <w:szCs w:val="32"/>
          <w:shd w:val="clear" w:color="auto" w:fill="auto"/>
          <w:lang w:val="zh-CN"/>
        </w:rPr>
      </w:pPr>
      <w:r>
        <w:rPr>
          <w:rFonts w:hint="eastAsia" w:ascii="仿宋_GB2312" w:eastAsia="仿宋_GB2312" w:cs="仿宋_GB2312"/>
          <w:bCs/>
          <w:color w:val="000000"/>
          <w:sz w:val="32"/>
          <w:szCs w:val="32"/>
          <w:shd w:val="clear" w:color="auto" w:fill="auto"/>
          <w:lang w:val="zh-CN"/>
        </w:rPr>
        <w:t>红原县财政局财政评审及竣工结算审核项目，对政府性投资项目进行招标控制价审核和竣工结算价审核是财政监督管理职能的重要组成部分，为合理控制政府投资项目成本费用、节约建设资金和提高财政投资效益起到了很大的作用。</w:t>
      </w:r>
    </w:p>
    <w:p w14:paraId="073AB798">
      <w:pPr>
        <w:keepNext w:val="0"/>
        <w:keepLines w:val="0"/>
        <w:pageBreakBefore w:val="0"/>
        <w:widowControl w:val="0"/>
        <w:suppressLineNumbers w:val="0"/>
        <w:suppressAutoHyphens w:val="0"/>
        <w:adjustRightInd/>
        <w:snapToGrid/>
        <w:spacing w:line="570" w:lineRule="exact"/>
        <w:ind w:left="14" w:leftChars="6" w:firstLine="482" w:firstLineChars="150"/>
        <w:contextualSpacing w:val="0"/>
        <w:rPr>
          <w:rFonts w:ascii="仿宋" w:eastAsia="仿宋" w:cs="仿宋"/>
          <w:b/>
          <w:bCs/>
          <w:kern w:val="2"/>
          <w:sz w:val="32"/>
          <w:szCs w:val="32"/>
          <w:shd w:val="clear" w:color="auto" w:fill="auto"/>
        </w:rPr>
      </w:pPr>
      <w:r>
        <w:rPr>
          <w:rFonts w:hint="eastAsia" w:ascii="仿宋" w:eastAsia="仿宋" w:cs="仿宋"/>
          <w:b/>
          <w:bCs/>
          <w:kern w:val="2"/>
          <w:sz w:val="32"/>
          <w:szCs w:val="32"/>
          <w:shd w:val="clear" w:color="auto" w:fill="auto"/>
        </w:rPr>
        <w:t>（二）存在的问题。</w:t>
      </w:r>
    </w:p>
    <w:p w14:paraId="3CEB40A6">
      <w:pPr>
        <w:pStyle w:val="13"/>
        <w:keepNext w:val="0"/>
        <w:keepLines w:val="0"/>
        <w:pageBreakBefore w:val="0"/>
        <w:widowControl w:val="0"/>
        <w:suppressLineNumbers w:val="0"/>
        <w:suppressAutoHyphens w:val="0"/>
        <w:adjustRightInd/>
        <w:snapToGrid/>
        <w:spacing w:after="0" w:line="540" w:lineRule="exact"/>
        <w:ind w:left="0" w:firstLine="640" w:firstLineChars="200"/>
        <w:contextualSpacing w:val="0"/>
        <w:jc w:val="both"/>
        <w:rPr>
          <w:rFonts w:hint="eastAsia" w:ascii="仿宋_GB2312" w:eastAsia="仿宋_GB2312" w:cs="仿宋_GB2312"/>
          <w:bCs/>
          <w:color w:val="000000"/>
          <w:sz w:val="32"/>
          <w:szCs w:val="32"/>
          <w:shd w:val="clear" w:color="auto" w:fill="auto"/>
          <w:lang w:val="zh-CN"/>
        </w:rPr>
      </w:pPr>
      <w:r>
        <w:rPr>
          <w:rFonts w:hint="eastAsia" w:ascii="仿宋_GB2312" w:eastAsia="仿宋_GB2312" w:cs="仿宋_GB2312"/>
          <w:bCs/>
          <w:color w:val="000000"/>
          <w:sz w:val="32"/>
          <w:szCs w:val="32"/>
          <w:shd w:val="clear" w:color="auto" w:fill="auto"/>
          <w:lang w:val="zh-CN"/>
        </w:rPr>
        <w:t>部分项目在实施过程中可能会出现超出规定时效的情况，主要是因为部分项目业主不了解工程项目的基本情况，在报送审核资料时，出现漏报、误报的情况，其次是因为部分中介机构服务水平有限，且我单位工作人员与服务机构沟通也存在一定问题。</w:t>
      </w:r>
      <w:r>
        <w:rPr>
          <w:rFonts w:hint="eastAsia" w:ascii="仿宋_GB2312" w:eastAsia="仿宋_GB2312" w:cs="仿宋_GB2312"/>
          <w:bCs/>
          <w:color w:val="000000"/>
          <w:sz w:val="32"/>
          <w:szCs w:val="32"/>
          <w:shd w:val="clear" w:color="auto" w:fill="auto"/>
          <w:lang w:val="zh-CN"/>
        </w:rPr>
        <w:tab/>
      </w:r>
    </w:p>
    <w:p w14:paraId="07539AB1">
      <w:pPr>
        <w:keepNext w:val="0"/>
        <w:keepLines w:val="0"/>
        <w:pageBreakBefore w:val="0"/>
        <w:widowControl w:val="0"/>
        <w:suppressLineNumbers w:val="0"/>
        <w:suppressAutoHyphens w:val="0"/>
        <w:adjustRightInd/>
        <w:snapToGrid/>
        <w:spacing w:line="570" w:lineRule="exact"/>
        <w:ind w:left="14" w:leftChars="6" w:firstLine="482" w:firstLineChars="150"/>
        <w:contextualSpacing w:val="0"/>
        <w:rPr>
          <w:rFonts w:ascii="仿宋" w:eastAsia="仿宋" w:cs="仿宋"/>
          <w:b/>
          <w:bCs/>
          <w:kern w:val="2"/>
          <w:sz w:val="32"/>
          <w:szCs w:val="32"/>
          <w:shd w:val="clear" w:color="auto" w:fill="auto"/>
        </w:rPr>
      </w:pPr>
      <w:r>
        <w:rPr>
          <w:rFonts w:ascii="仿宋" w:eastAsia="仿宋" w:cs="仿宋"/>
          <w:b/>
          <w:bCs/>
          <w:kern w:val="2"/>
          <w:sz w:val="32"/>
          <w:szCs w:val="32"/>
          <w:shd w:val="clear" w:color="auto" w:fill="auto"/>
        </w:rPr>
        <w:t>（三）相关建议。</w:t>
      </w:r>
    </w:p>
    <w:p w14:paraId="4E945BE2">
      <w:pPr>
        <w:pStyle w:val="13"/>
        <w:keepNext w:val="0"/>
        <w:keepLines w:val="0"/>
        <w:pageBreakBefore w:val="0"/>
        <w:widowControl w:val="0"/>
        <w:suppressLineNumbers w:val="0"/>
        <w:suppressAutoHyphens w:val="0"/>
        <w:adjustRightInd/>
        <w:snapToGrid/>
        <w:spacing w:after="0" w:line="540" w:lineRule="exact"/>
        <w:ind w:left="0" w:firstLine="640" w:firstLineChars="200"/>
        <w:contextualSpacing w:val="0"/>
        <w:jc w:val="both"/>
        <w:rPr>
          <w:rFonts w:hint="eastAsia" w:ascii="仿宋_GB2312" w:eastAsia="仿宋_GB2312" w:cs="仿宋_GB2312"/>
          <w:sz w:val="32"/>
          <w:szCs w:val="32"/>
        </w:rPr>
      </w:pPr>
      <w:r>
        <w:rPr>
          <w:rFonts w:hint="eastAsia" w:ascii="仿宋_GB2312" w:eastAsia="仿宋_GB2312" w:cs="仿宋_GB2312"/>
          <w:bCs/>
          <w:color w:val="000000"/>
          <w:sz w:val="32"/>
          <w:szCs w:val="32"/>
          <w:shd w:val="clear" w:color="auto" w:fill="auto"/>
          <w:lang w:val="zh-CN"/>
        </w:rPr>
        <w:t>为更好的开展红原县招标控制价及竣工结算审核工作，以后的工作中，首先应进一步加强我单位工作人员业务培训，加强业务能力，并完善相应的中介服务机构管理办法，加强对中介服务机构的管理，提高中介服务机构的服务水平。 </w:t>
      </w:r>
    </w:p>
    <w:p w14:paraId="4BDE9F4A">
      <w:pPr>
        <w:pStyle w:val="13"/>
        <w:shd w:val="clear" w:color="auto" w:fill="FFFFFF"/>
        <w:ind w:left="420" w:firstLine="160" w:firstLineChars="50"/>
        <w:rPr>
          <w:rFonts w:ascii="仿宋_GB2312" w:eastAsia="仿宋_GB2312" w:cs="Times New Roman"/>
          <w:kern w:val="2"/>
          <w:sz w:val="32"/>
          <w:szCs w:val="32"/>
          <w:shd w:val="clear" w:color="auto" w:fill="auto"/>
        </w:rPr>
      </w:pPr>
      <w:r>
        <w:rPr>
          <w:rFonts w:ascii="仿宋_GB2312" w:eastAsia="仿宋_GB2312" w:cs="Times New Roman"/>
          <w:kern w:val="2"/>
          <w:sz w:val="32"/>
          <w:szCs w:val="32"/>
          <w:shd w:val="clear" w:color="auto" w:fill="auto"/>
        </w:rPr>
        <w:t>附表</w:t>
      </w:r>
    </w:p>
    <w:tbl>
      <w:tblPr>
        <w:tblStyle w:val="14"/>
        <w:tblW w:w="8320" w:type="dxa"/>
        <w:tblCellSpacing w:w="0" w:type="dxa"/>
        <w:tblInd w:w="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
      <w:tblGrid>
        <w:gridCol w:w="1494"/>
        <w:gridCol w:w="922"/>
        <w:gridCol w:w="1234"/>
        <w:gridCol w:w="1398"/>
        <w:gridCol w:w="1398"/>
        <w:gridCol w:w="1874"/>
      </w:tblGrid>
      <w:tr w14:paraId="48FE9383">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675" w:hRule="atLeast"/>
          <w:tblCellSpacing w:w="0" w:type="dxa"/>
        </w:trPr>
        <w:tc>
          <w:tcPr>
            <w:tcW w:w="8320" w:type="dxa"/>
            <w:gridSpan w:val="6"/>
            <w:tcBorders>
              <w:top w:val="outset" w:color="auto" w:sz="6" w:space="0"/>
              <w:left w:val="outset" w:color="auto" w:sz="6" w:space="0"/>
              <w:bottom w:val="outset" w:color="auto" w:sz="6" w:space="0"/>
              <w:right w:val="outset" w:color="auto" w:sz="6" w:space="0"/>
              <w:tl2br w:val="nil"/>
              <w:tr2bl w:val="nil"/>
            </w:tcBorders>
            <w:vAlign w:val="center"/>
          </w:tcPr>
          <w:p w14:paraId="63EF7637">
            <w:pPr>
              <w:pStyle w:val="13"/>
              <w:shd w:val="clear" w:color="auto" w:fill="FFFFFF"/>
              <w:ind w:left="420" w:firstLine="160" w:firstLineChars="50"/>
              <w:rPr>
                <w:rFonts w:ascii="仿宋_GB2312" w:eastAsia="仿宋_GB2312" w:cs="Times New Roman"/>
                <w:kern w:val="2"/>
                <w:sz w:val="32"/>
                <w:szCs w:val="32"/>
                <w:shd w:val="clear" w:color="auto" w:fill="auto"/>
              </w:rPr>
            </w:pPr>
            <w:r>
              <w:rPr>
                <w:rFonts w:hint="eastAsia" w:ascii="仿宋_GB2312" w:eastAsia="仿宋_GB2312" w:cs="Times New Roman"/>
                <w:kern w:val="2"/>
                <w:sz w:val="32"/>
                <w:szCs w:val="32"/>
                <w:shd w:val="clear" w:color="auto" w:fill="auto"/>
              </w:rPr>
              <w:t>2021年100万元以上（含）特定目标类部门预算项目绩效目标自评</w:t>
            </w:r>
          </w:p>
        </w:tc>
      </w:tr>
      <w:tr w14:paraId="1CE66C26">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255" w:hRule="atLeast"/>
          <w:tblCellSpacing w:w="0" w:type="dxa"/>
        </w:trPr>
        <w:tc>
          <w:tcPr>
            <w:tcW w:w="2416" w:type="dxa"/>
            <w:gridSpan w:val="2"/>
            <w:tcBorders>
              <w:top w:val="outset" w:color="auto" w:sz="6" w:space="0"/>
              <w:left w:val="outset" w:color="auto" w:sz="6" w:space="0"/>
              <w:bottom w:val="outset" w:color="auto" w:sz="6" w:space="0"/>
              <w:right w:val="outset" w:color="auto" w:sz="6" w:space="0"/>
              <w:tl2br w:val="nil"/>
              <w:tr2bl w:val="nil"/>
            </w:tcBorders>
            <w:vAlign w:val="center"/>
          </w:tcPr>
          <w:p w14:paraId="5B1628AA">
            <w:pPr>
              <w:pStyle w:val="13"/>
              <w:shd w:val="clear" w:color="auto" w:fill="FFFFFF"/>
              <w:ind w:left="420" w:firstLine="160" w:firstLineChars="50"/>
              <w:rPr>
                <w:rFonts w:ascii="仿宋_GB2312" w:eastAsia="仿宋_GB2312" w:cs="Times New Roman"/>
                <w:kern w:val="2"/>
                <w:sz w:val="32"/>
                <w:szCs w:val="32"/>
                <w:shd w:val="clear" w:color="auto" w:fill="auto"/>
              </w:rPr>
            </w:pPr>
            <w:r>
              <w:rPr>
                <w:rFonts w:ascii="仿宋_GB2312" w:eastAsia="仿宋_GB2312" w:cs="Times New Roman"/>
                <w:kern w:val="2"/>
                <w:sz w:val="32"/>
                <w:szCs w:val="32"/>
                <w:shd w:val="clear" w:color="auto" w:fill="auto"/>
              </w:rPr>
              <w:t>主管部门及代码</w:t>
            </w:r>
          </w:p>
        </w:tc>
        <w:tc>
          <w:tcPr>
            <w:tcW w:w="2632" w:type="dxa"/>
            <w:gridSpan w:val="2"/>
            <w:tcBorders>
              <w:top w:val="outset" w:color="auto" w:sz="6" w:space="0"/>
              <w:left w:val="outset" w:color="auto" w:sz="6" w:space="0"/>
              <w:bottom w:val="outset" w:color="auto" w:sz="6" w:space="0"/>
              <w:right w:val="outset" w:color="auto" w:sz="6" w:space="0"/>
              <w:tl2br w:val="nil"/>
              <w:tr2bl w:val="nil"/>
            </w:tcBorders>
            <w:vAlign w:val="center"/>
          </w:tcPr>
          <w:p w14:paraId="64F91008">
            <w:pPr>
              <w:pStyle w:val="13"/>
              <w:shd w:val="clear" w:color="auto" w:fill="FFFFFF"/>
              <w:ind w:left="420" w:firstLine="160" w:firstLineChars="50"/>
              <w:rPr>
                <w:rFonts w:ascii="仿宋_GB2312" w:eastAsia="仿宋_GB2312" w:cs="Times New Roman"/>
                <w:kern w:val="2"/>
                <w:sz w:val="32"/>
                <w:szCs w:val="32"/>
                <w:shd w:val="clear" w:color="auto" w:fill="auto"/>
              </w:rPr>
            </w:pPr>
            <w:r>
              <w:rPr>
                <w:rFonts w:ascii="仿宋_GB2312" w:eastAsia="仿宋_GB2312" w:cs="Times New Roman"/>
                <w:kern w:val="2"/>
                <w:sz w:val="32"/>
                <w:szCs w:val="32"/>
                <w:shd w:val="clear" w:color="auto" w:fill="auto"/>
              </w:rPr>
              <w:t>红原县财政局105 </w:t>
            </w:r>
          </w:p>
        </w:tc>
        <w:tc>
          <w:tcPr>
            <w:tcW w:w="1398" w:type="dxa"/>
            <w:tcBorders>
              <w:top w:val="outset" w:color="auto" w:sz="6" w:space="0"/>
              <w:left w:val="outset" w:color="auto" w:sz="6" w:space="0"/>
              <w:bottom w:val="outset" w:color="auto" w:sz="6" w:space="0"/>
              <w:right w:val="outset" w:color="auto" w:sz="6" w:space="0"/>
              <w:tl2br w:val="nil"/>
              <w:tr2bl w:val="nil"/>
            </w:tcBorders>
            <w:vAlign w:val="center"/>
          </w:tcPr>
          <w:p w14:paraId="5B863280">
            <w:pPr>
              <w:pStyle w:val="13"/>
              <w:shd w:val="clear" w:color="auto" w:fill="FFFFFF"/>
              <w:ind w:left="420" w:firstLine="160" w:firstLineChars="50"/>
              <w:rPr>
                <w:rFonts w:ascii="仿宋_GB2312" w:eastAsia="仿宋_GB2312" w:cs="Times New Roman"/>
                <w:kern w:val="2"/>
                <w:sz w:val="32"/>
                <w:szCs w:val="32"/>
                <w:shd w:val="clear" w:color="auto" w:fill="auto"/>
              </w:rPr>
            </w:pPr>
            <w:r>
              <w:rPr>
                <w:rFonts w:ascii="仿宋_GB2312" w:eastAsia="仿宋_GB2312" w:cs="Times New Roman"/>
                <w:kern w:val="2"/>
                <w:sz w:val="32"/>
                <w:szCs w:val="32"/>
                <w:shd w:val="clear" w:color="auto" w:fill="auto"/>
              </w:rPr>
              <w:t>实施单位</w:t>
            </w:r>
          </w:p>
        </w:tc>
        <w:tc>
          <w:tcPr>
            <w:tcW w:w="1874" w:type="dxa"/>
            <w:tcBorders>
              <w:top w:val="outset" w:color="auto" w:sz="6" w:space="0"/>
              <w:left w:val="outset" w:color="auto" w:sz="6" w:space="0"/>
              <w:bottom w:val="outset" w:color="auto" w:sz="6" w:space="0"/>
              <w:right w:val="outset" w:color="auto" w:sz="6" w:space="0"/>
              <w:tl2br w:val="nil"/>
              <w:tr2bl w:val="nil"/>
            </w:tcBorders>
            <w:vAlign w:val="center"/>
          </w:tcPr>
          <w:p w14:paraId="79920BD9">
            <w:pPr>
              <w:pStyle w:val="13"/>
              <w:shd w:val="clear" w:color="auto" w:fill="FFFFFF"/>
              <w:ind w:left="420" w:firstLine="160" w:firstLineChars="50"/>
              <w:rPr>
                <w:rFonts w:ascii="仿宋_GB2312" w:eastAsia="仿宋_GB2312" w:cs="Times New Roman"/>
                <w:kern w:val="2"/>
                <w:sz w:val="32"/>
                <w:szCs w:val="32"/>
                <w:shd w:val="clear" w:color="auto" w:fill="auto"/>
              </w:rPr>
            </w:pPr>
            <w:r>
              <w:rPr>
                <w:rFonts w:ascii="仿宋_GB2312" w:eastAsia="仿宋_GB2312" w:cs="Times New Roman"/>
                <w:kern w:val="2"/>
                <w:sz w:val="32"/>
                <w:szCs w:val="32"/>
                <w:shd w:val="clear" w:color="auto" w:fill="auto"/>
              </w:rPr>
              <w:t> 红原县财政局</w:t>
            </w:r>
          </w:p>
        </w:tc>
      </w:tr>
      <w:tr w14:paraId="1FBF903C">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345" w:hRule="atLeast"/>
          <w:tblCellSpacing w:w="0" w:type="dxa"/>
        </w:trPr>
        <w:tc>
          <w:tcPr>
            <w:tcW w:w="2416" w:type="dxa"/>
            <w:gridSpan w:val="2"/>
            <w:vMerge w:val="restart"/>
            <w:tcBorders>
              <w:top w:val="outset" w:color="auto" w:sz="6" w:space="0"/>
              <w:left w:val="outset" w:color="auto" w:sz="6" w:space="0"/>
              <w:bottom w:val="outset" w:color="auto" w:sz="6" w:space="0"/>
              <w:right w:val="outset" w:color="auto" w:sz="6" w:space="0"/>
              <w:tl2br w:val="nil"/>
              <w:tr2bl w:val="nil"/>
            </w:tcBorders>
            <w:vAlign w:val="center"/>
          </w:tcPr>
          <w:p w14:paraId="5F19D641">
            <w:pPr>
              <w:pStyle w:val="13"/>
              <w:shd w:val="clear" w:color="auto" w:fill="FFFFFF"/>
              <w:ind w:left="420" w:firstLine="160" w:firstLineChars="50"/>
              <w:rPr>
                <w:rFonts w:ascii="仿宋_GB2312" w:eastAsia="仿宋_GB2312" w:cs="Times New Roman"/>
                <w:kern w:val="2"/>
                <w:sz w:val="32"/>
                <w:szCs w:val="32"/>
                <w:shd w:val="clear" w:color="auto" w:fill="auto"/>
              </w:rPr>
            </w:pPr>
            <w:r>
              <w:rPr>
                <w:rFonts w:ascii="仿宋_GB2312" w:eastAsia="仿宋_GB2312" w:cs="Times New Roman"/>
                <w:kern w:val="2"/>
                <w:sz w:val="32"/>
                <w:szCs w:val="32"/>
                <w:shd w:val="clear" w:color="auto" w:fill="auto"/>
              </w:rPr>
              <w:t>项目预算</w:t>
            </w:r>
          </w:p>
          <w:p w14:paraId="126A6174">
            <w:pPr>
              <w:pStyle w:val="13"/>
              <w:shd w:val="clear" w:color="auto" w:fill="FFFFFF"/>
              <w:ind w:left="420" w:firstLine="160" w:firstLineChars="50"/>
              <w:rPr>
                <w:rFonts w:ascii="仿宋_GB2312" w:eastAsia="仿宋_GB2312" w:cs="Times New Roman"/>
                <w:kern w:val="2"/>
                <w:sz w:val="32"/>
                <w:szCs w:val="32"/>
                <w:shd w:val="clear" w:color="auto" w:fill="auto"/>
              </w:rPr>
            </w:pPr>
            <w:r>
              <w:rPr>
                <w:rFonts w:ascii="仿宋_GB2312" w:eastAsia="仿宋_GB2312" w:cs="Times New Roman"/>
                <w:kern w:val="2"/>
                <w:sz w:val="32"/>
                <w:szCs w:val="32"/>
                <w:shd w:val="clear" w:color="auto" w:fill="auto"/>
              </w:rPr>
              <w:t>执行情况</w:t>
            </w:r>
          </w:p>
          <w:p w14:paraId="2FFAE879">
            <w:pPr>
              <w:pStyle w:val="13"/>
              <w:shd w:val="clear" w:color="auto" w:fill="FFFFFF"/>
              <w:ind w:left="420" w:firstLine="160" w:firstLineChars="50"/>
              <w:rPr>
                <w:rFonts w:ascii="仿宋_GB2312" w:eastAsia="仿宋_GB2312" w:cs="Times New Roman"/>
                <w:kern w:val="2"/>
                <w:sz w:val="32"/>
                <w:szCs w:val="32"/>
                <w:shd w:val="clear" w:color="auto" w:fill="auto"/>
              </w:rPr>
            </w:pPr>
            <w:r>
              <w:rPr>
                <w:rFonts w:ascii="仿宋_GB2312" w:eastAsia="仿宋_GB2312" w:cs="Times New Roman"/>
                <w:kern w:val="2"/>
                <w:sz w:val="32"/>
                <w:szCs w:val="32"/>
                <w:shd w:val="clear" w:color="auto" w:fill="auto"/>
              </w:rPr>
              <w:t>（万元）</w:t>
            </w:r>
          </w:p>
        </w:tc>
        <w:tc>
          <w:tcPr>
            <w:tcW w:w="1234" w:type="dxa"/>
            <w:tcBorders>
              <w:top w:val="outset" w:color="auto" w:sz="6" w:space="0"/>
              <w:left w:val="outset" w:color="auto" w:sz="6" w:space="0"/>
              <w:bottom w:val="outset" w:color="auto" w:sz="6" w:space="0"/>
              <w:right w:val="outset" w:color="auto" w:sz="6" w:space="0"/>
              <w:tl2br w:val="nil"/>
              <w:tr2bl w:val="nil"/>
            </w:tcBorders>
            <w:vAlign w:val="center"/>
          </w:tcPr>
          <w:p w14:paraId="02186183">
            <w:pPr>
              <w:pStyle w:val="13"/>
              <w:shd w:val="clear" w:color="auto" w:fill="FFFFFF"/>
              <w:ind w:left="420" w:firstLine="160" w:firstLineChars="50"/>
              <w:rPr>
                <w:rFonts w:ascii="仿宋_GB2312" w:eastAsia="仿宋_GB2312" w:cs="Times New Roman"/>
                <w:kern w:val="2"/>
                <w:sz w:val="32"/>
                <w:szCs w:val="32"/>
                <w:shd w:val="clear" w:color="auto" w:fill="auto"/>
              </w:rPr>
            </w:pPr>
            <w:r>
              <w:rPr>
                <w:rFonts w:ascii="仿宋_GB2312" w:eastAsia="仿宋_GB2312" w:cs="Times New Roman"/>
                <w:kern w:val="2"/>
                <w:sz w:val="32"/>
                <w:szCs w:val="32"/>
                <w:shd w:val="clear" w:color="auto" w:fill="auto"/>
              </w:rPr>
              <w:t> 预算数：</w:t>
            </w:r>
          </w:p>
        </w:tc>
        <w:tc>
          <w:tcPr>
            <w:tcW w:w="1398" w:type="dxa"/>
            <w:tcBorders>
              <w:top w:val="outset" w:color="auto" w:sz="6" w:space="0"/>
              <w:left w:val="outset" w:color="auto" w:sz="6" w:space="0"/>
              <w:bottom w:val="outset" w:color="auto" w:sz="6" w:space="0"/>
              <w:right w:val="outset" w:color="auto" w:sz="6" w:space="0"/>
              <w:tl2br w:val="nil"/>
              <w:tr2bl w:val="nil"/>
            </w:tcBorders>
            <w:vAlign w:val="center"/>
          </w:tcPr>
          <w:p w14:paraId="26C576E5">
            <w:pPr>
              <w:pStyle w:val="13"/>
              <w:shd w:val="clear" w:color="auto" w:fill="FFFFFF"/>
              <w:ind w:left="420" w:firstLine="160" w:firstLineChars="50"/>
              <w:rPr>
                <w:rFonts w:ascii="仿宋_GB2312" w:eastAsia="仿宋_GB2312" w:cs="Times New Roman"/>
                <w:kern w:val="2"/>
                <w:sz w:val="32"/>
                <w:szCs w:val="32"/>
                <w:shd w:val="clear" w:color="auto" w:fill="auto"/>
              </w:rPr>
            </w:pPr>
            <w:r>
              <w:rPr>
                <w:rFonts w:ascii="仿宋_GB2312" w:eastAsia="仿宋_GB2312" w:cs="Times New Roman"/>
                <w:kern w:val="2"/>
                <w:sz w:val="32"/>
                <w:szCs w:val="32"/>
                <w:shd w:val="clear" w:color="auto" w:fill="auto"/>
              </w:rPr>
              <w:t>300 </w:t>
            </w:r>
          </w:p>
        </w:tc>
        <w:tc>
          <w:tcPr>
            <w:tcW w:w="1398" w:type="dxa"/>
            <w:tcBorders>
              <w:top w:val="outset" w:color="auto" w:sz="6" w:space="0"/>
              <w:left w:val="outset" w:color="auto" w:sz="6" w:space="0"/>
              <w:bottom w:val="outset" w:color="auto" w:sz="6" w:space="0"/>
              <w:right w:val="outset" w:color="auto" w:sz="6" w:space="0"/>
              <w:tl2br w:val="nil"/>
              <w:tr2bl w:val="nil"/>
            </w:tcBorders>
            <w:vAlign w:val="center"/>
          </w:tcPr>
          <w:p w14:paraId="1E2E804D">
            <w:pPr>
              <w:pStyle w:val="13"/>
              <w:shd w:val="clear" w:color="auto" w:fill="FFFFFF"/>
              <w:ind w:left="420" w:firstLine="160" w:firstLineChars="50"/>
              <w:rPr>
                <w:rFonts w:ascii="仿宋_GB2312" w:eastAsia="仿宋_GB2312" w:cs="Times New Roman"/>
                <w:kern w:val="2"/>
                <w:sz w:val="32"/>
                <w:szCs w:val="32"/>
                <w:shd w:val="clear" w:color="auto" w:fill="auto"/>
              </w:rPr>
            </w:pPr>
            <w:r>
              <w:rPr>
                <w:rFonts w:ascii="仿宋_GB2312" w:eastAsia="仿宋_GB2312" w:cs="Times New Roman"/>
                <w:kern w:val="2"/>
                <w:sz w:val="32"/>
                <w:szCs w:val="32"/>
                <w:shd w:val="clear" w:color="auto" w:fill="auto"/>
              </w:rPr>
              <w:t> 执行数：</w:t>
            </w:r>
          </w:p>
        </w:tc>
        <w:tc>
          <w:tcPr>
            <w:tcW w:w="1874" w:type="dxa"/>
            <w:tcBorders>
              <w:top w:val="outset" w:color="auto" w:sz="6" w:space="0"/>
              <w:left w:val="outset" w:color="auto" w:sz="6" w:space="0"/>
              <w:bottom w:val="outset" w:color="auto" w:sz="6" w:space="0"/>
              <w:right w:val="outset" w:color="auto" w:sz="6" w:space="0"/>
              <w:tl2br w:val="nil"/>
              <w:tr2bl w:val="nil"/>
            </w:tcBorders>
            <w:vAlign w:val="center"/>
          </w:tcPr>
          <w:p w14:paraId="5165DDA9">
            <w:pPr>
              <w:pStyle w:val="13"/>
              <w:shd w:val="clear" w:color="auto" w:fill="FFFFFF"/>
              <w:ind w:left="420" w:firstLine="160" w:firstLineChars="50"/>
              <w:rPr>
                <w:rFonts w:ascii="仿宋_GB2312" w:eastAsia="仿宋_GB2312" w:cs="Times New Roman"/>
                <w:kern w:val="2"/>
                <w:sz w:val="32"/>
                <w:szCs w:val="32"/>
                <w:shd w:val="clear" w:color="auto" w:fill="auto"/>
              </w:rPr>
            </w:pPr>
            <w:r>
              <w:rPr>
                <w:rFonts w:ascii="仿宋_GB2312" w:eastAsia="仿宋_GB2312" w:cs="Times New Roman"/>
                <w:kern w:val="2"/>
                <w:sz w:val="32"/>
                <w:szCs w:val="32"/>
                <w:shd w:val="clear" w:color="auto" w:fill="auto"/>
              </w:rPr>
              <w:t> 220.12</w:t>
            </w:r>
          </w:p>
        </w:tc>
      </w:tr>
      <w:tr w14:paraId="546437B1">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555" w:hRule="atLeast"/>
          <w:tblCellSpacing w:w="0" w:type="dxa"/>
        </w:trPr>
        <w:tc>
          <w:tcPr>
            <w:tcW w:w="2416" w:type="dxa"/>
            <w:gridSpan w:val="2"/>
            <w:vMerge w:val="continue"/>
            <w:tcBorders>
              <w:top w:val="outset" w:color="auto" w:sz="6" w:space="0"/>
              <w:left w:val="outset" w:color="auto" w:sz="6" w:space="0"/>
              <w:bottom w:val="outset" w:color="auto" w:sz="6" w:space="0"/>
              <w:right w:val="outset" w:color="auto" w:sz="6" w:space="0"/>
              <w:tl2br w:val="nil"/>
              <w:tr2bl w:val="nil"/>
            </w:tcBorders>
            <w:vAlign w:val="center"/>
          </w:tcPr>
          <w:p w14:paraId="67705795"/>
        </w:tc>
        <w:tc>
          <w:tcPr>
            <w:tcW w:w="1234" w:type="dxa"/>
            <w:tcBorders>
              <w:top w:val="outset" w:color="auto" w:sz="6" w:space="0"/>
              <w:left w:val="outset" w:color="auto" w:sz="6" w:space="0"/>
              <w:bottom w:val="outset" w:color="auto" w:sz="6" w:space="0"/>
              <w:right w:val="outset" w:color="auto" w:sz="6" w:space="0"/>
              <w:tl2br w:val="nil"/>
              <w:tr2bl w:val="nil"/>
            </w:tcBorders>
            <w:vAlign w:val="center"/>
          </w:tcPr>
          <w:p w14:paraId="0B109B20">
            <w:pPr>
              <w:pStyle w:val="13"/>
              <w:shd w:val="clear" w:color="auto" w:fill="FFFFFF"/>
              <w:ind w:left="420" w:firstLine="160" w:firstLineChars="50"/>
              <w:rPr>
                <w:rFonts w:ascii="仿宋_GB2312" w:eastAsia="仿宋_GB2312" w:cs="Times New Roman"/>
                <w:kern w:val="2"/>
                <w:sz w:val="32"/>
                <w:szCs w:val="32"/>
                <w:shd w:val="clear" w:color="auto" w:fill="auto"/>
              </w:rPr>
            </w:pPr>
            <w:r>
              <w:rPr>
                <w:rFonts w:ascii="仿宋_GB2312" w:eastAsia="仿宋_GB2312" w:cs="Times New Roman"/>
                <w:kern w:val="2"/>
                <w:sz w:val="32"/>
                <w:szCs w:val="32"/>
                <w:shd w:val="clear" w:color="auto" w:fill="auto"/>
              </w:rPr>
              <w:t>其中：</w:t>
            </w:r>
          </w:p>
          <w:p w14:paraId="3FFE540B">
            <w:pPr>
              <w:pStyle w:val="13"/>
              <w:shd w:val="clear" w:color="auto" w:fill="FFFFFF"/>
              <w:ind w:left="420" w:firstLine="160" w:firstLineChars="50"/>
              <w:rPr>
                <w:rFonts w:ascii="仿宋_GB2312" w:eastAsia="仿宋_GB2312" w:cs="Times New Roman"/>
                <w:kern w:val="2"/>
                <w:sz w:val="32"/>
                <w:szCs w:val="32"/>
                <w:shd w:val="clear" w:color="auto" w:fill="auto"/>
              </w:rPr>
            </w:pPr>
            <w:r>
              <w:rPr>
                <w:rFonts w:ascii="仿宋_GB2312" w:eastAsia="仿宋_GB2312" w:cs="Times New Roman"/>
                <w:kern w:val="2"/>
                <w:sz w:val="32"/>
                <w:szCs w:val="32"/>
                <w:shd w:val="clear" w:color="auto" w:fill="auto"/>
              </w:rPr>
              <w:t>财政拨款</w:t>
            </w:r>
          </w:p>
        </w:tc>
        <w:tc>
          <w:tcPr>
            <w:tcW w:w="1398" w:type="dxa"/>
            <w:tcBorders>
              <w:top w:val="outset" w:color="auto" w:sz="6" w:space="0"/>
              <w:left w:val="outset" w:color="auto" w:sz="6" w:space="0"/>
              <w:bottom w:val="outset" w:color="auto" w:sz="6" w:space="0"/>
              <w:right w:val="outset" w:color="auto" w:sz="6" w:space="0"/>
              <w:tl2br w:val="nil"/>
              <w:tr2bl w:val="nil"/>
            </w:tcBorders>
            <w:vAlign w:val="center"/>
          </w:tcPr>
          <w:p w14:paraId="35D90040">
            <w:pPr>
              <w:pStyle w:val="13"/>
              <w:shd w:val="clear" w:color="auto" w:fill="FFFFFF"/>
              <w:ind w:left="420" w:firstLine="160" w:firstLineChars="50"/>
              <w:rPr>
                <w:rFonts w:ascii="仿宋_GB2312" w:eastAsia="仿宋_GB2312" w:cs="Times New Roman"/>
                <w:kern w:val="2"/>
                <w:sz w:val="32"/>
                <w:szCs w:val="32"/>
                <w:shd w:val="clear" w:color="auto" w:fill="auto"/>
              </w:rPr>
            </w:pPr>
            <w:r>
              <w:rPr>
                <w:rFonts w:ascii="仿宋_GB2312" w:eastAsia="仿宋_GB2312" w:cs="Times New Roman"/>
                <w:kern w:val="2"/>
                <w:sz w:val="32"/>
                <w:szCs w:val="32"/>
                <w:shd w:val="clear" w:color="auto" w:fill="auto"/>
              </w:rPr>
              <w:t> 300</w:t>
            </w:r>
          </w:p>
        </w:tc>
        <w:tc>
          <w:tcPr>
            <w:tcW w:w="1398" w:type="dxa"/>
            <w:tcBorders>
              <w:top w:val="outset" w:color="auto" w:sz="6" w:space="0"/>
              <w:left w:val="outset" w:color="auto" w:sz="6" w:space="0"/>
              <w:bottom w:val="outset" w:color="auto" w:sz="6" w:space="0"/>
              <w:right w:val="outset" w:color="auto" w:sz="6" w:space="0"/>
              <w:tl2br w:val="nil"/>
              <w:tr2bl w:val="nil"/>
            </w:tcBorders>
            <w:vAlign w:val="center"/>
          </w:tcPr>
          <w:p w14:paraId="4827CB26">
            <w:pPr>
              <w:pStyle w:val="13"/>
              <w:shd w:val="clear" w:color="auto" w:fill="FFFFFF"/>
              <w:ind w:left="420" w:firstLine="160" w:firstLineChars="50"/>
              <w:rPr>
                <w:rFonts w:ascii="仿宋_GB2312" w:eastAsia="仿宋_GB2312" w:cs="Times New Roman"/>
                <w:kern w:val="2"/>
                <w:sz w:val="32"/>
                <w:szCs w:val="32"/>
                <w:shd w:val="clear" w:color="auto" w:fill="auto"/>
              </w:rPr>
            </w:pPr>
            <w:r>
              <w:rPr>
                <w:rFonts w:ascii="仿宋_GB2312" w:eastAsia="仿宋_GB2312" w:cs="Times New Roman"/>
                <w:kern w:val="2"/>
                <w:sz w:val="32"/>
                <w:szCs w:val="32"/>
                <w:shd w:val="clear" w:color="auto" w:fill="auto"/>
              </w:rPr>
              <w:t>其中：</w:t>
            </w:r>
          </w:p>
          <w:p w14:paraId="5F5C4575">
            <w:pPr>
              <w:pStyle w:val="13"/>
              <w:shd w:val="clear" w:color="auto" w:fill="FFFFFF"/>
              <w:ind w:left="420" w:firstLine="160" w:firstLineChars="50"/>
              <w:rPr>
                <w:rFonts w:ascii="仿宋_GB2312" w:eastAsia="仿宋_GB2312" w:cs="Times New Roman"/>
                <w:kern w:val="2"/>
                <w:sz w:val="32"/>
                <w:szCs w:val="32"/>
                <w:shd w:val="clear" w:color="auto" w:fill="auto"/>
              </w:rPr>
            </w:pPr>
            <w:r>
              <w:rPr>
                <w:rFonts w:ascii="仿宋_GB2312" w:eastAsia="仿宋_GB2312" w:cs="Times New Roman"/>
                <w:kern w:val="2"/>
                <w:sz w:val="32"/>
                <w:szCs w:val="32"/>
                <w:shd w:val="clear" w:color="auto" w:fill="auto"/>
              </w:rPr>
              <w:t>财政拨款</w:t>
            </w:r>
          </w:p>
        </w:tc>
        <w:tc>
          <w:tcPr>
            <w:tcW w:w="1874" w:type="dxa"/>
            <w:tcBorders>
              <w:top w:val="outset" w:color="auto" w:sz="6" w:space="0"/>
              <w:left w:val="outset" w:color="auto" w:sz="6" w:space="0"/>
              <w:bottom w:val="outset" w:color="auto" w:sz="6" w:space="0"/>
              <w:right w:val="outset" w:color="auto" w:sz="6" w:space="0"/>
              <w:tl2br w:val="nil"/>
              <w:tr2bl w:val="nil"/>
            </w:tcBorders>
            <w:vAlign w:val="center"/>
          </w:tcPr>
          <w:p w14:paraId="0CC84CCB">
            <w:pPr>
              <w:pStyle w:val="13"/>
              <w:shd w:val="clear" w:color="auto" w:fill="FFFFFF"/>
              <w:ind w:left="420" w:firstLine="160" w:firstLineChars="50"/>
              <w:rPr>
                <w:rFonts w:ascii="仿宋_GB2312" w:eastAsia="仿宋_GB2312" w:cs="Times New Roman"/>
                <w:kern w:val="2"/>
                <w:sz w:val="32"/>
                <w:szCs w:val="32"/>
                <w:shd w:val="clear" w:color="auto" w:fill="auto"/>
              </w:rPr>
            </w:pPr>
            <w:r>
              <w:rPr>
                <w:rFonts w:ascii="仿宋_GB2312" w:eastAsia="仿宋_GB2312" w:cs="Times New Roman"/>
                <w:kern w:val="2"/>
                <w:sz w:val="32"/>
                <w:szCs w:val="32"/>
                <w:shd w:val="clear" w:color="auto" w:fill="auto"/>
              </w:rPr>
              <w:t> 220.12</w:t>
            </w:r>
          </w:p>
        </w:tc>
      </w:tr>
      <w:tr w14:paraId="5F5A28D4">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345" w:hRule="atLeast"/>
          <w:tblCellSpacing w:w="0" w:type="dxa"/>
        </w:trPr>
        <w:tc>
          <w:tcPr>
            <w:tcW w:w="2416" w:type="dxa"/>
            <w:gridSpan w:val="2"/>
            <w:vMerge w:val="continue"/>
            <w:tcBorders>
              <w:top w:val="outset" w:color="auto" w:sz="6" w:space="0"/>
              <w:left w:val="outset" w:color="auto" w:sz="6" w:space="0"/>
              <w:bottom w:val="outset" w:color="auto" w:sz="6" w:space="0"/>
              <w:right w:val="outset" w:color="auto" w:sz="6" w:space="0"/>
              <w:tl2br w:val="nil"/>
              <w:tr2bl w:val="nil"/>
            </w:tcBorders>
            <w:vAlign w:val="center"/>
          </w:tcPr>
          <w:p w14:paraId="7C77DD27"/>
        </w:tc>
        <w:tc>
          <w:tcPr>
            <w:tcW w:w="1234" w:type="dxa"/>
            <w:tcBorders>
              <w:top w:val="outset" w:color="auto" w:sz="6" w:space="0"/>
              <w:left w:val="outset" w:color="auto" w:sz="6" w:space="0"/>
              <w:bottom w:val="outset" w:color="auto" w:sz="6" w:space="0"/>
              <w:right w:val="outset" w:color="auto" w:sz="6" w:space="0"/>
              <w:tl2br w:val="nil"/>
              <w:tr2bl w:val="nil"/>
            </w:tcBorders>
            <w:vAlign w:val="center"/>
          </w:tcPr>
          <w:p w14:paraId="08813998">
            <w:pPr>
              <w:pStyle w:val="13"/>
              <w:shd w:val="clear" w:color="auto" w:fill="FFFFFF"/>
              <w:ind w:left="420" w:firstLine="160" w:firstLineChars="50"/>
              <w:rPr>
                <w:rFonts w:ascii="仿宋_GB2312" w:eastAsia="仿宋_GB2312" w:cs="Times New Roman"/>
                <w:kern w:val="2"/>
                <w:sz w:val="32"/>
                <w:szCs w:val="32"/>
                <w:shd w:val="clear" w:color="auto" w:fill="auto"/>
              </w:rPr>
            </w:pPr>
            <w:r>
              <w:rPr>
                <w:rFonts w:ascii="仿宋_GB2312" w:eastAsia="仿宋_GB2312" w:cs="Times New Roman"/>
                <w:kern w:val="2"/>
                <w:sz w:val="32"/>
                <w:szCs w:val="32"/>
                <w:shd w:val="clear" w:color="auto" w:fill="auto"/>
              </w:rPr>
              <w:t>其他资金</w:t>
            </w:r>
          </w:p>
        </w:tc>
        <w:tc>
          <w:tcPr>
            <w:tcW w:w="1398" w:type="dxa"/>
            <w:tcBorders>
              <w:top w:val="outset" w:color="auto" w:sz="6" w:space="0"/>
              <w:left w:val="outset" w:color="auto" w:sz="6" w:space="0"/>
              <w:bottom w:val="outset" w:color="auto" w:sz="6" w:space="0"/>
              <w:right w:val="outset" w:color="auto" w:sz="6" w:space="0"/>
              <w:tl2br w:val="nil"/>
              <w:tr2bl w:val="nil"/>
            </w:tcBorders>
            <w:vAlign w:val="center"/>
          </w:tcPr>
          <w:p w14:paraId="4666139F">
            <w:pPr>
              <w:pStyle w:val="13"/>
              <w:shd w:val="clear" w:color="auto" w:fill="FFFFFF"/>
              <w:ind w:left="420" w:firstLine="160" w:firstLineChars="50"/>
              <w:rPr>
                <w:rFonts w:ascii="仿宋_GB2312" w:eastAsia="仿宋_GB2312" w:cs="Times New Roman"/>
                <w:kern w:val="2"/>
                <w:sz w:val="32"/>
                <w:szCs w:val="32"/>
                <w:shd w:val="clear" w:color="auto" w:fill="auto"/>
              </w:rPr>
            </w:pPr>
            <w:r>
              <w:rPr>
                <w:rFonts w:ascii="仿宋_GB2312" w:eastAsia="仿宋_GB2312" w:cs="Times New Roman"/>
                <w:kern w:val="2"/>
                <w:sz w:val="32"/>
                <w:szCs w:val="32"/>
                <w:shd w:val="clear" w:color="auto" w:fill="auto"/>
              </w:rPr>
              <w:t> 0</w:t>
            </w:r>
          </w:p>
        </w:tc>
        <w:tc>
          <w:tcPr>
            <w:tcW w:w="1398" w:type="dxa"/>
            <w:tcBorders>
              <w:top w:val="outset" w:color="auto" w:sz="6" w:space="0"/>
              <w:left w:val="outset" w:color="auto" w:sz="6" w:space="0"/>
              <w:bottom w:val="outset" w:color="auto" w:sz="6" w:space="0"/>
              <w:right w:val="outset" w:color="auto" w:sz="6" w:space="0"/>
              <w:tl2br w:val="nil"/>
              <w:tr2bl w:val="nil"/>
            </w:tcBorders>
            <w:vAlign w:val="center"/>
          </w:tcPr>
          <w:p w14:paraId="6F6CA1B0">
            <w:pPr>
              <w:pStyle w:val="13"/>
              <w:shd w:val="clear" w:color="auto" w:fill="FFFFFF"/>
              <w:ind w:left="420" w:firstLine="160" w:firstLineChars="50"/>
              <w:rPr>
                <w:rFonts w:ascii="仿宋_GB2312" w:eastAsia="仿宋_GB2312" w:cs="Times New Roman"/>
                <w:kern w:val="2"/>
                <w:sz w:val="32"/>
                <w:szCs w:val="32"/>
                <w:shd w:val="clear" w:color="auto" w:fill="auto"/>
              </w:rPr>
            </w:pPr>
            <w:r>
              <w:rPr>
                <w:rFonts w:ascii="仿宋_GB2312" w:eastAsia="仿宋_GB2312" w:cs="Times New Roman"/>
                <w:kern w:val="2"/>
                <w:sz w:val="32"/>
                <w:szCs w:val="32"/>
                <w:shd w:val="clear" w:color="auto" w:fill="auto"/>
              </w:rPr>
              <w:t>其他资金</w:t>
            </w:r>
          </w:p>
        </w:tc>
        <w:tc>
          <w:tcPr>
            <w:tcW w:w="1874" w:type="dxa"/>
            <w:tcBorders>
              <w:top w:val="outset" w:color="auto" w:sz="6" w:space="0"/>
              <w:left w:val="outset" w:color="auto" w:sz="6" w:space="0"/>
              <w:bottom w:val="outset" w:color="auto" w:sz="6" w:space="0"/>
              <w:right w:val="outset" w:color="auto" w:sz="6" w:space="0"/>
              <w:tl2br w:val="nil"/>
              <w:tr2bl w:val="nil"/>
            </w:tcBorders>
            <w:vAlign w:val="center"/>
          </w:tcPr>
          <w:p w14:paraId="5DA9CC44">
            <w:pPr>
              <w:pStyle w:val="13"/>
              <w:shd w:val="clear" w:color="auto" w:fill="FFFFFF"/>
              <w:ind w:left="420" w:firstLine="160" w:firstLineChars="50"/>
              <w:rPr>
                <w:rFonts w:ascii="仿宋_GB2312" w:eastAsia="仿宋_GB2312" w:cs="Times New Roman"/>
                <w:kern w:val="2"/>
                <w:sz w:val="32"/>
                <w:szCs w:val="32"/>
                <w:shd w:val="clear" w:color="auto" w:fill="auto"/>
              </w:rPr>
            </w:pPr>
            <w:r>
              <w:rPr>
                <w:rFonts w:ascii="仿宋_GB2312" w:eastAsia="仿宋_GB2312" w:cs="Times New Roman"/>
                <w:kern w:val="2"/>
                <w:sz w:val="32"/>
                <w:szCs w:val="32"/>
                <w:shd w:val="clear" w:color="auto" w:fill="auto"/>
              </w:rPr>
              <w:t>0 </w:t>
            </w:r>
          </w:p>
        </w:tc>
      </w:tr>
      <w:tr w14:paraId="29E06A69">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210" w:hRule="atLeast"/>
          <w:tblCellSpacing w:w="0" w:type="dxa"/>
        </w:trPr>
        <w:tc>
          <w:tcPr>
            <w:tcW w:w="1494" w:type="dxa"/>
            <w:vMerge w:val="restart"/>
            <w:tcBorders>
              <w:top w:val="outset" w:color="auto" w:sz="6" w:space="0"/>
              <w:left w:val="outset" w:color="auto" w:sz="6" w:space="0"/>
              <w:bottom w:val="outset" w:color="auto" w:sz="6" w:space="0"/>
              <w:right w:val="outset" w:color="auto" w:sz="6" w:space="0"/>
              <w:tl2br w:val="nil"/>
              <w:tr2bl w:val="nil"/>
            </w:tcBorders>
            <w:vAlign w:val="center"/>
          </w:tcPr>
          <w:p w14:paraId="631E3A45">
            <w:pPr>
              <w:pStyle w:val="13"/>
              <w:shd w:val="clear" w:color="auto" w:fill="FFFFFF"/>
              <w:ind w:left="420" w:firstLine="160" w:firstLineChars="50"/>
              <w:rPr>
                <w:rFonts w:ascii="仿宋_GB2312" w:eastAsia="仿宋_GB2312" w:cs="Times New Roman"/>
                <w:kern w:val="2"/>
                <w:sz w:val="32"/>
                <w:szCs w:val="32"/>
                <w:shd w:val="clear" w:color="auto" w:fill="auto"/>
              </w:rPr>
            </w:pPr>
            <w:r>
              <w:rPr>
                <w:rFonts w:ascii="仿宋_GB2312" w:eastAsia="仿宋_GB2312" w:cs="Times New Roman"/>
                <w:kern w:val="2"/>
                <w:sz w:val="32"/>
                <w:szCs w:val="32"/>
                <w:shd w:val="clear" w:color="auto" w:fill="auto"/>
              </w:rPr>
              <w:t>年度总体目标</w:t>
            </w:r>
          </w:p>
          <w:p w14:paraId="62C4535F">
            <w:pPr>
              <w:pStyle w:val="13"/>
              <w:shd w:val="clear" w:color="auto" w:fill="FFFFFF"/>
              <w:ind w:left="420" w:firstLine="160" w:firstLineChars="50"/>
              <w:rPr>
                <w:rFonts w:ascii="仿宋_GB2312" w:eastAsia="仿宋_GB2312" w:cs="Times New Roman"/>
                <w:kern w:val="2"/>
                <w:sz w:val="32"/>
                <w:szCs w:val="32"/>
                <w:shd w:val="clear" w:color="auto" w:fill="auto"/>
              </w:rPr>
            </w:pPr>
            <w:r>
              <w:rPr>
                <w:rFonts w:ascii="仿宋_GB2312" w:eastAsia="仿宋_GB2312" w:cs="Times New Roman"/>
                <w:kern w:val="2"/>
                <w:sz w:val="32"/>
                <w:szCs w:val="32"/>
                <w:shd w:val="clear" w:color="auto" w:fill="auto"/>
              </w:rPr>
              <w:t>完成情况</w:t>
            </w:r>
          </w:p>
        </w:tc>
        <w:tc>
          <w:tcPr>
            <w:tcW w:w="3554" w:type="dxa"/>
            <w:gridSpan w:val="3"/>
            <w:tcBorders>
              <w:top w:val="outset" w:color="auto" w:sz="6" w:space="0"/>
              <w:left w:val="outset" w:color="auto" w:sz="6" w:space="0"/>
              <w:bottom w:val="outset" w:color="auto" w:sz="6" w:space="0"/>
              <w:right w:val="outset" w:color="auto" w:sz="6" w:space="0"/>
              <w:tl2br w:val="nil"/>
              <w:tr2bl w:val="nil"/>
            </w:tcBorders>
            <w:vAlign w:val="center"/>
          </w:tcPr>
          <w:p w14:paraId="09BD832D">
            <w:pPr>
              <w:pStyle w:val="13"/>
              <w:shd w:val="clear" w:color="auto" w:fill="FFFFFF"/>
              <w:ind w:left="420" w:firstLine="160" w:firstLineChars="50"/>
              <w:rPr>
                <w:rFonts w:ascii="仿宋_GB2312" w:eastAsia="仿宋_GB2312" w:cs="Times New Roman"/>
                <w:kern w:val="2"/>
                <w:sz w:val="32"/>
                <w:szCs w:val="32"/>
                <w:shd w:val="clear" w:color="auto" w:fill="auto"/>
              </w:rPr>
            </w:pPr>
            <w:r>
              <w:rPr>
                <w:rFonts w:ascii="仿宋_GB2312" w:eastAsia="仿宋_GB2312" w:cs="Times New Roman"/>
                <w:kern w:val="2"/>
                <w:sz w:val="32"/>
                <w:szCs w:val="32"/>
                <w:shd w:val="clear" w:color="auto" w:fill="auto"/>
              </w:rPr>
              <w:t>预期目标</w:t>
            </w:r>
          </w:p>
        </w:tc>
        <w:tc>
          <w:tcPr>
            <w:tcW w:w="3272" w:type="dxa"/>
            <w:gridSpan w:val="2"/>
            <w:tcBorders>
              <w:top w:val="outset" w:color="auto" w:sz="6" w:space="0"/>
              <w:left w:val="outset" w:color="auto" w:sz="6" w:space="0"/>
              <w:bottom w:val="outset" w:color="auto" w:sz="6" w:space="0"/>
              <w:right w:val="outset" w:color="auto" w:sz="6" w:space="0"/>
              <w:tl2br w:val="nil"/>
              <w:tr2bl w:val="nil"/>
            </w:tcBorders>
            <w:vAlign w:val="center"/>
          </w:tcPr>
          <w:p w14:paraId="37DA196E">
            <w:pPr>
              <w:pStyle w:val="13"/>
              <w:shd w:val="clear" w:color="auto" w:fill="FFFFFF"/>
              <w:ind w:left="420" w:firstLine="160" w:firstLineChars="50"/>
              <w:rPr>
                <w:rFonts w:ascii="仿宋_GB2312" w:eastAsia="仿宋_GB2312" w:cs="Times New Roman"/>
                <w:kern w:val="2"/>
                <w:sz w:val="32"/>
                <w:szCs w:val="32"/>
                <w:shd w:val="clear" w:color="auto" w:fill="auto"/>
              </w:rPr>
            </w:pPr>
            <w:r>
              <w:rPr>
                <w:rFonts w:ascii="仿宋_GB2312" w:eastAsia="仿宋_GB2312" w:cs="Times New Roman"/>
                <w:kern w:val="2"/>
                <w:sz w:val="32"/>
                <w:szCs w:val="32"/>
                <w:shd w:val="clear" w:color="auto" w:fill="auto"/>
              </w:rPr>
              <w:t>目标实际完成情况</w:t>
            </w:r>
          </w:p>
        </w:tc>
      </w:tr>
      <w:tr w14:paraId="57A6FC7C">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795" w:hRule="atLeast"/>
          <w:tblCellSpacing w:w="0" w:type="dxa"/>
        </w:trPr>
        <w:tc>
          <w:tcPr>
            <w:tcW w:w="1494" w:type="dxa"/>
            <w:vMerge w:val="continue"/>
            <w:tcBorders>
              <w:top w:val="outset" w:color="auto" w:sz="6" w:space="0"/>
              <w:left w:val="outset" w:color="auto" w:sz="6" w:space="0"/>
              <w:bottom w:val="outset" w:color="auto" w:sz="6" w:space="0"/>
              <w:right w:val="outset" w:color="auto" w:sz="6" w:space="0"/>
              <w:tl2br w:val="nil"/>
              <w:tr2bl w:val="nil"/>
            </w:tcBorders>
            <w:vAlign w:val="center"/>
          </w:tcPr>
          <w:p w14:paraId="724B3F3C"/>
        </w:tc>
        <w:tc>
          <w:tcPr>
            <w:tcW w:w="3554" w:type="dxa"/>
            <w:gridSpan w:val="3"/>
            <w:tcBorders>
              <w:top w:val="outset" w:color="auto" w:sz="6" w:space="0"/>
              <w:left w:val="outset" w:color="auto" w:sz="6" w:space="0"/>
              <w:bottom w:val="outset" w:color="auto" w:sz="6" w:space="0"/>
              <w:right w:val="outset" w:color="auto" w:sz="6" w:space="0"/>
              <w:tl2br w:val="nil"/>
              <w:tr2bl w:val="nil"/>
            </w:tcBorders>
            <w:vAlign w:val="center"/>
          </w:tcPr>
          <w:p w14:paraId="23FC1ED2">
            <w:pPr>
              <w:pStyle w:val="13"/>
              <w:shd w:val="clear" w:color="auto" w:fill="FFFFFF"/>
              <w:ind w:left="420" w:firstLine="160" w:firstLineChars="50"/>
              <w:rPr>
                <w:rFonts w:ascii="仿宋_GB2312" w:eastAsia="仿宋_GB2312" w:cs="Times New Roman"/>
                <w:kern w:val="2"/>
                <w:sz w:val="32"/>
                <w:szCs w:val="32"/>
                <w:shd w:val="clear" w:color="auto" w:fill="auto"/>
              </w:rPr>
            </w:pPr>
            <w:r>
              <w:rPr>
                <w:rFonts w:ascii="仿宋_GB2312" w:eastAsia="仿宋_GB2312" w:cs="Times New Roman"/>
                <w:kern w:val="2"/>
                <w:sz w:val="32"/>
                <w:szCs w:val="32"/>
                <w:shd w:val="clear" w:color="auto" w:fill="auto"/>
              </w:rPr>
              <w:t>  </w:t>
            </w:r>
            <w:r>
              <w:rPr>
                <w:rFonts w:hint="eastAsia" w:ascii="仿宋_GB2312" w:eastAsia="仿宋_GB2312" w:cs="Times New Roman"/>
                <w:kern w:val="2"/>
                <w:sz w:val="32"/>
                <w:szCs w:val="32"/>
                <w:shd w:val="clear" w:color="auto" w:fill="auto"/>
              </w:rPr>
              <w:t>完成我县政府投资项目的招标控制价审核，及所有政府投资项目的竣工结算审核工作。</w:t>
            </w:r>
          </w:p>
        </w:tc>
        <w:tc>
          <w:tcPr>
            <w:tcW w:w="3272" w:type="dxa"/>
            <w:gridSpan w:val="2"/>
            <w:tcBorders>
              <w:top w:val="outset" w:color="auto" w:sz="6" w:space="0"/>
              <w:left w:val="outset" w:color="auto" w:sz="6" w:space="0"/>
              <w:bottom w:val="outset" w:color="auto" w:sz="6" w:space="0"/>
              <w:right w:val="outset" w:color="auto" w:sz="6" w:space="0"/>
              <w:tl2br w:val="nil"/>
              <w:tr2bl w:val="nil"/>
            </w:tcBorders>
            <w:vAlign w:val="center"/>
          </w:tcPr>
          <w:p w14:paraId="697BAA7D">
            <w:pPr>
              <w:pStyle w:val="13"/>
              <w:shd w:val="clear" w:color="auto" w:fill="FFFFFF"/>
              <w:ind w:left="420" w:firstLine="160" w:firstLineChars="50"/>
              <w:jc w:val="both"/>
              <w:rPr>
                <w:rFonts w:ascii="仿宋_GB2312" w:eastAsia="仿宋_GB2312" w:cs="Times New Roman"/>
                <w:kern w:val="2"/>
                <w:sz w:val="32"/>
                <w:szCs w:val="32"/>
                <w:shd w:val="clear" w:color="auto" w:fill="auto"/>
              </w:rPr>
            </w:pPr>
            <w:r>
              <w:rPr>
                <w:rFonts w:ascii="仿宋_GB2312" w:eastAsia="仿宋_GB2312" w:cs="Times New Roman"/>
                <w:kern w:val="2"/>
                <w:sz w:val="32"/>
                <w:szCs w:val="32"/>
                <w:shd w:val="clear" w:color="auto" w:fill="auto"/>
              </w:rPr>
              <w:t> </w:t>
            </w:r>
            <w:r>
              <w:rPr>
                <w:rFonts w:ascii="仿宋_GB2312" w:eastAsia="仿宋_GB2312" w:cs="Times New Roman"/>
                <w:kern w:val="2"/>
                <w:sz w:val="28"/>
                <w:szCs w:val="28"/>
                <w:shd w:val="clear" w:color="auto" w:fill="auto"/>
              </w:rPr>
              <w:t> </w:t>
            </w:r>
            <w:r>
              <w:rPr>
                <w:rFonts w:hint="eastAsia" w:ascii="仿宋_GB2312" w:eastAsia="仿宋_GB2312" w:cs="Times New Roman"/>
                <w:kern w:val="2"/>
                <w:sz w:val="28"/>
                <w:szCs w:val="28"/>
                <w:shd w:val="clear" w:color="auto" w:fill="auto"/>
              </w:rPr>
              <w:t>共计完成招标控制价审核</w:t>
            </w:r>
            <w:r>
              <w:rPr>
                <w:rFonts w:hint="eastAsia" w:ascii="仿宋_GB2312" w:eastAsia="仿宋_GB2312" w:cs="Times New Roman"/>
                <w:kern w:val="2"/>
                <w:sz w:val="28"/>
                <w:szCs w:val="28"/>
                <w:shd w:val="clear" w:color="auto" w:fill="auto"/>
                <w:lang w:val="en-US" w:eastAsia="zh-CN"/>
              </w:rPr>
              <w:t>202</w:t>
            </w:r>
            <w:r>
              <w:rPr>
                <w:rFonts w:hint="eastAsia" w:ascii="仿宋_GB2312" w:eastAsia="仿宋_GB2312" w:cs="Times New Roman"/>
                <w:kern w:val="2"/>
                <w:sz w:val="28"/>
                <w:szCs w:val="28"/>
                <w:shd w:val="clear" w:color="auto" w:fill="auto"/>
              </w:rPr>
              <w:t>个，送审金额54671.72 万元，评审金额51987.35万元，</w:t>
            </w:r>
            <w:r>
              <w:rPr>
                <w:rFonts w:hint="eastAsia" w:ascii="仿宋_GB2312" w:eastAsia="仿宋_GB2312" w:cs="Times New Roman"/>
                <w:kern w:val="2"/>
                <w:sz w:val="28"/>
                <w:szCs w:val="28"/>
                <w:shd w:val="clear" w:color="auto" w:fill="auto"/>
                <w:lang w:eastAsia="zh-CN"/>
              </w:rPr>
              <w:t>审</w:t>
            </w:r>
            <w:r>
              <w:rPr>
                <w:rFonts w:hint="eastAsia" w:ascii="仿宋_GB2312" w:eastAsia="仿宋_GB2312" w:cs="Times New Roman"/>
                <w:kern w:val="2"/>
                <w:sz w:val="28"/>
                <w:szCs w:val="28"/>
                <w:shd w:val="clear" w:color="auto" w:fill="auto"/>
              </w:rPr>
              <w:t>减金额2684.37万元，核减率</w:t>
            </w:r>
            <w:r>
              <w:rPr>
                <w:rFonts w:hint="eastAsia" w:ascii="仿宋_GB2312" w:eastAsia="仿宋_GB2312" w:cs="Times New Roman"/>
                <w:kern w:val="2"/>
                <w:sz w:val="28"/>
                <w:szCs w:val="28"/>
                <w:shd w:val="clear" w:color="auto" w:fill="auto"/>
                <w:lang w:val="en-US" w:eastAsia="zh-CN"/>
              </w:rPr>
              <w:t>4.91</w:t>
            </w:r>
            <w:r>
              <w:rPr>
                <w:rFonts w:hint="eastAsia" w:ascii="仿宋_GB2312" w:eastAsia="仿宋_GB2312" w:cs="Times New Roman"/>
                <w:kern w:val="2"/>
                <w:sz w:val="28"/>
                <w:szCs w:val="28"/>
                <w:shd w:val="clear" w:color="auto" w:fill="auto"/>
              </w:rPr>
              <w:t>%，；完成竣工结算审核</w:t>
            </w:r>
            <w:r>
              <w:rPr>
                <w:rFonts w:hint="eastAsia" w:ascii="仿宋_GB2312" w:eastAsia="仿宋_GB2312" w:cs="Times New Roman"/>
                <w:kern w:val="2"/>
                <w:sz w:val="28"/>
                <w:szCs w:val="28"/>
                <w:shd w:val="clear" w:color="auto" w:fill="auto"/>
                <w:lang w:val="en-US" w:eastAsia="zh-CN"/>
              </w:rPr>
              <w:t>58</w:t>
            </w:r>
            <w:r>
              <w:rPr>
                <w:rFonts w:hint="eastAsia" w:ascii="仿宋_GB2312" w:eastAsia="仿宋_GB2312" w:cs="Times New Roman"/>
                <w:kern w:val="2"/>
                <w:sz w:val="28"/>
                <w:szCs w:val="28"/>
                <w:shd w:val="clear" w:color="auto" w:fill="auto"/>
              </w:rPr>
              <w:t>个，送审金额</w:t>
            </w:r>
            <w:r>
              <w:rPr>
                <w:rFonts w:hint="eastAsia" w:ascii="仿宋_GB2312" w:eastAsia="仿宋_GB2312" w:cs="Times New Roman"/>
                <w:kern w:val="2"/>
                <w:sz w:val="28"/>
                <w:szCs w:val="28"/>
                <w:shd w:val="clear" w:color="auto" w:fill="auto"/>
                <w:lang w:val="en-US" w:eastAsia="zh-CN"/>
              </w:rPr>
              <w:t>34517.71</w:t>
            </w:r>
            <w:r>
              <w:rPr>
                <w:rFonts w:hint="eastAsia" w:ascii="仿宋_GB2312" w:eastAsia="仿宋_GB2312" w:cs="Times New Roman"/>
                <w:kern w:val="2"/>
                <w:sz w:val="28"/>
                <w:szCs w:val="28"/>
                <w:shd w:val="clear" w:color="auto" w:fill="auto"/>
              </w:rPr>
              <w:t>万元，审定金额</w:t>
            </w:r>
            <w:r>
              <w:rPr>
                <w:rFonts w:hint="eastAsia" w:ascii="仿宋_GB2312" w:eastAsia="仿宋_GB2312" w:cs="Times New Roman"/>
                <w:kern w:val="2"/>
                <w:sz w:val="28"/>
                <w:szCs w:val="28"/>
                <w:shd w:val="clear" w:color="auto" w:fill="auto"/>
                <w:lang w:val="en-US" w:eastAsia="zh-CN"/>
              </w:rPr>
              <w:t>33254.28</w:t>
            </w:r>
            <w:r>
              <w:rPr>
                <w:rFonts w:hint="eastAsia" w:ascii="仿宋_GB2312" w:eastAsia="仿宋_GB2312" w:cs="Times New Roman"/>
                <w:kern w:val="2"/>
                <w:sz w:val="28"/>
                <w:szCs w:val="28"/>
                <w:shd w:val="clear" w:color="auto" w:fill="auto"/>
              </w:rPr>
              <w:t>万元，审减金额</w:t>
            </w:r>
            <w:r>
              <w:rPr>
                <w:rFonts w:hint="eastAsia" w:ascii="仿宋_GB2312" w:eastAsia="仿宋_GB2312" w:cs="Times New Roman"/>
                <w:kern w:val="2"/>
                <w:sz w:val="28"/>
                <w:szCs w:val="28"/>
                <w:shd w:val="clear" w:color="auto" w:fill="auto"/>
                <w:lang w:val="en-US" w:eastAsia="zh-CN"/>
              </w:rPr>
              <w:t>1263.43</w:t>
            </w:r>
            <w:r>
              <w:rPr>
                <w:rFonts w:hint="eastAsia" w:ascii="仿宋_GB2312" w:eastAsia="仿宋_GB2312" w:cs="Times New Roman"/>
                <w:kern w:val="2"/>
                <w:sz w:val="28"/>
                <w:szCs w:val="28"/>
                <w:shd w:val="clear" w:color="auto" w:fill="auto"/>
              </w:rPr>
              <w:t>万元，审减率</w:t>
            </w:r>
            <w:r>
              <w:rPr>
                <w:rFonts w:hint="eastAsia" w:ascii="仿宋_GB2312" w:eastAsia="仿宋_GB2312" w:cs="Times New Roman"/>
                <w:kern w:val="2"/>
                <w:sz w:val="28"/>
                <w:szCs w:val="28"/>
                <w:shd w:val="clear" w:color="auto" w:fill="auto"/>
                <w:lang w:val="en-US" w:eastAsia="zh-CN"/>
              </w:rPr>
              <w:t>3.66</w:t>
            </w:r>
            <w:r>
              <w:rPr>
                <w:rFonts w:hint="eastAsia" w:ascii="仿宋_GB2312" w:eastAsia="仿宋_GB2312" w:cs="Times New Roman"/>
                <w:kern w:val="2"/>
                <w:sz w:val="28"/>
                <w:szCs w:val="28"/>
                <w:shd w:val="clear" w:color="auto" w:fill="auto"/>
              </w:rPr>
              <w:t>%，支出</w:t>
            </w:r>
            <w:r>
              <w:rPr>
                <w:rFonts w:hint="eastAsia" w:ascii="仿宋_GB2312" w:eastAsia="仿宋_GB2312" w:cs="Times New Roman"/>
                <w:kern w:val="2"/>
                <w:sz w:val="28"/>
                <w:szCs w:val="28"/>
                <w:shd w:val="clear" w:color="auto" w:fill="auto"/>
                <w:lang w:eastAsia="zh-CN"/>
              </w:rPr>
              <w:t>评审咨询费用</w:t>
            </w:r>
            <w:r>
              <w:rPr>
                <w:rFonts w:hint="eastAsia" w:ascii="仿宋_GB2312" w:eastAsia="仿宋_GB2312" w:cs="Times New Roman"/>
                <w:kern w:val="2"/>
                <w:sz w:val="28"/>
                <w:szCs w:val="28"/>
                <w:shd w:val="clear" w:color="auto" w:fill="auto"/>
              </w:rPr>
              <w:t>金额2</w:t>
            </w:r>
            <w:r>
              <w:rPr>
                <w:rFonts w:hint="eastAsia" w:ascii="仿宋_GB2312" w:eastAsia="仿宋_GB2312" w:cs="Times New Roman"/>
                <w:kern w:val="2"/>
                <w:sz w:val="28"/>
                <w:szCs w:val="28"/>
                <w:shd w:val="clear" w:color="auto" w:fill="auto"/>
                <w:lang w:val="en-US" w:eastAsia="zh-CN"/>
              </w:rPr>
              <w:t>20</w:t>
            </w:r>
            <w:r>
              <w:rPr>
                <w:rFonts w:hint="eastAsia" w:ascii="仿宋_GB2312" w:eastAsia="仿宋_GB2312" w:cs="Times New Roman"/>
                <w:kern w:val="2"/>
                <w:sz w:val="28"/>
                <w:szCs w:val="28"/>
                <w:shd w:val="clear" w:color="auto" w:fill="auto"/>
              </w:rPr>
              <w:t>.1</w:t>
            </w:r>
            <w:r>
              <w:rPr>
                <w:rFonts w:hint="eastAsia" w:ascii="仿宋_GB2312" w:eastAsia="仿宋_GB2312" w:cs="Times New Roman"/>
                <w:kern w:val="2"/>
                <w:sz w:val="28"/>
                <w:szCs w:val="28"/>
                <w:shd w:val="clear" w:color="auto" w:fill="auto"/>
                <w:lang w:val="en-US" w:eastAsia="zh-CN"/>
              </w:rPr>
              <w:t>2</w:t>
            </w:r>
            <w:r>
              <w:rPr>
                <w:rFonts w:hint="eastAsia" w:ascii="仿宋_GB2312" w:eastAsia="仿宋_GB2312" w:cs="Times New Roman"/>
                <w:kern w:val="2"/>
                <w:sz w:val="28"/>
                <w:szCs w:val="28"/>
                <w:shd w:val="clear" w:color="auto" w:fill="auto"/>
              </w:rPr>
              <w:t>万元</w:t>
            </w:r>
            <w:r>
              <w:rPr>
                <w:rFonts w:hint="eastAsia" w:ascii="仿宋_GB2312" w:eastAsia="仿宋_GB2312" w:cs="Times New Roman"/>
                <w:kern w:val="2"/>
                <w:sz w:val="32"/>
                <w:szCs w:val="32"/>
                <w:shd w:val="clear" w:color="auto" w:fill="auto"/>
              </w:rPr>
              <w:t>。</w:t>
            </w:r>
          </w:p>
        </w:tc>
      </w:tr>
      <w:tr w14:paraId="2C36966E">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690" w:hRule="atLeast"/>
          <w:tblCellSpacing w:w="0" w:type="dxa"/>
        </w:trPr>
        <w:tc>
          <w:tcPr>
            <w:tcW w:w="1494" w:type="dxa"/>
            <w:vMerge w:val="restart"/>
            <w:tcBorders>
              <w:top w:val="outset" w:color="auto" w:sz="6" w:space="0"/>
              <w:left w:val="outset" w:color="auto" w:sz="6" w:space="0"/>
              <w:bottom w:val="outset" w:color="auto" w:sz="6" w:space="0"/>
              <w:right w:val="outset" w:color="auto" w:sz="6" w:space="0"/>
              <w:tl2br w:val="nil"/>
              <w:tr2bl w:val="nil"/>
            </w:tcBorders>
            <w:vAlign w:val="center"/>
          </w:tcPr>
          <w:p w14:paraId="20CE2727">
            <w:pPr>
              <w:pStyle w:val="13"/>
              <w:shd w:val="clear" w:color="auto" w:fill="FFFFFF"/>
              <w:ind w:left="420" w:firstLine="160" w:firstLineChars="50"/>
              <w:rPr>
                <w:rFonts w:ascii="仿宋_GB2312" w:eastAsia="仿宋_GB2312" w:cs="Times New Roman"/>
                <w:kern w:val="2"/>
                <w:sz w:val="32"/>
                <w:szCs w:val="32"/>
                <w:shd w:val="clear" w:color="auto" w:fill="auto"/>
              </w:rPr>
            </w:pPr>
            <w:r>
              <w:rPr>
                <w:rFonts w:ascii="仿宋_GB2312" w:eastAsia="仿宋_GB2312" w:cs="Times New Roman"/>
                <w:kern w:val="2"/>
                <w:sz w:val="32"/>
                <w:szCs w:val="32"/>
                <w:shd w:val="clear" w:color="auto" w:fill="auto"/>
              </w:rPr>
              <w:t>年度绩效指标完成情况</w:t>
            </w:r>
          </w:p>
        </w:tc>
        <w:tc>
          <w:tcPr>
            <w:tcW w:w="922" w:type="dxa"/>
            <w:tcBorders>
              <w:top w:val="outset" w:color="auto" w:sz="6" w:space="0"/>
              <w:left w:val="outset" w:color="auto" w:sz="6" w:space="0"/>
              <w:bottom w:val="outset" w:color="auto" w:sz="6" w:space="0"/>
              <w:right w:val="outset" w:color="auto" w:sz="6" w:space="0"/>
              <w:tl2br w:val="nil"/>
              <w:tr2bl w:val="nil"/>
            </w:tcBorders>
            <w:vAlign w:val="center"/>
          </w:tcPr>
          <w:p w14:paraId="694CD788">
            <w:pPr>
              <w:pStyle w:val="13"/>
              <w:shd w:val="clear" w:color="auto" w:fill="FFFFFF"/>
              <w:ind w:left="420" w:firstLine="160" w:firstLineChars="50"/>
              <w:rPr>
                <w:rFonts w:ascii="仿宋_GB2312" w:eastAsia="仿宋_GB2312" w:cs="Times New Roman"/>
                <w:kern w:val="2"/>
                <w:sz w:val="32"/>
                <w:szCs w:val="32"/>
                <w:shd w:val="clear" w:color="auto" w:fill="auto"/>
              </w:rPr>
            </w:pPr>
            <w:r>
              <w:rPr>
                <w:rFonts w:ascii="仿宋_GB2312" w:eastAsia="仿宋_GB2312" w:cs="Times New Roman"/>
                <w:kern w:val="2"/>
                <w:sz w:val="32"/>
                <w:szCs w:val="32"/>
                <w:shd w:val="clear" w:color="auto" w:fill="auto"/>
              </w:rPr>
              <w:t>一级</w:t>
            </w:r>
          </w:p>
          <w:p w14:paraId="62DEB900">
            <w:pPr>
              <w:pStyle w:val="13"/>
              <w:shd w:val="clear" w:color="auto" w:fill="FFFFFF"/>
              <w:ind w:left="420" w:firstLine="160" w:firstLineChars="50"/>
              <w:rPr>
                <w:rFonts w:ascii="仿宋_GB2312" w:eastAsia="仿宋_GB2312" w:cs="Times New Roman"/>
                <w:kern w:val="2"/>
                <w:sz w:val="32"/>
                <w:szCs w:val="32"/>
                <w:shd w:val="clear" w:color="auto" w:fill="auto"/>
              </w:rPr>
            </w:pPr>
            <w:r>
              <w:rPr>
                <w:rFonts w:ascii="仿宋_GB2312" w:eastAsia="仿宋_GB2312" w:cs="Times New Roman"/>
                <w:kern w:val="2"/>
                <w:sz w:val="32"/>
                <w:szCs w:val="32"/>
                <w:shd w:val="clear" w:color="auto" w:fill="auto"/>
              </w:rPr>
              <w:t>指标</w:t>
            </w:r>
          </w:p>
        </w:tc>
        <w:tc>
          <w:tcPr>
            <w:tcW w:w="1234" w:type="dxa"/>
            <w:tcBorders>
              <w:top w:val="outset" w:color="auto" w:sz="6" w:space="0"/>
              <w:left w:val="outset" w:color="auto" w:sz="6" w:space="0"/>
              <w:bottom w:val="outset" w:color="auto" w:sz="6" w:space="0"/>
              <w:right w:val="outset" w:color="auto" w:sz="6" w:space="0"/>
              <w:tl2br w:val="nil"/>
              <w:tr2bl w:val="nil"/>
            </w:tcBorders>
            <w:vAlign w:val="center"/>
          </w:tcPr>
          <w:p w14:paraId="7476076B">
            <w:pPr>
              <w:pStyle w:val="13"/>
              <w:shd w:val="clear" w:color="auto" w:fill="FFFFFF"/>
              <w:ind w:left="420" w:firstLine="160" w:firstLineChars="50"/>
              <w:rPr>
                <w:rFonts w:ascii="仿宋_GB2312" w:eastAsia="仿宋_GB2312" w:cs="Times New Roman"/>
                <w:kern w:val="2"/>
                <w:sz w:val="32"/>
                <w:szCs w:val="32"/>
                <w:shd w:val="clear" w:color="auto" w:fill="auto"/>
              </w:rPr>
            </w:pPr>
            <w:r>
              <w:rPr>
                <w:rFonts w:ascii="仿宋_GB2312" w:eastAsia="仿宋_GB2312" w:cs="Times New Roman"/>
                <w:kern w:val="2"/>
                <w:sz w:val="32"/>
                <w:szCs w:val="32"/>
                <w:shd w:val="clear" w:color="auto" w:fill="auto"/>
              </w:rPr>
              <w:t>二级</w:t>
            </w:r>
          </w:p>
          <w:p w14:paraId="67A7377C">
            <w:pPr>
              <w:pStyle w:val="13"/>
              <w:shd w:val="clear" w:color="auto" w:fill="FFFFFF"/>
              <w:ind w:left="420" w:firstLine="160" w:firstLineChars="50"/>
              <w:rPr>
                <w:rFonts w:ascii="仿宋_GB2312" w:eastAsia="仿宋_GB2312" w:cs="Times New Roman"/>
                <w:kern w:val="2"/>
                <w:sz w:val="32"/>
                <w:szCs w:val="32"/>
                <w:shd w:val="clear" w:color="auto" w:fill="auto"/>
              </w:rPr>
            </w:pPr>
            <w:r>
              <w:rPr>
                <w:rFonts w:ascii="仿宋_GB2312" w:eastAsia="仿宋_GB2312" w:cs="Times New Roman"/>
                <w:kern w:val="2"/>
                <w:sz w:val="32"/>
                <w:szCs w:val="32"/>
                <w:shd w:val="clear" w:color="auto" w:fill="auto"/>
              </w:rPr>
              <w:t>指标</w:t>
            </w:r>
          </w:p>
        </w:tc>
        <w:tc>
          <w:tcPr>
            <w:tcW w:w="1398" w:type="dxa"/>
            <w:tcBorders>
              <w:top w:val="outset" w:color="auto" w:sz="6" w:space="0"/>
              <w:left w:val="outset" w:color="auto" w:sz="6" w:space="0"/>
              <w:bottom w:val="outset" w:color="auto" w:sz="6" w:space="0"/>
              <w:right w:val="outset" w:color="auto" w:sz="6" w:space="0"/>
              <w:tl2br w:val="nil"/>
              <w:tr2bl w:val="nil"/>
            </w:tcBorders>
            <w:vAlign w:val="center"/>
          </w:tcPr>
          <w:p w14:paraId="32935063">
            <w:pPr>
              <w:pStyle w:val="13"/>
              <w:shd w:val="clear" w:color="auto" w:fill="FFFFFF"/>
              <w:ind w:left="420" w:firstLine="160" w:firstLineChars="50"/>
              <w:rPr>
                <w:rFonts w:ascii="仿宋_GB2312" w:eastAsia="仿宋_GB2312" w:cs="Times New Roman"/>
                <w:kern w:val="2"/>
                <w:sz w:val="32"/>
                <w:szCs w:val="32"/>
                <w:shd w:val="clear" w:color="auto" w:fill="auto"/>
              </w:rPr>
            </w:pPr>
            <w:r>
              <w:rPr>
                <w:rFonts w:ascii="仿宋_GB2312" w:eastAsia="仿宋_GB2312" w:cs="Times New Roman"/>
                <w:kern w:val="2"/>
                <w:sz w:val="32"/>
                <w:szCs w:val="32"/>
                <w:shd w:val="clear" w:color="auto" w:fill="auto"/>
              </w:rPr>
              <w:t>三级</w:t>
            </w:r>
          </w:p>
          <w:p w14:paraId="4C7B2BBA">
            <w:pPr>
              <w:pStyle w:val="13"/>
              <w:shd w:val="clear" w:color="auto" w:fill="FFFFFF"/>
              <w:ind w:left="420" w:firstLine="160" w:firstLineChars="50"/>
              <w:rPr>
                <w:rFonts w:ascii="仿宋_GB2312" w:eastAsia="仿宋_GB2312" w:cs="Times New Roman"/>
                <w:kern w:val="2"/>
                <w:sz w:val="32"/>
                <w:szCs w:val="32"/>
                <w:shd w:val="clear" w:color="auto" w:fill="auto"/>
              </w:rPr>
            </w:pPr>
            <w:r>
              <w:rPr>
                <w:rFonts w:ascii="仿宋_GB2312" w:eastAsia="仿宋_GB2312" w:cs="Times New Roman"/>
                <w:kern w:val="2"/>
                <w:sz w:val="32"/>
                <w:szCs w:val="32"/>
                <w:shd w:val="clear" w:color="auto" w:fill="auto"/>
              </w:rPr>
              <w:t>指标</w:t>
            </w:r>
          </w:p>
        </w:tc>
        <w:tc>
          <w:tcPr>
            <w:tcW w:w="1398" w:type="dxa"/>
            <w:tcBorders>
              <w:top w:val="outset" w:color="auto" w:sz="6" w:space="0"/>
              <w:left w:val="outset" w:color="auto" w:sz="6" w:space="0"/>
              <w:bottom w:val="outset" w:color="auto" w:sz="6" w:space="0"/>
              <w:right w:val="outset" w:color="auto" w:sz="6" w:space="0"/>
              <w:tl2br w:val="nil"/>
              <w:tr2bl w:val="nil"/>
            </w:tcBorders>
            <w:vAlign w:val="center"/>
          </w:tcPr>
          <w:p w14:paraId="23C24BC8">
            <w:pPr>
              <w:pStyle w:val="13"/>
              <w:shd w:val="clear" w:color="auto" w:fill="FFFFFF"/>
              <w:ind w:left="420" w:firstLine="160" w:firstLineChars="50"/>
              <w:rPr>
                <w:rFonts w:ascii="仿宋_GB2312" w:eastAsia="仿宋_GB2312" w:cs="Times New Roman"/>
                <w:kern w:val="2"/>
                <w:sz w:val="32"/>
                <w:szCs w:val="32"/>
                <w:shd w:val="clear" w:color="auto" w:fill="auto"/>
              </w:rPr>
            </w:pPr>
            <w:r>
              <w:rPr>
                <w:rFonts w:ascii="仿宋_GB2312" w:eastAsia="仿宋_GB2312" w:cs="Times New Roman"/>
                <w:kern w:val="2"/>
                <w:sz w:val="32"/>
                <w:szCs w:val="32"/>
                <w:shd w:val="clear" w:color="auto" w:fill="auto"/>
              </w:rPr>
              <w:t>预期指标值</w:t>
            </w:r>
          </w:p>
        </w:tc>
        <w:tc>
          <w:tcPr>
            <w:tcW w:w="1874" w:type="dxa"/>
            <w:tcBorders>
              <w:top w:val="outset" w:color="auto" w:sz="6" w:space="0"/>
              <w:left w:val="outset" w:color="auto" w:sz="6" w:space="0"/>
              <w:bottom w:val="outset" w:color="auto" w:sz="6" w:space="0"/>
              <w:right w:val="outset" w:color="auto" w:sz="6" w:space="0"/>
              <w:tl2br w:val="nil"/>
              <w:tr2bl w:val="nil"/>
            </w:tcBorders>
            <w:vAlign w:val="center"/>
          </w:tcPr>
          <w:p w14:paraId="5AC38804">
            <w:pPr>
              <w:pStyle w:val="13"/>
              <w:shd w:val="clear" w:color="auto" w:fill="FFFFFF"/>
              <w:ind w:left="420" w:firstLine="160" w:firstLineChars="50"/>
              <w:rPr>
                <w:rFonts w:ascii="仿宋_GB2312" w:eastAsia="仿宋_GB2312" w:cs="Times New Roman"/>
                <w:kern w:val="2"/>
                <w:sz w:val="32"/>
                <w:szCs w:val="32"/>
                <w:shd w:val="clear" w:color="auto" w:fill="auto"/>
              </w:rPr>
            </w:pPr>
            <w:r>
              <w:rPr>
                <w:rFonts w:ascii="仿宋_GB2312" w:eastAsia="仿宋_GB2312" w:cs="Times New Roman"/>
                <w:kern w:val="2"/>
                <w:sz w:val="32"/>
                <w:szCs w:val="32"/>
                <w:shd w:val="clear" w:color="auto" w:fill="auto"/>
              </w:rPr>
              <w:t>实际完成指标值</w:t>
            </w:r>
          </w:p>
        </w:tc>
      </w:tr>
      <w:tr w14:paraId="1D26869A">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420" w:hRule="atLeast"/>
          <w:tblCellSpacing w:w="0" w:type="dxa"/>
        </w:trPr>
        <w:tc>
          <w:tcPr>
            <w:tcW w:w="1494" w:type="dxa"/>
            <w:vMerge w:val="continue"/>
            <w:tcBorders>
              <w:top w:val="outset" w:color="auto" w:sz="6" w:space="0"/>
              <w:left w:val="outset" w:color="auto" w:sz="6" w:space="0"/>
              <w:bottom w:val="outset" w:color="auto" w:sz="6" w:space="0"/>
              <w:right w:val="outset" w:color="auto" w:sz="6" w:space="0"/>
              <w:tl2br w:val="nil"/>
              <w:tr2bl w:val="nil"/>
            </w:tcBorders>
            <w:vAlign w:val="center"/>
          </w:tcPr>
          <w:p w14:paraId="772850CE"/>
        </w:tc>
        <w:tc>
          <w:tcPr>
            <w:tcW w:w="922" w:type="dxa"/>
            <w:vMerge w:val="restart"/>
            <w:tcBorders>
              <w:top w:val="outset" w:color="auto" w:sz="6" w:space="0"/>
              <w:left w:val="outset" w:color="auto" w:sz="6" w:space="0"/>
              <w:bottom w:val="outset" w:color="auto" w:sz="6" w:space="0"/>
              <w:right w:val="outset" w:color="auto" w:sz="6" w:space="0"/>
              <w:tl2br w:val="nil"/>
              <w:tr2bl w:val="nil"/>
            </w:tcBorders>
            <w:vAlign w:val="center"/>
          </w:tcPr>
          <w:p w14:paraId="3D3F2661">
            <w:pPr>
              <w:pStyle w:val="13"/>
              <w:shd w:val="clear" w:color="auto" w:fill="FFFFFF"/>
              <w:ind w:left="420" w:firstLine="160" w:firstLineChars="50"/>
              <w:rPr>
                <w:rFonts w:ascii="仿宋_GB2312" w:eastAsia="仿宋_GB2312" w:cs="Times New Roman"/>
                <w:kern w:val="2"/>
                <w:sz w:val="32"/>
                <w:szCs w:val="32"/>
                <w:shd w:val="clear" w:color="auto" w:fill="auto"/>
              </w:rPr>
            </w:pPr>
            <w:r>
              <w:rPr>
                <w:rFonts w:ascii="仿宋_GB2312" w:eastAsia="仿宋_GB2312" w:cs="Times New Roman"/>
                <w:kern w:val="2"/>
                <w:sz w:val="32"/>
                <w:szCs w:val="32"/>
                <w:shd w:val="clear" w:color="auto" w:fill="auto"/>
              </w:rPr>
              <w:t>产出指标</w:t>
            </w:r>
          </w:p>
        </w:tc>
        <w:tc>
          <w:tcPr>
            <w:tcW w:w="1234" w:type="dxa"/>
            <w:tcBorders>
              <w:top w:val="outset" w:color="auto" w:sz="6" w:space="0"/>
              <w:left w:val="outset" w:color="auto" w:sz="6" w:space="0"/>
              <w:bottom w:val="outset" w:color="auto" w:sz="6" w:space="0"/>
              <w:right w:val="outset" w:color="auto" w:sz="6" w:space="0"/>
              <w:tl2br w:val="nil"/>
              <w:tr2bl w:val="nil"/>
            </w:tcBorders>
            <w:vAlign w:val="center"/>
          </w:tcPr>
          <w:p w14:paraId="04C8D959">
            <w:pPr>
              <w:pStyle w:val="13"/>
              <w:shd w:val="clear" w:color="auto" w:fill="FFFFFF"/>
              <w:ind w:left="420" w:firstLine="160" w:firstLineChars="50"/>
              <w:rPr>
                <w:rFonts w:ascii="仿宋_GB2312" w:eastAsia="仿宋_GB2312" w:cs="Times New Roman"/>
                <w:kern w:val="2"/>
                <w:sz w:val="32"/>
                <w:szCs w:val="32"/>
                <w:shd w:val="clear" w:color="auto" w:fill="auto"/>
              </w:rPr>
            </w:pPr>
            <w:r>
              <w:rPr>
                <w:rFonts w:ascii="仿宋_GB2312" w:eastAsia="仿宋_GB2312" w:cs="Times New Roman"/>
                <w:kern w:val="2"/>
                <w:sz w:val="32"/>
                <w:szCs w:val="32"/>
                <w:shd w:val="clear" w:color="auto" w:fill="auto"/>
              </w:rPr>
              <w:t>数量指标</w:t>
            </w:r>
          </w:p>
        </w:tc>
        <w:tc>
          <w:tcPr>
            <w:tcW w:w="1398" w:type="dxa"/>
            <w:tcBorders>
              <w:top w:val="outset" w:color="auto" w:sz="6" w:space="0"/>
              <w:left w:val="outset" w:color="auto" w:sz="6" w:space="0"/>
              <w:bottom w:val="outset" w:color="auto" w:sz="6" w:space="0"/>
              <w:right w:val="outset" w:color="auto" w:sz="6" w:space="0"/>
              <w:tl2br w:val="nil"/>
              <w:tr2bl w:val="nil"/>
            </w:tcBorders>
            <w:vAlign w:val="center"/>
          </w:tcPr>
          <w:p w14:paraId="784833AD">
            <w:pPr>
              <w:pStyle w:val="13"/>
              <w:shd w:val="clear" w:color="auto" w:fill="FFFFFF"/>
              <w:ind w:left="420" w:firstLine="160" w:firstLineChars="50"/>
              <w:rPr>
                <w:rFonts w:ascii="仿宋_GB2312" w:eastAsia="仿宋_GB2312" w:cs="Times New Roman"/>
                <w:kern w:val="2"/>
                <w:sz w:val="32"/>
                <w:szCs w:val="32"/>
                <w:shd w:val="clear" w:color="auto" w:fill="auto"/>
              </w:rPr>
            </w:pPr>
            <w:r>
              <w:rPr>
                <w:rFonts w:ascii="仿宋_GB2312" w:eastAsia="仿宋_GB2312" w:cs="Times New Roman"/>
                <w:kern w:val="2"/>
                <w:sz w:val="32"/>
                <w:szCs w:val="32"/>
                <w:shd w:val="clear" w:color="auto" w:fill="auto"/>
              </w:rPr>
              <w:t>审核项目完成数量 </w:t>
            </w:r>
          </w:p>
        </w:tc>
        <w:tc>
          <w:tcPr>
            <w:tcW w:w="1398" w:type="dxa"/>
            <w:tcBorders>
              <w:top w:val="outset" w:color="auto" w:sz="6" w:space="0"/>
              <w:left w:val="outset" w:color="auto" w:sz="6" w:space="0"/>
              <w:bottom w:val="outset" w:color="auto" w:sz="6" w:space="0"/>
              <w:right w:val="outset" w:color="auto" w:sz="6" w:space="0"/>
              <w:tl2br w:val="nil"/>
              <w:tr2bl w:val="nil"/>
            </w:tcBorders>
            <w:vAlign w:val="center"/>
          </w:tcPr>
          <w:p w14:paraId="015DC537">
            <w:pPr>
              <w:pStyle w:val="13"/>
              <w:shd w:val="clear" w:color="auto" w:fill="FFFFFF"/>
              <w:ind w:left="420" w:firstLine="160" w:firstLineChars="50"/>
              <w:rPr>
                <w:rFonts w:ascii="仿宋_GB2312" w:eastAsia="仿宋_GB2312" w:cs="Times New Roman"/>
                <w:kern w:val="2"/>
                <w:sz w:val="32"/>
                <w:szCs w:val="32"/>
                <w:shd w:val="clear" w:color="auto" w:fill="auto"/>
              </w:rPr>
            </w:pPr>
            <w:r>
              <w:rPr>
                <w:rFonts w:ascii="仿宋_GB2312" w:eastAsia="仿宋_GB2312" w:cs="Times New Roman"/>
                <w:kern w:val="2"/>
                <w:sz w:val="32"/>
                <w:szCs w:val="32"/>
                <w:shd w:val="clear" w:color="auto" w:fill="auto"/>
              </w:rPr>
              <w:t> </w:t>
            </w:r>
            <w:r>
              <w:rPr>
                <w:rFonts w:hint="eastAsia" w:ascii="仿宋_GB2312" w:eastAsia="仿宋_GB2312" w:cs="Times New Roman"/>
                <w:kern w:val="2"/>
                <w:sz w:val="32"/>
                <w:szCs w:val="32"/>
                <w:shd w:val="clear" w:color="auto" w:fill="auto"/>
                <w:lang w:eastAsia="zh-CN"/>
              </w:rPr>
              <w:t>≥</w:t>
            </w:r>
            <w:r>
              <w:rPr>
                <w:rFonts w:hint="eastAsia" w:ascii="仿宋_GB2312" w:eastAsia="仿宋_GB2312" w:cs="Times New Roman"/>
                <w:kern w:val="2"/>
                <w:sz w:val="32"/>
                <w:szCs w:val="32"/>
                <w:shd w:val="clear" w:color="auto" w:fill="auto"/>
                <w:lang w:val="en-US" w:eastAsia="zh-CN"/>
              </w:rPr>
              <w:t>1</w:t>
            </w:r>
          </w:p>
        </w:tc>
        <w:tc>
          <w:tcPr>
            <w:tcW w:w="1874" w:type="dxa"/>
            <w:tcBorders>
              <w:top w:val="outset" w:color="auto" w:sz="6" w:space="0"/>
              <w:left w:val="outset" w:color="auto" w:sz="6" w:space="0"/>
              <w:bottom w:val="outset" w:color="auto" w:sz="6" w:space="0"/>
              <w:right w:val="outset" w:color="auto" w:sz="6" w:space="0"/>
              <w:tl2br w:val="nil"/>
              <w:tr2bl w:val="nil"/>
            </w:tcBorders>
            <w:vAlign w:val="center"/>
          </w:tcPr>
          <w:p w14:paraId="63BC056F">
            <w:pPr>
              <w:pStyle w:val="13"/>
              <w:shd w:val="clear" w:color="auto" w:fill="FFFFFF"/>
              <w:ind w:left="420" w:firstLine="160" w:firstLineChars="50"/>
              <w:rPr>
                <w:rFonts w:ascii="仿宋_GB2312" w:eastAsia="仿宋_GB2312" w:cs="Times New Roman"/>
                <w:kern w:val="2"/>
                <w:sz w:val="32"/>
                <w:szCs w:val="32"/>
                <w:shd w:val="clear" w:color="auto" w:fill="auto"/>
              </w:rPr>
            </w:pPr>
            <w:r>
              <w:rPr>
                <w:rFonts w:ascii="仿宋_GB2312" w:eastAsia="仿宋_GB2312" w:cs="Times New Roman"/>
                <w:kern w:val="2"/>
                <w:sz w:val="32"/>
                <w:szCs w:val="32"/>
                <w:shd w:val="clear" w:color="auto" w:fill="auto"/>
              </w:rPr>
              <w:t> </w:t>
            </w:r>
            <w:r>
              <w:rPr>
                <w:rFonts w:hint="eastAsia" w:ascii="仿宋_GB2312" w:eastAsia="仿宋_GB2312" w:cs="Times New Roman"/>
                <w:kern w:val="2"/>
                <w:sz w:val="32"/>
                <w:szCs w:val="32"/>
                <w:shd w:val="clear" w:color="auto" w:fill="auto"/>
                <w:lang w:val="en-US" w:eastAsia="zh-CN"/>
              </w:rPr>
              <w:t>260</w:t>
            </w:r>
          </w:p>
        </w:tc>
      </w:tr>
      <w:tr w14:paraId="055776A9">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420" w:hRule="atLeast"/>
          <w:tblCellSpacing w:w="0" w:type="dxa"/>
        </w:trPr>
        <w:tc>
          <w:tcPr>
            <w:tcW w:w="1494" w:type="dxa"/>
            <w:vMerge w:val="continue"/>
            <w:tcBorders>
              <w:top w:val="outset" w:color="auto" w:sz="6" w:space="0"/>
              <w:left w:val="outset" w:color="auto" w:sz="6" w:space="0"/>
              <w:bottom w:val="outset" w:color="auto" w:sz="6" w:space="0"/>
              <w:right w:val="outset" w:color="auto" w:sz="6" w:space="0"/>
              <w:tl2br w:val="nil"/>
              <w:tr2bl w:val="nil"/>
            </w:tcBorders>
            <w:vAlign w:val="center"/>
          </w:tcPr>
          <w:p w14:paraId="79B45082"/>
        </w:tc>
        <w:tc>
          <w:tcPr>
            <w:tcW w:w="922" w:type="dxa"/>
            <w:vMerge w:val="continue"/>
            <w:tcBorders>
              <w:top w:val="outset" w:color="auto" w:sz="6" w:space="0"/>
              <w:left w:val="outset" w:color="auto" w:sz="6" w:space="0"/>
              <w:bottom w:val="outset" w:color="auto" w:sz="6" w:space="0"/>
              <w:right w:val="outset" w:color="auto" w:sz="6" w:space="0"/>
              <w:tl2br w:val="nil"/>
              <w:tr2bl w:val="nil"/>
            </w:tcBorders>
            <w:vAlign w:val="center"/>
          </w:tcPr>
          <w:p w14:paraId="38872AD4"/>
        </w:tc>
        <w:tc>
          <w:tcPr>
            <w:tcW w:w="1234" w:type="dxa"/>
            <w:tcBorders>
              <w:top w:val="outset" w:color="auto" w:sz="6" w:space="0"/>
              <w:left w:val="outset" w:color="auto" w:sz="6" w:space="0"/>
              <w:bottom w:val="outset" w:color="auto" w:sz="6" w:space="0"/>
              <w:right w:val="outset" w:color="auto" w:sz="6" w:space="0"/>
              <w:tl2br w:val="nil"/>
              <w:tr2bl w:val="nil"/>
            </w:tcBorders>
            <w:vAlign w:val="center"/>
          </w:tcPr>
          <w:p w14:paraId="6F384912">
            <w:pPr>
              <w:pStyle w:val="13"/>
              <w:shd w:val="clear" w:color="auto" w:fill="FFFFFF"/>
              <w:ind w:left="420" w:firstLine="160" w:firstLineChars="50"/>
              <w:rPr>
                <w:rFonts w:ascii="仿宋_GB2312" w:eastAsia="仿宋_GB2312" w:cs="Times New Roman"/>
                <w:kern w:val="2"/>
                <w:sz w:val="32"/>
                <w:szCs w:val="32"/>
                <w:shd w:val="clear" w:color="auto" w:fill="auto"/>
              </w:rPr>
            </w:pPr>
            <w:r>
              <w:rPr>
                <w:rFonts w:ascii="仿宋_GB2312" w:eastAsia="仿宋_GB2312" w:cs="Times New Roman"/>
                <w:kern w:val="2"/>
                <w:sz w:val="32"/>
                <w:szCs w:val="32"/>
                <w:shd w:val="clear" w:color="auto" w:fill="auto"/>
              </w:rPr>
              <w:t>质量指标</w:t>
            </w:r>
          </w:p>
        </w:tc>
        <w:tc>
          <w:tcPr>
            <w:tcW w:w="1398" w:type="dxa"/>
            <w:tcBorders>
              <w:top w:val="outset" w:color="auto" w:sz="6" w:space="0"/>
              <w:left w:val="outset" w:color="auto" w:sz="6" w:space="0"/>
              <w:bottom w:val="outset" w:color="auto" w:sz="6" w:space="0"/>
              <w:right w:val="outset" w:color="auto" w:sz="6" w:space="0"/>
              <w:tl2br w:val="nil"/>
              <w:tr2bl w:val="nil"/>
            </w:tcBorders>
            <w:vAlign w:val="center"/>
          </w:tcPr>
          <w:p w14:paraId="6B9526B3">
            <w:pPr>
              <w:pStyle w:val="13"/>
              <w:shd w:val="clear" w:color="auto" w:fill="FFFFFF"/>
              <w:ind w:left="420" w:firstLine="160" w:firstLineChars="50"/>
              <w:rPr>
                <w:rFonts w:ascii="仿宋_GB2312" w:eastAsia="仿宋_GB2312" w:cs="Times New Roman"/>
                <w:kern w:val="2"/>
                <w:sz w:val="32"/>
                <w:szCs w:val="32"/>
                <w:shd w:val="clear" w:color="auto" w:fill="auto"/>
              </w:rPr>
            </w:pPr>
            <w:r>
              <w:rPr>
                <w:rFonts w:ascii="仿宋_GB2312" w:eastAsia="仿宋_GB2312" w:cs="Times New Roman"/>
                <w:kern w:val="2"/>
                <w:sz w:val="32"/>
                <w:szCs w:val="32"/>
                <w:shd w:val="clear" w:color="auto" w:fill="auto"/>
              </w:rPr>
              <w:t> 审核报告的质量</w:t>
            </w:r>
          </w:p>
        </w:tc>
        <w:tc>
          <w:tcPr>
            <w:tcW w:w="1398" w:type="dxa"/>
            <w:tcBorders>
              <w:top w:val="outset" w:color="auto" w:sz="6" w:space="0"/>
              <w:left w:val="outset" w:color="auto" w:sz="6" w:space="0"/>
              <w:bottom w:val="outset" w:color="auto" w:sz="6" w:space="0"/>
              <w:right w:val="outset" w:color="auto" w:sz="6" w:space="0"/>
              <w:tl2br w:val="nil"/>
              <w:tr2bl w:val="nil"/>
            </w:tcBorders>
            <w:vAlign w:val="center"/>
          </w:tcPr>
          <w:p w14:paraId="4F516165">
            <w:pPr>
              <w:pStyle w:val="13"/>
              <w:shd w:val="clear" w:color="auto" w:fill="FFFFFF"/>
              <w:ind w:left="420" w:firstLine="160" w:firstLineChars="50"/>
              <w:rPr>
                <w:rFonts w:ascii="仿宋_GB2312" w:eastAsia="仿宋_GB2312" w:cs="Times New Roman"/>
                <w:kern w:val="2"/>
                <w:sz w:val="32"/>
                <w:szCs w:val="32"/>
                <w:shd w:val="clear" w:color="auto" w:fill="auto"/>
              </w:rPr>
            </w:pPr>
            <w:r>
              <w:rPr>
                <w:rFonts w:ascii="仿宋_GB2312" w:eastAsia="仿宋_GB2312" w:cs="Times New Roman"/>
                <w:kern w:val="2"/>
                <w:sz w:val="32"/>
                <w:szCs w:val="32"/>
                <w:shd w:val="clear" w:color="auto" w:fill="auto"/>
              </w:rPr>
              <w:t> </w:t>
            </w:r>
            <w:r>
              <w:rPr>
                <w:rFonts w:hint="eastAsia" w:ascii="仿宋_GB2312" w:eastAsia="仿宋_GB2312" w:cs="Times New Roman"/>
                <w:kern w:val="2"/>
                <w:sz w:val="32"/>
                <w:szCs w:val="32"/>
                <w:shd w:val="clear" w:color="auto" w:fill="auto"/>
                <w:lang w:eastAsia="zh-CN"/>
              </w:rPr>
              <w:t>优良</w:t>
            </w:r>
          </w:p>
        </w:tc>
        <w:tc>
          <w:tcPr>
            <w:tcW w:w="1874" w:type="dxa"/>
            <w:tcBorders>
              <w:top w:val="outset" w:color="auto" w:sz="6" w:space="0"/>
              <w:left w:val="outset" w:color="auto" w:sz="6" w:space="0"/>
              <w:bottom w:val="outset" w:color="auto" w:sz="6" w:space="0"/>
              <w:right w:val="outset" w:color="auto" w:sz="6" w:space="0"/>
              <w:tl2br w:val="nil"/>
              <w:tr2bl w:val="nil"/>
            </w:tcBorders>
            <w:vAlign w:val="center"/>
          </w:tcPr>
          <w:p w14:paraId="1A993796">
            <w:pPr>
              <w:pStyle w:val="13"/>
              <w:shd w:val="clear" w:color="auto" w:fill="FFFFFF"/>
              <w:ind w:left="420" w:firstLine="160" w:firstLineChars="50"/>
              <w:rPr>
                <w:rFonts w:ascii="仿宋_GB2312" w:eastAsia="仿宋_GB2312" w:cs="Times New Roman"/>
                <w:kern w:val="2"/>
                <w:sz w:val="32"/>
                <w:szCs w:val="32"/>
                <w:shd w:val="clear" w:color="auto" w:fill="auto"/>
              </w:rPr>
            </w:pPr>
            <w:r>
              <w:rPr>
                <w:rFonts w:ascii="仿宋_GB2312" w:eastAsia="仿宋_GB2312" w:cs="Times New Roman"/>
                <w:kern w:val="2"/>
                <w:sz w:val="32"/>
                <w:szCs w:val="32"/>
                <w:shd w:val="clear" w:color="auto" w:fill="auto"/>
              </w:rPr>
              <w:t>  </w:t>
            </w:r>
            <w:r>
              <w:rPr>
                <w:rFonts w:hint="eastAsia" w:ascii="仿宋_GB2312" w:eastAsia="仿宋_GB2312" w:cs="Times New Roman"/>
                <w:kern w:val="2"/>
                <w:sz w:val="32"/>
                <w:szCs w:val="32"/>
                <w:shd w:val="clear" w:color="auto" w:fill="auto"/>
                <w:lang w:eastAsia="zh-CN"/>
              </w:rPr>
              <w:t>优</w:t>
            </w:r>
          </w:p>
        </w:tc>
      </w:tr>
      <w:tr w14:paraId="00BD6B7B">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480" w:hRule="atLeast"/>
          <w:tblCellSpacing w:w="0" w:type="dxa"/>
        </w:trPr>
        <w:tc>
          <w:tcPr>
            <w:tcW w:w="1494" w:type="dxa"/>
            <w:vMerge w:val="continue"/>
            <w:tcBorders>
              <w:top w:val="outset" w:color="auto" w:sz="6" w:space="0"/>
              <w:left w:val="outset" w:color="auto" w:sz="6" w:space="0"/>
              <w:bottom w:val="outset" w:color="auto" w:sz="6" w:space="0"/>
              <w:right w:val="outset" w:color="auto" w:sz="6" w:space="0"/>
              <w:tl2br w:val="nil"/>
              <w:tr2bl w:val="nil"/>
            </w:tcBorders>
            <w:vAlign w:val="center"/>
          </w:tcPr>
          <w:p w14:paraId="1F1D8B66"/>
        </w:tc>
        <w:tc>
          <w:tcPr>
            <w:tcW w:w="922" w:type="dxa"/>
            <w:tcBorders>
              <w:top w:val="outset" w:color="auto" w:sz="6" w:space="0"/>
              <w:left w:val="outset" w:color="auto" w:sz="6" w:space="0"/>
              <w:bottom w:val="outset" w:color="auto" w:sz="6" w:space="0"/>
              <w:right w:val="outset" w:color="auto" w:sz="6" w:space="0"/>
              <w:tl2br w:val="nil"/>
              <w:tr2bl w:val="nil"/>
            </w:tcBorders>
            <w:vAlign w:val="center"/>
          </w:tcPr>
          <w:p w14:paraId="7C37565A">
            <w:pPr>
              <w:pStyle w:val="13"/>
              <w:shd w:val="clear" w:color="auto" w:fill="FFFFFF"/>
              <w:ind w:left="420" w:firstLine="160" w:firstLineChars="50"/>
              <w:rPr>
                <w:rFonts w:ascii="仿宋_GB2312" w:eastAsia="仿宋_GB2312" w:cs="Times New Roman"/>
                <w:kern w:val="2"/>
                <w:sz w:val="32"/>
                <w:szCs w:val="32"/>
                <w:shd w:val="clear" w:color="auto" w:fill="auto"/>
              </w:rPr>
            </w:pPr>
            <w:r>
              <w:rPr>
                <w:rFonts w:ascii="仿宋_GB2312" w:eastAsia="仿宋_GB2312" w:cs="Times New Roman"/>
                <w:kern w:val="2"/>
                <w:sz w:val="32"/>
                <w:szCs w:val="32"/>
                <w:shd w:val="clear" w:color="auto" w:fill="auto"/>
              </w:rPr>
              <w:t>效益</w:t>
            </w:r>
          </w:p>
          <w:p w14:paraId="46A4DEE1">
            <w:pPr>
              <w:pStyle w:val="13"/>
              <w:shd w:val="clear" w:color="auto" w:fill="FFFFFF"/>
              <w:ind w:left="420" w:firstLine="160" w:firstLineChars="50"/>
              <w:rPr>
                <w:rFonts w:ascii="仿宋_GB2312" w:eastAsia="仿宋_GB2312" w:cs="Times New Roman"/>
                <w:kern w:val="2"/>
                <w:sz w:val="32"/>
                <w:szCs w:val="32"/>
                <w:shd w:val="clear" w:color="auto" w:fill="auto"/>
              </w:rPr>
            </w:pPr>
            <w:r>
              <w:rPr>
                <w:rFonts w:ascii="仿宋_GB2312" w:eastAsia="仿宋_GB2312" w:cs="Times New Roman"/>
                <w:kern w:val="2"/>
                <w:sz w:val="32"/>
                <w:szCs w:val="32"/>
                <w:shd w:val="clear" w:color="auto" w:fill="auto"/>
              </w:rPr>
              <w:t>指标</w:t>
            </w:r>
          </w:p>
        </w:tc>
        <w:tc>
          <w:tcPr>
            <w:tcW w:w="1234" w:type="dxa"/>
            <w:tcBorders>
              <w:top w:val="outset" w:color="auto" w:sz="6" w:space="0"/>
              <w:left w:val="outset" w:color="auto" w:sz="6" w:space="0"/>
              <w:bottom w:val="outset" w:color="auto" w:sz="6" w:space="0"/>
              <w:right w:val="outset" w:color="auto" w:sz="6" w:space="0"/>
              <w:tl2br w:val="nil"/>
              <w:tr2bl w:val="nil"/>
            </w:tcBorders>
            <w:vAlign w:val="center"/>
          </w:tcPr>
          <w:p w14:paraId="40452D22">
            <w:pPr>
              <w:pStyle w:val="13"/>
              <w:shd w:val="clear" w:color="auto" w:fill="FFFFFF"/>
              <w:ind w:left="420" w:firstLine="160" w:firstLineChars="50"/>
              <w:rPr>
                <w:rFonts w:ascii="仿宋_GB2312" w:eastAsia="仿宋_GB2312" w:cs="Times New Roman"/>
                <w:kern w:val="2"/>
                <w:sz w:val="32"/>
                <w:szCs w:val="32"/>
                <w:shd w:val="clear" w:color="auto" w:fill="auto"/>
              </w:rPr>
            </w:pPr>
            <w:r>
              <w:rPr>
                <w:rFonts w:ascii="仿宋_GB2312" w:eastAsia="仿宋_GB2312" w:cs="Times New Roman"/>
                <w:kern w:val="2"/>
                <w:sz w:val="32"/>
                <w:szCs w:val="32"/>
                <w:shd w:val="clear" w:color="auto" w:fill="auto"/>
              </w:rPr>
              <w:t>经济效益指标</w:t>
            </w:r>
          </w:p>
        </w:tc>
        <w:tc>
          <w:tcPr>
            <w:tcW w:w="1398" w:type="dxa"/>
            <w:tcBorders>
              <w:top w:val="outset" w:color="auto" w:sz="6" w:space="0"/>
              <w:left w:val="outset" w:color="auto" w:sz="6" w:space="0"/>
              <w:bottom w:val="outset" w:color="auto" w:sz="6" w:space="0"/>
              <w:right w:val="outset" w:color="auto" w:sz="6" w:space="0"/>
              <w:tl2br w:val="nil"/>
              <w:tr2bl w:val="nil"/>
            </w:tcBorders>
            <w:vAlign w:val="center"/>
          </w:tcPr>
          <w:p w14:paraId="3CBA9054">
            <w:pPr>
              <w:pStyle w:val="13"/>
              <w:shd w:val="clear" w:color="auto" w:fill="FFFFFF"/>
              <w:ind w:left="420" w:firstLine="160" w:firstLineChars="50"/>
              <w:rPr>
                <w:rFonts w:ascii="仿宋_GB2312" w:eastAsia="仿宋_GB2312" w:cs="Times New Roman"/>
                <w:kern w:val="2"/>
                <w:sz w:val="32"/>
                <w:szCs w:val="32"/>
                <w:shd w:val="clear" w:color="auto" w:fill="auto"/>
              </w:rPr>
            </w:pPr>
            <w:r>
              <w:rPr>
                <w:rFonts w:ascii="仿宋_GB2312" w:eastAsia="仿宋_GB2312" w:cs="Times New Roman"/>
                <w:kern w:val="2"/>
                <w:sz w:val="32"/>
                <w:szCs w:val="32"/>
                <w:shd w:val="clear" w:color="auto" w:fill="auto"/>
              </w:rPr>
              <w:t> 审减率</w:t>
            </w:r>
          </w:p>
        </w:tc>
        <w:tc>
          <w:tcPr>
            <w:tcW w:w="1398" w:type="dxa"/>
            <w:tcBorders>
              <w:top w:val="outset" w:color="auto" w:sz="6" w:space="0"/>
              <w:left w:val="outset" w:color="auto" w:sz="6" w:space="0"/>
              <w:bottom w:val="outset" w:color="auto" w:sz="6" w:space="0"/>
              <w:right w:val="outset" w:color="auto" w:sz="6" w:space="0"/>
              <w:tl2br w:val="nil"/>
              <w:tr2bl w:val="nil"/>
            </w:tcBorders>
            <w:vAlign w:val="center"/>
          </w:tcPr>
          <w:p w14:paraId="2DB070D1">
            <w:pPr>
              <w:pStyle w:val="13"/>
              <w:shd w:val="clear" w:color="auto" w:fill="FFFFFF"/>
              <w:ind w:left="420" w:firstLine="160" w:firstLineChars="50"/>
              <w:rPr>
                <w:rFonts w:ascii="仿宋_GB2312" w:eastAsia="仿宋_GB2312" w:cs="Times New Roman"/>
                <w:kern w:val="2"/>
                <w:sz w:val="32"/>
                <w:szCs w:val="32"/>
                <w:shd w:val="clear" w:color="auto" w:fill="auto"/>
              </w:rPr>
            </w:pPr>
            <w:r>
              <w:rPr>
                <w:rFonts w:hint="eastAsia" w:ascii="仿宋_GB2312" w:eastAsia="仿宋_GB2312" w:cs="Times New Roman"/>
                <w:kern w:val="2"/>
                <w:sz w:val="32"/>
                <w:szCs w:val="32"/>
                <w:shd w:val="clear" w:color="auto" w:fill="auto"/>
                <w:lang w:eastAsia="zh-CN"/>
              </w:rPr>
              <w:t>≥</w:t>
            </w:r>
            <w:r>
              <w:rPr>
                <w:rFonts w:ascii="仿宋_GB2312" w:eastAsia="仿宋_GB2312" w:cs="Times New Roman"/>
                <w:kern w:val="2"/>
                <w:sz w:val="32"/>
                <w:szCs w:val="32"/>
                <w:shd w:val="clear" w:color="auto" w:fill="auto"/>
              </w:rPr>
              <w:t>  3%</w:t>
            </w:r>
          </w:p>
        </w:tc>
        <w:tc>
          <w:tcPr>
            <w:tcW w:w="1874" w:type="dxa"/>
            <w:tcBorders>
              <w:top w:val="outset" w:color="auto" w:sz="6" w:space="0"/>
              <w:left w:val="outset" w:color="auto" w:sz="6" w:space="0"/>
              <w:bottom w:val="outset" w:color="auto" w:sz="6" w:space="0"/>
              <w:right w:val="outset" w:color="auto" w:sz="6" w:space="0"/>
              <w:tl2br w:val="nil"/>
              <w:tr2bl w:val="nil"/>
            </w:tcBorders>
            <w:vAlign w:val="center"/>
          </w:tcPr>
          <w:p w14:paraId="5686EE67">
            <w:pPr>
              <w:pStyle w:val="13"/>
              <w:shd w:val="clear" w:color="auto" w:fill="FFFFFF"/>
              <w:ind w:left="420" w:firstLine="160" w:firstLineChars="50"/>
              <w:rPr>
                <w:rFonts w:ascii="仿宋_GB2312" w:eastAsia="仿宋_GB2312" w:cs="Times New Roman"/>
                <w:kern w:val="2"/>
                <w:sz w:val="32"/>
                <w:szCs w:val="32"/>
                <w:shd w:val="clear" w:color="auto" w:fill="auto"/>
              </w:rPr>
            </w:pPr>
            <w:r>
              <w:rPr>
                <w:rFonts w:ascii="仿宋_GB2312" w:eastAsia="仿宋_GB2312" w:cs="Times New Roman"/>
                <w:kern w:val="2"/>
                <w:sz w:val="32"/>
                <w:szCs w:val="32"/>
                <w:shd w:val="clear" w:color="auto" w:fill="auto"/>
              </w:rPr>
              <w:t> </w:t>
            </w:r>
            <w:r>
              <w:rPr>
                <w:rFonts w:hint="eastAsia" w:ascii="仿宋_GB2312" w:eastAsia="仿宋_GB2312" w:cs="Times New Roman"/>
                <w:kern w:val="2"/>
                <w:sz w:val="32"/>
                <w:szCs w:val="32"/>
                <w:shd w:val="clear" w:color="auto" w:fill="auto"/>
                <w:lang w:eastAsia="zh-CN"/>
              </w:rPr>
              <w:t>审减率完成目标任务</w:t>
            </w:r>
          </w:p>
        </w:tc>
      </w:tr>
      <w:tr w14:paraId="312CCE38">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525" w:hRule="atLeast"/>
          <w:tblCellSpacing w:w="0" w:type="dxa"/>
        </w:trPr>
        <w:tc>
          <w:tcPr>
            <w:tcW w:w="1494" w:type="dxa"/>
            <w:vMerge w:val="continue"/>
            <w:tcBorders>
              <w:top w:val="outset" w:color="auto" w:sz="6" w:space="0"/>
              <w:left w:val="outset" w:color="auto" w:sz="6" w:space="0"/>
              <w:bottom w:val="outset" w:color="auto" w:sz="6" w:space="0"/>
              <w:right w:val="outset" w:color="auto" w:sz="6" w:space="0"/>
              <w:tl2br w:val="nil"/>
              <w:tr2bl w:val="nil"/>
            </w:tcBorders>
            <w:vAlign w:val="center"/>
          </w:tcPr>
          <w:p w14:paraId="4188499D"/>
        </w:tc>
        <w:tc>
          <w:tcPr>
            <w:tcW w:w="922" w:type="dxa"/>
            <w:tcBorders>
              <w:top w:val="outset" w:color="auto" w:sz="6" w:space="0"/>
              <w:left w:val="outset" w:color="auto" w:sz="6" w:space="0"/>
              <w:bottom w:val="outset" w:color="auto" w:sz="6" w:space="0"/>
              <w:right w:val="outset" w:color="auto" w:sz="6" w:space="0"/>
              <w:tl2br w:val="nil"/>
              <w:tr2bl w:val="nil"/>
            </w:tcBorders>
            <w:vAlign w:val="center"/>
          </w:tcPr>
          <w:p w14:paraId="45149458">
            <w:pPr>
              <w:pStyle w:val="13"/>
              <w:shd w:val="clear" w:color="auto" w:fill="FFFFFF"/>
              <w:ind w:left="420" w:firstLine="160" w:firstLineChars="50"/>
              <w:rPr>
                <w:rFonts w:ascii="仿宋_GB2312" w:eastAsia="仿宋_GB2312" w:cs="Times New Roman"/>
                <w:kern w:val="2"/>
                <w:sz w:val="32"/>
                <w:szCs w:val="32"/>
                <w:shd w:val="clear" w:color="auto" w:fill="auto"/>
              </w:rPr>
            </w:pPr>
            <w:r>
              <w:rPr>
                <w:rFonts w:ascii="仿宋_GB2312" w:eastAsia="仿宋_GB2312" w:cs="Times New Roman"/>
                <w:kern w:val="2"/>
                <w:sz w:val="32"/>
                <w:szCs w:val="32"/>
                <w:shd w:val="clear" w:color="auto" w:fill="auto"/>
              </w:rPr>
              <w:t>满意</w:t>
            </w:r>
          </w:p>
          <w:p w14:paraId="7525C67A">
            <w:pPr>
              <w:pStyle w:val="13"/>
              <w:shd w:val="clear" w:color="auto" w:fill="FFFFFF"/>
              <w:ind w:left="420" w:firstLine="160" w:firstLineChars="50"/>
              <w:rPr>
                <w:rFonts w:ascii="仿宋_GB2312" w:eastAsia="仿宋_GB2312" w:cs="Times New Roman"/>
                <w:kern w:val="2"/>
                <w:sz w:val="32"/>
                <w:szCs w:val="32"/>
                <w:shd w:val="clear" w:color="auto" w:fill="auto"/>
              </w:rPr>
            </w:pPr>
            <w:r>
              <w:rPr>
                <w:rFonts w:ascii="仿宋_GB2312" w:eastAsia="仿宋_GB2312" w:cs="Times New Roman"/>
                <w:kern w:val="2"/>
                <w:sz w:val="32"/>
                <w:szCs w:val="32"/>
                <w:shd w:val="clear" w:color="auto" w:fill="auto"/>
              </w:rPr>
              <w:t>度指标</w:t>
            </w:r>
          </w:p>
        </w:tc>
        <w:tc>
          <w:tcPr>
            <w:tcW w:w="1234" w:type="dxa"/>
            <w:tcBorders>
              <w:top w:val="outset" w:color="auto" w:sz="6" w:space="0"/>
              <w:left w:val="outset" w:color="auto" w:sz="6" w:space="0"/>
              <w:bottom w:val="outset" w:color="auto" w:sz="6" w:space="0"/>
              <w:right w:val="outset" w:color="auto" w:sz="6" w:space="0"/>
              <w:tl2br w:val="nil"/>
              <w:tr2bl w:val="nil"/>
            </w:tcBorders>
            <w:vAlign w:val="center"/>
          </w:tcPr>
          <w:p w14:paraId="4497F700">
            <w:pPr>
              <w:pStyle w:val="13"/>
              <w:shd w:val="clear" w:color="auto" w:fill="FFFFFF"/>
              <w:ind w:left="420" w:firstLine="160" w:firstLineChars="50"/>
              <w:rPr>
                <w:rFonts w:ascii="仿宋_GB2312" w:eastAsia="仿宋_GB2312" w:cs="Times New Roman"/>
                <w:kern w:val="2"/>
                <w:sz w:val="32"/>
                <w:szCs w:val="32"/>
                <w:shd w:val="clear" w:color="auto" w:fill="auto"/>
              </w:rPr>
            </w:pPr>
            <w:r>
              <w:rPr>
                <w:rFonts w:ascii="仿宋_GB2312" w:eastAsia="仿宋_GB2312" w:cs="Times New Roman"/>
                <w:kern w:val="2"/>
                <w:sz w:val="32"/>
                <w:szCs w:val="32"/>
                <w:shd w:val="clear" w:color="auto" w:fill="auto"/>
              </w:rPr>
              <w:t>满意度</w:t>
            </w:r>
          </w:p>
          <w:p w14:paraId="05E3D638">
            <w:pPr>
              <w:pStyle w:val="13"/>
              <w:shd w:val="clear" w:color="auto" w:fill="FFFFFF"/>
              <w:ind w:left="420" w:firstLine="160" w:firstLineChars="50"/>
              <w:rPr>
                <w:rFonts w:ascii="仿宋_GB2312" w:eastAsia="仿宋_GB2312" w:cs="Times New Roman"/>
                <w:kern w:val="2"/>
                <w:sz w:val="32"/>
                <w:szCs w:val="32"/>
                <w:shd w:val="clear" w:color="auto" w:fill="auto"/>
              </w:rPr>
            </w:pPr>
            <w:r>
              <w:rPr>
                <w:rFonts w:ascii="仿宋_GB2312" w:eastAsia="仿宋_GB2312" w:cs="Times New Roman"/>
                <w:kern w:val="2"/>
                <w:sz w:val="32"/>
                <w:szCs w:val="32"/>
                <w:shd w:val="clear" w:color="auto" w:fill="auto"/>
              </w:rPr>
              <w:t>指标</w:t>
            </w:r>
          </w:p>
        </w:tc>
        <w:tc>
          <w:tcPr>
            <w:tcW w:w="1398" w:type="dxa"/>
            <w:tcBorders>
              <w:top w:val="outset" w:color="auto" w:sz="6" w:space="0"/>
              <w:left w:val="outset" w:color="auto" w:sz="6" w:space="0"/>
              <w:bottom w:val="outset" w:color="auto" w:sz="6" w:space="0"/>
              <w:right w:val="outset" w:color="auto" w:sz="6" w:space="0"/>
              <w:tl2br w:val="nil"/>
              <w:tr2bl w:val="nil"/>
            </w:tcBorders>
            <w:vAlign w:val="center"/>
          </w:tcPr>
          <w:p w14:paraId="0F282AD5">
            <w:pPr>
              <w:pStyle w:val="13"/>
              <w:shd w:val="clear" w:color="auto" w:fill="FFFFFF"/>
              <w:ind w:left="420" w:firstLine="160" w:firstLineChars="50"/>
              <w:rPr>
                <w:rFonts w:ascii="仿宋_GB2312" w:eastAsia="仿宋_GB2312" w:cs="Times New Roman"/>
                <w:kern w:val="2"/>
                <w:sz w:val="32"/>
                <w:szCs w:val="32"/>
                <w:shd w:val="clear" w:color="auto" w:fill="auto"/>
              </w:rPr>
            </w:pPr>
            <w:r>
              <w:rPr>
                <w:rFonts w:ascii="仿宋_GB2312" w:eastAsia="仿宋_GB2312" w:cs="Times New Roman"/>
                <w:kern w:val="2"/>
                <w:sz w:val="32"/>
                <w:szCs w:val="32"/>
                <w:shd w:val="clear" w:color="auto" w:fill="auto"/>
              </w:rPr>
              <w:t> 委托单位对中介公司服务的满意度</w:t>
            </w:r>
          </w:p>
        </w:tc>
        <w:tc>
          <w:tcPr>
            <w:tcW w:w="1398" w:type="dxa"/>
            <w:tcBorders>
              <w:top w:val="outset" w:color="auto" w:sz="6" w:space="0"/>
              <w:left w:val="outset" w:color="auto" w:sz="6" w:space="0"/>
              <w:bottom w:val="outset" w:color="auto" w:sz="6" w:space="0"/>
              <w:right w:val="outset" w:color="auto" w:sz="6" w:space="0"/>
              <w:tl2br w:val="nil"/>
              <w:tr2bl w:val="nil"/>
            </w:tcBorders>
            <w:vAlign w:val="center"/>
          </w:tcPr>
          <w:p w14:paraId="3183C6F2">
            <w:pPr>
              <w:pStyle w:val="13"/>
              <w:shd w:val="clear" w:color="auto" w:fill="FFFFFF"/>
              <w:ind w:left="420" w:firstLine="160" w:firstLineChars="50"/>
              <w:rPr>
                <w:rFonts w:ascii="仿宋_GB2312" w:eastAsia="仿宋_GB2312" w:cs="Times New Roman"/>
                <w:kern w:val="2"/>
                <w:sz w:val="32"/>
                <w:szCs w:val="32"/>
                <w:shd w:val="clear" w:color="auto" w:fill="auto"/>
              </w:rPr>
            </w:pPr>
            <w:r>
              <w:rPr>
                <w:rFonts w:ascii="仿宋_GB2312" w:eastAsia="仿宋_GB2312" w:cs="Times New Roman"/>
                <w:kern w:val="2"/>
                <w:sz w:val="32"/>
                <w:szCs w:val="32"/>
                <w:shd w:val="clear" w:color="auto" w:fill="auto"/>
              </w:rPr>
              <w:t> 95%</w:t>
            </w:r>
          </w:p>
        </w:tc>
        <w:tc>
          <w:tcPr>
            <w:tcW w:w="1874" w:type="dxa"/>
            <w:tcBorders>
              <w:top w:val="outset" w:color="auto" w:sz="6" w:space="0"/>
              <w:left w:val="outset" w:color="auto" w:sz="6" w:space="0"/>
              <w:bottom w:val="outset" w:color="auto" w:sz="6" w:space="0"/>
              <w:right w:val="outset" w:color="auto" w:sz="6" w:space="0"/>
              <w:tl2br w:val="nil"/>
              <w:tr2bl w:val="nil"/>
            </w:tcBorders>
            <w:vAlign w:val="center"/>
          </w:tcPr>
          <w:p w14:paraId="364A581C">
            <w:pPr>
              <w:pStyle w:val="13"/>
              <w:shd w:val="clear" w:color="auto" w:fill="FFFFFF"/>
              <w:ind w:left="420" w:firstLine="160" w:firstLineChars="50"/>
              <w:rPr>
                <w:rFonts w:ascii="仿宋_GB2312" w:eastAsia="仿宋_GB2312" w:cs="Times New Roman"/>
                <w:kern w:val="2"/>
                <w:sz w:val="32"/>
                <w:szCs w:val="32"/>
                <w:shd w:val="clear" w:color="auto" w:fill="auto"/>
              </w:rPr>
            </w:pPr>
            <w:r>
              <w:rPr>
                <w:rFonts w:ascii="仿宋_GB2312" w:eastAsia="仿宋_GB2312" w:cs="Times New Roman"/>
                <w:kern w:val="2"/>
                <w:sz w:val="32"/>
                <w:szCs w:val="32"/>
                <w:shd w:val="clear" w:color="auto" w:fill="auto"/>
              </w:rPr>
              <w:t>96% </w:t>
            </w:r>
          </w:p>
        </w:tc>
      </w:tr>
    </w:tbl>
    <w:p w14:paraId="42956CCD">
      <w:pPr>
        <w:pStyle w:val="13"/>
        <w:shd w:val="clear" w:color="auto" w:fill="FFFFFF"/>
        <w:ind w:left="420" w:firstLine="160" w:firstLineChars="50"/>
        <w:rPr>
          <w:rFonts w:ascii="仿宋_GB2312" w:eastAsia="仿宋_GB2312" w:cs="Times New Roman"/>
          <w:kern w:val="2"/>
          <w:sz w:val="32"/>
          <w:szCs w:val="32"/>
          <w:shd w:val="clear" w:color="auto" w:fill="auto"/>
        </w:rPr>
      </w:pPr>
      <w:r>
        <w:rPr>
          <w:rFonts w:ascii="仿宋_GB2312" w:eastAsia="仿宋_GB2312" w:cs="Times New Roman"/>
          <w:kern w:val="2"/>
          <w:sz w:val="32"/>
          <w:szCs w:val="32"/>
          <w:shd w:val="clear" w:color="auto" w:fill="auto"/>
        </w:rPr>
        <w:t>（注：有两个及以上100万元以上（含）特定目标类部门预算项目的，需分别开展绩效目标自评并填写附表）</w:t>
      </w:r>
    </w:p>
    <w:p w14:paraId="0288A2CC">
      <w:pPr>
        <w:pStyle w:val="3"/>
        <w:keepNext/>
        <w:keepLines/>
        <w:pageBreakBefore w:val="0"/>
        <w:widowControl w:val="0"/>
        <w:suppressLineNumbers w:val="0"/>
        <w:shd w:val="clear" w:color="auto" w:fill="auto"/>
        <w:suppressAutoHyphens w:val="0"/>
        <w:kinsoku/>
        <w:wordWrap/>
        <w:overflowPunct/>
        <w:topLinePunct w:val="0"/>
        <w:autoSpaceDE/>
        <w:autoSpaceDN/>
        <w:spacing w:line="550" w:lineRule="atLeast"/>
        <w:ind w:firstLine="640" w:firstLineChars="200"/>
        <w:rPr>
          <w:rFonts w:ascii="黑体" w:eastAsia="黑体" w:cs="楷体"/>
          <w:b w:val="0"/>
          <w:i w:val="0"/>
          <w:caps w:val="0"/>
          <w:smallCaps w:val="0"/>
          <w:strike w:val="0"/>
          <w:dstrike w:val="0"/>
          <w:vanish w:val="0"/>
          <w:color w:val="000000"/>
          <w:kern w:val="2"/>
          <w:sz w:val="32"/>
          <w:szCs w:val="32"/>
          <w:shd w:val="clear" w:color="auto" w:fill="auto"/>
        </w:rPr>
      </w:pPr>
      <w:bookmarkStart w:id="48" w:name="_Toc8160"/>
      <w:r>
        <w:rPr>
          <w:rFonts w:ascii="黑体" w:eastAsia="黑体" w:cs="楷体"/>
          <w:b w:val="0"/>
          <w:i w:val="0"/>
          <w:caps w:val="0"/>
          <w:smallCaps w:val="0"/>
          <w:strike w:val="0"/>
          <w:dstrike w:val="0"/>
          <w:vanish w:val="0"/>
          <w:color w:val="000000"/>
          <w:kern w:val="2"/>
          <w:sz w:val="32"/>
          <w:szCs w:val="32"/>
          <w:shd w:val="clear" w:color="auto" w:fill="auto"/>
        </w:rPr>
        <w:t> 第五部分 附表</w:t>
      </w:r>
      <w:bookmarkEnd w:id="48"/>
    </w:p>
    <w:p w14:paraId="2F49C2B2">
      <w:pPr>
        <w:pStyle w:val="3"/>
        <w:keepNext/>
        <w:keepLines/>
        <w:pageBreakBefore w:val="0"/>
        <w:widowControl w:val="0"/>
        <w:suppressLineNumbers w:val="0"/>
        <w:shd w:val="clear" w:color="auto" w:fill="auto"/>
        <w:suppressAutoHyphens w:val="0"/>
        <w:kinsoku/>
        <w:wordWrap/>
        <w:overflowPunct/>
        <w:topLinePunct w:val="0"/>
        <w:autoSpaceDE/>
        <w:autoSpaceDN/>
        <w:spacing w:line="550" w:lineRule="atLeast"/>
        <w:ind w:firstLine="640" w:firstLineChars="200"/>
        <w:rPr>
          <w:rFonts w:hint="eastAsia" w:ascii="黑体" w:eastAsia="黑体" w:cs="楷体"/>
          <w:b w:val="0"/>
          <w:i w:val="0"/>
          <w:caps w:val="0"/>
          <w:smallCaps w:val="0"/>
          <w:strike w:val="0"/>
          <w:dstrike w:val="0"/>
          <w:vanish w:val="0"/>
          <w:color w:val="000000"/>
          <w:kern w:val="2"/>
          <w:sz w:val="32"/>
          <w:szCs w:val="32"/>
          <w:shd w:val="clear" w:color="auto" w:fill="auto"/>
        </w:rPr>
      </w:pPr>
      <w:bookmarkStart w:id="49" w:name="_Toc19418"/>
      <w:r>
        <w:rPr>
          <w:rFonts w:hint="eastAsia" w:ascii="黑体" w:eastAsia="黑体" w:cs="楷体"/>
          <w:b w:val="0"/>
          <w:i w:val="0"/>
          <w:caps w:val="0"/>
          <w:smallCaps w:val="0"/>
          <w:strike w:val="0"/>
          <w:dstrike w:val="0"/>
          <w:vanish w:val="0"/>
          <w:color w:val="000000"/>
          <w:kern w:val="2"/>
          <w:sz w:val="32"/>
          <w:szCs w:val="32"/>
          <w:shd w:val="clear" w:color="auto" w:fill="auto"/>
        </w:rPr>
        <w:t>一、收入支出决算总表</w:t>
      </w:r>
      <w:bookmarkEnd w:id="49"/>
    </w:p>
    <w:p w14:paraId="72EC65F8">
      <w:pPr>
        <w:pStyle w:val="3"/>
        <w:keepNext/>
        <w:keepLines/>
        <w:pageBreakBefore w:val="0"/>
        <w:widowControl w:val="0"/>
        <w:suppressLineNumbers w:val="0"/>
        <w:shd w:val="clear" w:color="auto" w:fill="auto"/>
        <w:suppressAutoHyphens w:val="0"/>
        <w:kinsoku/>
        <w:wordWrap/>
        <w:overflowPunct/>
        <w:topLinePunct w:val="0"/>
        <w:autoSpaceDE/>
        <w:autoSpaceDN/>
        <w:spacing w:line="550" w:lineRule="atLeast"/>
        <w:ind w:firstLine="640" w:firstLineChars="200"/>
        <w:rPr>
          <w:rFonts w:hint="eastAsia" w:ascii="黑体" w:eastAsia="黑体" w:cs="楷体"/>
          <w:b w:val="0"/>
          <w:i w:val="0"/>
          <w:caps w:val="0"/>
          <w:smallCaps w:val="0"/>
          <w:strike w:val="0"/>
          <w:dstrike w:val="0"/>
          <w:vanish w:val="0"/>
          <w:color w:val="000000"/>
          <w:kern w:val="2"/>
          <w:sz w:val="32"/>
          <w:szCs w:val="32"/>
          <w:shd w:val="clear" w:color="auto" w:fill="auto"/>
        </w:rPr>
      </w:pPr>
      <w:bookmarkStart w:id="50" w:name="_Toc1661"/>
      <w:r>
        <w:rPr>
          <w:rFonts w:hint="eastAsia" w:ascii="黑体" w:eastAsia="黑体" w:cs="楷体"/>
          <w:b w:val="0"/>
          <w:i w:val="0"/>
          <w:caps w:val="0"/>
          <w:smallCaps w:val="0"/>
          <w:strike w:val="0"/>
          <w:dstrike w:val="0"/>
          <w:vanish w:val="0"/>
          <w:color w:val="000000"/>
          <w:kern w:val="2"/>
          <w:sz w:val="32"/>
          <w:szCs w:val="32"/>
          <w:shd w:val="clear" w:color="auto" w:fill="auto"/>
        </w:rPr>
        <w:t>二、收入决算表</w:t>
      </w:r>
      <w:bookmarkEnd w:id="50"/>
    </w:p>
    <w:p w14:paraId="4376E66D">
      <w:pPr>
        <w:pStyle w:val="3"/>
        <w:keepNext/>
        <w:keepLines/>
        <w:pageBreakBefore w:val="0"/>
        <w:widowControl w:val="0"/>
        <w:suppressLineNumbers w:val="0"/>
        <w:shd w:val="clear" w:color="auto" w:fill="auto"/>
        <w:suppressAutoHyphens w:val="0"/>
        <w:kinsoku/>
        <w:wordWrap/>
        <w:overflowPunct/>
        <w:topLinePunct w:val="0"/>
        <w:autoSpaceDE/>
        <w:autoSpaceDN/>
        <w:spacing w:line="550" w:lineRule="atLeast"/>
        <w:ind w:firstLine="640" w:firstLineChars="200"/>
        <w:rPr>
          <w:rFonts w:hint="eastAsia" w:ascii="黑体" w:eastAsia="黑体" w:cs="楷体"/>
          <w:b w:val="0"/>
          <w:i w:val="0"/>
          <w:caps w:val="0"/>
          <w:smallCaps w:val="0"/>
          <w:strike w:val="0"/>
          <w:dstrike w:val="0"/>
          <w:vanish w:val="0"/>
          <w:color w:val="000000"/>
          <w:kern w:val="2"/>
          <w:sz w:val="32"/>
          <w:szCs w:val="32"/>
          <w:shd w:val="clear" w:color="auto" w:fill="auto"/>
        </w:rPr>
      </w:pPr>
      <w:bookmarkStart w:id="51" w:name="_Toc3917"/>
      <w:r>
        <w:rPr>
          <w:rFonts w:hint="eastAsia" w:ascii="黑体" w:eastAsia="黑体" w:cs="楷体"/>
          <w:b w:val="0"/>
          <w:i w:val="0"/>
          <w:caps w:val="0"/>
          <w:smallCaps w:val="0"/>
          <w:strike w:val="0"/>
          <w:dstrike w:val="0"/>
          <w:vanish w:val="0"/>
          <w:color w:val="000000"/>
          <w:kern w:val="2"/>
          <w:sz w:val="32"/>
          <w:szCs w:val="32"/>
          <w:shd w:val="clear" w:color="auto" w:fill="auto"/>
        </w:rPr>
        <w:t>三、支出决算表</w:t>
      </w:r>
      <w:bookmarkEnd w:id="51"/>
    </w:p>
    <w:p w14:paraId="1D47DDEB">
      <w:pPr>
        <w:pStyle w:val="3"/>
        <w:keepNext/>
        <w:keepLines/>
        <w:pageBreakBefore w:val="0"/>
        <w:widowControl w:val="0"/>
        <w:suppressLineNumbers w:val="0"/>
        <w:shd w:val="clear" w:color="auto" w:fill="auto"/>
        <w:suppressAutoHyphens w:val="0"/>
        <w:kinsoku/>
        <w:wordWrap/>
        <w:overflowPunct/>
        <w:topLinePunct w:val="0"/>
        <w:autoSpaceDE/>
        <w:autoSpaceDN/>
        <w:spacing w:line="550" w:lineRule="atLeast"/>
        <w:ind w:firstLine="640" w:firstLineChars="200"/>
        <w:rPr>
          <w:rFonts w:hint="eastAsia" w:ascii="黑体" w:eastAsia="黑体" w:cs="楷体"/>
          <w:b w:val="0"/>
          <w:i w:val="0"/>
          <w:caps w:val="0"/>
          <w:smallCaps w:val="0"/>
          <w:strike w:val="0"/>
          <w:dstrike w:val="0"/>
          <w:vanish w:val="0"/>
          <w:color w:val="000000"/>
          <w:kern w:val="2"/>
          <w:sz w:val="32"/>
          <w:szCs w:val="32"/>
          <w:shd w:val="clear" w:color="auto" w:fill="auto"/>
        </w:rPr>
      </w:pPr>
      <w:bookmarkStart w:id="52" w:name="_Toc11619"/>
      <w:r>
        <w:rPr>
          <w:rFonts w:hint="eastAsia" w:ascii="黑体" w:eastAsia="黑体" w:cs="楷体"/>
          <w:b w:val="0"/>
          <w:i w:val="0"/>
          <w:caps w:val="0"/>
          <w:smallCaps w:val="0"/>
          <w:strike w:val="0"/>
          <w:dstrike w:val="0"/>
          <w:vanish w:val="0"/>
          <w:color w:val="000000"/>
          <w:kern w:val="2"/>
          <w:sz w:val="32"/>
          <w:szCs w:val="32"/>
          <w:shd w:val="clear" w:color="auto" w:fill="auto"/>
        </w:rPr>
        <w:t>四、财政拨款收入支出决算总表</w:t>
      </w:r>
      <w:bookmarkEnd w:id="52"/>
    </w:p>
    <w:p w14:paraId="4DDC260E">
      <w:pPr>
        <w:pStyle w:val="3"/>
        <w:keepNext/>
        <w:keepLines/>
        <w:pageBreakBefore w:val="0"/>
        <w:widowControl w:val="0"/>
        <w:suppressLineNumbers w:val="0"/>
        <w:shd w:val="clear" w:color="auto" w:fill="auto"/>
        <w:suppressAutoHyphens w:val="0"/>
        <w:kinsoku/>
        <w:wordWrap/>
        <w:overflowPunct/>
        <w:topLinePunct w:val="0"/>
        <w:autoSpaceDE/>
        <w:autoSpaceDN/>
        <w:spacing w:line="550" w:lineRule="atLeast"/>
        <w:ind w:firstLine="640" w:firstLineChars="200"/>
        <w:rPr>
          <w:rFonts w:hint="eastAsia" w:ascii="黑体" w:eastAsia="黑体" w:cs="楷体"/>
          <w:b w:val="0"/>
          <w:i w:val="0"/>
          <w:caps w:val="0"/>
          <w:smallCaps w:val="0"/>
          <w:strike w:val="0"/>
          <w:dstrike w:val="0"/>
          <w:vanish w:val="0"/>
          <w:color w:val="000000"/>
          <w:kern w:val="2"/>
          <w:sz w:val="32"/>
          <w:szCs w:val="32"/>
          <w:shd w:val="clear" w:color="auto" w:fill="auto"/>
        </w:rPr>
      </w:pPr>
      <w:bookmarkStart w:id="53" w:name="_Toc16768"/>
      <w:r>
        <w:rPr>
          <w:rFonts w:hint="eastAsia" w:ascii="黑体" w:eastAsia="黑体" w:cs="楷体"/>
          <w:b w:val="0"/>
          <w:i w:val="0"/>
          <w:caps w:val="0"/>
          <w:smallCaps w:val="0"/>
          <w:strike w:val="0"/>
          <w:dstrike w:val="0"/>
          <w:vanish w:val="0"/>
          <w:color w:val="000000"/>
          <w:kern w:val="2"/>
          <w:sz w:val="32"/>
          <w:szCs w:val="32"/>
          <w:shd w:val="clear" w:color="auto" w:fill="auto"/>
        </w:rPr>
        <w:t>五、财政拨款支出决算明细表</w:t>
      </w:r>
      <w:bookmarkEnd w:id="53"/>
    </w:p>
    <w:p w14:paraId="66050CF0">
      <w:pPr>
        <w:pStyle w:val="3"/>
        <w:keepNext/>
        <w:keepLines/>
        <w:pageBreakBefore w:val="0"/>
        <w:widowControl w:val="0"/>
        <w:suppressLineNumbers w:val="0"/>
        <w:shd w:val="clear" w:color="auto" w:fill="auto"/>
        <w:suppressAutoHyphens w:val="0"/>
        <w:kinsoku/>
        <w:wordWrap/>
        <w:overflowPunct/>
        <w:topLinePunct w:val="0"/>
        <w:autoSpaceDE/>
        <w:autoSpaceDN/>
        <w:spacing w:line="550" w:lineRule="atLeast"/>
        <w:ind w:firstLine="640" w:firstLineChars="200"/>
        <w:rPr>
          <w:rFonts w:hint="eastAsia" w:ascii="黑体" w:eastAsia="黑体" w:cs="楷体"/>
          <w:b w:val="0"/>
          <w:i w:val="0"/>
          <w:caps w:val="0"/>
          <w:smallCaps w:val="0"/>
          <w:strike w:val="0"/>
          <w:dstrike w:val="0"/>
          <w:vanish w:val="0"/>
          <w:color w:val="000000"/>
          <w:kern w:val="2"/>
          <w:sz w:val="32"/>
          <w:szCs w:val="32"/>
          <w:shd w:val="clear" w:color="auto" w:fill="auto"/>
        </w:rPr>
      </w:pPr>
      <w:bookmarkStart w:id="54" w:name="_Toc12858"/>
      <w:r>
        <w:rPr>
          <w:rFonts w:hint="eastAsia" w:ascii="黑体" w:eastAsia="黑体" w:cs="楷体"/>
          <w:b w:val="0"/>
          <w:i w:val="0"/>
          <w:caps w:val="0"/>
          <w:smallCaps w:val="0"/>
          <w:strike w:val="0"/>
          <w:dstrike w:val="0"/>
          <w:vanish w:val="0"/>
          <w:color w:val="000000"/>
          <w:kern w:val="2"/>
          <w:sz w:val="32"/>
          <w:szCs w:val="32"/>
          <w:shd w:val="clear" w:color="auto" w:fill="auto"/>
        </w:rPr>
        <w:t>六、一般公共预算财政拨款支出决算表</w:t>
      </w:r>
      <w:bookmarkEnd w:id="54"/>
    </w:p>
    <w:p w14:paraId="49F3C116">
      <w:pPr>
        <w:pStyle w:val="3"/>
        <w:keepNext/>
        <w:keepLines/>
        <w:pageBreakBefore w:val="0"/>
        <w:widowControl w:val="0"/>
        <w:suppressLineNumbers w:val="0"/>
        <w:shd w:val="clear" w:color="auto" w:fill="auto"/>
        <w:suppressAutoHyphens w:val="0"/>
        <w:kinsoku/>
        <w:wordWrap/>
        <w:overflowPunct/>
        <w:topLinePunct w:val="0"/>
        <w:autoSpaceDE/>
        <w:autoSpaceDN/>
        <w:spacing w:line="550" w:lineRule="atLeast"/>
        <w:ind w:firstLine="640" w:firstLineChars="200"/>
        <w:rPr>
          <w:rFonts w:hint="eastAsia" w:ascii="黑体" w:eastAsia="黑体" w:cs="楷体"/>
          <w:b w:val="0"/>
          <w:i w:val="0"/>
          <w:caps w:val="0"/>
          <w:smallCaps w:val="0"/>
          <w:strike w:val="0"/>
          <w:dstrike w:val="0"/>
          <w:vanish w:val="0"/>
          <w:color w:val="000000"/>
          <w:kern w:val="2"/>
          <w:sz w:val="32"/>
          <w:szCs w:val="32"/>
          <w:shd w:val="clear" w:color="auto" w:fill="auto"/>
        </w:rPr>
      </w:pPr>
      <w:bookmarkStart w:id="55" w:name="_Toc12367"/>
      <w:r>
        <w:rPr>
          <w:rFonts w:hint="eastAsia" w:ascii="黑体" w:eastAsia="黑体" w:cs="楷体"/>
          <w:b w:val="0"/>
          <w:i w:val="0"/>
          <w:caps w:val="0"/>
          <w:smallCaps w:val="0"/>
          <w:strike w:val="0"/>
          <w:dstrike w:val="0"/>
          <w:vanish w:val="0"/>
          <w:color w:val="000000"/>
          <w:kern w:val="2"/>
          <w:sz w:val="32"/>
          <w:szCs w:val="32"/>
          <w:shd w:val="clear" w:color="auto" w:fill="auto"/>
        </w:rPr>
        <w:t>七、一般公共预算财政拨款支出决算明细表</w:t>
      </w:r>
      <w:bookmarkEnd w:id="55"/>
    </w:p>
    <w:p w14:paraId="57BB61CC">
      <w:pPr>
        <w:pStyle w:val="3"/>
        <w:keepNext/>
        <w:keepLines/>
        <w:pageBreakBefore w:val="0"/>
        <w:widowControl w:val="0"/>
        <w:suppressLineNumbers w:val="0"/>
        <w:shd w:val="clear" w:color="auto" w:fill="auto"/>
        <w:suppressAutoHyphens w:val="0"/>
        <w:kinsoku/>
        <w:wordWrap/>
        <w:overflowPunct/>
        <w:topLinePunct w:val="0"/>
        <w:autoSpaceDE/>
        <w:autoSpaceDN/>
        <w:spacing w:line="550" w:lineRule="atLeast"/>
        <w:ind w:firstLine="640" w:firstLineChars="200"/>
        <w:rPr>
          <w:rFonts w:hint="eastAsia" w:ascii="黑体" w:eastAsia="黑体" w:cs="楷体"/>
          <w:b w:val="0"/>
          <w:i w:val="0"/>
          <w:caps w:val="0"/>
          <w:smallCaps w:val="0"/>
          <w:strike w:val="0"/>
          <w:dstrike w:val="0"/>
          <w:vanish w:val="0"/>
          <w:color w:val="000000"/>
          <w:kern w:val="2"/>
          <w:sz w:val="32"/>
          <w:szCs w:val="32"/>
          <w:shd w:val="clear" w:color="auto" w:fill="auto"/>
        </w:rPr>
      </w:pPr>
      <w:bookmarkStart w:id="56" w:name="_Toc32504"/>
      <w:r>
        <w:rPr>
          <w:rFonts w:hint="eastAsia" w:ascii="黑体" w:eastAsia="黑体" w:cs="楷体"/>
          <w:b w:val="0"/>
          <w:i w:val="0"/>
          <w:caps w:val="0"/>
          <w:smallCaps w:val="0"/>
          <w:strike w:val="0"/>
          <w:dstrike w:val="0"/>
          <w:vanish w:val="0"/>
          <w:color w:val="000000"/>
          <w:kern w:val="2"/>
          <w:sz w:val="32"/>
          <w:szCs w:val="32"/>
          <w:shd w:val="clear" w:color="auto" w:fill="auto"/>
        </w:rPr>
        <w:t>八、一般公共预算财政拨款基本支出决算表</w:t>
      </w:r>
      <w:bookmarkEnd w:id="56"/>
    </w:p>
    <w:p w14:paraId="621E1BFE">
      <w:pPr>
        <w:pStyle w:val="3"/>
        <w:keepNext/>
        <w:keepLines/>
        <w:pageBreakBefore w:val="0"/>
        <w:widowControl w:val="0"/>
        <w:suppressLineNumbers w:val="0"/>
        <w:shd w:val="clear" w:color="auto" w:fill="auto"/>
        <w:suppressAutoHyphens w:val="0"/>
        <w:kinsoku/>
        <w:wordWrap/>
        <w:overflowPunct/>
        <w:topLinePunct w:val="0"/>
        <w:autoSpaceDE/>
        <w:autoSpaceDN/>
        <w:spacing w:line="550" w:lineRule="atLeast"/>
        <w:ind w:firstLine="640" w:firstLineChars="200"/>
        <w:rPr>
          <w:rFonts w:hint="eastAsia" w:ascii="黑体" w:eastAsia="黑体" w:cs="楷体"/>
          <w:b w:val="0"/>
          <w:i w:val="0"/>
          <w:caps w:val="0"/>
          <w:smallCaps w:val="0"/>
          <w:strike w:val="0"/>
          <w:dstrike w:val="0"/>
          <w:vanish w:val="0"/>
          <w:color w:val="000000"/>
          <w:kern w:val="2"/>
          <w:sz w:val="32"/>
          <w:szCs w:val="32"/>
          <w:shd w:val="clear" w:color="auto" w:fill="auto"/>
        </w:rPr>
      </w:pPr>
      <w:bookmarkStart w:id="57" w:name="_Toc19251"/>
      <w:r>
        <w:rPr>
          <w:rFonts w:hint="eastAsia" w:ascii="黑体" w:eastAsia="黑体" w:cs="楷体"/>
          <w:b w:val="0"/>
          <w:i w:val="0"/>
          <w:caps w:val="0"/>
          <w:smallCaps w:val="0"/>
          <w:strike w:val="0"/>
          <w:dstrike w:val="0"/>
          <w:vanish w:val="0"/>
          <w:color w:val="000000"/>
          <w:kern w:val="2"/>
          <w:sz w:val="32"/>
          <w:szCs w:val="32"/>
          <w:shd w:val="clear" w:color="auto" w:fill="auto"/>
        </w:rPr>
        <w:t>九、一般公共预算财政拨款项目支出决算表</w:t>
      </w:r>
      <w:bookmarkEnd w:id="57"/>
    </w:p>
    <w:p w14:paraId="73F9C2C8">
      <w:pPr>
        <w:pStyle w:val="3"/>
        <w:keepNext/>
        <w:keepLines/>
        <w:pageBreakBefore w:val="0"/>
        <w:widowControl w:val="0"/>
        <w:suppressLineNumbers w:val="0"/>
        <w:shd w:val="clear" w:color="auto" w:fill="auto"/>
        <w:suppressAutoHyphens w:val="0"/>
        <w:kinsoku/>
        <w:wordWrap/>
        <w:overflowPunct/>
        <w:topLinePunct w:val="0"/>
        <w:autoSpaceDE/>
        <w:autoSpaceDN/>
        <w:spacing w:line="550" w:lineRule="atLeast"/>
        <w:ind w:firstLine="640" w:firstLineChars="200"/>
        <w:rPr>
          <w:rFonts w:hint="eastAsia" w:ascii="黑体" w:eastAsia="黑体" w:cs="楷体"/>
          <w:b w:val="0"/>
          <w:i w:val="0"/>
          <w:caps w:val="0"/>
          <w:smallCaps w:val="0"/>
          <w:strike w:val="0"/>
          <w:dstrike w:val="0"/>
          <w:vanish w:val="0"/>
          <w:color w:val="000000"/>
          <w:kern w:val="2"/>
          <w:sz w:val="32"/>
          <w:szCs w:val="32"/>
          <w:shd w:val="clear" w:color="auto" w:fill="auto"/>
        </w:rPr>
      </w:pPr>
      <w:bookmarkStart w:id="58" w:name="_Toc17674"/>
      <w:r>
        <w:rPr>
          <w:rFonts w:hint="eastAsia" w:ascii="黑体" w:eastAsia="黑体" w:cs="楷体"/>
          <w:b w:val="0"/>
          <w:i w:val="0"/>
          <w:caps w:val="0"/>
          <w:smallCaps w:val="0"/>
          <w:strike w:val="0"/>
          <w:dstrike w:val="0"/>
          <w:vanish w:val="0"/>
          <w:color w:val="000000"/>
          <w:kern w:val="2"/>
          <w:sz w:val="32"/>
          <w:szCs w:val="32"/>
          <w:shd w:val="clear" w:color="auto" w:fill="auto"/>
        </w:rPr>
        <w:t>十、一般公共预算财政拨款“三公”经费支出决算表</w:t>
      </w:r>
      <w:bookmarkEnd w:id="58"/>
    </w:p>
    <w:p w14:paraId="131EC8FD">
      <w:pPr>
        <w:pStyle w:val="3"/>
        <w:keepNext/>
        <w:keepLines/>
        <w:pageBreakBefore w:val="0"/>
        <w:widowControl w:val="0"/>
        <w:suppressLineNumbers w:val="0"/>
        <w:shd w:val="clear" w:color="auto" w:fill="auto"/>
        <w:suppressAutoHyphens w:val="0"/>
        <w:kinsoku/>
        <w:wordWrap/>
        <w:overflowPunct/>
        <w:topLinePunct w:val="0"/>
        <w:autoSpaceDE/>
        <w:autoSpaceDN/>
        <w:spacing w:line="550" w:lineRule="atLeast"/>
        <w:ind w:firstLine="640" w:firstLineChars="200"/>
        <w:rPr>
          <w:rFonts w:hint="eastAsia" w:ascii="黑体" w:eastAsia="黑体" w:cs="楷体"/>
          <w:b w:val="0"/>
          <w:i w:val="0"/>
          <w:caps w:val="0"/>
          <w:smallCaps w:val="0"/>
          <w:strike w:val="0"/>
          <w:dstrike w:val="0"/>
          <w:vanish w:val="0"/>
          <w:color w:val="000000"/>
          <w:kern w:val="2"/>
          <w:sz w:val="32"/>
          <w:szCs w:val="32"/>
          <w:shd w:val="clear" w:color="auto" w:fill="auto"/>
        </w:rPr>
      </w:pPr>
      <w:bookmarkStart w:id="59" w:name="_Toc26205"/>
      <w:r>
        <w:rPr>
          <w:rFonts w:hint="eastAsia" w:ascii="黑体" w:eastAsia="黑体" w:cs="楷体"/>
          <w:b w:val="0"/>
          <w:i w:val="0"/>
          <w:caps w:val="0"/>
          <w:smallCaps w:val="0"/>
          <w:strike w:val="0"/>
          <w:dstrike w:val="0"/>
          <w:vanish w:val="0"/>
          <w:color w:val="000000"/>
          <w:kern w:val="2"/>
          <w:sz w:val="32"/>
          <w:szCs w:val="32"/>
          <w:shd w:val="clear" w:color="auto" w:fill="auto"/>
        </w:rPr>
        <w:t>十一、政府性基金预算财政拨款收入支出决算表</w:t>
      </w:r>
      <w:bookmarkEnd w:id="59"/>
    </w:p>
    <w:p w14:paraId="50096270">
      <w:pPr>
        <w:pStyle w:val="3"/>
        <w:keepNext/>
        <w:keepLines/>
        <w:pageBreakBefore w:val="0"/>
        <w:widowControl w:val="0"/>
        <w:suppressLineNumbers w:val="0"/>
        <w:shd w:val="clear" w:color="auto" w:fill="auto"/>
        <w:suppressAutoHyphens w:val="0"/>
        <w:kinsoku/>
        <w:wordWrap/>
        <w:overflowPunct/>
        <w:topLinePunct w:val="0"/>
        <w:autoSpaceDE/>
        <w:autoSpaceDN/>
        <w:spacing w:line="550" w:lineRule="atLeast"/>
        <w:ind w:firstLine="640" w:firstLineChars="200"/>
        <w:rPr>
          <w:rFonts w:hint="eastAsia" w:ascii="黑体" w:eastAsia="黑体" w:cs="楷体"/>
          <w:b w:val="0"/>
          <w:i w:val="0"/>
          <w:caps w:val="0"/>
          <w:smallCaps w:val="0"/>
          <w:strike w:val="0"/>
          <w:dstrike w:val="0"/>
          <w:vanish w:val="0"/>
          <w:color w:val="000000"/>
          <w:kern w:val="2"/>
          <w:sz w:val="32"/>
          <w:szCs w:val="32"/>
          <w:shd w:val="clear" w:color="auto" w:fill="auto"/>
        </w:rPr>
      </w:pPr>
      <w:bookmarkStart w:id="60" w:name="_Toc5771"/>
      <w:r>
        <w:rPr>
          <w:rFonts w:hint="eastAsia" w:ascii="黑体" w:eastAsia="黑体" w:cs="楷体"/>
          <w:b w:val="0"/>
          <w:i w:val="0"/>
          <w:caps w:val="0"/>
          <w:smallCaps w:val="0"/>
          <w:strike w:val="0"/>
          <w:dstrike w:val="0"/>
          <w:vanish w:val="0"/>
          <w:color w:val="000000"/>
          <w:kern w:val="2"/>
          <w:sz w:val="32"/>
          <w:szCs w:val="32"/>
          <w:shd w:val="clear" w:color="auto" w:fill="auto"/>
        </w:rPr>
        <w:t>十二、政府性基金预算财政拨款“三公”经费支出决算表</w:t>
      </w:r>
      <w:bookmarkEnd w:id="60"/>
    </w:p>
    <w:p w14:paraId="5534F79C">
      <w:pPr>
        <w:pStyle w:val="3"/>
        <w:keepNext/>
        <w:keepLines/>
        <w:pageBreakBefore w:val="0"/>
        <w:widowControl w:val="0"/>
        <w:suppressLineNumbers w:val="0"/>
        <w:shd w:val="clear" w:color="auto" w:fill="auto"/>
        <w:suppressAutoHyphens w:val="0"/>
        <w:kinsoku/>
        <w:wordWrap/>
        <w:overflowPunct/>
        <w:topLinePunct w:val="0"/>
        <w:autoSpaceDE/>
        <w:autoSpaceDN/>
        <w:spacing w:line="550" w:lineRule="atLeast"/>
        <w:ind w:firstLine="640" w:firstLineChars="200"/>
        <w:rPr>
          <w:rFonts w:hint="eastAsia" w:ascii="黑体" w:eastAsia="黑体" w:cs="楷体"/>
          <w:b w:val="0"/>
          <w:i w:val="0"/>
          <w:caps w:val="0"/>
          <w:smallCaps w:val="0"/>
          <w:strike w:val="0"/>
          <w:dstrike w:val="0"/>
          <w:vanish w:val="0"/>
          <w:color w:val="000000"/>
          <w:kern w:val="2"/>
          <w:sz w:val="32"/>
          <w:szCs w:val="32"/>
          <w:shd w:val="clear" w:color="auto" w:fill="auto"/>
        </w:rPr>
      </w:pPr>
      <w:bookmarkStart w:id="61" w:name="_Toc18302"/>
      <w:r>
        <w:rPr>
          <w:rFonts w:hint="eastAsia" w:ascii="黑体" w:eastAsia="黑体" w:cs="楷体"/>
          <w:b w:val="0"/>
          <w:i w:val="0"/>
          <w:caps w:val="0"/>
          <w:smallCaps w:val="0"/>
          <w:strike w:val="0"/>
          <w:dstrike w:val="0"/>
          <w:vanish w:val="0"/>
          <w:color w:val="000000"/>
          <w:kern w:val="2"/>
          <w:sz w:val="32"/>
          <w:szCs w:val="32"/>
          <w:shd w:val="clear" w:color="auto" w:fill="auto"/>
        </w:rPr>
        <w:t>十三、国有资本经营预算财政拨款收入支出决算表</w:t>
      </w:r>
      <w:bookmarkEnd w:id="61"/>
    </w:p>
    <w:p w14:paraId="0CEC8700">
      <w:pPr>
        <w:pStyle w:val="3"/>
        <w:keepNext/>
        <w:keepLines/>
        <w:pageBreakBefore w:val="0"/>
        <w:widowControl w:val="0"/>
        <w:suppressLineNumbers w:val="0"/>
        <w:suppressAutoHyphens w:val="0"/>
        <w:spacing w:line="550" w:lineRule="atLeast"/>
        <w:ind w:firstLine="640" w:firstLineChars="200"/>
        <w:rPr>
          <w:rFonts w:hint="eastAsia" w:ascii="黑体" w:eastAsia="黑体" w:cs="楷体"/>
          <w:b w:val="0"/>
          <w:color w:val="000000"/>
          <w:kern w:val="2"/>
          <w:sz w:val="32"/>
          <w:szCs w:val="32"/>
        </w:rPr>
      </w:pPr>
      <w:bookmarkStart w:id="62" w:name="_Toc13922"/>
      <w:r>
        <w:rPr>
          <w:rFonts w:hint="eastAsia" w:ascii="黑体" w:eastAsia="黑体" w:cs="楷体"/>
          <w:b w:val="0"/>
          <w:i w:val="0"/>
          <w:caps w:val="0"/>
          <w:smallCaps w:val="0"/>
          <w:strike w:val="0"/>
          <w:dstrike w:val="0"/>
          <w:vanish w:val="0"/>
          <w:color w:val="000000"/>
          <w:kern w:val="2"/>
          <w:sz w:val="32"/>
          <w:szCs w:val="32"/>
          <w:shd w:val="clear" w:color="auto" w:fill="auto"/>
        </w:rPr>
        <w:t>十四、国有资本经营预算财政拨款支出决算表</w:t>
      </w:r>
      <w:bookmarkEnd w:id="62"/>
    </w:p>
    <w:sectPr>
      <w:footerReference r:id="rId5" w:type="default"/>
      <w:footerReference r:id="rId6" w:type="even"/>
      <w:pgSz w:w="11905" w:h="16840"/>
      <w:pgMar w:top="1440" w:right="1800" w:bottom="1440" w:left="1800" w:header="851" w:footer="992" w:gutter="0"/>
      <w:cols w:space="720"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script"/>
    <w:pitch w:val="default"/>
    <w:sig w:usb0="00000001" w:usb1="080E0000" w:usb2="00000000" w:usb3="00000000" w:csb0="00040000" w:csb1="00000000"/>
  </w:font>
  <w:font w:name="等线">
    <w:altName w:val="宋体"/>
    <w:panose1 w:val="02010600030101010101"/>
    <w:charset w:val="86"/>
    <w:family w:val="auto"/>
    <w:pitch w:val="default"/>
    <w:sig w:usb0="00000000" w:usb1="00000000" w:usb2="00000016" w:usb3="00000000" w:csb0="0004000F" w:csb1="00000000"/>
  </w:font>
  <w:font w:name="仿宋_GB2312">
    <w:panose1 w:val="02010609030101010101"/>
    <w:charset w:val="86"/>
    <w:family w:val="auto"/>
    <w:pitch w:val="default"/>
    <w:sig w:usb0="00000001" w:usb1="080E0000" w:usb2="00000000" w:usb3="00000000" w:csb0="00040000" w:csb1="00000000"/>
  </w:font>
  <w:font w:name="FangSong_GB2312">
    <w:altName w:val="仿宋_GB2312"/>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A9CC74">
    <w:pPr>
      <w:pStyle w:val="7"/>
      <w:framePr w:wrap="around" w:vAnchor="text" w:hAnchor="margin" w:xAlign="center" w:y="1"/>
    </w:pPr>
    <w:r>
      <w:rPr>
        <w:rStyle w:val="17"/>
      </w:rPr>
      <w:fldChar w:fldCharType="begin"/>
    </w:r>
    <w:r>
      <w:rPr>
        <w:rStyle w:val="17"/>
      </w:rPr>
      <w:instrText xml:space="preserve">Page</w:instrText>
    </w:r>
    <w:r>
      <w:rPr>
        <w:rStyle w:val="17"/>
      </w:rPr>
      <w:fldChar w:fldCharType="separate"/>
    </w:r>
    <w:r>
      <w:rPr>
        <w:rStyle w:val="17"/>
      </w:rPr>
      <w:t>1</w:t>
    </w:r>
    <w:r>
      <w:rPr>
        <w:rStyle w:val="17"/>
      </w:rPr>
      <w:fldChar w:fldCharType="end"/>
    </w:r>
  </w:p>
  <w:p w14:paraId="58A36D4E">
    <w:pPr>
      <w:pStyle w:val="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EAEB6E">
    <w:pPr>
      <w:pStyle w:val="7"/>
      <w:framePr w:wrap="around" w:vAnchor="text" w:hAnchor="margin" w:xAlign="center" w:y="1"/>
    </w:pPr>
    <w:r>
      <w:rPr>
        <w:rStyle w:val="17"/>
      </w:rPr>
      <w:fldChar w:fldCharType="begin"/>
    </w:r>
    <w:r>
      <w:rPr>
        <w:rStyle w:val="17"/>
      </w:rPr>
      <w:instrText xml:space="preserve">Page</w:instrText>
    </w:r>
    <w:r>
      <w:rPr>
        <w:rStyle w:val="17"/>
      </w:rPr>
      <w:fldChar w:fldCharType="separate"/>
    </w:r>
    <w:r>
      <w:rPr>
        <w:rStyle w:val="17"/>
      </w:rPr>
      <w:t>1</w:t>
    </w:r>
    <w:r>
      <w:rPr>
        <w:rStyle w:val="17"/>
      </w:rPr>
      <w:fldChar w:fldCharType="end"/>
    </w:r>
  </w:p>
  <w:p w14:paraId="04F0E4E4">
    <w:pPr>
      <w:pStyle w:val="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50E0C3F"/>
    <w:multiLevelType w:val="multilevel"/>
    <w:tmpl w:val="950E0C3F"/>
    <w:lvl w:ilvl="0" w:tentative="0">
      <w:start w:val="1"/>
      <w:numFmt w:val="chineseCountingThousand"/>
      <w:lvlText w:val="（%1）"/>
      <w:lvlJc w:val="left"/>
      <w:pPr>
        <w:ind w:left="1551" w:hanging="971"/>
      </w:pPr>
    </w:lvl>
    <w:lvl w:ilvl="1" w:tentative="0">
      <w:start w:val="1"/>
      <w:numFmt w:val="lowerLetter"/>
      <w:lvlText w:val="%2)"/>
      <w:lvlJc w:val="left"/>
      <w:pPr>
        <w:ind w:left="1420" w:hanging="420"/>
      </w:pPr>
    </w:lvl>
    <w:lvl w:ilvl="2" w:tentative="0">
      <w:start w:val="1"/>
      <w:numFmt w:val="lowerRoman"/>
      <w:lvlText w:val="%3."/>
      <w:lvlJc w:val="right"/>
      <w:pPr>
        <w:ind w:left="1840" w:hanging="420"/>
      </w:pPr>
    </w:lvl>
    <w:lvl w:ilvl="3" w:tentative="0">
      <w:start w:val="1"/>
      <w:numFmt w:val="decimal"/>
      <w:lvlText w:val="%4."/>
      <w:lvlJc w:val="left"/>
      <w:pPr>
        <w:ind w:left="2260" w:hanging="420"/>
      </w:pPr>
    </w:lvl>
    <w:lvl w:ilvl="4" w:tentative="0">
      <w:start w:val="1"/>
      <w:numFmt w:val="lowerLetter"/>
      <w:lvlText w:val="%5)"/>
      <w:lvlJc w:val="left"/>
      <w:pPr>
        <w:ind w:left="2680" w:hanging="420"/>
      </w:pPr>
    </w:lvl>
    <w:lvl w:ilvl="5" w:tentative="0">
      <w:start w:val="1"/>
      <w:numFmt w:val="lowerRoman"/>
      <w:lvlText w:val="%6."/>
      <w:lvlJc w:val="right"/>
      <w:pPr>
        <w:ind w:left="3100" w:hanging="420"/>
      </w:pPr>
    </w:lvl>
    <w:lvl w:ilvl="6" w:tentative="0">
      <w:start w:val="1"/>
      <w:numFmt w:val="decimal"/>
      <w:lvlText w:val="%7."/>
      <w:lvlJc w:val="left"/>
      <w:pPr>
        <w:ind w:left="3520" w:hanging="420"/>
      </w:pPr>
    </w:lvl>
    <w:lvl w:ilvl="7" w:tentative="0">
      <w:start w:val="1"/>
      <w:numFmt w:val="lowerLetter"/>
      <w:lvlText w:val="%8)"/>
      <w:lvlJc w:val="left"/>
      <w:pPr>
        <w:ind w:left="3940" w:hanging="420"/>
      </w:pPr>
    </w:lvl>
    <w:lvl w:ilvl="8" w:tentative="0">
      <w:start w:val="1"/>
      <w:numFmt w:val="lowerRoman"/>
      <w:lvlText w:val="%9."/>
      <w:lvlJc w:val="right"/>
      <w:pPr>
        <w:ind w:left="4360" w:hanging="420"/>
      </w:pPr>
    </w:lvl>
  </w:abstractNum>
  <w:abstractNum w:abstractNumId="1">
    <w:nsid w:val="9891B1D5"/>
    <w:multiLevelType w:val="multilevel"/>
    <w:tmpl w:val="9891B1D5"/>
    <w:lvl w:ilvl="0" w:tentative="0">
      <w:start w:val="1"/>
      <w:numFmt w:val="chineseCountingThousand"/>
      <w:lvlText w:val="（%1）"/>
      <w:lvlJc w:val="left"/>
      <w:pPr>
        <w:ind w:left="1551" w:hanging="971"/>
      </w:pPr>
    </w:lvl>
    <w:lvl w:ilvl="1" w:tentative="0">
      <w:start w:val="1"/>
      <w:numFmt w:val="lowerLetter"/>
      <w:lvlText w:val="%2)"/>
      <w:lvlJc w:val="left"/>
      <w:pPr>
        <w:ind w:left="1420" w:hanging="420"/>
      </w:pPr>
    </w:lvl>
    <w:lvl w:ilvl="2" w:tentative="0">
      <w:start w:val="1"/>
      <w:numFmt w:val="lowerRoman"/>
      <w:lvlText w:val="%3."/>
      <w:lvlJc w:val="right"/>
      <w:pPr>
        <w:ind w:left="1840" w:hanging="420"/>
      </w:pPr>
    </w:lvl>
    <w:lvl w:ilvl="3" w:tentative="0">
      <w:start w:val="1"/>
      <w:numFmt w:val="decimal"/>
      <w:lvlText w:val="%4."/>
      <w:lvlJc w:val="left"/>
      <w:pPr>
        <w:ind w:left="2260" w:hanging="420"/>
      </w:pPr>
    </w:lvl>
    <w:lvl w:ilvl="4" w:tentative="0">
      <w:start w:val="1"/>
      <w:numFmt w:val="lowerLetter"/>
      <w:lvlText w:val="%5)"/>
      <w:lvlJc w:val="left"/>
      <w:pPr>
        <w:ind w:left="2680" w:hanging="420"/>
      </w:pPr>
    </w:lvl>
    <w:lvl w:ilvl="5" w:tentative="0">
      <w:start w:val="1"/>
      <w:numFmt w:val="lowerRoman"/>
      <w:lvlText w:val="%6."/>
      <w:lvlJc w:val="right"/>
      <w:pPr>
        <w:ind w:left="3100" w:hanging="420"/>
      </w:pPr>
    </w:lvl>
    <w:lvl w:ilvl="6" w:tentative="0">
      <w:start w:val="1"/>
      <w:numFmt w:val="decimal"/>
      <w:lvlText w:val="%7."/>
      <w:lvlJc w:val="left"/>
      <w:pPr>
        <w:ind w:left="3520" w:hanging="420"/>
      </w:pPr>
    </w:lvl>
    <w:lvl w:ilvl="7" w:tentative="0">
      <w:start w:val="1"/>
      <w:numFmt w:val="lowerLetter"/>
      <w:lvlText w:val="%8)"/>
      <w:lvlJc w:val="left"/>
      <w:pPr>
        <w:ind w:left="3940" w:hanging="420"/>
      </w:pPr>
    </w:lvl>
    <w:lvl w:ilvl="8" w:tentative="0">
      <w:start w:val="1"/>
      <w:numFmt w:val="lowerRoman"/>
      <w:lvlText w:val="%9."/>
      <w:lvlJc w:val="right"/>
      <w:pPr>
        <w:ind w:left="4360" w:hanging="420"/>
      </w:pPr>
    </w:lvl>
  </w:abstractNum>
  <w:abstractNum w:abstractNumId="2">
    <w:nsid w:val="E9EC450A"/>
    <w:multiLevelType w:val="multilevel"/>
    <w:tmpl w:val="E9EC450A"/>
    <w:lvl w:ilvl="0" w:tentative="0">
      <w:start w:val="1"/>
      <w:numFmt w:val="chineseCountingThousand"/>
      <w:lvlText w:val="（%1）"/>
      <w:lvlJc w:val="left"/>
      <w:pPr>
        <w:ind w:left="1463" w:hanging="969"/>
      </w:pPr>
    </w:lvl>
    <w:lvl w:ilvl="1" w:tentative="0">
      <w:start w:val="1"/>
      <w:numFmt w:val="lowerLetter"/>
      <w:lvlText w:val="%2)"/>
      <w:lvlJc w:val="left"/>
      <w:pPr>
        <w:ind w:left="1334" w:hanging="420"/>
      </w:pPr>
    </w:lvl>
    <w:lvl w:ilvl="2" w:tentative="0">
      <w:start w:val="1"/>
      <w:numFmt w:val="lowerRoman"/>
      <w:lvlText w:val="%3."/>
      <w:lvlJc w:val="right"/>
      <w:pPr>
        <w:ind w:left="1754" w:hanging="420"/>
      </w:pPr>
    </w:lvl>
    <w:lvl w:ilvl="3" w:tentative="0">
      <w:start w:val="1"/>
      <w:numFmt w:val="decimal"/>
      <w:lvlText w:val="%4."/>
      <w:lvlJc w:val="left"/>
      <w:pPr>
        <w:ind w:left="2174" w:hanging="420"/>
      </w:pPr>
    </w:lvl>
    <w:lvl w:ilvl="4" w:tentative="0">
      <w:start w:val="1"/>
      <w:numFmt w:val="lowerLetter"/>
      <w:lvlText w:val="%5)"/>
      <w:lvlJc w:val="left"/>
      <w:pPr>
        <w:ind w:left="2594" w:hanging="420"/>
      </w:pPr>
    </w:lvl>
    <w:lvl w:ilvl="5" w:tentative="0">
      <w:start w:val="1"/>
      <w:numFmt w:val="lowerRoman"/>
      <w:lvlText w:val="%6."/>
      <w:lvlJc w:val="right"/>
      <w:pPr>
        <w:ind w:left="3014" w:hanging="420"/>
      </w:pPr>
    </w:lvl>
    <w:lvl w:ilvl="6" w:tentative="0">
      <w:start w:val="1"/>
      <w:numFmt w:val="decimal"/>
      <w:lvlText w:val="%7."/>
      <w:lvlJc w:val="left"/>
      <w:pPr>
        <w:ind w:left="3434" w:hanging="420"/>
      </w:pPr>
    </w:lvl>
    <w:lvl w:ilvl="7" w:tentative="0">
      <w:start w:val="1"/>
      <w:numFmt w:val="lowerLetter"/>
      <w:lvlText w:val="%8)"/>
      <w:lvlJc w:val="left"/>
      <w:pPr>
        <w:ind w:left="3854" w:hanging="420"/>
      </w:pPr>
    </w:lvl>
    <w:lvl w:ilvl="8" w:tentative="0">
      <w:start w:val="1"/>
      <w:numFmt w:val="lowerRoman"/>
      <w:lvlText w:val="%9."/>
      <w:lvlJc w:val="right"/>
      <w:pPr>
        <w:ind w:left="4274" w:hanging="420"/>
      </w:pPr>
    </w:lvl>
  </w:abstractNum>
  <w:abstractNum w:abstractNumId="3">
    <w:nsid w:val="2701BD44"/>
    <w:multiLevelType w:val="multilevel"/>
    <w:tmpl w:val="2701BD44"/>
    <w:lvl w:ilvl="0" w:tentative="0">
      <w:start w:val="1"/>
      <w:numFmt w:val="chineseCountingThousand"/>
      <w:lvlText w:val="（%1）"/>
      <w:lvlJc w:val="left"/>
      <w:pPr>
        <w:ind w:left="1551" w:hanging="971"/>
      </w:pPr>
    </w:lvl>
    <w:lvl w:ilvl="1" w:tentative="0">
      <w:start w:val="1"/>
      <w:numFmt w:val="lowerLetter"/>
      <w:lvlText w:val="%2)"/>
      <w:lvlJc w:val="left"/>
      <w:pPr>
        <w:ind w:left="1420" w:hanging="420"/>
      </w:pPr>
    </w:lvl>
    <w:lvl w:ilvl="2" w:tentative="0">
      <w:start w:val="1"/>
      <w:numFmt w:val="lowerRoman"/>
      <w:lvlText w:val="%3."/>
      <w:lvlJc w:val="right"/>
      <w:pPr>
        <w:ind w:left="1840" w:hanging="420"/>
      </w:pPr>
    </w:lvl>
    <w:lvl w:ilvl="3" w:tentative="0">
      <w:start w:val="1"/>
      <w:numFmt w:val="decimal"/>
      <w:lvlText w:val="%4."/>
      <w:lvlJc w:val="left"/>
      <w:pPr>
        <w:ind w:left="2260" w:hanging="420"/>
      </w:pPr>
    </w:lvl>
    <w:lvl w:ilvl="4" w:tentative="0">
      <w:start w:val="1"/>
      <w:numFmt w:val="lowerLetter"/>
      <w:lvlText w:val="%5)"/>
      <w:lvlJc w:val="left"/>
      <w:pPr>
        <w:ind w:left="2680" w:hanging="420"/>
      </w:pPr>
    </w:lvl>
    <w:lvl w:ilvl="5" w:tentative="0">
      <w:start w:val="1"/>
      <w:numFmt w:val="lowerRoman"/>
      <w:lvlText w:val="%6."/>
      <w:lvlJc w:val="right"/>
      <w:pPr>
        <w:ind w:left="3100" w:hanging="420"/>
      </w:pPr>
    </w:lvl>
    <w:lvl w:ilvl="6" w:tentative="0">
      <w:start w:val="1"/>
      <w:numFmt w:val="decimal"/>
      <w:lvlText w:val="%7."/>
      <w:lvlJc w:val="left"/>
      <w:pPr>
        <w:ind w:left="3520" w:hanging="420"/>
      </w:pPr>
    </w:lvl>
    <w:lvl w:ilvl="7" w:tentative="0">
      <w:start w:val="1"/>
      <w:numFmt w:val="lowerLetter"/>
      <w:lvlText w:val="%8)"/>
      <w:lvlJc w:val="left"/>
      <w:pPr>
        <w:ind w:left="3940" w:hanging="420"/>
      </w:pPr>
    </w:lvl>
    <w:lvl w:ilvl="8" w:tentative="0">
      <w:start w:val="1"/>
      <w:numFmt w:val="lowerRoman"/>
      <w:lvlText w:val="%9."/>
      <w:lvlJc w:val="right"/>
      <w:pPr>
        <w:ind w:left="4360" w:hanging="420"/>
      </w:pPr>
    </w:lvl>
  </w:abstractNum>
  <w:abstractNum w:abstractNumId="4">
    <w:nsid w:val="66484C9B"/>
    <w:multiLevelType w:val="multilevel"/>
    <w:tmpl w:val="66484C9B"/>
    <w:lvl w:ilvl="0" w:tentative="0">
      <w:start w:val="1"/>
      <w:numFmt w:val="chineseCountingThousand"/>
      <w:lvlText w:val="（%1）"/>
      <w:lvlJc w:val="left"/>
      <w:pPr>
        <w:ind w:left="1611" w:hanging="971"/>
      </w:p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num w:numId="1">
    <w:abstractNumId w:val="4"/>
  </w:num>
  <w:num w:numId="2">
    <w:abstractNumId w:val="0"/>
  </w:num>
  <w:num w:numId="3">
    <w:abstractNumId w:val="3"/>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bordersDoNotSurroundHeader w:val="1"/>
  <w:bordersDoNotSurroundFooter w:val="1"/>
  <w:documentProtection w:edit="readOnly" w:enforcement="0"/>
  <w:defaultTabStop w:val="420"/>
  <w:drawingGridHorizontalSpacing w:val="120"/>
  <w:drawingGridVerticalSpacing w:val="163"/>
  <w:displayHorizontalDrawingGridEvery w:val="1"/>
  <w:displayVerticalDrawingGridEvery w:val="1"/>
  <w:noPunctuationKerning w:val="1"/>
  <w:footnotePr>
    <w:footnote w:id="0"/>
    <w:footnote w:id="1"/>
  </w:footnotePr>
  <w:endnotePr>
    <w:endnote w:id="0"/>
    <w:endnote w:id="1"/>
  </w:endnotePr>
  <w:compat>
    <w:spaceForUL/>
    <w:useFELayout/>
    <w:compatSetting w:name="compatibilityMode" w:uri="http://schemas.microsoft.com/office/word" w:val="14"/>
  </w:compat>
  <w:rsids>
    <w:rsidRoot w:val="00000000"/>
    <w:rsid w:val="29DF517F"/>
    <w:rsid w:val="2EDC6911"/>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unhideWhenUsed="0" w:uiPriority="0" w:semiHidden="0" w:name="heading 2"/>
    <w:lsdException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qFormat="1"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pPr>
    <w:rPr>
      <w:rFonts w:ascii="宋体" w:hAnsi="Times New Roman" w:eastAsia="宋体" w:cs="宋体"/>
      <w:snapToGrid/>
      <w:color w:val="auto"/>
      <w:spacing w:val="0"/>
      <w:w w:val="100"/>
      <w:kern w:val="0"/>
      <w:position w:val="0"/>
      <w:sz w:val="24"/>
      <w:szCs w:val="24"/>
      <w:u w:val="none" w:color="auto"/>
      <w:shd w:val="clear" w:color="auto" w:fill="auto"/>
      <w:vertAlign w:val="baseline"/>
      <w:lang w:val="en-US" w:eastAsia="zh-CN" w:bidi="ar-SA"/>
    </w:rPr>
  </w:style>
  <w:style w:type="paragraph" w:styleId="2">
    <w:name w:val="heading 1"/>
    <w:basedOn w:val="1"/>
    <w:next w:val="1"/>
    <w:qFormat/>
    <w:uiPriority w:val="0"/>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100" w:beforeAutospacing="1" w:after="100" w:afterAutospacing="1" w:line="240" w:lineRule="auto"/>
      <w:ind w:left="0" w:right="0" w:firstLine="0"/>
      <w:contextualSpacing w:val="0"/>
      <w:jc w:val="left"/>
      <w:textAlignment w:val="auto"/>
      <w:outlineLvl w:val="0"/>
    </w:pPr>
    <w:rPr>
      <w:rFonts w:ascii="宋体" w:eastAsia="宋体" w:cs="宋体"/>
      <w:b/>
      <w:bCs/>
      <w:snapToGrid/>
      <w:color w:val="auto"/>
      <w:spacing w:val="0"/>
      <w:w w:val="100"/>
      <w:kern w:val="36"/>
      <w:position w:val="0"/>
      <w:sz w:val="48"/>
      <w:szCs w:val="48"/>
      <w:u w:val="none" w:color="auto"/>
      <w:shd w:val="clear" w:color="auto" w:fill="auto"/>
      <w:vertAlign w:val="baseline"/>
      <w:lang w:val="en-US" w:eastAsia="zh-CN"/>
    </w:rPr>
  </w:style>
  <w:style w:type="paragraph" w:styleId="3">
    <w:name w:val="heading 2"/>
    <w:basedOn w:val="1"/>
    <w:next w:val="1"/>
    <w:uiPriority w:val="0"/>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100" w:beforeAutospacing="1" w:after="100" w:afterAutospacing="1" w:line="240" w:lineRule="auto"/>
      <w:ind w:left="0" w:right="0" w:firstLine="0"/>
      <w:contextualSpacing w:val="0"/>
      <w:jc w:val="left"/>
      <w:textAlignment w:val="auto"/>
      <w:outlineLvl w:val="1"/>
    </w:pPr>
    <w:rPr>
      <w:rFonts w:ascii="宋体" w:eastAsia="宋体" w:cs="宋体"/>
      <w:b/>
      <w:bCs/>
      <w:snapToGrid/>
      <w:color w:val="auto"/>
      <w:spacing w:val="0"/>
      <w:w w:val="100"/>
      <w:kern w:val="0"/>
      <w:position w:val="0"/>
      <w:sz w:val="36"/>
      <w:szCs w:val="36"/>
      <w:u w:val="none" w:color="auto"/>
      <w:shd w:val="clear" w:color="auto" w:fill="auto"/>
      <w:vertAlign w:val="baseline"/>
      <w:lang w:val="en-US" w:eastAsia="zh-CN"/>
    </w:rPr>
  </w:style>
  <w:style w:type="paragraph" w:styleId="4">
    <w:name w:val="heading 3"/>
    <w:basedOn w:val="1"/>
    <w:next w:val="1"/>
    <w:uiPriority w:val="0"/>
    <w:pPr>
      <w:keepNext/>
      <w:keepLines/>
      <w:pageBreakBefore w:val="0"/>
      <w:widowControl/>
      <w:suppressLineNumbers w:val="0"/>
      <w:suppressAutoHyphens w:val="0"/>
      <w:spacing w:before="260" w:after="260" w:line="415" w:lineRule="auto"/>
      <w:outlineLvl w:val="2"/>
    </w:pPr>
    <w:rPr>
      <w:b/>
      <w:sz w:val="32"/>
    </w:rPr>
  </w:style>
  <w:style w:type="character" w:default="1" w:styleId="15">
    <w:name w:val="Default Paragraph Font"/>
    <w:qFormat/>
    <w:uiPriority w:val="0"/>
  </w:style>
  <w:style w:type="table" w:default="1" w:styleId="14">
    <w:name w:val="Normal Table"/>
    <w:semiHidden/>
    <w:uiPriority w:val="0"/>
    <w:tblPr>
      <w:tblCellMar>
        <w:top w:w="0" w:type="dxa"/>
        <w:left w:w="108" w:type="dxa"/>
        <w:bottom w:w="0" w:type="dxa"/>
        <w:right w:w="108" w:type="dxa"/>
      </w:tblCellMar>
    </w:tblPr>
  </w:style>
  <w:style w:type="paragraph" w:styleId="5">
    <w:name w:val="index 6"/>
    <w:basedOn w:val="1"/>
    <w:next w:val="1"/>
    <w:qFormat/>
    <w:uiPriority w:val="0"/>
    <w:pPr>
      <w:ind w:left="2100"/>
    </w:pPr>
  </w:style>
  <w:style w:type="paragraph" w:styleId="6">
    <w:name w:val="Body Text"/>
    <w:basedOn w:val="1"/>
    <w:next w:val="7"/>
    <w:uiPriority w:val="0"/>
    <w:pPr>
      <w:keepNext w:val="0"/>
      <w:keepLines w:val="0"/>
      <w:pageBreakBefore w:val="0"/>
      <w:widowControl w:val="0"/>
      <w:suppressLineNumbers w:val="0"/>
      <w:suppressAutoHyphens w:val="0"/>
      <w:spacing w:after="120"/>
      <w:jc w:val="both"/>
    </w:pPr>
    <w:rPr>
      <w:rFonts w:ascii="Times New Roman" w:hAnsi="Times New Roman" w:eastAsia="宋体" w:cs="Times New Roman"/>
      <w:kern w:val="2"/>
      <w:sz w:val="21"/>
      <w:szCs w:val="24"/>
      <w:lang w:val="en-US" w:eastAsia="zh-CN" w:bidi="ar-SA"/>
    </w:rPr>
  </w:style>
  <w:style w:type="paragraph" w:styleId="7">
    <w:name w:val="footer"/>
    <w:basedOn w:val="1"/>
    <w:uiPriority w:val="0"/>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tabs>
        <w:tab w:val="center" w:pos="4153"/>
        <w:tab w:val="right" w:pos="8306"/>
      </w:tabs>
      <w:suppressAutoHyphens w:val="0"/>
      <w:kinsoku/>
      <w:wordWrap/>
      <w:overflowPunct/>
      <w:topLinePunct w:val="0"/>
      <w:autoSpaceDE/>
      <w:autoSpaceDN/>
      <w:bidi w:val="0"/>
      <w:adjustRightInd/>
      <w:snapToGrid w:val="0"/>
      <w:spacing w:before="0" w:beforeAutospacing="0" w:after="0" w:afterAutospacing="0" w:line="240" w:lineRule="auto"/>
      <w:ind w:left="0" w:right="0" w:firstLine="0"/>
      <w:contextualSpacing w:val="0"/>
      <w:jc w:val="left"/>
      <w:textAlignment w:val="auto"/>
      <w:outlineLvl w:val="9"/>
    </w:pPr>
    <w:rPr>
      <w:rFonts w:ascii="宋体" w:eastAsia="宋体" w:cs="宋体"/>
      <w:snapToGrid/>
      <w:color w:val="auto"/>
      <w:spacing w:val="0"/>
      <w:w w:val="100"/>
      <w:kern w:val="0"/>
      <w:position w:val="0"/>
      <w:sz w:val="18"/>
      <w:szCs w:val="18"/>
      <w:u w:val="none" w:color="auto"/>
      <w:shd w:val="clear" w:color="auto" w:fill="auto"/>
      <w:vertAlign w:val="baseline"/>
      <w:lang w:val="en-US" w:eastAsia="zh-CN"/>
    </w:rPr>
  </w:style>
  <w:style w:type="paragraph" w:styleId="8">
    <w:name w:val="header"/>
    <w:basedOn w:val="1"/>
    <w:qFormat/>
    <w:uiPriority w:val="0"/>
    <w:pPr>
      <w:keepNext w:val="0"/>
      <w:keepLines w:val="0"/>
      <w:pageBreakBefore w:val="0"/>
      <w:widowControl/>
      <w:suppressLineNumbers w:val="0"/>
      <w:pBdr>
        <w:top w:val="none" w:color="auto" w:sz="0" w:space="0"/>
        <w:left w:val="none" w:color="auto" w:sz="0" w:space="0"/>
        <w:bottom w:val="single" w:color="auto" w:sz="6" w:space="1"/>
        <w:right w:val="none" w:color="auto" w:sz="0" w:space="0"/>
      </w:pBdr>
      <w:shd w:val="clear" w:color="auto" w:fill="auto"/>
      <w:tabs>
        <w:tab w:val="center" w:pos="4153"/>
        <w:tab w:val="right" w:pos="8306"/>
      </w:tabs>
      <w:suppressAutoHyphens w:val="0"/>
      <w:kinsoku/>
      <w:wordWrap/>
      <w:overflowPunct/>
      <w:topLinePunct w:val="0"/>
      <w:autoSpaceDE/>
      <w:autoSpaceDN/>
      <w:bidi w:val="0"/>
      <w:adjustRightInd/>
      <w:snapToGrid w:val="0"/>
      <w:spacing w:before="0" w:beforeAutospacing="0" w:after="0" w:afterAutospacing="0" w:line="240" w:lineRule="auto"/>
      <w:ind w:left="0" w:right="0" w:firstLine="0"/>
      <w:contextualSpacing w:val="0"/>
      <w:jc w:val="center"/>
      <w:textAlignment w:val="auto"/>
      <w:outlineLvl w:val="9"/>
    </w:pPr>
    <w:rPr>
      <w:rFonts w:ascii="宋体" w:eastAsia="宋体" w:cs="宋体"/>
      <w:snapToGrid/>
      <w:color w:val="auto"/>
      <w:spacing w:val="0"/>
      <w:w w:val="100"/>
      <w:kern w:val="0"/>
      <w:position w:val="0"/>
      <w:sz w:val="18"/>
      <w:szCs w:val="18"/>
      <w:u w:val="none" w:color="auto"/>
      <w:shd w:val="clear" w:color="auto" w:fill="auto"/>
      <w:vertAlign w:val="baseline"/>
      <w:lang w:val="en-US" w:eastAsia="zh-CN"/>
    </w:rPr>
  </w:style>
  <w:style w:type="paragraph" w:styleId="9">
    <w:name w:val="toc 1"/>
    <w:basedOn w:val="1"/>
    <w:next w:val="1"/>
    <w:uiPriority w:val="0"/>
  </w:style>
  <w:style w:type="paragraph" w:styleId="10">
    <w:name w:val="index heading"/>
    <w:basedOn w:val="1"/>
    <w:next w:val="11"/>
    <w:uiPriority w:val="0"/>
    <w:rPr>
      <w:rFonts w:ascii="Times New Roman" w:hAnsi="Times New Roman"/>
      <w:b/>
    </w:rPr>
  </w:style>
  <w:style w:type="paragraph" w:styleId="11">
    <w:name w:val="index 1"/>
    <w:basedOn w:val="1"/>
    <w:next w:val="1"/>
    <w:qFormat/>
    <w:uiPriority w:val="0"/>
  </w:style>
  <w:style w:type="paragraph" w:styleId="12">
    <w:name w:val="toc 2"/>
    <w:basedOn w:val="1"/>
    <w:next w:val="1"/>
    <w:qFormat/>
    <w:uiPriority w:val="0"/>
    <w:pPr>
      <w:ind w:left="420"/>
    </w:pPr>
  </w:style>
  <w:style w:type="paragraph" w:styleId="13">
    <w:name w:val="Normal (Web)"/>
    <w:basedOn w:val="1"/>
    <w:uiPriority w:val="0"/>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100" w:beforeAutospacing="1" w:after="100" w:afterAutospacing="1" w:line="240" w:lineRule="auto"/>
      <w:ind w:left="0" w:right="0" w:firstLine="0"/>
      <w:contextualSpacing w:val="0"/>
      <w:jc w:val="left"/>
      <w:textAlignment w:val="auto"/>
      <w:outlineLvl w:val="9"/>
    </w:pPr>
    <w:rPr>
      <w:rFonts w:ascii="宋体" w:eastAsia="宋体" w:cs="宋体"/>
      <w:snapToGrid/>
      <w:color w:val="auto"/>
      <w:spacing w:val="0"/>
      <w:w w:val="100"/>
      <w:kern w:val="0"/>
      <w:position w:val="0"/>
      <w:sz w:val="24"/>
      <w:szCs w:val="24"/>
      <w:u w:val="none" w:color="auto"/>
      <w:shd w:val="clear" w:color="auto" w:fill="auto"/>
      <w:vertAlign w:val="baseline"/>
      <w:lang w:val="en-US" w:eastAsia="zh-CN"/>
    </w:rPr>
  </w:style>
  <w:style w:type="character" w:styleId="16">
    <w:name w:val="Strong"/>
    <w:qFormat/>
    <w:uiPriority w:val="0"/>
    <w:rPr>
      <w:rFonts w:cs="Times New Roman"/>
      <w:b/>
    </w:rPr>
  </w:style>
  <w:style w:type="character" w:styleId="17">
    <w:name w:val="page number"/>
    <w:basedOn w:val="15"/>
    <w:uiPriority w:val="0"/>
  </w:style>
  <w:style w:type="paragraph" w:customStyle="1" w:styleId="18">
    <w:name w:val="msochpdefault"/>
    <w:basedOn w:val="1"/>
    <w:uiPriority w:val="0"/>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100" w:beforeAutospacing="1" w:after="100" w:afterAutospacing="1" w:line="240" w:lineRule="auto"/>
      <w:ind w:left="0" w:right="0" w:firstLine="0"/>
      <w:contextualSpacing w:val="0"/>
      <w:jc w:val="left"/>
      <w:textAlignment w:val="auto"/>
      <w:outlineLvl w:val="9"/>
    </w:pPr>
    <w:rPr>
      <w:rFonts w:ascii="Times New Roman" w:hAnsi="Times New Roman" w:eastAsia="宋体" w:cs="宋体"/>
      <w:snapToGrid/>
      <w:color w:val="auto"/>
      <w:spacing w:val="0"/>
      <w:w w:val="100"/>
      <w:kern w:val="0"/>
      <w:position w:val="0"/>
      <w:sz w:val="20"/>
      <w:szCs w:val="20"/>
      <w:u w:val="none" w:color="auto"/>
      <w:shd w:val="clear" w:color="auto" w:fill="auto"/>
      <w:vertAlign w:val="baseline"/>
      <w:lang w:val="en-US" w:eastAsia="zh-CN"/>
    </w:rPr>
  </w:style>
  <w:style w:type="paragraph" w:customStyle="1" w:styleId="19">
    <w:name w:val="List Paragraph1"/>
    <w:basedOn w:val="1"/>
    <w:qFormat/>
    <w:uiPriority w:val="0"/>
    <w:pPr>
      <w:keepNext w:val="0"/>
      <w:keepLines w:val="0"/>
      <w:pageBreakBefore w:val="0"/>
      <w:widowControl w:val="0"/>
      <w:suppressLineNumbers w:val="0"/>
      <w:suppressAutoHyphens w:val="0"/>
      <w:ind w:firstLine="200" w:firstLineChars="200"/>
      <w:jc w:val="both"/>
    </w:pPr>
    <w:rPr>
      <w:rFonts w:ascii="Calibri" w:hAnsi="Calibri" w:eastAsia="宋体" w:cs="黑体"/>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2.bmp"/><Relationship Id="rId8" Type="http://schemas.openxmlformats.org/officeDocument/2006/relationships/image" Target="media/image1.bmp"/><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numbering" Target="numbering.xml"/><Relationship Id="rId14" Type="http://schemas.openxmlformats.org/officeDocument/2006/relationships/image" Target="media/image7.bmp"/><Relationship Id="rId13" Type="http://schemas.openxmlformats.org/officeDocument/2006/relationships/image" Target="media/image6.bmp"/><Relationship Id="rId12" Type="http://schemas.openxmlformats.org/officeDocument/2006/relationships/image" Target="media/image5.bmp"/><Relationship Id="rId11" Type="http://schemas.openxmlformats.org/officeDocument/2006/relationships/image" Target="media/image4.bmp"/><Relationship Id="rId10" Type="http://schemas.openxmlformats.org/officeDocument/2006/relationships/image" Target="media/image3.bmp"/><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Normal.eit</Template>
  <Company>Sky123.Org</Company>
  <Pages>33</Pages>
  <Words>11307</Words>
  <Characters>12561</Characters>
  <Lines>767</Lines>
  <Paragraphs>304</Paragraphs>
  <TotalTime>70</TotalTime>
  <ScaleCrop>false</ScaleCrop>
  <LinksUpToDate>false</LinksUpToDate>
  <CharactersWithSpaces>12665</CharactersWithSpaces>
  <Application>WPS Office_12.1.0.20784_F1E327BC-269C-435d-A152-05C5408002CA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2022-12-05T10:59:00Z</dcterms:created>
  <dc:creator>Administrator</dc:creator>
  <cp:lastModifiedBy>文书管理员</cp:lastModifiedBy>
  <dcterms:modified xsi:type="dcterms:W3CDTF">2025-04-09T04:02:50Z</dcterms:modified>
  <dc:title>2021年部门决算公开</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KSOTemplateDocerSaveRecord">
    <vt:lpwstr>eyJoZGlkIjoiMjhlZTMyMWMxOGNhYzA1ZWM2ZTcyYzg0NGE2YzhkZmIifQ==</vt:lpwstr>
  </property>
  <property fmtid="{D5CDD505-2E9C-101B-9397-08002B2CF9AE}" pid="4" name="ICV">
    <vt:lpwstr>7174D255D15946F18BDACAC7B1843079_12</vt:lpwstr>
  </property>
</Properties>
</file>