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sz w:val="72"/>
          <w:szCs w:val="72"/>
        </w:rPr>
      </w:pPr>
      <w:bookmarkStart w:id="0" w:name="_Toc15306267"/>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spacing w:line="600" w:lineRule="exact"/>
        <w:jc w:val="center"/>
        <w:outlineLvl w:val="0"/>
        <w:rPr>
          <w:rFonts w:ascii="方正小标宋简体" w:eastAsia="方正小标宋简体"/>
          <w:sz w:val="72"/>
          <w:szCs w:val="72"/>
        </w:rPr>
      </w:pPr>
    </w:p>
    <w:p>
      <w:pPr>
        <w:adjustRightInd w:val="0"/>
        <w:snapToGrid w:val="0"/>
        <w:spacing w:line="360" w:lineRule="auto"/>
        <w:jc w:val="center"/>
        <w:outlineLvl w:val="0"/>
        <w:rPr>
          <w:rFonts w:ascii="方正小标宋简体" w:eastAsia="方正小标宋简体" w:cs="方正小标宋简体"/>
          <w:sz w:val="72"/>
          <w:szCs w:val="72"/>
        </w:rPr>
      </w:pPr>
      <w:bookmarkStart w:id="1" w:name="_Toc15377193"/>
      <w:bookmarkStart w:id="2" w:name="_Toc15377425"/>
      <w:bookmarkStart w:id="3" w:name="_Toc15396597"/>
      <w:bookmarkStart w:id="4" w:name="_Toc15378441"/>
      <w:bookmarkStart w:id="5" w:name="_Toc15396475"/>
      <w:r>
        <w:rPr>
          <w:rFonts w:hint="eastAsia" w:ascii="方正小标宋简体" w:eastAsia="方正小标宋简体" w:cs="方正小标宋简体"/>
          <w:sz w:val="72"/>
          <w:szCs w:val="72"/>
        </w:rPr>
        <w:t>2021年度</w:t>
      </w:r>
      <w:bookmarkEnd w:id="1"/>
      <w:bookmarkEnd w:id="2"/>
      <w:bookmarkEnd w:id="3"/>
      <w:bookmarkEnd w:id="4"/>
      <w:bookmarkEnd w:id="5"/>
    </w:p>
    <w:bookmarkEnd w:id="0"/>
    <w:p>
      <w:pPr>
        <w:adjustRightInd w:val="0"/>
        <w:snapToGrid w:val="0"/>
        <w:spacing w:line="360" w:lineRule="auto"/>
        <w:jc w:val="center"/>
        <w:outlineLvl w:val="0"/>
        <w:rPr>
          <w:rFonts w:hint="eastAsia" w:ascii="方正小标宋简体" w:eastAsia="方正小标宋简体" w:cs="方正小标宋简体"/>
          <w:sz w:val="72"/>
          <w:szCs w:val="72"/>
          <w:lang w:eastAsia="zh-CN"/>
        </w:rPr>
      </w:pPr>
      <w:bookmarkStart w:id="6" w:name="_Toc15378442"/>
      <w:bookmarkStart w:id="7" w:name="_Toc15396476"/>
      <w:bookmarkStart w:id="8" w:name="_Toc15306268"/>
      <w:bookmarkStart w:id="9" w:name="_Toc15377426"/>
      <w:bookmarkStart w:id="10" w:name="_Toc15377194"/>
      <w:bookmarkStart w:id="11" w:name="_Toc15396598"/>
      <w:r>
        <w:rPr>
          <w:rFonts w:hint="eastAsia" w:ascii="方正小标宋简体" w:eastAsia="方正小标宋简体" w:cs="方正小标宋简体"/>
          <w:sz w:val="72"/>
          <w:szCs w:val="72"/>
          <w:lang w:eastAsia="zh-CN"/>
        </w:rPr>
        <w:t>红原县藏医院</w:t>
      </w:r>
      <w:r>
        <w:rPr>
          <w:rFonts w:hint="eastAsia" w:ascii="方正小标宋简体" w:eastAsia="方正小标宋简体" w:cs="方正小标宋简体"/>
          <w:sz w:val="72"/>
          <w:szCs w:val="72"/>
        </w:rPr>
        <w:t>决算</w:t>
      </w:r>
      <w:bookmarkEnd w:id="6"/>
      <w:bookmarkEnd w:id="7"/>
      <w:bookmarkEnd w:id="8"/>
      <w:bookmarkEnd w:id="9"/>
      <w:bookmarkEnd w:id="10"/>
      <w:bookmarkEnd w:id="11"/>
      <w:r>
        <w:rPr>
          <w:rFonts w:hint="eastAsia" w:ascii="方正小标宋简体" w:eastAsia="方正小标宋简体" w:cs="方正小标宋简体"/>
          <w:sz w:val="72"/>
          <w:szCs w:val="72"/>
          <w:lang w:eastAsia="zh-CN"/>
        </w:rPr>
        <w:t>公开</w:t>
      </w:r>
    </w:p>
    <w:p>
      <w:pPr>
        <w:adjustRightInd w:val="0"/>
        <w:snapToGrid w:val="0"/>
        <w:spacing w:line="360" w:lineRule="auto"/>
        <w:jc w:val="center"/>
        <w:outlineLvl w:val="0"/>
        <w:rPr>
          <w:rFonts w:ascii="方正小标宋简体" w:eastAsia="方正小标宋简体"/>
          <w:sz w:val="52"/>
          <w:szCs w:val="52"/>
        </w:rPr>
      </w:pP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pPr>
    </w:p>
    <w:p>
      <w:pPr>
        <w:pStyle w:val="7"/>
        <w:spacing w:before="93"/>
        <w:jc w:val="center"/>
        <w:rPr>
          <w:rFonts w:hint="eastAsia"/>
        </w:rPr>
      </w:pPr>
      <w:bookmarkStart w:id="12" w:name="_Hlk113547609"/>
      <w:r>
        <w:rPr>
          <w:rFonts w:hint="eastAsia" w:cs="仿宋_GB2312"/>
          <w:sz w:val="32"/>
          <w:szCs w:val="32"/>
        </w:rPr>
        <w:t>已经保密审查、内容审定，同意对外公开</w:t>
      </w:r>
      <w:bookmarkEnd w:id="12"/>
    </w:p>
    <w:p>
      <w:pPr>
        <w:widowControl/>
        <w:jc w:val="center"/>
        <w:rPr>
          <w:rFonts w:ascii="黑体" w:eastAsia="黑体"/>
          <w:sz w:val="48"/>
          <w:szCs w:val="48"/>
        </w:rPr>
      </w:pPr>
      <w:r>
        <w:rPr>
          <w:rFonts w:ascii="方正小标宋简体" w:eastAsia="方正小标宋简体"/>
          <w:sz w:val="36"/>
          <w:szCs w:val="36"/>
        </w:rPr>
        <w:br w:type="page"/>
      </w:r>
      <w:r>
        <w:rPr>
          <w:rFonts w:hint="eastAsia" w:ascii="黑体" w:eastAsia="黑体"/>
          <w:sz w:val="48"/>
          <w:szCs w:val="48"/>
        </w:rPr>
        <w:t>目录</w:t>
      </w:r>
    </w:p>
    <w:p>
      <w:pPr>
        <w:widowControl/>
        <w:jc w:val="center"/>
        <w:rPr>
          <w:rFonts w:ascii="黑体" w:eastAsia="黑体" w:cs="Arial"/>
          <w:sz w:val="28"/>
          <w:szCs w:val="28"/>
        </w:rPr>
      </w:pPr>
    </w:p>
    <w:p>
      <w:pPr>
        <w:pStyle w:val="13"/>
      </w:pPr>
      <w:r>
        <w:rPr>
          <w:rFonts w:hint="eastAsia"/>
        </w:rPr>
        <w:t>公开时间：2022年</w:t>
      </w:r>
      <w:r>
        <w:rPr>
          <w:rFonts w:hint="eastAsia"/>
          <w:lang w:val="en-US" w:eastAsia="zh-CN"/>
        </w:rPr>
        <w:t>12</w:t>
      </w:r>
      <w:r>
        <w:rPr>
          <w:rFonts w:hint="eastAsia"/>
        </w:rPr>
        <w:t>月9日</w:t>
      </w:r>
    </w:p>
    <w:p/>
    <w:p>
      <w:pPr>
        <w:pStyle w:val="13"/>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单位概况</w:t>
      </w:r>
    </w:p>
    <w:p>
      <w:pPr>
        <w:pStyle w:val="14"/>
        <w:adjustRightInd w:val="0"/>
        <w:snapToGrid w:val="0"/>
        <w:spacing w:line="440" w:lineRule="exact"/>
        <w:ind w:left="420"/>
        <w:jc w:val="left"/>
        <w:rPr>
          <w:rFonts w:hint="default" w:eastAsia="宋体"/>
          <w:sz w:val="24"/>
          <w:lang w:val="en-US" w:eastAsia="zh-CN"/>
        </w:rPr>
      </w:pPr>
      <w:r>
        <w:rPr>
          <w:rFonts w:hint="eastAsia"/>
          <w:sz w:val="24"/>
        </w:rPr>
        <w:t>一、职能简介</w:t>
      </w:r>
      <w:r>
        <w:rPr>
          <w:rFonts w:hint="eastAsia"/>
          <w:sz w:val="24"/>
          <w:lang w:val="en-US" w:eastAsia="zh-CN"/>
        </w:rPr>
        <w:t>.................................................................................................1</w:t>
      </w:r>
    </w:p>
    <w:p>
      <w:pPr>
        <w:pStyle w:val="14"/>
        <w:adjustRightInd w:val="0"/>
        <w:snapToGrid w:val="0"/>
        <w:spacing w:line="440" w:lineRule="exact"/>
        <w:ind w:left="420"/>
        <w:jc w:val="left"/>
        <w:rPr>
          <w:rFonts w:hint="default" w:ascii="宋体" w:eastAsia="宋体" w:cs="宋体"/>
          <w:sz w:val="24"/>
          <w:lang w:val="en-US" w:eastAsia="zh-CN"/>
        </w:rPr>
      </w:pPr>
      <w:r>
        <w:rPr>
          <w:rFonts w:hint="eastAsia" w:ascii="宋体" w:cs="宋体"/>
          <w:sz w:val="24"/>
        </w:rPr>
        <w:t>二、2021年重点工作完成情况</w:t>
      </w:r>
      <w:r>
        <w:rPr>
          <w:rFonts w:hint="eastAsia" w:ascii="宋体" w:cs="宋体"/>
          <w:sz w:val="24"/>
          <w:lang w:val="en-US" w:eastAsia="zh-CN"/>
        </w:rPr>
        <w:t>...................................2</w:t>
      </w:r>
    </w:p>
    <w:p>
      <w:pPr>
        <w:pStyle w:val="13"/>
        <w:adjustRightInd w:val="0"/>
        <w:snapToGrid w:val="0"/>
        <w:spacing w:before="0" w:line="440" w:lineRule="exact"/>
        <w:jc w:val="left"/>
        <w:rPr>
          <w:sz w:val="24"/>
          <w:szCs w:val="24"/>
        </w:rPr>
      </w:pPr>
      <w:r>
        <w:rPr>
          <w:rFonts w:hint="eastAsia"/>
          <w:sz w:val="24"/>
        </w:rPr>
        <w:t>第二部分 2021年度单位决算情况说明</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一、收入支出决算总体情况说明</w:t>
      </w:r>
      <w:r>
        <w:rPr>
          <w:rFonts w:hint="eastAsia"/>
          <w:sz w:val="24"/>
          <w:lang w:val="en-US" w:eastAsia="zh-CN"/>
        </w:rPr>
        <w:t>..................................................................9</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二、收入决算情况说明</w:t>
      </w:r>
      <w:r>
        <w:rPr>
          <w:rFonts w:hint="eastAsia"/>
          <w:sz w:val="24"/>
          <w:lang w:val="en-US" w:eastAsia="zh-CN"/>
        </w:rPr>
        <w:t>................................................................................9</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三、支出决算情况说明</w:t>
      </w:r>
      <w:r>
        <w:rPr>
          <w:rFonts w:hint="eastAsia"/>
          <w:sz w:val="24"/>
          <w:lang w:val="en-US" w:eastAsia="zh-CN"/>
        </w:rPr>
        <w:t>................................................................................10</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四、财政拨款收入支出决算总体情况说明</w:t>
      </w:r>
      <w:r>
        <w:rPr>
          <w:rFonts w:hint="eastAsia"/>
          <w:sz w:val="24"/>
          <w:lang w:val="en-US" w:eastAsia="zh-CN"/>
        </w:rPr>
        <w:t>...............................................10</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五、一般公共预算财政拨款支出决算情况说明</w:t>
      </w:r>
      <w:r>
        <w:rPr>
          <w:rFonts w:hint="eastAsia"/>
          <w:sz w:val="24"/>
          <w:lang w:val="en-US" w:eastAsia="zh-CN"/>
        </w:rPr>
        <w:t>.....................................11</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六、一般公共预算财政拨款基本支出决算情况说明</w:t>
      </w:r>
      <w:r>
        <w:rPr>
          <w:rFonts w:hint="eastAsia"/>
          <w:sz w:val="24"/>
          <w:lang w:val="en-US" w:eastAsia="zh-CN"/>
        </w:rPr>
        <w:t>...............................12</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七、“三公”经费财政拨款支出决算情况说明</w:t>
      </w:r>
      <w:r>
        <w:rPr>
          <w:rFonts w:hint="eastAsia"/>
          <w:sz w:val="24"/>
          <w:lang w:val="en-US" w:eastAsia="zh-CN"/>
        </w:rPr>
        <w:t>.........................................13</w:t>
      </w:r>
    </w:p>
    <w:p>
      <w:pPr>
        <w:pStyle w:val="14"/>
        <w:adjustRightInd w:val="0"/>
        <w:snapToGrid w:val="0"/>
        <w:spacing w:line="440" w:lineRule="exact"/>
        <w:ind w:left="420"/>
        <w:jc w:val="left"/>
        <w:rPr>
          <w:rFonts w:hint="default" w:ascii="仿宋" w:eastAsia="宋体" w:cs="Arial"/>
          <w:sz w:val="24"/>
          <w:lang w:val="en-US" w:eastAsia="zh-CN"/>
        </w:rPr>
      </w:pPr>
      <w:r>
        <w:rPr>
          <w:rFonts w:hint="eastAsia"/>
          <w:sz w:val="24"/>
        </w:rPr>
        <w:t>八、政府性基金预算支出决算情况说明</w:t>
      </w:r>
      <w:r>
        <w:rPr>
          <w:rFonts w:hint="eastAsia"/>
          <w:sz w:val="24"/>
          <w:lang w:val="en-US" w:eastAsia="zh-CN"/>
        </w:rPr>
        <w:t>.....................................................14</w:t>
      </w:r>
    </w:p>
    <w:p>
      <w:pPr>
        <w:pStyle w:val="14"/>
        <w:adjustRightInd w:val="0"/>
        <w:snapToGrid w:val="0"/>
        <w:spacing w:line="440" w:lineRule="exact"/>
        <w:ind w:left="420"/>
        <w:jc w:val="left"/>
        <w:rPr>
          <w:rFonts w:hint="default" w:eastAsia="宋体"/>
          <w:sz w:val="24"/>
          <w:lang w:val="en-US" w:eastAsia="zh-CN"/>
        </w:rPr>
      </w:pPr>
      <w:r>
        <w:rPr>
          <w:rFonts w:hint="eastAsia"/>
          <w:sz w:val="24"/>
        </w:rPr>
        <w:t>九、国有资本经营预算支出决算情况说明</w:t>
      </w:r>
      <w:r>
        <w:rPr>
          <w:rFonts w:hint="eastAsia"/>
          <w:sz w:val="24"/>
          <w:lang w:val="en-US" w:eastAsia="zh-CN"/>
        </w:rPr>
        <w:t>...................................................14</w:t>
      </w:r>
    </w:p>
    <w:p>
      <w:pPr>
        <w:pStyle w:val="14"/>
        <w:adjustRightInd w:val="0"/>
        <w:snapToGrid w:val="0"/>
        <w:spacing w:line="440" w:lineRule="exact"/>
        <w:ind w:left="420"/>
        <w:jc w:val="left"/>
        <w:rPr>
          <w:rFonts w:hint="default" w:eastAsia="宋体"/>
          <w:sz w:val="24"/>
          <w:lang w:val="en-US" w:eastAsia="zh-CN"/>
        </w:rPr>
      </w:pPr>
      <w:r>
        <w:rPr>
          <w:rFonts w:hint="eastAsia"/>
          <w:sz w:val="24"/>
        </w:rPr>
        <w:t>十、其他重要事项的情况说明</w:t>
      </w:r>
      <w:r>
        <w:rPr>
          <w:rFonts w:hint="eastAsia"/>
          <w:sz w:val="24"/>
          <w:lang w:val="en-US" w:eastAsia="zh-CN"/>
        </w:rPr>
        <w:t>.......................................................................14</w:t>
      </w:r>
    </w:p>
    <w:p>
      <w:pPr>
        <w:pStyle w:val="13"/>
        <w:adjustRightInd w:val="0"/>
        <w:snapToGrid w:val="0"/>
        <w:spacing w:before="0" w:line="440" w:lineRule="exact"/>
        <w:jc w:val="left"/>
        <w:rPr>
          <w:rFonts w:hint="default" w:eastAsia="仿宋" w:cs="Arial"/>
          <w:sz w:val="24"/>
          <w:szCs w:val="24"/>
          <w:lang w:val="en-US" w:eastAsia="zh-CN"/>
        </w:rPr>
      </w:pPr>
      <w:r>
        <w:rPr>
          <w:rFonts w:hint="eastAsia"/>
          <w:sz w:val="24"/>
        </w:rPr>
        <w:t>第三部分</w:t>
      </w:r>
      <w:r>
        <w:rPr>
          <w:sz w:val="24"/>
        </w:rPr>
        <w:t xml:space="preserve"> </w:t>
      </w:r>
      <w:r>
        <w:rPr>
          <w:rFonts w:hint="eastAsia"/>
          <w:sz w:val="24"/>
        </w:rPr>
        <w:t>名词解释</w:t>
      </w:r>
      <w:r>
        <w:rPr>
          <w:rFonts w:hint="eastAsia"/>
          <w:sz w:val="24"/>
          <w:lang w:val="en-US" w:eastAsia="zh-CN"/>
        </w:rPr>
        <w:t>..................................................16</w:t>
      </w:r>
    </w:p>
    <w:p>
      <w:pPr>
        <w:pStyle w:val="13"/>
        <w:adjustRightInd w:val="0"/>
        <w:snapToGrid w:val="0"/>
        <w:spacing w:before="0" w:line="440" w:lineRule="exact"/>
        <w:jc w:val="left"/>
        <w:rPr>
          <w:rFonts w:hint="default" w:eastAsia="仿宋" w:cs="Arial"/>
          <w:sz w:val="24"/>
          <w:szCs w:val="24"/>
          <w:lang w:val="en-US" w:eastAsia="zh-CN"/>
        </w:rPr>
      </w:pPr>
      <w:r>
        <w:rPr>
          <w:rFonts w:hint="eastAsia"/>
          <w:sz w:val="24"/>
        </w:rPr>
        <w:t>第四部分</w:t>
      </w:r>
      <w:r>
        <w:rPr>
          <w:sz w:val="24"/>
        </w:rPr>
        <w:t xml:space="preserve"> </w:t>
      </w:r>
      <w:r>
        <w:rPr>
          <w:rFonts w:hint="eastAsia"/>
          <w:sz w:val="24"/>
        </w:rPr>
        <w:t>附件</w:t>
      </w:r>
      <w:r>
        <w:rPr>
          <w:rFonts w:hint="eastAsia"/>
          <w:sz w:val="24"/>
          <w:lang w:val="en-US" w:eastAsia="zh-CN"/>
        </w:rPr>
        <w:t>.....................................................20</w:t>
      </w:r>
    </w:p>
    <w:p>
      <w:pPr>
        <w:pStyle w:val="13"/>
        <w:adjustRightInd w:val="0"/>
        <w:snapToGrid w:val="0"/>
        <w:spacing w:before="0" w:line="440" w:lineRule="exact"/>
        <w:jc w:val="left"/>
        <w:rPr>
          <w:rFonts w:hint="default" w:eastAsia="仿宋" w:cs="Arial"/>
          <w:sz w:val="24"/>
          <w:szCs w:val="24"/>
          <w:lang w:val="en-US" w:eastAsia="zh-CN"/>
        </w:rPr>
      </w:pPr>
      <w:r>
        <w:rPr>
          <w:rFonts w:hint="eastAsia"/>
          <w:sz w:val="24"/>
        </w:rPr>
        <w:t>第五部分</w:t>
      </w:r>
      <w:r>
        <w:rPr>
          <w:sz w:val="24"/>
        </w:rPr>
        <w:t xml:space="preserve"> </w:t>
      </w:r>
      <w:r>
        <w:rPr>
          <w:rFonts w:hint="eastAsia"/>
          <w:sz w:val="24"/>
        </w:rPr>
        <w:t>附表</w:t>
      </w:r>
      <w:r>
        <w:rPr>
          <w:rFonts w:hint="eastAsia"/>
          <w:sz w:val="24"/>
          <w:lang w:val="en-US" w:eastAsia="zh-CN"/>
        </w:rPr>
        <w:t>.....................................................24</w:t>
      </w:r>
    </w:p>
    <w:p>
      <w:pPr>
        <w:pStyle w:val="14"/>
        <w:adjustRightInd w:val="0"/>
        <w:snapToGrid w:val="0"/>
        <w:spacing w:line="440" w:lineRule="exact"/>
        <w:ind w:left="420"/>
        <w:jc w:val="left"/>
        <w:rPr>
          <w:rFonts w:hint="default" w:eastAsia="宋体"/>
          <w:sz w:val="24"/>
          <w:lang w:val="en-US" w:eastAsia="zh-CN"/>
        </w:rPr>
      </w:pPr>
      <w:r>
        <w:rPr>
          <w:rFonts w:hint="eastAsia"/>
          <w:sz w:val="24"/>
        </w:rPr>
        <w:t>一、收入支出决算总表</w:t>
      </w:r>
      <w:r>
        <w:rPr>
          <w:rFonts w:hint="eastAsia"/>
          <w:sz w:val="24"/>
          <w:lang w:val="en-US" w:eastAsia="zh-CN"/>
        </w:rPr>
        <w:t>.....................................................................................29</w:t>
      </w:r>
    </w:p>
    <w:p>
      <w:pPr>
        <w:pStyle w:val="14"/>
        <w:adjustRightInd w:val="0"/>
        <w:snapToGrid w:val="0"/>
        <w:spacing w:line="440" w:lineRule="exact"/>
        <w:ind w:left="420"/>
        <w:jc w:val="left"/>
        <w:rPr>
          <w:rFonts w:hint="default" w:eastAsia="宋体"/>
          <w:sz w:val="24"/>
          <w:lang w:val="en-US" w:eastAsia="zh-CN"/>
        </w:rPr>
      </w:pPr>
      <w:r>
        <w:rPr>
          <w:rFonts w:hint="eastAsia"/>
          <w:sz w:val="24"/>
        </w:rPr>
        <w:t>二、收入决算表</w:t>
      </w:r>
      <w:r>
        <w:rPr>
          <w:rFonts w:hint="eastAsia"/>
          <w:sz w:val="24"/>
          <w:lang w:val="en-US" w:eastAsia="zh-CN"/>
        </w:rPr>
        <w:t>..................................................................................................30</w:t>
      </w:r>
    </w:p>
    <w:p>
      <w:pPr>
        <w:pStyle w:val="14"/>
        <w:adjustRightInd w:val="0"/>
        <w:snapToGrid w:val="0"/>
        <w:spacing w:line="440" w:lineRule="exact"/>
        <w:ind w:left="420"/>
        <w:jc w:val="left"/>
        <w:rPr>
          <w:rFonts w:hint="default" w:eastAsia="宋体"/>
          <w:sz w:val="24"/>
          <w:lang w:val="en-US" w:eastAsia="zh-CN"/>
        </w:rPr>
      </w:pPr>
      <w:r>
        <w:rPr>
          <w:rFonts w:hint="eastAsia"/>
          <w:sz w:val="24"/>
        </w:rPr>
        <w:t>三、支出决算表</w:t>
      </w:r>
      <w:r>
        <w:rPr>
          <w:rFonts w:hint="eastAsia"/>
          <w:sz w:val="24"/>
          <w:lang w:val="en-US" w:eastAsia="zh-CN"/>
        </w:rPr>
        <w:t>...................................................................................................31</w:t>
      </w:r>
    </w:p>
    <w:p>
      <w:pPr>
        <w:pStyle w:val="14"/>
        <w:adjustRightInd w:val="0"/>
        <w:snapToGrid w:val="0"/>
        <w:spacing w:line="440" w:lineRule="exact"/>
        <w:ind w:left="420"/>
        <w:jc w:val="left"/>
        <w:rPr>
          <w:rFonts w:hint="default" w:eastAsia="宋体"/>
          <w:sz w:val="24"/>
          <w:lang w:val="en-US" w:eastAsia="zh-CN"/>
        </w:rPr>
      </w:pPr>
      <w:r>
        <w:rPr>
          <w:rFonts w:hint="eastAsia"/>
          <w:sz w:val="24"/>
        </w:rPr>
        <w:t>四、财政拨款收入支出决算总表</w:t>
      </w:r>
      <w:r>
        <w:rPr>
          <w:rFonts w:hint="eastAsia"/>
          <w:sz w:val="24"/>
          <w:lang w:val="en-US" w:eastAsia="zh-CN"/>
        </w:rPr>
        <w:t>........................................................................32</w:t>
      </w:r>
    </w:p>
    <w:p>
      <w:pPr>
        <w:pStyle w:val="14"/>
        <w:adjustRightInd w:val="0"/>
        <w:snapToGrid w:val="0"/>
        <w:spacing w:line="440" w:lineRule="exact"/>
        <w:ind w:left="420"/>
        <w:jc w:val="left"/>
        <w:rPr>
          <w:rFonts w:hint="default" w:eastAsia="宋体"/>
          <w:sz w:val="24"/>
          <w:lang w:val="en-US" w:eastAsia="zh-CN"/>
        </w:rPr>
      </w:pPr>
      <w:r>
        <w:rPr>
          <w:rFonts w:hint="eastAsia"/>
          <w:sz w:val="24"/>
        </w:rPr>
        <w:t>五、财政拨款支出决算明细表</w:t>
      </w:r>
      <w:r>
        <w:rPr>
          <w:rFonts w:hint="eastAsia"/>
          <w:sz w:val="24"/>
          <w:lang w:val="en-US" w:eastAsia="zh-CN"/>
        </w:rPr>
        <w:t>............................................................................33</w:t>
      </w:r>
    </w:p>
    <w:p>
      <w:pPr>
        <w:pStyle w:val="14"/>
        <w:adjustRightInd w:val="0"/>
        <w:snapToGrid w:val="0"/>
        <w:spacing w:line="440" w:lineRule="exact"/>
        <w:ind w:left="420"/>
        <w:jc w:val="left"/>
        <w:rPr>
          <w:rFonts w:hint="default" w:eastAsia="宋体"/>
          <w:sz w:val="24"/>
          <w:lang w:val="en-US" w:eastAsia="zh-CN"/>
        </w:rPr>
      </w:pPr>
      <w:r>
        <w:rPr>
          <w:rFonts w:hint="eastAsia"/>
          <w:sz w:val="24"/>
        </w:rPr>
        <w:t>六、一般公共预算财政拨款支出决算表</w:t>
      </w:r>
      <w:r>
        <w:rPr>
          <w:rFonts w:hint="eastAsia"/>
          <w:sz w:val="24"/>
          <w:lang w:val="en-US" w:eastAsia="zh-CN"/>
        </w:rPr>
        <w:t>...........................................................34</w:t>
      </w:r>
    </w:p>
    <w:p>
      <w:pPr>
        <w:pStyle w:val="14"/>
        <w:adjustRightInd w:val="0"/>
        <w:snapToGrid w:val="0"/>
        <w:spacing w:line="440" w:lineRule="exact"/>
        <w:ind w:left="420"/>
        <w:jc w:val="left"/>
        <w:rPr>
          <w:rFonts w:hint="default" w:eastAsia="宋体"/>
          <w:sz w:val="24"/>
          <w:lang w:val="en-US" w:eastAsia="zh-CN"/>
        </w:rPr>
      </w:pPr>
      <w:r>
        <w:rPr>
          <w:rFonts w:hint="eastAsia"/>
          <w:sz w:val="24"/>
        </w:rPr>
        <w:t>七、一般公共预算财政拨款支出决算明细表</w:t>
      </w:r>
      <w:r>
        <w:rPr>
          <w:rFonts w:hint="eastAsia"/>
          <w:sz w:val="24"/>
          <w:lang w:val="en-US" w:eastAsia="zh-CN"/>
        </w:rPr>
        <w:t>.....................................................35</w:t>
      </w:r>
    </w:p>
    <w:p>
      <w:pPr>
        <w:pStyle w:val="14"/>
        <w:adjustRightInd w:val="0"/>
        <w:snapToGrid w:val="0"/>
        <w:spacing w:line="440" w:lineRule="exact"/>
        <w:ind w:left="420"/>
        <w:jc w:val="left"/>
        <w:rPr>
          <w:rFonts w:hint="default" w:eastAsia="宋体"/>
          <w:sz w:val="24"/>
          <w:lang w:val="en-US" w:eastAsia="zh-CN"/>
        </w:rPr>
      </w:pPr>
      <w:r>
        <w:rPr>
          <w:rFonts w:hint="eastAsia"/>
          <w:sz w:val="24"/>
        </w:rPr>
        <w:t>八、一般公共预算财政拨款基本支出决算表</w:t>
      </w:r>
      <w:r>
        <w:rPr>
          <w:rFonts w:hint="eastAsia"/>
          <w:sz w:val="24"/>
          <w:lang w:val="en-US" w:eastAsia="zh-CN"/>
        </w:rPr>
        <w:t>....................................................36</w:t>
      </w:r>
    </w:p>
    <w:p>
      <w:pPr>
        <w:pStyle w:val="14"/>
        <w:adjustRightInd w:val="0"/>
        <w:snapToGrid w:val="0"/>
        <w:spacing w:line="440" w:lineRule="exact"/>
        <w:ind w:left="420"/>
        <w:jc w:val="left"/>
        <w:rPr>
          <w:rFonts w:hint="default" w:eastAsia="宋体"/>
          <w:sz w:val="24"/>
          <w:lang w:val="en-US" w:eastAsia="zh-CN"/>
        </w:rPr>
      </w:pPr>
      <w:r>
        <w:rPr>
          <w:rFonts w:hint="eastAsia"/>
          <w:sz w:val="24"/>
        </w:rPr>
        <w:t>九、一般公共预算财政拨款项目支出决算表</w:t>
      </w:r>
      <w:r>
        <w:rPr>
          <w:rFonts w:hint="eastAsia"/>
          <w:sz w:val="24"/>
          <w:lang w:val="en-US" w:eastAsia="zh-CN"/>
        </w:rPr>
        <w:t>...................................................37</w:t>
      </w:r>
    </w:p>
    <w:p>
      <w:pPr>
        <w:pStyle w:val="14"/>
        <w:adjustRightInd w:val="0"/>
        <w:snapToGrid w:val="0"/>
        <w:spacing w:line="440" w:lineRule="exact"/>
        <w:ind w:left="420"/>
        <w:jc w:val="left"/>
        <w:rPr>
          <w:rFonts w:hint="default" w:eastAsia="宋体"/>
          <w:sz w:val="24"/>
          <w:lang w:val="en-US" w:eastAsia="zh-CN"/>
        </w:rPr>
      </w:pPr>
      <w:r>
        <w:rPr>
          <w:rFonts w:hint="eastAsia"/>
          <w:sz w:val="24"/>
        </w:rPr>
        <w:t>十、一般公共预算财政拨款“三公”经费支出决算表</w:t>
      </w:r>
      <w:r>
        <w:rPr>
          <w:rFonts w:hint="eastAsia"/>
          <w:sz w:val="24"/>
          <w:lang w:val="en-US" w:eastAsia="zh-CN"/>
        </w:rPr>
        <w:t>...................................38</w:t>
      </w:r>
    </w:p>
    <w:p>
      <w:pPr>
        <w:pStyle w:val="14"/>
        <w:adjustRightInd w:val="0"/>
        <w:snapToGrid w:val="0"/>
        <w:spacing w:line="440" w:lineRule="exact"/>
        <w:ind w:left="420"/>
        <w:jc w:val="left"/>
        <w:rPr>
          <w:rFonts w:hint="default" w:eastAsia="宋体"/>
          <w:sz w:val="24"/>
          <w:lang w:val="en-US" w:eastAsia="zh-CN"/>
        </w:rPr>
      </w:pPr>
      <w:r>
        <w:rPr>
          <w:rFonts w:hint="eastAsia"/>
          <w:sz w:val="24"/>
        </w:rPr>
        <w:t>十一、政府性基金预算财政拨款收入支出决算表</w:t>
      </w:r>
      <w:r>
        <w:rPr>
          <w:rFonts w:hint="eastAsia"/>
          <w:sz w:val="24"/>
          <w:lang w:val="en-US" w:eastAsia="zh-CN"/>
        </w:rPr>
        <w:t>..........................................39</w:t>
      </w:r>
    </w:p>
    <w:p>
      <w:pPr>
        <w:pStyle w:val="14"/>
        <w:adjustRightInd w:val="0"/>
        <w:snapToGrid w:val="0"/>
        <w:spacing w:line="440" w:lineRule="exact"/>
        <w:ind w:left="420"/>
        <w:jc w:val="left"/>
        <w:rPr>
          <w:rFonts w:hint="default" w:eastAsia="宋体"/>
          <w:sz w:val="24"/>
          <w:lang w:val="en-US" w:eastAsia="zh-CN"/>
        </w:rPr>
      </w:pPr>
      <w:r>
        <w:rPr>
          <w:rFonts w:hint="eastAsia"/>
          <w:sz w:val="24"/>
        </w:rPr>
        <w:t>十二、政府性基金预算财政拨款“三公”经费支出决算表</w:t>
      </w:r>
      <w:r>
        <w:rPr>
          <w:rFonts w:hint="eastAsia"/>
          <w:sz w:val="24"/>
          <w:lang w:val="en-US" w:eastAsia="zh-CN"/>
        </w:rPr>
        <w:t>.........................40</w:t>
      </w:r>
    </w:p>
    <w:p>
      <w:pPr>
        <w:pStyle w:val="14"/>
        <w:adjustRightInd w:val="0"/>
        <w:snapToGrid w:val="0"/>
        <w:spacing w:line="440" w:lineRule="exact"/>
        <w:ind w:left="420"/>
        <w:jc w:val="left"/>
        <w:rPr>
          <w:rFonts w:hint="default" w:eastAsia="宋体"/>
          <w:sz w:val="24"/>
          <w:lang w:val="en-US" w:eastAsia="zh-CN"/>
        </w:rPr>
      </w:pPr>
      <w:r>
        <w:rPr>
          <w:rFonts w:hint="eastAsia"/>
          <w:sz w:val="24"/>
        </w:rPr>
        <w:t>十三、国有资本经营预算财政拨款收入支出决算表</w:t>
      </w:r>
      <w:r>
        <w:rPr>
          <w:rFonts w:hint="eastAsia"/>
          <w:sz w:val="24"/>
          <w:lang w:val="en-US" w:eastAsia="zh-CN"/>
        </w:rPr>
        <w:t>......................................41</w:t>
      </w:r>
    </w:p>
    <w:p>
      <w:pPr>
        <w:pStyle w:val="14"/>
        <w:adjustRightInd w:val="0"/>
        <w:snapToGrid w:val="0"/>
        <w:spacing w:line="440" w:lineRule="exact"/>
        <w:ind w:left="420"/>
        <w:jc w:val="left"/>
        <w:rPr>
          <w:rFonts w:hint="default" w:eastAsia="宋体"/>
          <w:sz w:val="24"/>
          <w:lang w:val="en-US" w:eastAsia="zh-CN"/>
        </w:rPr>
      </w:pPr>
      <w:r>
        <w:rPr>
          <w:rFonts w:hint="eastAsia"/>
          <w:sz w:val="24"/>
        </w:rPr>
        <w:t>十四、国有资本经营预算财政拨款支出决算表</w:t>
      </w:r>
      <w:r>
        <w:rPr>
          <w:rFonts w:hint="eastAsia"/>
          <w:sz w:val="24"/>
          <w:lang w:val="en-US" w:eastAsia="zh-CN"/>
        </w:rPr>
        <w:t>..............................................42</w:t>
      </w:r>
    </w:p>
    <w:p>
      <w:pPr>
        <w:widowControl/>
        <w:adjustRightInd w:val="0"/>
        <w:snapToGrid w:val="0"/>
        <w:spacing w:line="440" w:lineRule="exact"/>
        <w:ind w:firstLine="1320" w:firstLineChars="550"/>
        <w:jc w:val="left"/>
        <w:rPr>
          <w:rFonts w:ascii="仿宋" w:eastAsia="仿宋"/>
          <w:sz w:val="24"/>
        </w:rPr>
      </w:pPr>
    </w:p>
    <w:p>
      <w:pPr>
        <w:pStyle w:val="4"/>
        <w:jc w:val="center"/>
        <w:rPr>
          <w:rFonts w:hint="eastAsia" w:ascii="黑体" w:eastAsia="黑体"/>
          <w:b w:val="0"/>
        </w:rPr>
        <w:sectPr>
          <w:headerReference r:id="rId4" w:type="first"/>
          <w:headerReference r:id="rId3" w:type="default"/>
          <w:footerReference r:id="rId5" w:type="default"/>
          <w:pgSz w:w="11906" w:h="16838"/>
          <w:pgMar w:top="1440" w:right="1800" w:bottom="1440" w:left="1800" w:header="851" w:footer="992" w:gutter="0"/>
          <w:pgNumType w:fmt="decimal" w:start="1"/>
          <w:cols w:space="720" w:num="1"/>
          <w:titlePg/>
          <w:docGrid w:type="lines" w:linePitch="312" w:charSpace="0"/>
        </w:sectPr>
      </w:pPr>
      <w:bookmarkStart w:id="13" w:name="_Toc15396599"/>
      <w:bookmarkStart w:id="14" w:name="_Toc15377196"/>
    </w:p>
    <w:p>
      <w:pPr>
        <w:pStyle w:val="4"/>
        <w:jc w:val="center"/>
        <w:rPr>
          <w:rStyle w:val="19"/>
          <w:rFonts w:ascii="黑体" w:eastAsia="黑体"/>
          <w:b/>
          <w:bCs w:val="0"/>
        </w:rPr>
      </w:pPr>
      <w:r>
        <w:rPr>
          <w:rFonts w:hint="eastAsia" w:ascii="黑体" w:eastAsia="黑体"/>
          <w:b w:val="0"/>
        </w:rPr>
        <w:t>第一部分 单位</w:t>
      </w:r>
      <w:r>
        <w:rPr>
          <w:rStyle w:val="19"/>
          <w:rFonts w:hint="eastAsia" w:ascii="黑体" w:eastAsia="黑体"/>
          <w:b w:val="0"/>
          <w:bCs w:val="0"/>
        </w:rPr>
        <w:t>概况</w:t>
      </w:r>
      <w:bookmarkEnd w:id="13"/>
      <w:bookmarkEnd w:id="14"/>
    </w:p>
    <w:p>
      <w:pPr>
        <w:widowControl/>
        <w:jc w:val="left"/>
        <w:rPr>
          <w:rFonts w:ascii="黑体" w:eastAsia="黑体"/>
          <w:sz w:val="32"/>
          <w:szCs w:val="32"/>
        </w:rPr>
      </w:pPr>
    </w:p>
    <w:p>
      <w:pPr>
        <w:pStyle w:val="5"/>
        <w:numPr>
          <w:ilvl w:val="0"/>
          <w:numId w:val="1"/>
        </w:numPr>
        <w:rPr>
          <w:rStyle w:val="20"/>
          <w:rFonts w:hint="eastAsia" w:ascii="黑体" w:eastAsia="黑体"/>
          <w:b w:val="0"/>
          <w:bCs w:val="0"/>
        </w:rPr>
      </w:pPr>
      <w:bookmarkStart w:id="15" w:name="_Toc15396600"/>
      <w:bookmarkStart w:id="16" w:name="_Toc15377197"/>
      <w:r>
        <w:rPr>
          <w:rStyle w:val="20"/>
          <w:rFonts w:hint="eastAsia" w:ascii="黑体" w:eastAsia="黑体"/>
          <w:b w:val="0"/>
          <w:bCs w:val="0"/>
        </w:rPr>
        <w:t>职能简介</w:t>
      </w:r>
    </w:p>
    <w:p>
      <w:pPr>
        <w:spacing w:line="600" w:lineRule="exact"/>
        <w:ind w:firstLine="640" w:firstLineChars="200"/>
        <w:rPr>
          <w:rFonts w:hint="eastAsia"/>
          <w:lang w:val="en-US" w:eastAsia="zh-CN"/>
        </w:rPr>
      </w:pPr>
      <w:r>
        <w:rPr>
          <w:rFonts w:hint="eastAsia" w:ascii="仿宋" w:eastAsia="仿宋"/>
          <w:sz w:val="32"/>
          <w:szCs w:val="32"/>
          <w:lang w:val="en-US" w:eastAsia="zh-CN"/>
        </w:rPr>
        <w:t xml:space="preserve">红原县藏医院是一所集医疗、预防、保健、康复、制药、教学、研究为一体的综合性“公立医院”，也是医保和新农合的定点医院。其主要职责：我院属二级预算单位1个，其中内设机构4个。红原县藏医院于2003年正式成立，于2015年省级达标为“二级乙等”中医医院，门诊部设内科、外治科、妇科、等9个门诊科室，住院部设内一科、内二科、康复理疗科等病区为人民群众提供中藏医医疗、预防、保健、计划生育、康复等医疗卫生服务。贯彻落实医药卫生体制改革、中藏医并重方针和国家中医药法律法规，执行中医药政策；拟定实施中医药、民族医药和中西医结合发展战略、规划；指导全县各医疗机构发展中医药和中西医结合业务建设。确保全县人民中藏医疗健康需求，建立与地方经济发展相适应的中西医结合医疗环境。加强中医医院标准化管理。贯彻落实国家基本药物制度和药品集中采购工作，执行医用耗材集中采购工作；负责医院内部的药品和医疗器械管理工作。承担意外灾害事故、疫情等突发公共卫生工作。 </w:t>
      </w:r>
    </w:p>
    <w:p>
      <w:pPr>
        <w:pStyle w:val="5"/>
      </w:pPr>
      <w:r>
        <w:rPr>
          <w:rFonts w:hint="eastAsia" w:ascii="黑体" w:eastAsia="黑体"/>
          <w:b w:val="0"/>
        </w:rPr>
        <w:t>二、2021年重点工作</w:t>
      </w:r>
      <w:bookmarkEnd w:id="15"/>
      <w:bookmarkEnd w:id="16"/>
      <w:r>
        <w:rPr>
          <w:rFonts w:hint="eastAsia" w:ascii="黑体" w:eastAsia="黑体"/>
          <w:b w:val="0"/>
        </w:rPr>
        <w:t>完成情况</w:t>
      </w:r>
    </w:p>
    <w:p>
      <w:pPr>
        <w:spacing w:line="600" w:lineRule="exact"/>
        <w:ind w:firstLine="640" w:firstLineChars="200"/>
        <w:rPr>
          <w:rFonts w:hint="eastAsia" w:ascii="仿宋" w:eastAsia="仿宋"/>
          <w:sz w:val="32"/>
          <w:szCs w:val="32"/>
          <w:lang w:val="en-US" w:eastAsia="zh-CN"/>
        </w:rPr>
      </w:pPr>
      <w:bookmarkStart w:id="17" w:name="_Toc31356"/>
      <w:r>
        <w:rPr>
          <w:rFonts w:hint="eastAsia" w:ascii="仿宋" w:eastAsia="仿宋"/>
          <w:sz w:val="32"/>
          <w:szCs w:val="32"/>
          <w:lang w:val="en-US" w:eastAsia="zh-CN"/>
        </w:rPr>
        <w:t>一、医院业务开展情况</w:t>
      </w:r>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2021年事业收入1369.9万元，同比增长618.95万元，增长82.42%。其中医疗收入574.15万元。公共卫生补助资金收入670.61制剂药品销售收入125.14万元，医疗收入中门诊收入119.65万元，门诊同比增加10万元，增长9%,公共卫生大骨节病收入670.61万元，制剂药品销售收入31.4万元，与去年持平，住院部收入454.5万元，同比增加39.58万元，同比增长9.54%；医院门诊量达到16177人次，同比增加577人次，增长4.45 %，出院1746人次，同比增加214人次，增长13.97%</w:t>
      </w:r>
    </w:p>
    <w:p>
      <w:pPr>
        <w:spacing w:line="600" w:lineRule="exact"/>
        <w:rPr>
          <w:rFonts w:hint="eastAsia" w:ascii="仿宋" w:eastAsia="仿宋"/>
          <w:sz w:val="32"/>
          <w:szCs w:val="32"/>
          <w:lang w:val="en-US" w:eastAsia="zh-CN"/>
        </w:rPr>
      </w:pPr>
      <w:r>
        <w:rPr>
          <w:rFonts w:hint="eastAsia" w:ascii="仿宋" w:eastAsia="仿宋"/>
          <w:sz w:val="32"/>
          <w:szCs w:val="32"/>
          <w:lang w:val="en-US" w:eastAsia="zh-CN"/>
        </w:rPr>
        <w:t xml:space="preserve">  二、工作开展情况</w:t>
      </w:r>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一）以党建为统领，着力提升服务水平。2021年医院党支部充分发挥把方向、管大局、作决策、促改革、保落实的作用，始终坚持“以患者为中心”的服务理念，坚持党建引领，一是“不忘初心、牢记使命”主题教育</w:t>
      </w:r>
      <w:bookmarkStart w:id="69" w:name="_GoBack"/>
      <w:bookmarkEnd w:id="69"/>
      <w:r>
        <w:rPr>
          <w:rFonts w:hint="eastAsia" w:ascii="仿宋" w:eastAsia="仿宋"/>
          <w:sz w:val="32"/>
          <w:szCs w:val="32"/>
          <w:lang w:val="en-US" w:eastAsia="zh-CN"/>
        </w:rPr>
        <w:t>深入开展，为巩固活动成果，建立健全了学习新思想长效机制，充分发挥党支部理论学习中心组学习的领学促学作用、支部“三会一课”主体作用，突出抓好党员干部学习新思想工作，用好“学习强国”学习平台等载体，推动学习新思想走深走实。今年我院党支部累计召开支委会11次，党员大会5次，党课10次，主题党日活动11次。二是坚持抓好党建促业务这个指导思想，扎实开展“解放思想、改进作风、推进工作”大讨论活动，结合巡诊义诊以及“不忘医者初心牢记健康使命”志愿服务活动，组织医护人员走进乡镇开展活动20余次，用心了解群众心声，更好地为群众提供优质的医疗服务，充分发挥党组织的战斗堡垒作用和共产党员的先锋模范作用，推动医院发展迈上了新台阶。三是加强了党风廉政、医德医风和精神文明建设。召开党风廉政建设开年第一课，签订了责任书和承诺书；深化以案诫廉，组织观看廉政警示教育片、学习典型案例等，对职工进行职业道德素质和意识形态教育，提升了干部职工按程序、按规矩、按规范办事的意识，筑牢了反腐倡廉的思想防线、法纪红线和行为底线。</w:t>
      </w:r>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二）严抓医疗质量，加强学科建设。以“二甲复审、县级医院医疗服务能力等为抓手，加强医疗质量管理，加强学科建设。建立了以医院质量管理考核体系为依据的医院绩效管理制度，加强了医疗质量管理考核；严格落实投诉纠纷处理机制，规范了医师诊疗行为，减少了医疗责任事故的发生；落实医保管理，维护基金安全，积极宣教医保政策，主动邀请医保局到院协助进行病历自查，召开医院医保专项工作会议，对医保工作的现状及医院存在问题进行深刻剖析，通过修订完善医保管理制度、信息化智能审核监管等措施解决问题；加强了医院药品信息化管理，利用“三医监管”加强了医院药品使用管理。</w:t>
      </w:r>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三）加强人才培养和引进，提升临床队伍素质。一方面，“走出去”培养人才，我院积极选派7名业务骨干到浙江，西藏，青海，州藏医院等上级医院专业进修，另一方面，“请进来带教人才，依托安岳县中医医院管理加技术团队的资源，通过对口支援、科室共建、定期坐诊等方式，为我院培养管理和专科技术人才。</w:t>
      </w:r>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四）重点项目扎实有序推进。一是对医院2017年至2020年财务请三方公司进行全面审计，存在的问题已基本整改完成，二是医院自筹资金50.1万元，完成购置厨具用品和办公设备采购。三是浙江省苍南县慈善总会捐赠人民币10万元，用于康复设备购置，于2021年1月8日完成红原县藏医院康复设备采购。四是2021年9月14日验收完成红原县藏医院传染病防治能力建设项目，该工程招标合同价为85.02万元。五是完成阿坝州红原县藏医院标准化制剂室及治未病中心建设项目编制项目可行性研究报告、立项报批和地质勘察，前期代理机构已抽取。由于该项目前期费用较大，医院通过多种渠道正在争取项目前期费，其他前期待资金落实才能进一步推进。六是为了保证医院病人床上用品和医护人员工作服清洁洗涤工作，医院克服困难自筹资金56.97万元，按工程招标建设洗浆房，预计2021年11月底完工。七是由于医院饮用水压力小，造成患者和职工用水难问题，医院自筹资金4.9万元用于改造医院水管网工程，于2021年10月已竣工验收并投入使用。八是为了进一步健全和完善与我院发展相适应的绩效考核分配管理体系，根据卫生部、人事部、财政部的相关文件精神和要求，在认真总结多年来医院绩效考核经验的基础上，结合我院发展实际、战略目标需要和医疗机构改革的新要求，医院自筹资金21.3万元按程序办理采购购买服务形式聘请三方公司，对原绩效考核相关制度进行全面整理、修改和完善，使其更具科学性、规范性、实效性和可操作性，逐步建立以“工作质量、工作效率、职业道德、服务对象满意度”为核心的绩效考核分配体系。九是为了医院工作人员出差交通保障，经阿坝州机关事务管理局审批同意更新公务用车，于2021年10月医院自筹资金35.96万元，严格落实公务用车配备使用管理和政府的有关规定，按程序办理采购更新购置福特探险者公务用车1辆。十是为了满足医院工作需要，确保职工就餐、职工加班用餐配送、对口支援或援藏干部生活用餐、进修实习生的生活用餐；住院患者及其家属陪人的订餐、就餐、送餐、治疗膳食，于2021年11月对外承包医院食堂正式营业经营运行。十一是根据《关于下达2021年十年行动计划省级补助资金的通知》阿州财社〔2021〕32号）补助资金100万元，结合医院实际需求，制定切实可行的项目实施方案，项目总预算价99.99万元，主要用于购置医疗设备、电子票据中间业务平台和供暖设备采购建设，2021年10月完成项目需求论证，10月29日挂网，计划11月11日开标，但由于近期受到疫情影响11月11日未能开标，开标时间延迟变更为2021年11月24日开标。</w:t>
      </w:r>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五）加强疫情防控和常态化管理工作。一是全面筑牢疫情防控“第一道防线”。在预检分诊点，设置了“进出医院双通道”、“体温检测点”、“预检分诊处”等，严格落实预检分诊制度，要求所有进入医院人员均须佩戴口罩，查验健康码、行程码，核验身份信息并检测体温，详细询问流行病学史，做好相关信息登记。严密做好24小时不间断测量、检查、摸底调查和登记等工作，严把安全防控入口。二是严格做好“外防输入”的“闭环管理”。院内所有人员均佩戴口罩，全面落实“一人一陪护”相关制度。做好重点人群的核酸检测“应检尽检”，对预检分诊、发热捎点、咽拭子采集点、临床医护人员执行每周一次检测，院内其他工作人员和住院患者、陪护人员执行每两周一次的核酸检测，确保预检分诊不漏一人;加强发热病人、门急诊患者和病区住院患者管理;定时做好全院消杀工作，确保院内安全。强化值班值守，严格执行院领导、科室负责人和一般工作人员三级值班制度。配足配齐急救、重症救治、检测等仪器设备，做好医用物资、药品、防护装备、消毒用品、核酸检测试剂等储备，均按照30天满负荷运行需求准备，保证规范设置、良性运转。三是扎实开展突发事件应急预案演练。组织有针对性的医疗安全、突发公共卫生事件、消防等应急演练，及时对各项应急预案进行了修订完善。通过演练不仅检验了医院医护人员的防控能力，并找出了目前防控工作中的薄弱环节，对演练过程中存在的问题，协调各部门总结经验，采取切实有效的措施，完善相关处置预案，切实夯实疫情防控应急处置能力。四是持续加强疫情防控常态化管理。针对来院患者做好登记、流调、测温、大数据行程查询等工作，加强门诊人员管理，避免人员聚集，有效减少交叉感染风险。同时，进一步加强医院防控管理，抓牢、抓细、抓实各项常态化疫情防控举措，为患者打造安全的就医环境，保障广大患者放心就诊安全。</w:t>
      </w:r>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（六）“对口支援”和“精准扶贫”不断深入。 今年以来，我院准确把握“对口支援”的核心内容和总体要求，立足查尔玛、江茸乡实际，采取有效措施，加大帮扶力度，狠抓工作落实，有力推动了各项工作深入开展。一是继续开展义诊活动。今年我院多次到各乡镇开展义诊活动，共义诊群众541人，发放药品56种，价值5251.25元，发放宣传册826本。义诊活动受到了乡党委、政府和村委会的大力支持，得到群众的充分肯定和高度赞扬。二是开展大骨节病，氟骨病免费诊疗工作，共筛查1123人次，核实197人次，总治疗6417人次。三是结合我院实际，医院扶贫工作队多次深入扶贫村，理清工作思路明确重点任务，做细做实脱贫工作。把为民办实事进一步落到实处，医院多次组建义诊服务队，前往帮扶点开展“精准扶贫送医送药下乡”惠民义诊活动。定期对色地镇茸塔玛村非贫困户给予帮扶等。</w:t>
      </w:r>
    </w:p>
    <w:p>
      <w:pPr>
        <w:pStyle w:val="28"/>
        <w:keepNext w:val="0"/>
        <w:keepLines w:val="0"/>
        <w:pageBreakBefore w:val="0"/>
        <w:widowControl/>
        <w:suppressLineNumbers w:val="0"/>
        <w:kinsoku/>
        <w:wordWrap/>
        <w:overflowPunct/>
        <w:topLinePunct w:val="0"/>
        <w:autoSpaceDE/>
        <w:autoSpaceDN/>
        <w:bidi w:val="0"/>
        <w:adjustRightInd/>
        <w:spacing w:before="0" w:beforeAutospacing="0" w:afterAutospacing="0" w:line="576" w:lineRule="exact"/>
        <w:ind w:left="0" w:firstLine="643" w:firstLineChars="200"/>
        <w:jc w:val="both"/>
        <w:textAlignment w:val="auto"/>
        <w:outlineLvl w:val="1"/>
        <w:rPr>
          <w:rFonts w:hint="eastAsia" w:ascii="黑体" w:hAnsi="黑体" w:eastAsia="黑体" w:cs="黑体"/>
          <w:kern w:val="0"/>
          <w:sz w:val="32"/>
          <w:szCs w:val="32"/>
        </w:rPr>
      </w:pPr>
      <w:r>
        <w:rPr>
          <w:rStyle w:val="29"/>
          <w:rFonts w:hint="eastAsia" w:ascii="黑体" w:hAnsi="黑体" w:eastAsia="黑体" w:cs="黑体"/>
          <w:b/>
          <w:bCs w:val="0"/>
          <w:sz w:val="32"/>
          <w:szCs w:val="32"/>
          <w:shd w:val="clear" w:color="auto" w:fill="FFFFFF"/>
        </w:rPr>
        <w:t>二、机构设置</w:t>
      </w:r>
      <w:bookmarkEnd w:id="17"/>
    </w:p>
    <w:p>
      <w:pPr>
        <w:spacing w:line="600" w:lineRule="exact"/>
        <w:ind w:firstLine="640" w:firstLineChars="200"/>
        <w:rPr>
          <w:rFonts w:hint="eastAsia" w:ascii="仿宋" w:eastAsia="仿宋"/>
          <w:sz w:val="32"/>
          <w:szCs w:val="32"/>
          <w:lang w:val="en-US" w:eastAsia="zh-CN"/>
        </w:rPr>
      </w:pPr>
      <w:r>
        <w:rPr>
          <w:rFonts w:hint="eastAsia" w:ascii="仿宋" w:eastAsia="仿宋"/>
          <w:sz w:val="32"/>
          <w:szCs w:val="32"/>
          <w:lang w:val="en-US" w:eastAsia="zh-CN"/>
        </w:rPr>
        <w:t>本单位为红原县卫生健康局所属二级预算单位，单位性质为财政补助事业单位，预算次级为县级，执行《政府制度》，2021年度，纳入本部门决算汇编范围的独立核算单位共1个，与上年相比无增减.红原县藏医院编制人数44人，2021年末在职职工41人，其中：专业技术人员39人（高级职务4人，中级职务15人，初级职务20人）。管理岗位1人，技术工人1人，2020年末在职与去年相比总数减少2人，其中：退休1人；调入其他县1人。退休人员11人，比上年增加1人，新退休1人。</w:t>
      </w:r>
    </w:p>
    <w:p>
      <w:pPr>
        <w:widowControl/>
        <w:jc w:val="left"/>
        <w:rPr>
          <w:rFonts w:ascii="仿宋" w:eastAsia="仿宋"/>
          <w:kern w:val="0"/>
          <w:sz w:val="32"/>
          <w:szCs w:val="32"/>
        </w:rPr>
      </w:pPr>
      <w:r>
        <w:rPr>
          <w:rFonts w:ascii="仿宋" w:eastAsia="仿宋"/>
          <w:sz w:val="32"/>
          <w:szCs w:val="32"/>
        </w:rPr>
        <w:br w:type="page"/>
      </w:r>
    </w:p>
    <w:p>
      <w:pPr>
        <w:pStyle w:val="4"/>
        <w:ind w:right="440"/>
        <w:jc w:val="both"/>
        <w:rPr>
          <w:rStyle w:val="19"/>
          <w:rFonts w:ascii="黑体" w:eastAsia="黑体"/>
          <w:b w:val="0"/>
          <w:bCs/>
        </w:rPr>
      </w:pPr>
      <w:bookmarkStart w:id="18" w:name="_Toc15377204"/>
      <w:bookmarkStart w:id="19" w:name="_Toc15396602"/>
      <w:r>
        <w:rPr>
          <w:rFonts w:hint="eastAsia" w:ascii="黑体" w:eastAsia="黑体"/>
          <w:b w:val="0"/>
        </w:rPr>
        <w:t>第二部分 2021年度</w:t>
      </w:r>
      <w:r>
        <w:rPr>
          <w:rStyle w:val="19"/>
          <w:rFonts w:hint="eastAsia" w:ascii="黑体" w:eastAsia="黑体"/>
          <w:b w:val="0"/>
          <w:bCs/>
        </w:rPr>
        <w:t>单位决算情况说明</w:t>
      </w:r>
      <w:bookmarkEnd w:id="18"/>
      <w:bookmarkEnd w:id="19"/>
    </w:p>
    <w:p/>
    <w:p>
      <w:pPr>
        <w:pStyle w:val="25"/>
        <w:numPr>
          <w:ilvl w:val="0"/>
          <w:numId w:val="2"/>
        </w:numPr>
        <w:spacing w:line="600" w:lineRule="exact"/>
        <w:ind w:firstLineChars="0"/>
        <w:outlineLvl w:val="1"/>
        <w:rPr>
          <w:rStyle w:val="20"/>
          <w:rFonts w:ascii="黑体" w:eastAsia="黑体"/>
          <w:b w:val="0"/>
        </w:rPr>
      </w:pPr>
      <w:bookmarkStart w:id="20" w:name="_Toc15377205"/>
      <w:bookmarkStart w:id="21" w:name="_Toc15396603"/>
      <w:r>
        <w:rPr>
          <w:rFonts w:hint="eastAsia" w:ascii="黑体" w:eastAsia="黑体"/>
          <w:sz w:val="32"/>
          <w:szCs w:val="32"/>
        </w:rPr>
        <w:t>收</w:t>
      </w:r>
      <w:r>
        <w:rPr>
          <w:rStyle w:val="20"/>
          <w:rFonts w:hint="eastAsia" w:ascii="黑体" w:eastAsia="黑体"/>
          <w:b w:val="0"/>
        </w:rPr>
        <w:t>入支出决算总体情况说明</w:t>
      </w:r>
      <w:bookmarkEnd w:id="20"/>
      <w:bookmarkEnd w:id="21"/>
    </w:p>
    <w:p>
      <w:pPr>
        <w:spacing w:line="600" w:lineRule="exact"/>
        <w:ind w:firstLine="640" w:firstLineChars="200"/>
        <w:rPr>
          <w:rFonts w:hint="eastAsia" w:ascii="仿宋" w:eastAsia="仿宋"/>
          <w:sz w:val="32"/>
          <w:szCs w:val="32"/>
          <w:lang w:eastAsia="zh-CN"/>
        </w:rPr>
      </w:pPr>
      <w:r>
        <w:rPr>
          <w:rFonts w:hint="eastAsia" w:ascii="仿宋" w:eastAsia="仿宋"/>
          <w:sz w:val="32"/>
          <w:szCs w:val="32"/>
        </w:rPr>
        <w:t>2021年度收、支总计</w:t>
      </w:r>
      <w:r>
        <w:rPr>
          <w:rFonts w:hint="eastAsia" w:ascii="仿宋" w:eastAsia="仿宋"/>
          <w:sz w:val="32"/>
          <w:szCs w:val="32"/>
          <w:lang w:val="en-US" w:eastAsia="zh-CN"/>
        </w:rPr>
        <w:t>3056.02</w:t>
      </w:r>
      <w:r>
        <w:rPr>
          <w:rFonts w:hint="eastAsia" w:ascii="仿宋" w:eastAsia="仿宋"/>
          <w:sz w:val="32"/>
          <w:szCs w:val="32"/>
        </w:rPr>
        <w:t>万元。与2020年相比，收、支总计各增加</w:t>
      </w:r>
      <w:r>
        <w:rPr>
          <w:rFonts w:hint="eastAsia" w:ascii="仿宋" w:eastAsia="仿宋"/>
          <w:sz w:val="32"/>
          <w:szCs w:val="32"/>
          <w:lang w:val="en-US" w:eastAsia="zh-CN"/>
        </w:rPr>
        <w:t>345.79</w:t>
      </w:r>
      <w:r>
        <w:rPr>
          <w:rFonts w:hint="eastAsia" w:ascii="仿宋" w:eastAsia="仿宋"/>
          <w:sz w:val="32"/>
          <w:szCs w:val="32"/>
        </w:rPr>
        <w:t>万元，增长</w:t>
      </w:r>
      <w:r>
        <w:rPr>
          <w:rFonts w:hint="eastAsia" w:ascii="仿宋" w:eastAsia="仿宋"/>
          <w:sz w:val="32"/>
          <w:szCs w:val="32"/>
          <w:lang w:val="en-US" w:eastAsia="zh-CN"/>
        </w:rPr>
        <w:t>12.76</w:t>
      </w:r>
      <w:r>
        <w:rPr>
          <w:rFonts w:ascii="仿宋" w:eastAsia="仿宋"/>
          <w:sz w:val="32"/>
          <w:szCs w:val="32"/>
        </w:rPr>
        <w:t>%</w:t>
      </w:r>
      <w:r>
        <w:rPr>
          <w:rFonts w:hint="eastAsia" w:ascii="仿宋" w:eastAsia="仿宋"/>
          <w:sz w:val="32"/>
          <w:szCs w:val="32"/>
        </w:rPr>
        <w:t>。主要变动原因</w:t>
      </w:r>
      <w:r>
        <w:rPr>
          <w:rFonts w:hint="eastAsia" w:ascii="仿宋" w:eastAsia="仿宋"/>
          <w:sz w:val="32"/>
          <w:szCs w:val="32"/>
          <w:lang w:eastAsia="zh-CN"/>
        </w:rPr>
        <w:t>是项目资金增加</w:t>
      </w:r>
    </w:p>
    <w:p>
      <w:pPr>
        <w:pStyle w:val="7"/>
        <w:rPr>
          <w:rFonts w:hint="eastAsia"/>
          <w:lang w:eastAsia="zh-CN"/>
        </w:rPr>
      </w:pPr>
      <w:r>
        <w:drawing>
          <wp:inline distT="0" distB="0" distL="114300" distR="114300">
            <wp:extent cx="5273040" cy="2317115"/>
            <wp:effectExtent l="0" t="0" r="0" b="698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73040" cy="2317115"/>
                    </a:xfrm>
                    <a:prstGeom prst="rect">
                      <a:avLst/>
                    </a:prstGeom>
                    <a:noFill/>
                    <a:ln>
                      <a:noFill/>
                    </a:ln>
                  </pic:spPr>
                </pic:pic>
              </a:graphicData>
            </a:graphic>
          </wp:inline>
        </w:drawing>
      </w:r>
    </w:p>
    <w:p>
      <w:pPr>
        <w:spacing w:line="600" w:lineRule="exact"/>
        <w:ind w:firstLine="640" w:firstLineChars="200"/>
        <w:rPr>
          <w:rFonts w:ascii="仿宋_GB2312" w:eastAsia="仿宋_GB2312"/>
          <w:sz w:val="32"/>
          <w:szCs w:val="32"/>
        </w:rPr>
      </w:pPr>
      <w:r>
        <w:rPr>
          <w:rFonts w:hint="eastAsia" w:ascii="仿宋" w:eastAsia="仿宋"/>
          <w:sz w:val="32"/>
          <w:szCs w:val="32"/>
        </w:rPr>
        <w:t>（图</w:t>
      </w:r>
      <w:r>
        <w:rPr>
          <w:rFonts w:ascii="仿宋" w:eastAsia="仿宋"/>
          <w:sz w:val="32"/>
          <w:szCs w:val="32"/>
        </w:rPr>
        <w:t>1</w:t>
      </w:r>
      <w:r>
        <w:rPr>
          <w:rFonts w:hint="eastAsia" w:ascii="仿宋" w:eastAsia="仿宋"/>
          <w:sz w:val="32"/>
          <w:szCs w:val="32"/>
        </w:rPr>
        <w:t>：收、支决算总计变动情况图）（柱状图）</w:t>
      </w:r>
    </w:p>
    <w:p>
      <w:pPr>
        <w:pStyle w:val="25"/>
        <w:numPr>
          <w:ilvl w:val="0"/>
          <w:numId w:val="2"/>
        </w:numPr>
        <w:spacing w:line="600" w:lineRule="exact"/>
        <w:ind w:firstLineChars="0"/>
        <w:outlineLvl w:val="1"/>
        <w:rPr>
          <w:rStyle w:val="20"/>
          <w:rFonts w:ascii="黑体" w:eastAsia="黑体"/>
          <w:b w:val="0"/>
        </w:rPr>
      </w:pPr>
      <w:bookmarkStart w:id="22" w:name="_Toc15396604"/>
      <w:bookmarkStart w:id="23" w:name="_Toc15377206"/>
      <w:r>
        <w:rPr>
          <w:rFonts w:hint="eastAsia" w:ascii="黑体" w:eastAsia="黑体"/>
          <w:sz w:val="32"/>
          <w:szCs w:val="32"/>
        </w:rPr>
        <w:t>收</w:t>
      </w:r>
      <w:r>
        <w:rPr>
          <w:rStyle w:val="20"/>
          <w:rFonts w:hint="eastAsia" w:ascii="黑体" w:eastAsia="黑体"/>
          <w:b w:val="0"/>
        </w:rPr>
        <w:t>入决算情况说明</w:t>
      </w:r>
      <w:bookmarkEnd w:id="22"/>
      <w:bookmarkEnd w:id="23"/>
    </w:p>
    <w:p>
      <w:pPr>
        <w:spacing w:line="600" w:lineRule="exact"/>
        <w:ind w:firstLine="640" w:firstLineChars="200"/>
        <w:outlineLvl w:val="1"/>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21年本年收入合计</w:t>
      </w:r>
      <w:r>
        <w:rPr>
          <w:rFonts w:hint="eastAsia" w:ascii="仿宋" w:eastAsia="仿宋"/>
          <w:sz w:val="32"/>
          <w:szCs w:val="32"/>
          <w:lang w:val="en-US" w:eastAsia="zh-CN"/>
        </w:rPr>
        <w:t>2588.98</w:t>
      </w:r>
      <w:r>
        <w:rPr>
          <w:rFonts w:hint="eastAsia" w:ascii="仿宋" w:eastAsia="仿宋"/>
          <w:sz w:val="32"/>
          <w:szCs w:val="32"/>
        </w:rPr>
        <w:t>万元，其中：一般公共预算财政拨款收入</w:t>
      </w:r>
      <w:r>
        <w:rPr>
          <w:rFonts w:hint="eastAsia" w:ascii="仿宋" w:eastAsia="仿宋"/>
          <w:sz w:val="32"/>
          <w:szCs w:val="32"/>
          <w:lang w:val="en-US" w:eastAsia="zh-CN"/>
        </w:rPr>
        <w:t>1219.08</w:t>
      </w:r>
      <w:r>
        <w:rPr>
          <w:rFonts w:hint="eastAsia" w:ascii="仿宋" w:eastAsia="仿宋"/>
          <w:sz w:val="32"/>
          <w:szCs w:val="32"/>
        </w:rPr>
        <w:t>万元，占</w:t>
      </w:r>
      <w:r>
        <w:rPr>
          <w:rFonts w:hint="eastAsia" w:ascii="仿宋" w:eastAsia="仿宋"/>
          <w:sz w:val="32"/>
          <w:szCs w:val="32"/>
          <w:lang w:val="en-US" w:eastAsia="zh-CN"/>
        </w:rPr>
        <w:t>47.09</w:t>
      </w:r>
      <w:r>
        <w:rPr>
          <w:rFonts w:ascii="仿宋" w:eastAsia="仿宋"/>
          <w:sz w:val="32"/>
          <w:szCs w:val="32"/>
        </w:rPr>
        <w:t>%</w:t>
      </w:r>
      <w:r>
        <w:rPr>
          <w:rFonts w:hint="eastAsia" w:ascii="仿宋" w:eastAsia="仿宋"/>
          <w:sz w:val="32"/>
          <w:szCs w:val="32"/>
        </w:rPr>
        <w:t>；事业收入</w:t>
      </w:r>
      <w:r>
        <w:rPr>
          <w:rFonts w:hint="eastAsia" w:ascii="仿宋" w:eastAsia="仿宋"/>
          <w:sz w:val="32"/>
          <w:szCs w:val="32"/>
          <w:lang w:val="en-US" w:eastAsia="zh-CN"/>
        </w:rPr>
        <w:t>1369.9</w:t>
      </w:r>
      <w:r>
        <w:rPr>
          <w:rFonts w:hint="eastAsia" w:ascii="仿宋" w:eastAsia="仿宋"/>
          <w:sz w:val="32"/>
          <w:szCs w:val="32"/>
        </w:rPr>
        <w:t>万元，占</w:t>
      </w:r>
      <w:r>
        <w:rPr>
          <w:rFonts w:hint="eastAsia" w:ascii="仿宋" w:eastAsia="仿宋"/>
          <w:sz w:val="32"/>
          <w:szCs w:val="32"/>
          <w:lang w:val="en-US" w:eastAsia="zh-CN"/>
        </w:rPr>
        <w:t>52.91</w:t>
      </w:r>
      <w:r>
        <w:rPr>
          <w:rFonts w:ascii="仿宋" w:eastAsia="仿宋"/>
          <w:sz w:val="32"/>
          <w:szCs w:val="32"/>
        </w:rPr>
        <w:t>%</w:t>
      </w:r>
      <w:r>
        <w:rPr>
          <w:rFonts w:hint="eastAsia" w:ascii="仿宋" w:eastAsia="仿宋"/>
          <w:sz w:val="32"/>
          <w:szCs w:val="32"/>
          <w:lang w:eastAsia="zh-CN"/>
        </w:rPr>
        <w:t>。</w:t>
      </w:r>
    </w:p>
    <w:p>
      <w:pPr>
        <w:pStyle w:val="7"/>
        <w:rPr>
          <w:rFonts w:hint="eastAsia" w:ascii="仿宋" w:eastAsia="仿宋"/>
          <w:sz w:val="32"/>
          <w:szCs w:val="32"/>
        </w:rPr>
      </w:pPr>
      <w:r>
        <w:rPr>
          <w:shd w:val="clear" w:fill="FFFFFF"/>
        </w:rPr>
        <w:fldChar w:fldCharType="begin"/>
      </w:r>
      <w:r>
        <w:rPr>
          <w:shd w:val="clear" w:fill="FFFFFF"/>
        </w:rPr>
        <w:instrText xml:space="preserve">INCLUDEPICTURE \d "C:\\Users\\ADMINI~1\\AppData\\Local\\Temp\\225bac7997b34f649830cf112c48d797\\Users\\ADMINI~1\\AppData\\Local\\Temp\\~tmp{200873cd-4ebb-4646-b420-4cd10f46004b}1837828.files\\~tmp{200873cd-4ebb-4646-b420-4cd10f46004b}18378287538.png" \* MERGEFORMATINET </w:instrText>
      </w:r>
      <w:r>
        <w:rPr>
          <w:shd w:val="clear" w:fill="FFFFFF"/>
        </w:rPr>
        <w:fldChar w:fldCharType="separate"/>
      </w:r>
      <w:r>
        <w:rPr>
          <w:shd w:val="clear" w:fill="FFFFFF"/>
        </w:rPr>
        <w:drawing>
          <wp:inline distT="0" distB="0" distL="114300" distR="114300">
            <wp:extent cx="3990975" cy="1711325"/>
            <wp:effectExtent l="0" t="0" r="9525" b="3175"/>
            <wp:docPr id="6" name="图片 6"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8"/>
                    <pic:cNvPicPr>
                      <a:picLocks noChangeAspect="1"/>
                    </pic:cNvPicPr>
                  </pic:nvPicPr>
                  <pic:blipFill>
                    <a:blip r:embed="rId14" r:link="rId15"/>
                    <a:stretch>
                      <a:fillRect/>
                    </a:stretch>
                  </pic:blipFill>
                  <pic:spPr>
                    <a:xfrm>
                      <a:off x="0" y="0"/>
                      <a:ext cx="3990975" cy="1711325"/>
                    </a:xfrm>
                    <a:prstGeom prst="rect">
                      <a:avLst/>
                    </a:prstGeom>
                    <a:noFill/>
                    <a:ln>
                      <a:noFill/>
                    </a:ln>
                  </pic:spPr>
                </pic:pic>
              </a:graphicData>
            </a:graphic>
          </wp:inline>
        </w:drawing>
      </w:r>
      <w:r>
        <w:rPr>
          <w:shd w:val="clear" w:fill="FFFFFF"/>
        </w:rPr>
        <w:fldChar w:fldCharType="end"/>
      </w:r>
    </w:p>
    <w:p>
      <w:pPr>
        <w:spacing w:line="600" w:lineRule="exact"/>
        <w:ind w:firstLine="640" w:firstLineChars="200"/>
        <w:rPr>
          <w:rFonts w:ascii="仿宋_GB2312" w:eastAsia="仿宋_GB2312"/>
          <w:sz w:val="32"/>
          <w:szCs w:val="32"/>
        </w:rPr>
      </w:pPr>
      <w:r>
        <w:rPr>
          <w:rFonts w:hint="eastAsia" w:ascii="仿宋" w:eastAsia="仿宋"/>
          <w:sz w:val="32"/>
          <w:szCs w:val="32"/>
        </w:rPr>
        <w:t>（图2：收入决算结构图）（饼状图）</w:t>
      </w:r>
    </w:p>
    <w:p>
      <w:pPr>
        <w:pStyle w:val="25"/>
        <w:numPr>
          <w:ilvl w:val="0"/>
          <w:numId w:val="2"/>
        </w:numPr>
        <w:spacing w:line="600" w:lineRule="exact"/>
        <w:ind w:firstLineChars="0"/>
        <w:outlineLvl w:val="1"/>
        <w:rPr>
          <w:rStyle w:val="20"/>
          <w:rFonts w:ascii="黑体" w:eastAsia="黑体"/>
          <w:b w:val="0"/>
        </w:rPr>
      </w:pPr>
      <w:bookmarkStart w:id="24" w:name="_Toc15396605"/>
      <w:bookmarkStart w:id="25" w:name="_Toc15377207"/>
      <w:r>
        <w:rPr>
          <w:rFonts w:hint="eastAsia" w:ascii="黑体" w:eastAsia="黑体"/>
          <w:sz w:val="32"/>
          <w:szCs w:val="32"/>
        </w:rPr>
        <w:t>支</w:t>
      </w:r>
      <w:r>
        <w:rPr>
          <w:rStyle w:val="20"/>
          <w:rFonts w:hint="eastAsia" w:ascii="黑体" w:eastAsia="黑体"/>
          <w:b w:val="0"/>
        </w:rPr>
        <w:t>出决算情况说明</w:t>
      </w:r>
      <w:bookmarkEnd w:id="24"/>
      <w:bookmarkEnd w:id="25"/>
    </w:p>
    <w:p>
      <w:pPr>
        <w:spacing w:line="600" w:lineRule="exact"/>
        <w:ind w:firstLine="640" w:firstLineChars="200"/>
        <w:outlineLvl w:val="1"/>
        <w:rPr>
          <w:rFonts w:hint="eastAsia" w:ascii="仿宋" w:eastAsia="仿宋"/>
          <w:sz w:val="32"/>
          <w:szCs w:val="32"/>
        </w:rPr>
      </w:pPr>
      <w:r>
        <w:rPr>
          <w:rFonts w:ascii="仿宋" w:eastAsia="仿宋"/>
          <w:sz w:val="32"/>
          <w:szCs w:val="32"/>
        </w:rPr>
        <w:t>20</w:t>
      </w:r>
      <w:r>
        <w:rPr>
          <w:rFonts w:hint="eastAsia" w:ascii="仿宋" w:eastAsia="仿宋"/>
          <w:sz w:val="32"/>
          <w:szCs w:val="32"/>
        </w:rPr>
        <w:t>21年本年支出合计</w:t>
      </w:r>
      <w:r>
        <w:rPr>
          <w:rFonts w:hint="eastAsia" w:ascii="仿宋" w:eastAsia="仿宋"/>
          <w:sz w:val="32"/>
          <w:szCs w:val="32"/>
          <w:lang w:val="en-US" w:eastAsia="zh-CN"/>
        </w:rPr>
        <w:t>2674.57</w:t>
      </w:r>
      <w:r>
        <w:rPr>
          <w:rFonts w:hint="eastAsia" w:ascii="仿宋" w:eastAsia="仿宋"/>
          <w:sz w:val="32"/>
          <w:szCs w:val="32"/>
        </w:rPr>
        <w:t>万元，其中：基本支出</w:t>
      </w:r>
      <w:r>
        <w:rPr>
          <w:rFonts w:hint="eastAsia" w:ascii="仿宋" w:eastAsia="仿宋"/>
          <w:sz w:val="32"/>
          <w:szCs w:val="32"/>
          <w:lang w:val="en-US" w:eastAsia="zh-CN"/>
        </w:rPr>
        <w:t>1810.72</w:t>
      </w:r>
      <w:r>
        <w:rPr>
          <w:rFonts w:hint="eastAsia" w:ascii="仿宋" w:eastAsia="仿宋"/>
          <w:sz w:val="32"/>
          <w:szCs w:val="32"/>
        </w:rPr>
        <w:t>万元，占</w:t>
      </w:r>
      <w:r>
        <w:rPr>
          <w:rFonts w:hint="eastAsia" w:ascii="仿宋" w:eastAsia="仿宋"/>
          <w:sz w:val="32"/>
          <w:szCs w:val="32"/>
          <w:lang w:val="en-US" w:eastAsia="zh-CN"/>
        </w:rPr>
        <w:t>67.7</w:t>
      </w:r>
      <w:r>
        <w:rPr>
          <w:rFonts w:ascii="仿宋" w:eastAsia="仿宋"/>
          <w:sz w:val="32"/>
          <w:szCs w:val="32"/>
        </w:rPr>
        <w:t>%</w:t>
      </w:r>
      <w:r>
        <w:rPr>
          <w:rFonts w:hint="eastAsia" w:ascii="仿宋" w:eastAsia="仿宋"/>
          <w:sz w:val="32"/>
          <w:szCs w:val="32"/>
        </w:rPr>
        <w:t>；项目支出</w:t>
      </w:r>
      <w:r>
        <w:rPr>
          <w:rFonts w:hint="eastAsia" w:ascii="仿宋" w:eastAsia="仿宋"/>
          <w:sz w:val="32"/>
          <w:szCs w:val="32"/>
          <w:lang w:val="en-US" w:eastAsia="zh-CN"/>
        </w:rPr>
        <w:t>863.85</w:t>
      </w:r>
      <w:r>
        <w:rPr>
          <w:rFonts w:hint="eastAsia" w:ascii="仿宋" w:eastAsia="仿宋"/>
          <w:sz w:val="32"/>
          <w:szCs w:val="32"/>
        </w:rPr>
        <w:t>万元，占</w:t>
      </w:r>
      <w:r>
        <w:rPr>
          <w:rFonts w:hint="eastAsia" w:ascii="仿宋" w:eastAsia="仿宋"/>
          <w:sz w:val="32"/>
          <w:szCs w:val="32"/>
          <w:lang w:val="en-US" w:eastAsia="zh-CN"/>
        </w:rPr>
        <w:t>32.3</w:t>
      </w:r>
      <w:r>
        <w:rPr>
          <w:rFonts w:ascii="仿宋" w:eastAsia="仿宋"/>
          <w:sz w:val="32"/>
          <w:szCs w:val="32"/>
        </w:rPr>
        <w:t>%</w:t>
      </w:r>
      <w:r>
        <w:rPr>
          <w:rFonts w:hint="eastAsia" w:ascii="仿宋" w:eastAsia="仿宋"/>
          <w:sz w:val="32"/>
          <w:szCs w:val="32"/>
        </w:rPr>
        <w:t>。</w:t>
      </w:r>
    </w:p>
    <w:p>
      <w:pPr>
        <w:pStyle w:val="8"/>
        <w:rPr>
          <w:rFonts w:hint="eastAsia" w:ascii="仿宋" w:eastAsia="仿宋"/>
          <w:sz w:val="32"/>
          <w:szCs w:val="32"/>
        </w:rPr>
      </w:pPr>
      <w:r>
        <w:drawing>
          <wp:inline distT="0" distB="0" distL="114300" distR="114300">
            <wp:extent cx="4457700" cy="2481580"/>
            <wp:effectExtent l="0" t="0" r="0"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16"/>
                    <a:stretch>
                      <a:fillRect/>
                    </a:stretch>
                  </pic:blipFill>
                  <pic:spPr>
                    <a:xfrm>
                      <a:off x="0" y="0"/>
                      <a:ext cx="4457700" cy="2481580"/>
                    </a:xfrm>
                    <a:prstGeom prst="rect">
                      <a:avLst/>
                    </a:prstGeom>
                    <a:noFill/>
                    <a:ln>
                      <a:noFill/>
                    </a:ln>
                  </pic:spPr>
                </pic:pic>
              </a:graphicData>
            </a:graphic>
          </wp:inline>
        </w:drawing>
      </w:r>
    </w:p>
    <w:p>
      <w:pPr>
        <w:spacing w:line="600" w:lineRule="exact"/>
        <w:ind w:firstLine="640" w:firstLineChars="200"/>
        <w:rPr>
          <w:rFonts w:ascii="仿宋_GB2312" w:eastAsia="仿宋_GB2312"/>
          <w:sz w:val="32"/>
          <w:szCs w:val="32"/>
        </w:rPr>
      </w:pPr>
      <w:r>
        <w:rPr>
          <w:rFonts w:hint="eastAsia" w:ascii="仿宋" w:eastAsia="仿宋"/>
          <w:sz w:val="32"/>
          <w:szCs w:val="32"/>
        </w:rPr>
        <w:t>（图3：支出决算结构图）（饼状图）</w:t>
      </w:r>
    </w:p>
    <w:p>
      <w:pPr>
        <w:spacing w:line="600" w:lineRule="exact"/>
        <w:ind w:firstLine="640" w:firstLineChars="200"/>
        <w:outlineLvl w:val="1"/>
        <w:rPr>
          <w:rStyle w:val="20"/>
          <w:rFonts w:ascii="黑体" w:eastAsia="黑体"/>
          <w:b w:val="0"/>
        </w:rPr>
      </w:pPr>
      <w:bookmarkStart w:id="26" w:name="_Toc15396606"/>
      <w:bookmarkStart w:id="27" w:name="_Toc15377208"/>
      <w:r>
        <w:rPr>
          <w:rFonts w:hint="eastAsia" w:ascii="黑体" w:eastAsia="黑体"/>
          <w:sz w:val="32"/>
          <w:szCs w:val="32"/>
        </w:rPr>
        <w:t>四、财</w:t>
      </w:r>
      <w:r>
        <w:rPr>
          <w:rStyle w:val="20"/>
          <w:rFonts w:hint="eastAsia" w:ascii="黑体" w:eastAsia="黑体"/>
          <w:b w:val="0"/>
        </w:rPr>
        <w:t>政拨款收入支出决算总体情况说明</w:t>
      </w:r>
      <w:bookmarkEnd w:id="26"/>
      <w:bookmarkEnd w:id="27"/>
    </w:p>
    <w:p>
      <w:pPr>
        <w:spacing w:line="600" w:lineRule="exact"/>
        <w:ind w:firstLine="640"/>
        <w:rPr>
          <w:rFonts w:hint="eastAsia" w:ascii="仿宋" w:eastAsia="仿宋"/>
          <w:sz w:val="32"/>
          <w:szCs w:val="32"/>
          <w:lang w:eastAsia="zh-CN"/>
        </w:rPr>
      </w:pPr>
      <w:r>
        <w:rPr>
          <w:rFonts w:ascii="仿宋" w:eastAsia="仿宋"/>
          <w:sz w:val="32"/>
          <w:szCs w:val="32"/>
        </w:rPr>
        <w:t>20</w:t>
      </w:r>
      <w:r>
        <w:rPr>
          <w:rFonts w:hint="eastAsia" w:ascii="仿宋" w:eastAsia="仿宋"/>
          <w:sz w:val="32"/>
          <w:szCs w:val="32"/>
        </w:rPr>
        <w:t>21年财政拨款收、支总计</w:t>
      </w:r>
      <w:r>
        <w:rPr>
          <w:rFonts w:hint="eastAsia" w:ascii="仿宋" w:eastAsia="仿宋"/>
          <w:sz w:val="32"/>
          <w:szCs w:val="32"/>
          <w:lang w:val="en-US" w:eastAsia="zh-CN"/>
        </w:rPr>
        <w:t>1685.55</w:t>
      </w:r>
      <w:r>
        <w:rPr>
          <w:rFonts w:hint="eastAsia" w:ascii="仿宋" w:eastAsia="仿宋"/>
          <w:sz w:val="32"/>
          <w:szCs w:val="32"/>
        </w:rPr>
        <w:t>万元。与</w:t>
      </w:r>
      <w:r>
        <w:rPr>
          <w:rFonts w:ascii="仿宋" w:eastAsia="仿宋"/>
          <w:sz w:val="32"/>
          <w:szCs w:val="32"/>
        </w:rPr>
        <w:t>20</w:t>
      </w:r>
      <w:r>
        <w:rPr>
          <w:rFonts w:hint="eastAsia" w:ascii="仿宋" w:eastAsia="仿宋"/>
          <w:sz w:val="32"/>
          <w:szCs w:val="32"/>
        </w:rPr>
        <w:t>20年相比，财政拨款收、支总计减少</w:t>
      </w:r>
      <w:r>
        <w:rPr>
          <w:rFonts w:hint="eastAsia" w:ascii="仿宋" w:eastAsia="仿宋"/>
          <w:sz w:val="32"/>
          <w:szCs w:val="32"/>
          <w:lang w:val="en-US" w:eastAsia="zh-CN"/>
        </w:rPr>
        <w:t>445.41</w:t>
      </w:r>
      <w:r>
        <w:rPr>
          <w:rFonts w:hint="eastAsia" w:ascii="仿宋" w:eastAsia="仿宋"/>
          <w:sz w:val="32"/>
          <w:szCs w:val="32"/>
        </w:rPr>
        <w:t>万元，下降</w:t>
      </w:r>
      <w:r>
        <w:rPr>
          <w:rFonts w:hint="eastAsia" w:ascii="仿宋" w:eastAsia="仿宋"/>
          <w:sz w:val="32"/>
          <w:szCs w:val="32"/>
          <w:lang w:val="en-US" w:eastAsia="zh-CN"/>
        </w:rPr>
        <w:t>20.9</w:t>
      </w:r>
      <w:r>
        <w:rPr>
          <w:rFonts w:ascii="仿宋" w:eastAsia="仿宋"/>
          <w:sz w:val="32"/>
          <w:szCs w:val="32"/>
        </w:rPr>
        <w:t>%</w:t>
      </w:r>
      <w:r>
        <w:rPr>
          <w:rFonts w:hint="eastAsia" w:ascii="仿宋" w:eastAsia="仿宋"/>
          <w:sz w:val="32"/>
          <w:szCs w:val="32"/>
        </w:rPr>
        <w:t>。主要变动原因</w:t>
      </w:r>
      <w:r>
        <w:rPr>
          <w:rFonts w:hint="eastAsia" w:ascii="仿宋" w:eastAsia="仿宋"/>
          <w:sz w:val="32"/>
          <w:szCs w:val="32"/>
          <w:lang w:eastAsia="zh-CN"/>
        </w:rPr>
        <w:t>是今年的政府性基金支出资金减少。</w:t>
      </w:r>
    </w:p>
    <w:p>
      <w:pPr>
        <w:pStyle w:val="8"/>
      </w:pPr>
    </w:p>
    <w:p>
      <w:pPr>
        <w:pStyle w:val="7"/>
        <w:rPr>
          <w:rFonts w:ascii="仿宋" w:eastAsia="仿宋"/>
          <w:sz w:val="32"/>
          <w:szCs w:val="32"/>
        </w:rPr>
      </w:pPr>
      <w:r>
        <w:drawing>
          <wp:inline distT="0" distB="0" distL="114300" distR="114300">
            <wp:extent cx="4766945" cy="2054225"/>
            <wp:effectExtent l="0" t="0" r="0" b="317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7"/>
                    <a:stretch>
                      <a:fillRect/>
                    </a:stretch>
                  </pic:blipFill>
                  <pic:spPr>
                    <a:xfrm>
                      <a:off x="0" y="0"/>
                      <a:ext cx="4766945" cy="2054225"/>
                    </a:xfrm>
                    <a:prstGeom prst="rect">
                      <a:avLst/>
                    </a:prstGeom>
                    <a:noFill/>
                    <a:ln>
                      <a:noFill/>
                    </a:ln>
                  </pic:spPr>
                </pic:pic>
              </a:graphicData>
            </a:graphic>
          </wp:inline>
        </w:drawing>
      </w:r>
    </w:p>
    <w:p>
      <w:pPr>
        <w:pStyle w:val="8"/>
        <w:rPr>
          <w:rFonts w:ascii="仿宋" w:eastAsia="仿宋"/>
          <w:sz w:val="32"/>
          <w:szCs w:val="32"/>
        </w:rPr>
      </w:pPr>
    </w:p>
    <w:p>
      <w:pPr>
        <w:pStyle w:val="8"/>
        <w:rPr>
          <w:rFonts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（图4：财政拨款收、支决算总计变动情况）（柱状图）</w:t>
      </w:r>
    </w:p>
    <w:p>
      <w:pPr>
        <w:spacing w:line="600" w:lineRule="exact"/>
        <w:ind w:firstLine="640"/>
        <w:rPr>
          <w:rFonts w:ascii="仿宋" w:eastAsia="仿宋"/>
          <w:b/>
          <w:sz w:val="32"/>
          <w:szCs w:val="32"/>
        </w:rPr>
      </w:pPr>
    </w:p>
    <w:p>
      <w:pPr>
        <w:spacing w:line="600" w:lineRule="exact"/>
        <w:ind w:firstLine="640" w:firstLineChars="200"/>
        <w:outlineLvl w:val="1"/>
        <w:rPr>
          <w:rStyle w:val="20"/>
          <w:rFonts w:ascii="黑体" w:eastAsia="黑体"/>
          <w:b w:val="0"/>
        </w:rPr>
      </w:pPr>
      <w:bookmarkStart w:id="28" w:name="_Toc15377209"/>
      <w:bookmarkStart w:id="29" w:name="_Toc15396607"/>
      <w:r>
        <w:rPr>
          <w:rFonts w:hint="eastAsia" w:ascii="黑体" w:eastAsia="黑体"/>
          <w:sz w:val="32"/>
          <w:szCs w:val="32"/>
        </w:rPr>
        <w:t>五、</w:t>
      </w:r>
      <w:r>
        <w:rPr>
          <w:rFonts w:hint="eastAsia" w:ascii="黑体" w:eastAsia="黑体"/>
          <w:b/>
          <w:sz w:val="32"/>
          <w:szCs w:val="32"/>
        </w:rPr>
        <w:t>一</w:t>
      </w:r>
      <w:r>
        <w:rPr>
          <w:rStyle w:val="20"/>
          <w:rFonts w:hint="eastAsia" w:ascii="黑体" w:eastAsia="黑体"/>
          <w:b w:val="0"/>
        </w:rPr>
        <w:t>般公共预算财政拨款支出决算情况说明</w:t>
      </w:r>
      <w:bookmarkEnd w:id="28"/>
      <w:bookmarkEnd w:id="29"/>
    </w:p>
    <w:p>
      <w:pPr>
        <w:spacing w:line="600" w:lineRule="exact"/>
        <w:ind w:firstLine="643" w:firstLineChars="200"/>
        <w:outlineLvl w:val="2"/>
        <w:rPr>
          <w:rFonts w:ascii="仿宋" w:eastAsia="仿宋"/>
          <w:b/>
          <w:sz w:val="32"/>
          <w:szCs w:val="32"/>
        </w:rPr>
      </w:pPr>
      <w:bookmarkStart w:id="30" w:name="_Toc15377210"/>
      <w:r>
        <w:rPr>
          <w:rFonts w:hint="eastAsia" w:ascii="仿宋" w:eastAsia="仿宋"/>
          <w:b/>
          <w:sz w:val="32"/>
          <w:szCs w:val="32"/>
        </w:rPr>
        <w:t>（一）一般公共预算财政拨款支出决算总体情况</w:t>
      </w:r>
      <w:bookmarkEnd w:id="30"/>
    </w:p>
    <w:p>
      <w:pPr>
        <w:spacing w:line="600" w:lineRule="exact"/>
        <w:ind w:firstLine="640" w:firstLineChars="20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1685.55</w:t>
      </w:r>
      <w:r>
        <w:rPr>
          <w:rFonts w:hint="eastAsia" w:ascii="仿宋" w:eastAsia="仿宋"/>
          <w:sz w:val="32"/>
          <w:szCs w:val="32"/>
        </w:rPr>
        <w:t>万元，占本年支出合计的</w:t>
      </w:r>
      <w:r>
        <w:rPr>
          <w:rFonts w:ascii="仿宋" w:eastAsia="仿宋"/>
          <w:sz w:val="32"/>
          <w:szCs w:val="32"/>
        </w:rPr>
        <w:t>%</w:t>
      </w:r>
      <w:r>
        <w:rPr>
          <w:rFonts w:hint="eastAsia" w:ascii="仿宋" w:eastAsia="仿宋"/>
          <w:sz w:val="32"/>
          <w:szCs w:val="32"/>
        </w:rPr>
        <w:t>。与</w:t>
      </w:r>
      <w:r>
        <w:rPr>
          <w:rFonts w:ascii="仿宋" w:eastAsia="仿宋"/>
          <w:sz w:val="32"/>
          <w:szCs w:val="32"/>
        </w:rPr>
        <w:t>20</w:t>
      </w:r>
      <w:r>
        <w:rPr>
          <w:rFonts w:hint="eastAsia" w:ascii="仿宋" w:eastAsia="仿宋"/>
          <w:sz w:val="32"/>
          <w:szCs w:val="32"/>
        </w:rPr>
        <w:t>20年相比，一般公共预算财政拨款支出</w:t>
      </w:r>
      <w:r>
        <w:rPr>
          <w:rFonts w:hint="eastAsia" w:ascii="仿宋" w:eastAsia="仿宋"/>
          <w:sz w:val="32"/>
          <w:szCs w:val="32"/>
          <w:lang w:val="en-US" w:eastAsia="zh-CN"/>
        </w:rPr>
        <w:t>117.59</w:t>
      </w:r>
      <w:r>
        <w:rPr>
          <w:rFonts w:hint="eastAsia" w:ascii="仿宋" w:eastAsia="仿宋"/>
          <w:sz w:val="32"/>
          <w:szCs w:val="32"/>
        </w:rPr>
        <w:t>万元，增长</w:t>
      </w:r>
      <w:r>
        <w:rPr>
          <w:rFonts w:hint="eastAsia" w:ascii="仿宋" w:eastAsia="仿宋"/>
          <w:sz w:val="32"/>
          <w:szCs w:val="32"/>
          <w:lang w:val="en-US" w:eastAsia="zh-CN"/>
        </w:rPr>
        <w:t>7.5</w:t>
      </w:r>
      <w:r>
        <w:rPr>
          <w:rFonts w:ascii="仿宋" w:eastAsia="仿宋"/>
          <w:sz w:val="32"/>
          <w:szCs w:val="32"/>
        </w:rPr>
        <w:t>%</w:t>
      </w:r>
      <w:r>
        <w:rPr>
          <w:rFonts w:hint="eastAsia" w:ascii="仿宋" w:eastAsia="仿宋"/>
          <w:sz w:val="32"/>
          <w:szCs w:val="32"/>
        </w:rPr>
        <w:t>。主要变动原因是</w:t>
      </w:r>
      <w:r>
        <w:rPr>
          <w:rFonts w:hint="eastAsia" w:ascii="仿宋" w:eastAsia="仿宋"/>
          <w:sz w:val="32"/>
          <w:szCs w:val="32"/>
          <w:lang w:eastAsia="zh-CN"/>
        </w:rPr>
        <w:t>人员经费、项目资金有所增加。</w:t>
      </w:r>
    </w:p>
    <w:p>
      <w:pPr>
        <w:pStyle w:val="8"/>
        <w:rPr>
          <w:rFonts w:ascii="仿宋" w:eastAsia="仿宋"/>
          <w:sz w:val="32"/>
          <w:szCs w:val="32"/>
        </w:rPr>
      </w:pPr>
      <w:r>
        <w:drawing>
          <wp:inline distT="0" distB="0" distL="114300" distR="114300">
            <wp:extent cx="5191125" cy="2543175"/>
            <wp:effectExtent l="0" t="0" r="0" b="0"/>
            <wp:docPr id="2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1"/>
                    <pic:cNvPicPr>
                      <a:picLocks noChangeAspect="1"/>
                    </pic:cNvPicPr>
                  </pic:nvPicPr>
                  <pic:blipFill>
                    <a:blip r:embed="rId18"/>
                    <a:stretch>
                      <a:fillRect/>
                    </a:stretch>
                  </pic:blipFill>
                  <pic:spPr>
                    <a:xfrm>
                      <a:off x="0" y="0"/>
                      <a:ext cx="5191125" cy="2543175"/>
                    </a:xfrm>
                    <a:prstGeom prst="rect">
                      <a:avLst/>
                    </a:prstGeom>
                    <a:noFill/>
                    <a:ln>
                      <a:noFill/>
                    </a:ln>
                  </pic:spPr>
                </pic:pic>
              </a:graphicData>
            </a:graphic>
          </wp:inline>
        </w:drawing>
      </w:r>
    </w:p>
    <w:p>
      <w:pPr>
        <w:spacing w:line="600" w:lineRule="exact"/>
        <w:rPr>
          <w:rFonts w:ascii="仿宋" w:eastAsia="仿宋"/>
          <w:sz w:val="32"/>
          <w:szCs w:val="32"/>
        </w:rPr>
      </w:pPr>
      <w:r>
        <w:rPr>
          <w:rFonts w:hint="eastAsia" w:ascii="仿宋" w:eastAsia="仿宋"/>
          <w:sz w:val="32"/>
          <w:szCs w:val="32"/>
        </w:rPr>
        <w:t>（图5：一般公共预算财政拨款支出决算变动情况）（柱状图）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1" w:name="_Toc15377211"/>
      <w:r>
        <w:rPr>
          <w:rFonts w:hint="eastAsia" w:ascii="仿宋" w:eastAsia="仿宋"/>
          <w:b/>
          <w:sz w:val="32"/>
          <w:szCs w:val="32"/>
        </w:rPr>
        <w:t>（二）一般公共预算财政拨款支出决算结构情况</w:t>
      </w:r>
      <w:bookmarkEnd w:id="31"/>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21年一般公共预算财政拨款支出</w:t>
      </w:r>
      <w:r>
        <w:rPr>
          <w:rFonts w:hint="eastAsia" w:ascii="仿宋" w:eastAsia="仿宋"/>
          <w:sz w:val="32"/>
          <w:szCs w:val="32"/>
          <w:lang w:val="en-US" w:eastAsia="zh-CN"/>
        </w:rPr>
        <w:t>1685.55</w:t>
      </w:r>
      <w:r>
        <w:rPr>
          <w:rFonts w:hint="eastAsia" w:ascii="仿宋" w:eastAsia="仿宋"/>
          <w:sz w:val="32"/>
          <w:szCs w:val="32"/>
        </w:rPr>
        <w:t>万元，主要用于以下方面</w:t>
      </w:r>
      <w:r>
        <w:rPr>
          <w:rFonts w:ascii="仿宋" w:eastAsia="仿宋"/>
          <w:sz w:val="32"/>
          <w:szCs w:val="32"/>
        </w:rPr>
        <w:t>:</w:t>
      </w:r>
      <w:r>
        <w:rPr>
          <w:rFonts w:hint="eastAsia" w:ascii="仿宋" w:eastAsia="仿宋"/>
          <w:b/>
          <w:sz w:val="32"/>
          <w:szCs w:val="32"/>
        </w:rPr>
        <w:t>社会保障和就业（类）</w:t>
      </w:r>
      <w:r>
        <w:rPr>
          <w:rFonts w:hint="eastAsia" w:ascii="仿宋" w:eastAsia="仿宋"/>
          <w:sz w:val="32"/>
          <w:szCs w:val="32"/>
        </w:rPr>
        <w:t>支出</w:t>
      </w:r>
      <w:r>
        <w:rPr>
          <w:rFonts w:hint="eastAsia" w:ascii="仿宋" w:eastAsia="仿宋"/>
          <w:sz w:val="32"/>
          <w:szCs w:val="32"/>
          <w:lang w:val="en-US" w:eastAsia="zh-CN"/>
        </w:rPr>
        <w:t>101.43</w:t>
      </w:r>
      <w:r>
        <w:rPr>
          <w:rFonts w:hint="eastAsia" w:ascii="仿宋" w:eastAsia="仿宋"/>
          <w:sz w:val="32"/>
          <w:szCs w:val="32"/>
        </w:rPr>
        <w:t>万元，占</w:t>
      </w:r>
      <w:r>
        <w:rPr>
          <w:rFonts w:hint="eastAsia" w:ascii="仿宋" w:eastAsia="仿宋"/>
          <w:sz w:val="32"/>
          <w:szCs w:val="32"/>
          <w:lang w:val="en-US" w:eastAsia="zh-CN"/>
        </w:rPr>
        <w:t>6.02</w:t>
      </w:r>
      <w:r>
        <w:rPr>
          <w:rFonts w:ascii="仿宋" w:eastAsia="仿宋"/>
          <w:sz w:val="32"/>
          <w:szCs w:val="32"/>
        </w:rPr>
        <w:t>%</w:t>
      </w:r>
      <w:r>
        <w:rPr>
          <w:rFonts w:hint="eastAsia" w:ascii="仿宋" w:eastAsia="仿宋"/>
          <w:sz w:val="32"/>
          <w:szCs w:val="32"/>
        </w:rPr>
        <w:t>；</w:t>
      </w:r>
      <w:r>
        <w:rPr>
          <w:rFonts w:hint="eastAsia" w:ascii="仿宋" w:eastAsia="仿宋"/>
          <w:b/>
          <w:bCs/>
          <w:sz w:val="32"/>
          <w:szCs w:val="32"/>
        </w:rPr>
        <w:t>卫生健康支出</w:t>
      </w:r>
      <w:r>
        <w:rPr>
          <w:rFonts w:hint="eastAsia" w:ascii="仿宋" w:eastAsia="仿宋"/>
          <w:b/>
          <w:bCs/>
          <w:sz w:val="32"/>
          <w:szCs w:val="32"/>
          <w:lang w:val="en-US" w:eastAsia="zh-CN"/>
        </w:rPr>
        <w:t>1521.08</w:t>
      </w:r>
      <w:r>
        <w:rPr>
          <w:rFonts w:hint="eastAsia" w:ascii="仿宋" w:eastAsia="仿宋"/>
          <w:sz w:val="32"/>
          <w:szCs w:val="32"/>
        </w:rPr>
        <w:t>万元，占</w:t>
      </w:r>
      <w:r>
        <w:rPr>
          <w:rFonts w:hint="eastAsia" w:ascii="仿宋" w:eastAsia="仿宋"/>
          <w:sz w:val="32"/>
          <w:szCs w:val="32"/>
          <w:lang w:val="en-US" w:eastAsia="zh-CN"/>
        </w:rPr>
        <w:t>90.24</w:t>
      </w:r>
      <w:r>
        <w:rPr>
          <w:rFonts w:ascii="仿宋" w:eastAsia="仿宋"/>
          <w:sz w:val="32"/>
          <w:szCs w:val="32"/>
        </w:rPr>
        <w:t>%</w:t>
      </w:r>
      <w:r>
        <w:rPr>
          <w:rFonts w:hint="eastAsia" w:ascii="仿宋" w:eastAsia="仿宋"/>
          <w:sz w:val="32"/>
          <w:szCs w:val="32"/>
        </w:rPr>
        <w:t>；</w:t>
      </w:r>
      <w:r>
        <w:rPr>
          <w:rFonts w:hint="eastAsia" w:ascii="仿宋" w:eastAsia="仿宋"/>
          <w:b/>
          <w:sz w:val="32"/>
          <w:szCs w:val="32"/>
        </w:rPr>
        <w:t>住房保障支出</w:t>
      </w:r>
      <w:r>
        <w:rPr>
          <w:rFonts w:hint="eastAsia" w:ascii="仿宋" w:eastAsia="仿宋"/>
          <w:sz w:val="32"/>
          <w:szCs w:val="32"/>
          <w:lang w:val="en-US" w:eastAsia="zh-CN"/>
        </w:rPr>
        <w:t>63.04</w:t>
      </w:r>
      <w:r>
        <w:rPr>
          <w:rFonts w:hint="eastAsia" w:ascii="仿宋" w:eastAsia="仿宋"/>
          <w:sz w:val="32"/>
          <w:szCs w:val="32"/>
        </w:rPr>
        <w:t>万元，占</w:t>
      </w:r>
      <w:r>
        <w:rPr>
          <w:rFonts w:hint="eastAsia" w:ascii="仿宋" w:eastAsia="仿宋"/>
          <w:sz w:val="32"/>
          <w:szCs w:val="32"/>
          <w:lang w:val="en-US" w:eastAsia="zh-CN"/>
        </w:rPr>
        <w:t>3.74</w:t>
      </w:r>
      <w:r>
        <w:rPr>
          <w:rFonts w:ascii="仿宋" w:eastAsia="仿宋"/>
          <w:sz w:val="32"/>
          <w:szCs w:val="32"/>
        </w:rPr>
        <w:t>%</w:t>
      </w:r>
      <w:r>
        <w:rPr>
          <w:rFonts w:hint="eastAsia" w:ascii="仿宋" w:eastAsia="仿宋"/>
          <w:sz w:val="32"/>
          <w:szCs w:val="32"/>
        </w:rPr>
        <w:t>。</w:t>
      </w:r>
    </w:p>
    <w:p>
      <w:pPr>
        <w:pStyle w:val="8"/>
        <w:rPr>
          <w:rFonts w:ascii="仿宋" w:eastAsia="仿宋"/>
          <w:sz w:val="32"/>
          <w:szCs w:val="32"/>
        </w:rPr>
      </w:pPr>
      <w:r>
        <w:drawing>
          <wp:inline distT="0" distB="0" distL="114300" distR="114300">
            <wp:extent cx="4772025" cy="2000250"/>
            <wp:effectExtent l="0" t="0" r="0" b="0"/>
            <wp:docPr id="2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3"/>
                    <pic:cNvPicPr>
                      <a:picLocks noChangeAspect="1"/>
                    </pic:cNvPicPr>
                  </pic:nvPicPr>
                  <pic:blipFill>
                    <a:blip r:embed="rId19"/>
                    <a:stretch>
                      <a:fillRect/>
                    </a:stretch>
                  </pic:blipFill>
                  <pic:spPr>
                    <a:xfrm>
                      <a:off x="0" y="0"/>
                      <a:ext cx="4772025" cy="2000250"/>
                    </a:xfrm>
                    <a:prstGeom prst="rect">
                      <a:avLst/>
                    </a:prstGeom>
                    <a:noFill/>
                    <a:ln>
                      <a:noFill/>
                    </a:ln>
                  </pic:spPr>
                </pic:pic>
              </a:graphicData>
            </a:graphic>
          </wp:inline>
        </w:drawing>
      </w:r>
    </w:p>
    <w:p>
      <w:pPr>
        <w:pStyle w:val="8"/>
        <w:rPr>
          <w:rFonts w:ascii="仿宋" w:eastAsia="仿宋"/>
          <w:sz w:val="32"/>
          <w:szCs w:val="32"/>
        </w:rPr>
      </w:pPr>
    </w:p>
    <w:p>
      <w:pPr>
        <w:spacing w:line="600" w:lineRule="exact"/>
        <w:ind w:firstLine="640" w:firstLineChars="200"/>
        <w:rPr>
          <w:rFonts w:ascii="仿宋" w:eastAsia="仿宋"/>
          <w:sz w:val="32"/>
          <w:szCs w:val="32"/>
        </w:rPr>
      </w:pPr>
      <w:r>
        <w:rPr>
          <w:rFonts w:hint="eastAsia" w:ascii="仿宋" w:eastAsia="仿宋"/>
          <w:sz w:val="32"/>
          <w:szCs w:val="32"/>
        </w:rPr>
        <w:t>（图6：一般公共预算财政拨款支出决算结构）（饼状图）</w:t>
      </w:r>
    </w:p>
    <w:p>
      <w:pPr>
        <w:spacing w:line="600" w:lineRule="exact"/>
        <w:ind w:firstLine="640" w:firstLineChars="200"/>
        <w:rPr>
          <w:rFonts w:ascii="仿宋" w:eastAsia="仿宋"/>
          <w:sz w:val="32"/>
          <w:szCs w:val="32"/>
        </w:rPr>
      </w:pPr>
    </w:p>
    <w:p>
      <w:pPr>
        <w:spacing w:line="600" w:lineRule="exact"/>
        <w:ind w:firstLine="643" w:firstLineChars="200"/>
        <w:outlineLvl w:val="2"/>
        <w:rPr>
          <w:rFonts w:ascii="仿宋" w:eastAsia="仿宋"/>
          <w:b/>
          <w:sz w:val="32"/>
          <w:szCs w:val="32"/>
        </w:rPr>
      </w:pPr>
      <w:bookmarkStart w:id="32" w:name="_Toc15377212"/>
      <w:r>
        <w:rPr>
          <w:rFonts w:hint="eastAsia" w:ascii="仿宋" w:eastAsia="仿宋"/>
          <w:b/>
          <w:sz w:val="32"/>
          <w:szCs w:val="32"/>
        </w:rPr>
        <w:t>（三）一般公共预算财政拨款支出决算具体情况</w:t>
      </w:r>
      <w:bookmarkEnd w:id="32"/>
    </w:p>
    <w:p>
      <w:pPr>
        <w:spacing w:line="600" w:lineRule="exact"/>
        <w:ind w:firstLine="643" w:firstLineChars="200"/>
        <w:outlineLvl w:val="2"/>
        <w:rPr>
          <w:rFonts w:ascii="仿宋" w:eastAsia="仿宋"/>
          <w:sz w:val="32"/>
          <w:szCs w:val="32"/>
        </w:rPr>
      </w:pPr>
      <w:bookmarkStart w:id="33" w:name="_Toc15378460"/>
      <w:bookmarkStart w:id="34" w:name="_Toc15377213"/>
      <w:bookmarkStart w:id="35" w:name="_Toc15377444"/>
      <w:r>
        <w:rPr>
          <w:rFonts w:hint="eastAsia" w:ascii="仿宋" w:eastAsia="仿宋"/>
          <w:b/>
          <w:sz w:val="32"/>
          <w:szCs w:val="32"/>
        </w:rPr>
        <w:t>2021年一般公共预算支出决算数为</w:t>
      </w:r>
      <w:r>
        <w:rPr>
          <w:rFonts w:hint="eastAsia" w:ascii="仿宋" w:eastAsia="仿宋"/>
          <w:b/>
          <w:sz w:val="32"/>
          <w:szCs w:val="32"/>
          <w:lang w:val="en-US" w:eastAsia="zh-CN"/>
        </w:rPr>
        <w:t>1685.55万元</w:t>
      </w:r>
      <w:r>
        <w:rPr>
          <w:rFonts w:hint="eastAsia" w:ascii="仿宋" w:eastAsia="仿宋"/>
          <w:sz w:val="32"/>
          <w:szCs w:val="32"/>
        </w:rPr>
        <w:t>，</w:t>
      </w:r>
      <w:r>
        <w:rPr>
          <w:rStyle w:val="17"/>
          <w:rFonts w:hint="eastAsia" w:ascii="仿宋" w:eastAsia="仿宋"/>
          <w:bCs/>
          <w:sz w:val="32"/>
          <w:szCs w:val="32"/>
        </w:rPr>
        <w:t>完成预算</w:t>
      </w:r>
      <w:r>
        <w:rPr>
          <w:rStyle w:val="17"/>
          <w:rFonts w:hint="eastAsia" w:ascii="仿宋" w:eastAsia="仿宋"/>
          <w:bCs/>
          <w:sz w:val="32"/>
          <w:szCs w:val="32"/>
          <w:lang w:val="en-US" w:eastAsia="zh-CN"/>
        </w:rPr>
        <w:t>100</w:t>
      </w:r>
      <w:r>
        <w:rPr>
          <w:rStyle w:val="17"/>
          <w:rFonts w:ascii="仿宋" w:eastAsia="仿宋"/>
          <w:bCs/>
          <w:sz w:val="32"/>
          <w:szCs w:val="32"/>
        </w:rPr>
        <w:t>%</w:t>
      </w:r>
      <w:r>
        <w:rPr>
          <w:rStyle w:val="17"/>
          <w:rFonts w:hint="eastAsia" w:ascii="仿宋" w:eastAsia="仿宋"/>
          <w:bCs/>
          <w:sz w:val="32"/>
          <w:szCs w:val="32"/>
        </w:rPr>
        <w:t>。其中：</w:t>
      </w:r>
      <w:bookmarkEnd w:id="33"/>
      <w:bookmarkEnd w:id="34"/>
      <w:bookmarkEnd w:id="35"/>
    </w:p>
    <w:p>
      <w:pPr>
        <w:spacing w:line="600" w:lineRule="exact"/>
        <w:ind w:firstLine="643" w:firstLineChars="200"/>
        <w:rPr>
          <w:rFonts w:ascii="仿宋" w:eastAsia="仿宋"/>
          <w:b/>
          <w:sz w:val="32"/>
          <w:szCs w:val="32"/>
        </w:rPr>
      </w:pPr>
      <w:r>
        <w:rPr>
          <w:rStyle w:val="17"/>
          <w:rFonts w:ascii="仿宋" w:eastAsia="仿宋"/>
          <w:bCs/>
          <w:sz w:val="32"/>
          <w:szCs w:val="32"/>
        </w:rPr>
        <w:t>1.</w:t>
      </w:r>
      <w:r>
        <w:rPr>
          <w:rStyle w:val="17"/>
          <w:rFonts w:hint="eastAsia" w:ascii="仿宋" w:eastAsia="仿宋"/>
          <w:bCs/>
          <w:sz w:val="32"/>
          <w:szCs w:val="32"/>
        </w:rPr>
        <w:t>社会保障和就业</w:t>
      </w:r>
      <w:r>
        <w:rPr>
          <w:rStyle w:val="17"/>
          <w:rFonts w:hint="eastAsia" w:ascii="仿宋" w:eastAsia="仿宋"/>
          <w:bCs/>
          <w:sz w:val="32"/>
          <w:szCs w:val="32"/>
          <w:lang w:val="en-US" w:eastAsia="zh-CN"/>
        </w:rPr>
        <w:t>208</w:t>
      </w:r>
      <w:r>
        <w:rPr>
          <w:rStyle w:val="17"/>
          <w:rFonts w:ascii="仿宋" w:eastAsia="仿宋"/>
          <w:bCs/>
          <w:sz w:val="32"/>
          <w:szCs w:val="32"/>
        </w:rPr>
        <w:t>:</w:t>
      </w:r>
      <w:r>
        <w:rPr>
          <w:rStyle w:val="17"/>
          <w:rFonts w:ascii="仿宋" w:eastAsia="仿宋"/>
          <w:b w:val="0"/>
          <w:bCs/>
          <w:sz w:val="32"/>
          <w:szCs w:val="32"/>
        </w:rPr>
        <w:t xml:space="preserve"> </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104.42</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，决算数等于预算数</w:t>
      </w:r>
      <w:r>
        <w:rPr>
          <w:rStyle w:val="17"/>
          <w:rFonts w:hint="eastAsia" w:ascii="仿宋" w:eastAsia="仿宋"/>
          <w:b w:val="0"/>
          <w:bCs/>
          <w:sz w:val="32"/>
          <w:szCs w:val="32"/>
          <w:lang w:eastAsia="zh-CN"/>
        </w:rPr>
        <w:t>（其中</w:t>
      </w:r>
      <w:r>
        <w:rPr>
          <w:rStyle w:val="17"/>
          <w:rFonts w:hint="eastAsia" w:ascii="仿宋" w:eastAsia="仿宋"/>
          <w:b w:val="0"/>
          <w:bCs/>
          <w:sz w:val="32"/>
          <w:szCs w:val="32"/>
          <w:lang w:val="en-US" w:eastAsia="zh-CN"/>
        </w:rPr>
        <w:t>2080505-机关事业单位基本养老保险缴费支出67.81万元，2080506-机关事业单位职业年金缴费支出33.61万元）</w:t>
      </w:r>
    </w:p>
    <w:p>
      <w:pPr>
        <w:spacing w:line="600" w:lineRule="exact"/>
        <w:ind w:firstLine="643" w:firstLineChars="200"/>
        <w:rPr>
          <w:rFonts w:ascii="仿宋" w:eastAsia="仿宋"/>
          <w:b/>
          <w:sz w:val="32"/>
          <w:szCs w:val="32"/>
        </w:rPr>
      </w:pPr>
      <w:r>
        <w:rPr>
          <w:rStyle w:val="17"/>
          <w:rFonts w:hint="eastAsia" w:ascii="仿宋" w:eastAsia="仿宋"/>
          <w:bCs/>
          <w:sz w:val="32"/>
          <w:szCs w:val="32"/>
          <w:lang w:val="en-US" w:eastAsia="zh-CN"/>
        </w:rPr>
        <w:t>2</w:t>
      </w:r>
      <w:r>
        <w:rPr>
          <w:rStyle w:val="17"/>
          <w:rFonts w:ascii="仿宋" w:eastAsia="仿宋"/>
          <w:bCs/>
          <w:sz w:val="32"/>
          <w:szCs w:val="32"/>
        </w:rPr>
        <w:t>.</w:t>
      </w:r>
      <w:r>
        <w:rPr>
          <w:rFonts w:hint="eastAsia" w:ascii="仿宋" w:eastAsia="仿宋"/>
          <w:b/>
          <w:bCs/>
          <w:sz w:val="32"/>
          <w:szCs w:val="32"/>
        </w:rPr>
        <w:t>卫生健康</w:t>
      </w:r>
      <w:r>
        <w:rPr>
          <w:rStyle w:val="17"/>
          <w:rFonts w:hint="eastAsia" w:ascii="仿宋" w:eastAsia="仿宋"/>
          <w:bCs/>
          <w:sz w:val="32"/>
          <w:szCs w:val="32"/>
          <w:lang w:val="en-US" w:eastAsia="zh-CN"/>
        </w:rPr>
        <w:t>210</w:t>
      </w:r>
      <w:r>
        <w:rPr>
          <w:rStyle w:val="17"/>
          <w:rFonts w:ascii="仿宋" w:eastAsia="仿宋"/>
          <w:bCs/>
          <w:sz w:val="32"/>
          <w:szCs w:val="32"/>
        </w:rPr>
        <w:t>:</w:t>
      </w:r>
      <w:r>
        <w:rPr>
          <w:rStyle w:val="17"/>
          <w:rFonts w:hint="eastAsia" w:ascii="仿宋" w:eastAsia="仿宋"/>
          <w:b w:val="0"/>
          <w:bCs/>
          <w:sz w:val="32"/>
          <w:szCs w:val="32"/>
        </w:rPr>
        <w:t>支出决算为</w:t>
      </w:r>
      <w:r>
        <w:rPr>
          <w:rStyle w:val="17"/>
          <w:rFonts w:hint="eastAsia" w:ascii="仿宋" w:eastAsia="仿宋"/>
          <w:b w:val="0"/>
          <w:bCs/>
          <w:sz w:val="32"/>
          <w:szCs w:val="32"/>
          <w:lang w:val="en-US" w:eastAsia="zh-CN"/>
        </w:rPr>
        <w:t>1521.08</w:t>
      </w:r>
      <w:r>
        <w:rPr>
          <w:rStyle w:val="17"/>
          <w:rFonts w:hint="eastAsia" w:ascii="仿宋" w:eastAsia="仿宋"/>
          <w:b w:val="0"/>
          <w:bCs/>
          <w:sz w:val="32"/>
          <w:szCs w:val="32"/>
        </w:rPr>
        <w:t>万元，完成预算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，决算数等于预算数</w:t>
      </w:r>
      <w:r>
        <w:rPr>
          <w:rStyle w:val="17"/>
          <w:rFonts w:hint="eastAsia" w:ascii="仿宋" w:eastAsia="仿宋"/>
          <w:b w:val="0"/>
          <w:bCs/>
          <w:sz w:val="32"/>
          <w:szCs w:val="32"/>
          <w:lang w:eastAsia="zh-CN"/>
        </w:rPr>
        <w:t>（其中</w:t>
      </w:r>
      <w:r>
        <w:rPr>
          <w:rStyle w:val="17"/>
          <w:rFonts w:hint="eastAsia" w:ascii="仿宋" w:eastAsia="仿宋"/>
          <w:b w:val="0"/>
          <w:bCs/>
          <w:sz w:val="32"/>
          <w:szCs w:val="32"/>
          <w:lang w:val="en-US" w:eastAsia="zh-CN"/>
        </w:rPr>
        <w:t>2100202-中医（民族）医院支出651.89万元、2100399-其他基层医疗卫生机构支出10万元、2100408-基本公共卫生服务支出670.61万元、2100601-中医（民族医）药专项支出12.40万元、2101102-事业单位医疗支出31.29万元、2101199-其他行政事业单位医疗支出9.46万元、2109999-其他卫生健康支出135.43万元</w:t>
      </w:r>
      <w:r>
        <w:rPr>
          <w:rStyle w:val="17"/>
          <w:rFonts w:hint="eastAsia" w:ascii="仿宋" w:eastAsia="仿宋"/>
          <w:b w:val="0"/>
          <w:bCs/>
          <w:sz w:val="32"/>
          <w:szCs w:val="32"/>
          <w:lang w:eastAsia="zh-CN"/>
        </w:rPr>
        <w:t>）</w:t>
      </w:r>
      <w:r>
        <w:rPr>
          <w:rStyle w:val="17"/>
          <w:rFonts w:hint="eastAsia" w:ascii="仿宋" w:eastAsia="仿宋"/>
          <w:b w:val="0"/>
          <w:bCs/>
          <w:sz w:val="32"/>
          <w:szCs w:val="32"/>
        </w:rPr>
        <w:t>。</w:t>
      </w:r>
    </w:p>
    <w:p>
      <w:pPr>
        <w:spacing w:line="600" w:lineRule="exact"/>
        <w:ind w:firstLine="643" w:firstLineChars="200"/>
        <w:rPr>
          <w:rStyle w:val="17"/>
          <w:rFonts w:hint="eastAsia" w:ascii="仿宋" w:eastAsia="仿宋"/>
          <w:b w:val="0"/>
          <w:bCs/>
          <w:sz w:val="32"/>
          <w:szCs w:val="32"/>
          <w:lang w:val="en-US" w:eastAsia="zh-CN"/>
        </w:rPr>
      </w:pPr>
      <w:r>
        <w:rPr>
          <w:rStyle w:val="17"/>
          <w:rFonts w:hint="eastAsia" w:ascii="仿宋" w:eastAsia="仿宋"/>
          <w:bCs/>
          <w:sz w:val="32"/>
          <w:szCs w:val="32"/>
          <w:lang w:val="en-US" w:eastAsia="zh-CN"/>
        </w:rPr>
        <w:t>3</w:t>
      </w:r>
      <w:r>
        <w:rPr>
          <w:rStyle w:val="17"/>
          <w:rFonts w:ascii="仿宋" w:eastAsia="仿宋"/>
          <w:bCs/>
          <w:sz w:val="32"/>
          <w:szCs w:val="32"/>
        </w:rPr>
        <w:t>.</w:t>
      </w:r>
      <w:r>
        <w:rPr>
          <w:rFonts w:hint="eastAsia" w:ascii="仿宋" w:eastAsia="仿宋"/>
          <w:b/>
          <w:sz w:val="32"/>
          <w:szCs w:val="32"/>
        </w:rPr>
        <w:t>住房保障</w:t>
      </w:r>
      <w:r>
        <w:rPr>
          <w:rFonts w:hint="eastAsia" w:ascii="仿宋" w:eastAsia="仿宋"/>
          <w:b/>
          <w:sz w:val="32"/>
          <w:szCs w:val="32"/>
          <w:lang w:val="en-US" w:eastAsia="zh-CN"/>
        </w:rPr>
        <w:t>221：</w:t>
      </w:r>
      <w:r>
        <w:rPr>
          <w:rStyle w:val="17"/>
          <w:rFonts w:hint="eastAsia" w:ascii="仿宋" w:eastAsia="仿宋"/>
          <w:b w:val="0"/>
          <w:bCs/>
          <w:sz w:val="32"/>
          <w:szCs w:val="32"/>
          <w:lang w:val="en-US" w:eastAsia="zh-CN"/>
        </w:rPr>
        <w:t>支出决算数为63.04万元，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100</w:t>
      </w:r>
      <w:r>
        <w:rPr>
          <w:rStyle w:val="17"/>
          <w:rFonts w:ascii="仿宋" w:eastAsia="仿宋"/>
          <w:b w:val="0"/>
          <w:bCs/>
          <w:sz w:val="32"/>
          <w:szCs w:val="32"/>
        </w:rPr>
        <w:t>%</w:t>
      </w:r>
      <w:r>
        <w:rPr>
          <w:rStyle w:val="17"/>
          <w:rFonts w:hint="eastAsia" w:ascii="仿宋" w:eastAsia="仿宋"/>
          <w:b w:val="0"/>
          <w:bCs/>
          <w:sz w:val="32"/>
          <w:szCs w:val="32"/>
        </w:rPr>
        <w:t>，决算数等于预算数</w:t>
      </w:r>
      <w:r>
        <w:rPr>
          <w:rStyle w:val="17"/>
          <w:rFonts w:hint="eastAsia" w:ascii="仿宋" w:eastAsia="仿宋"/>
          <w:b w:val="0"/>
          <w:bCs/>
          <w:sz w:val="32"/>
          <w:szCs w:val="32"/>
          <w:lang w:eastAsia="zh-CN"/>
        </w:rPr>
        <w:t>（其中</w:t>
      </w:r>
      <w:r>
        <w:rPr>
          <w:rStyle w:val="17"/>
          <w:rFonts w:hint="eastAsia" w:ascii="仿宋" w:eastAsia="仿宋"/>
          <w:b w:val="0"/>
          <w:bCs/>
          <w:sz w:val="32"/>
          <w:szCs w:val="32"/>
          <w:lang w:val="en-US" w:eastAsia="zh-CN"/>
        </w:rPr>
        <w:t>2210201-住房公积金支出63.04万元</w:t>
      </w:r>
      <w:r>
        <w:rPr>
          <w:rStyle w:val="17"/>
          <w:rFonts w:hint="eastAsia" w:ascii="仿宋" w:eastAsia="仿宋"/>
          <w:b w:val="0"/>
          <w:bCs/>
          <w:sz w:val="32"/>
          <w:szCs w:val="32"/>
          <w:lang w:eastAsia="zh-CN"/>
        </w:rPr>
        <w:t>）</w:t>
      </w:r>
    </w:p>
    <w:p>
      <w:pPr>
        <w:spacing w:line="600" w:lineRule="exact"/>
        <w:ind w:firstLine="640"/>
        <w:rPr>
          <w:rFonts w:ascii="仿宋" w:eastAsia="仿宋"/>
          <w:b/>
          <w:sz w:val="32"/>
          <w:szCs w:val="32"/>
        </w:rPr>
      </w:pPr>
    </w:p>
    <w:p>
      <w:pPr>
        <w:tabs>
          <w:tab w:val="right" w:pos="8306"/>
        </w:tabs>
        <w:spacing w:line="600" w:lineRule="exact"/>
        <w:ind w:firstLine="640"/>
        <w:outlineLvl w:val="1"/>
        <w:rPr>
          <w:rStyle w:val="20"/>
        </w:rPr>
      </w:pPr>
      <w:bookmarkStart w:id="36" w:name="_Toc15377214"/>
      <w:bookmarkStart w:id="37" w:name="_Toc15396608"/>
      <w:r>
        <w:rPr>
          <w:rFonts w:hint="eastAsia" w:ascii="黑体" w:eastAsia="黑体"/>
          <w:sz w:val="32"/>
          <w:szCs w:val="32"/>
        </w:rPr>
        <w:t>六</w:t>
      </w:r>
      <w:r>
        <w:rPr>
          <w:rFonts w:hint="eastAsia" w:ascii="黑体" w:eastAsia="黑体"/>
          <w:b/>
          <w:sz w:val="32"/>
          <w:szCs w:val="32"/>
        </w:rPr>
        <w:t>、一</w:t>
      </w:r>
      <w:r>
        <w:rPr>
          <w:rStyle w:val="20"/>
          <w:rFonts w:hint="eastAsia" w:ascii="黑体" w:eastAsia="黑体"/>
          <w:b w:val="0"/>
        </w:rPr>
        <w:t>般公共预算财政拨款基本支出决算情况说明</w:t>
      </w:r>
      <w:bookmarkEnd w:id="36"/>
      <w:bookmarkEnd w:id="37"/>
      <w:r>
        <w:rPr>
          <w:rStyle w:val="20"/>
          <w:rFonts w:ascii="黑体" w:eastAsia="黑体"/>
          <w:b w:val="0"/>
        </w:rPr>
        <w:tab/>
      </w:r>
    </w:p>
    <w:p>
      <w:pPr>
        <w:spacing w:line="600" w:lineRule="exact"/>
        <w:ind w:firstLine="645"/>
        <w:rPr>
          <w:rFonts w:ascii="仿宋" w:eastAsia="仿宋"/>
          <w:sz w:val="32"/>
          <w:szCs w:val="32"/>
        </w:rPr>
      </w:pPr>
      <w:r>
        <w:rPr>
          <w:rFonts w:ascii="仿宋" w:eastAsia="仿宋"/>
          <w:sz w:val="32"/>
          <w:szCs w:val="32"/>
        </w:rPr>
        <w:t>20</w:t>
      </w:r>
      <w:r>
        <w:rPr>
          <w:rFonts w:hint="eastAsia" w:ascii="仿宋" w:eastAsia="仿宋"/>
          <w:sz w:val="32"/>
          <w:szCs w:val="32"/>
        </w:rPr>
        <w:t>21年一般公共预算财政拨款基本支出</w:t>
      </w:r>
      <w:r>
        <w:rPr>
          <w:rFonts w:hint="eastAsia" w:ascii="仿宋" w:eastAsia="仿宋"/>
          <w:sz w:val="32"/>
          <w:szCs w:val="32"/>
          <w:lang w:val="en-US" w:eastAsia="zh-CN"/>
        </w:rPr>
        <w:t>821.69</w:t>
      </w:r>
      <w:r>
        <w:rPr>
          <w:rFonts w:hint="eastAsia" w:ascii="仿宋" w:eastAsia="仿宋"/>
          <w:sz w:val="32"/>
          <w:szCs w:val="32"/>
        </w:rPr>
        <w:t>万元，其中：</w:t>
      </w:r>
    </w:p>
    <w:p>
      <w:pPr>
        <w:spacing w:line="600" w:lineRule="exact"/>
        <w:ind w:firstLine="645"/>
        <w:rPr>
          <w:rFonts w:hint="eastAsia" w:ascii="仿宋" w:eastAsia="仿宋"/>
          <w:sz w:val="32"/>
          <w:szCs w:val="32"/>
          <w:lang w:eastAsia="zh-CN"/>
        </w:rPr>
      </w:pPr>
      <w:r>
        <w:rPr>
          <w:rFonts w:hint="eastAsia" w:ascii="仿宋" w:eastAsia="仿宋"/>
          <w:sz w:val="32"/>
          <w:szCs w:val="32"/>
        </w:rPr>
        <w:t>人员经费</w:t>
      </w:r>
      <w:r>
        <w:rPr>
          <w:rFonts w:hint="eastAsia" w:ascii="仿宋" w:eastAsia="仿宋"/>
          <w:sz w:val="32"/>
          <w:szCs w:val="32"/>
          <w:lang w:val="en-US" w:eastAsia="zh-CN"/>
        </w:rPr>
        <w:t>813.18</w:t>
      </w:r>
      <w:r>
        <w:rPr>
          <w:rFonts w:hint="eastAsia" w:ascii="仿宋" w:eastAsia="仿宋"/>
          <w:sz w:val="32"/>
          <w:szCs w:val="32"/>
        </w:rPr>
        <w:t>万元，主要包括：基本工资</w:t>
      </w:r>
      <w:r>
        <w:rPr>
          <w:rFonts w:hint="eastAsia" w:ascii="仿宋" w:eastAsia="仿宋"/>
          <w:sz w:val="32"/>
          <w:szCs w:val="32"/>
          <w:lang w:eastAsia="zh-CN"/>
        </w:rPr>
        <w:t>支出</w:t>
      </w:r>
      <w:r>
        <w:rPr>
          <w:rFonts w:hint="eastAsia" w:ascii="仿宋" w:eastAsia="仿宋"/>
          <w:sz w:val="32"/>
          <w:szCs w:val="32"/>
          <w:lang w:val="en-US" w:eastAsia="zh-CN"/>
        </w:rPr>
        <w:t>163.16万元</w:t>
      </w:r>
      <w:r>
        <w:rPr>
          <w:rFonts w:hint="eastAsia" w:ascii="仿宋" w:eastAsia="仿宋"/>
          <w:sz w:val="32"/>
          <w:szCs w:val="32"/>
        </w:rPr>
        <w:t>、津贴补贴</w:t>
      </w:r>
      <w:r>
        <w:rPr>
          <w:rFonts w:hint="eastAsia" w:ascii="仿宋" w:eastAsia="仿宋"/>
          <w:sz w:val="32"/>
          <w:szCs w:val="32"/>
          <w:lang w:eastAsia="zh-CN"/>
        </w:rPr>
        <w:t>支出</w:t>
      </w:r>
      <w:r>
        <w:rPr>
          <w:rFonts w:hint="eastAsia" w:ascii="仿宋" w:eastAsia="仿宋"/>
          <w:sz w:val="32"/>
          <w:szCs w:val="32"/>
          <w:lang w:val="en-US" w:eastAsia="zh-CN"/>
        </w:rPr>
        <w:t>277.56万元</w:t>
      </w:r>
      <w:r>
        <w:rPr>
          <w:rFonts w:hint="eastAsia" w:ascii="仿宋" w:eastAsia="仿宋"/>
          <w:sz w:val="32"/>
          <w:szCs w:val="32"/>
        </w:rPr>
        <w:t>、绩效工资</w:t>
      </w:r>
      <w:r>
        <w:rPr>
          <w:rFonts w:hint="eastAsia" w:ascii="仿宋" w:eastAsia="仿宋"/>
          <w:sz w:val="32"/>
          <w:szCs w:val="32"/>
          <w:lang w:val="en-US" w:eastAsia="zh-CN"/>
        </w:rPr>
        <w:t>146.58万元</w:t>
      </w:r>
      <w:r>
        <w:rPr>
          <w:rFonts w:hint="eastAsia" w:ascii="仿宋" w:eastAsia="仿宋"/>
          <w:sz w:val="32"/>
          <w:szCs w:val="32"/>
        </w:rPr>
        <w:t>、机关事业单位基本养老保险缴费</w:t>
      </w:r>
      <w:r>
        <w:rPr>
          <w:rFonts w:hint="eastAsia" w:ascii="仿宋" w:eastAsia="仿宋"/>
          <w:sz w:val="32"/>
          <w:szCs w:val="32"/>
          <w:lang w:val="en-US" w:eastAsia="zh-CN"/>
        </w:rPr>
        <w:t>67.82万元</w:t>
      </w:r>
      <w:r>
        <w:rPr>
          <w:rFonts w:hint="eastAsia" w:ascii="仿宋" w:eastAsia="仿宋"/>
          <w:sz w:val="32"/>
          <w:szCs w:val="32"/>
        </w:rPr>
        <w:t>、职业年金缴费</w:t>
      </w:r>
      <w:r>
        <w:rPr>
          <w:rFonts w:hint="eastAsia" w:ascii="仿宋" w:eastAsia="仿宋"/>
          <w:sz w:val="32"/>
          <w:szCs w:val="32"/>
          <w:lang w:val="en-US" w:eastAsia="zh-CN"/>
        </w:rPr>
        <w:t>33.61万元</w:t>
      </w:r>
      <w:r>
        <w:rPr>
          <w:rFonts w:hint="eastAsia" w:ascii="仿宋" w:eastAsia="仿宋"/>
          <w:sz w:val="32"/>
          <w:szCs w:val="32"/>
        </w:rPr>
        <w:t>、</w:t>
      </w:r>
      <w:r>
        <w:rPr>
          <w:rFonts w:hint="eastAsia" w:ascii="仿宋" w:eastAsia="仿宋"/>
          <w:sz w:val="32"/>
          <w:szCs w:val="32"/>
          <w:lang w:eastAsia="zh-CN"/>
        </w:rPr>
        <w:t>职工基本医疗保险费</w:t>
      </w:r>
      <w:r>
        <w:rPr>
          <w:rFonts w:hint="eastAsia" w:ascii="仿宋" w:eastAsia="仿宋"/>
          <w:sz w:val="32"/>
          <w:szCs w:val="32"/>
          <w:lang w:val="en-US" w:eastAsia="zh-CN"/>
        </w:rPr>
        <w:t>31.29万元、公务员医疗补助缴费9.46万元、生活补助费5万元、</w:t>
      </w:r>
      <w:r>
        <w:rPr>
          <w:rFonts w:hint="eastAsia" w:ascii="仿宋" w:eastAsia="仿宋"/>
          <w:sz w:val="32"/>
          <w:szCs w:val="32"/>
        </w:rPr>
        <w:t>其他社会保障缴费</w:t>
      </w:r>
      <w:r>
        <w:rPr>
          <w:rFonts w:hint="eastAsia" w:ascii="仿宋" w:eastAsia="仿宋"/>
          <w:sz w:val="32"/>
          <w:szCs w:val="32"/>
          <w:lang w:val="en-US" w:eastAsia="zh-CN"/>
        </w:rPr>
        <w:t>10.61万元</w:t>
      </w:r>
      <w:r>
        <w:rPr>
          <w:rFonts w:hint="eastAsia" w:ascii="仿宋" w:eastAsia="仿宋"/>
          <w:sz w:val="32"/>
          <w:szCs w:val="32"/>
        </w:rPr>
        <w:t>、医疗费补助</w:t>
      </w:r>
      <w:r>
        <w:rPr>
          <w:rFonts w:hint="eastAsia" w:ascii="仿宋" w:eastAsia="仿宋"/>
          <w:sz w:val="32"/>
          <w:szCs w:val="32"/>
          <w:lang w:val="en-US" w:eastAsia="zh-CN"/>
        </w:rPr>
        <w:t>5.05万元</w:t>
      </w:r>
      <w:r>
        <w:rPr>
          <w:rFonts w:hint="eastAsia" w:ascii="仿宋" w:eastAsia="仿宋"/>
          <w:sz w:val="32"/>
          <w:szCs w:val="32"/>
        </w:rPr>
        <w:t>、住房公积金</w:t>
      </w:r>
      <w:r>
        <w:rPr>
          <w:rFonts w:hint="eastAsia" w:ascii="仿宋" w:eastAsia="仿宋"/>
          <w:sz w:val="32"/>
          <w:szCs w:val="32"/>
          <w:lang w:val="en-US" w:eastAsia="zh-CN"/>
        </w:rPr>
        <w:t>63.04万元</w:t>
      </w:r>
      <w:r>
        <w:rPr>
          <w:rFonts w:hint="eastAsia" w:ascii="仿宋" w:eastAsia="仿宋"/>
          <w:sz w:val="32"/>
          <w:szCs w:val="32"/>
        </w:rPr>
        <w:t>。</w:t>
      </w:r>
    </w:p>
    <w:p>
      <w:pPr>
        <w:spacing w:line="600" w:lineRule="exact"/>
        <w:ind w:firstLine="640" w:firstLineChars="200"/>
        <w:outlineLvl w:val="1"/>
        <w:rPr>
          <w:rFonts w:hint="eastAsia" w:ascii="仿宋" w:eastAsia="仿宋"/>
          <w:sz w:val="32"/>
          <w:szCs w:val="32"/>
          <w:lang w:val="en-US" w:eastAsia="zh-CN"/>
        </w:rPr>
      </w:pPr>
      <w:r>
        <w:rPr>
          <w:rFonts w:hint="eastAsia" w:ascii="仿宋" w:eastAsia="仿宋"/>
          <w:sz w:val="32"/>
          <w:szCs w:val="32"/>
        </w:rPr>
        <w:t>公用经费</w:t>
      </w:r>
      <w:r>
        <w:rPr>
          <w:rFonts w:hint="eastAsia" w:ascii="仿宋" w:eastAsia="仿宋"/>
          <w:sz w:val="32"/>
          <w:szCs w:val="32"/>
          <w:lang w:val="en-US" w:eastAsia="zh-CN"/>
        </w:rPr>
        <w:t>8.51</w:t>
      </w:r>
      <w:r>
        <w:rPr>
          <w:rFonts w:hint="eastAsia" w:ascii="仿宋" w:eastAsia="仿宋"/>
          <w:sz w:val="32"/>
          <w:szCs w:val="32"/>
        </w:rPr>
        <w:t>万元，主要包括：办公费</w:t>
      </w:r>
      <w:r>
        <w:rPr>
          <w:rFonts w:hint="eastAsia" w:ascii="仿宋" w:eastAsia="仿宋"/>
          <w:sz w:val="32"/>
          <w:szCs w:val="32"/>
          <w:lang w:val="en-US" w:eastAsia="zh-CN"/>
        </w:rPr>
        <w:t>8.51万元，主要用于党建资料的支出。</w:t>
      </w:r>
    </w:p>
    <w:p>
      <w:pPr>
        <w:spacing w:line="600" w:lineRule="exact"/>
        <w:ind w:firstLine="640" w:firstLineChars="200"/>
        <w:outlineLvl w:val="1"/>
        <w:rPr>
          <w:rStyle w:val="20"/>
          <w:rFonts w:ascii="黑体" w:eastAsia="黑体"/>
          <w:b w:val="0"/>
        </w:rPr>
      </w:pPr>
      <w:bookmarkStart w:id="38" w:name="_Toc15396609"/>
      <w:bookmarkStart w:id="39" w:name="_Toc15377215"/>
      <w:r>
        <w:rPr>
          <w:rFonts w:hint="eastAsia" w:ascii="黑体" w:eastAsia="黑体"/>
          <w:sz w:val="32"/>
          <w:szCs w:val="32"/>
        </w:rPr>
        <w:t>七、</w:t>
      </w:r>
      <w:r>
        <w:rPr>
          <w:rStyle w:val="20"/>
          <w:rFonts w:hint="eastAsia" w:ascii="黑体" w:eastAsia="黑体"/>
        </w:rPr>
        <w:t>“</w:t>
      </w:r>
      <w:r>
        <w:rPr>
          <w:rStyle w:val="20"/>
          <w:rFonts w:hint="eastAsia" w:ascii="黑体" w:eastAsia="黑体"/>
          <w:b w:val="0"/>
        </w:rPr>
        <w:t>三公”经费财政拨款支出决算情况说明</w:t>
      </w:r>
      <w:bookmarkEnd w:id="38"/>
      <w:bookmarkEnd w:id="39"/>
    </w:p>
    <w:p>
      <w:pPr>
        <w:spacing w:line="600" w:lineRule="exact"/>
        <w:ind w:firstLine="640"/>
        <w:outlineLvl w:val="2"/>
        <w:rPr>
          <w:rFonts w:ascii="仿宋" w:eastAsia="仿宋"/>
          <w:b/>
          <w:sz w:val="32"/>
          <w:szCs w:val="32"/>
        </w:rPr>
      </w:pPr>
      <w:bookmarkStart w:id="40" w:name="_Toc15377216"/>
      <w:r>
        <w:rPr>
          <w:rFonts w:hint="eastAsia" w:ascii="仿宋" w:eastAsia="仿宋"/>
          <w:b/>
          <w:sz w:val="32"/>
          <w:szCs w:val="32"/>
        </w:rPr>
        <w:t>（一）“三公”经费财政拨款支出决算总体情况说明</w:t>
      </w:r>
      <w:bookmarkEnd w:id="40"/>
    </w:p>
    <w:p>
      <w:pPr>
        <w:spacing w:line="600" w:lineRule="exact"/>
        <w:ind w:firstLine="640"/>
        <w:rPr>
          <w:rFonts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21年“三公”经费财政拨款支出决算为</w:t>
      </w:r>
      <w:r>
        <w:rPr>
          <w:rFonts w:hint="eastAsia" w:ascii="仿宋" w:eastAsia="仿宋"/>
          <w:sz w:val="32"/>
          <w:szCs w:val="32"/>
          <w:lang w:val="en-US" w:eastAsia="zh-CN"/>
        </w:rPr>
        <w:t>0</w:t>
      </w:r>
      <w:r>
        <w:rPr>
          <w:rFonts w:hint="eastAsia" w:ascii="仿宋" w:eastAsia="仿宋"/>
          <w:sz w:val="32"/>
          <w:szCs w:val="32"/>
        </w:rPr>
        <w:t>万元，完成预算</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，主要原因</w:t>
      </w:r>
      <w:r>
        <w:rPr>
          <w:rFonts w:hint="eastAsia" w:ascii="仿宋" w:eastAsia="仿宋"/>
          <w:sz w:val="32"/>
          <w:szCs w:val="32"/>
          <w:lang w:eastAsia="zh-CN"/>
        </w:rPr>
        <w:t>是医院无财政拨款的“三公”经费</w:t>
      </w:r>
      <w:r>
        <w:rPr>
          <w:rFonts w:hint="eastAsia" w:ascii="仿宋" w:eastAsia="仿宋"/>
          <w:sz w:val="32"/>
          <w:szCs w:val="32"/>
        </w:rPr>
        <w:t>。</w:t>
      </w:r>
    </w:p>
    <w:p>
      <w:pPr>
        <w:spacing w:line="600" w:lineRule="exact"/>
        <w:ind w:firstLine="640"/>
        <w:outlineLvl w:val="2"/>
        <w:rPr>
          <w:rFonts w:ascii="仿宋" w:eastAsia="仿宋"/>
          <w:b/>
          <w:sz w:val="32"/>
          <w:szCs w:val="32"/>
        </w:rPr>
      </w:pPr>
      <w:bookmarkStart w:id="41" w:name="_Toc15377217"/>
      <w:r>
        <w:rPr>
          <w:rFonts w:hint="eastAsia" w:ascii="仿宋" w:eastAsia="仿宋"/>
          <w:b/>
          <w:sz w:val="32"/>
          <w:szCs w:val="32"/>
        </w:rPr>
        <w:t>（二）“三公”经费财政拨款支出决算具体情况说明</w:t>
      </w:r>
      <w:bookmarkEnd w:id="41"/>
    </w:p>
    <w:p>
      <w:pPr>
        <w:spacing w:line="600" w:lineRule="exact"/>
        <w:ind w:firstLine="640"/>
        <w:rPr>
          <w:rFonts w:hint="eastAsia" w:ascii="仿宋" w:eastAsia="仿宋"/>
          <w:sz w:val="32"/>
          <w:szCs w:val="32"/>
        </w:rPr>
      </w:pPr>
      <w:r>
        <w:rPr>
          <w:rFonts w:ascii="仿宋" w:eastAsia="仿宋"/>
          <w:sz w:val="32"/>
          <w:szCs w:val="32"/>
        </w:rPr>
        <w:t>20</w:t>
      </w:r>
      <w:r>
        <w:rPr>
          <w:rFonts w:hint="eastAsia" w:ascii="仿宋" w:eastAsia="仿宋"/>
          <w:sz w:val="32"/>
          <w:szCs w:val="32"/>
        </w:rPr>
        <w:t>21年“三公”经费财政拨款支出决算中，因公出国（境）费支出决算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；公务用车购置及运行维护费支出决算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；公务接待费支出决算</w:t>
      </w:r>
      <w:r>
        <w:rPr>
          <w:rFonts w:hint="eastAsia" w:ascii="仿宋" w:eastAsia="仿宋"/>
          <w:sz w:val="32"/>
          <w:szCs w:val="32"/>
          <w:lang w:val="en-US" w:eastAsia="zh-CN"/>
        </w:rPr>
        <w:t>0</w:t>
      </w:r>
      <w:r>
        <w:rPr>
          <w:rFonts w:hint="eastAsia" w:ascii="仿宋" w:eastAsia="仿宋"/>
          <w:sz w:val="32"/>
          <w:szCs w:val="32"/>
        </w:rPr>
        <w:t>万元，占</w:t>
      </w:r>
      <w:r>
        <w:rPr>
          <w:rFonts w:hint="eastAsia" w:ascii="仿宋" w:eastAsia="仿宋"/>
          <w:sz w:val="32"/>
          <w:szCs w:val="32"/>
          <w:lang w:val="en-US" w:eastAsia="zh-CN"/>
        </w:rPr>
        <w:t>0</w:t>
      </w:r>
      <w:r>
        <w:rPr>
          <w:rFonts w:ascii="仿宋" w:eastAsia="仿宋"/>
          <w:sz w:val="32"/>
          <w:szCs w:val="32"/>
        </w:rPr>
        <w:t>%</w:t>
      </w:r>
      <w:r>
        <w:rPr>
          <w:rFonts w:hint="eastAsia" w:ascii="仿宋" w:eastAsia="仿宋"/>
          <w:sz w:val="32"/>
          <w:szCs w:val="32"/>
        </w:rPr>
        <w:t>。具体情况如下：</w:t>
      </w:r>
    </w:p>
    <w:p>
      <w:pPr>
        <w:pStyle w:val="7"/>
        <w:rPr>
          <w:rFonts w:hint="default" w:eastAsia="仿宋"/>
          <w:lang w:val="en-US" w:eastAsia="zh-CN"/>
        </w:rPr>
      </w:pPr>
      <w:r>
        <w:rPr>
          <w:rFonts w:hint="eastAsia" w:ascii="仿宋" w:eastAsia="仿宋"/>
          <w:sz w:val="32"/>
          <w:szCs w:val="32"/>
          <w:lang w:val="en-US" w:eastAsia="zh-CN"/>
        </w:rPr>
        <w:t xml:space="preserve">   医院财政无“三公”经费拨款，所以无支出。</w:t>
      </w:r>
    </w:p>
    <w:p>
      <w:pPr>
        <w:spacing w:line="600" w:lineRule="exact"/>
        <w:ind w:firstLine="640"/>
        <w:rPr>
          <w:rFonts w:ascii="仿宋" w:eastAsia="仿宋"/>
          <w:sz w:val="32"/>
          <w:szCs w:val="32"/>
        </w:rPr>
      </w:pPr>
      <w:r>
        <w:rPr>
          <w:rFonts w:hint="eastAsia" w:ascii="仿宋" w:eastAsia="仿宋"/>
          <w:sz w:val="32"/>
          <w:szCs w:val="32"/>
        </w:rPr>
        <w:t>（图7：“三公”经费财政拨款支出结构）（饼状图）</w:t>
      </w:r>
    </w:p>
    <w:p>
      <w:pPr>
        <w:numPr>
          <w:ilvl w:val="0"/>
          <w:numId w:val="3"/>
        </w:numPr>
        <w:spacing w:line="600" w:lineRule="exact"/>
        <w:ind w:firstLine="640"/>
        <w:rPr>
          <w:rFonts w:hint="eastAsia"/>
        </w:rPr>
      </w:pPr>
      <w:r>
        <w:rPr>
          <w:rFonts w:hint="eastAsia" w:ascii="仿宋_GB2312" w:eastAsia="仿宋_GB2312"/>
          <w:b/>
          <w:sz w:val="32"/>
          <w:szCs w:val="32"/>
        </w:rPr>
        <w:t>因公出国（境）经费支出</w:t>
      </w:r>
      <w:r>
        <w:rPr>
          <w:rFonts w:hint="eastAsia" w:ascii="仿宋_GB2312" w:eastAsia="仿宋_GB2312"/>
          <w:b/>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b/>
          <w:sz w:val="32"/>
          <w:szCs w:val="32"/>
          <w:lang w:val="en-US" w:eastAsia="zh-CN"/>
        </w:rPr>
        <w:t>0</w:t>
      </w:r>
      <w:r>
        <w:rPr>
          <w:rFonts w:hint="eastAsia" w:ascii="仿宋_GB2312" w:eastAsia="仿宋_GB2312"/>
          <w:sz w:val="32"/>
          <w:szCs w:val="32"/>
        </w:rPr>
        <w:t>万元,</w:t>
      </w:r>
      <w:r>
        <w:rPr>
          <w:rStyle w:val="17"/>
          <w:rFonts w:hint="eastAsia" w:ascii="仿宋" w:eastAsia="仿宋"/>
          <w:b w:val="0"/>
          <w:bCs/>
          <w:sz w:val="32"/>
          <w:szCs w:val="32"/>
        </w:rPr>
        <w:t>完成预算</w:t>
      </w:r>
      <w:r>
        <w:rPr>
          <w:rStyle w:val="17"/>
          <w:rFonts w:hint="eastAsia" w:ascii="仿宋" w:eastAsia="仿宋"/>
          <w:b w:val="0"/>
          <w:bCs/>
          <w:sz w:val="32"/>
          <w:szCs w:val="32"/>
          <w:lang w:val="en-US" w:eastAsia="zh-CN"/>
        </w:rPr>
        <w:t>0</w:t>
      </w:r>
      <w:r>
        <w:rPr>
          <w:rStyle w:val="17"/>
          <w:rFonts w:ascii="仿宋" w:eastAsia="仿宋"/>
          <w:b w:val="0"/>
          <w:bCs/>
          <w:sz w:val="32"/>
          <w:szCs w:val="32"/>
        </w:rPr>
        <w:t>%</w:t>
      </w:r>
      <w:r>
        <w:rPr>
          <w:rStyle w:val="17"/>
          <w:rFonts w:hint="eastAsia" w:ascii="仿宋" w:eastAsia="仿宋"/>
          <w:b w:val="0"/>
          <w:bCs/>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b/>
          <w:sz w:val="32"/>
          <w:szCs w:val="32"/>
          <w:lang w:val="en-US" w:eastAsia="zh-CN"/>
        </w:rPr>
        <w:t>0</w:t>
      </w:r>
      <w:r>
        <w:rPr>
          <w:rFonts w:hint="eastAsia" w:ascii="仿宋_GB2312" w:eastAsia="仿宋_GB2312"/>
          <w:sz w:val="32"/>
          <w:szCs w:val="32"/>
        </w:rPr>
        <w:t>万元。</w:t>
      </w:r>
    </w:p>
    <w:p>
      <w:pPr>
        <w:spacing w:line="600" w:lineRule="exact"/>
        <w:ind w:firstLine="1606" w:firstLineChars="500"/>
        <w:rPr>
          <w:rFonts w:hint="eastAsia" w:ascii="仿宋_GB2312" w:eastAsia="仿宋_GB2312"/>
          <w:sz w:val="32"/>
          <w:szCs w:val="32"/>
        </w:rPr>
      </w:pPr>
      <w:r>
        <w:rPr>
          <w:rFonts w:hint="eastAsia" w:ascii="仿宋_GB2312" w:eastAsia="仿宋_GB2312"/>
          <w:b/>
          <w:sz w:val="32"/>
          <w:szCs w:val="32"/>
        </w:rPr>
        <w:t>公务用车运行维护费支出</w:t>
      </w:r>
      <w:r>
        <w:rPr>
          <w:rFonts w:hint="eastAsia" w:ascii="仿宋_GB2312" w:eastAsia="仿宋_GB2312"/>
          <w:b/>
          <w:sz w:val="32"/>
          <w:szCs w:val="32"/>
          <w:lang w:val="en-US" w:eastAsia="zh-CN"/>
        </w:rPr>
        <w:t>0</w:t>
      </w:r>
      <w:r>
        <w:rPr>
          <w:rFonts w:hint="eastAsia" w:ascii="仿宋_GB2312" w:eastAsia="仿宋_GB2312"/>
          <w:sz w:val="32"/>
          <w:szCs w:val="32"/>
        </w:rPr>
        <w:t>万元。</w:t>
      </w:r>
    </w:p>
    <w:p>
      <w:pPr>
        <w:numPr>
          <w:ilvl w:val="0"/>
          <w:numId w:val="0"/>
        </w:numPr>
        <w:spacing w:line="600" w:lineRule="exact"/>
        <w:ind w:left="640" w:leftChars="0" w:firstLine="643" w:firstLineChars="200"/>
        <w:rPr>
          <w:rFonts w:hint="eastAsia" w:ascii="仿宋_GB2312" w:eastAsia="仿宋_GB2312"/>
          <w:sz w:val="32"/>
          <w:szCs w:val="32"/>
          <w:lang w:eastAsia="zh-CN"/>
        </w:rPr>
      </w:pPr>
      <w:r>
        <w:rPr>
          <w:rFonts w:hint="eastAsia" w:ascii="仿宋_GB2312" w:eastAsia="仿宋_GB2312"/>
          <w:b/>
          <w:sz w:val="32"/>
          <w:szCs w:val="32"/>
          <w:lang w:val="en-US" w:eastAsia="zh-CN"/>
        </w:rPr>
        <w:t xml:space="preserve">  </w:t>
      </w:r>
      <w:r>
        <w:rPr>
          <w:rFonts w:hint="eastAsia" w:ascii="仿宋_GB2312" w:eastAsia="仿宋_GB2312"/>
          <w:b/>
          <w:sz w:val="32"/>
          <w:szCs w:val="32"/>
        </w:rPr>
        <w:t>公务接待费支出</w:t>
      </w:r>
      <w:r>
        <w:rPr>
          <w:rFonts w:hint="eastAsia" w:ascii="仿宋_GB2312" w:eastAsia="仿宋_GB2312"/>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numPr>
          <w:ilvl w:val="0"/>
          <w:numId w:val="0"/>
        </w:numPr>
        <w:spacing w:line="600" w:lineRule="exact"/>
        <w:ind w:firstLine="1606" w:firstLineChars="500"/>
        <w:rPr>
          <w:rFonts w:hint="eastAsia" w:ascii="仿宋_GB2312" w:eastAsia="仿宋_GB2312"/>
          <w:sz w:val="32"/>
          <w:szCs w:val="32"/>
          <w:lang w:eastAsia="zh-CN"/>
        </w:rPr>
      </w:pPr>
      <w:r>
        <w:rPr>
          <w:rFonts w:hint="eastAsia" w:ascii="仿宋" w:eastAsia="仿宋"/>
          <w:b/>
          <w:sz w:val="32"/>
          <w:szCs w:val="32"/>
          <w:lang w:val="en-US" w:eastAsia="zh-CN"/>
        </w:rPr>
        <w:t xml:space="preserve"> </w:t>
      </w:r>
      <w:r>
        <w:rPr>
          <w:rFonts w:hint="eastAsia" w:ascii="仿宋" w:eastAsia="仿宋"/>
          <w:b/>
          <w:sz w:val="32"/>
          <w:szCs w:val="32"/>
        </w:rPr>
        <w:t>国内公务接待支出</w:t>
      </w:r>
      <w:r>
        <w:rPr>
          <w:rFonts w:hint="eastAsia" w:ascii="仿宋" w:eastAsia="仿宋"/>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1606" w:firstLineChars="500"/>
        <w:rPr>
          <w:rFonts w:hint="eastAsia" w:ascii="仿宋_GB2312" w:eastAsia="仿宋_GB2312"/>
          <w:sz w:val="32"/>
          <w:szCs w:val="32"/>
          <w:lang w:eastAsia="zh-CN"/>
        </w:rPr>
      </w:pPr>
      <w:r>
        <w:rPr>
          <w:rFonts w:hint="eastAsia" w:ascii="仿宋" w:eastAsia="仿宋"/>
          <w:b/>
          <w:sz w:val="32"/>
          <w:szCs w:val="32"/>
        </w:rPr>
        <w:t>外事接待支出</w:t>
      </w:r>
      <w:r>
        <w:rPr>
          <w:rFonts w:hint="eastAsia" w:ascii="仿宋" w:eastAsia="仿宋"/>
          <w:b/>
          <w:sz w:val="32"/>
          <w:szCs w:val="32"/>
          <w:lang w:val="en-US" w:eastAsia="zh-CN"/>
        </w:rPr>
        <w:t>0</w:t>
      </w:r>
      <w:r>
        <w:rPr>
          <w:rFonts w:hint="eastAsia" w:ascii="仿宋_GB2312" w:eastAsia="仿宋_GB2312"/>
          <w:sz w:val="32"/>
          <w:szCs w:val="32"/>
        </w:rPr>
        <w:t>万元</w:t>
      </w:r>
      <w:r>
        <w:rPr>
          <w:rFonts w:hint="eastAsia" w:ascii="仿宋_GB2312" w:eastAsia="仿宋_GB2312"/>
          <w:sz w:val="32"/>
          <w:szCs w:val="32"/>
          <w:lang w:eastAsia="zh-CN"/>
        </w:rPr>
        <w:t>。</w:t>
      </w:r>
    </w:p>
    <w:p>
      <w:pPr>
        <w:spacing w:line="600" w:lineRule="exact"/>
        <w:ind w:firstLine="640"/>
        <w:outlineLvl w:val="1"/>
        <w:rPr>
          <w:rFonts w:ascii="黑体" w:eastAsia="黑体"/>
          <w:sz w:val="32"/>
          <w:szCs w:val="32"/>
        </w:rPr>
      </w:pPr>
      <w:bookmarkStart w:id="42" w:name="_Toc15377218"/>
      <w:bookmarkStart w:id="43" w:name="_Toc15396610"/>
    </w:p>
    <w:p>
      <w:pPr>
        <w:spacing w:line="600" w:lineRule="exact"/>
        <w:ind w:firstLine="640"/>
        <w:outlineLvl w:val="1"/>
        <w:rPr>
          <w:rStyle w:val="20"/>
          <w:rFonts w:ascii="黑体" w:eastAsia="黑体"/>
        </w:rPr>
      </w:pPr>
      <w:r>
        <w:rPr>
          <w:rFonts w:hint="eastAsia" w:ascii="黑体" w:eastAsia="黑体"/>
          <w:sz w:val="32"/>
          <w:szCs w:val="32"/>
        </w:rPr>
        <w:t>八、</w:t>
      </w:r>
      <w:r>
        <w:rPr>
          <w:rStyle w:val="20"/>
          <w:rFonts w:hint="eastAsia" w:ascii="黑体" w:eastAsia="黑体"/>
          <w:b w:val="0"/>
        </w:rPr>
        <w:t>政府性基金预算支出决算情况说明</w:t>
      </w:r>
      <w:bookmarkEnd w:id="42"/>
      <w:bookmarkEnd w:id="43"/>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p>
    <w:p>
      <w:pPr>
        <w:numPr>
          <w:ilvl w:val="0"/>
          <w:numId w:val="4"/>
        </w:numPr>
        <w:spacing w:line="600" w:lineRule="exact"/>
        <w:ind w:firstLine="640"/>
        <w:outlineLvl w:val="1"/>
        <w:rPr>
          <w:rStyle w:val="20"/>
          <w:rFonts w:ascii="黑体" w:eastAsia="黑体"/>
          <w:b w:val="0"/>
        </w:rPr>
      </w:pPr>
      <w:bookmarkStart w:id="44" w:name="_Toc15377219"/>
      <w:bookmarkStart w:id="45" w:name="_Toc15396611"/>
      <w:r>
        <w:rPr>
          <w:rStyle w:val="20"/>
          <w:rFonts w:hint="eastAsia" w:ascii="黑体" w:eastAsia="黑体"/>
          <w:b w:val="0"/>
        </w:rPr>
        <w:t>国有资本经营预算支出决算情况说明</w:t>
      </w:r>
      <w:bookmarkEnd w:id="44"/>
      <w:bookmarkEnd w:id="45"/>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580" w:lineRule="exact"/>
        <w:jc w:val="center"/>
        <w:rPr>
          <w:rFonts w:ascii="方正小标宋简体" w:eastAsia="方正小标宋简体" w:cs="方正小标宋简体"/>
          <w:sz w:val="44"/>
          <w:szCs w:val="44"/>
        </w:rPr>
      </w:pPr>
    </w:p>
    <w:p>
      <w:pPr>
        <w:numPr>
          <w:ilvl w:val="0"/>
          <w:numId w:val="4"/>
        </w:numPr>
        <w:spacing w:line="600" w:lineRule="exact"/>
        <w:ind w:firstLine="640"/>
        <w:outlineLvl w:val="1"/>
        <w:rPr>
          <w:rStyle w:val="20"/>
          <w:rFonts w:ascii="黑体" w:eastAsia="黑体"/>
          <w:b w:val="0"/>
        </w:rPr>
      </w:pPr>
      <w:bookmarkStart w:id="46" w:name="_Toc15377221"/>
      <w:bookmarkStart w:id="47" w:name="_Toc15396612"/>
      <w:r>
        <w:rPr>
          <w:rStyle w:val="20"/>
          <w:rFonts w:hint="eastAsia" w:ascii="黑体" w:eastAsia="黑体"/>
          <w:b w:val="0"/>
        </w:rPr>
        <w:t>其他重要事项的情况说明</w:t>
      </w:r>
      <w:bookmarkEnd w:id="46"/>
      <w:bookmarkEnd w:id="47"/>
    </w:p>
    <w:p>
      <w:pPr>
        <w:spacing w:line="600" w:lineRule="exact"/>
        <w:ind w:firstLine="643" w:firstLineChars="200"/>
        <w:outlineLvl w:val="2"/>
        <w:rPr>
          <w:rFonts w:ascii="仿宋" w:eastAsia="仿宋"/>
          <w:sz w:val="32"/>
          <w:szCs w:val="32"/>
        </w:rPr>
      </w:pPr>
      <w:bookmarkStart w:id="48" w:name="_Toc15377222"/>
      <w:r>
        <w:rPr>
          <w:rFonts w:hint="eastAsia" w:ascii="仿宋" w:eastAsia="仿宋"/>
          <w:b/>
          <w:sz w:val="32"/>
          <w:szCs w:val="32"/>
        </w:rPr>
        <w:t>（一）机关运行经费支出情况</w:t>
      </w:r>
      <w:bookmarkEnd w:id="48"/>
    </w:p>
    <w:p>
      <w:pPr>
        <w:spacing w:line="60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sz w:val="32"/>
          <w:szCs w:val="32"/>
          <w:lang w:eastAsia="zh-CN"/>
        </w:rPr>
        <w:t>红原县藏医院</w:t>
      </w:r>
      <w:r>
        <w:rPr>
          <w:rFonts w:hint="eastAsia" w:ascii="仿宋_GB2312" w:eastAsia="仿宋_GB2312"/>
          <w:sz w:val="32"/>
          <w:szCs w:val="32"/>
        </w:rPr>
        <w:t>经费支出</w:t>
      </w:r>
      <w:r>
        <w:rPr>
          <w:rFonts w:hint="eastAsia" w:ascii="仿宋_GB2312" w:eastAsia="仿宋_GB2312"/>
          <w:sz w:val="32"/>
          <w:szCs w:val="32"/>
          <w:lang w:val="en-US" w:eastAsia="zh-CN"/>
        </w:rPr>
        <w:t>2588.98</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20减少</w:t>
      </w:r>
      <w:r>
        <w:rPr>
          <w:rFonts w:hint="eastAsia" w:ascii="仿宋_GB2312" w:eastAsia="仿宋_GB2312"/>
          <w:sz w:val="32"/>
          <w:szCs w:val="32"/>
          <w:lang w:val="en-US" w:eastAsia="zh-CN"/>
        </w:rPr>
        <w:t>62.88</w:t>
      </w:r>
      <w:r>
        <w:rPr>
          <w:rFonts w:hint="eastAsia" w:ascii="仿宋_GB2312" w:eastAsia="仿宋_GB2312"/>
          <w:sz w:val="32"/>
          <w:szCs w:val="32"/>
        </w:rPr>
        <w:t>万元，下降</w:t>
      </w:r>
      <w:r>
        <w:rPr>
          <w:rFonts w:hint="eastAsia" w:ascii="仿宋_GB2312" w:eastAsia="仿宋_GB2312"/>
          <w:sz w:val="32"/>
          <w:szCs w:val="32"/>
          <w:lang w:val="en-US" w:eastAsia="zh-CN"/>
        </w:rPr>
        <w:t>2.37</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人员调动及专项资金减少。</w:t>
      </w:r>
    </w:p>
    <w:p>
      <w:pPr>
        <w:spacing w:line="600" w:lineRule="exact"/>
        <w:ind w:firstLine="643" w:firstLineChars="200"/>
        <w:rPr>
          <w:rFonts w:ascii="仿宋" w:eastAsia="仿宋"/>
          <w:b/>
          <w:sz w:val="32"/>
          <w:szCs w:val="32"/>
        </w:rPr>
      </w:pPr>
      <w:r>
        <w:rPr>
          <w:rFonts w:hint="eastAsia" w:ascii="仿宋" w:eastAsia="仿宋"/>
          <w:b/>
          <w:sz w:val="32"/>
          <w:szCs w:val="32"/>
        </w:rPr>
        <w:t>（注：数据来源于财决附</w:t>
      </w:r>
      <w:r>
        <w:rPr>
          <w:rFonts w:ascii="仿宋" w:eastAsia="仿宋"/>
          <w:b/>
          <w:sz w:val="32"/>
          <w:szCs w:val="32"/>
        </w:rPr>
        <w:t>03</w:t>
      </w:r>
      <w:r>
        <w:rPr>
          <w:rFonts w:hint="eastAsia" w:ascii="仿宋" w:eastAsia="仿宋"/>
          <w:b/>
          <w:sz w:val="32"/>
          <w:szCs w:val="32"/>
        </w:rPr>
        <w:t>表）</w:t>
      </w:r>
    </w:p>
    <w:p>
      <w:pPr>
        <w:autoSpaceDE w:val="0"/>
        <w:autoSpaceDN w:val="0"/>
        <w:adjustRightInd w:val="0"/>
        <w:spacing w:line="600" w:lineRule="exact"/>
        <w:ind w:firstLine="643" w:firstLineChars="200"/>
        <w:jc w:val="left"/>
        <w:outlineLvl w:val="2"/>
        <w:rPr>
          <w:rFonts w:ascii="仿宋" w:eastAsia="仿宋"/>
          <w:b/>
          <w:sz w:val="32"/>
          <w:szCs w:val="32"/>
        </w:rPr>
      </w:pPr>
      <w:bookmarkStart w:id="49" w:name="_Toc15377223"/>
      <w:r>
        <w:rPr>
          <w:rFonts w:hint="eastAsia" w:ascii="仿宋" w:eastAsia="仿宋"/>
          <w:b/>
          <w:sz w:val="32"/>
          <w:szCs w:val="32"/>
        </w:rPr>
        <w:t>（二）政府采购支出情况</w:t>
      </w:r>
      <w:bookmarkEnd w:id="49"/>
    </w:p>
    <w:p>
      <w:pPr>
        <w:spacing w:line="60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21年政府采购支出总额</w:t>
      </w:r>
      <w:r>
        <w:rPr>
          <w:rFonts w:hint="eastAsia" w:ascii="仿宋_GB2312" w:eastAsia="仿宋_GB2312"/>
          <w:sz w:val="32"/>
          <w:szCs w:val="32"/>
          <w:lang w:val="en-US" w:eastAsia="zh-CN"/>
        </w:rPr>
        <w:t>39.14</w:t>
      </w:r>
      <w:r>
        <w:rPr>
          <w:rFonts w:hint="eastAsia" w:ascii="仿宋_GB2312" w:eastAsia="仿宋_GB2312"/>
          <w:sz w:val="32"/>
          <w:szCs w:val="32"/>
        </w:rPr>
        <w:t>万元，其中：政府采购货物支出</w:t>
      </w:r>
      <w:r>
        <w:rPr>
          <w:rFonts w:hint="eastAsia" w:ascii="仿宋_GB2312" w:eastAsia="仿宋_GB2312"/>
          <w:sz w:val="32"/>
          <w:szCs w:val="32"/>
          <w:lang w:val="en-US" w:eastAsia="zh-CN"/>
        </w:rPr>
        <w:t>39.14</w:t>
      </w:r>
      <w:r>
        <w:rPr>
          <w:rFonts w:hint="eastAsia" w:ascii="仿宋_GB2312" w:eastAsia="仿宋_GB2312"/>
          <w:sz w:val="32"/>
          <w:szCs w:val="32"/>
        </w:rPr>
        <w:t>万元、主要用于</w:t>
      </w:r>
      <w:r>
        <w:rPr>
          <w:rFonts w:hint="eastAsia" w:ascii="仿宋_GB2312" w:eastAsia="仿宋_GB2312"/>
          <w:sz w:val="32"/>
          <w:szCs w:val="32"/>
          <w:lang w:eastAsia="zh-CN"/>
        </w:rPr>
        <w:t>公务用车购置</w:t>
      </w:r>
      <w:r>
        <w:rPr>
          <w:rFonts w:hint="eastAsia" w:ascii="仿宋_GB2312" w:eastAsia="仿宋_GB2312"/>
          <w:sz w:val="32"/>
          <w:szCs w:val="32"/>
        </w:rPr>
        <w:t>。授予中小企业合同金额</w:t>
      </w:r>
      <w:r>
        <w:rPr>
          <w:rFonts w:hint="eastAsia" w:ascii="仿宋_GB2312" w:eastAsia="仿宋_GB2312"/>
          <w:sz w:val="32"/>
          <w:szCs w:val="32"/>
          <w:lang w:val="en-US" w:eastAsia="zh-CN"/>
        </w:rPr>
        <w:t>39.14</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，其中：授予小微企业合同金额</w:t>
      </w:r>
      <w:r>
        <w:rPr>
          <w:rFonts w:hint="eastAsia" w:ascii="仿宋_GB2312" w:eastAsia="仿宋_GB2312"/>
          <w:sz w:val="32"/>
          <w:szCs w:val="32"/>
          <w:lang w:val="en-US" w:eastAsia="zh-CN"/>
        </w:rPr>
        <w:t>39.14</w:t>
      </w:r>
      <w:r>
        <w:rPr>
          <w:rFonts w:hint="eastAsia" w:ascii="仿宋_GB2312" w:eastAsia="仿宋_GB2312"/>
          <w:sz w:val="32"/>
          <w:szCs w:val="32"/>
        </w:rPr>
        <w:t>万元，占政府采购支出总额的</w:t>
      </w:r>
      <w:r>
        <w:rPr>
          <w:rFonts w:hint="eastAsia" w:ascii="仿宋_GB2312" w:eastAsia="仿宋_GB2312"/>
          <w:sz w:val="32"/>
          <w:szCs w:val="32"/>
          <w:lang w:val="en-US" w:eastAsia="zh-CN"/>
        </w:rPr>
        <w:t>100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eastAsia="仿宋"/>
          <w:b/>
          <w:sz w:val="32"/>
          <w:szCs w:val="32"/>
        </w:rPr>
      </w:pPr>
      <w:bookmarkStart w:id="50" w:name="_Toc15377224"/>
      <w:r>
        <w:rPr>
          <w:rFonts w:hint="eastAsia" w:ascii="仿宋" w:eastAsia="仿宋"/>
          <w:b/>
          <w:sz w:val="32"/>
          <w:szCs w:val="32"/>
        </w:rPr>
        <w:t>（三）国有资产占有使用情况</w:t>
      </w:r>
      <w:bookmarkEnd w:id="50"/>
    </w:p>
    <w:p>
      <w:pPr>
        <w:autoSpaceDE w:val="0"/>
        <w:autoSpaceDN w:val="0"/>
        <w:adjustRightInd w:val="0"/>
        <w:spacing w:line="600" w:lineRule="exact"/>
        <w:ind w:firstLine="640" w:firstLineChars="200"/>
        <w:jc w:val="left"/>
        <w:rPr>
          <w:rFonts w:ascii="仿宋_GB2312" w:eastAsia="仿宋_GB2312"/>
          <w:sz w:val="32"/>
          <w:szCs w:val="32"/>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sz w:val="32"/>
          <w:szCs w:val="32"/>
          <w:lang w:eastAsia="zh-CN"/>
        </w:rPr>
        <w:t>藏医院</w:t>
      </w:r>
      <w:r>
        <w:rPr>
          <w:rFonts w:hint="eastAsia" w:ascii="仿宋_GB2312" w:eastAsia="仿宋_GB2312"/>
          <w:sz w:val="32"/>
          <w:szCs w:val="32"/>
        </w:rPr>
        <w:t>共有车辆</w:t>
      </w:r>
      <w:r>
        <w:rPr>
          <w:rFonts w:hint="eastAsia" w:ascii="仿宋_GB2312" w:eastAsia="仿宋_GB2312"/>
          <w:sz w:val="32"/>
          <w:szCs w:val="32"/>
          <w:lang w:val="en-US" w:eastAsia="zh-CN"/>
        </w:rPr>
        <w:t>6</w:t>
      </w:r>
      <w:r>
        <w:rPr>
          <w:rFonts w:hint="eastAsia" w:ascii="仿宋_GB2312" w:eastAsia="仿宋_GB2312"/>
          <w:sz w:val="32"/>
          <w:szCs w:val="32"/>
        </w:rPr>
        <w:t>辆，其中：</w:t>
      </w:r>
      <w:r>
        <w:rPr>
          <w:rFonts w:hint="eastAsia" w:ascii="仿宋_GB2312" w:eastAsia="仿宋_GB2312"/>
          <w:sz w:val="32"/>
          <w:szCs w:val="32"/>
          <w:lang w:eastAsia="zh-CN"/>
        </w:rPr>
        <w:t>特种作业技术用车</w:t>
      </w:r>
      <w:r>
        <w:rPr>
          <w:rFonts w:hint="eastAsia" w:ascii="仿宋_GB2312" w:eastAsia="仿宋_GB2312"/>
          <w:sz w:val="32"/>
          <w:szCs w:val="32"/>
          <w:lang w:val="en-US" w:eastAsia="zh-CN"/>
        </w:rPr>
        <w:t>5</w:t>
      </w:r>
      <w:r>
        <w:rPr>
          <w:rFonts w:hint="eastAsia" w:ascii="仿宋_GB2312" w:eastAsia="仿宋_GB2312"/>
          <w:sz w:val="32"/>
          <w:szCs w:val="32"/>
        </w:rPr>
        <w:t>辆、其他用车</w:t>
      </w:r>
      <w:r>
        <w:rPr>
          <w:rFonts w:hint="eastAsia" w:ascii="仿宋_GB2312" w:eastAsia="仿宋_GB2312"/>
          <w:sz w:val="32"/>
          <w:szCs w:val="32"/>
          <w:lang w:val="en-US" w:eastAsia="zh-CN"/>
        </w:rPr>
        <w:t>1</w:t>
      </w:r>
      <w:r>
        <w:rPr>
          <w:rFonts w:hint="eastAsia" w:ascii="仿宋_GB2312" w:eastAsia="仿宋_GB2312"/>
          <w:sz w:val="32"/>
          <w:szCs w:val="32"/>
        </w:rPr>
        <w:t>辆</w:t>
      </w:r>
      <w:r>
        <w:rPr>
          <w:rFonts w:hint="eastAsia" w:ascii="仿宋_GB2312" w:eastAsia="仿宋_GB2312"/>
          <w:sz w:val="32"/>
          <w:szCs w:val="32"/>
          <w:lang w:eastAsia="zh-CN"/>
        </w:rPr>
        <w:t>，</w:t>
      </w:r>
      <w:r>
        <w:rPr>
          <w:rFonts w:hint="eastAsia" w:ascii="仿宋_GB2312" w:eastAsia="仿宋_GB2312"/>
          <w:sz w:val="32"/>
          <w:szCs w:val="32"/>
        </w:rPr>
        <w:t>其他用车主要是用于</w:t>
      </w:r>
      <w:r>
        <w:rPr>
          <w:rFonts w:hint="eastAsia" w:ascii="仿宋_GB2312" w:eastAsia="仿宋_GB2312"/>
          <w:sz w:val="32"/>
          <w:szCs w:val="32"/>
          <w:lang w:eastAsia="zh-CN"/>
        </w:rPr>
        <w:t>应急保障用车，</w:t>
      </w:r>
      <w:r>
        <w:rPr>
          <w:rFonts w:hint="eastAsia" w:ascii="仿宋_GB2312" w:eastAsia="仿宋_GB2312"/>
          <w:sz w:val="32"/>
          <w:szCs w:val="32"/>
        </w:rPr>
        <w:t>单价</w:t>
      </w:r>
      <w:r>
        <w:rPr>
          <w:rFonts w:ascii="仿宋_GB2312" w:eastAsia="仿宋_GB2312"/>
          <w:sz w:val="32"/>
          <w:szCs w:val="32"/>
        </w:rPr>
        <w:t>50</w:t>
      </w:r>
      <w:r>
        <w:rPr>
          <w:rFonts w:hint="eastAsia" w:ascii="仿宋_GB2312" w:eastAsia="仿宋_GB2312"/>
          <w:sz w:val="32"/>
          <w:szCs w:val="32"/>
        </w:rPr>
        <w:t>万元以上通用设备</w:t>
      </w:r>
      <w:r>
        <w:rPr>
          <w:rFonts w:hint="eastAsia" w:ascii="仿宋_GB2312" w:eastAsia="仿宋_GB2312"/>
          <w:sz w:val="32"/>
          <w:szCs w:val="32"/>
          <w:lang w:val="en-US" w:eastAsia="zh-CN"/>
        </w:rPr>
        <w:t>50</w:t>
      </w:r>
      <w:r>
        <w:rPr>
          <w:rFonts w:hint="eastAsia" w:ascii="仿宋_GB2312" w:eastAsia="仿宋_GB2312"/>
          <w:sz w:val="32"/>
          <w:szCs w:val="32"/>
        </w:rPr>
        <w:t>台（套），单价</w:t>
      </w:r>
      <w:r>
        <w:rPr>
          <w:rFonts w:ascii="仿宋_GB2312" w:eastAsia="仿宋_GB2312"/>
          <w:sz w:val="32"/>
          <w:szCs w:val="32"/>
        </w:rPr>
        <w:t>100</w:t>
      </w:r>
      <w:r>
        <w:rPr>
          <w:rFonts w:hint="eastAsia" w:ascii="仿宋_GB2312" w:eastAsia="仿宋_GB2312"/>
          <w:sz w:val="32"/>
          <w:szCs w:val="32"/>
        </w:rPr>
        <w:t>万元以上专用设备</w:t>
      </w:r>
      <w:r>
        <w:rPr>
          <w:rFonts w:hint="eastAsia" w:ascii="仿宋_GB2312" w:eastAsia="仿宋_GB2312"/>
          <w:sz w:val="32"/>
          <w:szCs w:val="32"/>
          <w:lang w:val="en-US" w:eastAsia="zh-CN"/>
        </w:rPr>
        <w:t>2</w:t>
      </w:r>
      <w:r>
        <w:rPr>
          <w:rFonts w:hint="eastAsia" w:ascii="仿宋_GB2312" w:eastAsia="仿宋_GB2312"/>
          <w:sz w:val="32"/>
          <w:szCs w:val="32"/>
        </w:rPr>
        <w:t>台（套）。</w:t>
      </w:r>
    </w:p>
    <w:p>
      <w:pPr>
        <w:autoSpaceDE w:val="0"/>
        <w:autoSpaceDN w:val="0"/>
        <w:adjustRightInd w:val="0"/>
        <w:spacing w:line="600" w:lineRule="exact"/>
        <w:ind w:firstLine="643" w:firstLineChars="200"/>
        <w:jc w:val="left"/>
        <w:outlineLvl w:val="2"/>
        <w:rPr>
          <w:rFonts w:ascii="仿宋" w:eastAsia="仿宋"/>
          <w:b/>
          <w:sz w:val="32"/>
          <w:szCs w:val="32"/>
        </w:rPr>
      </w:pPr>
      <w:r>
        <w:rPr>
          <w:rFonts w:hint="eastAsia" w:ascii="仿宋" w:eastAsia="仿宋"/>
          <w:b/>
          <w:sz w:val="32"/>
          <w:szCs w:val="32"/>
        </w:rPr>
        <w:t>（四）预算绩效管理情况</w:t>
      </w:r>
    </w:p>
    <w:p>
      <w:pPr>
        <w:spacing w:line="580" w:lineRule="exact"/>
        <w:ind w:firstLine="640" w:firstLineChars="200"/>
        <w:rPr>
          <w:rFonts w:hint="eastAsia" w:eastAsia="仿宋_GB2312"/>
          <w:highlight w:val="yellow"/>
          <w:lang w:eastAsia="zh-CN"/>
        </w:rPr>
        <w:sectPr>
          <w:footerReference r:id="rId7" w:type="first"/>
          <w:footerReference r:id="rId6" w:type="default"/>
          <w:pgSz w:w="11906" w:h="16838"/>
          <w:pgMar w:top="1440" w:right="1800" w:bottom="1440" w:left="1800" w:header="851" w:footer="992" w:gutter="0"/>
          <w:pgNumType w:fmt="decimal" w:start="1"/>
          <w:cols w:space="720" w:num="1"/>
          <w:titlePg/>
          <w:docGrid w:type="lines" w:linePitch="312" w:charSpace="0"/>
        </w:sectPr>
      </w:pPr>
      <w:r>
        <w:rPr>
          <w:rFonts w:hint="eastAsia" w:ascii="仿宋_GB2312" w:eastAsia="仿宋_GB2312" w:cs="仿宋_GB2312"/>
          <w:sz w:val="32"/>
          <w:szCs w:val="32"/>
        </w:rPr>
        <w:t>根据预算绩效管理要求，本单位在2021年度预算编制阶段，组织对</w:t>
      </w:r>
      <w:r>
        <w:rPr>
          <w:rFonts w:hint="eastAsia" w:ascii="仿宋_GB2312" w:eastAsia="仿宋_GB2312" w:cs="仿宋_GB2312"/>
          <w:sz w:val="32"/>
          <w:szCs w:val="32"/>
          <w:lang w:eastAsia="zh-CN"/>
        </w:rPr>
        <w:t>公共卫生</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个项目开展了预算事前绩效评估，对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个项目编制了绩效目标，预算执行过程中，选取</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个项目开展绩效监控，年终执行完毕后，对</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个项目开展了绩效自评，2021年特定目标类部门预算项目绩效目标自评表见附件（第四部分</w:t>
      </w:r>
      <w:r>
        <w:rPr>
          <w:rFonts w:hint="eastAsia" w:ascii="仿宋_GB2312" w:eastAsia="仿宋_GB2312" w:cs="仿宋_GB2312"/>
          <w:sz w:val="32"/>
          <w:szCs w:val="32"/>
          <w:lang w:eastAsia="zh-CN"/>
        </w:rPr>
        <w:t>）</w:t>
      </w:r>
    </w:p>
    <w:p>
      <w:pPr>
        <w:numPr>
          <w:ilvl w:val="0"/>
          <w:numId w:val="5"/>
        </w:numPr>
        <w:spacing w:line="600" w:lineRule="exact"/>
        <w:ind w:firstLine="660" w:firstLineChars="150"/>
        <w:jc w:val="center"/>
        <w:outlineLvl w:val="0"/>
        <w:rPr>
          <w:rStyle w:val="19"/>
          <w:rFonts w:ascii="黑体" w:eastAsia="黑体"/>
          <w:b w:val="0"/>
        </w:rPr>
      </w:pPr>
      <w:bookmarkStart w:id="51" w:name="_Toc15377225"/>
      <w:bookmarkStart w:id="52" w:name="_Toc15396613"/>
      <w:r>
        <w:rPr>
          <w:rFonts w:hint="eastAsia" w:ascii="黑体" w:eastAsia="黑体"/>
          <w:sz w:val="44"/>
          <w:szCs w:val="44"/>
        </w:rPr>
        <w:t>名</w:t>
      </w:r>
      <w:r>
        <w:rPr>
          <w:rStyle w:val="19"/>
          <w:rFonts w:hint="eastAsia" w:ascii="黑体" w:eastAsia="黑体"/>
          <w:b w:val="0"/>
        </w:rPr>
        <w:t>词解释</w:t>
      </w:r>
    </w:p>
    <w:p>
      <w:pPr>
        <w:pStyle w:val="2"/>
        <w:ind w:left="0" w:leftChars="0" w:firstLine="0" w:firstLineChars="0"/>
      </w:pP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r>
        <w:rPr>
          <w:rFonts w:hint="eastAsia" w:ascii="仿宋_GB2312" w:eastAsia="仿宋_GB2312"/>
          <w:color w:val="auto"/>
          <w:sz w:val="32"/>
          <w:szCs w:val="32"/>
          <w:lang w:eastAsia="zh-CN"/>
        </w:rPr>
        <w:t>（医疗收入）</w:t>
      </w:r>
      <w:r>
        <w:rPr>
          <w:rFonts w:hint="eastAsia" w:ascii="仿宋_GB2312" w:eastAsia="仿宋_GB2312"/>
          <w:color w:val="auto"/>
          <w:sz w:val="32"/>
          <w:szCs w:val="32"/>
        </w:rPr>
        <w:t>。</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4"/>
        <w:spacing w:line="560" w:lineRule="exact"/>
        <w:ind w:firstLine="640" w:firstLineChars="200"/>
        <w:rPr>
          <w:rFonts w:ascii="仿宋_GB2312" w:eastAsia="仿宋_GB2312"/>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hAnsi="Times New Roman" w:eastAsia="仿宋_GB2312" w:cs="仿宋"/>
          <w:color w:val="auto"/>
          <w:kern w:val="0"/>
          <w:sz w:val="32"/>
          <w:szCs w:val="32"/>
          <w:lang w:val="en-US" w:eastAsia="zh-CN" w:bidi="ar-SA"/>
        </w:rPr>
        <w:t>社会保障和就业</w:t>
      </w:r>
      <w:r>
        <w:rPr>
          <w:rFonts w:hint="eastAsia" w:ascii="仿宋_GB2312" w:eastAsia="仿宋_GB2312" w:cs="仿宋"/>
          <w:color w:val="auto"/>
          <w:kern w:val="0"/>
          <w:sz w:val="32"/>
          <w:szCs w:val="32"/>
          <w:lang w:val="en-US" w:eastAsia="zh-CN" w:bidi="ar-SA"/>
        </w:rPr>
        <w:t>：</w:t>
      </w:r>
      <w:r>
        <w:rPr>
          <w:rFonts w:hint="eastAsia" w:ascii="仿宋_GB2312" w:hAnsi="仿宋_GB2312" w:eastAsia="仿宋_GB2312" w:cs="仿宋_GB2312"/>
          <w:kern w:val="0"/>
          <w:sz w:val="32"/>
          <w:szCs w:val="32"/>
          <w:shd w:val="clear" w:color="auto" w:fill="FFFFFF"/>
        </w:rPr>
        <w:t>2080505：指反应机关事业单位养老保险缴费支出；2080506指反应机关事业单位职业年金缴费支出。</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rPr>
        <w:t>指</w:t>
      </w:r>
      <w:r>
        <w:rPr>
          <w:rFonts w:hint="eastAsia" w:ascii="仿宋_GB2312" w:hAnsi="仿宋_GB2312" w:eastAsia="仿宋_GB2312" w:cs="仿宋_GB2312"/>
          <w:kern w:val="0"/>
          <w:sz w:val="32"/>
          <w:szCs w:val="32"/>
          <w:shd w:val="clear" w:color="auto" w:fill="FFFFFF"/>
        </w:rPr>
        <w:t>指为保障机构正常运转、完成日常工作任务而发生的人员支出和公用支出。基本支出之外为完成特定行政任务和事业发展目标所发生的支出</w:t>
      </w:r>
      <w:r>
        <w:rPr>
          <w:rFonts w:hint="eastAsia" w:ascii="仿宋_GB2312" w:hAnsi="仿宋_GB2312" w:eastAsia="仿宋_GB2312" w:cs="仿宋_GB2312"/>
          <w:kern w:val="0"/>
          <w:sz w:val="32"/>
          <w:szCs w:val="32"/>
          <w:shd w:val="clear" w:color="auto" w:fill="FFFFFF"/>
          <w:lang w:val="en-US" w:eastAsia="zh-CN"/>
        </w:rPr>
        <w:t>.</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color="auto" w:fill="FFFFFF"/>
        </w:rPr>
      </w:pP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住房保障</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hAnsi="仿宋_GB2312" w:eastAsia="仿宋_GB2312" w:cs="仿宋_GB2312"/>
          <w:kern w:val="0"/>
          <w:sz w:val="32"/>
          <w:szCs w:val="32"/>
          <w:shd w:val="clear" w:color="auto" w:fill="FFFFFF"/>
        </w:rPr>
        <w:t>指反映用于保障性住房方面的支出或反映行政事业单位按人力资源和社会保障部、财政部规定的基本工资和津贴补贴以及规定比例为职工缴纳的住房公积金。</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lang w:val="en-US" w:eastAsia="zh-CN"/>
        </w:rPr>
        <w:t>12</w:t>
      </w:r>
      <w:r>
        <w:rPr>
          <w:rFonts w:hint="eastAsia" w:ascii="仿宋_GB2312" w:hAnsi="仿宋_GB2312" w:eastAsia="仿宋_GB2312" w:cs="仿宋_GB2312"/>
          <w:kern w:val="0"/>
          <w:sz w:val="32"/>
          <w:szCs w:val="32"/>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ascii="仿宋" w:eastAsia="仿宋"/>
          <w:b/>
          <w:sz w:val="32"/>
          <w:szCs w:val="32"/>
        </w:rPr>
      </w:pPr>
      <w:r>
        <w:rPr>
          <w:rFonts w:hint="eastAsia" w:ascii="仿宋_GB2312" w:hAnsi="仿宋_GB2312" w:eastAsia="仿宋_GB2312" w:cs="仿宋_GB2312"/>
          <w:kern w:val="0"/>
          <w:sz w:val="32"/>
          <w:szCs w:val="32"/>
          <w:shd w:val="clear" w:color="auto" w:fill="FFFFFF"/>
          <w:lang w:val="en-US" w:eastAsia="zh-CN"/>
        </w:rPr>
        <w:t>13</w:t>
      </w:r>
      <w:r>
        <w:rPr>
          <w:rFonts w:hint="eastAsia" w:ascii="仿宋_GB2312" w:hAnsi="仿宋_GB2312" w:eastAsia="仿宋_GB2312" w:cs="仿宋_GB2312"/>
          <w:kern w:val="0"/>
          <w:sz w:val="32"/>
          <w:szCs w:val="32"/>
          <w:shd w:val="clear" w:color="auto"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sectPr>
          <w:footerReference r:id="rId9" w:type="first"/>
          <w:footerReference r:id="rId8" w:type="default"/>
          <w:pgSz w:w="11906" w:h="16838"/>
          <w:pgMar w:top="1440" w:right="1800" w:bottom="1440" w:left="1800" w:header="851" w:footer="992" w:gutter="0"/>
          <w:pgNumType w:fmt="decimal"/>
          <w:cols w:space="720" w:num="1"/>
          <w:titlePg/>
          <w:docGrid w:type="lines" w:linePitch="312" w:charSpace="0"/>
        </w:sectPr>
      </w:pPr>
    </w:p>
    <w:bookmarkEnd w:id="51"/>
    <w:bookmarkEnd w:id="52"/>
    <w:p>
      <w:pPr>
        <w:spacing w:line="600" w:lineRule="exact"/>
        <w:jc w:val="left"/>
        <w:rPr>
          <w:rFonts w:ascii="宋体"/>
          <w:b/>
          <w:sz w:val="44"/>
          <w:szCs w:val="44"/>
        </w:rPr>
      </w:pP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2.</w:t>
      </w:r>
      <w:r>
        <w:rPr>
          <w:rFonts w:hint="eastAsia" w:ascii="仿宋_GB2312" w:eastAsia="仿宋_GB2312"/>
          <w:color w:val="auto"/>
          <w:sz w:val="32"/>
          <w:szCs w:val="32"/>
        </w:rPr>
        <w:t>事业收入：指事业单位开展专业业务活动及辅助活动取得的收入</w:t>
      </w:r>
      <w:r>
        <w:rPr>
          <w:rFonts w:hint="eastAsia" w:ascii="仿宋_GB2312" w:eastAsia="仿宋_GB2312"/>
          <w:color w:val="auto"/>
          <w:sz w:val="32"/>
          <w:szCs w:val="32"/>
          <w:lang w:eastAsia="zh-CN"/>
        </w:rPr>
        <w:t>（医疗收入）</w:t>
      </w:r>
      <w:r>
        <w:rPr>
          <w:rFonts w:hint="eastAsia" w:ascii="仿宋_GB2312" w:eastAsia="仿宋_GB2312"/>
          <w:color w:val="auto"/>
          <w:sz w:val="32"/>
          <w:szCs w:val="32"/>
        </w:rPr>
        <w:t>。</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3.</w:t>
      </w:r>
      <w:r>
        <w:rPr>
          <w:rFonts w:hint="eastAsia" w:ascii="仿宋_GB2312" w:eastAsia="仿宋_GB2312"/>
          <w:color w:val="auto"/>
          <w:sz w:val="32"/>
          <w:szCs w:val="32"/>
        </w:rPr>
        <w:t>经营收入：指事业单位在专业业务活动及其辅助活动之外开展非独立核算经营活动取得的收入。如…（二级预算单位经营收入情况）等。</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4.</w:t>
      </w:r>
      <w:r>
        <w:rPr>
          <w:rFonts w:hint="eastAsia" w:ascii="仿宋_GB2312" w:eastAsia="仿宋_GB2312"/>
          <w:color w:val="auto"/>
          <w:sz w:val="32"/>
          <w:szCs w:val="32"/>
        </w:rPr>
        <w:t>其他收入：指单位取得的除上述收入以外的各项收入。主要是…（收入类型）等。</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5.</w:t>
      </w:r>
      <w:r>
        <w:rPr>
          <w:rFonts w:hint="eastAsia" w:ascii="仿宋_GB2312" w:eastAsia="仿宋_GB2312"/>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6.</w:t>
      </w:r>
      <w:r>
        <w:rPr>
          <w:rFonts w:hint="eastAsia" w:ascii="仿宋_GB2312" w:eastAsia="仿宋_GB2312"/>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pPr>
        <w:pStyle w:val="24"/>
        <w:spacing w:line="560" w:lineRule="exact"/>
        <w:ind w:firstLine="640" w:firstLineChars="200"/>
        <w:rPr>
          <w:rFonts w:ascii="仿宋_GB2312" w:eastAsia="仿宋_GB2312"/>
          <w:color w:val="auto"/>
          <w:sz w:val="32"/>
          <w:szCs w:val="32"/>
        </w:rPr>
      </w:pPr>
      <w:r>
        <w:rPr>
          <w:rFonts w:ascii="仿宋_GB2312" w:eastAsia="仿宋_GB2312"/>
          <w:color w:val="auto"/>
          <w:sz w:val="32"/>
          <w:szCs w:val="32"/>
        </w:rPr>
        <w:t>7.</w:t>
      </w:r>
      <w:r>
        <w:rPr>
          <w:rFonts w:hint="eastAsia" w:ascii="仿宋_GB2312" w:eastAsia="仿宋_GB2312"/>
          <w:color w:val="auto"/>
          <w:sz w:val="32"/>
          <w:szCs w:val="32"/>
        </w:rPr>
        <w:t>结余分配：指事业单位按照会计制度规定缴纳的所得税、提取的专用结余以及转入非财政拨款结余的金额等。</w:t>
      </w:r>
    </w:p>
    <w:p>
      <w:pPr>
        <w:pStyle w:val="24"/>
        <w:spacing w:line="560" w:lineRule="exact"/>
        <w:ind w:firstLine="640" w:firstLineChars="200"/>
        <w:rPr>
          <w:rFonts w:ascii="仿宋_GB2312" w:eastAsia="仿宋_GB2312"/>
          <w:sz w:val="32"/>
          <w:szCs w:val="32"/>
        </w:rPr>
      </w:pPr>
      <w:r>
        <w:rPr>
          <w:rFonts w:ascii="仿宋_GB2312" w:eastAsia="仿宋_GB2312"/>
          <w:color w:val="auto"/>
          <w:sz w:val="32"/>
          <w:szCs w:val="32"/>
        </w:rPr>
        <w:t>8</w:t>
      </w:r>
      <w:r>
        <w:rPr>
          <w:rFonts w:hint="eastAsia" w:ascii="仿宋_GB2312" w:eastAsia="仿宋_GB2312"/>
          <w:color w:val="auto"/>
          <w:sz w:val="32"/>
          <w:szCs w:val="32"/>
        </w:rPr>
        <w:t>、年末结转和结余：指单位按有关规定结转到下年或以后年度继续使用的资金。</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ascii="仿宋_GB2312" w:eastAsia="仿宋_GB2312"/>
          <w:sz w:val="32"/>
          <w:szCs w:val="32"/>
        </w:rPr>
      </w:pPr>
      <w:r>
        <w:rPr>
          <w:rFonts w:hint="eastAsia" w:ascii="仿宋_GB2312" w:eastAsia="仿宋_GB2312"/>
          <w:sz w:val="32"/>
          <w:szCs w:val="32"/>
          <w:lang w:val="en-US" w:eastAsia="zh-CN"/>
        </w:rPr>
        <w:t>9</w:t>
      </w:r>
      <w:r>
        <w:rPr>
          <w:rFonts w:ascii="仿宋_GB2312" w:eastAsia="仿宋_GB2312"/>
          <w:sz w:val="32"/>
          <w:szCs w:val="32"/>
        </w:rPr>
        <w:t>.</w:t>
      </w:r>
      <w:r>
        <w:rPr>
          <w:rFonts w:hint="eastAsia" w:ascii="仿宋_GB2312" w:hAnsi="Times New Roman" w:eastAsia="仿宋_GB2312" w:cs="仿宋"/>
          <w:color w:val="auto"/>
          <w:kern w:val="0"/>
          <w:sz w:val="32"/>
          <w:szCs w:val="32"/>
          <w:lang w:val="en-US" w:eastAsia="zh-CN" w:bidi="ar-SA"/>
        </w:rPr>
        <w:t>社会保障和就业</w:t>
      </w:r>
      <w:r>
        <w:rPr>
          <w:rFonts w:hint="eastAsia" w:ascii="仿宋_GB2312" w:eastAsia="仿宋_GB2312" w:cs="仿宋"/>
          <w:color w:val="auto"/>
          <w:kern w:val="0"/>
          <w:sz w:val="32"/>
          <w:szCs w:val="32"/>
          <w:lang w:val="en-US" w:eastAsia="zh-CN" w:bidi="ar-SA"/>
        </w:rPr>
        <w:t>：</w:t>
      </w:r>
      <w:r>
        <w:rPr>
          <w:rFonts w:hint="eastAsia" w:ascii="仿宋_GB2312" w:hAnsi="仿宋_GB2312" w:eastAsia="仿宋_GB2312" w:cs="仿宋_GB2312"/>
          <w:kern w:val="0"/>
          <w:sz w:val="32"/>
          <w:szCs w:val="32"/>
          <w:shd w:val="clear" w:color="auto" w:fill="FFFFFF"/>
        </w:rPr>
        <w:t>2080505：指反应机关事业单位养老保险缴费支出；2080506指反应机关事业单位职业年金缴费支出。</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rPr>
        <w:t>指</w:t>
      </w:r>
      <w:r>
        <w:rPr>
          <w:rFonts w:hint="eastAsia" w:ascii="仿宋_GB2312" w:hAnsi="仿宋_GB2312" w:eastAsia="仿宋_GB2312" w:cs="仿宋_GB2312"/>
          <w:kern w:val="0"/>
          <w:sz w:val="32"/>
          <w:szCs w:val="32"/>
          <w:shd w:val="clear" w:color="auto" w:fill="FFFFFF"/>
        </w:rPr>
        <w:t>指为保障机构正常运转、完成日常工作任务而发生的人员支出和公用支出。基本支出之外为完成特定行政任务和事业发展目标所发生的支出</w:t>
      </w:r>
      <w:r>
        <w:rPr>
          <w:rFonts w:hint="eastAsia" w:ascii="仿宋_GB2312" w:hAnsi="仿宋_GB2312" w:eastAsia="仿宋_GB2312" w:cs="仿宋_GB2312"/>
          <w:kern w:val="0"/>
          <w:sz w:val="32"/>
          <w:szCs w:val="32"/>
          <w:shd w:val="clear" w:color="auto" w:fill="FFFFFF"/>
          <w:lang w:val="en-US" w:eastAsia="zh-CN"/>
        </w:rPr>
        <w:t>.</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shd w:val="clear" w:color="auto" w:fill="FFFFFF"/>
        </w:rPr>
      </w:pP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住房保障</w:t>
      </w:r>
      <w:r>
        <w:rPr>
          <w:rFonts w:hint="eastAsia" w:ascii="仿宋_GB2312" w:eastAsia="仿宋_GB2312"/>
          <w:sz w:val="32"/>
          <w:szCs w:val="32"/>
          <w:lang w:eastAsia="zh-CN"/>
        </w:rPr>
        <w:t>：</w:t>
      </w:r>
      <w:r>
        <w:rPr>
          <w:rFonts w:hint="eastAsia" w:ascii="仿宋_GB2312" w:eastAsia="仿宋_GB2312"/>
          <w:sz w:val="32"/>
          <w:szCs w:val="32"/>
        </w:rPr>
        <w:t>指</w:t>
      </w:r>
      <w:r>
        <w:rPr>
          <w:rFonts w:hint="eastAsia" w:ascii="仿宋_GB2312" w:hAnsi="仿宋_GB2312" w:eastAsia="仿宋_GB2312" w:cs="仿宋_GB2312"/>
          <w:kern w:val="0"/>
          <w:sz w:val="32"/>
          <w:szCs w:val="32"/>
          <w:shd w:val="clear" w:color="auto" w:fill="FFFFFF"/>
        </w:rPr>
        <w:t>指反映用于保障性住房方面的支出或反映行政事业单位按人力资源和社会保障部、财政部规定的基本工资和津贴补贴以及规定比例为职工缴纳的住房公积金。</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shd w:val="clear" w:color="auto" w:fill="FFFFFF"/>
          <w:lang w:val="en-US" w:eastAsia="zh-CN"/>
        </w:rPr>
        <w:t>12</w:t>
      </w:r>
      <w:r>
        <w:rPr>
          <w:rFonts w:hint="eastAsia" w:ascii="仿宋_GB2312" w:hAnsi="仿宋_GB2312" w:eastAsia="仿宋_GB2312" w:cs="仿宋_GB2312"/>
          <w:kern w:val="0"/>
          <w:sz w:val="32"/>
          <w:szCs w:val="32"/>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line="576" w:lineRule="exact"/>
        <w:ind w:left="0" w:firstLine="640" w:firstLineChars="200"/>
        <w:jc w:val="both"/>
        <w:textAlignment w:val="auto"/>
        <w:rPr>
          <w:rFonts w:ascii="仿宋" w:eastAsia="仿宋"/>
          <w:b/>
          <w:sz w:val="32"/>
          <w:szCs w:val="32"/>
        </w:rPr>
      </w:pPr>
      <w:r>
        <w:rPr>
          <w:rFonts w:hint="eastAsia" w:ascii="仿宋_GB2312" w:hAnsi="仿宋_GB2312" w:eastAsia="仿宋_GB2312" w:cs="仿宋_GB2312"/>
          <w:kern w:val="0"/>
          <w:sz w:val="32"/>
          <w:szCs w:val="32"/>
          <w:shd w:val="clear" w:color="auto" w:fill="FFFFFF"/>
          <w:lang w:val="en-US" w:eastAsia="zh-CN"/>
        </w:rPr>
        <w:t>13</w:t>
      </w:r>
      <w:r>
        <w:rPr>
          <w:rFonts w:hint="eastAsia" w:ascii="仿宋_GB2312" w:hAnsi="仿宋_GB2312" w:eastAsia="仿宋_GB2312" w:cs="仿宋_GB2312"/>
          <w:kern w:val="0"/>
          <w:sz w:val="32"/>
          <w:szCs w:val="32"/>
          <w:shd w:val="clear" w:color="auto"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sz w:val="32"/>
          <w:szCs w:val="32"/>
        </w:rPr>
      </w:pPr>
      <w:r>
        <w:rPr>
          <w:rFonts w:hint="eastAsia" w:ascii="仿宋_GB2312" w:eastAsia="仿宋_GB2312"/>
          <w:sz w:val="32"/>
          <w:szCs w:val="32"/>
          <w:lang w:val="en-US" w:eastAsia="zh-CN"/>
        </w:rPr>
        <w:t>14</w:t>
      </w:r>
      <w:r>
        <w:rPr>
          <w:rFonts w:ascii="仿宋_GB2312" w:eastAsia="仿宋_GB2312"/>
          <w:sz w:val="32"/>
          <w:szCs w:val="32"/>
        </w:rPr>
        <w:t>.</w:t>
      </w:r>
      <w:r>
        <w:rPr>
          <w:rFonts w:hint="eastAsia" w:ascii="仿宋_GB2312" w:eastAsia="仿宋_GB2312"/>
          <w:sz w:val="32"/>
          <w:szCs w:val="32"/>
        </w:rPr>
        <w:t>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项目支出：指在基本支出之外为完成特定行政任务和事业发展目标所发生的支出。</w:t>
      </w:r>
      <w:r>
        <w:rPr>
          <w:rFonts w:ascii="仿宋_GB2312" w:eastAsia="仿宋_GB2312"/>
          <w:sz w:val="32"/>
          <w:szCs w:val="32"/>
        </w:rPr>
        <w:t xml:space="preserve"> </w:t>
      </w:r>
    </w:p>
    <w:p>
      <w:pPr>
        <w:spacing w:line="600" w:lineRule="exact"/>
        <w:jc w:val="center"/>
        <w:outlineLvl w:val="0"/>
        <w:rPr>
          <w:rFonts w:hint="eastAsia" w:ascii="黑体" w:eastAsia="黑体"/>
          <w:sz w:val="44"/>
          <w:szCs w:val="44"/>
        </w:rPr>
      </w:pPr>
      <w:bookmarkStart w:id="53" w:name="_Toc15396614"/>
      <w:bookmarkStart w:id="54" w:name="_Toc15377226"/>
    </w:p>
    <w:p>
      <w:pPr>
        <w:spacing w:line="600" w:lineRule="exact"/>
        <w:jc w:val="center"/>
        <w:outlineLvl w:val="0"/>
        <w:rPr>
          <w:rStyle w:val="19"/>
          <w:rFonts w:ascii="黑体" w:eastAsia="黑体"/>
          <w:b w:val="0"/>
        </w:rPr>
      </w:pPr>
      <w:r>
        <w:rPr>
          <w:rFonts w:hint="eastAsia" w:ascii="黑体" w:eastAsia="黑体"/>
          <w:sz w:val="44"/>
          <w:szCs w:val="44"/>
        </w:rPr>
        <w:t>第</w:t>
      </w:r>
      <w:r>
        <w:rPr>
          <w:rStyle w:val="19"/>
          <w:rFonts w:hint="eastAsia" w:ascii="黑体" w:eastAsia="黑体"/>
          <w:b w:val="0"/>
        </w:rPr>
        <w:t>四部分 附件</w:t>
      </w:r>
      <w:bookmarkEnd w:id="53"/>
    </w:p>
    <w:p>
      <w:pPr>
        <w:jc w:val="center"/>
        <w:rPr>
          <w:rFonts w:ascii="宋体" w:hAnsi="宋体" w:eastAsia="宋体" w:cs="宋体"/>
          <w:b/>
          <w:sz w:val="36"/>
          <w:szCs w:val="44"/>
        </w:rPr>
      </w:pPr>
      <w:r>
        <w:rPr>
          <w:rFonts w:hint="eastAsia" w:ascii="宋体" w:hAnsi="宋体" w:eastAsia="宋体" w:cs="宋体"/>
          <w:b/>
          <w:sz w:val="36"/>
          <w:szCs w:val="44"/>
          <w:lang w:eastAsia="zh-CN"/>
        </w:rPr>
        <w:t>公共卫服务专项资金</w:t>
      </w:r>
      <w:r>
        <w:rPr>
          <w:rFonts w:hint="eastAsia" w:ascii="宋体" w:hAnsi="宋体" w:eastAsia="宋体" w:cs="宋体"/>
          <w:b/>
          <w:sz w:val="36"/>
          <w:szCs w:val="44"/>
        </w:rPr>
        <w:t>绩效自评报告</w:t>
      </w:r>
    </w:p>
    <w:p>
      <w:pPr>
        <w:ind w:firstLine="420" w:firstLineChars="200"/>
        <w:rPr>
          <w:rFonts w:hint="eastAsia" w:ascii="黑体" w:hAnsi="黑体" w:eastAsia="黑体" w:cs="黑体"/>
          <w:bCs/>
          <w:szCs w:val="32"/>
        </w:rPr>
      </w:pP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一、绩效目标分解下达情况</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2021年基本公共卫生服务补助地方病防治项目中央和省级补助资金阿州财社【2021】03号共计345.42万元。（其中：大骨节病治疗225万元，大骨节病人管理19.75万元，氟骨症病人治疗费56.38万元，氟骨症病人管理29.29万元，食源性疾病监测费0.5万元，地方病复核治疗14.5万元）。</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二、绩效目标完成情况分析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（一）资金投入情况分析。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1、项目资金到位情况分析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2021年基本公共卫生服务补助地方病防治项目资金345.42万元，实际到位345.42万元，资金到位率100%。</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2、项目资金执行情况分析</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2021年基本公共卫生服务补助地方病防治项目资金支出345.42万元，均用于大骨节病人治疗1350人，大骨节病人管理3950人，氟骨症病人治疗1200人，氟骨症病人管理5858人；地方病复核1360人。完成率100%。</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3、项目资金管理情况分析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资金使用规范，根据到位情况、实际需要合理安排支出。</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总体绩效目标完成情况分析。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1.产出指标完成情况分析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（1）数量指标。</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计划治疗地方病大骨节病患者1350人，目前已治疗1350人，治疗率100%；纳入管理3950人，管理率100%，地方病氟骨症治疗患者1200人，治疗率100%，规范管理5858人，规范管理率100%。</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（2）质量指标。</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根据地方病患者的疾病情况、是否符合治疗条件、患者的治疗意愿对患者采取藏医外治、藏药、西药等手段干预和治疗管理。通过采取基本的治疗和干预措施，延缓地方病患者的病情进展，缓解病人症状。</w:t>
      </w:r>
    </w:p>
    <w:p>
      <w:pPr>
        <w:ind w:firstLine="640" w:firstLineChars="200"/>
        <w:rPr>
          <w:rFonts w:hint="eastAsia" w:ascii="仿宋_GB2312" w:eastAsia="仿宋_GB2312"/>
          <w:sz w:val="32"/>
          <w:szCs w:val="32"/>
          <w:lang w:val="en-US" w:eastAsia="zh-CN"/>
        </w:rPr>
      </w:pP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2.效益指标完成情况分析。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（1）社会效益。</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　 将大骨节病、氟骨症患者纳入慢性病管理，在尊重患者意愿的基础上，应治尽治，提高患者生存质量。坚持“预防为主、防治结合、分类指导、目标管理”防治工作策略，动员各方力量，整合各种资源，通过对有治疗意愿且符合治疗条件的大骨节病、氟骨症病患者实施救治，减轻患者就医负担，提高患者生活质量，助力脱贫攻坚和全面建成小康社会。</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3.满意度指标完成情况分析。</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（1）服务对象满意度。</w:t>
      </w:r>
    </w:p>
    <w:p>
      <w:pPr>
        <w:ind w:firstLine="640" w:firstLineChars="200"/>
        <w:rPr>
          <w:rFonts w:hint="default" w:ascii="仿宋_GB2312" w:eastAsia="仿宋_GB2312"/>
          <w:sz w:val="32"/>
          <w:szCs w:val="32"/>
          <w:lang w:val="en-US" w:eastAsia="zh-CN"/>
        </w:rPr>
      </w:pPr>
      <w:r>
        <w:rPr>
          <w:rFonts w:hint="eastAsia" w:ascii="仿宋_GB2312" w:eastAsia="仿宋_GB2312"/>
          <w:sz w:val="32"/>
          <w:szCs w:val="32"/>
          <w:lang w:val="en-US" w:eastAsia="zh-CN"/>
        </w:rPr>
        <w:t>建立2550人患者满意度监测制度，努力提高服务水平和服务质量。根据平时公众和服务对象满意度调查，患者满意度达到98.6%，基本达成预期指标。</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三、偏离绩效目标的原因和下一步改进措施</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2021年进一步核实患者信息，更新患者统计数据，清除死亡和调整、搬离本辖区的患者名单。加强宣传，鼓励和帮助患者进行康复训练，增强生活自 理能力。对地方病患者个人信息安全管理。因患者自愿治疗为前提，患者治疗率达不到理想比列。争取各方支持，由卫健局、疾控中心、乡镇人民政府、卫生院、医疗服务机构多方协作，采取统筹安排，长远规划综合实施对辖区内的地方病患者进行有效服务。</w:t>
      </w:r>
    </w:p>
    <w:p>
      <w:p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四、绩效自评结果拟应用和公开情况</w:t>
      </w:r>
    </w:p>
    <w:p>
      <w:pPr>
        <w:ind w:firstLine="640" w:firstLineChars="200"/>
        <w:rPr>
          <w:rFonts w:hint="eastAsia"/>
          <w:lang w:val="en-US" w:eastAsia="zh-CN"/>
        </w:rPr>
      </w:pPr>
      <w:r>
        <w:rPr>
          <w:rFonts w:hint="eastAsia" w:ascii="仿宋_GB2312" w:eastAsia="仿宋_GB2312"/>
          <w:sz w:val="32"/>
          <w:szCs w:val="32"/>
          <w:lang w:val="en-US" w:eastAsia="zh-CN"/>
        </w:rPr>
        <w:t>我院将利用本项目的自评结果来完善下一年度的绩效项目的指标设定，并在规定的范围内进行公开。</w:t>
      </w:r>
    </w:p>
    <w:tbl>
      <w:tblPr>
        <w:tblStyle w:val="15"/>
        <w:tblpPr w:leftFromText="180" w:rightFromText="180" w:vertAnchor="text" w:horzAnchor="page" w:tblpX="1281" w:tblpY="660"/>
        <w:tblOverlap w:val="never"/>
        <w:tblW w:w="9811" w:type="dxa"/>
        <w:tblInd w:w="0" w:type="dxa"/>
        <w:tblLayout w:type="fixed"/>
        <w:tblCellMar>
          <w:top w:w="0" w:type="dxa"/>
          <w:left w:w="108" w:type="dxa"/>
          <w:bottom w:w="0" w:type="dxa"/>
          <w:right w:w="108" w:type="dxa"/>
        </w:tblCellMar>
      </w:tblPr>
      <w:tblGrid>
        <w:gridCol w:w="1976"/>
        <w:gridCol w:w="908"/>
        <w:gridCol w:w="1095"/>
        <w:gridCol w:w="2580"/>
        <w:gridCol w:w="945"/>
        <w:gridCol w:w="1245"/>
        <w:gridCol w:w="1062"/>
      </w:tblGrid>
      <w:tr>
        <w:tblPrEx>
          <w:tblCellMar>
            <w:top w:w="0" w:type="dxa"/>
            <w:left w:w="108" w:type="dxa"/>
            <w:bottom w:w="0" w:type="dxa"/>
            <w:right w:w="108" w:type="dxa"/>
          </w:tblCellMar>
        </w:tblPrEx>
        <w:trPr>
          <w:trHeight w:val="675" w:hRule="atLeast"/>
        </w:trPr>
        <w:tc>
          <w:tcPr>
            <w:tcW w:w="8749" w:type="dxa"/>
            <w:gridSpan w:val="6"/>
            <w:tcBorders>
              <w:top w:val="nil"/>
              <w:left w:val="nil"/>
              <w:bottom w:val="nil"/>
              <w:right w:val="nil"/>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bookmarkStart w:id="55" w:name="_Toc15396618"/>
            <w:r>
              <w:rPr>
                <w:rFonts w:hint="eastAsia" w:ascii="宋体" w:hAnsi="宋体" w:eastAsia="宋体" w:cs="宋体"/>
                <w:kern w:val="0"/>
                <w:sz w:val="21"/>
                <w:szCs w:val="21"/>
                <w:lang w:val="en-US" w:eastAsia="zh-CN" w:bidi="ar"/>
              </w:rPr>
              <w:t>基本公共卫生服务补助地方病防治项目中央和省级补助资金预算项目绩效目标自评</w:t>
            </w:r>
          </w:p>
        </w:tc>
        <w:tc>
          <w:tcPr>
            <w:tcW w:w="1062" w:type="dxa"/>
            <w:tcBorders>
              <w:top w:val="nil"/>
              <w:left w:val="nil"/>
              <w:bottom w:val="nil"/>
              <w:right w:val="nil"/>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r>
      <w:tr>
        <w:tblPrEx>
          <w:tblCellMar>
            <w:top w:w="0" w:type="dxa"/>
            <w:left w:w="108" w:type="dxa"/>
            <w:bottom w:w="0" w:type="dxa"/>
            <w:right w:w="108" w:type="dxa"/>
          </w:tblCellMar>
        </w:tblPrEx>
        <w:trPr>
          <w:gridAfter w:val="1"/>
          <w:wAfter w:w="1062" w:type="dxa"/>
          <w:trHeight w:val="254" w:hRule="atLeast"/>
        </w:trPr>
        <w:tc>
          <w:tcPr>
            <w:tcW w:w="288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主管部门及代码</w:t>
            </w:r>
          </w:p>
        </w:tc>
        <w:tc>
          <w:tcPr>
            <w:tcW w:w="367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红原县卫生健康局</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实施单位</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红原县藏医院</w:t>
            </w:r>
          </w:p>
        </w:tc>
      </w:tr>
      <w:tr>
        <w:tblPrEx>
          <w:tblCellMar>
            <w:top w:w="0" w:type="dxa"/>
            <w:left w:w="108" w:type="dxa"/>
            <w:bottom w:w="0" w:type="dxa"/>
            <w:right w:w="108" w:type="dxa"/>
          </w:tblCellMar>
        </w:tblPrEx>
        <w:trPr>
          <w:gridAfter w:val="1"/>
          <w:wAfter w:w="1062" w:type="dxa"/>
          <w:trHeight w:val="341" w:hRule="atLeast"/>
        </w:trPr>
        <w:tc>
          <w:tcPr>
            <w:tcW w:w="288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项目预算</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执行情况</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（万元）</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 预算数：</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345.42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 执行数：</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345.42</w:t>
            </w:r>
          </w:p>
        </w:tc>
      </w:tr>
      <w:tr>
        <w:tblPrEx>
          <w:tblCellMar>
            <w:top w:w="0" w:type="dxa"/>
            <w:left w:w="108" w:type="dxa"/>
            <w:bottom w:w="0" w:type="dxa"/>
            <w:right w:w="108" w:type="dxa"/>
          </w:tblCellMar>
        </w:tblPrEx>
        <w:trPr>
          <w:gridAfter w:val="1"/>
          <w:wAfter w:w="1062" w:type="dxa"/>
          <w:trHeight w:val="555" w:hRule="atLeast"/>
        </w:trPr>
        <w:tc>
          <w:tcPr>
            <w:tcW w:w="2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其中：</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财政拨款</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345.42</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其中：</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财政拨款</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345.42</w:t>
            </w:r>
          </w:p>
        </w:tc>
      </w:tr>
      <w:tr>
        <w:tblPrEx>
          <w:tblCellMar>
            <w:top w:w="0" w:type="dxa"/>
            <w:left w:w="108" w:type="dxa"/>
            <w:bottom w:w="0" w:type="dxa"/>
            <w:right w:w="108" w:type="dxa"/>
          </w:tblCellMar>
        </w:tblPrEx>
        <w:trPr>
          <w:gridAfter w:val="1"/>
          <w:wAfter w:w="1062" w:type="dxa"/>
          <w:trHeight w:val="341" w:hRule="atLeast"/>
        </w:trPr>
        <w:tc>
          <w:tcPr>
            <w:tcW w:w="288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其他资金</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其他资金</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r>
      <w:tr>
        <w:tblPrEx>
          <w:tblCellMar>
            <w:top w:w="0" w:type="dxa"/>
            <w:left w:w="108" w:type="dxa"/>
            <w:bottom w:w="0" w:type="dxa"/>
            <w:right w:w="108" w:type="dxa"/>
          </w:tblCellMar>
        </w:tblPrEx>
        <w:trPr>
          <w:gridAfter w:val="1"/>
          <w:wAfter w:w="1062" w:type="dxa"/>
          <w:trHeight w:val="217" w:hRule="atLeast"/>
        </w:trPr>
        <w:tc>
          <w:tcPr>
            <w:tcW w:w="197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年度总体目标</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完成情况</w:t>
            </w:r>
          </w:p>
        </w:tc>
        <w:tc>
          <w:tcPr>
            <w:tcW w:w="4583"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预期目标</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目标实际完成情况</w:t>
            </w:r>
          </w:p>
        </w:tc>
      </w:tr>
      <w:tr>
        <w:tblPrEx>
          <w:tblCellMar>
            <w:top w:w="0" w:type="dxa"/>
            <w:left w:w="108" w:type="dxa"/>
            <w:bottom w:w="0" w:type="dxa"/>
            <w:right w:w="108" w:type="dxa"/>
          </w:tblCellMar>
        </w:tblPrEx>
        <w:trPr>
          <w:gridAfter w:val="1"/>
          <w:wAfter w:w="1062" w:type="dxa"/>
          <w:trHeight w:val="797" w:hRule="atLeast"/>
        </w:trPr>
        <w:tc>
          <w:tcPr>
            <w:tcW w:w="197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4583" w:type="dxa"/>
            <w:gridSpan w:val="3"/>
            <w:tcBorders>
              <w:top w:val="single" w:color="000000" w:sz="4" w:space="0"/>
              <w:left w:val="single" w:color="000000" w:sz="4" w:space="0"/>
              <w:bottom w:val="single" w:color="000000" w:sz="4" w:space="0"/>
              <w:right w:val="single" w:color="000000" w:sz="4" w:space="0"/>
            </w:tcBorders>
            <w:shd w:val="clear" w:color="auto" w:fill="auto"/>
            <w:noWrap/>
          </w:tcPr>
          <w:p>
            <w:pPr>
              <w:widowControl/>
              <w:spacing w:line="320" w:lineRule="exact"/>
              <w:jc w:val="center"/>
              <w:textAlignment w:val="bottom"/>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大骨节病人治疗1350人，大骨节病人管理3950人，氟骨症病人治疗1200人，氟骨症病人管理5858人，地方病复核1360人</w:t>
            </w:r>
          </w:p>
        </w:tc>
        <w:tc>
          <w:tcPr>
            <w:tcW w:w="2190" w:type="dxa"/>
            <w:gridSpan w:val="2"/>
            <w:tcBorders>
              <w:top w:val="single" w:color="000000" w:sz="4" w:space="0"/>
              <w:left w:val="single" w:color="000000" w:sz="4" w:space="0"/>
              <w:bottom w:val="single" w:color="000000" w:sz="4" w:space="0"/>
              <w:right w:val="single" w:color="000000" w:sz="4" w:space="0"/>
            </w:tcBorders>
            <w:shd w:val="clear" w:color="auto" w:fill="auto"/>
            <w:noWrap/>
            <w:vAlign w:val="top"/>
          </w:tcPr>
          <w:p>
            <w:pPr>
              <w:widowControl/>
              <w:spacing w:line="320" w:lineRule="exact"/>
              <w:jc w:val="center"/>
              <w:textAlignment w:val="bottom"/>
              <w:rPr>
                <w:rFonts w:hint="eastAsia" w:ascii="宋体" w:hAnsi="宋体" w:eastAsia="宋体" w:cs="宋体"/>
                <w:kern w:val="0"/>
                <w:sz w:val="18"/>
                <w:szCs w:val="18"/>
                <w:lang w:val="en-US" w:eastAsia="zh-CN" w:bidi="ar"/>
              </w:rPr>
            </w:pPr>
            <w:r>
              <w:rPr>
                <w:rFonts w:hint="eastAsia" w:ascii="宋体" w:hAnsi="宋体" w:eastAsia="宋体" w:cs="宋体"/>
                <w:kern w:val="0"/>
                <w:sz w:val="18"/>
                <w:szCs w:val="18"/>
                <w:lang w:val="en-US" w:eastAsia="zh-CN" w:bidi="ar"/>
              </w:rPr>
              <w:t>大骨节病人治疗1350人，大骨节病人管理3950人，氟骨症病人治疗1200人，氟骨症病人管理5858人，地方病复核1360人</w:t>
            </w:r>
          </w:p>
        </w:tc>
      </w:tr>
      <w:tr>
        <w:tblPrEx>
          <w:tblCellMar>
            <w:top w:w="0" w:type="dxa"/>
            <w:left w:w="108" w:type="dxa"/>
            <w:bottom w:w="0" w:type="dxa"/>
            <w:right w:w="108" w:type="dxa"/>
          </w:tblCellMar>
        </w:tblPrEx>
        <w:trPr>
          <w:gridAfter w:val="1"/>
          <w:wAfter w:w="1062" w:type="dxa"/>
          <w:trHeight w:val="693" w:hRule="atLeast"/>
        </w:trPr>
        <w:tc>
          <w:tcPr>
            <w:tcW w:w="1976" w:type="dxa"/>
            <w:vMerge w:val="restart"/>
            <w:tcBorders>
              <w:top w:val="single" w:color="000000" w:sz="4" w:space="0"/>
              <w:left w:val="single" w:color="000000" w:sz="4" w:space="0"/>
              <w:bottom w:val="nil"/>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年度绩效指标完成情况</w:t>
            </w:r>
          </w:p>
        </w:tc>
        <w:tc>
          <w:tcPr>
            <w:tcW w:w="908" w:type="dxa"/>
            <w:tcBorders>
              <w:top w:val="single" w:color="000000" w:sz="4" w:space="0"/>
              <w:left w:val="nil"/>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一级</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二级</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三级</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指标</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预期指标值</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实际完成指标值</w:t>
            </w:r>
          </w:p>
        </w:tc>
      </w:tr>
      <w:tr>
        <w:tblPrEx>
          <w:tblCellMar>
            <w:top w:w="0" w:type="dxa"/>
            <w:left w:w="108" w:type="dxa"/>
            <w:bottom w:w="0" w:type="dxa"/>
            <w:right w:w="108" w:type="dxa"/>
          </w:tblCellMar>
        </w:tblPrEx>
        <w:trPr>
          <w:gridAfter w:val="1"/>
          <w:wAfter w:w="1062"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908"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完成</w:t>
            </w:r>
          </w:p>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数量指标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完成大骨节病人治疗1350人，大骨节病人管理3950人，氟骨症病人治疗1200人，氟骨症病人管理5858人，地方病复核1360人</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100%</w:t>
            </w:r>
          </w:p>
        </w:tc>
      </w:tr>
      <w:tr>
        <w:tblPrEx>
          <w:tblCellMar>
            <w:top w:w="0" w:type="dxa"/>
            <w:left w:w="108" w:type="dxa"/>
            <w:bottom w:w="0" w:type="dxa"/>
            <w:right w:w="108" w:type="dxa"/>
          </w:tblCellMar>
        </w:tblPrEx>
        <w:trPr>
          <w:gridAfter w:val="1"/>
          <w:wAfter w:w="1062" w:type="dxa"/>
          <w:trHeight w:val="415"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9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时效指标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按照规定时间完成目标</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100%</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100%</w:t>
            </w:r>
          </w:p>
        </w:tc>
      </w:tr>
      <w:tr>
        <w:tblPrEx>
          <w:tblCellMar>
            <w:top w:w="0" w:type="dxa"/>
            <w:left w:w="108" w:type="dxa"/>
            <w:bottom w:w="0" w:type="dxa"/>
            <w:right w:w="108" w:type="dxa"/>
          </w:tblCellMar>
        </w:tblPrEx>
        <w:trPr>
          <w:gridAfter w:val="1"/>
          <w:wAfter w:w="1062" w:type="dxa"/>
          <w:trHeight w:val="480" w:hRule="atLeast"/>
        </w:trPr>
        <w:tc>
          <w:tcPr>
            <w:tcW w:w="1976" w:type="dxa"/>
            <w:vMerge w:val="continue"/>
            <w:tcBorders>
              <w:top w:val="nil"/>
              <w:left w:val="single" w:color="000000" w:sz="4" w:space="0"/>
              <w:bottom w:val="nil"/>
              <w:right w:val="single" w:color="000000" w:sz="4" w:space="0"/>
            </w:tcBorders>
            <w:shd w:val="clear" w:color="auto" w:fill="auto"/>
            <w:noWrap/>
            <w:vAlign w:val="center"/>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908"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kern w:val="0"/>
                <w:sz w:val="21"/>
                <w:szCs w:val="21"/>
                <w:lang w:val="en-US" w:eastAsia="zh-CN" w:bidi="ar"/>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可持续影响 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left"/>
              <w:textAlignment w:val="bottom"/>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通过采取基本的治疗和干预措施，延缓地方病患者的病情进展，缓解病人症状地方病</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97%</w:t>
            </w:r>
          </w:p>
        </w:tc>
      </w:tr>
      <w:tr>
        <w:tblPrEx>
          <w:tblCellMar>
            <w:top w:w="0" w:type="dxa"/>
            <w:left w:w="108" w:type="dxa"/>
            <w:bottom w:w="0" w:type="dxa"/>
            <w:right w:w="108" w:type="dxa"/>
          </w:tblCellMar>
        </w:tblPrEx>
        <w:trPr>
          <w:gridAfter w:val="1"/>
          <w:wAfter w:w="1062" w:type="dxa"/>
          <w:trHeight w:val="530" w:hRule="atLeast"/>
        </w:trPr>
        <w:tc>
          <w:tcPr>
            <w:tcW w:w="1976" w:type="dxa"/>
            <w:vMerge w:val="continue"/>
            <w:tcBorders>
              <w:top w:val="nil"/>
              <w:left w:val="single" w:color="000000" w:sz="4" w:space="0"/>
              <w:bottom w:val="single" w:color="000000" w:sz="4" w:space="0"/>
              <w:right w:val="single" w:color="000000" w:sz="4" w:space="0"/>
            </w:tcBorders>
            <w:shd w:val="clear" w:color="auto" w:fill="auto"/>
            <w:noWrap/>
            <w:vAlign w:val="center"/>
          </w:tcPr>
          <w:p/>
        </w:tc>
        <w:tc>
          <w:tcPr>
            <w:tcW w:w="908"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eastAsia" w:ascii="仿宋_GB2312" w:eastAsia="仿宋_GB2312" w:cs="仿宋_GB2312"/>
                <w:kern w:val="0"/>
                <w:sz w:val="28"/>
                <w:szCs w:val="28"/>
                <w:lang w:eastAsia="zh-CN"/>
              </w:rPr>
            </w:pPr>
            <w:r>
              <w:rPr>
                <w:rFonts w:hint="eastAsia" w:ascii="仿宋_GB2312" w:eastAsia="仿宋_GB2312" w:cs="仿宋_GB2312"/>
                <w:kern w:val="0"/>
                <w:sz w:val="28"/>
                <w:szCs w:val="28"/>
              </w:rPr>
              <w:t>满意</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度指标</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ascii="仿宋_GB2312" w:eastAsia="仿宋_GB2312" w:cs="仿宋_GB2312"/>
                <w:kern w:val="0"/>
                <w:sz w:val="28"/>
                <w:szCs w:val="28"/>
              </w:rPr>
            </w:pPr>
            <w:r>
              <w:rPr>
                <w:rFonts w:hint="eastAsia" w:ascii="仿宋_GB2312" w:eastAsia="仿宋_GB2312" w:cs="仿宋_GB2312"/>
                <w:kern w:val="0"/>
                <w:sz w:val="28"/>
                <w:szCs w:val="28"/>
              </w:rPr>
              <w:t>满意度</w:t>
            </w:r>
          </w:p>
          <w:p>
            <w:pPr>
              <w:widowControl/>
              <w:spacing w:line="320" w:lineRule="exact"/>
              <w:jc w:val="center"/>
              <w:textAlignment w:val="bottom"/>
              <w:rPr>
                <w:rFonts w:ascii="仿宋_GB2312" w:eastAsia="仿宋_GB2312" w:cs="仿宋_GB2312"/>
                <w:sz w:val="28"/>
                <w:szCs w:val="28"/>
              </w:rPr>
            </w:pPr>
            <w:r>
              <w:rPr>
                <w:rFonts w:hint="eastAsia" w:ascii="仿宋_GB2312" w:eastAsia="仿宋_GB2312" w:cs="仿宋_GB2312"/>
                <w:kern w:val="0"/>
                <w:sz w:val="28"/>
                <w:szCs w:val="28"/>
              </w:rPr>
              <w:t>指标</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left"/>
              <w:textAlignment w:val="bottom"/>
              <w:rPr>
                <w:rFonts w:ascii="仿宋_GB2312" w:eastAsia="仿宋_GB2312" w:cs="仿宋_GB2312"/>
                <w:sz w:val="28"/>
                <w:szCs w:val="28"/>
              </w:rPr>
            </w:pPr>
            <w:r>
              <w:rPr>
                <w:rFonts w:hint="eastAsia" w:ascii="宋体" w:hAnsi="宋体" w:eastAsia="宋体" w:cs="宋体"/>
                <w:kern w:val="0"/>
                <w:sz w:val="21"/>
                <w:szCs w:val="21"/>
                <w:lang w:val="en-US" w:eastAsia="zh-CN" w:bidi="ar"/>
              </w:rPr>
              <w:t>患者和服务对象对我院工作的满意度基本稳定，群众的反映普遍较好</w:t>
            </w:r>
          </w:p>
        </w:tc>
        <w:tc>
          <w:tcPr>
            <w:tcW w:w="9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98%</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widowControl/>
              <w:spacing w:line="320" w:lineRule="exact"/>
              <w:jc w:val="center"/>
              <w:textAlignment w:val="bottom"/>
              <w:rPr>
                <w:rFonts w:hint="default" w:ascii="仿宋_GB2312" w:eastAsia="仿宋_GB2312" w:cs="仿宋_GB2312"/>
                <w:sz w:val="28"/>
                <w:szCs w:val="28"/>
                <w:lang w:val="en-US" w:eastAsia="zh-CN"/>
              </w:rPr>
            </w:pPr>
            <w:r>
              <w:rPr>
                <w:rFonts w:hint="eastAsia" w:ascii="仿宋_GB2312" w:eastAsia="仿宋_GB2312" w:cs="仿宋_GB2312"/>
                <w:sz w:val="28"/>
                <w:szCs w:val="28"/>
                <w:lang w:val="en-US" w:eastAsia="zh-CN"/>
              </w:rPr>
              <w:t>98%</w:t>
            </w:r>
          </w:p>
        </w:tc>
      </w:tr>
    </w:tbl>
    <w:p>
      <w:pPr>
        <w:spacing w:line="600" w:lineRule="exact"/>
        <w:jc w:val="center"/>
        <w:outlineLvl w:val="0"/>
        <w:rPr>
          <w:rFonts w:ascii="黑体" w:eastAsia="黑体"/>
          <w:sz w:val="44"/>
          <w:szCs w:val="44"/>
        </w:rPr>
      </w:pPr>
    </w:p>
    <w:p>
      <w:pPr>
        <w:spacing w:line="600" w:lineRule="exact"/>
        <w:jc w:val="center"/>
        <w:outlineLvl w:val="0"/>
        <w:rPr>
          <w:rFonts w:ascii="黑体" w:eastAsia="黑体"/>
          <w:sz w:val="44"/>
          <w:szCs w:val="44"/>
        </w:rPr>
      </w:pPr>
    </w:p>
    <w:p>
      <w:pPr>
        <w:pStyle w:val="2"/>
        <w:ind w:left="0" w:leftChars="0" w:firstLine="0" w:firstLineChars="0"/>
        <w:rPr>
          <w:rFonts w:ascii="黑体" w:eastAsia="黑体"/>
          <w:sz w:val="44"/>
          <w:szCs w:val="44"/>
        </w:rPr>
      </w:pPr>
    </w:p>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hint="eastAsia" w:ascii="黑体" w:eastAsia="黑体"/>
          <w:sz w:val="44"/>
          <w:szCs w:val="44"/>
        </w:rPr>
      </w:pPr>
    </w:p>
    <w:p>
      <w:pPr>
        <w:spacing w:line="600" w:lineRule="exact"/>
        <w:jc w:val="center"/>
        <w:outlineLvl w:val="0"/>
        <w:rPr>
          <w:rFonts w:ascii="仿宋" w:eastAsia="仿宋"/>
        </w:rPr>
      </w:pPr>
      <w:r>
        <w:rPr>
          <w:rFonts w:hint="eastAsia" w:ascii="黑体" w:eastAsia="黑体"/>
          <w:sz w:val="44"/>
          <w:szCs w:val="44"/>
        </w:rPr>
        <w:t>第</w:t>
      </w:r>
      <w:r>
        <w:rPr>
          <w:rStyle w:val="19"/>
          <w:rFonts w:hint="eastAsia" w:ascii="黑体" w:eastAsia="黑体"/>
          <w:b w:val="0"/>
        </w:rPr>
        <w:t>五部分 附表</w:t>
      </w:r>
      <w:bookmarkEnd w:id="54"/>
      <w:bookmarkEnd w:id="55"/>
      <w:bookmarkStart w:id="56" w:name="_Toc15396619"/>
    </w:p>
    <w:p>
      <w:pPr>
        <w:pStyle w:val="5"/>
        <w:rPr>
          <w:rFonts w:ascii="仿宋" w:eastAsia="仿宋"/>
        </w:rPr>
      </w:pPr>
      <w:r>
        <w:rPr>
          <w:rFonts w:hint="eastAsia" w:ascii="仿宋" w:eastAsia="仿宋"/>
          <w:b w:val="0"/>
        </w:rPr>
        <w:t>一、收</w:t>
      </w:r>
      <w:r>
        <w:rPr>
          <w:rStyle w:val="20"/>
          <w:rFonts w:hint="eastAsia" w:ascii="仿宋" w:eastAsia="仿宋"/>
          <w:b w:val="0"/>
          <w:bCs w:val="0"/>
        </w:rPr>
        <w:t>入支出决算总表</w:t>
      </w:r>
      <w:bookmarkEnd w:id="56"/>
    </w:p>
    <w:p>
      <w:pPr>
        <w:pStyle w:val="5"/>
        <w:rPr>
          <w:rFonts w:ascii="仿宋" w:eastAsia="仿宋"/>
        </w:rPr>
      </w:pPr>
      <w:bookmarkStart w:id="57" w:name="_Toc15396620"/>
      <w:r>
        <w:rPr>
          <w:rFonts w:hint="eastAsia" w:ascii="仿宋" w:eastAsia="仿宋"/>
          <w:b w:val="0"/>
        </w:rPr>
        <w:t>二、收</w:t>
      </w:r>
      <w:r>
        <w:rPr>
          <w:rStyle w:val="20"/>
          <w:rFonts w:hint="eastAsia" w:ascii="仿宋" w:eastAsia="仿宋"/>
          <w:b w:val="0"/>
          <w:bCs w:val="0"/>
        </w:rPr>
        <w:t>入决算表</w:t>
      </w:r>
      <w:bookmarkEnd w:id="57"/>
    </w:p>
    <w:p>
      <w:pPr>
        <w:pStyle w:val="5"/>
        <w:rPr>
          <w:rFonts w:ascii="仿宋" w:eastAsia="仿宋"/>
        </w:rPr>
      </w:pPr>
      <w:bookmarkStart w:id="58" w:name="_Toc15396621"/>
      <w:r>
        <w:rPr>
          <w:rStyle w:val="20"/>
          <w:rFonts w:hint="eastAsia" w:ascii="仿宋" w:eastAsia="仿宋"/>
          <w:b w:val="0"/>
          <w:bCs w:val="0"/>
        </w:rPr>
        <w:t>三、</w:t>
      </w:r>
      <w:r>
        <w:rPr>
          <w:rFonts w:hint="eastAsia" w:ascii="仿宋" w:eastAsia="仿宋"/>
          <w:b w:val="0"/>
        </w:rPr>
        <w:t>支</w:t>
      </w:r>
      <w:r>
        <w:rPr>
          <w:rStyle w:val="20"/>
          <w:rFonts w:hint="eastAsia" w:ascii="仿宋" w:eastAsia="仿宋"/>
          <w:b w:val="0"/>
          <w:bCs w:val="0"/>
        </w:rPr>
        <w:t>出决算表</w:t>
      </w:r>
      <w:bookmarkEnd w:id="58"/>
    </w:p>
    <w:p>
      <w:pPr>
        <w:pStyle w:val="5"/>
        <w:rPr>
          <w:rFonts w:ascii="仿宋" w:eastAsia="仿宋"/>
          <w:b w:val="0"/>
        </w:rPr>
      </w:pPr>
      <w:bookmarkStart w:id="59" w:name="_Toc15396622"/>
      <w:r>
        <w:rPr>
          <w:rStyle w:val="20"/>
          <w:rFonts w:hint="eastAsia" w:ascii="仿宋" w:eastAsia="仿宋"/>
          <w:b w:val="0"/>
          <w:bCs w:val="0"/>
        </w:rPr>
        <w:t>四、</w:t>
      </w:r>
      <w:r>
        <w:rPr>
          <w:rFonts w:hint="eastAsia" w:ascii="仿宋" w:eastAsia="仿宋"/>
          <w:b w:val="0"/>
        </w:rPr>
        <w:t>财</w:t>
      </w:r>
      <w:r>
        <w:rPr>
          <w:rStyle w:val="20"/>
          <w:rFonts w:hint="eastAsia" w:ascii="仿宋" w:eastAsia="仿宋"/>
          <w:b w:val="0"/>
          <w:bCs w:val="0"/>
        </w:rPr>
        <w:t>政拨款收入支出决算总表</w:t>
      </w:r>
      <w:bookmarkEnd w:id="59"/>
    </w:p>
    <w:p>
      <w:pPr>
        <w:pStyle w:val="5"/>
        <w:rPr>
          <w:rStyle w:val="20"/>
          <w:rFonts w:ascii="仿宋" w:eastAsia="仿宋"/>
          <w:b w:val="0"/>
          <w:bCs w:val="0"/>
        </w:rPr>
      </w:pPr>
      <w:bookmarkStart w:id="60" w:name="_Toc15396623"/>
      <w:r>
        <w:rPr>
          <w:rStyle w:val="20"/>
          <w:rFonts w:hint="eastAsia" w:ascii="仿宋" w:eastAsia="仿宋"/>
          <w:b w:val="0"/>
          <w:bCs w:val="0"/>
        </w:rPr>
        <w:t>五、</w:t>
      </w:r>
      <w:r>
        <w:rPr>
          <w:rFonts w:hint="eastAsia" w:ascii="仿宋" w:eastAsia="仿宋"/>
          <w:b w:val="0"/>
        </w:rPr>
        <w:t>财</w:t>
      </w:r>
      <w:r>
        <w:rPr>
          <w:rStyle w:val="20"/>
          <w:rFonts w:hint="eastAsia" w:ascii="仿宋" w:eastAsia="仿宋"/>
          <w:b w:val="0"/>
          <w:bCs w:val="0"/>
        </w:rPr>
        <w:t>政拨款支出决算明细表</w:t>
      </w:r>
      <w:bookmarkEnd w:id="60"/>
      <w:bookmarkStart w:id="61" w:name="_Toc15396624"/>
    </w:p>
    <w:p>
      <w:pPr>
        <w:pStyle w:val="5"/>
        <w:rPr>
          <w:rFonts w:ascii="仿宋" w:eastAsia="仿宋"/>
        </w:rPr>
      </w:pPr>
      <w:r>
        <w:rPr>
          <w:rStyle w:val="20"/>
          <w:rFonts w:hint="eastAsia" w:ascii="仿宋" w:eastAsia="仿宋"/>
          <w:b w:val="0"/>
          <w:bCs w:val="0"/>
        </w:rPr>
        <w:t>六、</w:t>
      </w:r>
      <w:r>
        <w:rPr>
          <w:rFonts w:hint="eastAsia" w:ascii="仿宋" w:eastAsia="仿宋"/>
          <w:b w:val="0"/>
        </w:rPr>
        <w:t>一</w:t>
      </w:r>
      <w:r>
        <w:rPr>
          <w:rStyle w:val="20"/>
          <w:rFonts w:hint="eastAsia" w:ascii="仿宋" w:eastAsia="仿宋"/>
          <w:b w:val="0"/>
          <w:bCs w:val="0"/>
        </w:rPr>
        <w:t>般公共预算财政拨款支出决算表</w:t>
      </w:r>
      <w:bookmarkEnd w:id="61"/>
    </w:p>
    <w:p>
      <w:pPr>
        <w:pStyle w:val="5"/>
        <w:rPr>
          <w:rFonts w:ascii="仿宋" w:eastAsia="仿宋"/>
        </w:rPr>
      </w:pPr>
      <w:bookmarkStart w:id="62" w:name="_Toc15396625"/>
      <w:r>
        <w:rPr>
          <w:rStyle w:val="20"/>
          <w:rFonts w:hint="eastAsia" w:ascii="仿宋" w:eastAsia="仿宋"/>
          <w:b w:val="0"/>
          <w:bCs w:val="0"/>
        </w:rPr>
        <w:t>七、</w:t>
      </w:r>
      <w:r>
        <w:rPr>
          <w:rFonts w:hint="eastAsia" w:ascii="仿宋" w:eastAsia="仿宋"/>
          <w:b w:val="0"/>
        </w:rPr>
        <w:t>一</w:t>
      </w:r>
      <w:r>
        <w:rPr>
          <w:rStyle w:val="20"/>
          <w:rFonts w:hint="eastAsia" w:ascii="仿宋" w:eastAsia="仿宋"/>
          <w:b w:val="0"/>
          <w:bCs w:val="0"/>
        </w:rPr>
        <w:t>般公共预算财政拨款支出决算明细表</w:t>
      </w:r>
      <w:bookmarkEnd w:id="62"/>
    </w:p>
    <w:p>
      <w:pPr>
        <w:pStyle w:val="5"/>
        <w:rPr>
          <w:rFonts w:ascii="仿宋" w:eastAsia="仿宋"/>
        </w:rPr>
      </w:pPr>
      <w:bookmarkStart w:id="63" w:name="_Toc15396626"/>
      <w:r>
        <w:rPr>
          <w:rStyle w:val="20"/>
          <w:rFonts w:hint="eastAsia" w:ascii="仿宋" w:eastAsia="仿宋"/>
          <w:b w:val="0"/>
          <w:bCs w:val="0"/>
        </w:rPr>
        <w:t>八、</w:t>
      </w:r>
      <w:r>
        <w:rPr>
          <w:rFonts w:hint="eastAsia" w:ascii="仿宋" w:eastAsia="仿宋"/>
          <w:b w:val="0"/>
        </w:rPr>
        <w:t>一</w:t>
      </w:r>
      <w:r>
        <w:rPr>
          <w:rStyle w:val="20"/>
          <w:rFonts w:hint="eastAsia" w:ascii="仿宋" w:eastAsia="仿宋"/>
          <w:b w:val="0"/>
          <w:bCs w:val="0"/>
        </w:rPr>
        <w:t>般公共预算财政拨款基本支出决算表</w:t>
      </w:r>
      <w:bookmarkEnd w:id="63"/>
    </w:p>
    <w:p>
      <w:pPr>
        <w:pStyle w:val="5"/>
        <w:rPr>
          <w:rFonts w:ascii="仿宋" w:eastAsia="仿宋"/>
        </w:rPr>
      </w:pPr>
      <w:bookmarkStart w:id="64" w:name="_Toc15396627"/>
      <w:r>
        <w:rPr>
          <w:rStyle w:val="20"/>
          <w:rFonts w:hint="eastAsia" w:ascii="仿宋" w:eastAsia="仿宋"/>
          <w:b w:val="0"/>
          <w:bCs w:val="0"/>
        </w:rPr>
        <w:t>九、</w:t>
      </w:r>
      <w:r>
        <w:rPr>
          <w:rFonts w:hint="eastAsia" w:ascii="仿宋" w:eastAsia="仿宋"/>
          <w:b w:val="0"/>
        </w:rPr>
        <w:t>一</w:t>
      </w:r>
      <w:r>
        <w:rPr>
          <w:rStyle w:val="20"/>
          <w:rFonts w:hint="eastAsia" w:ascii="仿宋" w:eastAsia="仿宋"/>
          <w:b w:val="0"/>
          <w:bCs w:val="0"/>
        </w:rPr>
        <w:t>般公共预算财政拨款项目支出决算表</w:t>
      </w:r>
      <w:bookmarkEnd w:id="64"/>
    </w:p>
    <w:p>
      <w:pPr>
        <w:pStyle w:val="5"/>
        <w:rPr>
          <w:rFonts w:ascii="仿宋" w:eastAsia="仿宋"/>
        </w:rPr>
      </w:pPr>
      <w:bookmarkStart w:id="65" w:name="_Toc15396628"/>
      <w:r>
        <w:rPr>
          <w:rStyle w:val="20"/>
          <w:rFonts w:hint="eastAsia" w:ascii="仿宋" w:eastAsia="仿宋"/>
          <w:b w:val="0"/>
          <w:bCs w:val="0"/>
        </w:rPr>
        <w:t>十、</w:t>
      </w:r>
      <w:r>
        <w:rPr>
          <w:rFonts w:hint="eastAsia" w:ascii="仿宋" w:eastAsia="仿宋"/>
          <w:b w:val="0"/>
        </w:rPr>
        <w:t>一</w:t>
      </w:r>
      <w:r>
        <w:rPr>
          <w:rStyle w:val="20"/>
          <w:rFonts w:hint="eastAsia" w:ascii="仿宋" w:eastAsia="仿宋"/>
          <w:b w:val="0"/>
          <w:bCs w:val="0"/>
        </w:rPr>
        <w:t>般公共预算财政拨款“三公”经费支出决算表</w:t>
      </w:r>
      <w:bookmarkEnd w:id="65"/>
    </w:p>
    <w:p>
      <w:pPr>
        <w:pStyle w:val="5"/>
        <w:rPr>
          <w:rFonts w:ascii="仿宋" w:eastAsia="仿宋"/>
        </w:rPr>
      </w:pPr>
      <w:bookmarkStart w:id="66" w:name="_Toc15396629"/>
      <w:r>
        <w:rPr>
          <w:rStyle w:val="20"/>
          <w:rFonts w:hint="eastAsia" w:ascii="仿宋" w:eastAsia="仿宋"/>
          <w:b w:val="0"/>
          <w:bCs w:val="0"/>
        </w:rPr>
        <w:t>十一、</w:t>
      </w:r>
      <w:r>
        <w:rPr>
          <w:rFonts w:hint="eastAsia" w:ascii="仿宋" w:eastAsia="仿宋"/>
          <w:b w:val="0"/>
        </w:rPr>
        <w:t>政</w:t>
      </w:r>
      <w:r>
        <w:rPr>
          <w:rStyle w:val="20"/>
          <w:rFonts w:hint="eastAsia" w:ascii="仿宋" w:eastAsia="仿宋"/>
          <w:b w:val="0"/>
          <w:bCs w:val="0"/>
        </w:rPr>
        <w:t>府性基金预算财政拨款收入支出决算表</w:t>
      </w:r>
      <w:bookmarkEnd w:id="66"/>
    </w:p>
    <w:p>
      <w:pPr>
        <w:pStyle w:val="5"/>
        <w:rPr>
          <w:rFonts w:ascii="仿宋" w:eastAsia="仿宋"/>
        </w:rPr>
      </w:pPr>
      <w:bookmarkStart w:id="67" w:name="_Toc15396630"/>
      <w:r>
        <w:rPr>
          <w:rStyle w:val="20"/>
          <w:rFonts w:hint="eastAsia" w:ascii="仿宋" w:eastAsia="仿宋"/>
          <w:b w:val="0"/>
          <w:bCs w:val="0"/>
        </w:rPr>
        <w:t>十二、</w:t>
      </w:r>
      <w:r>
        <w:rPr>
          <w:rFonts w:hint="eastAsia" w:ascii="仿宋" w:eastAsia="仿宋"/>
          <w:b w:val="0"/>
        </w:rPr>
        <w:t>政</w:t>
      </w:r>
      <w:r>
        <w:rPr>
          <w:rStyle w:val="20"/>
          <w:rFonts w:hint="eastAsia" w:ascii="仿宋" w:eastAsia="仿宋"/>
          <w:b w:val="0"/>
          <w:bCs w:val="0"/>
        </w:rPr>
        <w:t>府性基金预算财政拨款“三公”经费支出决算表</w:t>
      </w:r>
      <w:bookmarkEnd w:id="67"/>
    </w:p>
    <w:p>
      <w:pPr>
        <w:pStyle w:val="5"/>
        <w:rPr>
          <w:rStyle w:val="20"/>
          <w:rFonts w:ascii="仿宋" w:eastAsia="仿宋"/>
          <w:b w:val="0"/>
          <w:bCs w:val="0"/>
        </w:rPr>
      </w:pPr>
      <w:bookmarkStart w:id="68" w:name="_Toc15396631"/>
      <w:r>
        <w:rPr>
          <w:rStyle w:val="20"/>
          <w:rFonts w:hint="eastAsia" w:ascii="仿宋" w:eastAsia="仿宋"/>
          <w:b w:val="0"/>
          <w:bCs w:val="0"/>
        </w:rPr>
        <w:t>十三、</w:t>
      </w:r>
      <w:r>
        <w:rPr>
          <w:rFonts w:hint="eastAsia" w:ascii="仿宋" w:eastAsia="仿宋"/>
          <w:b w:val="0"/>
        </w:rPr>
        <w:t>国</w:t>
      </w:r>
      <w:r>
        <w:rPr>
          <w:rStyle w:val="20"/>
          <w:rFonts w:hint="eastAsia" w:ascii="仿宋" w:eastAsia="仿宋"/>
          <w:b w:val="0"/>
          <w:bCs w:val="0"/>
        </w:rPr>
        <w:t>有资本经营预算财政拨款收入支出决算表</w:t>
      </w:r>
      <w:bookmarkEnd w:id="68"/>
    </w:p>
    <w:p>
      <w:pPr>
        <w:rPr>
          <w:rFonts w:eastAsia="仿宋"/>
        </w:rPr>
      </w:pPr>
      <w:r>
        <w:rPr>
          <w:rStyle w:val="20"/>
          <w:rFonts w:hint="eastAsia" w:ascii="仿宋" w:eastAsia="仿宋"/>
          <w:b w:val="0"/>
          <w:bCs w:val="0"/>
        </w:rPr>
        <w:t>十四、国有资本经营预算财政拨款支出决算表</w:t>
      </w:r>
    </w:p>
    <w:sectPr>
      <w:footerReference r:id="rId11" w:type="first"/>
      <w:footerReference r:id="rId10"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ms Rmn">
    <w:altName w:val="hakuyoxingshu7000"/>
    <w:panose1 w:val="00000000000000000000"/>
    <w:charset w:val="00"/>
    <w:family w:val="auto"/>
    <w:pitch w:val="default"/>
    <w:sig w:usb0="00000000" w:usb1="00000000" w:usb2="00000000" w:usb3="00000000" w:csb0="00040001" w:csb1="00000000"/>
  </w:font>
  <w:font w:name="hakuyoxingshu7000">
    <w:panose1 w:val="02000600000000000000"/>
    <w:charset w:val="86"/>
    <w:family w:val="auto"/>
    <w:pitch w:val="default"/>
    <w:sig w:usb0="FFFFFFFF" w:usb1="E9FFFFFF" w:usb2="0000003F" w:usb3="00000000" w:csb0="603F00FF" w:csb1="FFFF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C9FF2F"/>
    <w:multiLevelType w:val="singleLevel"/>
    <w:tmpl w:val="B2C9FF2F"/>
    <w:lvl w:ilvl="0" w:tentative="0">
      <w:start w:val="1"/>
      <w:numFmt w:val="decimal"/>
      <w:lvlText w:val="%1."/>
      <w:lvlJc w:val="left"/>
      <w:pPr>
        <w:tabs>
          <w:tab w:val="left" w:pos="312"/>
        </w:tabs>
      </w:pPr>
    </w:lvl>
  </w:abstractNum>
  <w:abstractNum w:abstractNumId="1">
    <w:nsid w:val="BC490878"/>
    <w:multiLevelType w:val="singleLevel"/>
    <w:tmpl w:val="BC490878"/>
    <w:lvl w:ilvl="0" w:tentative="0">
      <w:start w:val="1"/>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pPr>
        <w:ind w:left="0" w:firstLine="0"/>
      </w:pPr>
      <w:rPr>
        <w:rFonts w:hint="eastAsia"/>
      </w:rPr>
    </w:lvl>
  </w:abstractNum>
  <w:abstractNum w:abstractNumId="3">
    <w:nsid w:val="E2FA047D"/>
    <w:multiLevelType w:val="singleLevel"/>
    <w:tmpl w:val="E2FA047D"/>
    <w:lvl w:ilvl="0" w:tentative="0">
      <w:start w:val="3"/>
      <w:numFmt w:val="chineseCounting"/>
      <w:suff w:val="space"/>
      <w:lvlText w:val="第%1部分"/>
      <w:lvlJc w:val="left"/>
      <w:pPr>
        <w:ind w:left="0" w:firstLine="0"/>
      </w:pPr>
      <w:rPr>
        <w:rFonts w:hint="eastAsia" w:ascii="黑体" w:hAnsi="黑体" w:eastAsia="黑体" w:cs="黑体"/>
        <w:sz w:val="44"/>
        <w:szCs w:val="44"/>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4"/>
  </w:compat>
  <w:docVars>
    <w:docVar w:name="commondata" w:val="eyJoZGlkIjoiZjRiZTBiNzNhYWU2NzlhNDliY2UzZmE5OGMyYTFjY2MifQ=="/>
  </w:docVars>
  <w:rsids>
    <w:rsidRoot w:val="008C6A67"/>
    <w:rsid w:val="00190606"/>
    <w:rsid w:val="00305E83"/>
    <w:rsid w:val="004F482C"/>
    <w:rsid w:val="008C6A67"/>
    <w:rsid w:val="13911914"/>
    <w:rsid w:val="156136D9"/>
    <w:rsid w:val="27C43517"/>
    <w:rsid w:val="4E020C75"/>
    <w:rsid w:val="4F451D18"/>
    <w:rsid w:val="502C17CE"/>
    <w:rsid w:val="660B715E"/>
    <w:rsid w:val="73852C46"/>
    <w:rsid w:val="7D831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0"/>
    <w:unhideWhenUsed/>
    <w:qFormat/>
    <w:uiPriority w:val="9"/>
    <w:pPr>
      <w:keepNext/>
      <w:keepLines/>
      <w:spacing w:before="260" w:after="260" w:line="415" w:lineRule="auto"/>
      <w:outlineLvl w:val="1"/>
    </w:pPr>
    <w:rPr>
      <w:rFonts w:ascii="Cambria" w:hAnsi="Cambria"/>
      <w:b/>
      <w:bCs/>
      <w:sz w:val="32"/>
      <w:szCs w:val="32"/>
    </w:rPr>
  </w:style>
  <w:style w:type="paragraph" w:styleId="6">
    <w:name w:val="heading 3"/>
    <w:basedOn w:val="1"/>
    <w:next w:val="1"/>
    <w:semiHidden/>
    <w:unhideWhenUsed/>
    <w:qFormat/>
    <w:uiPriority w:val="9"/>
    <w:pPr>
      <w:keepNext/>
      <w:keepLines/>
      <w:spacing w:before="260" w:after="260" w:line="415" w:lineRule="auto"/>
      <w:outlineLvl w:val="2"/>
    </w:pPr>
    <w:rPr>
      <w:b/>
      <w:bCs/>
      <w:sz w:val="32"/>
      <w:szCs w:val="32"/>
    </w:rPr>
  </w:style>
  <w:style w:type="character" w:default="1" w:styleId="16">
    <w:name w:val="Default Paragraph Font"/>
    <w:semiHidden/>
    <w:unhideWhenUsed/>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spacing w:before="0" w:beforeAutospacing="0" w:after="120" w:afterAutospacing="0"/>
      <w:ind w:left="420" w:leftChars="200" w:right="0" w:firstLine="420" w:firstLineChars="200"/>
      <w:jc w:val="left"/>
    </w:pPr>
    <w:rPr>
      <w:rFonts w:hint="eastAsia" w:ascii="宋体" w:hAnsi="宋体" w:eastAsia="宋体" w:cs="宋体"/>
      <w:kern w:val="0"/>
      <w:sz w:val="24"/>
      <w:szCs w:val="24"/>
      <w:lang w:val="en-US" w:eastAsia="zh-CN" w:bidi="ar"/>
    </w:rPr>
  </w:style>
  <w:style w:type="paragraph" w:styleId="3">
    <w:name w:val="Body Text Indent"/>
    <w:basedOn w:val="1"/>
    <w:next w:val="2"/>
    <w:qFormat/>
    <w:uiPriority w:val="99"/>
    <w:pPr>
      <w:spacing w:before="0" w:beforeAutospacing="0" w:after="120" w:afterAutospacing="0"/>
      <w:ind w:left="420" w:leftChars="200" w:right="0"/>
      <w:jc w:val="left"/>
    </w:pPr>
    <w:rPr>
      <w:rFonts w:hint="eastAsia" w:ascii="宋体" w:hAnsi="宋体" w:eastAsia="宋体" w:cs="宋体"/>
      <w:kern w:val="0"/>
      <w:sz w:val="24"/>
      <w:szCs w:val="24"/>
      <w:lang w:val="en-US" w:eastAsia="zh-CN" w:bidi="ar"/>
    </w:rPr>
  </w:style>
  <w:style w:type="paragraph" w:styleId="7">
    <w:name w:val="Body Text"/>
    <w:basedOn w:val="1"/>
    <w:next w:val="8"/>
    <w:uiPriority w:val="0"/>
    <w:pPr>
      <w:spacing w:before="30" w:beforeLines="30"/>
    </w:pPr>
    <w:rPr>
      <w:rFonts w:ascii="仿宋_GB2312" w:eastAsia="仿宋_GB2312"/>
      <w:kern w:val="0"/>
      <w:sz w:val="30"/>
    </w:rPr>
  </w:style>
  <w:style w:type="paragraph" w:styleId="8">
    <w:name w:val="Plain Text"/>
    <w:basedOn w:val="1"/>
    <w:qFormat/>
    <w:uiPriority w:val="0"/>
    <w:pPr>
      <w:autoSpaceDE w:val="0"/>
      <w:autoSpaceDN w:val="0"/>
      <w:adjustRightInd w:val="0"/>
      <w:spacing w:before="0" w:beforeAutospacing="0" w:after="0" w:afterAutospacing="0"/>
      <w:ind w:left="0" w:right="0"/>
      <w:jc w:val="left"/>
    </w:pPr>
    <w:rPr>
      <w:rFonts w:hint="eastAsia" w:ascii="宋体" w:hAnsi="Tms Rmn" w:eastAsia="宋体" w:cs="宋体"/>
      <w:kern w:val="0"/>
      <w:sz w:val="24"/>
      <w:szCs w:val="24"/>
      <w:lang w:val="en-US" w:eastAsia="zh-CN" w:bidi="ar"/>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iPriority w:val="0"/>
    <w:pPr>
      <w:tabs>
        <w:tab w:val="right" w:leader="dot" w:pos="8296"/>
      </w:tabs>
      <w:spacing w:before="93"/>
      <w:jc w:val="center"/>
    </w:pPr>
    <w:rPr>
      <w:rFonts w:ascii="仿宋" w:eastAsia="仿宋"/>
      <w:sz w:val="28"/>
      <w:szCs w:val="28"/>
    </w:rPr>
  </w:style>
  <w:style w:type="paragraph" w:styleId="14">
    <w:name w:val="toc 2"/>
    <w:basedOn w:val="1"/>
    <w:next w:val="1"/>
    <w:qFormat/>
    <w:uiPriority w:val="0"/>
    <w:pPr>
      <w:tabs>
        <w:tab w:val="right" w:leader="dot" w:pos="8296"/>
      </w:tabs>
      <w:ind w:left="200" w:leftChars="200"/>
    </w:pPr>
  </w:style>
  <w:style w:type="character" w:styleId="17">
    <w:name w:val="Strong"/>
    <w:basedOn w:val="16"/>
    <w:qFormat/>
    <w:uiPriority w:val="0"/>
    <w:rPr>
      <w:b/>
    </w:rPr>
  </w:style>
  <w:style w:type="character" w:styleId="18">
    <w:name w:val="Hyperlink"/>
    <w:basedOn w:val="16"/>
    <w:qFormat/>
    <w:uiPriority w:val="0"/>
    <w:rPr>
      <w:color w:val="0000FF"/>
      <w:u w:val="single"/>
    </w:rPr>
  </w:style>
  <w:style w:type="character" w:customStyle="1" w:styleId="19">
    <w:name w:val="标题 1 字符"/>
    <w:basedOn w:val="16"/>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标题 2 字符"/>
    <w:basedOn w:val="16"/>
    <w:link w:val="5"/>
    <w:qFormat/>
    <w:uiPriority w:val="0"/>
    <w:rPr>
      <w:rFonts w:ascii="Cambria" w:hAnsi="Cambria" w:eastAsia="宋体" w:cs="Times New Roman"/>
      <w:b/>
      <w:bCs/>
      <w:kern w:val="2"/>
      <w:sz w:val="32"/>
      <w:szCs w:val="32"/>
      <w:lang w:val="en-US" w:eastAsia="zh-CN" w:bidi="ar-SA"/>
    </w:rPr>
  </w:style>
  <w:style w:type="character" w:customStyle="1" w:styleId="21">
    <w:name w:val="Header Char"/>
    <w:basedOn w:val="16"/>
    <w:qFormat/>
    <w:uiPriority w:val="0"/>
    <w:rPr>
      <w:rFonts w:ascii="Times New Roman" w:hAnsi="Times New Roman"/>
      <w:sz w:val="18"/>
      <w:szCs w:val="18"/>
    </w:rPr>
  </w:style>
  <w:style w:type="character" w:customStyle="1" w:styleId="22">
    <w:name w:val="Footer Char"/>
    <w:basedOn w:val="16"/>
    <w:qFormat/>
    <w:uiPriority w:val="0"/>
    <w:rPr>
      <w:rFonts w:ascii="Times New Roman" w:hAnsi="Times New Roman"/>
      <w:sz w:val="18"/>
      <w:szCs w:val="18"/>
    </w:rPr>
  </w:style>
  <w:style w:type="character" w:customStyle="1" w:styleId="23">
    <w:name w:val="Body Text Char"/>
    <w:basedOn w:val="16"/>
    <w:qFormat/>
    <w:uiPriority w:val="0"/>
    <w:rPr>
      <w:rFonts w:ascii="Times New Roman" w:hAnsi="Times New Roman"/>
      <w:szCs w:val="24"/>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5">
    <w:name w:val="List Paragraph"/>
    <w:basedOn w:val="1"/>
    <w:qFormat/>
    <w:uiPriority w:val="0"/>
    <w:pPr>
      <w:ind w:firstLine="200" w:firstLineChars="200"/>
    </w:pPr>
  </w:style>
  <w:style w:type="paragraph" w:customStyle="1" w:styleId="26">
    <w:name w:val="TOC 标题1"/>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7">
    <w:name w:val="TOC 标题2"/>
    <w:basedOn w:val="4"/>
    <w:next w:val="1"/>
    <w:qFormat/>
    <w:uiPriority w:val="0"/>
    <w:pPr>
      <w:widowControl/>
      <w:spacing w:before="480" w:after="0" w:line="276" w:lineRule="auto"/>
      <w:jc w:val="left"/>
      <w:outlineLvl w:val="9"/>
    </w:pPr>
    <w:rPr>
      <w:rFonts w:ascii="Cambria" w:hAnsi="Cambria"/>
      <w:color w:val="376092"/>
      <w:kern w:val="0"/>
      <w:sz w:val="28"/>
      <w:szCs w:val="28"/>
    </w:rPr>
  </w:style>
  <w:style w:type="paragraph" w:customStyle="1" w:styleId="28">
    <w:name w:val="普通(网站) Char"/>
    <w:basedOn w:val="1"/>
    <w:qFormat/>
    <w:uiPriority w:val="0"/>
    <w:pPr>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29">
    <w:name w:val="26"/>
    <w:basedOn w:val="16"/>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6.emf"/><Relationship Id="rId18" Type="http://schemas.openxmlformats.org/officeDocument/2006/relationships/image" Target="media/image5.emf"/><Relationship Id="rId17" Type="http://schemas.openxmlformats.org/officeDocument/2006/relationships/image" Target="media/image4.emf"/><Relationship Id="rId16" Type="http://schemas.openxmlformats.org/officeDocument/2006/relationships/image" Target="media/image3.emf"/><Relationship Id="rId15" Type="http://schemas.openxmlformats.org/officeDocument/2006/relationships/image" Target="file:///C:\Users\ADMINI~1\AppData\Local\Temp\225bac7997b34f649830cf112c48d797\Users\ADMINI~1\AppData\Local\Temp\~tmp%252525252525257B200873cd-4ebb-4646-b420-4cd10f46004b%252525252525257D1837828.files/~tmp%252525252525257B200873cd-4ebb-4646-b420-4cd10f46004b%252525252525257D18378287538.png" TargetMode="External"/><Relationship Id="rId14" Type="http://schemas.openxmlformats.org/officeDocument/2006/relationships/image" Target="media/image2.png"/><Relationship Id="rId13" Type="http://schemas.openxmlformats.org/officeDocument/2006/relationships/image" Target="media/image1.emf"/><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10029</Words>
  <Characters>12672</Characters>
  <Lines>44</Lines>
  <Paragraphs>12</Paragraphs>
  <TotalTime>8</TotalTime>
  <ScaleCrop>false</ScaleCrop>
  <LinksUpToDate>false</LinksUpToDate>
  <CharactersWithSpaces>12708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cp:lastModifiedBy>
  <cp:lastPrinted>2022-08-06T02:23:00Z</cp:lastPrinted>
  <dcterms:modified xsi:type="dcterms:W3CDTF">2022-12-21T07:38:32Z</dcterms:modified>
  <dc:title>四川省***</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0D673966374344C78D6149F77F8ACCD8</vt:lpwstr>
  </property>
</Properties>
</file>