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color w:val="000000"/>
          <w:sz w:val="72"/>
          <w:szCs w:val="72"/>
        </w:rPr>
      </w:pPr>
      <w:bookmarkStart w:id="0" w:name="_Toc15306267"/>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96597"/>
      <w:bookmarkStart w:id="3" w:name="_Toc12786"/>
      <w:bookmarkStart w:id="4" w:name="_Toc15378441"/>
      <w:bookmarkStart w:id="5" w:name="_Toc15377193"/>
      <w:bookmarkStart w:id="6" w:name="_Toc15396475"/>
      <w:r>
        <w:rPr>
          <w:rFonts w:hint="eastAsia" w:ascii="方正小标宋简体" w:hAnsi="宋体" w:eastAsia="方正小标宋简体"/>
          <w:color w:val="000000"/>
          <w:sz w:val="72"/>
          <w:szCs w:val="72"/>
          <w:lang w:val="en-US" w:eastAsia="zh-CN"/>
        </w:rPr>
        <w:t>2021</w:t>
      </w:r>
      <w:r>
        <w:rPr>
          <w:rFonts w:hint="eastAsia" w:ascii="方正小标宋简体" w:hAnsi="宋体" w:eastAsia="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hAnsi="宋体" w:eastAsia="方正小标宋简体"/>
          <w:color w:val="000000"/>
          <w:sz w:val="72"/>
          <w:szCs w:val="72"/>
        </w:rPr>
      </w:pPr>
      <w:bookmarkStart w:id="7" w:name="_Toc15377426"/>
      <w:bookmarkStart w:id="8" w:name="_Toc15396598"/>
      <w:bookmarkStart w:id="9" w:name="_Toc15378442"/>
      <w:bookmarkStart w:id="10" w:name="_Toc20683"/>
      <w:bookmarkStart w:id="11" w:name="_Toc15377194"/>
      <w:bookmarkStart w:id="12" w:name="_Toc15396476"/>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End w:id="0"/>
      <w:bookmarkStart w:id="13" w:name="_Toc15306268"/>
      <w:r>
        <w:rPr>
          <w:rFonts w:hint="eastAsia" w:ascii="方正小标宋简体" w:hAnsi="宋体" w:eastAsia="方正小标宋简体"/>
          <w:color w:val="000000"/>
          <w:sz w:val="72"/>
          <w:szCs w:val="72"/>
          <w:lang w:eastAsia="zh-CN"/>
        </w:rPr>
        <w:t>查尔玛乡人民政府</w:t>
      </w:r>
      <w:r>
        <w:rPr>
          <w:rFonts w:hint="eastAsia" w:ascii="方正小标宋简体" w:hAnsi="宋体" w:eastAsia="方正小标宋简体"/>
          <w:color w:val="000000"/>
          <w:sz w:val="72"/>
          <w:szCs w:val="72"/>
        </w:rPr>
        <w:t>部门决算</w:t>
      </w:r>
      <w:bookmarkEnd w:id="7"/>
      <w:bookmarkEnd w:id="8"/>
      <w:bookmarkEnd w:id="9"/>
      <w:bookmarkEnd w:id="10"/>
      <w:bookmarkEnd w:id="11"/>
      <w:bookmarkEnd w:id="12"/>
      <w:bookmarkEnd w:id="13"/>
    </w:p>
    <w:p>
      <w:pPr>
        <w:adjustRightInd w:val="0"/>
        <w:snapToGrid w:val="0"/>
        <w:spacing w:line="360" w:lineRule="auto"/>
        <w:jc w:val="center"/>
        <w:outlineLvl w:val="9"/>
        <w:rPr>
          <w:rFonts w:ascii="方正小标宋简体" w:hAnsi="宋体" w:eastAsia="方正小标宋简体"/>
          <w:color w:val="000000"/>
          <w:sz w:val="52"/>
          <w:szCs w:val="52"/>
        </w:rPr>
      </w:pP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pStyle w:val="7"/>
        <w:adjustRightInd w:val="0"/>
        <w:snapToGrid w:val="0"/>
        <w:spacing w:before="93" w:line="600" w:lineRule="exact"/>
        <w:ind w:firstLine="672" w:firstLineChars="210"/>
        <w:jc w:val="center"/>
        <w:outlineLvl w:val="2"/>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公开时间：202</w:t>
      </w:r>
      <w:r>
        <w:rPr>
          <w:rFonts w:hint="eastAsia" w:hAnsi="仿宋_GB2312" w:cs="仿宋_GB2312"/>
          <w:bCs/>
          <w:sz w:val="32"/>
          <w:szCs w:val="32"/>
          <w:lang w:val="en-US" w:eastAsia="zh-CN"/>
        </w:rPr>
        <w:t>2</w:t>
      </w:r>
      <w:r>
        <w:rPr>
          <w:rFonts w:hint="eastAsia" w:ascii="仿宋_GB2312" w:hAnsi="仿宋_GB2312" w:eastAsia="仿宋_GB2312" w:cs="仿宋_GB2312"/>
          <w:bCs/>
          <w:sz w:val="32"/>
          <w:szCs w:val="32"/>
        </w:rPr>
        <w:t>年</w:t>
      </w:r>
      <w:r>
        <w:rPr>
          <w:rFonts w:hint="eastAsia" w:ascii="仿宋_GB2312" w:hAnsi="仿宋_GB2312" w:eastAsia="仿宋_GB2312" w:cs="仿宋_GB2312"/>
          <w:bCs/>
          <w:sz w:val="32"/>
          <w:szCs w:val="32"/>
          <w:lang w:val="en-US" w:eastAsia="zh-CN"/>
        </w:rPr>
        <w:t>1</w:t>
      </w:r>
      <w:r>
        <w:rPr>
          <w:rFonts w:hint="eastAsia" w:hAnsi="仿宋_GB2312" w:cs="仿宋_GB2312"/>
          <w:bCs/>
          <w:sz w:val="32"/>
          <w:szCs w:val="32"/>
          <w:lang w:val="en-US" w:eastAsia="zh-CN"/>
        </w:rPr>
        <w:t>2</w:t>
      </w:r>
      <w:r>
        <w:rPr>
          <w:rFonts w:hint="eastAsia" w:ascii="仿宋_GB2312" w:hAnsi="仿宋_GB2312" w:eastAsia="仿宋_GB2312" w:cs="仿宋_GB2312"/>
          <w:bCs/>
          <w:sz w:val="32"/>
          <w:szCs w:val="32"/>
        </w:rPr>
        <w:t>月</w:t>
      </w:r>
      <w:r>
        <w:rPr>
          <w:rFonts w:hint="eastAsia" w:ascii="仿宋_GB2312" w:hAnsi="仿宋_GB2312" w:eastAsia="仿宋_GB2312" w:cs="仿宋_GB2312"/>
          <w:bCs/>
          <w:sz w:val="32"/>
          <w:szCs w:val="32"/>
          <w:lang w:val="en-US" w:eastAsia="zh-CN"/>
        </w:rPr>
        <w:t>1</w:t>
      </w:r>
      <w:r>
        <w:rPr>
          <w:rFonts w:hint="eastAsia" w:hAnsi="仿宋_GB2312" w:cs="仿宋_GB2312"/>
          <w:bCs/>
          <w:sz w:val="32"/>
          <w:szCs w:val="32"/>
          <w:lang w:val="en-US" w:eastAsia="zh-CN"/>
        </w:rPr>
        <w:t>9</w:t>
      </w:r>
      <w:r>
        <w:rPr>
          <w:rFonts w:hint="eastAsia" w:ascii="仿宋_GB2312" w:hAnsi="仿宋_GB2312" w:eastAsia="仿宋_GB2312" w:cs="仿宋_GB2312"/>
          <w:bCs/>
          <w:sz w:val="32"/>
          <w:szCs w:val="32"/>
        </w:rPr>
        <w:t>日</w:t>
      </w:r>
    </w:p>
    <w:p/>
    <w:sdt>
      <w:sdtPr>
        <w:rPr>
          <w:rFonts w:ascii="宋体" w:hAnsi="宋体" w:eastAsia="宋体" w:cs="Times New Roman"/>
          <w:kern w:val="2"/>
          <w:sz w:val="21"/>
          <w:szCs w:val="24"/>
          <w:lang w:val="en-US" w:eastAsia="zh-CN" w:bidi="ar-SA"/>
        </w:rPr>
        <w:id w:val="147457389"/>
        <w15:color w:val="DBDBDB"/>
        <w:docPartObj>
          <w:docPartGallery w:val="Table of Contents"/>
          <w:docPartUnique/>
        </w:docPartObj>
      </w:sdtPr>
      <w:sdtEndPr>
        <w:rPr>
          <w:rFonts w:ascii="仿宋" w:hAnsi="仿宋" w:eastAsia="仿宋" w:cstheme="minorBidi"/>
          <w:b/>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p>
        <w:p>
          <w:pPr>
            <w:pStyle w:val="33"/>
            <w:tabs>
              <w:tab w:val="right" w:leader="dot" w:pos="8306"/>
            </w:tabs>
            <w:rPr>
              <w:b/>
            </w:rPr>
          </w:pPr>
          <w:r>
            <w:rPr>
              <w:rFonts w:ascii="仿宋" w:hAnsi="仿宋" w:eastAsia="仿宋" w:cstheme="minorBidi"/>
              <w:sz w:val="24"/>
            </w:rPr>
            <w:fldChar w:fldCharType="begin"/>
          </w:r>
          <w:r>
            <w:rPr>
              <w:rFonts w:ascii="仿宋" w:hAnsi="仿宋" w:eastAsia="仿宋" w:cstheme="minorBidi"/>
              <w:sz w:val="24"/>
            </w:rPr>
            <w:instrText xml:space="preserve">TOC \o "1-2" \h \u </w:instrText>
          </w:r>
          <w:r>
            <w:rPr>
              <w:rFonts w:ascii="仿宋" w:hAnsi="仿宋" w:eastAsia="仿宋" w:cstheme="minorBidi"/>
              <w:sz w:val="24"/>
            </w:rPr>
            <w:fldChar w:fldCharType="separate"/>
          </w:r>
        </w:p>
        <w:p>
          <w:pPr>
            <w:pStyle w:val="33"/>
            <w:tabs>
              <w:tab w:val="right" w:leader="dot" w:pos="8306"/>
            </w:tabs>
            <w:rPr>
              <w:b/>
            </w:rPr>
          </w:pPr>
          <w:r>
            <w:rPr>
              <w:rFonts w:ascii="仿宋" w:hAnsi="仿宋" w:eastAsia="仿宋" w:cstheme="minorBidi"/>
              <w:b/>
            </w:rPr>
            <w:fldChar w:fldCharType="begin"/>
          </w:r>
          <w:r>
            <w:rPr>
              <w:rFonts w:ascii="仿宋" w:hAnsi="仿宋" w:eastAsia="仿宋" w:cstheme="minorBidi"/>
              <w:b/>
            </w:rPr>
            <w:instrText xml:space="preserve"> HYPERLINK \l _Toc28847 </w:instrText>
          </w:r>
          <w:r>
            <w:rPr>
              <w:rFonts w:ascii="仿宋" w:hAnsi="仿宋" w:eastAsia="仿宋" w:cstheme="minorBidi"/>
              <w:b/>
            </w:rPr>
            <w:fldChar w:fldCharType="separate"/>
          </w:r>
          <w:r>
            <w:rPr>
              <w:rFonts w:hint="eastAsia" w:ascii="黑体" w:hAnsi="黑体" w:eastAsia="黑体"/>
              <w:b/>
            </w:rPr>
            <w:t xml:space="preserve">第一部分 </w:t>
          </w:r>
          <w:r>
            <w:rPr>
              <w:rFonts w:hint="eastAsia" w:ascii="黑体" w:hAnsi="黑体" w:eastAsia="黑体"/>
              <w:b/>
              <w:bCs w:val="0"/>
            </w:rPr>
            <w:t>部门概况</w:t>
          </w:r>
          <w:r>
            <w:rPr>
              <w:b/>
            </w:rPr>
            <w:tab/>
          </w:r>
          <w:r>
            <w:rPr>
              <w:b/>
            </w:rPr>
            <w:fldChar w:fldCharType="begin"/>
          </w:r>
          <w:r>
            <w:rPr>
              <w:b/>
            </w:rPr>
            <w:instrText xml:space="preserve"> PAGEREF _Toc28847 </w:instrText>
          </w:r>
          <w:r>
            <w:rPr>
              <w:b/>
            </w:rPr>
            <w:fldChar w:fldCharType="separate"/>
          </w:r>
          <w:r>
            <w:rPr>
              <w:b/>
            </w:rPr>
            <w:t>4</w:t>
          </w:r>
          <w:r>
            <w:rPr>
              <w:b/>
            </w:rPr>
            <w:fldChar w:fldCharType="end"/>
          </w:r>
          <w:r>
            <w:rPr>
              <w:rFonts w:ascii="仿宋" w:hAnsi="仿宋" w:eastAsia="仿宋" w:cstheme="minorBidi"/>
              <w:b/>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_Toc26148 </w:instrText>
          </w:r>
          <w:r>
            <w:rPr>
              <w:rFonts w:ascii="仿宋" w:hAnsi="仿宋" w:eastAsia="仿宋" w:cstheme="minorBidi"/>
            </w:rPr>
            <w:fldChar w:fldCharType="separate"/>
          </w:r>
          <w:r>
            <w:rPr>
              <w:rFonts w:hint="eastAsia" w:ascii="黑体" w:hAnsi="黑体" w:eastAsia="黑体"/>
            </w:rPr>
            <w:t>一、基</w:t>
          </w:r>
          <w:r>
            <w:rPr>
              <w:rFonts w:hint="eastAsia" w:ascii="黑体" w:hAnsi="黑体" w:eastAsia="黑体"/>
              <w:bCs w:val="0"/>
            </w:rPr>
            <w:t>本职能及主要工作</w:t>
          </w:r>
          <w:r>
            <w:tab/>
          </w:r>
          <w:r>
            <w:fldChar w:fldCharType="begin"/>
          </w:r>
          <w:r>
            <w:instrText xml:space="preserve"> PAGEREF _Toc26148 </w:instrText>
          </w:r>
          <w:r>
            <w:fldChar w:fldCharType="separate"/>
          </w:r>
          <w:r>
            <w:t>4</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_Toc26390 </w:instrText>
          </w:r>
          <w:r>
            <w:rPr>
              <w:rFonts w:ascii="仿宋" w:hAnsi="仿宋" w:eastAsia="仿宋" w:cstheme="minorBidi"/>
            </w:rPr>
            <w:fldChar w:fldCharType="separate"/>
          </w:r>
          <w:r>
            <w:rPr>
              <w:rFonts w:hint="eastAsia" w:ascii="黑体" w:eastAsia="黑体"/>
            </w:rPr>
            <w:t>二、</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_Toc26390 </w:instrText>
          </w:r>
          <w:r>
            <w:fldChar w:fldCharType="separate"/>
          </w:r>
          <w:r>
            <w:t>7</w:t>
          </w:r>
          <w:r>
            <w:fldChar w:fldCharType="end"/>
          </w:r>
          <w:r>
            <w:rPr>
              <w:rFonts w:ascii="仿宋" w:hAnsi="仿宋" w:eastAsia="仿宋" w:cstheme="minorBidi"/>
            </w:rPr>
            <w:fldChar w:fldCharType="end"/>
          </w:r>
        </w:p>
        <w:p>
          <w:pPr>
            <w:pStyle w:val="33"/>
            <w:tabs>
              <w:tab w:val="right" w:leader="dot" w:pos="8306"/>
            </w:tabs>
            <w:rPr>
              <w:b/>
            </w:rPr>
          </w:pPr>
          <w:r>
            <w:rPr>
              <w:rFonts w:ascii="仿宋" w:hAnsi="仿宋" w:eastAsia="仿宋" w:cstheme="minorBidi"/>
              <w:b/>
            </w:rPr>
            <w:fldChar w:fldCharType="begin"/>
          </w:r>
          <w:r>
            <w:rPr>
              <w:rFonts w:ascii="仿宋" w:hAnsi="仿宋" w:eastAsia="仿宋" w:cstheme="minorBidi"/>
              <w:b/>
            </w:rPr>
            <w:instrText xml:space="preserve"> HYPERLINK \l _Toc24131 </w:instrText>
          </w:r>
          <w:r>
            <w:rPr>
              <w:rFonts w:ascii="仿宋" w:hAnsi="仿宋" w:eastAsia="仿宋" w:cstheme="minorBidi"/>
              <w:b/>
            </w:rPr>
            <w:fldChar w:fldCharType="separate"/>
          </w:r>
          <w:r>
            <w:rPr>
              <w:rFonts w:hint="eastAsia" w:ascii="黑体" w:hAnsi="黑体" w:eastAsia="黑体"/>
              <w:b/>
            </w:rPr>
            <w:t xml:space="preserve">第二部分 </w:t>
          </w:r>
          <w:r>
            <w:rPr>
              <w:rFonts w:hint="eastAsia" w:ascii="黑体" w:hAnsi="黑体" w:eastAsia="黑体"/>
              <w:b/>
              <w:bCs w:val="0"/>
            </w:rPr>
            <w:t>20</w:t>
          </w:r>
          <w:r>
            <w:rPr>
              <w:rFonts w:hint="eastAsia" w:ascii="黑体" w:hAnsi="黑体" w:eastAsia="黑体"/>
              <w:b/>
              <w:bCs w:val="0"/>
              <w:lang w:val="en-US" w:eastAsia="zh-CN"/>
            </w:rPr>
            <w:t>21</w:t>
          </w:r>
          <w:r>
            <w:rPr>
              <w:rFonts w:hint="eastAsia" w:ascii="黑体" w:hAnsi="黑体" w:eastAsia="黑体"/>
              <w:b/>
              <w:bCs w:val="0"/>
            </w:rPr>
            <w:t>年度部门决算情况说明</w:t>
          </w:r>
          <w:r>
            <w:rPr>
              <w:b/>
            </w:rPr>
            <w:tab/>
          </w:r>
          <w:r>
            <w:rPr>
              <w:b/>
            </w:rPr>
            <w:fldChar w:fldCharType="begin"/>
          </w:r>
          <w:r>
            <w:rPr>
              <w:b/>
            </w:rPr>
            <w:instrText xml:space="preserve"> PAGEREF _Toc24131 </w:instrText>
          </w:r>
          <w:r>
            <w:rPr>
              <w:b/>
            </w:rPr>
            <w:fldChar w:fldCharType="separate"/>
          </w:r>
          <w:r>
            <w:rPr>
              <w:b/>
            </w:rPr>
            <w:t>8</w:t>
          </w:r>
          <w:r>
            <w:rPr>
              <w:b/>
            </w:rPr>
            <w:fldChar w:fldCharType="end"/>
          </w:r>
          <w:r>
            <w:rPr>
              <w:rFonts w:ascii="仿宋" w:hAnsi="仿宋" w:eastAsia="仿宋" w:cstheme="minorBidi"/>
              <w:b/>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_Toc28896 </w:instrText>
          </w:r>
          <w:r>
            <w:rPr>
              <w:rFonts w:ascii="仿宋" w:hAnsi="仿宋" w:eastAsia="仿宋" w:cstheme="minorBidi"/>
            </w:rP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_Toc28896 </w:instrText>
          </w:r>
          <w:r>
            <w:fldChar w:fldCharType="separate"/>
          </w:r>
          <w:r>
            <w:t>8</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_Toc24075 </w:instrText>
          </w:r>
          <w:r>
            <w:rPr>
              <w:rFonts w:ascii="仿宋" w:hAnsi="仿宋" w:eastAsia="仿宋" w:cstheme="minorBidi"/>
            </w:rPr>
            <w:fldChar w:fldCharType="separate"/>
          </w:r>
          <w:r>
            <w:rPr>
              <w:rFonts w:hint="default"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_Toc24075 </w:instrText>
          </w:r>
          <w:r>
            <w:fldChar w:fldCharType="separate"/>
          </w:r>
          <w:r>
            <w:t>8</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_Toc6828 </w:instrText>
          </w:r>
          <w:r>
            <w:rPr>
              <w:rFonts w:ascii="仿宋" w:hAnsi="仿宋" w:eastAsia="仿宋" w:cstheme="minorBidi"/>
            </w:rPr>
            <w:fldChar w:fldCharType="separate"/>
          </w:r>
          <w:r>
            <w:rPr>
              <w:rFonts w:hint="default"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_Toc6828 </w:instrText>
          </w:r>
          <w:r>
            <w:fldChar w:fldCharType="separate"/>
          </w:r>
          <w:r>
            <w:t>9</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_Toc17985 </w:instrText>
          </w:r>
          <w:r>
            <w:rPr>
              <w:rFonts w:ascii="仿宋" w:hAnsi="仿宋" w:eastAsia="仿宋" w:cstheme="minorBidi"/>
            </w:rP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_Toc17985 </w:instrText>
          </w:r>
          <w:r>
            <w:fldChar w:fldCharType="separate"/>
          </w:r>
          <w:r>
            <w:t>9</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_Toc28074 </w:instrText>
          </w:r>
          <w:r>
            <w:rPr>
              <w:rFonts w:ascii="仿宋" w:hAnsi="仿宋" w:eastAsia="仿宋" w:cstheme="minorBidi"/>
            </w:rP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_Toc28074 </w:instrText>
          </w:r>
          <w:r>
            <w:fldChar w:fldCharType="separate"/>
          </w:r>
          <w:r>
            <w:t>10</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_Toc12863 </w:instrText>
          </w:r>
          <w:r>
            <w:rPr>
              <w:rFonts w:ascii="仿宋" w:hAnsi="仿宋" w:eastAsia="仿宋" w:cstheme="minorBidi"/>
            </w:rP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_Toc12863 </w:instrText>
          </w:r>
          <w:r>
            <w:fldChar w:fldCharType="separate"/>
          </w:r>
          <w:r>
            <w:t>14</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_Toc10307 </w:instrText>
          </w:r>
          <w:r>
            <w:rPr>
              <w:rFonts w:ascii="仿宋" w:hAnsi="仿宋" w:eastAsia="仿宋" w:cstheme="minorBidi"/>
            </w:rPr>
            <w:fldChar w:fldCharType="separate"/>
          </w:r>
          <w:r>
            <w:rPr>
              <w:rFonts w:hint="eastAsia" w:ascii="黑体" w:eastAsia="黑体"/>
              <w:szCs w:val="32"/>
            </w:rPr>
            <w:t>七、</w:t>
          </w:r>
          <w:r>
            <w:rPr>
              <w:rFonts w:hint="eastAsia" w:ascii="黑体" w:hAnsi="黑体" w:eastAsia="黑体"/>
            </w:rPr>
            <w:t>“三公”经费财政拨款支出决算情况说明</w:t>
          </w:r>
          <w:r>
            <w:tab/>
          </w:r>
          <w:r>
            <w:fldChar w:fldCharType="begin"/>
          </w:r>
          <w:r>
            <w:instrText xml:space="preserve"> PAGEREF _Toc10307 </w:instrText>
          </w:r>
          <w:r>
            <w:fldChar w:fldCharType="separate"/>
          </w:r>
          <w:r>
            <w:t>15</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_Toc24159 </w:instrText>
          </w:r>
          <w:r>
            <w:rPr>
              <w:rFonts w:ascii="仿宋" w:hAnsi="仿宋" w:eastAsia="仿宋" w:cstheme="minorBidi"/>
            </w:rP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_Toc24159 </w:instrText>
          </w:r>
          <w:r>
            <w:fldChar w:fldCharType="separate"/>
          </w:r>
          <w:r>
            <w:t>16</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_Toc2368 </w:instrText>
          </w:r>
          <w:r>
            <w:rPr>
              <w:rFonts w:ascii="仿宋" w:hAnsi="仿宋" w:eastAsia="仿宋" w:cstheme="minorBidi"/>
            </w:rPr>
            <w:fldChar w:fldCharType="separate"/>
          </w:r>
          <w:r>
            <w:rPr>
              <w:rFonts w:hint="eastAsia" w:ascii="黑体" w:hAnsi="黑体" w:eastAsia="黑体"/>
            </w:rPr>
            <w:t>九、 国有资本经营预算支出决算情况说明</w:t>
          </w:r>
          <w:r>
            <w:tab/>
          </w:r>
          <w:r>
            <w:fldChar w:fldCharType="begin"/>
          </w:r>
          <w:r>
            <w:instrText xml:space="preserve"> PAGEREF _Toc2368 </w:instrText>
          </w:r>
          <w:r>
            <w:fldChar w:fldCharType="separate"/>
          </w:r>
          <w:r>
            <w:t>17</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_Toc8180 </w:instrText>
          </w:r>
          <w:r>
            <w:rPr>
              <w:rFonts w:ascii="仿宋" w:hAnsi="仿宋" w:eastAsia="仿宋" w:cstheme="minorBidi"/>
            </w:rPr>
            <w:fldChar w:fldCharType="separate"/>
          </w:r>
          <w:r>
            <w:rPr>
              <w:rFonts w:hint="eastAsia" w:ascii="黑体" w:hAnsi="黑体" w:eastAsia="黑体"/>
              <w:szCs w:val="32"/>
            </w:rPr>
            <w:t>十</w:t>
          </w:r>
          <w:r>
            <w:rPr>
              <w:rFonts w:hint="eastAsia" w:ascii="黑体" w:hAnsi="黑体" w:eastAsia="黑体"/>
            </w:rPr>
            <w:t>、其他重要事项的情况说明</w:t>
          </w:r>
          <w:r>
            <w:tab/>
          </w:r>
          <w:r>
            <w:fldChar w:fldCharType="begin"/>
          </w:r>
          <w:r>
            <w:instrText xml:space="preserve"> PAGEREF _Toc8180 </w:instrText>
          </w:r>
          <w:r>
            <w:fldChar w:fldCharType="separate"/>
          </w:r>
          <w:r>
            <w:t>17</w:t>
          </w:r>
          <w:r>
            <w:fldChar w:fldCharType="end"/>
          </w:r>
          <w:r>
            <w:rPr>
              <w:rFonts w:ascii="仿宋" w:hAnsi="仿宋" w:eastAsia="仿宋" w:cstheme="minorBidi"/>
            </w:rPr>
            <w:fldChar w:fldCharType="end"/>
          </w:r>
        </w:p>
        <w:p>
          <w:pPr>
            <w:pStyle w:val="33"/>
            <w:tabs>
              <w:tab w:val="right" w:leader="dot" w:pos="8306"/>
            </w:tabs>
            <w:rPr>
              <w:b/>
            </w:rPr>
          </w:pPr>
          <w:r>
            <w:rPr>
              <w:rFonts w:ascii="仿宋" w:hAnsi="仿宋" w:eastAsia="仿宋" w:cstheme="minorBidi"/>
              <w:b/>
            </w:rPr>
            <w:fldChar w:fldCharType="begin"/>
          </w:r>
          <w:r>
            <w:rPr>
              <w:rFonts w:ascii="仿宋" w:hAnsi="仿宋" w:eastAsia="仿宋" w:cstheme="minorBidi"/>
              <w:b/>
            </w:rPr>
            <w:instrText xml:space="preserve"> HYPERLINK \l _Toc22786 </w:instrText>
          </w:r>
          <w:r>
            <w:rPr>
              <w:rFonts w:ascii="仿宋" w:hAnsi="仿宋" w:eastAsia="仿宋" w:cstheme="minorBidi"/>
              <w:b/>
            </w:rPr>
            <w:fldChar w:fldCharType="separate"/>
          </w:r>
          <w:r>
            <w:rPr>
              <w:rFonts w:hint="eastAsia" w:ascii="黑体" w:hAnsi="黑体" w:eastAsia="黑体"/>
              <w:b/>
            </w:rPr>
            <w:t xml:space="preserve">第三部分 </w:t>
          </w:r>
          <w:r>
            <w:rPr>
              <w:rFonts w:hint="eastAsia" w:ascii="黑体" w:hAnsi="黑体" w:eastAsia="黑体"/>
              <w:b/>
              <w:szCs w:val="44"/>
            </w:rPr>
            <w:t>名</w:t>
          </w:r>
          <w:r>
            <w:rPr>
              <w:rFonts w:hint="eastAsia" w:ascii="黑体" w:hAnsi="黑体" w:eastAsia="黑体"/>
              <w:b/>
            </w:rPr>
            <w:t>词解释</w:t>
          </w:r>
          <w:r>
            <w:rPr>
              <w:b/>
            </w:rPr>
            <w:tab/>
          </w:r>
          <w:r>
            <w:rPr>
              <w:b/>
            </w:rPr>
            <w:fldChar w:fldCharType="begin"/>
          </w:r>
          <w:r>
            <w:rPr>
              <w:b/>
            </w:rPr>
            <w:instrText xml:space="preserve"> PAGEREF _Toc22786 </w:instrText>
          </w:r>
          <w:r>
            <w:rPr>
              <w:b/>
            </w:rPr>
            <w:fldChar w:fldCharType="separate"/>
          </w:r>
          <w:r>
            <w:rPr>
              <w:b/>
            </w:rPr>
            <w:t>25</w:t>
          </w:r>
          <w:r>
            <w:rPr>
              <w:b/>
            </w:rPr>
            <w:fldChar w:fldCharType="end"/>
          </w:r>
          <w:r>
            <w:rPr>
              <w:rFonts w:ascii="仿宋" w:hAnsi="仿宋" w:eastAsia="仿宋" w:cstheme="minorBidi"/>
              <w:b/>
            </w:rPr>
            <w:fldChar w:fldCharType="end"/>
          </w:r>
        </w:p>
        <w:p>
          <w:pPr>
            <w:pStyle w:val="33"/>
            <w:tabs>
              <w:tab w:val="right" w:leader="dot" w:pos="8306"/>
            </w:tabs>
            <w:rPr>
              <w:b/>
            </w:rPr>
          </w:pPr>
          <w:r>
            <w:rPr>
              <w:rFonts w:ascii="仿宋" w:hAnsi="仿宋" w:eastAsia="仿宋" w:cstheme="minorBidi"/>
              <w:b/>
            </w:rPr>
            <w:fldChar w:fldCharType="begin"/>
          </w:r>
          <w:r>
            <w:rPr>
              <w:rFonts w:ascii="仿宋" w:hAnsi="仿宋" w:eastAsia="仿宋" w:cstheme="minorBidi"/>
              <w:b/>
            </w:rPr>
            <w:instrText xml:space="preserve"> HYPERLINK \l _Toc11463 </w:instrText>
          </w:r>
          <w:r>
            <w:rPr>
              <w:rFonts w:ascii="仿宋" w:hAnsi="仿宋" w:eastAsia="仿宋" w:cstheme="minorBidi"/>
              <w:b/>
            </w:rPr>
            <w:fldChar w:fldCharType="separate"/>
          </w:r>
          <w:r>
            <w:rPr>
              <w:rFonts w:hint="eastAsia" w:ascii="黑体" w:hAnsi="黑体" w:eastAsia="黑体"/>
              <w:b/>
              <w:szCs w:val="44"/>
            </w:rPr>
            <w:t>第</w:t>
          </w:r>
          <w:r>
            <w:rPr>
              <w:rFonts w:hint="eastAsia" w:ascii="黑体" w:hAnsi="黑体" w:eastAsia="黑体"/>
              <w:b/>
            </w:rPr>
            <w:t>四部分 附件</w:t>
          </w:r>
          <w:r>
            <w:rPr>
              <w:b/>
            </w:rPr>
            <w:tab/>
          </w:r>
          <w:r>
            <w:rPr>
              <w:b/>
            </w:rPr>
            <w:fldChar w:fldCharType="begin"/>
          </w:r>
          <w:r>
            <w:rPr>
              <w:b/>
            </w:rPr>
            <w:instrText xml:space="preserve"> PAGEREF _Toc11463 </w:instrText>
          </w:r>
          <w:r>
            <w:rPr>
              <w:b/>
            </w:rPr>
            <w:fldChar w:fldCharType="separate"/>
          </w:r>
          <w:r>
            <w:rPr>
              <w:b/>
            </w:rPr>
            <w:t>31</w:t>
          </w:r>
          <w:r>
            <w:rPr>
              <w:b/>
            </w:rPr>
            <w:fldChar w:fldCharType="end"/>
          </w:r>
          <w:r>
            <w:rPr>
              <w:rFonts w:ascii="仿宋" w:hAnsi="仿宋" w:eastAsia="仿宋" w:cstheme="minorBidi"/>
              <w:b/>
            </w:rPr>
            <w:fldChar w:fldCharType="end"/>
          </w:r>
        </w:p>
        <w:p>
          <w:pPr>
            <w:pStyle w:val="33"/>
            <w:tabs>
              <w:tab w:val="right" w:leader="dot" w:pos="8306"/>
            </w:tabs>
            <w:rPr>
              <w:b/>
            </w:rPr>
          </w:pPr>
          <w:r>
            <w:rPr>
              <w:rFonts w:ascii="仿宋" w:hAnsi="仿宋" w:eastAsia="仿宋" w:cstheme="minorBidi"/>
              <w:b/>
            </w:rPr>
            <w:fldChar w:fldCharType="begin"/>
          </w:r>
          <w:r>
            <w:rPr>
              <w:rFonts w:ascii="仿宋" w:hAnsi="仿宋" w:eastAsia="仿宋" w:cstheme="minorBidi"/>
              <w:b/>
            </w:rPr>
            <w:instrText xml:space="preserve"> HYPERLINK \l _Toc4442 </w:instrText>
          </w:r>
          <w:r>
            <w:rPr>
              <w:rFonts w:ascii="仿宋" w:hAnsi="仿宋" w:eastAsia="仿宋" w:cstheme="minorBidi"/>
              <w:b/>
            </w:rPr>
            <w:fldChar w:fldCharType="separate"/>
          </w:r>
          <w:r>
            <w:rPr>
              <w:rFonts w:hint="eastAsia" w:ascii="黑体" w:hAnsi="黑体" w:eastAsia="黑体" w:cs="黑体"/>
              <w:b/>
              <w:szCs w:val="32"/>
            </w:rPr>
            <w:t>附件1</w:t>
          </w:r>
          <w:r>
            <w:rPr>
              <w:b/>
            </w:rPr>
            <w:tab/>
          </w:r>
          <w:r>
            <w:rPr>
              <w:b/>
            </w:rPr>
            <w:fldChar w:fldCharType="begin"/>
          </w:r>
          <w:r>
            <w:rPr>
              <w:b/>
            </w:rPr>
            <w:instrText xml:space="preserve"> PAGEREF _Toc4442 </w:instrText>
          </w:r>
          <w:r>
            <w:rPr>
              <w:b/>
            </w:rPr>
            <w:fldChar w:fldCharType="separate"/>
          </w:r>
          <w:r>
            <w:rPr>
              <w:b/>
            </w:rPr>
            <w:t>31</w:t>
          </w:r>
          <w:r>
            <w:rPr>
              <w:b/>
            </w:rPr>
            <w:fldChar w:fldCharType="end"/>
          </w:r>
          <w:r>
            <w:rPr>
              <w:rFonts w:ascii="仿宋" w:hAnsi="仿宋" w:eastAsia="仿宋" w:cstheme="minorBidi"/>
              <w:b/>
            </w:rPr>
            <w:fldChar w:fldCharType="end"/>
          </w:r>
        </w:p>
        <w:p>
          <w:pPr>
            <w:pStyle w:val="33"/>
            <w:tabs>
              <w:tab w:val="right" w:leader="dot" w:pos="8306"/>
            </w:tabs>
            <w:rPr>
              <w:rFonts w:hint="eastAsia" w:ascii="仿宋" w:hAnsi="仿宋" w:eastAsia="仿宋" w:cstheme="minorBidi"/>
              <w:b/>
              <w:lang w:val="en-US" w:eastAsia="zh-CN"/>
            </w:rPr>
          </w:pPr>
          <w:r>
            <w:rPr>
              <w:rFonts w:ascii="仿宋" w:hAnsi="仿宋" w:eastAsia="仿宋" w:cstheme="minorBidi"/>
              <w:b/>
            </w:rPr>
            <w:fldChar w:fldCharType="begin"/>
          </w:r>
          <w:r>
            <w:rPr>
              <w:rFonts w:ascii="仿宋" w:hAnsi="仿宋" w:eastAsia="仿宋" w:cstheme="minorBidi"/>
              <w:b/>
            </w:rPr>
            <w:instrText xml:space="preserve"> HYPERLINK \l _Toc4442 </w:instrText>
          </w:r>
          <w:r>
            <w:rPr>
              <w:rFonts w:ascii="仿宋" w:hAnsi="仿宋" w:eastAsia="仿宋" w:cstheme="minorBidi"/>
              <w:b/>
            </w:rPr>
            <w:fldChar w:fldCharType="separate"/>
          </w:r>
          <w:r>
            <w:rPr>
              <w:rFonts w:hint="eastAsia" w:ascii="黑体" w:hAnsi="黑体" w:eastAsia="黑体" w:cs="黑体"/>
              <w:b/>
              <w:szCs w:val="32"/>
            </w:rPr>
            <w:t>附件</w:t>
          </w:r>
          <w:r>
            <w:rPr>
              <w:rFonts w:hint="eastAsia" w:ascii="黑体" w:hAnsi="黑体" w:eastAsia="黑体" w:cs="黑体"/>
              <w:b/>
              <w:szCs w:val="32"/>
              <w:lang w:val="en-US" w:eastAsia="zh-CN"/>
            </w:rPr>
            <w:t>2</w:t>
          </w:r>
          <w:r>
            <w:rPr>
              <w:b/>
            </w:rPr>
            <w:tab/>
          </w:r>
          <w:r>
            <w:rPr>
              <w:rFonts w:hint="eastAsia"/>
              <w:b/>
              <w:lang w:val="en-US" w:eastAsia="zh-CN"/>
            </w:rPr>
            <w:t>3</w:t>
          </w:r>
          <w:r>
            <w:rPr>
              <w:rFonts w:ascii="仿宋" w:hAnsi="仿宋" w:eastAsia="仿宋" w:cstheme="minorBidi"/>
              <w:b/>
            </w:rPr>
            <w:fldChar w:fldCharType="end"/>
          </w:r>
          <w:r>
            <w:rPr>
              <w:rFonts w:hint="eastAsia" w:ascii="仿宋" w:hAnsi="仿宋" w:eastAsia="仿宋" w:cstheme="minorBidi"/>
              <w:b/>
              <w:lang w:val="en-US" w:eastAsia="zh-CN"/>
            </w:rPr>
            <w:t>3</w:t>
          </w:r>
        </w:p>
        <w:p>
          <w:pPr>
            <w:pStyle w:val="33"/>
            <w:tabs>
              <w:tab w:val="right" w:leader="dot" w:pos="8306"/>
            </w:tabs>
            <w:rPr>
              <w:b/>
            </w:rPr>
          </w:pPr>
          <w:r>
            <w:rPr>
              <w:rFonts w:ascii="仿宋" w:hAnsi="仿宋" w:eastAsia="仿宋" w:cstheme="minorBidi"/>
              <w:b/>
            </w:rPr>
            <w:fldChar w:fldCharType="begin"/>
          </w:r>
          <w:r>
            <w:rPr>
              <w:rFonts w:ascii="仿宋" w:hAnsi="仿宋" w:eastAsia="仿宋" w:cstheme="minorBidi"/>
              <w:b/>
            </w:rPr>
            <w:instrText xml:space="preserve"> HYPERLINK \l _Toc28138 </w:instrText>
          </w:r>
          <w:r>
            <w:rPr>
              <w:rFonts w:ascii="仿宋" w:hAnsi="仿宋" w:eastAsia="仿宋" w:cstheme="minorBidi"/>
              <w:b/>
            </w:rPr>
            <w:fldChar w:fldCharType="separate"/>
          </w:r>
          <w:r>
            <w:rPr>
              <w:rFonts w:hint="eastAsia" w:ascii="黑体" w:hAnsi="黑体" w:eastAsia="黑体"/>
              <w:b/>
              <w:szCs w:val="44"/>
            </w:rPr>
            <w:t>第</w:t>
          </w:r>
          <w:r>
            <w:rPr>
              <w:rFonts w:hint="eastAsia" w:ascii="黑体" w:hAnsi="黑体" w:eastAsia="黑体"/>
              <w:b/>
            </w:rPr>
            <w:t>五部分 附表</w:t>
          </w:r>
          <w:r>
            <w:rPr>
              <w:b/>
            </w:rPr>
            <w:tab/>
          </w:r>
          <w:r>
            <w:rPr>
              <w:b/>
            </w:rPr>
            <w:fldChar w:fldCharType="begin"/>
          </w:r>
          <w:r>
            <w:rPr>
              <w:b/>
            </w:rPr>
            <w:instrText xml:space="preserve"> PAGEREF _Toc28138 </w:instrText>
          </w:r>
          <w:r>
            <w:rPr>
              <w:b/>
            </w:rPr>
            <w:fldChar w:fldCharType="separate"/>
          </w:r>
          <w:r>
            <w:rPr>
              <w:b/>
            </w:rPr>
            <w:t>39</w:t>
          </w:r>
          <w:r>
            <w:rPr>
              <w:b/>
            </w:rPr>
            <w:fldChar w:fldCharType="end"/>
          </w:r>
          <w:r>
            <w:rPr>
              <w:rFonts w:ascii="仿宋" w:hAnsi="仿宋" w:eastAsia="仿宋" w:cstheme="minorBidi"/>
              <w:b/>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_Toc31626 </w:instrText>
          </w:r>
          <w:r>
            <w:rPr>
              <w:rFonts w:ascii="仿宋" w:hAnsi="仿宋" w:eastAsia="仿宋" w:cstheme="minorBidi"/>
            </w:rPr>
            <w:fldChar w:fldCharType="separate"/>
          </w:r>
          <w:r>
            <w:rPr>
              <w:rFonts w:hint="eastAsia" w:ascii="仿宋" w:hAnsi="仿宋" w:eastAsia="仿宋"/>
            </w:rPr>
            <w:t>一、收</w:t>
          </w:r>
          <w:r>
            <w:rPr>
              <w:rFonts w:hint="eastAsia" w:ascii="仿宋" w:hAnsi="仿宋" w:eastAsia="仿宋"/>
              <w:bCs w:val="0"/>
            </w:rPr>
            <w:t>入支出决算总表</w:t>
          </w:r>
          <w:r>
            <w:tab/>
          </w:r>
          <w:r>
            <w:fldChar w:fldCharType="begin"/>
          </w:r>
          <w:r>
            <w:instrText xml:space="preserve"> PAGEREF _Toc31626 </w:instrText>
          </w:r>
          <w:r>
            <w:fldChar w:fldCharType="separate"/>
          </w:r>
          <w:r>
            <w:t>39</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_Toc25132 </w:instrText>
          </w:r>
          <w:r>
            <w:rPr>
              <w:rFonts w:ascii="仿宋" w:hAnsi="仿宋" w:eastAsia="仿宋" w:cstheme="minorBidi"/>
            </w:rPr>
            <w:fldChar w:fldCharType="separate"/>
          </w:r>
          <w:r>
            <w:rPr>
              <w:rFonts w:hint="eastAsia" w:ascii="仿宋" w:hAnsi="仿宋" w:eastAsia="仿宋"/>
            </w:rPr>
            <w:t>二、收</w:t>
          </w:r>
          <w:r>
            <w:rPr>
              <w:rFonts w:hint="eastAsia" w:ascii="仿宋" w:hAnsi="仿宋" w:eastAsia="仿宋"/>
              <w:bCs w:val="0"/>
            </w:rPr>
            <w:t>入决算表</w:t>
          </w:r>
          <w:r>
            <w:tab/>
          </w:r>
          <w:r>
            <w:fldChar w:fldCharType="begin"/>
          </w:r>
          <w:r>
            <w:instrText xml:space="preserve"> PAGEREF _Toc25132 </w:instrText>
          </w:r>
          <w:r>
            <w:fldChar w:fldCharType="separate"/>
          </w:r>
          <w:r>
            <w:t>39</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_Toc21363 </w:instrText>
          </w:r>
          <w:r>
            <w:rPr>
              <w:rFonts w:ascii="仿宋" w:hAnsi="仿宋" w:eastAsia="仿宋" w:cstheme="minorBidi"/>
            </w:rPr>
            <w:fldChar w:fldCharType="separate"/>
          </w:r>
          <w:r>
            <w:rPr>
              <w:rFonts w:hint="eastAsia" w:ascii="仿宋" w:hAnsi="仿宋" w:eastAsia="仿宋"/>
              <w:bCs w:val="0"/>
            </w:rPr>
            <w:t>三、</w:t>
          </w:r>
          <w:r>
            <w:rPr>
              <w:rFonts w:hint="eastAsia" w:ascii="仿宋" w:hAnsi="仿宋" w:eastAsia="仿宋"/>
            </w:rPr>
            <w:t>支</w:t>
          </w:r>
          <w:r>
            <w:rPr>
              <w:rFonts w:hint="eastAsia" w:ascii="仿宋" w:hAnsi="仿宋" w:eastAsia="仿宋"/>
              <w:bCs w:val="0"/>
            </w:rPr>
            <w:t>出决算表</w:t>
          </w:r>
          <w:r>
            <w:tab/>
          </w:r>
          <w:r>
            <w:fldChar w:fldCharType="begin"/>
          </w:r>
          <w:r>
            <w:instrText xml:space="preserve"> PAGEREF _Toc21363 </w:instrText>
          </w:r>
          <w:r>
            <w:fldChar w:fldCharType="separate"/>
          </w:r>
          <w:r>
            <w:t>39</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_Toc21770 </w:instrText>
          </w:r>
          <w:r>
            <w:rPr>
              <w:rFonts w:ascii="仿宋" w:hAnsi="仿宋" w:eastAsia="仿宋" w:cstheme="minorBidi"/>
            </w:rPr>
            <w:fldChar w:fldCharType="separate"/>
          </w:r>
          <w:r>
            <w:rPr>
              <w:rFonts w:hint="eastAsia" w:ascii="仿宋" w:hAnsi="仿宋" w:eastAsia="仿宋"/>
              <w:bCs w:val="0"/>
            </w:rPr>
            <w:t>四、</w:t>
          </w:r>
          <w:r>
            <w:rPr>
              <w:rFonts w:hint="eastAsia" w:ascii="仿宋" w:hAnsi="仿宋" w:eastAsia="仿宋"/>
            </w:rPr>
            <w:t>财</w:t>
          </w:r>
          <w:r>
            <w:rPr>
              <w:rFonts w:hint="eastAsia" w:ascii="仿宋" w:hAnsi="仿宋" w:eastAsia="仿宋"/>
              <w:bCs w:val="0"/>
            </w:rPr>
            <w:t>政拨款收入支出决算总表</w:t>
          </w:r>
          <w:r>
            <w:tab/>
          </w:r>
          <w:r>
            <w:fldChar w:fldCharType="begin"/>
          </w:r>
          <w:r>
            <w:instrText xml:space="preserve"> PAGEREF _Toc21770 </w:instrText>
          </w:r>
          <w:r>
            <w:fldChar w:fldCharType="separate"/>
          </w:r>
          <w:r>
            <w:t>39</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_Toc16692 </w:instrText>
          </w:r>
          <w:r>
            <w:rPr>
              <w:rFonts w:ascii="仿宋" w:hAnsi="仿宋" w:eastAsia="仿宋" w:cstheme="minorBidi"/>
            </w:rPr>
            <w:fldChar w:fldCharType="separate"/>
          </w:r>
          <w:r>
            <w:rPr>
              <w:rFonts w:hint="eastAsia" w:ascii="仿宋" w:hAnsi="仿宋" w:eastAsia="仿宋"/>
              <w:bCs w:val="0"/>
            </w:rPr>
            <w:t>五、</w:t>
          </w:r>
          <w:r>
            <w:rPr>
              <w:rFonts w:hint="eastAsia" w:ascii="仿宋" w:hAnsi="仿宋" w:eastAsia="仿宋"/>
            </w:rPr>
            <w:t>财</w:t>
          </w:r>
          <w:r>
            <w:rPr>
              <w:rFonts w:hint="eastAsia" w:ascii="仿宋" w:hAnsi="仿宋" w:eastAsia="仿宋"/>
              <w:bCs w:val="0"/>
            </w:rPr>
            <w:t>政拨款支出决算明细表</w:t>
          </w:r>
          <w:r>
            <w:tab/>
          </w:r>
          <w:r>
            <w:fldChar w:fldCharType="begin"/>
          </w:r>
          <w:r>
            <w:instrText xml:space="preserve"> PAGEREF _Toc16692 </w:instrText>
          </w:r>
          <w:r>
            <w:fldChar w:fldCharType="separate"/>
          </w:r>
          <w:r>
            <w:t>39</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_Toc5717 </w:instrText>
          </w:r>
          <w:r>
            <w:rPr>
              <w:rFonts w:ascii="仿宋" w:hAnsi="仿宋" w:eastAsia="仿宋" w:cstheme="minorBidi"/>
            </w:rPr>
            <w:fldChar w:fldCharType="separate"/>
          </w:r>
          <w:r>
            <w:rPr>
              <w:rFonts w:hint="eastAsia" w:ascii="仿宋" w:hAnsi="仿宋" w:eastAsia="仿宋"/>
              <w:bCs w:val="0"/>
            </w:rPr>
            <w:t>六、</w:t>
          </w:r>
          <w:r>
            <w:rPr>
              <w:rFonts w:hint="eastAsia" w:ascii="仿宋" w:hAnsi="仿宋" w:eastAsia="仿宋"/>
            </w:rPr>
            <w:t>一</w:t>
          </w:r>
          <w:r>
            <w:rPr>
              <w:rFonts w:hint="eastAsia" w:ascii="仿宋" w:hAnsi="仿宋" w:eastAsia="仿宋"/>
              <w:bCs w:val="0"/>
            </w:rPr>
            <w:t>般公共预算财政拨款支出决算表</w:t>
          </w:r>
          <w:r>
            <w:tab/>
          </w:r>
          <w:r>
            <w:fldChar w:fldCharType="begin"/>
          </w:r>
          <w:r>
            <w:instrText xml:space="preserve"> PAGEREF _Toc5717 </w:instrText>
          </w:r>
          <w:r>
            <w:fldChar w:fldCharType="separate"/>
          </w:r>
          <w:r>
            <w:t>39</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_Toc17606 </w:instrText>
          </w:r>
          <w:r>
            <w:rPr>
              <w:rFonts w:ascii="仿宋" w:hAnsi="仿宋" w:eastAsia="仿宋" w:cstheme="minorBidi"/>
            </w:rPr>
            <w:fldChar w:fldCharType="separate"/>
          </w:r>
          <w:r>
            <w:rPr>
              <w:rFonts w:hint="eastAsia" w:ascii="仿宋" w:hAnsi="仿宋" w:eastAsia="仿宋"/>
              <w:bCs w:val="0"/>
            </w:rPr>
            <w:t>七、</w:t>
          </w:r>
          <w:r>
            <w:rPr>
              <w:rFonts w:hint="eastAsia" w:ascii="仿宋" w:hAnsi="仿宋" w:eastAsia="仿宋"/>
            </w:rPr>
            <w:t>一</w:t>
          </w:r>
          <w:r>
            <w:rPr>
              <w:rFonts w:hint="eastAsia" w:ascii="仿宋" w:hAnsi="仿宋" w:eastAsia="仿宋"/>
              <w:bCs w:val="0"/>
            </w:rPr>
            <w:t>般公共预算财政拨款支出决算明细表</w:t>
          </w:r>
          <w:r>
            <w:tab/>
          </w:r>
          <w:r>
            <w:fldChar w:fldCharType="begin"/>
          </w:r>
          <w:r>
            <w:instrText xml:space="preserve"> PAGEREF _Toc17606 </w:instrText>
          </w:r>
          <w:r>
            <w:fldChar w:fldCharType="separate"/>
          </w:r>
          <w:r>
            <w:t>39</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_Toc32744 </w:instrText>
          </w:r>
          <w:r>
            <w:rPr>
              <w:rFonts w:ascii="仿宋" w:hAnsi="仿宋" w:eastAsia="仿宋" w:cstheme="minorBidi"/>
            </w:rPr>
            <w:fldChar w:fldCharType="separate"/>
          </w:r>
          <w:r>
            <w:rPr>
              <w:rFonts w:hint="eastAsia" w:ascii="仿宋" w:hAnsi="仿宋" w:eastAsia="仿宋"/>
              <w:bCs w:val="0"/>
            </w:rPr>
            <w:t>八、</w:t>
          </w:r>
          <w:r>
            <w:rPr>
              <w:rFonts w:hint="eastAsia" w:ascii="仿宋" w:hAnsi="仿宋" w:eastAsia="仿宋"/>
            </w:rPr>
            <w:t>一</w:t>
          </w:r>
          <w:r>
            <w:rPr>
              <w:rFonts w:hint="eastAsia" w:ascii="仿宋" w:hAnsi="仿宋" w:eastAsia="仿宋"/>
              <w:bCs w:val="0"/>
            </w:rPr>
            <w:t>般公共预算财政拨款基本支出决算表</w:t>
          </w:r>
          <w:r>
            <w:tab/>
          </w:r>
          <w:r>
            <w:fldChar w:fldCharType="begin"/>
          </w:r>
          <w:r>
            <w:instrText xml:space="preserve"> PAGEREF _Toc32744 </w:instrText>
          </w:r>
          <w:r>
            <w:fldChar w:fldCharType="separate"/>
          </w:r>
          <w:r>
            <w:t>39</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_Toc19281 </w:instrText>
          </w:r>
          <w:r>
            <w:rPr>
              <w:rFonts w:ascii="仿宋" w:hAnsi="仿宋" w:eastAsia="仿宋" w:cstheme="minorBidi"/>
            </w:rPr>
            <w:fldChar w:fldCharType="separate"/>
          </w:r>
          <w:r>
            <w:rPr>
              <w:rFonts w:hint="eastAsia" w:ascii="仿宋" w:hAnsi="仿宋" w:eastAsia="仿宋"/>
              <w:bCs w:val="0"/>
            </w:rPr>
            <w:t>九、</w:t>
          </w:r>
          <w:r>
            <w:rPr>
              <w:rFonts w:hint="eastAsia" w:ascii="仿宋" w:hAnsi="仿宋" w:eastAsia="仿宋"/>
            </w:rPr>
            <w:t>一</w:t>
          </w:r>
          <w:r>
            <w:rPr>
              <w:rFonts w:hint="eastAsia" w:ascii="仿宋" w:hAnsi="仿宋" w:eastAsia="仿宋"/>
              <w:bCs w:val="0"/>
            </w:rPr>
            <w:t>般公共预算财政拨款项目支出决算表</w:t>
          </w:r>
          <w:r>
            <w:tab/>
          </w:r>
          <w:r>
            <w:fldChar w:fldCharType="begin"/>
          </w:r>
          <w:r>
            <w:instrText xml:space="preserve"> PAGEREF _Toc19281 </w:instrText>
          </w:r>
          <w:r>
            <w:fldChar w:fldCharType="separate"/>
          </w:r>
          <w:r>
            <w:t>39</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_Toc16925 </w:instrText>
          </w:r>
          <w:r>
            <w:rPr>
              <w:rFonts w:ascii="仿宋" w:hAnsi="仿宋" w:eastAsia="仿宋" w:cstheme="minorBidi"/>
            </w:rPr>
            <w:fldChar w:fldCharType="separate"/>
          </w:r>
          <w:r>
            <w:rPr>
              <w:rFonts w:hint="eastAsia" w:ascii="仿宋" w:hAnsi="仿宋" w:eastAsia="仿宋"/>
              <w:bCs w:val="0"/>
            </w:rPr>
            <w:t>十、</w:t>
          </w:r>
          <w:r>
            <w:rPr>
              <w:rFonts w:hint="eastAsia" w:ascii="仿宋" w:hAnsi="仿宋" w:eastAsia="仿宋"/>
            </w:rPr>
            <w:t>一</w:t>
          </w:r>
          <w:r>
            <w:rPr>
              <w:rFonts w:hint="eastAsia" w:ascii="仿宋" w:hAnsi="仿宋" w:eastAsia="仿宋"/>
              <w:bCs w:val="0"/>
            </w:rPr>
            <w:t>般公共预算财政拨款“三公”经费支出决算表</w:t>
          </w:r>
          <w:r>
            <w:tab/>
          </w:r>
          <w:r>
            <w:fldChar w:fldCharType="begin"/>
          </w:r>
          <w:r>
            <w:instrText xml:space="preserve"> PAGEREF _Toc16925 </w:instrText>
          </w:r>
          <w:r>
            <w:fldChar w:fldCharType="separate"/>
          </w:r>
          <w:r>
            <w:t>39</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_Toc9294 </w:instrText>
          </w:r>
          <w:r>
            <w:rPr>
              <w:rFonts w:ascii="仿宋" w:hAnsi="仿宋" w:eastAsia="仿宋" w:cstheme="minorBidi"/>
            </w:rPr>
            <w:fldChar w:fldCharType="separate"/>
          </w:r>
          <w:r>
            <w:rPr>
              <w:rFonts w:hint="eastAsia" w:ascii="仿宋" w:hAnsi="仿宋" w:eastAsia="仿宋"/>
              <w:bCs w:val="0"/>
            </w:rPr>
            <w:t>十一、</w:t>
          </w:r>
          <w:r>
            <w:rPr>
              <w:rFonts w:hint="eastAsia" w:ascii="仿宋" w:hAnsi="仿宋" w:eastAsia="仿宋"/>
            </w:rPr>
            <w:t>政</w:t>
          </w:r>
          <w:r>
            <w:rPr>
              <w:rFonts w:hint="eastAsia" w:ascii="仿宋" w:hAnsi="仿宋" w:eastAsia="仿宋"/>
              <w:bCs w:val="0"/>
            </w:rPr>
            <w:t>府性基金预算财政拨款收入支出决算表</w:t>
          </w:r>
          <w:r>
            <w:tab/>
          </w:r>
          <w:r>
            <w:fldChar w:fldCharType="begin"/>
          </w:r>
          <w:r>
            <w:instrText xml:space="preserve"> PAGEREF _Toc9294 </w:instrText>
          </w:r>
          <w:r>
            <w:fldChar w:fldCharType="separate"/>
          </w:r>
          <w:r>
            <w:t>39</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_Toc29929 </w:instrText>
          </w:r>
          <w:r>
            <w:rPr>
              <w:rFonts w:ascii="仿宋" w:hAnsi="仿宋" w:eastAsia="仿宋" w:cstheme="minorBidi"/>
            </w:rPr>
            <w:fldChar w:fldCharType="separate"/>
          </w:r>
          <w:r>
            <w:rPr>
              <w:rFonts w:hint="eastAsia" w:ascii="仿宋" w:hAnsi="仿宋" w:eastAsia="仿宋"/>
              <w:bCs w:val="0"/>
            </w:rPr>
            <w:t>十二、</w:t>
          </w:r>
          <w:r>
            <w:rPr>
              <w:rFonts w:hint="eastAsia" w:ascii="仿宋" w:hAnsi="仿宋" w:eastAsia="仿宋"/>
            </w:rPr>
            <w:t>政</w:t>
          </w:r>
          <w:r>
            <w:rPr>
              <w:rFonts w:hint="eastAsia" w:ascii="仿宋" w:hAnsi="仿宋" w:eastAsia="仿宋"/>
              <w:bCs w:val="0"/>
            </w:rPr>
            <w:t>府性基金预算财政拨款“三公”经费支出决算表</w:t>
          </w:r>
          <w:r>
            <w:tab/>
          </w:r>
          <w:r>
            <w:fldChar w:fldCharType="begin"/>
          </w:r>
          <w:r>
            <w:instrText xml:space="preserve"> PAGEREF _Toc29929 </w:instrText>
          </w:r>
          <w:r>
            <w:fldChar w:fldCharType="separate"/>
          </w:r>
          <w:r>
            <w:t>39</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_Toc31934 </w:instrText>
          </w:r>
          <w:r>
            <w:rPr>
              <w:rFonts w:ascii="仿宋" w:hAnsi="仿宋" w:eastAsia="仿宋" w:cstheme="minorBidi"/>
            </w:rPr>
            <w:fldChar w:fldCharType="separate"/>
          </w:r>
          <w:r>
            <w:rPr>
              <w:rFonts w:hint="eastAsia" w:ascii="仿宋" w:hAnsi="仿宋" w:eastAsia="仿宋"/>
              <w:bCs w:val="0"/>
            </w:rPr>
            <w:t>十三、</w:t>
          </w:r>
          <w:r>
            <w:rPr>
              <w:rFonts w:hint="eastAsia" w:ascii="仿宋" w:hAnsi="仿宋" w:eastAsia="仿宋"/>
            </w:rPr>
            <w:t>国</w:t>
          </w:r>
          <w:r>
            <w:rPr>
              <w:rFonts w:hint="eastAsia" w:ascii="仿宋" w:hAnsi="仿宋" w:eastAsia="仿宋"/>
              <w:bCs w:val="0"/>
            </w:rPr>
            <w:t>有资本经营预算支出决算表</w:t>
          </w:r>
          <w:r>
            <w:tab/>
          </w:r>
          <w:r>
            <w:fldChar w:fldCharType="begin"/>
          </w:r>
          <w:r>
            <w:instrText xml:space="preserve"> PAGEREF _Toc31934 </w:instrText>
          </w:r>
          <w:r>
            <w:fldChar w:fldCharType="separate"/>
          </w:r>
          <w:r>
            <w:t>39</w:t>
          </w:r>
          <w:r>
            <w:fldChar w:fldCharType="end"/>
          </w:r>
          <w:r>
            <w:rPr>
              <w:rFonts w:ascii="仿宋" w:hAnsi="仿宋" w:eastAsia="仿宋" w:cstheme="minorBidi"/>
            </w:rPr>
            <w:fldChar w:fldCharType="end"/>
          </w:r>
        </w:p>
        <w:p>
          <w:pPr>
            <w:pStyle w:val="13"/>
            <w:adjustRightInd w:val="0"/>
            <w:snapToGrid w:val="0"/>
            <w:spacing w:line="440" w:lineRule="exact"/>
            <w:jc w:val="left"/>
            <w:rPr>
              <w:rFonts w:ascii="仿宋" w:hAnsi="仿宋" w:eastAsia="仿宋" w:cstheme="minorBidi"/>
              <w:sz w:val="24"/>
            </w:rPr>
          </w:pPr>
          <w:r>
            <w:rPr>
              <w:rFonts w:ascii="仿宋" w:hAnsi="仿宋" w:eastAsia="仿宋" w:cstheme="minorBidi"/>
              <w:b/>
            </w:rPr>
            <w:fldChar w:fldCharType="end"/>
          </w:r>
        </w:p>
      </w:sdtContent>
    </w:sdt>
    <w:p>
      <w:pPr>
        <w:widowControl/>
        <w:spacing w:line="440" w:lineRule="exact"/>
        <w:jc w:val="left"/>
        <w:rPr>
          <w:rFonts w:ascii="仿宋" w:hAnsi="仿宋" w:eastAsia="仿宋"/>
          <w:bCs/>
          <w:kern w:val="44"/>
          <w:sz w:val="24"/>
        </w:rPr>
      </w:pPr>
      <w:bookmarkStart w:id="14" w:name="_Toc15377196"/>
      <w:bookmarkStart w:id="15" w:name="_Toc15396599"/>
      <w:r>
        <w:rPr>
          <w:rFonts w:ascii="仿宋" w:hAnsi="仿宋" w:eastAsia="仿宋"/>
          <w:b/>
          <w:sz w:val="24"/>
        </w:rPr>
        <w:br w:type="page"/>
      </w:r>
    </w:p>
    <w:p>
      <w:pPr>
        <w:pStyle w:val="4"/>
        <w:jc w:val="center"/>
        <w:rPr>
          <w:rStyle w:val="27"/>
          <w:rFonts w:ascii="黑体" w:hAnsi="黑体" w:eastAsia="黑体"/>
          <w:b/>
          <w:bCs w:val="0"/>
        </w:rPr>
      </w:pPr>
      <w:bookmarkStart w:id="16" w:name="_Toc28847"/>
      <w:r>
        <w:rPr>
          <w:rFonts w:hint="eastAsia" w:ascii="黑体" w:hAnsi="黑体" w:eastAsia="黑体"/>
          <w:b w:val="0"/>
        </w:rPr>
        <w:t xml:space="preserve">第一部分 </w:t>
      </w:r>
      <w:r>
        <w:rPr>
          <w:rStyle w:val="27"/>
          <w:rFonts w:hint="eastAsia" w:ascii="黑体" w:hAnsi="黑体" w:eastAsia="黑体"/>
          <w:b w:val="0"/>
          <w:bCs w:val="0"/>
        </w:rPr>
        <w:t>部门概况</w:t>
      </w:r>
      <w:bookmarkEnd w:id="14"/>
      <w:bookmarkEnd w:id="15"/>
      <w:bookmarkEnd w:id="16"/>
    </w:p>
    <w:p>
      <w:pPr>
        <w:widowControl/>
        <w:jc w:val="left"/>
        <w:rPr>
          <w:rFonts w:ascii="黑体" w:eastAsia="黑体"/>
          <w:color w:val="000000"/>
          <w:sz w:val="32"/>
          <w:szCs w:val="32"/>
        </w:rPr>
      </w:pPr>
    </w:p>
    <w:p>
      <w:pPr>
        <w:pStyle w:val="5"/>
        <w:rPr>
          <w:rStyle w:val="28"/>
          <w:rFonts w:ascii="仿宋" w:hAnsi="仿宋" w:eastAsia="仿宋"/>
          <w:b w:val="0"/>
          <w:bCs w:val="0"/>
        </w:rPr>
      </w:pPr>
      <w:bookmarkStart w:id="17" w:name="_Toc15377197"/>
      <w:bookmarkStart w:id="18" w:name="_Toc15396600"/>
      <w:bookmarkStart w:id="19" w:name="_Toc26148"/>
      <w:r>
        <w:rPr>
          <w:rFonts w:hint="eastAsia" w:ascii="黑体" w:hAnsi="黑体" w:eastAsia="黑体"/>
          <w:b w:val="0"/>
          <w:color w:val="000000"/>
        </w:rPr>
        <w:t>一、基</w:t>
      </w:r>
      <w:r>
        <w:rPr>
          <w:rStyle w:val="28"/>
          <w:rFonts w:hint="eastAsia" w:ascii="黑体" w:hAnsi="黑体" w:eastAsia="黑体"/>
          <w:b w:val="0"/>
          <w:bCs w:val="0"/>
        </w:rPr>
        <w:t>本职能及主要工作</w:t>
      </w:r>
      <w:bookmarkEnd w:id="17"/>
      <w:bookmarkEnd w:id="18"/>
      <w:bookmarkEnd w:id="19"/>
    </w:p>
    <w:p>
      <w:pPr>
        <w:pStyle w:val="7"/>
        <w:adjustRightInd w:val="0"/>
        <w:snapToGrid w:val="0"/>
        <w:spacing w:before="93" w:line="600" w:lineRule="exact"/>
        <w:ind w:firstLine="672" w:firstLineChars="210"/>
        <w:outlineLvl w:val="2"/>
        <w:rPr>
          <w:rFonts w:hint="eastAsia" w:ascii="仿宋_GB2312" w:hAnsi="仿宋_GB2312" w:eastAsia="仿宋_GB2312" w:cs="仿宋_GB2312"/>
          <w:bCs/>
          <w:sz w:val="32"/>
          <w:szCs w:val="32"/>
        </w:rPr>
      </w:pPr>
      <w:bookmarkStart w:id="20" w:name="_Toc15377198"/>
      <w:bookmarkStart w:id="21" w:name="_Toc15378445"/>
      <w:r>
        <w:rPr>
          <w:rFonts w:hint="eastAsia" w:ascii="仿宋_GB2312" w:hAnsi="仿宋_GB2312" w:eastAsia="仿宋_GB2312" w:cs="仿宋_GB2312"/>
          <w:bCs/>
          <w:sz w:val="32"/>
          <w:szCs w:val="32"/>
        </w:rPr>
        <w:t>（一）主要职能。</w:t>
      </w:r>
      <w:bookmarkEnd w:id="20"/>
      <w:bookmarkEnd w:id="21"/>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_GB2312" w:hAnsi="仿宋_GB2312" w:eastAsia="仿宋_GB2312" w:cs="仿宋_GB2312"/>
          <w:bCs/>
          <w:sz w:val="32"/>
          <w:szCs w:val="32"/>
        </w:rPr>
        <w:t>一是制定并组织实施乡村建设规划</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部署重点项目建设、地方道路建设、水利设施管理、自然资源和生态环境的保护，做好护林防火工作；二是负责本乡区域内民政、计划生育、体育文化卫生等社会公益事业的综合性工作，维护群众合法权益，调节民事纠纷，打击刑事犯罪维护社会稳定；三是做好本乡账务资金管理工作；四是抓好精神文明建设；五是完成上级部门交办的其他事项</w:t>
      </w:r>
      <w:r>
        <w:rPr>
          <w:rFonts w:hint="eastAsia" w:hAnsi="仿宋_GB2312" w:cs="仿宋_GB2312"/>
          <w:bCs/>
          <w:sz w:val="32"/>
          <w:szCs w:val="32"/>
        </w:rPr>
        <w:t>。</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2" w:name="_Toc15377199"/>
      <w:bookmarkStart w:id="23" w:name="_Toc15378446"/>
      <w:r>
        <w:rPr>
          <w:rFonts w:hint="eastAsia" w:ascii="仿宋" w:hAnsi="仿宋" w:eastAsia="仿宋"/>
          <w:bCs/>
          <w:color w:val="000000"/>
          <w:sz w:val="32"/>
          <w:szCs w:val="32"/>
        </w:rPr>
        <w:t>（二）</w:t>
      </w:r>
      <w:r>
        <w:rPr>
          <w:rFonts w:ascii="仿宋" w:hAnsi="仿宋" w:eastAsia="仿宋"/>
          <w:bCs/>
          <w:color w:val="000000"/>
          <w:sz w:val="32"/>
          <w:szCs w:val="32"/>
        </w:rPr>
        <w:t>20</w:t>
      </w:r>
      <w:r>
        <w:rPr>
          <w:rFonts w:hint="eastAsia" w:ascii="仿宋" w:hAnsi="仿宋" w:eastAsia="仿宋"/>
          <w:bCs/>
          <w:color w:val="000000"/>
          <w:sz w:val="32"/>
          <w:szCs w:val="32"/>
          <w:lang w:val="en-US" w:eastAsia="zh-CN"/>
        </w:rPr>
        <w:t>21</w:t>
      </w:r>
      <w:r>
        <w:rPr>
          <w:rFonts w:hint="eastAsia" w:ascii="仿宋" w:hAnsi="仿宋" w:eastAsia="仿宋"/>
          <w:bCs/>
          <w:color w:val="000000"/>
          <w:sz w:val="32"/>
          <w:szCs w:val="32"/>
        </w:rPr>
        <w:t>年重点工作完成情况。</w:t>
      </w:r>
      <w:bookmarkEnd w:id="22"/>
      <w:bookmarkEnd w:id="23"/>
    </w:p>
    <w:p>
      <w:pPr>
        <w:keepNext w:val="0"/>
        <w:keepLines w:val="0"/>
        <w:pageBreakBefore w:val="0"/>
        <w:numPr>
          <w:ilvl w:val="0"/>
          <w:numId w:val="0"/>
        </w:numPr>
        <w:kinsoku/>
        <w:wordWrap/>
        <w:overflowPunct/>
        <w:topLinePunct w:val="0"/>
        <w:autoSpaceDE/>
        <w:autoSpaceDN/>
        <w:bidi w:val="0"/>
        <w:spacing w:line="576" w:lineRule="exact"/>
        <w:ind w:left="0" w:leftChars="0" w:right="0" w:rightChars="0" w:firstLine="640" w:firstLineChars="200"/>
        <w:textAlignment w:val="auto"/>
        <w:outlineLvl w:val="9"/>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2021年，</w:t>
      </w:r>
      <w:r>
        <w:rPr>
          <w:rFonts w:hint="eastAsia" w:ascii="仿宋_GB2312" w:eastAsia="仿宋_GB2312"/>
          <w:color w:val="000000"/>
          <w:sz w:val="32"/>
          <w:szCs w:val="32"/>
          <w:highlight w:val="none"/>
          <w:lang w:val="en-US" w:eastAsia="zh-CN"/>
        </w:rPr>
        <w:t>红原县查尔玛乡共有各类建设项目8个，总投资796万元</w:t>
      </w:r>
      <w:r>
        <w:rPr>
          <w:rFonts w:hint="eastAsia" w:ascii="仿宋_GB2312" w:eastAsia="仿宋_GB2312"/>
          <w:color w:val="00000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321" w:firstLineChars="1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1.红原县查尔玛乡查龙村苗圃基地标准化建设</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仿宋" w:hAnsi="仿宋" w:eastAsia="仿宋" w:cs="仿宋"/>
          <w:b w:val="0"/>
          <w:bCs w:val="0"/>
          <w:sz w:val="32"/>
          <w:szCs w:val="32"/>
          <w:lang w:val="en-US" w:eastAsia="zh-CN"/>
        </w:rPr>
      </w:pPr>
      <w:r>
        <w:rPr>
          <w:rFonts w:hint="eastAsia" w:ascii="仿宋_GB2312" w:eastAsia="仿宋_GB2312"/>
          <w:color w:val="000000"/>
          <w:sz w:val="32"/>
          <w:szCs w:val="32"/>
          <w:lang w:val="en-US" w:eastAsia="zh-CN"/>
        </w:rPr>
        <w:t>查龙村200平方米的机具房和机械采购，整合资金150万元，其中：机具房45.03万，采购94.5万，该项目业主单位为查尔玛乡人民政府。</w:t>
      </w:r>
    </w:p>
    <w:p>
      <w:pPr>
        <w:keepNext w:val="0"/>
        <w:keepLines w:val="0"/>
        <w:pageBreakBefore w:val="0"/>
        <w:widowControl w:val="0"/>
        <w:kinsoku/>
        <w:wordWrap/>
        <w:overflowPunct/>
        <w:topLinePunct w:val="0"/>
        <w:autoSpaceDE/>
        <w:autoSpaceDN/>
        <w:bidi w:val="0"/>
        <w:adjustRightInd/>
        <w:snapToGrid/>
        <w:spacing w:line="576" w:lineRule="exact"/>
        <w:ind w:firstLine="321" w:firstLineChars="1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2.红原县查尔玛乡新建厕所项目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查尔玛乡修建6个厕所，县级配套资金72万元，该项目业主为查尔玛乡人民政府。该项目业主为查尔玛乡人民政府。</w:t>
      </w:r>
    </w:p>
    <w:p>
      <w:pPr>
        <w:keepNext w:val="0"/>
        <w:keepLines w:val="0"/>
        <w:pageBreakBefore w:val="0"/>
        <w:widowControl w:val="0"/>
        <w:kinsoku/>
        <w:wordWrap/>
        <w:overflowPunct/>
        <w:topLinePunct w:val="0"/>
        <w:autoSpaceDE/>
        <w:autoSpaceDN/>
        <w:bidi w:val="0"/>
        <w:adjustRightInd/>
        <w:snapToGrid/>
        <w:spacing w:line="576" w:lineRule="exact"/>
        <w:ind w:firstLine="321" w:firstLineChars="1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3.红原县查尔玛乡木业生产点道路（草原防火通道）维修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查尔玛乡木业生产点道路（草原防火通道）维修该项目修理45公里，整合资金45万元，业主为查尔玛乡人民政府。</w:t>
      </w:r>
    </w:p>
    <w:p>
      <w:pPr>
        <w:keepNext w:val="0"/>
        <w:keepLines w:val="0"/>
        <w:pageBreakBefore w:val="0"/>
        <w:widowControl w:val="0"/>
        <w:kinsoku/>
        <w:wordWrap/>
        <w:overflowPunct/>
        <w:topLinePunct w:val="0"/>
        <w:autoSpaceDE/>
        <w:autoSpaceDN/>
        <w:bidi w:val="0"/>
        <w:adjustRightInd/>
        <w:snapToGrid/>
        <w:spacing w:line="576" w:lineRule="exact"/>
        <w:ind w:firstLine="321" w:firstLineChars="100"/>
        <w:jc w:val="both"/>
        <w:textAlignment w:val="auto"/>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4.红原县</w:t>
      </w:r>
      <w:r>
        <w:rPr>
          <w:rFonts w:hint="default" w:ascii="仿宋" w:hAnsi="仿宋" w:eastAsia="仿宋" w:cs="仿宋"/>
          <w:b/>
          <w:bCs/>
          <w:sz w:val="32"/>
          <w:szCs w:val="32"/>
          <w:lang w:val="en-US" w:eastAsia="zh-CN"/>
        </w:rPr>
        <w:t>查尔玛乡板涵桥建设</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查尔玛乡修建4座板涵桥，整合资金资金40万元，业主为查尔玛乡人民政府。</w:t>
      </w:r>
    </w:p>
    <w:p>
      <w:pPr>
        <w:keepNext w:val="0"/>
        <w:keepLines w:val="0"/>
        <w:pageBreakBefore w:val="0"/>
        <w:widowControl w:val="0"/>
        <w:kinsoku/>
        <w:wordWrap/>
        <w:overflowPunct/>
        <w:topLinePunct w:val="0"/>
        <w:autoSpaceDE/>
        <w:autoSpaceDN/>
        <w:bidi w:val="0"/>
        <w:adjustRightInd/>
        <w:snapToGrid/>
        <w:spacing w:line="576" w:lineRule="exact"/>
        <w:ind w:firstLine="321" w:firstLineChars="1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5.红原县2021年以工代赈项目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红原县2021年以工代赈项目，新建牧道10公里，桥梁一座，板涵桥4座。以工代赈资金344万元，业主为查尔玛乡人民政府。</w:t>
      </w:r>
    </w:p>
    <w:p>
      <w:pPr>
        <w:keepNext w:val="0"/>
        <w:keepLines w:val="0"/>
        <w:pageBreakBefore w:val="0"/>
        <w:widowControl w:val="0"/>
        <w:kinsoku/>
        <w:wordWrap/>
        <w:overflowPunct/>
        <w:topLinePunct w:val="0"/>
        <w:autoSpaceDE/>
        <w:autoSpaceDN/>
        <w:bidi w:val="0"/>
        <w:adjustRightInd/>
        <w:snapToGrid/>
        <w:spacing w:line="576" w:lineRule="exact"/>
        <w:ind w:firstLine="321" w:firstLineChars="1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6.红原县查尔玛乡乡村委会维修项目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查尔玛乡三个村委会维修县级配套资金25万元，业主为查尔玛乡人民政府。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321" w:firstLineChars="1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7.2021年红原县查尔玛乡查龙村养殖场扩容项目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2021年红原县查尔玛乡查龙村养殖场扩容项目</w:t>
      </w:r>
      <w:r>
        <w:rPr>
          <w:rFonts w:hint="eastAsia" w:ascii="仿宋_GB2312" w:hAnsi="仿宋_GB2312" w:eastAsia="仿宋_GB2312" w:cs="仿宋_GB2312"/>
          <w:color w:val="000000"/>
          <w:sz w:val="32"/>
          <w:szCs w:val="32"/>
        </w:rPr>
        <w:t>购买母牦牛60头投资</w:t>
      </w:r>
      <w:r>
        <w:rPr>
          <w:rFonts w:hint="eastAsia" w:ascii="仿宋_GB2312" w:hAnsi="仿宋_GB2312" w:eastAsia="仿宋_GB2312" w:cs="仿宋_GB2312"/>
          <w:color w:val="000000"/>
          <w:sz w:val="32"/>
          <w:szCs w:val="32"/>
          <w:lang w:val="en-US" w:eastAsia="zh-CN"/>
        </w:rPr>
        <w:t>40万</w:t>
      </w:r>
      <w:r>
        <w:rPr>
          <w:rFonts w:hint="eastAsia" w:ascii="仿宋_GB2312" w:hAnsi="仿宋_GB2312" w:eastAsia="仿宋_GB2312" w:cs="仿宋_GB2312"/>
          <w:color w:val="000000"/>
          <w:sz w:val="32"/>
          <w:szCs w:val="32"/>
        </w:rPr>
        <w:t>元，</w:t>
      </w:r>
      <w:r>
        <w:rPr>
          <w:rFonts w:hint="eastAsia" w:ascii="仿宋_GB2312" w:eastAsia="仿宋_GB2312"/>
          <w:color w:val="000000"/>
          <w:sz w:val="32"/>
          <w:szCs w:val="32"/>
          <w:lang w:val="en-US" w:eastAsia="zh-CN"/>
        </w:rPr>
        <w:t>业主为查尔玛乡人民政府。</w:t>
      </w:r>
    </w:p>
    <w:p>
      <w:pPr>
        <w:keepNext w:val="0"/>
        <w:keepLines w:val="0"/>
        <w:pageBreakBefore w:val="0"/>
        <w:widowControl w:val="0"/>
        <w:kinsoku/>
        <w:wordWrap/>
        <w:overflowPunct/>
        <w:topLinePunct w:val="0"/>
        <w:autoSpaceDE/>
        <w:autoSpaceDN/>
        <w:bidi w:val="0"/>
        <w:adjustRightInd/>
        <w:snapToGrid/>
        <w:spacing w:line="576" w:lineRule="exact"/>
        <w:ind w:firstLine="321" w:firstLineChars="1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8.2021年查尔玛乡畜种改良项目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2021年查尔玛乡畜种改良项目查尔玛乡2021年查尔玛乡畜种改良项目投入资金80万元，</w:t>
      </w:r>
      <w:r>
        <w:rPr>
          <w:rFonts w:hint="eastAsia" w:ascii="仿宋_GB2312" w:eastAsia="仿宋_GB2312"/>
          <w:color w:val="000000"/>
          <w:sz w:val="32"/>
          <w:szCs w:val="32"/>
          <w:lang w:val="en-US" w:eastAsia="zh-CN"/>
        </w:rPr>
        <w:t>业主为查尔玛乡人民政府。</w:t>
      </w:r>
    </w:p>
    <w:p>
      <w:pPr>
        <w:pStyle w:val="5"/>
        <w:rPr>
          <w:rStyle w:val="28"/>
          <w:b w:val="0"/>
          <w:bCs w:val="0"/>
        </w:rPr>
      </w:pPr>
      <w:bookmarkStart w:id="24" w:name="_Toc15377200"/>
      <w:bookmarkStart w:id="25" w:name="_Toc15396601"/>
      <w:bookmarkStart w:id="26" w:name="_Toc26390"/>
      <w:r>
        <w:rPr>
          <w:rFonts w:hint="eastAsia" w:ascii="黑体" w:eastAsia="黑体"/>
          <w:b w:val="0"/>
          <w:color w:val="000000"/>
        </w:rPr>
        <w:t>二、</w:t>
      </w:r>
      <w:r>
        <w:rPr>
          <w:rFonts w:hint="eastAsia" w:ascii="黑体" w:hAnsi="黑体" w:eastAsia="黑体"/>
          <w:b w:val="0"/>
          <w:color w:val="000000"/>
        </w:rPr>
        <w:t>机</w:t>
      </w:r>
      <w:r>
        <w:rPr>
          <w:rStyle w:val="28"/>
          <w:rFonts w:hint="eastAsia" w:ascii="黑体" w:hAnsi="黑体" w:eastAsia="黑体"/>
          <w:b w:val="0"/>
          <w:bCs w:val="0"/>
        </w:rPr>
        <w:t>构设置</w:t>
      </w:r>
      <w:bookmarkEnd w:id="24"/>
      <w:bookmarkEnd w:id="25"/>
      <w:bookmarkEnd w:id="26"/>
    </w:p>
    <w:p>
      <w:pPr>
        <w:spacing w:line="64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查尔玛乡人民政府下属二级单位2个，其中行政单位1个，参照公务员法管理的事业单位1个，其他事业单位0个。</w:t>
      </w:r>
    </w:p>
    <w:p>
      <w:pPr>
        <w:spacing w:line="64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纳入查尔玛乡人民政府2021年度部门决算编制范围的二级预算单位包括：</w:t>
      </w:r>
    </w:p>
    <w:p>
      <w:pPr>
        <w:spacing w:line="64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中共红原县查尔玛乡委员会</w:t>
      </w:r>
    </w:p>
    <w:p>
      <w:pPr>
        <w:spacing w:line="64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红原县查尔玛乡人民政府</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4"/>
        <w:ind w:right="440"/>
        <w:jc w:val="right"/>
        <w:rPr>
          <w:rStyle w:val="27"/>
          <w:rFonts w:ascii="黑体" w:hAnsi="黑体" w:eastAsia="黑体"/>
          <w:b w:val="0"/>
          <w:bCs w:val="0"/>
        </w:rPr>
      </w:pPr>
      <w:bookmarkStart w:id="27" w:name="_Toc15377204"/>
      <w:bookmarkStart w:id="28" w:name="_Toc24131"/>
      <w:bookmarkStart w:id="29"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7"/>
          <w:rFonts w:hint="eastAsia" w:ascii="黑体" w:hAnsi="黑体" w:eastAsia="黑体"/>
          <w:b w:val="0"/>
          <w:bCs w:val="0"/>
        </w:rPr>
        <w:t>20</w:t>
      </w:r>
      <w:r>
        <w:rPr>
          <w:rStyle w:val="27"/>
          <w:rFonts w:hint="eastAsia" w:ascii="黑体" w:hAnsi="黑体" w:eastAsia="黑体"/>
          <w:b w:val="0"/>
          <w:bCs w:val="0"/>
          <w:lang w:val="en-US" w:eastAsia="zh-CN"/>
        </w:rPr>
        <w:t>21</w:t>
      </w:r>
      <w:r>
        <w:rPr>
          <w:rStyle w:val="27"/>
          <w:rFonts w:hint="eastAsia" w:ascii="黑体" w:hAnsi="黑体" w:eastAsia="黑体"/>
          <w:b w:val="0"/>
          <w:bCs w:val="0"/>
        </w:rPr>
        <w:t>年度部门决算情况说明</w:t>
      </w:r>
      <w:bookmarkEnd w:id="27"/>
      <w:bookmarkEnd w:id="28"/>
      <w:bookmarkEnd w:id="29"/>
    </w:p>
    <w:p/>
    <w:p>
      <w:pPr>
        <w:pStyle w:val="26"/>
        <w:numPr>
          <w:ilvl w:val="0"/>
          <w:numId w:val="1"/>
        </w:numPr>
        <w:spacing w:line="600" w:lineRule="exact"/>
        <w:ind w:firstLineChars="0"/>
        <w:outlineLvl w:val="1"/>
        <w:rPr>
          <w:rStyle w:val="28"/>
          <w:rFonts w:ascii="黑体" w:hAnsi="黑体" w:eastAsia="黑体"/>
          <w:b w:val="0"/>
        </w:rPr>
      </w:pPr>
      <w:bookmarkStart w:id="30" w:name="_Toc15377205"/>
      <w:bookmarkStart w:id="31" w:name="_Toc28896"/>
      <w:bookmarkStart w:id="32" w:name="_Toc15396603"/>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30"/>
      <w:bookmarkEnd w:id="31"/>
      <w:bookmarkEnd w:id="32"/>
    </w:p>
    <w:p>
      <w:pPr>
        <w:spacing w:line="64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2021年度收总计968.76万元，支总计1064.84万元。与2020年相比，收总计减少84.1万元、下降8%。支总计减少13.92万元、下降1.3%。主要变动原因是</w:t>
      </w:r>
      <w:r>
        <w:rPr>
          <w:rStyle w:val="35"/>
          <w:rFonts w:hint="eastAsia" w:ascii="仿宋_GB2312" w:hAnsi="宋体" w:eastAsia="仿宋_GB2312" w:cs="仿宋_GB2312"/>
          <w:b w:val="0"/>
          <w:bCs w:val="0"/>
          <w:sz w:val="32"/>
          <w:szCs w:val="32"/>
          <w:shd w:val="clear" w:fill="FFFFFF"/>
        </w:rPr>
        <w:t>人员新增</w:t>
      </w:r>
      <w:r>
        <w:rPr>
          <w:rStyle w:val="35"/>
          <w:rFonts w:hint="eastAsia" w:ascii="仿宋_GB2312" w:hAnsi="宋体" w:eastAsia="仿宋_GB2312" w:cs="仿宋_GB2312"/>
          <w:b w:val="0"/>
          <w:bCs w:val="0"/>
          <w:sz w:val="32"/>
          <w:szCs w:val="32"/>
          <w:shd w:val="clear" w:fill="FFFFFF"/>
          <w:lang w:eastAsia="zh-CN"/>
        </w:rPr>
        <w:t>和变动</w:t>
      </w:r>
      <w:r>
        <w:rPr>
          <w:rFonts w:hint="eastAsia" w:ascii="仿宋_GB2312" w:hAnsi="仿宋_GB2312" w:eastAsia="仿宋_GB2312" w:cs="仿宋_GB2312"/>
          <w:color w:val="000000"/>
          <w:sz w:val="32"/>
          <w:szCs w:val="32"/>
          <w:lang w:val="en-US" w:eastAsia="zh-CN"/>
        </w:rPr>
        <w:t>。（图1：收、支决算总计变动情况图（万元）（柱状图）</w:t>
      </w:r>
    </w:p>
    <w:p>
      <w:pPr>
        <w:pStyle w:val="2"/>
        <w:ind w:left="0" w:leftChars="0" w:firstLine="0" w:firstLineChars="0"/>
        <w:jc w:val="center"/>
      </w:pPr>
      <w:r>
        <w:drawing>
          <wp:inline distT="0" distB="0" distL="114300" distR="114300">
            <wp:extent cx="4572000" cy="2743200"/>
            <wp:effectExtent l="4445" t="4445" r="14605" b="14605"/>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6"/>
        <w:numPr>
          <w:ilvl w:val="0"/>
          <w:numId w:val="1"/>
        </w:numPr>
        <w:spacing w:line="600" w:lineRule="exact"/>
        <w:ind w:firstLineChars="0"/>
        <w:outlineLvl w:val="1"/>
        <w:rPr>
          <w:rStyle w:val="28"/>
          <w:rFonts w:ascii="黑体" w:hAnsi="黑体" w:eastAsia="黑体"/>
          <w:b w:val="0"/>
        </w:rPr>
      </w:pPr>
      <w:bookmarkStart w:id="33" w:name="_Toc15396604"/>
      <w:bookmarkStart w:id="34" w:name="_Toc24075"/>
      <w:bookmarkStart w:id="35" w:name="_Toc15377206"/>
      <w:r>
        <w:rPr>
          <w:rFonts w:hint="eastAsia" w:ascii="黑体" w:hAnsi="黑体" w:eastAsia="黑体"/>
          <w:color w:val="000000"/>
          <w:sz w:val="32"/>
          <w:szCs w:val="32"/>
        </w:rPr>
        <w:t>收</w:t>
      </w:r>
      <w:r>
        <w:rPr>
          <w:rStyle w:val="28"/>
          <w:rFonts w:hint="eastAsia" w:ascii="黑体" w:hAnsi="黑体" w:eastAsia="黑体"/>
          <w:b w:val="0"/>
        </w:rPr>
        <w:t>入决算情况说明</w:t>
      </w:r>
      <w:bookmarkEnd w:id="33"/>
      <w:bookmarkEnd w:id="34"/>
      <w:bookmarkEnd w:id="35"/>
    </w:p>
    <w:p>
      <w:pPr>
        <w:spacing w:line="640" w:lineRule="exact"/>
        <w:ind w:firstLine="640" w:firstLineChars="200"/>
        <w:rPr>
          <w:rFonts w:hint="eastAsia" w:ascii="仿宋_GB2312" w:hAnsi="仿宋_GB2312" w:eastAsia="仿宋_GB2312" w:cs="仿宋_GB2312"/>
          <w:color w:val="000000"/>
          <w:sz w:val="32"/>
          <w:szCs w:val="32"/>
          <w:lang w:val="en-US" w:eastAsia="zh-CN"/>
        </w:rPr>
      </w:pPr>
      <w:bookmarkStart w:id="36" w:name="_Toc16180"/>
      <w:r>
        <w:rPr>
          <w:rFonts w:hint="eastAsia" w:ascii="仿宋_GB2312" w:hAnsi="仿宋_GB2312" w:eastAsia="仿宋_GB2312" w:cs="仿宋_GB2312"/>
          <w:color w:val="000000"/>
          <w:sz w:val="32"/>
          <w:szCs w:val="32"/>
          <w:lang w:val="en-US" w:eastAsia="zh-CN"/>
        </w:rPr>
        <w:t>2021年本年收入合计968.76万元，其中：一般公共预算财政拨款收入968.76万元，占100%；政府性基金预算财政拨款收入0万元，占0%；国有资本经营预算财政拨款收入0万元，占0%；事业收入0万元，占0%；经营收入0万元，占00%；附属单位上缴收入0万元，占0%；其他收入0万元，占0%。</w:t>
      </w:r>
      <w:bookmarkEnd w:id="36"/>
    </w:p>
    <w:p>
      <w:pPr>
        <w:spacing w:line="64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（图2：收入决算结构图）（饼状图）</w:t>
      </w:r>
    </w:p>
    <w:p>
      <w:pPr>
        <w:pStyle w:val="2"/>
        <w:ind w:left="0" w:leftChars="0" w:firstLine="0" w:firstLineChars="0"/>
        <w:jc w:val="center"/>
        <w:rPr>
          <w:rFonts w:ascii="仿宋_GB2312" w:eastAsia="仿宋_GB2312"/>
          <w:color w:val="FF0000"/>
          <w:sz w:val="32"/>
          <w:szCs w:val="32"/>
        </w:rPr>
      </w:pPr>
      <w:r>
        <w:rPr>
          <w:rFonts w:hint="eastAsia" w:eastAsia="仿宋"/>
          <w:lang w:eastAsia="zh-CN"/>
        </w:rPr>
        <w:drawing>
          <wp:inline distT="0" distB="0" distL="114300" distR="114300">
            <wp:extent cx="4218940" cy="2580005"/>
            <wp:effectExtent l="4445" t="5080" r="5715" b="571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6"/>
        <w:numPr>
          <w:ilvl w:val="0"/>
          <w:numId w:val="1"/>
        </w:numPr>
        <w:spacing w:line="600" w:lineRule="exact"/>
        <w:ind w:firstLineChars="0"/>
        <w:outlineLvl w:val="1"/>
        <w:rPr>
          <w:rStyle w:val="28"/>
          <w:rFonts w:ascii="黑体" w:hAnsi="黑体" w:eastAsia="黑体"/>
          <w:b w:val="0"/>
        </w:rPr>
      </w:pPr>
      <w:bookmarkStart w:id="37" w:name="_Toc15396605"/>
      <w:bookmarkStart w:id="38" w:name="_Toc6828"/>
      <w:bookmarkStart w:id="39" w:name="_Toc15377207"/>
      <w:r>
        <w:rPr>
          <w:rFonts w:hint="eastAsia" w:ascii="黑体" w:hAnsi="黑体" w:eastAsia="黑体"/>
          <w:color w:val="000000"/>
          <w:sz w:val="32"/>
          <w:szCs w:val="32"/>
        </w:rPr>
        <w:t>支</w:t>
      </w:r>
      <w:r>
        <w:rPr>
          <w:rStyle w:val="28"/>
          <w:rFonts w:hint="eastAsia" w:ascii="黑体" w:hAnsi="黑体" w:eastAsia="黑体"/>
          <w:b w:val="0"/>
        </w:rPr>
        <w:t>出决算情况说明</w:t>
      </w:r>
      <w:bookmarkEnd w:id="37"/>
      <w:bookmarkEnd w:id="38"/>
      <w:bookmarkEnd w:id="39"/>
    </w:p>
    <w:p>
      <w:pPr>
        <w:spacing w:line="640" w:lineRule="exact"/>
        <w:ind w:firstLine="640" w:firstLineChars="200"/>
        <w:rPr>
          <w:rFonts w:hint="eastAsia" w:ascii="仿宋_GB2312" w:hAnsi="仿宋_GB2312" w:eastAsia="仿宋_GB2312" w:cs="仿宋_GB2312"/>
          <w:color w:val="000000"/>
          <w:sz w:val="32"/>
          <w:szCs w:val="32"/>
          <w:lang w:val="en-US" w:eastAsia="zh-CN"/>
        </w:rPr>
      </w:pPr>
      <w:bookmarkStart w:id="40" w:name="_Toc24729"/>
      <w:r>
        <w:rPr>
          <w:rFonts w:hint="eastAsia" w:ascii="仿宋_GB2312" w:hAnsi="仿宋_GB2312" w:eastAsia="仿宋_GB2312" w:cs="仿宋_GB2312"/>
          <w:color w:val="000000"/>
          <w:sz w:val="32"/>
          <w:szCs w:val="32"/>
          <w:lang w:val="en-US" w:eastAsia="zh-CN"/>
        </w:rPr>
        <w:t>2021年本年支出合计1064.84万元，其中：基本支出703.80万元，占66%；项目支出361.04万元，占34%；上缴上级支出0万元，占0%；经营支出0万元，占0%；对附属单位补助支出0万元，占0%。</w:t>
      </w:r>
      <w:bookmarkEnd w:id="40"/>
    </w:p>
    <w:p>
      <w:pPr>
        <w:spacing w:line="64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（图3：支出决算结构图）（饼状图）</w:t>
      </w:r>
    </w:p>
    <w:p>
      <w:pPr>
        <w:pStyle w:val="2"/>
        <w:ind w:left="0" w:leftChars="0" w:firstLine="0" w:firstLineChars="0"/>
        <w:jc w:val="center"/>
      </w:pPr>
      <w:r>
        <w:drawing>
          <wp:inline distT="0" distB="0" distL="114300" distR="114300">
            <wp:extent cx="4572000" cy="2743200"/>
            <wp:effectExtent l="4445" t="4445" r="14605" b="14605"/>
            <wp:docPr id="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outlineLvl w:val="1"/>
        <w:rPr>
          <w:rStyle w:val="28"/>
          <w:rFonts w:ascii="黑体" w:hAnsi="黑体" w:eastAsia="黑体"/>
          <w:b w:val="0"/>
        </w:rPr>
      </w:pPr>
      <w:bookmarkStart w:id="41" w:name="_Toc17985"/>
      <w:bookmarkStart w:id="42" w:name="_Toc15396606"/>
      <w:bookmarkStart w:id="43" w:name="_Toc15377208"/>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41"/>
      <w:bookmarkEnd w:id="42"/>
      <w:bookmarkEnd w:id="43"/>
    </w:p>
    <w:p>
      <w:pPr>
        <w:spacing w:line="64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2021年财政拨款收总计968.76万元，支总计1064.84万元。与2020年相比，收总计减少84.1万元、下降8%。支总计减少13.92万元、下降1.3%。主要变动原因是</w:t>
      </w:r>
      <w:r>
        <w:rPr>
          <w:rStyle w:val="35"/>
          <w:rFonts w:hint="eastAsia" w:ascii="仿宋_GB2312" w:hAnsi="宋体" w:eastAsia="仿宋_GB2312" w:cs="仿宋_GB2312"/>
          <w:b w:val="0"/>
          <w:bCs w:val="0"/>
          <w:sz w:val="32"/>
          <w:szCs w:val="32"/>
          <w:shd w:val="clear" w:fill="FFFFFF"/>
        </w:rPr>
        <w:t>人员新增</w:t>
      </w:r>
      <w:r>
        <w:rPr>
          <w:rStyle w:val="35"/>
          <w:rFonts w:hint="eastAsia" w:ascii="仿宋_GB2312" w:hAnsi="宋体" w:eastAsia="仿宋_GB2312" w:cs="仿宋_GB2312"/>
          <w:b w:val="0"/>
          <w:bCs w:val="0"/>
          <w:sz w:val="32"/>
          <w:szCs w:val="32"/>
          <w:shd w:val="clear" w:fill="FFFFFF"/>
          <w:lang w:eastAsia="zh-CN"/>
        </w:rPr>
        <w:t>和变动</w:t>
      </w:r>
      <w:r>
        <w:rPr>
          <w:rFonts w:hint="eastAsia" w:ascii="仿宋_GB2312" w:hAnsi="仿宋_GB2312" w:eastAsia="仿宋_GB2312" w:cs="仿宋_GB2312"/>
          <w:color w:val="000000"/>
          <w:sz w:val="32"/>
          <w:szCs w:val="32"/>
          <w:lang w:val="en-US" w:eastAsia="zh-CN"/>
        </w:rPr>
        <w:t>。</w:t>
      </w:r>
    </w:p>
    <w:p>
      <w:pPr>
        <w:spacing w:line="64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（图1：财政拨款收、支决算总计变动情况图（万元）（柱状图）</w:t>
      </w:r>
    </w:p>
    <w:p>
      <w:pPr>
        <w:pStyle w:val="2"/>
        <w:jc w:val="center"/>
      </w:pPr>
      <w:r>
        <w:drawing>
          <wp:inline distT="0" distB="0" distL="114300" distR="114300">
            <wp:extent cx="4572000" cy="2743200"/>
            <wp:effectExtent l="4445" t="4445" r="14605" b="14605"/>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outlineLvl w:val="1"/>
        <w:rPr>
          <w:rStyle w:val="28"/>
          <w:rFonts w:ascii="黑体" w:hAnsi="黑体" w:eastAsia="黑体"/>
          <w:b w:val="0"/>
        </w:rPr>
      </w:pPr>
      <w:bookmarkStart w:id="44" w:name="_Toc28074"/>
      <w:bookmarkStart w:id="45" w:name="_Toc15377209"/>
      <w:bookmarkStart w:id="46"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44"/>
      <w:bookmarkEnd w:id="45"/>
      <w:bookmarkEnd w:id="46"/>
    </w:p>
    <w:p>
      <w:pPr>
        <w:spacing w:line="600" w:lineRule="exact"/>
        <w:ind w:firstLine="643" w:firstLineChars="200"/>
        <w:outlineLvl w:val="2"/>
        <w:rPr>
          <w:rFonts w:ascii="仿宋" w:hAnsi="仿宋" w:eastAsia="仿宋"/>
          <w:b/>
          <w:color w:val="000000"/>
          <w:sz w:val="32"/>
          <w:szCs w:val="32"/>
        </w:rPr>
      </w:pPr>
      <w:bookmarkStart w:id="47" w:name="_Toc15377210"/>
      <w:r>
        <w:rPr>
          <w:rFonts w:hint="eastAsia" w:ascii="仿宋" w:hAnsi="仿宋" w:eastAsia="仿宋"/>
          <w:b/>
          <w:color w:val="000000"/>
          <w:sz w:val="32"/>
          <w:szCs w:val="32"/>
        </w:rPr>
        <w:t>（一）一般公共预算财政拨款支出决算总体情况</w:t>
      </w:r>
      <w:bookmarkEnd w:id="47"/>
    </w:p>
    <w:p>
      <w:pPr>
        <w:spacing w:line="64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2021年一般公共预算财政拨款收总计968.76万元，与2020年相比，收总计减少84.1万元、下降8%。主要变动原因是</w:t>
      </w:r>
      <w:r>
        <w:rPr>
          <w:rStyle w:val="35"/>
          <w:rFonts w:hint="eastAsia" w:ascii="仿宋_GB2312" w:hAnsi="宋体" w:eastAsia="仿宋_GB2312" w:cs="仿宋_GB2312"/>
          <w:b w:val="0"/>
          <w:bCs w:val="0"/>
          <w:sz w:val="32"/>
          <w:szCs w:val="32"/>
          <w:shd w:val="clear" w:fill="FFFFFF"/>
        </w:rPr>
        <w:t>人员新增</w:t>
      </w:r>
      <w:r>
        <w:rPr>
          <w:rStyle w:val="35"/>
          <w:rFonts w:hint="eastAsia" w:ascii="仿宋_GB2312" w:hAnsi="宋体" w:eastAsia="仿宋_GB2312" w:cs="仿宋_GB2312"/>
          <w:b w:val="0"/>
          <w:bCs w:val="0"/>
          <w:sz w:val="32"/>
          <w:szCs w:val="32"/>
          <w:shd w:val="clear" w:fill="FFFFFF"/>
          <w:lang w:eastAsia="zh-CN"/>
        </w:rPr>
        <w:t>和变动</w:t>
      </w:r>
      <w:r>
        <w:rPr>
          <w:rFonts w:hint="eastAsia" w:ascii="仿宋_GB2312" w:hAnsi="仿宋_GB2312" w:eastAsia="仿宋_GB2312" w:cs="仿宋_GB2312"/>
          <w:color w:val="000000"/>
          <w:sz w:val="32"/>
          <w:szCs w:val="32"/>
          <w:lang w:val="en-US" w:eastAsia="zh-CN"/>
        </w:rPr>
        <w:t>。</w:t>
      </w:r>
    </w:p>
    <w:p>
      <w:pPr>
        <w:spacing w:line="64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（图5：一般公共预算财政拨款支出决算变动情况）（柱状图）</w:t>
      </w:r>
    </w:p>
    <w:p>
      <w:pPr>
        <w:pStyle w:val="2"/>
        <w:ind w:left="0" w:leftChars="0" w:firstLine="0" w:firstLineChars="0"/>
        <w:jc w:val="both"/>
        <w:rPr>
          <w:rFonts w:hint="eastAsia" w:eastAsia="仿宋"/>
          <w:lang w:eastAsia="zh-CN"/>
        </w:rPr>
      </w:pPr>
      <w:r>
        <w:rPr>
          <w:rFonts w:hint="eastAsia"/>
          <w:lang w:val="en-US" w:eastAsia="zh-CN"/>
        </w:rPr>
        <w:t xml:space="preserve">     </w:t>
      </w:r>
      <w:r>
        <w:drawing>
          <wp:inline distT="0" distB="0" distL="114300" distR="114300">
            <wp:extent cx="4572000" cy="2743200"/>
            <wp:effectExtent l="4445" t="4445" r="14605" b="14605"/>
            <wp:docPr id="9"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3" w:firstLineChars="200"/>
        <w:outlineLvl w:val="2"/>
        <w:rPr>
          <w:rFonts w:ascii="仿宋" w:hAnsi="仿宋" w:eastAsia="仿宋"/>
          <w:b/>
          <w:color w:val="000000"/>
          <w:sz w:val="32"/>
          <w:szCs w:val="32"/>
        </w:rPr>
      </w:pPr>
      <w:bookmarkStart w:id="48" w:name="_Toc15377211"/>
      <w:r>
        <w:rPr>
          <w:rFonts w:hint="eastAsia" w:ascii="仿宋" w:hAnsi="仿宋" w:eastAsia="仿宋"/>
          <w:b/>
          <w:color w:val="000000"/>
          <w:sz w:val="32"/>
          <w:szCs w:val="32"/>
        </w:rPr>
        <w:t>（二）一般公共预算财政拨款支出决算结构情况</w:t>
      </w:r>
      <w:bookmarkEnd w:id="48"/>
    </w:p>
    <w:p>
      <w:pPr>
        <w:spacing w:line="560" w:lineRule="exact"/>
        <w:ind w:firstLine="64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2021年一般公共预算财政拨款支出1064.84万元，主要用于以下方面:</w:t>
      </w:r>
      <w:r>
        <w:rPr>
          <w:rFonts w:hint="eastAsia" w:ascii="仿宋_GB2312" w:hAnsi="仿宋_GB2312" w:eastAsia="仿宋_GB2312" w:cs="仿宋_GB2312"/>
          <w:b/>
          <w:bCs/>
          <w:color w:val="000000"/>
          <w:sz w:val="32"/>
          <w:szCs w:val="32"/>
          <w:lang w:val="en-US" w:eastAsia="zh-CN"/>
        </w:rPr>
        <w:t>一般公共服务</w:t>
      </w:r>
      <w:r>
        <w:rPr>
          <w:rFonts w:hint="eastAsia" w:ascii="仿宋_GB2312" w:hAnsi="仿宋_GB2312" w:eastAsia="仿宋_GB2312" w:cs="仿宋_GB2312"/>
          <w:color w:val="000000"/>
          <w:sz w:val="32"/>
          <w:szCs w:val="32"/>
          <w:lang w:val="en-US" w:eastAsia="zh-CN"/>
        </w:rPr>
        <w:t>支出592.20万元，占55.6%；</w:t>
      </w:r>
      <w:r>
        <w:rPr>
          <w:rFonts w:hint="eastAsia" w:ascii="仿宋_GB2312" w:hAnsi="仿宋_GB2312" w:eastAsia="仿宋_GB2312" w:cs="仿宋_GB2312"/>
          <w:b/>
          <w:bCs/>
          <w:color w:val="000000"/>
          <w:sz w:val="32"/>
          <w:szCs w:val="32"/>
          <w:lang w:val="en-US" w:eastAsia="zh-CN"/>
        </w:rPr>
        <w:t xml:space="preserve"> 社会保障和就业</w:t>
      </w:r>
      <w:r>
        <w:rPr>
          <w:rFonts w:hint="eastAsia" w:ascii="仿宋_GB2312" w:hAnsi="仿宋_GB2312" w:eastAsia="仿宋_GB2312" w:cs="仿宋_GB2312"/>
          <w:color w:val="000000"/>
          <w:sz w:val="32"/>
          <w:szCs w:val="32"/>
          <w:lang w:val="en-US" w:eastAsia="zh-CN"/>
        </w:rPr>
        <w:t>支出198.59万元，占18.6%；</w:t>
      </w:r>
      <w:r>
        <w:rPr>
          <w:rFonts w:hint="eastAsia" w:ascii="仿宋_GB2312" w:hAnsi="仿宋_GB2312" w:eastAsia="仿宋_GB2312" w:cs="仿宋_GB2312"/>
          <w:b/>
          <w:bCs/>
          <w:color w:val="000000"/>
          <w:sz w:val="32"/>
          <w:szCs w:val="32"/>
          <w:lang w:val="en-US" w:eastAsia="zh-CN"/>
        </w:rPr>
        <w:t>卫生健康</w:t>
      </w:r>
      <w:r>
        <w:rPr>
          <w:rFonts w:hint="eastAsia" w:ascii="仿宋_GB2312" w:hAnsi="仿宋_GB2312" w:eastAsia="仿宋_GB2312" w:cs="仿宋_GB2312"/>
          <w:color w:val="000000"/>
          <w:sz w:val="32"/>
          <w:szCs w:val="32"/>
          <w:lang w:val="en-US" w:eastAsia="zh-CN"/>
        </w:rPr>
        <w:t>支出31.09万元，占2.9%；</w:t>
      </w:r>
      <w:r>
        <w:rPr>
          <w:rFonts w:hint="eastAsia" w:ascii="仿宋_GB2312" w:hAnsi="仿宋_GB2312" w:eastAsia="仿宋_GB2312" w:cs="仿宋_GB2312"/>
          <w:b/>
          <w:bCs/>
          <w:color w:val="000000"/>
          <w:sz w:val="32"/>
          <w:szCs w:val="32"/>
          <w:lang w:val="en-US" w:eastAsia="zh-CN"/>
        </w:rPr>
        <w:t>住房保障</w:t>
      </w:r>
      <w:r>
        <w:rPr>
          <w:rFonts w:hint="eastAsia" w:ascii="仿宋_GB2312" w:hAnsi="仿宋_GB2312" w:eastAsia="仿宋_GB2312" w:cs="仿宋_GB2312"/>
          <w:color w:val="000000"/>
          <w:sz w:val="32"/>
          <w:szCs w:val="32"/>
          <w:lang w:val="en-US" w:eastAsia="zh-CN"/>
        </w:rPr>
        <w:t>支出48.94万元，占4.6%；</w:t>
      </w:r>
      <w:r>
        <w:rPr>
          <w:rFonts w:hint="eastAsia" w:ascii="仿宋_GB2312" w:hAnsi="仿宋_GB2312" w:eastAsia="仿宋_GB2312" w:cs="仿宋_GB2312"/>
          <w:b/>
          <w:bCs/>
          <w:color w:val="000000"/>
          <w:sz w:val="32"/>
          <w:szCs w:val="32"/>
          <w:lang w:val="en-US" w:eastAsia="zh-CN"/>
        </w:rPr>
        <w:t>文化旅游体育与传媒</w:t>
      </w:r>
      <w:r>
        <w:rPr>
          <w:rFonts w:hint="eastAsia" w:ascii="仿宋_GB2312" w:hAnsi="仿宋_GB2312" w:eastAsia="仿宋_GB2312" w:cs="仿宋_GB2312"/>
          <w:color w:val="000000"/>
          <w:sz w:val="32"/>
          <w:szCs w:val="32"/>
          <w:lang w:val="en-US" w:eastAsia="zh-CN"/>
        </w:rPr>
        <w:t>支出：5万元，占0.47%；</w:t>
      </w:r>
      <w:r>
        <w:rPr>
          <w:rFonts w:hint="eastAsia" w:ascii="仿宋_GB2312" w:hAnsi="仿宋_GB2312" w:eastAsia="仿宋_GB2312" w:cs="仿宋_GB2312"/>
          <w:b/>
          <w:bCs/>
          <w:color w:val="000000"/>
          <w:sz w:val="32"/>
          <w:szCs w:val="32"/>
          <w:lang w:val="en-US" w:eastAsia="zh-CN"/>
        </w:rPr>
        <w:t>农林水</w:t>
      </w:r>
      <w:r>
        <w:rPr>
          <w:rFonts w:hint="eastAsia" w:ascii="仿宋_GB2312" w:hAnsi="仿宋_GB2312" w:eastAsia="仿宋_GB2312" w:cs="仿宋_GB2312"/>
          <w:color w:val="000000"/>
          <w:sz w:val="32"/>
          <w:szCs w:val="32"/>
          <w:lang w:val="en-US" w:eastAsia="zh-CN"/>
        </w:rPr>
        <w:t>支出86.98万元，占8.2%；</w:t>
      </w:r>
      <w:r>
        <w:rPr>
          <w:rFonts w:hint="eastAsia" w:ascii="仿宋_GB2312" w:hAnsi="仿宋_GB2312" w:eastAsia="仿宋_GB2312" w:cs="仿宋_GB2312"/>
          <w:b/>
          <w:bCs/>
          <w:color w:val="000000"/>
          <w:sz w:val="32"/>
          <w:szCs w:val="32"/>
          <w:lang w:val="en-US" w:eastAsia="zh-CN"/>
        </w:rPr>
        <w:t>其他支出</w:t>
      </w:r>
      <w:r>
        <w:rPr>
          <w:rFonts w:hint="eastAsia" w:ascii="仿宋_GB2312" w:hAnsi="仿宋_GB2312" w:eastAsia="仿宋_GB2312" w:cs="仿宋_GB2312"/>
          <w:color w:val="000000"/>
          <w:sz w:val="32"/>
          <w:szCs w:val="32"/>
          <w:lang w:val="en-US" w:eastAsia="zh-CN"/>
        </w:rPr>
        <w:t>支出：102.04万元，占9.63%</w:t>
      </w:r>
    </w:p>
    <w:p>
      <w:pPr>
        <w:spacing w:line="560" w:lineRule="exact"/>
        <w:ind w:firstLine="64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（图6：一般公共预算财政拨款支出决算结构）（饼状图）</w:t>
      </w:r>
    </w:p>
    <w:p>
      <w:pPr>
        <w:pStyle w:val="2"/>
        <w:jc w:val="center"/>
      </w:pPr>
      <w:r>
        <w:drawing>
          <wp:inline distT="0" distB="0" distL="114300" distR="114300">
            <wp:extent cx="4572000" cy="2743200"/>
            <wp:effectExtent l="4445" t="4445" r="14605" b="14605"/>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3" w:firstLineChars="200"/>
        <w:outlineLvl w:val="2"/>
        <w:rPr>
          <w:rFonts w:ascii="仿宋" w:hAnsi="仿宋" w:eastAsia="仿宋"/>
          <w:b/>
          <w:color w:val="000000"/>
          <w:sz w:val="32"/>
          <w:szCs w:val="32"/>
        </w:rPr>
      </w:pPr>
      <w:bookmarkStart w:id="49" w:name="_Toc15377212"/>
      <w:r>
        <w:rPr>
          <w:rFonts w:hint="eastAsia" w:ascii="仿宋" w:hAnsi="仿宋" w:eastAsia="仿宋"/>
          <w:b/>
          <w:color w:val="000000"/>
          <w:sz w:val="32"/>
          <w:szCs w:val="32"/>
        </w:rPr>
        <w:t>（三）一般公共预算财政拨款支出决算具体情况</w:t>
      </w:r>
      <w:bookmarkEnd w:id="49"/>
    </w:p>
    <w:p>
      <w:pPr>
        <w:spacing w:line="600" w:lineRule="exact"/>
        <w:ind w:firstLine="643" w:firstLineChars="200"/>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2021年一般公共预算支出决算数为1064.84万元，完成预算100%。其中：</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b/>
          <w:bCs/>
          <w:color w:val="000000"/>
          <w:sz w:val="32"/>
          <w:szCs w:val="32"/>
          <w:lang w:val="en-US" w:eastAsia="zh-CN"/>
        </w:rPr>
        <w:t>一般公共服务201:</w:t>
      </w:r>
      <w:r>
        <w:rPr>
          <w:rFonts w:hint="eastAsia" w:ascii="仿宋_GB2312" w:hAnsi="仿宋_GB2312" w:eastAsia="仿宋_GB2312" w:cs="仿宋_GB2312"/>
          <w:color w:val="000000"/>
          <w:sz w:val="32"/>
          <w:szCs w:val="32"/>
          <w:lang w:val="en-US" w:eastAsia="zh-CN"/>
        </w:rPr>
        <w:t xml:space="preserve"> 支出决算为592.20万元，完成预算100%，决算数与预算数持平。</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b/>
          <w:bCs/>
          <w:color w:val="000000"/>
          <w:sz w:val="32"/>
          <w:szCs w:val="32"/>
          <w:lang w:val="en-US" w:eastAsia="zh-CN"/>
        </w:rPr>
        <w:t>人大事务20101：</w:t>
      </w:r>
      <w:r>
        <w:rPr>
          <w:rFonts w:hint="eastAsia" w:ascii="仿宋_GB2312" w:hAnsi="仿宋_GB2312" w:eastAsia="仿宋_GB2312" w:cs="仿宋_GB2312"/>
          <w:color w:val="000000"/>
          <w:sz w:val="32"/>
          <w:szCs w:val="32"/>
          <w:lang w:val="en-US" w:eastAsia="zh-CN"/>
        </w:rPr>
        <w:t>支出决算为41.53万元，完成预算100%。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b/>
          <w:bCs/>
          <w:color w:val="000000"/>
          <w:sz w:val="32"/>
          <w:szCs w:val="32"/>
          <w:lang w:val="en-US" w:eastAsia="zh-CN"/>
        </w:rPr>
        <w:t>行政运行2010101：</w:t>
      </w:r>
      <w:r>
        <w:rPr>
          <w:rFonts w:hint="eastAsia" w:ascii="仿宋_GB2312" w:hAnsi="仿宋_GB2312" w:eastAsia="仿宋_GB2312" w:cs="仿宋_GB2312"/>
          <w:color w:val="000000"/>
          <w:sz w:val="32"/>
          <w:szCs w:val="32"/>
          <w:lang w:val="en-US" w:eastAsia="zh-CN"/>
        </w:rPr>
        <w:t>支出决算为36.46万元，完成预算100%。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b/>
          <w:bCs/>
          <w:color w:val="000000"/>
          <w:sz w:val="32"/>
          <w:szCs w:val="32"/>
          <w:lang w:val="en-US" w:eastAsia="zh-CN"/>
        </w:rPr>
        <w:t>政府办公厅（室）及相关机构事务20103：</w:t>
      </w:r>
      <w:r>
        <w:rPr>
          <w:rFonts w:hint="eastAsia" w:ascii="仿宋_GB2312" w:hAnsi="仿宋_GB2312" w:eastAsia="仿宋_GB2312" w:cs="仿宋_GB2312"/>
          <w:color w:val="000000"/>
          <w:sz w:val="32"/>
          <w:szCs w:val="32"/>
          <w:lang w:val="en-US" w:eastAsia="zh-CN"/>
        </w:rPr>
        <w:t>支出决算为450.13万元，完成预算100%。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b/>
          <w:bCs/>
          <w:color w:val="000000"/>
          <w:sz w:val="32"/>
          <w:szCs w:val="32"/>
          <w:lang w:val="en-US" w:eastAsia="zh-CN"/>
        </w:rPr>
        <w:t>行政运行2010301：</w:t>
      </w:r>
      <w:r>
        <w:rPr>
          <w:rFonts w:hint="eastAsia" w:ascii="仿宋_GB2312" w:hAnsi="仿宋_GB2312" w:eastAsia="仿宋_GB2312" w:cs="仿宋_GB2312"/>
          <w:color w:val="000000"/>
          <w:sz w:val="32"/>
          <w:szCs w:val="32"/>
          <w:lang w:val="en-US" w:eastAsia="zh-CN"/>
        </w:rPr>
        <w:t>支出决算为83.47万元，完成预算100%。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b/>
          <w:bCs/>
          <w:color w:val="000000"/>
          <w:sz w:val="32"/>
          <w:szCs w:val="32"/>
          <w:lang w:val="en-US" w:eastAsia="zh-CN"/>
        </w:rPr>
        <w:t>一般行政管理事务2010302：</w:t>
      </w:r>
      <w:r>
        <w:rPr>
          <w:rFonts w:hint="eastAsia" w:ascii="仿宋_GB2312" w:hAnsi="仿宋_GB2312" w:eastAsia="仿宋_GB2312" w:cs="仿宋_GB2312"/>
          <w:color w:val="000000"/>
          <w:sz w:val="32"/>
          <w:szCs w:val="32"/>
          <w:lang w:val="en-US" w:eastAsia="zh-CN"/>
        </w:rPr>
        <w:t>支出决算为24.84万元，完成预算100%。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b/>
          <w:bCs/>
          <w:color w:val="000000"/>
          <w:sz w:val="32"/>
          <w:szCs w:val="32"/>
          <w:lang w:val="en-US" w:eastAsia="zh-CN"/>
        </w:rPr>
        <w:t>财政事务20106：</w:t>
      </w:r>
      <w:r>
        <w:rPr>
          <w:rFonts w:hint="eastAsia" w:ascii="仿宋_GB2312" w:hAnsi="仿宋_GB2312" w:eastAsia="仿宋_GB2312" w:cs="仿宋_GB2312"/>
          <w:color w:val="000000"/>
          <w:sz w:val="32"/>
          <w:szCs w:val="32"/>
          <w:lang w:val="en-US" w:eastAsia="zh-CN"/>
        </w:rPr>
        <w:t>支出决算为11.07万元，完成预算100%。</w:t>
      </w:r>
    </w:p>
    <w:p>
      <w:pPr>
        <w:spacing w:line="600" w:lineRule="exact"/>
        <w:ind w:firstLine="640" w:firstLineChars="200"/>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b/>
          <w:bCs/>
          <w:color w:val="000000"/>
          <w:sz w:val="32"/>
          <w:szCs w:val="32"/>
          <w:lang w:val="en-US" w:eastAsia="zh-CN"/>
        </w:rPr>
        <w:t>事业运行2010350：</w:t>
      </w:r>
      <w:r>
        <w:rPr>
          <w:rFonts w:hint="eastAsia" w:ascii="仿宋_GB2312" w:hAnsi="仿宋_GB2312" w:eastAsia="仿宋_GB2312" w:cs="仿宋_GB2312"/>
          <w:color w:val="000000"/>
          <w:sz w:val="32"/>
          <w:szCs w:val="32"/>
          <w:lang w:val="en-US" w:eastAsia="zh-CN"/>
        </w:rPr>
        <w:t>支出决算为179.48万元。</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b/>
          <w:bCs/>
          <w:color w:val="000000"/>
          <w:sz w:val="32"/>
          <w:szCs w:val="32"/>
          <w:lang w:val="en-US" w:eastAsia="zh-CN"/>
        </w:rPr>
        <w:t>党委办公厅（室）及相关机构事务20131：</w:t>
      </w:r>
      <w:r>
        <w:rPr>
          <w:rFonts w:hint="eastAsia" w:ascii="仿宋_GB2312" w:hAnsi="仿宋_GB2312" w:eastAsia="仿宋_GB2312" w:cs="仿宋_GB2312"/>
          <w:color w:val="000000"/>
          <w:sz w:val="32"/>
          <w:szCs w:val="32"/>
          <w:lang w:val="en-US" w:eastAsia="zh-CN"/>
        </w:rPr>
        <w:t>支出决算为89.47万元，完成预算100%。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b/>
          <w:bCs/>
          <w:color w:val="000000"/>
          <w:sz w:val="32"/>
          <w:szCs w:val="32"/>
          <w:lang w:val="en-US" w:eastAsia="zh-CN"/>
        </w:rPr>
        <w:t>文化体育与传媒207:</w:t>
      </w:r>
      <w:r>
        <w:rPr>
          <w:rFonts w:hint="eastAsia" w:ascii="仿宋_GB2312" w:hAnsi="仿宋_GB2312" w:eastAsia="仿宋_GB2312" w:cs="仿宋_GB2312"/>
          <w:color w:val="000000"/>
          <w:sz w:val="32"/>
          <w:szCs w:val="32"/>
          <w:lang w:val="en-US" w:eastAsia="zh-CN"/>
        </w:rPr>
        <w:t xml:space="preserve"> 支出决算为5万元，完成预算100%。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b/>
          <w:bCs/>
          <w:color w:val="000000"/>
          <w:sz w:val="32"/>
          <w:szCs w:val="32"/>
          <w:lang w:val="en-US" w:eastAsia="zh-CN"/>
        </w:rPr>
        <w:t>其他文化支出2070199：</w:t>
      </w:r>
      <w:r>
        <w:rPr>
          <w:rFonts w:hint="eastAsia" w:ascii="仿宋_GB2312" w:hAnsi="仿宋_GB2312" w:eastAsia="仿宋_GB2312" w:cs="仿宋_GB2312"/>
          <w:color w:val="000000"/>
          <w:sz w:val="32"/>
          <w:szCs w:val="32"/>
          <w:lang w:val="en-US" w:eastAsia="zh-CN"/>
        </w:rPr>
        <w:t>支出决算为5万元，完成预算100%。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12.</w:t>
      </w:r>
      <w:r>
        <w:rPr>
          <w:rFonts w:hint="eastAsia" w:ascii="仿宋_GB2312" w:hAnsi="仿宋_GB2312" w:eastAsia="仿宋_GB2312" w:cs="仿宋_GB2312"/>
          <w:b/>
          <w:bCs/>
          <w:color w:val="000000"/>
          <w:sz w:val="32"/>
          <w:szCs w:val="32"/>
          <w:lang w:val="en-US" w:eastAsia="zh-CN"/>
        </w:rPr>
        <w:t>社会保障和就业208:</w:t>
      </w:r>
      <w:r>
        <w:rPr>
          <w:rFonts w:hint="eastAsia" w:ascii="仿宋_GB2312" w:hAnsi="仿宋_GB2312" w:eastAsia="仿宋_GB2312" w:cs="仿宋_GB2312"/>
          <w:color w:val="000000"/>
          <w:sz w:val="32"/>
          <w:szCs w:val="32"/>
          <w:lang w:val="en-US" w:eastAsia="zh-CN"/>
        </w:rPr>
        <w:t xml:space="preserve"> 支出决算为198.59万元，完成预算100%。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13.</w:t>
      </w:r>
      <w:r>
        <w:rPr>
          <w:rFonts w:hint="eastAsia" w:ascii="仿宋_GB2312" w:hAnsi="仿宋_GB2312" w:eastAsia="仿宋_GB2312" w:cs="仿宋_GB2312"/>
          <w:b/>
          <w:bCs/>
          <w:color w:val="000000"/>
          <w:sz w:val="32"/>
          <w:szCs w:val="32"/>
          <w:lang w:val="en-US" w:eastAsia="zh-CN"/>
        </w:rPr>
        <w:t>基层政权和社区建设2080208：</w:t>
      </w:r>
      <w:r>
        <w:rPr>
          <w:rFonts w:hint="eastAsia" w:ascii="仿宋_GB2312" w:hAnsi="仿宋_GB2312" w:eastAsia="仿宋_GB2312" w:cs="仿宋_GB2312"/>
          <w:color w:val="000000"/>
          <w:sz w:val="32"/>
          <w:szCs w:val="32"/>
          <w:lang w:val="en-US" w:eastAsia="zh-CN"/>
        </w:rPr>
        <w:t>支出决算为135.85万元，完成预算100%。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14.</w:t>
      </w:r>
      <w:r>
        <w:rPr>
          <w:rFonts w:hint="eastAsia" w:ascii="仿宋_GB2312" w:hAnsi="仿宋_GB2312" w:eastAsia="仿宋_GB2312" w:cs="仿宋_GB2312"/>
          <w:b/>
          <w:bCs/>
          <w:color w:val="000000"/>
          <w:sz w:val="32"/>
          <w:szCs w:val="32"/>
          <w:lang w:val="en-US" w:eastAsia="zh-CN"/>
        </w:rPr>
        <w:t>行政事业单位离退休20805：</w:t>
      </w:r>
      <w:r>
        <w:rPr>
          <w:rFonts w:hint="eastAsia" w:ascii="仿宋_GB2312" w:hAnsi="仿宋_GB2312" w:eastAsia="仿宋_GB2312" w:cs="仿宋_GB2312"/>
          <w:color w:val="000000"/>
          <w:sz w:val="32"/>
          <w:szCs w:val="32"/>
          <w:lang w:val="en-US" w:eastAsia="zh-CN"/>
        </w:rPr>
        <w:t>支出决算为62.53万元，完成预算100%。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15.</w:t>
      </w:r>
      <w:r>
        <w:rPr>
          <w:rFonts w:hint="eastAsia" w:ascii="仿宋_GB2312" w:hAnsi="仿宋_GB2312" w:eastAsia="仿宋_GB2312" w:cs="仿宋_GB2312"/>
          <w:b/>
          <w:bCs/>
          <w:color w:val="000000"/>
          <w:sz w:val="32"/>
          <w:szCs w:val="32"/>
          <w:lang w:val="en-US" w:eastAsia="zh-CN"/>
        </w:rPr>
        <w:t>机关事业单位基本养老保险缴费2080505：</w:t>
      </w:r>
      <w:r>
        <w:rPr>
          <w:rFonts w:hint="eastAsia" w:ascii="仿宋_GB2312" w:hAnsi="仿宋_GB2312" w:eastAsia="仿宋_GB2312" w:cs="仿宋_GB2312"/>
          <w:color w:val="000000"/>
          <w:sz w:val="32"/>
          <w:szCs w:val="32"/>
          <w:lang w:val="en-US" w:eastAsia="zh-CN"/>
        </w:rPr>
        <w:t>支出决算为41.69万元，完成预算100%。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16.</w:t>
      </w:r>
      <w:r>
        <w:rPr>
          <w:rFonts w:hint="eastAsia" w:ascii="仿宋_GB2312" w:hAnsi="仿宋_GB2312" w:eastAsia="仿宋_GB2312" w:cs="仿宋_GB2312"/>
          <w:b/>
          <w:bCs/>
          <w:color w:val="000000"/>
          <w:sz w:val="32"/>
          <w:szCs w:val="32"/>
          <w:lang w:val="en-US" w:eastAsia="zh-CN"/>
        </w:rPr>
        <w:t>机关事业单位职业年金缴费2080506：</w:t>
      </w:r>
      <w:r>
        <w:rPr>
          <w:rFonts w:hint="eastAsia" w:ascii="仿宋_GB2312" w:hAnsi="仿宋_GB2312" w:eastAsia="仿宋_GB2312" w:cs="仿宋_GB2312"/>
          <w:color w:val="000000"/>
          <w:sz w:val="32"/>
          <w:szCs w:val="32"/>
          <w:lang w:val="en-US" w:eastAsia="zh-CN"/>
        </w:rPr>
        <w:t>支出决算为20.84万元，完成预算100%。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17.退役军人</w:t>
      </w:r>
      <w:r>
        <w:rPr>
          <w:rFonts w:hint="eastAsia" w:ascii="仿宋_GB2312" w:hAnsi="仿宋_GB2312" w:eastAsia="仿宋_GB2312" w:cs="仿宋_GB2312"/>
          <w:b/>
          <w:bCs/>
          <w:color w:val="000000"/>
          <w:sz w:val="32"/>
          <w:szCs w:val="32"/>
          <w:lang w:val="en-US" w:eastAsia="zh-CN"/>
        </w:rPr>
        <w:t>管理事务20828：</w:t>
      </w:r>
      <w:r>
        <w:rPr>
          <w:rFonts w:hint="eastAsia" w:ascii="仿宋_GB2312" w:hAnsi="仿宋_GB2312" w:eastAsia="仿宋_GB2312" w:cs="仿宋_GB2312"/>
          <w:color w:val="000000"/>
          <w:sz w:val="32"/>
          <w:szCs w:val="32"/>
          <w:lang w:val="en-US" w:eastAsia="zh-CN"/>
        </w:rPr>
        <w:t>支出决算为0.2万元，完成预算100%。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18.</w:t>
      </w:r>
      <w:r>
        <w:rPr>
          <w:rFonts w:hint="eastAsia" w:ascii="仿宋_GB2312" w:hAnsi="仿宋_GB2312" w:eastAsia="仿宋_GB2312" w:cs="仿宋_GB2312"/>
          <w:b/>
          <w:bCs/>
          <w:color w:val="000000"/>
          <w:sz w:val="32"/>
          <w:szCs w:val="32"/>
          <w:lang w:val="en-US" w:eastAsia="zh-CN"/>
        </w:rPr>
        <w:t>医疗卫生与计划生育210:</w:t>
      </w:r>
      <w:r>
        <w:rPr>
          <w:rFonts w:hint="eastAsia" w:ascii="仿宋_GB2312" w:hAnsi="仿宋_GB2312" w:eastAsia="仿宋_GB2312" w:cs="仿宋_GB2312"/>
          <w:color w:val="000000"/>
          <w:sz w:val="32"/>
          <w:szCs w:val="32"/>
          <w:lang w:val="en-US" w:eastAsia="zh-CN"/>
        </w:rPr>
        <w:t>支出决算为31.09万元，完成预算100%。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19.</w:t>
      </w:r>
      <w:r>
        <w:rPr>
          <w:rFonts w:hint="eastAsia" w:ascii="仿宋_GB2312" w:hAnsi="仿宋_GB2312" w:eastAsia="仿宋_GB2312" w:cs="仿宋_GB2312"/>
          <w:b/>
          <w:bCs/>
          <w:color w:val="000000"/>
          <w:sz w:val="32"/>
          <w:szCs w:val="32"/>
          <w:lang w:val="en-US" w:eastAsia="zh-CN"/>
        </w:rPr>
        <w:t>公共卫生21004：</w:t>
      </w:r>
      <w:r>
        <w:rPr>
          <w:rFonts w:hint="eastAsia" w:ascii="仿宋_GB2312" w:hAnsi="仿宋_GB2312" w:eastAsia="仿宋_GB2312" w:cs="仿宋_GB2312"/>
          <w:color w:val="000000"/>
          <w:sz w:val="32"/>
          <w:szCs w:val="32"/>
          <w:lang w:val="en-US" w:eastAsia="zh-CN"/>
        </w:rPr>
        <w:t>支出决算为1万元，完成预算100%。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b/>
          <w:bCs/>
          <w:color w:val="000000"/>
          <w:sz w:val="32"/>
          <w:szCs w:val="32"/>
          <w:lang w:val="en-US" w:eastAsia="zh-CN"/>
        </w:rPr>
        <w:t>行政事业单位医疗21011：</w:t>
      </w:r>
      <w:r>
        <w:rPr>
          <w:rFonts w:hint="eastAsia" w:ascii="仿宋_GB2312" w:hAnsi="仿宋_GB2312" w:eastAsia="仿宋_GB2312" w:cs="仿宋_GB2312"/>
          <w:color w:val="000000"/>
          <w:sz w:val="32"/>
          <w:szCs w:val="32"/>
          <w:lang w:val="en-US" w:eastAsia="zh-CN"/>
        </w:rPr>
        <w:t>支出决算为30.09万元，完成预算100%。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b/>
          <w:bCs/>
          <w:color w:val="000000"/>
          <w:sz w:val="32"/>
          <w:szCs w:val="32"/>
          <w:lang w:val="en-US" w:eastAsia="zh-CN"/>
        </w:rPr>
        <w:t>行政单位医疗2101101：</w:t>
      </w:r>
      <w:r>
        <w:rPr>
          <w:rFonts w:hint="eastAsia" w:ascii="仿宋_GB2312" w:hAnsi="仿宋_GB2312" w:eastAsia="仿宋_GB2312" w:cs="仿宋_GB2312"/>
          <w:color w:val="000000"/>
          <w:sz w:val="32"/>
          <w:szCs w:val="32"/>
          <w:lang w:val="en-US" w:eastAsia="zh-CN"/>
        </w:rPr>
        <w:t>支出决算为16.48万元，完成预算100%。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22.</w:t>
      </w:r>
      <w:r>
        <w:rPr>
          <w:rFonts w:hint="eastAsia" w:ascii="仿宋_GB2312" w:hAnsi="仿宋_GB2312" w:eastAsia="仿宋_GB2312" w:cs="仿宋_GB2312"/>
          <w:b/>
          <w:bCs/>
          <w:color w:val="000000"/>
          <w:sz w:val="32"/>
          <w:szCs w:val="32"/>
          <w:lang w:val="en-US" w:eastAsia="zh-CN"/>
        </w:rPr>
        <w:t>公务员医疗救助2101103：</w:t>
      </w:r>
      <w:r>
        <w:rPr>
          <w:rFonts w:hint="eastAsia" w:ascii="仿宋_GB2312" w:hAnsi="仿宋_GB2312" w:eastAsia="仿宋_GB2312" w:cs="仿宋_GB2312"/>
          <w:color w:val="000000"/>
          <w:sz w:val="32"/>
          <w:szCs w:val="32"/>
          <w:lang w:val="en-US" w:eastAsia="zh-CN"/>
        </w:rPr>
        <w:t>支出决算为3.24万元，完成预算100%。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23.</w:t>
      </w:r>
      <w:r>
        <w:rPr>
          <w:rFonts w:hint="eastAsia" w:ascii="仿宋_GB2312" w:hAnsi="仿宋_GB2312" w:eastAsia="仿宋_GB2312" w:cs="仿宋_GB2312"/>
          <w:b/>
          <w:bCs/>
          <w:color w:val="000000"/>
          <w:sz w:val="32"/>
          <w:szCs w:val="32"/>
          <w:lang w:val="en-US" w:eastAsia="zh-CN"/>
        </w:rPr>
        <w:t>农林水213：</w:t>
      </w:r>
      <w:r>
        <w:rPr>
          <w:rFonts w:hint="eastAsia" w:ascii="仿宋_GB2312" w:hAnsi="仿宋_GB2312" w:eastAsia="仿宋_GB2312" w:cs="仿宋_GB2312"/>
          <w:color w:val="000000"/>
          <w:sz w:val="32"/>
          <w:szCs w:val="32"/>
          <w:lang w:val="en-US" w:eastAsia="zh-CN"/>
        </w:rPr>
        <w:t>支出决算为86.98万元，完成预算100%。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24.</w:t>
      </w:r>
      <w:r>
        <w:rPr>
          <w:rFonts w:hint="eastAsia" w:ascii="仿宋_GB2312" w:hAnsi="仿宋_GB2312" w:eastAsia="仿宋_GB2312" w:cs="仿宋_GB2312"/>
          <w:b/>
          <w:bCs/>
          <w:color w:val="000000"/>
          <w:sz w:val="32"/>
          <w:szCs w:val="32"/>
          <w:lang w:val="en-US" w:eastAsia="zh-CN"/>
        </w:rPr>
        <w:t>扶贫支出21305：</w:t>
      </w:r>
      <w:r>
        <w:rPr>
          <w:rFonts w:hint="eastAsia" w:ascii="仿宋_GB2312" w:hAnsi="仿宋_GB2312" w:eastAsia="仿宋_GB2312" w:cs="仿宋_GB2312"/>
          <w:color w:val="000000"/>
          <w:sz w:val="32"/>
          <w:szCs w:val="32"/>
          <w:lang w:val="en-US" w:eastAsia="zh-CN"/>
        </w:rPr>
        <w:t>支出决算为5.8万元，完成预算完成预算100%。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25.生产发展</w:t>
      </w:r>
      <w:r>
        <w:rPr>
          <w:rFonts w:hint="eastAsia" w:ascii="仿宋_GB2312" w:hAnsi="仿宋_GB2312" w:eastAsia="仿宋_GB2312" w:cs="仿宋_GB2312"/>
          <w:b/>
          <w:bCs/>
          <w:color w:val="000000"/>
          <w:sz w:val="32"/>
          <w:szCs w:val="32"/>
          <w:lang w:val="en-US" w:eastAsia="zh-CN"/>
        </w:rPr>
        <w:t>2130505：</w:t>
      </w:r>
      <w:r>
        <w:rPr>
          <w:rFonts w:hint="eastAsia" w:ascii="仿宋_GB2312" w:hAnsi="仿宋_GB2312" w:eastAsia="仿宋_GB2312" w:cs="仿宋_GB2312"/>
          <w:color w:val="000000"/>
          <w:sz w:val="32"/>
          <w:szCs w:val="32"/>
          <w:lang w:val="en-US" w:eastAsia="zh-CN"/>
        </w:rPr>
        <w:t>支出决算为5.8万元，完成预算100%。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26.</w:t>
      </w:r>
      <w:r>
        <w:rPr>
          <w:rFonts w:hint="eastAsia" w:ascii="仿宋_GB2312" w:hAnsi="仿宋_GB2312" w:eastAsia="仿宋_GB2312" w:cs="仿宋_GB2312"/>
          <w:b/>
          <w:bCs/>
          <w:color w:val="000000"/>
          <w:sz w:val="32"/>
          <w:szCs w:val="32"/>
          <w:lang w:val="en-US" w:eastAsia="zh-CN"/>
        </w:rPr>
        <w:t>农村综合改革21307：</w:t>
      </w:r>
      <w:r>
        <w:rPr>
          <w:rFonts w:hint="eastAsia" w:ascii="仿宋_GB2312" w:hAnsi="仿宋_GB2312" w:eastAsia="仿宋_GB2312" w:cs="仿宋_GB2312"/>
          <w:color w:val="000000"/>
          <w:sz w:val="32"/>
          <w:szCs w:val="32"/>
          <w:lang w:val="en-US" w:eastAsia="zh-CN"/>
        </w:rPr>
        <w:t>支出决算为81.18万元，完成预算100%。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27.</w:t>
      </w:r>
      <w:r>
        <w:rPr>
          <w:rFonts w:hint="eastAsia" w:ascii="仿宋_GB2312" w:hAnsi="仿宋_GB2312" w:eastAsia="仿宋_GB2312" w:cs="仿宋_GB2312"/>
          <w:b/>
          <w:bCs/>
          <w:color w:val="000000"/>
          <w:sz w:val="32"/>
          <w:szCs w:val="32"/>
          <w:lang w:val="en-US" w:eastAsia="zh-CN"/>
        </w:rPr>
        <w:t>住房保障221：</w:t>
      </w:r>
      <w:r>
        <w:rPr>
          <w:rFonts w:hint="eastAsia" w:ascii="仿宋_GB2312" w:hAnsi="仿宋_GB2312" w:eastAsia="仿宋_GB2312" w:cs="仿宋_GB2312"/>
          <w:color w:val="000000"/>
          <w:sz w:val="32"/>
          <w:szCs w:val="32"/>
          <w:lang w:val="en-US" w:eastAsia="zh-CN"/>
        </w:rPr>
        <w:t>支出决算为48.94万元，完成预算100%。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28.</w:t>
      </w:r>
      <w:r>
        <w:rPr>
          <w:rFonts w:hint="eastAsia" w:ascii="仿宋_GB2312" w:hAnsi="仿宋_GB2312" w:eastAsia="仿宋_GB2312" w:cs="仿宋_GB2312"/>
          <w:b/>
          <w:bCs/>
          <w:color w:val="000000"/>
          <w:sz w:val="32"/>
          <w:szCs w:val="32"/>
          <w:lang w:val="en-US" w:eastAsia="zh-CN"/>
        </w:rPr>
        <w:t>住房公积金2210201：</w:t>
      </w:r>
      <w:r>
        <w:rPr>
          <w:rFonts w:hint="eastAsia" w:ascii="仿宋_GB2312" w:hAnsi="仿宋_GB2312" w:eastAsia="仿宋_GB2312" w:cs="仿宋_GB2312"/>
          <w:color w:val="000000"/>
          <w:sz w:val="32"/>
          <w:szCs w:val="32"/>
          <w:lang w:val="en-US" w:eastAsia="zh-CN"/>
        </w:rPr>
        <w:t>支出决算为48.94万元，完成预算100%。</w:t>
      </w:r>
    </w:p>
    <w:p>
      <w:pPr>
        <w:tabs>
          <w:tab w:val="right" w:pos="8306"/>
        </w:tabs>
        <w:spacing w:line="600" w:lineRule="exact"/>
        <w:ind w:firstLine="640"/>
        <w:outlineLvl w:val="1"/>
        <w:rPr>
          <w:rStyle w:val="28"/>
        </w:rPr>
      </w:pPr>
      <w:bookmarkStart w:id="50" w:name="_Toc12863"/>
      <w:bookmarkStart w:id="51" w:name="_Toc15396608"/>
      <w:bookmarkStart w:id="52"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50"/>
      <w:bookmarkEnd w:id="51"/>
      <w:bookmarkEnd w:id="52"/>
      <w:r>
        <w:rPr>
          <w:rStyle w:val="28"/>
          <w:rFonts w:ascii="黑体" w:hAnsi="黑体" w:eastAsia="黑体"/>
          <w:b w:val="0"/>
        </w:rPr>
        <w:tab/>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2021年一般公共预算财政拨款基本支出1064.84万元，其中：人员经费624.35万元，主要包括：基本工资110.60万元、津贴补贴345.03万元、奖金4.72万元、绩效工资13.59万元、机关事业单位基本养老保险缴费41.69万元、职业年金缴费20.84万元、职工基本医疗保险缴费24.49万元、公务员医疗补助缴费5.60万元、医疗费2.97万元、住房公积金48.94万元等。</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　　日常公用经费101.75万元，主要包括：办公费39.58万元、印刷费6万元、咨询费0万元、手续费0万元、水费0万元、电费3万元、邮电费0万元、取暖费0万元、物业管理费0万元、差旅费4.5万元、因公出国（境）费用0万元、维修（护）费0.41万元、租赁费0万元、会议费2.07万元、培训费0万元、公务接待费0万元、劳务费5万元、委托业务费0万元、工会经费0万元、福利费0万元、公务用车运行维护费14.19万元、其他交通费0万元、税金及附加费用0万元、其他商品和服务支出0万元、办公设备购置0万元、专用设备购置0万元、信息网络及软件购置更新0万元、其他资本性支出0万元。</w:t>
      </w:r>
    </w:p>
    <w:p>
      <w:pPr>
        <w:spacing w:line="600" w:lineRule="exact"/>
        <w:ind w:firstLine="640"/>
        <w:outlineLvl w:val="1"/>
        <w:rPr>
          <w:rStyle w:val="28"/>
          <w:rFonts w:ascii="黑体" w:hAnsi="黑体" w:eastAsia="黑体"/>
          <w:b w:val="0"/>
        </w:rPr>
      </w:pPr>
      <w:bookmarkStart w:id="53" w:name="_Toc15396609"/>
      <w:bookmarkStart w:id="54" w:name="_Toc15377215"/>
      <w:bookmarkStart w:id="55" w:name="_Toc10307"/>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53"/>
      <w:bookmarkEnd w:id="54"/>
      <w:bookmarkEnd w:id="55"/>
    </w:p>
    <w:p>
      <w:pPr>
        <w:spacing w:line="600" w:lineRule="exact"/>
        <w:ind w:firstLine="643" w:firstLineChars="200"/>
        <w:rPr>
          <w:rFonts w:hint="eastAsia" w:ascii="仿宋_GB2312" w:hAnsi="仿宋_GB2312" w:eastAsia="仿宋_GB2312" w:cs="仿宋_GB2312"/>
          <w:b/>
          <w:bCs/>
          <w:color w:val="000000"/>
          <w:sz w:val="32"/>
          <w:szCs w:val="32"/>
          <w:lang w:val="en-US" w:eastAsia="zh-CN"/>
        </w:rPr>
      </w:pPr>
      <w:bookmarkStart w:id="56" w:name="_Toc15377216"/>
      <w:r>
        <w:rPr>
          <w:rFonts w:hint="eastAsia" w:ascii="仿宋_GB2312" w:hAnsi="仿宋_GB2312" w:eastAsia="仿宋_GB2312" w:cs="仿宋_GB2312"/>
          <w:b/>
          <w:bCs/>
          <w:color w:val="000000"/>
          <w:sz w:val="32"/>
          <w:szCs w:val="32"/>
          <w:lang w:val="en-US" w:eastAsia="zh-CN"/>
        </w:rPr>
        <w:t>（一）“三公”经费财政拨款支出决算总体情况说明</w:t>
      </w:r>
      <w:bookmarkEnd w:id="56"/>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2019年“三公”经费财政拨款支出决算为16.26万元，完成预算100%，决算数与预算数持平。</w:t>
      </w:r>
    </w:p>
    <w:p>
      <w:pPr>
        <w:spacing w:line="600" w:lineRule="exact"/>
        <w:ind w:firstLine="643" w:firstLineChars="200"/>
        <w:rPr>
          <w:rFonts w:hint="eastAsia" w:ascii="仿宋_GB2312" w:hAnsi="仿宋_GB2312" w:eastAsia="仿宋_GB2312" w:cs="仿宋_GB2312"/>
          <w:b/>
          <w:bCs/>
          <w:color w:val="000000"/>
          <w:sz w:val="32"/>
          <w:szCs w:val="32"/>
          <w:lang w:val="en-US" w:eastAsia="zh-CN"/>
        </w:rPr>
      </w:pPr>
      <w:bookmarkStart w:id="57" w:name="_Toc15377217"/>
      <w:r>
        <w:rPr>
          <w:rFonts w:hint="eastAsia" w:ascii="仿宋_GB2312" w:hAnsi="仿宋_GB2312" w:eastAsia="仿宋_GB2312" w:cs="仿宋_GB2312"/>
          <w:b/>
          <w:bCs/>
          <w:color w:val="000000"/>
          <w:sz w:val="32"/>
          <w:szCs w:val="32"/>
          <w:lang w:val="en-US" w:eastAsia="zh-CN"/>
        </w:rPr>
        <w:t>（二）“三公”经费财政拨款支出决算具体情况说明</w:t>
      </w:r>
      <w:bookmarkEnd w:id="57"/>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2021年“三公”经费财政拨款支出决算中，因公出国（境）费支出决算0万元，占0%；公务用车购置及运行维护费支出决算14.19万元、其中公务用车运行维护费14.19万元，占100%；公务接待费支出决算0万元，占0%。具体情况如下：</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（图7：“三公”经费财政拨款支出结构）（饼状图）</w:t>
      </w:r>
    </w:p>
    <w:p>
      <w:pPr>
        <w:pStyle w:val="2"/>
        <w:jc w:val="both"/>
      </w:pPr>
      <w:r>
        <w:drawing>
          <wp:inline distT="0" distB="0" distL="114300" distR="114300">
            <wp:extent cx="4572000" cy="2743200"/>
            <wp:effectExtent l="4445" t="4445" r="14605" b="14605"/>
            <wp:docPr id="10"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1134"/>
        <w:textAlignment w:val="auto"/>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w:t>
      </w:r>
      <w:r>
        <w:rPr>
          <w:rFonts w:hint="eastAsia" w:ascii="仿宋_GB2312" w:eastAsia="仿宋_GB2312"/>
          <w:color w:val="000000"/>
          <w:sz w:val="32"/>
          <w:szCs w:val="32"/>
          <w:lang w:eastAsia="zh-CN"/>
        </w:rPr>
        <w:t>与</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年持平。</w:t>
      </w:r>
    </w:p>
    <w:p>
      <w:pPr>
        <w:keepNext w:val="0"/>
        <w:keepLines w:val="0"/>
        <w:pageBreakBefore w:val="0"/>
        <w:widowControl w:val="0"/>
        <w:kinsoku/>
        <w:wordWrap/>
        <w:overflowPunct/>
        <w:topLinePunct w:val="0"/>
        <w:autoSpaceDE/>
        <w:autoSpaceDN/>
        <w:bidi w:val="0"/>
        <w:adjustRightInd/>
        <w:snapToGrid/>
        <w:spacing w:line="600" w:lineRule="exact"/>
        <w:ind w:firstLine="964" w:firstLineChars="300"/>
        <w:textAlignment w:val="auto"/>
        <w:rPr>
          <w:rFonts w:hint="eastAsia" w:ascii="仿宋_GB2312" w:eastAsia="仿宋_GB2312"/>
          <w:b/>
          <w:color w:val="000000"/>
          <w:sz w:val="32"/>
          <w:szCs w:val="32"/>
          <w:lang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14.19</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5.19</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上升</w:t>
      </w:r>
      <w:r>
        <w:rPr>
          <w:rFonts w:hint="eastAsia" w:ascii="仿宋_GB2312" w:eastAsia="仿宋_GB2312"/>
          <w:color w:val="000000"/>
          <w:sz w:val="32"/>
          <w:szCs w:val="32"/>
          <w:lang w:val="en-US" w:eastAsia="zh-CN"/>
        </w:rPr>
        <w:t>57.67</w:t>
      </w:r>
      <w:r>
        <w:rPr>
          <w:rFonts w:ascii="仿宋_GB2312" w:eastAsia="仿宋_GB2312"/>
          <w:color w:val="000000"/>
          <w:sz w:val="32"/>
          <w:szCs w:val="32"/>
        </w:rPr>
        <w:t>%</w:t>
      </w:r>
      <w:r>
        <w:rPr>
          <w:rFonts w:hint="eastAsia" w:ascii="仿宋_GB2312" w:eastAsia="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14.19</w:t>
      </w:r>
      <w:r>
        <w:rPr>
          <w:rFonts w:hint="eastAsia" w:ascii="仿宋_GB2312" w:eastAsia="仿宋_GB2312"/>
          <w:color w:val="000000"/>
          <w:sz w:val="32"/>
          <w:szCs w:val="32"/>
        </w:rPr>
        <w:t>万元。主要用于到县城开会、办事等所需的公务用车燃料费、维修费、过路过桥费、保险费等支出。</w:t>
      </w:r>
    </w:p>
    <w:p>
      <w:pPr>
        <w:pStyle w:val="7"/>
        <w:bidi w:val="0"/>
        <w:rPr>
          <w:rFonts w:hint="eastAsia"/>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w:t>
      </w:r>
      <w:r>
        <w:rPr>
          <w:rFonts w:hint="eastAsia"/>
        </w:rPr>
        <w:t>完成预算100%。</w:t>
      </w:r>
      <w:r>
        <w:rPr>
          <w:rFonts w:hint="eastAsia" w:ascii="仿宋_GB2312" w:eastAsia="仿宋_GB2312"/>
          <w:color w:val="000000"/>
          <w:sz w:val="32"/>
          <w:szCs w:val="32"/>
        </w:rPr>
        <w:t>公务接待费支出决算</w:t>
      </w:r>
      <w:r>
        <w:rPr>
          <w:rFonts w:hint="eastAsia" w:ascii="仿宋_GB2312" w:eastAsia="仿宋_GB2312"/>
          <w:color w:val="000000"/>
          <w:sz w:val="32"/>
          <w:szCs w:val="32"/>
          <w:lang w:eastAsia="zh-CN"/>
        </w:rPr>
        <w:t>与</w:t>
      </w:r>
      <w:r>
        <w:rPr>
          <w:rFonts w:hint="eastAsia" w:ascii="仿宋_GB2312" w:eastAsia="仿宋_GB2312"/>
          <w:color w:val="000000"/>
          <w:sz w:val="32"/>
          <w:szCs w:val="32"/>
          <w:lang w:val="en-US" w:eastAsia="zh-CN"/>
        </w:rPr>
        <w:t>2020年持平</w:t>
      </w:r>
      <w:r>
        <w:rPr>
          <w:rFonts w:hint="eastAsia"/>
        </w:rPr>
        <w:t>。主要原因是</w:t>
      </w:r>
      <w:r>
        <w:rPr>
          <w:rFonts w:hint="eastAsia"/>
          <w:lang w:eastAsia="zh-CN"/>
        </w:rPr>
        <w:t>没有接待支出。</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eastAsia="仿宋_GB2312"/>
          <w:color w:val="000000"/>
          <w:sz w:val="32"/>
          <w:szCs w:val="32"/>
          <w:lang w:val="en-US" w:eastAsia="zh-CN"/>
        </w:rPr>
      </w:pPr>
      <w:r>
        <w:rPr>
          <w:rFonts w:hint="eastAsia" w:ascii="仿宋_GB2312" w:eastAsia="仿宋_GB2312"/>
          <w:b/>
          <w:bCs/>
          <w:color w:val="000000"/>
          <w:sz w:val="32"/>
          <w:szCs w:val="32"/>
        </w:rPr>
        <w:t>国内公务接待支出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国内公务接待0批次，0人次（不包括陪同人员），共计支出0.00万元。</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eastAsia="仿宋_GB2312"/>
          <w:color w:val="000000"/>
          <w:sz w:val="32"/>
          <w:szCs w:val="32"/>
          <w:lang w:eastAsia="zh-CN"/>
        </w:rPr>
      </w:pPr>
      <w:r>
        <w:rPr>
          <w:rFonts w:hint="eastAsia" w:ascii="仿宋_GB2312" w:eastAsia="仿宋_GB2312"/>
          <w:b/>
          <w:bCs/>
          <w:color w:val="000000"/>
          <w:sz w:val="32"/>
          <w:szCs w:val="32"/>
        </w:rPr>
        <w:t>外事接待支出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ascii="黑体" w:eastAsia="黑体"/>
          <w:color w:val="000000"/>
          <w:sz w:val="32"/>
          <w:szCs w:val="32"/>
        </w:rPr>
      </w:pPr>
      <w:bookmarkStart w:id="58" w:name="_Toc15377218"/>
      <w:bookmarkStart w:id="59" w:name="_Toc15396610"/>
    </w:p>
    <w:p>
      <w:pPr>
        <w:keepNext w:val="0"/>
        <w:keepLines w:val="0"/>
        <w:pageBreakBefore w:val="0"/>
        <w:widowControl w:val="0"/>
        <w:kinsoku/>
        <w:wordWrap/>
        <w:overflowPunct/>
        <w:topLinePunct w:val="0"/>
        <w:autoSpaceDE/>
        <w:autoSpaceDN/>
        <w:bidi w:val="0"/>
        <w:adjustRightInd/>
        <w:snapToGrid/>
        <w:spacing w:line="600" w:lineRule="exact"/>
        <w:ind w:firstLine="358" w:firstLineChars="112"/>
        <w:textAlignment w:val="auto"/>
        <w:outlineLvl w:val="1"/>
        <w:rPr>
          <w:rStyle w:val="28"/>
          <w:rFonts w:ascii="黑体" w:hAnsi="黑体" w:eastAsia="黑体"/>
        </w:rPr>
      </w:pPr>
      <w:bookmarkStart w:id="60" w:name="_Toc24159"/>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58"/>
      <w:bookmarkEnd w:id="59"/>
      <w:bookmarkEnd w:id="60"/>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021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color w:val="000000"/>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358" w:firstLineChars="112"/>
        <w:textAlignment w:val="auto"/>
        <w:outlineLvl w:val="1"/>
        <w:rPr>
          <w:rStyle w:val="28"/>
          <w:rFonts w:ascii="黑体" w:hAnsi="黑体" w:eastAsia="黑体"/>
          <w:b w:val="0"/>
        </w:rPr>
      </w:pPr>
      <w:bookmarkStart w:id="61" w:name="_Toc15377219"/>
      <w:bookmarkStart w:id="62" w:name="_Toc15396611"/>
      <w:bookmarkStart w:id="63" w:name="_Toc2368"/>
      <w:r>
        <w:rPr>
          <w:rStyle w:val="28"/>
          <w:rFonts w:hint="eastAsia" w:ascii="黑体" w:hAnsi="黑体" w:eastAsia="黑体"/>
          <w:b w:val="0"/>
          <w:lang w:eastAsia="zh-CN"/>
        </w:rPr>
        <w:t>九、</w:t>
      </w:r>
      <w:r>
        <w:rPr>
          <w:rStyle w:val="28"/>
          <w:rFonts w:hint="eastAsia" w:ascii="黑体" w:hAnsi="黑体" w:eastAsia="黑体"/>
          <w:b w:val="0"/>
        </w:rPr>
        <w:t>国有资本经营预算支出决算情况说明</w:t>
      </w:r>
      <w:bookmarkEnd w:id="61"/>
      <w:bookmarkEnd w:id="62"/>
      <w:bookmarkEnd w:id="63"/>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firstLine="358" w:firstLineChars="112"/>
        <w:textAlignment w:val="auto"/>
        <w:outlineLvl w:val="1"/>
        <w:rPr>
          <w:rStyle w:val="28"/>
          <w:rFonts w:ascii="黑体" w:hAnsi="黑体" w:eastAsia="黑体"/>
        </w:rPr>
      </w:pPr>
      <w:bookmarkStart w:id="64" w:name="_Toc15396612"/>
      <w:bookmarkStart w:id="65" w:name="_Toc8180"/>
      <w:bookmarkStart w:id="66" w:name="_Toc15377221"/>
      <w:r>
        <w:rPr>
          <w:rFonts w:hint="eastAsia" w:ascii="黑体" w:hAnsi="黑体" w:eastAsia="黑体"/>
          <w:color w:val="000000"/>
          <w:sz w:val="32"/>
          <w:szCs w:val="32"/>
        </w:rPr>
        <w:t>十</w:t>
      </w:r>
      <w:r>
        <w:rPr>
          <w:rStyle w:val="28"/>
          <w:rFonts w:hint="eastAsia" w:ascii="黑体" w:hAnsi="黑体" w:eastAsia="黑体"/>
        </w:rPr>
        <w:t>、</w:t>
      </w:r>
      <w:r>
        <w:rPr>
          <w:rStyle w:val="28"/>
          <w:rFonts w:hint="eastAsia" w:ascii="黑体" w:hAnsi="黑体" w:eastAsia="黑体"/>
          <w:b w:val="0"/>
        </w:rPr>
        <w:t>其他重要事项的情况说明</w:t>
      </w:r>
      <w:bookmarkEnd w:id="64"/>
      <w:bookmarkEnd w:id="65"/>
      <w:bookmarkEnd w:id="66"/>
    </w:p>
    <w:p>
      <w:pPr>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仿宋_GB2312" w:eastAsia="仿宋_GB2312"/>
          <w:b/>
          <w:bCs/>
          <w:color w:val="000000"/>
          <w:sz w:val="32"/>
          <w:szCs w:val="32"/>
        </w:rPr>
      </w:pPr>
      <w:bookmarkStart w:id="67" w:name="_Toc15377222"/>
      <w:r>
        <w:rPr>
          <w:rFonts w:hint="eastAsia" w:ascii="仿宋_GB2312" w:eastAsia="仿宋_GB2312"/>
          <w:b/>
          <w:bCs/>
          <w:color w:val="000000"/>
          <w:sz w:val="32"/>
          <w:szCs w:val="32"/>
        </w:rPr>
        <w:t>（一）机关运行经费支出情况</w:t>
      </w:r>
      <w:bookmarkEnd w:id="67"/>
    </w:p>
    <w:p>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eastAsia="仿宋_GB2312"/>
          <w:color w:val="000000"/>
          <w:sz w:val="32"/>
          <w:szCs w:val="32"/>
          <w:lang w:eastAsia="zh-CN"/>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查尔玛乡</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251.77</w:t>
      </w:r>
      <w:r>
        <w:rPr>
          <w:rFonts w:hint="eastAsia" w:ascii="仿宋_GB2312" w:eastAsia="仿宋_GB2312"/>
          <w:color w:val="000000"/>
          <w:sz w:val="32"/>
          <w:szCs w:val="32"/>
        </w:rPr>
        <w:t>万元，比20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216.21</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608</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人员增加、流动导致费用增加。</w:t>
      </w:r>
    </w:p>
    <w:p>
      <w:pPr>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仿宋_GB2312" w:eastAsia="仿宋_GB2312"/>
          <w:b/>
          <w:bCs/>
          <w:color w:val="000000"/>
          <w:sz w:val="32"/>
          <w:szCs w:val="32"/>
        </w:rPr>
      </w:pPr>
      <w:bookmarkStart w:id="68" w:name="_Toc15377223"/>
      <w:r>
        <w:rPr>
          <w:rFonts w:hint="eastAsia" w:ascii="仿宋_GB2312" w:eastAsia="仿宋_GB2312"/>
          <w:b/>
          <w:bCs/>
          <w:color w:val="000000"/>
          <w:sz w:val="32"/>
          <w:szCs w:val="32"/>
        </w:rPr>
        <w:t>（二）政府采购支出情况</w:t>
      </w:r>
      <w:bookmarkEnd w:id="68"/>
    </w:p>
    <w:p>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021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查尔玛乡</w:t>
      </w:r>
      <w:r>
        <w:rPr>
          <w:rFonts w:hint="eastAsia" w:ascii="仿宋_GB2312" w:eastAsia="仿宋_GB2312"/>
          <w:color w:val="000000"/>
          <w:sz w:val="32"/>
          <w:szCs w:val="32"/>
        </w:rPr>
        <w:t>政府采购支出总额</w:t>
      </w:r>
      <w:r>
        <w:rPr>
          <w:rFonts w:ascii="仿宋_GB2312" w:eastAsia="仿宋_GB2312"/>
          <w:color w:val="000000"/>
          <w:sz w:val="32"/>
          <w:szCs w:val="32"/>
        </w:rPr>
        <w:t>0</w:t>
      </w:r>
      <w:r>
        <w:rPr>
          <w:rFonts w:hint="eastAsia" w:ascii="仿宋_GB2312" w:eastAsia="仿宋_GB2312"/>
          <w:color w:val="000000"/>
          <w:sz w:val="32"/>
          <w:szCs w:val="32"/>
        </w:rPr>
        <w:t>万元，其中：政府采购货物支出</w:t>
      </w:r>
      <w:r>
        <w:rPr>
          <w:rFonts w:ascii="仿宋_GB2312" w:eastAsia="仿宋_GB2312"/>
          <w:color w:val="000000"/>
          <w:sz w:val="32"/>
          <w:szCs w:val="32"/>
        </w:rPr>
        <w:t>0</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0</w:t>
      </w:r>
      <w:r>
        <w:rPr>
          <w:rFonts w:hint="eastAsia" w:ascii="仿宋_GB2312" w:eastAsia="仿宋_GB2312"/>
          <w:color w:val="000000"/>
          <w:sz w:val="32"/>
          <w:szCs w:val="32"/>
        </w:rPr>
        <w:t>万元。授予中小企业合同金额</w:t>
      </w:r>
      <w:r>
        <w:rPr>
          <w:rFonts w:ascii="仿宋_GB2312" w:eastAsia="仿宋_GB2312"/>
          <w:color w:val="000000"/>
          <w:sz w:val="32"/>
          <w:szCs w:val="32"/>
        </w:rPr>
        <w:t>0</w:t>
      </w:r>
      <w:r>
        <w:rPr>
          <w:rFonts w:hint="eastAsia" w:ascii="仿宋_GB2312" w:eastAsia="仿宋_GB2312"/>
          <w:color w:val="000000"/>
          <w:sz w:val="32"/>
          <w:szCs w:val="32"/>
        </w:rPr>
        <w:t>万元，占政府采购支出总额的</w:t>
      </w:r>
      <w:r>
        <w:rPr>
          <w:rFonts w:ascii="仿宋_GB2312" w:eastAsia="仿宋_GB2312"/>
          <w:color w:val="000000"/>
          <w:sz w:val="32"/>
          <w:szCs w:val="32"/>
        </w:rPr>
        <w:t>0%</w:t>
      </w:r>
      <w:r>
        <w:rPr>
          <w:rFonts w:hint="eastAsia" w:ascii="仿宋_GB2312" w:eastAsia="仿宋_GB2312"/>
          <w:color w:val="000000"/>
          <w:sz w:val="32"/>
          <w:szCs w:val="32"/>
        </w:rPr>
        <w:t>，其中：授予小微企业合同金额</w:t>
      </w:r>
      <w:r>
        <w:rPr>
          <w:rFonts w:ascii="仿宋_GB2312" w:eastAsia="仿宋_GB2312"/>
          <w:color w:val="000000"/>
          <w:sz w:val="32"/>
          <w:szCs w:val="32"/>
        </w:rPr>
        <w:t>0</w:t>
      </w:r>
      <w:r>
        <w:rPr>
          <w:rFonts w:hint="eastAsia" w:ascii="仿宋_GB2312" w:eastAsia="仿宋_GB2312"/>
          <w:color w:val="000000"/>
          <w:sz w:val="32"/>
          <w:szCs w:val="32"/>
        </w:rPr>
        <w:t>万元，占政府采购支出总额的</w:t>
      </w:r>
      <w:r>
        <w:rPr>
          <w:rFonts w:ascii="仿宋_GB2312" w:eastAsia="仿宋_GB2312"/>
          <w:color w:val="000000"/>
          <w:sz w:val="32"/>
          <w:szCs w:val="32"/>
        </w:rPr>
        <w:t>0%</w:t>
      </w:r>
      <w:r>
        <w:rPr>
          <w:rFonts w:hint="eastAsia" w:ascii="仿宋_GB2312" w:eastAsia="仿宋_GB2312"/>
          <w:color w:val="000000"/>
          <w:sz w:val="32"/>
          <w:szCs w:val="32"/>
        </w:rPr>
        <w:t>。</w:t>
      </w:r>
    </w:p>
    <w:p>
      <w:pPr>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仿宋_GB2312" w:eastAsia="仿宋_GB2312"/>
          <w:b/>
          <w:bCs/>
          <w:color w:val="000000"/>
          <w:sz w:val="32"/>
          <w:szCs w:val="32"/>
        </w:rPr>
      </w:pPr>
      <w:bookmarkStart w:id="69" w:name="_Toc15377224"/>
      <w:r>
        <w:rPr>
          <w:rFonts w:hint="eastAsia" w:ascii="仿宋_GB2312" w:eastAsia="仿宋_GB2312"/>
          <w:b/>
          <w:bCs/>
          <w:color w:val="000000"/>
          <w:sz w:val="32"/>
          <w:szCs w:val="32"/>
        </w:rPr>
        <w:t>（三）国有资产占有使用情况</w:t>
      </w:r>
      <w:bookmarkEnd w:id="69"/>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查尔玛乡</w:t>
      </w:r>
      <w:r>
        <w:rPr>
          <w:rFonts w:hint="eastAsia" w:ascii="仿宋_GB2312" w:eastAsia="仿宋_GB2312"/>
          <w:color w:val="000000"/>
          <w:sz w:val="32"/>
          <w:szCs w:val="32"/>
        </w:rPr>
        <w:t>共有车辆</w:t>
      </w:r>
      <w:r>
        <w:rPr>
          <w:rFonts w:ascii="仿宋_GB2312" w:eastAsia="仿宋_GB2312"/>
          <w:color w:val="000000"/>
          <w:sz w:val="32"/>
          <w:szCs w:val="32"/>
        </w:rPr>
        <w:t>2</w:t>
      </w:r>
      <w:r>
        <w:rPr>
          <w:rFonts w:hint="eastAsia" w:ascii="仿宋_GB2312" w:eastAsia="仿宋_GB2312"/>
          <w:color w:val="000000"/>
          <w:sz w:val="32"/>
          <w:szCs w:val="32"/>
        </w:rPr>
        <w:t>辆，其中：部级领导干部用车</w:t>
      </w:r>
      <w:r>
        <w:rPr>
          <w:rFonts w:ascii="仿宋_GB2312" w:eastAsia="仿宋_GB2312"/>
          <w:color w:val="000000"/>
          <w:sz w:val="32"/>
          <w:szCs w:val="32"/>
        </w:rPr>
        <w:t>0</w:t>
      </w:r>
      <w:r>
        <w:rPr>
          <w:rFonts w:hint="eastAsia" w:ascii="仿宋_GB2312" w:eastAsia="仿宋_GB2312"/>
          <w:color w:val="000000"/>
          <w:sz w:val="32"/>
          <w:szCs w:val="32"/>
        </w:rPr>
        <w:t>辆、一般公务用车</w:t>
      </w:r>
      <w:r>
        <w:rPr>
          <w:rFonts w:ascii="仿宋_GB2312" w:eastAsia="仿宋_GB2312"/>
          <w:color w:val="000000"/>
          <w:sz w:val="32"/>
          <w:szCs w:val="32"/>
        </w:rPr>
        <w:t>2</w:t>
      </w:r>
      <w:r>
        <w:rPr>
          <w:rFonts w:hint="eastAsia" w:ascii="仿宋_GB2312" w:eastAsia="仿宋_GB2312"/>
          <w:color w:val="000000"/>
          <w:sz w:val="32"/>
          <w:szCs w:val="32"/>
        </w:rPr>
        <w:t>辆、一般执法执勤用车</w:t>
      </w:r>
      <w:r>
        <w:rPr>
          <w:rFonts w:ascii="仿宋_GB2312" w:eastAsia="仿宋_GB2312"/>
          <w:color w:val="000000"/>
          <w:sz w:val="32"/>
          <w:szCs w:val="32"/>
        </w:rPr>
        <w:t>0</w:t>
      </w:r>
      <w:r>
        <w:rPr>
          <w:rFonts w:hint="eastAsia" w:ascii="仿宋_GB2312" w:eastAsia="仿宋_GB2312"/>
          <w:color w:val="000000"/>
          <w:sz w:val="32"/>
          <w:szCs w:val="32"/>
        </w:rPr>
        <w:t>辆、特种专业技术用车</w:t>
      </w:r>
      <w:r>
        <w:rPr>
          <w:rFonts w:ascii="仿宋_GB2312" w:eastAsia="仿宋_GB2312"/>
          <w:color w:val="000000"/>
          <w:sz w:val="32"/>
          <w:szCs w:val="32"/>
        </w:rPr>
        <w:t>0</w:t>
      </w:r>
      <w:r>
        <w:rPr>
          <w:rFonts w:hint="eastAsia" w:ascii="仿宋_GB2312" w:eastAsia="仿宋_GB2312"/>
          <w:color w:val="000000"/>
          <w:sz w:val="32"/>
          <w:szCs w:val="32"/>
        </w:rPr>
        <w:t>辆、其他用车</w:t>
      </w:r>
      <w:r>
        <w:rPr>
          <w:rFonts w:ascii="仿宋_GB2312" w:eastAsia="仿宋_GB2312"/>
          <w:color w:val="000000"/>
          <w:sz w:val="32"/>
          <w:szCs w:val="32"/>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，价值</w:t>
      </w:r>
      <w:r>
        <w:rPr>
          <w:rFonts w:hint="eastAsia" w:ascii="仿宋_GB2312" w:eastAsia="仿宋_GB2312"/>
          <w:color w:val="000000"/>
          <w:sz w:val="32"/>
          <w:szCs w:val="32"/>
          <w:lang w:val="en-US" w:eastAsia="zh-CN"/>
        </w:rPr>
        <w:t>27.26万元</w:t>
      </w:r>
      <w:r>
        <w:rPr>
          <w:rFonts w:hint="eastAsia" w:ascii="仿宋_GB2312" w:eastAsia="仿宋_GB2312"/>
          <w:color w:val="000000"/>
          <w:sz w:val="32"/>
          <w:szCs w:val="32"/>
        </w:rPr>
        <w:t>。</w:t>
      </w:r>
      <w:r>
        <w:rPr>
          <w:rFonts w:hint="eastAsia" w:ascii="仿宋_GB2312" w:eastAsia="仿宋_GB2312"/>
          <w:color w:val="000000"/>
          <w:sz w:val="32"/>
          <w:szCs w:val="32"/>
          <w:lang w:eastAsia="zh-CN"/>
        </w:rPr>
        <w:t>房屋</w:t>
      </w:r>
      <w:r>
        <w:rPr>
          <w:rFonts w:hint="eastAsia" w:ascii="仿宋_GB2312" w:eastAsia="仿宋_GB2312"/>
          <w:color w:val="000000"/>
          <w:sz w:val="32"/>
          <w:szCs w:val="32"/>
          <w:lang w:val="en-US" w:eastAsia="zh-CN"/>
        </w:rPr>
        <w:t>1182平方米，价值100.68万元；其他固定资产1.95万元</w:t>
      </w:r>
      <w:r>
        <w:rPr>
          <w:rFonts w:hint="eastAsia" w:ascii="仿宋_GB2312" w:eastAsia="仿宋_GB2312"/>
          <w:color w:val="000000"/>
          <w:sz w:val="32"/>
          <w:szCs w:val="32"/>
        </w:rPr>
        <w:t>。</w:t>
      </w:r>
    </w:p>
    <w:p>
      <w:pPr>
        <w:keepNext w:val="0"/>
        <w:keepLines w:val="0"/>
        <w:pageBreakBefore w:val="0"/>
        <w:widowControl w:val="0"/>
        <w:kinsoku/>
        <w:wordWrap/>
        <w:overflowPunct/>
        <w:topLinePunct w:val="0"/>
        <w:autoSpaceDE/>
        <w:bidi w:val="0"/>
        <w:snapToGrid/>
        <w:spacing w:line="600" w:lineRule="exact"/>
        <w:ind w:left="0" w:right="0"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（四）预算绩效管理情况。</w:t>
      </w:r>
    </w:p>
    <w:p>
      <w:pPr>
        <w:keepNext w:val="0"/>
        <w:keepLines w:val="0"/>
        <w:pageBreakBefore w:val="0"/>
        <w:widowControl w:val="0"/>
        <w:kinsoku/>
        <w:wordWrap/>
        <w:overflowPunct/>
        <w:topLinePunct w:val="0"/>
        <w:autoSpaceDE/>
        <w:bidi w:val="0"/>
        <w:snapToGrid/>
        <w:spacing w:line="600" w:lineRule="exact"/>
        <w:ind w:left="0" w:right="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根据预算绩效管理要求，本部门在年初预算编制阶段，组织对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个项目开展了绩效目标完成情况梳理填报。</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bCs/>
          <w:kern w:val="2"/>
          <w:sz w:val="32"/>
          <w:szCs w:val="32"/>
          <w:lang w:val="zh-CN" w:eastAsia="zh-CN" w:bidi="ar-SA"/>
        </w:rPr>
        <w:t>，我乡严格按照年初预算进行部门整体支出，预算资金覆盖我乡工作的各个方面，按照保工资、保运转、保民生的保障序列科学编制，分配办法科学，考虑的因素必要合理，分配的结果合理，保障了人员经费及单位正常运转。在支出过程中，能严格遵守各项规章制度，“三公经费”有所下降。所有项目都详细制定了方案，严格按方案组织实施，并加强了监督。尤其是在专项经费支出上，我们能专款专用，严格审批程序，按项目实施计划的进度情况进行资金拨付，无截留、无挪用等现象，保障了资金安全</w:t>
      </w:r>
      <w:r>
        <w:rPr>
          <w:rFonts w:hint="eastAsia" w:ascii="仿宋_GB2312" w:hAnsi="仿宋_GB2312" w:eastAsia="仿宋_GB2312" w:cs="仿宋_GB2312"/>
          <w:sz w:val="32"/>
          <w:szCs w:val="32"/>
        </w:rPr>
        <w:t>。</w:t>
      </w:r>
      <w:r>
        <w:rPr>
          <w:rFonts w:ascii="仿宋_GB2312" w:eastAsia="仿宋_GB2312"/>
          <w:b/>
          <w:color w:val="000000"/>
          <w:sz w:val="32"/>
          <w:szCs w:val="32"/>
        </w:rPr>
        <w:br w:type="page"/>
      </w:r>
    </w:p>
    <w:p>
      <w:pPr>
        <w:numPr>
          <w:ilvl w:val="0"/>
          <w:numId w:val="2"/>
        </w:numPr>
        <w:spacing w:line="600" w:lineRule="exact"/>
        <w:ind w:firstLine="660" w:firstLineChars="150"/>
        <w:jc w:val="center"/>
        <w:outlineLvl w:val="0"/>
        <w:rPr>
          <w:rStyle w:val="27"/>
          <w:rFonts w:ascii="黑体" w:hAnsi="黑体" w:eastAsia="黑体"/>
          <w:b w:val="0"/>
        </w:rPr>
      </w:pPr>
      <w:bookmarkStart w:id="70" w:name="_Toc15396613"/>
      <w:bookmarkStart w:id="71" w:name="_Toc22786"/>
      <w:bookmarkStart w:id="72" w:name="_Toc15377225"/>
      <w:r>
        <w:rPr>
          <w:rFonts w:hint="eastAsia" w:ascii="黑体" w:hAnsi="黑体" w:eastAsia="黑体"/>
          <w:color w:val="000000"/>
          <w:sz w:val="44"/>
          <w:szCs w:val="44"/>
        </w:rPr>
        <w:t>名</w:t>
      </w:r>
      <w:r>
        <w:rPr>
          <w:rStyle w:val="27"/>
          <w:rFonts w:hint="eastAsia" w:ascii="黑体" w:hAnsi="黑体" w:eastAsia="黑体"/>
          <w:b w:val="0"/>
        </w:rPr>
        <w:t>词解释</w:t>
      </w:r>
      <w:bookmarkEnd w:id="70"/>
      <w:bookmarkEnd w:id="71"/>
      <w:bookmarkEnd w:id="72"/>
    </w:p>
    <w:p>
      <w:pPr>
        <w:spacing w:line="600" w:lineRule="exact"/>
        <w:jc w:val="left"/>
        <w:rPr>
          <w:rFonts w:ascii="宋体"/>
          <w:b/>
          <w:color w:val="000000"/>
          <w:sz w:val="44"/>
          <w:szCs w:val="44"/>
        </w:rPr>
      </w:pPr>
    </w:p>
    <w:p>
      <w:pPr>
        <w:pStyle w:val="2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项目收入</w:t>
      </w:r>
      <w:r>
        <w:rPr>
          <w:rFonts w:hint="eastAsia" w:ascii="仿宋_GB2312" w:eastAsia="仿宋_GB2312"/>
          <w:sz w:val="32"/>
          <w:szCs w:val="32"/>
        </w:rPr>
        <w:t>等。</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5"/>
        <w:spacing w:line="560" w:lineRule="exact"/>
        <w:ind w:firstLine="640" w:firstLineChars="200"/>
        <w:rPr>
          <w:rFonts w:hint="eastAsia"/>
          <w:lang w:eastAsia="zh-CN"/>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一般公共服务（类）201（款）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（项）01：行政运行指反映行政单位（包括实行公务员管理的事业单位）的基本支出反映行政单位（包括实行公务员管理的事业单位）的基本支出。</w:t>
      </w:r>
    </w:p>
    <w:p>
      <w:pPr>
        <w:pStyle w:val="2"/>
        <w:ind w:left="0" w:leftChars="0"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一般公共服务（类）201（款）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01</w:t>
      </w:r>
      <w:r>
        <w:rPr>
          <w:rFonts w:hint="eastAsia" w:ascii="仿宋_GB2312" w:eastAsia="仿宋_GB2312"/>
          <w:b w:val="0"/>
          <w:bCs w:val="0"/>
          <w:color w:val="000000"/>
          <w:sz w:val="32"/>
          <w:szCs w:val="32"/>
        </w:rPr>
        <w:t>：</w:t>
      </w:r>
      <w:r>
        <w:rPr>
          <w:rFonts w:hint="eastAsia" w:ascii="仿宋_GB2312" w:eastAsia="仿宋_GB2312"/>
          <w:color w:val="000000"/>
          <w:sz w:val="32"/>
          <w:szCs w:val="32"/>
        </w:rPr>
        <w:t>行政运行指反映行政单位（包括实行公务员管理的事业单位）的基本支出</w:t>
      </w:r>
      <w:r>
        <w:rPr>
          <w:rFonts w:hint="eastAsia" w:ascii="仿宋_GB2312" w:eastAsia="仿宋_GB2312"/>
          <w:color w:val="000000"/>
          <w:sz w:val="32"/>
          <w:szCs w:val="32"/>
          <w:lang w:eastAsia="zh-CN"/>
        </w:rPr>
        <w:t>。</w:t>
      </w:r>
    </w:p>
    <w:p>
      <w:pPr>
        <w:pStyle w:val="2"/>
        <w:ind w:left="0" w:leftChars="0" w:firstLine="640" w:firstLineChars="200"/>
        <w:rPr>
          <w:rFonts w:hint="eastAsia" w:ascii="仿宋_GB2312" w:eastAsia="仿宋_GB2312"/>
          <w:b w:val="0"/>
          <w:bCs w:val="0"/>
          <w:color w:val="000000"/>
          <w:sz w:val="32"/>
          <w:szCs w:val="32"/>
          <w:lang w:eastAsia="zh-CN"/>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一般公共服务（类）201（款）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02</w:t>
      </w:r>
      <w:r>
        <w:rPr>
          <w:rFonts w:hint="eastAsia" w:ascii="仿宋_GB2312" w:eastAsia="仿宋_GB2312"/>
          <w:b w:val="0"/>
          <w:bCs w:val="0"/>
          <w:color w:val="000000"/>
          <w:sz w:val="32"/>
          <w:szCs w:val="32"/>
        </w:rPr>
        <w:t>： 一般行政管理事务</w:t>
      </w:r>
      <w:r>
        <w:rPr>
          <w:rFonts w:hint="eastAsia" w:ascii="仿宋_GB2312" w:eastAsia="仿宋_GB2312"/>
          <w:b w:val="0"/>
          <w:bCs w:val="0"/>
          <w:color w:val="000000"/>
          <w:sz w:val="32"/>
          <w:szCs w:val="32"/>
          <w:lang w:eastAsia="zh-CN"/>
        </w:rPr>
        <w:t>指作为行政机关的政府为了有地管理社会公共事务面而维持自身组织活动所从事的所有管理实务的支出</w:t>
      </w:r>
    </w:p>
    <w:p>
      <w:pPr>
        <w:pStyle w:val="2"/>
        <w:ind w:left="0" w:leftChars="0" w:firstLine="640" w:firstLineChars="200"/>
        <w:rPr>
          <w:rFonts w:hint="eastAsia" w:ascii="仿宋_GB2312" w:eastAsia="仿宋_GB2312"/>
          <w:b w:val="0"/>
          <w:bCs w:val="0"/>
          <w:color w:val="000000"/>
          <w:sz w:val="32"/>
          <w:szCs w:val="32"/>
          <w:lang w:eastAsia="zh-CN"/>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rPr>
        <w:t>一般公共服务（类）201（款）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50</w:t>
      </w:r>
      <w:r>
        <w:rPr>
          <w:rFonts w:hint="eastAsia" w:ascii="仿宋_GB2312" w:eastAsia="仿宋_GB2312"/>
          <w:b w:val="0"/>
          <w:bCs w:val="0"/>
          <w:color w:val="000000"/>
          <w:sz w:val="32"/>
          <w:szCs w:val="32"/>
        </w:rPr>
        <w:t>：事业运行</w:t>
      </w:r>
      <w:r>
        <w:rPr>
          <w:rFonts w:hint="eastAsia" w:ascii="仿宋_GB2312" w:eastAsia="仿宋_GB2312"/>
          <w:b w:val="0"/>
          <w:bCs w:val="0"/>
          <w:color w:val="000000"/>
          <w:sz w:val="32"/>
          <w:szCs w:val="32"/>
          <w:lang w:eastAsia="zh-CN"/>
        </w:rPr>
        <w:t>指</w:t>
      </w:r>
      <w:r>
        <w:rPr>
          <w:rFonts w:hint="eastAsia" w:ascii="仿宋_GB2312" w:eastAsia="仿宋_GB2312"/>
          <w:color w:val="000000"/>
          <w:sz w:val="32"/>
          <w:szCs w:val="32"/>
        </w:rPr>
        <w:t>反映</w:t>
      </w:r>
      <w:r>
        <w:rPr>
          <w:rFonts w:hint="eastAsia" w:ascii="仿宋_GB2312" w:eastAsia="仿宋_GB2312"/>
          <w:color w:val="000000"/>
          <w:sz w:val="32"/>
          <w:szCs w:val="32"/>
          <w:lang w:eastAsia="zh-CN"/>
        </w:rPr>
        <w:t>事业</w:t>
      </w:r>
      <w:r>
        <w:rPr>
          <w:rFonts w:hint="eastAsia" w:ascii="仿宋_GB2312" w:eastAsia="仿宋_GB2312"/>
          <w:color w:val="000000"/>
          <w:sz w:val="32"/>
          <w:szCs w:val="32"/>
        </w:rPr>
        <w:t>单位的基本支出</w:t>
      </w:r>
      <w:r>
        <w:rPr>
          <w:rFonts w:hint="eastAsia" w:ascii="仿宋_GB2312" w:eastAsia="仿宋_GB2312"/>
          <w:color w:val="000000"/>
          <w:sz w:val="32"/>
          <w:szCs w:val="32"/>
          <w:lang w:eastAsia="zh-CN"/>
        </w:rPr>
        <w:t>。</w:t>
      </w:r>
    </w:p>
    <w:p>
      <w:pPr>
        <w:pStyle w:val="2"/>
        <w:ind w:left="0" w:leftChars="0" w:firstLine="640" w:firstLineChars="200"/>
        <w:rPr>
          <w:rFonts w:hint="eastAsia" w:ascii="仿宋_GB2312" w:eastAsia="仿宋_GB2312"/>
          <w:b w:val="0"/>
          <w:bCs w:val="0"/>
          <w:color w:val="000000"/>
          <w:sz w:val="32"/>
          <w:szCs w:val="32"/>
          <w:lang w:eastAsia="zh-CN"/>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一般公共服务（类）201（款）</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01</w:t>
      </w:r>
      <w:r>
        <w:rPr>
          <w:rFonts w:hint="eastAsia" w:ascii="仿宋_GB2312" w:eastAsia="仿宋_GB2312"/>
          <w:b w:val="0"/>
          <w:bCs w:val="0"/>
          <w:color w:val="000000"/>
          <w:sz w:val="32"/>
          <w:szCs w:val="32"/>
        </w:rPr>
        <w:t>：行政运行</w:t>
      </w:r>
      <w:r>
        <w:rPr>
          <w:rFonts w:hint="eastAsia" w:ascii="仿宋_GB2312" w:eastAsia="仿宋_GB2312"/>
          <w:b w:val="0"/>
          <w:bCs w:val="0"/>
          <w:color w:val="000000"/>
          <w:sz w:val="32"/>
          <w:szCs w:val="32"/>
          <w:lang w:eastAsia="zh-CN"/>
        </w:rPr>
        <w:t>指</w:t>
      </w:r>
      <w:r>
        <w:rPr>
          <w:rFonts w:hint="eastAsia" w:ascii="仿宋_GB2312" w:eastAsia="仿宋_GB2312"/>
          <w:color w:val="000000"/>
          <w:sz w:val="32"/>
          <w:szCs w:val="32"/>
        </w:rPr>
        <w:t>行政运行指反映行政单位（包括实行公务员管理的事业单位）的基本支出</w:t>
      </w:r>
      <w:r>
        <w:rPr>
          <w:rFonts w:hint="eastAsia" w:ascii="仿宋_GB2312" w:eastAsia="仿宋_GB2312"/>
          <w:color w:val="000000"/>
          <w:sz w:val="32"/>
          <w:szCs w:val="32"/>
          <w:lang w:eastAsia="zh-CN"/>
        </w:rPr>
        <w:t>。</w:t>
      </w:r>
    </w:p>
    <w:p>
      <w:pPr>
        <w:pStyle w:val="2"/>
        <w:ind w:left="0" w:leftChars="0" w:firstLine="640" w:firstLineChars="200"/>
        <w:rPr>
          <w:rFonts w:hint="eastAsia" w:ascii="仿宋_GB2312" w:eastAsia="仿宋_GB2312"/>
          <w:b w:val="0"/>
          <w:bCs w:val="0"/>
          <w:color w:val="000000"/>
          <w:sz w:val="32"/>
          <w:szCs w:val="32"/>
          <w:lang w:eastAsia="zh-CN"/>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一般公共服务（类）201（款）</w:t>
      </w:r>
      <w:r>
        <w:rPr>
          <w:rFonts w:hint="eastAsia" w:ascii="仿宋_GB2312" w:eastAsia="仿宋_GB2312"/>
          <w:color w:val="000000"/>
          <w:sz w:val="32"/>
          <w:szCs w:val="32"/>
          <w:lang w:val="en-US" w:eastAsia="zh-CN"/>
        </w:rPr>
        <w:t>29</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99</w:t>
      </w:r>
      <w:r>
        <w:rPr>
          <w:rFonts w:hint="eastAsia" w:ascii="仿宋_GB2312" w:eastAsia="仿宋_GB2312"/>
          <w:b w:val="0"/>
          <w:bCs w:val="0"/>
          <w:color w:val="000000"/>
          <w:sz w:val="32"/>
          <w:szCs w:val="32"/>
        </w:rPr>
        <w:t>：</w:t>
      </w:r>
      <w:r>
        <w:rPr>
          <w:rFonts w:hint="eastAsia" w:ascii="仿宋_GB2312" w:eastAsia="仿宋_GB2312"/>
          <w:b w:val="0"/>
          <w:bCs w:val="0"/>
          <w:color w:val="000000"/>
          <w:sz w:val="32"/>
          <w:szCs w:val="32"/>
          <w:lang w:eastAsia="zh-CN"/>
        </w:rPr>
        <w:t>其他</w:t>
      </w:r>
      <w:r>
        <w:rPr>
          <w:rFonts w:hint="eastAsia" w:ascii="仿宋_GB2312" w:eastAsia="仿宋_GB2312"/>
          <w:b w:val="0"/>
          <w:bCs w:val="0"/>
          <w:color w:val="000000"/>
          <w:sz w:val="32"/>
          <w:szCs w:val="32"/>
        </w:rPr>
        <w:t>群众团体事务</w:t>
      </w:r>
      <w:r>
        <w:rPr>
          <w:rFonts w:hint="eastAsia" w:ascii="仿宋_GB2312" w:eastAsia="仿宋_GB2312"/>
          <w:b w:val="0"/>
          <w:bCs w:val="0"/>
          <w:color w:val="000000"/>
          <w:sz w:val="32"/>
          <w:szCs w:val="32"/>
          <w:lang w:eastAsia="zh-CN"/>
        </w:rPr>
        <w:t>指用于其他群众团体事务方面的支出，包括保障机构正常运转、完成日常和特定的工作任务或事业发展目标的支出。</w:t>
      </w:r>
    </w:p>
    <w:p>
      <w:pPr>
        <w:pStyle w:val="2"/>
        <w:ind w:left="0" w:leftChars="0" w:firstLine="640" w:firstLineChars="200"/>
        <w:jc w:val="left"/>
        <w:rPr>
          <w:rFonts w:hint="eastAsia" w:ascii="仿宋_GB2312" w:eastAsia="仿宋_GB2312"/>
          <w:b w:val="0"/>
          <w:bCs w:val="0"/>
          <w:color w:val="000000"/>
          <w:sz w:val="32"/>
          <w:szCs w:val="32"/>
          <w:lang w:eastAsia="zh-CN"/>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一般公共服务（类）201（款）</w:t>
      </w:r>
      <w:r>
        <w:rPr>
          <w:rFonts w:hint="eastAsia" w:ascii="仿宋_GB2312" w:eastAsia="仿宋_GB2312"/>
          <w:color w:val="000000"/>
          <w:sz w:val="32"/>
          <w:szCs w:val="32"/>
          <w:lang w:val="en-US" w:eastAsia="zh-CN"/>
        </w:rPr>
        <w:t>31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01：</w:t>
      </w:r>
      <w:r>
        <w:rPr>
          <w:rFonts w:hint="eastAsia" w:ascii="仿宋_GB2312" w:eastAsia="仿宋_GB2312"/>
          <w:b w:val="0"/>
          <w:bCs w:val="0"/>
          <w:color w:val="000000"/>
          <w:sz w:val="32"/>
          <w:szCs w:val="32"/>
        </w:rPr>
        <w:t xml:space="preserve"> 行政运行</w:t>
      </w:r>
      <w:r>
        <w:rPr>
          <w:rFonts w:hint="eastAsia" w:ascii="仿宋_GB2312" w:eastAsia="仿宋_GB2312"/>
          <w:b w:val="0"/>
          <w:bCs w:val="0"/>
          <w:color w:val="000000"/>
          <w:sz w:val="32"/>
          <w:szCs w:val="32"/>
          <w:lang w:eastAsia="zh-CN"/>
        </w:rPr>
        <w:t>指</w:t>
      </w:r>
      <w:r>
        <w:rPr>
          <w:rFonts w:hint="eastAsia" w:ascii="仿宋_GB2312" w:eastAsia="仿宋_GB2312"/>
          <w:color w:val="000000"/>
          <w:sz w:val="32"/>
          <w:szCs w:val="32"/>
        </w:rPr>
        <w:t>行政运行指反映行政单位（包括实行公务员管理的事业单位）的基本支出</w:t>
      </w:r>
      <w:r>
        <w:rPr>
          <w:rFonts w:hint="eastAsia" w:ascii="仿宋_GB2312" w:eastAsia="仿宋_GB2312"/>
          <w:color w:val="000000"/>
          <w:sz w:val="32"/>
          <w:szCs w:val="32"/>
          <w:lang w:eastAsia="zh-CN"/>
        </w:rPr>
        <w:t>。</w:t>
      </w:r>
    </w:p>
    <w:p>
      <w:pPr>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1</w:t>
      </w:r>
      <w:r>
        <w:rPr>
          <w:rFonts w:hint="eastAsia" w:ascii="仿宋_GB2312" w:eastAsia="仿宋_GB2312"/>
          <w:color w:val="000000"/>
          <w:sz w:val="32"/>
          <w:szCs w:val="32"/>
          <w:lang w:val="en-US" w:eastAsia="zh-CN"/>
        </w:rPr>
        <w:t>6</w:t>
      </w:r>
      <w:r>
        <w:rPr>
          <w:rFonts w:ascii="仿宋_GB2312" w:eastAsia="仿宋_GB2312"/>
          <w:color w:val="000000"/>
          <w:sz w:val="32"/>
          <w:szCs w:val="32"/>
        </w:rPr>
        <w:t>.</w:t>
      </w:r>
      <w:r>
        <w:rPr>
          <w:rFonts w:hint="eastAsia" w:ascii="仿宋_GB2312" w:eastAsia="仿宋_GB2312"/>
          <w:color w:val="000000"/>
          <w:sz w:val="32"/>
          <w:szCs w:val="32"/>
        </w:rPr>
        <w:t>文化体育与传媒（类）</w:t>
      </w:r>
      <w:r>
        <w:rPr>
          <w:rFonts w:hint="eastAsia" w:ascii="仿宋_GB2312" w:eastAsia="仿宋_GB2312"/>
          <w:color w:val="000000"/>
          <w:sz w:val="32"/>
          <w:szCs w:val="32"/>
          <w:lang w:val="en-US" w:eastAsia="zh-CN"/>
        </w:rPr>
        <w:t>207</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lang w:eastAsia="zh-CN"/>
        </w:rPr>
        <w:t>：其他文化和旅游支出指用于组织职进行文化活动、体育活动的其他支出</w:t>
      </w:r>
      <w:r>
        <w:rPr>
          <w:rFonts w:hint="eastAsia" w:ascii="仿宋_GB2312" w:eastAsia="仿宋_GB2312"/>
          <w:color w:val="000000"/>
          <w:sz w:val="32"/>
          <w:szCs w:val="32"/>
        </w:rPr>
        <w:t>。</w:t>
      </w:r>
    </w:p>
    <w:p>
      <w:pPr>
        <w:pStyle w:val="2"/>
        <w:ind w:left="0" w:leftChars="0"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1</w:t>
      </w: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rPr>
        <w:t>文化体育与传媒（类）</w:t>
      </w:r>
      <w:r>
        <w:rPr>
          <w:rFonts w:hint="eastAsia" w:ascii="仿宋_GB2312" w:eastAsia="仿宋_GB2312"/>
          <w:color w:val="000000"/>
          <w:sz w:val="32"/>
          <w:szCs w:val="32"/>
          <w:lang w:val="en-US" w:eastAsia="zh-CN"/>
        </w:rPr>
        <w:t>207</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lang w:eastAsia="zh-CN"/>
        </w:rPr>
        <w:t>：其他文化体育与传媒支出指用于组织职进行文化活动、体育活动、宣传等的其他支出</w:t>
      </w:r>
      <w:r>
        <w:rPr>
          <w:rFonts w:hint="eastAsia" w:ascii="仿宋_GB2312" w:eastAsia="仿宋_GB2312"/>
          <w:color w:val="000000"/>
          <w:sz w:val="32"/>
          <w:szCs w:val="32"/>
        </w:rPr>
        <w:t>。</w:t>
      </w:r>
    </w:p>
    <w:p>
      <w:pPr>
        <w:pStyle w:val="2"/>
        <w:ind w:left="0" w:leftChars="0"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1</w:t>
      </w: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olor w:val="000000"/>
          <w:sz w:val="32"/>
          <w:szCs w:val="32"/>
        </w:rPr>
        <w:t>社会保障和就业（类）</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08</w:t>
      </w:r>
      <w:r>
        <w:rPr>
          <w:rFonts w:hint="eastAsia" w:ascii="仿宋_GB2312" w:eastAsia="仿宋_GB2312"/>
          <w:color w:val="000000"/>
          <w:sz w:val="32"/>
          <w:szCs w:val="32"/>
        </w:rPr>
        <w:t>：基层政权和社区建设</w:t>
      </w:r>
      <w:r>
        <w:rPr>
          <w:rFonts w:hint="eastAsia" w:ascii="仿宋_GB2312" w:eastAsia="仿宋_GB2312"/>
          <w:color w:val="000000"/>
          <w:sz w:val="32"/>
          <w:szCs w:val="32"/>
          <w:lang w:eastAsia="zh-CN"/>
        </w:rPr>
        <w:t>指完善居民自治，推进基层社会民主；加强社会管理等方面的支出。</w:t>
      </w:r>
    </w:p>
    <w:p>
      <w:pPr>
        <w:ind w:firstLine="640" w:firstLineChars="200"/>
        <w:rPr>
          <w:rFonts w:hint="eastAsia"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社会保障和就业（类）</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：机关事业单位基本养老保险缴费支出指反映机关事业单位实施养老保险制度的单位缴纳的基本养老保险费支出。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20</w:t>
      </w:r>
      <w:r>
        <w:rPr>
          <w:rFonts w:ascii="仿宋_GB2312" w:eastAsia="仿宋_GB2312"/>
          <w:color w:val="000000"/>
          <w:sz w:val="32"/>
          <w:szCs w:val="32"/>
        </w:rPr>
        <w:t>.</w:t>
      </w:r>
      <w:r>
        <w:rPr>
          <w:rFonts w:hint="eastAsia" w:ascii="仿宋_GB2312" w:eastAsia="仿宋_GB2312"/>
          <w:color w:val="000000"/>
          <w:sz w:val="32"/>
          <w:szCs w:val="32"/>
        </w:rPr>
        <w:t>社会保障和就业（类）</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：机关事业单位职业年金缴费支出指反映机关事业单位实施养老保险制度匝单位缴纳的职业年金支出。</w:t>
      </w:r>
    </w:p>
    <w:p>
      <w:pPr>
        <w:pStyle w:val="2"/>
        <w:ind w:left="0" w:leftChars="0"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21</w:t>
      </w:r>
      <w:r>
        <w:rPr>
          <w:rFonts w:ascii="仿宋_GB2312" w:eastAsia="仿宋_GB2312"/>
          <w:color w:val="000000"/>
          <w:sz w:val="32"/>
          <w:szCs w:val="32"/>
        </w:rPr>
        <w:t>.</w:t>
      </w:r>
      <w:r>
        <w:rPr>
          <w:rFonts w:hint="eastAsia" w:ascii="仿宋_GB2312" w:eastAsia="仿宋_GB2312"/>
          <w:color w:val="000000"/>
          <w:sz w:val="32"/>
          <w:szCs w:val="32"/>
        </w:rPr>
        <w:t>社会保障和就业（类）</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02：农村特困人员救助供养支出指农村无劳动力、无生活来源、无法定赡养等的特困人员供养支出。</w:t>
      </w:r>
    </w:p>
    <w:p>
      <w:pPr>
        <w:pStyle w:val="2"/>
        <w:ind w:left="0" w:leftChars="0"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22</w:t>
      </w:r>
      <w:r>
        <w:rPr>
          <w:rFonts w:ascii="仿宋_GB2312" w:eastAsia="仿宋_GB2312"/>
          <w:color w:val="000000"/>
          <w:sz w:val="32"/>
          <w:szCs w:val="32"/>
        </w:rPr>
        <w:t>.</w:t>
      </w:r>
      <w:r>
        <w:rPr>
          <w:rFonts w:hint="eastAsia" w:ascii="仿宋_GB2312" w:eastAsia="仿宋_GB2312"/>
          <w:color w:val="000000"/>
          <w:sz w:val="32"/>
          <w:szCs w:val="32"/>
        </w:rPr>
        <w:t>医疗卫生与计划生育（类）</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09</w:t>
      </w:r>
      <w:r>
        <w:rPr>
          <w:rFonts w:hint="eastAsia" w:ascii="仿宋_GB2312" w:eastAsia="仿宋_GB2312"/>
          <w:color w:val="000000"/>
          <w:sz w:val="32"/>
          <w:szCs w:val="32"/>
        </w:rPr>
        <w:t>： 重大公共卫生专项</w:t>
      </w:r>
      <w:r>
        <w:rPr>
          <w:rFonts w:hint="eastAsia" w:ascii="仿宋_GB2312" w:eastAsia="仿宋_GB2312"/>
          <w:color w:val="000000"/>
          <w:sz w:val="32"/>
          <w:szCs w:val="32"/>
          <w:lang w:eastAsia="zh-CN"/>
        </w:rPr>
        <w:t>指面城乡居民患有重大疾病的专项服务政策方面的支出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23</w:t>
      </w:r>
      <w:r>
        <w:rPr>
          <w:rFonts w:ascii="仿宋_GB2312" w:eastAsia="仿宋_GB2312"/>
          <w:color w:val="000000"/>
          <w:sz w:val="32"/>
          <w:szCs w:val="32"/>
        </w:rPr>
        <w:t>.</w:t>
      </w:r>
      <w:r>
        <w:rPr>
          <w:rFonts w:hint="eastAsia" w:ascii="仿宋_GB2312" w:eastAsia="仿宋_GB2312"/>
          <w:color w:val="000000"/>
          <w:sz w:val="32"/>
          <w:szCs w:val="32"/>
        </w:rPr>
        <w:t>医疗卫生与计划生育（类）</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：行政单位医疗指反映财政部门集中安排的公务员医疗补助经费。</w:t>
      </w:r>
    </w:p>
    <w:p>
      <w:pPr>
        <w:pStyle w:val="2"/>
        <w:ind w:left="0" w:leftChars="0"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24</w:t>
      </w:r>
      <w:r>
        <w:rPr>
          <w:rFonts w:ascii="仿宋_GB2312" w:eastAsia="仿宋_GB2312"/>
          <w:color w:val="000000"/>
          <w:sz w:val="32"/>
          <w:szCs w:val="32"/>
        </w:rPr>
        <w:t>.</w:t>
      </w:r>
      <w:r>
        <w:rPr>
          <w:rFonts w:hint="eastAsia" w:ascii="仿宋_GB2312" w:eastAsia="仿宋_GB2312"/>
          <w:color w:val="000000"/>
          <w:sz w:val="32"/>
          <w:szCs w:val="32"/>
        </w:rPr>
        <w:t>医疗卫生与计划生育（类）</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w:t>
      </w:r>
      <w:r>
        <w:rPr>
          <w:rFonts w:hint="eastAsia" w:ascii="仿宋_GB2312" w:eastAsia="仿宋_GB2312"/>
          <w:color w:val="000000"/>
          <w:sz w:val="32"/>
          <w:szCs w:val="32"/>
          <w:lang w:eastAsia="zh-CN"/>
        </w:rPr>
        <w:t>公务员医疗补助</w:t>
      </w:r>
      <w:r>
        <w:rPr>
          <w:rFonts w:hint="eastAsia" w:ascii="仿宋_GB2312" w:eastAsia="仿宋_GB2312"/>
          <w:color w:val="000000"/>
          <w:sz w:val="32"/>
          <w:szCs w:val="32"/>
        </w:rPr>
        <w:t>指反映除为行政单位（包括实行公务员管理的事业单位）提供后勤服务的各类后勤服务中心、医务室等附属事业单位外的其他事业单位基本支出</w:t>
      </w:r>
      <w:r>
        <w:rPr>
          <w:rFonts w:hint="eastAsia" w:ascii="仿宋_GB2312" w:eastAsia="仿宋_GB2312"/>
          <w:color w:val="000000"/>
          <w:sz w:val="32"/>
          <w:szCs w:val="32"/>
          <w:lang w:eastAsia="zh-CN"/>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25</w:t>
      </w:r>
      <w:r>
        <w:rPr>
          <w:rFonts w:ascii="仿宋_GB2312" w:eastAsia="仿宋_GB2312"/>
          <w:color w:val="000000"/>
          <w:sz w:val="32"/>
          <w:szCs w:val="32"/>
        </w:rPr>
        <w:t>.</w:t>
      </w:r>
      <w:r>
        <w:rPr>
          <w:rFonts w:hint="eastAsia" w:ascii="仿宋_GB2312" w:eastAsia="仿宋_GB2312"/>
          <w:color w:val="000000"/>
          <w:sz w:val="32"/>
          <w:szCs w:val="32"/>
        </w:rPr>
        <w:t>农林水（类）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w:t>
      </w:r>
      <w:r>
        <w:rPr>
          <w:rFonts w:hint="eastAsia" w:ascii="仿宋_GB2312" w:eastAsia="仿宋_GB2312"/>
          <w:color w:val="000000"/>
          <w:sz w:val="32"/>
          <w:szCs w:val="32"/>
          <w:lang w:eastAsia="zh-CN"/>
        </w:rPr>
        <w:t>其他农业支出</w:t>
      </w:r>
      <w:r>
        <w:rPr>
          <w:rFonts w:hint="eastAsia" w:ascii="仿宋_GB2312" w:eastAsia="仿宋_GB2312"/>
          <w:color w:val="000000"/>
          <w:sz w:val="32"/>
          <w:szCs w:val="32"/>
        </w:rPr>
        <w:t>指反映用于农村公路、乡村道路建设方面</w:t>
      </w:r>
      <w:r>
        <w:rPr>
          <w:rFonts w:hint="eastAsia" w:ascii="仿宋_GB2312" w:eastAsia="仿宋_GB2312"/>
          <w:color w:val="000000"/>
          <w:sz w:val="32"/>
          <w:szCs w:val="32"/>
          <w:lang w:eastAsia="zh-CN"/>
        </w:rPr>
        <w:t>其他</w:t>
      </w:r>
      <w:r>
        <w:rPr>
          <w:rFonts w:hint="eastAsia" w:ascii="仿宋_GB2312" w:eastAsia="仿宋_GB2312"/>
          <w:color w:val="000000"/>
          <w:sz w:val="32"/>
          <w:szCs w:val="32"/>
        </w:rPr>
        <w:t>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26</w:t>
      </w:r>
      <w:r>
        <w:rPr>
          <w:rFonts w:ascii="仿宋_GB2312" w:eastAsia="仿宋_GB2312"/>
          <w:color w:val="000000"/>
          <w:sz w:val="32"/>
          <w:szCs w:val="32"/>
        </w:rPr>
        <w:t>.</w:t>
      </w:r>
      <w:r>
        <w:rPr>
          <w:rFonts w:hint="eastAsia" w:ascii="仿宋_GB2312" w:eastAsia="仿宋_GB2312"/>
          <w:color w:val="000000"/>
          <w:sz w:val="32"/>
          <w:szCs w:val="32"/>
        </w:rPr>
        <w:t>农林水（类）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w:t>
      </w:r>
      <w:r>
        <w:rPr>
          <w:rFonts w:hint="eastAsia" w:ascii="仿宋_GB2312" w:eastAsia="仿宋_GB2312"/>
          <w:color w:val="000000"/>
          <w:sz w:val="32"/>
          <w:szCs w:val="32"/>
          <w:lang w:eastAsia="zh-CN"/>
        </w:rPr>
        <w:t>农村基础设施建设指用于扶贫的农村基础设施建设的支出。</w:t>
      </w:r>
    </w:p>
    <w:p>
      <w:pPr>
        <w:pStyle w:val="2"/>
        <w:ind w:left="0" w:leftChars="0"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27</w:t>
      </w:r>
      <w:r>
        <w:rPr>
          <w:rFonts w:ascii="仿宋_GB2312" w:eastAsia="仿宋_GB2312"/>
          <w:color w:val="000000"/>
          <w:sz w:val="32"/>
          <w:szCs w:val="32"/>
        </w:rPr>
        <w:t>.</w:t>
      </w:r>
      <w:r>
        <w:rPr>
          <w:rFonts w:hint="eastAsia" w:ascii="仿宋_GB2312" w:eastAsia="仿宋_GB2312"/>
          <w:color w:val="000000"/>
          <w:sz w:val="32"/>
          <w:szCs w:val="32"/>
        </w:rPr>
        <w:t>农林水（类）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w:t>
      </w:r>
      <w:r>
        <w:rPr>
          <w:rFonts w:hint="eastAsia" w:ascii="仿宋_GB2312" w:eastAsia="仿宋_GB2312"/>
          <w:color w:val="000000"/>
          <w:sz w:val="32"/>
          <w:szCs w:val="32"/>
          <w:lang w:eastAsia="zh-CN"/>
        </w:rPr>
        <w:t>其他扶贫支出指用于农业扶贫方面其他方面的扶民。</w:t>
      </w:r>
      <w:r>
        <w:rPr>
          <w:rFonts w:hint="eastAsia" w:ascii="仿宋_GB2312" w:eastAsia="仿宋_GB2312"/>
          <w:color w:val="000000"/>
          <w:sz w:val="32"/>
          <w:szCs w:val="32"/>
          <w:lang w:val="en-US" w:eastAsia="zh-CN"/>
        </w:rPr>
        <w:tab/>
      </w:r>
    </w:p>
    <w:p>
      <w:pPr>
        <w:ind w:firstLine="640" w:firstLineChars="200"/>
        <w:rPr>
          <w:rFonts w:hint="eastAsia" w:eastAsia="仿宋_GB2312"/>
          <w:lang w:eastAsia="zh-CN"/>
        </w:rPr>
      </w:pPr>
      <w:r>
        <w:rPr>
          <w:rFonts w:hint="eastAsia" w:ascii="仿宋_GB2312" w:eastAsia="仿宋_GB2312"/>
          <w:color w:val="000000"/>
          <w:sz w:val="32"/>
          <w:szCs w:val="32"/>
          <w:lang w:val="en-US" w:eastAsia="zh-CN"/>
        </w:rPr>
        <w:t>28</w:t>
      </w:r>
      <w:r>
        <w:rPr>
          <w:rFonts w:ascii="仿宋_GB2312" w:eastAsia="仿宋_GB2312"/>
          <w:color w:val="000000"/>
          <w:sz w:val="32"/>
          <w:szCs w:val="32"/>
        </w:rPr>
        <w:t>.</w:t>
      </w:r>
      <w:r>
        <w:rPr>
          <w:rFonts w:hint="eastAsia" w:ascii="仿宋_GB2312" w:eastAsia="仿宋_GB2312"/>
          <w:color w:val="000000"/>
          <w:sz w:val="32"/>
          <w:szCs w:val="32"/>
        </w:rPr>
        <w:t>农林水（类）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07</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：对村民委员会和村党支部的补助</w:t>
      </w:r>
      <w:r>
        <w:rPr>
          <w:rFonts w:hint="eastAsia" w:ascii="仿宋_GB2312" w:eastAsia="仿宋_GB2312"/>
          <w:color w:val="000000"/>
          <w:sz w:val="32"/>
          <w:szCs w:val="32"/>
          <w:lang w:eastAsia="zh-CN"/>
        </w:rPr>
        <w:t>指各级财政对村民委员会和村党支部的补助，以及支持机构运转保障基本机制的支出。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29</w:t>
      </w:r>
      <w:r>
        <w:rPr>
          <w:rFonts w:ascii="仿宋_GB2312" w:eastAsia="仿宋_GB2312"/>
          <w:color w:val="000000"/>
          <w:sz w:val="32"/>
          <w:szCs w:val="32"/>
        </w:rPr>
        <w:t>.</w:t>
      </w:r>
      <w:r>
        <w:rPr>
          <w:rFonts w:hint="eastAsia" w:ascii="仿宋_GB2312" w:eastAsia="仿宋_GB2312"/>
          <w:color w:val="000000"/>
          <w:sz w:val="32"/>
          <w:szCs w:val="32"/>
        </w:rPr>
        <w:t>住房保障（类）</w:t>
      </w:r>
      <w:r>
        <w:rPr>
          <w:rFonts w:hint="eastAsia" w:ascii="仿宋_GB2312" w:eastAsia="仿宋_GB2312"/>
          <w:color w:val="000000"/>
          <w:sz w:val="32"/>
          <w:szCs w:val="32"/>
          <w:lang w:val="en-US" w:eastAsia="zh-CN"/>
        </w:rPr>
        <w:t>221</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：农村危房改造指</w:t>
      </w:r>
      <w:r>
        <w:rPr>
          <w:rFonts w:hint="eastAsia" w:ascii="仿宋_GB2312" w:eastAsia="仿宋_GB2312"/>
          <w:color w:val="000000"/>
          <w:sz w:val="32"/>
          <w:szCs w:val="32"/>
          <w:lang w:eastAsia="zh-CN"/>
        </w:rPr>
        <w:t>各级财政对农村存在的危房进行改造的支出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30</w:t>
      </w:r>
      <w:r>
        <w:rPr>
          <w:rFonts w:ascii="仿宋_GB2312" w:eastAsia="仿宋_GB2312"/>
          <w:color w:val="000000"/>
          <w:sz w:val="32"/>
          <w:szCs w:val="32"/>
        </w:rPr>
        <w:t>.</w:t>
      </w:r>
      <w:r>
        <w:rPr>
          <w:rFonts w:hint="eastAsia" w:ascii="仿宋_GB2312" w:eastAsia="仿宋_GB2312"/>
          <w:color w:val="000000"/>
          <w:sz w:val="32"/>
          <w:szCs w:val="32"/>
        </w:rPr>
        <w:t>住房保障（类）</w:t>
      </w:r>
      <w:r>
        <w:rPr>
          <w:rFonts w:hint="eastAsia" w:ascii="仿宋_GB2312" w:eastAsia="仿宋_GB2312"/>
          <w:color w:val="000000"/>
          <w:sz w:val="32"/>
          <w:szCs w:val="32"/>
          <w:lang w:val="en-US" w:eastAsia="zh-CN"/>
        </w:rPr>
        <w:t>221</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：住房公积金指</w:t>
      </w:r>
      <w:r>
        <w:rPr>
          <w:rFonts w:hint="eastAsia" w:ascii="仿宋_GB2312" w:eastAsia="仿宋_GB2312"/>
          <w:color w:val="000000"/>
          <w:sz w:val="32"/>
          <w:szCs w:val="32"/>
          <w:lang w:eastAsia="zh-CN"/>
        </w:rPr>
        <w:t>国家机关、国有企业等社会团体及其在职职工缴存的长期住房储金支出</w:t>
      </w:r>
      <w:r>
        <w:rPr>
          <w:rFonts w:hint="eastAsia" w:ascii="仿宋_GB2312" w:eastAsia="仿宋_GB2312"/>
          <w:color w:val="000000"/>
          <w:sz w:val="32"/>
          <w:szCs w:val="32"/>
        </w:rPr>
        <w:t>。</w:t>
      </w:r>
    </w:p>
    <w:p>
      <w:pPr>
        <w:pStyle w:val="2"/>
        <w:ind w:left="0" w:leftChars="0" w:firstLine="0" w:firstLineChars="0"/>
        <w:rPr>
          <w:rFonts w:hint="default" w:eastAsia="仿宋_GB2312"/>
          <w:lang w:val="en-US" w:eastAsia="zh-CN"/>
        </w:rPr>
      </w:pPr>
    </w:p>
    <w:p>
      <w:pPr>
        <w:ind w:firstLine="640" w:firstLineChars="200"/>
        <w:rPr>
          <w:rFonts w:hint="eastAsia" w:ascii="仿宋_GB2312" w:eastAsia="仿宋_GB2312"/>
          <w:b/>
          <w:bCs/>
          <w:color w:val="000000"/>
          <w:sz w:val="32"/>
          <w:szCs w:val="32"/>
        </w:rPr>
      </w:pPr>
      <w:r>
        <w:rPr>
          <w:rFonts w:hint="eastAsia" w:ascii="仿宋_GB2312" w:eastAsia="仿宋_GB2312"/>
          <w:color w:val="000000"/>
          <w:sz w:val="32"/>
          <w:szCs w:val="32"/>
          <w:lang w:val="en-US" w:eastAsia="zh-CN"/>
        </w:rPr>
        <w:t>31</w:t>
      </w:r>
      <w:r>
        <w:rPr>
          <w:rFonts w:ascii="仿宋_GB2312" w:eastAsia="仿宋_GB2312"/>
          <w:color w:val="000000"/>
          <w:sz w:val="32"/>
          <w:szCs w:val="32"/>
        </w:rPr>
        <w:t>.</w:t>
      </w:r>
      <w:r>
        <w:rPr>
          <w:rFonts w:hint="eastAsia" w:ascii="仿宋_GB2312" w:eastAsia="仿宋_GB2312"/>
          <w:color w:val="000000"/>
          <w:sz w:val="32"/>
          <w:szCs w:val="32"/>
          <w:lang w:eastAsia="zh-CN"/>
        </w:rPr>
        <w:t>其他支出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229</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：其他支出指</w:t>
      </w:r>
      <w:r>
        <w:rPr>
          <w:rFonts w:hint="eastAsia" w:ascii="仿宋_GB2312" w:eastAsia="仿宋_GB2312"/>
          <w:color w:val="000000"/>
          <w:sz w:val="32"/>
          <w:szCs w:val="32"/>
          <w:lang w:eastAsia="zh-CN"/>
        </w:rPr>
        <w:t>除事业支出、上缴上级支出、对附属单位补助支出、经营支出以外的各项支出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5"/>
        <w:spacing w:line="560" w:lineRule="exact"/>
        <w:ind w:firstLine="640" w:firstLineChars="200"/>
        <w:jc w:val="center"/>
        <w:rPr>
          <w:rStyle w:val="27"/>
          <w:rFonts w:hint="eastAsia" w:ascii="黑体" w:hAnsi="黑体" w:eastAsia="黑体"/>
          <w:b w:val="0"/>
          <w:lang w:eastAsia="zh-CN"/>
        </w:rPr>
      </w:pPr>
      <w:r>
        <w:rPr>
          <w:rFonts w:ascii="仿宋_GB2312" w:eastAsia="仿宋_GB2312"/>
          <w:sz w:val="32"/>
          <w:szCs w:val="32"/>
        </w:rPr>
        <w:t>32.</w:t>
      </w:r>
      <w:r>
        <w:rPr>
          <w:rFonts w:hint="eastAsia" w:ascii="仿宋_GB2312" w:eastAsia="仿宋_GB2312"/>
          <w:sz w:val="32"/>
          <w:szCs w:val="32"/>
        </w:rPr>
        <w:t>……。</w:t>
      </w:r>
      <w:bookmarkStart w:id="73" w:name="_Toc15377226"/>
      <w:r>
        <w:rPr>
          <w:rFonts w:ascii="宋体"/>
          <w:b/>
          <w:color w:val="000000"/>
          <w:sz w:val="44"/>
          <w:szCs w:val="44"/>
        </w:rPr>
        <w:br w:type="page"/>
      </w:r>
      <w:bookmarkStart w:id="74" w:name="_Toc11463"/>
      <w:bookmarkStart w:id="75" w:name="_Toc15396614"/>
      <w:r>
        <w:rPr>
          <w:rFonts w:hint="eastAsia" w:ascii="黑体" w:hAnsi="黑体" w:eastAsia="黑体"/>
          <w:color w:val="000000"/>
          <w:sz w:val="44"/>
          <w:szCs w:val="44"/>
        </w:rPr>
        <w:t>第</w:t>
      </w:r>
      <w:r>
        <w:rPr>
          <w:rStyle w:val="27"/>
          <w:rFonts w:hint="eastAsia" w:ascii="黑体" w:hAnsi="黑体" w:eastAsia="黑体"/>
          <w:b w:val="0"/>
        </w:rPr>
        <w:t xml:space="preserve">四部分 </w:t>
      </w:r>
      <w:bookmarkEnd w:id="74"/>
      <w:bookmarkEnd w:id="75"/>
      <w:r>
        <w:rPr>
          <w:rStyle w:val="27"/>
          <w:rFonts w:hint="eastAsia" w:ascii="黑体" w:hAnsi="黑体" w:eastAsia="黑体"/>
          <w:b w:val="0"/>
          <w:lang w:eastAsia="zh-CN"/>
        </w:rPr>
        <w:t>其他</w:t>
      </w:r>
    </w:p>
    <w:bookmarkEnd w:id="73"/>
    <w:p>
      <w:pPr>
        <w:pStyle w:val="36"/>
        <w:keepNext w:val="0"/>
        <w:keepLines w:val="0"/>
        <w:widowControl/>
        <w:suppressLineNumbers w:val="0"/>
        <w:autoSpaceDE w:val="0"/>
        <w:autoSpaceDN/>
        <w:spacing w:before="0" w:beforeAutospacing="0" w:line="576" w:lineRule="exact"/>
        <w:ind w:left="0" w:firstLine="640" w:firstLineChars="200"/>
        <w:jc w:val="left"/>
        <w:rPr>
          <w:rFonts w:hint="eastAsia" w:ascii="黑体" w:hAnsi="宋体" w:eastAsia="黑体" w:cs="黑体"/>
          <w:b w:val="0"/>
          <w:bCs w:val="0"/>
          <w:kern w:val="0"/>
          <w:sz w:val="32"/>
          <w:szCs w:val="32"/>
        </w:rPr>
      </w:pPr>
      <w:r>
        <w:rPr>
          <w:rFonts w:hint="eastAsia" w:ascii="黑体" w:hAnsi="宋体" w:eastAsia="黑体" w:cs="黑体"/>
          <w:b w:val="0"/>
          <w:bCs w:val="0"/>
          <w:kern w:val="0"/>
          <w:sz w:val="32"/>
          <w:szCs w:val="32"/>
          <w:shd w:val="clear" w:fill="FFFFFF"/>
        </w:rPr>
        <w:t>本年度部门决算等财务工作开展情况</w:t>
      </w:r>
    </w:p>
    <w:p>
      <w:pPr>
        <w:pStyle w:val="36"/>
        <w:keepNext w:val="0"/>
        <w:keepLines w:val="0"/>
        <w:widowControl/>
        <w:suppressLineNumbers w:val="0"/>
        <w:autoSpaceDE w:val="0"/>
        <w:autoSpaceDN/>
        <w:spacing w:before="0" w:beforeAutospacing="0" w:line="576" w:lineRule="exact"/>
        <w:ind w:left="0" w:firstLine="640" w:firstLineChars="200"/>
        <w:jc w:val="left"/>
        <w:rPr>
          <w:rFonts w:hint="eastAsia" w:ascii="宋体" w:hAnsi="宋体" w:eastAsia="仿宋_GB2312" w:cs="宋体"/>
          <w:b w:val="0"/>
          <w:bCs w:val="0"/>
          <w:kern w:val="0"/>
          <w:sz w:val="32"/>
          <w:szCs w:val="32"/>
        </w:rPr>
      </w:pPr>
      <w:r>
        <w:rPr>
          <w:rFonts w:hint="eastAsia" w:ascii="仿宋_GB2312" w:hAnsi="宋体" w:eastAsia="仿宋_GB2312" w:cs="仿宋_GB2312"/>
          <w:b w:val="0"/>
          <w:bCs w:val="0"/>
          <w:kern w:val="0"/>
          <w:sz w:val="32"/>
          <w:szCs w:val="32"/>
          <w:shd w:val="clear" w:fill="FFFFFF"/>
        </w:rPr>
        <w:t>（一）本单位财务管理、绩效管理、决算组织、编报、审核情况。</w:t>
      </w:r>
    </w:p>
    <w:p>
      <w:pPr>
        <w:pStyle w:val="36"/>
        <w:keepNext w:val="0"/>
        <w:keepLines w:val="0"/>
        <w:widowControl/>
        <w:suppressLineNumbers w:val="0"/>
        <w:autoSpaceDE w:val="0"/>
        <w:autoSpaceDN/>
        <w:spacing w:before="0" w:beforeAutospacing="0" w:line="576" w:lineRule="exact"/>
        <w:ind w:left="0" w:firstLine="640" w:firstLineChars="200"/>
        <w:jc w:val="left"/>
        <w:rPr>
          <w:rFonts w:hint="eastAsia" w:ascii="宋体" w:hAnsi="宋体" w:eastAsia="仿宋_GB2312" w:cs="宋体"/>
          <w:b w:val="0"/>
          <w:bCs w:val="0"/>
          <w:kern w:val="0"/>
          <w:sz w:val="32"/>
          <w:szCs w:val="32"/>
          <w:shd w:val="clear" w:fill="FFFFFF"/>
        </w:rPr>
      </w:pPr>
      <w:r>
        <w:rPr>
          <w:rStyle w:val="35"/>
          <w:rFonts w:hint="eastAsia" w:ascii="仿宋_GB2312" w:hAnsi="宋体" w:eastAsia="仿宋_GB2312" w:cs="仿宋_GB2312"/>
          <w:b w:val="0"/>
          <w:bCs w:val="0"/>
          <w:sz w:val="32"/>
          <w:szCs w:val="32"/>
          <w:shd w:val="clear" w:fill="FFFFFF"/>
        </w:rPr>
        <w:t>无任何问题、无意见</w:t>
      </w:r>
    </w:p>
    <w:p>
      <w:pPr>
        <w:pStyle w:val="36"/>
        <w:keepNext w:val="0"/>
        <w:keepLines w:val="0"/>
        <w:widowControl/>
        <w:suppressLineNumbers w:val="0"/>
        <w:autoSpaceDE w:val="0"/>
        <w:autoSpaceDN/>
        <w:spacing w:before="0" w:beforeAutospacing="0" w:line="576" w:lineRule="exact"/>
        <w:ind w:left="0" w:firstLine="640" w:firstLineChars="200"/>
        <w:jc w:val="left"/>
        <w:rPr>
          <w:rFonts w:hint="eastAsia" w:ascii="宋体" w:hAnsi="宋体" w:eastAsia="仿宋_GB2312" w:cs="宋体"/>
          <w:b w:val="0"/>
          <w:bCs w:val="0"/>
          <w:kern w:val="0"/>
          <w:sz w:val="32"/>
          <w:szCs w:val="32"/>
        </w:rPr>
      </w:pPr>
      <w:r>
        <w:rPr>
          <w:rFonts w:hint="eastAsia" w:ascii="仿宋_GB2312" w:hAnsi="宋体" w:eastAsia="仿宋_GB2312" w:cs="仿宋_GB2312"/>
          <w:b w:val="0"/>
          <w:bCs w:val="0"/>
          <w:kern w:val="0"/>
          <w:sz w:val="32"/>
          <w:szCs w:val="32"/>
          <w:shd w:val="clear" w:fill="FFFFFF"/>
        </w:rPr>
        <w:t>（二）本单位决算及绩效信息公开工作开展情况。</w:t>
      </w:r>
    </w:p>
    <w:p>
      <w:pPr>
        <w:pStyle w:val="36"/>
        <w:keepNext w:val="0"/>
        <w:keepLines w:val="0"/>
        <w:widowControl/>
        <w:suppressLineNumbers w:val="0"/>
        <w:autoSpaceDE w:val="0"/>
        <w:autoSpaceDN/>
        <w:spacing w:before="0" w:beforeAutospacing="0" w:line="576" w:lineRule="exact"/>
        <w:ind w:left="0" w:firstLine="640" w:firstLineChars="200"/>
        <w:jc w:val="left"/>
        <w:rPr>
          <w:rFonts w:hint="eastAsia" w:ascii="宋体" w:hAnsi="宋体" w:eastAsia="仿宋_GB2312" w:cs="宋体"/>
          <w:b w:val="0"/>
          <w:bCs w:val="0"/>
          <w:kern w:val="0"/>
          <w:sz w:val="32"/>
          <w:szCs w:val="32"/>
        </w:rPr>
      </w:pPr>
      <w:r>
        <w:rPr>
          <w:rStyle w:val="35"/>
          <w:rFonts w:hint="eastAsia" w:ascii="仿宋_GB2312" w:hAnsi="宋体" w:eastAsia="仿宋_GB2312" w:cs="仿宋_GB2312"/>
          <w:b w:val="0"/>
          <w:bCs w:val="0"/>
          <w:sz w:val="32"/>
          <w:szCs w:val="32"/>
          <w:shd w:val="clear" w:fill="FFFFFF"/>
        </w:rPr>
        <w:t>已按要求进行公开</w:t>
      </w:r>
    </w:p>
    <w:p>
      <w:pPr>
        <w:pStyle w:val="36"/>
        <w:keepNext w:val="0"/>
        <w:keepLines w:val="0"/>
        <w:widowControl/>
        <w:suppressLineNumbers w:val="0"/>
        <w:autoSpaceDE w:val="0"/>
        <w:autoSpaceDN/>
        <w:spacing w:before="0" w:beforeAutospacing="0" w:line="576" w:lineRule="exact"/>
        <w:ind w:left="0" w:firstLine="640" w:firstLineChars="200"/>
        <w:jc w:val="left"/>
        <w:rPr>
          <w:rFonts w:hint="eastAsia" w:ascii="宋体" w:hAnsi="宋体" w:eastAsia="仿宋_GB2312" w:cs="宋体"/>
          <w:b w:val="0"/>
          <w:bCs w:val="0"/>
          <w:kern w:val="0"/>
          <w:sz w:val="32"/>
          <w:szCs w:val="32"/>
        </w:rPr>
      </w:pPr>
      <w:r>
        <w:rPr>
          <w:rFonts w:hint="eastAsia" w:ascii="仿宋_GB2312" w:hAnsi="宋体" w:eastAsia="仿宋_GB2312" w:cs="仿宋_GB2312"/>
          <w:b w:val="0"/>
          <w:bCs w:val="0"/>
          <w:kern w:val="0"/>
          <w:sz w:val="32"/>
          <w:szCs w:val="32"/>
          <w:shd w:val="clear" w:fill="FFFFFF"/>
        </w:rPr>
        <w:t>（三）对单位决算管理及报表设计的意见建议。</w:t>
      </w:r>
    </w:p>
    <w:p>
      <w:pPr>
        <w:pStyle w:val="36"/>
        <w:keepNext w:val="0"/>
        <w:keepLines w:val="0"/>
        <w:widowControl/>
        <w:suppressLineNumbers w:val="0"/>
        <w:autoSpaceDE w:val="0"/>
        <w:autoSpaceDN/>
        <w:spacing w:before="0" w:beforeAutospacing="0" w:line="576" w:lineRule="exact"/>
        <w:ind w:left="0" w:firstLine="640" w:firstLineChars="200"/>
        <w:jc w:val="left"/>
        <w:rPr>
          <w:rFonts w:hint="eastAsia" w:ascii="宋体" w:hAnsi="宋体" w:eastAsia="仿宋_GB2312" w:cs="宋体"/>
          <w:b w:val="0"/>
          <w:bCs w:val="0"/>
          <w:kern w:val="0"/>
          <w:sz w:val="32"/>
          <w:szCs w:val="32"/>
          <w:shd w:val="clear" w:fill="FFFFFF"/>
        </w:rPr>
      </w:pPr>
      <w:r>
        <w:rPr>
          <w:rFonts w:hint="eastAsia" w:ascii="仿宋_GB2312" w:hAnsi="宋体" w:eastAsia="仿宋_GB2312" w:cs="仿宋_GB2312"/>
          <w:b w:val="0"/>
          <w:bCs w:val="0"/>
          <w:kern w:val="0"/>
          <w:sz w:val="32"/>
          <w:szCs w:val="32"/>
          <w:shd w:val="clear" w:fill="FFFFFF"/>
        </w:rPr>
        <w:t>无</w:t>
      </w:r>
    </w:p>
    <w:p>
      <w:pPr>
        <w:pStyle w:val="36"/>
        <w:keepNext w:val="0"/>
        <w:keepLines w:val="0"/>
        <w:widowControl/>
        <w:suppressLineNumbers w:val="0"/>
        <w:autoSpaceDE w:val="0"/>
        <w:autoSpaceDN/>
        <w:spacing w:before="0" w:beforeAutospacing="0" w:line="576" w:lineRule="exact"/>
        <w:ind w:left="0" w:firstLine="640" w:firstLineChars="200"/>
        <w:jc w:val="left"/>
        <w:rPr>
          <w:rFonts w:hint="eastAsia" w:ascii="宋体" w:hAnsi="宋体" w:eastAsia="仿宋_GB2312" w:cs="宋体"/>
          <w:b w:val="0"/>
          <w:bCs w:val="0"/>
          <w:kern w:val="0"/>
          <w:sz w:val="32"/>
          <w:szCs w:val="32"/>
        </w:rPr>
      </w:pPr>
      <w:r>
        <w:rPr>
          <w:rFonts w:hint="eastAsia" w:ascii="仿宋_GB2312" w:hAnsi="宋体" w:eastAsia="仿宋_GB2312" w:cs="仿宋_GB2312"/>
          <w:b w:val="0"/>
          <w:bCs w:val="0"/>
          <w:kern w:val="0"/>
          <w:sz w:val="32"/>
          <w:szCs w:val="32"/>
          <w:shd w:val="clear" w:fill="FFFFFF"/>
        </w:rPr>
        <w:t>（四）对加强部门决算数据分析利用工作的建议。</w:t>
      </w:r>
    </w:p>
    <w:p>
      <w:pPr>
        <w:pStyle w:val="36"/>
        <w:keepNext w:val="0"/>
        <w:keepLines w:val="0"/>
        <w:widowControl/>
        <w:suppressLineNumbers w:val="0"/>
        <w:autoSpaceDE w:val="0"/>
        <w:autoSpaceDN/>
        <w:spacing w:before="0" w:beforeAutospacing="0" w:line="576" w:lineRule="exact"/>
        <w:ind w:left="0" w:firstLine="640" w:firstLineChars="200"/>
        <w:jc w:val="left"/>
        <w:rPr>
          <w:rFonts w:hint="eastAsia" w:ascii="宋体" w:hAnsi="宋体" w:eastAsia="仿宋_GB2312" w:cs="宋体"/>
          <w:b w:val="0"/>
          <w:bCs w:val="0"/>
          <w:kern w:val="0"/>
          <w:sz w:val="32"/>
          <w:szCs w:val="32"/>
        </w:rPr>
      </w:pPr>
      <w:r>
        <w:rPr>
          <w:rStyle w:val="35"/>
          <w:rFonts w:hint="eastAsia" w:ascii="仿宋_GB2312" w:hAnsi="宋体" w:eastAsia="仿宋_GB2312" w:cs="仿宋_GB2312"/>
          <w:b w:val="0"/>
          <w:bCs w:val="0"/>
          <w:sz w:val="32"/>
          <w:szCs w:val="32"/>
          <w:shd w:val="clear" w:fill="FFFFFF"/>
        </w:rPr>
        <w:t>无</w:t>
      </w:r>
    </w:p>
    <w:p>
      <w:pPr>
        <w:pStyle w:val="36"/>
        <w:keepNext w:val="0"/>
        <w:keepLines w:val="0"/>
        <w:widowControl/>
        <w:suppressLineNumbers w:val="0"/>
        <w:autoSpaceDE w:val="0"/>
        <w:autoSpaceDN/>
        <w:spacing w:before="0" w:beforeAutospacing="0" w:line="576" w:lineRule="exact"/>
        <w:ind w:left="0" w:firstLine="640" w:firstLineChars="200"/>
        <w:jc w:val="left"/>
        <w:rPr>
          <w:rFonts w:hint="eastAsia" w:ascii="宋体" w:hAnsi="宋体" w:eastAsia="仿宋_GB2312" w:cs="宋体"/>
          <w:b w:val="0"/>
          <w:bCs w:val="0"/>
          <w:kern w:val="0"/>
          <w:sz w:val="32"/>
          <w:szCs w:val="32"/>
        </w:rPr>
      </w:pPr>
      <w:r>
        <w:rPr>
          <w:rFonts w:hint="eastAsia" w:ascii="仿宋_GB2312" w:hAnsi="宋体" w:eastAsia="仿宋_GB2312" w:cs="仿宋_GB2312"/>
          <w:b w:val="0"/>
          <w:bCs w:val="0"/>
          <w:kern w:val="0"/>
          <w:sz w:val="32"/>
          <w:szCs w:val="32"/>
          <w:shd w:val="clear" w:fill="FFFFFF"/>
        </w:rPr>
        <w:t>注：收入支出预算执行情况分析可参考部门决算分析评价表（见软件查询模板）及行政事业单位财务分析指标（附后）。</w:t>
      </w:r>
    </w:p>
    <w:p>
      <w:pPr>
        <w:pStyle w:val="36"/>
        <w:keepNext w:val="0"/>
        <w:keepLines w:val="0"/>
        <w:widowControl/>
        <w:suppressLineNumbers w:val="0"/>
        <w:autoSpaceDE w:val="0"/>
        <w:autoSpaceDN/>
        <w:spacing w:before="0" w:beforeAutospacing="0" w:line="576" w:lineRule="exact"/>
        <w:ind w:left="0" w:firstLine="640" w:firstLineChars="200"/>
        <w:jc w:val="center"/>
        <w:rPr>
          <w:rFonts w:hint="eastAsia" w:ascii="仿宋_GB2312" w:hAnsi="宋体" w:eastAsia="仿宋_GB2312" w:cs="仿宋_GB2312"/>
          <w:b w:val="0"/>
          <w:bCs w:val="0"/>
          <w:kern w:val="0"/>
          <w:sz w:val="32"/>
          <w:szCs w:val="32"/>
          <w:shd w:val="clear" w:fill="FFFFFF"/>
          <w:lang w:eastAsia="zh-CN"/>
        </w:rPr>
      </w:pPr>
    </w:p>
    <w:p>
      <w:pPr>
        <w:pStyle w:val="36"/>
        <w:keepNext w:val="0"/>
        <w:keepLines w:val="0"/>
        <w:widowControl/>
        <w:suppressLineNumbers w:val="0"/>
        <w:autoSpaceDE w:val="0"/>
        <w:autoSpaceDN/>
        <w:spacing w:before="0" w:beforeAutospacing="0" w:line="576" w:lineRule="exact"/>
        <w:ind w:left="0" w:firstLine="640" w:firstLineChars="200"/>
        <w:jc w:val="center"/>
        <w:rPr>
          <w:rFonts w:hint="eastAsia" w:ascii="仿宋_GB2312" w:hAnsi="宋体" w:eastAsia="仿宋_GB2312" w:cs="仿宋_GB2312"/>
          <w:b w:val="0"/>
          <w:bCs w:val="0"/>
          <w:kern w:val="0"/>
          <w:sz w:val="32"/>
          <w:szCs w:val="32"/>
          <w:shd w:val="clear" w:fill="FFFFFF"/>
          <w:lang w:eastAsia="zh-CN"/>
        </w:rPr>
      </w:pPr>
    </w:p>
    <w:p>
      <w:pPr>
        <w:pStyle w:val="36"/>
        <w:keepNext w:val="0"/>
        <w:keepLines w:val="0"/>
        <w:widowControl/>
        <w:suppressLineNumbers w:val="0"/>
        <w:autoSpaceDE w:val="0"/>
        <w:autoSpaceDN/>
        <w:spacing w:before="0" w:beforeAutospacing="0" w:line="576" w:lineRule="exact"/>
        <w:ind w:left="0" w:firstLine="640" w:firstLineChars="200"/>
        <w:jc w:val="center"/>
        <w:rPr>
          <w:rFonts w:hint="eastAsia" w:ascii="仿宋_GB2312" w:hAnsi="宋体" w:eastAsia="仿宋_GB2312" w:cs="仿宋_GB2312"/>
          <w:b w:val="0"/>
          <w:bCs w:val="0"/>
          <w:kern w:val="0"/>
          <w:sz w:val="32"/>
          <w:szCs w:val="32"/>
          <w:shd w:val="clear" w:fill="FFFFFF"/>
          <w:lang w:eastAsia="zh-CN"/>
        </w:rPr>
      </w:pPr>
    </w:p>
    <w:p>
      <w:pPr>
        <w:pStyle w:val="36"/>
        <w:keepNext w:val="0"/>
        <w:keepLines w:val="0"/>
        <w:widowControl/>
        <w:suppressLineNumbers w:val="0"/>
        <w:autoSpaceDE w:val="0"/>
        <w:autoSpaceDN/>
        <w:spacing w:before="0" w:beforeAutospacing="0" w:line="576" w:lineRule="exact"/>
        <w:ind w:left="0" w:firstLine="640" w:firstLineChars="200"/>
        <w:jc w:val="center"/>
        <w:rPr>
          <w:rFonts w:hint="eastAsia" w:ascii="宋体" w:hAnsi="宋体" w:eastAsia="仿宋_GB2312" w:cs="宋体"/>
          <w:b w:val="0"/>
          <w:bCs w:val="0"/>
          <w:kern w:val="0"/>
          <w:sz w:val="32"/>
          <w:szCs w:val="32"/>
        </w:rPr>
      </w:pPr>
      <w:r>
        <w:rPr>
          <w:rFonts w:hint="eastAsia" w:ascii="宋体" w:hAnsi="宋体" w:eastAsia="仿宋_GB2312" w:cs="宋体"/>
          <w:b w:val="0"/>
          <w:bCs w:val="0"/>
          <w:kern w:val="0"/>
          <w:sz w:val="32"/>
          <w:szCs w:val="32"/>
          <w:shd w:val="clear" w:fill="FFFFFF"/>
        </w:rPr>
        <w:t xml:space="preserve"> </w:t>
      </w:r>
      <w:r>
        <w:rPr>
          <w:rFonts w:hint="eastAsia" w:ascii="仿宋_GB2312" w:hAnsi="宋体" w:eastAsia="仿宋_GB2312" w:cs="仿宋_GB2312"/>
          <w:b w:val="0"/>
          <w:bCs w:val="0"/>
          <w:kern w:val="0"/>
          <w:sz w:val="32"/>
          <w:szCs w:val="32"/>
          <w:shd w:val="clear" w:fill="FFFFFF"/>
        </w:rPr>
        <w:t>附：</w:t>
      </w:r>
    </w:p>
    <w:p>
      <w:pPr>
        <w:pStyle w:val="36"/>
        <w:keepNext w:val="0"/>
        <w:keepLines w:val="0"/>
        <w:widowControl/>
        <w:suppressLineNumbers w:val="0"/>
        <w:autoSpaceDE w:val="0"/>
        <w:autoSpaceDN/>
        <w:spacing w:before="0" w:beforeAutospacing="0" w:line="576" w:lineRule="exact"/>
        <w:ind w:left="0" w:firstLine="640" w:firstLineChars="200"/>
        <w:jc w:val="center"/>
        <w:rPr>
          <w:rFonts w:hint="eastAsia" w:ascii="宋体" w:hAnsi="宋体" w:eastAsia="仿宋_GB2312" w:cs="宋体"/>
          <w:b w:val="0"/>
          <w:bCs w:val="0"/>
          <w:kern w:val="0"/>
          <w:sz w:val="32"/>
          <w:szCs w:val="32"/>
        </w:rPr>
      </w:pPr>
      <w:r>
        <w:rPr>
          <w:rFonts w:hint="eastAsia" w:ascii="仿宋_GB2312" w:hAnsi="宋体" w:eastAsia="仿宋_GB2312" w:cs="仿宋_GB2312"/>
          <w:b w:val="0"/>
          <w:bCs w:val="0"/>
          <w:kern w:val="0"/>
          <w:sz w:val="32"/>
          <w:szCs w:val="32"/>
          <w:shd w:val="clear" w:fill="FFFFFF"/>
        </w:rPr>
        <w:t>行政事业单位财务分析指标</w:t>
      </w:r>
    </w:p>
    <w:p>
      <w:pPr>
        <w:pStyle w:val="36"/>
        <w:keepNext w:val="0"/>
        <w:keepLines w:val="0"/>
        <w:widowControl/>
        <w:suppressLineNumbers w:val="0"/>
        <w:autoSpaceDE w:val="0"/>
        <w:autoSpaceDN/>
        <w:spacing w:before="0" w:beforeAutospacing="0" w:line="576" w:lineRule="exact"/>
        <w:ind w:left="0" w:firstLine="640" w:firstLineChars="200"/>
        <w:jc w:val="left"/>
        <w:rPr>
          <w:rFonts w:hint="eastAsia" w:ascii="宋体" w:hAnsi="宋体" w:eastAsia="仿宋_GB2312" w:cs="宋体"/>
          <w:b w:val="0"/>
          <w:bCs w:val="0"/>
          <w:kern w:val="0"/>
          <w:sz w:val="32"/>
          <w:szCs w:val="32"/>
        </w:rPr>
      </w:pPr>
      <w:r>
        <w:rPr>
          <w:rFonts w:hint="eastAsia" w:ascii="仿宋_GB2312" w:hAnsi="宋体" w:eastAsia="仿宋_GB2312" w:cs="仿宋_GB2312"/>
          <w:b w:val="0"/>
          <w:bCs w:val="0"/>
          <w:kern w:val="0"/>
          <w:sz w:val="32"/>
          <w:szCs w:val="32"/>
          <w:shd w:val="clear" w:fill="FFFFFF"/>
        </w:rPr>
        <w:t>一、行政单位财务分析指标</w:t>
      </w:r>
    </w:p>
    <w:p>
      <w:pPr>
        <w:pStyle w:val="36"/>
        <w:keepNext w:val="0"/>
        <w:keepLines w:val="0"/>
        <w:widowControl/>
        <w:suppressLineNumbers w:val="0"/>
        <w:autoSpaceDE w:val="0"/>
        <w:autoSpaceDN/>
        <w:spacing w:before="0" w:beforeAutospacing="0" w:line="576" w:lineRule="exact"/>
        <w:ind w:left="0" w:firstLine="640" w:firstLineChars="200"/>
        <w:jc w:val="left"/>
        <w:rPr>
          <w:rFonts w:hint="eastAsia" w:ascii="宋体" w:hAnsi="宋体" w:eastAsia="仿宋_GB2312" w:cs="宋体"/>
          <w:b w:val="0"/>
          <w:bCs w:val="0"/>
          <w:kern w:val="0"/>
          <w:sz w:val="32"/>
          <w:szCs w:val="32"/>
        </w:rPr>
      </w:pPr>
      <w:r>
        <w:rPr>
          <w:rFonts w:hint="eastAsia" w:ascii="宋体" w:hAnsi="宋体" w:eastAsia="宋体" w:cs="宋体"/>
          <w:b w:val="0"/>
          <w:bCs w:val="0"/>
          <w:kern w:val="0"/>
          <w:sz w:val="32"/>
          <w:szCs w:val="32"/>
          <w:shd w:val="clear" w:fill="FFFFFF"/>
        </w:rPr>
        <w:t>1.</w:t>
      </w:r>
      <w:r>
        <w:rPr>
          <w:rFonts w:hint="eastAsia" w:ascii="仿宋_GB2312" w:hAnsi="宋体" w:eastAsia="仿宋_GB2312" w:cs="仿宋_GB2312"/>
          <w:b w:val="0"/>
          <w:bCs w:val="0"/>
          <w:kern w:val="0"/>
          <w:sz w:val="32"/>
          <w:szCs w:val="32"/>
          <w:shd w:val="clear" w:fill="FFFFFF"/>
        </w:rPr>
        <w:t>支出增长率，衡量行政单位支出的增长水平。计算公式为：</w:t>
      </w:r>
    </w:p>
    <w:p>
      <w:pPr>
        <w:pStyle w:val="36"/>
        <w:keepNext w:val="0"/>
        <w:keepLines w:val="0"/>
        <w:widowControl/>
        <w:suppressLineNumbers w:val="0"/>
        <w:autoSpaceDE w:val="0"/>
        <w:autoSpaceDN/>
        <w:spacing w:before="0" w:beforeAutospacing="0" w:line="576" w:lineRule="exact"/>
        <w:ind w:left="0" w:firstLine="640" w:firstLineChars="200"/>
        <w:jc w:val="left"/>
        <w:rPr>
          <w:rFonts w:hint="eastAsia" w:ascii="宋体" w:hAnsi="宋体" w:eastAsia="仿宋_GB2312" w:cs="宋体"/>
          <w:b w:val="0"/>
          <w:bCs w:val="0"/>
          <w:kern w:val="0"/>
          <w:sz w:val="32"/>
          <w:szCs w:val="32"/>
        </w:rPr>
      </w:pPr>
      <w:r>
        <w:rPr>
          <w:rFonts w:hint="eastAsia" w:ascii="仿宋_GB2312" w:hAnsi="宋体" w:eastAsia="仿宋_GB2312" w:cs="仿宋_GB2312"/>
          <w:b w:val="0"/>
          <w:bCs w:val="0"/>
          <w:kern w:val="0"/>
          <w:sz w:val="32"/>
          <w:szCs w:val="32"/>
          <w:shd w:val="clear" w:fill="FFFFFF"/>
        </w:rPr>
        <w:t>支出增长率＝</w:t>
      </w:r>
      <w:r>
        <w:rPr>
          <w:rFonts w:hint="eastAsia" w:ascii="宋体" w:hAnsi="宋体" w:eastAsia="宋体" w:cs="宋体"/>
          <w:b w:val="0"/>
          <w:bCs w:val="0"/>
          <w:kern w:val="0"/>
          <w:sz w:val="32"/>
          <w:szCs w:val="32"/>
          <w:shd w:val="clear" w:fill="FFFFFF"/>
        </w:rPr>
        <w:t>(</w:t>
      </w:r>
      <w:r>
        <w:rPr>
          <w:rFonts w:hint="eastAsia" w:ascii="仿宋_GB2312" w:hAnsi="宋体" w:eastAsia="仿宋_GB2312" w:cs="仿宋_GB2312"/>
          <w:b w:val="0"/>
          <w:bCs w:val="0"/>
          <w:kern w:val="0"/>
          <w:sz w:val="32"/>
          <w:szCs w:val="32"/>
          <w:shd w:val="clear" w:fill="FFFFFF"/>
        </w:rPr>
        <w:t>本期支出总额÷上期支出总额</w:t>
      </w:r>
      <w:r>
        <w:rPr>
          <w:rFonts w:hint="eastAsia" w:ascii="宋体" w:hAnsi="宋体" w:eastAsia="宋体" w:cs="宋体"/>
          <w:b w:val="0"/>
          <w:bCs w:val="0"/>
          <w:kern w:val="0"/>
          <w:sz w:val="32"/>
          <w:szCs w:val="32"/>
          <w:shd w:val="clear" w:fill="FFFFFF"/>
        </w:rPr>
        <w:t>-1)</w:t>
      </w:r>
      <w:r>
        <w:rPr>
          <w:rFonts w:hint="eastAsia" w:ascii="仿宋_GB2312" w:hAnsi="宋体" w:eastAsia="仿宋_GB2312" w:cs="仿宋_GB2312"/>
          <w:b w:val="0"/>
          <w:bCs w:val="0"/>
          <w:kern w:val="0"/>
          <w:sz w:val="32"/>
          <w:szCs w:val="32"/>
          <w:shd w:val="clear" w:fill="FFFFFF"/>
        </w:rPr>
        <w:t>×</w:t>
      </w:r>
      <w:r>
        <w:rPr>
          <w:rFonts w:hint="eastAsia" w:ascii="宋体" w:hAnsi="宋体" w:eastAsia="宋体" w:cs="宋体"/>
          <w:b w:val="0"/>
          <w:bCs w:val="0"/>
          <w:kern w:val="0"/>
          <w:sz w:val="32"/>
          <w:szCs w:val="32"/>
          <w:shd w:val="clear" w:fill="FFFFFF"/>
        </w:rPr>
        <w:t>100%=2.60%</w:t>
      </w:r>
    </w:p>
    <w:p>
      <w:pPr>
        <w:pStyle w:val="36"/>
        <w:keepNext w:val="0"/>
        <w:keepLines w:val="0"/>
        <w:widowControl/>
        <w:suppressLineNumbers w:val="0"/>
        <w:autoSpaceDE w:val="0"/>
        <w:autoSpaceDN/>
        <w:spacing w:before="0" w:beforeAutospacing="0" w:line="576" w:lineRule="exact"/>
        <w:ind w:left="0" w:firstLine="640" w:firstLineChars="200"/>
        <w:jc w:val="left"/>
        <w:rPr>
          <w:rFonts w:hint="eastAsia" w:ascii="宋体" w:hAnsi="宋体" w:eastAsia="仿宋_GB2312" w:cs="宋体"/>
          <w:b w:val="0"/>
          <w:bCs w:val="0"/>
          <w:kern w:val="0"/>
          <w:sz w:val="32"/>
          <w:szCs w:val="32"/>
        </w:rPr>
      </w:pPr>
      <w:r>
        <w:rPr>
          <w:rFonts w:hint="eastAsia" w:ascii="宋体" w:hAnsi="宋体" w:eastAsia="宋体" w:cs="宋体"/>
          <w:b w:val="0"/>
          <w:bCs w:val="0"/>
          <w:kern w:val="0"/>
          <w:sz w:val="32"/>
          <w:szCs w:val="32"/>
          <w:shd w:val="clear" w:fill="FFFFFF"/>
        </w:rPr>
        <w:t>2.</w:t>
      </w:r>
      <w:r>
        <w:rPr>
          <w:rFonts w:hint="eastAsia" w:ascii="仿宋_GB2312" w:hAnsi="宋体" w:eastAsia="仿宋_GB2312" w:cs="仿宋_GB2312"/>
          <w:b w:val="0"/>
          <w:bCs w:val="0"/>
          <w:kern w:val="0"/>
          <w:sz w:val="32"/>
          <w:szCs w:val="32"/>
          <w:shd w:val="clear" w:fill="FFFFFF"/>
        </w:rPr>
        <w:t>当年预算支出完成率，衡量行政单位当年支出总预算及分项预算完成的程度。计算公式为：</w:t>
      </w:r>
    </w:p>
    <w:p>
      <w:pPr>
        <w:pStyle w:val="36"/>
        <w:keepNext w:val="0"/>
        <w:keepLines w:val="0"/>
        <w:widowControl/>
        <w:suppressLineNumbers w:val="0"/>
        <w:autoSpaceDE w:val="0"/>
        <w:autoSpaceDN/>
        <w:spacing w:before="0" w:beforeAutospacing="0" w:line="576" w:lineRule="exact"/>
        <w:ind w:left="0" w:firstLine="640" w:firstLineChars="200"/>
        <w:jc w:val="left"/>
        <w:rPr>
          <w:rFonts w:hint="eastAsia" w:ascii="宋体" w:hAnsi="宋体" w:eastAsia="仿宋_GB2312" w:cs="宋体"/>
          <w:b w:val="0"/>
          <w:bCs w:val="0"/>
          <w:kern w:val="0"/>
          <w:sz w:val="32"/>
          <w:szCs w:val="32"/>
        </w:rPr>
      </w:pPr>
      <w:r>
        <w:rPr>
          <w:rFonts w:hint="eastAsia" w:ascii="仿宋_GB2312" w:hAnsi="宋体" w:eastAsia="仿宋_GB2312" w:cs="仿宋_GB2312"/>
          <w:b w:val="0"/>
          <w:bCs w:val="0"/>
          <w:kern w:val="0"/>
          <w:sz w:val="32"/>
          <w:szCs w:val="32"/>
          <w:shd w:val="clear" w:fill="FFFFFF"/>
        </w:rPr>
        <w:t>当年预算支出完成率＝年终执行数÷调整预算数×</w:t>
      </w:r>
      <w:r>
        <w:rPr>
          <w:rFonts w:hint="eastAsia" w:ascii="宋体" w:hAnsi="宋体" w:eastAsia="宋体" w:cs="宋体"/>
          <w:b w:val="0"/>
          <w:bCs w:val="0"/>
          <w:kern w:val="0"/>
          <w:sz w:val="32"/>
          <w:szCs w:val="32"/>
          <w:shd w:val="clear" w:fill="FFFFFF"/>
        </w:rPr>
        <w:t>100%=100.00%</w:t>
      </w:r>
    </w:p>
    <w:p>
      <w:pPr>
        <w:pStyle w:val="36"/>
        <w:keepNext w:val="0"/>
        <w:keepLines w:val="0"/>
        <w:widowControl/>
        <w:suppressLineNumbers w:val="0"/>
        <w:autoSpaceDE w:val="0"/>
        <w:autoSpaceDN/>
        <w:spacing w:before="0" w:beforeAutospacing="0" w:line="576" w:lineRule="exact"/>
        <w:ind w:left="0" w:firstLine="640" w:firstLineChars="200"/>
        <w:jc w:val="left"/>
        <w:rPr>
          <w:rFonts w:hint="eastAsia" w:ascii="宋体" w:hAnsi="宋体" w:eastAsia="仿宋_GB2312" w:cs="宋体"/>
          <w:b w:val="0"/>
          <w:bCs w:val="0"/>
          <w:kern w:val="0"/>
          <w:sz w:val="32"/>
          <w:szCs w:val="32"/>
        </w:rPr>
      </w:pPr>
      <w:r>
        <w:rPr>
          <w:rFonts w:hint="eastAsia" w:ascii="宋体" w:hAnsi="宋体" w:eastAsia="宋体" w:cs="宋体"/>
          <w:b w:val="0"/>
          <w:bCs w:val="0"/>
          <w:kern w:val="0"/>
          <w:sz w:val="32"/>
          <w:szCs w:val="32"/>
          <w:shd w:val="clear" w:fill="FFFFFF"/>
        </w:rPr>
        <w:t>3.</w:t>
      </w:r>
      <w:r>
        <w:rPr>
          <w:rFonts w:hint="eastAsia" w:ascii="仿宋_GB2312" w:hAnsi="宋体" w:eastAsia="仿宋_GB2312" w:cs="仿宋_GB2312"/>
          <w:b w:val="0"/>
          <w:bCs w:val="0"/>
          <w:kern w:val="0"/>
          <w:sz w:val="32"/>
          <w:szCs w:val="32"/>
          <w:shd w:val="clear" w:fill="FFFFFF"/>
        </w:rPr>
        <w:t>人均开支，衡量行政单位人均年消耗经费水平。计算公式为：</w:t>
      </w:r>
    </w:p>
    <w:p>
      <w:pPr>
        <w:pStyle w:val="36"/>
        <w:keepNext w:val="0"/>
        <w:keepLines w:val="0"/>
        <w:widowControl/>
        <w:suppressLineNumbers w:val="0"/>
        <w:autoSpaceDE w:val="0"/>
        <w:autoSpaceDN/>
        <w:spacing w:before="0" w:beforeAutospacing="0" w:line="576" w:lineRule="exact"/>
        <w:ind w:left="0" w:firstLine="640" w:firstLineChars="200"/>
        <w:jc w:val="left"/>
        <w:rPr>
          <w:rFonts w:hint="eastAsia" w:ascii="宋体" w:hAnsi="宋体" w:eastAsia="仿宋_GB2312" w:cs="宋体"/>
          <w:b w:val="0"/>
          <w:bCs w:val="0"/>
          <w:kern w:val="0"/>
          <w:sz w:val="32"/>
          <w:szCs w:val="32"/>
        </w:rPr>
      </w:pPr>
      <w:r>
        <w:rPr>
          <w:rFonts w:hint="eastAsia" w:ascii="仿宋_GB2312" w:hAnsi="宋体" w:eastAsia="仿宋_GB2312" w:cs="仿宋_GB2312"/>
          <w:b w:val="0"/>
          <w:bCs w:val="0"/>
          <w:kern w:val="0"/>
          <w:sz w:val="32"/>
          <w:szCs w:val="32"/>
          <w:shd w:val="clear" w:fill="FFFFFF"/>
        </w:rPr>
        <w:t>人均开支＝本期支出数÷本期平均在职人员数</w:t>
      </w:r>
      <w:r>
        <w:rPr>
          <w:rFonts w:hint="eastAsia" w:ascii="宋体" w:hAnsi="宋体" w:eastAsia="宋体" w:cs="宋体"/>
          <w:b w:val="0"/>
          <w:bCs w:val="0"/>
          <w:kern w:val="0"/>
          <w:sz w:val="32"/>
          <w:szCs w:val="32"/>
          <w:shd w:val="clear" w:fill="FFFFFF"/>
        </w:rPr>
        <w:t>=23.32</w:t>
      </w:r>
    </w:p>
    <w:p>
      <w:pPr>
        <w:pStyle w:val="36"/>
        <w:keepNext w:val="0"/>
        <w:keepLines w:val="0"/>
        <w:widowControl/>
        <w:suppressLineNumbers w:val="0"/>
        <w:autoSpaceDE w:val="0"/>
        <w:autoSpaceDN/>
        <w:spacing w:before="0" w:beforeAutospacing="0" w:line="576" w:lineRule="exact"/>
        <w:ind w:left="0" w:firstLine="640" w:firstLineChars="200"/>
        <w:jc w:val="left"/>
        <w:rPr>
          <w:rFonts w:hint="eastAsia" w:ascii="宋体" w:hAnsi="宋体" w:eastAsia="仿宋_GB2312" w:cs="宋体"/>
          <w:b w:val="0"/>
          <w:bCs w:val="0"/>
          <w:kern w:val="0"/>
          <w:sz w:val="32"/>
          <w:szCs w:val="32"/>
        </w:rPr>
      </w:pPr>
      <w:r>
        <w:rPr>
          <w:rFonts w:hint="eastAsia" w:ascii="宋体" w:hAnsi="宋体" w:eastAsia="宋体" w:cs="宋体"/>
          <w:b w:val="0"/>
          <w:bCs w:val="0"/>
          <w:kern w:val="0"/>
          <w:sz w:val="32"/>
          <w:szCs w:val="32"/>
          <w:shd w:val="clear" w:fill="FFFFFF"/>
        </w:rPr>
        <w:t>4.</w:t>
      </w:r>
      <w:r>
        <w:rPr>
          <w:rFonts w:hint="eastAsia" w:ascii="仿宋_GB2312" w:hAnsi="宋体" w:eastAsia="仿宋_GB2312" w:cs="仿宋_GB2312"/>
          <w:b w:val="0"/>
          <w:bCs w:val="0"/>
          <w:kern w:val="0"/>
          <w:sz w:val="32"/>
          <w:szCs w:val="32"/>
          <w:shd w:val="clear" w:fill="FFFFFF"/>
        </w:rPr>
        <w:t>项目支出占总支出的比率，衡量行政单位的支出结构。计算公式为：</w:t>
      </w:r>
    </w:p>
    <w:p>
      <w:pPr>
        <w:pStyle w:val="36"/>
        <w:keepNext w:val="0"/>
        <w:keepLines w:val="0"/>
        <w:widowControl/>
        <w:suppressLineNumbers w:val="0"/>
        <w:autoSpaceDE w:val="0"/>
        <w:autoSpaceDN/>
        <w:spacing w:before="0" w:beforeAutospacing="0" w:line="576" w:lineRule="exact"/>
        <w:ind w:left="0" w:firstLine="640" w:firstLineChars="200"/>
        <w:jc w:val="left"/>
        <w:rPr>
          <w:rFonts w:hint="eastAsia" w:ascii="宋体" w:hAnsi="宋体" w:eastAsia="仿宋_GB2312" w:cs="宋体"/>
          <w:b w:val="0"/>
          <w:bCs w:val="0"/>
          <w:kern w:val="0"/>
          <w:sz w:val="32"/>
          <w:szCs w:val="32"/>
        </w:rPr>
      </w:pPr>
      <w:r>
        <w:rPr>
          <w:rFonts w:hint="eastAsia" w:ascii="仿宋_GB2312" w:hAnsi="宋体" w:eastAsia="仿宋_GB2312" w:cs="仿宋_GB2312"/>
          <w:b w:val="0"/>
          <w:bCs w:val="0"/>
          <w:kern w:val="0"/>
          <w:sz w:val="32"/>
          <w:szCs w:val="32"/>
          <w:shd w:val="clear" w:fill="FFFFFF"/>
        </w:rPr>
        <w:t>项目支出比率</w:t>
      </w:r>
      <w:r>
        <w:rPr>
          <w:rFonts w:hint="eastAsia" w:ascii="宋体" w:hAnsi="宋体" w:eastAsia="宋体" w:cs="宋体"/>
          <w:b w:val="0"/>
          <w:bCs w:val="0"/>
          <w:kern w:val="0"/>
          <w:sz w:val="32"/>
          <w:szCs w:val="32"/>
          <w:shd w:val="clear" w:fill="FFFFFF"/>
        </w:rPr>
        <w:t>=</w:t>
      </w:r>
      <w:r>
        <w:rPr>
          <w:rFonts w:hint="eastAsia" w:ascii="仿宋_GB2312" w:hAnsi="宋体" w:eastAsia="仿宋_GB2312" w:cs="仿宋_GB2312"/>
          <w:b w:val="0"/>
          <w:bCs w:val="0"/>
          <w:kern w:val="0"/>
          <w:sz w:val="32"/>
          <w:szCs w:val="32"/>
          <w:shd w:val="clear" w:fill="FFFFFF"/>
        </w:rPr>
        <w:t>本期项目支出数÷本期支出总数×</w:t>
      </w:r>
      <w:r>
        <w:rPr>
          <w:rFonts w:hint="eastAsia" w:ascii="宋体" w:hAnsi="宋体" w:eastAsia="宋体" w:cs="宋体"/>
          <w:b w:val="0"/>
          <w:bCs w:val="0"/>
          <w:kern w:val="0"/>
          <w:sz w:val="32"/>
          <w:szCs w:val="32"/>
          <w:shd w:val="clear" w:fill="FFFFFF"/>
        </w:rPr>
        <w:t>100%=33.89%</w:t>
      </w:r>
    </w:p>
    <w:p>
      <w:pPr>
        <w:pStyle w:val="36"/>
        <w:keepNext w:val="0"/>
        <w:keepLines w:val="0"/>
        <w:widowControl/>
        <w:suppressLineNumbers w:val="0"/>
        <w:autoSpaceDE w:val="0"/>
        <w:autoSpaceDN/>
        <w:spacing w:before="0" w:beforeAutospacing="0" w:line="576" w:lineRule="exact"/>
        <w:ind w:left="0" w:firstLine="640" w:firstLineChars="200"/>
        <w:jc w:val="left"/>
        <w:rPr>
          <w:rFonts w:hint="eastAsia" w:ascii="宋体" w:hAnsi="宋体" w:eastAsia="仿宋_GB2312" w:cs="宋体"/>
          <w:b w:val="0"/>
          <w:bCs w:val="0"/>
          <w:kern w:val="0"/>
          <w:sz w:val="32"/>
          <w:szCs w:val="32"/>
        </w:rPr>
      </w:pPr>
      <w:r>
        <w:rPr>
          <w:rFonts w:hint="eastAsia" w:ascii="宋体" w:hAnsi="宋体" w:eastAsia="宋体" w:cs="宋体"/>
          <w:b w:val="0"/>
          <w:bCs w:val="0"/>
          <w:kern w:val="0"/>
          <w:sz w:val="32"/>
          <w:szCs w:val="32"/>
          <w:shd w:val="clear" w:fill="FFFFFF"/>
        </w:rPr>
        <w:t>5.</w:t>
      </w:r>
      <w:r>
        <w:rPr>
          <w:rFonts w:hint="eastAsia" w:ascii="仿宋_GB2312" w:hAnsi="宋体" w:eastAsia="仿宋_GB2312" w:cs="仿宋_GB2312"/>
          <w:b w:val="0"/>
          <w:bCs w:val="0"/>
          <w:kern w:val="0"/>
          <w:sz w:val="32"/>
          <w:szCs w:val="32"/>
          <w:shd w:val="clear" w:fill="FFFFFF"/>
        </w:rPr>
        <w:t>人员支出、公用支出占总支出的比率，衡量行政单位的支出结构。计算公式为：</w:t>
      </w:r>
    </w:p>
    <w:p>
      <w:pPr>
        <w:pStyle w:val="36"/>
        <w:keepNext w:val="0"/>
        <w:keepLines w:val="0"/>
        <w:widowControl/>
        <w:suppressLineNumbers w:val="0"/>
        <w:autoSpaceDE w:val="0"/>
        <w:autoSpaceDN/>
        <w:spacing w:before="0" w:beforeAutospacing="0" w:line="576" w:lineRule="exact"/>
        <w:ind w:left="0" w:firstLine="640" w:firstLineChars="200"/>
        <w:jc w:val="left"/>
        <w:rPr>
          <w:rFonts w:hint="eastAsia" w:ascii="宋体" w:hAnsi="宋体" w:eastAsia="仿宋_GB2312" w:cs="宋体"/>
          <w:b w:val="0"/>
          <w:bCs w:val="0"/>
          <w:kern w:val="0"/>
          <w:sz w:val="32"/>
          <w:szCs w:val="32"/>
        </w:rPr>
      </w:pPr>
      <w:r>
        <w:rPr>
          <w:rFonts w:hint="eastAsia" w:ascii="仿宋_GB2312" w:hAnsi="宋体" w:eastAsia="仿宋_GB2312" w:cs="仿宋_GB2312"/>
          <w:b w:val="0"/>
          <w:bCs w:val="0"/>
          <w:kern w:val="0"/>
          <w:sz w:val="32"/>
          <w:szCs w:val="32"/>
          <w:shd w:val="clear" w:fill="FFFFFF"/>
        </w:rPr>
        <w:t>人员支出比率</w:t>
      </w:r>
      <w:r>
        <w:rPr>
          <w:rFonts w:hint="eastAsia" w:ascii="宋体" w:hAnsi="宋体" w:eastAsia="宋体" w:cs="宋体"/>
          <w:b w:val="0"/>
          <w:bCs w:val="0"/>
          <w:kern w:val="0"/>
          <w:sz w:val="32"/>
          <w:szCs w:val="32"/>
          <w:shd w:val="clear" w:fill="FFFFFF"/>
        </w:rPr>
        <w:t>=</w:t>
      </w:r>
      <w:r>
        <w:rPr>
          <w:rFonts w:hint="eastAsia" w:ascii="仿宋_GB2312" w:hAnsi="宋体" w:eastAsia="仿宋_GB2312" w:cs="仿宋_GB2312"/>
          <w:b w:val="0"/>
          <w:bCs w:val="0"/>
          <w:kern w:val="0"/>
          <w:sz w:val="32"/>
          <w:szCs w:val="32"/>
          <w:shd w:val="clear" w:fill="FFFFFF"/>
        </w:rPr>
        <w:t>本期人员支出数÷本期支出总数×</w:t>
      </w:r>
      <w:r>
        <w:rPr>
          <w:rFonts w:hint="eastAsia" w:ascii="宋体" w:hAnsi="宋体" w:eastAsia="宋体" w:cs="宋体"/>
          <w:b w:val="0"/>
          <w:bCs w:val="0"/>
          <w:kern w:val="0"/>
          <w:sz w:val="32"/>
          <w:szCs w:val="32"/>
          <w:shd w:val="clear" w:fill="FFFFFF"/>
        </w:rPr>
        <w:t>100%=59.48%</w:t>
      </w:r>
    </w:p>
    <w:p>
      <w:pPr>
        <w:pStyle w:val="36"/>
        <w:keepNext w:val="0"/>
        <w:keepLines w:val="0"/>
        <w:widowControl/>
        <w:suppressLineNumbers w:val="0"/>
        <w:autoSpaceDE w:val="0"/>
        <w:autoSpaceDN/>
        <w:spacing w:before="0" w:beforeAutospacing="0" w:line="576" w:lineRule="exact"/>
        <w:ind w:left="0" w:firstLine="640" w:firstLineChars="200"/>
        <w:jc w:val="left"/>
        <w:rPr>
          <w:rFonts w:hint="eastAsia" w:ascii="宋体" w:hAnsi="宋体" w:eastAsia="仿宋_GB2312" w:cs="宋体"/>
          <w:b w:val="0"/>
          <w:bCs w:val="0"/>
          <w:kern w:val="0"/>
          <w:sz w:val="32"/>
          <w:szCs w:val="32"/>
        </w:rPr>
      </w:pPr>
      <w:r>
        <w:rPr>
          <w:rFonts w:hint="eastAsia" w:ascii="仿宋_GB2312" w:hAnsi="宋体" w:eastAsia="仿宋_GB2312" w:cs="仿宋_GB2312"/>
          <w:b w:val="0"/>
          <w:bCs w:val="0"/>
          <w:kern w:val="0"/>
          <w:sz w:val="32"/>
          <w:szCs w:val="32"/>
          <w:shd w:val="clear" w:fill="FFFFFF"/>
        </w:rPr>
        <w:t>公用支出比率</w:t>
      </w:r>
      <w:r>
        <w:rPr>
          <w:rFonts w:hint="eastAsia" w:ascii="宋体" w:hAnsi="宋体" w:eastAsia="宋体" w:cs="宋体"/>
          <w:b w:val="0"/>
          <w:bCs w:val="0"/>
          <w:kern w:val="0"/>
          <w:sz w:val="32"/>
          <w:szCs w:val="32"/>
          <w:shd w:val="clear" w:fill="FFFFFF"/>
        </w:rPr>
        <w:t>=</w:t>
      </w:r>
      <w:r>
        <w:rPr>
          <w:rFonts w:hint="eastAsia" w:ascii="仿宋_GB2312" w:hAnsi="宋体" w:eastAsia="仿宋_GB2312" w:cs="仿宋_GB2312"/>
          <w:b w:val="0"/>
          <w:bCs w:val="0"/>
          <w:kern w:val="0"/>
          <w:sz w:val="32"/>
          <w:szCs w:val="32"/>
          <w:shd w:val="clear" w:fill="FFFFFF"/>
        </w:rPr>
        <w:t>本期公用支出数÷本期支出总数×</w:t>
      </w:r>
      <w:r>
        <w:rPr>
          <w:rFonts w:hint="eastAsia" w:ascii="宋体" w:hAnsi="宋体" w:eastAsia="宋体" w:cs="宋体"/>
          <w:b w:val="0"/>
          <w:bCs w:val="0"/>
          <w:kern w:val="0"/>
          <w:sz w:val="32"/>
          <w:szCs w:val="32"/>
          <w:shd w:val="clear" w:fill="FFFFFF"/>
        </w:rPr>
        <w:t>100%=6.63%</w:t>
      </w:r>
    </w:p>
    <w:p>
      <w:pPr>
        <w:pStyle w:val="36"/>
        <w:keepNext w:val="0"/>
        <w:keepLines w:val="0"/>
        <w:widowControl/>
        <w:suppressLineNumbers w:val="0"/>
        <w:autoSpaceDE w:val="0"/>
        <w:autoSpaceDN/>
        <w:spacing w:before="0" w:beforeAutospacing="0" w:line="576" w:lineRule="exact"/>
        <w:ind w:left="0" w:firstLine="640" w:firstLineChars="200"/>
        <w:jc w:val="left"/>
        <w:rPr>
          <w:rFonts w:hint="eastAsia" w:ascii="宋体" w:hAnsi="宋体" w:eastAsia="仿宋_GB2312" w:cs="宋体"/>
          <w:b w:val="0"/>
          <w:bCs w:val="0"/>
          <w:kern w:val="0"/>
          <w:sz w:val="32"/>
          <w:szCs w:val="32"/>
        </w:rPr>
      </w:pPr>
      <w:r>
        <w:rPr>
          <w:rFonts w:hint="eastAsia" w:ascii="宋体" w:hAnsi="宋体" w:eastAsia="宋体" w:cs="宋体"/>
          <w:b w:val="0"/>
          <w:bCs w:val="0"/>
          <w:kern w:val="0"/>
          <w:sz w:val="32"/>
          <w:szCs w:val="32"/>
          <w:shd w:val="clear" w:fill="FFFFFF"/>
        </w:rPr>
        <w:t>6.</w:t>
      </w:r>
      <w:r>
        <w:rPr>
          <w:rFonts w:hint="eastAsia" w:ascii="仿宋_GB2312" w:hAnsi="宋体" w:eastAsia="仿宋_GB2312" w:cs="仿宋_GB2312"/>
          <w:b w:val="0"/>
          <w:bCs w:val="0"/>
          <w:kern w:val="0"/>
          <w:sz w:val="32"/>
          <w:szCs w:val="32"/>
          <w:shd w:val="clear" w:fill="FFFFFF"/>
        </w:rPr>
        <w:t>人均办公使用面积，衡量行政单位办公用房配备情况。计算公式为：</w:t>
      </w:r>
    </w:p>
    <w:p>
      <w:pPr>
        <w:pStyle w:val="36"/>
        <w:keepNext w:val="0"/>
        <w:keepLines w:val="0"/>
        <w:widowControl/>
        <w:suppressLineNumbers w:val="0"/>
        <w:autoSpaceDE w:val="0"/>
        <w:autoSpaceDN/>
        <w:spacing w:before="0" w:beforeAutospacing="0" w:line="576" w:lineRule="exact"/>
        <w:ind w:left="0" w:firstLine="640" w:firstLineChars="200"/>
        <w:jc w:val="left"/>
        <w:rPr>
          <w:rFonts w:hint="eastAsia" w:ascii="宋体" w:hAnsi="宋体" w:eastAsia="仿宋_GB2312" w:cs="宋体"/>
          <w:b w:val="0"/>
          <w:bCs w:val="0"/>
          <w:kern w:val="0"/>
          <w:sz w:val="32"/>
          <w:szCs w:val="32"/>
        </w:rPr>
      </w:pPr>
      <w:r>
        <w:rPr>
          <w:rFonts w:hint="eastAsia" w:ascii="仿宋_GB2312" w:hAnsi="宋体" w:eastAsia="仿宋_GB2312" w:cs="仿宋_GB2312"/>
          <w:b w:val="0"/>
          <w:bCs w:val="0"/>
          <w:kern w:val="0"/>
          <w:sz w:val="32"/>
          <w:szCs w:val="32"/>
          <w:shd w:val="clear" w:fill="FFFFFF"/>
        </w:rPr>
        <w:t>人均办公使用面积</w:t>
      </w:r>
      <w:r>
        <w:rPr>
          <w:rFonts w:hint="eastAsia" w:ascii="宋体" w:hAnsi="宋体" w:eastAsia="宋体" w:cs="宋体"/>
          <w:b w:val="0"/>
          <w:bCs w:val="0"/>
          <w:kern w:val="0"/>
          <w:sz w:val="32"/>
          <w:szCs w:val="32"/>
          <w:shd w:val="clear" w:fill="FFFFFF"/>
        </w:rPr>
        <w:t>=</w:t>
      </w:r>
      <w:r>
        <w:rPr>
          <w:rFonts w:hint="eastAsia" w:ascii="仿宋_GB2312" w:hAnsi="宋体" w:eastAsia="仿宋_GB2312" w:cs="仿宋_GB2312"/>
          <w:b w:val="0"/>
          <w:bCs w:val="0"/>
          <w:kern w:val="0"/>
          <w:sz w:val="32"/>
          <w:szCs w:val="32"/>
          <w:shd w:val="clear" w:fill="FFFFFF"/>
        </w:rPr>
        <w:t>本期末单位办公用房使用面积÷本期末在职人员数</w:t>
      </w:r>
      <w:r>
        <w:rPr>
          <w:rFonts w:hint="eastAsia" w:ascii="宋体" w:hAnsi="宋体" w:eastAsia="宋体" w:cs="宋体"/>
          <w:b w:val="0"/>
          <w:bCs w:val="0"/>
          <w:kern w:val="0"/>
          <w:sz w:val="32"/>
          <w:szCs w:val="32"/>
          <w:shd w:val="clear" w:fill="FFFFFF"/>
        </w:rPr>
        <w:t>=0.00</w:t>
      </w:r>
    </w:p>
    <w:p>
      <w:pPr>
        <w:pStyle w:val="36"/>
        <w:keepNext w:val="0"/>
        <w:keepLines w:val="0"/>
        <w:widowControl/>
        <w:suppressLineNumbers w:val="0"/>
        <w:autoSpaceDE w:val="0"/>
        <w:autoSpaceDN/>
        <w:spacing w:before="0" w:beforeAutospacing="0" w:line="576" w:lineRule="exact"/>
        <w:ind w:left="0" w:firstLine="640" w:firstLineChars="200"/>
        <w:jc w:val="left"/>
        <w:rPr>
          <w:rFonts w:hint="eastAsia" w:ascii="宋体" w:hAnsi="宋体" w:eastAsia="仿宋_GB2312" w:cs="宋体"/>
          <w:b w:val="0"/>
          <w:bCs w:val="0"/>
          <w:kern w:val="0"/>
          <w:sz w:val="32"/>
          <w:szCs w:val="32"/>
        </w:rPr>
      </w:pPr>
      <w:r>
        <w:rPr>
          <w:rFonts w:hint="eastAsia" w:ascii="宋体" w:hAnsi="宋体" w:eastAsia="宋体" w:cs="宋体"/>
          <w:b w:val="0"/>
          <w:bCs w:val="0"/>
          <w:kern w:val="0"/>
          <w:sz w:val="32"/>
          <w:szCs w:val="32"/>
          <w:shd w:val="clear" w:fill="FFFFFF"/>
        </w:rPr>
        <w:t>7.</w:t>
      </w:r>
      <w:r>
        <w:rPr>
          <w:rFonts w:hint="eastAsia" w:ascii="仿宋_GB2312" w:hAnsi="宋体" w:eastAsia="仿宋_GB2312" w:cs="仿宋_GB2312"/>
          <w:b w:val="0"/>
          <w:bCs w:val="0"/>
          <w:kern w:val="0"/>
          <w:sz w:val="32"/>
          <w:szCs w:val="32"/>
          <w:shd w:val="clear" w:fill="FFFFFF"/>
        </w:rPr>
        <w:t>人车比例，衡量行政单位公务用车配备情况。计算公式为：</w:t>
      </w:r>
    </w:p>
    <w:p>
      <w:pPr>
        <w:pStyle w:val="36"/>
        <w:keepNext w:val="0"/>
        <w:keepLines w:val="0"/>
        <w:widowControl/>
        <w:suppressLineNumbers w:val="0"/>
        <w:autoSpaceDE w:val="0"/>
        <w:autoSpaceDN/>
        <w:spacing w:before="0" w:beforeAutospacing="0" w:line="576" w:lineRule="exact"/>
        <w:ind w:left="0" w:firstLine="640" w:firstLineChars="200"/>
        <w:jc w:val="left"/>
        <w:rPr>
          <w:rFonts w:hint="eastAsia" w:ascii="宋体" w:hAnsi="宋体" w:eastAsia="仿宋_GB2312" w:cs="宋体"/>
          <w:b w:val="0"/>
          <w:bCs w:val="0"/>
          <w:kern w:val="0"/>
          <w:sz w:val="32"/>
          <w:szCs w:val="32"/>
        </w:rPr>
      </w:pPr>
      <w:r>
        <w:rPr>
          <w:rFonts w:hint="eastAsia" w:ascii="仿宋_GB2312" w:hAnsi="宋体" w:eastAsia="仿宋_GB2312" w:cs="仿宋_GB2312"/>
          <w:b w:val="0"/>
          <w:bCs w:val="0"/>
          <w:kern w:val="0"/>
          <w:sz w:val="32"/>
          <w:szCs w:val="32"/>
          <w:shd w:val="clear" w:fill="FFFFFF"/>
        </w:rPr>
        <w:t>人车比例</w:t>
      </w:r>
      <w:r>
        <w:rPr>
          <w:rFonts w:hint="eastAsia" w:ascii="宋体" w:hAnsi="宋体" w:eastAsia="宋体" w:cs="宋体"/>
          <w:b w:val="0"/>
          <w:bCs w:val="0"/>
          <w:kern w:val="0"/>
          <w:sz w:val="32"/>
          <w:szCs w:val="32"/>
          <w:shd w:val="clear" w:fill="FFFFFF"/>
        </w:rPr>
        <w:t>=</w:t>
      </w:r>
      <w:r>
        <w:rPr>
          <w:rFonts w:hint="eastAsia" w:ascii="仿宋_GB2312" w:hAnsi="宋体" w:eastAsia="仿宋_GB2312" w:cs="仿宋_GB2312"/>
          <w:b w:val="0"/>
          <w:bCs w:val="0"/>
          <w:kern w:val="0"/>
          <w:sz w:val="32"/>
          <w:szCs w:val="32"/>
          <w:shd w:val="clear" w:fill="FFFFFF"/>
        </w:rPr>
        <w:t>本期末在职人员数÷本期末公务用车实有数</w:t>
      </w:r>
      <w:r>
        <w:rPr>
          <w:rFonts w:hint="eastAsia" w:ascii="宋体" w:hAnsi="宋体" w:eastAsia="宋体" w:cs="宋体"/>
          <w:b w:val="0"/>
          <w:bCs w:val="0"/>
          <w:kern w:val="0"/>
          <w:sz w:val="32"/>
          <w:szCs w:val="32"/>
          <w:shd w:val="clear" w:fill="FFFFFF"/>
        </w:rPr>
        <w:t>=19.00</w:t>
      </w:r>
      <w:bookmarkStart w:id="76" w:name="_GoBack"/>
      <w:bookmarkEnd w:id="76"/>
    </w:p>
    <w:p>
      <w:pPr>
        <w:pStyle w:val="36"/>
        <w:keepNext w:val="0"/>
        <w:keepLines w:val="0"/>
        <w:widowControl/>
        <w:suppressLineNumbers w:val="0"/>
        <w:autoSpaceDE w:val="0"/>
        <w:autoSpaceDN/>
        <w:spacing w:before="0" w:beforeAutospacing="0" w:line="576" w:lineRule="exact"/>
        <w:ind w:left="0" w:firstLine="640" w:firstLineChars="200"/>
        <w:jc w:val="left"/>
        <w:rPr>
          <w:rFonts w:hint="eastAsia" w:ascii="宋体" w:hAnsi="宋体" w:eastAsia="仿宋_GB2312" w:cs="宋体"/>
          <w:b w:val="0"/>
          <w:bCs w:val="0"/>
          <w:kern w:val="0"/>
          <w:sz w:val="32"/>
          <w:szCs w:val="32"/>
        </w:rPr>
      </w:pPr>
      <w:r>
        <w:rPr>
          <w:rFonts w:hint="eastAsia" w:ascii="仿宋_GB2312" w:hAnsi="宋体" w:eastAsia="仿宋_GB2312" w:cs="仿宋_GB2312"/>
          <w:b w:val="0"/>
          <w:bCs w:val="0"/>
          <w:kern w:val="0"/>
          <w:sz w:val="32"/>
          <w:szCs w:val="32"/>
          <w:shd w:val="clear" w:fill="FFFFFF"/>
        </w:rPr>
        <w:t>二、事业单位财务分析指标</w:t>
      </w:r>
    </w:p>
    <w:p>
      <w:pPr>
        <w:pStyle w:val="36"/>
        <w:keepNext w:val="0"/>
        <w:keepLines w:val="0"/>
        <w:widowControl/>
        <w:suppressLineNumbers w:val="0"/>
        <w:autoSpaceDE w:val="0"/>
        <w:autoSpaceDN/>
        <w:spacing w:before="0" w:beforeAutospacing="0" w:line="576" w:lineRule="exact"/>
        <w:ind w:left="0" w:firstLine="640" w:firstLineChars="200"/>
        <w:jc w:val="left"/>
        <w:rPr>
          <w:rFonts w:hint="eastAsia" w:ascii="宋体" w:hAnsi="宋体" w:eastAsia="仿宋_GB2312" w:cs="宋体"/>
          <w:b w:val="0"/>
          <w:bCs w:val="0"/>
          <w:kern w:val="0"/>
          <w:sz w:val="32"/>
          <w:szCs w:val="32"/>
        </w:rPr>
      </w:pPr>
      <w:r>
        <w:rPr>
          <w:rFonts w:hint="eastAsia" w:ascii="宋体" w:hAnsi="宋体" w:eastAsia="宋体" w:cs="宋体"/>
          <w:b w:val="0"/>
          <w:bCs w:val="0"/>
          <w:kern w:val="0"/>
          <w:sz w:val="32"/>
          <w:szCs w:val="32"/>
          <w:shd w:val="clear" w:fill="FFFFFF"/>
        </w:rPr>
        <w:t>1.</w:t>
      </w:r>
      <w:r>
        <w:rPr>
          <w:rFonts w:hint="eastAsia" w:ascii="仿宋_GB2312" w:hAnsi="宋体" w:eastAsia="仿宋_GB2312" w:cs="仿宋_GB2312"/>
          <w:b w:val="0"/>
          <w:bCs w:val="0"/>
          <w:kern w:val="0"/>
          <w:sz w:val="32"/>
          <w:szCs w:val="32"/>
          <w:shd w:val="clear" w:fill="FFFFFF"/>
        </w:rPr>
        <w:t>预算收入和支出完成率，衡量事业单位收入和支出总预算及分项预算完成的程度。计算公式为：</w:t>
      </w:r>
    </w:p>
    <w:p>
      <w:pPr>
        <w:pStyle w:val="36"/>
        <w:keepNext w:val="0"/>
        <w:keepLines w:val="0"/>
        <w:widowControl/>
        <w:suppressLineNumbers w:val="0"/>
        <w:autoSpaceDE w:val="0"/>
        <w:autoSpaceDN/>
        <w:spacing w:before="0" w:beforeAutospacing="0" w:line="576" w:lineRule="exact"/>
        <w:ind w:left="0" w:firstLine="640" w:firstLineChars="200"/>
        <w:jc w:val="left"/>
        <w:rPr>
          <w:rFonts w:hint="eastAsia" w:ascii="宋体" w:hAnsi="宋体" w:eastAsia="仿宋_GB2312" w:cs="宋体"/>
          <w:b w:val="0"/>
          <w:bCs w:val="0"/>
          <w:kern w:val="0"/>
          <w:sz w:val="32"/>
          <w:szCs w:val="32"/>
        </w:rPr>
      </w:pPr>
      <w:r>
        <w:rPr>
          <w:rFonts w:hint="eastAsia" w:ascii="仿宋_GB2312" w:hAnsi="宋体" w:eastAsia="仿宋_GB2312" w:cs="仿宋_GB2312"/>
          <w:b w:val="0"/>
          <w:bCs w:val="0"/>
          <w:kern w:val="0"/>
          <w:sz w:val="32"/>
          <w:szCs w:val="32"/>
          <w:shd w:val="clear" w:fill="FFFFFF"/>
        </w:rPr>
        <w:t>预算收入完成率＝年终执行数÷调整预算数×</w:t>
      </w:r>
      <w:r>
        <w:rPr>
          <w:rFonts w:hint="eastAsia" w:ascii="宋体" w:hAnsi="宋体" w:eastAsia="宋体" w:cs="宋体"/>
          <w:b w:val="0"/>
          <w:bCs w:val="0"/>
          <w:kern w:val="0"/>
          <w:sz w:val="32"/>
          <w:szCs w:val="32"/>
          <w:shd w:val="clear" w:fill="FFFFFF"/>
        </w:rPr>
        <w:t>100%=100.00%</w:t>
      </w:r>
    </w:p>
    <w:p>
      <w:pPr>
        <w:pStyle w:val="36"/>
        <w:keepNext w:val="0"/>
        <w:keepLines w:val="0"/>
        <w:widowControl/>
        <w:suppressLineNumbers w:val="0"/>
        <w:autoSpaceDE w:val="0"/>
        <w:autoSpaceDN/>
        <w:spacing w:before="0" w:beforeAutospacing="0" w:line="576" w:lineRule="exact"/>
        <w:ind w:left="0" w:firstLine="640" w:firstLineChars="200"/>
        <w:jc w:val="left"/>
        <w:rPr>
          <w:rFonts w:hint="eastAsia" w:ascii="仿宋_GB2312" w:hAnsi="宋体" w:eastAsia="仿宋_GB2312" w:cs="仿宋_GB2312"/>
          <w:b w:val="0"/>
          <w:bCs w:val="0"/>
          <w:kern w:val="0"/>
          <w:sz w:val="32"/>
          <w:szCs w:val="32"/>
          <w:shd w:val="clear" w:fill="FFFFFF"/>
        </w:rPr>
      </w:pPr>
      <w:r>
        <w:rPr>
          <w:rFonts w:hint="eastAsia" w:ascii="仿宋_GB2312" w:hAnsi="宋体" w:eastAsia="仿宋_GB2312" w:cs="仿宋_GB2312"/>
          <w:b w:val="0"/>
          <w:bCs w:val="0"/>
          <w:kern w:val="0"/>
          <w:sz w:val="32"/>
          <w:szCs w:val="32"/>
          <w:shd w:val="clear" w:fill="FFFFFF"/>
        </w:rPr>
        <w:t>预算支出完成率＝年终执行数÷调整预算数×</w:t>
      </w:r>
    </w:p>
    <w:p>
      <w:pPr>
        <w:pStyle w:val="36"/>
        <w:keepNext w:val="0"/>
        <w:keepLines w:val="0"/>
        <w:widowControl/>
        <w:suppressLineNumbers w:val="0"/>
        <w:autoSpaceDE w:val="0"/>
        <w:autoSpaceDN/>
        <w:spacing w:before="0" w:beforeAutospacing="0" w:line="576" w:lineRule="exact"/>
        <w:jc w:val="left"/>
        <w:rPr>
          <w:rFonts w:hint="eastAsia" w:ascii="宋体" w:hAnsi="宋体" w:eastAsia="仿宋_GB2312" w:cs="宋体"/>
          <w:b w:val="0"/>
          <w:bCs w:val="0"/>
          <w:kern w:val="0"/>
          <w:sz w:val="32"/>
          <w:szCs w:val="32"/>
        </w:rPr>
      </w:pPr>
      <w:r>
        <w:rPr>
          <w:rFonts w:hint="eastAsia" w:ascii="宋体" w:hAnsi="宋体" w:eastAsia="宋体" w:cs="宋体"/>
          <w:b w:val="0"/>
          <w:bCs w:val="0"/>
          <w:kern w:val="0"/>
          <w:sz w:val="32"/>
          <w:szCs w:val="32"/>
          <w:shd w:val="clear" w:fill="FFFFFF"/>
        </w:rPr>
        <w:t>100%=100.00%</w:t>
      </w:r>
    </w:p>
    <w:p>
      <w:pPr>
        <w:pStyle w:val="36"/>
        <w:keepNext w:val="0"/>
        <w:keepLines w:val="0"/>
        <w:widowControl/>
        <w:suppressLineNumbers w:val="0"/>
        <w:autoSpaceDE w:val="0"/>
        <w:autoSpaceDN/>
        <w:spacing w:before="0" w:beforeAutospacing="0" w:line="576" w:lineRule="exact"/>
        <w:ind w:left="0" w:firstLine="640" w:firstLineChars="200"/>
        <w:jc w:val="left"/>
        <w:rPr>
          <w:rFonts w:hint="eastAsia" w:ascii="宋体" w:hAnsi="宋体" w:eastAsia="仿宋_GB2312" w:cs="宋体"/>
          <w:b w:val="0"/>
          <w:bCs w:val="0"/>
          <w:kern w:val="0"/>
          <w:sz w:val="32"/>
          <w:szCs w:val="32"/>
        </w:rPr>
      </w:pPr>
      <w:r>
        <w:rPr>
          <w:rFonts w:hint="eastAsia" w:ascii="宋体" w:hAnsi="宋体" w:eastAsia="宋体" w:cs="宋体"/>
          <w:b w:val="0"/>
          <w:bCs w:val="0"/>
          <w:kern w:val="0"/>
          <w:sz w:val="32"/>
          <w:szCs w:val="32"/>
          <w:shd w:val="clear" w:fill="FFFFFF"/>
        </w:rPr>
        <w:t>2.</w:t>
      </w:r>
      <w:r>
        <w:rPr>
          <w:rFonts w:hint="eastAsia" w:ascii="仿宋_GB2312" w:hAnsi="宋体" w:eastAsia="仿宋_GB2312" w:cs="仿宋_GB2312"/>
          <w:b w:val="0"/>
          <w:bCs w:val="0"/>
          <w:kern w:val="0"/>
          <w:sz w:val="32"/>
          <w:szCs w:val="32"/>
          <w:shd w:val="clear" w:fill="FFFFFF"/>
        </w:rPr>
        <w:t>人员支出、公用支出占事业支出的比率，衡量事业单位事业支出结构。计算公式为：</w:t>
      </w:r>
    </w:p>
    <w:p>
      <w:pPr>
        <w:pStyle w:val="36"/>
        <w:keepNext w:val="0"/>
        <w:keepLines w:val="0"/>
        <w:widowControl/>
        <w:suppressLineNumbers w:val="0"/>
        <w:autoSpaceDE w:val="0"/>
        <w:autoSpaceDN/>
        <w:spacing w:before="0" w:beforeAutospacing="0" w:line="576" w:lineRule="exact"/>
        <w:ind w:left="0" w:firstLine="640" w:firstLineChars="200"/>
        <w:jc w:val="left"/>
        <w:rPr>
          <w:rFonts w:hint="eastAsia" w:ascii="宋体" w:hAnsi="宋体" w:eastAsia="仿宋_GB2312" w:cs="宋体"/>
          <w:b w:val="0"/>
          <w:bCs w:val="0"/>
          <w:kern w:val="0"/>
          <w:sz w:val="32"/>
          <w:szCs w:val="32"/>
        </w:rPr>
      </w:pPr>
      <w:r>
        <w:rPr>
          <w:rFonts w:hint="eastAsia" w:ascii="仿宋_GB2312" w:hAnsi="宋体" w:eastAsia="仿宋_GB2312" w:cs="仿宋_GB2312"/>
          <w:b w:val="0"/>
          <w:bCs w:val="0"/>
          <w:kern w:val="0"/>
          <w:sz w:val="32"/>
          <w:szCs w:val="32"/>
          <w:shd w:val="clear" w:fill="FFFFFF"/>
        </w:rPr>
        <w:t>人员支出比率＝人员支出÷事业支出×</w:t>
      </w:r>
      <w:r>
        <w:rPr>
          <w:rFonts w:hint="eastAsia" w:ascii="宋体" w:hAnsi="宋体" w:eastAsia="宋体" w:cs="宋体"/>
          <w:b w:val="0"/>
          <w:bCs w:val="0"/>
          <w:kern w:val="0"/>
          <w:sz w:val="32"/>
          <w:szCs w:val="32"/>
          <w:shd w:val="clear" w:fill="FFFFFF"/>
        </w:rPr>
        <w:t>100%=59.48%</w:t>
      </w:r>
    </w:p>
    <w:p>
      <w:pPr>
        <w:pStyle w:val="36"/>
        <w:keepNext w:val="0"/>
        <w:keepLines w:val="0"/>
        <w:widowControl/>
        <w:suppressLineNumbers w:val="0"/>
        <w:autoSpaceDE w:val="0"/>
        <w:autoSpaceDN/>
        <w:spacing w:before="0" w:beforeAutospacing="0" w:line="576" w:lineRule="exact"/>
        <w:ind w:left="0" w:firstLine="640" w:firstLineChars="200"/>
        <w:jc w:val="left"/>
        <w:rPr>
          <w:rFonts w:hint="eastAsia" w:ascii="宋体" w:hAnsi="宋体" w:eastAsia="仿宋_GB2312" w:cs="宋体"/>
          <w:b w:val="0"/>
          <w:bCs w:val="0"/>
          <w:kern w:val="0"/>
          <w:sz w:val="32"/>
          <w:szCs w:val="32"/>
        </w:rPr>
      </w:pPr>
      <w:r>
        <w:rPr>
          <w:rFonts w:hint="eastAsia" w:ascii="仿宋_GB2312" w:hAnsi="宋体" w:eastAsia="仿宋_GB2312" w:cs="仿宋_GB2312"/>
          <w:b w:val="0"/>
          <w:bCs w:val="0"/>
          <w:kern w:val="0"/>
          <w:sz w:val="32"/>
          <w:szCs w:val="32"/>
          <w:shd w:val="clear" w:fill="FFFFFF"/>
        </w:rPr>
        <w:t>公用支出比率＝公用支出÷事业支出×</w:t>
      </w:r>
      <w:r>
        <w:rPr>
          <w:rFonts w:hint="eastAsia" w:ascii="宋体" w:hAnsi="宋体" w:eastAsia="宋体" w:cs="宋体"/>
          <w:b w:val="0"/>
          <w:bCs w:val="0"/>
          <w:kern w:val="0"/>
          <w:sz w:val="32"/>
          <w:szCs w:val="32"/>
          <w:shd w:val="clear" w:fill="FFFFFF"/>
        </w:rPr>
        <w:t>100%=6.63%</w:t>
      </w:r>
    </w:p>
    <w:p>
      <w:pPr>
        <w:pStyle w:val="36"/>
        <w:keepNext w:val="0"/>
        <w:keepLines w:val="0"/>
        <w:widowControl/>
        <w:suppressLineNumbers w:val="0"/>
        <w:autoSpaceDE w:val="0"/>
        <w:autoSpaceDN/>
        <w:spacing w:before="0" w:beforeAutospacing="0" w:line="576" w:lineRule="exact"/>
        <w:ind w:left="0" w:firstLine="640" w:firstLineChars="200"/>
        <w:jc w:val="left"/>
        <w:rPr>
          <w:rFonts w:hint="eastAsia" w:ascii="宋体" w:hAnsi="宋体" w:eastAsia="仿宋_GB2312" w:cs="宋体"/>
          <w:b w:val="0"/>
          <w:bCs w:val="0"/>
          <w:kern w:val="0"/>
          <w:sz w:val="32"/>
          <w:szCs w:val="32"/>
        </w:rPr>
      </w:pPr>
      <w:r>
        <w:rPr>
          <w:rFonts w:hint="eastAsia" w:ascii="宋体" w:hAnsi="宋体" w:eastAsia="宋体" w:cs="宋体"/>
          <w:b w:val="0"/>
          <w:bCs w:val="0"/>
          <w:kern w:val="0"/>
          <w:sz w:val="32"/>
          <w:szCs w:val="32"/>
          <w:shd w:val="clear" w:fill="FFFFFF"/>
        </w:rPr>
        <w:t>3.</w:t>
      </w:r>
      <w:r>
        <w:rPr>
          <w:rFonts w:hint="eastAsia" w:ascii="仿宋_GB2312" w:hAnsi="宋体" w:eastAsia="仿宋_GB2312" w:cs="仿宋_GB2312"/>
          <w:b w:val="0"/>
          <w:bCs w:val="0"/>
          <w:kern w:val="0"/>
          <w:sz w:val="32"/>
          <w:szCs w:val="32"/>
          <w:shd w:val="clear" w:fill="FFFFFF"/>
        </w:rPr>
        <w:t>人均基本支出，衡量事业单位按照实际在编人数平均的基本支出水平。计算公式为：</w:t>
      </w:r>
    </w:p>
    <w:p>
      <w:pPr>
        <w:pStyle w:val="36"/>
        <w:keepNext w:val="0"/>
        <w:keepLines w:val="0"/>
        <w:widowControl/>
        <w:suppressLineNumbers w:val="0"/>
        <w:autoSpaceDE w:val="0"/>
        <w:autoSpaceDN/>
        <w:spacing w:before="0" w:beforeAutospacing="0" w:line="576" w:lineRule="exact"/>
        <w:ind w:left="0" w:firstLine="640" w:firstLineChars="200"/>
        <w:jc w:val="left"/>
        <w:rPr>
          <w:rFonts w:hint="eastAsia" w:ascii="宋体" w:hAnsi="宋体" w:eastAsia="仿宋_GB2312" w:cs="宋体"/>
          <w:b w:val="0"/>
          <w:bCs w:val="0"/>
          <w:kern w:val="0"/>
          <w:sz w:val="32"/>
          <w:szCs w:val="32"/>
        </w:rPr>
      </w:pPr>
      <w:r>
        <w:rPr>
          <w:rFonts w:hint="eastAsia" w:ascii="仿宋_GB2312" w:hAnsi="宋体" w:eastAsia="仿宋_GB2312" w:cs="仿宋_GB2312"/>
          <w:b w:val="0"/>
          <w:bCs w:val="0"/>
          <w:kern w:val="0"/>
          <w:sz w:val="32"/>
          <w:szCs w:val="32"/>
          <w:shd w:val="clear" w:fill="FFFFFF"/>
        </w:rPr>
        <w:t>人均基本支出＝（基本支出</w:t>
      </w:r>
      <w:r>
        <w:rPr>
          <w:rFonts w:hint="eastAsia" w:ascii="宋体" w:hAnsi="宋体" w:eastAsia="宋体" w:cs="宋体"/>
          <w:b w:val="0"/>
          <w:bCs w:val="0"/>
          <w:kern w:val="0"/>
          <w:sz w:val="32"/>
          <w:szCs w:val="32"/>
          <w:shd w:val="clear" w:fill="FFFFFF"/>
        </w:rPr>
        <w:t>-</w:t>
      </w:r>
      <w:r>
        <w:rPr>
          <w:rFonts w:hint="eastAsia" w:ascii="仿宋_GB2312" w:hAnsi="宋体" w:eastAsia="仿宋_GB2312" w:cs="仿宋_GB2312"/>
          <w:b w:val="0"/>
          <w:bCs w:val="0"/>
          <w:kern w:val="0"/>
          <w:sz w:val="32"/>
          <w:szCs w:val="32"/>
          <w:shd w:val="clear" w:fill="FFFFFF"/>
        </w:rPr>
        <w:t>离退休人员支出）÷实际在编人数</w:t>
      </w:r>
      <w:r>
        <w:rPr>
          <w:rFonts w:hint="eastAsia" w:ascii="宋体" w:hAnsi="宋体" w:eastAsia="宋体" w:cs="宋体"/>
          <w:b w:val="0"/>
          <w:bCs w:val="0"/>
          <w:kern w:val="0"/>
          <w:sz w:val="32"/>
          <w:szCs w:val="32"/>
          <w:shd w:val="clear" w:fill="FFFFFF"/>
        </w:rPr>
        <w:t>=209,806.32</w:t>
      </w:r>
    </w:p>
    <w:p>
      <w:pPr>
        <w:pStyle w:val="36"/>
        <w:keepNext w:val="0"/>
        <w:keepLines w:val="0"/>
        <w:widowControl/>
        <w:suppressLineNumbers w:val="0"/>
        <w:autoSpaceDE w:val="0"/>
        <w:autoSpaceDN/>
        <w:spacing w:before="0" w:beforeAutospacing="0" w:line="576" w:lineRule="exact"/>
        <w:ind w:left="0" w:firstLine="640" w:firstLineChars="200"/>
        <w:jc w:val="left"/>
        <w:rPr>
          <w:rFonts w:hint="eastAsia" w:ascii="宋体" w:hAnsi="宋体" w:eastAsia="仿宋_GB2312" w:cs="宋体"/>
          <w:b w:val="0"/>
          <w:bCs w:val="0"/>
          <w:kern w:val="0"/>
          <w:sz w:val="32"/>
          <w:szCs w:val="32"/>
        </w:rPr>
      </w:pPr>
      <w:r>
        <w:rPr>
          <w:rFonts w:hint="eastAsia" w:ascii="仿宋_GB2312" w:hAnsi="宋体" w:eastAsia="仿宋_GB2312" w:cs="仿宋_GB2312"/>
          <w:b w:val="0"/>
          <w:bCs w:val="0"/>
          <w:kern w:val="0"/>
          <w:sz w:val="32"/>
          <w:szCs w:val="32"/>
          <w:shd w:val="clear" w:fill="FFFFFF"/>
        </w:rPr>
        <w:t>此外，行业事业单位还可根据相关财务制度规定和分析需要增加相关分析指标，如：</w:t>
      </w:r>
    </w:p>
    <w:p>
      <w:pPr>
        <w:pStyle w:val="36"/>
        <w:keepNext w:val="0"/>
        <w:keepLines w:val="0"/>
        <w:widowControl/>
        <w:suppressLineNumbers w:val="0"/>
        <w:autoSpaceDE w:val="0"/>
        <w:autoSpaceDN/>
        <w:spacing w:before="0" w:beforeAutospacing="0" w:line="576" w:lineRule="exact"/>
        <w:ind w:left="0" w:firstLine="640" w:firstLineChars="200"/>
        <w:jc w:val="left"/>
        <w:rPr>
          <w:rFonts w:hint="eastAsia" w:ascii="宋体" w:hAnsi="宋体" w:eastAsia="仿宋_GB2312" w:cs="宋体"/>
          <w:b w:val="0"/>
          <w:bCs w:val="0"/>
          <w:kern w:val="0"/>
          <w:sz w:val="32"/>
          <w:szCs w:val="32"/>
        </w:rPr>
      </w:pPr>
      <w:r>
        <w:rPr>
          <w:rFonts w:hint="eastAsia" w:ascii="宋体" w:hAnsi="宋体" w:eastAsia="宋体" w:cs="宋体"/>
          <w:b w:val="0"/>
          <w:bCs w:val="0"/>
          <w:kern w:val="0"/>
          <w:sz w:val="32"/>
          <w:szCs w:val="32"/>
          <w:shd w:val="clear" w:fill="FFFFFF"/>
        </w:rPr>
        <w:t>1.</w:t>
      </w:r>
      <w:r>
        <w:rPr>
          <w:rFonts w:hint="eastAsia" w:ascii="仿宋_GB2312" w:hAnsi="宋体" w:eastAsia="仿宋_GB2312" w:cs="仿宋_GB2312"/>
          <w:b w:val="0"/>
          <w:bCs w:val="0"/>
          <w:kern w:val="0"/>
          <w:sz w:val="32"/>
          <w:szCs w:val="32"/>
          <w:shd w:val="clear" w:fill="FFFFFF"/>
        </w:rPr>
        <w:t>财政拨款依存度</w:t>
      </w:r>
      <w:r>
        <w:rPr>
          <w:rFonts w:hint="eastAsia" w:ascii="宋体" w:hAnsi="宋体" w:eastAsia="宋体" w:cs="宋体"/>
          <w:b w:val="0"/>
          <w:bCs w:val="0"/>
          <w:kern w:val="0"/>
          <w:sz w:val="32"/>
          <w:szCs w:val="32"/>
          <w:shd w:val="clear" w:fill="FFFFFF"/>
        </w:rPr>
        <w:t xml:space="preserve">, </w:t>
      </w:r>
      <w:r>
        <w:rPr>
          <w:rFonts w:hint="eastAsia" w:ascii="仿宋_GB2312" w:hAnsi="宋体" w:eastAsia="仿宋_GB2312" w:cs="仿宋_GB2312"/>
          <w:b w:val="0"/>
          <w:bCs w:val="0"/>
          <w:kern w:val="0"/>
          <w:sz w:val="32"/>
          <w:szCs w:val="32"/>
          <w:shd w:val="clear" w:fill="FFFFFF"/>
        </w:rPr>
        <w:t>衡量部门（单位）对财政拨款的依赖程度。</w:t>
      </w:r>
    </w:p>
    <w:p>
      <w:pPr>
        <w:pStyle w:val="36"/>
        <w:keepNext w:val="0"/>
        <w:keepLines w:val="0"/>
        <w:widowControl/>
        <w:suppressLineNumbers w:val="0"/>
        <w:autoSpaceDE w:val="0"/>
        <w:autoSpaceDN/>
        <w:spacing w:before="0" w:beforeAutospacing="0" w:line="576" w:lineRule="exact"/>
        <w:ind w:left="0" w:firstLine="640" w:firstLineChars="200"/>
        <w:jc w:val="left"/>
        <w:rPr>
          <w:rFonts w:hint="eastAsia" w:ascii="仿宋_GB2312" w:hAnsi="仿宋_GB2312" w:eastAsia="仿宋_GB2312" w:cs="仿宋_GB2312"/>
          <w:sz w:val="32"/>
          <w:szCs w:val="32"/>
          <w:lang w:val="en-US" w:eastAsia="zh-CN"/>
        </w:rPr>
      </w:pPr>
      <w:r>
        <w:rPr>
          <w:rFonts w:hint="eastAsia" w:ascii="仿宋_GB2312" w:hAnsi="宋体" w:eastAsia="仿宋_GB2312" w:cs="仿宋_GB2312"/>
          <w:b w:val="0"/>
          <w:bCs w:val="0"/>
          <w:kern w:val="0"/>
          <w:sz w:val="32"/>
          <w:szCs w:val="32"/>
          <w:shd w:val="clear" w:fill="FFFFFF"/>
        </w:rPr>
        <w:t>财政拨款依存度＝财政拨款收入÷收入总额×</w:t>
      </w:r>
      <w:r>
        <w:rPr>
          <w:rFonts w:hint="eastAsia" w:ascii="宋体" w:hAnsi="宋体" w:eastAsia="宋体" w:cs="宋体"/>
          <w:b w:val="0"/>
          <w:bCs w:val="0"/>
          <w:kern w:val="0"/>
          <w:sz w:val="32"/>
          <w:szCs w:val="32"/>
          <w:shd w:val="clear" w:fill="FFFFFF"/>
        </w:rPr>
        <w:t>100%=100.00%</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2</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4ZmU2ZDlhZDk4ZjJjZTk5ODcxYWNkNWNiN2Q4YmQ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3151C86"/>
    <w:rsid w:val="03D57495"/>
    <w:rsid w:val="08B90703"/>
    <w:rsid w:val="092E7116"/>
    <w:rsid w:val="0EC22BB9"/>
    <w:rsid w:val="10C055FF"/>
    <w:rsid w:val="13491AC7"/>
    <w:rsid w:val="14C926DC"/>
    <w:rsid w:val="159E0439"/>
    <w:rsid w:val="16BB723D"/>
    <w:rsid w:val="19112E2A"/>
    <w:rsid w:val="1D3909B0"/>
    <w:rsid w:val="205A2D41"/>
    <w:rsid w:val="240371BF"/>
    <w:rsid w:val="279D1605"/>
    <w:rsid w:val="29FD04D3"/>
    <w:rsid w:val="2C2E4AE9"/>
    <w:rsid w:val="2C5404F4"/>
    <w:rsid w:val="319F7F4E"/>
    <w:rsid w:val="32CE5C80"/>
    <w:rsid w:val="351C09C1"/>
    <w:rsid w:val="35235501"/>
    <w:rsid w:val="37134E69"/>
    <w:rsid w:val="3DE47B94"/>
    <w:rsid w:val="413A50D7"/>
    <w:rsid w:val="44F704CE"/>
    <w:rsid w:val="4B1931D8"/>
    <w:rsid w:val="4D3F3BB6"/>
    <w:rsid w:val="4ECE2238"/>
    <w:rsid w:val="52285730"/>
    <w:rsid w:val="57315319"/>
    <w:rsid w:val="57A70DE1"/>
    <w:rsid w:val="591B691A"/>
    <w:rsid w:val="5E672D8A"/>
    <w:rsid w:val="61864F43"/>
    <w:rsid w:val="62D456F0"/>
    <w:rsid w:val="64575BCE"/>
    <w:rsid w:val="66E0190A"/>
    <w:rsid w:val="672F270C"/>
    <w:rsid w:val="67C30BB0"/>
    <w:rsid w:val="67C3769D"/>
    <w:rsid w:val="68C11A7B"/>
    <w:rsid w:val="69365AC7"/>
    <w:rsid w:val="6BA727E8"/>
    <w:rsid w:val="6EED6176"/>
    <w:rsid w:val="72734D90"/>
    <w:rsid w:val="72D90AD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style>
  <w:style w:type="paragraph" w:styleId="3">
    <w:name w:val="Body Text Indent"/>
    <w:basedOn w:val="1"/>
    <w:next w:val="2"/>
    <w:qFormat/>
    <w:uiPriority w:val="99"/>
    <w:pPr>
      <w:spacing w:after="120"/>
      <w:ind w:left="420" w:leftChars="200"/>
    </w:pPr>
    <w:rPr>
      <w:szCs w:val="20"/>
    </w:rPr>
  </w:style>
  <w:style w:type="paragraph" w:styleId="7">
    <w:name w:val="Body Text"/>
    <w:basedOn w:val="1"/>
    <w:link w:val="24"/>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0"/>
    <w:unhideWhenUsed/>
    <w:qFormat/>
    <w:uiPriority w:val="99"/>
    <w:rPr>
      <w:sz w:val="18"/>
      <w:szCs w:val="18"/>
    </w:rPr>
  </w:style>
  <w:style w:type="paragraph" w:styleId="10">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next w:val="9"/>
    <w:qFormat/>
    <w:uiPriority w:val="0"/>
    <w:pPr>
      <w:widowControl w:val="0"/>
      <w:spacing w:before="100" w:beforeAutospacing="1" w:after="100" w:afterAutospacing="1"/>
    </w:pPr>
    <w:rPr>
      <w:rFonts w:ascii="宋体" w:eastAsia="宋体"/>
      <w:kern w:val="2"/>
      <w:sz w:val="24"/>
      <w:lang w:val="en-US" w:eastAsia="zh-CN" w:bidi="ar-SA"/>
    </w:r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字符"/>
    <w:link w:val="11"/>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字符"/>
    <w:link w:val="10"/>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字符"/>
    <w:link w:val="7"/>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字符"/>
    <w:basedOn w:val="16"/>
    <w:link w:val="4"/>
    <w:qFormat/>
    <w:uiPriority w:val="9"/>
    <w:rPr>
      <w:rFonts w:ascii="Times New Roman" w:hAnsi="Times New Roman"/>
      <w:b/>
      <w:bCs/>
      <w:kern w:val="44"/>
      <w:sz w:val="44"/>
      <w:szCs w:val="44"/>
    </w:rPr>
  </w:style>
  <w:style w:type="character" w:customStyle="1" w:styleId="28">
    <w:name w:val="标题 2 字符"/>
    <w:basedOn w:val="16"/>
    <w:link w:val="5"/>
    <w:qFormat/>
    <w:uiPriority w:val="9"/>
    <w:rPr>
      <w:rFonts w:asciiTheme="majorHAnsi" w:hAnsiTheme="majorHAnsi" w:eastAsiaTheme="majorEastAsia" w:cstheme="majorBidi"/>
      <w:b/>
      <w:bCs/>
      <w:kern w:val="2"/>
      <w:sz w:val="32"/>
      <w:szCs w:val="32"/>
    </w:rPr>
  </w:style>
  <w:style w:type="paragraph" w:customStyle="1" w:styleId="29">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字符"/>
    <w:basedOn w:val="16"/>
    <w:link w:val="9"/>
    <w:semiHidden/>
    <w:qFormat/>
    <w:uiPriority w:val="99"/>
    <w:rPr>
      <w:rFonts w:ascii="Times New Roman" w:hAnsi="Times New Roman"/>
      <w:kern w:val="2"/>
      <w:sz w:val="18"/>
      <w:szCs w:val="18"/>
    </w:rPr>
  </w:style>
  <w:style w:type="character" w:customStyle="1" w:styleId="31">
    <w:name w:val="标题 3 字符"/>
    <w:basedOn w:val="16"/>
    <w:link w:val="6"/>
    <w:qFormat/>
    <w:uiPriority w:val="9"/>
    <w:rPr>
      <w:rFonts w:ascii="Times New Roman" w:hAnsi="Times New Roman"/>
      <w:b/>
      <w:bCs/>
      <w:kern w:val="2"/>
      <w:sz w:val="32"/>
      <w:szCs w:val="32"/>
    </w:rPr>
  </w:style>
  <w:style w:type="paragraph" w:customStyle="1" w:styleId="32">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3">
    <w:name w:val="WPSOffice手动目录 1"/>
    <w:qFormat/>
    <w:uiPriority w:val="0"/>
    <w:pPr>
      <w:ind w:leftChars="0"/>
    </w:pPr>
    <w:rPr>
      <w:rFonts w:ascii="Times New Roman" w:hAnsi="Times New Roman" w:eastAsia="宋体" w:cs="Times New Roman"/>
      <w:sz w:val="20"/>
      <w:szCs w:val="20"/>
    </w:rPr>
  </w:style>
  <w:style w:type="paragraph" w:customStyle="1" w:styleId="34">
    <w:name w:val="WPSOffice手动目录 2"/>
    <w:qFormat/>
    <w:uiPriority w:val="0"/>
    <w:pPr>
      <w:ind w:leftChars="200"/>
    </w:pPr>
    <w:rPr>
      <w:rFonts w:ascii="Times New Roman" w:hAnsi="Times New Roman" w:eastAsia="宋体" w:cs="Times New Roman"/>
      <w:sz w:val="20"/>
      <w:szCs w:val="20"/>
    </w:rPr>
  </w:style>
  <w:style w:type="character" w:customStyle="1" w:styleId="35">
    <w:name w:val="25"/>
    <w:basedOn w:val="16"/>
    <w:qFormat/>
    <w:uiPriority w:val="0"/>
    <w:rPr>
      <w:rFonts w:hint="default" w:ascii="Times New Roman" w:hAnsi="Times New Roman" w:cs="Times New Roman"/>
      <w:b/>
      <w:bCs/>
    </w:rPr>
  </w:style>
  <w:style w:type="paragraph" w:customStyle="1" w:styleId="36">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24037;&#20316;&#31807;2"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2"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2"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2"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2"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2"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[工作簿2]Sheet1!$A$2</c:f>
              <c:strCache>
                <c:ptCount val="1"/>
                <c:pt idx="0">
                  <c:v>2020年</c:v>
                </c:pt>
              </c:strCache>
            </c:strRef>
          </c:tx>
          <c:spPr>
            <a:solidFill>
              <a:schemeClr val="accent1"/>
            </a:solidFill>
            <a:ln>
              <a:noFill/>
            </a:ln>
            <a:effectLst/>
          </c:spPr>
          <c:invertIfNegative val="0"/>
          <c:dLbls>
            <c:delete val="1"/>
          </c:dLbls>
          <c:cat>
            <c:strRef>
              <c:f>[工作簿2]Sheet1!$B$1:$C$1</c:f>
              <c:strCache>
                <c:ptCount val="2"/>
                <c:pt idx="0">
                  <c:v>收总计</c:v>
                </c:pt>
                <c:pt idx="1">
                  <c:v>支总计</c:v>
                </c:pt>
              </c:strCache>
            </c:strRef>
          </c:cat>
          <c:val>
            <c:numRef>
              <c:f>[工作簿2]Sheet1!$B$2:$C$2</c:f>
              <c:numCache>
                <c:formatCode>General</c:formatCode>
                <c:ptCount val="2"/>
                <c:pt idx="0">
                  <c:v>1052.98</c:v>
                </c:pt>
                <c:pt idx="1">
                  <c:v>1078.76</c:v>
                </c:pt>
              </c:numCache>
            </c:numRef>
          </c:val>
        </c:ser>
        <c:ser>
          <c:idx val="1"/>
          <c:order val="1"/>
          <c:tx>
            <c:strRef>
              <c:f>[工作簿2]Sheet1!$A$3</c:f>
              <c:strCache>
                <c:ptCount val="1"/>
                <c:pt idx="0">
                  <c:v>2021年</c:v>
                </c:pt>
              </c:strCache>
            </c:strRef>
          </c:tx>
          <c:spPr>
            <a:solidFill>
              <a:schemeClr val="accent2"/>
            </a:solidFill>
            <a:ln>
              <a:noFill/>
            </a:ln>
            <a:effectLst/>
          </c:spPr>
          <c:invertIfNegative val="0"/>
          <c:dLbls>
            <c:delete val="1"/>
          </c:dLbls>
          <c:cat>
            <c:strRef>
              <c:f>[工作簿2]Sheet1!$B$1:$C$1</c:f>
              <c:strCache>
                <c:ptCount val="2"/>
                <c:pt idx="0">
                  <c:v>收总计</c:v>
                </c:pt>
                <c:pt idx="1">
                  <c:v>支总计</c:v>
                </c:pt>
              </c:strCache>
            </c:strRef>
          </c:cat>
          <c:val>
            <c:numRef>
              <c:f>[工作簿2]Sheet1!$B$3:$C$3</c:f>
              <c:numCache>
                <c:formatCode>General</c:formatCode>
                <c:ptCount val="2"/>
                <c:pt idx="0">
                  <c:v>968.76</c:v>
                </c:pt>
                <c:pt idx="1">
                  <c:v>1064.84</c:v>
                </c:pt>
              </c:numCache>
            </c:numRef>
          </c:val>
        </c:ser>
        <c:dLbls>
          <c:showLegendKey val="0"/>
          <c:showVal val="0"/>
          <c:showCatName val="0"/>
          <c:showSerName val="0"/>
          <c:showPercent val="0"/>
          <c:showBubbleSize val="0"/>
        </c:dLbls>
        <c:gapWidth val="219"/>
        <c:overlap val="-27"/>
        <c:axId val="436922785"/>
        <c:axId val="872873312"/>
      </c:barChart>
      <c:catAx>
        <c:axId val="43692278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72873312"/>
        <c:crosses val="autoZero"/>
        <c:auto val="1"/>
        <c:lblAlgn val="ctr"/>
        <c:lblOffset val="100"/>
        <c:noMultiLvlLbl val="0"/>
      </c:catAx>
      <c:valAx>
        <c:axId val="872873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692278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spPr/>
          <c:explosion val="0"/>
          <c:dPt>
            <c:idx val="0"/>
            <c:bubble3D val="0"/>
            <c:explosion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100%</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1"/>
              <c:delete val="1"/>
            </c:dLbl>
            <c:dLbl>
              <c:idx val="2"/>
              <c:delete val="1"/>
            </c:dLbl>
            <c:dLbl>
              <c:idx val="3"/>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0</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一般公共预算财政拨款收入</c:v>
                </c:pt>
                <c:pt idx="1">
                  <c:v>其他收入</c:v>
                </c:pt>
                <c:pt idx="2">
                  <c:v>第三季度</c:v>
                </c:pt>
                <c:pt idx="3">
                  <c:v>第四季度</c:v>
                </c:pt>
              </c:strCache>
            </c:strRef>
          </c:cat>
          <c:val>
            <c:numRef>
              <c:f>Sheet1!$B$2:$B$5</c:f>
              <c:numCache>
                <c:formatCode>General</c:formatCode>
                <c:ptCount val="4"/>
                <c:pt idx="0">
                  <c:v>683.57</c:v>
                </c:pt>
                <c:pt idx="1">
                  <c:v>0</c:v>
                </c:pt>
                <c:pt idx="2">
                  <c:v>0</c:v>
                </c:pt>
                <c:pt idx="3">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[工作簿2]Sheet1!$A$8:$B$8</c:f>
              <c:strCache>
                <c:ptCount val="2"/>
                <c:pt idx="0">
                  <c:v>基本支出</c:v>
                </c:pt>
                <c:pt idx="1">
                  <c:v>项目支出</c:v>
                </c:pt>
              </c:strCache>
            </c:strRef>
          </c:cat>
          <c:val>
            <c:numRef>
              <c:f>[工作簿2]Sheet1!$A$9:$B$9</c:f>
              <c:numCache>
                <c:formatCode>0%</c:formatCode>
                <c:ptCount val="2"/>
                <c:pt idx="0">
                  <c:v>0.66</c:v>
                </c:pt>
                <c:pt idx="1">
                  <c:v>0.34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[工作簿2]Sheet1!$A$2</c:f>
              <c:strCache>
                <c:ptCount val="1"/>
                <c:pt idx="0">
                  <c:v>2020年</c:v>
                </c:pt>
              </c:strCache>
            </c:strRef>
          </c:tx>
          <c:spPr>
            <a:solidFill>
              <a:schemeClr val="accent1"/>
            </a:solidFill>
            <a:ln>
              <a:noFill/>
            </a:ln>
            <a:effectLst/>
          </c:spPr>
          <c:invertIfNegative val="0"/>
          <c:dLbls>
            <c:delete val="1"/>
          </c:dLbls>
          <c:cat>
            <c:strRef>
              <c:f>[工作簿2]Sheet1!$B$1:$C$1</c:f>
              <c:strCache>
                <c:ptCount val="2"/>
                <c:pt idx="0">
                  <c:v>收总计</c:v>
                </c:pt>
                <c:pt idx="1">
                  <c:v>支总计</c:v>
                </c:pt>
              </c:strCache>
            </c:strRef>
          </c:cat>
          <c:val>
            <c:numRef>
              <c:f>[工作簿2]Sheet1!$B$2:$C$2</c:f>
              <c:numCache>
                <c:formatCode>General</c:formatCode>
                <c:ptCount val="2"/>
                <c:pt idx="0">
                  <c:v>1052.98</c:v>
                </c:pt>
                <c:pt idx="1">
                  <c:v>1078.76</c:v>
                </c:pt>
              </c:numCache>
            </c:numRef>
          </c:val>
        </c:ser>
        <c:ser>
          <c:idx val="1"/>
          <c:order val="1"/>
          <c:tx>
            <c:strRef>
              <c:f>[工作簿2]Sheet1!$A$3</c:f>
              <c:strCache>
                <c:ptCount val="1"/>
                <c:pt idx="0">
                  <c:v>2021年</c:v>
                </c:pt>
              </c:strCache>
            </c:strRef>
          </c:tx>
          <c:spPr>
            <a:solidFill>
              <a:schemeClr val="accent2"/>
            </a:solidFill>
            <a:ln>
              <a:noFill/>
            </a:ln>
            <a:effectLst/>
          </c:spPr>
          <c:invertIfNegative val="0"/>
          <c:dLbls>
            <c:delete val="1"/>
          </c:dLbls>
          <c:cat>
            <c:strRef>
              <c:f>[工作簿2]Sheet1!$B$1:$C$1</c:f>
              <c:strCache>
                <c:ptCount val="2"/>
                <c:pt idx="0">
                  <c:v>收总计</c:v>
                </c:pt>
                <c:pt idx="1">
                  <c:v>支总计</c:v>
                </c:pt>
              </c:strCache>
            </c:strRef>
          </c:cat>
          <c:val>
            <c:numRef>
              <c:f>[工作簿2]Sheet1!$B$3:$C$3</c:f>
              <c:numCache>
                <c:formatCode>General</c:formatCode>
                <c:ptCount val="2"/>
                <c:pt idx="0">
                  <c:v>968.76</c:v>
                </c:pt>
                <c:pt idx="1">
                  <c:v>1064.84</c:v>
                </c:pt>
              </c:numCache>
            </c:numRef>
          </c:val>
        </c:ser>
        <c:dLbls>
          <c:showLegendKey val="0"/>
          <c:showVal val="0"/>
          <c:showCatName val="0"/>
          <c:showSerName val="0"/>
          <c:showPercent val="0"/>
          <c:showBubbleSize val="0"/>
        </c:dLbls>
        <c:gapWidth val="199"/>
        <c:overlap val="0"/>
        <c:axId val="436922785"/>
        <c:axId val="872873312"/>
      </c:barChart>
      <c:catAx>
        <c:axId val="43692278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cap="none" spc="0" normalizeH="0" baseline="0">
                <a:solidFill>
                  <a:schemeClr val="tx1">
                    <a:lumMod val="65000"/>
                    <a:lumOff val="35000"/>
                  </a:schemeClr>
                </a:solidFill>
                <a:latin typeface="+mn-lt"/>
                <a:ea typeface="+mn-ea"/>
                <a:cs typeface="+mn-cs"/>
              </a:defRPr>
            </a:pPr>
          </a:p>
        </c:txPr>
        <c:crossAx val="872873312"/>
        <c:crosses val="autoZero"/>
        <c:auto val="1"/>
        <c:lblAlgn val="ctr"/>
        <c:lblOffset val="100"/>
        <c:noMultiLvlLbl val="0"/>
      </c:catAx>
      <c:valAx>
        <c:axId val="87287331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6922785"/>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[工作簿2]Sheet1!$B$1</c:f>
              <c:strCache>
                <c:ptCount val="1"/>
                <c:pt idx="0">
                  <c:v>收总计</c:v>
                </c:pt>
              </c:strCache>
            </c:strRef>
          </c:tx>
          <c:spPr>
            <a:solidFill>
              <a:schemeClr val="accent1"/>
            </a:solidFill>
            <a:ln>
              <a:noFill/>
            </a:ln>
            <a:effectLst/>
          </c:spPr>
          <c:invertIfNegative val="0"/>
          <c:dLbls>
            <c:delete val="1"/>
          </c:dLbls>
          <c:cat>
            <c:strRef>
              <c:f>[工作簿2]Sheet1!$A$2:$A$3</c:f>
              <c:strCache>
                <c:ptCount val="2"/>
                <c:pt idx="0">
                  <c:v>2020年</c:v>
                </c:pt>
                <c:pt idx="1">
                  <c:v>2021年</c:v>
                </c:pt>
              </c:strCache>
            </c:strRef>
          </c:cat>
          <c:val>
            <c:numRef>
              <c:f>[工作簿2]Sheet1!$B$2:$B$3</c:f>
              <c:numCache>
                <c:formatCode>General</c:formatCode>
                <c:ptCount val="2"/>
                <c:pt idx="0">
                  <c:v>1052.98</c:v>
                </c:pt>
                <c:pt idx="1">
                  <c:v>968.76</c:v>
                </c:pt>
              </c:numCache>
            </c:numRef>
          </c:val>
        </c:ser>
        <c:dLbls>
          <c:showLegendKey val="0"/>
          <c:showVal val="0"/>
          <c:showCatName val="0"/>
          <c:showSerName val="0"/>
          <c:showPercent val="0"/>
          <c:showBubbleSize val="0"/>
        </c:dLbls>
        <c:gapWidth val="219"/>
        <c:overlap val="-27"/>
        <c:axId val="620648789"/>
        <c:axId val="819589733"/>
      </c:barChart>
      <c:catAx>
        <c:axId val="62064878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9589733"/>
        <c:crosses val="autoZero"/>
        <c:auto val="1"/>
        <c:lblAlgn val="ctr"/>
        <c:lblOffset val="100"/>
        <c:noMultiLvlLbl val="0"/>
      </c:catAx>
      <c:valAx>
        <c:axId val="81958973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064878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[工作簿2]Sheet1!$A$13:$A$19</c:f>
              <c:strCache>
                <c:ptCount val="7"/>
                <c:pt idx="0">
                  <c:v>一般公共服务支出</c:v>
                </c:pt>
                <c:pt idx="1">
                  <c:v>文化旅游体育与传媒支出</c:v>
                </c:pt>
                <c:pt idx="2">
                  <c:v>社会保障和就业支出</c:v>
                </c:pt>
                <c:pt idx="3">
                  <c:v>卫生健康支出</c:v>
                </c:pt>
                <c:pt idx="4">
                  <c:v>农林水支出</c:v>
                </c:pt>
                <c:pt idx="5">
                  <c:v>住房保障支出</c:v>
                </c:pt>
                <c:pt idx="6">
                  <c:v>其他支出</c:v>
                </c:pt>
              </c:strCache>
            </c:strRef>
          </c:cat>
          <c:val>
            <c:numRef>
              <c:f>[工作簿2]Sheet1!$B$13:$B$19</c:f>
              <c:numCache>
                <c:formatCode>0.00%</c:formatCode>
                <c:ptCount val="7"/>
                <c:pt idx="0">
                  <c:v>0.556</c:v>
                </c:pt>
                <c:pt idx="1">
                  <c:v>0.186</c:v>
                </c:pt>
                <c:pt idx="2">
                  <c:v>0.029</c:v>
                </c:pt>
                <c:pt idx="3">
                  <c:v>0.046</c:v>
                </c:pt>
                <c:pt idx="4">
                  <c:v>0.0047</c:v>
                </c:pt>
                <c:pt idx="5">
                  <c:v>0.082</c:v>
                </c:pt>
                <c:pt idx="6">
                  <c:v>0.0963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[工作簿2]Sheet1!$A$24:$A$26</c:f>
              <c:strCache>
                <c:ptCount val="3"/>
                <c:pt idx="0">
                  <c:v>因公出国（境）费支出</c:v>
                </c:pt>
                <c:pt idx="1">
                  <c:v>公务用车购置及运行维护费支出</c:v>
                </c:pt>
                <c:pt idx="2">
                  <c:v>公务接待费支出</c:v>
                </c:pt>
              </c:strCache>
            </c:strRef>
          </c:cat>
          <c:val>
            <c:numRef>
              <c:f>[工作簿2]Sheet1!$B$24:$B$26</c:f>
              <c:numCache>
                <c:formatCode>0%</c:formatCode>
                <c:ptCount val="3"/>
                <c:pt idx="0">
                  <c:v>0</c:v>
                </c:pt>
                <c:pt idx="1">
                  <c:v>1</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25</Pages>
  <Words>7842</Words>
  <Characters>8976</Characters>
  <Lines>61</Lines>
  <Paragraphs>17</Paragraphs>
  <TotalTime>1</TotalTime>
  <ScaleCrop>false</ScaleCrop>
  <LinksUpToDate>false</LinksUpToDate>
  <CharactersWithSpaces>9107</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WPS_1661073194</cp:lastModifiedBy>
  <cp:lastPrinted>2020-07-23T02:58:00Z</cp:lastPrinted>
  <dcterms:modified xsi:type="dcterms:W3CDTF">2022-12-20T14:46:02Z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A6BEDB6D2F4C443EB29B49BF4B20B048</vt:lpwstr>
  </property>
</Properties>
</file>