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EA2" w:rsidRDefault="002C6EA2" w:rsidP="002C6EA2">
      <w:pPr>
        <w:pStyle w:val="a5"/>
        <w:shd w:val="clear" w:color="auto" w:fill="FFFFFF"/>
        <w:spacing w:before="0" w:beforeAutospacing="0" w:after="0" w:afterAutospacing="0" w:line="576" w:lineRule="exact"/>
        <w:ind w:firstLineChars="200" w:firstLine="482"/>
        <w:jc w:val="center"/>
        <w:rPr>
          <w:shd w:val="clear" w:color="auto" w:fill="FFFFFF"/>
        </w:rPr>
      </w:pPr>
      <w:r>
        <w:rPr>
          <w:rStyle w:val="16"/>
          <w:rFonts w:hint="eastAsia"/>
          <w:shd w:val="clear" w:color="auto" w:fill="FFFFFF"/>
        </w:rPr>
        <w:t>阿坝州红原县查尔玛乡人民政府</w:t>
      </w:r>
      <w:r>
        <w:rPr>
          <w:rStyle w:val="16"/>
          <w:rFonts w:hint="eastAsia"/>
          <w:shd w:val="clear" w:color="auto" w:fill="FFFFFF"/>
        </w:rPr>
        <w:t>2021</w:t>
      </w:r>
      <w:r>
        <w:rPr>
          <w:rStyle w:val="16"/>
          <w:rFonts w:hint="eastAsia"/>
          <w:shd w:val="clear" w:color="auto" w:fill="FFFFFF"/>
        </w:rPr>
        <w:t>年度部门决算分析报告</w:t>
      </w:r>
    </w:p>
    <w:p w:rsidR="002C6EA2" w:rsidRDefault="002C6EA2" w:rsidP="002C6EA2">
      <w:pPr>
        <w:pStyle w:val="a5"/>
        <w:shd w:val="clear" w:color="auto" w:fill="FFFFFF"/>
        <w:spacing w:before="0" w:beforeAutospacing="0" w:after="0" w:afterAutospacing="0" w:line="576" w:lineRule="exact"/>
        <w:ind w:firstLineChars="200" w:firstLine="420"/>
        <w:rPr>
          <w:rFonts w:ascii="黑体" w:eastAsia="黑体" w:hint="eastAsia"/>
          <w:sz w:val="21"/>
          <w:szCs w:val="21"/>
          <w:shd w:val="clear" w:color="auto" w:fill="FFFFFF"/>
        </w:rPr>
      </w:pPr>
      <w:r>
        <w:rPr>
          <w:rFonts w:ascii="黑体" w:eastAsia="黑体" w:hAnsi="黑体" w:hint="eastAsia"/>
          <w:sz w:val="21"/>
          <w:szCs w:val="21"/>
          <w:shd w:val="clear" w:color="auto" w:fill="FFFFFF"/>
        </w:rPr>
        <w:t>一、单位情况</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（一）基本情况。</w:t>
      </w:r>
    </w:p>
    <w:p w:rsidR="002C6EA2" w:rsidRDefault="002C6EA2" w:rsidP="002C6EA2">
      <w:pPr>
        <w:pStyle w:val="a5"/>
        <w:shd w:val="clear" w:color="auto" w:fill="FFFFFF"/>
        <w:spacing w:before="0" w:beforeAutospacing="0" w:after="0" w:afterAutospacing="0" w:line="576" w:lineRule="exact"/>
        <w:ind w:firstLineChars="200" w:firstLine="422"/>
        <w:rPr>
          <w:rFonts w:hint="eastAsia"/>
          <w:b/>
          <w:sz w:val="21"/>
          <w:szCs w:val="21"/>
          <w:shd w:val="clear" w:color="auto" w:fill="FFFFFF"/>
        </w:rPr>
      </w:pPr>
      <w:r>
        <w:rPr>
          <w:rFonts w:hint="eastAsia"/>
          <w:b/>
          <w:sz w:val="21"/>
          <w:szCs w:val="21"/>
          <w:shd w:val="clear" w:color="auto" w:fill="FFFFFF"/>
        </w:rPr>
        <w:t>1．主要职能。</w:t>
      </w:r>
    </w:p>
    <w:p w:rsidR="002C6EA2" w:rsidRDefault="002C6EA2" w:rsidP="002C6EA2">
      <w:pPr>
        <w:pStyle w:val="a5"/>
        <w:shd w:val="clear" w:color="auto" w:fill="FFFFFF"/>
        <w:spacing w:before="0" w:beforeAutospacing="0" w:after="0" w:afterAutospacing="0" w:line="576" w:lineRule="exact"/>
        <w:ind w:firstLineChars="200" w:firstLine="420"/>
        <w:rPr>
          <w:rFonts w:hint="eastAsia"/>
          <w:bCs/>
          <w:sz w:val="21"/>
          <w:szCs w:val="21"/>
          <w:shd w:val="clear" w:color="auto" w:fill="FFFFFF"/>
        </w:rPr>
      </w:pPr>
      <w:r>
        <w:rPr>
          <w:rFonts w:hint="eastAsia"/>
          <w:bCs/>
          <w:sz w:val="21"/>
          <w:szCs w:val="21"/>
          <w:shd w:val="clear" w:color="auto" w:fill="FFFFFF"/>
        </w:rPr>
        <w:t xml:space="preserve"> 一是制定并组织实施乡村建设规划,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2．本单位本年度纳入本套决算编制范围的独立编制机构数共5个，比上年增加3个，</w:t>
      </w:r>
      <w:r>
        <w:rPr>
          <w:rStyle w:val="16"/>
          <w:rFonts w:hint="eastAsia"/>
          <w:sz w:val="21"/>
          <w:szCs w:val="21"/>
          <w:shd w:val="clear" w:color="auto" w:fill="FFFFFF"/>
        </w:rPr>
        <w:t>变动情况及原因为红委办﹝</w:t>
      </w:r>
      <w:r>
        <w:rPr>
          <w:rStyle w:val="16"/>
          <w:rFonts w:hint="eastAsia"/>
          <w:sz w:val="21"/>
          <w:szCs w:val="21"/>
          <w:shd w:val="clear" w:color="auto" w:fill="FFFFFF"/>
        </w:rPr>
        <w:t>2020</w:t>
      </w:r>
      <w:r>
        <w:rPr>
          <w:rStyle w:val="16"/>
          <w:rFonts w:hint="eastAsia"/>
          <w:sz w:val="21"/>
          <w:szCs w:val="21"/>
          <w:shd w:val="clear" w:color="auto" w:fill="FFFFFF"/>
        </w:rPr>
        <w:t>﹞</w:t>
      </w:r>
      <w:r>
        <w:rPr>
          <w:rStyle w:val="16"/>
          <w:rFonts w:hint="eastAsia"/>
          <w:sz w:val="21"/>
          <w:szCs w:val="21"/>
          <w:shd w:val="clear" w:color="auto" w:fill="FFFFFF"/>
        </w:rPr>
        <w:t>126</w:t>
      </w:r>
      <w:r>
        <w:rPr>
          <w:rStyle w:val="16"/>
          <w:rFonts w:hint="eastAsia"/>
          <w:sz w:val="21"/>
          <w:szCs w:val="21"/>
          <w:shd w:val="clear" w:color="auto" w:fill="FFFFFF"/>
        </w:rPr>
        <w:t>号文件新三定方案内设机构增加</w:t>
      </w:r>
      <w:r>
        <w:rPr>
          <w:rFonts w:hint="eastAsia"/>
          <w:sz w:val="21"/>
          <w:szCs w:val="21"/>
          <w:shd w:val="clear" w:color="auto" w:fill="FFFFFF"/>
        </w:rPr>
        <w:t>；独立核算机构数共5个，比上年增加3个，</w:t>
      </w:r>
      <w:r>
        <w:rPr>
          <w:rStyle w:val="16"/>
          <w:rFonts w:hint="eastAsia"/>
          <w:sz w:val="21"/>
          <w:szCs w:val="21"/>
          <w:shd w:val="clear" w:color="auto" w:fill="FFFFFF"/>
        </w:rPr>
        <w:t>变动情况及原因为红委办﹝</w:t>
      </w:r>
      <w:r>
        <w:rPr>
          <w:rStyle w:val="16"/>
          <w:rFonts w:hint="eastAsia"/>
          <w:sz w:val="21"/>
          <w:szCs w:val="21"/>
          <w:shd w:val="clear" w:color="auto" w:fill="FFFFFF"/>
        </w:rPr>
        <w:t>2020</w:t>
      </w:r>
      <w:r>
        <w:rPr>
          <w:rStyle w:val="16"/>
          <w:rFonts w:hint="eastAsia"/>
          <w:sz w:val="21"/>
          <w:szCs w:val="21"/>
          <w:shd w:val="clear" w:color="auto" w:fill="FFFFFF"/>
        </w:rPr>
        <w:t>﹞</w:t>
      </w:r>
      <w:r>
        <w:rPr>
          <w:rStyle w:val="16"/>
          <w:rFonts w:hint="eastAsia"/>
          <w:sz w:val="21"/>
          <w:szCs w:val="21"/>
          <w:shd w:val="clear" w:color="auto" w:fill="FFFFFF"/>
        </w:rPr>
        <w:t>126</w:t>
      </w:r>
      <w:r>
        <w:rPr>
          <w:rStyle w:val="16"/>
          <w:rFonts w:hint="eastAsia"/>
          <w:sz w:val="21"/>
          <w:szCs w:val="21"/>
          <w:shd w:val="clear" w:color="auto" w:fill="FFFFFF"/>
        </w:rPr>
        <w:t>号文件新三定方案内设机构增加。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3． 本单位本年度年末实有人数为32人，比上年增加9人；年末实有离退休人数为1人，比上年增加1人；</w:t>
      </w:r>
      <w:r>
        <w:rPr>
          <w:rStyle w:val="16"/>
          <w:rFonts w:hint="eastAsia"/>
          <w:sz w:val="21"/>
          <w:szCs w:val="21"/>
          <w:shd w:val="clear" w:color="auto" w:fill="FFFFFF"/>
        </w:rPr>
        <w:t>变动情况及原因为红委办﹝</w:t>
      </w:r>
      <w:r>
        <w:rPr>
          <w:rStyle w:val="16"/>
          <w:rFonts w:hint="eastAsia"/>
          <w:sz w:val="21"/>
          <w:szCs w:val="21"/>
          <w:shd w:val="clear" w:color="auto" w:fill="FFFFFF"/>
        </w:rPr>
        <w:t>2020</w:t>
      </w:r>
      <w:r>
        <w:rPr>
          <w:rStyle w:val="16"/>
          <w:rFonts w:hint="eastAsia"/>
          <w:sz w:val="21"/>
          <w:szCs w:val="21"/>
          <w:shd w:val="clear" w:color="auto" w:fill="FFFFFF"/>
        </w:rPr>
        <w:t>﹞</w:t>
      </w:r>
      <w:r>
        <w:rPr>
          <w:rStyle w:val="16"/>
          <w:rFonts w:hint="eastAsia"/>
          <w:sz w:val="21"/>
          <w:szCs w:val="21"/>
          <w:shd w:val="clear" w:color="auto" w:fill="FFFFFF"/>
        </w:rPr>
        <w:t>126</w:t>
      </w:r>
      <w:r>
        <w:rPr>
          <w:rStyle w:val="16"/>
          <w:rFonts w:hint="eastAsia"/>
          <w:sz w:val="21"/>
          <w:szCs w:val="21"/>
          <w:shd w:val="clear" w:color="auto" w:fill="FFFFFF"/>
        </w:rPr>
        <w:t>号文件新三定方案人员增加。</w:t>
      </w:r>
      <w:r>
        <w:rPr>
          <w:rFonts w:hint="eastAsia"/>
          <w:sz w:val="21"/>
          <w:szCs w:val="21"/>
          <w:shd w:val="clear" w:color="auto" w:fill="FFFFFF"/>
        </w:rPr>
        <w:t>年末实有其他人数为0人，比上年增加0人。</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（二）当年取得的主要事业成效。</w:t>
      </w:r>
    </w:p>
    <w:p w:rsidR="002C6EA2" w:rsidRDefault="002C6EA2" w:rsidP="002C6EA2">
      <w:pPr>
        <w:pStyle w:val="a5"/>
        <w:shd w:val="clear" w:color="auto" w:fill="FFFFFF"/>
        <w:spacing w:before="0" w:beforeAutospacing="0" w:after="0" w:afterAutospacing="0" w:line="576" w:lineRule="exact"/>
        <w:ind w:firstLineChars="200" w:firstLine="422"/>
        <w:rPr>
          <w:rFonts w:hint="eastAsia"/>
          <w:b/>
          <w:sz w:val="21"/>
          <w:szCs w:val="21"/>
          <w:shd w:val="clear" w:color="auto" w:fill="FFFFFF"/>
        </w:rPr>
      </w:pPr>
      <w:r>
        <w:rPr>
          <w:rFonts w:hint="eastAsia"/>
          <w:b/>
          <w:sz w:val="21"/>
          <w:szCs w:val="21"/>
          <w:shd w:val="clear" w:color="auto" w:fill="FFFFFF"/>
        </w:rPr>
        <w:t>一、概述单位工作开展情况及主要事业成效。</w:t>
      </w:r>
    </w:p>
    <w:p w:rsidR="002C6EA2" w:rsidRDefault="002C6EA2" w:rsidP="002C6EA2">
      <w:pPr>
        <w:pStyle w:val="a5"/>
        <w:shd w:val="clear" w:color="auto" w:fill="FFFFFF"/>
        <w:spacing w:before="0" w:beforeAutospacing="0" w:after="0" w:afterAutospacing="0" w:line="576" w:lineRule="exact"/>
        <w:ind w:firstLineChars="200" w:firstLine="422"/>
        <w:rPr>
          <w:rFonts w:hint="eastAsia"/>
          <w:bCs/>
          <w:sz w:val="21"/>
          <w:szCs w:val="21"/>
          <w:shd w:val="clear" w:color="auto" w:fill="FFFFFF"/>
        </w:rPr>
      </w:pPr>
      <w:r>
        <w:rPr>
          <w:rFonts w:hint="eastAsia"/>
          <w:b/>
          <w:bCs/>
          <w:sz w:val="21"/>
          <w:szCs w:val="21"/>
          <w:shd w:val="clear" w:color="auto" w:fill="FFFFFF"/>
        </w:rPr>
        <w:t>一是落实了政策，</w:t>
      </w:r>
      <w:r>
        <w:rPr>
          <w:rFonts w:hint="eastAsia"/>
          <w:bCs/>
          <w:sz w:val="21"/>
          <w:szCs w:val="21"/>
          <w:shd w:val="clear" w:color="auto" w:fill="FFFFFF"/>
        </w:rPr>
        <w:t>宣传、落实好的路线、方针、政策和国家的法律、法规，稳定农村基本经济制度，坚持依法行政，推进政务公开，加强对村民委员会的指导，提高、培育村民委员会自治能力；</w:t>
      </w:r>
      <w:r>
        <w:rPr>
          <w:rFonts w:hint="eastAsia"/>
          <w:b/>
          <w:bCs/>
          <w:sz w:val="21"/>
          <w:szCs w:val="21"/>
          <w:shd w:val="clear" w:color="auto" w:fill="FFFFFF"/>
        </w:rPr>
        <w:t>二是促进了发展，</w:t>
      </w:r>
      <w:r>
        <w:rPr>
          <w:rFonts w:hint="eastAsia"/>
          <w:bCs/>
          <w:sz w:val="21"/>
          <w:szCs w:val="21"/>
          <w:shd w:val="clear" w:color="auto" w:fill="FFFFFF"/>
        </w:rPr>
        <w:t>科学制订发展规划，营造农村经济发展环境，加强农村市场监督，培育、提升市场功能，搞活市场流通，推广农牧业技术，完善农牧业社会化服务体系，引导群众发展现代农牧业，调整产业结构，加强农村劳动力技能培训，引导农村劳动力转移和就业，不断提高社会主义新农村建设水平。</w:t>
      </w:r>
      <w:r>
        <w:rPr>
          <w:rFonts w:hint="eastAsia"/>
          <w:b/>
          <w:bCs/>
          <w:sz w:val="21"/>
          <w:szCs w:val="21"/>
          <w:shd w:val="clear" w:color="auto" w:fill="FFFFFF"/>
        </w:rPr>
        <w:t>三是维护了稳定</w:t>
      </w:r>
      <w:r>
        <w:rPr>
          <w:rFonts w:hint="eastAsia"/>
          <w:bCs/>
          <w:sz w:val="21"/>
          <w:szCs w:val="21"/>
          <w:shd w:val="clear" w:color="auto" w:fill="FFFFFF"/>
        </w:rPr>
        <w:t>，紧紧围绕实现和维护群</w:t>
      </w:r>
      <w:r>
        <w:rPr>
          <w:rFonts w:hint="eastAsia"/>
          <w:bCs/>
          <w:sz w:val="21"/>
          <w:szCs w:val="21"/>
          <w:shd w:val="clear" w:color="auto" w:fill="FFFFFF"/>
        </w:rPr>
        <w:lastRenderedPageBreak/>
        <w:t>众利益开展工作，突出解决人民群众最关心、最直接、最现实的利益问题。加强和巩固农村基层政权建设和民主法制建设，加强社会治安综合治理，加强对突发事件的预警和管理，建立、健全各种应急机制，加强民事纠纷调解，化解农村社会矛盾，开展农村扶贫和社会救助，切实保障农民合法权益，维护农村社会稳定；</w:t>
      </w:r>
      <w:r>
        <w:rPr>
          <w:rFonts w:hint="eastAsia"/>
          <w:b/>
          <w:bCs/>
          <w:sz w:val="21"/>
          <w:szCs w:val="21"/>
          <w:shd w:val="clear" w:color="auto" w:fill="FFFFFF"/>
        </w:rPr>
        <w:t>四是加强了社会管理，</w:t>
      </w:r>
      <w:r>
        <w:rPr>
          <w:rFonts w:hint="eastAsia"/>
          <w:bCs/>
          <w:sz w:val="21"/>
          <w:szCs w:val="21"/>
          <w:shd w:val="clear" w:color="auto" w:fill="FFFFFF"/>
        </w:rPr>
        <w:t>加强民政、教育、科技、文化、卫生、计划生育、安全生产、劳动保障和乡村规划等社会管理，加强社会主义精神文明建设，做好防灾减灾工作，加强环境保护，努力改善农村人居环境，不断提高农村人口素质和农民生活质量；</w:t>
      </w:r>
      <w:r>
        <w:rPr>
          <w:rFonts w:hint="eastAsia"/>
          <w:b/>
          <w:bCs/>
          <w:sz w:val="21"/>
          <w:szCs w:val="21"/>
          <w:shd w:val="clear" w:color="auto" w:fill="FFFFFF"/>
        </w:rPr>
        <w:t>五是提供了惠民服务，</w:t>
      </w:r>
      <w:r>
        <w:rPr>
          <w:rFonts w:hint="eastAsia"/>
          <w:bCs/>
          <w:sz w:val="21"/>
          <w:szCs w:val="21"/>
          <w:shd w:val="clear" w:color="auto" w:fill="FFFFFF"/>
        </w:rPr>
        <w:t>进一步发展和完善农牧业社会化服务体系，引导各类协会和农村专业合作经济组织发展并充分发挥其作用，发展农村社会公益事业和集体公益事业，加强农村基础设施建设，增加公共产品，提供政策、科技、市场信息和社会救济、救助服务，进一步密切党和政府与人民群众的关系。</w:t>
      </w:r>
    </w:p>
    <w:p w:rsidR="002C6EA2" w:rsidRDefault="002C6EA2" w:rsidP="002C6EA2">
      <w:pPr>
        <w:pStyle w:val="a5"/>
        <w:shd w:val="clear" w:color="auto" w:fill="FFFFFF"/>
        <w:spacing w:before="0" w:beforeAutospacing="0" w:after="0" w:afterAutospacing="0" w:line="576" w:lineRule="exact"/>
        <w:ind w:firstLineChars="200" w:firstLine="420"/>
        <w:rPr>
          <w:rFonts w:ascii="黑体" w:eastAsia="黑体" w:hint="eastAsia"/>
          <w:sz w:val="21"/>
          <w:szCs w:val="21"/>
          <w:shd w:val="clear" w:color="auto" w:fill="FFFFFF"/>
        </w:rPr>
      </w:pPr>
      <w:r>
        <w:rPr>
          <w:rFonts w:ascii="黑体" w:eastAsia="黑体" w:hAnsi="黑体" w:hint="eastAsia"/>
          <w:sz w:val="21"/>
          <w:szCs w:val="21"/>
          <w:shd w:val="clear" w:color="auto" w:fill="FFFFFF"/>
        </w:rPr>
        <w:t>二、收入支出预算执行情况分析。</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（一）收入支出预算安排情况。</w:t>
      </w:r>
    </w:p>
    <w:tbl>
      <w:tblPr>
        <w:tblW w:w="0" w:type="auto"/>
        <w:tblCellSpacing w:w="0" w:type="dxa"/>
        <w:tblCellMar>
          <w:left w:w="0" w:type="dxa"/>
          <w:right w:w="0" w:type="dxa"/>
        </w:tblCellMar>
        <w:tblLook w:val="04A0"/>
      </w:tblPr>
      <w:tblGrid>
        <w:gridCol w:w="6"/>
        <w:gridCol w:w="8309"/>
      </w:tblGrid>
      <w:tr w:rsidR="002C6EA2" w:rsidTr="0065406C">
        <w:trPr>
          <w:gridAfter w:val="1"/>
          <w:tblCellSpacing w:w="0" w:type="dxa"/>
        </w:trPr>
        <w:tc>
          <w:tcPr>
            <w:tcW w:w="6" w:type="dxa"/>
            <w:vAlign w:val="center"/>
            <w:hideMark/>
          </w:tcPr>
          <w:p w:rsidR="002C6EA2" w:rsidRDefault="002C6EA2" w:rsidP="0065406C"/>
        </w:tc>
      </w:tr>
      <w:tr w:rsidR="002C6EA2" w:rsidTr="0065406C">
        <w:trPr>
          <w:tblCellSpacing w:w="0" w:type="dxa"/>
        </w:trPr>
        <w:tc>
          <w:tcPr>
            <w:tcW w:w="0" w:type="auto"/>
            <w:vAlign w:val="center"/>
            <w:hideMark/>
          </w:tcPr>
          <w:p w:rsidR="002C6EA2" w:rsidRDefault="002C6EA2" w:rsidP="0065406C"/>
        </w:tc>
        <w:tc>
          <w:tcPr>
            <w:tcW w:w="0" w:type="auto"/>
            <w:vAlign w:val="center"/>
            <w:hideMark/>
          </w:tcPr>
          <w:p w:rsidR="002C6EA2" w:rsidRDefault="002C6EA2" w:rsidP="0065406C">
            <w:r>
              <w:rPr>
                <w:noProof/>
              </w:rPr>
              <w:drawing>
                <wp:inline distT="0" distB="0" distL="0" distR="0">
                  <wp:extent cx="5295900" cy="2733675"/>
                  <wp:effectExtent l="0" t="0" r="0" b="0"/>
                  <wp:docPr id="1" name="图片 1" descr="C:\Users\LENOVO\AppData\Local\Temp\~tmp{2fa34517-0683-47e9-8060-8be024c74f98}1575240.files\~tmp{2fa34517-0683-47e9-8060-8be024c74f98}15752401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Temp\~tmp{2fa34517-0683-47e9-8060-8be024c74f98}1575240.files\~tmp{2fa34517-0683-47e9-8060-8be024c74f98}15752401147.png"/>
                          <pic:cNvPicPr>
                            <a:picLocks noChangeAspect="1" noChangeArrowheads="1"/>
                          </pic:cNvPicPr>
                        </pic:nvPicPr>
                        <pic:blipFill>
                          <a:blip r:embed="rId6"/>
                          <a:srcRect/>
                          <a:stretch>
                            <a:fillRect/>
                          </a:stretch>
                        </pic:blipFill>
                        <pic:spPr bwMode="auto">
                          <a:xfrm>
                            <a:off x="0" y="0"/>
                            <a:ext cx="5295900" cy="2733675"/>
                          </a:xfrm>
                          <a:prstGeom prst="rect">
                            <a:avLst/>
                          </a:prstGeom>
                          <a:noFill/>
                          <a:ln w="9525">
                            <a:noFill/>
                            <a:miter lim="800000"/>
                            <a:headEnd/>
                            <a:tailEnd/>
                          </a:ln>
                        </pic:spPr>
                      </pic:pic>
                    </a:graphicData>
                  </a:graphic>
                </wp:inline>
              </w:drawing>
            </w:r>
          </w:p>
        </w:tc>
      </w:tr>
    </w:tbl>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本单位本年度收入的年初预算数为473.58万元，上年度收入的年初预算数为508.99万元，差异为-35.41万元；</w:t>
      </w:r>
      <w:r>
        <w:rPr>
          <w:rStyle w:val="16"/>
          <w:rFonts w:hint="eastAsia"/>
          <w:sz w:val="21"/>
          <w:szCs w:val="21"/>
          <w:shd w:val="clear" w:color="auto" w:fill="FFFFFF"/>
        </w:rPr>
        <w:t>主要原因为项目减少</w:t>
      </w:r>
      <w:r>
        <w:rPr>
          <w:rFonts w:hint="eastAsia"/>
          <w:sz w:val="21"/>
          <w:szCs w:val="21"/>
          <w:shd w:val="clear" w:color="auto" w:fill="FFFFFF"/>
        </w:rPr>
        <w:t>。本年度支出的年初预算数为598.99万元，上年度支出的年初预算数为508.99万元，差异为89.20万元；</w:t>
      </w:r>
      <w:r>
        <w:rPr>
          <w:rStyle w:val="16"/>
          <w:rFonts w:hint="eastAsia"/>
          <w:sz w:val="21"/>
          <w:szCs w:val="21"/>
          <w:shd w:val="clear" w:color="auto" w:fill="FFFFFF"/>
        </w:rPr>
        <w:t>主要原因为原因人员增加。</w:t>
      </w:r>
      <w:r>
        <w:rPr>
          <w:rFonts w:ascii="仿宋_GB2312" w:hAnsi="仿宋"/>
          <w:sz w:val="32"/>
          <w:szCs w:val="32"/>
          <w:shd w:val="clear" w:color="auto" w:fill="FFFFFF"/>
        </w:rPr>
        <w:t xml:space="preserve"> </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（二）收入支出预算执行情况。</w:t>
      </w:r>
    </w:p>
    <w:tbl>
      <w:tblPr>
        <w:tblW w:w="0" w:type="auto"/>
        <w:tblCellSpacing w:w="0" w:type="dxa"/>
        <w:tblCellMar>
          <w:left w:w="0" w:type="dxa"/>
          <w:right w:w="0" w:type="dxa"/>
        </w:tblCellMar>
        <w:tblLook w:val="04A0"/>
      </w:tblPr>
      <w:tblGrid>
        <w:gridCol w:w="6"/>
        <w:gridCol w:w="7845"/>
      </w:tblGrid>
      <w:tr w:rsidR="002C6EA2" w:rsidTr="0065406C">
        <w:trPr>
          <w:gridAfter w:val="1"/>
          <w:tblCellSpacing w:w="0" w:type="dxa"/>
        </w:trPr>
        <w:tc>
          <w:tcPr>
            <w:tcW w:w="6" w:type="dxa"/>
            <w:vAlign w:val="center"/>
            <w:hideMark/>
          </w:tcPr>
          <w:p w:rsidR="002C6EA2" w:rsidRDefault="002C6EA2" w:rsidP="0065406C"/>
        </w:tc>
      </w:tr>
      <w:tr w:rsidR="002C6EA2" w:rsidTr="0065406C">
        <w:trPr>
          <w:tblCellSpacing w:w="0" w:type="dxa"/>
        </w:trPr>
        <w:tc>
          <w:tcPr>
            <w:tcW w:w="0" w:type="auto"/>
            <w:vAlign w:val="center"/>
            <w:hideMark/>
          </w:tcPr>
          <w:p w:rsidR="002C6EA2" w:rsidRDefault="002C6EA2" w:rsidP="0065406C"/>
        </w:tc>
        <w:tc>
          <w:tcPr>
            <w:tcW w:w="0" w:type="auto"/>
            <w:vAlign w:val="center"/>
            <w:hideMark/>
          </w:tcPr>
          <w:p w:rsidR="002C6EA2" w:rsidRDefault="002C6EA2" w:rsidP="0065406C">
            <w:r>
              <w:rPr>
                <w:noProof/>
              </w:rPr>
              <w:drawing>
                <wp:inline distT="0" distB="0" distL="0" distR="0">
                  <wp:extent cx="4962525" cy="2076450"/>
                  <wp:effectExtent l="19050" t="0" r="0" b="0"/>
                  <wp:docPr id="2" name="图片 2" descr="C:\Users\LENOVO\AppData\Local\Temp\~tmp{2fa34517-0683-47e9-8060-8be024c74f98}1575240.files\~tmp{2fa34517-0683-47e9-8060-8be024c74f98}15752401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tmp{2fa34517-0683-47e9-8060-8be024c74f98}1575240.files\~tmp{2fa34517-0683-47e9-8060-8be024c74f98}15752401297.png"/>
                          <pic:cNvPicPr>
                            <a:picLocks noChangeAspect="1" noChangeArrowheads="1"/>
                          </pic:cNvPicPr>
                        </pic:nvPicPr>
                        <pic:blipFill>
                          <a:blip r:embed="rId7"/>
                          <a:srcRect/>
                          <a:stretch>
                            <a:fillRect/>
                          </a:stretch>
                        </pic:blipFill>
                        <pic:spPr bwMode="auto">
                          <a:xfrm>
                            <a:off x="0" y="0"/>
                            <a:ext cx="4962525" cy="2076450"/>
                          </a:xfrm>
                          <a:prstGeom prst="rect">
                            <a:avLst/>
                          </a:prstGeom>
                          <a:noFill/>
                          <a:ln w="9525">
                            <a:noFill/>
                            <a:miter lim="800000"/>
                            <a:headEnd/>
                            <a:tailEnd/>
                          </a:ln>
                        </pic:spPr>
                      </pic:pic>
                    </a:graphicData>
                  </a:graphic>
                </wp:inline>
              </w:drawing>
            </w:r>
          </w:p>
        </w:tc>
      </w:tr>
    </w:tbl>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本单位本年度收入调整预算数为968.76万元，收入决算数为968.76万元，预算完成度为100.00%，上年度预算完成度为100.00%，</w:t>
      </w:r>
      <w:r>
        <w:rPr>
          <w:rFonts w:hint="eastAsia"/>
          <w:b/>
          <w:sz w:val="21"/>
          <w:szCs w:val="21"/>
          <w:shd w:val="clear" w:color="auto" w:fill="FFFFFF"/>
        </w:rPr>
        <w:t>不</w:t>
      </w:r>
      <w:r>
        <w:rPr>
          <w:rStyle w:val="16"/>
          <w:rFonts w:hint="eastAsia"/>
          <w:sz w:val="21"/>
          <w:szCs w:val="21"/>
          <w:shd w:val="clear" w:color="auto" w:fill="FFFFFF"/>
        </w:rPr>
        <w:t>存在差异</w:t>
      </w:r>
      <w:r>
        <w:rPr>
          <w:rFonts w:hint="eastAsia"/>
          <w:sz w:val="21"/>
          <w:szCs w:val="21"/>
          <w:shd w:val="clear" w:color="auto" w:fill="FFFFFF"/>
        </w:rPr>
        <w:t>。 本年度支出调整预算数为1,064.84万元，支出决算数为1,064.84万元，预算完成度为100.00%，上年度预算完成度为89.64%，</w:t>
      </w:r>
      <w:r>
        <w:rPr>
          <w:rStyle w:val="16"/>
          <w:rFonts w:hint="eastAsia"/>
          <w:sz w:val="21"/>
          <w:szCs w:val="21"/>
          <w:shd w:val="clear" w:color="auto" w:fill="FFFFFF"/>
        </w:rPr>
        <w:t>存在差异的主要原因为有跨年项目</w:t>
      </w:r>
      <w:r>
        <w:rPr>
          <w:rFonts w:hint="eastAsia"/>
          <w:sz w:val="21"/>
          <w:szCs w:val="21"/>
          <w:shd w:val="clear" w:color="auto" w:fill="FFFFFF"/>
        </w:rPr>
        <w:t>。</w:t>
      </w:r>
    </w:p>
    <w:p w:rsidR="002C6EA2" w:rsidRDefault="002C6EA2" w:rsidP="002C6EA2">
      <w:pPr>
        <w:pStyle w:val="a5"/>
        <w:shd w:val="clear" w:color="auto" w:fill="FFFFFF"/>
        <w:spacing w:before="0" w:beforeAutospacing="0" w:after="0" w:afterAutospacing="0" w:line="576" w:lineRule="exact"/>
        <w:ind w:firstLineChars="200" w:firstLine="422"/>
        <w:rPr>
          <w:rFonts w:hint="eastAsia"/>
          <w:sz w:val="21"/>
          <w:szCs w:val="21"/>
          <w:shd w:val="clear" w:color="auto" w:fill="FFFFFF"/>
        </w:rPr>
      </w:pPr>
      <w:r>
        <w:rPr>
          <w:rStyle w:val="16"/>
          <w:rFonts w:hint="eastAsia"/>
          <w:sz w:val="21"/>
          <w:szCs w:val="21"/>
          <w:shd w:val="clear" w:color="auto" w:fill="FFFFFF"/>
        </w:rPr>
        <w:t>1</w:t>
      </w:r>
      <w:r>
        <w:rPr>
          <w:rStyle w:val="16"/>
          <w:rFonts w:hint="eastAsia"/>
          <w:sz w:val="21"/>
          <w:szCs w:val="21"/>
          <w:shd w:val="clear" w:color="auto" w:fill="FFFFFF"/>
        </w:rPr>
        <w:t>．收入支出与预算对比分析。</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（1）预、决算差异情况，可分收入支出功能科目、分单位、</w:t>
      </w:r>
      <w:proofErr w:type="gramStart"/>
      <w:r>
        <w:rPr>
          <w:rFonts w:hint="eastAsia"/>
          <w:sz w:val="21"/>
          <w:szCs w:val="21"/>
          <w:shd w:val="clear" w:color="auto" w:fill="FFFFFF"/>
        </w:rPr>
        <w:t>分收入</w:t>
      </w:r>
      <w:proofErr w:type="gramEnd"/>
      <w:r>
        <w:rPr>
          <w:rFonts w:hint="eastAsia"/>
          <w:sz w:val="21"/>
          <w:szCs w:val="21"/>
          <w:shd w:val="clear" w:color="auto" w:fill="FFFFFF"/>
        </w:rPr>
        <w:t>支出具体项目逐项对比。</w:t>
      </w:r>
    </w:p>
    <w:tbl>
      <w:tblPr>
        <w:tblStyle w:val="a6"/>
        <w:tblW w:w="0" w:type="auto"/>
        <w:tblInd w:w="0" w:type="dxa"/>
        <w:tblLook w:val="04A0"/>
      </w:tblPr>
      <w:tblGrid>
        <w:gridCol w:w="2841"/>
        <w:gridCol w:w="2841"/>
        <w:gridCol w:w="2841"/>
      </w:tblGrid>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按支出功能分</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年初预算（万元）</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b/>
                <w:sz w:val="21"/>
                <w:szCs w:val="21"/>
              </w:rPr>
            </w:pPr>
            <w:r>
              <w:rPr>
                <w:rFonts w:cs="Times New Roman" w:hint="eastAsia"/>
                <w:sz w:val="21"/>
                <w:szCs w:val="21"/>
              </w:rPr>
              <w:t>年</w:t>
            </w:r>
            <w:proofErr w:type="gramStart"/>
            <w:r>
              <w:rPr>
                <w:rFonts w:cs="Times New Roman" w:hint="eastAsia"/>
                <w:sz w:val="21"/>
                <w:szCs w:val="21"/>
              </w:rPr>
              <w:t>末决</w:t>
            </w:r>
            <w:proofErr w:type="gramEnd"/>
            <w:r>
              <w:rPr>
                <w:rFonts w:cs="Times New Roman" w:hint="eastAsia"/>
                <w:sz w:val="21"/>
                <w:szCs w:val="21"/>
              </w:rPr>
              <w:t>算（万元）</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一般公共服务</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302.45</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592.20</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社会保障和就业</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45.17</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198.59</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医疗卫生</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24.62</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31.09</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住房保障支出</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35.18</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48.94</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农林水支出</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 xml:space="preserve">60.18 </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86.98</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城乡社区支出</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 xml:space="preserve">5.96 </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5.96</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文化旅游体育与媒体支出</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4</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5</w:t>
            </w:r>
          </w:p>
        </w:tc>
      </w:tr>
      <w:tr w:rsidR="002C6EA2" w:rsidTr="0065406C">
        <w:tc>
          <w:tcPr>
            <w:tcW w:w="2841" w:type="dxa"/>
            <w:tcBorders>
              <w:top w:val="single" w:sz="4" w:space="0" w:color="000000"/>
              <w:left w:val="single" w:sz="4" w:space="0" w:color="000000"/>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节能环保支出</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110.42</w:t>
            </w:r>
          </w:p>
        </w:tc>
        <w:tc>
          <w:tcPr>
            <w:tcW w:w="2841" w:type="dxa"/>
            <w:tcBorders>
              <w:top w:val="single" w:sz="4" w:space="0" w:color="000000"/>
              <w:left w:val="nil"/>
              <w:bottom w:val="single" w:sz="4" w:space="0" w:color="000000"/>
              <w:right w:val="single" w:sz="4" w:space="0" w:color="000000"/>
            </w:tcBorders>
            <w:hideMark/>
          </w:tcPr>
          <w:p w:rsidR="002C6EA2" w:rsidRDefault="002C6EA2" w:rsidP="0065406C">
            <w:pPr>
              <w:pStyle w:val="a5"/>
              <w:spacing w:before="0" w:beforeAutospacing="0" w:after="0" w:afterAutospacing="0" w:line="576" w:lineRule="exact"/>
              <w:jc w:val="both"/>
              <w:rPr>
                <w:rFonts w:cs="Times New Roman"/>
                <w:sz w:val="21"/>
                <w:szCs w:val="21"/>
              </w:rPr>
            </w:pPr>
            <w:r>
              <w:rPr>
                <w:rFonts w:cs="Times New Roman" w:hint="eastAsia"/>
                <w:sz w:val="21"/>
                <w:szCs w:val="21"/>
              </w:rPr>
              <w:t>96.09</w:t>
            </w:r>
          </w:p>
        </w:tc>
      </w:tr>
    </w:tbl>
    <w:p w:rsidR="002C6EA2" w:rsidRDefault="002C6EA2" w:rsidP="002C6EA2">
      <w:pPr>
        <w:pStyle w:val="a5"/>
        <w:shd w:val="clear" w:color="auto" w:fill="FFFFFF"/>
        <w:spacing w:before="0" w:beforeAutospacing="0" w:after="0" w:afterAutospacing="0" w:line="576" w:lineRule="exact"/>
        <w:ind w:firstLineChars="100" w:firstLine="210"/>
        <w:rPr>
          <w:rFonts w:hint="eastAsia"/>
          <w:sz w:val="21"/>
          <w:szCs w:val="21"/>
          <w:shd w:val="clear" w:color="auto" w:fill="FFFFFF"/>
        </w:rPr>
      </w:pPr>
      <w:r>
        <w:rPr>
          <w:rFonts w:hint="eastAsia"/>
          <w:sz w:val="21"/>
          <w:szCs w:val="21"/>
          <w:shd w:val="clear" w:color="auto" w:fill="FFFFFF"/>
        </w:rPr>
        <w:t>（2）差异原因分析。差异较大的应分析到具体收入支出功能科目和具体单位。</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lastRenderedPageBreak/>
        <w:t>一般公共服务支出预算数302.45万元，决算数592.20元，相差289.75万元，主要原因为人员大幅增加和项目的增加。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社会保障和就业支出预算数45.17元，决算数198.59元，相差153.42万元，主要原因为人员大幅增加。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医疗卫生支出预算数24.62元，决算数31.09元，相差6.47元，主要原因为人员大幅增加。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住房保障支出预算数35.18万元，决算数48.94万元，相差13.76元，主要原因为人员大幅增加。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农林水支出预算数60.18万元，决算数86.98万元，相差26.80元，主要原因为项目增加。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城乡社区支出预算数5.96万元，决算数5.96万元，相差0元。</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文化旅游体育与媒体支出预算数4万元，决算数5万元，相差1元，主要原因为项目增加。</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节能环保支出预算数110.42万元，决算数96.09万元，相差14.33万元，主要原因为项目质保金未退。</w:t>
      </w:r>
    </w:p>
    <w:p w:rsidR="002C6EA2" w:rsidRDefault="002C6EA2" w:rsidP="002C6EA2">
      <w:pPr>
        <w:pStyle w:val="a5"/>
        <w:shd w:val="clear" w:color="auto" w:fill="FFFFFF"/>
        <w:spacing w:before="0" w:beforeAutospacing="0" w:after="0" w:afterAutospacing="0" w:line="576" w:lineRule="exact"/>
        <w:ind w:firstLineChars="200" w:firstLine="422"/>
        <w:rPr>
          <w:rFonts w:hint="eastAsia"/>
          <w:sz w:val="21"/>
          <w:szCs w:val="21"/>
          <w:shd w:val="clear" w:color="auto" w:fill="FFFFFF"/>
        </w:rPr>
      </w:pPr>
      <w:r>
        <w:rPr>
          <w:rStyle w:val="16"/>
          <w:rFonts w:hint="eastAsia"/>
          <w:sz w:val="21"/>
          <w:szCs w:val="21"/>
          <w:shd w:val="clear" w:color="auto" w:fill="FFFFFF"/>
        </w:rPr>
        <w:t>2</w:t>
      </w:r>
      <w:r>
        <w:rPr>
          <w:rStyle w:val="16"/>
          <w:rFonts w:hint="eastAsia"/>
          <w:sz w:val="21"/>
          <w:szCs w:val="21"/>
          <w:shd w:val="clear" w:color="auto" w:fill="FFFFFF"/>
        </w:rPr>
        <w:t>．收入支出结构分析。</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（1） 本单位本年度总收入为968.76万元。其中：一般公共预算财政拨款收入为968.76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本年度总支出为1,064.84万元。其中：一般公共服务支出为592.20万元，占比55.61%；外交支出为0.00万元，占比0.00%；国防支出为0.00万元，占比0.00%；公共安全支出为0.00万元，占比0.00%；教育支出为0.00万元，占比0.00%；科学技术支出为0.00万元，</w:t>
      </w:r>
      <w:r>
        <w:rPr>
          <w:rFonts w:hint="eastAsia"/>
          <w:sz w:val="21"/>
          <w:szCs w:val="21"/>
          <w:shd w:val="clear" w:color="auto" w:fill="FFFFFF"/>
        </w:rPr>
        <w:lastRenderedPageBreak/>
        <w:t>占比0.00%；文化旅游体育与传媒支出为5.00万元，占比0.47%；社会保障和就业支出为198.59万元，占比18.65%；卫生健康支出为31.09万元，占比2.92%；节能环保支出为96.09万元，占比9.02%；城乡社区支出为5.96万元，占比0.56%；农林水支出为86.98万元，占比8.17%；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48.94万元，占比4.60%；粮油物资储备支出为0.00万元，占比0.00%；国有资本经营预算支出为0.00万元，占比0.00%；灾害防治及应急管理支出为0.00万元，占比0.00%；其他支出为0.00万元，占比0.00%；债务还本支出为0.00万元，占比0.00%；债务付息支出为0.00万元，占比0.00%；抗</w:t>
      </w:r>
      <w:proofErr w:type="gramStart"/>
      <w:r>
        <w:rPr>
          <w:rFonts w:hint="eastAsia"/>
          <w:sz w:val="21"/>
          <w:szCs w:val="21"/>
          <w:shd w:val="clear" w:color="auto" w:fill="FFFFFF"/>
        </w:rPr>
        <w:t>疫</w:t>
      </w:r>
      <w:proofErr w:type="gramEnd"/>
      <w:r>
        <w:rPr>
          <w:rFonts w:hint="eastAsia"/>
          <w:sz w:val="21"/>
          <w:szCs w:val="21"/>
          <w:shd w:val="clear" w:color="auto" w:fill="FFFFFF"/>
        </w:rPr>
        <w:t>特别国债安排的支出为0.00万元，占比0.00%。</w:t>
      </w:r>
    </w:p>
    <w:tbl>
      <w:tblPr>
        <w:tblW w:w="0" w:type="auto"/>
        <w:tblCellSpacing w:w="0" w:type="dxa"/>
        <w:tblCellMar>
          <w:left w:w="0" w:type="dxa"/>
          <w:right w:w="0" w:type="dxa"/>
        </w:tblCellMar>
        <w:tblLook w:val="04A0"/>
      </w:tblPr>
      <w:tblGrid>
        <w:gridCol w:w="6"/>
        <w:gridCol w:w="8309"/>
      </w:tblGrid>
      <w:tr w:rsidR="002C6EA2" w:rsidTr="0065406C">
        <w:trPr>
          <w:gridAfter w:val="1"/>
          <w:tblCellSpacing w:w="0" w:type="dxa"/>
        </w:trPr>
        <w:tc>
          <w:tcPr>
            <w:tcW w:w="6" w:type="dxa"/>
            <w:vAlign w:val="center"/>
            <w:hideMark/>
          </w:tcPr>
          <w:p w:rsidR="002C6EA2" w:rsidRDefault="002C6EA2" w:rsidP="0065406C"/>
        </w:tc>
      </w:tr>
      <w:tr w:rsidR="002C6EA2" w:rsidTr="0065406C">
        <w:trPr>
          <w:tblCellSpacing w:w="0" w:type="dxa"/>
        </w:trPr>
        <w:tc>
          <w:tcPr>
            <w:tcW w:w="0" w:type="auto"/>
            <w:vAlign w:val="center"/>
            <w:hideMark/>
          </w:tcPr>
          <w:p w:rsidR="002C6EA2" w:rsidRDefault="002C6EA2" w:rsidP="0065406C"/>
        </w:tc>
        <w:tc>
          <w:tcPr>
            <w:tcW w:w="0" w:type="auto"/>
            <w:vAlign w:val="center"/>
            <w:hideMark/>
          </w:tcPr>
          <w:p w:rsidR="002C6EA2" w:rsidRDefault="002C6EA2" w:rsidP="0065406C">
            <w:r>
              <w:rPr>
                <w:noProof/>
              </w:rPr>
              <w:drawing>
                <wp:inline distT="0" distB="0" distL="0" distR="0">
                  <wp:extent cx="5295900" cy="3086100"/>
                  <wp:effectExtent l="0" t="0" r="0" b="0"/>
                  <wp:docPr id="3" name="图片 3" descr="C:\Users\LENOVO\AppData\Local\Temp\~tmp{2fa34517-0683-47e9-8060-8be024c74f98}1575240.files\~tmp{2fa34517-0683-47e9-8060-8be024c74f98}15752402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Temp\~tmp{2fa34517-0683-47e9-8060-8be024c74f98}1575240.files\~tmp{2fa34517-0683-47e9-8060-8be024c74f98}15752402993.png"/>
                          <pic:cNvPicPr>
                            <a:picLocks noChangeAspect="1" noChangeArrowheads="1"/>
                          </pic:cNvPicPr>
                        </pic:nvPicPr>
                        <pic:blipFill>
                          <a:blip r:embed="rId8"/>
                          <a:srcRect/>
                          <a:stretch>
                            <a:fillRect/>
                          </a:stretch>
                        </pic:blipFill>
                        <pic:spPr bwMode="auto">
                          <a:xfrm>
                            <a:off x="0" y="0"/>
                            <a:ext cx="5295900" cy="3086100"/>
                          </a:xfrm>
                          <a:prstGeom prst="rect">
                            <a:avLst/>
                          </a:prstGeom>
                          <a:noFill/>
                          <a:ln w="9525">
                            <a:noFill/>
                            <a:miter lim="800000"/>
                            <a:headEnd/>
                            <a:tailEnd/>
                          </a:ln>
                        </pic:spPr>
                      </pic:pic>
                    </a:graphicData>
                  </a:graphic>
                </wp:inline>
              </w:drawing>
            </w:r>
          </w:p>
        </w:tc>
      </w:tr>
    </w:tbl>
    <w:p w:rsidR="002C6EA2" w:rsidRDefault="002C6EA2" w:rsidP="002C6EA2">
      <w:pPr>
        <w:pStyle w:val="a5"/>
        <w:shd w:val="clear" w:color="auto" w:fill="FFFFFF"/>
        <w:spacing w:before="0" w:beforeAutospacing="0" w:after="0" w:afterAutospacing="0" w:line="576" w:lineRule="exact"/>
        <w:ind w:firstLineChars="200" w:firstLine="420"/>
        <w:rPr>
          <w:rFonts w:hint="eastAsia"/>
        </w:rPr>
      </w:pPr>
      <w:r>
        <w:rPr>
          <w:rFonts w:hint="eastAsia"/>
          <w:sz w:val="21"/>
          <w:szCs w:val="21"/>
          <w:shd w:val="clear" w:color="auto" w:fill="FFFFFF"/>
        </w:rPr>
        <w:t>（2）本年度一般公共预算财政拨款收入相比上年度减少84.22万元，</w:t>
      </w:r>
      <w:r>
        <w:rPr>
          <w:rStyle w:val="16"/>
          <w:rFonts w:hint="eastAsia"/>
          <w:sz w:val="21"/>
          <w:szCs w:val="21"/>
          <w:shd w:val="clear" w:color="auto" w:fill="FFFFFF"/>
        </w:rPr>
        <w:t>主要原因为项目减少</w:t>
      </w:r>
      <w:r>
        <w:rPr>
          <w:rFonts w:hint="eastAsia"/>
          <w:sz w:val="21"/>
          <w:szCs w:val="21"/>
          <w:shd w:val="clear" w:color="auto" w:fill="FFFFFF"/>
        </w:rPr>
        <w:t>；政府性基金预算财政拨款收入相比上年度增加0.00万元；国有资本经营预算财政拨款收入相比上年度增加0.00万元；上级补助收入相比上年度增加0.00万元，；事业收入相比上年度增加0.00万元；经营收入相比上年度增加0.00万元；附属单位上缴收入相比上年度增加0.00万元；其他收入相比上年度增加0.00万元。本年度一般公共服务支出相比上年</w:t>
      </w:r>
      <w:r>
        <w:rPr>
          <w:rFonts w:hint="eastAsia"/>
          <w:sz w:val="21"/>
          <w:szCs w:val="21"/>
          <w:shd w:val="clear" w:color="auto" w:fill="FFFFFF"/>
        </w:rPr>
        <w:lastRenderedPageBreak/>
        <w:t>度增加165.07万元，</w:t>
      </w:r>
      <w:r>
        <w:rPr>
          <w:rStyle w:val="16"/>
          <w:rFonts w:hint="eastAsia"/>
          <w:sz w:val="21"/>
          <w:szCs w:val="21"/>
          <w:shd w:val="clear" w:color="auto" w:fill="FFFFFF"/>
        </w:rPr>
        <w:t>主要原因为人员增加</w:t>
      </w:r>
      <w:r>
        <w:rPr>
          <w:rFonts w:hint="eastAsia"/>
          <w:sz w:val="21"/>
          <w:szCs w:val="21"/>
          <w:shd w:val="clear" w:color="auto" w:fill="FFFFFF"/>
        </w:rPr>
        <w:t>；外交支出相比上年度增加0.00万元；国防支出相比上年度增加0.00万元；公共安全支出相比上年度增加0.00万元；教育支出相比上年度增加0.00万元；科学技术支出相比上年度增加0.00万元；文化旅游体育与传媒支出相比上年度增加5.00万元，</w:t>
      </w:r>
      <w:r>
        <w:rPr>
          <w:rStyle w:val="16"/>
          <w:rFonts w:hint="eastAsia"/>
          <w:sz w:val="21"/>
          <w:szCs w:val="21"/>
          <w:shd w:val="clear" w:color="auto" w:fill="FFFFFF"/>
        </w:rPr>
        <w:t>主要原因为项目增加</w:t>
      </w:r>
      <w:r>
        <w:rPr>
          <w:rFonts w:hint="eastAsia"/>
          <w:sz w:val="21"/>
          <w:szCs w:val="21"/>
          <w:shd w:val="clear" w:color="auto" w:fill="FFFFFF"/>
        </w:rPr>
        <w:t>；社会保障和就业支出相比上年度增加60.46万元，</w:t>
      </w:r>
      <w:r>
        <w:rPr>
          <w:rStyle w:val="16"/>
          <w:rFonts w:hint="eastAsia"/>
          <w:sz w:val="21"/>
          <w:szCs w:val="21"/>
          <w:shd w:val="clear" w:color="auto" w:fill="FFFFFF"/>
        </w:rPr>
        <w:t>主要原因为人员增加</w:t>
      </w:r>
      <w:r>
        <w:rPr>
          <w:rFonts w:hint="eastAsia"/>
          <w:sz w:val="21"/>
          <w:szCs w:val="21"/>
          <w:shd w:val="clear" w:color="auto" w:fill="FFFFFF"/>
        </w:rPr>
        <w:t>；卫生健康支出相比上年度减少0.49万元，</w:t>
      </w:r>
      <w:r>
        <w:rPr>
          <w:rStyle w:val="16"/>
          <w:rFonts w:hint="eastAsia"/>
          <w:sz w:val="21"/>
          <w:szCs w:val="21"/>
          <w:shd w:val="clear" w:color="auto" w:fill="FFFFFF"/>
        </w:rPr>
        <w:t>主要原因为项目减少</w:t>
      </w:r>
      <w:r>
        <w:rPr>
          <w:rFonts w:hint="eastAsia"/>
          <w:sz w:val="21"/>
          <w:szCs w:val="21"/>
          <w:shd w:val="clear" w:color="auto" w:fill="FFFFFF"/>
        </w:rPr>
        <w:t>；节能环保支出相比上年度减少73.49万元，</w:t>
      </w:r>
      <w:r>
        <w:rPr>
          <w:rStyle w:val="16"/>
          <w:rFonts w:hint="eastAsia"/>
          <w:sz w:val="21"/>
          <w:szCs w:val="21"/>
          <w:shd w:val="clear" w:color="auto" w:fill="FFFFFF"/>
        </w:rPr>
        <w:t>主要原因为项目减少</w:t>
      </w:r>
      <w:r>
        <w:rPr>
          <w:rFonts w:hint="eastAsia"/>
          <w:sz w:val="21"/>
          <w:szCs w:val="21"/>
          <w:shd w:val="clear" w:color="auto" w:fill="FFFFFF"/>
        </w:rPr>
        <w:t>；城乡社区支出相比上年度增加0.00万元；农林水支出相比上年度减少180.69万元，</w:t>
      </w:r>
      <w:r>
        <w:rPr>
          <w:rStyle w:val="16"/>
          <w:rFonts w:hint="eastAsia"/>
          <w:sz w:val="21"/>
          <w:szCs w:val="21"/>
          <w:shd w:val="clear" w:color="auto" w:fill="FFFFFF"/>
        </w:rPr>
        <w:t>主要原因为项目减少</w:t>
      </w:r>
      <w:r>
        <w:rPr>
          <w:rFonts w:hint="eastAsia"/>
          <w:sz w:val="21"/>
          <w:szCs w:val="21"/>
          <w:shd w:val="clear" w:color="auto" w:fill="FFFFFF"/>
        </w:rPr>
        <w:t>；交通运输支出相比上年度增加0.00万元；资源勘探工业信息等支出相比上年度增加0.00万元；商业服务业等支出相比上年度增加0.00万元；金融支出相比上年度增加0.00万元；援助其他地区支出相比上年度增加0.00万元；自然资源海洋气象等支出相比上年度增加0.00万元；住房保障支出相比上年度增加10.23万元，</w:t>
      </w:r>
      <w:r>
        <w:rPr>
          <w:rStyle w:val="16"/>
          <w:rFonts w:hint="eastAsia"/>
          <w:sz w:val="21"/>
          <w:szCs w:val="21"/>
          <w:shd w:val="clear" w:color="auto" w:fill="FFFFFF"/>
        </w:rPr>
        <w:t>主要原因为人员增加</w:t>
      </w:r>
      <w:r>
        <w:rPr>
          <w:rFonts w:hint="eastAsia"/>
          <w:sz w:val="21"/>
          <w:szCs w:val="21"/>
          <w:shd w:val="clear" w:color="auto" w:fill="FFFFFF"/>
        </w:rPr>
        <w:t>；粮油物资储备支出相比上年度增加0.00万元；国有资本经营预算支出相比上年度增加0.00万元；灾害防治及应急管理支出相比上年度增加0.00万元；其他支出相比上年度增加0.00万元，；债务还本支出相比上年度增加0.00万元；债务付息支出相比上年度增加</w:t>
      </w:r>
    </w:p>
    <w:tbl>
      <w:tblPr>
        <w:tblW w:w="0" w:type="auto"/>
        <w:tblCellSpacing w:w="0" w:type="dxa"/>
        <w:tblCellMar>
          <w:left w:w="0" w:type="dxa"/>
          <w:right w:w="0" w:type="dxa"/>
        </w:tblCellMar>
        <w:tblLook w:val="04A0"/>
      </w:tblPr>
      <w:tblGrid>
        <w:gridCol w:w="6"/>
        <w:gridCol w:w="8309"/>
      </w:tblGrid>
      <w:tr w:rsidR="002C6EA2" w:rsidTr="0065406C">
        <w:trPr>
          <w:gridAfter w:val="1"/>
          <w:tblCellSpacing w:w="0" w:type="dxa"/>
        </w:trPr>
        <w:tc>
          <w:tcPr>
            <w:tcW w:w="6" w:type="dxa"/>
            <w:vAlign w:val="center"/>
            <w:hideMark/>
          </w:tcPr>
          <w:p w:rsidR="002C6EA2" w:rsidRDefault="002C6EA2" w:rsidP="0065406C"/>
        </w:tc>
      </w:tr>
      <w:tr w:rsidR="002C6EA2" w:rsidTr="0065406C">
        <w:trPr>
          <w:tblCellSpacing w:w="0" w:type="dxa"/>
        </w:trPr>
        <w:tc>
          <w:tcPr>
            <w:tcW w:w="0" w:type="auto"/>
            <w:vAlign w:val="center"/>
            <w:hideMark/>
          </w:tcPr>
          <w:p w:rsidR="002C6EA2" w:rsidRDefault="002C6EA2" w:rsidP="0065406C"/>
        </w:tc>
        <w:tc>
          <w:tcPr>
            <w:tcW w:w="0" w:type="auto"/>
            <w:vAlign w:val="center"/>
            <w:hideMark/>
          </w:tcPr>
          <w:p w:rsidR="002C6EA2" w:rsidRDefault="002C6EA2" w:rsidP="0065406C">
            <w:r>
              <w:rPr>
                <w:noProof/>
              </w:rPr>
              <w:drawing>
                <wp:inline distT="0" distB="0" distL="0" distR="0">
                  <wp:extent cx="5295900" cy="2124075"/>
                  <wp:effectExtent l="0" t="0" r="0" b="0"/>
                  <wp:docPr id="4" name="图片 4" descr="C:\Users\LENOVO\AppData\Local\Temp\~tmp{2fa34517-0683-47e9-8060-8be024c74f98}1575240.files\~tmp{2fa34517-0683-47e9-8060-8be024c74f98}15752403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Local\Temp\~tmp{2fa34517-0683-47e9-8060-8be024c74f98}1575240.files\~tmp{2fa34517-0683-47e9-8060-8be024c74f98}15752403787.png"/>
                          <pic:cNvPicPr>
                            <a:picLocks noChangeAspect="1" noChangeArrowheads="1"/>
                          </pic:cNvPicPr>
                        </pic:nvPicPr>
                        <pic:blipFill>
                          <a:blip r:embed="rId9"/>
                          <a:srcRect/>
                          <a:stretch>
                            <a:fillRect/>
                          </a:stretch>
                        </pic:blipFill>
                        <pic:spPr bwMode="auto">
                          <a:xfrm>
                            <a:off x="0" y="0"/>
                            <a:ext cx="5295900" cy="2124075"/>
                          </a:xfrm>
                          <a:prstGeom prst="rect">
                            <a:avLst/>
                          </a:prstGeom>
                          <a:noFill/>
                          <a:ln w="9525">
                            <a:noFill/>
                            <a:miter lim="800000"/>
                            <a:headEnd/>
                            <a:tailEnd/>
                          </a:ln>
                        </pic:spPr>
                      </pic:pic>
                    </a:graphicData>
                  </a:graphic>
                </wp:inline>
              </w:drawing>
            </w:r>
          </w:p>
        </w:tc>
      </w:tr>
    </w:tbl>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0.00万元；抗</w:t>
      </w:r>
      <w:proofErr w:type="gramStart"/>
      <w:r>
        <w:rPr>
          <w:rFonts w:hint="eastAsia"/>
          <w:sz w:val="21"/>
          <w:szCs w:val="21"/>
          <w:shd w:val="clear" w:color="auto" w:fill="FFFFFF"/>
        </w:rPr>
        <w:t>疫</w:t>
      </w:r>
      <w:proofErr w:type="gramEnd"/>
      <w:r>
        <w:rPr>
          <w:rFonts w:hint="eastAsia"/>
          <w:sz w:val="21"/>
          <w:szCs w:val="21"/>
          <w:shd w:val="clear" w:color="auto" w:fill="FFFFFF"/>
        </w:rPr>
        <w:t>特别国债安排的支出相比上年度增加0.00万元。</w:t>
      </w:r>
    </w:p>
    <w:p w:rsidR="002C6EA2" w:rsidRDefault="002C6EA2" w:rsidP="002C6EA2">
      <w:pPr>
        <w:pStyle w:val="a5"/>
        <w:shd w:val="clear" w:color="auto" w:fill="FFFFFF"/>
        <w:spacing w:before="0" w:beforeAutospacing="0" w:after="0" w:afterAutospacing="0" w:line="576" w:lineRule="exact"/>
        <w:ind w:firstLineChars="250" w:firstLine="527"/>
        <w:rPr>
          <w:rFonts w:hint="eastAsia"/>
          <w:sz w:val="21"/>
          <w:szCs w:val="21"/>
          <w:shd w:val="clear" w:color="auto" w:fill="FFFFFF"/>
        </w:rPr>
      </w:pPr>
      <w:r>
        <w:rPr>
          <w:rStyle w:val="16"/>
          <w:rFonts w:hint="eastAsia"/>
          <w:sz w:val="21"/>
          <w:szCs w:val="21"/>
          <w:shd w:val="clear" w:color="auto" w:fill="FFFFFF"/>
        </w:rPr>
        <w:t>3</w:t>
      </w:r>
      <w:r>
        <w:rPr>
          <w:rStyle w:val="16"/>
          <w:rFonts w:hint="eastAsia"/>
          <w:sz w:val="21"/>
          <w:szCs w:val="21"/>
          <w:shd w:val="clear" w:color="auto" w:fill="FFFFFF"/>
        </w:rPr>
        <w:t>．支出按经济分类科目分析。</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（1） “三公”经费支出情况：本单位本年度“三公”经费支出决算数为14.19万元。其中:因公出国（境）费支出决算数为0.00万元，相比上年度增加0.00万元</w:t>
      </w:r>
      <w:r>
        <w:rPr>
          <w:rStyle w:val="16"/>
          <w:rFonts w:hint="eastAsia"/>
          <w:sz w:val="21"/>
          <w:szCs w:val="21"/>
          <w:shd w:val="clear" w:color="auto" w:fill="FFFFFF"/>
        </w:rPr>
        <w:t>；</w:t>
      </w:r>
      <w:r>
        <w:rPr>
          <w:rFonts w:hint="eastAsia"/>
          <w:sz w:val="21"/>
          <w:szCs w:val="21"/>
          <w:shd w:val="clear" w:color="auto" w:fill="FFFFFF"/>
        </w:rPr>
        <w:t>公务用车购</w:t>
      </w:r>
      <w:r>
        <w:rPr>
          <w:rFonts w:hint="eastAsia"/>
          <w:sz w:val="21"/>
          <w:szCs w:val="21"/>
          <w:shd w:val="clear" w:color="auto" w:fill="FFFFFF"/>
        </w:rPr>
        <w:lastRenderedPageBreak/>
        <w:t>置及运行维护费支出决算数为14.19万元，相比上年度增加5.19万元，</w:t>
      </w:r>
      <w:r>
        <w:rPr>
          <w:rStyle w:val="16"/>
          <w:rFonts w:hint="eastAsia"/>
          <w:sz w:val="21"/>
          <w:szCs w:val="21"/>
          <w:shd w:val="clear" w:color="auto" w:fill="FFFFFF"/>
        </w:rPr>
        <w:t>主要原因为人员增加</w:t>
      </w:r>
      <w:r>
        <w:rPr>
          <w:rFonts w:hint="eastAsia"/>
          <w:sz w:val="21"/>
          <w:szCs w:val="21"/>
          <w:shd w:val="clear" w:color="auto" w:fill="FFFFFF"/>
        </w:rPr>
        <w:t>；公务接待费支出决算数为0.00万元，相比上年度增加0.00万元。 本年度“三公”经费支出预算数为14.19万元，决算数为14.19万元，预算完成度为100.00%。本年度因公出国（境）费人均支出为0.00万元，公务用车购置及运行维护费人均支出为0.44万元，公务接待费人均支出为0.00万元。</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（2） 会议费支出情况：本单位本年度会议费支出决算数为2.07万元，相比上年度减少1.01万元，</w:t>
      </w:r>
      <w:r>
        <w:rPr>
          <w:rStyle w:val="16"/>
          <w:rFonts w:hint="eastAsia"/>
          <w:sz w:val="21"/>
          <w:szCs w:val="21"/>
          <w:shd w:val="clear" w:color="auto" w:fill="FFFFFF"/>
        </w:rPr>
        <w:t>主要原因为会议减少</w:t>
      </w:r>
      <w:r>
        <w:rPr>
          <w:rFonts w:hint="eastAsia"/>
          <w:sz w:val="21"/>
          <w:szCs w:val="21"/>
          <w:shd w:val="clear" w:color="auto" w:fill="FFFFFF"/>
        </w:rPr>
        <w:t>；会议费人均支出为0.06万元。</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（3） 培训费支出情况：本单位本年度培训费支出决算数为0.00万元，相比上年度减少1.99万元，</w:t>
      </w:r>
      <w:r>
        <w:rPr>
          <w:rStyle w:val="16"/>
          <w:rFonts w:hint="eastAsia"/>
          <w:sz w:val="21"/>
          <w:szCs w:val="21"/>
          <w:shd w:val="clear" w:color="auto" w:fill="FFFFFF"/>
        </w:rPr>
        <w:t>主要原因为培训减少</w:t>
      </w:r>
      <w:r>
        <w:rPr>
          <w:rFonts w:hint="eastAsia"/>
          <w:sz w:val="21"/>
          <w:szCs w:val="21"/>
          <w:shd w:val="clear" w:color="auto" w:fill="FFFFFF"/>
        </w:rPr>
        <w:t>，培训费人均支出为0.00万元。</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（4）其他对单位影响较大的支出情况。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bCs/>
          <w:sz w:val="21"/>
          <w:szCs w:val="21"/>
          <w:shd w:val="clear" w:color="auto" w:fill="FFFFFF"/>
        </w:rPr>
      </w:pPr>
      <w:r>
        <w:rPr>
          <w:rFonts w:hint="eastAsia"/>
          <w:bCs/>
          <w:sz w:val="21"/>
          <w:szCs w:val="21"/>
          <w:shd w:val="clear" w:color="auto" w:fill="FFFFFF"/>
        </w:rPr>
        <w:t>“对个人和家庭的补助”为69.24万元，主要是2021年基层组织活动和公共服务运行经费、拨付村民小组基本报酬补助资金和离任村干部生活补助构成。</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（5）重点经济分类支出中存在的问题及改进措施。</w:t>
      </w:r>
    </w:p>
    <w:p w:rsidR="002C6EA2" w:rsidRDefault="002C6EA2" w:rsidP="002C6EA2">
      <w:pPr>
        <w:pStyle w:val="a5"/>
        <w:shd w:val="clear" w:color="auto" w:fill="FFFFFF"/>
        <w:spacing w:before="0" w:beforeAutospacing="0" w:after="0" w:afterAutospacing="0" w:line="576" w:lineRule="exact"/>
        <w:ind w:firstLineChars="200" w:firstLine="420"/>
        <w:rPr>
          <w:rFonts w:hint="eastAsia"/>
          <w:b/>
          <w:sz w:val="21"/>
          <w:szCs w:val="21"/>
          <w:shd w:val="clear" w:color="auto" w:fill="FFFFFF"/>
        </w:rPr>
      </w:pPr>
      <w:r>
        <w:rPr>
          <w:rStyle w:val="16"/>
          <w:rFonts w:hint="eastAsia"/>
          <w:b w:val="0"/>
          <w:bCs/>
          <w:sz w:val="21"/>
          <w:szCs w:val="21"/>
          <w:shd w:val="clear" w:color="auto" w:fill="FFFFFF"/>
        </w:rPr>
        <w:t>无。</w:t>
      </w:r>
    </w:p>
    <w:p w:rsidR="002C6EA2" w:rsidRDefault="002C6EA2" w:rsidP="002C6EA2">
      <w:pPr>
        <w:pStyle w:val="a5"/>
        <w:shd w:val="clear" w:color="auto" w:fill="FFFFFF"/>
        <w:spacing w:before="0" w:beforeAutospacing="0" w:after="0" w:afterAutospacing="0" w:line="576" w:lineRule="exact"/>
        <w:ind w:firstLineChars="200" w:firstLine="422"/>
        <w:rPr>
          <w:rFonts w:hint="eastAsia"/>
          <w:sz w:val="21"/>
          <w:szCs w:val="21"/>
          <w:shd w:val="clear" w:color="auto" w:fill="FFFFFF"/>
        </w:rPr>
      </w:pPr>
      <w:r>
        <w:rPr>
          <w:rStyle w:val="16"/>
          <w:rFonts w:hint="eastAsia"/>
          <w:sz w:val="21"/>
          <w:szCs w:val="21"/>
          <w:shd w:val="clear" w:color="auto" w:fill="FFFFFF"/>
        </w:rPr>
        <w:t>4.</w:t>
      </w:r>
      <w:r>
        <w:rPr>
          <w:rStyle w:val="16"/>
          <w:rFonts w:hint="eastAsia"/>
          <w:sz w:val="21"/>
          <w:szCs w:val="21"/>
          <w:shd w:val="clear" w:color="auto" w:fill="FFFFFF"/>
        </w:rPr>
        <w:t>财政拨款收入、支出分析。</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2021年部门收入合计1,064.84元，其中本单位本年度财政拨款收入为968.76万元，占总收入的90.98%，年初结转结余96.08（尾数调整）万元，占总收入的9.02%。</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2021年部门支出合计1,064.84万元，其中：人员经费661.92万元，占总支出的62.16%；日常公用经费支出41.89万元，占总支出的3.93%，项目支出361.03万元，占总支出的33.91%（尾数调整））。</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（三）年末结转和结余情况。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1．分资金来源、资金性质结转和结余情况，特别是项目经费结转和结余情况。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bCs/>
          <w:sz w:val="21"/>
          <w:szCs w:val="21"/>
          <w:shd w:val="clear" w:color="auto" w:fill="FFFFFF"/>
        </w:rPr>
        <w:t>项目财政返还</w:t>
      </w:r>
      <w:r>
        <w:rPr>
          <w:rFonts w:hint="eastAsia"/>
          <w:sz w:val="21"/>
          <w:szCs w:val="21"/>
          <w:shd w:val="clear" w:color="auto" w:fill="FFFFFF"/>
        </w:rPr>
        <w:t>96.09万元</w:t>
      </w:r>
      <w:r>
        <w:rPr>
          <w:rFonts w:hint="eastAsia"/>
          <w:bCs/>
          <w:sz w:val="21"/>
          <w:szCs w:val="21"/>
          <w:shd w:val="clear" w:color="auto" w:fill="FFFFFF"/>
        </w:rPr>
        <w:t>。</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2．结转和结余规模较大的原因分析及消化结转和结余的对策。</w:t>
      </w:r>
    </w:p>
    <w:p w:rsidR="002C6EA2" w:rsidRDefault="002C6EA2" w:rsidP="002C6EA2">
      <w:pPr>
        <w:pStyle w:val="a5"/>
        <w:shd w:val="clear" w:color="auto" w:fill="FFFFFF"/>
        <w:spacing w:before="0" w:beforeAutospacing="0" w:after="0" w:afterAutospacing="0" w:line="576" w:lineRule="exact"/>
        <w:ind w:firstLineChars="200" w:firstLine="420"/>
        <w:rPr>
          <w:rFonts w:hint="eastAsia"/>
          <w:b/>
          <w:sz w:val="21"/>
          <w:szCs w:val="21"/>
          <w:shd w:val="clear" w:color="auto" w:fill="FFFFFF"/>
        </w:rPr>
      </w:pPr>
      <w:r>
        <w:rPr>
          <w:rStyle w:val="16"/>
          <w:rFonts w:hint="eastAsia"/>
          <w:b w:val="0"/>
          <w:bCs/>
          <w:sz w:val="21"/>
          <w:szCs w:val="21"/>
          <w:shd w:val="clear" w:color="auto" w:fill="FFFFFF"/>
        </w:rPr>
        <w:lastRenderedPageBreak/>
        <w:t>无。</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（四）与预算支出相关的其他指标分析。</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bCs/>
          <w:sz w:val="21"/>
          <w:szCs w:val="21"/>
          <w:shd w:val="clear" w:color="auto" w:fill="FFFFFF"/>
        </w:rPr>
        <w:t>本单位今年无负债，资产原值与上年对比变动34.68万元，主要是取暖设备的增加，</w:t>
      </w:r>
      <w:r>
        <w:rPr>
          <w:rFonts w:hint="eastAsia"/>
          <w:sz w:val="21"/>
          <w:szCs w:val="21"/>
          <w:shd w:val="clear" w:color="auto" w:fill="FFFFFF"/>
        </w:rPr>
        <w:t>对预算编制和执行无影响</w:t>
      </w:r>
      <w:r>
        <w:rPr>
          <w:rFonts w:hint="eastAsia"/>
          <w:bCs/>
          <w:sz w:val="21"/>
          <w:szCs w:val="21"/>
          <w:shd w:val="clear" w:color="auto" w:fill="FFFFFF"/>
        </w:rPr>
        <w:t>。</w:t>
      </w:r>
    </w:p>
    <w:p w:rsidR="002C6EA2" w:rsidRDefault="002C6EA2" w:rsidP="002C6EA2">
      <w:pPr>
        <w:pStyle w:val="a5"/>
        <w:shd w:val="clear" w:color="auto" w:fill="FFFFFF"/>
        <w:spacing w:before="0" w:beforeAutospacing="0" w:after="0" w:afterAutospacing="0" w:line="576" w:lineRule="exact"/>
        <w:ind w:firstLineChars="200" w:firstLine="422"/>
        <w:rPr>
          <w:rFonts w:ascii="楷体" w:eastAsia="楷体" w:hAnsi="楷体" w:hint="eastAsia"/>
          <w:sz w:val="21"/>
          <w:szCs w:val="21"/>
          <w:shd w:val="clear" w:color="auto" w:fill="FFFFFF"/>
        </w:rPr>
      </w:pPr>
      <w:r>
        <w:rPr>
          <w:rStyle w:val="16"/>
          <w:rFonts w:ascii="楷体" w:eastAsia="楷体" w:hAnsi="楷体" w:hint="eastAsia"/>
          <w:sz w:val="21"/>
          <w:szCs w:val="21"/>
          <w:shd w:val="clear" w:color="auto" w:fill="FFFFFF"/>
        </w:rPr>
        <w:t>（五）绩效目标完成情况。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1.概述项目绩效目标完成情况。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Style w:val="16"/>
          <w:rFonts w:hint="eastAsia"/>
          <w:b w:val="0"/>
          <w:bCs/>
          <w:sz w:val="21"/>
          <w:szCs w:val="21"/>
          <w:shd w:val="clear" w:color="auto" w:fill="FFFFFF"/>
        </w:rPr>
        <w:t>2021</w:t>
      </w:r>
      <w:r>
        <w:rPr>
          <w:rStyle w:val="16"/>
          <w:rFonts w:hint="eastAsia"/>
          <w:b w:val="0"/>
          <w:bCs/>
          <w:sz w:val="21"/>
          <w:szCs w:val="21"/>
          <w:shd w:val="clear" w:color="auto" w:fill="FFFFFF"/>
        </w:rPr>
        <w:t>年以来，在党委政府的正确领导下，由村申报乡核实上报，县评审的方式，申请乡村振兴同脱贫攻坚有效衔接资金项目</w:t>
      </w:r>
      <w:r>
        <w:rPr>
          <w:rStyle w:val="16"/>
          <w:rFonts w:hint="eastAsia"/>
          <w:b w:val="0"/>
          <w:bCs/>
          <w:sz w:val="21"/>
          <w:szCs w:val="21"/>
          <w:shd w:val="clear" w:color="auto" w:fill="FFFFFF"/>
        </w:rPr>
        <w:t>9</w:t>
      </w:r>
      <w:r>
        <w:rPr>
          <w:rStyle w:val="16"/>
          <w:rFonts w:hint="eastAsia"/>
          <w:b w:val="0"/>
          <w:bCs/>
          <w:sz w:val="21"/>
          <w:szCs w:val="21"/>
          <w:shd w:val="clear" w:color="auto" w:fill="FFFFFF"/>
        </w:rPr>
        <w:t>个，投资资金达</w:t>
      </w:r>
      <w:r>
        <w:rPr>
          <w:rStyle w:val="16"/>
          <w:rFonts w:hint="eastAsia"/>
          <w:b w:val="0"/>
          <w:bCs/>
          <w:sz w:val="21"/>
          <w:szCs w:val="21"/>
          <w:shd w:val="clear" w:color="auto" w:fill="FFFFFF"/>
        </w:rPr>
        <w:t>809</w:t>
      </w:r>
      <w:r>
        <w:rPr>
          <w:rStyle w:val="16"/>
          <w:rFonts w:hint="eastAsia"/>
          <w:b w:val="0"/>
          <w:bCs/>
          <w:sz w:val="21"/>
          <w:szCs w:val="21"/>
          <w:shd w:val="clear" w:color="auto" w:fill="FFFFFF"/>
        </w:rPr>
        <w:t>万。严格按照</w:t>
      </w:r>
      <w:r>
        <w:rPr>
          <w:rStyle w:val="16"/>
          <w:rFonts w:hint="eastAsia"/>
          <w:b w:val="0"/>
          <w:bCs/>
          <w:sz w:val="21"/>
          <w:szCs w:val="21"/>
          <w:shd w:val="clear" w:color="auto" w:fill="FFFFFF"/>
        </w:rPr>
        <w:t xml:space="preserve"> </w:t>
      </w:r>
      <w:r>
        <w:rPr>
          <w:rStyle w:val="16"/>
          <w:rFonts w:hint="eastAsia"/>
          <w:b w:val="0"/>
          <w:bCs/>
          <w:sz w:val="21"/>
          <w:szCs w:val="21"/>
          <w:shd w:val="clear" w:color="auto" w:fill="FFFFFF"/>
        </w:rPr>
        <w:t>“行动要快，工作要实，效果要好，奖惩要严”的要求和“督促、检查、协调、落实、推进”的原则，查尔玛乡的工程建设取得了重大进展，实施了重大工程建设和农业农村等多项项目，包括森林草原防火通道、生产</w:t>
      </w:r>
      <w:proofErr w:type="gramStart"/>
      <w:r>
        <w:rPr>
          <w:rStyle w:val="16"/>
          <w:rFonts w:hint="eastAsia"/>
          <w:b w:val="0"/>
          <w:bCs/>
          <w:sz w:val="21"/>
          <w:szCs w:val="21"/>
          <w:shd w:val="clear" w:color="auto" w:fill="FFFFFF"/>
        </w:rPr>
        <w:t>点板涵</w:t>
      </w:r>
      <w:proofErr w:type="gramEnd"/>
      <w:r>
        <w:rPr>
          <w:rStyle w:val="16"/>
          <w:rFonts w:hint="eastAsia"/>
          <w:b w:val="0"/>
          <w:bCs/>
          <w:sz w:val="21"/>
          <w:szCs w:val="21"/>
          <w:shd w:val="clear" w:color="auto" w:fill="FFFFFF"/>
        </w:rPr>
        <w:t>桥、查龙村苗圃基地建设工程等</w:t>
      </w:r>
      <w:r>
        <w:rPr>
          <w:rStyle w:val="16"/>
          <w:rFonts w:hint="eastAsia"/>
          <w:b w:val="0"/>
          <w:bCs/>
          <w:sz w:val="21"/>
          <w:szCs w:val="21"/>
          <w:shd w:val="clear" w:color="auto" w:fill="FFFFFF"/>
        </w:rPr>
        <w:t>9</w:t>
      </w:r>
      <w:r>
        <w:rPr>
          <w:rStyle w:val="16"/>
          <w:rFonts w:hint="eastAsia"/>
          <w:b w:val="0"/>
          <w:bCs/>
          <w:sz w:val="21"/>
          <w:szCs w:val="21"/>
          <w:shd w:val="clear" w:color="auto" w:fill="FFFFFF"/>
        </w:rPr>
        <w:t>个项目，全面推进了各项建设步伐，完成绩效目标。</w:t>
      </w:r>
    </w:p>
    <w:p w:rsidR="002C6EA2" w:rsidRDefault="002C6EA2" w:rsidP="002C6EA2">
      <w:pPr>
        <w:pStyle w:val="a5"/>
        <w:shd w:val="clear" w:color="auto" w:fill="FFFFFF"/>
        <w:spacing w:before="0" w:beforeAutospacing="0" w:after="0" w:afterAutospacing="0" w:line="576" w:lineRule="exact"/>
        <w:ind w:firstLineChars="200" w:firstLine="420"/>
        <w:rPr>
          <w:rFonts w:hint="eastAsia"/>
          <w:sz w:val="21"/>
          <w:szCs w:val="21"/>
          <w:shd w:val="clear" w:color="auto" w:fill="FFFFFF"/>
        </w:rPr>
      </w:pPr>
      <w:r>
        <w:rPr>
          <w:rFonts w:hint="eastAsia"/>
          <w:sz w:val="21"/>
          <w:szCs w:val="21"/>
          <w:shd w:val="clear" w:color="auto" w:fill="FFFFFF"/>
        </w:rPr>
        <w:t>2.概述本单位整体支出绩效目标实现情况。</w:t>
      </w:r>
    </w:p>
    <w:p w:rsidR="002C6EA2" w:rsidRDefault="002C6EA2" w:rsidP="002C6EA2">
      <w:pPr>
        <w:pStyle w:val="a5"/>
        <w:shd w:val="clear" w:color="auto" w:fill="FFFFFF"/>
        <w:spacing w:before="0" w:beforeAutospacing="0" w:after="0" w:afterAutospacing="0" w:line="576" w:lineRule="exact"/>
        <w:ind w:firstLineChars="200" w:firstLine="420"/>
        <w:rPr>
          <w:rStyle w:val="16"/>
          <w:rFonts w:ascii="宋体" w:hAnsi="宋体" w:hint="eastAsia"/>
          <w:b w:val="0"/>
        </w:rPr>
      </w:pPr>
      <w:r>
        <w:rPr>
          <w:rStyle w:val="16"/>
          <w:rFonts w:hint="eastAsia"/>
          <w:b w:val="0"/>
          <w:sz w:val="21"/>
          <w:szCs w:val="21"/>
          <w:shd w:val="clear" w:color="auto" w:fill="FFFFFF"/>
        </w:rPr>
        <w:t>2021</w:t>
      </w:r>
      <w:r>
        <w:rPr>
          <w:rStyle w:val="16"/>
          <w:rFonts w:hint="eastAsia"/>
          <w:b w:val="0"/>
          <w:sz w:val="21"/>
          <w:szCs w:val="21"/>
          <w:shd w:val="clear" w:color="auto" w:fill="FFFFFF"/>
        </w:rPr>
        <w:t>年我乡在县委县政府的精心指导和坚强领导下，不断推动乡镇经济发展和社会稳定工作高质量发展，单位整体支出绩效目标实现较好，全面完成绩效目标任务。</w:t>
      </w:r>
    </w:p>
    <w:p w:rsidR="002C6EA2" w:rsidRDefault="002C6EA2" w:rsidP="002C6EA2">
      <w:pPr>
        <w:pStyle w:val="a5"/>
        <w:shd w:val="clear" w:color="auto" w:fill="FFFFFF"/>
        <w:spacing w:before="0" w:beforeAutospacing="0" w:after="0" w:afterAutospacing="0" w:line="576" w:lineRule="exact"/>
        <w:ind w:firstLineChars="200" w:firstLine="422"/>
        <w:rPr>
          <w:rStyle w:val="16"/>
          <w:rFonts w:ascii="楷体" w:eastAsia="楷体" w:hAnsi="楷体" w:cs="宋体" w:hint="eastAsia"/>
          <w:sz w:val="21"/>
          <w:szCs w:val="21"/>
          <w:shd w:val="clear" w:color="auto" w:fill="FFFFFF"/>
        </w:rPr>
      </w:pPr>
      <w:r>
        <w:rPr>
          <w:rStyle w:val="16"/>
          <w:rFonts w:ascii="楷体" w:eastAsia="楷体" w:hAnsi="楷体" w:hint="eastAsia"/>
          <w:sz w:val="21"/>
          <w:szCs w:val="21"/>
          <w:shd w:val="clear" w:color="auto" w:fill="FFFFFF"/>
        </w:rPr>
        <w:t>（六）当年预算执行及绩效管理中存在问题、原因及改进措施。</w:t>
      </w:r>
    </w:p>
    <w:p w:rsidR="002C6EA2" w:rsidRDefault="002C6EA2" w:rsidP="002C6EA2">
      <w:pPr>
        <w:pStyle w:val="a5"/>
        <w:shd w:val="clear" w:color="auto" w:fill="FFFFFF"/>
        <w:spacing w:before="0" w:beforeAutospacing="0" w:after="0" w:afterAutospacing="0" w:line="576" w:lineRule="exact"/>
        <w:ind w:firstLineChars="200" w:firstLine="420"/>
        <w:rPr>
          <w:rStyle w:val="16"/>
          <w:rFonts w:ascii="宋体" w:hAnsi="宋体" w:hint="eastAsia"/>
          <w:b w:val="0"/>
          <w:sz w:val="21"/>
          <w:szCs w:val="21"/>
          <w:shd w:val="clear" w:color="auto" w:fill="FFFFFF"/>
        </w:rPr>
      </w:pPr>
      <w:r>
        <w:rPr>
          <w:rStyle w:val="16"/>
          <w:rFonts w:hint="eastAsia"/>
          <w:b w:val="0"/>
          <w:sz w:val="21"/>
          <w:szCs w:val="21"/>
          <w:shd w:val="clear" w:color="auto" w:fill="FFFFFF"/>
        </w:rPr>
        <w:t>一是着力加强预算编制管理，科学规划预算编制工作，进一步提高预算编制的科学性、合理性、严谨性和可控性；二是着力加强资金使用管理，在费用报账支付时，严格按照预算规定的费用项目和用途进行资金使用审核、列报支付、财务核算，杜绝超支现象的发生；三是着力加强项目支出调度，加强项目开展事前事中事后的跟踪和支出进度的控制，开展项目绩效评价，科学、合理安排支出项目。</w:t>
      </w:r>
    </w:p>
    <w:p w:rsidR="002C6EA2" w:rsidRDefault="002C6EA2" w:rsidP="002C6EA2">
      <w:pPr>
        <w:pStyle w:val="a5"/>
        <w:shd w:val="clear" w:color="auto" w:fill="FFFFFF"/>
        <w:spacing w:before="0" w:beforeAutospacing="0" w:after="0" w:afterAutospacing="0" w:line="576" w:lineRule="exact"/>
        <w:ind w:firstLineChars="200" w:firstLine="420"/>
        <w:rPr>
          <w:rFonts w:ascii="黑体" w:eastAsia="黑体" w:hAnsi="黑体" w:hint="eastAsia"/>
        </w:rPr>
      </w:pPr>
      <w:r>
        <w:rPr>
          <w:rFonts w:ascii="黑体" w:eastAsia="黑体" w:hAnsi="黑体" w:hint="eastAsia"/>
          <w:sz w:val="21"/>
          <w:szCs w:val="21"/>
          <w:shd w:val="clear" w:color="auto" w:fill="FFFFFF"/>
        </w:rPr>
        <w:t>三、本年度部门决算等财务工作开展情况</w:t>
      </w:r>
    </w:p>
    <w:p w:rsidR="002C6EA2" w:rsidRDefault="002C6EA2" w:rsidP="002C6EA2">
      <w:pPr>
        <w:pStyle w:val="a5"/>
        <w:shd w:val="clear" w:color="auto" w:fill="FFFFFF"/>
        <w:spacing w:before="0" w:beforeAutospacing="0" w:after="0" w:afterAutospacing="0" w:line="576" w:lineRule="exact"/>
        <w:ind w:firstLineChars="200" w:firstLine="422"/>
        <w:rPr>
          <w:rStyle w:val="16"/>
          <w:rFonts w:ascii="楷体" w:eastAsia="楷体" w:hAnsi="楷体" w:cs="宋体" w:hint="eastAsia"/>
        </w:rPr>
      </w:pPr>
      <w:r>
        <w:rPr>
          <w:rStyle w:val="16"/>
          <w:rFonts w:ascii="楷体" w:eastAsia="楷体" w:hAnsi="楷体" w:hint="eastAsia"/>
          <w:sz w:val="21"/>
          <w:szCs w:val="21"/>
          <w:shd w:val="clear" w:color="auto" w:fill="FFFFFF"/>
        </w:rPr>
        <w:t>（一）本单位财务管理、绩效管理、决算组织、编报、审核情况。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rPr>
      </w:pPr>
      <w:r>
        <w:rPr>
          <w:rFonts w:hint="eastAsia"/>
          <w:bCs/>
          <w:sz w:val="21"/>
          <w:szCs w:val="21"/>
          <w:shd w:val="clear" w:color="auto" w:fill="FFFFFF"/>
        </w:rPr>
        <w:lastRenderedPageBreak/>
        <w:t>本单位严格按照财务管理制度进行预、决算编报，并在规定的时间内进行财务公开工作，建立健全目标绩效评价体系，严格按照相关法律、法规进行会计核算，严格资金管理，专款专用，资金拨付严格按相关程序报批后支付。</w:t>
      </w:r>
    </w:p>
    <w:p w:rsidR="002C6EA2" w:rsidRDefault="002C6EA2" w:rsidP="002C6EA2">
      <w:pPr>
        <w:pStyle w:val="a5"/>
        <w:shd w:val="clear" w:color="auto" w:fill="FFFFFF"/>
        <w:spacing w:before="0" w:beforeAutospacing="0" w:after="0" w:afterAutospacing="0" w:line="576" w:lineRule="exact"/>
        <w:ind w:firstLineChars="200" w:firstLine="422"/>
        <w:rPr>
          <w:rStyle w:val="16"/>
          <w:rFonts w:ascii="楷体" w:eastAsia="楷体" w:hAnsi="楷体" w:cs="宋体" w:hint="eastAsia"/>
        </w:rPr>
      </w:pPr>
      <w:r>
        <w:rPr>
          <w:rStyle w:val="16"/>
          <w:rFonts w:ascii="楷体" w:eastAsia="楷体" w:hAnsi="楷体" w:hint="eastAsia"/>
          <w:sz w:val="21"/>
          <w:szCs w:val="21"/>
          <w:shd w:val="clear" w:color="auto" w:fill="FFFFFF"/>
        </w:rPr>
        <w:t>（二）本单位决算及绩效信息公开工作开展情况。</w:t>
      </w:r>
    </w:p>
    <w:p w:rsidR="002C6EA2" w:rsidRDefault="002C6EA2" w:rsidP="002C6EA2">
      <w:pPr>
        <w:pStyle w:val="a5"/>
        <w:shd w:val="clear" w:color="auto" w:fill="FFFFFF"/>
        <w:spacing w:before="0" w:beforeAutospacing="0" w:after="0" w:afterAutospacing="0" w:line="576" w:lineRule="exact"/>
        <w:ind w:firstLineChars="200" w:firstLine="420"/>
        <w:rPr>
          <w:rFonts w:hint="eastAsia"/>
        </w:rPr>
      </w:pPr>
      <w:r>
        <w:rPr>
          <w:rFonts w:hint="eastAsia"/>
          <w:sz w:val="21"/>
          <w:szCs w:val="21"/>
          <w:shd w:val="clear" w:color="auto" w:fill="FFFFFF"/>
        </w:rPr>
        <w:t>本单位严格执行新的政府会计制度进行账务处理、本套决算完全依据本单位登记完整、核对无误的账簿记录和其他有关会计核算资料编制，账证相符、账实相符、账表相符、表表相符，真实、准确、完整地反映了本单位预算执行结果和财务状况，审核没有发现问题。</w:t>
      </w:r>
    </w:p>
    <w:p w:rsidR="002C6EA2" w:rsidRDefault="002C6EA2" w:rsidP="002C6EA2">
      <w:pPr>
        <w:pStyle w:val="a5"/>
        <w:shd w:val="clear" w:color="auto" w:fill="FFFFFF"/>
        <w:spacing w:before="0" w:beforeAutospacing="0" w:after="0" w:afterAutospacing="0" w:line="576" w:lineRule="exact"/>
        <w:ind w:firstLineChars="200" w:firstLine="422"/>
        <w:rPr>
          <w:rStyle w:val="16"/>
          <w:rFonts w:ascii="楷体" w:eastAsia="楷体" w:hAnsi="楷体" w:cs="宋体" w:hint="eastAsia"/>
        </w:rPr>
      </w:pPr>
      <w:r>
        <w:rPr>
          <w:rStyle w:val="16"/>
          <w:rFonts w:ascii="楷体" w:eastAsia="楷体" w:hAnsi="楷体" w:hint="eastAsia"/>
          <w:sz w:val="21"/>
          <w:szCs w:val="21"/>
          <w:shd w:val="clear" w:color="auto" w:fill="FFFFFF"/>
        </w:rPr>
        <w:t>（三）对单位决算管理及报表设计的意见建议。</w:t>
      </w:r>
    </w:p>
    <w:p w:rsidR="002C6EA2" w:rsidRDefault="002C6EA2" w:rsidP="002C6EA2">
      <w:pPr>
        <w:pStyle w:val="a5"/>
        <w:shd w:val="clear" w:color="auto" w:fill="FFFFFF"/>
        <w:spacing w:before="0" w:beforeAutospacing="0" w:after="0" w:afterAutospacing="0" w:line="576" w:lineRule="exact"/>
        <w:ind w:firstLineChars="200" w:firstLine="420"/>
        <w:rPr>
          <w:rFonts w:hint="eastAsia"/>
        </w:rPr>
      </w:pPr>
      <w:r>
        <w:rPr>
          <w:rStyle w:val="16"/>
          <w:rFonts w:hint="eastAsia"/>
          <w:b w:val="0"/>
          <w:bCs/>
          <w:sz w:val="21"/>
          <w:szCs w:val="21"/>
          <w:shd w:val="clear" w:color="auto" w:fill="FFFFFF"/>
        </w:rPr>
        <w:t>无。</w:t>
      </w:r>
    </w:p>
    <w:p w:rsidR="002C6EA2" w:rsidRDefault="002C6EA2" w:rsidP="002C6EA2">
      <w:pPr>
        <w:pStyle w:val="a5"/>
        <w:shd w:val="clear" w:color="auto" w:fill="FFFFFF"/>
        <w:spacing w:before="0" w:beforeAutospacing="0" w:after="0" w:afterAutospacing="0" w:line="576" w:lineRule="exact"/>
        <w:ind w:firstLineChars="200" w:firstLine="422"/>
        <w:rPr>
          <w:rStyle w:val="16"/>
          <w:rFonts w:ascii="楷体" w:eastAsia="楷体" w:hAnsi="楷体" w:cs="宋体" w:hint="eastAsia"/>
        </w:rPr>
      </w:pPr>
      <w:r>
        <w:rPr>
          <w:rStyle w:val="16"/>
          <w:rFonts w:ascii="楷体" w:eastAsia="楷体" w:hAnsi="楷体" w:hint="eastAsia"/>
          <w:sz w:val="21"/>
          <w:szCs w:val="21"/>
          <w:shd w:val="clear" w:color="auto" w:fill="FFFFFF"/>
        </w:rPr>
        <w:t>（四）对加强部门决算数据分析利用工作的建议。</w:t>
      </w:r>
    </w:p>
    <w:p w:rsidR="002C6EA2" w:rsidRDefault="002C6EA2" w:rsidP="002C6EA2">
      <w:pPr>
        <w:pStyle w:val="a5"/>
        <w:shd w:val="clear" w:color="auto" w:fill="FFFFFF"/>
        <w:spacing w:before="0" w:beforeAutospacing="0" w:after="0" w:afterAutospacing="0" w:line="576" w:lineRule="exact"/>
        <w:ind w:firstLineChars="200" w:firstLine="420"/>
        <w:rPr>
          <w:rFonts w:hint="eastAsia"/>
        </w:rPr>
      </w:pPr>
      <w:r>
        <w:rPr>
          <w:rStyle w:val="16"/>
          <w:rFonts w:hint="eastAsia"/>
          <w:b w:val="0"/>
          <w:bCs/>
          <w:sz w:val="21"/>
          <w:szCs w:val="21"/>
          <w:shd w:val="clear" w:color="auto" w:fill="FFFFFF"/>
        </w:rPr>
        <w:t>无。</w:t>
      </w:r>
    </w:p>
    <w:p w:rsidR="002C6EA2" w:rsidRDefault="002C6EA2" w:rsidP="002C6EA2">
      <w:pPr>
        <w:pStyle w:val="a5"/>
        <w:shd w:val="clear" w:color="auto" w:fill="FFFFFF"/>
        <w:rPr>
          <w:rFonts w:hint="eastAsia"/>
          <w:sz w:val="21"/>
          <w:szCs w:val="21"/>
          <w:shd w:val="clear" w:color="auto" w:fill="FFFFFF"/>
        </w:rPr>
      </w:pPr>
      <w:r>
        <w:rPr>
          <w:rFonts w:hint="eastAsia"/>
          <w:sz w:val="21"/>
          <w:szCs w:val="21"/>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hint="eastAsia"/>
          <w:sz w:val="16"/>
          <w:szCs w:val="16"/>
          <w:shd w:val="clear" w:color="auto" w:fill="FFFFFF"/>
        </w:rPr>
      </w:pPr>
      <w:r>
        <w:rPr>
          <w:rFonts w:hint="eastAsia"/>
          <w:sz w:val="16"/>
          <w:szCs w:val="16"/>
          <w:shd w:val="clear" w:color="auto" w:fill="FFFFFF"/>
        </w:rPr>
        <w:t xml:space="preserve"> </w:t>
      </w:r>
    </w:p>
    <w:p w:rsidR="002C6EA2" w:rsidRDefault="002C6EA2" w:rsidP="002C6EA2">
      <w:pPr>
        <w:pStyle w:val="a5"/>
        <w:shd w:val="clear" w:color="auto" w:fill="FFFFFF"/>
        <w:rPr>
          <w:rFonts w:ascii="黑体" w:eastAsia="黑体" w:hAnsi="黑体" w:hint="eastAsia"/>
        </w:rPr>
      </w:pPr>
      <w:r>
        <w:rPr>
          <w:rFonts w:ascii="黑体" w:eastAsia="黑体" w:hAnsi="黑体" w:hint="eastAsia"/>
          <w:shd w:val="clear" w:color="auto" w:fill="FFFFFF"/>
        </w:rPr>
        <w:t>附：</w:t>
      </w:r>
    </w:p>
    <w:p w:rsidR="002C6EA2" w:rsidRDefault="002C6EA2" w:rsidP="002C6EA2">
      <w:pPr>
        <w:pStyle w:val="a5"/>
        <w:shd w:val="clear" w:color="auto" w:fill="FFFFFF"/>
        <w:jc w:val="center"/>
        <w:rPr>
          <w:rFonts w:hint="eastAsia"/>
        </w:rPr>
      </w:pPr>
      <w:r>
        <w:rPr>
          <w:rFonts w:hint="eastAsia"/>
          <w:shd w:val="clear" w:color="auto" w:fill="FFFFFF"/>
        </w:rPr>
        <w:lastRenderedPageBreak/>
        <w:t xml:space="preserve"> </w:t>
      </w:r>
    </w:p>
    <w:p w:rsidR="002C6EA2" w:rsidRDefault="002C6EA2" w:rsidP="002C6EA2">
      <w:pPr>
        <w:pStyle w:val="a5"/>
        <w:shd w:val="clear" w:color="auto" w:fill="FFFFFF"/>
        <w:jc w:val="center"/>
        <w:rPr>
          <w:rFonts w:ascii="黑体" w:eastAsia="黑体" w:hAnsi="黑体" w:hint="eastAsia"/>
          <w:shd w:val="clear" w:color="auto" w:fill="FFFFFF"/>
        </w:rPr>
      </w:pPr>
      <w:r>
        <w:rPr>
          <w:rFonts w:ascii="黑体" w:eastAsia="黑体" w:hAnsi="黑体" w:hint="eastAsia"/>
          <w:shd w:val="clear" w:color="auto" w:fill="FFFFFF"/>
        </w:rPr>
        <w:t>行政事业单位财务分析指标</w:t>
      </w:r>
    </w:p>
    <w:p w:rsidR="002C6EA2" w:rsidRDefault="002C6EA2" w:rsidP="002C6EA2">
      <w:pPr>
        <w:pStyle w:val="a5"/>
        <w:shd w:val="clear" w:color="auto" w:fill="FFFFFF"/>
        <w:jc w:val="center"/>
        <w:rPr>
          <w:rFonts w:ascii="楷体_GB2312" w:hAnsi="楷体_GB2312" w:hint="eastAsia"/>
          <w:sz w:val="21"/>
          <w:szCs w:val="21"/>
        </w:rPr>
      </w:pPr>
      <w:r>
        <w:rPr>
          <w:rFonts w:hint="eastAsia"/>
          <w:shd w:val="clear" w:color="auto" w:fill="FFFFFF"/>
        </w:rPr>
        <w:t xml:space="preserve"> </w:t>
      </w:r>
    </w:p>
    <w:p w:rsidR="002C6EA2" w:rsidRDefault="002C6EA2" w:rsidP="002C6EA2">
      <w:pPr>
        <w:pStyle w:val="a5"/>
        <w:shd w:val="clear" w:color="auto" w:fill="FFFFFF"/>
        <w:rPr>
          <w:rFonts w:ascii="楷体_GB2312" w:hAnsi="楷体_GB2312"/>
          <w:sz w:val="21"/>
          <w:szCs w:val="21"/>
        </w:rPr>
      </w:pPr>
      <w:r>
        <w:rPr>
          <w:rFonts w:ascii="楷体_GB2312" w:hAnsi="楷体_GB2312"/>
          <w:sz w:val="21"/>
          <w:szCs w:val="21"/>
          <w:shd w:val="clear" w:color="auto" w:fill="FFFFFF"/>
        </w:rPr>
        <w:t>一、行政单位财务分析指标</w:t>
      </w:r>
    </w:p>
    <w:p w:rsidR="002C6EA2" w:rsidRDefault="002C6EA2" w:rsidP="002C6EA2">
      <w:pPr>
        <w:pStyle w:val="a5"/>
        <w:shd w:val="clear" w:color="auto" w:fill="FFFFFF"/>
        <w:rPr>
          <w:sz w:val="21"/>
          <w:szCs w:val="21"/>
        </w:rPr>
      </w:pPr>
      <w:r>
        <w:rPr>
          <w:rFonts w:hint="eastAsia"/>
          <w:sz w:val="21"/>
          <w:szCs w:val="21"/>
          <w:shd w:val="clear" w:color="auto" w:fill="FFFFFF"/>
        </w:rPr>
        <w:t>1.支出增长率，衡量行政单位支出的增长水平。计算公式为：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支出增长率＝(本期支出总额÷上期支出总额-1)×100%=-1.29%</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2.当年预算支出完成率，衡量行政单位当年支出总预算及分项预算完成的程度。计算公式为：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当年预算支出完成率＝年终执行数÷调整预算数×100%=100.00%</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3.人均开支，衡量行政单位人均年消耗经费水平。计算公式为：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人均开支＝本期支出数÷本期平均在职人员数=21.99</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4.项目支出占总支出的比率，衡量行政单位的支出结构。计算公式为：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项目支出比率=本期项目支出数÷本期支出总数×100%=33.91%</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5.人员支出、公用支出占总支出的比率，衡量行政单位的支出结构。计算公式为：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人员支出比率=本期人员支出数÷本期支出总数×100%=62.16%</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公用支出比率=本期公用支出数÷本期支出总数×100%=3.93%</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6.人均办公使用面积，衡量行政单位办公用房配备情况。计算公式为：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人均办公使用面积=本期末单位办公用房使用面积÷本期末在职人员数=36.94</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7.人车比例，衡量行政单位公务用车配备情况。计算公式为：</w:t>
      </w:r>
    </w:p>
    <w:p w:rsidR="002C6EA2" w:rsidRDefault="002C6EA2" w:rsidP="002C6EA2">
      <w:pPr>
        <w:pStyle w:val="a5"/>
        <w:shd w:val="clear" w:color="auto" w:fill="FFFFFF"/>
        <w:rPr>
          <w:rFonts w:ascii="楷体_GB2312" w:hAnsi="楷体_GB2312" w:hint="eastAsia"/>
          <w:sz w:val="21"/>
          <w:szCs w:val="21"/>
          <w:shd w:val="clear" w:color="auto" w:fill="FFFFFF"/>
        </w:rPr>
      </w:pPr>
      <w:r>
        <w:rPr>
          <w:rFonts w:hint="eastAsia"/>
          <w:sz w:val="21"/>
          <w:szCs w:val="21"/>
          <w:shd w:val="clear" w:color="auto" w:fill="FFFFFF"/>
        </w:rPr>
        <w:t>人车比例=本期末在职人员数÷本期末公务用车实有数=16.00</w:t>
      </w:r>
    </w:p>
    <w:p w:rsidR="002C6EA2" w:rsidRDefault="002C6EA2" w:rsidP="002C6EA2">
      <w:pPr>
        <w:pStyle w:val="a5"/>
        <w:shd w:val="clear" w:color="auto" w:fill="FFFFFF"/>
        <w:rPr>
          <w:rFonts w:ascii="楷体_GB2312" w:hAnsi="楷体_GB2312"/>
          <w:sz w:val="21"/>
          <w:szCs w:val="21"/>
          <w:shd w:val="clear" w:color="auto" w:fill="FFFFFF"/>
        </w:rPr>
      </w:pPr>
      <w:r>
        <w:rPr>
          <w:rFonts w:ascii="楷体_GB2312" w:hAnsi="楷体_GB2312"/>
          <w:sz w:val="21"/>
          <w:szCs w:val="21"/>
          <w:shd w:val="clear" w:color="auto" w:fill="FFFFFF"/>
        </w:rPr>
        <w:t>二、事业单位财务分析指标</w:t>
      </w:r>
    </w:p>
    <w:p w:rsidR="002C6EA2" w:rsidRDefault="002C6EA2" w:rsidP="002C6EA2">
      <w:pPr>
        <w:pStyle w:val="a5"/>
        <w:shd w:val="clear" w:color="auto" w:fill="FFFFFF"/>
        <w:rPr>
          <w:sz w:val="21"/>
          <w:szCs w:val="21"/>
        </w:rPr>
      </w:pPr>
      <w:r>
        <w:rPr>
          <w:rFonts w:hint="eastAsia"/>
          <w:sz w:val="21"/>
          <w:szCs w:val="21"/>
          <w:shd w:val="clear" w:color="auto" w:fill="FFFFFF"/>
        </w:rPr>
        <w:t>1.预算收入和支出完成率，衡量事业单位收入和支出总预算及分项预算完成的程度。计算公式为：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预算收入完成率＝年终执行数÷调整预算数×100%=100.00%</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预算支出完成率＝年终执行数÷调整预算数×100%=100.00%</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lastRenderedPageBreak/>
        <w:t>2.人员支出、公用支出占事业支出的比率，衡量事业单位事业支出结构。计算公式为：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人员支出比率＝人员支出÷事业支出×100%=62.16%</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公用支出比率＝公用支出÷事业支出×100%=3.93%</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3.人均基本支出，衡量事业单位按照实际在编人数平均的基本支出水平。计算公式为：</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人均基本支出＝（基本支出-离退休人员支出）÷实际在编人数=206,848.70</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此外，行业事业单位还可根据相关财务制度规定和分析需要增加相关分析指标，如：</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1.财政拨款依存度, 衡量部门（单位）对财政拨款的依赖程度。</w:t>
      </w:r>
    </w:p>
    <w:p w:rsidR="002C6EA2" w:rsidRDefault="002C6EA2" w:rsidP="002C6EA2">
      <w:pPr>
        <w:pStyle w:val="a5"/>
        <w:shd w:val="clear" w:color="auto" w:fill="FFFFFF"/>
        <w:rPr>
          <w:rFonts w:hint="eastAsia"/>
          <w:sz w:val="21"/>
          <w:szCs w:val="21"/>
        </w:rPr>
      </w:pPr>
      <w:r>
        <w:rPr>
          <w:rFonts w:hint="eastAsia"/>
          <w:sz w:val="21"/>
          <w:szCs w:val="21"/>
          <w:shd w:val="clear" w:color="auto" w:fill="FFFFFF"/>
        </w:rPr>
        <w:t>财政拨款依存度＝财政拨款收入÷收入总额×100%=100.00%</w:t>
      </w:r>
    </w:p>
    <w:p w:rsidR="002C6EA2" w:rsidRDefault="002C6EA2" w:rsidP="002C6EA2">
      <w:pPr>
        <w:pStyle w:val="a5"/>
        <w:shd w:val="clear" w:color="auto" w:fill="FFFFFF"/>
        <w:rPr>
          <w:rFonts w:hint="eastAsia"/>
        </w:rPr>
      </w:pPr>
      <w:r>
        <w:rPr>
          <w:rFonts w:hint="eastAsia"/>
          <w:shd w:val="clear" w:color="auto" w:fill="FFFFFF"/>
        </w:rPr>
        <w:t xml:space="preserve"> </w:t>
      </w:r>
    </w:p>
    <w:p w:rsidR="00000000" w:rsidRPr="002C6EA2" w:rsidRDefault="00A364CC"/>
    <w:sectPr w:rsidR="00000000" w:rsidRPr="002C6EA2">
      <w:pgSz w:w="11915"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EA2" w:rsidRDefault="002C6EA2" w:rsidP="002C6EA2">
      <w:r>
        <w:separator/>
      </w:r>
    </w:p>
  </w:endnote>
  <w:endnote w:type="continuationSeparator" w:id="1">
    <w:p w:rsidR="002C6EA2" w:rsidRDefault="002C6EA2" w:rsidP="002C6E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楷体_GB2312">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EA2" w:rsidRDefault="002C6EA2" w:rsidP="002C6EA2">
      <w:r>
        <w:separator/>
      </w:r>
    </w:p>
  </w:footnote>
  <w:footnote w:type="continuationSeparator" w:id="1">
    <w:p w:rsidR="002C6EA2" w:rsidRDefault="002C6EA2" w:rsidP="002C6E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C6EA2"/>
    <w:rsid w:val="002C6EA2"/>
    <w:rsid w:val="00A364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EA2"/>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C6EA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2C6EA2"/>
    <w:rPr>
      <w:sz w:val="18"/>
      <w:szCs w:val="18"/>
    </w:rPr>
  </w:style>
  <w:style w:type="paragraph" w:styleId="a4">
    <w:name w:val="footer"/>
    <w:basedOn w:val="a"/>
    <w:link w:val="Char0"/>
    <w:uiPriority w:val="99"/>
    <w:semiHidden/>
    <w:unhideWhenUsed/>
    <w:rsid w:val="002C6EA2"/>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2C6EA2"/>
    <w:rPr>
      <w:sz w:val="18"/>
      <w:szCs w:val="18"/>
    </w:rPr>
  </w:style>
  <w:style w:type="paragraph" w:styleId="a5">
    <w:name w:val="Normal (Web)"/>
    <w:basedOn w:val="a"/>
    <w:uiPriority w:val="99"/>
    <w:unhideWhenUsed/>
    <w:rsid w:val="002C6EA2"/>
    <w:pPr>
      <w:spacing w:before="100" w:beforeAutospacing="1" w:after="100" w:afterAutospacing="1"/>
    </w:pPr>
  </w:style>
  <w:style w:type="character" w:customStyle="1" w:styleId="16">
    <w:name w:val="16"/>
    <w:basedOn w:val="a0"/>
    <w:rsid w:val="002C6EA2"/>
    <w:rPr>
      <w:rFonts w:ascii="Times New Roman" w:hAnsi="Times New Roman" w:cs="Times New Roman" w:hint="default"/>
      <w:b/>
    </w:rPr>
  </w:style>
  <w:style w:type="table" w:styleId="a6">
    <w:name w:val="Table Grid"/>
    <w:basedOn w:val="a1"/>
    <w:uiPriority w:val="99"/>
    <w:unhideWhenUsed/>
    <w:rsid w:val="002C6EA2"/>
    <w:rPr>
      <w:rFonts w:ascii="Times New Roma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Char1"/>
    <w:uiPriority w:val="99"/>
    <w:semiHidden/>
    <w:unhideWhenUsed/>
    <w:rsid w:val="002C6EA2"/>
    <w:rPr>
      <w:sz w:val="18"/>
      <w:szCs w:val="18"/>
    </w:rPr>
  </w:style>
  <w:style w:type="character" w:customStyle="1" w:styleId="Char1">
    <w:name w:val="批注框文本 Char"/>
    <w:basedOn w:val="a0"/>
    <w:link w:val="a7"/>
    <w:uiPriority w:val="99"/>
    <w:semiHidden/>
    <w:rsid w:val="002C6EA2"/>
    <w:rPr>
      <w:rFonts w:ascii="宋体" w:eastAsia="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2023-10-25T02:58:00Z</dcterms:created>
  <dcterms:modified xsi:type="dcterms:W3CDTF">2023-10-25T02:58:00Z</dcterms:modified>
</cp:coreProperties>
</file>