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96475"/>
      <w:bookmarkStart w:id="4" w:name="_Toc15378441"/>
      <w:bookmarkStart w:id="5" w:name="_Toc15396597"/>
      <w:bookmarkStart w:id="6" w:name="_Toc28015"/>
      <w:r>
        <w:rPr>
          <w:rFonts w:ascii="黑体" w:hAnsi="黑体" w:eastAsia="黑体"/>
          <w:color w:val="000000"/>
          <w:sz w:val="72"/>
          <w:szCs w:val="72"/>
        </w:rPr>
        <w:t>20</w:t>
      </w:r>
      <w:r>
        <w:rPr>
          <w:rFonts w:hint="eastAsia" w:ascii="黑体" w:hAnsi="黑体" w:eastAsia="黑体"/>
          <w:color w:val="000000"/>
          <w:sz w:val="72"/>
          <w:szCs w:val="72"/>
          <w:lang w:val="en-US" w:eastAsia="zh-CN"/>
        </w:rPr>
        <w:t>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598"/>
      <w:bookmarkStart w:id="8" w:name="_Toc15396476"/>
      <w:bookmarkStart w:id="9" w:name="_Toc15378442"/>
      <w:bookmarkStart w:id="10" w:name="_Toc15377426"/>
      <w:bookmarkStart w:id="11" w:name="_Toc15377194"/>
      <w:bookmarkStart w:id="12" w:name="_Toc22638"/>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eastAsia="zh-CN"/>
        </w:rPr>
        <w:t>江茸乡人民政府</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pStyle w:val="17"/>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sdt>
      <w:sdtPr>
        <w:rPr>
          <w:rFonts w:ascii="宋体" w:hAnsi="宋体" w:eastAsia="宋体" w:cs="Times New Roman"/>
          <w:kern w:val="2"/>
          <w:sz w:val="21"/>
          <w:szCs w:val="24"/>
          <w:lang w:val="en-US" w:eastAsia="zh-CN" w:bidi="ar-SA"/>
        </w:rPr>
        <w:id w:val="147466278"/>
        <w15:color w:val="DBDBDB"/>
        <w:docPartObj>
          <w:docPartGallery w:val="Table of Contents"/>
          <w:docPartUnique/>
        </w:docPartObj>
      </w:sdtPr>
      <w:sdtEndPr>
        <w:rPr>
          <w:rFonts w:hint="eastAsia" w:ascii="Calibri" w:hAnsi="Calibri" w:eastAsia="宋体" w:cs="Times New Roman"/>
          <w:b/>
          <w:kern w:val="2"/>
          <w:sz w:val="21"/>
          <w:szCs w:val="21"/>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39"/>
            <w:tabs>
              <w:tab w:val="right" w:leader="dot" w:pos="8306"/>
            </w:tabs>
            <w:rPr>
              <w:b/>
            </w:rPr>
          </w:pPr>
          <w:r>
            <w:rPr>
              <w:rFonts w:hint="eastAsia"/>
            </w:rPr>
            <w:fldChar w:fldCharType="begin"/>
          </w:r>
          <w:r>
            <w:rPr>
              <w:rFonts w:hint="eastAsia"/>
            </w:rPr>
            <w:instrText xml:space="preserve">TOC \o "1-2" \h \u </w:instrText>
          </w:r>
          <w:r>
            <w:rPr>
              <w:rFonts w:hint="eastAsia"/>
            </w:rPr>
            <w:fldChar w:fldCharType="separate"/>
          </w:r>
          <w:r>
            <w:rPr>
              <w:rFonts w:hint="eastAsia"/>
              <w:b/>
            </w:rPr>
            <w:fldChar w:fldCharType="begin"/>
          </w:r>
          <w:r>
            <w:rPr>
              <w:rFonts w:hint="eastAsia"/>
              <w:b/>
            </w:rPr>
            <w:instrText xml:space="preserve"> HYPERLINK \l _Toc28015 </w:instrText>
          </w:r>
          <w:r>
            <w:rPr>
              <w:rFonts w:hint="eastAsia"/>
              <w:b/>
            </w:rPr>
            <w:fldChar w:fldCharType="separate"/>
          </w:r>
          <w:r>
            <w:rPr>
              <w:rFonts w:ascii="黑体" w:hAnsi="黑体" w:eastAsia="黑体"/>
              <w:b/>
              <w:szCs w:val="72"/>
            </w:rPr>
            <w:t>20</w:t>
          </w:r>
          <w:r>
            <w:rPr>
              <w:rFonts w:hint="eastAsia" w:ascii="黑体" w:hAnsi="黑体" w:eastAsia="黑体"/>
              <w:b/>
              <w:szCs w:val="72"/>
              <w:lang w:val="en-US" w:eastAsia="zh-CN"/>
            </w:rPr>
            <w:t>21</w:t>
          </w:r>
          <w:r>
            <w:rPr>
              <w:rFonts w:hint="eastAsia" w:ascii="方正小标宋简体" w:hAnsi="宋体" w:eastAsia="方正小标宋简体"/>
              <w:b/>
              <w:szCs w:val="72"/>
            </w:rPr>
            <w:t>年度</w:t>
          </w:r>
          <w:r>
            <w:rPr>
              <w:b/>
            </w:rPr>
            <w:tab/>
          </w:r>
          <w:r>
            <w:rPr>
              <w:b/>
            </w:rPr>
            <w:fldChar w:fldCharType="begin"/>
          </w:r>
          <w:r>
            <w:rPr>
              <w:b/>
            </w:rPr>
            <w:instrText xml:space="preserve"> PAGEREF _Toc28015 \h </w:instrText>
          </w:r>
          <w:r>
            <w:rPr>
              <w:b/>
            </w:rPr>
            <w:fldChar w:fldCharType="separate"/>
          </w:r>
          <w:r>
            <w:rPr>
              <w:b/>
            </w:rPr>
            <w:t>1</w:t>
          </w:r>
          <w:r>
            <w:rPr>
              <w:b/>
            </w:rPr>
            <w:fldChar w:fldCharType="end"/>
          </w:r>
          <w:r>
            <w:rPr>
              <w:rFonts w:hint="eastAsia"/>
              <w:b/>
            </w:rPr>
            <w:fldChar w:fldCharType="end"/>
          </w:r>
        </w:p>
        <w:p>
          <w:pPr>
            <w:pStyle w:val="39"/>
            <w:tabs>
              <w:tab w:val="right" w:leader="dot" w:pos="8306"/>
            </w:tabs>
            <w:rPr>
              <w:b/>
            </w:rPr>
          </w:pPr>
          <w:r>
            <w:rPr>
              <w:rFonts w:hint="eastAsia"/>
              <w:b/>
            </w:rPr>
            <w:fldChar w:fldCharType="begin"/>
          </w:r>
          <w:r>
            <w:rPr>
              <w:rFonts w:hint="eastAsia"/>
              <w:b/>
            </w:rPr>
            <w:instrText xml:space="preserve"> HYPERLINK \l _Toc22638 </w:instrText>
          </w:r>
          <w:r>
            <w:rPr>
              <w:rFonts w:hint="eastAsia"/>
              <w:b/>
            </w:rPr>
            <w:fldChar w:fldCharType="separate"/>
          </w:r>
          <w:r>
            <w:rPr>
              <w:rFonts w:hint="eastAsia" w:ascii="方正小标宋简体" w:hAnsi="宋体" w:eastAsia="方正小标宋简体"/>
              <w:b/>
              <w:szCs w:val="72"/>
            </w:rPr>
            <w:t>四川省阿坝州</w:t>
          </w:r>
          <w:r>
            <w:rPr>
              <w:rFonts w:hint="eastAsia" w:ascii="方正小标宋简体" w:hAnsi="宋体" w:eastAsia="方正小标宋简体"/>
              <w:b/>
              <w:szCs w:val="72"/>
              <w:lang w:eastAsia="zh-CN"/>
            </w:rPr>
            <w:t>红原县江茸乡人民政府</w:t>
          </w:r>
          <w:r>
            <w:rPr>
              <w:rFonts w:hint="eastAsia" w:ascii="方正小标宋简体" w:hAnsi="宋体" w:eastAsia="方正小标宋简体"/>
              <w:b/>
              <w:szCs w:val="72"/>
            </w:rPr>
            <w:t>部门决算</w:t>
          </w:r>
          <w:r>
            <w:rPr>
              <w:b/>
            </w:rPr>
            <w:tab/>
          </w:r>
          <w:r>
            <w:rPr>
              <w:b/>
            </w:rPr>
            <w:fldChar w:fldCharType="begin"/>
          </w:r>
          <w:r>
            <w:rPr>
              <w:b/>
            </w:rPr>
            <w:instrText xml:space="preserve"> PAGEREF _Toc22638 \h </w:instrText>
          </w:r>
          <w:r>
            <w:rPr>
              <w:b/>
            </w:rPr>
            <w:fldChar w:fldCharType="separate"/>
          </w:r>
          <w:r>
            <w:rPr>
              <w:b/>
            </w:rPr>
            <w:t>1</w:t>
          </w:r>
          <w:r>
            <w:rPr>
              <w:b/>
            </w:rPr>
            <w:fldChar w:fldCharType="end"/>
          </w:r>
          <w:r>
            <w:rPr>
              <w:rFonts w:hint="eastAsia"/>
              <w:b/>
            </w:rPr>
            <w:fldChar w:fldCharType="end"/>
          </w:r>
        </w:p>
        <w:p>
          <w:pPr>
            <w:pStyle w:val="39"/>
            <w:tabs>
              <w:tab w:val="right" w:leader="dot" w:pos="8306"/>
            </w:tabs>
            <w:rPr>
              <w:b/>
            </w:rPr>
          </w:pPr>
          <w:r>
            <w:rPr>
              <w:rFonts w:hint="eastAsia"/>
              <w:b/>
            </w:rPr>
            <w:fldChar w:fldCharType="begin"/>
          </w:r>
          <w:r>
            <w:rPr>
              <w:rFonts w:hint="eastAsia"/>
              <w:b/>
            </w:rPr>
            <w:instrText xml:space="preserve"> HYPERLINK \l _Toc5617 </w:instrText>
          </w:r>
          <w:r>
            <w:rPr>
              <w:rFonts w:hint="eastAsia"/>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_Toc5617 \h </w:instrText>
          </w:r>
          <w:r>
            <w:rPr>
              <w:b/>
            </w:rPr>
            <w:fldChar w:fldCharType="separate"/>
          </w:r>
          <w:r>
            <w:rPr>
              <w:b/>
            </w:rPr>
            <w:t>3</w:t>
          </w:r>
          <w:r>
            <w:rPr>
              <w:b/>
            </w:rPr>
            <w:fldChar w:fldCharType="end"/>
          </w:r>
          <w:r>
            <w:rPr>
              <w:rFonts w:hint="eastAsia"/>
              <w:b/>
            </w:rPr>
            <w:fldChar w:fldCharType="end"/>
          </w:r>
        </w:p>
        <w:p>
          <w:pPr>
            <w:pStyle w:val="40"/>
            <w:tabs>
              <w:tab w:val="right" w:leader="dot" w:pos="8306"/>
            </w:tabs>
          </w:pPr>
          <w:r>
            <w:rPr>
              <w:rFonts w:hint="eastAsia"/>
            </w:rPr>
            <w:fldChar w:fldCharType="begin"/>
          </w:r>
          <w:r>
            <w:rPr>
              <w:rFonts w:hint="eastAsia"/>
            </w:rPr>
            <w:instrText xml:space="preserve"> HYPERLINK \l _Toc17045 </w:instrText>
          </w:r>
          <w:r>
            <w:rPr>
              <w:rFonts w:hint="eastAsia"/>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_Toc17045 \h </w:instrText>
          </w:r>
          <w:r>
            <w:fldChar w:fldCharType="separate"/>
          </w:r>
          <w:r>
            <w:t>3</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_Toc11021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_Toc11021 \h </w:instrText>
          </w:r>
          <w:r>
            <w:fldChar w:fldCharType="separate"/>
          </w:r>
          <w:r>
            <w:t>7</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_Toc3241 </w:instrText>
          </w:r>
          <w:r>
            <w:rPr>
              <w:rFonts w:hint="eastAsia"/>
            </w:rPr>
            <w:fldChar w:fldCharType="separate"/>
          </w:r>
          <w:r>
            <w:rPr>
              <w:rFonts w:hint="eastAsia" w:ascii="黑体" w:hAnsi="黑体" w:eastAsia="黑体"/>
              <w:szCs w:val="32"/>
              <w:lang w:eastAsia="zh-CN"/>
            </w:rPr>
            <w:t>三、</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_Toc3241 \h </w:instrText>
          </w:r>
          <w:r>
            <w:fldChar w:fldCharType="separate"/>
          </w:r>
          <w:r>
            <w:t>7</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_Toc9273 </w:instrText>
          </w:r>
          <w:r>
            <w:rPr>
              <w:rFonts w:hint="eastAsia"/>
            </w:rPr>
            <w:fldChar w:fldCharType="separate"/>
          </w:r>
          <w:r>
            <w:rPr>
              <w:rFonts w:hint="eastAsia" w:ascii="黑体" w:hAnsi="黑体" w:eastAsia="黑体"/>
              <w:szCs w:val="32"/>
              <w:lang w:eastAsia="zh-CN"/>
            </w:rPr>
            <w:t>四、</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_Toc9273 \h </w:instrText>
          </w:r>
          <w:r>
            <w:fldChar w:fldCharType="separate"/>
          </w:r>
          <w:r>
            <w:t>8</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_Toc16403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年本年收入合计</w:t>
          </w:r>
          <w:r>
            <w:rPr>
              <w:rFonts w:hint="eastAsia" w:ascii="仿宋" w:hAnsi="仿宋" w:eastAsia="仿宋"/>
              <w:szCs w:val="32"/>
              <w:lang w:val="en-US" w:eastAsia="zh-CN"/>
            </w:rPr>
            <w:t>853.31</w:t>
          </w:r>
          <w:r>
            <w:rPr>
              <w:rFonts w:hint="eastAsia" w:ascii="仿宋" w:hAnsi="仿宋" w:eastAsia="仿宋"/>
              <w:szCs w:val="32"/>
            </w:rPr>
            <w:t>万元，其中：一般公共预算财政拨款收入</w:t>
          </w:r>
          <w:r>
            <w:rPr>
              <w:rFonts w:hint="eastAsia" w:ascii="仿宋" w:hAnsi="仿宋" w:eastAsia="仿宋"/>
              <w:szCs w:val="32"/>
              <w:lang w:val="en-US" w:eastAsia="zh-CN"/>
            </w:rPr>
            <w:t>853.31</w:t>
          </w:r>
          <w:r>
            <w:rPr>
              <w:rFonts w:hint="eastAsia" w:ascii="仿宋" w:hAnsi="仿宋" w:eastAsia="仿宋"/>
              <w:szCs w:val="32"/>
            </w:rPr>
            <w:t>万元，占</w:t>
          </w:r>
          <w:r>
            <w:rPr>
              <w:rFonts w:hint="eastAsia" w:ascii="仿宋" w:hAnsi="仿宋" w:eastAsia="仿宋"/>
              <w:szCs w:val="32"/>
              <w:lang w:val="en-US" w:eastAsia="zh-CN"/>
            </w:rPr>
            <w:t>100</w:t>
          </w:r>
          <w:r>
            <w:rPr>
              <w:rFonts w:ascii="仿宋" w:hAnsi="仿宋" w:eastAsia="仿宋"/>
              <w:szCs w:val="32"/>
            </w:rPr>
            <w:t>%</w:t>
          </w:r>
          <w:r>
            <w:rPr>
              <w:rFonts w:hint="eastAsia" w:ascii="仿宋" w:hAnsi="仿宋" w:eastAsia="仿宋"/>
              <w:szCs w:val="32"/>
            </w:rPr>
            <w:t>；政府性基金预算财政拨款收入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ascii="仿宋" w:hAnsi="仿宋" w:eastAsia="仿宋"/>
              <w:szCs w:val="32"/>
            </w:rPr>
            <w:t>%</w:t>
          </w:r>
          <w:r>
            <w:rPr>
              <w:rFonts w:hint="eastAsia" w:ascii="仿宋" w:hAnsi="仿宋" w:eastAsia="仿宋"/>
              <w:szCs w:val="32"/>
            </w:rPr>
            <w:t>；上级补助收入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ascii="仿宋" w:hAnsi="仿宋" w:eastAsia="仿宋"/>
              <w:szCs w:val="32"/>
            </w:rPr>
            <w:t>%</w:t>
          </w:r>
          <w:r>
            <w:rPr>
              <w:rFonts w:hint="eastAsia" w:ascii="仿宋" w:hAnsi="仿宋" w:eastAsia="仿宋"/>
              <w:szCs w:val="32"/>
            </w:rPr>
            <w:t>；事业收入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ascii="仿宋" w:hAnsi="仿宋" w:eastAsia="仿宋"/>
              <w:szCs w:val="32"/>
            </w:rPr>
            <w:t>%</w:t>
          </w:r>
          <w:r>
            <w:rPr>
              <w:rFonts w:hint="eastAsia" w:ascii="仿宋" w:hAnsi="仿宋" w:eastAsia="仿宋"/>
              <w:szCs w:val="32"/>
            </w:rPr>
            <w:t>；经营收入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ascii="仿宋" w:hAnsi="仿宋" w:eastAsia="仿宋"/>
              <w:szCs w:val="32"/>
            </w:rPr>
            <w:t>%</w:t>
          </w:r>
          <w:r>
            <w:rPr>
              <w:rFonts w:hint="eastAsia" w:ascii="仿宋" w:hAnsi="仿宋" w:eastAsia="仿宋"/>
              <w:szCs w:val="32"/>
            </w:rPr>
            <w:t>；附属单位上缴收入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ascii="仿宋" w:hAnsi="仿宋" w:eastAsia="仿宋"/>
              <w:szCs w:val="32"/>
            </w:rPr>
            <w:t>%</w:t>
          </w:r>
          <w:r>
            <w:rPr>
              <w:rFonts w:hint="eastAsia" w:ascii="仿宋" w:hAnsi="仿宋" w:eastAsia="仿宋"/>
              <w:szCs w:val="32"/>
            </w:rPr>
            <w:t>；其他收入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_Toc16403 \h </w:instrText>
          </w:r>
          <w:r>
            <w:fldChar w:fldCharType="separate"/>
          </w:r>
          <w:r>
            <w:t>8</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_Toc15832 </w:instrText>
          </w:r>
          <w:r>
            <w:rPr>
              <w:rFonts w:hint="eastAsia"/>
            </w:rPr>
            <w:fldChar w:fldCharType="separate"/>
          </w:r>
          <w:r>
            <w:rPr>
              <w:rFonts w:hint="eastAsia" w:ascii="黑体" w:hAnsi="黑体" w:eastAsia="黑体"/>
              <w:szCs w:val="32"/>
              <w:lang w:eastAsia="zh-CN"/>
            </w:rPr>
            <w:t>五、</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_Toc15832 \h </w:instrText>
          </w:r>
          <w:r>
            <w:fldChar w:fldCharType="separate"/>
          </w:r>
          <w:r>
            <w:t>9</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_Toc9663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年本年支出合计</w:t>
          </w:r>
          <w:r>
            <w:rPr>
              <w:rFonts w:hint="eastAsia" w:ascii="仿宋" w:hAnsi="仿宋" w:eastAsia="仿宋"/>
              <w:szCs w:val="32"/>
              <w:lang w:val="en-US" w:eastAsia="zh-CN"/>
            </w:rPr>
            <w:t>853.31</w:t>
          </w:r>
          <w:r>
            <w:rPr>
              <w:rFonts w:hint="eastAsia" w:ascii="仿宋" w:hAnsi="仿宋" w:eastAsia="仿宋"/>
              <w:szCs w:val="32"/>
            </w:rPr>
            <w:t>万元，其中：基本支出</w:t>
          </w:r>
          <w:r>
            <w:rPr>
              <w:rFonts w:hint="eastAsia" w:ascii="仿宋" w:hAnsi="仿宋" w:eastAsia="仿宋"/>
              <w:szCs w:val="32"/>
              <w:lang w:val="en-US" w:eastAsia="zh-CN"/>
            </w:rPr>
            <w:t>695.77</w:t>
          </w:r>
          <w:r>
            <w:rPr>
              <w:rFonts w:hint="eastAsia" w:ascii="仿宋" w:hAnsi="仿宋" w:eastAsia="仿宋"/>
              <w:szCs w:val="32"/>
            </w:rPr>
            <w:t>万元，占</w:t>
          </w:r>
          <w:r>
            <w:rPr>
              <w:rFonts w:hint="eastAsia" w:ascii="仿宋" w:hAnsi="仿宋" w:eastAsia="仿宋"/>
              <w:szCs w:val="32"/>
              <w:lang w:val="en-US" w:eastAsia="zh-CN"/>
            </w:rPr>
            <w:t>82</w:t>
          </w:r>
          <w:r>
            <w:rPr>
              <w:rFonts w:ascii="仿宋" w:hAnsi="仿宋" w:eastAsia="仿宋"/>
              <w:szCs w:val="32"/>
            </w:rPr>
            <w:t>%</w:t>
          </w:r>
          <w:r>
            <w:rPr>
              <w:rFonts w:hint="eastAsia" w:ascii="仿宋" w:hAnsi="仿宋" w:eastAsia="仿宋"/>
              <w:szCs w:val="32"/>
            </w:rPr>
            <w:t>；项目支出</w:t>
          </w:r>
          <w:r>
            <w:rPr>
              <w:rFonts w:hint="eastAsia" w:ascii="仿宋" w:hAnsi="仿宋" w:eastAsia="仿宋"/>
              <w:szCs w:val="32"/>
              <w:lang w:val="en-US" w:eastAsia="zh-CN"/>
            </w:rPr>
            <w:t>157.54</w:t>
          </w:r>
          <w:r>
            <w:rPr>
              <w:rFonts w:hint="eastAsia" w:ascii="仿宋" w:hAnsi="仿宋" w:eastAsia="仿宋"/>
              <w:szCs w:val="32"/>
            </w:rPr>
            <w:t>万元，占</w:t>
          </w:r>
          <w:r>
            <w:rPr>
              <w:rFonts w:hint="eastAsia" w:ascii="仿宋" w:hAnsi="仿宋" w:eastAsia="仿宋"/>
              <w:szCs w:val="32"/>
              <w:lang w:val="en-US" w:eastAsia="zh-CN"/>
            </w:rPr>
            <w:t>18</w:t>
          </w:r>
          <w:r>
            <w:rPr>
              <w:rFonts w:ascii="仿宋" w:hAnsi="仿宋" w:eastAsia="仿宋"/>
              <w:szCs w:val="32"/>
            </w:rPr>
            <w:t>%</w:t>
          </w:r>
          <w:r>
            <w:rPr>
              <w:rFonts w:hint="eastAsia" w:ascii="仿宋" w:hAnsi="仿宋" w:eastAsia="仿宋"/>
              <w:szCs w:val="32"/>
            </w:rPr>
            <w:t>；经营支出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ascii="仿宋" w:hAnsi="仿宋" w:eastAsia="仿宋"/>
              <w:szCs w:val="32"/>
            </w:rPr>
            <w:t>%</w:t>
          </w:r>
          <w:r>
            <w:rPr>
              <w:rFonts w:hint="eastAsia" w:ascii="仿宋" w:hAnsi="仿宋" w:eastAsia="仿宋"/>
              <w:szCs w:val="32"/>
            </w:rPr>
            <w:t>；对附属单位补助支出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_Toc9663 \h </w:instrText>
          </w:r>
          <w:r>
            <w:fldChar w:fldCharType="separate"/>
          </w:r>
          <w:r>
            <w:t>9</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_Toc2777 </w:instrText>
          </w:r>
          <w:r>
            <w:rPr>
              <w:rFonts w:hint="eastAsia"/>
            </w:rPr>
            <w:fldChar w:fldCharType="separate"/>
          </w:r>
          <w:r>
            <w:rPr>
              <w:rFonts w:hint="eastAsia" w:ascii="黑体" w:hAnsi="黑体" w:eastAsia="黑体"/>
              <w:szCs w:val="32"/>
              <w:lang w:eastAsia="zh-CN"/>
            </w:rPr>
            <w:t>六、</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_Toc2777 \h </w:instrText>
          </w:r>
          <w:r>
            <w:fldChar w:fldCharType="separate"/>
          </w:r>
          <w:r>
            <w:t>9</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_Toc971 </w:instrText>
          </w:r>
          <w:r>
            <w:rPr>
              <w:rFonts w:hint="eastAsia"/>
            </w:rPr>
            <w:fldChar w:fldCharType="separate"/>
          </w:r>
          <w:r>
            <w:rPr>
              <w:rFonts w:hint="eastAsia" w:ascii="黑体" w:hAnsi="黑体" w:eastAsia="黑体"/>
              <w:szCs w:val="32"/>
              <w:lang w:val="en-US" w:eastAsia="zh-CN"/>
            </w:rPr>
            <w:t>七</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_Toc971 \h </w:instrText>
          </w:r>
          <w:r>
            <w:fldChar w:fldCharType="separate"/>
          </w:r>
          <w:r>
            <w:t>10</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_Toc25637 </w:instrText>
          </w:r>
          <w:r>
            <w:rPr>
              <w:rFonts w:hint="eastAsia"/>
            </w:rPr>
            <w:fldChar w:fldCharType="separate"/>
          </w:r>
          <w:r>
            <w:rPr>
              <w:rFonts w:hint="eastAsia" w:ascii="仿宋" w:hAnsi="仿宋" w:eastAsia="仿宋" w:cs="仿宋"/>
              <w:szCs w:val="32"/>
              <w:lang w:val="en-US" w:eastAsia="zh-CN"/>
            </w:rPr>
            <w:t>2021</w:t>
          </w:r>
          <w:r>
            <w:rPr>
              <w:rFonts w:hint="eastAsia" w:ascii="仿宋" w:hAnsi="仿宋" w:eastAsia="仿宋" w:cs="仿宋"/>
              <w:szCs w:val="32"/>
            </w:rPr>
            <w:t>年</w:t>
          </w:r>
          <w:r>
            <w:rPr>
              <w:rFonts w:hint="eastAsia" w:ascii="仿宋" w:hAnsi="仿宋" w:eastAsia="仿宋" w:cs="仿宋"/>
              <w:szCs w:val="32"/>
              <w:lang w:eastAsia="zh-CN"/>
            </w:rPr>
            <w:t>一</w:t>
          </w:r>
          <w:r>
            <w:rPr>
              <w:rFonts w:hint="eastAsia" w:ascii="仿宋" w:hAnsi="仿宋" w:eastAsia="仿宋" w:cs="仿宋"/>
              <w:szCs w:val="32"/>
            </w:rPr>
            <w:t>般公共预算支出决算数为</w:t>
          </w:r>
          <w:r>
            <w:rPr>
              <w:rFonts w:hint="eastAsia" w:ascii="仿宋" w:hAnsi="仿宋" w:eastAsia="仿宋" w:cs="仿宋"/>
              <w:szCs w:val="32"/>
              <w:lang w:val="en-US" w:eastAsia="zh-CN"/>
            </w:rPr>
            <w:t>853.31万元</w:t>
          </w:r>
          <w:r>
            <w:rPr>
              <w:rFonts w:hint="eastAsia" w:ascii="仿宋" w:hAnsi="仿宋" w:eastAsia="仿宋" w:cs="仿宋"/>
              <w:szCs w:val="32"/>
            </w:rPr>
            <w:t>，</w:t>
          </w:r>
          <w:r>
            <w:rPr>
              <w:rFonts w:hint="eastAsia" w:ascii="仿宋" w:hAnsi="仿宋" w:eastAsia="仿宋" w:cs="仿宋"/>
              <w:bCs/>
              <w:szCs w:val="32"/>
            </w:rPr>
            <w:t>完成预算</w:t>
          </w:r>
          <w:r>
            <w:rPr>
              <w:rFonts w:hint="eastAsia" w:ascii="仿宋" w:hAnsi="仿宋" w:eastAsia="仿宋" w:cs="仿宋"/>
              <w:bCs/>
              <w:szCs w:val="32"/>
              <w:lang w:val="en-US" w:eastAsia="zh-CN"/>
            </w:rPr>
            <w:t>100</w:t>
          </w:r>
          <w:r>
            <w:rPr>
              <w:rFonts w:hint="eastAsia" w:ascii="仿宋" w:hAnsi="仿宋" w:eastAsia="仿宋" w:cs="仿宋"/>
              <w:bCs/>
              <w:szCs w:val="32"/>
            </w:rPr>
            <w:t>%。其中：</w:t>
          </w:r>
          <w:r>
            <w:tab/>
          </w:r>
          <w:r>
            <w:fldChar w:fldCharType="begin"/>
          </w:r>
          <w:r>
            <w:instrText xml:space="preserve"> PAGEREF _Toc25637 \h </w:instrText>
          </w:r>
          <w:r>
            <w:fldChar w:fldCharType="separate"/>
          </w:r>
          <w:r>
            <w:t>12</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_Toc21943 </w:instrText>
          </w:r>
          <w:r>
            <w:rPr>
              <w:rFonts w:hint="eastAsia"/>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_Toc21943 \h </w:instrText>
          </w:r>
          <w:r>
            <w:fldChar w:fldCharType="separate"/>
          </w:r>
          <w:r>
            <w:t>14</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_Toc11403 </w:instrText>
          </w:r>
          <w:r>
            <w:rPr>
              <w:rFonts w:hint="eastAsia"/>
            </w:rPr>
            <w:fldChar w:fldCharType="separate"/>
          </w:r>
          <w:r>
            <w:rPr>
              <w:rFonts w:hint="eastAsia" w:ascii="黑体" w:eastAsia="黑体"/>
              <w:szCs w:val="32"/>
              <w:lang w:val="en-US" w:eastAsia="zh-CN"/>
            </w:rPr>
            <w:t>九</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_Toc11403 \h </w:instrText>
          </w:r>
          <w:r>
            <w:fldChar w:fldCharType="separate"/>
          </w:r>
          <w:r>
            <w:t>15</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_Toc15140 </w:instrText>
          </w:r>
          <w:r>
            <w:rPr>
              <w:rFonts w:hint="eastAsia"/>
            </w:rPr>
            <w:fldChar w:fldCharType="separate"/>
          </w:r>
          <w:r>
            <w:rPr>
              <w:rFonts w:hint="eastAsia" w:ascii="黑体" w:eastAsia="黑体"/>
              <w:szCs w:val="32"/>
              <w:lang w:val="en-US" w:eastAsia="zh-CN"/>
            </w:rPr>
            <w:t>十</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_Toc15140 \h </w:instrText>
          </w:r>
          <w:r>
            <w:fldChar w:fldCharType="separate"/>
          </w:r>
          <w:r>
            <w:t>17</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_Toc21776 </w:instrText>
          </w:r>
          <w:r>
            <w:rPr>
              <w:rFonts w:hint="eastAsia"/>
            </w:rPr>
            <w:fldChar w:fldCharType="separate"/>
          </w:r>
          <w:r>
            <w:rPr>
              <w:rFonts w:hint="eastAsia" w:ascii="黑体" w:hAnsi="黑体" w:eastAsia="黑体"/>
              <w:lang w:val="en-US" w:eastAsia="zh-CN"/>
            </w:rPr>
            <w:t>十一、</w:t>
          </w:r>
          <w:r>
            <w:rPr>
              <w:rFonts w:hint="eastAsia" w:ascii="黑体" w:hAnsi="黑体" w:eastAsia="黑体"/>
            </w:rPr>
            <w:t>国有资本经营预算支出决算情况说明</w:t>
          </w:r>
          <w:r>
            <w:tab/>
          </w:r>
          <w:r>
            <w:fldChar w:fldCharType="begin"/>
          </w:r>
          <w:r>
            <w:instrText xml:space="preserve"> PAGEREF _Toc21776 \h </w:instrText>
          </w:r>
          <w:r>
            <w:fldChar w:fldCharType="separate"/>
          </w:r>
          <w:r>
            <w:t>17</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_Toc31063 </w:instrText>
          </w:r>
          <w:r>
            <w:rPr>
              <w:rFonts w:hint="eastAsia"/>
            </w:rPr>
            <w:fldChar w:fldCharType="separate"/>
          </w:r>
          <w:r>
            <w:rPr>
              <w:rFonts w:hint="eastAsia" w:ascii="黑体" w:hAnsi="黑体" w:eastAsia="黑体"/>
              <w:szCs w:val="32"/>
              <w:lang w:val="en-US" w:eastAsia="zh-CN"/>
            </w:rPr>
            <w:t>十二、</w:t>
          </w:r>
          <w:r>
            <w:rPr>
              <w:rFonts w:hint="eastAsia" w:ascii="黑体" w:hAnsi="黑体" w:eastAsia="黑体"/>
            </w:rPr>
            <w:t>其他重要事项的情况说明</w:t>
          </w:r>
          <w:r>
            <w:tab/>
          </w:r>
          <w:r>
            <w:fldChar w:fldCharType="begin"/>
          </w:r>
          <w:r>
            <w:instrText xml:space="preserve"> PAGEREF _Toc31063 \h </w:instrText>
          </w:r>
          <w:r>
            <w:fldChar w:fldCharType="separate"/>
          </w:r>
          <w:r>
            <w:t>17</w:t>
          </w:r>
          <w:r>
            <w:fldChar w:fldCharType="end"/>
          </w:r>
          <w:r>
            <w:rPr>
              <w:rFonts w:hint="eastAsia"/>
            </w:rPr>
            <w:fldChar w:fldCharType="end"/>
          </w:r>
        </w:p>
        <w:p>
          <w:pPr>
            <w:pStyle w:val="39"/>
            <w:tabs>
              <w:tab w:val="right" w:leader="dot" w:pos="8306"/>
            </w:tabs>
            <w:rPr>
              <w:b/>
            </w:rPr>
          </w:pPr>
          <w:r>
            <w:rPr>
              <w:rFonts w:hint="eastAsia"/>
              <w:b/>
            </w:rPr>
            <w:fldChar w:fldCharType="begin"/>
          </w:r>
          <w:r>
            <w:rPr>
              <w:rFonts w:hint="eastAsia"/>
              <w:b/>
            </w:rPr>
            <w:instrText xml:space="preserve"> HYPERLINK \l _Toc11473 </w:instrText>
          </w:r>
          <w:r>
            <w:rPr>
              <w:rFonts w:hint="eastAsia"/>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_Toc11473 \h </w:instrText>
          </w:r>
          <w:r>
            <w:rPr>
              <w:b/>
            </w:rPr>
            <w:fldChar w:fldCharType="separate"/>
          </w:r>
          <w:r>
            <w:rPr>
              <w:b/>
            </w:rPr>
            <w:t>34</w:t>
          </w:r>
          <w:r>
            <w:rPr>
              <w:b/>
            </w:rPr>
            <w:fldChar w:fldCharType="end"/>
          </w:r>
          <w:r>
            <w:rPr>
              <w:rFonts w:hint="eastAsia"/>
              <w:b/>
            </w:rPr>
            <w:fldChar w:fldCharType="end"/>
          </w:r>
        </w:p>
        <w:p>
          <w:pPr>
            <w:pStyle w:val="39"/>
            <w:tabs>
              <w:tab w:val="right" w:leader="dot" w:pos="8306"/>
            </w:tabs>
            <w:rPr>
              <w:b/>
            </w:rPr>
          </w:pPr>
          <w:r>
            <w:rPr>
              <w:rFonts w:hint="eastAsia"/>
              <w:b/>
            </w:rPr>
            <w:fldChar w:fldCharType="begin"/>
          </w:r>
          <w:r>
            <w:rPr>
              <w:rFonts w:hint="eastAsia"/>
              <w:b/>
            </w:rPr>
            <w:instrText xml:space="preserve"> HYPERLINK \l _Toc3620 </w:instrText>
          </w:r>
          <w:r>
            <w:rPr>
              <w:rFonts w:hint="eastAsia"/>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_Toc3620 \h </w:instrText>
          </w:r>
          <w:r>
            <w:rPr>
              <w:b/>
            </w:rPr>
            <w:fldChar w:fldCharType="separate"/>
          </w:r>
          <w:r>
            <w:rPr>
              <w:b/>
            </w:rPr>
            <w:t>39</w:t>
          </w:r>
          <w:r>
            <w:rPr>
              <w:b/>
            </w:rPr>
            <w:fldChar w:fldCharType="end"/>
          </w:r>
          <w:r>
            <w:rPr>
              <w:rFonts w:hint="eastAsia"/>
              <w:b/>
            </w:rPr>
            <w:fldChar w:fldCharType="end"/>
          </w:r>
        </w:p>
        <w:p>
          <w:pPr>
            <w:pStyle w:val="40"/>
            <w:tabs>
              <w:tab w:val="right" w:leader="dot" w:pos="8306"/>
            </w:tabs>
          </w:pPr>
          <w:r>
            <w:rPr>
              <w:rFonts w:hint="eastAsia"/>
            </w:rPr>
            <w:fldChar w:fldCharType="begin"/>
          </w:r>
          <w:r>
            <w:rPr>
              <w:rFonts w:hint="eastAsia"/>
            </w:rPr>
            <w:instrText xml:space="preserve"> HYPERLINK \l _Toc8405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_Toc8405 \h </w:instrText>
          </w:r>
          <w:r>
            <w:fldChar w:fldCharType="separate"/>
          </w:r>
          <w:r>
            <w:t>39</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_Toc1777 </w:instrText>
          </w:r>
          <w:r>
            <w:rPr>
              <w:rFonts w:hint="eastAsia"/>
            </w:rPr>
            <w:fldChar w:fldCharType="separate"/>
          </w:r>
          <w:r>
            <w:rPr>
              <w:rFonts w:hint="eastAsia" w:ascii="黑体" w:hAnsi="黑体" w:eastAsia="黑体" w:cs="黑体"/>
              <w:szCs w:val="32"/>
              <w:lang w:val="zh-CN"/>
            </w:rPr>
            <w:t>一、单位概况</w:t>
          </w:r>
          <w:r>
            <w:tab/>
          </w:r>
          <w:r>
            <w:fldChar w:fldCharType="begin"/>
          </w:r>
          <w:r>
            <w:instrText xml:space="preserve"> PAGEREF _Toc1777 \h </w:instrText>
          </w:r>
          <w:r>
            <w:fldChar w:fldCharType="separate"/>
          </w:r>
          <w:r>
            <w:t>39</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_Toc29566 </w:instrText>
          </w:r>
          <w:r>
            <w:rPr>
              <w:rFonts w:hint="eastAsia"/>
            </w:rPr>
            <w:fldChar w:fldCharType="separate"/>
          </w:r>
          <w:r>
            <w:rPr>
              <w:rFonts w:hint="eastAsia" w:ascii="黑体" w:hAnsi="黑体" w:eastAsia="黑体" w:cs="黑体"/>
              <w:szCs w:val="32"/>
              <w:lang w:val="zh-CN"/>
            </w:rPr>
            <w:t>二、部门财政资金收支情况</w:t>
          </w:r>
          <w:r>
            <w:tab/>
          </w:r>
          <w:r>
            <w:fldChar w:fldCharType="begin"/>
          </w:r>
          <w:r>
            <w:instrText xml:space="preserve"> PAGEREF _Toc29566 \h </w:instrText>
          </w:r>
          <w:r>
            <w:fldChar w:fldCharType="separate"/>
          </w:r>
          <w:r>
            <w:t>41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_Toc9444 </w:instrText>
          </w:r>
          <w:r>
            <w:rPr>
              <w:rFonts w:hint="eastAsia"/>
            </w:rPr>
            <w:fldChar w:fldCharType="separate"/>
          </w:r>
          <w:r>
            <w:rPr>
              <w:rFonts w:hint="eastAsia" w:ascii="黑体" w:hAnsi="黑体" w:eastAsia="黑体" w:cs="黑体"/>
              <w:szCs w:val="32"/>
            </w:rPr>
            <w:t>三、部门财政支出管理情况</w:t>
          </w:r>
          <w:r>
            <w:tab/>
          </w:r>
          <w:r>
            <w:fldChar w:fldCharType="begin"/>
          </w:r>
          <w:r>
            <w:instrText xml:space="preserve"> PAGEREF _Toc9444 \h </w:instrText>
          </w:r>
          <w:r>
            <w:fldChar w:fldCharType="separate"/>
          </w:r>
          <w:r>
            <w:t>41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_Toc28798 </w:instrText>
          </w:r>
          <w:r>
            <w:rPr>
              <w:rFonts w:hint="eastAsia"/>
            </w:rPr>
            <w:fldChar w:fldCharType="separate"/>
          </w:r>
          <w:r>
            <w:rPr>
              <w:rFonts w:hint="eastAsia" w:ascii="仿宋_GB2312" w:hAnsi="仿宋_GB2312" w:eastAsia="仿宋_GB2312" w:cs="仿宋_GB2312"/>
              <w:bCs w:val="0"/>
              <w:kern w:val="2"/>
              <w:szCs w:val="32"/>
              <w:lang w:val="zh-CN" w:eastAsia="zh-CN" w:bidi="ar-SA"/>
            </w:rPr>
            <w:t>四、评价结论及建议</w:t>
          </w:r>
          <w:r>
            <w:tab/>
          </w:r>
          <w:r>
            <w:fldChar w:fldCharType="begin"/>
          </w:r>
          <w:r>
            <w:instrText xml:space="preserve"> PAGEREF _Toc28798 \h </w:instrText>
          </w:r>
          <w:r>
            <w:fldChar w:fldCharType="separate"/>
          </w:r>
          <w:r>
            <w:t>43</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_Toc24448 </w:instrText>
          </w:r>
          <w:r>
            <w:rPr>
              <w:rFonts w:hint="eastAsia"/>
            </w:rPr>
            <w:fldChar w:fldCharType="separate"/>
          </w:r>
          <w:r>
            <w:rPr>
              <w:rFonts w:hint="eastAsia" w:ascii="仿宋_GB2312" w:hAnsi="仿宋_GB2312" w:eastAsia="仿宋_GB2312" w:cs="仿宋_GB2312"/>
              <w:bCs/>
              <w:kern w:val="2"/>
              <w:szCs w:val="32"/>
              <w:lang w:val="zh-CN" w:eastAsia="zh-CN" w:bidi="ar-SA"/>
            </w:rPr>
            <w:t>一是预算编制先见性不足，与实际支出存在偏差；二是</w:t>
          </w:r>
          <w:r>
            <w:rPr>
              <w:rFonts w:hint="eastAsia" w:ascii="仿宋_GB2312" w:hAnsi="仿宋_GB2312" w:eastAsia="仿宋_GB2312" w:cs="仿宋_GB2312"/>
              <w:bCs/>
              <w:kern w:val="2"/>
              <w:szCs w:val="32"/>
              <w:lang w:val="en-US" w:eastAsia="zh-CN" w:bidi="ar-SA"/>
            </w:rPr>
            <w:t>内控制度建立的不够健全、完善、责任划分不够明确</w:t>
          </w:r>
          <w:r>
            <w:rPr>
              <w:rFonts w:hint="eastAsia" w:ascii="仿宋_GB2312" w:hAnsi="仿宋_GB2312" w:eastAsia="仿宋_GB2312" w:cs="仿宋_GB2312"/>
              <w:bCs/>
              <w:kern w:val="2"/>
              <w:szCs w:val="32"/>
              <w:lang w:val="zh-CN" w:eastAsia="zh-CN" w:bidi="ar-SA"/>
            </w:rPr>
            <w:t>；三是绩效目标设立不够明确、细化和量化。虽然设立了项目资金绩效目标，但目标不够明确、细化和量化。</w:t>
          </w:r>
          <w:r>
            <w:tab/>
          </w:r>
          <w:r>
            <w:fldChar w:fldCharType="begin"/>
          </w:r>
          <w:r>
            <w:instrText xml:space="preserve"> PAGEREF _Toc24448 \h </w:instrText>
          </w:r>
          <w:r>
            <w:fldChar w:fldCharType="separate"/>
          </w:r>
          <w:r>
            <w:t>43</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_Toc2425 </w:instrText>
          </w:r>
          <w:r>
            <w:rPr>
              <w:rFonts w:hint="eastAsia"/>
            </w:rPr>
            <w:fldChar w:fldCharType="separate"/>
          </w:r>
          <w:r>
            <w:rPr>
              <w:rFonts w:hint="eastAsia" w:ascii="黑体" w:hAnsi="黑体" w:eastAsia="黑体" w:cs="黑体"/>
              <w:szCs w:val="32"/>
            </w:rPr>
            <w:t>附件2</w:t>
          </w:r>
          <w:r>
            <w:tab/>
          </w:r>
          <w:r>
            <w:fldChar w:fldCharType="begin"/>
          </w:r>
          <w:r>
            <w:instrText xml:space="preserve"> PAGEREF _Toc2425 \h </w:instrText>
          </w:r>
          <w:r>
            <w:fldChar w:fldCharType="separate"/>
          </w:r>
          <w:r>
            <w:t>45</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_Toc8513 </w:instrText>
          </w:r>
          <w:r>
            <w:rPr>
              <w:rFonts w:hint="eastAsia"/>
            </w:rPr>
            <w:fldChar w:fldCharType="separate"/>
          </w:r>
          <w:r>
            <w:rPr>
              <w:rFonts w:hint="eastAsia" w:ascii="黑体" w:hAnsi="宋体" w:eastAsia="黑体"/>
              <w:szCs w:val="32"/>
            </w:rPr>
            <w:t>一、</w:t>
          </w:r>
          <w:r>
            <w:rPr>
              <w:rFonts w:hint="eastAsia" w:ascii="黑体" w:hAnsi="宋体" w:eastAsia="黑体"/>
              <w:szCs w:val="32"/>
              <w:lang w:val="zh-CN"/>
            </w:rPr>
            <w:t>项目概况</w:t>
          </w:r>
          <w:r>
            <w:tab/>
          </w:r>
          <w:r>
            <w:fldChar w:fldCharType="begin"/>
          </w:r>
          <w:r>
            <w:instrText xml:space="preserve"> PAGEREF _Toc8513 \h </w:instrText>
          </w:r>
          <w:r>
            <w:fldChar w:fldCharType="separate"/>
          </w:r>
          <w:r>
            <w:t>45</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_Toc26815 </w:instrText>
          </w:r>
          <w:r>
            <w:rPr>
              <w:rFonts w:hint="eastAsia"/>
            </w:rPr>
            <w:fldChar w:fldCharType="separate"/>
          </w:r>
          <w:r>
            <w:rPr>
              <w:rFonts w:hint="eastAsia" w:ascii="黑体" w:hAnsi="宋体" w:eastAsia="黑体"/>
              <w:szCs w:val="32"/>
            </w:rPr>
            <w:t>二、项目资金申报及使用情况</w:t>
          </w:r>
          <w:r>
            <w:tab/>
          </w:r>
          <w:r>
            <w:fldChar w:fldCharType="begin"/>
          </w:r>
          <w:r>
            <w:instrText xml:space="preserve"> PAGEREF _Toc26815 \h </w:instrText>
          </w:r>
          <w:r>
            <w:fldChar w:fldCharType="separate"/>
          </w:r>
          <w:r>
            <w:t>46</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_Toc13812 </w:instrText>
          </w:r>
          <w:r>
            <w:rPr>
              <w:rFonts w:hint="eastAsia"/>
            </w:rPr>
            <w:fldChar w:fldCharType="separate"/>
          </w:r>
          <w:r>
            <w:rPr>
              <w:rFonts w:hint="eastAsia" w:ascii="楷体_GB2312" w:hAnsi="宋体" w:eastAsia="楷体_GB2312"/>
              <w:szCs w:val="32"/>
              <w:lang w:val="en-US" w:eastAsia="zh-CN"/>
            </w:rPr>
            <w:t>一、</w:t>
          </w:r>
          <w:r>
            <w:rPr>
              <w:rFonts w:hint="eastAsia" w:ascii="楷体_GB2312" w:hAnsi="宋体" w:eastAsia="楷体_GB2312" w:cs="Times New Roman"/>
              <w:szCs w:val="32"/>
              <w:lang w:val="en-US" w:eastAsia="zh-CN"/>
            </w:rPr>
            <w:t>江茸乡牧业生产点道路（草原防火通道）维修项目</w:t>
          </w:r>
          <w:r>
            <w:tab/>
          </w:r>
          <w:r>
            <w:fldChar w:fldCharType="begin"/>
          </w:r>
          <w:r>
            <w:instrText xml:space="preserve"> PAGEREF _Toc13812 \h </w:instrText>
          </w:r>
          <w:r>
            <w:fldChar w:fldCharType="separate"/>
          </w:r>
          <w:r>
            <w:t>47</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_Toc12990 </w:instrText>
          </w:r>
          <w:r>
            <w:rPr>
              <w:rFonts w:hint="eastAsia"/>
            </w:rPr>
            <w:fldChar w:fldCharType="separate"/>
          </w:r>
          <w:r>
            <w:rPr>
              <w:rFonts w:hint="eastAsia" w:ascii="楷体_GB2312" w:hAnsi="宋体" w:eastAsia="楷体_GB2312"/>
              <w:szCs w:val="32"/>
              <w:lang w:val="en-US" w:eastAsia="zh-CN"/>
            </w:rPr>
            <w:t>二、</w:t>
          </w:r>
          <w:r>
            <w:rPr>
              <w:rFonts w:hint="eastAsia" w:ascii="楷体_GB2312" w:hAnsi="宋体" w:eastAsia="楷体_GB2312" w:cs="Times New Roman"/>
              <w:szCs w:val="32"/>
              <w:lang w:val="en-US" w:eastAsia="zh-CN"/>
            </w:rPr>
            <w:t>江茸乡中藏药种植园道路建设项目</w:t>
          </w:r>
          <w:r>
            <w:tab/>
          </w:r>
          <w:r>
            <w:fldChar w:fldCharType="begin"/>
          </w:r>
          <w:r>
            <w:instrText xml:space="preserve"> PAGEREF _Toc12990 \h </w:instrText>
          </w:r>
          <w:r>
            <w:fldChar w:fldCharType="separate"/>
          </w:r>
          <w:r>
            <w:t>47</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_Toc24789 </w:instrText>
          </w:r>
          <w:r>
            <w:rPr>
              <w:rFonts w:hint="eastAsia"/>
            </w:rPr>
            <w:fldChar w:fldCharType="separate"/>
          </w:r>
          <w:r>
            <w:rPr>
              <w:rFonts w:hint="eastAsia" w:ascii="楷体_GB2312" w:hAnsi="宋体" w:eastAsia="楷体_GB2312"/>
              <w:szCs w:val="32"/>
              <w:lang w:val="en-US" w:eastAsia="zh-CN"/>
            </w:rPr>
            <w:t>三、</w:t>
          </w:r>
          <w:r>
            <w:rPr>
              <w:rFonts w:hint="eastAsia" w:ascii="楷体_GB2312" w:hAnsi="宋体" w:eastAsia="楷体_GB2312" w:cs="Times New Roman"/>
              <w:szCs w:val="32"/>
              <w:lang w:val="en-US" w:eastAsia="zh-CN"/>
            </w:rPr>
            <w:t>江茸乡2020年动态调整建档立卡贫困人员到户产业项目</w:t>
          </w:r>
          <w:r>
            <w:tab/>
          </w:r>
          <w:r>
            <w:fldChar w:fldCharType="begin"/>
          </w:r>
          <w:r>
            <w:instrText xml:space="preserve"> PAGEREF _Toc24789 \h </w:instrText>
          </w:r>
          <w:r>
            <w:fldChar w:fldCharType="separate"/>
          </w:r>
          <w:r>
            <w:t>47</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_Toc13342 </w:instrText>
          </w:r>
          <w:r>
            <w:rPr>
              <w:rFonts w:hint="eastAsia"/>
            </w:rPr>
            <w:fldChar w:fldCharType="separate"/>
          </w:r>
          <w:r>
            <w:rPr>
              <w:rFonts w:hint="eastAsia" w:ascii="楷体_GB2312" w:hAnsi="宋体" w:eastAsia="楷体_GB2312"/>
              <w:szCs w:val="32"/>
              <w:lang w:val="en-US" w:eastAsia="zh-CN"/>
            </w:rPr>
            <w:t>四</w:t>
          </w:r>
          <w:r>
            <w:rPr>
              <w:rFonts w:hint="eastAsia" w:ascii="楷体_GB2312" w:hAnsi="宋体" w:eastAsia="楷体_GB2312" w:cs="Times New Roman"/>
              <w:szCs w:val="32"/>
              <w:lang w:val="en-US" w:eastAsia="zh-CN"/>
            </w:rPr>
            <w:t>、江茸乡白萨福克样养殖基地建设项目</w:t>
          </w:r>
          <w:r>
            <w:tab/>
          </w:r>
          <w:r>
            <w:fldChar w:fldCharType="begin"/>
          </w:r>
          <w:r>
            <w:instrText xml:space="preserve"> PAGEREF _Toc13342 \h </w:instrText>
          </w:r>
          <w:r>
            <w:fldChar w:fldCharType="separate"/>
          </w:r>
          <w:r>
            <w:t>48</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_Toc201 </w:instrText>
          </w:r>
          <w:r>
            <w:rPr>
              <w:rFonts w:hint="eastAsia"/>
            </w:rPr>
            <w:fldChar w:fldCharType="separate"/>
          </w:r>
          <w:r>
            <w:rPr>
              <w:rFonts w:hint="eastAsia" w:ascii="楷体_GB2312" w:hAnsi="宋体" w:eastAsia="楷体_GB2312"/>
              <w:szCs w:val="32"/>
              <w:lang w:val="en-US" w:eastAsia="zh-CN"/>
            </w:rPr>
            <w:t>五、</w:t>
          </w:r>
          <w:r>
            <w:rPr>
              <w:rFonts w:hint="eastAsia" w:ascii="楷体_GB2312" w:hAnsi="宋体" w:eastAsia="楷体_GB2312" w:cs="Times New Roman"/>
              <w:szCs w:val="32"/>
              <w:lang w:val="en-US" w:eastAsia="zh-CN"/>
            </w:rPr>
            <w:t>江茸乡公共厕所建设项目</w:t>
          </w:r>
          <w:r>
            <w:tab/>
          </w:r>
          <w:r>
            <w:fldChar w:fldCharType="begin"/>
          </w:r>
          <w:r>
            <w:instrText xml:space="preserve"> PAGEREF _Toc201 \h </w:instrText>
          </w:r>
          <w:r>
            <w:fldChar w:fldCharType="separate"/>
          </w:r>
          <w:r>
            <w:t>48</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_Toc27045 </w:instrText>
          </w:r>
          <w:r>
            <w:rPr>
              <w:rFonts w:hint="eastAsia"/>
            </w:rPr>
            <w:fldChar w:fldCharType="separate"/>
          </w:r>
          <w:r>
            <w:rPr>
              <w:rFonts w:hint="eastAsia" w:ascii="黑体" w:hAnsi="宋体" w:eastAsia="黑体"/>
              <w:szCs w:val="32"/>
            </w:rPr>
            <w:t>三、项目实施及管理情况</w:t>
          </w:r>
          <w:r>
            <w:tab/>
          </w:r>
          <w:r>
            <w:fldChar w:fldCharType="begin"/>
          </w:r>
          <w:r>
            <w:instrText xml:space="preserve"> PAGEREF _Toc27045 \h </w:instrText>
          </w:r>
          <w:r>
            <w:fldChar w:fldCharType="separate"/>
          </w:r>
          <w:r>
            <w:t>49</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_Toc6950 </w:instrText>
          </w:r>
          <w:r>
            <w:rPr>
              <w:rFonts w:hint="eastAsia"/>
            </w:rPr>
            <w:fldChar w:fldCharType="separate"/>
          </w:r>
          <w:r>
            <w:rPr>
              <w:rFonts w:hint="eastAsia" w:ascii="黑体" w:hAnsi="宋体" w:eastAsia="黑体"/>
              <w:szCs w:val="32"/>
            </w:rPr>
            <w:t>四、项目绩效情况</w:t>
          </w:r>
          <w:r>
            <w:tab/>
          </w:r>
          <w:r>
            <w:fldChar w:fldCharType="begin"/>
          </w:r>
          <w:r>
            <w:instrText xml:space="preserve"> PAGEREF _Toc6950 \h </w:instrText>
          </w:r>
          <w:r>
            <w:fldChar w:fldCharType="separate"/>
          </w:r>
          <w:r>
            <w:t>50</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_Toc30806 </w:instrText>
          </w:r>
          <w:r>
            <w:rPr>
              <w:rFonts w:hint="eastAsia"/>
            </w:rPr>
            <w:fldChar w:fldCharType="separate"/>
          </w:r>
          <w:r>
            <w:rPr>
              <w:rFonts w:hint="eastAsia" w:ascii="黑体" w:hAnsi="宋体" w:eastAsia="黑体"/>
              <w:szCs w:val="32"/>
            </w:rPr>
            <w:t>五、评价结论及建议</w:t>
          </w:r>
          <w:r>
            <w:tab/>
          </w:r>
          <w:r>
            <w:fldChar w:fldCharType="begin"/>
          </w:r>
          <w:r>
            <w:instrText xml:space="preserve"> PAGEREF _Toc30806 \h </w:instrText>
          </w:r>
          <w:r>
            <w:fldChar w:fldCharType="separate"/>
          </w:r>
          <w:r>
            <w:t>50</w:t>
          </w:r>
          <w:r>
            <w:fldChar w:fldCharType="end"/>
          </w:r>
          <w:r>
            <w:rPr>
              <w:rFonts w:hint="eastAsia"/>
            </w:rPr>
            <w:fldChar w:fldCharType="end"/>
          </w:r>
        </w:p>
        <w:p>
          <w:pPr>
            <w:pStyle w:val="39"/>
            <w:tabs>
              <w:tab w:val="right" w:leader="dot" w:pos="8306"/>
            </w:tabs>
            <w:rPr>
              <w:b/>
            </w:rPr>
          </w:pPr>
          <w:r>
            <w:rPr>
              <w:rFonts w:hint="eastAsia"/>
              <w:b/>
            </w:rPr>
            <w:fldChar w:fldCharType="begin"/>
          </w:r>
          <w:r>
            <w:rPr>
              <w:rFonts w:hint="eastAsia"/>
              <w:b/>
            </w:rPr>
            <w:instrText xml:space="preserve"> HYPERLINK \l _Toc10718 </w:instrText>
          </w:r>
          <w:r>
            <w:rPr>
              <w:rFonts w:hint="eastAsia"/>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_Toc10718 \h </w:instrText>
          </w:r>
          <w:r>
            <w:rPr>
              <w:b/>
            </w:rPr>
            <w:fldChar w:fldCharType="separate"/>
          </w:r>
          <w:r>
            <w:rPr>
              <w:b/>
            </w:rPr>
            <w:t>51</w:t>
          </w:r>
          <w:r>
            <w:rPr>
              <w:b/>
            </w:rPr>
            <w:fldChar w:fldCharType="end"/>
          </w:r>
          <w:r>
            <w:rPr>
              <w:rFonts w:hint="eastAsia"/>
              <w:b/>
            </w:rPr>
            <w:fldChar w:fldCharType="end"/>
          </w:r>
        </w:p>
        <w:p>
          <w:pPr>
            <w:pStyle w:val="40"/>
            <w:tabs>
              <w:tab w:val="right" w:leader="dot" w:pos="8306"/>
            </w:tabs>
          </w:pPr>
          <w:r>
            <w:rPr>
              <w:rFonts w:hint="eastAsia"/>
            </w:rPr>
            <w:fldChar w:fldCharType="begin"/>
          </w:r>
          <w:r>
            <w:rPr>
              <w:rFonts w:hint="eastAsia"/>
            </w:rPr>
            <w:instrText xml:space="preserve"> HYPERLINK \l _Toc8039 </w:instrText>
          </w:r>
          <w:r>
            <w:rPr>
              <w:rFonts w:hint="eastAsia"/>
            </w:rPr>
            <w:fldChar w:fldCharType="separate"/>
          </w:r>
          <w:r>
            <w:rPr>
              <w:rFonts w:hint="eastAsia" w:ascii="仿宋" w:hAnsi="仿宋" w:eastAsia="仿宋"/>
            </w:rPr>
            <w:t>一、收入支出决算总表</w:t>
          </w:r>
          <w:r>
            <w:tab/>
          </w:r>
          <w:r>
            <w:fldChar w:fldCharType="begin"/>
          </w:r>
          <w:r>
            <w:instrText xml:space="preserve"> PAGEREF _Toc8039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_Toc12316 </w:instrText>
          </w:r>
          <w:r>
            <w:rPr>
              <w:rFonts w:hint="eastAsia"/>
            </w:rPr>
            <w:fldChar w:fldCharType="separate"/>
          </w:r>
          <w:r>
            <w:rPr>
              <w:rFonts w:hint="eastAsia" w:ascii="仿宋" w:hAnsi="仿宋" w:eastAsia="仿宋"/>
            </w:rPr>
            <w:t>二、收入支出决算表</w:t>
          </w:r>
          <w:r>
            <w:tab/>
          </w:r>
          <w:r>
            <w:fldChar w:fldCharType="begin"/>
          </w:r>
          <w:r>
            <w:instrText xml:space="preserve"> PAGEREF _Toc12316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_Toc15102 </w:instrText>
          </w:r>
          <w:r>
            <w:rPr>
              <w:rFonts w:hint="eastAsia"/>
            </w:rPr>
            <w:fldChar w:fldCharType="separate"/>
          </w:r>
          <w:r>
            <w:rPr>
              <w:rFonts w:hint="eastAsia" w:ascii="仿宋" w:hAnsi="仿宋" w:eastAsia="仿宋"/>
              <w:bCs w:val="0"/>
            </w:rPr>
            <w:t>三、</w:t>
          </w:r>
          <w:r>
            <w:rPr>
              <w:rFonts w:hint="eastAsia" w:ascii="仿宋" w:hAnsi="仿宋" w:eastAsia="仿宋"/>
            </w:rPr>
            <w:t>收入决算表</w:t>
          </w:r>
          <w:r>
            <w:tab/>
          </w:r>
          <w:r>
            <w:fldChar w:fldCharType="begin"/>
          </w:r>
          <w:r>
            <w:instrText xml:space="preserve"> PAGEREF _Toc15102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_Toc28805 </w:instrText>
          </w:r>
          <w:r>
            <w:rPr>
              <w:rFonts w:hint="eastAsia"/>
            </w:rPr>
            <w:fldChar w:fldCharType="separate"/>
          </w:r>
          <w:r>
            <w:rPr>
              <w:rFonts w:hint="eastAsia" w:ascii="仿宋" w:hAnsi="仿宋" w:eastAsia="仿宋"/>
              <w:bCs w:val="0"/>
            </w:rPr>
            <w:t>四、</w:t>
          </w:r>
          <w:r>
            <w:rPr>
              <w:rFonts w:hint="eastAsia" w:ascii="仿宋" w:hAnsi="仿宋" w:eastAsia="仿宋"/>
            </w:rPr>
            <w:t>支出决算表</w:t>
          </w:r>
          <w:r>
            <w:tab/>
          </w:r>
          <w:r>
            <w:fldChar w:fldCharType="begin"/>
          </w:r>
          <w:r>
            <w:instrText xml:space="preserve"> PAGEREF _Toc28805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_Toc26078 </w:instrText>
          </w:r>
          <w:r>
            <w:rPr>
              <w:rFonts w:hint="eastAsia"/>
            </w:rPr>
            <w:fldChar w:fldCharType="separate"/>
          </w:r>
          <w:r>
            <w:rPr>
              <w:rFonts w:hint="eastAsia" w:ascii="仿宋" w:hAnsi="仿宋" w:eastAsia="仿宋"/>
              <w:bCs w:val="0"/>
            </w:rPr>
            <w:t>五、</w:t>
          </w:r>
          <w:r>
            <w:rPr>
              <w:rFonts w:hint="eastAsia" w:ascii="仿宋" w:hAnsi="仿宋" w:eastAsia="仿宋"/>
            </w:rPr>
            <w:t>支出决算明细表</w:t>
          </w:r>
          <w:r>
            <w:tab/>
          </w:r>
          <w:r>
            <w:fldChar w:fldCharType="begin"/>
          </w:r>
          <w:r>
            <w:instrText xml:space="preserve"> PAGEREF _Toc26078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_Toc15033 </w:instrText>
          </w:r>
          <w:r>
            <w:rPr>
              <w:rFonts w:hint="eastAsia"/>
            </w:rPr>
            <w:fldChar w:fldCharType="separate"/>
          </w:r>
          <w:r>
            <w:rPr>
              <w:rFonts w:hint="eastAsia" w:ascii="仿宋" w:hAnsi="仿宋" w:eastAsia="仿宋"/>
              <w:bCs w:val="0"/>
            </w:rPr>
            <w:t>六、</w:t>
          </w:r>
          <w:r>
            <w:rPr>
              <w:rFonts w:hint="eastAsia" w:ascii="仿宋" w:hAnsi="仿宋" w:eastAsia="仿宋"/>
            </w:rPr>
            <w:t>项目收入支出决算表</w:t>
          </w:r>
          <w:r>
            <w:tab/>
          </w:r>
          <w:r>
            <w:fldChar w:fldCharType="begin"/>
          </w:r>
          <w:r>
            <w:instrText xml:space="preserve"> PAGEREF _Toc15033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_Toc31078 </w:instrText>
          </w:r>
          <w:r>
            <w:rPr>
              <w:rFonts w:hint="eastAsia"/>
            </w:rPr>
            <w:fldChar w:fldCharType="separate"/>
          </w:r>
          <w:r>
            <w:rPr>
              <w:rFonts w:hint="eastAsia" w:ascii="仿宋" w:hAnsi="仿宋" w:eastAsia="仿宋"/>
              <w:bCs w:val="0"/>
            </w:rPr>
            <w:t>七、</w:t>
          </w:r>
          <w:r>
            <w:rPr>
              <w:rFonts w:hint="eastAsia" w:ascii="仿宋" w:hAnsi="仿宋" w:eastAsia="仿宋"/>
            </w:rPr>
            <w:t>一般公共预算财政拨款收入支出决算表</w:t>
          </w:r>
          <w:r>
            <w:tab/>
          </w:r>
          <w:r>
            <w:fldChar w:fldCharType="begin"/>
          </w:r>
          <w:r>
            <w:instrText xml:space="preserve"> PAGEREF _Toc31078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_Toc12758 </w:instrText>
          </w:r>
          <w:r>
            <w:rPr>
              <w:rFonts w:hint="eastAsia"/>
            </w:rPr>
            <w:fldChar w:fldCharType="separate"/>
          </w:r>
          <w:r>
            <w:rPr>
              <w:rFonts w:hint="eastAsia" w:ascii="仿宋" w:hAnsi="仿宋" w:eastAsia="仿宋"/>
              <w:bCs w:val="0"/>
            </w:rPr>
            <w:t>八、</w:t>
          </w:r>
          <w:r>
            <w:rPr>
              <w:rFonts w:hint="eastAsia" w:ascii="仿宋" w:hAnsi="仿宋" w:eastAsia="仿宋"/>
            </w:rPr>
            <w:t>一般公共预算财政拨款支出决算明细表</w:t>
          </w:r>
          <w:r>
            <w:tab/>
          </w:r>
          <w:r>
            <w:fldChar w:fldCharType="begin"/>
          </w:r>
          <w:r>
            <w:instrText xml:space="preserve"> PAGEREF _Toc12758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_Toc26252 </w:instrText>
          </w:r>
          <w:r>
            <w:rPr>
              <w:rFonts w:hint="eastAsia"/>
            </w:rPr>
            <w:fldChar w:fldCharType="separate"/>
          </w:r>
          <w:r>
            <w:rPr>
              <w:rFonts w:hint="eastAsia" w:ascii="仿宋" w:hAnsi="仿宋" w:eastAsia="仿宋"/>
              <w:bCs w:val="0"/>
            </w:rPr>
            <w:t>九、</w:t>
          </w:r>
          <w:r>
            <w:rPr>
              <w:rFonts w:hint="eastAsia" w:ascii="仿宋" w:hAnsi="仿宋" w:eastAsia="仿宋"/>
            </w:rPr>
            <w:t>一般公共预算财政拨款基本支出决算明细表</w:t>
          </w:r>
          <w:r>
            <w:tab/>
          </w:r>
          <w:r>
            <w:fldChar w:fldCharType="begin"/>
          </w:r>
          <w:r>
            <w:instrText xml:space="preserve"> PAGEREF _Toc26252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_Toc15364 </w:instrText>
          </w:r>
          <w:r>
            <w:rPr>
              <w:rFonts w:hint="eastAsia"/>
            </w:rPr>
            <w:fldChar w:fldCharType="separate"/>
          </w:r>
          <w:r>
            <w:rPr>
              <w:rFonts w:hint="eastAsia" w:ascii="仿宋" w:hAnsi="仿宋" w:eastAsia="仿宋"/>
              <w:bCs w:val="0"/>
            </w:rPr>
            <w:t>十、</w:t>
          </w:r>
          <w:r>
            <w:rPr>
              <w:rFonts w:hint="eastAsia" w:ascii="仿宋" w:hAnsi="仿宋" w:eastAsia="仿宋"/>
            </w:rPr>
            <w:t>一般公共预算财政拨款项目支出决算明细表</w:t>
          </w:r>
          <w:r>
            <w:tab/>
          </w:r>
          <w:r>
            <w:fldChar w:fldCharType="begin"/>
          </w:r>
          <w:r>
            <w:instrText xml:space="preserve"> PAGEREF _Toc15364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_Toc30658 </w:instrText>
          </w:r>
          <w:r>
            <w:rPr>
              <w:rFonts w:hint="eastAsia"/>
            </w:rPr>
            <w:fldChar w:fldCharType="separate"/>
          </w:r>
          <w:r>
            <w:rPr>
              <w:rFonts w:hint="eastAsia" w:ascii="仿宋" w:hAnsi="仿宋" w:eastAsia="仿宋"/>
              <w:bCs w:val="0"/>
            </w:rPr>
            <w:t>十一、</w:t>
          </w:r>
          <w:r>
            <w:rPr>
              <w:rFonts w:hint="eastAsia" w:ascii="仿宋" w:hAnsi="仿宋" w:eastAsia="仿宋"/>
            </w:rPr>
            <w:t>预算支出相关信息表</w:t>
          </w:r>
          <w:r>
            <w:tab/>
          </w:r>
          <w:r>
            <w:fldChar w:fldCharType="begin"/>
          </w:r>
          <w:r>
            <w:instrText xml:space="preserve"> PAGEREF _Toc30658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_Toc2890 </w:instrText>
          </w:r>
          <w:r>
            <w:rPr>
              <w:rFonts w:hint="eastAsia"/>
            </w:rPr>
            <w:fldChar w:fldCharType="separate"/>
          </w:r>
          <w:r>
            <w:rPr>
              <w:rFonts w:hint="eastAsia" w:ascii="仿宋" w:hAnsi="仿宋" w:eastAsia="仿宋"/>
              <w:bCs w:val="0"/>
            </w:rPr>
            <w:t>十二、</w:t>
          </w:r>
          <w:r>
            <w:rPr>
              <w:rFonts w:hint="eastAsia" w:ascii="仿宋" w:hAnsi="仿宋" w:eastAsia="仿宋"/>
            </w:rPr>
            <w:t>基本数字表</w:t>
          </w:r>
          <w:r>
            <w:tab/>
          </w:r>
          <w:r>
            <w:fldChar w:fldCharType="begin"/>
          </w:r>
          <w:r>
            <w:instrText xml:space="preserve"> PAGEREF _Toc2890 \h </w:instrText>
          </w:r>
          <w:r>
            <w:fldChar w:fldCharType="separate"/>
          </w:r>
          <w:r>
            <w:t>51</w:t>
          </w:r>
          <w:r>
            <w:fldChar w:fldCharType="end"/>
          </w:r>
          <w:r>
            <w:rPr>
              <w:rFonts w:hint="eastAsia"/>
            </w:rPr>
            <w:fldChar w:fldCharType="end"/>
          </w:r>
        </w:p>
        <w:p>
          <w:pPr>
            <w:pStyle w:val="40"/>
            <w:tabs>
              <w:tab w:val="right" w:leader="dot" w:pos="8306"/>
            </w:tabs>
          </w:pPr>
          <w:r>
            <w:rPr>
              <w:rFonts w:hint="eastAsia"/>
            </w:rPr>
            <w:fldChar w:fldCharType="begin"/>
          </w:r>
          <w:r>
            <w:rPr>
              <w:rFonts w:hint="eastAsia"/>
            </w:rPr>
            <w:instrText xml:space="preserve"> HYPERLINK \l _Toc19167 </w:instrText>
          </w:r>
          <w:r>
            <w:rPr>
              <w:rFonts w:hint="eastAsia"/>
            </w:rPr>
            <w:fldChar w:fldCharType="separate"/>
          </w:r>
          <w:r>
            <w:rPr>
              <w:rFonts w:hint="eastAsia" w:ascii="仿宋" w:hAnsi="仿宋" w:eastAsia="仿宋"/>
              <w:bCs w:val="0"/>
            </w:rPr>
            <w:t>十三、</w:t>
          </w:r>
          <w:r>
            <w:rPr>
              <w:rFonts w:hint="eastAsia" w:ascii="仿宋" w:hAnsi="仿宋" w:eastAsia="仿宋"/>
            </w:rPr>
            <w:t>机构运行信息表</w:t>
          </w:r>
          <w:r>
            <w:tab/>
          </w:r>
          <w:r>
            <w:fldChar w:fldCharType="begin"/>
          </w:r>
          <w:r>
            <w:instrText xml:space="preserve"> PAGEREF _Toc19167 \h </w:instrText>
          </w:r>
          <w:r>
            <w:fldChar w:fldCharType="separate"/>
          </w:r>
          <w:r>
            <w:t>51</w:t>
          </w:r>
          <w:r>
            <w:fldChar w:fldCharType="end"/>
          </w:r>
          <w:r>
            <w:rPr>
              <w:rFonts w:hint="eastAsia"/>
            </w:rPr>
            <w:fldChar w:fldCharType="end"/>
          </w:r>
        </w:p>
        <w:p>
          <w:pPr>
            <w:pStyle w:val="2"/>
            <w:rPr>
              <w:rFonts w:hint="eastAsia" w:ascii="Calibri" w:hAnsi="Calibri" w:eastAsia="宋体" w:cs="Times New Roman"/>
              <w:b/>
              <w:kern w:val="2"/>
              <w:sz w:val="21"/>
              <w:szCs w:val="21"/>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b/>
            </w:rPr>
            <w:fldChar w:fldCharType="end"/>
          </w:r>
          <w:bookmarkStart w:id="130" w:name="_GoBack"/>
          <w:bookmarkEnd w:id="130"/>
        </w:p>
      </w:sdtContent>
    </w:sdt>
    <w:p>
      <w:pPr>
        <w:rPr>
          <w:rFonts w:hint="eastAsia"/>
        </w:rPr>
      </w:pPr>
    </w:p>
    <w:p>
      <w:pPr>
        <w:pStyle w:val="3"/>
        <w:jc w:val="center"/>
        <w:rPr>
          <w:rFonts w:ascii="黑体" w:eastAsia="黑体"/>
          <w:color w:val="000000"/>
          <w:sz w:val="32"/>
          <w:szCs w:val="32"/>
        </w:rPr>
      </w:pPr>
      <w:bookmarkStart w:id="14" w:name="_Toc5617"/>
      <w:r>
        <w:rPr>
          <w:rFonts w:hint="eastAsia" w:ascii="黑体" w:hAnsi="黑体" w:eastAsia="黑体"/>
          <w:b w:val="0"/>
        </w:rPr>
        <w:t xml:space="preserve">第一部分 </w:t>
      </w:r>
      <w:r>
        <w:rPr>
          <w:rStyle w:val="30"/>
          <w:rFonts w:hint="eastAsia" w:ascii="黑体" w:hAnsi="黑体" w:eastAsia="黑体"/>
          <w:b w:val="0"/>
          <w:bCs w:val="0"/>
        </w:rPr>
        <w:t>部门概况</w:t>
      </w:r>
      <w:bookmarkEnd w:id="14"/>
    </w:p>
    <w:p>
      <w:pPr>
        <w:snapToGrid w:val="0"/>
        <w:spacing w:line="560"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5" w:name="_Toc15377197"/>
      <w:bookmarkStart w:id="16" w:name="_Toc15396600"/>
      <w:bookmarkStart w:id="17" w:name="_Toc17045"/>
      <w:r>
        <w:rPr>
          <w:rFonts w:hint="eastAsia" w:ascii="黑体" w:eastAsia="黑体" w:hAnsiTheme="majorHAnsi" w:cstheme="majorBidi"/>
          <w:b w:val="0"/>
          <w:bCs/>
          <w:color w:val="000000"/>
          <w:kern w:val="2"/>
          <w:sz w:val="32"/>
          <w:szCs w:val="32"/>
          <w:lang w:val="en-US" w:eastAsia="zh-CN" w:bidi="ar-SA"/>
        </w:rPr>
        <w:t>一、基本职能及主要工作</w:t>
      </w:r>
      <w:bookmarkEnd w:id="15"/>
      <w:bookmarkEnd w:id="16"/>
      <w:bookmarkEnd w:id="17"/>
    </w:p>
    <w:p>
      <w:pPr>
        <w:snapToGrid w:val="0"/>
        <w:spacing w:line="560" w:lineRule="exact"/>
        <w:ind w:firstLine="640" w:firstLineChars="200"/>
        <w:rPr>
          <w:rFonts w:hint="eastAsia" w:ascii="仿宋_GB2312" w:hAnsi="仿宋_GB2312" w:eastAsia="仿宋_GB2312" w:cs="仿宋_GB2312"/>
          <w:bCs/>
          <w:sz w:val="32"/>
          <w:szCs w:val="32"/>
        </w:rPr>
      </w:pPr>
      <w:bookmarkStart w:id="18" w:name="_Toc15378445"/>
      <w:bookmarkStart w:id="19" w:name="_Toc15377198"/>
      <w:r>
        <w:rPr>
          <w:rFonts w:hint="eastAsia" w:ascii="仿宋_GB2312" w:hAnsi="仿宋_GB2312" w:eastAsia="仿宋_GB2312" w:cs="仿宋_GB2312"/>
          <w:bCs/>
          <w:sz w:val="32"/>
          <w:szCs w:val="32"/>
        </w:rPr>
        <w:t>（一）主要职能。</w:t>
      </w:r>
      <w:bookmarkEnd w:id="18"/>
      <w:bookmarkEnd w:id="19"/>
      <w:bookmarkStart w:id="20" w:name="_Toc15378446"/>
      <w:bookmarkStart w:id="21" w:name="_Toc15377199"/>
    </w:p>
    <w:p>
      <w:pPr>
        <w:snapToGrid w:val="0"/>
        <w:spacing w:line="560" w:lineRule="exact"/>
        <w:ind w:firstLine="640" w:firstLineChars="200"/>
        <w:rPr>
          <w:rFonts w:ascii="仿宋_GB2312" w:hAnsi="仿宋" w:eastAsia="仿宋_GB2312"/>
          <w:bCs/>
          <w:sz w:val="32"/>
          <w:szCs w:val="32"/>
        </w:rPr>
      </w:pPr>
      <w:r>
        <w:rPr>
          <w:rFonts w:hint="eastAsia" w:ascii="仿宋_GB2312" w:hAnsi="仿宋_GB2312" w:eastAsia="仿宋_GB2312" w:cs="仿宋_GB2312"/>
          <w:bCs/>
          <w:sz w:val="32"/>
          <w:szCs w:val="32"/>
        </w:rPr>
        <w:t>一是制定并组织实施乡村建设规划</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r>
        <w:rPr>
          <w:rFonts w:hint="eastAsia" w:hAnsi="仿宋_GB2312" w:cs="仿宋_GB2312"/>
          <w:bCs/>
          <w:sz w:val="32"/>
          <w:szCs w:val="32"/>
        </w:rPr>
        <w:t>。</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2" w:name="_Toc31513"/>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2021</w:t>
      </w:r>
      <w:r>
        <w:rPr>
          <w:rFonts w:hint="eastAsia" w:ascii="仿宋" w:hAnsi="仿宋" w:eastAsia="仿宋"/>
          <w:bCs/>
          <w:color w:val="000000"/>
          <w:sz w:val="32"/>
          <w:szCs w:val="32"/>
        </w:rPr>
        <w:t>年重点工作完成情况。</w:t>
      </w:r>
      <w:bookmarkEnd w:id="20"/>
      <w:bookmarkEnd w:id="21"/>
      <w:bookmarkEnd w:id="22"/>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left="0" w:leftChars="0" w:right="0" w:rightChars="0" w:firstLine="640" w:firstLineChars="200"/>
        <w:jc w:val="left"/>
        <w:textAlignment w:val="auto"/>
        <w:rPr>
          <w:rFonts w:hint="eastAsia" w:ascii="仿宋_GB2312" w:hAnsi="仿宋_GB2312" w:eastAsia="仿宋_GB2312" w:cs="仿宋_GB2312"/>
          <w:b w:val="0"/>
          <w:bCs w:val="0"/>
          <w:color w:val="auto"/>
          <w:kern w:val="0"/>
          <w:sz w:val="32"/>
          <w:szCs w:val="32"/>
          <w:shd w:val="clear" w:color="auto" w:fill="FFFFFF"/>
          <w:lang w:val="en-US" w:eastAsia="zh-CN" w:bidi="ar"/>
        </w:rPr>
      </w:pPr>
      <w:bookmarkStart w:id="23" w:name="_Toc15377200"/>
      <w:bookmarkStart w:id="24" w:name="_Toc15396601"/>
      <w:r>
        <w:rPr>
          <w:rFonts w:hint="eastAsia" w:ascii="仿宋_GB2312" w:hAnsi="仿宋_GB2312" w:eastAsia="仿宋_GB2312" w:cs="仿宋_GB2312"/>
          <w:b w:val="0"/>
          <w:bCs w:val="0"/>
          <w:color w:val="auto"/>
          <w:kern w:val="0"/>
          <w:sz w:val="32"/>
          <w:szCs w:val="32"/>
          <w:shd w:val="clear" w:color="auto" w:fill="FFFFFF"/>
          <w:lang w:val="en-US" w:eastAsia="zh-CN" w:bidi="ar"/>
        </w:rPr>
        <w:t>1.强化政治引领，夯实党建基础,一是强化党员思想建设。以党史学习教育为契机，组织学习理论文章，不断提高理论素养和业务能力。基层党组织共开展“两学一做”集中学习30余次，主题党日33次，召开党员大会12次，支委会33次，讲党课5次；二是狠抓党员队伍建设。强化党员发展，全年新发展党员7名；加强村干部队伍培训，全面提升各村新任村干部的能力和素质，组织新任村干部开展专题培训5次；定期开展党员“积分评星”活动；三是突出党建示范引领。是党建引领生态环保，积极探索实践党建促生态功能区建设有效路径，发挥党支部在生态环保方面的带头作用。党建引领乡村振兴，选优配强村“两委”班子成员，完成村党组织书记、主任“一肩挑”100%。党建引领基层治理，对“村规民约”进行修订完善，通过设岗定责、党员积分超市等活动激发党员发挥先锋模范作用，带动群众进行自治。</w:t>
      </w:r>
    </w:p>
    <w:p>
      <w:pPr>
        <w:pStyle w:val="2"/>
        <w:keepNext w:val="0"/>
        <w:keepLines w:val="0"/>
        <w:pageBreakBefore w:val="0"/>
        <w:kinsoku/>
        <w:overflowPunct/>
        <w:topLinePunct w:val="0"/>
        <w:autoSpaceDE/>
        <w:autoSpaceDN/>
        <w:bidi w:val="0"/>
        <w:spacing w:line="576" w:lineRule="exact"/>
        <w:rPr>
          <w:rFonts w:hint="eastAsia" w:ascii="仿宋_GB2312" w:hAnsi="仿宋_GB2312" w:eastAsia="仿宋_GB2312" w:cs="仿宋_GB2312"/>
          <w:b w:val="0"/>
          <w:bCs w:val="0"/>
          <w:color w:val="auto"/>
          <w:kern w:val="0"/>
          <w:sz w:val="32"/>
          <w:szCs w:val="32"/>
          <w:shd w:val="clear" w:color="auto" w:fill="FFFFFF"/>
          <w:lang w:val="en-US" w:eastAsia="zh-CN" w:bidi="ar"/>
        </w:rPr>
      </w:pPr>
      <w:r>
        <w:rPr>
          <w:rFonts w:hint="eastAsia" w:ascii="仿宋_GB2312" w:hAnsi="仿宋_GB2312" w:eastAsia="仿宋_GB2312" w:cs="仿宋_GB2312"/>
          <w:b w:val="0"/>
          <w:bCs w:val="0"/>
          <w:color w:val="auto"/>
          <w:kern w:val="0"/>
          <w:sz w:val="32"/>
          <w:szCs w:val="32"/>
          <w:shd w:val="clear" w:color="auto" w:fill="FFFFFF"/>
          <w:lang w:val="en-US" w:eastAsia="zh-CN" w:bidi="ar"/>
        </w:rPr>
        <w:t>五是深化联户联情工作。全乡党员干部走出机关，深入群众，以摸情况、讲政策、解难题为着力点，干群关系进一步深化。全年走访250余户，覆盖1300人次，发放各类宣传资料1000余份，收集解决困难问题40余件。六是做实换届选举工作，编制了换届风气监督工作实施方案成立了领导小组，落实换届风气直报员5名，召开了“严肃换届纪律”专题民主生活会，辖区未出现干扰换届事件发生。顺利召开中国共产党红原县江茸乡第十四次代表大会及乡党代表大会。</w:t>
      </w:r>
    </w:p>
    <w:p>
      <w:pPr>
        <w:pStyle w:val="16"/>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jc w:val="both"/>
        <w:rPr>
          <w:rFonts w:hint="default" w:ascii="仿宋_GB2312" w:hAnsi="仿宋_GB2312" w:eastAsia="仿宋_GB2312" w:cs="仿宋_GB2312"/>
          <w:b w:val="0"/>
          <w:bCs w:val="0"/>
          <w:color w:val="auto"/>
          <w:kern w:val="0"/>
          <w:sz w:val="32"/>
          <w:szCs w:val="32"/>
          <w:shd w:val="clear" w:color="auto" w:fill="FFFFFF"/>
          <w:lang w:val="en-US" w:eastAsia="zh-CN" w:bidi="ar"/>
        </w:rPr>
      </w:pPr>
      <w:r>
        <w:rPr>
          <w:rFonts w:hint="eastAsia" w:ascii="仿宋_GB2312" w:hAnsi="仿宋_GB2312" w:eastAsia="仿宋_GB2312" w:cs="仿宋_GB2312"/>
          <w:b w:val="0"/>
          <w:bCs w:val="0"/>
          <w:color w:val="auto"/>
          <w:kern w:val="0"/>
          <w:sz w:val="32"/>
          <w:szCs w:val="32"/>
          <w:shd w:val="clear" w:color="auto" w:fill="FFFFFF"/>
          <w:lang w:val="en-US" w:eastAsia="zh-CN" w:bidi="ar"/>
        </w:rPr>
        <w:t>2.发展特色产业，助力乡村振兴。一是畜牧业持续健康发展。持续推行草畜平衡，按照以人定畜（每人只能养殖20头牛）的方式</w:t>
      </w:r>
      <w:r>
        <w:rPr>
          <w:rFonts w:hint="default" w:ascii="仿宋_GB2312" w:hAnsi="仿宋_GB2312" w:eastAsia="仿宋_GB2312" w:cs="仿宋_GB2312"/>
          <w:b w:val="0"/>
          <w:bCs w:val="0"/>
          <w:color w:val="auto"/>
          <w:kern w:val="0"/>
          <w:sz w:val="32"/>
          <w:szCs w:val="32"/>
          <w:shd w:val="clear" w:color="auto" w:fill="FFFFFF"/>
          <w:lang w:val="en-US" w:eastAsia="zh-CN" w:bidi="ar"/>
        </w:rPr>
        <w:t>持续推进减畜工作</w:t>
      </w:r>
      <w:r>
        <w:rPr>
          <w:rFonts w:hint="eastAsia" w:ascii="仿宋_GB2312" w:hAnsi="仿宋_GB2312" w:eastAsia="仿宋_GB2312" w:cs="仿宋_GB2312"/>
          <w:b w:val="0"/>
          <w:bCs w:val="0"/>
          <w:color w:val="auto"/>
          <w:kern w:val="0"/>
          <w:sz w:val="32"/>
          <w:szCs w:val="32"/>
          <w:shd w:val="clear" w:color="auto" w:fill="FFFFFF"/>
          <w:lang w:val="en-US" w:eastAsia="zh-CN" w:bidi="ar"/>
        </w:rPr>
        <w:t>，草原资源生态得到有效保护。落实生态补奖励，为249户兑现发放生态奖补禁牧补助资金2367667.5元、草畜平衡补助资金1066360元，为249户发放湿地生态补偿213900元，落实草管员4名，实现群众减畜不减收。有效地防范重大动物疫病的发生，2021年春秋“两防”疫苗接种了45000头牦牛，疫苗接种率达到99%。四是严格监督考核牧户履行草原禁牧和草畜平衡职责，签订《红原县2021年草原生态保护补助奖励机制目标管理责任书》249份。二是持续壮大村集体经济。抓实特色产业发展，2021年茸日玛村绵羊养殖农民专业合作社存栏绵羊780只</w:t>
      </w:r>
      <w:r>
        <w:rPr>
          <w:rFonts w:hint="default" w:ascii="仿宋_GB2312" w:hAnsi="仿宋_GB2312" w:eastAsia="仿宋_GB2312" w:cs="仿宋_GB2312"/>
          <w:b w:val="0"/>
          <w:bCs w:val="0"/>
          <w:color w:val="auto"/>
          <w:kern w:val="0"/>
          <w:sz w:val="32"/>
          <w:szCs w:val="32"/>
          <w:shd w:val="clear" w:color="auto" w:fill="FFFFFF"/>
          <w:lang w:val="en-US" w:eastAsia="zh-CN" w:bidi="ar"/>
        </w:rPr>
        <w:t>、存栏牦牛</w:t>
      </w:r>
      <w:r>
        <w:rPr>
          <w:rFonts w:hint="eastAsia" w:ascii="仿宋_GB2312" w:hAnsi="仿宋_GB2312" w:eastAsia="仿宋_GB2312" w:cs="仿宋_GB2312"/>
          <w:b w:val="0"/>
          <w:bCs w:val="0"/>
          <w:color w:val="auto"/>
          <w:kern w:val="0"/>
          <w:sz w:val="32"/>
          <w:szCs w:val="32"/>
          <w:shd w:val="clear" w:color="auto" w:fill="FFFFFF"/>
          <w:lang w:val="en-US" w:eastAsia="zh-CN" w:bidi="ar"/>
        </w:rPr>
        <w:t>200</w:t>
      </w:r>
      <w:r>
        <w:rPr>
          <w:rFonts w:hint="default" w:ascii="仿宋_GB2312" w:hAnsi="仿宋_GB2312" w:eastAsia="仿宋_GB2312" w:cs="仿宋_GB2312"/>
          <w:b w:val="0"/>
          <w:bCs w:val="0"/>
          <w:color w:val="auto"/>
          <w:kern w:val="0"/>
          <w:sz w:val="32"/>
          <w:szCs w:val="32"/>
          <w:shd w:val="clear" w:color="auto" w:fill="FFFFFF"/>
          <w:lang w:val="en-US" w:eastAsia="zh-CN" w:bidi="ar"/>
        </w:rPr>
        <w:t>余头</w:t>
      </w:r>
      <w:r>
        <w:rPr>
          <w:rFonts w:hint="eastAsia" w:ascii="仿宋_GB2312" w:hAnsi="仿宋_GB2312" w:eastAsia="仿宋_GB2312" w:cs="仿宋_GB2312"/>
          <w:b w:val="0"/>
          <w:bCs w:val="0"/>
          <w:color w:val="auto"/>
          <w:kern w:val="0"/>
          <w:sz w:val="32"/>
          <w:szCs w:val="32"/>
          <w:shd w:val="clear" w:color="auto" w:fill="FFFFFF"/>
          <w:lang w:val="en-US" w:eastAsia="zh-CN" w:bidi="ar"/>
        </w:rPr>
        <w:t>，今年在购销牦牛获得经济收益5万余元；江宫玛村牦牛养殖农民专业合作社存栏</w:t>
      </w:r>
      <w:r>
        <w:rPr>
          <w:rFonts w:hint="default" w:ascii="仿宋_GB2312" w:hAnsi="仿宋_GB2312" w:eastAsia="仿宋_GB2312" w:cs="仿宋_GB2312"/>
          <w:b w:val="0"/>
          <w:bCs w:val="0"/>
          <w:color w:val="auto"/>
          <w:kern w:val="0"/>
          <w:sz w:val="32"/>
          <w:szCs w:val="32"/>
          <w:shd w:val="clear" w:color="auto" w:fill="FFFFFF"/>
          <w:lang w:val="en-US" w:eastAsia="zh-CN" w:bidi="ar"/>
        </w:rPr>
        <w:t>绵羊500余只、存栏牦牛</w:t>
      </w:r>
      <w:r>
        <w:rPr>
          <w:rFonts w:hint="eastAsia" w:ascii="仿宋_GB2312" w:hAnsi="仿宋_GB2312" w:eastAsia="仿宋_GB2312" w:cs="仿宋_GB2312"/>
          <w:b w:val="0"/>
          <w:bCs w:val="0"/>
          <w:color w:val="auto"/>
          <w:kern w:val="0"/>
          <w:sz w:val="32"/>
          <w:szCs w:val="32"/>
          <w:shd w:val="clear" w:color="auto" w:fill="FFFFFF"/>
          <w:lang w:val="en-US" w:eastAsia="zh-CN" w:bidi="ar"/>
        </w:rPr>
        <w:t>400余头，持续带动群众增收。</w:t>
      </w:r>
      <w:r>
        <w:rPr>
          <w:rFonts w:hint="default" w:ascii="仿宋_GB2312" w:hAnsi="仿宋_GB2312" w:eastAsia="仿宋_GB2312" w:cs="仿宋_GB2312"/>
          <w:b w:val="0"/>
          <w:bCs w:val="0"/>
          <w:color w:val="auto"/>
          <w:kern w:val="0"/>
          <w:sz w:val="32"/>
          <w:szCs w:val="32"/>
          <w:shd w:val="clear" w:color="auto" w:fill="FFFFFF"/>
          <w:lang w:val="en-US" w:eastAsia="zh-CN" w:bidi="ar"/>
        </w:rPr>
        <w:t>大力发展文旅游</w:t>
      </w:r>
      <w:r>
        <w:rPr>
          <w:rFonts w:hint="eastAsia" w:ascii="仿宋_GB2312" w:hAnsi="仿宋_GB2312" w:eastAsia="仿宋_GB2312" w:cs="仿宋_GB2312"/>
          <w:b w:val="0"/>
          <w:bCs w:val="0"/>
          <w:color w:val="auto"/>
          <w:kern w:val="0"/>
          <w:sz w:val="32"/>
          <w:szCs w:val="32"/>
          <w:shd w:val="clear" w:color="auto" w:fill="FFFFFF"/>
          <w:lang w:val="en-US" w:eastAsia="zh-CN" w:bidi="ar"/>
        </w:rPr>
        <w:t>，完善了达格则AAA级景栈道</w:t>
      </w:r>
      <w:r>
        <w:rPr>
          <w:rFonts w:hint="default" w:ascii="仿宋_GB2312" w:hAnsi="仿宋_GB2312" w:eastAsia="仿宋_GB2312" w:cs="仿宋_GB2312"/>
          <w:b w:val="0"/>
          <w:bCs w:val="0"/>
          <w:color w:val="auto"/>
          <w:kern w:val="0"/>
          <w:sz w:val="32"/>
          <w:szCs w:val="32"/>
          <w:shd w:val="clear" w:color="auto" w:fill="FFFFFF"/>
          <w:lang w:val="en-US" w:eastAsia="zh-CN" w:bidi="ar"/>
        </w:rPr>
        <w:t>、游客服务中心、</w:t>
      </w:r>
      <w:r>
        <w:rPr>
          <w:rFonts w:hint="eastAsia" w:ascii="仿宋_GB2312" w:hAnsi="仿宋_GB2312" w:eastAsia="仿宋_GB2312" w:cs="仿宋_GB2312"/>
          <w:b w:val="0"/>
          <w:bCs w:val="0"/>
          <w:color w:val="auto"/>
          <w:kern w:val="0"/>
          <w:sz w:val="32"/>
          <w:szCs w:val="32"/>
          <w:shd w:val="clear" w:color="auto" w:fill="FFFFFF"/>
          <w:lang w:val="en-US" w:eastAsia="zh-CN" w:bidi="ar"/>
        </w:rPr>
        <w:t>露营地及公共卫生间等基础设施</w:t>
      </w:r>
      <w:r>
        <w:rPr>
          <w:rFonts w:hint="default" w:ascii="仿宋_GB2312" w:hAnsi="仿宋_GB2312" w:eastAsia="仿宋_GB2312" w:cs="仿宋_GB2312"/>
          <w:b w:val="0"/>
          <w:bCs w:val="0"/>
          <w:color w:val="auto"/>
          <w:kern w:val="0"/>
          <w:sz w:val="32"/>
          <w:szCs w:val="32"/>
          <w:shd w:val="clear" w:color="auto" w:fill="FFFFFF"/>
          <w:lang w:val="en-US" w:eastAsia="zh-CN" w:bidi="ar"/>
        </w:rPr>
        <w:t>建设</w:t>
      </w:r>
      <w:r>
        <w:rPr>
          <w:rFonts w:hint="eastAsia" w:ascii="仿宋_GB2312" w:hAnsi="仿宋_GB2312" w:eastAsia="仿宋_GB2312" w:cs="仿宋_GB2312"/>
          <w:b w:val="0"/>
          <w:bCs w:val="0"/>
          <w:color w:val="auto"/>
          <w:kern w:val="0"/>
          <w:sz w:val="32"/>
          <w:szCs w:val="32"/>
          <w:shd w:val="clear" w:color="auto" w:fill="FFFFFF"/>
          <w:lang w:val="en-US" w:eastAsia="zh-CN" w:bidi="ar"/>
        </w:rPr>
        <w:t>，全年接待游客1500人次；三是江宫玛村中藏药种植基地规模扩面增效，为有效助农增收打下坚实。</w:t>
      </w:r>
    </w:p>
    <w:p>
      <w:pPr>
        <w:pStyle w:val="16"/>
        <w:keepNext w:val="0"/>
        <w:keepLines w:val="0"/>
        <w:pageBreakBefore w:val="0"/>
        <w:kinsoku/>
        <w:wordWrap/>
        <w:overflowPunct/>
        <w:topLinePunct w:val="0"/>
        <w:autoSpaceDE/>
        <w:autoSpaceDN/>
        <w:bidi w:val="0"/>
        <w:adjustRightInd w:val="0"/>
        <w:snapToGrid w:val="0"/>
        <w:spacing w:line="576" w:lineRule="exact"/>
        <w:ind w:right="0"/>
        <w:jc w:val="both"/>
        <w:rPr>
          <w:rFonts w:hint="default" w:ascii="仿宋_GB2312" w:hAnsi="仿宋_GB2312" w:eastAsia="仿宋_GB2312" w:cs="仿宋_GB2312"/>
          <w:b w:val="0"/>
          <w:bCs w:val="0"/>
          <w:color w:val="auto"/>
          <w:kern w:val="0"/>
          <w:sz w:val="32"/>
          <w:szCs w:val="32"/>
          <w:shd w:val="clear" w:color="auto" w:fill="FFFFFF"/>
          <w:lang w:val="en-US" w:eastAsia="zh-CN" w:bidi="ar"/>
        </w:rPr>
      </w:pPr>
      <w:r>
        <w:rPr>
          <w:rFonts w:hint="eastAsia" w:ascii="仿宋_GB2312" w:hAnsi="仿宋_GB2312" w:eastAsia="仿宋_GB2312" w:cs="仿宋_GB2312"/>
          <w:b w:val="0"/>
          <w:bCs w:val="0"/>
          <w:color w:val="auto"/>
          <w:kern w:val="0"/>
          <w:sz w:val="32"/>
          <w:szCs w:val="32"/>
          <w:shd w:val="clear" w:color="auto" w:fill="FFFFFF"/>
          <w:lang w:val="en-US" w:eastAsia="zh-CN" w:bidi="ar"/>
        </w:rPr>
        <w:t>三是项目工作扎实推进，2021年下达我乡脱贫攻坚成果巩固提升及乡村振兴项目7个，资金263.4万元。其中：投资20万元，用于维修牧业生产点（草原防火通道）道路20公里；投资63万元，在江宫玛中藏药种植园新建沥青路314米；投资17万元，为江宫玛村新建200平方米活动室；投资25万元，新建中藏药种植大棚3个；投资2.4万元，购买牦母牛4头，用于2020年脱贫攻坚动态调整3户4人产业扶持发展；投资100万元，用于建设白萨福克羊养殖基地；投资36万元，新建公共厕所3座。</w:t>
      </w:r>
    </w:p>
    <w:p>
      <w:pPr>
        <w:pStyle w:val="16"/>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jc w:val="both"/>
        <w:rPr>
          <w:rFonts w:hint="default" w:ascii="仿宋_GB2312" w:hAnsi="仿宋_GB2312" w:eastAsia="仿宋_GB2312" w:cs="仿宋_GB2312"/>
          <w:b w:val="0"/>
          <w:bCs w:val="0"/>
          <w:color w:val="auto"/>
          <w:kern w:val="0"/>
          <w:sz w:val="32"/>
          <w:szCs w:val="32"/>
          <w:shd w:val="clear" w:color="auto" w:fill="FFFFFF"/>
          <w:lang w:val="en-US" w:eastAsia="zh-CN" w:bidi="ar"/>
        </w:rPr>
      </w:pPr>
      <w:r>
        <w:rPr>
          <w:rFonts w:hint="eastAsia" w:ascii="仿宋_GB2312" w:hAnsi="仿宋_GB2312" w:eastAsia="仿宋_GB2312" w:cs="仿宋_GB2312"/>
          <w:b w:val="0"/>
          <w:bCs w:val="0"/>
          <w:color w:val="auto"/>
          <w:kern w:val="0"/>
          <w:sz w:val="32"/>
          <w:szCs w:val="32"/>
          <w:shd w:val="clear" w:color="auto" w:fill="FFFFFF"/>
          <w:lang w:val="en-US" w:eastAsia="zh-CN" w:bidi="ar"/>
        </w:rPr>
        <w:t>3.做实防返贫监测,巩固脱贫成果 。持续巩固脱贫户23户103人脱贫成效，监测易致贫户3户19人的生活现状，帮助41名脱贫人群实现就业增收，帮助3户脱贫户申请红原县防返贫资金，进一步巩固脱贫成果。</w:t>
      </w:r>
    </w:p>
    <w:p>
      <w:pPr>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jc w:val="both"/>
        <w:rPr>
          <w:rFonts w:hint="eastAsia" w:ascii="仿宋_GB2312" w:hAnsi="仿宋_GB2312" w:eastAsia="仿宋_GB2312" w:cs="仿宋_GB2312"/>
          <w:b w:val="0"/>
          <w:bCs w:val="0"/>
          <w:color w:val="auto"/>
          <w:kern w:val="0"/>
          <w:sz w:val="32"/>
          <w:szCs w:val="32"/>
          <w:shd w:val="clear" w:color="auto" w:fill="FFFFFF"/>
          <w:lang w:val="en-US" w:eastAsia="zh-CN" w:bidi="ar"/>
        </w:rPr>
      </w:pPr>
      <w:r>
        <w:rPr>
          <w:rFonts w:hint="eastAsia" w:ascii="仿宋_GB2312" w:hAnsi="仿宋_GB2312" w:eastAsia="仿宋_GB2312" w:cs="仿宋_GB2312"/>
          <w:b w:val="0"/>
          <w:bCs w:val="0"/>
          <w:color w:val="auto"/>
          <w:kern w:val="0"/>
          <w:sz w:val="32"/>
          <w:szCs w:val="32"/>
          <w:shd w:val="clear" w:color="auto" w:fill="FFFFFF"/>
          <w:lang w:val="en-US" w:eastAsia="zh-CN" w:bidi="ar"/>
        </w:rPr>
        <w:t>4.推进民生事业，提高幸福指数。一是卫计事业健康发展。</w:t>
      </w:r>
      <w:r>
        <w:rPr>
          <w:rFonts w:hint="default" w:ascii="仿宋_GB2312" w:hAnsi="仿宋_GB2312" w:eastAsia="仿宋_GB2312" w:cs="仿宋_GB2312"/>
          <w:b w:val="0"/>
          <w:bCs w:val="0"/>
          <w:color w:val="auto"/>
          <w:kern w:val="0"/>
          <w:sz w:val="32"/>
          <w:szCs w:val="32"/>
          <w:shd w:val="clear" w:color="auto" w:fill="FFFFFF"/>
          <w:lang w:val="en-US" w:eastAsia="zh-CN" w:bidi="ar"/>
        </w:rPr>
        <w:t>疫情防控</w:t>
      </w:r>
      <w:r>
        <w:rPr>
          <w:rFonts w:hint="eastAsia" w:ascii="仿宋_GB2312" w:hAnsi="仿宋_GB2312" w:eastAsia="仿宋_GB2312" w:cs="仿宋_GB2312"/>
          <w:b w:val="0"/>
          <w:bCs w:val="0"/>
          <w:color w:val="auto"/>
          <w:kern w:val="0"/>
          <w:sz w:val="32"/>
          <w:szCs w:val="32"/>
          <w:shd w:val="clear" w:color="auto" w:fill="FFFFFF"/>
          <w:lang w:val="en-US" w:eastAsia="zh-CN" w:bidi="ar"/>
        </w:rPr>
        <w:t>工作，严格落实“戴口罩+绿码+测温+实名登记”准入管理，信息发布及时、宣传引导到位、舆情监测有力，做到了零感染零传播。计生工作，严格按照国家方针实施，全年新生儿16人，无超生人员。二是教育事业稳步推进。完善规范控辍保学失辍学儿童少年基础台账，对辖区适龄儿童进行排查登记造册，做到底数清情况明，确保不辍学一名儿童。三是残疾人补助资金落实到位。为32名重度残疾人落实护理补贴31130元；为27名困难残疾人落实补助资金29700元；为4名困难残疾人争取残疾人燃油补贴1460元。四是社会保障更加有力。为215户339人落实最低生活保障每人每月200元，建档立卡户每人每月240元；分散特困人员共7人，每人每月发放补助金600元；为29名高龄按时发放高龄津贴补助金；144人按时领取城乡居民养老保险金；保质保量做好居民医疗保险征缴工作，全乡医疗保险应保尽保。五是安全生产工作提档升级。</w:t>
      </w:r>
      <w:r>
        <w:rPr>
          <w:rFonts w:hint="default" w:ascii="仿宋_GB2312" w:hAnsi="仿宋_GB2312" w:eastAsia="仿宋_GB2312" w:cs="仿宋_GB2312"/>
          <w:b w:val="0"/>
          <w:bCs w:val="0"/>
          <w:color w:val="auto"/>
          <w:kern w:val="0"/>
          <w:sz w:val="32"/>
          <w:szCs w:val="32"/>
          <w:shd w:val="clear" w:color="auto" w:fill="FFFFFF"/>
          <w:lang w:val="en-US" w:eastAsia="zh-CN" w:bidi="ar"/>
        </w:rPr>
        <w:t>落实安全生产</w:t>
      </w:r>
      <w:r>
        <w:rPr>
          <w:rFonts w:hint="eastAsia" w:ascii="仿宋_GB2312" w:hAnsi="仿宋_GB2312" w:eastAsia="仿宋_GB2312" w:cs="仿宋_GB2312"/>
          <w:b w:val="0"/>
          <w:bCs w:val="0"/>
          <w:color w:val="auto"/>
          <w:kern w:val="0"/>
          <w:sz w:val="32"/>
          <w:szCs w:val="32"/>
          <w:shd w:val="clear" w:color="auto" w:fill="FFFFFF"/>
          <w:lang w:val="en-US" w:eastAsia="zh-CN" w:bidi="ar"/>
        </w:rPr>
        <w:t>责任制，</w:t>
      </w:r>
      <w:r>
        <w:rPr>
          <w:rFonts w:hint="default" w:ascii="仿宋_GB2312" w:hAnsi="仿宋_GB2312" w:eastAsia="仿宋_GB2312" w:cs="仿宋_GB2312"/>
          <w:b w:val="0"/>
          <w:bCs w:val="0"/>
          <w:color w:val="auto"/>
          <w:kern w:val="0"/>
          <w:sz w:val="32"/>
          <w:szCs w:val="32"/>
          <w:shd w:val="clear" w:color="auto" w:fill="FFFFFF"/>
          <w:lang w:val="en-US" w:eastAsia="zh-CN" w:bidi="ar"/>
        </w:rPr>
        <w:t>建立安全生产隐患排查治理长效机制</w:t>
      </w:r>
      <w:r>
        <w:rPr>
          <w:rFonts w:hint="eastAsia" w:ascii="仿宋_GB2312" w:hAnsi="仿宋_GB2312" w:eastAsia="仿宋_GB2312" w:cs="仿宋_GB2312"/>
          <w:b w:val="0"/>
          <w:bCs w:val="0"/>
          <w:color w:val="auto"/>
          <w:kern w:val="0"/>
          <w:sz w:val="32"/>
          <w:szCs w:val="32"/>
          <w:shd w:val="clear" w:color="auto" w:fill="FFFFFF"/>
          <w:lang w:val="en-US" w:eastAsia="zh-CN" w:bidi="ar"/>
        </w:rPr>
        <w:t>。与辖区内经营商铺、餐饮茶楼、施工队及驻乡站所院校签订安全生产责任书。开展交通安全整治；采取“一查二宣三回头”的方式集中开展瓶装液化石油气专项整治活动，防范遏制了安全事故发生。</w:t>
      </w:r>
      <w:r>
        <w:rPr>
          <w:rFonts w:hint="default" w:ascii="仿宋_GB2312" w:hAnsi="仿宋_GB2312" w:eastAsia="仿宋_GB2312" w:cs="仿宋_GB2312"/>
          <w:b w:val="0"/>
          <w:bCs w:val="0"/>
          <w:color w:val="auto"/>
          <w:kern w:val="0"/>
          <w:sz w:val="32"/>
          <w:szCs w:val="32"/>
          <w:shd w:val="clear" w:color="auto" w:fill="FFFFFF"/>
          <w:lang w:val="en-US" w:eastAsia="zh-CN" w:bidi="ar"/>
        </w:rPr>
        <w:t>全力开展防汛减灾和地质灾害防治工作。</w:t>
      </w:r>
      <w:r>
        <w:rPr>
          <w:rFonts w:hint="eastAsia" w:ascii="仿宋_GB2312" w:hAnsi="仿宋_GB2312" w:eastAsia="仿宋_GB2312" w:cs="仿宋_GB2312"/>
          <w:b w:val="0"/>
          <w:bCs w:val="0"/>
          <w:color w:val="auto"/>
          <w:kern w:val="0"/>
          <w:sz w:val="32"/>
          <w:szCs w:val="32"/>
          <w:shd w:val="clear" w:color="auto" w:fill="FFFFFF"/>
          <w:lang w:val="en-US" w:eastAsia="zh-CN" w:bidi="ar"/>
        </w:rPr>
        <w:t>严格管制刀具和枪支弹药、爆炸物品等危险物品管理，开展整治查处工作5次，保证了“零”安全事故。六是环境卫生持续改善。按照全域无垃圾要求，结合我乡实际，制定推行区长制，环卫工人对12个区域进行分工，对环卫工人制定奖惩机制，乡领导干部管辖监督辖区“环境卫生、乱搭乱建、生态环境”等工作，确保各区域各项事件稳步推进。七是武装、兵役、统计、水务、档案、文化、保密、行权、电力等工作得到进一步加强。组织民兵开展森林草原防灭火、防汛、地质灾害等综合应急演练，提高基层应急抢险、防汛救灾和处置突发应急情况的救援实战能力。汛期未雨绸缪，提前做好河道清淤，山洪、泥石流、坍塌垮塌等灾害的监测预警排查，确保了群众生命财产的安全。加强安全饮水设施检查维修，确保辖区内无安安全饮水隐患。</w:t>
      </w:r>
    </w:p>
    <w:p>
      <w:pPr>
        <w:pStyle w:val="4"/>
        <w:pageBreakBefore w:val="0"/>
        <w:widowControl w:val="0"/>
        <w:kinsoku/>
        <w:wordWrap/>
        <w:overflowPunct/>
        <w:topLinePunct w:val="0"/>
        <w:autoSpaceDE/>
        <w:autoSpaceDN/>
        <w:bidi w:val="0"/>
        <w:spacing w:line="576" w:lineRule="exact"/>
        <w:ind w:firstLine="640" w:firstLineChars="200"/>
        <w:textAlignment w:val="auto"/>
        <w:rPr>
          <w:rStyle w:val="31"/>
          <w:b w:val="0"/>
          <w:bCs w:val="0"/>
        </w:rPr>
      </w:pPr>
      <w:bookmarkStart w:id="25" w:name="_Toc11021"/>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3"/>
      <w:bookmarkEnd w:id="24"/>
      <w:bookmarkEnd w:id="25"/>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eastAsia="宋体"/>
          <w:color w:val="auto"/>
          <w:lang w:eastAsia="zh-CN"/>
        </w:rPr>
      </w:pPr>
      <w:bookmarkStart w:id="26" w:name="_Toc15377204"/>
      <w:bookmarkStart w:id="27" w:name="_Toc15396602"/>
      <w:r>
        <w:rPr>
          <w:rFonts w:hint="eastAsia" w:ascii="仿宋_GB2312" w:hAnsi="仿宋_GB2312" w:eastAsia="仿宋_GB2312" w:cs="仿宋_GB2312"/>
          <w:color w:val="auto"/>
          <w:sz w:val="32"/>
          <w:szCs w:val="32"/>
        </w:rPr>
        <w:t>我单位为独立核算全额拨款行政单位，截止</w:t>
      </w:r>
      <w:r>
        <w:rPr>
          <w:rFonts w:hint="eastAsia" w:ascii="仿宋_GB2312" w:hAnsi="仿宋_GB2312" w:eastAsia="仿宋_GB2312" w:cs="仿宋_GB2312"/>
          <w:color w:val="auto"/>
          <w:sz w:val="32"/>
          <w:szCs w:val="32"/>
          <w:lang w:eastAsia="zh-CN"/>
        </w:rPr>
        <w:t>2021</w:t>
      </w:r>
      <w:r>
        <w:rPr>
          <w:rFonts w:hint="eastAsia" w:ascii="仿宋_GB2312" w:hAnsi="仿宋_GB2312" w:eastAsia="仿宋_GB2312" w:cs="仿宋_GB2312"/>
          <w:color w:val="auto"/>
          <w:sz w:val="32"/>
          <w:szCs w:val="32"/>
        </w:rPr>
        <w:t>年底我单位共有编制</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个，其中公务员编制</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个，其中行政工勤编制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个，事业</w:t>
      </w:r>
      <w:r>
        <w:rPr>
          <w:rFonts w:hint="eastAsia" w:ascii="仿宋_GB2312" w:hAnsi="仿宋_GB2312" w:eastAsia="仿宋_GB2312" w:cs="仿宋_GB2312"/>
          <w:color w:val="auto"/>
          <w:sz w:val="32"/>
          <w:szCs w:val="32"/>
          <w:lang w:eastAsia="zh-CN"/>
        </w:rPr>
        <w:t>工勤</w:t>
      </w:r>
      <w:r>
        <w:rPr>
          <w:rFonts w:hint="eastAsia" w:ascii="仿宋_GB2312" w:hAnsi="仿宋_GB2312" w:eastAsia="仿宋_GB2312" w:cs="仿宋_GB2312"/>
          <w:color w:val="auto"/>
          <w:sz w:val="32"/>
          <w:szCs w:val="32"/>
        </w:rPr>
        <w:t>编制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个，在职</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人，其中参公0人，公务员</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，事业人员</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eastAsia="zh-CN"/>
        </w:rPr>
        <w:t>2021</w:t>
      </w:r>
      <w:r>
        <w:rPr>
          <w:rFonts w:hint="eastAsia" w:ascii="仿宋_GB2312" w:hAnsi="仿宋_GB2312" w:eastAsia="仿宋_GB2312" w:cs="仿宋_GB2312"/>
          <w:color w:val="auto"/>
          <w:sz w:val="32"/>
          <w:szCs w:val="32"/>
        </w:rPr>
        <w:t>年新录入公务员</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人，转入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人，事业编制</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2021</w:t>
      </w:r>
      <w:r>
        <w:rPr>
          <w:rFonts w:hint="eastAsia" w:ascii="仿宋_GB2312" w:hAnsi="仿宋_GB2312" w:eastAsia="仿宋_GB2312" w:cs="仿宋_GB2312"/>
          <w:color w:val="auto"/>
          <w:sz w:val="32"/>
          <w:szCs w:val="32"/>
        </w:rPr>
        <w:t>年减少</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人，行政工勤</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人，退休0人。</w:t>
      </w:r>
      <w:bookmarkEnd w:id="26"/>
      <w:bookmarkEnd w:id="27"/>
    </w:p>
    <w:p>
      <w:pPr>
        <w:pStyle w:val="29"/>
        <w:pageBreakBefore w:val="0"/>
        <w:widowControl w:val="0"/>
        <w:numPr>
          <w:ilvl w:val="0"/>
          <w:numId w:val="0"/>
        </w:numPr>
        <w:kinsoku/>
        <w:wordWrap/>
        <w:overflowPunct/>
        <w:topLinePunct w:val="0"/>
        <w:autoSpaceDE/>
        <w:autoSpaceDN/>
        <w:bidi w:val="0"/>
        <w:spacing w:line="576" w:lineRule="exact"/>
        <w:ind w:left="640" w:leftChars="0"/>
        <w:textAlignment w:val="auto"/>
        <w:outlineLvl w:val="1"/>
        <w:rPr>
          <w:rStyle w:val="31"/>
          <w:rFonts w:ascii="黑体" w:hAnsi="黑体" w:eastAsia="黑体"/>
          <w:b w:val="0"/>
        </w:rPr>
      </w:pPr>
      <w:bookmarkStart w:id="28" w:name="_Toc15377205"/>
      <w:bookmarkStart w:id="29" w:name="_Toc15396603"/>
      <w:bookmarkStart w:id="30" w:name="_Toc3241"/>
      <w:r>
        <w:rPr>
          <w:rFonts w:hint="eastAsia" w:ascii="黑体" w:hAnsi="黑体" w:eastAsia="黑体"/>
          <w:color w:val="000000"/>
          <w:sz w:val="32"/>
          <w:szCs w:val="32"/>
          <w:lang w:eastAsia="zh-CN"/>
        </w:rPr>
        <w:t>三、</w:t>
      </w:r>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28"/>
      <w:bookmarkEnd w:id="29"/>
      <w:bookmarkEnd w:id="30"/>
    </w:p>
    <w:p>
      <w:pPr>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853.31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853.31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157.75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18</w:t>
      </w:r>
      <w:r>
        <w:rPr>
          <w:rFonts w:ascii="仿宋" w:hAnsi="仿宋" w:eastAsia="仿宋"/>
          <w:color w:val="000000"/>
          <w:sz w:val="32"/>
          <w:szCs w:val="32"/>
        </w:rPr>
        <w:t>%</w:t>
      </w:r>
      <w:r>
        <w:rPr>
          <w:rFonts w:hint="eastAsia" w:ascii="仿宋" w:hAnsi="仿宋" w:eastAsia="仿宋"/>
          <w:color w:val="000000"/>
          <w:sz w:val="32"/>
          <w:szCs w:val="32"/>
          <w:lang w:eastAsia="zh-CN"/>
        </w:rPr>
        <w:t>，支出总计增加</w:t>
      </w:r>
      <w:r>
        <w:rPr>
          <w:rFonts w:hint="eastAsia" w:ascii="仿宋" w:hAnsi="仿宋" w:eastAsia="仿宋"/>
          <w:color w:val="000000"/>
          <w:sz w:val="32"/>
          <w:szCs w:val="32"/>
          <w:lang w:val="en-US" w:eastAsia="zh-CN"/>
        </w:rPr>
        <w:t>174.61万元，上涨20%</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
        <w:rPr>
          <w:rFonts w:hint="eastAsia" w:ascii="仿宋_GB2312" w:eastAsia="仿宋_GB2312"/>
          <w:color w:val="000000"/>
          <w:sz w:val="32"/>
          <w:szCs w:val="32"/>
          <w:lang w:eastAsia="zh-CN"/>
        </w:rPr>
      </w:pPr>
      <w:r>
        <w:drawing>
          <wp:inline distT="0" distB="0" distL="114300" distR="114300">
            <wp:extent cx="5290820" cy="2924810"/>
            <wp:effectExtent l="4445" t="4445" r="19685" b="2349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9"/>
        <w:numPr>
          <w:ilvl w:val="0"/>
          <w:numId w:val="0"/>
        </w:numPr>
        <w:spacing w:line="600" w:lineRule="exact"/>
        <w:ind w:left="640" w:leftChars="0"/>
        <w:outlineLvl w:val="1"/>
        <w:rPr>
          <w:rStyle w:val="31"/>
          <w:rFonts w:ascii="黑体" w:hAnsi="黑体" w:eastAsia="黑体"/>
          <w:b w:val="0"/>
        </w:rPr>
      </w:pPr>
      <w:bookmarkStart w:id="31" w:name="_Toc15377206"/>
      <w:bookmarkStart w:id="32" w:name="_Toc15396604"/>
      <w:bookmarkStart w:id="33" w:name="_Toc9273"/>
      <w:r>
        <w:rPr>
          <w:rFonts w:hint="eastAsia" w:ascii="黑体" w:hAnsi="黑体" w:eastAsia="黑体"/>
          <w:color w:val="000000"/>
          <w:sz w:val="32"/>
          <w:szCs w:val="32"/>
          <w:lang w:eastAsia="zh-CN"/>
        </w:rPr>
        <w:t>四、</w:t>
      </w:r>
      <w:r>
        <w:rPr>
          <w:rFonts w:hint="eastAsia" w:ascii="黑体" w:hAnsi="黑体" w:eastAsia="黑体"/>
          <w:color w:val="000000"/>
          <w:sz w:val="32"/>
          <w:szCs w:val="32"/>
        </w:rPr>
        <w:t>收</w:t>
      </w:r>
      <w:r>
        <w:rPr>
          <w:rStyle w:val="31"/>
          <w:rFonts w:hint="eastAsia" w:ascii="黑体" w:hAnsi="黑体" w:eastAsia="黑体"/>
          <w:b w:val="0"/>
        </w:rPr>
        <w:t>入决算情况说明</w:t>
      </w:r>
      <w:bookmarkEnd w:id="31"/>
      <w:bookmarkEnd w:id="32"/>
      <w:bookmarkEnd w:id="33"/>
    </w:p>
    <w:p>
      <w:pPr>
        <w:spacing w:line="600" w:lineRule="exact"/>
        <w:ind w:firstLine="640" w:firstLineChars="200"/>
        <w:outlineLvl w:val="1"/>
        <w:rPr>
          <w:rFonts w:ascii="仿宋" w:hAnsi="仿宋" w:eastAsia="仿宋"/>
          <w:color w:val="000000"/>
          <w:sz w:val="32"/>
          <w:szCs w:val="32"/>
        </w:rPr>
      </w:pPr>
      <w:bookmarkStart w:id="34" w:name="_Toc12789"/>
      <w:bookmarkStart w:id="35" w:name="_Toc1820"/>
      <w:bookmarkStart w:id="36" w:name="_Toc29935"/>
      <w:bookmarkStart w:id="37" w:name="_Toc16403"/>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853.31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853.31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4"/>
      <w:bookmarkEnd w:id="35"/>
      <w:bookmarkEnd w:id="36"/>
      <w:bookmarkEnd w:id="37"/>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7"/>
        <w:ind w:left="420" w:leftChars="200" w:firstLine="0" w:firstLineChars="0"/>
        <w:rPr>
          <w:rFonts w:ascii="仿宋_GB2312" w:eastAsia="仿宋_GB2312"/>
          <w:color w:val="FF0000"/>
          <w:sz w:val="32"/>
          <w:szCs w:val="32"/>
        </w:rPr>
      </w:pPr>
      <w:r>
        <w:drawing>
          <wp:inline distT="0" distB="0" distL="114300" distR="114300">
            <wp:extent cx="4542790" cy="2351405"/>
            <wp:effectExtent l="4445" t="4445" r="5715" b="635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numPr>
          <w:ilvl w:val="0"/>
          <w:numId w:val="0"/>
        </w:numPr>
        <w:spacing w:line="600" w:lineRule="exact"/>
        <w:ind w:left="640" w:leftChars="0"/>
        <w:outlineLvl w:val="1"/>
        <w:rPr>
          <w:rStyle w:val="31"/>
          <w:rFonts w:ascii="黑体" w:hAnsi="黑体" w:eastAsia="黑体"/>
          <w:b w:val="0"/>
        </w:rPr>
      </w:pPr>
      <w:bookmarkStart w:id="38" w:name="_Toc15396605"/>
      <w:bookmarkStart w:id="39" w:name="_Toc15377207"/>
      <w:bookmarkStart w:id="40" w:name="_Toc15832"/>
      <w:r>
        <w:rPr>
          <w:rFonts w:hint="eastAsia" w:ascii="黑体" w:hAnsi="黑体" w:eastAsia="黑体"/>
          <w:color w:val="000000"/>
          <w:sz w:val="32"/>
          <w:szCs w:val="32"/>
          <w:lang w:eastAsia="zh-CN"/>
        </w:rPr>
        <w:t>五、</w:t>
      </w:r>
      <w:r>
        <w:rPr>
          <w:rFonts w:hint="eastAsia" w:ascii="黑体" w:hAnsi="黑体" w:eastAsia="黑体"/>
          <w:color w:val="000000"/>
          <w:sz w:val="32"/>
          <w:szCs w:val="32"/>
        </w:rPr>
        <w:t>支</w:t>
      </w:r>
      <w:r>
        <w:rPr>
          <w:rStyle w:val="31"/>
          <w:rFonts w:hint="eastAsia" w:ascii="黑体" w:hAnsi="黑体" w:eastAsia="黑体"/>
          <w:b w:val="0"/>
        </w:rPr>
        <w:t>出决算情况说明</w:t>
      </w:r>
      <w:bookmarkEnd w:id="38"/>
      <w:bookmarkEnd w:id="39"/>
      <w:bookmarkEnd w:id="40"/>
    </w:p>
    <w:p>
      <w:pPr>
        <w:spacing w:line="600" w:lineRule="exact"/>
        <w:ind w:firstLine="640" w:firstLineChars="200"/>
        <w:outlineLvl w:val="1"/>
        <w:rPr>
          <w:rFonts w:ascii="仿宋" w:hAnsi="仿宋" w:eastAsia="仿宋"/>
          <w:color w:val="000000"/>
          <w:sz w:val="32"/>
          <w:szCs w:val="32"/>
        </w:rPr>
      </w:pPr>
      <w:bookmarkStart w:id="41" w:name="_Toc30411"/>
      <w:bookmarkStart w:id="42" w:name="_Toc31017"/>
      <w:bookmarkStart w:id="43" w:name="_Toc9663"/>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853.31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695.77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157.54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18</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1"/>
      <w:bookmarkEnd w:id="42"/>
      <w:bookmarkEnd w:id="43"/>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17"/>
        <w:ind w:left="0" w:leftChars="0" w:firstLine="0" w:firstLineChars="0"/>
        <w:rPr>
          <w:rFonts w:ascii="仿宋_GB2312" w:eastAsia="仿宋_GB2312"/>
          <w:color w:val="FF0000"/>
          <w:sz w:val="32"/>
          <w:szCs w:val="32"/>
        </w:rPr>
      </w:pPr>
      <w:r>
        <w:drawing>
          <wp:inline distT="0" distB="0" distL="114300" distR="114300">
            <wp:extent cx="5264150" cy="2735580"/>
            <wp:effectExtent l="4445" t="4445" r="8255" b="2222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numPr>
          <w:ilvl w:val="0"/>
          <w:numId w:val="0"/>
        </w:numPr>
        <w:spacing w:line="600" w:lineRule="exact"/>
        <w:ind w:left="640" w:leftChars="0"/>
        <w:outlineLvl w:val="9"/>
        <w:rPr>
          <w:rFonts w:hint="eastAsia" w:ascii="黑体" w:hAnsi="黑体" w:eastAsia="黑体"/>
          <w:color w:val="000000"/>
          <w:sz w:val="32"/>
          <w:szCs w:val="32"/>
          <w:lang w:eastAsia="zh-CN"/>
        </w:rPr>
      </w:pPr>
      <w:bookmarkStart w:id="44" w:name="_Toc15396606"/>
      <w:bookmarkStart w:id="45" w:name="_Toc15377208"/>
    </w:p>
    <w:p>
      <w:pPr>
        <w:numPr>
          <w:ilvl w:val="0"/>
          <w:numId w:val="0"/>
        </w:numPr>
        <w:spacing w:line="600" w:lineRule="exact"/>
        <w:ind w:left="640" w:leftChars="0"/>
        <w:outlineLvl w:val="1"/>
        <w:rPr>
          <w:rStyle w:val="31"/>
          <w:rFonts w:hint="eastAsia" w:ascii="黑体" w:hAnsi="黑体" w:eastAsia="黑体"/>
          <w:b w:val="0"/>
        </w:rPr>
      </w:pPr>
      <w:bookmarkStart w:id="46" w:name="_Toc2777"/>
      <w:r>
        <w:rPr>
          <w:rFonts w:hint="eastAsia" w:ascii="黑体" w:hAnsi="黑体" w:eastAsia="黑体"/>
          <w:color w:val="000000"/>
          <w:sz w:val="32"/>
          <w:szCs w:val="32"/>
          <w:lang w:eastAsia="zh-CN"/>
        </w:rPr>
        <w:t>六、</w:t>
      </w:r>
      <w:r>
        <w:rPr>
          <w:rFonts w:hint="eastAsia" w:ascii="黑体" w:hAnsi="黑体" w:eastAsia="黑体"/>
          <w:color w:val="000000"/>
          <w:sz w:val="32"/>
          <w:szCs w:val="32"/>
        </w:rPr>
        <w:t>财</w:t>
      </w:r>
      <w:r>
        <w:rPr>
          <w:rStyle w:val="31"/>
          <w:rFonts w:hint="eastAsia" w:ascii="黑体" w:hAnsi="黑体" w:eastAsia="黑体"/>
          <w:b w:val="0"/>
        </w:rPr>
        <w:t>政拨款收入支出决算总体情况说明</w:t>
      </w:r>
      <w:bookmarkEnd w:id="44"/>
      <w:bookmarkEnd w:id="45"/>
      <w:bookmarkEnd w:id="46"/>
    </w:p>
    <w:p>
      <w:pPr>
        <w:spacing w:line="600" w:lineRule="exact"/>
        <w:ind w:firstLine="640" w:firstLineChars="200"/>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853.31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853.31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157.75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18</w:t>
      </w:r>
      <w:r>
        <w:rPr>
          <w:rFonts w:ascii="仿宋" w:hAnsi="仿宋" w:eastAsia="仿宋"/>
          <w:color w:val="000000"/>
          <w:sz w:val="32"/>
          <w:szCs w:val="32"/>
        </w:rPr>
        <w:t>%</w:t>
      </w:r>
      <w:r>
        <w:rPr>
          <w:rFonts w:hint="eastAsia" w:ascii="仿宋" w:hAnsi="仿宋" w:eastAsia="仿宋"/>
          <w:color w:val="000000"/>
          <w:sz w:val="32"/>
          <w:szCs w:val="32"/>
          <w:lang w:eastAsia="zh-CN"/>
        </w:rPr>
        <w:t>，支出总计增加</w:t>
      </w:r>
      <w:r>
        <w:rPr>
          <w:rFonts w:hint="eastAsia" w:ascii="仿宋" w:hAnsi="仿宋" w:eastAsia="仿宋"/>
          <w:color w:val="000000"/>
          <w:sz w:val="32"/>
          <w:szCs w:val="32"/>
          <w:lang w:val="en-US" w:eastAsia="zh-CN"/>
        </w:rPr>
        <w:t>174.61万元，上涨20%</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2"/>
      </w:pPr>
      <w:r>
        <w:drawing>
          <wp:inline distT="0" distB="0" distL="114300" distR="114300">
            <wp:extent cx="5290820" cy="2924810"/>
            <wp:effectExtent l="4445" t="4445" r="19685" b="2349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ascii="黑体" w:hAnsi="黑体" w:eastAsia="黑体"/>
          <w:b w:val="0"/>
        </w:rPr>
      </w:pPr>
      <w:bookmarkStart w:id="47" w:name="_Toc15396607"/>
      <w:bookmarkStart w:id="48" w:name="_Toc15377209"/>
      <w:bookmarkStart w:id="49" w:name="_Toc971"/>
      <w:r>
        <w:rPr>
          <w:rFonts w:hint="eastAsia" w:ascii="黑体" w:hAnsi="黑体" w:eastAsia="黑体"/>
          <w:color w:val="000000"/>
          <w:sz w:val="32"/>
          <w:szCs w:val="32"/>
          <w:lang w:val="en-US" w:eastAsia="zh-CN"/>
        </w:rPr>
        <w:t>七</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7"/>
      <w:bookmarkEnd w:id="48"/>
      <w:bookmarkEnd w:id="49"/>
    </w:p>
    <w:p>
      <w:pPr>
        <w:spacing w:line="600" w:lineRule="exact"/>
        <w:ind w:firstLine="643" w:firstLineChars="200"/>
        <w:outlineLvl w:val="2"/>
        <w:rPr>
          <w:rFonts w:ascii="仿宋" w:hAnsi="仿宋" w:eastAsia="仿宋"/>
          <w:b/>
          <w:color w:val="000000"/>
          <w:sz w:val="32"/>
          <w:szCs w:val="32"/>
        </w:rPr>
      </w:pPr>
      <w:bookmarkStart w:id="50" w:name="_Toc15377210"/>
      <w:r>
        <w:rPr>
          <w:rFonts w:hint="eastAsia" w:ascii="仿宋" w:hAnsi="仿宋" w:eastAsia="仿宋"/>
          <w:b/>
          <w:color w:val="000000"/>
          <w:sz w:val="32"/>
          <w:szCs w:val="32"/>
        </w:rPr>
        <w:t>（一）一般公共预算财政拨款支出决算总体情况</w:t>
      </w:r>
      <w:bookmarkEnd w:id="50"/>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853.31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157.75万元，上涨18%</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pStyle w:val="17"/>
        <w:rPr>
          <w:rFonts w:ascii="仿宋" w:hAnsi="仿宋" w:eastAsia="仿宋"/>
          <w:color w:val="000000" w:themeColor="text1"/>
          <w:sz w:val="32"/>
          <w:szCs w:val="32"/>
          <w14:textFill>
            <w14:solidFill>
              <w14:schemeClr w14:val="tx1"/>
            </w14:solidFill>
          </w14:textFill>
        </w:rPr>
      </w:pPr>
      <w:r>
        <w:drawing>
          <wp:inline distT="0" distB="0" distL="114300" distR="114300">
            <wp:extent cx="4572000" cy="2743200"/>
            <wp:effectExtent l="4445" t="4445" r="14605" b="14605"/>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51" w:name="_Toc15377211"/>
      <w:r>
        <w:rPr>
          <w:rFonts w:hint="eastAsia" w:ascii="仿宋" w:hAnsi="仿宋" w:eastAsia="仿宋"/>
          <w:b/>
          <w:color w:val="000000"/>
          <w:sz w:val="32"/>
          <w:szCs w:val="32"/>
        </w:rPr>
        <w:t>（二）一般公共预算财政拨款支出决算结构情况</w:t>
      </w:r>
      <w:bookmarkEnd w:id="51"/>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853.31</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一般公共服务（类）支出</w:t>
      </w:r>
      <w:r>
        <w:rPr>
          <w:rFonts w:hint="eastAsia" w:ascii="仿宋" w:hAnsi="仿宋" w:eastAsia="仿宋"/>
          <w:color w:val="000000" w:themeColor="text1"/>
          <w:sz w:val="32"/>
          <w:szCs w:val="32"/>
          <w:lang w:val="en-US" w:eastAsia="zh-CN"/>
          <w14:textFill>
            <w14:solidFill>
              <w14:schemeClr w14:val="tx1"/>
            </w14:solidFill>
          </w14:textFill>
        </w:rPr>
        <w:t>580.52</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68</w:t>
      </w:r>
      <w:r>
        <w:rPr>
          <w:rFonts w:hint="eastAsia" w:ascii="仿宋" w:hAnsi="仿宋" w:eastAsia="仿宋"/>
          <w:color w:val="000000" w:themeColor="text1"/>
          <w:sz w:val="32"/>
          <w:szCs w:val="32"/>
          <w:lang w:eastAsia="zh-CN"/>
          <w14:textFill>
            <w14:solidFill>
              <w14:schemeClr w14:val="tx1"/>
            </w14:solidFill>
          </w14:textFill>
        </w:rPr>
        <w:t>%；文化旅游体育与传媒（类）支出</w:t>
      </w:r>
      <w:r>
        <w:rPr>
          <w:rFonts w:hint="eastAsia" w:ascii="仿宋" w:hAnsi="仿宋" w:eastAsia="仿宋"/>
          <w:color w:val="000000" w:themeColor="text1"/>
          <w:sz w:val="32"/>
          <w:szCs w:val="32"/>
          <w:lang w:val="en-US" w:eastAsia="zh-CN"/>
          <w14:textFill>
            <w14:solidFill>
              <w14:schemeClr w14:val="tx1"/>
            </w14:solidFill>
          </w14:textFill>
        </w:rPr>
        <w:t>5</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0.58</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123</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14.4</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31.38</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3.72</w:t>
      </w:r>
      <w:r>
        <w:rPr>
          <w:rFonts w:hint="eastAsia" w:ascii="仿宋" w:hAnsi="仿宋" w:eastAsia="仿宋"/>
          <w:color w:val="000000" w:themeColor="text1"/>
          <w:sz w:val="32"/>
          <w:szCs w:val="32"/>
          <w:lang w:eastAsia="zh-CN"/>
          <w14:textFill>
            <w14:solidFill>
              <w14:schemeClr w14:val="tx1"/>
            </w14:solidFill>
          </w14:textFill>
        </w:rPr>
        <w:t>%；城乡社区支出</w:t>
      </w:r>
      <w:r>
        <w:rPr>
          <w:rFonts w:hint="eastAsia" w:ascii="仿宋" w:hAnsi="仿宋" w:eastAsia="仿宋"/>
          <w:color w:val="000000" w:themeColor="text1"/>
          <w:sz w:val="32"/>
          <w:szCs w:val="32"/>
          <w:lang w:val="en-US" w:eastAsia="zh-CN"/>
          <w14:textFill>
            <w14:solidFill>
              <w14:schemeClr w14:val="tx1"/>
            </w14:solidFill>
          </w14:textFill>
        </w:rPr>
        <w:t>4.92</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0.58%；</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58.83</w:t>
      </w:r>
      <w:r>
        <w:rPr>
          <w:rFonts w:hint="eastAsia" w:ascii="仿宋" w:hAnsi="仿宋" w:eastAsia="仿宋"/>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6.9</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49.67</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5.82</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sz w:val="32"/>
          <w:szCs w:val="32"/>
        </w:rPr>
        <w:t>（图6：一般公共预算财政拨款支出决算结构）（饼状图）</w:t>
      </w:r>
    </w:p>
    <w:p>
      <w:pPr>
        <w:pStyle w:val="17"/>
        <w:ind w:left="420" w:leftChars="200" w:firstLine="0" w:firstLineChars="0"/>
        <w:rPr>
          <w:rFonts w:ascii="仿宋" w:hAnsi="仿宋" w:eastAsia="仿宋"/>
          <w:color w:val="000000"/>
          <w:sz w:val="32"/>
          <w:szCs w:val="32"/>
        </w:rPr>
      </w:pPr>
      <w:r>
        <w:drawing>
          <wp:inline distT="0" distB="0" distL="114300" distR="114300">
            <wp:extent cx="4572000" cy="2743200"/>
            <wp:effectExtent l="4445" t="4445" r="14605" b="14605"/>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321" w:firstLineChars="100"/>
        <w:outlineLvl w:val="2"/>
        <w:rPr>
          <w:rFonts w:ascii="仿宋" w:hAnsi="仿宋" w:eastAsia="仿宋"/>
          <w:b/>
          <w:color w:val="000000"/>
          <w:sz w:val="32"/>
          <w:szCs w:val="32"/>
        </w:rPr>
      </w:pPr>
      <w:bookmarkStart w:id="52" w:name="_Toc15377212"/>
      <w:r>
        <w:rPr>
          <w:rFonts w:hint="eastAsia" w:ascii="仿宋" w:hAnsi="仿宋" w:eastAsia="仿宋"/>
          <w:b/>
          <w:color w:val="000000"/>
          <w:sz w:val="32"/>
          <w:szCs w:val="32"/>
        </w:rPr>
        <w:t>（三）一般公共预算财政拨款支出决算具体情况</w:t>
      </w:r>
      <w:bookmarkEnd w:id="52"/>
    </w:p>
    <w:p>
      <w:pPr>
        <w:spacing w:line="600" w:lineRule="exact"/>
        <w:ind w:firstLine="643" w:firstLineChars="200"/>
        <w:outlineLvl w:val="1"/>
        <w:rPr>
          <w:rFonts w:hint="eastAsia" w:ascii="仿宋" w:hAnsi="仿宋" w:eastAsia="仿宋" w:cs="仿宋"/>
          <w:color w:val="FF0000"/>
          <w:sz w:val="32"/>
          <w:szCs w:val="32"/>
        </w:rPr>
      </w:pPr>
      <w:bookmarkStart w:id="53" w:name="_Toc18179"/>
      <w:bookmarkStart w:id="54" w:name="_Toc15377213"/>
      <w:bookmarkStart w:id="55" w:name="_Toc15378460"/>
      <w:bookmarkStart w:id="56" w:name="_Toc15377444"/>
      <w:bookmarkStart w:id="57" w:name="_Toc9371"/>
      <w:bookmarkStart w:id="58" w:name="_Toc25637"/>
      <w:r>
        <w:rPr>
          <w:rFonts w:hint="eastAsia" w:ascii="仿宋" w:hAnsi="仿宋" w:eastAsia="仿宋" w:cs="仿宋"/>
          <w:b/>
          <w:color w:val="000000" w:themeColor="text1"/>
          <w:sz w:val="32"/>
          <w:szCs w:val="32"/>
          <w:lang w:val="en-US" w:eastAsia="zh-CN"/>
          <w14:textFill>
            <w14:solidFill>
              <w14:schemeClr w14:val="tx1"/>
            </w14:solidFill>
          </w14:textFill>
        </w:rPr>
        <w:t>2021</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一</w:t>
      </w:r>
      <w:r>
        <w:rPr>
          <w:rFonts w:hint="eastAsia" w:ascii="仿宋" w:hAnsi="仿宋" w:eastAsia="仿宋" w:cs="仿宋"/>
          <w:b/>
          <w:color w:val="000000" w:themeColor="text1"/>
          <w:sz w:val="32"/>
          <w:szCs w:val="32"/>
          <w14:textFill>
            <w14:solidFill>
              <w14:schemeClr w14:val="tx1"/>
            </w14:solidFill>
          </w14:textFill>
        </w:rPr>
        <w:t>般公共预算支出决算数为</w:t>
      </w:r>
      <w:r>
        <w:rPr>
          <w:rFonts w:hint="eastAsia" w:ascii="仿宋" w:hAnsi="仿宋" w:eastAsia="仿宋" w:cs="仿宋"/>
          <w:b/>
          <w:color w:val="000000" w:themeColor="text1"/>
          <w:sz w:val="32"/>
          <w:szCs w:val="32"/>
          <w:lang w:val="en-US" w:eastAsia="zh-CN"/>
          <w14:textFill>
            <w14:solidFill>
              <w14:schemeClr w14:val="tx1"/>
            </w14:solidFill>
          </w14:textFill>
        </w:rPr>
        <w:t>853.31万元</w:t>
      </w:r>
      <w:r>
        <w:rPr>
          <w:rFonts w:hint="eastAsia" w:ascii="仿宋" w:hAnsi="仿宋" w:eastAsia="仿宋" w:cs="仿宋"/>
          <w:color w:val="000000" w:themeColor="text1"/>
          <w:sz w:val="32"/>
          <w:szCs w:val="32"/>
          <w14:textFill>
            <w14:solidFill>
              <w14:schemeClr w14:val="tx1"/>
            </w14:solidFill>
          </w14:textFill>
        </w:rPr>
        <w:t>，</w:t>
      </w:r>
      <w:r>
        <w:rPr>
          <w:rStyle w:val="20"/>
          <w:rFonts w:hint="eastAsia" w:ascii="仿宋" w:hAnsi="仿宋" w:eastAsia="仿宋" w:cs="仿宋"/>
          <w:bCs/>
          <w:color w:val="000000" w:themeColor="text1"/>
          <w:sz w:val="32"/>
          <w:szCs w:val="32"/>
          <w14:textFill>
            <w14:solidFill>
              <w14:schemeClr w14:val="tx1"/>
            </w14:solidFill>
          </w14:textFill>
        </w:rPr>
        <w:t>完成</w:t>
      </w:r>
      <w:r>
        <w:rPr>
          <w:rStyle w:val="20"/>
          <w:rFonts w:hint="eastAsia" w:ascii="仿宋" w:hAnsi="仿宋" w:eastAsia="仿宋" w:cs="仿宋"/>
          <w:bCs/>
          <w:color w:val="000000"/>
          <w:sz w:val="32"/>
          <w:szCs w:val="32"/>
        </w:rPr>
        <w:t>预算</w:t>
      </w:r>
      <w:r>
        <w:rPr>
          <w:rStyle w:val="20"/>
          <w:rFonts w:hint="eastAsia" w:ascii="仿宋" w:hAnsi="仿宋" w:eastAsia="仿宋" w:cs="仿宋"/>
          <w:bCs/>
          <w:color w:val="000000"/>
          <w:sz w:val="32"/>
          <w:szCs w:val="32"/>
          <w:lang w:val="en-US" w:eastAsia="zh-CN"/>
        </w:rPr>
        <w:t>100</w:t>
      </w:r>
      <w:r>
        <w:rPr>
          <w:rStyle w:val="20"/>
          <w:rFonts w:hint="eastAsia" w:ascii="仿宋" w:hAnsi="仿宋" w:eastAsia="仿宋" w:cs="仿宋"/>
          <w:bCs/>
          <w:color w:val="000000"/>
          <w:sz w:val="32"/>
          <w:szCs w:val="32"/>
        </w:rPr>
        <w:t>%。其中：</w:t>
      </w:r>
      <w:bookmarkEnd w:id="53"/>
      <w:bookmarkEnd w:id="54"/>
      <w:bookmarkEnd w:id="55"/>
      <w:bookmarkEnd w:id="56"/>
      <w:bookmarkEnd w:id="57"/>
      <w:bookmarkEnd w:id="58"/>
    </w:p>
    <w:p>
      <w:pPr>
        <w:spacing w:line="600"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一般公共服务</w:t>
      </w:r>
      <w:r>
        <w:rPr>
          <w:rFonts w:hint="eastAsia" w:ascii="仿宋" w:hAnsi="仿宋" w:eastAsia="仿宋"/>
          <w:b/>
          <w:bCs/>
          <w:color w:val="000000"/>
          <w:sz w:val="32"/>
          <w:szCs w:val="32"/>
          <w:lang w:val="en-US" w:eastAsia="zh-CN"/>
        </w:rPr>
        <w:t>支出201：支出决算为580.52万元，完成预算100%。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人大事务行政运行</w:t>
      </w:r>
      <w:r>
        <w:rPr>
          <w:rFonts w:hint="eastAsia" w:ascii="仿宋" w:hAnsi="仿宋" w:eastAsia="仿宋"/>
          <w:color w:val="000000"/>
          <w:sz w:val="32"/>
          <w:szCs w:val="32"/>
          <w:lang w:val="en-US" w:eastAsia="zh-CN"/>
        </w:rPr>
        <w:t>20101 01</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45.55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 xml:space="preserve"> （2）政府办公厅（室）及相关机构事务行政运行20103 01：</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227.64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3</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政府办公厅（室）及相关机构事务一般行政管理事务20103 02：支出决算为27万元，完成预算100%。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（4）政府办公厅（室）及相关机构事务事业运行20103 50：支出决算为167.81万元，</w:t>
      </w:r>
      <w:r>
        <w:rPr>
          <w:rFonts w:hint="eastAsia" w:ascii="仿宋" w:hAnsi="仿宋" w:eastAsia="仿宋"/>
          <w:color w:val="000000"/>
          <w:sz w:val="32"/>
          <w:szCs w:val="32"/>
        </w:rPr>
        <w:t>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5</w:t>
      </w:r>
      <w:r>
        <w:rPr>
          <w:rFonts w:hint="eastAsia" w:ascii="仿宋" w:hAnsi="仿宋" w:eastAsia="仿宋"/>
          <w:color w:val="000000"/>
          <w:sz w:val="32"/>
          <w:szCs w:val="32"/>
          <w:lang w:eastAsia="zh-CN"/>
        </w:rPr>
        <w:t>）财政事务行政运行</w:t>
      </w:r>
      <w:r>
        <w:rPr>
          <w:rFonts w:hint="eastAsia" w:ascii="仿宋" w:hAnsi="仿宋" w:eastAsia="仿宋"/>
          <w:color w:val="000000"/>
          <w:sz w:val="32"/>
          <w:szCs w:val="32"/>
          <w:lang w:val="en-US" w:eastAsia="zh-CN"/>
        </w:rPr>
        <w:t>20106 01</w:t>
      </w:r>
      <w:r>
        <w:rPr>
          <w:rFonts w:hint="eastAsia" w:ascii="仿宋" w:hAnsi="仿宋" w:eastAsia="仿宋"/>
          <w:color w:val="000000"/>
          <w:sz w:val="32"/>
          <w:szCs w:val="32"/>
          <w:lang w:eastAsia="zh-CN"/>
        </w:rPr>
        <w:t>：支出决算为</w:t>
      </w:r>
      <w:r>
        <w:rPr>
          <w:rFonts w:hint="eastAsia" w:ascii="仿宋" w:hAnsi="仿宋" w:eastAsia="仿宋"/>
          <w:color w:val="000000"/>
          <w:sz w:val="32"/>
          <w:szCs w:val="32"/>
          <w:lang w:val="en-US" w:eastAsia="zh-CN"/>
        </w:rPr>
        <w:t>27.28万元，完成预算100%。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（6）党委办公厅（室）及相关机构事务 行政运行20131 01：支出决算为85.23万元，完成预算100%。</w:t>
      </w:r>
    </w:p>
    <w:p>
      <w:pPr>
        <w:spacing w:line="600"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2.</w:t>
      </w:r>
      <w:r>
        <w:rPr>
          <w:rFonts w:hint="eastAsia" w:ascii="仿宋" w:hAnsi="仿宋" w:eastAsia="仿宋"/>
          <w:b/>
          <w:bCs/>
          <w:color w:val="000000"/>
          <w:sz w:val="32"/>
          <w:szCs w:val="32"/>
        </w:rPr>
        <w:t>文化旅游体育与传媒</w:t>
      </w:r>
      <w:r>
        <w:rPr>
          <w:rFonts w:hint="eastAsia" w:ascii="仿宋" w:hAnsi="仿宋" w:eastAsia="仿宋"/>
          <w:b/>
          <w:bCs/>
          <w:color w:val="000000"/>
          <w:sz w:val="32"/>
          <w:szCs w:val="32"/>
          <w:lang w:val="en-US" w:eastAsia="zh-CN"/>
        </w:rPr>
        <w:t>支出207：支出决算为5万元，完成预算100%。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）文化旅游体育和传媒支出</w:t>
      </w:r>
      <w:r>
        <w:rPr>
          <w:rFonts w:hint="eastAsia" w:ascii="仿宋" w:hAnsi="仿宋" w:eastAsia="仿宋"/>
          <w:color w:val="000000"/>
          <w:sz w:val="32"/>
          <w:szCs w:val="32"/>
          <w:lang w:val="en-US" w:eastAsia="zh-CN"/>
        </w:rPr>
        <w:t xml:space="preserve"> 文化和旅游 其他文化和旅游支出207 01 99；支出决算为5万元，完成预算100%。 </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3.社会保障和就业支出208：支出决算为122.98万元，完成预算100%。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（1）社会保障和就业支出 民政管理事务 基层政权和社区建设208 02 08：支出决算为57.6万元，完成预算100%。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行政事业单位养老 机关事务基本养老保险缴费支出208 05 05：支出决算为：43.46万元，完成预算100%。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3</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行政事业单位养老 机关事业单位职业年金缴费支出208 05 06：支出决算为21.73万元，完成预算100%。</w:t>
      </w:r>
    </w:p>
    <w:p>
      <w:pPr>
        <w:pStyle w:val="2"/>
        <w:rPr>
          <w:rFonts w:hint="default"/>
          <w:lang w:val="en-US" w:eastAsia="zh-CN"/>
        </w:rPr>
      </w:pPr>
      <w:r>
        <w:rPr>
          <w:rFonts w:hint="eastAsia" w:ascii="仿宋" w:hAnsi="仿宋" w:eastAsia="仿宋"/>
          <w:color w:val="000000"/>
          <w:sz w:val="32"/>
          <w:szCs w:val="32"/>
          <w:lang w:val="en-US" w:eastAsia="zh-CN"/>
        </w:rPr>
        <w:t xml:space="preserve">    （4）退役军人管理事务支出 一般行政管理事务支出208 28 02：支出决算为0.2万元，完成预算100%。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4.卫生健康支出210：支出决算为31.38万元，完成预算100%。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公共卫生 其他公共卫生支出210 04 99：支出决算为0.99万元，完成预算100%。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（2）卫生健康支出 行政事业单位医疗 行政单位医疗210 11 01：支出决算为15.77万元，完成预算100%。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（3）卫生健康支出 行政事业单位医疗 公务员医疗补助210 11 03：支出决算为8.9万元，完成预算100%。</w:t>
      </w:r>
    </w:p>
    <w:p>
      <w:pPr>
        <w:spacing w:line="600" w:lineRule="exact"/>
        <w:ind w:firstLine="643" w:firstLineChars="200"/>
        <w:rPr>
          <w:rFonts w:hint="eastAsia"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5.城乡社区支出212：支出决算4.92万元，完成预算100%。</w:t>
      </w:r>
    </w:p>
    <w:p>
      <w:pPr>
        <w:pStyle w:val="2"/>
        <w:rPr>
          <w:rFonts w:hint="default"/>
          <w:b w:val="0"/>
          <w:bCs w:val="0"/>
          <w:lang w:val="en-US" w:eastAsia="zh-CN"/>
        </w:rPr>
      </w:pPr>
      <w:r>
        <w:rPr>
          <w:rFonts w:hint="eastAsia" w:ascii="仿宋" w:hAnsi="仿宋" w:eastAsia="仿宋"/>
          <w:b/>
          <w:bCs/>
          <w:color w:val="000000"/>
          <w:sz w:val="32"/>
          <w:szCs w:val="32"/>
          <w:lang w:val="en-US" w:eastAsia="zh-CN"/>
        </w:rPr>
        <w:t xml:space="preserve">    </w:t>
      </w:r>
      <w:r>
        <w:rPr>
          <w:rFonts w:hint="eastAsia" w:ascii="仿宋" w:hAnsi="仿宋" w:eastAsia="仿宋"/>
          <w:b w:val="0"/>
          <w:bCs w:val="0"/>
          <w:color w:val="000000"/>
          <w:sz w:val="32"/>
          <w:szCs w:val="32"/>
          <w:lang w:val="en-US" w:eastAsia="zh-CN"/>
        </w:rPr>
        <w:t>（1）城乡社区支出 城乡社区环境卫生 城乡社区环境卫生212 05 01：支出决算为4.92万元，完成预算100%。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6.农林水支出213：支出决算58.82万元，完成预算100%。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（1）农林水 扶贫 农村基础设施建设213 05 04：支出决算为11.19万元，完成预算100%。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（2）农林水 农村综合改革 对村民委员会和村党支部的补助213 07 05：支出决算47.63万元，完成预算100%。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7.住房保障支出221：支出决算为49.67万元，完成预算100%。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 住房公积金221 02 01：支出决算为49.67万元，完成预算100%。</w:t>
      </w:r>
    </w:p>
    <w:p>
      <w:pPr>
        <w:tabs>
          <w:tab w:val="right" w:pos="8306"/>
        </w:tabs>
        <w:spacing w:line="600" w:lineRule="exact"/>
        <w:ind w:firstLine="640"/>
        <w:outlineLvl w:val="1"/>
        <w:rPr>
          <w:rStyle w:val="31"/>
        </w:rPr>
      </w:pPr>
      <w:bookmarkStart w:id="59" w:name="_Toc15396608"/>
      <w:bookmarkStart w:id="60" w:name="_Toc15377214"/>
      <w:bookmarkStart w:id="61" w:name="_Toc21943"/>
      <w:r>
        <w:rPr>
          <w:rFonts w:hint="eastAsia" w:ascii="黑体" w:eastAsia="黑体"/>
          <w:color w:val="000000"/>
          <w:sz w:val="32"/>
          <w:szCs w:val="32"/>
          <w:lang w:val="en-US" w:eastAsia="zh-CN"/>
        </w:rPr>
        <w:t>八</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9"/>
      <w:bookmarkEnd w:id="60"/>
      <w:bookmarkEnd w:id="61"/>
      <w:r>
        <w:rPr>
          <w:rStyle w:val="31"/>
          <w:rFonts w:ascii="黑体" w:hAnsi="黑体" w:eastAsia="黑体"/>
          <w:b w:val="0"/>
        </w:rPr>
        <w:tab/>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lang w:val="en-US" w:eastAsia="zh-CN"/>
        </w:rPr>
        <w:t>2021</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695.77</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lang w:val="en-US" w:eastAsia="zh-CN"/>
        </w:rPr>
        <w:t>人员经费646.18</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96.4万元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366.68万元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5.98万元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17.96万元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43.46万元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21.73万元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24.67</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5.71万元、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7.61万元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49.67万元、医疗费3.27万元，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49.20万元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49.59</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16.87万元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4.14万元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0.12万元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4万元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2.4万元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1.99万元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0.99万元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0.78万元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5万元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11.19万元</w:t>
      </w:r>
      <w:r>
        <w:rPr>
          <w:rFonts w:hint="eastAsia" w:ascii="仿宋" w:hAnsi="仿宋" w:eastAsia="仿宋"/>
          <w:color w:val="000000"/>
          <w:sz w:val="32"/>
          <w:szCs w:val="32"/>
        </w:rPr>
        <w:t>。</w:t>
      </w:r>
    </w:p>
    <w:p>
      <w:pPr>
        <w:spacing w:line="600" w:lineRule="exact"/>
        <w:ind w:firstLine="640"/>
        <w:outlineLvl w:val="1"/>
        <w:rPr>
          <w:rStyle w:val="31"/>
          <w:rFonts w:ascii="黑体" w:hAnsi="黑体" w:eastAsia="黑体"/>
          <w:b w:val="0"/>
        </w:rPr>
      </w:pPr>
      <w:bookmarkStart w:id="62" w:name="_Toc15396609"/>
      <w:bookmarkStart w:id="63" w:name="_Toc15377215"/>
      <w:bookmarkStart w:id="64" w:name="_Toc11403"/>
      <w:r>
        <w:rPr>
          <w:rFonts w:hint="eastAsia" w:ascii="黑体" w:eastAsia="黑体"/>
          <w:color w:val="000000"/>
          <w:sz w:val="32"/>
          <w:szCs w:val="32"/>
          <w:lang w:val="en-US" w:eastAsia="zh-CN"/>
        </w:rPr>
        <w:t>九</w:t>
      </w:r>
      <w:r>
        <w:rPr>
          <w:rFonts w:hint="eastAsia" w:ascii="黑体" w:eastAsia="黑体"/>
          <w:color w:val="000000"/>
          <w:sz w:val="32"/>
          <w:szCs w:val="32"/>
        </w:rPr>
        <w:t>、</w:t>
      </w:r>
      <w:r>
        <w:rPr>
          <w:rStyle w:val="31"/>
          <w:rFonts w:hint="eastAsia" w:ascii="黑体" w:hAnsi="黑体" w:eastAsia="黑体"/>
        </w:rPr>
        <w:t>“</w:t>
      </w:r>
      <w:r>
        <w:rPr>
          <w:rStyle w:val="31"/>
          <w:rFonts w:hint="eastAsia" w:ascii="黑体" w:hAnsi="黑体" w:eastAsia="黑体"/>
          <w:b w:val="0"/>
        </w:rPr>
        <w:t>三公”经费财政拨款支出决算情况说明</w:t>
      </w:r>
      <w:bookmarkEnd w:id="62"/>
      <w:bookmarkEnd w:id="63"/>
      <w:bookmarkEnd w:id="64"/>
    </w:p>
    <w:p>
      <w:pPr>
        <w:spacing w:line="600" w:lineRule="exact"/>
        <w:ind w:firstLine="640"/>
        <w:outlineLvl w:val="2"/>
        <w:rPr>
          <w:rFonts w:ascii="仿宋" w:hAnsi="仿宋" w:eastAsia="仿宋"/>
          <w:b/>
          <w:color w:val="000000"/>
          <w:sz w:val="32"/>
          <w:szCs w:val="32"/>
        </w:rPr>
      </w:pPr>
      <w:bookmarkStart w:id="65" w:name="_Toc15377216"/>
      <w:r>
        <w:rPr>
          <w:rFonts w:hint="eastAsia" w:ascii="仿宋" w:hAnsi="仿宋" w:eastAsia="仿宋"/>
          <w:b/>
          <w:color w:val="000000"/>
          <w:sz w:val="32"/>
          <w:szCs w:val="32"/>
        </w:rPr>
        <w:t>（一）“三公”经费财政拨款支出决算总体情况说明</w:t>
      </w:r>
      <w:bookmarkEnd w:id="6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11.29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6" w:name="_Toc15377217"/>
      <w:r>
        <w:rPr>
          <w:rFonts w:hint="eastAsia" w:ascii="仿宋" w:hAnsi="仿宋" w:eastAsia="仿宋"/>
          <w:b/>
          <w:color w:val="000000"/>
          <w:sz w:val="32"/>
          <w:szCs w:val="32"/>
        </w:rPr>
        <w:t>（二）“三公”经费财政拨款支出决算具体情况说明</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11.19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7"/>
      </w:pPr>
      <w:r>
        <w:drawing>
          <wp:inline distT="0" distB="0" distL="114300" distR="114300">
            <wp:extent cx="4572000" cy="2743200"/>
            <wp:effectExtent l="4445" t="4445" r="14605" b="14605"/>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numPr>
          <w:ilvl w:val="0"/>
          <w:numId w:val="1"/>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rPr>
          <w:rFonts w:hint="default"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11.19</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增加，因维修公车。</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11.19</w:t>
      </w:r>
      <w:r>
        <w:rPr>
          <w:rFonts w:hint="eastAsia" w:ascii="仿宋_GB2312" w:eastAsia="仿宋_GB2312"/>
          <w:color w:val="000000"/>
          <w:sz w:val="32"/>
          <w:szCs w:val="32"/>
        </w:rPr>
        <w:t>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持平。</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0</w:t>
      </w:r>
      <w:r>
        <w:rPr>
          <w:rFonts w:hint="eastAsia" w:ascii="仿宋_GB2312" w:eastAsia="仿宋_GB2312"/>
          <w:color w:val="000000"/>
          <w:sz w:val="32"/>
          <w:szCs w:val="32"/>
        </w:rPr>
        <w:t>。其中：</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67" w:name="_Toc15396610"/>
      <w:bookmarkStart w:id="68" w:name="_Toc15377218"/>
    </w:p>
    <w:p>
      <w:pPr>
        <w:spacing w:line="600" w:lineRule="exact"/>
        <w:ind w:firstLine="640"/>
        <w:outlineLvl w:val="1"/>
        <w:rPr>
          <w:rStyle w:val="31"/>
          <w:rFonts w:ascii="黑体" w:hAnsi="黑体" w:eastAsia="黑体"/>
        </w:rPr>
      </w:pPr>
      <w:bookmarkStart w:id="69" w:name="_Toc15140"/>
      <w:r>
        <w:rPr>
          <w:rFonts w:hint="eastAsia" w:ascii="黑体" w:eastAsia="黑体"/>
          <w:color w:val="000000"/>
          <w:sz w:val="32"/>
          <w:szCs w:val="32"/>
          <w:lang w:val="en-US" w:eastAsia="zh-CN"/>
        </w:rPr>
        <w:t>十</w:t>
      </w:r>
      <w:r>
        <w:rPr>
          <w:rFonts w:hint="eastAsia" w:ascii="黑体" w:eastAsia="黑体"/>
          <w:color w:val="000000"/>
          <w:sz w:val="32"/>
          <w:szCs w:val="32"/>
        </w:rPr>
        <w:t>、</w:t>
      </w:r>
      <w:r>
        <w:rPr>
          <w:rStyle w:val="31"/>
          <w:rFonts w:hint="eastAsia" w:ascii="黑体" w:hAnsi="黑体" w:eastAsia="黑体"/>
          <w:b w:val="0"/>
        </w:rPr>
        <w:t>政府性基金预算支出决算情况说明</w:t>
      </w:r>
      <w:bookmarkEnd w:id="67"/>
      <w:bookmarkEnd w:id="68"/>
      <w:bookmarkEnd w:id="6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numId w:val="0"/>
        </w:numPr>
        <w:spacing w:line="600" w:lineRule="exact"/>
        <w:ind w:firstLine="640" w:firstLineChars="200"/>
        <w:outlineLvl w:val="1"/>
        <w:rPr>
          <w:rStyle w:val="31"/>
          <w:rFonts w:ascii="黑体" w:hAnsi="黑体" w:eastAsia="黑体"/>
          <w:b w:val="0"/>
        </w:rPr>
      </w:pPr>
      <w:bookmarkStart w:id="70" w:name="_Toc15396611"/>
      <w:bookmarkStart w:id="71" w:name="_Toc15377219"/>
      <w:bookmarkStart w:id="72" w:name="_Toc21776"/>
      <w:r>
        <w:rPr>
          <w:rStyle w:val="31"/>
          <w:rFonts w:hint="eastAsia" w:ascii="黑体" w:hAnsi="黑体" w:eastAsia="黑体"/>
          <w:b w:val="0"/>
          <w:lang w:val="en-US" w:eastAsia="zh-CN"/>
        </w:rPr>
        <w:t>十一、</w:t>
      </w:r>
      <w:r>
        <w:rPr>
          <w:rStyle w:val="31"/>
          <w:rFonts w:hint="eastAsia" w:ascii="黑体" w:hAnsi="黑体" w:eastAsia="黑体"/>
          <w:b w:val="0"/>
        </w:rPr>
        <w:t>国有资本经营预算支出决算情况说明</w:t>
      </w:r>
      <w:bookmarkEnd w:id="70"/>
      <w:bookmarkEnd w:id="71"/>
      <w:bookmarkEnd w:id="72"/>
    </w:p>
    <w:p>
      <w:pPr>
        <w:spacing w:line="600"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31"/>
          <w:rFonts w:ascii="黑体" w:hAnsi="黑体" w:eastAsia="黑体"/>
        </w:rPr>
      </w:pPr>
      <w:bookmarkStart w:id="73" w:name="_Toc15377221"/>
      <w:bookmarkStart w:id="74" w:name="_Toc15396612"/>
      <w:bookmarkStart w:id="75" w:name="_Toc31063"/>
      <w:r>
        <w:rPr>
          <w:rFonts w:hint="eastAsia" w:ascii="黑体" w:hAnsi="黑体" w:eastAsia="黑体"/>
          <w:color w:val="000000"/>
          <w:sz w:val="32"/>
          <w:szCs w:val="32"/>
          <w:lang w:val="en-US" w:eastAsia="zh-CN"/>
        </w:rPr>
        <w:t>十二、</w:t>
      </w:r>
      <w:r>
        <w:rPr>
          <w:rStyle w:val="31"/>
          <w:rFonts w:hint="eastAsia" w:ascii="黑体" w:hAnsi="黑体" w:eastAsia="黑体"/>
          <w:b w:val="0"/>
        </w:rPr>
        <w:t>其他重要事项的情况说明</w:t>
      </w:r>
      <w:bookmarkEnd w:id="73"/>
      <w:bookmarkEnd w:id="74"/>
      <w:bookmarkEnd w:id="75"/>
    </w:p>
    <w:p>
      <w:pPr>
        <w:spacing w:line="600" w:lineRule="exact"/>
        <w:ind w:firstLine="643" w:firstLineChars="200"/>
        <w:outlineLvl w:val="2"/>
        <w:rPr>
          <w:rFonts w:ascii="仿宋" w:hAnsi="仿宋" w:eastAsia="仿宋"/>
          <w:color w:val="000000"/>
          <w:sz w:val="32"/>
          <w:szCs w:val="32"/>
        </w:rPr>
      </w:pPr>
      <w:bookmarkStart w:id="76" w:name="_Toc15377222"/>
      <w:r>
        <w:rPr>
          <w:rFonts w:hint="eastAsia" w:ascii="仿宋" w:hAnsi="仿宋" w:eastAsia="仿宋"/>
          <w:b/>
          <w:color w:val="000000"/>
          <w:sz w:val="32"/>
          <w:szCs w:val="32"/>
        </w:rPr>
        <w:t>（一）机关运行经费支出情况</w:t>
      </w:r>
      <w:bookmarkEnd w:id="76"/>
    </w:p>
    <w:p>
      <w:pPr>
        <w:spacing w:line="600"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11.19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2021年持平</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7" w:name="_Toc15377223"/>
      <w:r>
        <w:rPr>
          <w:rFonts w:hint="eastAsia" w:ascii="仿宋" w:hAnsi="仿宋" w:eastAsia="仿宋"/>
          <w:b/>
          <w:color w:val="000000"/>
          <w:sz w:val="32"/>
          <w:szCs w:val="32"/>
        </w:rPr>
        <w:t>（二）政府采购支出情况</w:t>
      </w:r>
      <w:bookmarkEnd w:id="77"/>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8" w:name="_Toc15377224"/>
      <w:r>
        <w:rPr>
          <w:rFonts w:hint="eastAsia" w:ascii="仿宋" w:hAnsi="仿宋" w:eastAsia="仿宋"/>
          <w:b/>
          <w:color w:val="000000"/>
          <w:sz w:val="32"/>
          <w:szCs w:val="32"/>
        </w:rPr>
        <w:t>（三）国有资产占有使用情况</w:t>
      </w:r>
      <w:bookmarkEnd w:id="78"/>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themeColor="text1"/>
          <w:sz w:val="32"/>
          <w:szCs w:val="32"/>
          <w14:textFill>
            <w14:solidFill>
              <w14:schemeClr w14:val="tx1"/>
            </w14:solidFill>
          </w14:textFill>
        </w:rPr>
        <w:t>江茸乡共有车辆</w:t>
      </w: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日常出差使用。</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江茸乡牧业生产点道路（草原防火通道）维修项目、江茸乡中藏药种植园道路建设、江茸乡2020年动态调整建档立卡贫困人员到户产业项目、江茸乡白萨福克羊养殖基地建设 、江茸乡公共厕所建设</w:t>
      </w:r>
      <w:r>
        <w:rPr>
          <w:rFonts w:hint="eastAsia" w:ascii="仿宋_GB2312" w:hAnsi="仿宋_GB2312" w:eastAsia="仿宋_GB2312" w:cs="仿宋_GB2312"/>
          <w:sz w:val="32"/>
          <w:szCs w:val="32"/>
          <w:lang w:val="en-US" w:eastAsia="zh-CN"/>
        </w:rPr>
        <w:t>建设项目</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项目绩效目标完成情况。</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江茸乡牧业生产点道路（草原防火通道）维修项目、江茸乡中藏药种植园道路建设、江茸乡2020年动态调整建档立卡贫困人员到户产业项目、江茸乡白萨福克羊养殖基地建设 、江茸乡公共厕所建设</w:t>
      </w:r>
      <w:r>
        <w:rPr>
          <w:rFonts w:hint="eastAsia" w:ascii="仿宋_GB2312" w:hAnsi="仿宋_GB2312" w:eastAsia="仿宋_GB2312" w:cs="仿宋_GB2312"/>
          <w:sz w:val="32"/>
          <w:szCs w:val="32"/>
          <w:lang w:val="en-US" w:eastAsia="zh-CN"/>
        </w:rPr>
        <w:t>建设项目建设项目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numPr>
          <w:ilvl w:val="0"/>
          <w:numId w:val="2"/>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江茸乡牧业生产点道路（草原防火通道）维修项目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江茸乡基础设施改善得到了保障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为牧民群众生产带来了方便，改善群众生活条件，促进社会稳定，使群众长期受益。</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江茸乡牧业生产点道路（草原防火通道）维修项目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w:t>
            </w:r>
            <w:r>
              <w:rPr>
                <w:rFonts w:hint="eastAsia" w:ascii="仿宋_GB2312" w:hAnsi="仿宋_GB2312" w:eastAsia="仿宋_GB2312" w:cs="仿宋_GB2312"/>
                <w:sz w:val="24"/>
                <w:szCs w:val="24"/>
                <w:lang w:val="en-US" w:eastAsia="zh-CN"/>
              </w:rPr>
              <w:t>江茸乡</w:t>
            </w:r>
            <w:r>
              <w:rPr>
                <w:rFonts w:hint="eastAsia" w:ascii="仿宋_GB2312" w:hAnsi="仿宋_GB2312" w:eastAsia="仿宋_GB2312" w:cs="仿宋_GB2312"/>
                <w:sz w:val="24"/>
                <w:szCs w:val="24"/>
                <w:lang w:eastAsia="zh-CN"/>
              </w:rPr>
              <w:t>畜牧业经济及</w:t>
            </w:r>
            <w:r>
              <w:rPr>
                <w:rFonts w:hint="eastAsia" w:ascii="仿宋_GB2312" w:hAnsi="仿宋_GB2312" w:eastAsia="仿宋_GB2312" w:cs="仿宋_GB2312"/>
                <w:sz w:val="24"/>
                <w:szCs w:val="24"/>
                <w:lang w:val="en-US" w:eastAsia="zh-CN"/>
              </w:rPr>
              <w:t>森林草原火灾扑灭</w:t>
            </w:r>
            <w:r>
              <w:rPr>
                <w:rFonts w:hint="eastAsia" w:ascii="仿宋_GB2312" w:hAnsi="仿宋_GB2312" w:eastAsia="仿宋_GB2312" w:cs="仿宋_GB2312"/>
                <w:sz w:val="24"/>
                <w:szCs w:val="24"/>
                <w:lang w:eastAsia="zh-CN"/>
              </w:rPr>
              <w:t>的重要途径，也是畜牧业发展的重要基础设施，在畜牧业生产、牧民群众的生活和农村经济发展中具有十分重要的作用。</w:t>
            </w:r>
          </w:p>
          <w:p>
            <w:pPr>
              <w:jc w:val="center"/>
              <w:rPr>
                <w:rFonts w:hint="eastAsia" w:ascii="仿宋_GB2312" w:hAnsi="仿宋_GB2312" w:eastAsia="仿宋_GB2312" w:cs="仿宋_GB2312"/>
                <w:sz w:val="24"/>
                <w:szCs w:val="24"/>
                <w:lang w:val="en-US" w:eastAsia="zh-CN"/>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w:t>
            </w:r>
            <w:r>
              <w:rPr>
                <w:rFonts w:hint="eastAsia" w:ascii="仿宋_GB2312" w:hAnsi="仿宋_GB2312" w:eastAsia="仿宋_GB2312" w:cs="仿宋_GB2312"/>
                <w:sz w:val="24"/>
                <w:szCs w:val="24"/>
                <w:lang w:val="en-US" w:eastAsia="zh-CN"/>
              </w:rPr>
              <w:t>江茸乡</w:t>
            </w:r>
            <w:r>
              <w:rPr>
                <w:rFonts w:hint="eastAsia" w:ascii="仿宋_GB2312" w:hAnsi="仿宋_GB2312" w:eastAsia="仿宋_GB2312" w:cs="仿宋_GB2312"/>
                <w:sz w:val="24"/>
                <w:szCs w:val="24"/>
                <w:lang w:eastAsia="zh-CN"/>
              </w:rPr>
              <w:t>畜牧业经济及</w:t>
            </w:r>
            <w:r>
              <w:rPr>
                <w:rFonts w:hint="eastAsia" w:ascii="仿宋_GB2312" w:hAnsi="仿宋_GB2312" w:eastAsia="仿宋_GB2312" w:cs="仿宋_GB2312"/>
                <w:sz w:val="24"/>
                <w:szCs w:val="24"/>
                <w:lang w:val="en-US" w:eastAsia="zh-CN"/>
              </w:rPr>
              <w:t>森林草原火灾扑灭</w:t>
            </w:r>
            <w:r>
              <w:rPr>
                <w:rFonts w:hint="eastAsia" w:ascii="仿宋_GB2312" w:hAnsi="仿宋_GB2312" w:eastAsia="仿宋_GB2312" w:cs="仿宋_GB2312"/>
                <w:sz w:val="24"/>
                <w:szCs w:val="24"/>
                <w:lang w:eastAsia="zh-CN"/>
              </w:rPr>
              <w:t>的重要途径，也是畜牧业发展的重要基础设施，在畜牧业生产、牧民群众的生活和农村经济发展中具有十分重要的作用。</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完成</w:t>
            </w:r>
            <w:r>
              <w:rPr>
                <w:rFonts w:hint="eastAsia" w:ascii="宋?" w:cs="宋?"/>
                <w:kern w:val="0"/>
                <w:sz w:val="20"/>
                <w:szCs w:val="20"/>
                <w:lang w:val="en-US" w:eastAsia="zh-CN"/>
              </w:rPr>
              <w:t>道路维修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完成</w:t>
            </w:r>
            <w:r>
              <w:rPr>
                <w:rFonts w:hint="eastAsia" w:ascii="宋?" w:cs="宋?"/>
                <w:kern w:val="0"/>
                <w:sz w:val="20"/>
                <w:szCs w:val="20"/>
                <w:lang w:val="en-US" w:eastAsia="zh-CN"/>
              </w:rPr>
              <w:t>道路维修</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完成</w:t>
            </w:r>
            <w:r>
              <w:rPr>
                <w:rFonts w:hint="eastAsia" w:ascii="宋?" w:cs="宋?"/>
                <w:kern w:val="0"/>
                <w:sz w:val="20"/>
                <w:szCs w:val="20"/>
                <w:lang w:val="en-US" w:eastAsia="zh-CN"/>
              </w:rPr>
              <w:t>道路维修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完成</w:t>
            </w:r>
            <w:r>
              <w:rPr>
                <w:rFonts w:hint="eastAsia" w:ascii="宋?" w:cs="宋?"/>
                <w:kern w:val="0"/>
                <w:sz w:val="20"/>
                <w:szCs w:val="20"/>
                <w:lang w:val="en-US" w:eastAsia="zh-CN"/>
              </w:rPr>
              <w:t>道路维修</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整合资金</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整合资金</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完成</w:t>
            </w:r>
            <w:r>
              <w:rPr>
                <w:rFonts w:hint="eastAsia" w:ascii="宋?" w:cs="宋?"/>
                <w:kern w:val="0"/>
                <w:sz w:val="20"/>
                <w:szCs w:val="20"/>
                <w:lang w:val="en-US" w:eastAsia="zh-CN"/>
              </w:rPr>
              <w:t>道路建设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w:t>
            </w:r>
            <w:r>
              <w:rPr>
                <w:rFonts w:hint="eastAsia" w:ascii="宋?" w:cs="宋?"/>
                <w:kern w:val="0"/>
                <w:sz w:val="20"/>
                <w:szCs w:val="20"/>
                <w:lang w:val="en-US" w:eastAsia="zh-CN"/>
              </w:rPr>
              <w:t>道路建设</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提高群众生产生活水平</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提高群众生产生活水平</w:t>
            </w:r>
          </w:p>
        </w:tc>
      </w:tr>
      <w:tr>
        <w:tblPrEx>
          <w:tblCellMar>
            <w:top w:w="15" w:type="dxa"/>
            <w:left w:w="15" w:type="dxa"/>
            <w:bottom w:w="15" w:type="dxa"/>
            <w:right w:w="15" w:type="dxa"/>
          </w:tblCellMar>
        </w:tblPrEx>
        <w:trPr>
          <w:trHeight w:val="2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改善畜牧业经济及</w:t>
            </w:r>
            <w:r>
              <w:rPr>
                <w:rFonts w:hint="eastAsia" w:ascii="仿宋_GB2312" w:hAnsi="仿宋_GB2312" w:eastAsia="仿宋_GB2312" w:cs="仿宋_GB2312"/>
                <w:sz w:val="24"/>
                <w:szCs w:val="24"/>
                <w:lang w:val="en-US" w:eastAsia="zh-CN"/>
              </w:rPr>
              <w:t>森林草原火灾扑灭</w:t>
            </w:r>
            <w:r>
              <w:rPr>
                <w:rFonts w:hint="eastAsia" w:ascii="仿宋_GB2312" w:hAnsi="仿宋_GB2312" w:eastAsia="仿宋_GB2312" w:cs="仿宋_GB2312"/>
                <w:sz w:val="24"/>
                <w:szCs w:val="24"/>
                <w:lang w:eastAsia="zh-CN"/>
              </w:rPr>
              <w:t>的重要途径，也是畜牧业发展的重要基础设施</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改善我乡畜牧业经济及</w:t>
            </w:r>
            <w:r>
              <w:rPr>
                <w:rFonts w:hint="eastAsia" w:ascii="仿宋_GB2312" w:hAnsi="仿宋_GB2312" w:eastAsia="仿宋_GB2312" w:cs="仿宋_GB2312"/>
                <w:sz w:val="24"/>
                <w:szCs w:val="24"/>
                <w:lang w:val="en-US" w:eastAsia="zh-CN"/>
              </w:rPr>
              <w:t>森林草原火灾扑灭</w:t>
            </w:r>
            <w:r>
              <w:rPr>
                <w:rFonts w:hint="eastAsia" w:ascii="仿宋_GB2312" w:hAnsi="仿宋_GB2312" w:eastAsia="仿宋_GB2312" w:cs="仿宋_GB2312"/>
                <w:sz w:val="24"/>
                <w:szCs w:val="24"/>
                <w:lang w:eastAsia="zh-CN"/>
              </w:rPr>
              <w:t>的重要途径，也是畜牧业发展的重要基础设施</w:t>
            </w:r>
          </w:p>
          <w:p>
            <w:pPr>
              <w:jc w:val="center"/>
              <w:rPr>
                <w:rFonts w:ascii="宋体" w:cs="宋体"/>
                <w:color w:val="000000"/>
                <w:sz w:val="20"/>
                <w:szCs w:val="20"/>
              </w:rPr>
            </w:pPr>
          </w:p>
        </w:tc>
      </w:tr>
      <w:tr>
        <w:tblPrEx>
          <w:tblCellMar>
            <w:top w:w="15" w:type="dxa"/>
            <w:left w:w="15" w:type="dxa"/>
            <w:bottom w:w="15" w:type="dxa"/>
            <w:right w:w="15" w:type="dxa"/>
          </w:tblCellMar>
        </w:tblPrEx>
        <w:trPr>
          <w:trHeight w:val="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在畜牧业生产、牧民群众的生活和农村经济发展中具有十分重要的作用。</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在畜牧业生产、牧民群众的生活和农村经济发展中具有十分重要的作用。</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7"/>
        <w:rPr>
          <w:rFonts w:hint="eastAsia"/>
          <w:lang w:eastAsia="zh-CN"/>
        </w:rPr>
      </w:pPr>
    </w:p>
    <w:p>
      <w:pPr>
        <w:widowControl/>
        <w:jc w:val="left"/>
        <w:textAlignment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（2）江茸乡中藏药种植园道路建设</w:t>
      </w:r>
      <w:r>
        <w:rPr>
          <w:rFonts w:hint="eastAsia" w:ascii="仿宋_GB2312" w:hAnsi="仿宋_GB2312" w:eastAsia="仿宋_GB2312" w:cs="仿宋_GB2312"/>
          <w:color w:val="000000" w:themeColor="text1"/>
          <w:sz w:val="32"/>
          <w:szCs w:val="32"/>
          <w14:textFill>
            <w14:solidFill>
              <w14:schemeClr w14:val="tx1"/>
            </w14:solidFill>
          </w14:textFill>
        </w:rPr>
        <w:t>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59.4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是改善江茸乡集体经济发展的重要基础设施，对提高群众收入、提高群众生活水平具有十分重要的作用。</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江茸乡中藏药种植园道路建设</w:t>
            </w:r>
            <w:r>
              <w:rPr>
                <w:rFonts w:hint="eastAsia" w:ascii="仿宋_GB2312" w:hAnsi="仿宋_GB2312" w:eastAsia="仿宋_GB2312" w:cs="仿宋_GB2312"/>
                <w:color w:val="000000" w:themeColor="text1"/>
                <w:sz w:val="32"/>
                <w:szCs w:val="32"/>
                <w14:textFill>
                  <w14:solidFill>
                    <w14:schemeClr w14:val="tx1"/>
                  </w14:solidFill>
                </w14:textFill>
              </w:rPr>
              <w:t>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63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59.4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63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59.4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7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是改善江茸乡集体经济发展的重要基础设施，对提高群众收入、提高群众生活水平具有十分重要的作用。</w:t>
            </w:r>
          </w:p>
          <w:p>
            <w:pPr>
              <w:jc w:val="both"/>
              <w:rPr>
                <w:rFonts w:hint="eastAsia" w:ascii="仿宋_GB2312" w:hAnsi="仿宋_GB2312" w:eastAsia="仿宋_GB2312" w:cs="仿宋_GB2312"/>
                <w:sz w:val="24"/>
                <w:szCs w:val="24"/>
                <w:lang w:val="en-US" w:eastAsia="zh-CN"/>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是改善江茸乡集体经济发展的重要基础设施，对提高群众收入、提高群众生活水平具有十分重要的作用。</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cs="宋体"/>
                <w:color w:val="000000"/>
                <w:kern w:val="0"/>
                <w:sz w:val="20"/>
                <w:szCs w:val="20"/>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完善基础设施，助力集体经济发展</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完善基础设施，助力集体经济发展</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是改善江茸乡集体经济发展的重要基础设施</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是改善江茸乡集体经济发展的重要基础设施</w:t>
            </w: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对提高群众收入、提高群众生活水平具有十分重要的作用。</w:t>
            </w:r>
          </w:p>
          <w:p>
            <w:pPr>
              <w:widowControl/>
              <w:jc w:val="center"/>
              <w:textAlignment w:val="center"/>
              <w:rPr>
                <w:rFonts w:hint="eastAsia" w:ascii="仿宋_GB2312" w:hAnsi="仿宋_GB2312" w:eastAsia="仿宋_GB2312" w:cs="仿宋_GB2312"/>
                <w:sz w:val="24"/>
                <w:szCs w:val="24"/>
                <w:lang w:eastAsia="zh-CN"/>
              </w:rPr>
            </w:pP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对提高群众收入、提高群众生活水平具有十分重要的作用。</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7"/>
        <w:rPr>
          <w:rFonts w:hint="eastAsia"/>
          <w:lang w:val="en-US" w:eastAsia="zh-CN"/>
        </w:rPr>
      </w:pPr>
    </w:p>
    <w:p>
      <w:pPr>
        <w:adjustRightInd w:val="0"/>
        <w:snapToGrid w:val="0"/>
        <w:spacing w:line="576"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（3）江茸乡2020年动态调整建档立卡贫困人员到户产业项目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提高建档立卡户劳动积极性，增加建档立卡户的收入。</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cs="宋体"/>
                <w:b/>
                <w:color w:val="000000"/>
                <w:sz w:val="24"/>
                <w:lang w:val="en-US"/>
              </w:rPr>
            </w:pPr>
            <w:r>
              <w:rPr>
                <w:rFonts w:hint="eastAsia" w:ascii="仿宋_GB2312" w:hAnsi="仿宋_GB2312" w:eastAsia="仿宋_GB2312" w:cs="仿宋_GB2312"/>
                <w:sz w:val="32"/>
                <w:szCs w:val="32"/>
                <w:lang w:val="en-US" w:eastAsia="zh-CN"/>
              </w:rPr>
              <w:t>江茸乡2020年动态调整建档立卡贫困人员到户产业项目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2.4</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2.4</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232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提高建档立卡户劳动积极性，增加建档立卡户的收入。</w:t>
            </w: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提高建档立卡户劳动积极性，增加建档立卡户的收入。</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41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提高收入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提高</w:t>
            </w:r>
            <w:r>
              <w:rPr>
                <w:rFonts w:hint="eastAsia" w:ascii="宋?" w:cs="宋?"/>
                <w:kern w:val="0"/>
                <w:sz w:val="20"/>
                <w:szCs w:val="20"/>
                <w:lang w:val="en-US" w:eastAsia="zh-CN"/>
              </w:rPr>
              <w:t>收入</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促进</w:t>
            </w:r>
            <w:r>
              <w:rPr>
                <w:rFonts w:hint="eastAsia" w:ascii="宋?" w:hAnsi="宋?" w:cs="宋?"/>
                <w:sz w:val="20"/>
                <w:szCs w:val="20"/>
                <w:lang w:val="en-US" w:eastAsia="zh-CN"/>
              </w:rPr>
              <w:t>建档立卡户</w:t>
            </w:r>
            <w:r>
              <w:rPr>
                <w:rFonts w:hint="eastAsia" w:ascii="宋?" w:hAnsi="宋?" w:cs="宋?"/>
                <w:sz w:val="20"/>
                <w:szCs w:val="20"/>
                <w:lang w:eastAsia="zh-CN"/>
              </w:rPr>
              <w:t>增收</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促进</w:t>
            </w:r>
            <w:r>
              <w:rPr>
                <w:rFonts w:hint="eastAsia" w:ascii="宋?" w:hAnsi="宋?" w:cs="宋?"/>
                <w:sz w:val="20"/>
                <w:szCs w:val="20"/>
                <w:lang w:val="en-US" w:eastAsia="zh-CN"/>
              </w:rPr>
              <w:t>建档立卡户</w:t>
            </w:r>
            <w:r>
              <w:rPr>
                <w:rFonts w:hint="eastAsia" w:ascii="宋?" w:hAnsi="宋?" w:cs="宋?"/>
                <w:sz w:val="20"/>
                <w:szCs w:val="20"/>
                <w:lang w:eastAsia="zh-CN"/>
              </w:rPr>
              <w:t>增收</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提高建档立卡户劳动积极性，增加建档立卡户的收入。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提高建档立卡户劳动积极性，增加建档立卡户的收入。</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，增加建档立卡户的收入。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仿宋_GB2312" w:hAnsi="仿宋_GB2312" w:eastAsia="仿宋_GB2312" w:cs="仿宋_GB2312"/>
                <w:sz w:val="24"/>
                <w:szCs w:val="24"/>
                <w:lang w:val="en-US" w:eastAsia="zh-CN"/>
              </w:rPr>
              <w:t>增加建档立卡户的收入。</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7"/>
        <w:rPr>
          <w:rFonts w:hint="eastAsia"/>
          <w:lang w:eastAsia="zh-CN"/>
        </w:rPr>
      </w:pPr>
    </w:p>
    <w:p>
      <w:pPr>
        <w:keepNext w:val="0"/>
        <w:keepLines w:val="0"/>
        <w:pageBreakBefore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江茸乡白萨福克羊养殖基地建设</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96.945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使得畜牧养殖规模化标准化，切实保护草原生态环境，提高生产，增加牧民收入。</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val="en-US" w:eastAsia="zh-CN"/>
              </w:rPr>
              <w:t>江茸乡白萨福克羊养殖基地建设</w:t>
            </w:r>
            <w:r>
              <w:rPr>
                <w:rFonts w:hint="eastAsia" w:ascii="仿宋_GB2312" w:hAnsi="仿宋_GB2312" w:eastAsia="仿宋_GB2312" w:cs="仿宋_GB2312"/>
                <w:sz w:val="32"/>
                <w:szCs w:val="32"/>
                <w:lang w:eastAsia="zh-CN"/>
              </w:rPr>
              <w:t>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100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96.945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100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96.945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65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畜牧养殖规模化标准化，切实保护草原生态环境，提高生产增加牧民收入。</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cs="宋体"/>
                <w:color w:val="000000"/>
                <w:kern w:val="0"/>
                <w:sz w:val="20"/>
                <w:szCs w:val="20"/>
                <w:lang w:val="en-US"/>
              </w:rPr>
            </w:pPr>
            <w:r>
              <w:rPr>
                <w:rFonts w:hint="eastAsia" w:ascii="仿宋_GB2312" w:hAnsi="仿宋_GB2312" w:eastAsia="仿宋_GB2312" w:cs="仿宋_GB2312"/>
                <w:sz w:val="24"/>
                <w:szCs w:val="24"/>
                <w:lang w:val="en-US" w:eastAsia="zh-CN"/>
              </w:rPr>
              <w:t>使畜牧养殖规模化标准化，切实保护草原生态环境，提高生产增加牧民收入。</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提高生产增加牧民收入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hAnsi="Times New Roman" w:cs="宋?"/>
                <w:kern w:val="0"/>
                <w:sz w:val="20"/>
                <w:szCs w:val="20"/>
                <w:lang w:eastAsia="zh-CN"/>
              </w:rPr>
              <w:t>提高</w:t>
            </w:r>
            <w:r>
              <w:rPr>
                <w:rFonts w:hint="eastAsia" w:ascii="宋?" w:cs="宋?"/>
                <w:kern w:val="0"/>
                <w:sz w:val="20"/>
                <w:szCs w:val="20"/>
                <w:lang w:val="en-US" w:eastAsia="zh-CN"/>
              </w:rPr>
              <w:t>生产增加牧民收入</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6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cs="宋?"/>
                <w:kern w:val="0"/>
                <w:sz w:val="20"/>
                <w:szCs w:val="20"/>
                <w:lang w:val="en-US" w:eastAsia="zh-CN"/>
              </w:rPr>
              <w:t>提高生产增加群众收入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Times New Roman" w:cs="宋?"/>
                <w:kern w:val="0"/>
                <w:sz w:val="20"/>
                <w:szCs w:val="20"/>
                <w:lang w:eastAsia="zh-CN"/>
              </w:rPr>
              <w:t>提高</w:t>
            </w:r>
            <w:r>
              <w:rPr>
                <w:rFonts w:hint="eastAsia" w:ascii="宋?" w:cs="宋?"/>
                <w:kern w:val="0"/>
                <w:sz w:val="20"/>
                <w:szCs w:val="20"/>
                <w:lang w:val="en-US" w:eastAsia="zh-CN"/>
              </w:rPr>
              <w:t>生产增加群众收入</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畜牧养殖规模化标准化，切实保护草原生态环境</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畜牧养殖规模化标准化，切实保护草原生态环境</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提高生产，增加牧民收入。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提高生产，增加牧民收入。</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7"/>
        <w:rPr>
          <w:rFonts w:hint="eastAsia"/>
          <w:lang w:eastAsia="zh-CN"/>
        </w:rPr>
      </w:pPr>
    </w:p>
    <w:p>
      <w:pPr>
        <w:widowControl/>
        <w:ind w:firstLine="640" w:firstLineChars="200"/>
        <w:jc w:val="left"/>
        <w:textAlignment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江茸乡公共厕所建设项目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万元，执行</w:t>
      </w:r>
      <w:r>
        <w:rPr>
          <w:rFonts w:hint="eastAsia" w:ascii="仿宋_GB2312" w:hAnsi="仿宋_GB2312" w:eastAsia="仿宋_GB2312" w:cs="仿宋_GB2312"/>
          <w:sz w:val="32"/>
          <w:szCs w:val="32"/>
          <w:lang w:val="en-US" w:eastAsia="zh-CN"/>
        </w:rPr>
        <w:t>数为34.1961万元，完成预算的100%。通过项目实施，一是进一步提高了江茸乡公共基础设施配套建设；二是提高了江茸乡牧民群众生活环境质量；三是有效培育群众生活环境整治的意识，培养良好的生活习惯。</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val="en-US" w:eastAsia="zh-CN"/>
              </w:rPr>
              <w:t>江茸乡公共厕所建设项目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36</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34.1961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36</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34.1961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232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2021年在辖区内修建公共厕所</w:t>
            </w: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cs="宋体"/>
                <w:color w:val="000000"/>
                <w:kern w:val="0"/>
                <w:sz w:val="20"/>
                <w:szCs w:val="20"/>
                <w:lang w:val="en-US"/>
              </w:rPr>
            </w:pPr>
            <w:r>
              <w:rPr>
                <w:rFonts w:hint="eastAsia" w:ascii="仿宋_GB2312" w:hAnsi="仿宋_GB2312" w:eastAsia="仿宋_GB2312" w:cs="仿宋_GB2312"/>
                <w:sz w:val="24"/>
                <w:szCs w:val="24"/>
                <w:lang w:val="en-US" w:eastAsia="zh-CN"/>
              </w:rPr>
              <w:t>2021年在江茸乡修建公共厕所</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社会效益</w:t>
            </w: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社会效益</w:t>
            </w: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仿宋_GB2312" w:hAnsi="仿宋_GB2312" w:eastAsia="仿宋_GB2312" w:cs="仿宋_GB2312"/>
                <w:sz w:val="24"/>
                <w:szCs w:val="24"/>
                <w:lang w:val="en-US" w:eastAsia="zh-CN"/>
              </w:rPr>
              <w:t>进一步提高江茸乡公共基础设施配套建设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仿宋_GB2312" w:hAnsi="仿宋_GB2312" w:eastAsia="仿宋_GB2312" w:cs="仿宋_GB2312"/>
                <w:sz w:val="24"/>
                <w:szCs w:val="24"/>
                <w:lang w:val="en-US" w:eastAsia="zh-CN"/>
              </w:rPr>
              <w:t>进一步提高了江茸乡公共基础设施配套建设</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提高了江茸乡牧民群众生活环境质量</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提高了江茸乡牧民群众生活环境质量</w:t>
            </w:r>
          </w:p>
          <w:p>
            <w:pPr>
              <w:jc w:val="center"/>
              <w:rPr>
                <w:rFonts w:ascii="宋体" w:cs="宋体"/>
                <w:color w:val="000000"/>
                <w:sz w:val="20"/>
                <w:szCs w:val="20"/>
              </w:rPr>
            </w:pPr>
          </w:p>
        </w:tc>
      </w:tr>
      <w:tr>
        <w:tblPrEx>
          <w:tblCellMar>
            <w:top w:w="15" w:type="dxa"/>
            <w:left w:w="15" w:type="dxa"/>
            <w:bottom w:w="15" w:type="dxa"/>
            <w:right w:w="15" w:type="dxa"/>
          </w:tblCellMar>
        </w:tblPrEx>
        <w:trPr>
          <w:trHeight w:val="1013"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有效培育群众生活环境整治的意识，培养良好的生活习惯。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有效培育群众生活环境整治的意识，培养良好的生活习惯。</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江茸乡人民政府</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江茸乡牧业生产点道路（草原防火通道）维修项目、江茸乡中藏药种植园道路建设、江茸乡2020年动态调整建档立卡贫困人员到户产业项目、江茸乡白萨福克羊养殖基地建设 、江茸乡公共厕所建设</w:t>
      </w:r>
      <w:r>
        <w:rPr>
          <w:rFonts w:hint="eastAsia" w:ascii="仿宋_GB2312" w:hAnsi="仿宋_GB2312" w:eastAsia="仿宋_GB2312" w:cs="仿宋_GB2312"/>
          <w:sz w:val="32"/>
          <w:szCs w:val="32"/>
          <w:lang w:val="en-US" w:eastAsia="zh-CN"/>
        </w:rPr>
        <w:t>建设项目</w:t>
      </w:r>
      <w:r>
        <w:rPr>
          <w:rFonts w:hint="eastAsia" w:ascii="仿宋_GB2312" w:hAnsi="仿宋_GB2312" w:eastAsia="仿宋_GB2312" w:cs="仿宋_GB2312"/>
          <w:sz w:val="32"/>
          <w:szCs w:val="32"/>
        </w:rPr>
        <w:t>开展了</w:t>
      </w:r>
      <w:r>
        <w:rPr>
          <w:rFonts w:hint="eastAsia" w:ascii="仿宋_GB2312" w:hAnsi="仿宋_GB2312" w:eastAsia="仿宋_GB2312" w:cs="仿宋_GB2312"/>
          <w:w w:val="95"/>
          <w:sz w:val="32"/>
          <w:szCs w:val="32"/>
        </w:rPr>
        <w:t>绩效评价，《</w:t>
      </w:r>
      <w:r>
        <w:rPr>
          <w:rFonts w:hint="eastAsia" w:ascii="仿宋_GB2312" w:hAnsi="仿宋_GB2312" w:eastAsia="仿宋_GB2312" w:cs="仿宋_GB2312"/>
          <w:w w:val="95"/>
          <w:sz w:val="32"/>
          <w:szCs w:val="32"/>
          <w:lang w:eastAsia="zh-CN"/>
        </w:rPr>
        <w:t>江茸乡</w:t>
      </w:r>
      <w:r>
        <w:rPr>
          <w:rFonts w:hint="eastAsia" w:ascii="仿宋_GB2312" w:hAnsi="仿宋_GB2312" w:eastAsia="仿宋_GB2312" w:cs="仿宋_GB2312"/>
          <w:w w:val="95"/>
          <w:sz w:val="32"/>
          <w:szCs w:val="32"/>
        </w:rPr>
        <w:t>项目</w:t>
      </w:r>
      <w:r>
        <w:rPr>
          <w:rFonts w:hint="eastAsia" w:ascii="仿宋_GB2312" w:hAnsi="仿宋_GB2312" w:eastAsia="仿宋_GB2312" w:cs="仿宋_GB2312"/>
          <w:w w:val="95"/>
          <w:sz w:val="32"/>
          <w:szCs w:val="32"/>
          <w:lang w:val="en-US" w:eastAsia="zh-CN"/>
        </w:rPr>
        <w:t>2021</w:t>
      </w:r>
      <w:r>
        <w:rPr>
          <w:rFonts w:hint="eastAsia" w:ascii="仿宋_GB2312" w:hAnsi="仿宋_GB2312" w:eastAsia="仿宋_GB2312" w:cs="仿宋_GB2312"/>
          <w:w w:val="95"/>
          <w:sz w:val="32"/>
          <w:szCs w:val="32"/>
        </w:rPr>
        <w:t>年绩效评价报告》见附件（附</w:t>
      </w:r>
      <w:r>
        <w:rPr>
          <w:rFonts w:hint="eastAsia" w:ascii="仿宋_GB2312" w:hAnsi="仿宋_GB2312" w:eastAsia="仿宋_GB2312" w:cs="仿宋_GB2312"/>
          <w:sz w:val="32"/>
          <w:szCs w:val="32"/>
        </w:rPr>
        <w:t>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30"/>
          <w:rFonts w:ascii="黑体" w:hAnsi="黑体" w:eastAsia="黑体"/>
          <w:b w:val="0"/>
        </w:rPr>
      </w:pPr>
      <w:bookmarkStart w:id="79" w:name="_Toc15396613"/>
      <w:bookmarkStart w:id="80" w:name="_Toc15377225"/>
      <w:bookmarkStart w:id="81" w:name="_Toc11473"/>
      <w:r>
        <w:rPr>
          <w:rFonts w:hint="eastAsia" w:ascii="黑体" w:hAnsi="黑体" w:eastAsia="黑体"/>
          <w:color w:val="000000"/>
          <w:sz w:val="44"/>
          <w:szCs w:val="44"/>
        </w:rPr>
        <w:t>名</w:t>
      </w:r>
      <w:r>
        <w:rPr>
          <w:rStyle w:val="30"/>
          <w:rFonts w:hint="eastAsia" w:ascii="黑体" w:hAnsi="黑体" w:eastAsia="黑体"/>
          <w:b w:val="0"/>
        </w:rPr>
        <w:t>词解释</w:t>
      </w:r>
      <w:bookmarkEnd w:id="79"/>
      <w:bookmarkEnd w:id="80"/>
      <w:bookmarkEnd w:id="81"/>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bookmarkStart w:id="82"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83" w:name="_Toc15396614"/>
      <w:bookmarkStart w:id="84" w:name="_Toc3620"/>
      <w:r>
        <w:rPr>
          <w:rFonts w:hint="eastAsia" w:ascii="黑体" w:hAnsi="黑体" w:eastAsia="黑体"/>
          <w:color w:val="000000"/>
          <w:sz w:val="44"/>
          <w:szCs w:val="44"/>
        </w:rPr>
        <w:t>第</w:t>
      </w:r>
      <w:r>
        <w:rPr>
          <w:rStyle w:val="30"/>
          <w:rFonts w:hint="eastAsia" w:ascii="黑体" w:hAnsi="黑体" w:eastAsia="黑体"/>
          <w:b w:val="0"/>
        </w:rPr>
        <w:t>四部分 附件</w:t>
      </w:r>
      <w:bookmarkEnd w:id="83"/>
      <w:bookmarkEnd w:id="84"/>
    </w:p>
    <w:p>
      <w:pPr>
        <w:spacing w:line="600" w:lineRule="exact"/>
        <w:jc w:val="left"/>
        <w:outlineLvl w:val="1"/>
        <w:rPr>
          <w:rFonts w:ascii="方正小标宋简体" w:hAnsi="方正小标宋简体" w:eastAsia="方正小标宋简体" w:cs="方正小标宋简体"/>
          <w:sz w:val="32"/>
          <w:szCs w:val="32"/>
        </w:rPr>
      </w:pPr>
      <w:bookmarkStart w:id="85" w:name="_Toc8405"/>
      <w:r>
        <w:rPr>
          <w:rFonts w:hint="eastAsia" w:ascii="黑体" w:hAnsi="黑体" w:eastAsia="黑体" w:cs="黑体"/>
          <w:sz w:val="32"/>
          <w:szCs w:val="32"/>
        </w:rPr>
        <w:t>附件1</w:t>
      </w:r>
      <w:bookmarkEnd w:id="85"/>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lang w:eastAsia="zh-CN"/>
        </w:rPr>
        <w:t>江茸乡人民政府2021</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outlineLvl w:val="1"/>
        <w:rPr>
          <w:rFonts w:hint="eastAsia" w:ascii="黑体" w:hAnsi="黑体" w:eastAsia="黑体" w:cs="黑体"/>
          <w:sz w:val="32"/>
          <w:szCs w:val="32"/>
          <w:lang w:val="zh-CN"/>
        </w:rPr>
      </w:pPr>
      <w:bookmarkStart w:id="86" w:name="_Toc1777"/>
      <w:r>
        <w:rPr>
          <w:rFonts w:hint="eastAsia" w:ascii="黑体" w:hAnsi="黑体" w:eastAsia="黑体" w:cs="黑体"/>
          <w:sz w:val="32"/>
          <w:szCs w:val="32"/>
          <w:lang w:val="zh-CN"/>
        </w:rPr>
        <w:t>一、单位概况</w:t>
      </w:r>
      <w:bookmarkEnd w:id="86"/>
    </w:p>
    <w:p>
      <w:pPr>
        <w:ind w:firstLine="320" w:firstLineChars="100"/>
        <w:rPr>
          <w:rFonts w:hint="eastAsia" w:eastAsia="仿宋_GB2312"/>
          <w:lang w:val="zh-CN" w:eastAsia="zh-CN"/>
        </w:rPr>
      </w:pPr>
      <w:r>
        <w:rPr>
          <w:rFonts w:hint="eastAsia" w:ascii="仿宋_GB2312" w:eastAsia="仿宋_GB2312" w:cs="宋体"/>
          <w:sz w:val="32"/>
          <w:szCs w:val="32"/>
          <w:lang w:val="zh-CN"/>
        </w:rPr>
        <w:t>（一）</w:t>
      </w:r>
      <w:r>
        <w:rPr>
          <w:rFonts w:hint="eastAsia" w:ascii="仿宋_GB2312" w:eastAsia="仿宋_GB2312" w:cs="宋体"/>
          <w:b/>
          <w:bCs/>
          <w:sz w:val="32"/>
          <w:szCs w:val="32"/>
          <w:lang w:val="zh-CN"/>
        </w:rPr>
        <w:t>机构组成。</w:t>
      </w:r>
      <w:r>
        <w:rPr>
          <w:rFonts w:hint="eastAsia" w:ascii="仿宋_GB2312" w:eastAsia="仿宋_GB2312" w:cs="宋体"/>
          <w:sz w:val="32"/>
          <w:szCs w:val="32"/>
          <w:lang w:val="zh-CN"/>
        </w:rPr>
        <w:t>江茸乡为独立核算编制的</w:t>
      </w:r>
      <w:r>
        <w:rPr>
          <w:rFonts w:hint="eastAsia" w:ascii="仿宋_GB2312" w:hAnsi="仿宋_GB2312" w:eastAsia="仿宋_GB2312" w:cs="仿宋_GB2312"/>
          <w:bCs/>
          <w:sz w:val="32"/>
          <w:szCs w:val="32"/>
        </w:rPr>
        <w:t>行政</w:t>
      </w:r>
      <w:r>
        <w:rPr>
          <w:rFonts w:hint="eastAsia" w:ascii="仿宋_GB2312" w:hAnsi="仿宋_GB2312" w:eastAsia="仿宋_GB2312" w:cs="仿宋_GB2312"/>
          <w:bCs/>
          <w:sz w:val="32"/>
          <w:szCs w:val="32"/>
          <w:lang w:eastAsia="zh-CN"/>
        </w:rPr>
        <w:t>单位。</w:t>
      </w:r>
    </w:p>
    <w:p>
      <w:pPr>
        <w:widowControl/>
        <w:adjustRightInd w:val="0"/>
        <w:snapToGrid w:val="0"/>
        <w:spacing w:line="576" w:lineRule="exact"/>
        <w:ind w:firstLine="320" w:firstLineChars="100"/>
        <w:jc w:val="left"/>
        <w:rPr>
          <w:rFonts w:hint="eastAsia" w:ascii="仿宋" w:hAnsi="仿宋" w:eastAsia="仿宋" w:cs="仿宋"/>
          <w:b w:val="0"/>
          <w:bCs w:val="0"/>
          <w:color w:val="000000"/>
          <w:kern w:val="0"/>
          <w:sz w:val="32"/>
          <w:szCs w:val="32"/>
          <w:lang w:val="zh-CN"/>
        </w:rPr>
      </w:pPr>
      <w:r>
        <w:rPr>
          <w:rFonts w:ascii="??_GB2312" w:hAnsi="宋体" w:eastAsia="Times New Roman" w:cs="宋体"/>
          <w:b/>
          <w:bCs/>
          <w:color w:val="000000"/>
          <w:kern w:val="0"/>
          <w:sz w:val="32"/>
          <w:lang w:val="zh-CN"/>
        </w:rPr>
        <w:t>（二）机构职能。</w:t>
      </w:r>
      <w:r>
        <w:rPr>
          <w:rFonts w:hint="eastAsia" w:ascii="仿宋" w:hAnsi="仿宋" w:eastAsia="仿宋" w:cs="仿宋"/>
          <w:b w:val="0"/>
          <w:bCs w:val="0"/>
          <w:color w:val="000000"/>
          <w:kern w:val="0"/>
          <w:sz w:val="32"/>
          <w:szCs w:val="32"/>
          <w:lang w:val="zh-CN"/>
        </w:rPr>
        <w:t>根据江茸乡三定方案。</w:t>
      </w:r>
    </w:p>
    <w:p>
      <w:pPr>
        <w:shd w:val="clear" w:color="auto" w:fill="FFFFFF"/>
        <w:snapToGrid w:val="0"/>
        <w:spacing w:line="576" w:lineRule="exact"/>
        <w:ind w:left="420" w:leftChars="200"/>
        <w:rPr>
          <w:rFonts w:hint="eastAsia" w:ascii="仿宋_GB2312" w:hAnsi="仿宋" w:eastAsia="仿宋_GB2312"/>
          <w:sz w:val="32"/>
          <w:szCs w:val="32"/>
        </w:rPr>
      </w:pP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1</w:t>
      </w:r>
      <w:r>
        <w:rPr>
          <w:rFonts w:hint="eastAsia" w:ascii="仿宋_GB2312" w:hAnsi="仿宋" w:eastAsia="仿宋_GB2312"/>
          <w:b/>
          <w:bCs/>
          <w:sz w:val="32"/>
          <w:szCs w:val="32"/>
        </w:rPr>
        <w:t>）</w:t>
      </w:r>
      <w:r>
        <w:rPr>
          <w:rFonts w:hint="eastAsia" w:ascii="仿宋_GB2312" w:hAnsi="仿宋" w:eastAsia="仿宋_GB2312"/>
          <w:b/>
          <w:bCs/>
          <w:sz w:val="32"/>
          <w:szCs w:val="32"/>
          <w:lang w:eastAsia="zh-CN"/>
        </w:rPr>
        <w:t>乡</w:t>
      </w:r>
      <w:r>
        <w:rPr>
          <w:rFonts w:hint="eastAsia" w:ascii="仿宋_GB2312" w:hAnsi="仿宋" w:eastAsia="仿宋_GB2312"/>
          <w:b/>
          <w:bCs/>
          <w:sz w:val="32"/>
          <w:szCs w:val="32"/>
        </w:rPr>
        <w:t>党委工作职责</w:t>
      </w:r>
    </w:p>
    <w:p>
      <w:p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lang w:eastAsia="zh-CN"/>
        </w:rPr>
        <w:t>乡</w:t>
      </w:r>
      <w:r>
        <w:rPr>
          <w:rFonts w:hint="eastAsia" w:ascii="仿宋_GB2312" w:hAnsi="仿宋" w:eastAsia="仿宋_GB2312"/>
          <w:sz w:val="32"/>
          <w:szCs w:val="32"/>
        </w:rPr>
        <w:t>党委是本</w:t>
      </w:r>
      <w:r>
        <w:rPr>
          <w:rFonts w:hint="eastAsia" w:ascii="仿宋_GB2312" w:hAnsi="仿宋" w:eastAsia="仿宋_GB2312"/>
          <w:sz w:val="32"/>
          <w:szCs w:val="32"/>
          <w:lang w:eastAsia="zh-CN"/>
        </w:rPr>
        <w:t>乡</w:t>
      </w:r>
      <w:r>
        <w:rPr>
          <w:rFonts w:hint="eastAsia" w:ascii="仿宋_GB2312" w:hAnsi="仿宋" w:eastAsia="仿宋_GB2312"/>
          <w:sz w:val="32"/>
          <w:szCs w:val="32"/>
        </w:rPr>
        <w:t>各项工作的领导核心，是农村改革和经济建设的直接组织者和领导者，主要职责：</w:t>
      </w:r>
    </w:p>
    <w:p>
      <w:pPr>
        <w:numPr>
          <w:ilvl w:val="0"/>
          <w:numId w:val="4"/>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负责贯彻执行党的路线方针政策和上级党组织及本</w:t>
      </w:r>
      <w:r>
        <w:rPr>
          <w:rFonts w:hint="eastAsia" w:ascii="仿宋_GB2312" w:hAnsi="仿宋" w:eastAsia="仿宋_GB2312"/>
          <w:sz w:val="32"/>
          <w:szCs w:val="32"/>
          <w:lang w:eastAsia="zh-CN"/>
        </w:rPr>
        <w:t>乡</w:t>
      </w:r>
      <w:r>
        <w:rPr>
          <w:rFonts w:hint="eastAsia" w:ascii="仿宋_GB2312" w:hAnsi="仿宋" w:eastAsia="仿宋_GB2312"/>
          <w:sz w:val="32"/>
          <w:szCs w:val="32"/>
        </w:rPr>
        <w:t>党员代表大会的决议；</w:t>
      </w:r>
    </w:p>
    <w:p>
      <w:pPr>
        <w:numPr>
          <w:ilvl w:val="0"/>
          <w:numId w:val="4"/>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讨论决定本</w:t>
      </w:r>
      <w:r>
        <w:rPr>
          <w:rFonts w:hint="eastAsia" w:ascii="仿宋_GB2312" w:hAnsi="仿宋" w:eastAsia="仿宋_GB2312"/>
          <w:sz w:val="32"/>
          <w:szCs w:val="32"/>
          <w:lang w:eastAsia="zh-CN"/>
        </w:rPr>
        <w:t>乡</w:t>
      </w:r>
      <w:r>
        <w:rPr>
          <w:rFonts w:hint="eastAsia" w:ascii="仿宋_GB2312" w:hAnsi="仿宋" w:eastAsia="仿宋_GB2312"/>
          <w:sz w:val="32"/>
          <w:szCs w:val="32"/>
        </w:rPr>
        <w:t>经济建设和社会发展的重大问题；</w:t>
      </w:r>
    </w:p>
    <w:p>
      <w:pPr>
        <w:numPr>
          <w:ilvl w:val="0"/>
          <w:numId w:val="4"/>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领导</w:t>
      </w:r>
      <w:r>
        <w:rPr>
          <w:rFonts w:hint="eastAsia" w:ascii="仿宋_GB2312" w:hAnsi="仿宋" w:eastAsia="仿宋_GB2312"/>
          <w:sz w:val="32"/>
          <w:szCs w:val="32"/>
          <w:lang w:eastAsia="zh-CN"/>
        </w:rPr>
        <w:t>乡</w:t>
      </w:r>
      <w:r>
        <w:rPr>
          <w:rFonts w:hint="eastAsia" w:ascii="仿宋_GB2312" w:hAnsi="仿宋" w:eastAsia="仿宋_GB2312"/>
          <w:sz w:val="32"/>
          <w:szCs w:val="32"/>
        </w:rPr>
        <w:t>政权机关和群众组织，支持和保证这些机关和组织依照国家法律法规及各自章程充分行使职权；</w:t>
      </w:r>
    </w:p>
    <w:p>
      <w:pPr>
        <w:numPr>
          <w:ilvl w:val="0"/>
          <w:numId w:val="4"/>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加强</w:t>
      </w:r>
      <w:r>
        <w:rPr>
          <w:rFonts w:hint="eastAsia" w:ascii="仿宋_GB2312" w:hAnsi="仿宋" w:eastAsia="仿宋_GB2312"/>
          <w:sz w:val="32"/>
          <w:szCs w:val="32"/>
          <w:lang w:eastAsia="zh-CN"/>
        </w:rPr>
        <w:t>乡</w:t>
      </w:r>
      <w:r>
        <w:rPr>
          <w:rFonts w:hint="eastAsia" w:ascii="仿宋_GB2312" w:hAnsi="仿宋" w:eastAsia="仿宋_GB2312"/>
          <w:sz w:val="32"/>
          <w:szCs w:val="32"/>
        </w:rPr>
        <w:t>党委自身建设和以党支部为核心的村级组织建设；</w:t>
      </w:r>
    </w:p>
    <w:p>
      <w:pPr>
        <w:numPr>
          <w:ilvl w:val="0"/>
          <w:numId w:val="4"/>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按照干部管理权限，负责对干部的教育、培养、选拔、考核和监督工作；</w:t>
      </w:r>
    </w:p>
    <w:p>
      <w:pPr>
        <w:numPr>
          <w:ilvl w:val="0"/>
          <w:numId w:val="4"/>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领导本</w:t>
      </w:r>
      <w:r>
        <w:rPr>
          <w:rFonts w:hint="eastAsia" w:ascii="仿宋_GB2312" w:hAnsi="仿宋" w:eastAsia="仿宋_GB2312"/>
          <w:sz w:val="32"/>
          <w:szCs w:val="32"/>
          <w:lang w:eastAsia="zh-CN"/>
        </w:rPr>
        <w:t>乡</w:t>
      </w:r>
      <w:r>
        <w:rPr>
          <w:rFonts w:hint="eastAsia" w:ascii="仿宋_GB2312" w:hAnsi="仿宋" w:eastAsia="仿宋_GB2312"/>
          <w:sz w:val="32"/>
          <w:szCs w:val="32"/>
        </w:rPr>
        <w:t>的社会主义民主法制建设和精神文明建设，做好社会治安综合治理和计划生育等工作。</w:t>
      </w:r>
    </w:p>
    <w:p>
      <w:pPr>
        <w:shd w:val="clear" w:color="auto" w:fill="FFFFFF"/>
        <w:snapToGrid w:val="0"/>
        <w:spacing w:line="576" w:lineRule="exact"/>
        <w:ind w:firstLine="640"/>
        <w:rPr>
          <w:rFonts w:hint="eastAsia" w:ascii="仿宋_GB2312" w:hAnsi="仿宋" w:eastAsia="仿宋_GB2312"/>
          <w:b/>
          <w:bCs/>
          <w:sz w:val="32"/>
          <w:szCs w:val="32"/>
        </w:rPr>
      </w:pP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2</w:t>
      </w:r>
      <w:r>
        <w:rPr>
          <w:rFonts w:hint="eastAsia" w:ascii="仿宋_GB2312" w:hAnsi="仿宋" w:eastAsia="仿宋_GB2312"/>
          <w:b/>
          <w:bCs/>
          <w:sz w:val="32"/>
          <w:szCs w:val="32"/>
        </w:rPr>
        <w:t>）人大主席团工作职责</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1.负责召开本级人民代表大会会议的具体准备工作；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2.负责联系本级人民代表大会代表，组织代表开展活动，总结交流代表小组活动经验；</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3.反映代表和群众对本级人民政府工作的建议、批评和意见；</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4.参加本级人民政府的重要会议；</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5.组织实施本级人民代表大会和主席团决定的有关事项；</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6.督促办理代表和人民群众的来信来访。</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3</w:t>
      </w:r>
      <w:r>
        <w:rPr>
          <w:rFonts w:hint="eastAsia" w:ascii="仿宋_GB2312" w:hAnsi="仿宋" w:eastAsia="仿宋_GB2312"/>
          <w:b/>
          <w:bCs/>
          <w:sz w:val="32"/>
          <w:szCs w:val="32"/>
        </w:rPr>
        <w:t>）政府工作职责</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1.贯彻执行党的路线方针政策和国家法律法规，贯彻执行上级行政机关的决议、命令及同级党委的决定，执行</w:t>
      </w:r>
      <w:r>
        <w:rPr>
          <w:rFonts w:hint="eastAsia" w:ascii="仿宋_GB2312" w:hAnsi="仿宋" w:eastAsia="仿宋_GB2312"/>
          <w:sz w:val="32"/>
          <w:szCs w:val="32"/>
          <w:lang w:eastAsia="zh-CN"/>
        </w:rPr>
        <w:t>乡</w:t>
      </w:r>
      <w:r>
        <w:rPr>
          <w:rFonts w:hint="eastAsia" w:ascii="仿宋_GB2312" w:hAnsi="仿宋" w:eastAsia="仿宋_GB2312"/>
          <w:sz w:val="32"/>
          <w:szCs w:val="32"/>
        </w:rPr>
        <w:t>人民代表大会的决议；</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2.对</w:t>
      </w:r>
      <w:r>
        <w:rPr>
          <w:rFonts w:hint="eastAsia" w:ascii="仿宋_GB2312" w:hAnsi="仿宋" w:eastAsia="仿宋_GB2312"/>
          <w:sz w:val="32"/>
          <w:szCs w:val="32"/>
          <w:lang w:eastAsia="zh-CN"/>
        </w:rPr>
        <w:t>乡</w:t>
      </w:r>
      <w:r>
        <w:rPr>
          <w:rFonts w:hint="eastAsia" w:ascii="仿宋_GB2312" w:hAnsi="仿宋" w:eastAsia="仿宋_GB2312"/>
          <w:sz w:val="32"/>
          <w:szCs w:val="32"/>
        </w:rPr>
        <w:t>人民代表大会及其主席团和上级行政机关负责并报告工作；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3.编制和执行</w:t>
      </w:r>
      <w:r>
        <w:rPr>
          <w:rFonts w:hint="eastAsia" w:ascii="仿宋_GB2312" w:hAnsi="仿宋" w:eastAsia="仿宋_GB2312"/>
          <w:sz w:val="32"/>
          <w:szCs w:val="32"/>
          <w:lang w:eastAsia="zh-CN"/>
        </w:rPr>
        <w:t>乡</w:t>
      </w:r>
      <w:r>
        <w:rPr>
          <w:rFonts w:hint="eastAsia" w:ascii="仿宋_GB2312" w:hAnsi="仿宋" w:eastAsia="仿宋_GB2312"/>
          <w:sz w:val="32"/>
          <w:szCs w:val="32"/>
        </w:rPr>
        <w:t>国民经济和社会发展计划，编制并执行财政预算；</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4.管理本行政区域经济和各项社会事业的行政工作；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5.负责辖区内行政执法工作，维护社会秩序，保护公民人身、民主、财产等合法权利，保护各种经济组织的合法权益；</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6.指导、支持和帮助村民委员会工作；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7.法律规定赋予烦人其它职责。</w:t>
      </w:r>
    </w:p>
    <w:p>
      <w:pPr>
        <w:shd w:val="clear" w:color="auto" w:fill="FFFFFF"/>
        <w:snapToGrid w:val="0"/>
        <w:spacing w:line="576" w:lineRule="exact"/>
        <w:ind w:firstLine="640"/>
        <w:rPr>
          <w:rFonts w:hint="eastAsia" w:ascii="仿宋_GB2312" w:hAnsi="仿宋" w:eastAsia="仿宋_GB2312"/>
          <w:b/>
          <w:bCs/>
          <w:sz w:val="32"/>
          <w:szCs w:val="32"/>
        </w:rPr>
      </w:pP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4</w:t>
      </w:r>
      <w:r>
        <w:rPr>
          <w:rFonts w:hint="eastAsia" w:ascii="仿宋_GB2312" w:hAnsi="仿宋" w:eastAsia="仿宋_GB2312"/>
          <w:b/>
          <w:bCs/>
          <w:sz w:val="32"/>
          <w:szCs w:val="32"/>
        </w:rPr>
        <w:t>）人民武装部工作职责</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1.负责民兵组织建设、政治教育、军事训练；</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2.为本系统自主择业转业干部提供管理和服务；</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3.组织带领民兵完成战备执勤任务，配合公安部门维护社会治安；</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4.战时组织带领民兵参军参战，支援前线；</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5.负责征兵工作和预备役士兵、预备役军官登记统计工作；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6.协同预备役部（分）队落实参训人员，做好兵员的管理、动员集结等工作；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7.协助有关部门开展国防教育，做好退伍人员的安置和烈军属的优抚工作；</w:t>
      </w:r>
    </w:p>
    <w:p>
      <w:pPr>
        <w:ind w:firstLine="640" w:firstLineChars="200"/>
        <w:jc w:val="left"/>
        <w:rPr>
          <w:rFonts w:hint="eastAsia" w:ascii="仿宋_GB2312" w:hAnsi="仿宋_GB2312" w:eastAsia="仿宋_GB2312" w:cs="仿宋_GB2312"/>
          <w:bCs/>
          <w:sz w:val="32"/>
          <w:szCs w:val="32"/>
        </w:rPr>
      </w:pPr>
      <w:r>
        <w:rPr>
          <w:rFonts w:hint="eastAsia" w:ascii="仿宋_GB2312" w:hAnsi="仿宋" w:eastAsia="仿宋_GB2312"/>
          <w:sz w:val="32"/>
          <w:szCs w:val="32"/>
        </w:rPr>
        <w:t>8.完成地方党委、人民政府和上级军事机关交给的其他工作任务。</w:t>
      </w:r>
    </w:p>
    <w:p>
      <w:pPr>
        <w:ind w:left="420" w:leftChars="200" w:firstLine="160" w:firstLineChars="50"/>
        <w:outlineLvl w:val="1"/>
        <w:rPr>
          <w:rFonts w:hint="eastAsia" w:ascii="黑体" w:hAnsi="黑体" w:eastAsia="黑体" w:cs="黑体"/>
          <w:sz w:val="32"/>
          <w:szCs w:val="32"/>
          <w:lang w:val="zh-CN"/>
        </w:rPr>
      </w:pPr>
      <w:bookmarkStart w:id="87" w:name="_Toc29566"/>
      <w:r>
        <w:rPr>
          <w:rFonts w:hint="eastAsia" w:ascii="黑体" w:hAnsi="黑体" w:eastAsia="黑体" w:cs="黑体"/>
          <w:sz w:val="32"/>
          <w:szCs w:val="32"/>
          <w:lang w:val="zh-CN"/>
        </w:rPr>
        <w:t>二、部门财政资金收支情况</w:t>
      </w:r>
      <w:bookmarkEnd w:id="87"/>
    </w:p>
    <w:p>
      <w:pPr>
        <w:widowControl/>
        <w:adjustRightInd w:val="0"/>
        <w:snapToGrid w:val="0"/>
        <w:spacing w:line="576" w:lineRule="exact"/>
        <w:ind w:firstLine="320" w:firstLineChars="100"/>
        <w:jc w:val="left"/>
        <w:rPr>
          <w:rFonts w:hint="eastAsia" w:ascii="楷体" w:hAnsi="楷体" w:eastAsia="楷体" w:cs="楷体"/>
        </w:rPr>
      </w:pPr>
      <w:r>
        <w:rPr>
          <w:rFonts w:ascii="??_GB2312" w:hAnsi="宋体" w:eastAsia="Times New Roman" w:cs="宋体"/>
          <w:b/>
          <w:bCs/>
          <w:color w:val="000000"/>
          <w:kern w:val="0"/>
          <w:sz w:val="32"/>
          <w:lang w:val="zh-CN"/>
        </w:rPr>
        <w:t>（一）部门财政资金收入情况。</w:t>
      </w:r>
    </w:p>
    <w:p>
      <w:pPr>
        <w:spacing w:line="576" w:lineRule="exact"/>
        <w:ind w:firstLine="640"/>
        <w:rPr>
          <w:rFonts w:hint="eastAsia" w:ascii="仿宋_GB2312" w:hAnsi="仿宋_GB2312" w:eastAsia="仿宋_GB2312" w:cs="仿宋_GB2312"/>
          <w:bCs/>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财政拨款收</w:t>
      </w:r>
      <w:r>
        <w:rPr>
          <w:rFonts w:hint="eastAsia" w:ascii="仿宋_GB2312" w:eastAsia="仿宋_GB2312"/>
          <w:color w:val="000000"/>
          <w:sz w:val="32"/>
          <w:szCs w:val="32"/>
          <w:lang w:eastAsia="zh-CN"/>
        </w:rPr>
        <w:t>入</w:t>
      </w:r>
      <w:r>
        <w:rPr>
          <w:rFonts w:hint="eastAsia" w:ascii="仿宋_GB2312" w:eastAsia="仿宋_GB2312"/>
          <w:color w:val="000000"/>
          <w:sz w:val="32"/>
          <w:szCs w:val="32"/>
        </w:rPr>
        <w:t>总计</w:t>
      </w:r>
      <w:r>
        <w:rPr>
          <w:rFonts w:hint="eastAsia" w:ascii="仿宋_GB2312" w:hAnsi="仿宋" w:eastAsia="仿宋_GB2312"/>
          <w:sz w:val="32"/>
          <w:szCs w:val="32"/>
          <w:lang w:val="en-US" w:eastAsia="zh-CN"/>
        </w:rPr>
        <w:t>853.31</w:t>
      </w:r>
      <w:r>
        <w:rPr>
          <w:rFonts w:hint="eastAsia" w:ascii="仿宋_GB2312" w:eastAsia="仿宋_GB2312"/>
          <w:color w:val="000000"/>
          <w:sz w:val="32"/>
          <w:szCs w:val="32"/>
          <w:lang w:val="en-US" w:eastAsia="zh-CN"/>
        </w:rPr>
        <w:t>万</w:t>
      </w:r>
      <w:r>
        <w:rPr>
          <w:rFonts w:hint="eastAsia" w:ascii="仿宋_GB2312" w:eastAsia="仿宋_GB2312"/>
          <w:color w:val="000000"/>
          <w:sz w:val="32"/>
          <w:szCs w:val="32"/>
          <w:lang w:eastAsia="zh-CN"/>
        </w:rPr>
        <w:t>元</w:t>
      </w:r>
      <w:r>
        <w:rPr>
          <w:rFonts w:hint="eastAsia" w:ascii="仿宋_GB2312" w:eastAsia="仿宋_GB2312"/>
          <w:color w:val="000000"/>
          <w:sz w:val="32"/>
          <w:szCs w:val="32"/>
          <w:lang w:val="en-US" w:eastAsia="zh-CN"/>
        </w:rPr>
        <w:t>,</w:t>
      </w:r>
      <w:r>
        <w:rPr>
          <w:rFonts w:hint="eastAsia" w:ascii="仿宋_GB2312" w:hAnsi="仿宋_GB2312" w:eastAsia="仿宋_GB2312" w:cs="仿宋_GB2312"/>
          <w:bCs/>
          <w:sz w:val="32"/>
          <w:szCs w:val="32"/>
        </w:rPr>
        <w:t>其中：一般公共预算财政拨款收入</w:t>
      </w:r>
      <w:r>
        <w:rPr>
          <w:rFonts w:hint="eastAsia" w:ascii="仿宋_GB2312" w:hAnsi="仿宋_GB2312" w:eastAsia="仿宋_GB2312" w:cs="仿宋_GB2312"/>
          <w:bCs/>
          <w:sz w:val="32"/>
          <w:szCs w:val="32"/>
          <w:lang w:val="en-US" w:eastAsia="zh-CN"/>
        </w:rPr>
        <w:t>853.31</w:t>
      </w:r>
      <w:r>
        <w:rPr>
          <w:rFonts w:hint="eastAsia" w:ascii="仿宋_GB2312" w:hAnsi="仿宋_GB2312" w:eastAsia="仿宋_GB2312" w:cs="仿宋_GB2312"/>
          <w:bCs/>
          <w:sz w:val="32"/>
          <w:szCs w:val="32"/>
        </w:rPr>
        <w:t>万元。</w:t>
      </w:r>
    </w:p>
    <w:p>
      <w:pPr>
        <w:pStyle w:val="8"/>
        <w:spacing w:before="72"/>
        <w:ind w:firstLine="320" w:firstLineChars="100"/>
        <w:rPr>
          <w:rFonts w:hint="eastAsia" w:ascii="楷体" w:hAnsi="楷体" w:eastAsia="楷体" w:cs="楷体"/>
        </w:rPr>
      </w:pPr>
      <w:r>
        <w:rPr>
          <w:rFonts w:hint="eastAsia" w:ascii="楷体" w:hAnsi="楷体" w:eastAsia="楷体" w:cs="楷体"/>
          <w:color w:val="000000"/>
          <w:sz w:val="32"/>
          <w:szCs w:val="32"/>
        </w:rPr>
        <w:t>（二）</w:t>
      </w:r>
      <w:r>
        <w:rPr>
          <w:rFonts w:hint="eastAsia" w:ascii="楷体" w:hAnsi="楷体" w:eastAsia="楷体" w:cs="楷体"/>
          <w:b/>
          <w:sz w:val="32"/>
          <w:szCs w:val="32"/>
        </w:rPr>
        <w:t>部门财政资金支出情况</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
          <w:color w:val="000000"/>
          <w:sz w:val="32"/>
          <w:szCs w:val="32"/>
          <w:lang w:eastAsia="zh-CN"/>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本年支出合计</w:t>
      </w:r>
      <w:r>
        <w:rPr>
          <w:rFonts w:hint="eastAsia" w:ascii="仿宋_GB2312" w:eastAsia="仿宋_GB2312"/>
          <w:color w:val="000000"/>
          <w:sz w:val="32"/>
          <w:szCs w:val="32"/>
          <w:lang w:val="en-US" w:eastAsia="zh-CN"/>
        </w:rPr>
        <w:t>853.31万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，其中：</w:t>
      </w:r>
      <w:r>
        <w:rPr>
          <w:rFonts w:hint="eastAsia" w:ascii="仿宋" w:hAnsi="仿宋" w:eastAsia="仿宋"/>
          <w:color w:val="000000"/>
          <w:sz w:val="32"/>
          <w:szCs w:val="32"/>
        </w:rPr>
        <w:t>基本支出</w:t>
      </w:r>
      <w:r>
        <w:rPr>
          <w:rFonts w:hint="eastAsia" w:ascii="仿宋" w:hAnsi="仿宋" w:eastAsia="仿宋"/>
          <w:color w:val="000000"/>
          <w:sz w:val="32"/>
          <w:szCs w:val="32"/>
          <w:lang w:val="en-US" w:eastAsia="zh-CN"/>
        </w:rPr>
        <w:t>695.77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157.54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18</w:t>
      </w:r>
      <w:r>
        <w:rPr>
          <w:rFonts w:ascii="仿宋" w:hAnsi="仿宋" w:eastAsia="仿宋"/>
          <w:color w:val="000000"/>
          <w:sz w:val="32"/>
          <w:szCs w:val="32"/>
        </w:rPr>
        <w:t>%</w:t>
      </w:r>
      <w:r>
        <w:rPr>
          <w:rFonts w:hint="eastAsia" w:ascii="仿宋" w:hAnsi="仿宋" w:eastAsia="仿宋"/>
          <w:color w:val="000000"/>
          <w:sz w:val="32"/>
          <w:szCs w:val="32"/>
          <w:lang w:eastAsia="zh-CN"/>
        </w:rPr>
        <w:t>。</w:t>
      </w:r>
    </w:p>
    <w:p>
      <w:pPr>
        <w:ind w:left="420" w:leftChars="200" w:firstLine="320" w:firstLineChars="100"/>
        <w:outlineLvl w:val="1"/>
        <w:rPr>
          <w:rFonts w:hint="eastAsia" w:ascii="黑体" w:hAnsi="黑体" w:eastAsia="黑体" w:cs="黑体"/>
          <w:sz w:val="32"/>
          <w:szCs w:val="32"/>
        </w:rPr>
      </w:pPr>
      <w:bookmarkStart w:id="88" w:name="_Toc9444"/>
      <w:r>
        <w:rPr>
          <w:rFonts w:hint="eastAsia" w:ascii="黑体" w:hAnsi="黑体" w:eastAsia="黑体" w:cs="黑体"/>
          <w:sz w:val="32"/>
          <w:szCs w:val="32"/>
        </w:rPr>
        <w:t>三、部门财政支出管理情况</w:t>
      </w:r>
      <w:bookmarkEnd w:id="88"/>
    </w:p>
    <w:p>
      <w:pPr>
        <w:pStyle w:val="8"/>
        <w:numPr>
          <w:ilvl w:val="0"/>
          <w:numId w:val="5"/>
        </w:numPr>
        <w:spacing w:before="72"/>
        <w:ind w:left="420" w:leftChars="200"/>
        <w:rPr>
          <w:rFonts w:hint="eastAsia" w:ascii="??_GB2312" w:hAnsi="宋体" w:eastAsia="Times New Roman" w:cs="宋体"/>
          <w:b/>
          <w:bCs/>
          <w:color w:val="000000"/>
          <w:kern w:val="0"/>
          <w:sz w:val="32"/>
          <w:szCs w:val="24"/>
          <w:lang w:val="zh-CN" w:eastAsia="zh-CN" w:bidi="ar-SA"/>
        </w:rPr>
      </w:pPr>
      <w:r>
        <w:rPr>
          <w:rFonts w:hint="eastAsia" w:ascii="??_GB2312" w:hAnsi="宋体" w:eastAsia="Times New Roman" w:cs="宋体"/>
          <w:b/>
          <w:bCs/>
          <w:color w:val="000000"/>
          <w:kern w:val="0"/>
          <w:sz w:val="32"/>
          <w:szCs w:val="24"/>
          <w:lang w:val="zh-CN" w:eastAsia="zh-CN" w:bidi="ar-SA"/>
        </w:rPr>
        <w:t>预算编制情况</w:t>
      </w:r>
    </w:p>
    <w:p>
      <w:pPr>
        <w:pStyle w:val="8"/>
        <w:spacing w:before="72"/>
        <w:rPr>
          <w:rFonts w:hint="eastAsia" w:hAnsi="仿宋_GB2312" w:cs="仿宋_GB2312"/>
          <w:sz w:val="32"/>
          <w:szCs w:val="32"/>
        </w:rPr>
      </w:pPr>
      <w:r>
        <w:rPr>
          <w:rFonts w:hint="eastAsia" w:ascii="楷体" w:hAnsi="楷体" w:eastAsia="楷体" w:cs="楷体"/>
          <w:sz w:val="32"/>
          <w:szCs w:val="32"/>
        </w:rPr>
        <w:t xml:space="preserve">    </w:t>
      </w:r>
      <w:r>
        <w:rPr>
          <w:rFonts w:hint="eastAsia" w:hAnsi="仿宋_GB2312" w:cs="仿宋_GB2312"/>
          <w:sz w:val="32"/>
          <w:szCs w:val="32"/>
        </w:rPr>
        <w:t>按照县财政预算编制工作要求，我</w:t>
      </w:r>
      <w:r>
        <w:rPr>
          <w:rFonts w:hint="eastAsia" w:hAnsi="仿宋_GB2312" w:cs="仿宋_GB2312"/>
          <w:sz w:val="32"/>
          <w:szCs w:val="32"/>
          <w:lang w:eastAsia="zh-CN"/>
        </w:rPr>
        <w:t>乡</w:t>
      </w:r>
      <w:r>
        <w:rPr>
          <w:rFonts w:hint="eastAsia" w:hAnsi="仿宋_GB2312" w:cs="仿宋_GB2312"/>
          <w:sz w:val="32"/>
          <w:szCs w:val="32"/>
        </w:rPr>
        <w:t>组织财务人员积极参与预算编制培训会，及时掌握预算编制口径等相关知识，结合单位工作实际，按照“两上两下”编制方式，全面、及时、完整地编制了单位预算，并经财政部门审核下达。</w:t>
      </w:r>
    </w:p>
    <w:p>
      <w:pPr>
        <w:pStyle w:val="8"/>
        <w:numPr>
          <w:ilvl w:val="0"/>
          <w:numId w:val="5"/>
        </w:numPr>
        <w:spacing w:before="72"/>
        <w:ind w:left="420" w:leftChars="200"/>
        <w:rPr>
          <w:rFonts w:hint="eastAsia" w:ascii="??_GB2312" w:hAnsi="宋体" w:eastAsia="Times New Roman" w:cs="宋体"/>
          <w:b/>
          <w:bCs/>
          <w:color w:val="000000"/>
          <w:kern w:val="0"/>
          <w:sz w:val="32"/>
          <w:szCs w:val="24"/>
          <w:lang w:val="zh-CN" w:eastAsia="zh-CN" w:bidi="ar-SA"/>
        </w:rPr>
      </w:pPr>
      <w:r>
        <w:rPr>
          <w:rFonts w:hint="eastAsia" w:ascii="??_GB2312" w:hAnsi="宋体" w:eastAsia="Times New Roman" w:cs="宋体"/>
          <w:b/>
          <w:bCs/>
          <w:color w:val="000000"/>
          <w:kern w:val="0"/>
          <w:sz w:val="32"/>
          <w:szCs w:val="24"/>
          <w:lang w:val="zh-CN" w:eastAsia="zh-CN" w:bidi="ar-SA"/>
        </w:rPr>
        <w:t>执行管理情况</w:t>
      </w:r>
    </w:p>
    <w:p>
      <w:pPr>
        <w:pStyle w:val="8"/>
        <w:spacing w:before="72"/>
        <w:ind w:firstLine="640"/>
        <w:rPr>
          <w:rFonts w:hint="eastAsia" w:hAnsi="仿宋_GB2312" w:cs="仿宋_GB2312"/>
          <w:sz w:val="32"/>
          <w:szCs w:val="32"/>
        </w:rPr>
      </w:pPr>
      <w:r>
        <w:rPr>
          <w:rFonts w:hint="eastAsia" w:hAnsi="仿宋_GB2312" w:cs="仿宋_GB2312"/>
          <w:sz w:val="32"/>
          <w:szCs w:val="32"/>
        </w:rPr>
        <w:t>在预算执行中，我</w:t>
      </w:r>
      <w:r>
        <w:rPr>
          <w:rFonts w:hint="eastAsia" w:hAnsi="仿宋_GB2312" w:cs="仿宋_GB2312"/>
          <w:sz w:val="32"/>
          <w:szCs w:val="32"/>
          <w:lang w:eastAsia="zh-CN"/>
        </w:rPr>
        <w:t>乡</w:t>
      </w:r>
      <w:r>
        <w:rPr>
          <w:rFonts w:hint="eastAsia" w:hAnsi="仿宋_GB2312" w:cs="仿宋_GB2312"/>
          <w:sz w:val="32"/>
          <w:szCs w:val="32"/>
        </w:rPr>
        <w:t>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pStyle w:val="8"/>
        <w:spacing w:before="72"/>
        <w:ind w:firstLine="640"/>
        <w:rPr>
          <w:rFonts w:hint="eastAsia" w:hAnsi="仿宋_GB2312" w:eastAsia="仿宋_GB2312" w:cs="仿宋_GB2312"/>
          <w:sz w:val="32"/>
          <w:szCs w:val="32"/>
          <w:lang w:val="en-US" w:eastAsia="zh-CN"/>
        </w:rPr>
      </w:pPr>
      <w:r>
        <w:rPr>
          <w:rFonts w:hint="eastAsia" w:hAnsi="仿宋_GB2312" w:cs="仿宋_GB2312"/>
          <w:sz w:val="32"/>
          <w:szCs w:val="32"/>
          <w:lang w:eastAsia="zh-CN"/>
        </w:rPr>
        <w:t>2021</w:t>
      </w:r>
      <w:r>
        <w:rPr>
          <w:rFonts w:hint="eastAsia" w:hAnsi="仿宋_GB2312" w:cs="仿宋_GB2312"/>
          <w:sz w:val="32"/>
          <w:szCs w:val="32"/>
        </w:rPr>
        <w:t>年度“三公“经费支出情况：无出国出境费用；公务用车运行费为</w:t>
      </w:r>
      <w:r>
        <w:rPr>
          <w:rFonts w:hint="eastAsia" w:ascii="仿宋" w:hAnsi="仿宋" w:eastAsia="仿宋"/>
          <w:color w:val="000000"/>
          <w:sz w:val="32"/>
          <w:szCs w:val="32"/>
          <w:lang w:val="en-US" w:eastAsia="zh-CN"/>
        </w:rPr>
        <w:t>11.19</w:t>
      </w:r>
      <w:r>
        <w:rPr>
          <w:rFonts w:hint="eastAsia" w:hAnsi="仿宋_GB2312" w:cs="仿宋_GB2312"/>
          <w:sz w:val="32"/>
          <w:szCs w:val="32"/>
        </w:rPr>
        <w:t>元</w:t>
      </w:r>
      <w:r>
        <w:rPr>
          <w:rFonts w:hint="eastAsia" w:hAnsi="仿宋_GB2312" w:cs="仿宋_GB2312"/>
          <w:sz w:val="32"/>
          <w:szCs w:val="32"/>
          <w:lang w:eastAsia="zh-CN"/>
        </w:rPr>
        <w:t>，公务</w:t>
      </w:r>
      <w:r>
        <w:rPr>
          <w:rFonts w:hint="eastAsia" w:hAnsi="仿宋_GB2312" w:cs="仿宋_GB2312"/>
          <w:sz w:val="32"/>
          <w:szCs w:val="32"/>
        </w:rPr>
        <w:t>接待</w:t>
      </w:r>
      <w:r>
        <w:rPr>
          <w:rFonts w:hint="eastAsia" w:hAnsi="仿宋_GB2312" w:cs="仿宋_GB2312"/>
          <w:sz w:val="32"/>
          <w:szCs w:val="32"/>
          <w:lang w:eastAsia="zh-CN"/>
        </w:rPr>
        <w:t>费用为</w:t>
      </w:r>
      <w:r>
        <w:rPr>
          <w:rFonts w:hint="eastAsia" w:hAnsi="仿宋_GB2312" w:cs="仿宋_GB2312"/>
          <w:sz w:val="32"/>
          <w:szCs w:val="32"/>
          <w:lang w:val="en-US" w:eastAsia="zh-CN"/>
        </w:rPr>
        <w:t>0.1万元。</w:t>
      </w:r>
    </w:p>
    <w:p>
      <w:pPr>
        <w:widowControl/>
        <w:adjustRightInd w:val="0"/>
        <w:snapToGrid w:val="0"/>
        <w:spacing w:line="576" w:lineRule="exact"/>
        <w:ind w:firstLine="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（三）综合管理情况</w:t>
      </w:r>
    </w:p>
    <w:p>
      <w:pPr>
        <w:pStyle w:val="16"/>
        <w:widowControl/>
        <w:shd w:val="clear" w:color="auto" w:fill="FFFFFF"/>
        <w:spacing w:beforeAutospacing="0" w:afterAutospacing="0" w:line="576" w:lineRule="exact"/>
        <w:ind w:firstLine="643" w:firstLineChars="200"/>
        <w:rPr>
          <w:rFonts w:hint="eastAsia" w:ascii="仿宋_GB2312" w:hAnsi="仿宋_GB2312" w:eastAsia="仿宋_GB2312" w:cs="仿宋_GB2312"/>
          <w:bCs/>
          <w:kern w:val="2"/>
          <w:sz w:val="32"/>
          <w:szCs w:val="32"/>
          <w:lang w:val="zh-CN" w:eastAsia="zh-CN" w:bidi="ar-SA"/>
        </w:rPr>
      </w:pPr>
      <w:r>
        <w:rPr>
          <w:rFonts w:hint="eastAsia" w:ascii="宋体" w:hAnsi="宋体" w:cs="宋体"/>
          <w:b/>
          <w:bCs/>
          <w:color w:val="000000"/>
          <w:sz w:val="32"/>
          <w:szCs w:val="32"/>
          <w:shd w:val="clear" w:color="auto" w:fill="FFFFFF"/>
        </w:rPr>
        <w:t>预决算公开：</w:t>
      </w:r>
      <w:r>
        <w:rPr>
          <w:rFonts w:hint="eastAsia" w:ascii="仿宋_GB2312" w:hAnsi="仿宋_GB2312" w:eastAsia="仿宋_GB2312" w:cs="仿宋_GB2312"/>
          <w:bCs/>
          <w:kern w:val="2"/>
          <w:sz w:val="32"/>
          <w:szCs w:val="32"/>
          <w:lang w:val="zh-CN" w:eastAsia="zh-CN" w:bidi="ar-SA"/>
        </w:rPr>
        <w:t>2021年，我乡按照上级的要求，我乡在财政批复后</w:t>
      </w:r>
      <w:r>
        <w:rPr>
          <w:rFonts w:hint="eastAsia" w:ascii="仿宋_GB2312" w:hAnsi="仿宋_GB2312" w:eastAsia="仿宋_GB2312" w:cs="仿宋_GB2312"/>
          <w:bCs/>
          <w:kern w:val="2"/>
          <w:sz w:val="32"/>
          <w:szCs w:val="32"/>
          <w:lang w:val="en-US" w:eastAsia="zh-CN" w:bidi="ar-SA"/>
        </w:rPr>
        <w:t>15</w:t>
      </w:r>
      <w:r>
        <w:rPr>
          <w:rFonts w:hint="eastAsia" w:ascii="仿宋_GB2312" w:hAnsi="仿宋_GB2312" w:eastAsia="仿宋_GB2312" w:cs="仿宋_GB2312"/>
          <w:bCs/>
          <w:kern w:val="2"/>
          <w:sz w:val="32"/>
          <w:szCs w:val="32"/>
          <w:lang w:val="zh-CN" w:eastAsia="zh-CN" w:bidi="ar-SA"/>
        </w:rPr>
        <w:t>日内在指定网站公开预决算信息。</w:t>
      </w:r>
    </w:p>
    <w:p>
      <w:pPr>
        <w:pStyle w:val="16"/>
        <w:widowControl/>
        <w:shd w:val="clear" w:color="auto" w:fill="FFFFFF"/>
        <w:spacing w:beforeAutospacing="0" w:afterAutospacing="0" w:line="576" w:lineRule="exact"/>
        <w:ind w:firstLine="643" w:firstLineChars="200"/>
        <w:rPr>
          <w:rFonts w:hint="eastAsia" w:ascii="仿宋_GB2312" w:hAnsi="仿宋_GB2312" w:eastAsia="仿宋_GB2312" w:cs="仿宋_GB2312"/>
          <w:bCs/>
          <w:kern w:val="2"/>
          <w:sz w:val="32"/>
          <w:szCs w:val="32"/>
          <w:lang w:val="zh-CN" w:eastAsia="zh-CN" w:bidi="ar-SA"/>
        </w:rPr>
      </w:pPr>
      <w:r>
        <w:rPr>
          <w:rFonts w:hint="eastAsia" w:ascii="宋体" w:hAnsi="宋体" w:cs="宋体"/>
          <w:b/>
          <w:bCs/>
          <w:color w:val="000000"/>
          <w:sz w:val="32"/>
          <w:szCs w:val="32"/>
          <w:shd w:val="clear" w:color="auto" w:fill="FFFFFF"/>
        </w:rPr>
        <w:t>资产管理：</w:t>
      </w:r>
      <w:r>
        <w:rPr>
          <w:rFonts w:hint="eastAsia" w:ascii="仿宋_GB2312" w:hAnsi="仿宋_GB2312" w:eastAsia="仿宋_GB2312" w:cs="仿宋_GB2312"/>
          <w:bCs/>
          <w:kern w:val="2"/>
          <w:sz w:val="32"/>
          <w:szCs w:val="32"/>
          <w:lang w:val="zh-CN" w:eastAsia="zh-CN" w:bidi="ar-SA"/>
        </w:rPr>
        <w:t>乡机关建立了资产管理制度，组织开展资产盘点和清查，并就清查中发现的问题进行全面整改。</w:t>
      </w:r>
    </w:p>
    <w:p>
      <w:pPr>
        <w:pStyle w:val="16"/>
        <w:widowControl/>
        <w:shd w:val="clear" w:color="auto" w:fill="FFFFFF"/>
        <w:spacing w:beforeAutospacing="0" w:afterAutospacing="0" w:line="576" w:lineRule="exact"/>
        <w:ind w:firstLine="643" w:firstLineChars="200"/>
        <w:rPr>
          <w:rFonts w:hint="eastAsia" w:ascii="仿宋_GB2312" w:hAnsi="仿宋_GB2312" w:eastAsia="仿宋_GB2312" w:cs="仿宋_GB2312"/>
          <w:bCs/>
          <w:kern w:val="2"/>
          <w:sz w:val="32"/>
          <w:szCs w:val="32"/>
          <w:lang w:val="zh-CN" w:eastAsia="zh-CN" w:bidi="ar-SA"/>
        </w:rPr>
      </w:pPr>
      <w:r>
        <w:rPr>
          <w:rFonts w:hint="eastAsia" w:ascii="宋体" w:hAnsi="宋体" w:cs="宋体"/>
          <w:b/>
          <w:bCs/>
          <w:color w:val="000000"/>
          <w:sz w:val="32"/>
          <w:szCs w:val="32"/>
          <w:shd w:val="clear" w:color="auto" w:fill="FFFFFF"/>
        </w:rPr>
        <w:t>内部管理制度建设情况：</w:t>
      </w:r>
      <w:r>
        <w:rPr>
          <w:rFonts w:hint="eastAsia" w:ascii="仿宋_GB2312" w:hAnsi="仿宋_GB2312" w:eastAsia="仿宋_GB2312" w:cs="仿宋_GB2312"/>
          <w:bCs/>
          <w:kern w:val="2"/>
          <w:sz w:val="32"/>
          <w:szCs w:val="32"/>
          <w:lang w:val="zh-CN" w:eastAsia="zh-CN" w:bidi="ar-SA"/>
        </w:rPr>
        <w:t>2021年以来，我乡制定了乡机关内部控制工作实施方案，并不断完善了“预算管理办法”、“合同管理制度”、“收支管理办法”、“资产管理制度”等一系列内部制度。</w:t>
      </w:r>
    </w:p>
    <w:p>
      <w:pPr>
        <w:pStyle w:val="16"/>
        <w:widowControl/>
        <w:shd w:val="clear" w:color="auto" w:fill="FFFFFF"/>
        <w:spacing w:beforeAutospacing="0" w:afterAutospacing="0" w:line="576" w:lineRule="exact"/>
        <w:ind w:firstLine="643" w:firstLineChars="200"/>
        <w:rPr>
          <w:rFonts w:hint="eastAsia" w:ascii="仿宋_GB2312" w:hAnsi="仿宋_GB2312" w:eastAsia="仿宋_GB2312" w:cs="仿宋_GB2312"/>
          <w:bCs/>
          <w:kern w:val="2"/>
          <w:sz w:val="32"/>
          <w:szCs w:val="32"/>
          <w:lang w:val="zh-CN" w:eastAsia="zh-CN" w:bidi="ar-SA"/>
        </w:rPr>
      </w:pPr>
      <w:r>
        <w:rPr>
          <w:rFonts w:hint="eastAsia" w:ascii="宋体" w:hAnsi="宋体" w:cs="宋体"/>
          <w:b/>
          <w:bCs/>
          <w:color w:val="000000"/>
          <w:sz w:val="32"/>
          <w:szCs w:val="32"/>
          <w:shd w:val="clear" w:color="auto" w:fill="FFFFFF"/>
        </w:rPr>
        <w:t>绩效评价：</w:t>
      </w:r>
      <w:r>
        <w:rPr>
          <w:rFonts w:hint="eastAsia" w:ascii="仿宋_GB2312" w:hAnsi="仿宋_GB2312" w:eastAsia="仿宋_GB2312" w:cs="仿宋_GB2312"/>
          <w:bCs/>
          <w:kern w:val="2"/>
          <w:sz w:val="32"/>
          <w:szCs w:val="32"/>
          <w:lang w:val="zh-CN" w:eastAsia="zh-CN" w:bidi="ar-SA"/>
        </w:rPr>
        <w:t>根据绩效评价的要求，我们成立了自评工作领导小组，对照自评方案进行研究和布署，按照自评方案的要求，对照各实施项目的内容逐条逐项自评。</w:t>
      </w:r>
    </w:p>
    <w:p>
      <w:pPr>
        <w:widowControl/>
        <w:numPr>
          <w:numId w:val="0"/>
        </w:numPr>
        <w:adjustRightInd w:val="0"/>
        <w:snapToGrid w:val="0"/>
        <w:spacing w:line="576" w:lineRule="exact"/>
        <w:ind w:firstLine="640" w:firstLineChars="200"/>
        <w:jc w:val="left"/>
        <w:rPr>
          <w:rFonts w:ascii="??_GB2312" w:hAnsi="宋体" w:eastAsia="Times New Roman" w:cs="宋体"/>
          <w:b/>
          <w:bCs/>
          <w:color w:val="000000"/>
          <w:kern w:val="0"/>
          <w:sz w:val="32"/>
          <w:lang w:val="zh-CN"/>
        </w:rPr>
      </w:pPr>
      <w:r>
        <w:rPr>
          <w:rFonts w:hint="eastAsia" w:ascii="??_GB2312" w:hAnsi="宋体" w:eastAsia="Times New Roman" w:cs="宋体"/>
          <w:b/>
          <w:bCs/>
          <w:color w:val="000000"/>
          <w:kern w:val="0"/>
          <w:sz w:val="32"/>
          <w:lang w:val="zh-CN"/>
        </w:rPr>
        <w:t>（</w:t>
      </w:r>
      <w:r>
        <w:rPr>
          <w:rFonts w:hint="eastAsia" w:ascii="??_GB2312" w:hAnsi="宋体" w:eastAsia="宋体" w:cs="宋体"/>
          <w:b/>
          <w:bCs/>
          <w:color w:val="000000"/>
          <w:kern w:val="0"/>
          <w:sz w:val="32"/>
          <w:lang w:val="en-US" w:eastAsia="zh-CN"/>
        </w:rPr>
        <w:t>四</w:t>
      </w:r>
      <w:r>
        <w:rPr>
          <w:rFonts w:hint="eastAsia" w:ascii="??_GB2312" w:hAnsi="宋体" w:eastAsia="Times New Roman" w:cs="宋体"/>
          <w:b/>
          <w:bCs/>
          <w:color w:val="000000"/>
          <w:kern w:val="0"/>
          <w:sz w:val="32"/>
          <w:lang w:val="zh-CN"/>
        </w:rPr>
        <w:t>）</w:t>
      </w:r>
      <w:r>
        <w:rPr>
          <w:rFonts w:ascii="??_GB2312" w:hAnsi="宋体" w:eastAsia="Times New Roman" w:cs="宋体"/>
          <w:b/>
          <w:bCs/>
          <w:color w:val="000000"/>
          <w:kern w:val="0"/>
          <w:sz w:val="32"/>
          <w:lang w:val="zh-CN"/>
        </w:rPr>
        <w:t>整体绩效</w:t>
      </w:r>
    </w:p>
    <w:p>
      <w:pPr>
        <w:pStyle w:val="16"/>
        <w:widowControl/>
        <w:shd w:val="clear" w:color="auto" w:fill="FFFFFF"/>
        <w:spacing w:beforeAutospacing="0" w:afterAutospacing="0" w:line="576"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从整体情况来看，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p>
    <w:p>
      <w:pPr>
        <w:pStyle w:val="16"/>
        <w:widowControl/>
        <w:shd w:val="clear" w:color="auto" w:fill="FFFFFF"/>
        <w:spacing w:beforeAutospacing="0" w:afterAutospacing="0" w:line="576" w:lineRule="exact"/>
        <w:ind w:firstLine="643" w:firstLineChars="200"/>
        <w:outlineLvl w:val="1"/>
        <w:rPr>
          <w:rFonts w:hint="eastAsia" w:ascii="仿宋_GB2312" w:hAnsi="仿宋_GB2312" w:eastAsia="仿宋_GB2312" w:cs="仿宋_GB2312"/>
          <w:b/>
          <w:bCs w:val="0"/>
          <w:kern w:val="2"/>
          <w:sz w:val="32"/>
          <w:szCs w:val="32"/>
          <w:lang w:val="zh-CN" w:eastAsia="zh-CN" w:bidi="ar-SA"/>
        </w:rPr>
      </w:pPr>
      <w:bookmarkStart w:id="89" w:name="_Toc28798"/>
      <w:r>
        <w:rPr>
          <w:rFonts w:hint="eastAsia" w:ascii="仿宋_GB2312" w:hAnsi="仿宋_GB2312" w:eastAsia="仿宋_GB2312" w:cs="仿宋_GB2312"/>
          <w:b/>
          <w:bCs w:val="0"/>
          <w:kern w:val="2"/>
          <w:sz w:val="32"/>
          <w:szCs w:val="32"/>
          <w:lang w:val="zh-CN" w:eastAsia="zh-CN" w:bidi="ar-SA"/>
        </w:rPr>
        <w:t>四、评价结论及建议</w:t>
      </w:r>
      <w:bookmarkEnd w:id="89"/>
    </w:p>
    <w:p>
      <w:pPr>
        <w:pStyle w:val="16"/>
        <w:widowControl/>
        <w:shd w:val="clear" w:color="auto" w:fill="FFFFFF"/>
        <w:spacing w:beforeAutospacing="0" w:afterAutospacing="0" w:line="576" w:lineRule="exact"/>
        <w:ind w:firstLine="643" w:firstLineChars="200"/>
        <w:rPr>
          <w:rFonts w:hint="eastAsia" w:ascii="仿宋_GB2312" w:hAnsi="仿宋_GB2312" w:eastAsia="仿宋_GB2312" w:cs="仿宋_GB2312"/>
          <w:b/>
          <w:bCs w:val="0"/>
          <w:kern w:val="2"/>
          <w:sz w:val="32"/>
          <w:szCs w:val="32"/>
          <w:lang w:val="zh-CN" w:eastAsia="zh-CN" w:bidi="ar-SA"/>
        </w:rPr>
      </w:pPr>
      <w:r>
        <w:rPr>
          <w:rFonts w:hint="eastAsia" w:ascii="仿宋_GB2312" w:hAnsi="仿宋_GB2312" w:eastAsia="仿宋_GB2312" w:cs="仿宋_GB2312"/>
          <w:b/>
          <w:bCs w:val="0"/>
          <w:kern w:val="2"/>
          <w:sz w:val="32"/>
          <w:szCs w:val="32"/>
          <w:lang w:val="zh-CN" w:eastAsia="zh-CN" w:bidi="ar-SA"/>
        </w:rPr>
        <w:t>（一）评价结论。</w:t>
      </w:r>
    </w:p>
    <w:p>
      <w:pPr>
        <w:pStyle w:val="16"/>
        <w:widowControl/>
        <w:shd w:val="clear" w:color="auto" w:fill="FFFFFF"/>
        <w:spacing w:beforeAutospacing="0" w:afterAutospacing="0" w:line="576"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在自评过程发现问题，查找原因，及时纠正偏差，为下一步工作夯实基础。我乡评价得分</w:t>
      </w:r>
      <w:r>
        <w:rPr>
          <w:rFonts w:hint="eastAsia" w:ascii="仿宋_GB2312" w:hAnsi="仿宋_GB2312" w:eastAsia="仿宋_GB2312" w:cs="仿宋_GB2312"/>
          <w:bCs/>
          <w:kern w:val="2"/>
          <w:sz w:val="32"/>
          <w:szCs w:val="32"/>
          <w:lang w:val="en-US" w:eastAsia="zh-CN" w:bidi="ar-SA"/>
        </w:rPr>
        <w:t>91</w:t>
      </w:r>
      <w:r>
        <w:rPr>
          <w:rFonts w:hint="eastAsia" w:ascii="仿宋_GB2312" w:hAnsi="仿宋_GB2312" w:eastAsia="仿宋_GB2312" w:cs="仿宋_GB2312"/>
          <w:bCs/>
          <w:kern w:val="2"/>
          <w:sz w:val="32"/>
          <w:szCs w:val="32"/>
          <w:lang w:val="zh-CN" w:eastAsia="zh-CN" w:bidi="ar-SA"/>
        </w:rPr>
        <w:t>分，整体评价良好，预算收入和支出相符。</w:t>
      </w:r>
    </w:p>
    <w:p>
      <w:pPr>
        <w:widowControl/>
        <w:adjustRightInd w:val="0"/>
        <w:snapToGrid w:val="0"/>
        <w:spacing w:line="576" w:lineRule="exact"/>
        <w:ind w:left="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（二）存在问题。</w:t>
      </w:r>
    </w:p>
    <w:p>
      <w:pPr>
        <w:widowControl/>
        <w:adjustRightInd w:val="0"/>
        <w:snapToGrid w:val="0"/>
        <w:spacing w:line="480" w:lineRule="exact"/>
        <w:ind w:firstLine="640" w:firstLineChars="200"/>
        <w:jc w:val="left"/>
        <w:outlineLvl w:val="1"/>
        <w:rPr>
          <w:rFonts w:hint="eastAsia" w:ascii="仿宋_GB2312" w:hAnsi="仿宋_GB2312" w:eastAsia="仿宋_GB2312" w:cs="仿宋_GB2312"/>
          <w:bCs/>
          <w:kern w:val="2"/>
          <w:sz w:val="32"/>
          <w:szCs w:val="32"/>
          <w:lang w:val="zh-CN" w:eastAsia="zh-CN" w:bidi="ar-SA"/>
        </w:rPr>
      </w:pPr>
      <w:bookmarkStart w:id="90" w:name="_Toc24448"/>
      <w:r>
        <w:rPr>
          <w:rFonts w:hint="eastAsia" w:ascii="仿宋_GB2312" w:hAnsi="仿宋_GB2312" w:eastAsia="仿宋_GB2312" w:cs="仿宋_GB2312"/>
          <w:bCs/>
          <w:kern w:val="2"/>
          <w:sz w:val="32"/>
          <w:szCs w:val="32"/>
          <w:lang w:val="zh-CN" w:eastAsia="zh-CN" w:bidi="ar-SA"/>
        </w:rPr>
        <w:t>一是预算编制先见性不足，与实际支出存在偏差；二是</w:t>
      </w:r>
      <w:r>
        <w:rPr>
          <w:rFonts w:hint="eastAsia" w:ascii="仿宋_GB2312" w:hAnsi="仿宋_GB2312" w:eastAsia="仿宋_GB2312" w:cs="仿宋_GB2312"/>
          <w:bCs/>
          <w:kern w:val="2"/>
          <w:sz w:val="32"/>
          <w:szCs w:val="32"/>
          <w:lang w:val="en-US" w:eastAsia="zh-CN" w:bidi="ar-SA"/>
        </w:rPr>
        <w:t>内控制度建立的不够健全、完善、责任划分不够明确</w:t>
      </w:r>
      <w:r>
        <w:rPr>
          <w:rFonts w:hint="eastAsia" w:ascii="仿宋_GB2312" w:hAnsi="仿宋_GB2312" w:eastAsia="仿宋_GB2312" w:cs="仿宋_GB2312"/>
          <w:bCs/>
          <w:kern w:val="2"/>
          <w:sz w:val="32"/>
          <w:szCs w:val="32"/>
          <w:lang w:val="zh-CN" w:eastAsia="zh-CN" w:bidi="ar-SA"/>
        </w:rPr>
        <w:t>；三是绩效目标设立不够明确、细化和量化。虽然设立了项目资金绩效目标，但目标不够明确、细化和量化。</w:t>
      </w:r>
      <w:bookmarkEnd w:id="90"/>
    </w:p>
    <w:p>
      <w:pPr>
        <w:widowControl/>
        <w:adjustRightInd w:val="0"/>
        <w:snapToGrid w:val="0"/>
        <w:spacing w:line="576" w:lineRule="exact"/>
        <w:ind w:left="720"/>
        <w:jc w:val="left"/>
        <w:rPr>
          <w:rFonts w:hint="eastAsia" w:ascii="仿宋_GB2312" w:hAnsi="仿宋_GB2312" w:eastAsia="仿宋_GB2312" w:cs="仿宋_GB2312"/>
          <w:b/>
          <w:bCs w:val="0"/>
          <w:kern w:val="2"/>
          <w:sz w:val="32"/>
          <w:szCs w:val="32"/>
          <w:lang w:val="zh-CN" w:eastAsia="zh-CN" w:bidi="ar-SA"/>
        </w:rPr>
      </w:pPr>
      <w:r>
        <w:rPr>
          <w:rFonts w:hint="eastAsia" w:ascii="仿宋_GB2312" w:hAnsi="仿宋_GB2312" w:eastAsia="仿宋_GB2312" w:cs="仿宋_GB2312"/>
          <w:b/>
          <w:bCs w:val="0"/>
          <w:kern w:val="2"/>
          <w:sz w:val="32"/>
          <w:szCs w:val="32"/>
          <w:lang w:val="zh-CN" w:eastAsia="zh-CN" w:bidi="ar-SA"/>
        </w:rPr>
        <w:t>（三）改进建议。</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一是认真做好预算的编制，细化预算编制，</w:t>
      </w:r>
      <w:r>
        <w:rPr>
          <w:rFonts w:hint="eastAsia" w:ascii="仿宋_GB2312" w:hAnsi="Times New Roman" w:eastAsia="仿宋_GB2312" w:cs="Times New Roman"/>
          <w:color w:val="000000"/>
          <w:sz w:val="32"/>
          <w:szCs w:val="32"/>
        </w:rPr>
        <w:t>二是进一步完善内部管理制度，提升管理效能，更好地履行职能</w:t>
      </w:r>
      <w:r>
        <w:rPr>
          <w:rFonts w:hint="eastAsia" w:ascii="仿宋_GB2312" w:hAnsi="Times New Roman" w:eastAsia="仿宋_GB2312" w:cs="Times New Roman"/>
          <w:color w:val="000000"/>
          <w:sz w:val="32"/>
          <w:szCs w:val="32"/>
          <w:lang w:eastAsia="zh-CN"/>
        </w:rPr>
        <w:t>职责，</w:t>
      </w:r>
      <w:r>
        <w:rPr>
          <w:rFonts w:hint="eastAsia" w:ascii="仿宋_GB2312" w:eastAsia="仿宋_GB2312"/>
          <w:color w:val="000000"/>
          <w:sz w:val="32"/>
          <w:szCs w:val="32"/>
          <w:lang w:eastAsia="zh-CN"/>
        </w:rPr>
        <w:t>三是</w:t>
      </w:r>
      <w:r>
        <w:rPr>
          <w:rFonts w:hint="eastAsia" w:ascii="仿宋_GB2312" w:eastAsia="仿宋_GB2312"/>
          <w:color w:val="000000"/>
          <w:sz w:val="32"/>
          <w:szCs w:val="32"/>
        </w:rPr>
        <w:t>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580" w:lineRule="exact"/>
        <w:ind w:firstLine="640"/>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pStyle w:val="17"/>
        <w:ind w:left="0" w:leftChars="0" w:firstLine="0" w:firstLineChars="0"/>
        <w:rPr>
          <w:rFonts w:ascii="仿宋_GB2312" w:hAnsi="仿宋_GB2312" w:eastAsia="仿宋_GB2312" w:cs="仿宋_GB2312"/>
          <w:sz w:val="32"/>
          <w:szCs w:val="32"/>
        </w:rPr>
      </w:pPr>
    </w:p>
    <w:p>
      <w:pPr>
        <w:pStyle w:val="17"/>
        <w:rPr>
          <w:rFonts w:ascii="仿宋_GB2312" w:hAnsi="仿宋_GB2312" w:eastAsia="仿宋_GB2312" w:cs="仿宋_GB2312"/>
          <w:sz w:val="32"/>
          <w:szCs w:val="32"/>
        </w:rPr>
      </w:pPr>
    </w:p>
    <w:p>
      <w:pPr>
        <w:spacing w:line="580" w:lineRule="exact"/>
        <w:outlineLvl w:val="1"/>
        <w:rPr>
          <w:rFonts w:ascii="仿宋_GB2312" w:hAnsi="仿宋_GB2312" w:eastAsia="仿宋_GB2312" w:cs="仿宋_GB2312"/>
          <w:color w:val="000000" w:themeColor="text1"/>
          <w:sz w:val="32"/>
          <w:szCs w:val="32"/>
          <w14:textFill>
            <w14:solidFill>
              <w14:schemeClr w14:val="tx1"/>
            </w14:solidFill>
          </w14:textFill>
        </w:rPr>
      </w:pPr>
      <w:bookmarkStart w:id="91" w:name="_Toc2425"/>
      <w:r>
        <w:rPr>
          <w:rFonts w:hint="eastAsia" w:ascii="黑体" w:hAnsi="黑体" w:eastAsia="黑体" w:cs="黑体"/>
          <w:color w:val="000000" w:themeColor="text1"/>
          <w:sz w:val="32"/>
          <w:szCs w:val="32"/>
          <w14:textFill>
            <w14:solidFill>
              <w14:schemeClr w14:val="tx1"/>
            </w14:solidFill>
          </w14:textFill>
        </w:rPr>
        <w:t>附件2</w:t>
      </w:r>
      <w:bookmarkEnd w:id="91"/>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4"/>
          <w:szCs w:val="44"/>
          <w:lang w:val="zh-CN"/>
          <w14:textFill>
            <w14:solidFill>
              <w14:schemeClr w14:val="tx1"/>
            </w14:solidFill>
          </w14:textFill>
        </w:rPr>
      </w:pPr>
      <w:r>
        <w:rPr>
          <w:rFonts w:hint="eastAsia" w:ascii="方正小标宋简体" w:hAnsi="宋体" w:eastAsia="方正小标宋简体"/>
          <w:color w:val="000000" w:themeColor="text1"/>
          <w:kern w:val="0"/>
          <w:sz w:val="44"/>
          <w:szCs w:val="44"/>
          <w:lang w:eastAsia="zh-CN"/>
          <w14:textFill>
            <w14:solidFill>
              <w14:schemeClr w14:val="tx1"/>
            </w14:solidFill>
          </w14:textFill>
        </w:rPr>
        <w:t>江茸乡</w:t>
      </w:r>
      <w:r>
        <w:rPr>
          <w:rFonts w:hint="eastAsia" w:ascii="方正小标宋简体" w:hAnsi="宋体" w:eastAsia="方正小标宋简体"/>
          <w:color w:val="000000" w:themeColor="text1"/>
          <w:kern w:val="0"/>
          <w:sz w:val="44"/>
          <w:szCs w:val="44"/>
          <w:lang w:val="zh-CN"/>
          <w14:textFill>
            <w14:solidFill>
              <w14:schemeClr w14:val="tx1"/>
            </w14:solidFill>
          </w14:textFill>
        </w:rPr>
        <w:t>项目</w:t>
      </w:r>
      <w:r>
        <w:rPr>
          <w:rFonts w:hint="eastAsia" w:ascii="方正小标宋简体" w:hAnsi="宋体" w:eastAsia="方正小标宋简体"/>
          <w:color w:val="000000" w:themeColor="text1"/>
          <w:kern w:val="0"/>
          <w:sz w:val="44"/>
          <w:szCs w:val="44"/>
          <w:lang w:eastAsia="zh-CN"/>
          <w14:textFill>
            <w14:solidFill>
              <w14:schemeClr w14:val="tx1"/>
            </w14:solidFill>
          </w14:textFill>
        </w:rPr>
        <w:t>2021</w:t>
      </w:r>
      <w:r>
        <w:rPr>
          <w:rFonts w:hint="eastAsia" w:ascii="方正小标宋简体" w:hAnsi="宋体" w:eastAsia="方正小标宋简体"/>
          <w:color w:val="000000" w:themeColor="text1"/>
          <w:kern w:val="0"/>
          <w:sz w:val="44"/>
          <w:szCs w:val="44"/>
          <w14:textFill>
            <w14:solidFill>
              <w14:schemeClr w14:val="tx1"/>
            </w14:solidFill>
          </w14:textFill>
        </w:rPr>
        <w:t>年</w:t>
      </w:r>
      <w:r>
        <w:rPr>
          <w:rFonts w:hint="eastAsia" w:ascii="方正小标宋简体" w:hAnsi="宋体" w:eastAsia="方正小标宋简体"/>
          <w:color w:val="000000" w:themeColor="text1"/>
          <w:kern w:val="0"/>
          <w:sz w:val="44"/>
          <w:szCs w:val="44"/>
          <w:lang w:val="zh-CN"/>
          <w14:textFill>
            <w14:solidFill>
              <w14:schemeClr w14:val="tx1"/>
            </w14:solidFill>
          </w14:textFill>
        </w:rPr>
        <w:t>绩效评价报告</w:t>
      </w:r>
    </w:p>
    <w:p>
      <w:pPr>
        <w:spacing w:line="600" w:lineRule="exact"/>
        <w:rPr>
          <w:rFonts w:ascii="宋体" w:hAnsi="宋体"/>
          <w:color w:val="000000" w:themeColor="text1"/>
          <w:sz w:val="32"/>
          <w:szCs w:val="32"/>
          <w:lang w:val="zh-CN"/>
          <w14:textFill>
            <w14:solidFill>
              <w14:schemeClr w14:val="tx1"/>
            </w14:solidFill>
          </w14:textFill>
        </w:rPr>
      </w:pPr>
    </w:p>
    <w:p>
      <w:pPr>
        <w:adjustRightInd w:val="0"/>
        <w:snapToGrid w:val="0"/>
        <w:spacing w:line="600" w:lineRule="exact"/>
        <w:ind w:firstLine="720"/>
        <w:outlineLvl w:val="1"/>
        <w:rPr>
          <w:rFonts w:ascii="黑体" w:hAnsi="宋体" w:eastAsia="黑体"/>
          <w:color w:val="000000" w:themeColor="text1"/>
          <w:sz w:val="32"/>
          <w:szCs w:val="32"/>
          <w:lang w:val="zh-CN"/>
          <w14:textFill>
            <w14:solidFill>
              <w14:schemeClr w14:val="tx1"/>
            </w14:solidFill>
          </w14:textFill>
        </w:rPr>
      </w:pPr>
      <w:bookmarkStart w:id="92" w:name="_Toc8513"/>
      <w:r>
        <w:rPr>
          <w:rFonts w:hint="eastAsia" w:ascii="黑体" w:hAnsi="宋体" w:eastAsia="黑体"/>
          <w:color w:val="000000" w:themeColor="text1"/>
          <w:sz w:val="32"/>
          <w:szCs w:val="32"/>
          <w14:textFill>
            <w14:solidFill>
              <w14:schemeClr w14:val="tx1"/>
            </w14:solidFill>
          </w14:textFill>
        </w:rPr>
        <w:t>一、</w:t>
      </w:r>
      <w:r>
        <w:rPr>
          <w:rFonts w:hint="eastAsia" w:ascii="黑体" w:hAnsi="宋体" w:eastAsia="黑体"/>
          <w:color w:val="000000" w:themeColor="text1"/>
          <w:sz w:val="32"/>
          <w:szCs w:val="32"/>
          <w:lang w:val="zh-CN"/>
          <w14:textFill>
            <w14:solidFill>
              <w14:schemeClr w14:val="tx1"/>
            </w14:solidFill>
          </w14:textFill>
        </w:rPr>
        <w:t>项目概况</w:t>
      </w:r>
      <w:bookmarkEnd w:id="92"/>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1．说明项目主管部门（单位）在该项目管理中的职能，行使党委、政府监管及相关职能。</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2．召开大会收集需建设项目意见，汇总编制实施方案及项目实施表上报行业主管部门。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（二）项目绩效目标。</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）江茸乡牧业生产点道路（草原防火通道）维修项目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牧业生产点道路（草原防火通道）项目是改善我乡畜牧业经济及森林草原火灾扑灭的重要途径，也是畜牧业发展的重要基础设施，在畜牧业生产、牧民群众的生活和农村经济发展中具有十分重要的作用。</w:t>
      </w:r>
    </w:p>
    <w:p>
      <w:pPr>
        <w:numPr>
          <w:ilvl w:val="0"/>
          <w:numId w:val="0"/>
        </w:numPr>
        <w:spacing w:line="580" w:lineRule="exact"/>
        <w:ind w:firstLine="640" w:firstLineChars="200"/>
        <w:rPr>
          <w:rFonts w:hint="eastAsia"/>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sz w:val="32"/>
          <w:szCs w:val="32"/>
          <w:lang w:eastAsia="zh-CN"/>
        </w:rPr>
        <w:t>江茸乡中藏药种植园道路建设</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59.4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94.29</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改善江茸乡集体经济发展的重要基础设施，对提高群众收入、提高群众生活水平具有十分重要的作用。</w:t>
      </w:r>
    </w:p>
    <w:p>
      <w:pPr>
        <w:adjustRightInd w:val="0"/>
        <w:snapToGrid w:val="0"/>
        <w:spacing w:line="576"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）江茸乡2020年动态调整建档立卡贫困人员到户产业项目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提高建档立卡户劳动积极性，增加建档立卡户的收入。</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eastAsia="zh-CN"/>
        </w:rPr>
        <w:t>江茸乡白萨福克羊养殖基地建设</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kern w:val="2"/>
          <w:sz w:val="32"/>
          <w:szCs w:val="32"/>
          <w:lang w:val="en-US" w:eastAsia="zh-CN" w:bidi="ar-SA"/>
        </w:rPr>
        <w:t>绩效目标完成情况综述。项目全年预算数100万元，执行数为96.945万元，完成预算的97%。通过项目实施，使得畜牧养殖规模化标准化，切实保护草原生态环境，提高生产，增加牧民收入。</w:t>
      </w:r>
    </w:p>
    <w:p>
      <w:pPr>
        <w:widowControl/>
        <w:ind w:firstLine="640" w:firstLineChars="200"/>
        <w:jc w:val="left"/>
        <w:textAlignment w:val="center"/>
        <w:rPr>
          <w:rFonts w:hint="default"/>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）江茸乡公共厕所建设</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34.1961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一是进一步提高了江茸乡公共基础设施配套建设；二是提高了江茸乡牧民群众生活环境质量；三是有效培育群众生活环境整治的意识，培养良好的生活习惯。</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（三）项目自评步骤及方法。</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说明项目绩效自评采用的组织实施步骤及方法。</w:t>
      </w:r>
    </w:p>
    <w:p>
      <w:pPr>
        <w:adjustRightInd w:val="0"/>
        <w:snapToGrid w:val="0"/>
        <w:spacing w:line="600" w:lineRule="exact"/>
        <w:ind w:firstLine="720"/>
        <w:outlineLvl w:val="1"/>
        <w:rPr>
          <w:rFonts w:ascii="黑体" w:hAnsi="宋体" w:eastAsia="黑体"/>
          <w:color w:val="000000" w:themeColor="text1"/>
          <w:sz w:val="32"/>
          <w:szCs w:val="32"/>
          <w14:textFill>
            <w14:solidFill>
              <w14:schemeClr w14:val="tx1"/>
            </w14:solidFill>
          </w14:textFill>
        </w:rPr>
      </w:pPr>
      <w:bookmarkStart w:id="93" w:name="_Toc26815"/>
      <w:r>
        <w:rPr>
          <w:rFonts w:hint="eastAsia" w:ascii="黑体" w:hAnsi="宋体" w:eastAsia="黑体"/>
          <w:color w:val="000000" w:themeColor="text1"/>
          <w:sz w:val="32"/>
          <w:szCs w:val="32"/>
          <w14:textFill>
            <w14:solidFill>
              <w14:schemeClr w14:val="tx1"/>
            </w14:solidFill>
          </w14:textFill>
        </w:rPr>
        <w:t>二、项目资金申报及使用情况</w:t>
      </w:r>
      <w:bookmarkEnd w:id="93"/>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一是通过实地查看和村民大会的召开讨论，群定好项目的具体内容；二是询问专业人员确定项目资金的预算及编制实施方案并上报相关部门</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6"/>
        </w:num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资金计划、到位及使用情况。</w:t>
      </w:r>
    </w:p>
    <w:p>
      <w:pPr>
        <w:numPr>
          <w:ilvl w:val="0"/>
          <w:numId w:val="0"/>
        </w:numPr>
        <w:adjustRightInd w:val="0"/>
        <w:snapToGrid w:val="0"/>
        <w:spacing w:line="600" w:lineRule="exact"/>
        <w:ind w:firstLine="643" w:firstLineChars="200"/>
        <w:outlineLvl w:val="1"/>
        <w:rPr>
          <w:rFonts w:hint="eastAsia" w:ascii="楷体_GB2312" w:hAnsi="宋体" w:eastAsia="楷体_GB2312"/>
          <w:b/>
          <w:color w:val="000000" w:themeColor="text1"/>
          <w:sz w:val="32"/>
          <w:szCs w:val="32"/>
          <w:lang w:val="en-US" w:eastAsia="zh-CN"/>
          <w14:textFill>
            <w14:solidFill>
              <w14:schemeClr w14:val="tx1"/>
            </w14:solidFill>
          </w14:textFill>
        </w:rPr>
      </w:pPr>
      <w:bookmarkStart w:id="94" w:name="_Toc13812"/>
      <w:r>
        <w:rPr>
          <w:rFonts w:hint="eastAsia" w:ascii="楷体_GB2312" w:hAnsi="宋体" w:eastAsia="楷体_GB2312"/>
          <w:b/>
          <w:color w:val="000000" w:themeColor="text1"/>
          <w:sz w:val="32"/>
          <w:szCs w:val="32"/>
          <w:lang w:val="en-US" w:eastAsia="zh-CN"/>
          <w14:textFill>
            <w14:solidFill>
              <w14:schemeClr w14:val="tx1"/>
            </w14:solidFill>
          </w14:textFill>
        </w:rPr>
        <w:t>一、</w:t>
      </w:r>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江茸乡牧业生产点道路（草原防火通道）维修项目</w:t>
      </w:r>
      <w:bookmarkEnd w:id="94"/>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江茸乡牧业生产点道路（草原防火通道）维修项目全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年预算数20万元，执行数为20万元，完成预算的100%。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en-US" w:eastAsia="zh-CN"/>
          <w14:textFill>
            <w14:solidFill>
              <w14:schemeClr w14:val="tx1"/>
            </w14:solidFill>
          </w14:textFill>
        </w:rPr>
        <w:t>2021</w:t>
      </w:r>
      <w:r>
        <w:rPr>
          <w:rFonts w:hint="eastAsia" w:ascii="仿宋_GB2312" w:hAnsi="宋体" w:eastAsia="仿宋_GB2312"/>
          <w:color w:val="000000" w:themeColor="text1"/>
          <w:sz w:val="32"/>
          <w:szCs w:val="32"/>
          <w:lang w:val="zh-CN" w:eastAsia="zh-CN"/>
          <w14:textFill>
            <w14:solidFill>
              <w14:schemeClr w14:val="tx1"/>
            </w14:solidFill>
          </w14:textFill>
        </w:rPr>
        <w:t>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该项目目前已通过乡、村初验，拨付</w:t>
      </w:r>
      <w:r>
        <w:rPr>
          <w:rFonts w:hint="eastAsia" w:ascii="仿宋_GB2312" w:hAnsi="宋体" w:eastAsia="仿宋_GB2312"/>
          <w:color w:val="000000" w:themeColor="text1"/>
          <w:sz w:val="32"/>
          <w:szCs w:val="32"/>
          <w:lang w:val="en-US" w:eastAsia="zh-CN"/>
          <w14:textFill>
            <w14:solidFill>
              <w14:schemeClr w14:val="tx1"/>
            </w14:solidFill>
          </w14:textFill>
        </w:rPr>
        <w:t>100%项目款，项目资金与预算相符合。</w:t>
      </w:r>
    </w:p>
    <w:p>
      <w:pPr>
        <w:numPr>
          <w:ilvl w:val="0"/>
          <w:numId w:val="0"/>
        </w:numPr>
        <w:adjustRightInd w:val="0"/>
        <w:snapToGrid w:val="0"/>
        <w:spacing w:line="600" w:lineRule="exact"/>
        <w:ind w:firstLine="643" w:firstLineChars="200"/>
        <w:outlineLvl w:val="1"/>
        <w:rPr>
          <w:rFonts w:hint="default" w:ascii="楷体_GB2312" w:hAnsi="宋体" w:eastAsia="楷体_GB2312"/>
          <w:b/>
          <w:color w:val="000000" w:themeColor="text1"/>
          <w:sz w:val="32"/>
          <w:szCs w:val="32"/>
          <w:lang w:val="en-US" w:eastAsia="zh-CN"/>
          <w14:textFill>
            <w14:solidFill>
              <w14:schemeClr w14:val="tx1"/>
            </w14:solidFill>
          </w14:textFill>
        </w:rPr>
      </w:pPr>
      <w:bookmarkStart w:id="95" w:name="_Toc12990"/>
      <w:r>
        <w:rPr>
          <w:rFonts w:hint="eastAsia" w:ascii="楷体_GB2312" w:hAnsi="宋体" w:eastAsia="楷体_GB2312"/>
          <w:b/>
          <w:color w:val="000000" w:themeColor="text1"/>
          <w:sz w:val="32"/>
          <w:szCs w:val="32"/>
          <w:lang w:val="en-US" w:eastAsia="zh-CN"/>
          <w14:textFill>
            <w14:solidFill>
              <w14:schemeClr w14:val="tx1"/>
            </w14:solidFill>
          </w14:textFill>
        </w:rPr>
        <w:t>二、</w:t>
      </w:r>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江茸乡中藏药种植园道路建设项目</w:t>
      </w:r>
      <w:bookmarkEnd w:id="95"/>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仿宋_GB2312" w:hAnsi="仿宋_GB2312" w:eastAsia="仿宋_GB2312" w:cs="仿宋_GB2312"/>
          <w:sz w:val="32"/>
          <w:szCs w:val="32"/>
          <w:lang w:val="en-US" w:eastAsia="zh-CN"/>
        </w:rPr>
        <w:t>江茸乡中藏药种植园道路建设项目</w:t>
      </w:r>
      <w:r>
        <w:rPr>
          <w:rFonts w:hint="eastAsia" w:ascii="仿宋_GB2312" w:hAnsi="仿宋_GB2312" w:eastAsia="仿宋_GB2312" w:cs="仿宋_GB2312"/>
          <w:sz w:val="32"/>
          <w:szCs w:val="32"/>
        </w:rPr>
        <w:t>全年预算数</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59.4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94.29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结余3.6万元</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en-US" w:eastAsia="zh-CN"/>
          <w14:textFill>
            <w14:solidFill>
              <w14:schemeClr w14:val="tx1"/>
            </w14:solidFill>
          </w14:textFill>
        </w:rPr>
        <w:t>2021</w:t>
      </w:r>
      <w:r>
        <w:rPr>
          <w:rFonts w:hint="eastAsia" w:ascii="仿宋_GB2312" w:hAnsi="宋体" w:eastAsia="仿宋_GB2312"/>
          <w:color w:val="000000" w:themeColor="text1"/>
          <w:sz w:val="32"/>
          <w:szCs w:val="32"/>
          <w:lang w:val="zh-CN" w:eastAsia="zh-CN"/>
          <w14:textFill>
            <w14:solidFill>
              <w14:schemeClr w14:val="tx1"/>
            </w14:solidFill>
          </w14:textFill>
        </w:rPr>
        <w:t>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firstLine="320" w:firstLineChars="1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zh-CN" w:eastAsia="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该项目目前已通过乡、村初验，拨付</w:t>
      </w:r>
      <w:r>
        <w:rPr>
          <w:rFonts w:hint="eastAsia" w:ascii="仿宋_GB2312" w:hAnsi="宋体" w:eastAsia="仿宋_GB2312"/>
          <w:color w:val="000000" w:themeColor="text1"/>
          <w:sz w:val="32"/>
          <w:szCs w:val="32"/>
          <w:lang w:val="en-US" w:eastAsia="zh-CN"/>
          <w14:textFill>
            <w14:solidFill>
              <w14:schemeClr w14:val="tx1"/>
            </w14:solidFill>
          </w14:textFill>
        </w:rPr>
        <w:t>100%项目款，项目资金与预算相低5.71%。</w:t>
      </w:r>
    </w:p>
    <w:p>
      <w:pPr>
        <w:numPr>
          <w:ilvl w:val="0"/>
          <w:numId w:val="0"/>
        </w:numPr>
        <w:adjustRightInd w:val="0"/>
        <w:snapToGrid w:val="0"/>
        <w:spacing w:line="600" w:lineRule="exact"/>
        <w:ind w:firstLine="643" w:firstLineChars="200"/>
        <w:outlineLvl w:val="1"/>
        <w:rPr>
          <w:rFonts w:hint="eastAsia" w:ascii="楷体_GB2312" w:hAnsi="宋体" w:eastAsia="楷体_GB2312"/>
          <w:b/>
          <w:color w:val="000000" w:themeColor="text1"/>
          <w:sz w:val="32"/>
          <w:szCs w:val="32"/>
          <w:lang w:val="en-US" w:eastAsia="zh-CN"/>
          <w14:textFill>
            <w14:solidFill>
              <w14:schemeClr w14:val="tx1"/>
            </w14:solidFill>
          </w14:textFill>
        </w:rPr>
      </w:pPr>
      <w:bookmarkStart w:id="96" w:name="_Toc24789"/>
      <w:r>
        <w:rPr>
          <w:rFonts w:hint="eastAsia" w:ascii="楷体_GB2312" w:hAnsi="宋体" w:eastAsia="楷体_GB2312"/>
          <w:b/>
          <w:color w:val="000000" w:themeColor="text1"/>
          <w:sz w:val="32"/>
          <w:szCs w:val="32"/>
          <w:lang w:val="en-US" w:eastAsia="zh-CN"/>
          <w14:textFill>
            <w14:solidFill>
              <w14:schemeClr w14:val="tx1"/>
            </w14:solidFill>
          </w14:textFill>
        </w:rPr>
        <w:t>三、</w:t>
      </w:r>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江茸乡2020年动态调整建档立卡贫困人员到户产业项目</w:t>
      </w:r>
      <w:bookmarkEnd w:id="96"/>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江茸乡2020年动态调整建档立卡贫困人员到户产业项目</w:t>
      </w:r>
      <w:r>
        <w:rPr>
          <w:rFonts w:hint="eastAsia" w:ascii="仿宋_GB2312" w:hAnsi="仿宋_GB2312" w:eastAsia="仿宋_GB2312" w:cs="仿宋_GB2312"/>
          <w:sz w:val="32"/>
          <w:szCs w:val="32"/>
        </w:rPr>
        <w:t>全年预算数</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zh-CN" w:eastAsia="zh-CN"/>
          <w14:textFill>
            <w14:solidFill>
              <w14:schemeClr w14:val="tx1"/>
            </w14:solidFill>
          </w14:textFill>
        </w:rPr>
        <w:t>2021年到位，与计划相符合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firstLine="320" w:firstLineChars="1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该项目目前已通过乡、村初验，拨付</w:t>
      </w:r>
      <w:r>
        <w:rPr>
          <w:rFonts w:hint="eastAsia" w:ascii="仿宋_GB2312" w:hAnsi="宋体" w:eastAsia="仿宋_GB2312"/>
          <w:color w:val="000000" w:themeColor="text1"/>
          <w:sz w:val="32"/>
          <w:szCs w:val="32"/>
          <w:lang w:val="en-US" w:eastAsia="zh-CN"/>
          <w14:textFill>
            <w14:solidFill>
              <w14:schemeClr w14:val="tx1"/>
            </w14:solidFill>
          </w14:textFill>
        </w:rPr>
        <w:t>100%项目款，项目资金与预算相符合。</w:t>
      </w:r>
    </w:p>
    <w:p>
      <w:pPr>
        <w:numPr>
          <w:ilvl w:val="0"/>
          <w:numId w:val="0"/>
        </w:numPr>
        <w:adjustRightInd w:val="0"/>
        <w:snapToGrid w:val="0"/>
        <w:spacing w:line="600" w:lineRule="exact"/>
        <w:ind w:firstLine="643" w:firstLineChars="200"/>
        <w:outlineLvl w:val="1"/>
        <w:rPr>
          <w:rFonts w:hint="default" w:ascii="楷体_GB2312" w:hAnsi="宋体" w:eastAsia="楷体_GB2312" w:cs="Times New Roman"/>
          <w:b/>
          <w:color w:val="000000" w:themeColor="text1"/>
          <w:sz w:val="32"/>
          <w:szCs w:val="32"/>
          <w:lang w:val="en-US" w:eastAsia="zh-CN"/>
          <w14:textFill>
            <w14:solidFill>
              <w14:schemeClr w14:val="tx1"/>
            </w14:solidFill>
          </w14:textFill>
        </w:rPr>
      </w:pPr>
      <w:bookmarkStart w:id="97" w:name="_Toc13342"/>
      <w:r>
        <w:rPr>
          <w:rFonts w:hint="eastAsia" w:ascii="楷体_GB2312" w:hAnsi="宋体" w:eastAsia="楷体_GB2312"/>
          <w:b/>
          <w:color w:val="000000" w:themeColor="text1"/>
          <w:sz w:val="32"/>
          <w:szCs w:val="32"/>
          <w:lang w:val="en-US" w:eastAsia="zh-CN"/>
          <w14:textFill>
            <w14:solidFill>
              <w14:schemeClr w14:val="tx1"/>
            </w14:solidFill>
          </w14:textFill>
        </w:rPr>
        <w:t>四</w:t>
      </w:r>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、江茸乡白萨福克样养殖基地建设项目</w:t>
      </w:r>
      <w:bookmarkEnd w:id="97"/>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江茸乡白萨福克样养殖基地建设项目</w:t>
      </w:r>
      <w:r>
        <w:rPr>
          <w:rFonts w:hint="eastAsia" w:ascii="仿宋_GB2312" w:hAnsi="仿宋_GB2312" w:eastAsia="仿宋_GB2312" w:cs="仿宋_GB2312"/>
          <w:sz w:val="32"/>
          <w:szCs w:val="32"/>
        </w:rPr>
        <w:t>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96.945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质保金1.305万元，结余1.75万元</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zh-CN" w:eastAsia="zh-CN"/>
          <w14:textFill>
            <w14:solidFill>
              <w14:schemeClr w14:val="tx1"/>
            </w14:solidFill>
          </w14:textFill>
        </w:rPr>
        <w:t>2021年到位，与计划相符合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firstLine="320" w:firstLineChars="1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该项目目前已通过乡、村初验，拨付</w:t>
      </w:r>
      <w:r>
        <w:rPr>
          <w:rFonts w:hint="eastAsia" w:ascii="仿宋_GB2312" w:hAnsi="宋体" w:eastAsia="仿宋_GB2312"/>
          <w:color w:val="000000" w:themeColor="text1"/>
          <w:sz w:val="32"/>
          <w:szCs w:val="32"/>
          <w:lang w:val="en-US" w:eastAsia="zh-CN"/>
          <w14:textFill>
            <w14:solidFill>
              <w14:schemeClr w14:val="tx1"/>
            </w14:solidFill>
          </w14:textFill>
        </w:rPr>
        <w:t>100%项目款，项目资金与预算相低3%。</w:t>
      </w:r>
    </w:p>
    <w:p>
      <w:pPr>
        <w:numPr>
          <w:ilvl w:val="0"/>
          <w:numId w:val="0"/>
        </w:numPr>
        <w:adjustRightInd w:val="0"/>
        <w:snapToGrid w:val="0"/>
        <w:spacing w:line="600" w:lineRule="exact"/>
        <w:ind w:firstLine="643" w:firstLineChars="200"/>
        <w:outlineLvl w:val="1"/>
        <w:rPr>
          <w:rFonts w:hint="default" w:ascii="楷体_GB2312" w:hAnsi="宋体" w:eastAsia="楷体_GB2312" w:cs="Times New Roman"/>
          <w:b/>
          <w:color w:val="000000" w:themeColor="text1"/>
          <w:sz w:val="32"/>
          <w:szCs w:val="32"/>
          <w:lang w:val="en-US" w:eastAsia="zh-CN"/>
          <w14:textFill>
            <w14:solidFill>
              <w14:schemeClr w14:val="tx1"/>
            </w14:solidFill>
          </w14:textFill>
        </w:rPr>
      </w:pPr>
      <w:bookmarkStart w:id="98" w:name="_Toc201"/>
      <w:r>
        <w:rPr>
          <w:rFonts w:hint="eastAsia" w:ascii="楷体_GB2312" w:hAnsi="宋体" w:eastAsia="楷体_GB2312"/>
          <w:b/>
          <w:color w:val="000000" w:themeColor="text1"/>
          <w:sz w:val="32"/>
          <w:szCs w:val="32"/>
          <w:lang w:val="en-US" w:eastAsia="zh-CN"/>
          <w14:textFill>
            <w14:solidFill>
              <w14:schemeClr w14:val="tx1"/>
            </w14:solidFill>
          </w14:textFill>
        </w:rPr>
        <w:t>五、</w:t>
      </w:r>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江茸乡公共厕所建设项目</w:t>
      </w:r>
      <w:bookmarkEnd w:id="98"/>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numPr>
          <w:ilvl w:val="0"/>
          <w:numId w:val="0"/>
        </w:numPr>
        <w:spacing w:line="580" w:lineRule="exact"/>
        <w:ind w:left="319" w:leftChars="152"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江茸乡公共厕所建设项目</w:t>
      </w:r>
      <w:r>
        <w:rPr>
          <w:rFonts w:hint="eastAsia" w:ascii="仿宋_GB2312" w:hAnsi="仿宋_GB2312" w:eastAsia="仿宋_GB2312" w:cs="仿宋_GB2312"/>
          <w:sz w:val="32"/>
          <w:szCs w:val="32"/>
        </w:rPr>
        <w:t>全年预算数</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万元，执行</w:t>
      </w:r>
      <w:r>
        <w:rPr>
          <w:rFonts w:hint="eastAsia" w:ascii="仿宋_GB2312" w:hAnsi="仿宋_GB2312" w:eastAsia="仿宋_GB2312" w:cs="仿宋_GB2312"/>
          <w:sz w:val="32"/>
          <w:szCs w:val="32"/>
          <w:lang w:val="en-US" w:eastAsia="zh-CN"/>
        </w:rPr>
        <w:t>数为34.1961万元，完成预算的95%，结余1.8039万元。</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zh-CN" w:eastAsia="zh-CN"/>
          <w14:textFill>
            <w14:solidFill>
              <w14:schemeClr w14:val="tx1"/>
            </w14:solidFill>
          </w14:textFill>
        </w:rPr>
        <w:t>2021年到位，与计划相符合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firstLine="320" w:firstLineChars="1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lang w:val="en-US" w:eastAsia="zh-CN"/>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该项目目前已通过乡、村初验，拨付</w:t>
      </w:r>
      <w:r>
        <w:rPr>
          <w:rFonts w:hint="eastAsia" w:ascii="仿宋_GB2312" w:hAnsi="宋体" w:eastAsia="仿宋_GB2312"/>
          <w:color w:val="000000" w:themeColor="text1"/>
          <w:sz w:val="32"/>
          <w:szCs w:val="32"/>
          <w:lang w:val="en-US" w:eastAsia="zh-CN"/>
          <w14:textFill>
            <w14:solidFill>
              <w14:schemeClr w14:val="tx1"/>
            </w14:solidFill>
          </w14:textFill>
        </w:rPr>
        <w:t>100%项目款，项目资金与预算相低5%。</w:t>
      </w:r>
    </w:p>
    <w:p>
      <w:pPr>
        <w:pStyle w:val="12"/>
        <w:rPr>
          <w:rFonts w:hint="eastAsia"/>
          <w:lang w:val="zh-CN" w:eastAsia="zh-CN"/>
        </w:rPr>
      </w:pP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（三）项目财务管理情况。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一是项目资金的使用进行透明化管理，资金的来源及使用途径均已公示公告，并成立了以乡纪委成员和村会计的项目资金监管小组做到项目资金用到实处；二是严格按照合同、方案、项目进度拨付资金。</w:t>
      </w:r>
    </w:p>
    <w:p>
      <w:pPr>
        <w:adjustRightInd w:val="0"/>
        <w:snapToGrid w:val="0"/>
        <w:spacing w:line="600" w:lineRule="exact"/>
        <w:ind w:firstLine="720"/>
        <w:outlineLvl w:val="1"/>
        <w:rPr>
          <w:rFonts w:ascii="黑体" w:hAnsi="宋体" w:eastAsia="黑体"/>
          <w:color w:val="000000" w:themeColor="text1"/>
          <w:sz w:val="32"/>
          <w:szCs w:val="32"/>
          <w14:textFill>
            <w14:solidFill>
              <w14:schemeClr w14:val="tx1"/>
            </w14:solidFill>
          </w14:textFill>
        </w:rPr>
      </w:pPr>
      <w:bookmarkStart w:id="99" w:name="_Toc27045"/>
      <w:r>
        <w:rPr>
          <w:rFonts w:hint="eastAsia" w:ascii="黑体" w:hAnsi="宋体" w:eastAsia="黑体"/>
          <w:color w:val="000000" w:themeColor="text1"/>
          <w:sz w:val="32"/>
          <w:szCs w:val="32"/>
          <w14:textFill>
            <w14:solidFill>
              <w14:schemeClr w14:val="tx1"/>
            </w14:solidFill>
          </w14:textFill>
        </w:rPr>
        <w:t>三、项目实施及管理情况</w:t>
      </w:r>
      <w:bookmarkEnd w:id="99"/>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结合项目组织实施管理办法，重点围绕以下内容进行分析评价，并对自评中发现的问题分析说明。</w:t>
      </w:r>
    </w:p>
    <w:p>
      <w:pPr>
        <w:numPr>
          <w:ilvl w:val="0"/>
          <w:numId w:val="7"/>
        </w:num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项目组织架构及实施流程。</w:t>
      </w:r>
    </w:p>
    <w:p>
      <w:pPr>
        <w:adjustRightInd w:val="0"/>
        <w:snapToGrid w:val="0"/>
        <w:spacing w:line="600" w:lineRule="exact"/>
        <w:ind w:firstLine="720"/>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numPr>
          <w:ilvl w:val="0"/>
          <w:numId w:val="7"/>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一是项目资金的使用进行透明化管理，资金的来源及使用途径均已公示公告，并成立了以乡纪委成员和村会计的项目资金监管小组做到项目资金用到实处；二是严格按照合同、方案、项目进度拨付资金。</w:t>
      </w:r>
    </w:p>
    <w:p>
      <w:pPr>
        <w:numPr>
          <w:ilvl w:val="0"/>
          <w:numId w:val="7"/>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adjustRightInd w:val="0"/>
        <w:snapToGrid w:val="0"/>
        <w:spacing w:line="600" w:lineRule="exact"/>
        <w:ind w:firstLine="720"/>
        <w:outlineLvl w:val="1"/>
        <w:rPr>
          <w:rFonts w:ascii="仿宋_GB2312" w:hAnsi="宋体" w:eastAsia="仿宋_GB2312"/>
          <w:color w:val="000000" w:themeColor="text1"/>
          <w:sz w:val="32"/>
          <w:szCs w:val="32"/>
          <w:lang w:val="zh-CN"/>
          <w14:textFill>
            <w14:solidFill>
              <w14:schemeClr w14:val="tx1"/>
            </w14:solidFill>
          </w14:textFill>
        </w:rPr>
      </w:pPr>
      <w:bookmarkStart w:id="100" w:name="_Toc6950"/>
      <w:r>
        <w:rPr>
          <w:rFonts w:hint="eastAsia" w:ascii="黑体" w:hAnsi="宋体" w:eastAsia="黑体"/>
          <w:color w:val="000000" w:themeColor="text1"/>
          <w:sz w:val="32"/>
          <w:szCs w:val="32"/>
          <w14:textFill>
            <w14:solidFill>
              <w14:schemeClr w14:val="tx1"/>
            </w14:solidFill>
          </w14:textFill>
        </w:rPr>
        <w:t>四、项目绩效情况</w:t>
      </w:r>
      <w:bookmarkEnd w:id="100"/>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（一）项目完成情况。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严格按照实施方案完成，完成绩效目标设定的任务量。符合绩效目标设定的验收标准，达到行业基准水平。</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（二）项目效益情况。</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，提高群众、僧众生产、生活、学习的环境设施</w:t>
      </w:r>
      <w:r>
        <w:rPr>
          <w:rFonts w:hint="eastAsia" w:ascii="仿宋_GB2312" w:eastAsia="仿宋_GB2312"/>
          <w:sz w:val="32"/>
          <w:szCs w:val="32"/>
          <w:lang w:eastAsia="zh-CN"/>
        </w:rPr>
        <w:t>，保障群众人身、生产安全，进一步增加牧民收入，提高乡政府办事效率。</w:t>
      </w:r>
    </w:p>
    <w:p>
      <w:pPr>
        <w:adjustRightInd w:val="0"/>
        <w:snapToGrid w:val="0"/>
        <w:spacing w:line="600" w:lineRule="exact"/>
        <w:ind w:firstLine="720"/>
        <w:outlineLvl w:val="1"/>
        <w:rPr>
          <w:rFonts w:ascii="黑体" w:hAnsi="宋体" w:eastAsia="黑体"/>
          <w:color w:val="000000" w:themeColor="text1"/>
          <w:sz w:val="32"/>
          <w:szCs w:val="32"/>
          <w14:textFill>
            <w14:solidFill>
              <w14:schemeClr w14:val="tx1"/>
            </w14:solidFill>
          </w14:textFill>
        </w:rPr>
      </w:pPr>
      <w:bookmarkStart w:id="101" w:name="_Toc30806"/>
      <w:r>
        <w:rPr>
          <w:rFonts w:hint="eastAsia" w:ascii="黑体" w:hAnsi="宋体" w:eastAsia="黑体"/>
          <w:color w:val="000000" w:themeColor="text1"/>
          <w:sz w:val="32"/>
          <w:szCs w:val="32"/>
          <w14:textFill>
            <w14:solidFill>
              <w14:schemeClr w14:val="tx1"/>
            </w14:solidFill>
          </w14:textFill>
        </w:rPr>
        <w:t>五、评价结论及建议</w:t>
      </w:r>
      <w:bookmarkEnd w:id="101"/>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（一）评价结论。</w:t>
      </w:r>
    </w:p>
    <w:p>
      <w:pPr>
        <w:adjustRightInd w:val="0"/>
        <w:snapToGrid w:val="0"/>
        <w:spacing w:line="600" w:lineRule="exact"/>
        <w:ind w:firstLine="640" w:firstLineChars="200"/>
        <w:rPr>
          <w:rFonts w:ascii="仿宋_GB2312" w:hAnsi="宋体" w:eastAsia="仿宋_GB2312"/>
          <w:color w:val="000000" w:themeColor="text1"/>
          <w:sz w:val="32"/>
          <w:szCs w:val="32"/>
          <w:bdr w:val="single" w:color="auto" w:sz="4" w:space="0"/>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项目建成后，后期维护不到位。</w:t>
      </w:r>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建议上级部门拨付后期专项维护费用。</w:t>
      </w:r>
    </w:p>
    <w:p>
      <w:pPr>
        <w:pStyle w:val="17"/>
        <w:rPr>
          <w:rFonts w:ascii="仿宋_GB2312" w:hAnsi="仿宋_GB2312" w:eastAsia="仿宋_GB2312" w:cs="仿宋_GB2312"/>
          <w:sz w:val="32"/>
          <w:szCs w:val="32"/>
        </w:rPr>
      </w:pPr>
    </w:p>
    <w:p>
      <w:pPr>
        <w:widowControl/>
        <w:jc w:val="left"/>
        <w:rPr>
          <w:rStyle w:val="30"/>
          <w:rFonts w:ascii="黑体" w:hAnsi="黑体" w:eastAsia="黑体"/>
          <w:b w:val="0"/>
        </w:rPr>
      </w:pPr>
    </w:p>
    <w:p>
      <w:pPr>
        <w:widowControl/>
        <w:jc w:val="left"/>
        <w:rPr>
          <w:rStyle w:val="30"/>
          <w:rFonts w:ascii="黑体" w:hAnsi="黑体" w:eastAsia="黑体"/>
          <w:b w:val="0"/>
        </w:rPr>
      </w:pPr>
      <w:r>
        <w:rPr>
          <w:rStyle w:val="30"/>
          <w:rFonts w:ascii="黑体" w:hAnsi="黑体" w:eastAsia="黑体"/>
          <w:b w:val="0"/>
        </w:rPr>
        <w:br w:type="page"/>
      </w:r>
    </w:p>
    <w:p>
      <w:pPr>
        <w:spacing w:line="600" w:lineRule="exact"/>
        <w:jc w:val="center"/>
        <w:outlineLvl w:val="9"/>
        <w:rPr>
          <w:rStyle w:val="30"/>
          <w:rFonts w:ascii="黑体" w:hAnsi="黑体" w:eastAsia="黑体"/>
          <w:b w:val="0"/>
        </w:rPr>
      </w:pPr>
    </w:p>
    <w:p>
      <w:pPr>
        <w:spacing w:line="600" w:lineRule="exact"/>
        <w:jc w:val="center"/>
        <w:outlineLvl w:val="0"/>
        <w:rPr>
          <w:rStyle w:val="30"/>
          <w:rFonts w:ascii="黑体" w:hAnsi="黑体" w:eastAsia="黑体"/>
          <w:b w:val="0"/>
        </w:rPr>
      </w:pPr>
      <w:bookmarkStart w:id="102" w:name="_Toc15396618"/>
      <w:bookmarkStart w:id="103" w:name="_Toc10718"/>
      <w:r>
        <w:rPr>
          <w:rFonts w:hint="eastAsia" w:ascii="黑体" w:hAnsi="黑体" w:eastAsia="黑体"/>
          <w:color w:val="000000"/>
          <w:sz w:val="44"/>
          <w:szCs w:val="44"/>
        </w:rPr>
        <w:t>第</w:t>
      </w:r>
      <w:r>
        <w:rPr>
          <w:rStyle w:val="30"/>
          <w:rFonts w:hint="eastAsia" w:ascii="黑体" w:hAnsi="黑体" w:eastAsia="黑体"/>
          <w:b w:val="0"/>
        </w:rPr>
        <w:t>五部分 附表</w:t>
      </w:r>
      <w:bookmarkEnd w:id="82"/>
      <w:bookmarkEnd w:id="102"/>
      <w:bookmarkEnd w:id="103"/>
    </w:p>
    <w:p>
      <w:pPr>
        <w:spacing w:line="600" w:lineRule="exact"/>
        <w:jc w:val="center"/>
        <w:outlineLvl w:val="9"/>
        <w:rPr>
          <w:rFonts w:ascii="仿宋" w:hAnsi="仿宋" w:eastAsia="仿宋"/>
          <w:b/>
          <w:color w:val="000000"/>
          <w:sz w:val="44"/>
          <w:szCs w:val="44"/>
        </w:rPr>
      </w:pPr>
    </w:p>
    <w:p>
      <w:pPr>
        <w:pStyle w:val="4"/>
        <w:rPr>
          <w:rFonts w:ascii="仿宋" w:hAnsi="仿宋" w:eastAsia="仿宋"/>
          <w:color w:val="000000"/>
        </w:rPr>
      </w:pPr>
      <w:bookmarkStart w:id="104" w:name="_Toc15396619"/>
      <w:bookmarkStart w:id="105" w:name="_Toc8039"/>
      <w:r>
        <w:rPr>
          <w:rFonts w:hint="eastAsia" w:ascii="仿宋" w:hAnsi="仿宋" w:eastAsia="仿宋"/>
          <w:b w:val="0"/>
          <w:color w:val="000000"/>
        </w:rPr>
        <w:t>一、</w:t>
      </w:r>
      <w:bookmarkEnd w:id="104"/>
      <w:r>
        <w:rPr>
          <w:rFonts w:hint="eastAsia" w:ascii="仿宋" w:hAnsi="仿宋" w:eastAsia="仿宋"/>
          <w:b w:val="0"/>
          <w:color w:val="000000"/>
        </w:rPr>
        <w:t>收入支出决算总表</w:t>
      </w:r>
      <w:bookmarkEnd w:id="105"/>
    </w:p>
    <w:p>
      <w:pPr>
        <w:pStyle w:val="4"/>
        <w:rPr>
          <w:rFonts w:ascii="仿宋" w:hAnsi="仿宋" w:eastAsia="仿宋"/>
          <w:color w:val="000000"/>
        </w:rPr>
      </w:pPr>
      <w:bookmarkStart w:id="106" w:name="_Toc15396620"/>
      <w:bookmarkStart w:id="107" w:name="_Toc12316"/>
      <w:r>
        <w:rPr>
          <w:rFonts w:hint="eastAsia" w:ascii="仿宋" w:hAnsi="仿宋" w:eastAsia="仿宋"/>
          <w:b w:val="0"/>
          <w:color w:val="000000"/>
        </w:rPr>
        <w:t>二、</w:t>
      </w:r>
      <w:bookmarkEnd w:id="106"/>
      <w:r>
        <w:rPr>
          <w:rFonts w:hint="eastAsia" w:ascii="仿宋" w:hAnsi="仿宋" w:eastAsia="仿宋"/>
          <w:b w:val="0"/>
          <w:color w:val="000000"/>
        </w:rPr>
        <w:t>收入支出决算表</w:t>
      </w:r>
      <w:bookmarkEnd w:id="107"/>
    </w:p>
    <w:p>
      <w:pPr>
        <w:pStyle w:val="4"/>
        <w:rPr>
          <w:rFonts w:ascii="仿宋" w:hAnsi="仿宋" w:eastAsia="仿宋"/>
          <w:color w:val="000000"/>
        </w:rPr>
      </w:pPr>
      <w:bookmarkStart w:id="108" w:name="_Toc15396621"/>
      <w:bookmarkStart w:id="109" w:name="_Toc15102"/>
      <w:r>
        <w:rPr>
          <w:rStyle w:val="31"/>
          <w:rFonts w:hint="eastAsia" w:ascii="仿宋" w:hAnsi="仿宋" w:eastAsia="仿宋"/>
          <w:b w:val="0"/>
          <w:bCs w:val="0"/>
        </w:rPr>
        <w:t>三、</w:t>
      </w:r>
      <w:bookmarkEnd w:id="108"/>
      <w:r>
        <w:rPr>
          <w:rFonts w:hint="eastAsia" w:ascii="仿宋" w:hAnsi="仿宋" w:eastAsia="仿宋"/>
          <w:b w:val="0"/>
          <w:color w:val="000000"/>
        </w:rPr>
        <w:t>收入决算表</w:t>
      </w:r>
      <w:bookmarkEnd w:id="109"/>
    </w:p>
    <w:p>
      <w:pPr>
        <w:pStyle w:val="4"/>
        <w:rPr>
          <w:rFonts w:ascii="仿宋" w:hAnsi="仿宋" w:eastAsia="仿宋"/>
          <w:b w:val="0"/>
          <w:color w:val="000000"/>
        </w:rPr>
      </w:pPr>
      <w:bookmarkStart w:id="110" w:name="_Toc15396622"/>
      <w:bookmarkStart w:id="111" w:name="_Toc28805"/>
      <w:r>
        <w:rPr>
          <w:rStyle w:val="31"/>
          <w:rFonts w:hint="eastAsia" w:ascii="仿宋" w:hAnsi="仿宋" w:eastAsia="仿宋"/>
          <w:b w:val="0"/>
          <w:bCs w:val="0"/>
        </w:rPr>
        <w:t>四、</w:t>
      </w:r>
      <w:bookmarkEnd w:id="110"/>
      <w:r>
        <w:rPr>
          <w:rFonts w:hint="eastAsia" w:ascii="仿宋" w:hAnsi="仿宋" w:eastAsia="仿宋"/>
          <w:b w:val="0"/>
          <w:color w:val="000000"/>
        </w:rPr>
        <w:t>支出决算表</w:t>
      </w:r>
      <w:bookmarkEnd w:id="111"/>
    </w:p>
    <w:p>
      <w:pPr>
        <w:pStyle w:val="4"/>
        <w:rPr>
          <w:rStyle w:val="31"/>
          <w:rFonts w:ascii="仿宋" w:hAnsi="仿宋" w:eastAsia="仿宋"/>
          <w:b w:val="0"/>
          <w:bCs w:val="0"/>
        </w:rPr>
      </w:pPr>
      <w:bookmarkStart w:id="112" w:name="_Toc15396623"/>
      <w:bookmarkStart w:id="113" w:name="_Toc26078"/>
      <w:r>
        <w:rPr>
          <w:rStyle w:val="31"/>
          <w:rFonts w:hint="eastAsia" w:ascii="仿宋" w:hAnsi="仿宋" w:eastAsia="仿宋"/>
          <w:b w:val="0"/>
          <w:bCs w:val="0"/>
        </w:rPr>
        <w:t>五、</w:t>
      </w:r>
      <w:bookmarkEnd w:id="112"/>
      <w:bookmarkStart w:id="114" w:name="_Toc15396624"/>
      <w:r>
        <w:rPr>
          <w:rFonts w:hint="eastAsia" w:ascii="仿宋" w:hAnsi="仿宋" w:eastAsia="仿宋"/>
          <w:b w:val="0"/>
          <w:color w:val="000000"/>
        </w:rPr>
        <w:t>支出决算明细表</w:t>
      </w:r>
      <w:bookmarkEnd w:id="113"/>
    </w:p>
    <w:p>
      <w:pPr>
        <w:pStyle w:val="4"/>
        <w:rPr>
          <w:rFonts w:ascii="仿宋" w:hAnsi="仿宋" w:eastAsia="仿宋"/>
          <w:color w:val="000000"/>
        </w:rPr>
      </w:pPr>
      <w:bookmarkStart w:id="115" w:name="_Toc15033"/>
      <w:r>
        <w:rPr>
          <w:rStyle w:val="31"/>
          <w:rFonts w:hint="eastAsia" w:ascii="仿宋" w:hAnsi="仿宋" w:eastAsia="仿宋"/>
          <w:b w:val="0"/>
          <w:bCs w:val="0"/>
        </w:rPr>
        <w:t>六、</w:t>
      </w:r>
      <w:bookmarkEnd w:id="114"/>
      <w:r>
        <w:rPr>
          <w:rFonts w:hint="eastAsia" w:ascii="仿宋" w:hAnsi="仿宋" w:eastAsia="仿宋"/>
          <w:b w:val="0"/>
          <w:color w:val="000000"/>
        </w:rPr>
        <w:t>项目收入支出决算表</w:t>
      </w:r>
      <w:bookmarkEnd w:id="115"/>
    </w:p>
    <w:p>
      <w:pPr>
        <w:pStyle w:val="4"/>
        <w:rPr>
          <w:rFonts w:ascii="仿宋" w:hAnsi="仿宋" w:eastAsia="仿宋"/>
          <w:color w:val="000000"/>
        </w:rPr>
      </w:pPr>
      <w:bookmarkStart w:id="116" w:name="_Toc15396625"/>
      <w:bookmarkStart w:id="117" w:name="_Toc31078"/>
      <w:r>
        <w:rPr>
          <w:rStyle w:val="31"/>
          <w:rFonts w:hint="eastAsia" w:ascii="仿宋" w:hAnsi="仿宋" w:eastAsia="仿宋"/>
          <w:b w:val="0"/>
          <w:bCs w:val="0"/>
        </w:rPr>
        <w:t>七、</w:t>
      </w:r>
      <w:bookmarkEnd w:id="116"/>
      <w:r>
        <w:rPr>
          <w:rFonts w:hint="eastAsia" w:ascii="仿宋" w:hAnsi="仿宋" w:eastAsia="仿宋"/>
          <w:b w:val="0"/>
          <w:color w:val="000000"/>
        </w:rPr>
        <w:t>一般公共预算财政拨款收入支出决算表</w:t>
      </w:r>
      <w:bookmarkEnd w:id="117"/>
    </w:p>
    <w:p>
      <w:pPr>
        <w:pStyle w:val="4"/>
        <w:rPr>
          <w:rFonts w:hint="eastAsia" w:ascii="仿宋" w:hAnsi="仿宋" w:eastAsia="仿宋"/>
          <w:b w:val="0"/>
          <w:color w:val="000000"/>
        </w:rPr>
      </w:pPr>
      <w:bookmarkStart w:id="118" w:name="_Toc15396626"/>
      <w:bookmarkStart w:id="119" w:name="_Toc12758"/>
      <w:r>
        <w:rPr>
          <w:rStyle w:val="31"/>
          <w:rFonts w:hint="eastAsia" w:ascii="仿宋" w:hAnsi="仿宋" w:eastAsia="仿宋"/>
          <w:b w:val="0"/>
          <w:bCs w:val="0"/>
        </w:rPr>
        <w:t>八、</w:t>
      </w:r>
      <w:bookmarkEnd w:id="118"/>
      <w:bookmarkStart w:id="120" w:name="_Toc15396627"/>
      <w:r>
        <w:rPr>
          <w:rFonts w:hint="eastAsia" w:ascii="仿宋" w:hAnsi="仿宋" w:eastAsia="仿宋"/>
          <w:b w:val="0"/>
          <w:color w:val="000000"/>
        </w:rPr>
        <w:t>一般公共预算财政拨款支出决算明细表</w:t>
      </w:r>
      <w:bookmarkEnd w:id="119"/>
    </w:p>
    <w:p>
      <w:pPr>
        <w:pStyle w:val="4"/>
        <w:rPr>
          <w:rFonts w:hint="eastAsia" w:ascii="仿宋" w:hAnsi="仿宋" w:eastAsia="仿宋"/>
          <w:b w:val="0"/>
          <w:color w:val="000000"/>
        </w:rPr>
      </w:pPr>
      <w:bookmarkStart w:id="121" w:name="_Toc26252"/>
      <w:r>
        <w:rPr>
          <w:rStyle w:val="31"/>
          <w:rFonts w:hint="eastAsia" w:ascii="仿宋" w:hAnsi="仿宋" w:eastAsia="仿宋"/>
          <w:b w:val="0"/>
          <w:bCs w:val="0"/>
        </w:rPr>
        <w:t>九、</w:t>
      </w:r>
      <w:bookmarkEnd w:id="120"/>
      <w:bookmarkStart w:id="122" w:name="_Toc15396628"/>
      <w:r>
        <w:rPr>
          <w:rFonts w:hint="eastAsia" w:ascii="仿宋" w:hAnsi="仿宋" w:eastAsia="仿宋"/>
          <w:b w:val="0"/>
          <w:color w:val="000000"/>
        </w:rPr>
        <w:t>一般公共预算财政拨款基本支出决算明细表</w:t>
      </w:r>
      <w:bookmarkEnd w:id="121"/>
    </w:p>
    <w:p>
      <w:pPr>
        <w:pStyle w:val="4"/>
        <w:rPr>
          <w:rFonts w:ascii="仿宋" w:hAnsi="仿宋" w:eastAsia="仿宋"/>
          <w:color w:val="000000"/>
        </w:rPr>
      </w:pPr>
      <w:bookmarkStart w:id="123" w:name="_Toc15364"/>
      <w:r>
        <w:rPr>
          <w:rStyle w:val="31"/>
          <w:rFonts w:hint="eastAsia" w:ascii="仿宋" w:hAnsi="仿宋" w:eastAsia="仿宋"/>
          <w:b w:val="0"/>
          <w:bCs w:val="0"/>
        </w:rPr>
        <w:t>十、</w:t>
      </w:r>
      <w:bookmarkEnd w:id="122"/>
      <w:r>
        <w:rPr>
          <w:rFonts w:hint="eastAsia" w:ascii="仿宋" w:hAnsi="仿宋" w:eastAsia="仿宋"/>
          <w:b w:val="0"/>
          <w:color w:val="000000"/>
        </w:rPr>
        <w:t>一般公共预算财政拨款项目支出决算明细表</w:t>
      </w:r>
      <w:bookmarkEnd w:id="123"/>
    </w:p>
    <w:p>
      <w:pPr>
        <w:pStyle w:val="4"/>
        <w:rPr>
          <w:rFonts w:ascii="仿宋" w:hAnsi="仿宋" w:eastAsia="仿宋"/>
          <w:color w:val="000000"/>
        </w:rPr>
      </w:pPr>
      <w:bookmarkStart w:id="124" w:name="_Toc15396629"/>
      <w:bookmarkStart w:id="125" w:name="_Toc30658"/>
      <w:r>
        <w:rPr>
          <w:rStyle w:val="31"/>
          <w:rFonts w:hint="eastAsia" w:ascii="仿宋" w:hAnsi="仿宋" w:eastAsia="仿宋"/>
          <w:b w:val="0"/>
          <w:bCs w:val="0"/>
        </w:rPr>
        <w:t>十一、</w:t>
      </w:r>
      <w:bookmarkEnd w:id="124"/>
      <w:r>
        <w:rPr>
          <w:rFonts w:hint="eastAsia" w:ascii="仿宋" w:hAnsi="仿宋" w:eastAsia="仿宋"/>
          <w:b w:val="0"/>
          <w:color w:val="000000"/>
        </w:rPr>
        <w:t>预算支出相关信息表</w:t>
      </w:r>
      <w:bookmarkEnd w:id="125"/>
    </w:p>
    <w:p>
      <w:pPr>
        <w:pStyle w:val="4"/>
        <w:rPr>
          <w:rFonts w:ascii="仿宋" w:hAnsi="仿宋" w:eastAsia="仿宋"/>
          <w:color w:val="000000"/>
        </w:rPr>
      </w:pPr>
      <w:bookmarkStart w:id="126" w:name="_Toc15396630"/>
      <w:bookmarkStart w:id="127" w:name="_Toc2890"/>
      <w:r>
        <w:rPr>
          <w:rStyle w:val="31"/>
          <w:rFonts w:hint="eastAsia" w:ascii="仿宋" w:hAnsi="仿宋" w:eastAsia="仿宋"/>
          <w:b w:val="0"/>
          <w:bCs w:val="0"/>
        </w:rPr>
        <w:t>十二、</w:t>
      </w:r>
      <w:r>
        <w:rPr>
          <w:rFonts w:hint="eastAsia" w:ascii="仿宋" w:hAnsi="仿宋" w:eastAsia="仿宋"/>
          <w:b w:val="0"/>
          <w:color w:val="000000"/>
        </w:rPr>
        <w:t>基本数字表</w:t>
      </w:r>
      <w:bookmarkEnd w:id="126"/>
      <w:bookmarkEnd w:id="127"/>
    </w:p>
    <w:p>
      <w:pPr>
        <w:pStyle w:val="4"/>
        <w:rPr>
          <w:rFonts w:hint="eastAsia" w:ascii="仿宋" w:hAnsi="仿宋" w:eastAsia="仿宋"/>
          <w:b w:val="0"/>
          <w:color w:val="000000"/>
        </w:rPr>
      </w:pPr>
      <w:bookmarkStart w:id="128" w:name="_Toc15396631"/>
      <w:bookmarkStart w:id="129" w:name="_Toc19167"/>
      <w:r>
        <w:rPr>
          <w:rStyle w:val="31"/>
          <w:rFonts w:hint="eastAsia" w:ascii="仿宋" w:hAnsi="仿宋" w:eastAsia="仿宋"/>
          <w:b w:val="0"/>
          <w:bCs w:val="0"/>
        </w:rPr>
        <w:t>十三、</w:t>
      </w:r>
      <w:bookmarkEnd w:id="128"/>
      <w:r>
        <w:rPr>
          <w:rFonts w:hint="eastAsia" w:ascii="仿宋" w:hAnsi="仿宋" w:eastAsia="仿宋"/>
          <w:b w:val="0"/>
          <w:color w:val="000000"/>
        </w:rPr>
        <w:t>机构运行信息表</w:t>
      </w:r>
      <w:bookmarkEnd w:id="129"/>
    </w:p>
    <w:p>
      <w:pPr>
        <w:pStyle w:val="6"/>
        <w:ind w:left="0" w:leftChars="0" w:firstLine="0" w:firstLineChars="0"/>
        <w:rPr>
          <w:rFonts w:hint="eastAsia"/>
          <w:lang w:eastAsia="zh-CN"/>
        </w:rPr>
      </w:pPr>
    </w:p>
    <w:sectPr>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仿宋_GB2312"/>
    <w:panose1 w:val="03000509000000000000"/>
    <w:charset w:val="86"/>
    <w:family w:val="script"/>
    <w:pitch w:val="default"/>
    <w:sig w:usb0="00000000" w:usb1="0000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txbxContent>
              </v:textbox>
            </v:shape>
          </w:pict>
        </mc:Fallback>
      </mc:AlternateConten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BAFAC"/>
    <w:multiLevelType w:val="singleLevel"/>
    <w:tmpl w:val="BBFBAFAC"/>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27A03B2"/>
    <w:multiLevelType w:val="singleLevel"/>
    <w:tmpl w:val="027A03B2"/>
    <w:lvl w:ilvl="0" w:tentative="0">
      <w:start w:val="1"/>
      <w:numFmt w:val="decimal"/>
      <w:lvlText w:val="%1."/>
      <w:lvlJc w:val="left"/>
      <w:pPr>
        <w:tabs>
          <w:tab w:val="left" w:pos="312"/>
        </w:tabs>
      </w:pPr>
    </w:lvl>
  </w:abstractNum>
  <w:abstractNum w:abstractNumId="3">
    <w:nsid w:val="4D9AF260"/>
    <w:multiLevelType w:val="singleLevel"/>
    <w:tmpl w:val="4D9AF260"/>
    <w:lvl w:ilvl="0" w:tentative="0">
      <w:start w:val="1"/>
      <w:numFmt w:val="chineseCounting"/>
      <w:suff w:val="nothing"/>
      <w:lvlText w:val="（%1）"/>
      <w:lvlJc w:val="left"/>
      <w:rPr>
        <w:rFonts w:hint="eastAsia"/>
        <w:lang w:val="en-US"/>
      </w:rPr>
    </w:lvl>
  </w:abstractNum>
  <w:abstractNum w:abstractNumId="4">
    <w:nsid w:val="579EF9E7"/>
    <w:multiLevelType w:val="singleLevel"/>
    <w:tmpl w:val="579EF9E7"/>
    <w:lvl w:ilvl="0" w:tentative="0">
      <w:start w:val="1"/>
      <w:numFmt w:val="decimal"/>
      <w:suff w:val="nothing"/>
      <w:lvlText w:val="%1."/>
      <w:lvlJc w:val="left"/>
    </w:lvl>
  </w:abstractNum>
  <w:abstractNum w:abstractNumId="5">
    <w:nsid w:val="5CB9F824"/>
    <w:multiLevelType w:val="singleLevel"/>
    <w:tmpl w:val="5CB9F824"/>
    <w:lvl w:ilvl="0" w:tentative="0">
      <w:start w:val="1"/>
      <w:numFmt w:val="decimal"/>
      <w:suff w:val="nothing"/>
      <w:lvlText w:val="（%1）"/>
      <w:lvlJc w:val="left"/>
    </w:lvl>
  </w:abstractNum>
  <w:abstractNum w:abstractNumId="6">
    <w:nsid w:val="6B25997A"/>
    <w:multiLevelType w:val="singleLevel"/>
    <w:tmpl w:val="6B25997A"/>
    <w:lvl w:ilvl="0" w:tentative="0">
      <w:start w:val="1"/>
      <w:numFmt w:val="chineseCounting"/>
      <w:suff w:val="nothing"/>
      <w:lvlText w:val="（%1）"/>
      <w:lvlJc w:val="left"/>
      <w:rPr>
        <w:rFonts w:hint="eastAsia"/>
      </w:rPr>
    </w:lvl>
  </w:abstractNum>
  <w:num w:numId="1">
    <w:abstractNumId w:val="2"/>
  </w:num>
  <w:num w:numId="2">
    <w:abstractNumId w:val="5"/>
  </w:num>
  <w:num w:numId="3">
    <w:abstractNumId w:val="1"/>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zZjc1YWQ5MzAzNGQ5ZTMzMTQzNzUxNDZlY2ZjMG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D5680E"/>
    <w:rsid w:val="0A6F4298"/>
    <w:rsid w:val="10C055FF"/>
    <w:rsid w:val="16BB723D"/>
    <w:rsid w:val="183500C9"/>
    <w:rsid w:val="1DA076DC"/>
    <w:rsid w:val="20836900"/>
    <w:rsid w:val="223D08AC"/>
    <w:rsid w:val="240371BF"/>
    <w:rsid w:val="29FD04D3"/>
    <w:rsid w:val="2C4A141C"/>
    <w:rsid w:val="2C673F57"/>
    <w:rsid w:val="319F7F4E"/>
    <w:rsid w:val="35C24C31"/>
    <w:rsid w:val="365340C6"/>
    <w:rsid w:val="37434CCD"/>
    <w:rsid w:val="3B162F0A"/>
    <w:rsid w:val="3BD45317"/>
    <w:rsid w:val="3D9301D1"/>
    <w:rsid w:val="44221C29"/>
    <w:rsid w:val="46596F2F"/>
    <w:rsid w:val="46C43FE0"/>
    <w:rsid w:val="49A465D6"/>
    <w:rsid w:val="49FB4B2E"/>
    <w:rsid w:val="4B1931D8"/>
    <w:rsid w:val="4D1646FD"/>
    <w:rsid w:val="4ECE2238"/>
    <w:rsid w:val="50506A35"/>
    <w:rsid w:val="51FD7221"/>
    <w:rsid w:val="57A70DE1"/>
    <w:rsid w:val="642A7FC1"/>
    <w:rsid w:val="65313523"/>
    <w:rsid w:val="67DB317E"/>
    <w:rsid w:val="68C3694D"/>
    <w:rsid w:val="6F3B504A"/>
    <w:rsid w:val="72734D90"/>
    <w:rsid w:val="72B33C76"/>
    <w:rsid w:val="733009D8"/>
    <w:rsid w:val="75161F2C"/>
    <w:rsid w:val="7A5C3C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6">
    <w:name w:val="Normal Indent"/>
    <w:basedOn w:val="1"/>
    <w:qFormat/>
    <w:uiPriority w:val="0"/>
    <w:pPr>
      <w:ind w:firstLine="420" w:firstLineChars="200"/>
    </w:pPr>
    <w:rPr>
      <w:rFonts w:ascii="Calibri" w:hAnsi="Calibri" w:cs="黑体"/>
    </w:rPr>
  </w:style>
  <w:style w:type="paragraph" w:styleId="7">
    <w:name w:val="toa heading"/>
    <w:basedOn w:val="1"/>
    <w:next w:val="1"/>
    <w:qFormat/>
    <w:uiPriority w:val="0"/>
    <w:pPr>
      <w:spacing w:before="120" w:beforeAutospacing="0"/>
    </w:pPr>
    <w:rPr>
      <w:rFonts w:ascii="Arial" w:hAnsi="Arial"/>
      <w:sz w:val="24"/>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Body Text Indent"/>
    <w:basedOn w:val="1"/>
    <w:qFormat/>
    <w:uiPriority w:val="99"/>
    <w:pPr>
      <w:spacing w:after="120"/>
      <w:ind w:left="420" w:leftChars="200"/>
    </w:pPr>
    <w:rPr>
      <w:szCs w:val="2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next w:val="1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7">
    <w:name w:val="Body Text First Indent 2"/>
    <w:basedOn w:val="9"/>
    <w:qFormat/>
    <w:uiPriority w:val="99"/>
    <w:pPr>
      <w:ind w:firstLine="420" w:firstLineChars="2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3"/>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2"/>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3"/>
    <w:qFormat/>
    <w:uiPriority w:val="9"/>
    <w:rPr>
      <w:rFonts w:ascii="Times New Roman" w:hAnsi="Times New Roman"/>
      <w:b/>
      <w:bCs/>
      <w:kern w:val="44"/>
      <w:sz w:val="44"/>
      <w:szCs w:val="44"/>
    </w:rPr>
  </w:style>
  <w:style w:type="character" w:customStyle="1" w:styleId="31">
    <w:name w:val="标题 2 字符"/>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1"/>
    <w:semiHidden/>
    <w:qFormat/>
    <w:uiPriority w:val="99"/>
    <w:rPr>
      <w:rFonts w:ascii="Times New Roman" w:hAnsi="Times New Roman"/>
      <w:kern w:val="2"/>
      <w:sz w:val="18"/>
      <w:szCs w:val="18"/>
    </w:rPr>
  </w:style>
  <w:style w:type="character" w:customStyle="1" w:styleId="34">
    <w:name w:val="标题 3 字符"/>
    <w:basedOn w:val="19"/>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39">
    <w:name w:val="WPSOffice手动目录 1"/>
    <w:uiPriority w:val="0"/>
    <w:pPr>
      <w:ind w:leftChars="0"/>
    </w:pPr>
    <w:rPr>
      <w:sz w:val="20"/>
      <w:szCs w:val="20"/>
    </w:rPr>
  </w:style>
  <w:style w:type="paragraph" w:customStyle="1" w:styleId="40">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[工作簿1]Sheet1!$C$4</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收入（万元）</c:v>
                </c:pt>
                <c:pt idx="1">
                  <c:v>支出（万元）</c:v>
                </c:pt>
              </c:strCache>
            </c:strRef>
          </c:cat>
          <c:val>
            <c:numRef>
              <c:f>[工作簿1]Sheet1!$D$4:$E$4</c:f>
              <c:numCache>
                <c:formatCode>General</c:formatCode>
                <c:ptCount val="2"/>
                <c:pt idx="0">
                  <c:v>695.56</c:v>
                </c:pt>
                <c:pt idx="1">
                  <c:v>678.7</c:v>
                </c:pt>
              </c:numCache>
            </c:numRef>
          </c:val>
        </c:ser>
        <c:ser>
          <c:idx val="1"/>
          <c:order val="1"/>
          <c:tx>
            <c:strRef>
              <c:f>[工作簿1]Sheet1!$C$5</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收入（万元）</c:v>
                </c:pt>
                <c:pt idx="1">
                  <c:v>支出（万元）</c:v>
                </c:pt>
              </c:strCache>
            </c:strRef>
          </c:cat>
          <c:val>
            <c:numRef>
              <c:f>[工作簿1]Sheet1!$D$5:$E$5</c:f>
              <c:numCache>
                <c:formatCode>General</c:formatCode>
                <c:ptCount val="2"/>
                <c:pt idx="0">
                  <c:v>853.31</c:v>
                </c:pt>
                <c:pt idx="1">
                  <c:v>853.31</c:v>
                </c:pt>
              </c:numCache>
            </c:numRef>
          </c:val>
        </c:ser>
        <c:dLbls>
          <c:showLegendKey val="0"/>
          <c:showVal val="1"/>
          <c:showCatName val="0"/>
          <c:showSerName val="0"/>
          <c:showPercent val="0"/>
          <c:showBubbleSize val="0"/>
        </c:dLbls>
        <c:gapWidth val="219"/>
        <c:overlap val="-27"/>
        <c:axId val="169725620"/>
        <c:axId val="401098016"/>
      </c:barChart>
      <c:catAx>
        <c:axId val="1697256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1098016"/>
        <c:crosses val="autoZero"/>
        <c:auto val="1"/>
        <c:lblAlgn val="ctr"/>
        <c:lblOffset val="100"/>
        <c:noMultiLvlLbl val="0"/>
      </c:catAx>
      <c:valAx>
        <c:axId val="40109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972562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[工作簿1]Sheet1!$A$3</c:f>
              <c:strCache>
                <c:ptCount val="1"/>
                <c:pt idx="0">
                  <c:v>收入决算结构图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100%</a:t>
                    </a:r>
                  </a:p>
                </c:rich>
              </c:tx>
              <c:dLblPos val="ctr"/>
              <c:showLegendKey val="0"/>
              <c:showVal val="1"/>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[工作簿1]Sheet1!$B$2</c:f>
              <c:strCache>
                <c:ptCount val="1"/>
                <c:pt idx="0">
                  <c:v>一般公共预算财政拨款收入</c:v>
                </c:pt>
              </c:strCache>
            </c:strRef>
          </c:cat>
          <c:val>
            <c:numRef>
              <c:f>[工作簿1]Sheet1!$B$3</c:f>
              <c:numCache>
                <c:formatCode>0%</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基本支出</c:v>
                </c:pt>
                <c:pt idx="1">
                  <c:v>项目支出</c:v>
                </c:pt>
              </c:strCache>
            </c:strRef>
          </c:cat>
          <c:val>
            <c:numRef>
              <c:f>[工作簿1]Sheet1!$D$4:$E$4</c:f>
              <c:numCache>
                <c:formatCode>0%</c:formatCode>
                <c:ptCount val="2"/>
                <c:pt idx="0">
                  <c:v>0.82</c:v>
                </c:pt>
                <c:pt idx="1">
                  <c:v>0.18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[工作簿1]Sheet1!$C$4</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收入（万元）</c:v>
                </c:pt>
                <c:pt idx="1">
                  <c:v>支出（万元）</c:v>
                </c:pt>
              </c:strCache>
            </c:strRef>
          </c:cat>
          <c:val>
            <c:numRef>
              <c:f>[工作簿1]Sheet1!$D$4:$E$4</c:f>
              <c:numCache>
                <c:formatCode>General</c:formatCode>
                <c:ptCount val="2"/>
                <c:pt idx="0">
                  <c:v>695.56</c:v>
                </c:pt>
                <c:pt idx="1">
                  <c:v>678.7</c:v>
                </c:pt>
              </c:numCache>
            </c:numRef>
          </c:val>
        </c:ser>
        <c:ser>
          <c:idx val="1"/>
          <c:order val="1"/>
          <c:tx>
            <c:strRef>
              <c:f>[工作簿1]Sheet1!$C$5</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[工作簿1]Sheet1!$D$3:$E$3</c:f>
              <c:strCache>
                <c:ptCount val="2"/>
                <c:pt idx="0">
                  <c:v>收入（万元）</c:v>
                </c:pt>
                <c:pt idx="1">
                  <c:v>支出（万元）</c:v>
                </c:pt>
              </c:strCache>
            </c:strRef>
          </c:cat>
          <c:val>
            <c:numRef>
              <c:f>[工作簿1]Sheet1!$D$5:$E$5</c:f>
              <c:numCache>
                <c:formatCode>General</c:formatCode>
                <c:ptCount val="2"/>
                <c:pt idx="0">
                  <c:v>853.31</c:v>
                </c:pt>
                <c:pt idx="1">
                  <c:v>853.31</c:v>
                </c:pt>
              </c:numCache>
            </c:numRef>
          </c:val>
        </c:ser>
        <c:dLbls>
          <c:showLegendKey val="0"/>
          <c:showVal val="1"/>
          <c:showCatName val="0"/>
          <c:showSerName val="0"/>
          <c:showPercent val="0"/>
          <c:showBubbleSize val="0"/>
        </c:dLbls>
        <c:gapWidth val="219"/>
        <c:overlap val="-27"/>
        <c:axId val="169725620"/>
        <c:axId val="401098016"/>
      </c:barChart>
      <c:catAx>
        <c:axId val="1697256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1098016"/>
        <c:crosses val="autoZero"/>
        <c:auto val="1"/>
        <c:lblAlgn val="ctr"/>
        <c:lblOffset val="100"/>
        <c:noMultiLvlLbl val="0"/>
      </c:catAx>
      <c:valAx>
        <c:axId val="40109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972562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[工作簿1]Sheet1!$G$4</c:f>
              <c:strCache>
                <c:ptCount val="1"/>
                <c:pt idx="0">
                  <c:v>一般公共预算财政拨款（万元）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[工作簿1]Sheet1!$F$5:$F$6</c:f>
              <c:numCache>
                <c:formatCode>General</c:formatCode>
                <c:ptCount val="2"/>
                <c:pt idx="0">
                  <c:v>2020</c:v>
                </c:pt>
                <c:pt idx="1">
                  <c:v>2021</c:v>
                </c:pt>
              </c:numCache>
            </c:numRef>
          </c:cat>
          <c:val>
            <c:numRef>
              <c:f>[工作簿1]Sheet1!$G$5:$G$6</c:f>
              <c:numCache>
                <c:formatCode>General</c:formatCode>
                <c:ptCount val="2"/>
                <c:pt idx="0">
                  <c:v>678.7</c:v>
                </c:pt>
                <c:pt idx="1">
                  <c:v>853.31</c:v>
                </c:pt>
              </c:numCache>
            </c:numRef>
          </c:val>
        </c:ser>
        <c:dLbls>
          <c:showLegendKey val="0"/>
          <c:showVal val="1"/>
          <c:showCatName val="0"/>
          <c:showSerName val="0"/>
          <c:showPercent val="0"/>
          <c:showBubbleSize val="0"/>
        </c:dLbls>
        <c:gapWidth val="219"/>
        <c:overlap val="-27"/>
        <c:axId val="286237299"/>
        <c:axId val="303841188"/>
      </c:barChart>
      <c:catAx>
        <c:axId val="2862372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3841188"/>
        <c:crosses val="autoZero"/>
        <c:auto val="1"/>
        <c:lblAlgn val="ctr"/>
        <c:lblOffset val="100"/>
        <c:noMultiLvlLbl val="0"/>
      </c:catAx>
      <c:valAx>
        <c:axId val="3038411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62372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manualLayout>
          <c:xMode val="edge"/>
          <c:yMode val="edge"/>
          <c:x val="0.195694444444444"/>
          <c:y val="0.0347222222222222"/>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[工作簿1]Sheet1!$G$9:$G$15</c:f>
              <c:strCache>
                <c:ptCount val="7"/>
                <c:pt idx="0">
                  <c:v>一般公共服务类</c:v>
                </c:pt>
                <c:pt idx="1">
                  <c:v>文化旅游体育与传媒（类）</c:v>
                </c:pt>
                <c:pt idx="2">
                  <c:v>社会保障和就业</c:v>
                </c:pt>
                <c:pt idx="3">
                  <c:v>卫生健康</c:v>
                </c:pt>
                <c:pt idx="4">
                  <c:v>城乡社区支出</c:v>
                </c:pt>
                <c:pt idx="5">
                  <c:v>农林水支出</c:v>
                </c:pt>
                <c:pt idx="6">
                  <c:v>住房保障支出</c:v>
                </c:pt>
              </c:strCache>
            </c:strRef>
          </c:cat>
          <c:val>
            <c:numRef>
              <c:f>[工作簿1]Sheet1!$H$9:$H$15</c:f>
              <c:numCache>
                <c:formatCode>0%</c:formatCode>
                <c:ptCount val="7"/>
                <c:pt idx="0">
                  <c:v>0.68</c:v>
                </c:pt>
                <c:pt idx="1" c:formatCode="0.00%">
                  <c:v>0.0058</c:v>
                </c:pt>
                <c:pt idx="2" c:formatCode="0.00%">
                  <c:v>0.144</c:v>
                </c:pt>
                <c:pt idx="3" c:formatCode="0.00%">
                  <c:v>0.0372</c:v>
                </c:pt>
                <c:pt idx="4" c:formatCode="0.00%">
                  <c:v>0.0058</c:v>
                </c:pt>
                <c:pt idx="5" c:formatCode="0.00%">
                  <c:v>0.069</c:v>
                </c:pt>
                <c:pt idx="6" c:formatCode="0.00%">
                  <c:v>0.0582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[工作簿1]Sheet1!$E$6:$G$6</c:f>
              <c:strCache>
                <c:ptCount val="3"/>
                <c:pt idx="0">
                  <c:v>因公出国（境）费支出</c:v>
                </c:pt>
                <c:pt idx="1">
                  <c:v>公务用车购置及运行维护费支出</c:v>
                </c:pt>
                <c:pt idx="2">
                  <c:v>公务接待费支出</c:v>
                </c:pt>
              </c:strCache>
            </c:strRef>
          </c:cat>
          <c:val>
            <c:numRef>
              <c:f>[工作簿1]Sheet1!$E$7:$G$7</c:f>
              <c:numCache>
                <c:formatCode>General</c:formatCode>
                <c:ptCount val="3"/>
                <c:pt idx="0">
                  <c:v>0</c:v>
                </c:pt>
                <c:pt idx="1" c:formatCode="0%">
                  <c:v>0.99</c:v>
                </c:pt>
                <c:pt idx="2" c:formatCode="0%">
                  <c:v>0.01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21243</Words>
  <Characters>22774</Characters>
  <Lines>61</Lines>
  <Paragraphs>17</Paragraphs>
  <TotalTime>0</TotalTime>
  <ScaleCrop>false</ScaleCrop>
  <LinksUpToDate>false</LinksUpToDate>
  <CharactersWithSpaces>23081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2020-07-23T02:58:00Z</cp:lastPrinted>
  <dcterms:modified xsi:type="dcterms:W3CDTF">2022-12-16T08:05:23Z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2B360B6DF48E444FBF355D5C6BD08695</vt:lpwstr>
  </property>
</Properties>
</file>