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rPr>
          <w:rStyle w:val="20"/>
          <w:rFonts w:hint="default" w:ascii="Times New Roman" w:hAnsi="Times New Roman" w:eastAsia="宋体" w:cs="Times New Roman"/>
          <w:b w:val="0"/>
          <w:sz w:val="48"/>
          <w:szCs w:val="48"/>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rPr>
          <w:rFonts w:hint="eastAsia" w:ascii="宋体" w:hAnsi="宋体" w:eastAsia="宋体" w:cs="宋体"/>
          <w:b w:val="0"/>
          <w:kern w:val="0"/>
          <w:sz w:val="48"/>
          <w:szCs w:val="48"/>
        </w:rPr>
      </w:pPr>
      <w:r>
        <w:rPr>
          <w:rStyle w:val="20"/>
          <w:rFonts w:hint="default" w:ascii="Times New Roman" w:hAnsi="Times New Roman" w:eastAsia="宋体" w:cs="Times New Roman"/>
          <w:b w:val="0"/>
          <w:sz w:val="48"/>
          <w:szCs w:val="48"/>
          <w:shd w:val="clear" w:fill="FFFFFF"/>
          <w:lang w:val="en-US" w:eastAsia="zh-CN" w:bidi="ar"/>
        </w:rPr>
        <w:t>202</w:t>
      </w:r>
      <w:r>
        <w:rPr>
          <w:rStyle w:val="20"/>
          <w:rFonts w:hint="eastAsia" w:ascii="Times New Roman" w:hAnsi="Times New Roman" w:cs="Times New Roman"/>
          <w:b w:val="0"/>
          <w:sz w:val="48"/>
          <w:szCs w:val="48"/>
          <w:shd w:val="clear" w:fill="FFFFFF"/>
          <w:lang w:val="en-US" w:eastAsia="zh-CN" w:bidi="ar"/>
        </w:rPr>
        <w:t>1</w:t>
      </w:r>
      <w:r>
        <w:rPr>
          <w:rStyle w:val="20"/>
          <w:rFonts w:hint="eastAsia" w:ascii="宋体" w:hAnsi="宋体" w:eastAsia="宋体" w:cs="宋体"/>
          <w:b w:val="0"/>
          <w:sz w:val="48"/>
          <w:szCs w:val="48"/>
          <w:shd w:val="clear" w:fill="FFFFFF"/>
          <w:lang w:val="en-US" w:eastAsia="zh-CN" w:bidi="ar"/>
        </w:rPr>
        <w:t>年度</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rPr>
          <w:rFonts w:hint="eastAsia" w:ascii="宋体" w:hAnsi="宋体" w:eastAsia="宋体" w:cs="宋体"/>
          <w:b w:val="0"/>
          <w:kern w:val="0"/>
          <w:sz w:val="48"/>
          <w:szCs w:val="48"/>
        </w:rPr>
      </w:pPr>
      <w:r>
        <w:rPr>
          <w:rStyle w:val="20"/>
          <w:rFonts w:hint="eastAsia" w:ascii="宋体" w:hAnsi="宋体" w:eastAsia="宋体" w:cs="宋体"/>
          <w:b w:val="0"/>
          <w:sz w:val="48"/>
          <w:szCs w:val="48"/>
          <w:shd w:val="clear" w:fill="FFFFFF"/>
          <w:lang w:val="en-US" w:eastAsia="zh-CN" w:bidi="ar"/>
        </w:rPr>
        <w:t>阿坝州红原县自然资源局部门决算公开编制说明</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shd w:val="clear" w:fill="FFFFFF"/>
          <w:lang w:val="en-US" w:eastAsia="zh-CN" w:bidi="ar"/>
        </w:rPr>
      </w:pP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center"/>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560" w:firstLineChars="200"/>
        <w:jc w:val="left"/>
        <w:textAlignment w:val="auto"/>
        <w:outlineLvl w:val="0"/>
        <w:rPr>
          <w:rFonts w:hint="eastAsia" w:ascii="宋体" w:hAnsi="宋体" w:eastAsia="宋体" w:cs="宋体"/>
          <w:b w:val="0"/>
          <w:kern w:val="0"/>
          <w:sz w:val="28"/>
          <w:szCs w:val="28"/>
        </w:rPr>
      </w:pPr>
      <w:r>
        <w:rPr>
          <w:rFonts w:hint="eastAsia" w:ascii="宋体" w:hAnsi="宋体" w:eastAsia="宋体" w:cs="宋体"/>
          <w:b w:val="0"/>
          <w:kern w:val="0"/>
          <w:sz w:val="28"/>
          <w:szCs w:val="28"/>
          <w:shd w:val="clear" w:fill="FFFFFF"/>
          <w:lang w:val="en-US" w:eastAsia="zh-CN" w:bidi="ar"/>
        </w:rPr>
        <w:t xml:space="preserve">   </w:t>
      </w:r>
      <w:bookmarkStart w:id="0" w:name="_Toc3192"/>
      <w:bookmarkStart w:id="1" w:name="_Toc30158"/>
      <w:bookmarkStart w:id="2" w:name="_Toc24061"/>
      <w:bookmarkStart w:id="3" w:name="_Toc8490"/>
      <w:bookmarkStart w:id="4" w:name="_Toc14521"/>
      <w:bookmarkStart w:id="5" w:name="_Toc28746"/>
      <w:bookmarkStart w:id="6" w:name="_Toc10042"/>
      <w:r>
        <w:rPr>
          <w:rFonts w:hint="eastAsia" w:ascii="宋体" w:hAnsi="宋体" w:eastAsia="宋体" w:cs="宋体"/>
          <w:b w:val="0"/>
          <w:kern w:val="0"/>
          <w:sz w:val="28"/>
          <w:szCs w:val="28"/>
          <w:shd w:val="clear" w:fill="FFFFFF"/>
          <w:lang w:val="en-US" w:eastAsia="zh-CN" w:bidi="ar"/>
        </w:rPr>
        <w:t>保密审查情况：已审查，内容审定</w:t>
      </w:r>
      <w:bookmarkEnd w:id="0"/>
      <w:bookmarkEnd w:id="1"/>
      <w:bookmarkEnd w:id="2"/>
      <w:bookmarkEnd w:id="3"/>
      <w:bookmarkEnd w:id="4"/>
      <w:bookmarkEnd w:id="5"/>
      <w:bookmarkEnd w:id="6"/>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560" w:firstLineChars="200"/>
        <w:jc w:val="left"/>
        <w:textAlignment w:val="auto"/>
        <w:outlineLvl w:val="0"/>
        <w:rPr>
          <w:rFonts w:hint="eastAsia" w:ascii="宋体" w:hAnsi="宋体" w:eastAsia="宋体" w:cs="宋体"/>
          <w:b w:val="0"/>
          <w:kern w:val="0"/>
          <w:sz w:val="28"/>
          <w:szCs w:val="28"/>
          <w:shd w:val="clear" w:fill="FFFFFF"/>
        </w:rPr>
      </w:pPr>
      <w:r>
        <w:rPr>
          <w:rFonts w:hint="eastAsia" w:ascii="宋体" w:hAnsi="宋体" w:eastAsia="宋体" w:cs="宋体"/>
          <w:b w:val="0"/>
          <w:kern w:val="0"/>
          <w:sz w:val="28"/>
          <w:szCs w:val="28"/>
          <w:shd w:val="clear" w:fill="FFFFFF"/>
          <w:lang w:val="en-US" w:eastAsia="zh-CN" w:bidi="ar"/>
        </w:rPr>
        <w:t xml:space="preserve">   </w:t>
      </w:r>
      <w:bookmarkStart w:id="7" w:name="_Toc10088"/>
      <w:bookmarkStart w:id="8" w:name="_Toc23196"/>
      <w:bookmarkStart w:id="9" w:name="_Toc32544"/>
      <w:bookmarkStart w:id="10" w:name="_Toc23851"/>
      <w:bookmarkStart w:id="11" w:name="_Toc29906"/>
      <w:bookmarkStart w:id="12" w:name="_Toc631"/>
      <w:bookmarkStart w:id="13" w:name="_Toc24561"/>
      <w:r>
        <w:rPr>
          <w:rFonts w:hint="eastAsia" w:ascii="宋体" w:hAnsi="宋体" w:eastAsia="宋体" w:cs="宋体"/>
          <w:b w:val="0"/>
          <w:kern w:val="0"/>
          <w:sz w:val="28"/>
          <w:szCs w:val="28"/>
          <w:shd w:val="clear" w:fill="FFFFFF"/>
          <w:lang w:val="en-US" w:eastAsia="zh-CN" w:bidi="ar"/>
        </w:rPr>
        <w:t>部门主要负责人审签情况：已审签，同意对外公开</w:t>
      </w:r>
      <w:bookmarkEnd w:id="7"/>
      <w:bookmarkEnd w:id="8"/>
      <w:bookmarkEnd w:id="9"/>
      <w:bookmarkEnd w:id="10"/>
      <w:bookmarkEnd w:id="11"/>
      <w:bookmarkEnd w:id="12"/>
      <w:bookmarkEnd w:id="13"/>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right="0"/>
        <w:jc w:val="both"/>
        <w:textAlignment w:val="auto"/>
        <w:outlineLvl w:val="9"/>
        <w:rPr>
          <w:rStyle w:val="20"/>
          <w:rFonts w:hint="eastAsia" w:ascii="宋体" w:hAnsi="宋体" w:eastAsia="宋体" w:cs="宋体"/>
          <w:b/>
          <w:bCs/>
          <w:sz w:val="36"/>
          <w:szCs w:val="36"/>
          <w:shd w:val="clear" w:fill="FFFFFF"/>
          <w:lang w:val="en-US" w:eastAsia="zh-CN" w:bidi="ar"/>
        </w:rPr>
      </w:pPr>
      <w:bookmarkStart w:id="14" w:name="_Toc28634"/>
      <w:bookmarkStart w:id="15" w:name="_Toc21585"/>
      <w:bookmarkStart w:id="16" w:name="_Toc17284"/>
      <w:bookmarkStart w:id="17" w:name="_Toc17244"/>
      <w:bookmarkStart w:id="18" w:name="_Toc5018"/>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right="0"/>
        <w:jc w:val="center"/>
        <w:textAlignment w:val="auto"/>
        <w:outlineLvl w:val="0"/>
        <w:rPr>
          <w:rStyle w:val="20"/>
          <w:rFonts w:hint="eastAsia" w:ascii="宋体" w:hAnsi="宋体" w:eastAsia="宋体" w:cs="宋体"/>
          <w:b/>
          <w:bCs/>
          <w:sz w:val="36"/>
          <w:szCs w:val="36"/>
          <w:shd w:val="clear" w:fill="FFFFFF"/>
          <w:lang w:val="en-US" w:eastAsia="zh-CN" w:bidi="ar"/>
        </w:rPr>
      </w:pPr>
      <w:bookmarkStart w:id="19" w:name="_Toc6776"/>
      <w:bookmarkStart w:id="20" w:name="_Toc21832"/>
      <w:r>
        <w:rPr>
          <w:rStyle w:val="20"/>
          <w:rFonts w:hint="eastAsia" w:ascii="宋体" w:hAnsi="宋体" w:eastAsia="宋体" w:cs="宋体"/>
          <w:b/>
          <w:bCs/>
          <w:sz w:val="36"/>
          <w:szCs w:val="36"/>
          <w:shd w:val="clear" w:fill="FFFFFF"/>
          <w:lang w:val="en-US" w:eastAsia="zh-CN" w:bidi="ar"/>
        </w:rPr>
        <w:t>目</w:t>
      </w:r>
      <w:r>
        <w:rPr>
          <w:rStyle w:val="20"/>
          <w:rFonts w:hint="default" w:ascii="Times New Roman" w:hAnsi="Times New Roman" w:eastAsia="宋体" w:cs="Times New Roman"/>
          <w:b/>
          <w:bCs/>
          <w:sz w:val="36"/>
          <w:szCs w:val="36"/>
          <w:shd w:val="clear" w:fill="FFFFFF"/>
          <w:lang w:val="en-US" w:eastAsia="zh-CN" w:bidi="ar"/>
        </w:rPr>
        <w:t xml:space="preserve">        </w:t>
      </w:r>
      <w:r>
        <w:rPr>
          <w:rStyle w:val="20"/>
          <w:rFonts w:hint="eastAsia" w:ascii="宋体" w:hAnsi="宋体" w:eastAsia="宋体" w:cs="宋体"/>
          <w:b/>
          <w:bCs/>
          <w:sz w:val="36"/>
          <w:szCs w:val="36"/>
          <w:shd w:val="clear" w:fill="FFFFFF"/>
          <w:lang w:val="en-US" w:eastAsia="zh-CN" w:bidi="ar"/>
        </w:rPr>
        <w:t>录</w:t>
      </w:r>
      <w:bookmarkEnd w:id="14"/>
      <w:bookmarkEnd w:id="15"/>
      <w:bookmarkEnd w:id="16"/>
      <w:bookmarkEnd w:id="17"/>
      <w:bookmarkEnd w:id="18"/>
      <w:bookmarkEnd w:id="19"/>
      <w:bookmarkEnd w:id="20"/>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right="0"/>
        <w:jc w:val="center"/>
        <w:textAlignment w:val="auto"/>
        <w:outlineLvl w:val="0"/>
        <w:rPr>
          <w:rStyle w:val="20"/>
          <w:rFonts w:hint="eastAsia" w:ascii="宋体" w:hAnsi="宋体" w:eastAsia="宋体" w:cs="宋体"/>
          <w:b/>
          <w:bCs/>
          <w:sz w:val="36"/>
          <w:szCs w:val="36"/>
          <w:shd w:val="clear" w:fill="FFFFFF"/>
          <w:lang w:val="en-US" w:eastAsia="zh-CN" w:bidi="ar"/>
        </w:rPr>
      </w:pP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center"/>
        <w:textAlignment w:val="auto"/>
        <w:outlineLvl w:val="1"/>
        <w:rPr>
          <w:rFonts w:hint="default" w:ascii="仿宋_GB2312" w:hAnsi="仿宋" w:eastAsia="仿宋_GB2312" w:cs="仿宋_GB2312"/>
          <w:b w:val="0"/>
          <w:kern w:val="0"/>
          <w:sz w:val="32"/>
          <w:szCs w:val="32"/>
          <w:lang w:val="en-US" w:eastAsia="zh-CN" w:bidi="ar"/>
        </w:rPr>
      </w:pPr>
      <w:bookmarkStart w:id="21" w:name="_Toc28547"/>
      <w:bookmarkStart w:id="22" w:name="_Toc31282"/>
      <w:bookmarkStart w:id="23" w:name="_Toc27725"/>
      <w:bookmarkStart w:id="24" w:name="_Toc3941"/>
      <w:bookmarkStart w:id="25" w:name="_Toc13739"/>
      <w:bookmarkStart w:id="26" w:name="_Toc10807"/>
      <w:bookmarkStart w:id="27" w:name="_Toc745"/>
      <w:r>
        <w:rPr>
          <w:rFonts w:hint="default" w:ascii="仿宋_GB2312" w:hAnsi="仿宋" w:eastAsia="仿宋_GB2312" w:cs="仿宋_GB2312"/>
          <w:b w:val="0"/>
          <w:kern w:val="0"/>
          <w:sz w:val="32"/>
          <w:szCs w:val="32"/>
          <w:lang w:val="en-US" w:eastAsia="zh-CN" w:bidi="ar"/>
        </w:rPr>
        <w:t>公开时间：</w:t>
      </w:r>
      <w:r>
        <w:rPr>
          <w:rFonts w:hint="default" w:ascii="仿宋_GB2312" w:hAnsi="仿宋" w:eastAsia="仿宋_GB2312" w:cs="仿宋"/>
          <w:b w:val="0"/>
          <w:kern w:val="0"/>
          <w:sz w:val="32"/>
          <w:szCs w:val="32"/>
          <w:lang w:val="en-US" w:eastAsia="zh-CN" w:bidi="ar"/>
        </w:rPr>
        <w:t>202</w:t>
      </w:r>
      <w:r>
        <w:rPr>
          <w:rFonts w:hint="eastAsia" w:ascii="仿宋_GB2312" w:hAnsi="仿宋" w:eastAsia="仿宋_GB2312" w:cs="仿宋"/>
          <w:b w:val="0"/>
          <w:kern w:val="0"/>
          <w:sz w:val="32"/>
          <w:szCs w:val="32"/>
          <w:lang w:val="en-US" w:eastAsia="zh-CN" w:bidi="ar"/>
        </w:rPr>
        <w:t>2</w:t>
      </w:r>
      <w:r>
        <w:rPr>
          <w:rFonts w:hint="default" w:ascii="仿宋_GB2312" w:hAnsi="仿宋" w:eastAsia="仿宋_GB2312" w:cs="仿宋"/>
          <w:b w:val="0"/>
          <w:kern w:val="0"/>
          <w:sz w:val="32"/>
          <w:szCs w:val="32"/>
          <w:lang w:val="en-US" w:eastAsia="zh-CN" w:bidi="ar"/>
        </w:rPr>
        <w:t>年 1</w:t>
      </w:r>
      <w:r>
        <w:rPr>
          <w:rFonts w:hint="eastAsia" w:ascii="仿宋_GB2312" w:hAnsi="仿宋" w:eastAsia="仿宋_GB2312" w:cs="仿宋"/>
          <w:b w:val="0"/>
          <w:kern w:val="0"/>
          <w:sz w:val="32"/>
          <w:szCs w:val="32"/>
          <w:lang w:val="en-US" w:eastAsia="zh-CN" w:bidi="ar"/>
        </w:rPr>
        <w:t>2</w:t>
      </w:r>
      <w:r>
        <w:rPr>
          <w:rFonts w:hint="default" w:ascii="仿宋_GB2312" w:hAnsi="仿宋" w:eastAsia="仿宋_GB2312" w:cs="仿宋_GB2312"/>
          <w:b w:val="0"/>
          <w:kern w:val="0"/>
          <w:sz w:val="32"/>
          <w:szCs w:val="32"/>
          <w:lang w:val="en-US" w:eastAsia="zh-CN" w:bidi="ar"/>
        </w:rPr>
        <w:t>月</w:t>
      </w:r>
      <w:r>
        <w:rPr>
          <w:rFonts w:hint="eastAsia" w:ascii="仿宋_GB2312" w:hAnsi="仿宋" w:eastAsia="仿宋_GB2312" w:cs="仿宋_GB2312"/>
          <w:b w:val="0"/>
          <w:kern w:val="0"/>
          <w:sz w:val="32"/>
          <w:szCs w:val="32"/>
          <w:lang w:val="en-US" w:eastAsia="zh-CN" w:bidi="ar"/>
        </w:rPr>
        <w:t>19</w:t>
      </w:r>
      <w:r>
        <w:rPr>
          <w:rFonts w:hint="default" w:ascii="仿宋_GB2312" w:hAnsi="仿宋" w:eastAsia="仿宋_GB2312" w:cs="仿宋_GB2312"/>
          <w:b w:val="0"/>
          <w:kern w:val="0"/>
          <w:sz w:val="32"/>
          <w:szCs w:val="32"/>
          <w:lang w:val="en-US" w:eastAsia="zh-CN" w:bidi="ar"/>
        </w:rPr>
        <w:t>日</w:t>
      </w:r>
      <w:bookmarkEnd w:id="21"/>
      <w:bookmarkEnd w:id="22"/>
      <w:bookmarkEnd w:id="23"/>
      <w:bookmarkEnd w:id="24"/>
      <w:bookmarkEnd w:id="25"/>
      <w:bookmarkEnd w:id="26"/>
      <w:bookmarkEnd w:id="27"/>
    </w:p>
    <w:sdt>
      <w:sdtPr>
        <w:rPr>
          <w:rFonts w:ascii="宋体" w:hAnsi="宋体" w:eastAsia="宋体" w:cstheme="minorBidi"/>
          <w:kern w:val="2"/>
          <w:sz w:val="21"/>
          <w:szCs w:val="24"/>
          <w:lang w:val="en-US" w:eastAsia="zh-CN" w:bidi="ar-SA"/>
        </w:rPr>
        <w:id w:val="147478843"/>
        <w15:color w:val="DBDBDB"/>
        <w:docPartObj>
          <w:docPartGallery w:val="Table of Contents"/>
          <w:docPartUnique/>
        </w:docPartObj>
      </w:sdtPr>
      <w:sdtEndPr>
        <w:rPr>
          <w:rFonts w:hint="default" w:ascii="宋体" w:hAnsi="宋体" w:eastAsia="宋体" w:cs="Courier New"/>
          <w:kern w:val="0"/>
          <w:sz w:val="24"/>
          <w:szCs w:val="24"/>
          <w:lang w:val="en-US" w:eastAsia="zh-CN" w:bidi="ar"/>
        </w:rPr>
      </w:sdtEndPr>
      <w:sdtContent>
        <w:p>
          <w:pPr>
            <w:spacing w:before="0" w:beforeLines="0" w:after="0" w:afterLines="0" w:line="240" w:lineRule="auto"/>
            <w:ind w:left="0" w:leftChars="0" w:right="0" w:rightChars="0" w:firstLine="0" w:firstLineChars="0"/>
            <w:jc w:val="center"/>
          </w:pP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rPr>
              <w:rFonts w:hint="default"/>
              <w:lang w:val="en-US" w:eastAsia="zh-CN"/>
            </w:rPr>
            <w:fldChar w:fldCharType="begin"/>
          </w:r>
          <w:r>
            <w:rPr>
              <w:rFonts w:hint="default"/>
              <w:lang w:val="en-US" w:eastAsia="zh-CN"/>
            </w:rPr>
            <w:instrText xml:space="preserve">TOC \o "1-3" \h \u </w:instrText>
          </w:r>
          <w:r>
            <w:rPr>
              <w:rFonts w:hint="default"/>
              <w:lang w:val="en-US" w:eastAsia="zh-CN"/>
            </w:rPr>
            <w:fldChar w:fldCharType="separate"/>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rPr>
              <w:rFonts w:hint="default"/>
              <w:lang w:val="en-US" w:eastAsia="zh-CN"/>
            </w:rPr>
            <w:fldChar w:fldCharType="begin"/>
          </w:r>
          <w:r>
            <w:rPr>
              <w:rFonts w:hint="default"/>
              <w:lang w:val="en-US" w:eastAsia="zh-CN"/>
            </w:rPr>
            <w:instrText xml:space="preserve"> HYPERLINK \l _Toc9516 </w:instrText>
          </w:r>
          <w:r>
            <w:rPr>
              <w:rFonts w:hint="default"/>
              <w:lang w:val="en-US" w:eastAsia="zh-CN"/>
            </w:rPr>
            <w:fldChar w:fldCharType="separate"/>
          </w:r>
          <w:r>
            <w:rPr>
              <w:rFonts w:hint="default" w:ascii="黑体" w:hAnsi="宋体" w:eastAsia="黑体" w:cs="黑体"/>
              <w:kern w:val="0"/>
              <w:szCs w:val="48"/>
              <w:lang w:val="en-US" w:eastAsia="zh-CN" w:bidi="ar"/>
            </w:rPr>
            <w:t>第一部分 部门概况</w:t>
          </w:r>
          <w:r>
            <w:tab/>
          </w:r>
          <w:r>
            <w:fldChar w:fldCharType="begin"/>
          </w:r>
          <w:r>
            <w:instrText xml:space="preserve"> PAGEREF _Toc9516 </w:instrText>
          </w:r>
          <w:r>
            <w:fldChar w:fldCharType="separate"/>
          </w:r>
          <w:r>
            <w:t>3</w:t>
          </w:r>
          <w:r>
            <w:fldChar w:fldCharType="end"/>
          </w:r>
          <w:r>
            <w:rPr>
              <w:rFonts w:hint="default"/>
              <w:lang w:val="en-US" w:eastAsia="zh-CN"/>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\l _Toc19099 </w:instrText>
          </w:r>
          <w:r>
            <w:rPr>
              <w:rFonts w:hint="eastAsia" w:ascii="仿宋" w:hAnsi="仿宋" w:eastAsia="仿宋" w:cs="仿宋"/>
              <w:sz w:val="30"/>
              <w:szCs w:val="30"/>
              <w:lang w:val="en-US" w:eastAsia="zh-CN"/>
            </w:rPr>
            <w:fldChar w:fldCharType="separate"/>
          </w:r>
          <w:r>
            <w:rPr>
              <w:rFonts w:hint="eastAsia" w:ascii="仿宋" w:hAnsi="仿宋" w:eastAsia="仿宋" w:cs="仿宋"/>
              <w:bCs/>
              <w:kern w:val="0"/>
              <w:sz w:val="30"/>
              <w:szCs w:val="30"/>
              <w:lang w:val="en-US" w:eastAsia="zh-CN" w:bidi="ar"/>
            </w:rPr>
            <w:t>一、基本职能及主要工作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_Toc19099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lang w:val="en-US" w:eastAsia="zh-CN"/>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pP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\l _Toc4099 </w:instrText>
          </w:r>
          <w:r>
            <w:rPr>
              <w:rFonts w:hint="eastAsia" w:ascii="仿宋" w:hAnsi="仿宋" w:eastAsia="仿宋" w:cs="仿宋"/>
              <w:sz w:val="30"/>
              <w:szCs w:val="30"/>
              <w:lang w:val="en-US" w:eastAsia="zh-CN"/>
            </w:rPr>
            <w:fldChar w:fldCharType="separate"/>
          </w:r>
          <w:r>
            <w:rPr>
              <w:rFonts w:hint="eastAsia" w:ascii="仿宋" w:hAnsi="仿宋" w:eastAsia="仿宋" w:cs="仿宋"/>
              <w:bCs/>
              <w:kern w:val="0"/>
              <w:sz w:val="30"/>
              <w:szCs w:val="30"/>
              <w:lang w:val="en-US" w:eastAsia="zh-CN" w:bidi="ar"/>
            </w:rPr>
            <w:t>二、2021年重点工作完成情况。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_Toc4099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lang w:val="en-US" w:eastAsia="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rPr>
              <w:rFonts w:hint="default"/>
              <w:lang w:val="en-US" w:eastAsia="zh-CN"/>
            </w:rPr>
            <w:fldChar w:fldCharType="begin"/>
          </w:r>
          <w:r>
            <w:rPr>
              <w:rFonts w:hint="default"/>
              <w:lang w:val="en-US" w:eastAsia="zh-CN"/>
            </w:rPr>
            <w:instrText xml:space="preserve"> HYPERLINK \l _Toc25194 </w:instrText>
          </w:r>
          <w:r>
            <w:rPr>
              <w:rFonts w:hint="default"/>
              <w:lang w:val="en-US" w:eastAsia="zh-CN"/>
            </w:rPr>
            <w:fldChar w:fldCharType="separate"/>
          </w:r>
          <w:r>
            <w:rPr>
              <w:rFonts w:hint="eastAsia" w:ascii="黑体" w:hAnsi="宋体" w:eastAsia="黑体" w:cs="黑体"/>
              <w:kern w:val="0"/>
              <w:szCs w:val="48"/>
              <w:lang w:val="en-US" w:eastAsia="zh-CN" w:bidi="ar"/>
            </w:rPr>
            <w:t>第二部分2021年度部门决算情况说明</w:t>
          </w:r>
          <w:r>
            <w:tab/>
          </w:r>
          <w:r>
            <w:fldChar w:fldCharType="begin"/>
          </w:r>
          <w:r>
            <w:instrText xml:space="preserve"> PAGEREF _Toc25194 </w:instrText>
          </w:r>
          <w:r>
            <w:fldChar w:fldCharType="separate"/>
          </w:r>
          <w:r>
            <w:t>9</w:t>
          </w:r>
          <w:r>
            <w:fldChar w:fldCharType="end"/>
          </w:r>
          <w:r>
            <w:rPr>
              <w:rFonts w:hint="default"/>
              <w:lang w:val="en-US" w:eastAsia="zh-CN"/>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_Toc2376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一、收入支出决算总体情况说明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_Toc2376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9</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_Toc3890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二、收入决算情况说明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_Toc3890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10</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_Toc141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三、支出决算情况说明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_Toc141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10</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_Toc19555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四、一般公共预算财政拨款支出决算情况说明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_Toc19555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11</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_Toc19869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五、一般公共预算财政拨款基本支出决算情况说明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_Toc19869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12</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_Toc3689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六、“三公”经费、会议、培训费支出决算情况说明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_Toc3689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14</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_Toc26251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七、政府性基金预算支出决算情况说明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_Toc26251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15</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rPr>
              <w:rFonts w:hint="eastAsia" w:ascii="仿宋" w:hAnsi="仿宋" w:eastAsia="仿宋" w:cs="仿宋"/>
              <w:bCs/>
              <w:kern w:val="0"/>
              <w:sz w:val="30"/>
              <w:szCs w:val="30"/>
              <w:lang w:val="en-US" w:eastAsia="zh-CN" w:bidi="ar"/>
            </w:rPr>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_Toc5831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八、国有资本经营预算支出决算情况说明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_Toc5831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15</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ind w:left="315" w:leftChars="150"/>
            <w:textAlignment w:val="auto"/>
          </w:pPr>
          <w:r>
            <w:rPr>
              <w:rFonts w:hint="default" w:ascii="仿宋" w:hAnsi="仿宋" w:eastAsia="仿宋" w:cs="仿宋"/>
              <w:bCs/>
              <w:kern w:val="0"/>
              <w:sz w:val="30"/>
              <w:szCs w:val="30"/>
              <w:lang w:val="en-US" w:eastAsia="zh-CN" w:bidi="ar"/>
            </w:rPr>
            <w:fldChar w:fldCharType="begin"/>
          </w:r>
          <w:r>
            <w:rPr>
              <w:rFonts w:hint="default" w:ascii="仿宋" w:hAnsi="仿宋" w:eastAsia="仿宋" w:cs="仿宋"/>
              <w:bCs/>
              <w:kern w:val="0"/>
              <w:sz w:val="30"/>
              <w:szCs w:val="30"/>
              <w:lang w:val="en-US" w:eastAsia="zh-CN" w:bidi="ar"/>
            </w:rPr>
            <w:instrText xml:space="preserve"> HYPERLINK \l _Toc921 </w:instrText>
          </w:r>
          <w:r>
            <w:rPr>
              <w:rFonts w:hint="default"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九、其他重要事项的情况说明</w:t>
          </w:r>
          <w:r>
            <w:rPr>
              <w:rFonts w:hint="eastAsia" w:ascii="仿宋" w:hAnsi="仿宋" w:eastAsia="仿宋" w:cs="仿宋"/>
              <w:bCs/>
              <w:kern w:val="0"/>
              <w:sz w:val="30"/>
              <w:szCs w:val="30"/>
              <w:lang w:val="en-US" w:eastAsia="zh-CN" w:bidi="ar"/>
            </w:rPr>
            <w:tab/>
          </w:r>
          <w:r>
            <w:rPr>
              <w:rFonts w:hint="eastAsia" w:ascii="仿宋" w:hAnsi="仿宋" w:eastAsia="仿宋" w:cs="仿宋"/>
              <w:bCs/>
              <w:kern w:val="0"/>
              <w:sz w:val="30"/>
              <w:szCs w:val="30"/>
              <w:lang w:val="en-US" w:eastAsia="zh-CN" w:bidi="ar"/>
            </w:rPr>
            <w:fldChar w:fldCharType="begin"/>
          </w:r>
          <w:r>
            <w:rPr>
              <w:rFonts w:hint="eastAsia" w:ascii="仿宋" w:hAnsi="仿宋" w:eastAsia="仿宋" w:cs="仿宋"/>
              <w:bCs/>
              <w:kern w:val="0"/>
              <w:sz w:val="30"/>
              <w:szCs w:val="30"/>
              <w:lang w:val="en-US" w:eastAsia="zh-CN" w:bidi="ar"/>
            </w:rPr>
            <w:instrText xml:space="preserve"> PAGEREF _Toc921 </w:instrText>
          </w:r>
          <w:r>
            <w:rPr>
              <w:rFonts w:hint="eastAsia" w:ascii="仿宋" w:hAnsi="仿宋" w:eastAsia="仿宋" w:cs="仿宋"/>
              <w:bCs/>
              <w:kern w:val="0"/>
              <w:sz w:val="30"/>
              <w:szCs w:val="30"/>
              <w:lang w:val="en-US" w:eastAsia="zh-CN" w:bidi="ar"/>
            </w:rPr>
            <w:fldChar w:fldCharType="separate"/>
          </w:r>
          <w:r>
            <w:rPr>
              <w:rFonts w:hint="eastAsia" w:ascii="仿宋" w:hAnsi="仿宋" w:eastAsia="仿宋" w:cs="仿宋"/>
              <w:bCs/>
              <w:kern w:val="0"/>
              <w:sz w:val="30"/>
              <w:szCs w:val="30"/>
              <w:lang w:val="en-US" w:eastAsia="zh-CN" w:bidi="ar"/>
            </w:rPr>
            <w:t>15</w:t>
          </w:r>
          <w:r>
            <w:rPr>
              <w:rFonts w:hint="eastAsia" w:ascii="仿宋" w:hAnsi="仿宋" w:eastAsia="仿宋" w:cs="仿宋"/>
              <w:bCs/>
              <w:kern w:val="0"/>
              <w:sz w:val="30"/>
              <w:szCs w:val="30"/>
              <w:lang w:val="en-US" w:eastAsia="zh-CN" w:bidi="ar"/>
            </w:rPr>
            <w:fldChar w:fldCharType="end"/>
          </w:r>
          <w:r>
            <w:rPr>
              <w:rFonts w:hint="default" w:ascii="仿宋" w:hAnsi="仿宋" w:eastAsia="仿宋" w:cs="仿宋"/>
              <w:bCs/>
              <w:kern w:val="0"/>
              <w:sz w:val="30"/>
              <w:szCs w:val="30"/>
              <w:lang w:val="en-US" w:eastAsia="zh-CN" w:bidi="ar"/>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rPr>
              <w:rFonts w:hint="default"/>
              <w:lang w:val="en-US" w:eastAsia="zh-CN"/>
            </w:rPr>
            <w:fldChar w:fldCharType="begin"/>
          </w:r>
          <w:r>
            <w:rPr>
              <w:rFonts w:hint="default"/>
              <w:lang w:val="en-US" w:eastAsia="zh-CN"/>
            </w:rPr>
            <w:instrText xml:space="preserve"> HYPERLINK \l _Toc3649 </w:instrText>
          </w:r>
          <w:r>
            <w:rPr>
              <w:rFonts w:hint="default"/>
              <w:lang w:val="en-US" w:eastAsia="zh-CN"/>
            </w:rPr>
            <w:fldChar w:fldCharType="separate"/>
          </w:r>
          <w:r>
            <w:rPr>
              <w:rFonts w:hint="eastAsia" w:ascii="黑体" w:hAnsi="宋体" w:eastAsia="黑体" w:cs="黑体"/>
              <w:kern w:val="0"/>
              <w:szCs w:val="48"/>
              <w:lang w:val="en-US" w:eastAsia="zh-CN" w:bidi="ar"/>
            </w:rPr>
            <w:t>第三部分 名词解释</w:t>
          </w:r>
          <w:r>
            <w:tab/>
          </w:r>
          <w:r>
            <w:fldChar w:fldCharType="begin"/>
          </w:r>
          <w:r>
            <w:instrText xml:space="preserve"> PAGEREF _Toc3649 </w:instrText>
          </w:r>
          <w:r>
            <w:fldChar w:fldCharType="separate"/>
          </w:r>
          <w:r>
            <w:t>17</w:t>
          </w:r>
          <w:r>
            <w:fldChar w:fldCharType="end"/>
          </w:r>
          <w:r>
            <w:rPr>
              <w:rFonts w:hint="default"/>
              <w:lang w:val="en-US" w:eastAsia="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rPr>
              <w:rFonts w:hint="default"/>
              <w:lang w:val="en-US" w:eastAsia="zh-CN"/>
            </w:rPr>
            <w:fldChar w:fldCharType="begin"/>
          </w:r>
          <w:r>
            <w:rPr>
              <w:rFonts w:hint="default"/>
              <w:lang w:val="en-US" w:eastAsia="zh-CN"/>
            </w:rPr>
            <w:instrText xml:space="preserve"> HYPERLINK \l _Toc24036 </w:instrText>
          </w:r>
          <w:r>
            <w:rPr>
              <w:rFonts w:hint="default"/>
              <w:lang w:val="en-US" w:eastAsia="zh-CN"/>
            </w:rPr>
            <w:fldChar w:fldCharType="separate"/>
          </w:r>
          <w:r>
            <w:rPr>
              <w:rFonts w:hint="eastAsia" w:ascii="黑体" w:hAnsi="宋体" w:eastAsia="黑体" w:cs="黑体"/>
              <w:kern w:val="0"/>
              <w:szCs w:val="48"/>
              <w:lang w:val="en-US" w:eastAsia="zh-CN" w:bidi="ar"/>
            </w:rPr>
            <w:t>第</w:t>
          </w:r>
          <w:r>
            <w:rPr>
              <w:rFonts w:hint="eastAsia" w:ascii="黑体" w:hAnsi="宋体" w:eastAsia="黑体" w:cs="黑体"/>
              <w:kern w:val="44"/>
              <w:szCs w:val="52"/>
              <w:lang w:val="en-US" w:eastAsia="zh-CN" w:bidi="ar"/>
            </w:rPr>
            <w:t>四部分</w:t>
          </w:r>
          <w:r>
            <w:rPr>
              <w:rFonts w:hint="eastAsia" w:ascii="黑体" w:hAnsi="宋体" w:eastAsia="黑体" w:cs="宋体"/>
              <w:kern w:val="44"/>
              <w:szCs w:val="52"/>
              <w:lang w:val="en-US" w:eastAsia="zh-CN" w:bidi="ar"/>
            </w:rPr>
            <w:t xml:space="preserve"> </w:t>
          </w:r>
          <w:r>
            <w:rPr>
              <w:rFonts w:hint="eastAsia" w:ascii="黑体" w:hAnsi="宋体" w:eastAsia="黑体" w:cs="黑体"/>
              <w:kern w:val="44"/>
              <w:szCs w:val="52"/>
              <w:lang w:val="en-US" w:eastAsia="zh-CN" w:bidi="ar"/>
            </w:rPr>
            <w:t>附件</w:t>
          </w:r>
          <w:r>
            <w:tab/>
          </w:r>
          <w:r>
            <w:fldChar w:fldCharType="begin"/>
          </w:r>
          <w:r>
            <w:instrText xml:space="preserve"> PAGEREF _Toc24036 </w:instrText>
          </w:r>
          <w:r>
            <w:fldChar w:fldCharType="separate"/>
          </w:r>
          <w:r>
            <w:t>21</w:t>
          </w:r>
          <w:r>
            <w:fldChar w:fldCharType="end"/>
          </w:r>
          <w:r>
            <w:rPr>
              <w:rFonts w:hint="default"/>
              <w:lang w:val="en-US" w:eastAsia="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rPr>
              <w:rFonts w:hint="eastAsia" w:ascii="仿宋" w:hAnsi="仿宋" w:eastAsia="仿宋" w:cs="仿宋"/>
              <w:bCs/>
              <w:kern w:val="0"/>
              <w:sz w:val="30"/>
              <w:szCs w:val="30"/>
              <w:lang w:val="en-US" w:eastAsia="zh-CN" w:bidi="ar"/>
            </w:rPr>
          </w:pPr>
          <w:r>
            <w:rPr>
              <w:rFonts w:hint="default"/>
              <w:lang w:val="en-US" w:eastAsia="zh-CN"/>
            </w:rPr>
            <w:fldChar w:fldCharType="begin"/>
          </w:r>
          <w:r>
            <w:rPr>
              <w:rFonts w:hint="default"/>
              <w:lang w:val="en-US" w:eastAsia="zh-CN"/>
            </w:rPr>
            <w:instrText xml:space="preserve"> HYPERLINK \l _Toc14166 </w:instrText>
          </w:r>
          <w:r>
            <w:rPr>
              <w:rFonts w:hint="default"/>
              <w:lang w:val="en-US" w:eastAsia="zh-CN"/>
            </w:rPr>
            <w:fldChar w:fldCharType="separate"/>
          </w:r>
          <w:r>
            <w:rPr>
              <w:rFonts w:hint="eastAsia" w:ascii="仿宋" w:hAnsi="仿宋" w:eastAsia="仿宋" w:cs="仿宋"/>
              <w:bCs/>
              <w:kern w:val="0"/>
              <w:sz w:val="30"/>
              <w:szCs w:val="30"/>
              <w:lang w:val="en-US" w:eastAsia="zh-CN" w:bidi="ar"/>
            </w:rPr>
            <w:t>附件1红原县自然资源局2021年部门整体支出绩效评价报告</w:t>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tab/>
          </w:r>
          <w:r>
            <w:fldChar w:fldCharType="begin"/>
          </w:r>
          <w:r>
            <w:instrText xml:space="preserve"> PAGEREF _Toc14166 </w:instrText>
          </w:r>
          <w:r>
            <w:fldChar w:fldCharType="separate"/>
          </w:r>
          <w:r>
            <w:t>21</w:t>
          </w:r>
          <w:r>
            <w:fldChar w:fldCharType="end"/>
          </w:r>
          <w:r>
            <w:rPr>
              <w:rFonts w:hint="default"/>
              <w:lang w:val="en-US" w:eastAsia="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315" w:leftChars="150"/>
            <w:textAlignment w:val="auto"/>
          </w:pPr>
          <w:r>
            <w:rPr>
              <w:rFonts w:hint="default"/>
              <w:lang w:val="en-US" w:eastAsia="zh-CN"/>
            </w:rPr>
            <w:fldChar w:fldCharType="begin"/>
          </w:r>
          <w:r>
            <w:rPr>
              <w:rFonts w:hint="default"/>
              <w:lang w:val="en-US" w:eastAsia="zh-CN"/>
            </w:rPr>
            <w:instrText xml:space="preserve"> HYPERLINK \l _Toc19549 </w:instrText>
          </w:r>
          <w:r>
            <w:rPr>
              <w:rFonts w:hint="default"/>
              <w:lang w:val="en-US" w:eastAsia="zh-CN"/>
            </w:rPr>
            <w:fldChar w:fldCharType="separate"/>
          </w:r>
          <w:r>
            <w:rPr>
              <w:rFonts w:hint="eastAsia" w:ascii="黑体" w:hAnsi="宋体" w:eastAsia="黑体" w:cs="黑体"/>
              <w:kern w:val="0"/>
              <w:szCs w:val="44"/>
              <w:lang w:val="en-US" w:eastAsia="zh-CN" w:bidi="ar"/>
            </w:rPr>
            <w:t>第</w:t>
          </w:r>
          <w:r>
            <w:rPr>
              <w:rFonts w:hint="eastAsia" w:ascii="黑体" w:hAnsi="宋体" w:eastAsia="黑体" w:cs="黑体"/>
              <w:kern w:val="44"/>
              <w:szCs w:val="48"/>
              <w:lang w:val="en-US" w:eastAsia="zh-CN" w:bidi="ar"/>
            </w:rPr>
            <w:t>五部分</w:t>
          </w:r>
          <w:r>
            <w:rPr>
              <w:rFonts w:hint="eastAsia" w:ascii="黑体" w:hAnsi="宋体" w:eastAsia="黑体" w:cs="宋体"/>
              <w:kern w:val="44"/>
              <w:szCs w:val="48"/>
              <w:lang w:val="en-US" w:eastAsia="zh-CN" w:bidi="ar"/>
            </w:rPr>
            <w:t xml:space="preserve"> </w:t>
          </w:r>
          <w:r>
            <w:rPr>
              <w:rFonts w:hint="eastAsia" w:ascii="黑体" w:hAnsi="宋体" w:eastAsia="黑体" w:cs="黑体"/>
              <w:kern w:val="44"/>
              <w:szCs w:val="48"/>
              <w:lang w:val="en-US" w:eastAsia="zh-CN" w:bidi="ar"/>
            </w:rPr>
            <w:t>附表</w:t>
          </w:r>
          <w:r>
            <w:tab/>
          </w:r>
          <w:r>
            <w:fldChar w:fldCharType="begin"/>
          </w:r>
          <w:r>
            <w:instrText xml:space="preserve"> PAGEREF _Toc19549 </w:instrText>
          </w:r>
          <w:r>
            <w:fldChar w:fldCharType="separate"/>
          </w:r>
          <w:r>
            <w:t>25</w:t>
          </w:r>
          <w:r>
            <w:fldChar w:fldCharType="end"/>
          </w:r>
          <w:r>
            <w:rPr>
              <w:rFonts w:hint="default"/>
              <w:lang w:val="en-US" w:eastAsia="zh-CN"/>
            </w:rPr>
            <w:fldChar w:fldCharType="end"/>
          </w:r>
        </w:p>
        <w:p>
          <w:pPr>
            <w:pStyle w:val="4"/>
            <w:rPr>
              <w:rFonts w:hint="default"/>
              <w:lang w:val="en-US" w:eastAsia="zh-CN"/>
            </w:rPr>
          </w:pPr>
          <w:r>
            <w:rPr>
              <w:rFonts w:hint="default"/>
              <w:lang w:val="en-US" w:eastAsia="zh-CN"/>
            </w:rPr>
            <w:fldChar w:fldCharType="end"/>
          </w:r>
        </w:p>
      </w:sdtContent>
    </w:sdt>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bookmarkStart w:id="105" w:name="_GoBack"/>
      <w:bookmarkEnd w:id="105"/>
    </w:p>
    <w:p>
      <w:pPr>
        <w:pStyle w:val="4"/>
        <w:rPr>
          <w:rFonts w:hint="default"/>
          <w:lang w:val="en-US" w:eastAsia="zh-CN"/>
        </w:rPr>
      </w:pPr>
    </w:p>
    <w:p>
      <w:pPr>
        <w:pStyle w:val="4"/>
        <w:rPr>
          <w:rFonts w:hint="default"/>
          <w:lang w:val="en-US" w:eastAsia="zh-CN"/>
        </w:rPr>
      </w:pP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outlineLvl w:val="0"/>
        <w:rPr>
          <w:rFonts w:hint="default" w:ascii="黑体" w:hAnsi="宋体" w:eastAsia="黑体" w:cs="黑体"/>
          <w:kern w:val="0"/>
          <w:sz w:val="48"/>
          <w:szCs w:val="48"/>
          <w:lang w:val="en-US" w:eastAsia="zh-CN" w:bidi="ar"/>
        </w:rPr>
      </w:pPr>
      <w:bookmarkStart w:id="28" w:name="_Toc7045"/>
      <w:bookmarkStart w:id="29" w:name="_Toc22798"/>
      <w:bookmarkStart w:id="30" w:name="_Toc7820"/>
      <w:bookmarkStart w:id="31" w:name="_Toc9516"/>
      <w:r>
        <w:rPr>
          <w:rFonts w:hint="eastAsia" w:ascii="黑体" w:hAnsi="宋体" w:eastAsia="黑体" w:cs="黑体"/>
          <w:kern w:val="0"/>
          <w:sz w:val="48"/>
          <w:szCs w:val="48"/>
          <w:lang w:val="en-US" w:eastAsia="zh-CN" w:bidi="ar"/>
        </w:rPr>
        <w:t>第</w:t>
      </w:r>
      <w:r>
        <w:rPr>
          <w:rFonts w:hint="default" w:ascii="黑体" w:hAnsi="宋体" w:eastAsia="黑体" w:cs="黑体"/>
          <w:kern w:val="0"/>
          <w:sz w:val="48"/>
          <w:szCs w:val="48"/>
          <w:lang w:val="en-US" w:eastAsia="zh-CN" w:bidi="ar"/>
        </w:rPr>
        <w:t>一部分 部门概况</w:t>
      </w:r>
      <w:bookmarkEnd w:id="28"/>
      <w:bookmarkEnd w:id="29"/>
      <w:bookmarkEnd w:id="30"/>
      <w:bookmarkEnd w:id="31"/>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default" w:ascii="仿宋_GB2312" w:hAnsi="仿宋" w:eastAsia="仿宋_GB2312" w:cs="仿宋"/>
          <w:b/>
          <w:bCs/>
          <w:kern w:val="0"/>
          <w:sz w:val="32"/>
          <w:szCs w:val="32"/>
        </w:rPr>
      </w:pPr>
      <w:bookmarkStart w:id="32" w:name="_Toc2684"/>
      <w:bookmarkStart w:id="33" w:name="_Toc22808"/>
      <w:bookmarkStart w:id="34" w:name="_Toc19099"/>
      <w:r>
        <w:rPr>
          <w:rFonts w:hint="default" w:ascii="仿宋_GB2312" w:hAnsi="仿宋" w:eastAsia="仿宋_GB2312" w:cs="仿宋_GB2312"/>
          <w:b/>
          <w:bCs/>
          <w:kern w:val="0"/>
          <w:sz w:val="32"/>
          <w:szCs w:val="32"/>
          <w:lang w:val="en-US" w:eastAsia="zh-CN" w:bidi="ar"/>
        </w:rPr>
        <w:t>一、基本职能及主要工作</w:t>
      </w:r>
      <w:bookmarkEnd w:id="32"/>
      <w:bookmarkEnd w:id="33"/>
      <w:bookmarkEnd w:id="34"/>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bookmarkStart w:id="35" w:name="_Toc27841"/>
      <w:bookmarkStart w:id="36" w:name="_Toc17382"/>
      <w:bookmarkStart w:id="37" w:name="_Toc25241"/>
      <w:bookmarkStart w:id="38" w:name="_Toc27837"/>
      <w:bookmarkStart w:id="39" w:name="_Toc19604"/>
      <w:r>
        <w:rPr>
          <w:rFonts w:hint="default" w:ascii="仿宋_GB2312" w:hAnsi="仿宋" w:eastAsia="仿宋_GB2312" w:cs="仿宋_GB2312"/>
          <w:b w:val="0"/>
          <w:kern w:val="0"/>
          <w:sz w:val="32"/>
          <w:szCs w:val="32"/>
          <w:lang w:val="en-US" w:eastAsia="zh-CN" w:bidi="ar"/>
        </w:rPr>
        <w:t>（一）履行政治领导责任，做好理论武装和思想政治工作，负责学习、宣传、贯彻执行党的理论和路线方针政策，贯彻落实党中央、省委、州委、县委的决策部署，发挥好把方向、管大局、保落实的重要作用。</w:t>
      </w:r>
      <w:bookmarkEnd w:id="35"/>
      <w:bookmarkEnd w:id="36"/>
      <w:bookmarkEnd w:id="37"/>
      <w:bookmarkEnd w:id="38"/>
      <w:bookmarkEnd w:id="39"/>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bookmarkStart w:id="40" w:name="_Toc4737"/>
      <w:bookmarkStart w:id="41" w:name="_Toc25295"/>
      <w:bookmarkStart w:id="42" w:name="_Toc957"/>
      <w:bookmarkStart w:id="43" w:name="_Toc4250"/>
      <w:bookmarkStart w:id="44" w:name="_Toc27403"/>
      <w:r>
        <w:rPr>
          <w:rFonts w:hint="default" w:ascii="仿宋_GB2312" w:hAnsi="仿宋" w:eastAsia="仿宋_GB2312" w:cs="仿宋_GB2312"/>
          <w:b w:val="0"/>
          <w:kern w:val="0"/>
          <w:sz w:val="32"/>
          <w:szCs w:val="32"/>
          <w:lang w:val="en-US" w:eastAsia="zh-CN" w:bidi="ar"/>
        </w:rPr>
        <w:t>（二）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bookmarkEnd w:id="40"/>
      <w:bookmarkEnd w:id="41"/>
      <w:bookmarkEnd w:id="42"/>
      <w:bookmarkEnd w:id="43"/>
      <w:bookmarkEnd w:id="44"/>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bookmarkStart w:id="45" w:name="_Toc31222"/>
      <w:bookmarkStart w:id="46" w:name="_Toc16486"/>
      <w:bookmarkStart w:id="47" w:name="_Toc1345"/>
      <w:bookmarkStart w:id="48" w:name="_Toc21623"/>
      <w:bookmarkStart w:id="49" w:name="_Toc28915"/>
      <w:r>
        <w:rPr>
          <w:rFonts w:hint="default" w:ascii="仿宋_GB2312" w:hAnsi="仿宋" w:eastAsia="仿宋_GB2312" w:cs="仿宋_GB2312"/>
          <w:b w:val="0"/>
          <w:kern w:val="0"/>
          <w:sz w:val="32"/>
          <w:szCs w:val="32"/>
          <w:lang w:val="en-US" w:eastAsia="zh-CN" w:bidi="ar"/>
        </w:rPr>
        <w:t>（三）贯彻党管干部原则，加强干部队伍建设，完善干部培养选拔机制，加强干部教育管理监督。贯彻党管人才原则，加强人才队伍建设。加强对本单位工会、共青团、妇联等群团工作的领导。</w:t>
      </w:r>
      <w:bookmarkEnd w:id="45"/>
      <w:bookmarkEnd w:id="46"/>
      <w:bookmarkEnd w:id="47"/>
      <w:bookmarkEnd w:id="48"/>
      <w:bookmarkEnd w:id="49"/>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（四）履行党要管党、从严治党责任，加强对本单位党的建设的领导，落实党建工作责任制。认真履行党风廉政建设主体责任，支持纪检监察机构履行监督责任。</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default" w:ascii="仿宋_GB2312" w:hAnsi="仿宋" w:eastAsia="仿宋_GB2312" w:cs="仿宋_GB2312"/>
          <w:b/>
          <w:bCs/>
          <w:kern w:val="0"/>
          <w:sz w:val="32"/>
          <w:szCs w:val="32"/>
          <w:lang w:val="en-US" w:eastAsia="zh-CN" w:bidi="ar"/>
        </w:rPr>
      </w:pPr>
      <w:bookmarkStart w:id="50" w:name="_Toc5259"/>
      <w:bookmarkStart w:id="51" w:name="_Toc20667"/>
      <w:bookmarkStart w:id="52" w:name="_Toc4099"/>
      <w:r>
        <w:rPr>
          <w:rFonts w:hint="default" w:ascii="仿宋_GB2312" w:hAnsi="仿宋" w:eastAsia="仿宋_GB2312" w:cs="仿宋_GB2312"/>
          <w:b/>
          <w:bCs/>
          <w:kern w:val="0"/>
          <w:sz w:val="32"/>
          <w:szCs w:val="32"/>
          <w:lang w:val="en-US" w:eastAsia="zh-CN" w:bidi="ar"/>
        </w:rPr>
        <w:t>二、202</w:t>
      </w:r>
      <w:r>
        <w:rPr>
          <w:rFonts w:hint="eastAsia" w:ascii="仿宋_GB2312" w:hAnsi="仿宋" w:eastAsia="仿宋_GB2312" w:cs="仿宋_GB2312"/>
          <w:b/>
          <w:bCs/>
          <w:kern w:val="0"/>
          <w:sz w:val="32"/>
          <w:szCs w:val="32"/>
          <w:lang w:val="en-US" w:eastAsia="zh-CN" w:bidi="ar"/>
        </w:rPr>
        <w:t>1</w:t>
      </w:r>
      <w:r>
        <w:rPr>
          <w:rFonts w:hint="default" w:ascii="仿宋_GB2312" w:hAnsi="仿宋" w:eastAsia="仿宋_GB2312" w:cs="仿宋_GB2312"/>
          <w:b/>
          <w:bCs/>
          <w:kern w:val="0"/>
          <w:sz w:val="32"/>
          <w:szCs w:val="32"/>
          <w:lang w:val="en-US" w:eastAsia="zh-CN" w:bidi="ar"/>
        </w:rPr>
        <w:t>年重点工作完成情况。</w:t>
      </w:r>
      <w:bookmarkEnd w:id="50"/>
      <w:bookmarkEnd w:id="51"/>
      <w:bookmarkEnd w:id="52"/>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Style w:val="24"/>
          <w:rFonts w:hint="default" w:ascii="仿宋_GB2312" w:hAnsi="仿宋_GB2312" w:eastAsia="仿宋_GB2312"/>
          <w:i w:val="0"/>
          <w:caps w:val="0"/>
          <w:color w:val="000000"/>
          <w:kern w:val="2"/>
          <w:sz w:val="32"/>
          <w:szCs w:val="32"/>
          <w:lang w:val="en-US" w:eastAsia="zh-CN" w:bidi="ar-SA"/>
        </w:rPr>
      </w:pPr>
      <w:r>
        <w:rPr>
          <w:rFonts w:hint="default" w:ascii="仿宋_GB2312" w:hAnsi="仿宋" w:eastAsia="仿宋_GB2312" w:cs="仿宋_GB2312"/>
          <w:b w:val="0"/>
          <w:bCs w:val="0"/>
          <w:color w:val="auto"/>
          <w:kern w:val="0"/>
          <w:sz w:val="32"/>
          <w:szCs w:val="32"/>
          <w:lang w:val="en-US" w:eastAsia="zh-CN" w:bidi="ar"/>
        </w:rPr>
        <w:t>用地保障工作</w:t>
      </w:r>
      <w:r>
        <w:rPr>
          <w:rStyle w:val="24"/>
          <w:rFonts w:ascii="楷体_GB2312" w:hAnsi="楷体_GB2312" w:eastAsia="楷体_GB2312" w:cs="楷体_GB2312"/>
          <w:b w:val="0"/>
          <w:bCs w:val="0"/>
          <w:color w:val="auto"/>
          <w:kern w:val="2"/>
          <w:sz w:val="32"/>
          <w:szCs w:val="32"/>
          <w:lang w:val="en-US" w:eastAsia="zh-CN" w:bidi="ar-SA"/>
        </w:rPr>
        <w:t>。</w:t>
      </w:r>
      <w:r>
        <w:rPr>
          <w:rStyle w:val="24"/>
          <w:rFonts w:ascii="仿宋_GB2312" w:hAnsi="仿宋_GB2312" w:eastAsia="仿宋_GB2312" w:cs="仿宋_GB2312"/>
          <w:b w:val="0"/>
          <w:bCs w:val="0"/>
          <w:color w:val="auto"/>
          <w:kern w:val="2"/>
          <w:sz w:val="32"/>
          <w:szCs w:val="32"/>
          <w:lang w:val="en-US" w:eastAsia="zh-CN" w:bidi="ar-SA"/>
        </w:rPr>
        <w:t>一是</w:t>
      </w:r>
      <w:r>
        <w:rPr>
          <w:rStyle w:val="24"/>
          <w:rFonts w:hint="eastAsia" w:ascii="仿宋_GB2312" w:hAnsi="仿宋_GB2312" w:eastAsia="仿宋_GB2312"/>
          <w:b w:val="0"/>
          <w:bCs w:val="0"/>
          <w:color w:val="auto"/>
          <w:kern w:val="2"/>
          <w:sz w:val="32"/>
          <w:szCs w:val="32"/>
          <w:lang w:val="en-US" w:eastAsia="zh-CN" w:bidi="ar-SA"/>
        </w:rPr>
        <w:t>批准久</w:t>
      </w:r>
      <w:r>
        <w:rPr>
          <w:rStyle w:val="24"/>
          <w:rFonts w:ascii="仿宋_GB2312" w:hAnsi="仿宋_GB2312" w:eastAsia="仿宋_GB2312"/>
          <w:b w:val="0"/>
          <w:bCs w:val="0"/>
          <w:color w:val="auto"/>
          <w:kern w:val="2"/>
          <w:sz w:val="32"/>
          <w:szCs w:val="32"/>
          <w:lang w:val="en-US" w:eastAsia="zh-CN" w:bidi="ar-SA"/>
        </w:rPr>
        <w:t>马高速公路临时用地2450亩，确保久马高速项目顺利推进</w:t>
      </w:r>
      <w:r>
        <w:rPr>
          <w:rStyle w:val="24"/>
          <w:rFonts w:hint="eastAsia" w:ascii="仿宋_GB2312" w:hAnsi="仿宋_GB2312" w:eastAsia="仿宋_GB2312"/>
          <w:b w:val="0"/>
          <w:bCs w:val="0"/>
          <w:color w:val="auto"/>
          <w:kern w:val="2"/>
          <w:sz w:val="32"/>
          <w:szCs w:val="32"/>
          <w:lang w:val="en-US" w:eastAsia="zh-CN" w:bidi="ar-SA"/>
        </w:rPr>
        <w:t>，久马高速永久性建设用地已获国务院批准</w:t>
      </w:r>
      <w:r>
        <w:rPr>
          <w:rStyle w:val="24"/>
          <w:rFonts w:ascii="仿宋_GB2312" w:hAnsi="仿宋_GB2312" w:eastAsia="仿宋_GB2312"/>
          <w:b w:val="0"/>
          <w:bCs w:val="0"/>
          <w:color w:val="auto"/>
          <w:kern w:val="2"/>
          <w:sz w:val="32"/>
          <w:szCs w:val="32"/>
          <w:lang w:val="en-US" w:eastAsia="zh-CN" w:bidi="ar-SA"/>
        </w:rPr>
        <w:t>；</w:t>
      </w:r>
      <w:r>
        <w:rPr>
          <w:rStyle w:val="24"/>
          <w:rFonts w:ascii="仿宋_GB2312" w:hAnsi="仿宋_GB2312" w:eastAsia="仿宋_GB2312" w:cs="仿宋_GB2312"/>
          <w:b w:val="0"/>
          <w:bCs w:val="0"/>
          <w:color w:val="auto"/>
          <w:kern w:val="2"/>
          <w:sz w:val="32"/>
          <w:szCs w:val="32"/>
          <w:lang w:val="en-US" w:eastAsia="zh-CN" w:bidi="ar-SA"/>
        </w:rPr>
        <w:t>二是</w:t>
      </w:r>
      <w:r>
        <w:rPr>
          <w:rStyle w:val="24"/>
          <w:rFonts w:ascii="仿宋_GB2312" w:hAnsi="仿宋_GB2312" w:eastAsia="仿宋_GB2312"/>
          <w:b w:val="0"/>
          <w:bCs w:val="0"/>
          <w:color w:val="auto"/>
          <w:kern w:val="2"/>
          <w:sz w:val="32"/>
          <w:szCs w:val="32"/>
          <w:lang w:val="en-US" w:eastAsia="zh-CN" w:bidi="ar-SA"/>
        </w:rPr>
        <w:t>完成我县城镇标定地价制定、集体建设用地基准地价制定、农用地分等定级及农用地基准地价制定审核上报工作；</w:t>
      </w:r>
      <w:r>
        <w:rPr>
          <w:rStyle w:val="24"/>
          <w:rFonts w:hint="eastAsia" w:ascii="仿宋_GB2312" w:hAnsi="仿宋_GB2312" w:eastAsia="仿宋_GB2312" w:cs="仿宋_GB2312"/>
          <w:b w:val="0"/>
          <w:bCs w:val="0"/>
          <w:i w:val="0"/>
          <w:caps w:val="0"/>
          <w:color w:val="auto"/>
          <w:kern w:val="2"/>
          <w:sz w:val="32"/>
          <w:szCs w:val="32"/>
          <w:lang w:val="en-US" w:eastAsia="zh-CN" w:bidi="ar-SA"/>
        </w:rPr>
        <w:t>三</w:t>
      </w:r>
      <w:r>
        <w:rPr>
          <w:rStyle w:val="24"/>
          <w:rFonts w:ascii="仿宋_GB2312" w:hAnsi="仿宋_GB2312" w:eastAsia="仿宋_GB2312" w:cs="仿宋_GB2312"/>
          <w:b w:val="0"/>
          <w:bCs w:val="0"/>
          <w:i w:val="0"/>
          <w:caps w:val="0"/>
          <w:color w:val="auto"/>
          <w:kern w:val="2"/>
          <w:sz w:val="32"/>
          <w:szCs w:val="32"/>
          <w:lang w:val="en-US" w:eastAsia="zh-CN" w:bidi="ar-SA"/>
        </w:rPr>
        <w:t>是</w:t>
      </w:r>
      <w:r>
        <w:rPr>
          <w:rStyle w:val="24"/>
          <w:rFonts w:ascii="仿宋_GB2312" w:hAnsi="仿宋_GB2312" w:eastAsia="仿宋_GB2312"/>
          <w:b w:val="0"/>
          <w:bCs w:val="0"/>
          <w:i w:val="0"/>
          <w:caps w:val="0"/>
          <w:color w:val="auto"/>
          <w:kern w:val="2"/>
          <w:sz w:val="32"/>
          <w:szCs w:val="32"/>
          <w:lang w:val="en-US" w:eastAsia="zh-CN" w:bidi="ar-SA"/>
        </w:rPr>
        <w:t>完成我县设施农</w:t>
      </w:r>
      <w:r>
        <w:rPr>
          <w:rStyle w:val="24"/>
          <w:rFonts w:ascii="仿宋_GB2312" w:hAnsi="仿宋_GB2312" w:eastAsia="仿宋_GB2312"/>
          <w:i w:val="0"/>
          <w:caps w:val="0"/>
          <w:color w:val="000000"/>
          <w:kern w:val="2"/>
          <w:sz w:val="32"/>
          <w:szCs w:val="32"/>
          <w:lang w:val="en-US" w:eastAsia="zh-CN" w:bidi="ar-SA"/>
        </w:rPr>
        <w:t>用地上图入库工作</w:t>
      </w:r>
      <w:r>
        <w:rPr>
          <w:rStyle w:val="24"/>
          <w:rFonts w:hint="eastAsia" w:ascii="仿宋_GB2312" w:hAnsi="仿宋_GB2312" w:eastAsia="仿宋_GB2312"/>
          <w:i w:val="0"/>
          <w:caps w:val="0"/>
          <w:color w:val="000000"/>
          <w:kern w:val="2"/>
          <w:sz w:val="32"/>
          <w:szCs w:val="32"/>
          <w:lang w:val="en-US" w:eastAsia="zh-CN" w:bidi="ar-SA"/>
        </w:rPr>
        <w:t>。</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国土空间规划编制工作。一是国土空间规划编制工作</w:t>
      </w:r>
      <w:r>
        <w:rPr>
          <w:rFonts w:hint="eastAsia" w:ascii="仿宋_GB2312" w:hAnsi="仿宋" w:eastAsia="仿宋_GB2312" w:cs="仿宋_GB2312"/>
          <w:b w:val="0"/>
          <w:bCs w:val="0"/>
          <w:color w:val="auto"/>
          <w:kern w:val="0"/>
          <w:sz w:val="32"/>
          <w:szCs w:val="32"/>
          <w:lang w:val="en-US" w:eastAsia="zh-CN" w:bidi="ar"/>
        </w:rPr>
        <w:t>顺利进行</w:t>
      </w:r>
      <w:r>
        <w:rPr>
          <w:rFonts w:hint="default" w:ascii="仿宋_GB2312" w:hAnsi="仿宋" w:eastAsia="仿宋_GB2312" w:cs="仿宋_GB2312"/>
          <w:b w:val="0"/>
          <w:bCs w:val="0"/>
          <w:color w:val="auto"/>
          <w:kern w:val="0"/>
          <w:sz w:val="32"/>
          <w:szCs w:val="32"/>
          <w:lang w:val="en-US" w:eastAsia="zh-CN" w:bidi="ar"/>
        </w:rPr>
        <w:t>。召开第二次国土空间规划委员会会议，审议《红原县国土空间总体规划（2020—2035）》方案稿。按照省、州自然资源主管部门要求，就进一步落实“三区三线试划”，及“基数转换”等相关工作，要求规划编制进度与省、州要求保持一致。</w:t>
      </w:r>
      <w:r>
        <w:rPr>
          <w:rFonts w:hint="eastAsia" w:ascii="仿宋_GB2312" w:hAnsi="仿宋" w:eastAsia="仿宋_GB2312" w:cs="仿宋_GB2312"/>
          <w:b w:val="0"/>
          <w:bCs w:val="0"/>
          <w:color w:val="auto"/>
          <w:kern w:val="0"/>
          <w:sz w:val="32"/>
          <w:szCs w:val="32"/>
          <w:lang w:val="en-US" w:eastAsia="zh-CN" w:bidi="ar"/>
        </w:rPr>
        <w:t>二</w:t>
      </w:r>
      <w:r>
        <w:rPr>
          <w:rFonts w:hint="default" w:ascii="仿宋_GB2312" w:hAnsi="仿宋" w:eastAsia="仿宋_GB2312" w:cs="仿宋_GB2312"/>
          <w:b w:val="0"/>
          <w:bCs w:val="0"/>
          <w:color w:val="auto"/>
          <w:kern w:val="0"/>
          <w:sz w:val="32"/>
          <w:szCs w:val="32"/>
          <w:lang w:val="en-US" w:eastAsia="zh-CN" w:bidi="ar"/>
        </w:rPr>
        <w:t>是试点镇、村国土空间规划编制情况。按照乡村规划建设工作方案，统筹谋划、试点先行的原则，经实地调研，选取安曲镇作为镇级国土空间规划试点镇，刷经寺镇壤口村作为实用性村庄规划试点村。现已开展前期、试点调研。目前，正在开展资料分析研究及初步方案设计工作。</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规划审批工作。</w:t>
      </w:r>
      <w:r>
        <w:rPr>
          <w:rFonts w:hint="eastAsia" w:ascii="仿宋_GB2312" w:hAnsi="仿宋" w:eastAsia="仿宋_GB2312" w:cs="仿宋_GB2312"/>
          <w:b w:val="0"/>
          <w:bCs w:val="0"/>
          <w:color w:val="auto"/>
          <w:kern w:val="0"/>
          <w:sz w:val="32"/>
          <w:szCs w:val="32"/>
          <w:lang w:val="en-US" w:eastAsia="zh-CN" w:bidi="ar"/>
        </w:rPr>
        <w:t>审批项目34项，办理建设项目用地预审和选址意见书27份，办理建设项目用地规划许可证14份，建设项目工程规划许可证14份，下达规划条件函3份。</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执法监察工作。一是</w:t>
      </w:r>
      <w:r>
        <w:rPr>
          <w:rFonts w:hint="eastAsia" w:ascii="仿宋_GB2312" w:hAnsi="仿宋" w:eastAsia="仿宋_GB2312" w:cs="仿宋_GB2312"/>
          <w:b w:val="0"/>
          <w:bCs w:val="0"/>
          <w:color w:val="auto"/>
          <w:kern w:val="0"/>
          <w:sz w:val="32"/>
          <w:szCs w:val="32"/>
          <w:lang w:val="en-US" w:eastAsia="zh-CN" w:bidi="ar"/>
        </w:rPr>
        <w:t>加大违法行为查处力度，</w:t>
      </w:r>
      <w:r>
        <w:rPr>
          <w:rFonts w:hint="default" w:ascii="仿宋_GB2312" w:hAnsi="仿宋" w:eastAsia="仿宋_GB2312" w:cs="仿宋_GB2312"/>
          <w:b w:val="0"/>
          <w:bCs w:val="0"/>
          <w:color w:val="auto"/>
          <w:kern w:val="0"/>
          <w:sz w:val="32"/>
          <w:szCs w:val="32"/>
          <w:lang w:val="en-US" w:eastAsia="zh-CN" w:bidi="ar"/>
        </w:rPr>
        <w:t>查处擅自超占国有土地案件4起，超占面积719.305㎡，处罚36354.2元（叁万陆仟叁佰伍拾肆元零两角）人民币罚款，查处非法盗采矿产资源案件3起，共计罚款37000元（叁万柒仟元整），其中1起盗采矿产资源案件已移送公安机关</w:t>
      </w:r>
      <w:r>
        <w:rPr>
          <w:rFonts w:hint="eastAsia" w:ascii="仿宋_GB2312" w:hAnsi="仿宋" w:eastAsia="仿宋_GB2312" w:cs="仿宋_GB2312"/>
          <w:b w:val="0"/>
          <w:bCs w:val="0"/>
          <w:color w:val="auto"/>
          <w:kern w:val="0"/>
          <w:sz w:val="32"/>
          <w:szCs w:val="32"/>
          <w:lang w:val="en-US" w:eastAsia="zh-CN" w:bidi="ar"/>
        </w:rPr>
        <w:t>依法处理</w:t>
      </w:r>
      <w:r>
        <w:rPr>
          <w:rFonts w:hint="default" w:ascii="仿宋_GB2312" w:hAnsi="仿宋" w:eastAsia="仿宋_GB2312" w:cs="仿宋_GB2312"/>
          <w:b w:val="0"/>
          <w:bCs w:val="0"/>
          <w:color w:val="auto"/>
          <w:kern w:val="0"/>
          <w:sz w:val="32"/>
          <w:szCs w:val="32"/>
          <w:lang w:val="en-US" w:eastAsia="zh-CN" w:bidi="ar"/>
        </w:rPr>
        <w:t>。二是卫片执法核查，自然资源部共下发71个土地卫片图斑，经现场核查、佐证认定均为合法图斑。</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不动产登记工作。</w:t>
      </w:r>
      <w:r>
        <w:rPr>
          <w:rFonts w:hint="eastAsia" w:ascii="仿宋_GB2312" w:hAnsi="仿宋" w:eastAsia="仿宋_GB2312" w:cs="仿宋_GB2312"/>
          <w:b w:val="0"/>
          <w:bCs w:val="0"/>
          <w:color w:val="auto"/>
          <w:kern w:val="0"/>
          <w:sz w:val="32"/>
          <w:szCs w:val="32"/>
          <w:lang w:val="en-US" w:eastAsia="zh-CN" w:bidi="ar"/>
        </w:rPr>
        <w:t>开展全县“房地一体”测绘以及权籍调查工作，共计测绘7474户，权籍调查7474户。</w:t>
      </w:r>
      <w:r>
        <w:rPr>
          <w:rFonts w:hint="default" w:ascii="仿宋_GB2312" w:hAnsi="仿宋" w:eastAsia="仿宋_GB2312" w:cs="仿宋_GB2312"/>
          <w:b w:val="0"/>
          <w:bCs w:val="0"/>
          <w:color w:val="auto"/>
          <w:kern w:val="0"/>
          <w:sz w:val="32"/>
          <w:szCs w:val="32"/>
          <w:lang w:val="en-US" w:eastAsia="zh-CN" w:bidi="ar"/>
        </w:rPr>
        <w:t>完成易地扶贫搬迁安置住房不动产登记，共办理易地扶贫搬迁安置不动产权证书284件，完成登记率100%。</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地质灾害防治工作。一是编制印发《红原县地质灾害防御预案》(2021)和《红原县突发性地质灾害应急预案》(2021)，二是开展地质灾害逐点应急演练19次，实现了地质灾害隐患点应急演练全覆盖，开展宣传培训65次，参与人数超过1000人，发放宣传资料600余份；三是邀请省州专家、督导单位在全县范围内开展了4轮全覆盖“拉网式”“地毯式”大排查，制定了防灾预案，发放了“一卡两表”。四是投入资金98万元，实施“红原县地质灾害风险调查评价项目”，形成县级地质灾害矢量数据库和地质灾害分布图、风险和防治区划图等；五是实施完成红原县暴雨洪灾灾后地质灾害隐患排查；六是投入资金76万元，实施“地质灾害群专结合监测预警建设项目”，实现了13个地质灾害隐患点专业监测；七是投入资金380万元，实施了“瓦切镇如意空行寺寺庙滑坡治理工程项目”，投入资金240万元，</w:t>
      </w:r>
      <w:r>
        <w:rPr>
          <w:rFonts w:hint="eastAsia" w:ascii="仿宋_GB2312" w:hAnsi="仿宋" w:eastAsia="仿宋_GB2312" w:cs="仿宋_GB2312"/>
          <w:b w:val="0"/>
          <w:bCs w:val="0"/>
          <w:color w:val="auto"/>
          <w:kern w:val="0"/>
          <w:sz w:val="32"/>
          <w:szCs w:val="32"/>
          <w:lang w:val="en-US" w:eastAsia="zh-CN" w:bidi="ar"/>
        </w:rPr>
        <w:t>实施了</w:t>
      </w:r>
      <w:r>
        <w:rPr>
          <w:rFonts w:hint="default" w:ascii="仿宋_GB2312" w:hAnsi="仿宋" w:eastAsia="仿宋_GB2312" w:cs="仿宋_GB2312"/>
          <w:b w:val="0"/>
          <w:bCs w:val="0"/>
          <w:color w:val="auto"/>
          <w:kern w:val="0"/>
          <w:sz w:val="32"/>
          <w:szCs w:val="32"/>
          <w:lang w:val="en-US" w:eastAsia="zh-CN" w:bidi="ar"/>
        </w:rPr>
        <w:t>“龙日镇壤噶夺玛村泥石流治理工程项目”。</w:t>
      </w:r>
    </w:p>
    <w:p>
      <w:pPr>
        <w:keepNext w:val="0"/>
        <w:keepLines w:val="0"/>
        <w:pageBreakBefore w:val="0"/>
        <w:numPr>
          <w:ilvl w:val="0"/>
          <w:numId w:val="1"/>
        </w:numPr>
        <w:kinsoku/>
        <w:wordWrap/>
        <w:overflowPunct/>
        <w:topLinePunct w:val="0"/>
        <w:autoSpaceDE w:val="0"/>
        <w:autoSpaceDN/>
        <w:bidi w:val="0"/>
        <w:snapToGrid/>
        <w:spacing w:beforeAutospacing="0" w:afterAutospacing="0" w:line="560" w:lineRule="exact"/>
        <w:ind w:left="0" w:leftChars="0" w:firstLine="640" w:firstLineChars="200"/>
        <w:jc w:val="both"/>
        <w:textAlignment w:val="auto"/>
        <w:rPr>
          <w:rFonts w:hint="default" w:ascii="仿宋_GB2312" w:hAnsi="仿宋" w:eastAsia="仿宋_GB2312" w:cs="仿宋_GB2312"/>
          <w:b w:val="0"/>
          <w:bCs w:val="0"/>
          <w:color w:val="auto"/>
          <w:kern w:val="0"/>
          <w:sz w:val="32"/>
          <w:szCs w:val="32"/>
          <w:lang w:val="en-US" w:eastAsia="zh-CN" w:bidi="ar"/>
        </w:rPr>
      </w:pPr>
      <w:r>
        <w:rPr>
          <w:rFonts w:hint="default" w:ascii="仿宋_GB2312" w:hAnsi="仿宋" w:eastAsia="仿宋_GB2312" w:cs="仿宋_GB2312"/>
          <w:b w:val="0"/>
          <w:bCs w:val="0"/>
          <w:color w:val="auto"/>
          <w:kern w:val="0"/>
          <w:sz w:val="32"/>
          <w:szCs w:val="32"/>
          <w:lang w:val="en-US" w:eastAsia="zh-CN" w:bidi="ar"/>
        </w:rPr>
        <w:t>生态修复工作</w:t>
      </w:r>
      <w:r>
        <w:rPr>
          <w:rFonts w:hint="eastAsia" w:ascii="仿宋_GB2312" w:hAnsi="仿宋" w:eastAsia="仿宋_GB2312" w:cs="仿宋_GB2312"/>
          <w:b w:val="0"/>
          <w:bCs w:val="0"/>
          <w:color w:val="auto"/>
          <w:kern w:val="0"/>
          <w:sz w:val="32"/>
          <w:szCs w:val="32"/>
          <w:lang w:val="en-US" w:eastAsia="zh-CN" w:bidi="ar"/>
        </w:rPr>
        <w:t>。积极</w:t>
      </w:r>
      <w:r>
        <w:rPr>
          <w:rFonts w:hint="default" w:ascii="仿宋_GB2312" w:hAnsi="仿宋" w:eastAsia="仿宋_GB2312" w:cs="仿宋_GB2312"/>
          <w:b w:val="0"/>
          <w:bCs w:val="0"/>
          <w:color w:val="auto"/>
          <w:kern w:val="0"/>
          <w:sz w:val="32"/>
          <w:szCs w:val="32"/>
          <w:lang w:val="en-US" w:eastAsia="zh-CN" w:bidi="ar"/>
        </w:rPr>
        <w:t xml:space="preserve">推进矿山修复，守护绿水青山。争取省资金178.25万元，组织实施“红原县达峨村采石场废弃矿山生态修复”等5个项目，修复治理面积共计11.65公顷。根据县委、县政府工作安排，投入资金177万元，完成“红原县邛溪镇德柏料场”、“刷金寺镇红原县三家寨村料场”废弃矿山生态修复项目，修复治理面积共11.11公顷。 </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right="0" w:rightChars="0" w:firstLine="723" w:firstLineChars="200"/>
        <w:jc w:val="both"/>
        <w:textAlignment w:val="auto"/>
        <w:rPr>
          <w:rFonts w:hint="default" w:ascii="仿宋_GB2312" w:hAnsi="仿宋" w:eastAsia="仿宋_GB2312" w:cs="宋体"/>
          <w:b/>
          <w:bCs/>
          <w:kern w:val="2"/>
          <w:sz w:val="36"/>
          <w:szCs w:val="36"/>
        </w:rPr>
      </w:pPr>
      <w:r>
        <w:rPr>
          <w:rFonts w:hint="default" w:ascii="仿宋_GB2312" w:hAnsi="仿宋" w:eastAsia="仿宋_GB2312" w:cs="仿宋_GB2312"/>
          <w:b/>
          <w:bCs/>
          <w:kern w:val="2"/>
          <w:sz w:val="36"/>
          <w:szCs w:val="36"/>
          <w:lang w:val="en-US" w:eastAsia="zh-CN" w:bidi="ar"/>
        </w:rPr>
        <w:t>二、机构设置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(一)办公室</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color w:val="000000"/>
          <w:kern w:val="0"/>
          <w:sz w:val="32"/>
          <w:szCs w:val="32"/>
        </w:rPr>
      </w:pPr>
      <w:r>
        <w:rPr>
          <w:rFonts w:hint="default" w:ascii="仿宋_GB2312" w:hAnsi="宋体" w:eastAsia="仿宋_GB2312" w:cs="仿宋_GB2312"/>
          <w:b w:val="0"/>
          <w:kern w:val="0"/>
          <w:sz w:val="32"/>
          <w:szCs w:val="32"/>
          <w:lang w:val="en-US" w:eastAsia="zh-CN" w:bidi="ar"/>
        </w:rPr>
        <w:t>负责文电、会务、档案、机要、后勤等机关日常运转工作；承担保密、安全、信息、信访、绩效管理、政务公开、新闻宣传工作；做好党建、党风廉政建设、意识形态、群团、信访等工作；承担有关文稿、报告、调研和史志年鉴编撰工作；组织办理人大代表建议、政协委员提案；承担机构编制、离退休人员、干部培训和人事等工作；指导本行业综合行政执法，承担有关行政应诉、行政复议、行政调解、规范性文件的合法性审核与报备等工作；</w:t>
      </w:r>
      <w:r>
        <w:rPr>
          <w:rFonts w:hint="default" w:ascii="仿宋_GB2312" w:hAnsi="宋体" w:eastAsia="仿宋_GB2312" w:cs="仿宋_GB2312"/>
          <w:b w:val="0"/>
          <w:color w:val="000000"/>
          <w:kern w:val="0"/>
          <w:sz w:val="32"/>
          <w:szCs w:val="32"/>
          <w:lang w:val="en-US" w:eastAsia="zh-CN" w:bidi="ar"/>
        </w:rPr>
        <w:t>牵头协调推进本系统</w:t>
      </w:r>
      <w:r>
        <w:rPr>
          <w:rFonts w:hint="eastAsia" w:ascii="宋体" w:hAnsi="宋体" w:eastAsia="仿宋_GB2312"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放管服</w:t>
      </w:r>
      <w:r>
        <w:rPr>
          <w:rFonts w:hint="eastAsia" w:ascii="宋体" w:hAnsi="宋体" w:eastAsia="宋体"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改革，承担审批服务便民化有关工作；落实党中央、国务院、省委、省政府关于自然资源和国土空间规划的重大方针政策、决策部署及法律法规执行情况。</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宋体" w:eastAsia="楷体_GB2312" w:cs="宋体"/>
          <w:b w:val="0"/>
          <w:kern w:val="0"/>
          <w:sz w:val="32"/>
          <w:szCs w:val="32"/>
        </w:rPr>
      </w:pPr>
      <w:r>
        <w:rPr>
          <w:rFonts w:hint="default" w:ascii="仿宋_GB2312" w:hAnsi="宋体" w:eastAsia="仿宋_GB2312" w:cs="仿宋_GB2312"/>
          <w:b w:val="0"/>
          <w:kern w:val="0"/>
          <w:sz w:val="32"/>
          <w:szCs w:val="32"/>
          <w:lang w:val="en-US" w:eastAsia="zh-CN" w:bidi="ar"/>
        </w:rPr>
        <w:t>承担自然资源专项收入征管和专项资金、基金的管理工作。拟订有关财务、资产管理的规章，负责机关和所属单位财务及国有资产监管，负责部门预决算、政府采购、国库集中支付工作。管理基本建设及重大专项投资、重大装备。承担财政和社会资金的结构优化和监测工作，拟订合理利用社会资金的政策措施，提出重大备选项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color w:val="000000"/>
          <w:kern w:val="0"/>
          <w:sz w:val="32"/>
          <w:szCs w:val="32"/>
        </w:rPr>
      </w:pPr>
      <w:r>
        <w:rPr>
          <w:rFonts w:hint="eastAsia" w:ascii="楷体" w:hAnsi="楷体" w:eastAsia="楷体" w:cs="楷体"/>
          <w:b w:val="0"/>
          <w:color w:val="000000"/>
          <w:kern w:val="0"/>
          <w:sz w:val="32"/>
          <w:szCs w:val="32"/>
          <w:lang w:val="en-US" w:eastAsia="zh-CN" w:bidi="ar"/>
        </w:rPr>
        <w:t>(二)建设用地和规划股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依法管理土地资产，组织实施土地利用使用权出让、转让、招标、拍卖、作价出资、入股、交易和政府收购、储备管理工作；组织实施土地资源调查，动态监测和统计。拟订并实施全县耕地保护政策，组织实施耕地保护责任目标考核和永久基本农田特殊保护，负责永久基本农田划定、占用和补划的监督管理。承担生态保护补偿相关工作。负责耕地保护政策与林地、草地、湿地等土地资源保护政策的衔接。负责全县自然资源市场监督管理和动态监测，建立自然资源市场信用体系。建立政府公示自然资源价格体系，组织开展全县自然资源分等定级价格评估。拟订自然资源开发利用地方标准，开展评价考核，指导节约集约利用。国有土地资产处置相关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承担组织实施编制自然资源发展战略、中长期规划。督促实施国土空间规划相关政策，承担建立空间规划体系工作并监督实施。组织编制全县国土空间规划和相关专项规划并监督实施。承担报省政府和州政府审批的国土空间规划的审核、报批工作，指导和审核涉及国土空间开发利用的全县重大专项规划。开展国土空间开发适宜性评价，建立国土空间规划实施监测、评估和预警体系。组织执行国土空间用途管制制度规范和技术标准。提出全县土地年度利用计划并组织实施。组织实施耕地、林地、草地、湿地等国土空间用途转用政策和管理规定，承担全县建设项目用地预审工作。拟订开展城乡规划管理和主体功能区规划编制等用途管制政策并监督实施。</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(三)资源环境和矿产管理股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管理全县地质勘查行业和地质工作，拟订全县地质勘查规划并监督检查执行情况。管理县级地质勘查项目，组织实施重大地质矿产勘查专项。负责全县公益性地质调查和矿产资源调查评价。承担全县地质勘查行业统计和成果统计，监督管理矿产资源勘查行为。</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业权管理政策并组织实施，负责县级发证的矿产资源矿业权出让及审批登记。统计分析并指导全县探矿权、采矿权审批登记，调处重大权属纠纷。承担保护性开采的特定矿种、优势矿产的开采总量控制及相关管理工作。负责职责范围内的安全生产和职业健康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产资源战略、政策和规划并组织实施，监督指导矿产资源合理利用和保护。承担矿产资源储量评审、备案、登记、统计和信息发布及压覆矿产资源审批管理、矿产地战略储备工作。实施矿山储量动态管理，建立矿产资源安全监测预警体系。监督地质资料汇交、保管和利用，监督管理古生物化石。</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负责全县地质灾害防治、组织、协调、指导和监督工作。开展地质灾害防治知识的宣传教育；加强对地质灾害险情的动态监测和群测群防工作；确保广大群众的生命财产安全。承担国土空间综合整治，矿产地质环境恢复治理，承担生态保护补偿相关工作，生态环境保护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r>
        <w:rPr>
          <w:rFonts w:hint="eastAsia" w:ascii="宋体" w:hAnsi="宋体" w:eastAsia="黑体" w:cs="宋体"/>
          <w:b w:val="0"/>
          <w:kern w:val="0"/>
          <w:sz w:val="32"/>
          <w:szCs w:val="32"/>
          <w:lang w:val="en-US" w:eastAsia="zh-CN" w:bidi="ar"/>
        </w:rPr>
        <w:t xml:space="preserve"> </w:t>
      </w:r>
      <w:r>
        <w:rPr>
          <w:rFonts w:hint="default" w:ascii="仿宋_GB2312" w:hAnsi="宋体" w:eastAsia="仿宋_GB2312" w:cs="仿宋_GB2312"/>
          <w:b w:val="0"/>
          <w:kern w:val="0"/>
          <w:sz w:val="32"/>
          <w:szCs w:val="32"/>
          <w:lang w:val="en-US" w:eastAsia="zh-CN" w:bidi="ar"/>
        </w:rPr>
        <w:t>自然资源局设行政编制6名。其中：局长1名，副局长2名；股室级领导职数</w:t>
      </w:r>
      <w:r>
        <w:rPr>
          <w:rFonts w:hint="default" w:ascii="仿宋_GB2312" w:hAnsi="宋体" w:eastAsia="仿宋_GB2312" w:cs="宋体"/>
          <w:b w:val="0"/>
          <w:kern w:val="0"/>
          <w:sz w:val="32"/>
          <w:szCs w:val="32"/>
          <w:lang w:val="en-US" w:eastAsia="zh-CN" w:bidi="ar"/>
        </w:rPr>
        <w:t>3</w:t>
      </w:r>
      <w:r>
        <w:rPr>
          <w:rFonts w:hint="default" w:ascii="仿宋_GB2312" w:hAnsi="宋体" w:eastAsia="仿宋_GB2312" w:cs="仿宋_GB2312"/>
          <w:b w:val="0"/>
          <w:kern w:val="0"/>
          <w:sz w:val="32"/>
          <w:szCs w:val="32"/>
          <w:lang w:val="en-US" w:eastAsia="zh-CN" w:bidi="ar"/>
        </w:rPr>
        <w:t>名。</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3" w:firstLineChars="200"/>
        <w:jc w:val="center"/>
        <w:textAlignment w:val="auto"/>
        <w:outlineLvl w:val="9"/>
        <w:rPr>
          <w:rFonts w:hint="eastAsia" w:ascii="宋体" w:hAnsi="宋体" w:eastAsia="宋体" w:cs="宋体"/>
          <w:b/>
          <w:kern w:val="0"/>
          <w:sz w:val="32"/>
          <w:szCs w:val="32"/>
          <w:shd w:val="clear" w:fill="FFFFFF"/>
          <w:lang w:val="en-US" w:eastAsia="zh-CN" w:bidi="ar"/>
        </w:rPr>
      </w:pP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3" w:firstLineChars="200"/>
        <w:jc w:val="center"/>
        <w:textAlignment w:val="auto"/>
        <w:outlineLvl w:val="9"/>
        <w:rPr>
          <w:rFonts w:hint="eastAsia" w:ascii="宋体" w:hAnsi="宋体" w:eastAsia="宋体" w:cs="宋体"/>
          <w:b/>
          <w:kern w:val="0"/>
          <w:sz w:val="32"/>
          <w:szCs w:val="32"/>
          <w:shd w:val="clear" w:fill="FFFFFF"/>
          <w:lang w:val="en-US" w:eastAsia="zh-CN" w:bidi="ar"/>
        </w:rPr>
      </w:pP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3" w:firstLineChars="200"/>
        <w:jc w:val="center"/>
        <w:textAlignment w:val="auto"/>
        <w:outlineLvl w:val="9"/>
        <w:rPr>
          <w:rFonts w:hint="eastAsia" w:ascii="宋体" w:hAnsi="宋体" w:eastAsia="宋体" w:cs="宋体"/>
          <w:b/>
          <w:kern w:val="0"/>
          <w:sz w:val="32"/>
          <w:szCs w:val="32"/>
          <w:shd w:val="clear" w:fill="FFFFFF"/>
          <w:lang w:val="en-US" w:eastAsia="zh-CN" w:bidi="ar"/>
        </w:rPr>
      </w:pPr>
    </w:p>
    <w:p>
      <w:pPr>
        <w:pStyle w:val="12"/>
        <w:keepNext w:val="0"/>
        <w:keepLines w:val="0"/>
        <w:pageBreakBefore w:val="0"/>
        <w:widowControl/>
        <w:numPr>
          <w:ilvl w:val="0"/>
          <w:numId w:val="2"/>
        </w:numPr>
        <w:suppressLineNumbers w:val="0"/>
        <w:kinsoku/>
        <w:wordWrap/>
        <w:overflowPunct/>
        <w:topLinePunct w:val="0"/>
        <w:autoSpaceDE w:val="0"/>
        <w:autoSpaceDN/>
        <w:bidi w:val="0"/>
        <w:adjustRightInd/>
        <w:snapToGrid w:val="0"/>
        <w:spacing w:before="0" w:beforeAutospacing="0" w:after="0" w:afterAutospacing="0" w:line="560" w:lineRule="exact"/>
        <w:ind w:right="0" w:firstLine="960" w:firstLineChars="200"/>
        <w:jc w:val="center"/>
        <w:textAlignment w:val="auto"/>
        <w:outlineLvl w:val="0"/>
        <w:rPr>
          <w:rFonts w:hint="eastAsia" w:ascii="黑体" w:hAnsi="宋体" w:eastAsia="黑体" w:cs="黑体"/>
          <w:kern w:val="0"/>
          <w:sz w:val="48"/>
          <w:szCs w:val="48"/>
          <w:lang w:val="en-US" w:eastAsia="zh-CN" w:bidi="ar"/>
        </w:rPr>
      </w:pPr>
      <w:bookmarkStart w:id="53" w:name="_Toc25194"/>
      <w:bookmarkEnd w:id="53"/>
      <w:bookmarkStart w:id="54" w:name="_Toc16813"/>
      <w:bookmarkEnd w:id="54"/>
      <w:bookmarkStart w:id="55" w:name="_Toc15298"/>
      <w:bookmarkStart w:id="56" w:name="_Toc15788"/>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jc w:val="center"/>
        <w:textAlignment w:val="auto"/>
        <w:outlineLvl w:val="0"/>
        <w:rPr>
          <w:rFonts w:hint="eastAsia" w:ascii="黑体" w:hAnsi="宋体" w:eastAsia="黑体" w:cs="黑体"/>
          <w:kern w:val="0"/>
          <w:sz w:val="48"/>
          <w:szCs w:val="48"/>
          <w:lang w:val="en-US" w:eastAsia="zh-CN" w:bidi="ar"/>
        </w:rPr>
      </w:pPr>
      <w:bookmarkStart w:id="57" w:name="_Toc22171"/>
      <w:bookmarkStart w:id="58" w:name="_Toc17833"/>
      <w:r>
        <w:rPr>
          <w:rFonts w:hint="eastAsia" w:ascii="黑体" w:hAnsi="宋体" w:eastAsia="黑体" w:cs="黑体"/>
          <w:kern w:val="0"/>
          <w:sz w:val="48"/>
          <w:szCs w:val="48"/>
          <w:lang w:val="en-US" w:eastAsia="zh-CN" w:bidi="ar"/>
        </w:rPr>
        <w:t>202</w:t>
      </w:r>
      <w:r>
        <w:rPr>
          <w:rFonts w:hint="eastAsia" w:ascii="黑体" w:eastAsia="黑体" w:cs="黑体"/>
          <w:kern w:val="0"/>
          <w:sz w:val="48"/>
          <w:szCs w:val="48"/>
          <w:lang w:val="en-US" w:eastAsia="zh-CN" w:bidi="ar"/>
        </w:rPr>
        <w:t>1</w:t>
      </w:r>
      <w:r>
        <w:rPr>
          <w:rFonts w:hint="eastAsia" w:ascii="黑体" w:hAnsi="宋体" w:eastAsia="黑体" w:cs="黑体"/>
          <w:kern w:val="0"/>
          <w:sz w:val="48"/>
          <w:szCs w:val="48"/>
          <w:lang w:val="en-US" w:eastAsia="zh-CN" w:bidi="ar"/>
        </w:rPr>
        <w:t>年度部门决算</w:t>
      </w:r>
      <w:bookmarkEnd w:id="55"/>
      <w:bookmarkEnd w:id="56"/>
      <w:bookmarkStart w:id="59" w:name="_Toc15532"/>
      <w:bookmarkStart w:id="60" w:name="_Toc17866"/>
      <w:r>
        <w:rPr>
          <w:rFonts w:hint="eastAsia" w:ascii="黑体" w:hAnsi="宋体" w:eastAsia="黑体" w:cs="黑体"/>
          <w:kern w:val="0"/>
          <w:sz w:val="48"/>
          <w:szCs w:val="48"/>
          <w:lang w:val="en-US" w:eastAsia="zh-CN" w:bidi="ar"/>
        </w:rPr>
        <w:t>情况说明</w:t>
      </w:r>
      <w:bookmarkEnd w:id="57"/>
      <w:bookmarkEnd w:id="58"/>
      <w:bookmarkEnd w:id="59"/>
      <w:bookmarkEnd w:id="60"/>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right="0" w:rightChars="0" w:firstLine="960" w:firstLineChars="200"/>
        <w:jc w:val="both"/>
        <w:textAlignment w:val="auto"/>
        <w:outlineLvl w:val="9"/>
        <w:rPr>
          <w:rFonts w:hint="eastAsia" w:ascii="黑体" w:hAnsi="宋体" w:eastAsia="黑体" w:cs="黑体"/>
          <w:kern w:val="0"/>
          <w:sz w:val="48"/>
          <w:szCs w:val="48"/>
          <w:lang w:val="en-US" w:eastAsia="zh-CN" w:bidi="ar"/>
        </w:rPr>
      </w:pP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61" w:name="_Toc1626"/>
      <w:bookmarkStart w:id="62" w:name="_Toc622"/>
      <w:bookmarkStart w:id="63" w:name="_Toc2376"/>
      <w:r>
        <w:rPr>
          <w:rFonts w:hint="eastAsia" w:ascii="仿宋_GB2312" w:hAnsi="仿宋" w:eastAsia="仿宋_GB2312" w:cs="仿宋_GB2312"/>
          <w:b/>
          <w:bCs/>
          <w:kern w:val="0"/>
          <w:sz w:val="32"/>
          <w:szCs w:val="32"/>
          <w:lang w:val="en-US" w:eastAsia="zh-CN" w:bidi="ar"/>
        </w:rPr>
        <w:t>一、收入支出决算总体情况说明</w:t>
      </w:r>
      <w:bookmarkEnd w:id="61"/>
      <w:bookmarkEnd w:id="62"/>
      <w:bookmarkEnd w:id="63"/>
    </w:p>
    <w:p>
      <w:pPr>
        <w:pStyle w:val="25"/>
        <w:keepNext w:val="0"/>
        <w:keepLines w:val="0"/>
        <w:pageBreakBefore w:val="0"/>
        <w:widowControl/>
        <w:numPr>
          <w:ilvl w:val="0"/>
          <w:numId w:val="0"/>
        </w:numPr>
        <w:kinsoku/>
        <w:wordWrap/>
        <w:overflowPunct/>
        <w:topLinePunct w:val="0"/>
        <w:autoSpaceDE w:val="0"/>
        <w:autoSpaceDN/>
        <w:bidi w:val="0"/>
        <w:adjustRightInd/>
        <w:snapToGrid/>
        <w:spacing w:beforeAutospacing="0" w:afterAutospacing="0" w:line="560" w:lineRule="exact"/>
        <w:ind w:leftChars="0" w:firstLine="640" w:firstLineChars="200"/>
        <w:textAlignment w:val="auto"/>
        <w:rPr>
          <w:rFonts w:hint="eastAsia" w:ascii="宋体" w:hAnsi="宋体" w:eastAsia="宋体" w:cs="宋体"/>
          <w:kern w:val="0"/>
          <w:sz w:val="24"/>
          <w:szCs w:val="24"/>
        </w:rPr>
      </w:pPr>
      <w:r>
        <w:rPr>
          <w:rFonts w:hint="eastAsia" w:ascii="仿宋_GB2312" w:hAnsi="宋体" w:eastAsia="仿宋_GB2312" w:cs="仿宋_GB2312"/>
          <w:b w:val="0"/>
          <w:kern w:val="0"/>
          <w:sz w:val="32"/>
          <w:szCs w:val="32"/>
          <w:lang w:val="en-US" w:eastAsia="zh-CN" w:bidi="ar"/>
        </w:rPr>
        <w:t>本年度收入合计为4335.57万元（其中财政拨款收入2005.39万元、其他收入2330.18万元），本年度一般公共预算财政拨款收入相比上年度增加760.74万元，主要原因为增加了项目专款资金收入；其他收入相比上年度增加2,330.18万元，主要原因为增加红代管（2021）0196号-久马高速公路缴纳的土地开垦费2327.15万元；本年度支出2321.41万元（其中基本支出556.94万元、项目支出1764.47万元），比上年支出3914.64万元减少1539.23万元，原因为社会保障和就业支出相比上年度增加-1.87万元，主要原因为单位职工工资调整，保险费用相应调整；卫生健康支出相比上年度增加-2.81万元，主要原因为单位职工工资调整，缴纳的医疗保险费用和本年单位职工部分未参与体检，体检费用相应调整；农林水支出相比上年度增加-1,096.20万元；自然资源海洋气象等支出相比上年度增加-1,131.61万元；</w:t>
      </w:r>
      <w:r>
        <w:rPr>
          <w:rFonts w:hint="eastAsia" w:ascii="仿宋_GB2312" w:hAnsi="仿宋" w:eastAsia="仿宋_GB2312" w:cs="仿宋_GB2312"/>
          <w:b/>
          <w:bCs/>
          <w:kern w:val="0"/>
          <w:sz w:val="32"/>
          <w:szCs w:val="32"/>
          <w:lang w:val="en-US" w:eastAsia="zh-CN" w:bidi="ar"/>
        </w:rPr>
        <w:drawing>
          <wp:anchor distT="0" distB="0" distL="114300" distR="114300" simplePos="0" relativeHeight="251667456" behindDoc="0" locked="0" layoutInCell="1" allowOverlap="1">
            <wp:simplePos x="0" y="0"/>
            <wp:positionH relativeFrom="column">
              <wp:posOffset>285750</wp:posOffset>
            </wp:positionH>
            <wp:positionV relativeFrom="page">
              <wp:posOffset>2277745</wp:posOffset>
            </wp:positionV>
            <wp:extent cx="4813935" cy="1904365"/>
            <wp:effectExtent l="0" t="0" r="5715" b="63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a:stretch>
                      <a:fillRect/>
                    </a:stretch>
                  </pic:blipFill>
                  <pic:spPr>
                    <a:xfrm>
                      <a:off x="0" y="0"/>
                      <a:ext cx="4813935" cy="1904365"/>
                    </a:xfrm>
                    <a:prstGeom prst="rect">
                      <a:avLst/>
                    </a:prstGeom>
                    <a:noFill/>
                    <a:ln>
                      <a:noFill/>
                    </a:ln>
                  </pic:spPr>
                </pic:pic>
              </a:graphicData>
            </a:graphic>
          </wp:anchor>
        </w:drawing>
      </w:r>
      <w:r>
        <w:rPr>
          <w:rFonts w:hint="eastAsia" w:ascii="仿宋_GB2312" w:hAnsi="宋体" w:eastAsia="仿宋_GB2312" w:cs="仿宋_GB2312"/>
          <w:b w:val="0"/>
          <w:kern w:val="0"/>
          <w:sz w:val="32"/>
          <w:szCs w:val="32"/>
          <w:lang w:val="en-US" w:eastAsia="zh-CN" w:bidi="ar"/>
        </w:rPr>
        <w:t xml:space="preserve">住房保障支出相比上年度增加0.22万元，主要原因为住房公积金调整；灾害防治及应急管理支出相比上年度增加639.03万元。(可用柱形图或折线图)。 </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64" w:name="_Toc20382"/>
      <w:bookmarkStart w:id="65" w:name="_Toc19038"/>
      <w:bookmarkStart w:id="66" w:name="_Toc3890"/>
      <w:r>
        <w:rPr>
          <w:rFonts w:hint="eastAsia" w:ascii="仿宋_GB2312" w:hAnsi="仿宋" w:eastAsia="仿宋_GB2312" w:cs="仿宋_GB2312"/>
          <w:b/>
          <w:bCs/>
          <w:kern w:val="0"/>
          <w:sz w:val="32"/>
          <w:szCs w:val="32"/>
          <w:lang w:val="en-US" w:eastAsia="zh-CN" w:bidi="ar"/>
        </w:rPr>
        <w:t>二、收入决算情况说明</w:t>
      </w:r>
      <w:bookmarkEnd w:id="64"/>
      <w:bookmarkEnd w:id="65"/>
      <w:bookmarkEnd w:id="66"/>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0" w:firstLineChars="200"/>
        <w:jc w:val="left"/>
        <w:textAlignment w:val="auto"/>
        <w:rPr>
          <w:rFonts w:hint="eastAsia" w:ascii="仿宋_GB2312" w:hAnsi="宋体" w:eastAsia="仿宋_GB2312" w:cs="仿宋_GB2312"/>
          <w:b w:val="0"/>
          <w:kern w:val="0"/>
          <w:sz w:val="32"/>
          <w:szCs w:val="32"/>
          <w:lang w:val="en-US" w:eastAsia="zh-CN" w:bidi="ar"/>
        </w:rPr>
      </w:pPr>
      <w:r>
        <w:rPr>
          <w:rFonts w:hint="eastAsia" w:ascii="仿宋_GB2312" w:hAnsi="宋体" w:eastAsia="仿宋_GB2312" w:cs="仿宋_GB2312"/>
          <w:b w:val="0"/>
          <w:kern w:val="0"/>
          <w:sz w:val="32"/>
          <w:szCs w:val="32"/>
          <w:lang w:val="en-US" w:eastAsia="zh-CN" w:bidi="ar"/>
        </w:rPr>
        <w:t xml:space="preserve">本单位本年度总收入为4335.57万元。其中：一般公共预算财政拨款收入为2005.39万元，占比46.25%；其他收入为 2330.18万元，占比53.75%。 </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67" w:name="_Toc20970"/>
      <w:bookmarkStart w:id="68" w:name="_Toc11909"/>
      <w:bookmarkStart w:id="69" w:name="_Toc141"/>
      <w:r>
        <w:rPr>
          <w:rFonts w:hint="eastAsia" w:ascii="仿宋_GB2312" w:hAnsi="仿宋" w:eastAsia="仿宋_GB2312" w:cs="仿宋_GB2312"/>
          <w:b/>
          <w:bCs/>
          <w:kern w:val="0"/>
          <w:sz w:val="32"/>
          <w:szCs w:val="32"/>
          <w:lang w:val="en-US" w:eastAsia="zh-CN" w:bidi="ar"/>
        </w:rPr>
        <w:t>三、支出决算情况说明</w:t>
      </w:r>
      <w:bookmarkEnd w:id="67"/>
      <w:bookmarkEnd w:id="68"/>
      <w:bookmarkEnd w:id="69"/>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480" w:firstLineChars="200"/>
        <w:jc w:val="left"/>
        <w:textAlignment w:val="auto"/>
        <w:rPr>
          <w:rFonts w:hint="eastAsia" w:ascii="宋体" w:hAnsi="宋体" w:eastAsia="宋体" w:cs="宋体"/>
          <w:kern w:val="0"/>
          <w:sz w:val="24"/>
          <w:szCs w:val="24"/>
        </w:rPr>
      </w:pPr>
      <w:r>
        <w:drawing>
          <wp:anchor distT="0" distB="0" distL="114300" distR="114300" simplePos="0" relativeHeight="251659264" behindDoc="0" locked="0" layoutInCell="1" allowOverlap="1">
            <wp:simplePos x="0" y="0"/>
            <wp:positionH relativeFrom="column">
              <wp:posOffset>199390</wp:posOffset>
            </wp:positionH>
            <wp:positionV relativeFrom="page">
              <wp:posOffset>8364855</wp:posOffset>
            </wp:positionV>
            <wp:extent cx="4996180" cy="1419225"/>
            <wp:effectExtent l="0" t="0" r="13970" b="952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4996180" cy="1419225"/>
                    </a:xfrm>
                    <a:prstGeom prst="rect">
                      <a:avLst/>
                    </a:prstGeom>
                    <a:noFill/>
                    <a:ln>
                      <a:noFill/>
                    </a:ln>
                  </pic:spPr>
                </pic:pic>
              </a:graphicData>
            </a:graphic>
          </wp:anchor>
        </w:drawing>
      </w:r>
      <w:r>
        <w:rPr>
          <w:rFonts w:hint="eastAsia" w:ascii="仿宋" w:hAnsi="仿宋" w:eastAsia="仿宋" w:cs="仿宋"/>
          <w:kern w:val="0"/>
          <w:sz w:val="32"/>
          <w:szCs w:val="32"/>
          <w:lang w:val="en-US" w:eastAsia="zh-CN" w:bidi="ar"/>
        </w:rPr>
        <w:t>本年度总支出为2321.41万元。社会保障和就业支出为60.48万 元，占比2.61%；卫生健康支出为25.27万元，占比1.09%；农林水支出为87.97万元，占比3.79%；自然资源海洋气象等支出为1433.56万元，占比61.75%；住房保障支出为38.59万元，占比1.66%；灾害防治及应急管理支出为675.53万元，占比29.10%</w:t>
      </w:r>
      <w:r>
        <w:rPr>
          <w:rFonts w:hint="eastAsia" w:ascii="仿宋" w:hAnsi="仿宋" w:eastAsia="仿宋" w:cs="宋体"/>
          <w:kern w:val="0"/>
          <w:sz w:val="32"/>
          <w:szCs w:val="32"/>
          <w:lang w:val="en-US" w:eastAsia="zh-CN" w:bidi="ar"/>
        </w:rPr>
        <w:t>。</w:t>
      </w:r>
      <w:r>
        <w:rPr>
          <w:rFonts w:hint="eastAsia" w:ascii="宋体" w:hAnsi="宋体" w:eastAsia="宋体" w:cs="宋体"/>
          <w:kern w:val="0"/>
          <w:sz w:val="24"/>
          <w:szCs w:val="24"/>
        </w:rPr>
        <w:t xml:space="preserve"> </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70" w:name="_Toc27165"/>
      <w:bookmarkStart w:id="71" w:name="_Toc19555"/>
      <w:bookmarkStart w:id="72" w:name="_Toc29680"/>
      <w:r>
        <w:rPr>
          <w:rFonts w:hint="eastAsia" w:ascii="仿宋_GB2312" w:hAnsi="仿宋" w:eastAsia="仿宋_GB2312" w:cs="仿宋_GB2312"/>
          <w:b/>
          <w:bCs/>
          <w:kern w:val="0"/>
          <w:sz w:val="32"/>
          <w:szCs w:val="32"/>
          <w:lang w:val="en-US" w:eastAsia="zh-CN" w:bidi="ar"/>
        </w:rPr>
        <w:t>四、一般公共预算财政拨款支出决算情况说明</w:t>
      </w:r>
      <w:bookmarkEnd w:id="70"/>
      <w:bookmarkEnd w:id="71"/>
      <w:bookmarkEnd w:id="72"/>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0" w:firstLineChars="200"/>
        <w:jc w:val="left"/>
        <w:textAlignment w:val="auto"/>
        <w:rPr>
          <w:rFonts w:hint="eastAsia" w:eastAsia="仿宋_GB2312"/>
          <w:sz w:val="32"/>
          <w:szCs w:val="32"/>
          <w:lang w:val="en-US" w:eastAsia="zh-CN"/>
        </w:rPr>
      </w:pPr>
      <w:r>
        <w:rPr>
          <w:rFonts w:hint="eastAsia" w:eastAsia="仿宋_GB2312"/>
          <w:sz w:val="32"/>
          <w:szCs w:val="32"/>
          <w:lang w:val="en-US" w:eastAsia="zh-CN"/>
        </w:rPr>
        <w:t>2021年我局一般公共预算财政拨款支出为2126.71万元，其中：</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224-</w:t>
      </w:r>
      <w:r>
        <w:rPr>
          <w:rFonts w:hint="eastAsia" w:eastAsia="仿宋_GB2312"/>
          <w:b/>
          <w:bCs/>
          <w:sz w:val="32"/>
          <w:szCs w:val="32"/>
          <w:lang w:eastAsia="zh-CN"/>
        </w:rPr>
        <w:t>灾害防治及应急管理支出</w:t>
      </w:r>
      <w:r>
        <w:rPr>
          <w:rFonts w:hint="eastAsia" w:eastAsia="仿宋_GB2312"/>
          <w:sz w:val="32"/>
          <w:szCs w:val="32"/>
          <w:lang w:eastAsia="zh-CN"/>
        </w:rPr>
        <w:t>675</w:t>
      </w:r>
      <w:r>
        <w:rPr>
          <w:rFonts w:hint="eastAsia" w:eastAsia="仿宋_GB2312"/>
          <w:sz w:val="32"/>
          <w:szCs w:val="32"/>
          <w:lang w:val="en-US" w:eastAsia="zh-CN"/>
        </w:rPr>
        <w:t>.</w:t>
      </w:r>
      <w:r>
        <w:rPr>
          <w:rFonts w:hint="eastAsia" w:eastAsia="仿宋_GB2312"/>
          <w:sz w:val="32"/>
          <w:szCs w:val="32"/>
          <w:lang w:eastAsia="zh-CN"/>
        </w:rPr>
        <w:t>53 万元，其中：2240104</w:t>
      </w:r>
      <w:r>
        <w:rPr>
          <w:rFonts w:hint="eastAsia" w:eastAsia="仿宋_GB2312"/>
          <w:sz w:val="32"/>
          <w:szCs w:val="32"/>
          <w:lang w:val="en-US" w:eastAsia="zh-CN"/>
        </w:rPr>
        <w:t>-</w:t>
      </w:r>
      <w:r>
        <w:rPr>
          <w:rFonts w:hint="eastAsia" w:eastAsia="仿宋_GB2312"/>
          <w:sz w:val="32"/>
          <w:szCs w:val="32"/>
          <w:lang w:eastAsia="zh-CN"/>
        </w:rPr>
        <w:t>灾害风险防治</w:t>
      </w:r>
      <w:r>
        <w:rPr>
          <w:rFonts w:hint="eastAsia" w:eastAsia="仿宋_GB2312"/>
          <w:sz w:val="32"/>
          <w:szCs w:val="32"/>
          <w:lang w:val="en-US" w:eastAsia="zh-CN"/>
        </w:rPr>
        <w:t>20.55万元、2240601</w:t>
      </w:r>
      <w:r>
        <w:rPr>
          <w:rFonts w:hint="eastAsia" w:eastAsia="仿宋_GB2312"/>
          <w:sz w:val="32"/>
          <w:szCs w:val="32"/>
          <w:lang w:val="en-US" w:eastAsia="zh-CN"/>
        </w:rPr>
        <w:tab/>
      </w:r>
      <w:r>
        <w:rPr>
          <w:rFonts w:hint="eastAsia" w:eastAsia="仿宋_GB2312"/>
          <w:sz w:val="32"/>
          <w:szCs w:val="32"/>
          <w:lang w:val="en-US" w:eastAsia="zh-CN"/>
        </w:rPr>
        <w:t>-地质灾害防治193.67万元、2240799-其他自然灾害救灾及恢复重建支出461.32万元</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221-</w:t>
      </w:r>
      <w:r>
        <w:rPr>
          <w:rFonts w:hint="eastAsia" w:eastAsia="仿宋_GB2312"/>
          <w:b/>
          <w:bCs/>
          <w:sz w:val="32"/>
          <w:szCs w:val="32"/>
          <w:lang w:eastAsia="zh-CN"/>
        </w:rPr>
        <w:t>住房保障支出</w:t>
      </w:r>
      <w:r>
        <w:rPr>
          <w:rFonts w:hint="eastAsia" w:eastAsia="仿宋_GB2312"/>
          <w:sz w:val="32"/>
          <w:szCs w:val="32"/>
          <w:lang w:val="en-US" w:eastAsia="zh-CN"/>
        </w:rPr>
        <w:t>38.59万元，其中：2210201-住房公积金38.59万元；</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220-自然资源海洋气象等支出</w:t>
      </w:r>
      <w:r>
        <w:rPr>
          <w:rFonts w:hint="eastAsia" w:eastAsia="仿宋_GB2312"/>
          <w:sz w:val="32"/>
          <w:szCs w:val="32"/>
          <w:lang w:val="en-US" w:eastAsia="zh-CN"/>
        </w:rPr>
        <w:t>1238.86万元，其中：2200101-行政运行226.09万元、2200106-自然资源利用与保护126.73万元、2200150-事业运行203.41万元、2200199-其他自然资源事务支出257.42万元、2209999-其他自然资源海洋气象等支出425.21万元；</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213-农林水支出</w:t>
      </w:r>
      <w:r>
        <w:rPr>
          <w:rFonts w:hint="eastAsia" w:eastAsia="仿宋_GB2312"/>
          <w:sz w:val="32"/>
          <w:szCs w:val="32"/>
          <w:lang w:val="en-US" w:eastAsia="zh-CN"/>
        </w:rPr>
        <w:t>87.98万元，其中：2130599-其他扶贫支出87.98万元；</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210-卫生健康支出</w:t>
      </w:r>
      <w:r>
        <w:rPr>
          <w:rFonts w:hint="eastAsia" w:eastAsia="仿宋_GB2312"/>
          <w:sz w:val="32"/>
          <w:szCs w:val="32"/>
          <w:lang w:val="en-US" w:eastAsia="zh-CN"/>
        </w:rPr>
        <w:t>25.27万元，其中：2101101-行政单位医疗9.93万元、2101102-事业单位医疗9.11万元、2101103-公务员医疗补助3.11万元、2101199-其他行政事业单位医疗支出3.12万元；</w:t>
      </w:r>
    </w:p>
    <w:p>
      <w:pPr>
        <w:pStyle w:val="12"/>
        <w:keepNext w:val="0"/>
        <w:keepLines w:val="0"/>
        <w:pageBreakBefore w:val="0"/>
        <w:widowControl/>
        <w:numPr>
          <w:ilvl w:val="0"/>
          <w:numId w:val="3"/>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sz w:val="32"/>
          <w:szCs w:val="32"/>
          <w:lang w:val="en-US" w:eastAsia="zh-CN"/>
        </w:rPr>
      </w:pPr>
      <w:r>
        <w:rPr>
          <w:rFonts w:hint="eastAsia" w:eastAsia="仿宋_GB2312"/>
          <w:b/>
          <w:bCs/>
          <w:sz w:val="32"/>
          <w:szCs w:val="32"/>
          <w:lang w:val="en-US" w:eastAsia="zh-CN"/>
        </w:rPr>
        <w:t>208-社会保障和就业支出</w:t>
      </w:r>
      <w:r>
        <w:rPr>
          <w:rFonts w:hint="eastAsia" w:eastAsia="仿宋_GB2312"/>
          <w:sz w:val="32"/>
          <w:szCs w:val="32"/>
          <w:lang w:val="en-US" w:eastAsia="zh-CN"/>
        </w:rPr>
        <w:t>60.48万元，2080505-机关事业单位基本养老保险缴费支出40.32万元、2080506-机关事业单位职业年金缴费支出20.16万元。</w:t>
      </w:r>
    </w:p>
    <w:p>
      <w:pPr>
        <w:pStyle w:val="12"/>
        <w:keepNext w:val="0"/>
        <w:keepLines w:val="0"/>
        <w:pageBreakBefore w:val="0"/>
        <w:widowControl/>
        <w:numPr>
          <w:ilvl w:val="0"/>
          <w:numId w:val="0"/>
        </w:numPr>
        <w:suppressLineNumbers w:val="0"/>
        <w:kinsoku/>
        <w:wordWrap/>
        <w:overflowPunct/>
        <w:topLinePunct w:val="0"/>
        <w:autoSpaceDE w:val="0"/>
        <w:bidi w:val="0"/>
        <w:snapToGrid w:val="0"/>
        <w:spacing w:before="0" w:beforeAutospacing="0" w:after="0" w:afterAutospacing="0" w:line="560" w:lineRule="exact"/>
        <w:ind w:leftChars="0" w:right="0" w:rightChars="0" w:firstLine="643" w:firstLineChars="200"/>
        <w:jc w:val="left"/>
        <w:textAlignment w:val="auto"/>
        <w:rPr>
          <w:rFonts w:hint="eastAsia" w:ascii="仿宋_GB2312" w:hAnsi="仿宋" w:eastAsia="仿宋_GB2312" w:cs="仿宋_GB2312"/>
          <w:b/>
          <w:bCs/>
          <w:kern w:val="0"/>
          <w:sz w:val="32"/>
          <w:szCs w:val="32"/>
          <w:lang w:val="en-US" w:eastAsia="zh-CN" w:bidi="ar"/>
        </w:rPr>
      </w:pPr>
      <w:r>
        <w:rPr>
          <w:rFonts w:hint="eastAsia" w:ascii="仿宋_GB2312" w:hAnsi="仿宋" w:eastAsia="仿宋_GB2312" w:cs="仿宋_GB2312"/>
          <w:b/>
          <w:bCs/>
          <w:kern w:val="0"/>
          <w:sz w:val="32"/>
          <w:szCs w:val="32"/>
          <w:lang w:val="en-US" w:eastAsia="zh-CN" w:bidi="ar"/>
        </w:rPr>
        <w:drawing>
          <wp:anchor distT="0" distB="0" distL="114300" distR="114300" simplePos="0" relativeHeight="251669504" behindDoc="0" locked="0" layoutInCell="1" allowOverlap="1">
            <wp:simplePos x="0" y="0"/>
            <wp:positionH relativeFrom="column">
              <wp:posOffset>166370</wp:posOffset>
            </wp:positionH>
            <wp:positionV relativeFrom="page">
              <wp:posOffset>1156970</wp:posOffset>
            </wp:positionV>
            <wp:extent cx="5099050" cy="1760220"/>
            <wp:effectExtent l="4445" t="4445" r="20955" b="698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73" w:name="_Toc2444"/>
      <w:bookmarkStart w:id="74" w:name="_Toc19869"/>
      <w:bookmarkStart w:id="75" w:name="_Toc27486"/>
      <w:r>
        <w:rPr>
          <w:rFonts w:hint="eastAsia" w:ascii="仿宋_GB2312" w:hAnsi="仿宋" w:eastAsia="仿宋_GB2312" w:cs="仿宋_GB2312"/>
          <w:b/>
          <w:bCs/>
          <w:kern w:val="0"/>
          <w:sz w:val="32"/>
          <w:szCs w:val="32"/>
          <w:lang w:val="en-US" w:eastAsia="zh-CN" w:bidi="ar"/>
        </w:rPr>
        <w:t>五、一般公共预算财政拨款基本支出决算情况说明</w:t>
      </w:r>
      <w:bookmarkEnd w:id="73"/>
      <w:bookmarkEnd w:id="74"/>
      <w:bookmarkEnd w:id="75"/>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0" w:firstLineChars="200"/>
        <w:jc w:val="left"/>
        <w:textAlignment w:val="auto"/>
        <w:rPr>
          <w:rFonts w:hint="eastAsia" w:eastAsia="仿宋_GB2312"/>
          <w:sz w:val="32"/>
          <w:szCs w:val="32"/>
          <w:lang w:val="en-US" w:eastAsia="zh-CN"/>
        </w:rPr>
      </w:pPr>
      <w:r>
        <w:rPr>
          <w:rFonts w:hint="eastAsia" w:eastAsia="仿宋_GB2312"/>
          <w:sz w:val="32"/>
          <w:szCs w:val="32"/>
          <w:lang w:val="en-US" w:eastAsia="zh-CN"/>
        </w:rPr>
        <w:t>2021年我局一般公共预算财政拨款基本支出为553.84万元，其中：</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0" w:right="0" w:rightChars="0" w:firstLine="643" w:firstLineChars="200"/>
        <w:jc w:val="left"/>
        <w:textAlignment w:val="auto"/>
        <w:rPr>
          <w:rFonts w:hint="eastAsia" w:eastAsia="仿宋_GB2312"/>
          <w:b/>
          <w:bCs/>
          <w:sz w:val="32"/>
          <w:szCs w:val="32"/>
          <w:lang w:val="en-US" w:eastAsia="zh-CN"/>
        </w:rPr>
      </w:pPr>
      <w:r>
        <w:rPr>
          <w:rFonts w:hint="eastAsia" w:eastAsia="仿宋_GB2312"/>
          <w:b/>
          <w:bCs/>
          <w:sz w:val="32"/>
          <w:szCs w:val="32"/>
          <w:lang w:val="en-US" w:eastAsia="zh-CN"/>
        </w:rPr>
        <w:t>（一）按照功能科目分类为：</w:t>
      </w:r>
    </w:p>
    <w:p>
      <w:pPr>
        <w:keepNext w:val="0"/>
        <w:keepLines w:val="0"/>
        <w:pageBreakBefore w:val="0"/>
        <w:numPr>
          <w:ilvl w:val="0"/>
          <w:numId w:val="4"/>
        </w:numPr>
        <w:kinsoku/>
        <w:wordWrap/>
        <w:overflowPunct/>
        <w:topLinePunct w:val="0"/>
        <w:autoSpaceDE w:val="0"/>
        <w:bidi w:val="0"/>
        <w:spacing w:afterAutospacing="0" w:line="560" w:lineRule="exact"/>
        <w:ind w:left="0" w:leftChars="0" w:firstLine="643" w:firstLineChars="200"/>
        <w:textAlignment w:val="auto"/>
        <w:rPr>
          <w:rFonts w:ascii="仿宋" w:hAnsi="仿宋" w:eastAsia="仿宋"/>
          <w:b/>
          <w:color w:val="000000"/>
          <w:sz w:val="32"/>
          <w:szCs w:val="32"/>
        </w:rPr>
      </w:pPr>
      <w:r>
        <w:rPr>
          <w:rFonts w:hint="eastAsia" w:eastAsia="仿宋_GB2312"/>
          <w:b/>
          <w:bCs/>
          <w:sz w:val="32"/>
          <w:szCs w:val="32"/>
          <w:lang w:val="en-US" w:eastAsia="zh-CN"/>
        </w:rPr>
        <w:t>208-社会保障和就业支出</w:t>
      </w:r>
      <w:r>
        <w:rPr>
          <w:rFonts w:hint="eastAsia" w:eastAsia="仿宋_GB2312"/>
          <w:sz w:val="32"/>
          <w:szCs w:val="32"/>
          <w:lang w:val="en-US" w:eastAsia="zh-CN"/>
        </w:rPr>
        <w:t>60.48万元，2080505-机关事业单位基本养老保险缴费支出40.32万元，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全部用于职工缴纳养老保险单位部分；</w:t>
      </w:r>
      <w:r>
        <w:rPr>
          <w:rFonts w:hint="eastAsia" w:eastAsia="仿宋_GB2312"/>
          <w:sz w:val="32"/>
          <w:szCs w:val="32"/>
          <w:lang w:val="en-US" w:eastAsia="zh-CN"/>
        </w:rPr>
        <w:t>2080506-机关事业单位职业年金缴费支出20.16万元，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全部用于职工缴纳职业年金单位部分。</w:t>
      </w:r>
    </w:p>
    <w:p>
      <w:pPr>
        <w:keepNext w:val="0"/>
        <w:keepLines w:val="0"/>
        <w:pageBreakBefore w:val="0"/>
        <w:numPr>
          <w:ilvl w:val="0"/>
          <w:numId w:val="4"/>
        </w:numPr>
        <w:kinsoku/>
        <w:wordWrap/>
        <w:overflowPunct/>
        <w:topLinePunct w:val="0"/>
        <w:autoSpaceDE w:val="0"/>
        <w:bidi w:val="0"/>
        <w:spacing w:afterAutospacing="0" w:line="560" w:lineRule="exact"/>
        <w:ind w:left="0" w:leftChars="0" w:firstLine="643" w:firstLineChars="200"/>
        <w:textAlignment w:val="auto"/>
        <w:rPr>
          <w:rFonts w:hint="eastAsia" w:eastAsia="仿宋_GB2312" w:asciiTheme="minorHAnsi" w:hAnsiTheme="minorHAnsi" w:cstheme="minorBidi"/>
          <w:kern w:val="2"/>
          <w:sz w:val="32"/>
          <w:szCs w:val="32"/>
          <w:lang w:val="en-US" w:eastAsia="zh-CN" w:bidi="ar-SA"/>
        </w:rPr>
      </w:pPr>
      <w:r>
        <w:rPr>
          <w:rFonts w:hint="eastAsia" w:eastAsia="仿宋_GB2312"/>
          <w:b/>
          <w:bCs/>
          <w:sz w:val="32"/>
          <w:szCs w:val="32"/>
          <w:lang w:val="en-US" w:eastAsia="zh-CN"/>
        </w:rPr>
        <w:t>210-卫生健康支出</w:t>
      </w:r>
      <w:r>
        <w:rPr>
          <w:rFonts w:hint="eastAsia" w:eastAsia="仿宋_GB2312"/>
          <w:sz w:val="32"/>
          <w:szCs w:val="32"/>
          <w:lang w:val="en-US" w:eastAsia="zh-CN"/>
        </w:rPr>
        <w:t>25.27万元，其中：2101101-行政单位医疗9.93万元，完成预算100%，全部用于行政职工缴纳医疗保险单位部分；2101102-事业单位医疗9.11万元，完成预算100%，全部用于职工缴纳医疗保险单位部分；2101103-公务员医疗补助3.11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，全部用于职工公务员补充医保。</w:t>
      </w:r>
      <w:r>
        <w:rPr>
          <w:rFonts w:hint="eastAsia" w:eastAsia="仿宋_GB2312"/>
          <w:sz w:val="32"/>
          <w:szCs w:val="32"/>
          <w:lang w:val="en-US" w:eastAsia="zh-CN"/>
        </w:rPr>
        <w:t>2101199-其他行政事业单位医疗支出3.12万元，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，全部用于事业职工补充医保</w:t>
      </w:r>
      <w:r>
        <w:rPr>
          <w:rFonts w:hint="eastAsia" w:eastAsia="仿宋_GB2312"/>
          <w:sz w:val="32"/>
          <w:szCs w:val="32"/>
          <w:lang w:val="en-US" w:eastAsia="zh-CN"/>
        </w:rPr>
        <w:t>。</w:t>
      </w:r>
    </w:p>
    <w:p>
      <w:pPr>
        <w:keepNext w:val="0"/>
        <w:keepLines w:val="0"/>
        <w:pageBreakBefore w:val="0"/>
        <w:numPr>
          <w:ilvl w:val="0"/>
          <w:numId w:val="4"/>
        </w:numPr>
        <w:kinsoku/>
        <w:wordWrap/>
        <w:overflowPunct/>
        <w:topLinePunct w:val="0"/>
        <w:autoSpaceDE w:val="0"/>
        <w:bidi w:val="0"/>
        <w:spacing w:afterAutospacing="0" w:line="560" w:lineRule="exact"/>
        <w:ind w:left="0" w:leftChars="0" w:firstLine="643" w:firstLineChars="200"/>
        <w:textAlignment w:val="auto"/>
        <w:rPr>
          <w:rFonts w:hint="eastAsia" w:eastAsia="仿宋_GB2312" w:asciiTheme="minorHAnsi" w:hAnsiTheme="minorHAnsi" w:cstheme="minorBidi"/>
          <w:kern w:val="2"/>
          <w:sz w:val="32"/>
          <w:szCs w:val="32"/>
          <w:lang w:val="en-US" w:eastAsia="zh-CN" w:bidi="ar-SA"/>
        </w:rPr>
      </w:pPr>
      <w:r>
        <w:rPr>
          <w:rFonts w:hint="eastAsia" w:eastAsia="仿宋_GB2312" w:asciiTheme="minorHAnsi" w:hAnsiTheme="minorHAnsi" w:cstheme="minorBidi"/>
          <w:b/>
          <w:bCs/>
          <w:kern w:val="2"/>
          <w:sz w:val="32"/>
          <w:szCs w:val="32"/>
          <w:lang w:val="en-US" w:eastAsia="zh-CN" w:bidi="ar-SA"/>
        </w:rPr>
        <w:t>220-自然资源海洋气象等支出</w:t>
      </w:r>
      <w:r>
        <w:rPr>
          <w:rFonts w:hint="eastAsia" w:eastAsia="仿宋_GB2312" w:asciiTheme="minorHAnsi" w:hAnsiTheme="minorHAnsi" w:cstheme="minorBidi"/>
          <w:kern w:val="2"/>
          <w:sz w:val="32"/>
          <w:szCs w:val="32"/>
          <w:lang w:val="en-US" w:eastAsia="zh-CN" w:bidi="ar-SA"/>
        </w:rPr>
        <w:t>429.51万元，其中：2200101-行政运行226.09万元</w:t>
      </w:r>
      <w:r>
        <w:rPr>
          <w:rFonts w:hint="eastAsia" w:eastAsia="仿宋_GB2312" w:cstheme="minorBidi"/>
          <w:kern w:val="2"/>
          <w:sz w:val="32"/>
          <w:szCs w:val="32"/>
          <w:lang w:val="en-US" w:eastAsia="zh-CN" w:bidi="ar-SA"/>
        </w:rPr>
        <w:t>，</w:t>
      </w:r>
      <w:r>
        <w:rPr>
          <w:rFonts w:hint="eastAsia" w:eastAsia="仿宋_GB2312" w:asciiTheme="minorHAnsi" w:hAnsiTheme="minorHAnsi" w:cstheme="minorBidi"/>
          <w:kern w:val="2"/>
          <w:sz w:val="32"/>
          <w:szCs w:val="32"/>
          <w:lang w:val="en-US" w:eastAsia="zh-CN" w:bidi="ar-SA"/>
        </w:rPr>
        <w:t>2200150事业运行203.41万元</w:t>
      </w:r>
      <w:r>
        <w:rPr>
          <w:rFonts w:hint="eastAsia" w:eastAsia="仿宋_GB2312" w:cstheme="minorBidi"/>
          <w:kern w:val="2"/>
          <w:sz w:val="32"/>
          <w:szCs w:val="32"/>
          <w:lang w:val="en-US" w:eastAsia="zh-CN" w:bidi="ar-SA"/>
        </w:rPr>
        <w:t>，完成预算100%，全部用于</w:t>
      </w:r>
      <w:r>
        <w:rPr>
          <w:rStyle w:val="15"/>
          <w:rFonts w:hint="eastAsia" w:ascii="仿宋" w:hAnsi="仿宋" w:eastAsia="仿宋"/>
          <w:b w:val="0"/>
          <w:bCs/>
          <w:color w:val="000000"/>
          <w:sz w:val="32"/>
          <w:szCs w:val="32"/>
          <w:lang w:eastAsia="zh-CN"/>
        </w:rPr>
        <w:t>开支日常公用经费及人员经费；</w:t>
      </w:r>
    </w:p>
    <w:p>
      <w:pPr>
        <w:keepNext w:val="0"/>
        <w:keepLines w:val="0"/>
        <w:pageBreakBefore w:val="0"/>
        <w:numPr>
          <w:ilvl w:val="0"/>
          <w:numId w:val="4"/>
        </w:numPr>
        <w:tabs>
          <w:tab w:val="clear" w:pos="312"/>
        </w:tabs>
        <w:kinsoku/>
        <w:wordWrap/>
        <w:overflowPunct/>
        <w:topLinePunct w:val="0"/>
        <w:autoSpaceDE w:val="0"/>
        <w:bidi w:val="0"/>
        <w:spacing w:afterAutospacing="0" w:line="560" w:lineRule="exact"/>
        <w:ind w:left="0" w:leftChars="0" w:firstLine="643" w:firstLineChars="200"/>
        <w:textAlignment w:val="auto"/>
        <w:rPr>
          <w:rStyle w:val="15"/>
          <w:rFonts w:hint="eastAsia" w:ascii="仿宋_GB2312" w:hAnsi="仿宋_GB2312" w:eastAsia="仿宋_GB2312" w:cs="仿宋_GB2312"/>
          <w:sz w:val="32"/>
          <w:szCs w:val="32"/>
          <w:shd w:val="clear" w:color="auto" w:fill="FFFFFF"/>
        </w:rPr>
      </w:pPr>
      <w:r>
        <w:rPr>
          <w:rFonts w:hint="eastAsia" w:eastAsia="仿宋_GB2312"/>
          <w:b/>
          <w:bCs/>
          <w:sz w:val="32"/>
          <w:szCs w:val="32"/>
          <w:lang w:val="en-US" w:eastAsia="zh-CN"/>
        </w:rPr>
        <w:t>221-</w:t>
      </w:r>
      <w:r>
        <w:rPr>
          <w:rFonts w:hint="eastAsia" w:eastAsia="仿宋_GB2312"/>
          <w:b/>
          <w:bCs/>
          <w:sz w:val="32"/>
          <w:szCs w:val="32"/>
          <w:lang w:eastAsia="zh-CN"/>
        </w:rPr>
        <w:t>住房保障支出</w:t>
      </w:r>
      <w:r>
        <w:rPr>
          <w:rFonts w:hint="eastAsia" w:eastAsia="仿宋_GB2312"/>
          <w:sz w:val="32"/>
          <w:szCs w:val="32"/>
          <w:lang w:val="en-US" w:eastAsia="zh-CN"/>
        </w:rPr>
        <w:t>38.59万元，其中：2210201-住房公积金38.59万元，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，全部用于职工缴纳住房公积金单位部分。</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480" w:firstLineChars="200"/>
        <w:jc w:val="left"/>
        <w:textAlignment w:val="auto"/>
        <w:rPr>
          <w:rFonts w:hint="eastAsia" w:eastAsia="仿宋_GB2312"/>
          <w:sz w:val="32"/>
          <w:szCs w:val="32"/>
          <w:lang w:val="en-US" w:eastAsia="zh-CN"/>
        </w:rPr>
      </w:pPr>
      <w:r>
        <w:drawing>
          <wp:anchor distT="0" distB="0" distL="114300" distR="114300" simplePos="0" relativeHeight="251670528" behindDoc="0" locked="0" layoutInCell="1" allowOverlap="1">
            <wp:simplePos x="0" y="0"/>
            <wp:positionH relativeFrom="column">
              <wp:posOffset>621665</wp:posOffset>
            </wp:positionH>
            <wp:positionV relativeFrom="paragraph">
              <wp:posOffset>134620</wp:posOffset>
            </wp:positionV>
            <wp:extent cx="4231005" cy="1478915"/>
            <wp:effectExtent l="4445" t="4445" r="12700" b="2159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0" w:firstLineChars="200"/>
        <w:jc w:val="left"/>
        <w:textAlignment w:val="auto"/>
        <w:rPr>
          <w:rFonts w:hint="eastAsia" w:eastAsia="仿宋_GB2312"/>
          <w:sz w:val="32"/>
          <w:szCs w:val="32"/>
          <w:lang w:val="en-US" w:eastAsia="zh-CN"/>
        </w:rPr>
      </w:pP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0" w:firstLineChars="200"/>
        <w:jc w:val="left"/>
        <w:textAlignment w:val="auto"/>
        <w:rPr>
          <w:rFonts w:hint="eastAsia" w:eastAsia="仿宋_GB2312"/>
          <w:sz w:val="32"/>
          <w:szCs w:val="32"/>
          <w:lang w:val="en-US" w:eastAsia="zh-CN"/>
        </w:rPr>
      </w:pP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0" w:firstLineChars="200"/>
        <w:jc w:val="left"/>
        <w:textAlignment w:val="auto"/>
        <w:rPr>
          <w:rFonts w:hint="default" w:eastAsia="仿宋_GB2312"/>
          <w:sz w:val="32"/>
          <w:szCs w:val="32"/>
          <w:lang w:val="en-US" w:eastAsia="zh-CN"/>
        </w:rPr>
      </w:pP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3" w:firstLineChars="200"/>
        <w:jc w:val="left"/>
        <w:textAlignment w:val="auto"/>
        <w:rPr>
          <w:rFonts w:hint="eastAsia" w:eastAsia="仿宋_GB2312"/>
          <w:b/>
          <w:bCs/>
          <w:sz w:val="32"/>
          <w:szCs w:val="32"/>
          <w:lang w:val="en-US" w:eastAsia="zh-CN"/>
        </w:rPr>
      </w:pPr>
      <w:r>
        <w:rPr>
          <w:rFonts w:hint="eastAsia" w:eastAsia="仿宋_GB2312"/>
          <w:b/>
          <w:bCs/>
          <w:sz w:val="32"/>
          <w:szCs w:val="32"/>
          <w:lang w:val="en-US" w:eastAsia="zh-CN"/>
        </w:rPr>
        <w:t>（二）按照经济科目分类为：</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3" w:firstLineChars="200"/>
        <w:jc w:val="left"/>
        <w:textAlignment w:val="auto"/>
        <w:rPr>
          <w:rFonts w:hint="eastAsia" w:ascii="仿宋" w:hAnsi="仿宋" w:eastAsia="仿宋"/>
          <w:color w:val="000000"/>
          <w:sz w:val="32"/>
          <w:szCs w:val="32"/>
          <w:lang w:eastAsia="zh-CN"/>
        </w:rPr>
      </w:pPr>
      <w:r>
        <w:rPr>
          <w:rFonts w:hint="eastAsia" w:eastAsia="仿宋_GB2312"/>
          <w:b/>
          <w:bCs/>
          <w:sz w:val="32"/>
          <w:szCs w:val="32"/>
          <w:lang w:val="en-US" w:eastAsia="zh-CN"/>
        </w:rPr>
        <w:t>1.</w:t>
      </w: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517.35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其中：基本工资</w:t>
      </w:r>
      <w:r>
        <w:rPr>
          <w:rFonts w:hint="eastAsia" w:ascii="仿宋" w:hAnsi="仿宋" w:eastAsia="仿宋"/>
          <w:color w:val="000000"/>
          <w:sz w:val="32"/>
          <w:szCs w:val="32"/>
          <w:lang w:val="en-US" w:eastAsia="zh-CN"/>
        </w:rPr>
        <w:t>91.29万元、津贴补贴230.42万元、奖金4.21万元、绩效工资45.73万元、机关事业单位基本养老保险缴费40.32万元、职业年金缴费20.16万元、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19.04</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6.23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5.5</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38.59</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2.78</w:t>
      </w:r>
      <w:r>
        <w:rPr>
          <w:rFonts w:hint="eastAsia" w:ascii="仿宋" w:hAnsi="仿宋" w:eastAsia="仿宋"/>
          <w:color w:val="000000"/>
          <w:sz w:val="32"/>
          <w:szCs w:val="32"/>
          <w:lang w:eastAsia="zh-CN"/>
        </w:rPr>
        <w:t>万元、生活补助</w:t>
      </w:r>
      <w:r>
        <w:rPr>
          <w:rFonts w:hint="eastAsia" w:ascii="仿宋" w:hAnsi="仿宋" w:eastAsia="仿宋"/>
          <w:color w:val="000000"/>
          <w:sz w:val="32"/>
          <w:szCs w:val="32"/>
          <w:lang w:val="en-US" w:eastAsia="zh-CN"/>
        </w:rPr>
        <w:t>12.35万元、救济费0.25万元、医疗费补助0.47万元、奖励金0.02万元</w:t>
      </w:r>
      <w:r>
        <w:rPr>
          <w:rFonts w:hint="eastAsia" w:ascii="仿宋" w:hAnsi="仿宋" w:eastAsia="仿宋"/>
          <w:color w:val="000000"/>
          <w:sz w:val="32"/>
          <w:szCs w:val="32"/>
          <w:lang w:eastAsia="zh-CN"/>
        </w:rPr>
        <w:t>。</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leftChars="200" w:right="0" w:rightChars="0" w:firstLine="640" w:firstLineChars="200"/>
        <w:jc w:val="left"/>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36.49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w:t>
      </w:r>
      <w:r>
        <w:rPr>
          <w:rFonts w:hint="eastAsia" w:ascii="仿宋" w:hAnsi="仿宋" w:eastAsia="仿宋"/>
          <w:color w:val="000000"/>
          <w:sz w:val="32"/>
          <w:szCs w:val="32"/>
        </w:rPr>
        <w:t>：办公费</w:t>
      </w:r>
      <w:r>
        <w:rPr>
          <w:rFonts w:hint="eastAsia" w:ascii="仿宋" w:hAnsi="仿宋" w:eastAsia="仿宋"/>
          <w:color w:val="000000"/>
          <w:sz w:val="32"/>
          <w:szCs w:val="32"/>
          <w:lang w:val="en-US" w:eastAsia="zh-CN"/>
        </w:rPr>
        <w:t>2.05</w:t>
      </w:r>
      <w:r>
        <w:rPr>
          <w:rFonts w:hint="eastAsia" w:ascii="仿宋" w:hAnsi="仿宋" w:eastAsia="仿宋"/>
          <w:color w:val="000000"/>
          <w:sz w:val="32"/>
          <w:szCs w:val="32"/>
          <w:lang w:eastAsia="zh-CN"/>
        </w:rPr>
        <w:t>万元、印刷费</w:t>
      </w:r>
      <w:r>
        <w:rPr>
          <w:rFonts w:hint="eastAsia" w:ascii="仿宋" w:hAnsi="仿宋" w:eastAsia="仿宋"/>
          <w:color w:val="000000"/>
          <w:sz w:val="32"/>
          <w:szCs w:val="32"/>
          <w:lang w:val="en-US" w:eastAsia="zh-CN"/>
        </w:rPr>
        <w:t>1.58万元、水费0.4万元、电费2.12万元、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4.46</w:t>
      </w:r>
      <w:r>
        <w:rPr>
          <w:rFonts w:hint="eastAsia" w:ascii="仿宋" w:hAnsi="仿宋" w:eastAsia="仿宋"/>
          <w:color w:val="000000"/>
          <w:sz w:val="32"/>
          <w:szCs w:val="32"/>
          <w:lang w:eastAsia="zh-CN"/>
        </w:rPr>
        <w:t>万元、取暖费</w:t>
      </w:r>
      <w:r>
        <w:rPr>
          <w:rFonts w:hint="eastAsia" w:ascii="仿宋" w:hAnsi="仿宋" w:eastAsia="仿宋"/>
          <w:color w:val="000000"/>
          <w:sz w:val="32"/>
          <w:szCs w:val="32"/>
          <w:lang w:val="en-US" w:eastAsia="zh-CN"/>
        </w:rPr>
        <w:t>0.36万元、</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13.96</w:t>
      </w:r>
      <w:r>
        <w:rPr>
          <w:rFonts w:hint="eastAsia" w:ascii="仿宋" w:hAnsi="仿宋" w:eastAsia="仿宋"/>
          <w:color w:val="000000"/>
          <w:sz w:val="32"/>
          <w:szCs w:val="32"/>
          <w:lang w:eastAsia="zh-CN"/>
        </w:rPr>
        <w:t>万元、维修（护）费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lang w:eastAsia="zh-CN"/>
        </w:rPr>
        <w:t>培训费</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lang w:eastAsia="zh-CN"/>
        </w:rPr>
        <w:t>万元、公务用车运行维护费</w:t>
      </w:r>
      <w:r>
        <w:rPr>
          <w:rFonts w:hint="eastAsia" w:ascii="仿宋" w:hAnsi="仿宋" w:eastAsia="仿宋"/>
          <w:color w:val="000000"/>
          <w:sz w:val="32"/>
          <w:szCs w:val="32"/>
          <w:lang w:val="en-US" w:eastAsia="zh-CN"/>
        </w:rPr>
        <w:t>3.91</w:t>
      </w:r>
      <w:r>
        <w:rPr>
          <w:rFonts w:hint="eastAsia" w:ascii="仿宋" w:hAnsi="仿宋" w:eastAsia="仿宋"/>
          <w:color w:val="000000"/>
          <w:sz w:val="32"/>
          <w:szCs w:val="32"/>
          <w:lang w:eastAsia="zh-CN"/>
        </w:rPr>
        <w:t>万元、公务接待费</w:t>
      </w:r>
      <w:r>
        <w:rPr>
          <w:rFonts w:hint="eastAsia" w:ascii="仿宋" w:hAnsi="仿宋" w:eastAsia="仿宋"/>
          <w:color w:val="000000"/>
          <w:sz w:val="32"/>
          <w:szCs w:val="32"/>
          <w:lang w:val="en-US" w:eastAsia="zh-CN"/>
        </w:rPr>
        <w:t>0.42万元、委托业务费5.28万元、其他交通费0.73万元</w:t>
      </w:r>
      <w:r>
        <w:rPr>
          <w:rFonts w:hint="eastAsia" w:ascii="仿宋" w:hAnsi="仿宋" w:eastAsia="仿宋"/>
          <w:color w:val="00000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76" w:name="_Toc12890"/>
      <w:bookmarkStart w:id="77" w:name="_Toc18163"/>
      <w:bookmarkStart w:id="78" w:name="_Toc3689"/>
      <w:r>
        <w:rPr>
          <w:rFonts w:hint="eastAsia" w:ascii="仿宋_GB2312" w:hAnsi="仿宋" w:eastAsia="仿宋_GB2312" w:cs="仿宋_GB2312"/>
          <w:b/>
          <w:bCs/>
          <w:kern w:val="0"/>
          <w:sz w:val="32"/>
          <w:szCs w:val="32"/>
          <w:lang w:val="en-US" w:eastAsia="zh-CN" w:bidi="ar"/>
        </w:rPr>
        <w:t>六、“三公”经费、会议、培训费支出决算情况说明</w:t>
      </w:r>
      <w:bookmarkEnd w:id="76"/>
      <w:bookmarkEnd w:id="77"/>
      <w:bookmarkEnd w:id="78"/>
    </w:p>
    <w:p>
      <w:pPr>
        <w:pStyle w:val="12"/>
        <w:keepNext w:val="0"/>
        <w:keepLines w:val="0"/>
        <w:pageBreakBefore w:val="0"/>
        <w:widowControl/>
        <w:numPr>
          <w:ilvl w:val="0"/>
          <w:numId w:val="0"/>
        </w:numPr>
        <w:suppressLineNumbers w:val="0"/>
        <w:kinsoku/>
        <w:wordWrap/>
        <w:overflowPunct/>
        <w:topLinePunct w:val="0"/>
        <w:autoSpaceDE w:val="0"/>
        <w:bidi w:val="0"/>
        <w:snapToGrid w:val="0"/>
        <w:spacing w:before="0" w:beforeAutospacing="0" w:after="0" w:afterAutospacing="0" w:line="560" w:lineRule="exact"/>
        <w:ind w:leftChars="0" w:right="0" w:rightChars="0" w:firstLine="480" w:firstLineChars="200"/>
        <w:jc w:val="left"/>
        <w:textAlignment w:val="auto"/>
        <w:rPr>
          <w:rFonts w:hint="eastAsia" w:eastAsia="仿宋_GB2312"/>
          <w:sz w:val="32"/>
          <w:szCs w:val="32"/>
          <w:lang w:eastAsia="zh-CN"/>
        </w:rPr>
      </w:pPr>
      <w:r>
        <w:drawing>
          <wp:anchor distT="0" distB="0" distL="114300" distR="114300" simplePos="0" relativeHeight="251662336" behindDoc="0" locked="0" layoutInCell="1" allowOverlap="1">
            <wp:simplePos x="0" y="0"/>
            <wp:positionH relativeFrom="column">
              <wp:posOffset>276225</wp:posOffset>
            </wp:positionH>
            <wp:positionV relativeFrom="page">
              <wp:posOffset>5282565</wp:posOffset>
            </wp:positionV>
            <wp:extent cx="4996815" cy="1406525"/>
            <wp:effectExtent l="0" t="0" r="13335" b="317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4996815" cy="1406525"/>
                    </a:xfrm>
                    <a:prstGeom prst="rect">
                      <a:avLst/>
                    </a:prstGeom>
                    <a:noFill/>
                    <a:ln>
                      <a:noFill/>
                    </a:ln>
                  </pic:spPr>
                </pic:pic>
              </a:graphicData>
            </a:graphic>
          </wp:anchor>
        </w:drawing>
      </w:r>
      <w:r>
        <w:rPr>
          <w:rFonts w:hint="eastAsia" w:eastAsia="仿宋_GB2312"/>
          <w:sz w:val="32"/>
          <w:szCs w:val="32"/>
          <w:lang w:eastAsia="zh-CN"/>
        </w:rPr>
        <w:t>（1） “三公”经费支出情况：本单位本年度“三公”经费支出决算数为4.34万元。其中:公务用车购置及运行维护费支出决算数为3.91万元，相比上年度增加0.43万元，主要原因是因</w:t>
      </w:r>
      <w:r>
        <w:rPr>
          <w:rStyle w:val="24"/>
          <w:rFonts w:hint="eastAsia" w:ascii="仿宋_GB2312" w:hAnsi="仿宋_GB2312" w:eastAsia="仿宋_GB2312"/>
          <w:sz w:val="32"/>
          <w:szCs w:val="32"/>
          <w:lang w:val="en-US" w:eastAsia="zh-CN"/>
        </w:rPr>
        <w:t>为我局单位车辆年限较长，车辆维修维护费用增加</w:t>
      </w:r>
      <w:r>
        <w:rPr>
          <w:rFonts w:hint="eastAsia" w:eastAsia="仿宋_GB2312"/>
          <w:sz w:val="32"/>
          <w:szCs w:val="32"/>
          <w:lang w:eastAsia="zh-CN"/>
        </w:rPr>
        <w:t>；公务接待费支出决算数为0.42万元，相比上年度持平。 本年度“三公”经费支出预算数为4.34万元，决算数为4.34万元，预算完成度为100.00%。公务用车购置及运行维护费人均支出为0.15万元，公务接待费人均支出为0.02万元。</w:t>
      </w:r>
    </w:p>
    <w:p>
      <w:pPr>
        <w:keepNext w:val="0"/>
        <w:keepLines w:val="0"/>
        <w:pageBreakBefore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（2） 会议费支出情况：本单位本年度会议费支出决算数为0.00万元，相比上年度增加0.00万元。会议费人均支出为0.00万元。</w:t>
      </w:r>
    </w:p>
    <w:p>
      <w:pPr>
        <w:keepNext w:val="0"/>
        <w:keepLines w:val="0"/>
        <w:pageBreakBefore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（3） 培训费支出情况：本单位本年度培训费支出决算数为0.22万元，相比上年度增加0.17万元，主要原因为今年增加人员培训；培训费人均支出为0.01万元。</w:t>
      </w:r>
    </w:p>
    <w:p>
      <w:pPr>
        <w:keepNext w:val="0"/>
        <w:keepLines w:val="0"/>
        <w:pageBreakBefore w:val="0"/>
        <w:kinsoku/>
        <w:wordWrap/>
        <w:overflowPunct/>
        <w:topLinePunct w:val="0"/>
        <w:autoSpaceDE w:val="0"/>
        <w:autoSpaceDN/>
        <w:bidi w:val="0"/>
        <w:adjustRightInd/>
        <w:snapToGrid/>
        <w:spacing w:beforeAutospacing="0" w:afterAutospacing="0" w:line="560" w:lineRule="exact"/>
        <w:ind w:firstLine="420" w:firstLineChars="200"/>
        <w:textAlignment w:val="auto"/>
        <w:rPr>
          <w:rFonts w:hint="eastAsia" w:eastAsia="仿宋_GB2312"/>
          <w:sz w:val="32"/>
          <w:szCs w:val="32"/>
          <w:lang w:eastAsia="zh-CN"/>
        </w:rPr>
      </w:pPr>
      <w:r>
        <w:drawing>
          <wp:anchor distT="0" distB="0" distL="114300" distR="114300" simplePos="0" relativeHeight="251666432" behindDoc="1" locked="0" layoutInCell="1" allowOverlap="1">
            <wp:simplePos x="0" y="0"/>
            <wp:positionH relativeFrom="column">
              <wp:posOffset>504825</wp:posOffset>
            </wp:positionH>
            <wp:positionV relativeFrom="page">
              <wp:posOffset>8950325</wp:posOffset>
            </wp:positionV>
            <wp:extent cx="5081270" cy="1083310"/>
            <wp:effectExtent l="0" t="0" r="5080" b="2540"/>
            <wp:wrapThrough wrapText="bothSides">
              <wp:wrapPolygon>
                <wp:start x="0" y="0"/>
                <wp:lineTo x="0" y="21271"/>
                <wp:lineTo x="21541" y="21271"/>
                <wp:lineTo x="21541" y="0"/>
                <wp:lineTo x="0" y="0"/>
              </wp:wrapPolygon>
            </wp:wrapThrough>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a:stretch>
                      <a:fillRect/>
                    </a:stretch>
                  </pic:blipFill>
                  <pic:spPr>
                    <a:xfrm>
                      <a:off x="0" y="0"/>
                      <a:ext cx="5081270" cy="1083310"/>
                    </a:xfrm>
                    <a:prstGeom prst="rect">
                      <a:avLst/>
                    </a:prstGeom>
                    <a:noFill/>
                    <a:ln>
                      <a:noFill/>
                    </a:ln>
                  </pic:spPr>
                </pic:pic>
              </a:graphicData>
            </a:graphic>
          </wp:anchor>
        </w:drawing>
      </w:r>
    </w:p>
    <w:p>
      <w:pPr>
        <w:keepNext w:val="0"/>
        <w:keepLines w:val="0"/>
        <w:pageBreakBefore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eastAsia" w:eastAsia="仿宋_GB2312"/>
          <w:sz w:val="32"/>
          <w:szCs w:val="32"/>
          <w:lang w:eastAsia="zh-CN"/>
        </w:rPr>
      </w:pP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79" w:name="_Toc9469"/>
      <w:bookmarkStart w:id="80" w:name="_Toc25564"/>
      <w:bookmarkStart w:id="81" w:name="_Toc26251"/>
      <w:r>
        <w:rPr>
          <w:rFonts w:hint="eastAsia" w:ascii="仿宋_GB2312" w:hAnsi="仿宋" w:eastAsia="仿宋_GB2312" w:cs="仿宋_GB2312"/>
          <w:b/>
          <w:bCs/>
          <w:kern w:val="0"/>
          <w:sz w:val="32"/>
          <w:szCs w:val="32"/>
          <w:lang w:val="en-US" w:eastAsia="zh-CN" w:bidi="ar"/>
        </w:rPr>
        <w:t>七、政府性基金预算支出决算情况说明</w:t>
      </w:r>
      <w:bookmarkEnd w:id="79"/>
      <w:bookmarkEnd w:id="80"/>
      <w:bookmarkEnd w:id="81"/>
    </w:p>
    <w:p>
      <w:pPr>
        <w:pStyle w:val="12"/>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lang w:val="en-US" w:eastAsia="zh-CN" w:bidi="ar"/>
        </w:rPr>
      </w:pPr>
      <w:r>
        <w:rPr>
          <w:rFonts w:hint="default" w:ascii="仿宋_GB2312" w:hAnsi="宋体" w:eastAsia="仿宋_GB2312" w:cs="宋体"/>
          <w:kern w:val="0"/>
          <w:sz w:val="32"/>
          <w:szCs w:val="32"/>
          <w:lang w:val="en-US" w:eastAsia="zh-CN" w:bidi="ar"/>
        </w:rPr>
        <w:t>202</w:t>
      </w:r>
      <w:r>
        <w:rPr>
          <w:rFonts w:hint="eastAsia" w:ascii="仿宋_GB2312" w:eastAsia="仿宋_GB2312" w:cs="宋体"/>
          <w:kern w:val="0"/>
          <w:sz w:val="32"/>
          <w:szCs w:val="32"/>
          <w:lang w:val="en-US" w:eastAsia="zh-CN" w:bidi="ar"/>
        </w:rPr>
        <w:t>1</w:t>
      </w:r>
      <w:r>
        <w:rPr>
          <w:rFonts w:hint="default" w:ascii="仿宋_GB2312" w:hAnsi="宋体" w:eastAsia="仿宋_GB2312" w:cs="宋体"/>
          <w:kern w:val="0"/>
          <w:sz w:val="32"/>
          <w:szCs w:val="32"/>
          <w:lang w:val="en-US" w:eastAsia="zh-CN" w:bidi="ar"/>
        </w:rPr>
        <w:t>年政府性基金预算支出为0万元。</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82" w:name="_Toc18468"/>
      <w:bookmarkStart w:id="83" w:name="_Toc21783"/>
      <w:bookmarkStart w:id="84" w:name="_Toc5831"/>
      <w:r>
        <w:rPr>
          <w:rFonts w:hint="eastAsia" w:ascii="仿宋_GB2312" w:hAnsi="仿宋" w:eastAsia="仿宋_GB2312" w:cs="仿宋_GB2312"/>
          <w:b/>
          <w:bCs/>
          <w:kern w:val="0"/>
          <w:sz w:val="32"/>
          <w:szCs w:val="32"/>
          <w:lang w:val="en-US" w:eastAsia="zh-CN" w:bidi="ar"/>
        </w:rPr>
        <w:t>八、国有资本经营预算支出决算情况说明</w:t>
      </w:r>
      <w:bookmarkEnd w:id="82"/>
      <w:bookmarkEnd w:id="83"/>
      <w:bookmarkEnd w:id="84"/>
    </w:p>
    <w:p>
      <w:pPr>
        <w:pStyle w:val="12"/>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202</w:t>
      </w:r>
      <w:r>
        <w:rPr>
          <w:rFonts w:hint="eastAsia" w:ascii="仿宋_GB2312" w:eastAsia="仿宋_GB2312" w:cs="宋体"/>
          <w:kern w:val="0"/>
          <w:sz w:val="32"/>
          <w:szCs w:val="32"/>
          <w:lang w:val="en-US" w:eastAsia="zh-CN" w:bidi="ar"/>
        </w:rPr>
        <w:t>1</w:t>
      </w:r>
      <w:r>
        <w:rPr>
          <w:rFonts w:hint="default" w:ascii="仿宋_GB2312" w:hAnsi="宋体" w:eastAsia="仿宋_GB2312" w:cs="宋体"/>
          <w:kern w:val="0"/>
          <w:sz w:val="32"/>
          <w:szCs w:val="32"/>
          <w:lang w:val="en-US" w:eastAsia="zh-CN" w:bidi="ar"/>
        </w:rPr>
        <w:t>年国有资本经营预</w:t>
      </w:r>
      <w:r>
        <w:rPr>
          <w:rFonts w:hint="default" w:ascii="仿宋_GB2312" w:hAnsi="宋体" w:eastAsia="仿宋_GB2312" w:cs="仿宋_GB2312"/>
          <w:kern w:val="0"/>
          <w:sz w:val="32"/>
          <w:szCs w:val="32"/>
          <w:lang w:val="en-US" w:eastAsia="zh-CN" w:bidi="ar"/>
        </w:rPr>
        <w:t>算拨款支出</w:t>
      </w:r>
      <w:r>
        <w:rPr>
          <w:rFonts w:hint="default" w:ascii="仿宋_GB2312" w:hAnsi="宋体" w:eastAsia="仿宋_GB2312" w:cs="宋体"/>
          <w:kern w:val="0"/>
          <w:sz w:val="32"/>
          <w:szCs w:val="32"/>
          <w:lang w:val="en-US" w:eastAsia="zh-CN" w:bidi="ar"/>
        </w:rPr>
        <w:t>0万元。</w:t>
      </w:r>
    </w:p>
    <w:p>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firstLine="643" w:firstLineChars="200"/>
        <w:jc w:val="left"/>
        <w:textAlignment w:val="auto"/>
        <w:outlineLvl w:val="1"/>
        <w:rPr>
          <w:rFonts w:hint="eastAsia" w:ascii="仿宋_GB2312" w:hAnsi="仿宋" w:eastAsia="仿宋_GB2312" w:cs="仿宋_GB2312"/>
          <w:b/>
          <w:bCs/>
          <w:kern w:val="0"/>
          <w:sz w:val="32"/>
          <w:szCs w:val="32"/>
          <w:lang w:val="en-US" w:eastAsia="zh-CN" w:bidi="ar"/>
        </w:rPr>
      </w:pPr>
      <w:bookmarkStart w:id="85" w:name="_Toc26352"/>
      <w:bookmarkStart w:id="86" w:name="_Toc25781"/>
      <w:bookmarkStart w:id="87" w:name="_Toc921"/>
      <w:r>
        <w:rPr>
          <w:rFonts w:hint="eastAsia" w:ascii="仿宋_GB2312" w:hAnsi="仿宋" w:eastAsia="仿宋_GB2312" w:cs="仿宋_GB2312"/>
          <w:b/>
          <w:bCs/>
          <w:kern w:val="0"/>
          <w:sz w:val="32"/>
          <w:szCs w:val="32"/>
          <w:lang w:val="en-US" w:eastAsia="zh-CN" w:bidi="ar"/>
        </w:rPr>
        <w:t>九、其他重要事项的情况说明</w:t>
      </w:r>
      <w:bookmarkEnd w:id="85"/>
      <w:bookmarkEnd w:id="86"/>
      <w:bookmarkEnd w:id="87"/>
    </w:p>
    <w:p>
      <w:pPr>
        <w:pStyle w:val="12"/>
        <w:keepNext w:val="0"/>
        <w:keepLines w:val="0"/>
        <w:pageBreakBefore w:val="0"/>
        <w:widowControl/>
        <w:numPr>
          <w:ilvl w:val="0"/>
          <w:numId w:val="0"/>
        </w:numPr>
        <w:suppressLineNumbers w:val="0"/>
        <w:kinsoku/>
        <w:wordWrap/>
        <w:overflowPunct/>
        <w:topLinePunct w:val="0"/>
        <w:autoSpaceDE w:val="0"/>
        <w:autoSpaceDN/>
        <w:bidi w:val="0"/>
        <w:adjustRightInd/>
        <w:snapToGrid w:val="0"/>
        <w:spacing w:before="0" w:beforeAutospacing="0" w:after="0" w:afterAutospacing="0" w:line="560" w:lineRule="exact"/>
        <w:ind w:right="0" w:rightChars="0" w:firstLine="643" w:firstLineChars="200"/>
        <w:jc w:val="left"/>
        <w:textAlignment w:val="auto"/>
        <w:rPr>
          <w:rFonts w:hint="default" w:ascii="仿宋_GB2312" w:hAnsi="宋体" w:eastAsia="仿宋_GB2312" w:cs="宋体"/>
          <w:b/>
          <w:bCs/>
          <w:kern w:val="0"/>
          <w:sz w:val="32"/>
          <w:szCs w:val="32"/>
        </w:rPr>
      </w:pPr>
      <w:r>
        <w:rPr>
          <w:rFonts w:hint="eastAsia" w:ascii="仿宋_GB2312" w:eastAsia="仿宋_GB2312" w:cs="仿宋_GB2312"/>
          <w:b/>
          <w:bCs/>
          <w:kern w:val="0"/>
          <w:sz w:val="32"/>
          <w:szCs w:val="32"/>
          <w:lang w:val="en-US" w:eastAsia="zh-CN" w:bidi="ar"/>
        </w:rPr>
        <w:t>（一）</w:t>
      </w:r>
      <w:r>
        <w:rPr>
          <w:rFonts w:hint="default" w:ascii="仿宋_GB2312" w:hAnsi="宋体" w:eastAsia="仿宋_GB2312" w:cs="仿宋_GB2312"/>
          <w:b/>
          <w:bCs/>
          <w:kern w:val="0"/>
          <w:sz w:val="32"/>
          <w:szCs w:val="32"/>
          <w:lang w:val="en-US" w:eastAsia="zh-CN" w:bidi="ar"/>
        </w:rPr>
        <w:t>国有资产占有使用情况</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210" w:leftChars="100" w:right="0" w:rightChars="0" w:firstLine="640" w:firstLineChars="200"/>
        <w:jc w:val="left"/>
        <w:textAlignment w:val="auto"/>
        <w:rPr>
          <w:rFonts w:hint="default" w:ascii="仿宋_GB2312" w:hAnsi="宋体" w:eastAsia="仿宋_GB2312" w:cs="宋体"/>
          <w:kern w:val="0"/>
          <w:sz w:val="32"/>
          <w:szCs w:val="32"/>
          <w:lang w:val="en-US" w:eastAsia="zh-CN" w:bidi="ar"/>
        </w:rPr>
      </w:pPr>
      <w:r>
        <w:rPr>
          <w:rFonts w:hint="default" w:ascii="仿宋_GB2312" w:hAnsi="宋体" w:eastAsia="仿宋_GB2312" w:cs="仿宋_GB2312"/>
          <w:kern w:val="0"/>
          <w:sz w:val="32"/>
          <w:szCs w:val="32"/>
          <w:lang w:val="en-US" w:eastAsia="zh-CN" w:bidi="ar"/>
        </w:rPr>
        <w:t>截至</w:t>
      </w:r>
      <w:r>
        <w:rPr>
          <w:rFonts w:hint="default" w:ascii="仿宋_GB2312" w:hAnsi="宋体" w:eastAsia="仿宋_GB2312" w:cs="宋体"/>
          <w:kern w:val="0"/>
          <w:sz w:val="32"/>
          <w:szCs w:val="32"/>
          <w:lang w:val="en-US" w:eastAsia="zh-CN" w:bidi="ar"/>
        </w:rPr>
        <w:t>2020年12月31日，红原县自然资源局共有车辆1辆，其中：主要领导干部用车0辆、机要通信用车0辆、应急保障用车1辆、其他用车0辆，单价50万元以上通用设备0台（套），单价100万元以上专用设备0台。</w:t>
      </w:r>
    </w:p>
    <w:p>
      <w:pPr>
        <w:pStyle w:val="12"/>
        <w:keepNext w:val="0"/>
        <w:keepLines w:val="0"/>
        <w:pageBreakBefore w:val="0"/>
        <w:widowControl/>
        <w:suppressLineNumbers w:val="0"/>
        <w:kinsoku/>
        <w:wordWrap/>
        <w:overflowPunct/>
        <w:topLinePunct w:val="0"/>
        <w:autoSpaceDE w:val="0"/>
        <w:autoSpaceDN/>
        <w:bidi w:val="0"/>
        <w:adjustRightInd/>
        <w:spacing w:beforeAutospacing="0" w:afterAutospacing="0" w:line="560" w:lineRule="exact"/>
        <w:ind w:left="0" w:right="75" w:firstLine="643" w:firstLineChars="200"/>
        <w:textAlignment w:val="auto"/>
        <w:rPr>
          <w:rStyle w:val="15"/>
          <w:rFonts w:hint="eastAsia" w:ascii="仿宋_GB2312" w:hAnsi="仿宋_GB2312" w:eastAsia="仿宋_GB2312" w:cs="仿宋_GB2312"/>
          <w:sz w:val="32"/>
          <w:szCs w:val="32"/>
          <w:shd w:val="clear" w:color="auto" w:fill="FFFFFF"/>
        </w:rPr>
      </w:pPr>
      <w:r>
        <w:rPr>
          <w:rFonts w:hint="eastAsia" w:ascii="仿宋_GB2312" w:hAnsi="宋体" w:eastAsia="仿宋_GB2312" w:cs="仿宋_GB2312"/>
          <w:b/>
          <w:bCs/>
          <w:kern w:val="0"/>
          <w:sz w:val="32"/>
          <w:szCs w:val="32"/>
          <w:lang w:val="en-US" w:eastAsia="zh-CN" w:bidi="ar"/>
        </w:rPr>
        <w:t>（二）</w:t>
      </w:r>
      <w:r>
        <w:rPr>
          <w:rStyle w:val="15"/>
          <w:rFonts w:hint="eastAsia" w:ascii="仿宋_GB2312" w:hAnsi="仿宋_GB2312" w:eastAsia="仿宋_GB2312" w:cs="仿宋_GB2312"/>
          <w:sz w:val="32"/>
          <w:szCs w:val="32"/>
          <w:shd w:val="clear" w:color="auto" w:fill="FFFFFF"/>
        </w:rPr>
        <w:t>机关运行经费支出情况</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210" w:leftChars="100" w:right="0" w:rightChars="0" w:firstLine="640" w:firstLineChars="200"/>
        <w:jc w:val="left"/>
        <w:textAlignment w:val="auto"/>
        <w:rPr>
          <w:rFonts w:hint="default" w:ascii="仿宋_GB2312" w:hAnsi="宋体" w:eastAsia="仿宋_GB2312" w:cs="仿宋_GB2312"/>
          <w:kern w:val="0"/>
          <w:sz w:val="32"/>
          <w:szCs w:val="32"/>
          <w:lang w:val="en-US" w:eastAsia="zh-CN" w:bidi="ar"/>
        </w:rPr>
      </w:pPr>
      <w:r>
        <w:rPr>
          <w:rFonts w:hint="default" w:ascii="仿宋_GB2312" w:hAnsi="宋体" w:eastAsia="仿宋_GB2312" w:cs="仿宋_GB2312"/>
          <w:kern w:val="0"/>
          <w:sz w:val="32"/>
          <w:szCs w:val="32"/>
          <w:lang w:val="en-US" w:eastAsia="zh-CN" w:bidi="ar"/>
        </w:rPr>
        <w:t>20</w:t>
      </w:r>
      <w:r>
        <w:rPr>
          <w:rFonts w:hint="eastAsia" w:ascii="仿宋_GB2312" w:hAnsi="宋体" w:eastAsia="仿宋_GB2312" w:cs="仿宋_GB2312"/>
          <w:kern w:val="0"/>
          <w:sz w:val="32"/>
          <w:szCs w:val="32"/>
          <w:lang w:val="en-US" w:eastAsia="zh-CN" w:bidi="ar"/>
        </w:rPr>
        <w:t>21年，</w:t>
      </w:r>
      <w:r>
        <w:rPr>
          <w:rFonts w:hint="eastAsia" w:ascii="仿宋_GB2312" w:eastAsia="仿宋_GB2312" w:cs="仿宋_GB2312"/>
          <w:kern w:val="0"/>
          <w:sz w:val="32"/>
          <w:szCs w:val="32"/>
          <w:lang w:val="en-US" w:eastAsia="zh-CN" w:bidi="ar"/>
        </w:rPr>
        <w:t>红原县自然资源局机关运行经费</w:t>
      </w:r>
      <w:r>
        <w:rPr>
          <w:rFonts w:hint="eastAsia" w:ascii="仿宋_GB2312" w:hAnsi="宋体" w:eastAsia="仿宋_GB2312" w:cs="仿宋_GB2312"/>
          <w:kern w:val="0"/>
          <w:sz w:val="32"/>
          <w:szCs w:val="32"/>
          <w:lang w:val="en-US" w:eastAsia="zh-CN" w:bidi="ar"/>
        </w:rPr>
        <w:t>支出</w:t>
      </w:r>
      <w:r>
        <w:rPr>
          <w:rFonts w:hint="eastAsia" w:ascii="仿宋_GB2312" w:eastAsia="仿宋_GB2312" w:cs="仿宋_GB2312"/>
          <w:kern w:val="0"/>
          <w:sz w:val="32"/>
          <w:szCs w:val="32"/>
          <w:lang w:val="en-US" w:eastAsia="zh-CN" w:bidi="ar"/>
        </w:rPr>
        <w:t>21.75</w:t>
      </w:r>
      <w:r>
        <w:rPr>
          <w:rFonts w:hint="eastAsia" w:ascii="仿宋_GB2312" w:hAnsi="宋体" w:eastAsia="仿宋_GB2312" w:cs="仿宋_GB2312"/>
          <w:kern w:val="0"/>
          <w:sz w:val="32"/>
          <w:szCs w:val="32"/>
          <w:lang w:val="en-US" w:eastAsia="zh-CN" w:bidi="ar"/>
        </w:rPr>
        <w:t>万元，比2020年支出</w:t>
      </w:r>
      <w:r>
        <w:rPr>
          <w:rFonts w:hint="eastAsia" w:ascii="仿宋_GB2312" w:eastAsia="仿宋_GB2312" w:cs="仿宋_GB2312"/>
          <w:kern w:val="0"/>
          <w:sz w:val="32"/>
          <w:szCs w:val="32"/>
          <w:lang w:val="en-US" w:eastAsia="zh-CN" w:bidi="ar"/>
        </w:rPr>
        <w:t>20.13万元</w:t>
      </w:r>
      <w:r>
        <w:rPr>
          <w:rFonts w:hint="eastAsia" w:ascii="仿宋_GB2312" w:hAnsi="宋体" w:eastAsia="仿宋_GB2312" w:cs="仿宋_GB2312"/>
          <w:kern w:val="0"/>
          <w:sz w:val="32"/>
          <w:szCs w:val="32"/>
          <w:lang w:val="en-US" w:eastAsia="zh-CN" w:bidi="ar"/>
        </w:rPr>
        <w:t>增加</w:t>
      </w:r>
      <w:r>
        <w:rPr>
          <w:rFonts w:hint="eastAsia" w:ascii="仿宋_GB2312" w:eastAsia="仿宋_GB2312" w:cs="仿宋_GB2312"/>
          <w:kern w:val="0"/>
          <w:sz w:val="32"/>
          <w:szCs w:val="32"/>
          <w:lang w:val="en-US" w:eastAsia="zh-CN" w:bidi="ar"/>
        </w:rPr>
        <w:t>1.62</w:t>
      </w:r>
      <w:r>
        <w:rPr>
          <w:rFonts w:hint="eastAsia" w:ascii="仿宋_GB2312" w:hAnsi="宋体" w:eastAsia="仿宋_GB2312" w:cs="仿宋_GB2312"/>
          <w:kern w:val="0"/>
          <w:sz w:val="32"/>
          <w:szCs w:val="32"/>
          <w:lang w:val="en-US" w:eastAsia="zh-CN" w:bidi="ar"/>
        </w:rPr>
        <w:t>万元，上升</w:t>
      </w:r>
      <w:r>
        <w:rPr>
          <w:rFonts w:hint="eastAsia" w:ascii="仿宋_GB2312" w:eastAsia="仿宋_GB2312" w:cs="仿宋_GB2312"/>
          <w:kern w:val="0"/>
          <w:sz w:val="32"/>
          <w:szCs w:val="32"/>
          <w:lang w:val="en-US" w:eastAsia="zh-CN" w:bidi="ar"/>
        </w:rPr>
        <w:t>8.05</w:t>
      </w:r>
      <w:r>
        <w:rPr>
          <w:rFonts w:hint="default" w:ascii="仿宋_GB2312" w:hAnsi="宋体" w:eastAsia="仿宋_GB2312" w:cs="仿宋_GB2312"/>
          <w:kern w:val="0"/>
          <w:sz w:val="32"/>
          <w:szCs w:val="32"/>
          <w:lang w:val="en-US" w:eastAsia="zh-CN" w:bidi="ar"/>
        </w:rPr>
        <w:t>%</w:t>
      </w:r>
      <w:r>
        <w:rPr>
          <w:rFonts w:hint="eastAsia" w:ascii="仿宋_GB2312" w:hAnsi="宋体" w:eastAsia="仿宋_GB2312" w:cs="仿宋_GB2312"/>
          <w:kern w:val="0"/>
          <w:sz w:val="32"/>
          <w:szCs w:val="32"/>
          <w:lang w:val="en-US" w:eastAsia="zh-CN" w:bidi="ar"/>
        </w:rPr>
        <w:t>。</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pacing w:beforeAutospacing="0" w:afterAutospacing="0" w:line="560" w:lineRule="exact"/>
        <w:ind w:leftChars="0" w:right="75" w:rightChars="0" w:firstLine="643" w:firstLineChars="200"/>
        <w:textAlignment w:val="auto"/>
        <w:rPr>
          <w:rStyle w:val="15"/>
          <w:rFonts w:hint="eastAsia" w:ascii="仿宋_GB2312" w:hAnsi="仿宋_GB2312" w:eastAsia="仿宋_GB2312" w:cs="仿宋_GB2312"/>
          <w:color w:val="auto"/>
          <w:sz w:val="32"/>
          <w:szCs w:val="32"/>
          <w:shd w:val="clear" w:color="auto" w:fill="FFFFFF"/>
        </w:rPr>
      </w:pPr>
      <w:r>
        <w:rPr>
          <w:rStyle w:val="15"/>
          <w:rFonts w:hint="eastAsia" w:ascii="仿宋_GB2312" w:hAnsi="仿宋_GB2312" w:eastAsia="仿宋_GB2312" w:cs="仿宋_GB2312"/>
          <w:color w:val="auto"/>
          <w:sz w:val="32"/>
          <w:szCs w:val="32"/>
          <w:shd w:val="clear" w:color="auto" w:fill="FFFFFF"/>
          <w:lang w:eastAsia="zh-CN"/>
        </w:rPr>
        <w:t>（三）</w:t>
      </w:r>
      <w:r>
        <w:rPr>
          <w:rStyle w:val="15"/>
          <w:rFonts w:hint="eastAsia" w:ascii="仿宋_GB2312" w:hAnsi="仿宋_GB2312" w:eastAsia="仿宋_GB2312" w:cs="仿宋_GB2312"/>
          <w:color w:val="auto"/>
          <w:sz w:val="32"/>
          <w:szCs w:val="32"/>
          <w:shd w:val="clear" w:color="auto" w:fill="FFFFFF"/>
        </w:rPr>
        <w:t>政府采购支出情况</w:t>
      </w:r>
    </w:p>
    <w:p>
      <w:pPr>
        <w:keepNext w:val="0"/>
        <w:keepLines w:val="0"/>
        <w:pageBreakBefore w:val="0"/>
        <w:kinsoku/>
        <w:wordWrap/>
        <w:overflowPunct/>
        <w:topLinePunct w:val="0"/>
        <w:autoSpaceDE w:val="0"/>
        <w:autoSpaceDN/>
        <w:bidi w:val="0"/>
        <w:adjustRightInd/>
        <w:spacing w:beforeAutospacing="0" w:afterAutospacing="0" w:line="560" w:lineRule="exact"/>
        <w:ind w:firstLine="640" w:firstLineChars="200"/>
        <w:textAlignment w:val="auto"/>
        <w:rPr>
          <w:rFonts w:hint="default" w:ascii="仿宋_GB2312" w:hAnsi="宋体" w:eastAsia="仿宋_GB2312" w:cs="仿宋_GB2312"/>
          <w:b/>
          <w:bCs/>
          <w:kern w:val="0"/>
          <w:sz w:val="32"/>
          <w:szCs w:val="32"/>
          <w:lang w:val="en-US" w:eastAsia="zh-CN" w:bidi="ar"/>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pacing w:beforeAutospacing="0" w:afterAutospacing="0" w:line="560" w:lineRule="exact"/>
        <w:ind w:leftChars="0" w:right="75" w:rightChars="0" w:firstLine="643" w:firstLineChars="200"/>
        <w:textAlignment w:val="auto"/>
        <w:rPr>
          <w:rStyle w:val="15"/>
          <w:rFonts w:hint="default" w:ascii="仿宋_GB2312" w:hAnsi="仿宋_GB2312" w:eastAsia="仿宋_GB2312" w:cs="仿宋_GB2312"/>
          <w:color w:val="auto"/>
          <w:sz w:val="32"/>
          <w:szCs w:val="32"/>
          <w:shd w:val="clear" w:color="auto" w:fill="FFFFFF"/>
          <w:lang w:val="en-US" w:eastAsia="zh-CN"/>
        </w:rPr>
      </w:pPr>
      <w:r>
        <w:rPr>
          <w:rStyle w:val="15"/>
          <w:rFonts w:hint="eastAsia" w:ascii="仿宋_GB2312" w:hAnsi="仿宋_GB2312" w:eastAsia="仿宋_GB2312" w:cs="仿宋_GB2312"/>
          <w:color w:val="auto"/>
          <w:sz w:val="32"/>
          <w:szCs w:val="32"/>
          <w:shd w:val="clear" w:color="auto" w:fill="FFFFFF"/>
          <w:lang w:val="en-US" w:eastAsia="zh-CN"/>
        </w:rPr>
        <w:t>（四）</w:t>
      </w:r>
      <w:r>
        <w:rPr>
          <w:rStyle w:val="15"/>
          <w:rFonts w:hint="default" w:ascii="仿宋_GB2312" w:hAnsi="仿宋_GB2312" w:eastAsia="仿宋_GB2312" w:cs="仿宋_GB2312"/>
          <w:color w:val="auto"/>
          <w:sz w:val="32"/>
          <w:szCs w:val="32"/>
          <w:shd w:val="clear" w:color="auto" w:fill="FFFFFF"/>
          <w:lang w:val="en-US" w:eastAsia="zh-CN"/>
        </w:rPr>
        <w:t>预算绩效管理情况。</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210" w:leftChars="100" w:right="0" w:rightChars="0" w:firstLine="640" w:firstLineChars="200"/>
        <w:jc w:val="left"/>
        <w:textAlignment w:val="auto"/>
        <w:rPr>
          <w:rFonts w:hint="default" w:ascii="仿宋_GB2312" w:eastAsia="仿宋_GB2312" w:hAnsiTheme="minorHAnsi" w:cstheme="minorBidi"/>
          <w:color w:val="000000"/>
          <w:kern w:val="2"/>
          <w:sz w:val="32"/>
          <w:szCs w:val="32"/>
          <w:lang w:val="en-US" w:eastAsia="zh-CN" w:bidi="ar-SA"/>
        </w:rPr>
      </w:pPr>
      <w:r>
        <w:rPr>
          <w:rFonts w:hint="default" w:ascii="仿宋_GB2312" w:eastAsia="仿宋_GB2312" w:hAnsiTheme="minorHAnsi" w:cstheme="minorBidi"/>
          <w:color w:val="000000"/>
          <w:kern w:val="2"/>
          <w:sz w:val="32"/>
          <w:szCs w:val="32"/>
          <w:lang w:val="en-US" w:eastAsia="zh-CN" w:bidi="ar-SA"/>
        </w:rPr>
        <w:t>根据预算绩效管理要求，本单位在年初预算编制阶段，组织对202</w:t>
      </w:r>
      <w:r>
        <w:rPr>
          <w:rFonts w:hint="eastAsia" w:ascii="仿宋_GB2312" w:eastAsia="仿宋_GB2312" w:hAnsiTheme="minorHAnsi" w:cstheme="minorBidi"/>
          <w:color w:val="000000"/>
          <w:kern w:val="2"/>
          <w:sz w:val="32"/>
          <w:szCs w:val="32"/>
          <w:lang w:val="en-US" w:eastAsia="zh-CN" w:bidi="ar-SA"/>
        </w:rPr>
        <w:t>1</w:t>
      </w:r>
      <w:r>
        <w:rPr>
          <w:rFonts w:hint="default" w:ascii="仿宋_GB2312" w:eastAsia="仿宋_GB2312" w:hAnsiTheme="minorHAnsi" w:cstheme="minorBidi"/>
          <w:color w:val="000000"/>
          <w:kern w:val="2"/>
          <w:sz w:val="32"/>
          <w:szCs w:val="32"/>
          <w:lang w:val="en-US" w:eastAsia="zh-CN" w:bidi="ar-SA"/>
        </w:rPr>
        <w:t>年地质灾害综合防治体系建设项目项目支出开展了预算事前绩效评估，对该项目编制了绩效目标，预算执行过程中，选取该项目开展绩效监控，年终执行完毕后，对该项目开展了绩效目标完成情况自评。</w:t>
      </w:r>
    </w:p>
    <w:p>
      <w:pPr>
        <w:pStyle w:val="12"/>
        <w:keepNext w:val="0"/>
        <w:keepLines w:val="0"/>
        <w:pageBreakBefore w:val="0"/>
        <w:widowControl/>
        <w:numPr>
          <w:ilvl w:val="0"/>
          <w:numId w:val="0"/>
        </w:numPr>
        <w:suppressLineNumbers w:val="0"/>
        <w:kinsoku/>
        <w:wordWrap/>
        <w:overflowPunct/>
        <w:topLinePunct w:val="0"/>
        <w:autoSpaceDE w:val="0"/>
        <w:autoSpaceDN/>
        <w:bidi w:val="0"/>
        <w:adjustRightInd/>
        <w:spacing w:beforeAutospacing="0" w:afterAutospacing="0" w:line="560" w:lineRule="exact"/>
        <w:ind w:leftChars="0" w:right="75" w:rightChars="0" w:firstLine="643" w:firstLineChars="200"/>
        <w:textAlignment w:val="auto"/>
        <w:rPr>
          <w:rStyle w:val="15"/>
          <w:rFonts w:hint="eastAsia" w:ascii="仿宋_GB2312" w:hAnsi="仿宋_GB2312" w:eastAsia="仿宋_GB2312" w:cs="仿宋_GB2312"/>
          <w:color w:val="auto"/>
          <w:sz w:val="32"/>
          <w:szCs w:val="32"/>
          <w:shd w:val="clear" w:color="auto" w:fill="FFFFFF"/>
          <w:lang w:val="en-US" w:eastAsia="zh-CN"/>
        </w:rPr>
      </w:pPr>
      <w:r>
        <w:rPr>
          <w:rStyle w:val="15"/>
          <w:rFonts w:hint="eastAsia" w:ascii="仿宋_GB2312" w:hAnsi="仿宋_GB2312" w:eastAsia="仿宋_GB2312" w:cs="仿宋_GB2312"/>
          <w:color w:val="auto"/>
          <w:sz w:val="32"/>
          <w:szCs w:val="32"/>
          <w:shd w:val="clear" w:color="auto" w:fill="FFFFFF"/>
          <w:lang w:val="en-US" w:eastAsia="zh-CN"/>
        </w:rPr>
        <w:t>（五）由养老保险机构发放养老金的退休人员</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仿宋_GB2312"/>
          <w:kern w:val="0"/>
          <w:sz w:val="32"/>
          <w:szCs w:val="32"/>
          <w:lang w:val="en-US" w:eastAsia="zh-CN" w:bidi="ar"/>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本单位由养老保险机构发放养老金的退休人员7人，较上年持平。</w:t>
      </w: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4"/>
        <w:rPr>
          <w:rFonts w:hint="default" w:ascii="仿宋_GB2312" w:hAnsi="宋体" w:eastAsia="仿宋_GB2312" w:cs="仿宋_GB2312"/>
          <w:kern w:val="0"/>
          <w:sz w:val="32"/>
          <w:szCs w:val="32"/>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default" w:ascii="仿宋_GB2312" w:hAnsi="宋体" w:eastAsia="仿宋_GB2312" w:cs="仿宋_GB2312"/>
          <w:kern w:val="0"/>
          <w:sz w:val="32"/>
          <w:szCs w:val="32"/>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b/>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outlineLvl w:val="0"/>
        <w:rPr>
          <w:rFonts w:hint="eastAsia" w:ascii="黑体" w:hAnsi="宋体" w:eastAsia="黑体" w:cs="黑体"/>
          <w:kern w:val="0"/>
          <w:sz w:val="48"/>
          <w:szCs w:val="48"/>
          <w:lang w:val="en-US" w:eastAsia="zh-CN" w:bidi="ar"/>
        </w:rPr>
      </w:pPr>
      <w:bookmarkStart w:id="88" w:name="_Toc4032"/>
      <w:bookmarkStart w:id="89" w:name="_Toc6744"/>
      <w:bookmarkStart w:id="90" w:name="_Toc3649"/>
      <w:bookmarkStart w:id="91" w:name="_Toc17783"/>
      <w:r>
        <w:rPr>
          <w:rFonts w:hint="eastAsia" w:ascii="黑体" w:hAnsi="宋体" w:eastAsia="黑体" w:cs="黑体"/>
          <w:kern w:val="0"/>
          <w:sz w:val="48"/>
          <w:szCs w:val="48"/>
          <w:lang w:val="en-US" w:eastAsia="zh-CN" w:bidi="ar"/>
        </w:rPr>
        <w:t>第三部分 名词解释</w:t>
      </w:r>
      <w:bookmarkEnd w:id="88"/>
      <w:bookmarkEnd w:id="89"/>
      <w:bookmarkEnd w:id="90"/>
      <w:bookmarkEnd w:id="91"/>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83" w:firstLineChars="200"/>
        <w:jc w:val="left"/>
        <w:textAlignment w:val="auto"/>
        <w:rPr>
          <w:rFonts w:hint="eastAsia" w:ascii="宋体" w:hAnsi="宋体" w:eastAsia="宋体" w:cs="宋体"/>
          <w:b/>
          <w:kern w:val="0"/>
          <w:sz w:val="44"/>
          <w:szCs w:val="44"/>
        </w:rPr>
      </w:pPr>
      <w:r>
        <w:rPr>
          <w:rFonts w:hint="eastAsia" w:ascii="宋体" w:hAnsi="宋体" w:eastAsia="宋体" w:cs="宋体"/>
          <w:b/>
          <w:kern w:val="0"/>
          <w:sz w:val="44"/>
          <w:szCs w:val="44"/>
          <w:lang w:val="en-US" w:eastAsia="zh-CN" w:bidi="ar"/>
        </w:rPr>
        <w:t xml:space="preserve"> </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1.</w:t>
      </w:r>
      <w:r>
        <w:rPr>
          <w:rFonts w:hint="default" w:ascii="仿宋_GB2312" w:hAnsi="Calibri" w:eastAsia="仿宋_GB2312" w:cs="仿宋_GB2312"/>
          <w:sz w:val="32"/>
          <w:szCs w:val="32"/>
        </w:rPr>
        <w:t>财政拨款收入：指单位从同级财政部门取得的财政预算资金。</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w:t>
      </w:r>
      <w:r>
        <w:rPr>
          <w:rFonts w:hint="default" w:ascii="仿宋_GB2312" w:hAnsi="Calibri" w:eastAsia="仿宋_GB2312" w:cs="仿宋_GB2312"/>
          <w:sz w:val="32"/>
          <w:szCs w:val="32"/>
        </w:rPr>
        <w:t>事业收入：指事业单位开展专业业务活动及辅助活动取得的收入。</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4.</w:t>
      </w:r>
      <w:r>
        <w:rPr>
          <w:rFonts w:hint="default" w:ascii="仿宋_GB2312" w:hAnsi="Calibri" w:eastAsia="仿宋_GB2312" w:cs="仿宋_GB2312"/>
          <w:sz w:val="32"/>
          <w:szCs w:val="32"/>
        </w:rPr>
        <w:t>经营收入：指事业单位在专业业务活动及其辅助活动之外开展非独立核算经营活动取得的收入。</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5.</w:t>
      </w:r>
      <w:r>
        <w:rPr>
          <w:rFonts w:hint="default" w:ascii="仿宋_GB2312" w:hAnsi="Calibri" w:eastAsia="仿宋_GB2312" w:cs="仿宋_GB2312"/>
          <w:sz w:val="32"/>
          <w:szCs w:val="32"/>
        </w:rPr>
        <w:t>其他收入：指单位取得的除上述收入以外的各项收入。主要是利息收入。</w:t>
      </w:r>
      <w:r>
        <w:rPr>
          <w:rFonts w:hint="default" w:ascii="仿宋_GB2312" w:hAnsi="Calibri" w:eastAsia="仿宋_GB2312" w:cs="仿宋"/>
          <w:sz w:val="32"/>
          <w:szCs w:val="32"/>
        </w:rPr>
        <w:t xml:space="preserve"> </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6.</w:t>
      </w:r>
      <w:r>
        <w:rPr>
          <w:rFonts w:hint="default" w:ascii="仿宋_GB2312" w:hAnsi="Calibri"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default" w:ascii="仿宋_GB2312" w:hAnsi="Calibri" w:eastAsia="仿宋_GB2312" w:cs="仿宋"/>
          <w:sz w:val="32"/>
          <w:szCs w:val="32"/>
        </w:rPr>
        <w:t xml:space="preserve"> </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7.</w:t>
      </w:r>
      <w:r>
        <w:rPr>
          <w:rFonts w:hint="default" w:ascii="仿宋_GB2312" w:hAnsi="Calibri" w:eastAsia="仿宋_GB2312" w:cs="仿宋_GB2312"/>
          <w:sz w:val="32"/>
          <w:szCs w:val="32"/>
        </w:rPr>
        <w:t>年初结转和结余：指以前年度尚未完成、结转到本年按有关规定继续使用的资金。</w:t>
      </w:r>
      <w:r>
        <w:rPr>
          <w:rFonts w:hint="default" w:ascii="仿宋_GB2312" w:hAnsi="Calibri" w:eastAsia="仿宋_GB2312" w:cs="仿宋"/>
          <w:sz w:val="32"/>
          <w:szCs w:val="32"/>
        </w:rPr>
        <w:t xml:space="preserve"> </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8.</w:t>
      </w:r>
      <w:r>
        <w:rPr>
          <w:rFonts w:hint="default" w:ascii="仿宋_GB2312" w:hAnsi="Calibri" w:eastAsia="仿宋_GB2312" w:cs="仿宋_GB2312"/>
          <w:sz w:val="32"/>
          <w:szCs w:val="32"/>
        </w:rPr>
        <w:t>结余分配：指事业单位按照事业单位会计制度的规定从非财政补助结余中分配的事业基金和职工福利基金等。</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9</w:t>
      </w:r>
      <w:r>
        <w:rPr>
          <w:rFonts w:hint="default" w:ascii="仿宋_GB2312" w:hAnsi="Calibri" w:eastAsia="仿宋_GB2312" w:cs="仿宋_GB2312"/>
          <w:sz w:val="32"/>
          <w:szCs w:val="32"/>
        </w:rPr>
        <w:t>、年末结转和结余：指单位按有关规定结转到下年或以后年度继续使用的资金。</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10.</w:t>
      </w:r>
      <w:r>
        <w:rPr>
          <w:rFonts w:hint="default" w:ascii="仿宋_GB2312" w:hAnsi="宋体" w:eastAsia="仿宋_GB2312" w:cs="仿宋_GB2312"/>
          <w:kern w:val="0"/>
          <w:sz w:val="32"/>
          <w:szCs w:val="32"/>
          <w:lang w:val="en-US" w:eastAsia="zh-CN" w:bidi="ar"/>
        </w:rPr>
        <w:t>社会保障和就业：指政府在社会保障与就业方面的支出。</w:t>
      </w:r>
    </w:p>
    <w:p>
      <w:pPr>
        <w:pStyle w:val="2"/>
        <w:keepNext w:val="0"/>
        <w:keepLines w:val="0"/>
        <w:pageBreakBefore w:val="0"/>
        <w:widowControl/>
        <w:suppressLineNumbers w:val="0"/>
        <w:kinsoku/>
        <w:wordWrap/>
        <w:overflowPunct/>
        <w:topLinePunct w:val="0"/>
        <w:autoSpaceDE w:val="0"/>
        <w:bidi w:val="0"/>
        <w:snapToGrid w:val="0"/>
        <w:spacing w:afterAutospacing="0"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11.行政事业单位医疗：指行政事业单位医疗方面的支出。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12.</w:t>
      </w:r>
      <w:r>
        <w:rPr>
          <w:rFonts w:hint="default" w:ascii="仿宋_GB2312" w:hAnsi="宋体" w:eastAsia="仿宋_GB2312" w:cs="仿宋_GB2312"/>
          <w:kern w:val="0"/>
          <w:sz w:val="32"/>
          <w:szCs w:val="32"/>
          <w:lang w:val="en-US" w:eastAsia="zh-CN" w:bidi="ar"/>
        </w:rPr>
        <w:t>国土资源事务：指国土资源管理等方面的支出。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13.</w:t>
      </w:r>
      <w:r>
        <w:rPr>
          <w:rFonts w:hint="default" w:ascii="仿宋_GB2312" w:hAnsi="宋体" w:eastAsia="仿宋_GB2312" w:cs="仿宋_GB2312"/>
          <w:kern w:val="0"/>
          <w:sz w:val="32"/>
          <w:szCs w:val="32"/>
          <w:lang w:val="en-US" w:eastAsia="zh-CN" w:bidi="ar"/>
        </w:rPr>
        <w:t>行政运行：指行政单位（包括实行公务员管理的事业单位）的基本支出。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14.事业运行：指事业单位的基本支出，不包括行政单位（包括实行公务员管理的事业单位）后勤服务中兴、医务室等附属事业单位。</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15.住房保障支出：指集中反映政府用于住房方面的支出。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16.住房公积金：指反映行政事业单位按人力资源和社会保障部、财政部规定的基本工资和津贴补贴以及规定比例为职工缴纳的住房公积金。</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17.</w:t>
      </w:r>
      <w:r>
        <w:rPr>
          <w:rFonts w:hint="default" w:ascii="仿宋_GB2312" w:hAnsi="宋体" w:eastAsia="仿宋_GB2312" w:cs="仿宋_GB2312"/>
          <w:kern w:val="0"/>
          <w:sz w:val="32"/>
          <w:szCs w:val="32"/>
          <w:lang w:val="en-US" w:eastAsia="zh-CN" w:bidi="ar"/>
        </w:rPr>
        <w:t>城乡社区支出：指政府城乡社区事务支出。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18.</w:t>
      </w:r>
      <w:r>
        <w:rPr>
          <w:rFonts w:hint="default" w:ascii="仿宋_GB2312" w:hAnsi="宋体" w:eastAsia="仿宋_GB2312" w:cs="仿宋_GB2312"/>
          <w:kern w:val="0"/>
          <w:sz w:val="32"/>
          <w:szCs w:val="32"/>
          <w:lang w:val="en-US" w:eastAsia="zh-CN" w:bidi="ar"/>
        </w:rPr>
        <w:t>国土海洋气象等支出：指政府用于国土资源、海洋、测绘、地震、气象等公益服务事业方面的支出。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19.</w:t>
      </w:r>
      <w:r>
        <w:rPr>
          <w:rFonts w:hint="default" w:ascii="仿宋_GB2312" w:hAnsi="宋体" w:eastAsia="仿宋_GB2312" w:cs="仿宋_GB2312"/>
          <w:kern w:val="0"/>
          <w:sz w:val="32"/>
          <w:szCs w:val="32"/>
          <w:lang w:val="en-US" w:eastAsia="zh-CN" w:bidi="ar"/>
        </w:rPr>
        <w:t>一般行政管理事务：指行政单位（包括实行公务员管理的事业单位）未单独设置项级科目的其他项目支出。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w:t>
      </w:r>
      <w:r>
        <w:rPr>
          <w:rFonts w:hint="default" w:ascii="仿宋_GB2312" w:hAnsi="宋体" w:eastAsia="仿宋_GB2312" w:cs="仿宋_GB2312"/>
          <w:kern w:val="0"/>
          <w:sz w:val="32"/>
          <w:szCs w:val="32"/>
          <w:lang w:val="en-US" w:eastAsia="zh-CN" w:bidi="ar"/>
        </w:rPr>
        <w:t>地质灾害防治：指地质灾害防治项目支出。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21.</w:t>
      </w:r>
      <w:r>
        <w:rPr>
          <w:rFonts w:hint="default" w:ascii="仿宋_GB2312" w:hAnsi="宋体" w:eastAsia="仿宋_GB2312" w:cs="仿宋_GB2312"/>
          <w:kern w:val="0"/>
          <w:sz w:val="32"/>
          <w:szCs w:val="32"/>
          <w:lang w:val="en-US" w:eastAsia="zh-CN" w:bidi="ar"/>
        </w:rPr>
        <w:t>地震监测：指地震和火山监测台站、台网等设施建设与运行维护，观测设备的购置、维护和技术升级，地震观测工作等方面的支出。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22.</w:t>
      </w:r>
      <w:r>
        <w:rPr>
          <w:rFonts w:hint="default" w:ascii="仿宋_GB2312" w:hAnsi="宋体" w:eastAsia="仿宋_GB2312" w:cs="仿宋_GB2312"/>
          <w:kern w:val="0"/>
          <w:sz w:val="32"/>
          <w:szCs w:val="32"/>
          <w:lang w:val="en-US" w:eastAsia="zh-CN" w:bidi="ar"/>
        </w:rPr>
        <w:t>其他国土海洋气象等支出：指其他用于国土海洋气象等方面的支出。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23.</w:t>
      </w:r>
      <w:r>
        <w:rPr>
          <w:rFonts w:hint="default" w:ascii="仿宋_GB2312" w:hAnsi="宋体" w:eastAsia="仿宋_GB2312" w:cs="仿宋_GB2312"/>
          <w:kern w:val="0"/>
          <w:sz w:val="32"/>
          <w:szCs w:val="32"/>
          <w:lang w:val="en-US" w:eastAsia="zh-CN" w:bidi="ar"/>
        </w:rPr>
        <w:t>基本支出：指为保障机构正常运转、完成日常工作任务而发生的人员支出和公用支出。</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24.</w:t>
      </w:r>
      <w:r>
        <w:rPr>
          <w:rFonts w:hint="default" w:ascii="仿宋_GB2312" w:hAnsi="宋体" w:eastAsia="仿宋_GB2312" w:cs="仿宋_GB2312"/>
          <w:kern w:val="0"/>
          <w:sz w:val="32"/>
          <w:szCs w:val="32"/>
          <w:lang w:val="en-US" w:eastAsia="zh-CN" w:bidi="ar"/>
        </w:rPr>
        <w:t>项目支出：指在基本支出之外为完成特定行政任务和事业发展目标所发生的支出。</w:t>
      </w:r>
      <w:r>
        <w:rPr>
          <w:rFonts w:hint="default" w:ascii="仿宋_GB2312" w:hAnsi="宋体" w:eastAsia="仿宋_GB2312" w:cs="宋体"/>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25.</w:t>
      </w:r>
      <w:r>
        <w:rPr>
          <w:rFonts w:hint="default" w:ascii="仿宋_GB2312" w:hAnsi="宋体" w:eastAsia="仿宋_GB2312" w:cs="仿宋_GB2312"/>
          <w:kern w:val="0"/>
          <w:sz w:val="32"/>
          <w:szCs w:val="32"/>
          <w:lang w:val="en-US" w:eastAsia="zh-CN" w:bidi="ar"/>
        </w:rPr>
        <w:t>经营支出：指事业单位在专业业务活动及其辅助活动之外开展非独立核算经营活动发生的支出。</w:t>
      </w:r>
    </w:p>
    <w:p>
      <w:pPr>
        <w:pStyle w:val="2"/>
        <w:keepNext w:val="0"/>
        <w:keepLines w:val="0"/>
        <w:pageBreakBefore w:val="0"/>
        <w:widowControl/>
        <w:suppressLineNumbers w:val="0"/>
        <w:kinsoku/>
        <w:wordWrap/>
        <w:overflowPunct/>
        <w:topLinePunct w:val="0"/>
        <w:autoSpaceDE w:val="0"/>
        <w:bidi w:val="0"/>
        <w:snapToGrid w:val="0"/>
        <w:spacing w:afterAutospacing="0"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26.对个人和家庭的补助：指政府用于对个人和家庭的补助支出。</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28.</w:t>
      </w:r>
      <w:r>
        <w:rPr>
          <w:rFonts w:hint="default" w:ascii="仿宋_GB2312" w:hAnsi="Calibri"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keepNext w:val="0"/>
        <w:keepLines w:val="0"/>
        <w:pageBreakBefore w:val="0"/>
        <w:widowControl/>
        <w:kinsoku/>
        <w:wordWrap/>
        <w:overflowPunct/>
        <w:topLinePunct w:val="0"/>
        <w:autoSpaceDE w:val="0"/>
        <w:bidi w:val="0"/>
        <w:snapToGrid w:val="0"/>
        <w:spacing w:afterAutospacing="0"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29.委托业务费：指因委托外单位办理业务而支付的委托业务费。</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80" w:firstLineChars="200"/>
        <w:jc w:val="center"/>
        <w:textAlignment w:val="auto"/>
        <w:outlineLvl w:val="9"/>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pStyle w:val="2"/>
        <w:keepNext w:val="0"/>
        <w:keepLines w:val="0"/>
        <w:pageBreakBefore w:val="0"/>
        <w:kinsoku/>
        <w:wordWrap/>
        <w:overflowPunct/>
        <w:topLinePunct w:val="0"/>
        <w:autoSpaceDE w:val="0"/>
        <w:bidi w:val="0"/>
        <w:spacing w:afterAutospacing="0" w:line="560" w:lineRule="exact"/>
        <w:ind w:firstLine="880" w:firstLineChars="200"/>
        <w:textAlignment w:val="auto"/>
        <w:rPr>
          <w:rFonts w:hint="eastAsia" w:ascii="黑体" w:hAnsi="宋体" w:eastAsia="黑体" w:cs="黑体"/>
          <w:kern w:val="0"/>
          <w:sz w:val="44"/>
          <w:szCs w:val="44"/>
          <w:lang w:val="en-US" w:eastAsia="zh-CN" w:bidi="ar"/>
        </w:rPr>
      </w:pP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80" w:firstLineChars="200"/>
        <w:jc w:val="center"/>
        <w:textAlignment w:val="auto"/>
        <w:outlineLvl w:val="9"/>
        <w:rPr>
          <w:rFonts w:hint="eastAsia" w:ascii="黑体" w:hAnsi="宋体" w:eastAsia="黑体" w:cs="黑体"/>
          <w:kern w:val="0"/>
          <w:sz w:val="44"/>
          <w:szCs w:val="44"/>
          <w:lang w:val="en-US" w:eastAsia="zh-CN" w:bidi="ar"/>
        </w:rPr>
      </w:pP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960" w:firstLineChars="200"/>
        <w:jc w:val="center"/>
        <w:textAlignment w:val="auto"/>
        <w:outlineLvl w:val="0"/>
        <w:rPr>
          <w:rStyle w:val="18"/>
          <w:rFonts w:hint="eastAsia" w:ascii="黑体" w:hAnsi="宋体" w:eastAsia="黑体" w:cs="黑体"/>
          <w:b w:val="0"/>
          <w:kern w:val="44"/>
          <w:sz w:val="52"/>
          <w:szCs w:val="52"/>
          <w:lang w:val="en-US" w:eastAsia="zh-CN" w:bidi="ar"/>
        </w:rPr>
      </w:pPr>
      <w:bookmarkStart w:id="92" w:name="_Toc25851"/>
      <w:bookmarkStart w:id="93" w:name="_Toc15884"/>
      <w:bookmarkStart w:id="94" w:name="_Toc24744"/>
      <w:bookmarkStart w:id="95" w:name="_Toc24036"/>
      <w:r>
        <w:rPr>
          <w:rFonts w:hint="eastAsia" w:ascii="黑体" w:hAnsi="宋体" w:eastAsia="黑体" w:cs="黑体"/>
          <w:kern w:val="0"/>
          <w:sz w:val="48"/>
          <w:szCs w:val="48"/>
          <w:lang w:val="en-US" w:eastAsia="zh-CN" w:bidi="ar"/>
        </w:rPr>
        <w:t>第</w:t>
      </w:r>
      <w:r>
        <w:rPr>
          <w:rStyle w:val="18"/>
          <w:rFonts w:hint="eastAsia" w:ascii="黑体" w:hAnsi="宋体" w:eastAsia="黑体" w:cs="黑体"/>
          <w:b w:val="0"/>
          <w:kern w:val="44"/>
          <w:sz w:val="52"/>
          <w:szCs w:val="52"/>
          <w:lang w:val="en-US" w:eastAsia="zh-CN" w:bidi="ar"/>
        </w:rPr>
        <w:t>四部分</w:t>
      </w:r>
      <w:r>
        <w:rPr>
          <w:rStyle w:val="18"/>
          <w:rFonts w:hint="eastAsia" w:ascii="黑体" w:hAnsi="宋体" w:eastAsia="黑体" w:cs="宋体"/>
          <w:b w:val="0"/>
          <w:kern w:val="44"/>
          <w:sz w:val="52"/>
          <w:szCs w:val="52"/>
          <w:lang w:val="en-US" w:eastAsia="zh-CN" w:bidi="ar"/>
        </w:rPr>
        <w:t xml:space="preserve"> </w:t>
      </w:r>
      <w:r>
        <w:rPr>
          <w:rStyle w:val="18"/>
          <w:rFonts w:hint="eastAsia" w:ascii="黑体" w:hAnsi="宋体" w:eastAsia="黑体" w:cs="黑体"/>
          <w:b w:val="0"/>
          <w:kern w:val="44"/>
          <w:sz w:val="52"/>
          <w:szCs w:val="52"/>
          <w:lang w:val="en-US" w:eastAsia="zh-CN" w:bidi="ar"/>
        </w:rPr>
        <w:t>附件</w:t>
      </w:r>
      <w:bookmarkEnd w:id="92"/>
      <w:bookmarkEnd w:id="93"/>
      <w:bookmarkEnd w:id="94"/>
      <w:bookmarkEnd w:id="95"/>
    </w:p>
    <w:p>
      <w:pPr>
        <w:pStyle w:val="2"/>
        <w:keepNext w:val="0"/>
        <w:keepLines w:val="0"/>
        <w:pageBreakBefore w:val="0"/>
        <w:kinsoku/>
        <w:wordWrap/>
        <w:overflowPunct/>
        <w:topLinePunct w:val="0"/>
        <w:autoSpaceDE w:val="0"/>
        <w:bidi w:val="0"/>
        <w:spacing w:afterAutospacing="0" w:line="560" w:lineRule="exact"/>
        <w:ind w:firstLine="640" w:firstLineChars="200"/>
        <w:textAlignment w:val="auto"/>
        <w:rPr>
          <w:rFonts w:hint="eastAsia"/>
          <w:lang w:val="en-US" w:eastAsia="zh-CN"/>
        </w:rPr>
      </w:pP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outlineLvl w:val="0"/>
        <w:rPr>
          <w:rFonts w:hint="default" w:ascii="方正小标宋简体" w:hAnsi="方正小标宋简体" w:eastAsia="方正小标宋简体" w:cs="方正小标宋简体"/>
          <w:kern w:val="0"/>
          <w:sz w:val="32"/>
          <w:szCs w:val="32"/>
        </w:rPr>
      </w:pPr>
      <w:bookmarkStart w:id="96" w:name="_Toc18966"/>
      <w:bookmarkStart w:id="97" w:name="_Toc17179"/>
      <w:bookmarkStart w:id="98" w:name="_Toc2301"/>
      <w:bookmarkStart w:id="99" w:name="_Toc23041"/>
      <w:bookmarkStart w:id="100" w:name="_Toc14166"/>
      <w:r>
        <w:rPr>
          <w:rFonts w:hint="eastAsia" w:ascii="黑体" w:hAnsi="宋体" w:eastAsia="黑体" w:cs="黑体"/>
          <w:kern w:val="0"/>
          <w:sz w:val="32"/>
          <w:szCs w:val="32"/>
          <w:lang w:val="en-US" w:eastAsia="zh-CN" w:bidi="ar"/>
        </w:rPr>
        <w:t>附件1</w:t>
      </w:r>
      <w:bookmarkEnd w:id="96"/>
      <w:bookmarkEnd w:id="97"/>
      <w:bookmarkEnd w:id="98"/>
      <w:bookmarkEnd w:id="99"/>
      <w:bookmarkEnd w:id="100"/>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80" w:firstLineChars="200"/>
        <w:jc w:val="center"/>
        <w:textAlignment w:val="auto"/>
        <w:rPr>
          <w:rFonts w:hint="default" w:ascii="方正小标宋简体" w:hAnsi="方正小标宋简体" w:eastAsia="方正小标宋简体" w:cs="方正小标宋简体"/>
          <w:kern w:val="0"/>
          <w:sz w:val="44"/>
          <w:szCs w:val="44"/>
        </w:rPr>
      </w:pPr>
      <w:r>
        <w:rPr>
          <w:rFonts w:hint="default" w:ascii="方正小标宋简体" w:hAnsi="方正小标宋简体" w:eastAsia="方正小标宋简体" w:cs="方正小标宋简体"/>
          <w:kern w:val="0"/>
          <w:sz w:val="44"/>
          <w:szCs w:val="44"/>
          <w:lang w:val="en-US" w:eastAsia="zh-CN" w:bidi="ar"/>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00" w:firstLineChars="200"/>
        <w:jc w:val="center"/>
        <w:textAlignment w:val="auto"/>
        <w:rPr>
          <w:rFonts w:hint="default" w:ascii="方正小标宋简体" w:hAnsi="宋体" w:eastAsia="方正小标宋简体" w:cs="宋体"/>
          <w:kern w:val="0"/>
          <w:sz w:val="40"/>
          <w:szCs w:val="40"/>
        </w:rPr>
      </w:pPr>
      <w:r>
        <w:rPr>
          <w:rFonts w:hint="default" w:ascii="方正小标宋简体" w:hAnsi="方正小标宋简体" w:eastAsia="方正小标宋简体" w:cs="方正小标宋简体"/>
          <w:kern w:val="0"/>
          <w:sz w:val="40"/>
          <w:szCs w:val="40"/>
          <w:lang w:val="en-US" w:eastAsia="zh-CN" w:bidi="ar"/>
        </w:rPr>
        <w:t>红原县自然资源局</w:t>
      </w:r>
      <w:r>
        <w:rPr>
          <w:rFonts w:hint="default" w:ascii="方正小标宋简体" w:hAnsi="宋体" w:eastAsia="方正小标宋简体" w:cs="宋体"/>
          <w:kern w:val="0"/>
          <w:sz w:val="40"/>
          <w:szCs w:val="40"/>
          <w:lang w:val="en-US" w:eastAsia="zh-CN" w:bidi="ar"/>
        </w:rPr>
        <w:t>202</w:t>
      </w:r>
      <w:r>
        <w:rPr>
          <w:rFonts w:hint="eastAsia" w:ascii="方正小标宋简体" w:hAnsi="宋体" w:eastAsia="方正小标宋简体" w:cs="宋体"/>
          <w:kern w:val="0"/>
          <w:sz w:val="40"/>
          <w:szCs w:val="40"/>
          <w:lang w:val="en-US" w:eastAsia="zh-CN" w:bidi="ar"/>
        </w:rPr>
        <w:t>1</w:t>
      </w:r>
      <w:r>
        <w:rPr>
          <w:rFonts w:hint="default" w:ascii="方正小标宋简体" w:hAnsi="方正小标宋简体" w:eastAsia="方正小标宋简体" w:cs="方正小标宋简体"/>
          <w:kern w:val="0"/>
          <w:sz w:val="40"/>
          <w:szCs w:val="40"/>
          <w:lang w:val="en-US" w:eastAsia="zh-CN" w:bidi="ar"/>
        </w:rPr>
        <w:t>年部门整体支出绩效评价报告</w:t>
      </w:r>
    </w:p>
    <w:p>
      <w:pPr>
        <w:keepNext w:val="0"/>
        <w:keepLines w:val="0"/>
        <w:pageBreakBefore w:val="0"/>
        <w:widowControl/>
        <w:suppressLineNumbers w:val="0"/>
        <w:kinsoku/>
        <w:wordWrap/>
        <w:overflowPunct/>
        <w:topLinePunct w:val="0"/>
        <w:autoSpaceDE w:val="0"/>
        <w:bidi w:val="0"/>
        <w:adjustRightInd w:val="0"/>
        <w:snapToGrid w:val="0"/>
        <w:spacing w:before="0" w:beforeAutospacing="0" w:after="0" w:afterAutospacing="0" w:line="560" w:lineRule="exact"/>
        <w:ind w:left="0" w:right="0" w:firstLine="480" w:firstLineChars="200"/>
        <w:contextualSpacing/>
        <w:jc w:val="left"/>
        <w:textAlignment w:val="auto"/>
        <w:rPr>
          <w:rFonts w:hint="eastAsia" w:ascii="黑体" w:hAnsi="宋体" w:eastAsia="黑体" w:cs="宋体"/>
          <w:kern w:val="0"/>
          <w:sz w:val="24"/>
          <w:szCs w:val="24"/>
          <w:shd w:val="clear" w:fill="FFFFFF"/>
        </w:rPr>
      </w:pPr>
      <w:r>
        <w:rPr>
          <w:rFonts w:hint="eastAsia" w:ascii="黑体" w:hAnsi="宋体" w:eastAsia="黑体" w:cs="宋体"/>
          <w:kern w:val="0"/>
          <w:sz w:val="24"/>
          <w:szCs w:val="24"/>
          <w:shd w:val="clear" w:fill="FFFFFF"/>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一、部门（单位）概况</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（一）机构组成。</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红原县自然资源局现有行政办公室、土地管理股、矿产资源管理股、不动产登记中心、执法大队、土地储备交易中心、邛溪镇国土所、瓦切镇国土所、安曲镇国土所共9个机构组成。</w:t>
      </w:r>
    </w:p>
    <w:p>
      <w:pPr>
        <w:keepNext w:val="0"/>
        <w:keepLines w:val="0"/>
        <w:pageBreakBefore w:val="0"/>
        <w:widowControl/>
        <w:numPr>
          <w:ilvl w:val="0"/>
          <w:numId w:val="5"/>
        </w:numPr>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机构职能。</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1.负责贯彻全县国土资源管理、矿产资源管理。</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（1）彻执行国家和省州关于土地矿产等国土资源方面的方针、政策和法律、法规;依法负责拟定本县土地、矿产等自然资</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源管理的规章制度;研究拟定调查、规划、保护和合理利用我县土地和矿产等自然资源的政策;组织贯彻实施土地和矿产等自然资源管理的技术标准、规范和办法.</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2.行政审批事项。</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（3）管理全县土地测绘工作。负责全县测绘单位的资格审查，测绘工作证件，测绘任务登记管理，归口管理全县地籍测绘，指导测量标志的管理和保护。</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（4）承担矿产资源储备管理工作，依法管理江河地质、地勘成果资料，依法保护地质环境，依法管理矿产资源探矿权和采矿权的审批、登记、发证和转让。审核地质环境影响评估报告。</w:t>
      </w:r>
    </w:p>
    <w:p>
      <w:pPr>
        <w:keepNext w:val="0"/>
        <w:keepLines w:val="0"/>
        <w:pageBreakBefore w:val="0"/>
        <w:widowControl/>
        <w:numPr>
          <w:ilvl w:val="0"/>
          <w:numId w:val="5"/>
        </w:numPr>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人员概况。</w:t>
      </w:r>
    </w:p>
    <w:p>
      <w:pPr>
        <w:pStyle w:val="7"/>
        <w:keepNext w:val="0"/>
        <w:keepLines w:val="0"/>
        <w:pageBreakBefore w:val="0"/>
        <w:widowControl/>
        <w:kinsoku/>
        <w:wordWrap/>
        <w:overflowPunct/>
        <w:topLinePunct w:val="0"/>
        <w:autoSpaceDE w:val="0"/>
        <w:autoSpaceDN/>
        <w:bidi w:val="0"/>
        <w:adjustRightInd w:val="0"/>
        <w:snapToGrid w:val="0"/>
        <w:spacing w:before="72" w:beforeAutospacing="0" w:afterAutospacing="0" w:line="560" w:lineRule="exact"/>
        <w:ind w:left="0" w:right="0" w:firstLine="640" w:firstLineChars="200"/>
        <w:textAlignment w:val="auto"/>
        <w:rPr>
          <w:rFonts w:hint="eastAsia" w:ascii="宋体" w:hAnsi="宋体" w:eastAsia="宋体" w:cs="宋体"/>
          <w:kern w:val="0"/>
          <w:sz w:val="24"/>
          <w:szCs w:val="24"/>
        </w:rPr>
      </w:pPr>
      <w:r>
        <w:rPr>
          <w:rFonts w:hint="eastAsia" w:ascii="仿宋" w:hAnsi="仿宋" w:eastAsia="仿宋" w:cs="仿宋"/>
          <w:kern w:val="0"/>
          <w:sz w:val="32"/>
          <w:szCs w:val="32"/>
        </w:rPr>
        <w:t>红原县自然资源局下属二级单位</w:t>
      </w:r>
      <w:r>
        <w:rPr>
          <w:rFonts w:hint="eastAsia" w:ascii="仿宋" w:hAnsi="仿宋" w:eastAsia="仿宋" w:cs="宋体"/>
          <w:kern w:val="0"/>
          <w:sz w:val="32"/>
          <w:szCs w:val="32"/>
        </w:rPr>
        <w:t>2</w:t>
      </w:r>
      <w:r>
        <w:rPr>
          <w:rFonts w:hint="eastAsia" w:ascii="仿宋" w:hAnsi="仿宋" w:eastAsia="仿宋" w:cs="仿宋"/>
          <w:kern w:val="0"/>
          <w:sz w:val="32"/>
          <w:szCs w:val="32"/>
        </w:rPr>
        <w:t>个，其中行政单位</w:t>
      </w:r>
      <w:r>
        <w:rPr>
          <w:rFonts w:hint="eastAsia" w:ascii="仿宋" w:hAnsi="仿宋" w:eastAsia="仿宋" w:cs="宋体"/>
          <w:kern w:val="0"/>
          <w:sz w:val="32"/>
          <w:szCs w:val="32"/>
        </w:rPr>
        <w:t>1个，</w:t>
      </w:r>
      <w:r>
        <w:rPr>
          <w:rFonts w:hint="eastAsia" w:ascii="仿宋" w:hAnsi="仿宋" w:eastAsia="仿宋" w:cs="仿宋"/>
          <w:kern w:val="0"/>
          <w:sz w:val="32"/>
          <w:szCs w:val="32"/>
        </w:rPr>
        <w:t>事业单位</w:t>
      </w:r>
      <w:r>
        <w:rPr>
          <w:rFonts w:hint="eastAsia" w:ascii="仿宋" w:hAnsi="仿宋" w:eastAsia="仿宋" w:cs="宋体"/>
          <w:kern w:val="0"/>
          <w:sz w:val="32"/>
          <w:szCs w:val="32"/>
        </w:rPr>
        <w:t>1</w:t>
      </w:r>
      <w:r>
        <w:rPr>
          <w:rFonts w:hint="eastAsia" w:ascii="仿宋" w:hAnsi="仿宋" w:eastAsia="仿宋" w:cs="仿宋"/>
          <w:kern w:val="0"/>
          <w:sz w:val="32"/>
          <w:szCs w:val="32"/>
        </w:rPr>
        <w:t>个。我局是红原县政府属下的管理国土资源秩序的职能部门，在职</w:t>
      </w:r>
      <w:r>
        <w:rPr>
          <w:rFonts w:hint="eastAsia" w:ascii="仿宋" w:hAnsi="仿宋" w:eastAsia="仿宋" w:cs="宋体"/>
          <w:kern w:val="0"/>
          <w:sz w:val="32"/>
          <w:szCs w:val="32"/>
        </w:rPr>
        <w:t>2</w:t>
      </w:r>
      <w:r>
        <w:rPr>
          <w:rFonts w:hint="eastAsia" w:ascii="仿宋" w:hAnsi="仿宋" w:eastAsia="仿宋" w:cs="宋体"/>
          <w:kern w:val="0"/>
          <w:sz w:val="32"/>
          <w:szCs w:val="32"/>
          <w:lang w:val="en-US" w:eastAsia="zh-CN"/>
        </w:rPr>
        <w:t>6</w:t>
      </w:r>
      <w:r>
        <w:rPr>
          <w:rFonts w:hint="eastAsia" w:ascii="仿宋" w:hAnsi="仿宋" w:eastAsia="仿宋" w:cs="仿宋"/>
          <w:kern w:val="0"/>
          <w:sz w:val="32"/>
          <w:szCs w:val="32"/>
        </w:rPr>
        <w:t>人，其中行政</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人、行政工勤</w:t>
      </w:r>
      <w:r>
        <w:rPr>
          <w:rFonts w:hint="eastAsia" w:ascii="仿宋" w:hAnsi="仿宋" w:eastAsia="仿宋" w:cs="宋体"/>
          <w:kern w:val="0"/>
          <w:sz w:val="32"/>
          <w:szCs w:val="32"/>
        </w:rPr>
        <w:t>1人、参公2</w:t>
      </w:r>
      <w:r>
        <w:rPr>
          <w:rFonts w:hint="eastAsia" w:ascii="仿宋" w:hAnsi="仿宋" w:eastAsia="仿宋" w:cs="仿宋"/>
          <w:kern w:val="0"/>
          <w:sz w:val="32"/>
          <w:szCs w:val="32"/>
        </w:rPr>
        <w:t>人、事业</w:t>
      </w:r>
      <w:r>
        <w:rPr>
          <w:rFonts w:hint="eastAsia" w:ascii="仿宋" w:hAnsi="仿宋" w:eastAsia="仿宋" w:cs="宋体"/>
          <w:kern w:val="0"/>
          <w:sz w:val="32"/>
          <w:szCs w:val="32"/>
        </w:rPr>
        <w:t>1</w:t>
      </w:r>
      <w:r>
        <w:rPr>
          <w:rFonts w:hint="eastAsia" w:ascii="仿宋" w:hAnsi="仿宋" w:eastAsia="仿宋" w:cs="宋体"/>
          <w:kern w:val="0"/>
          <w:sz w:val="32"/>
          <w:szCs w:val="32"/>
          <w:lang w:val="en-US" w:eastAsia="zh-CN"/>
        </w:rPr>
        <w:t>7</w:t>
      </w:r>
      <w:r>
        <w:rPr>
          <w:rFonts w:hint="eastAsia" w:ascii="仿宋" w:hAnsi="仿宋" w:eastAsia="仿宋" w:cs="仿宋"/>
          <w:kern w:val="0"/>
          <w:sz w:val="32"/>
          <w:szCs w:val="32"/>
        </w:rPr>
        <w:t>人。纳入四川省阿坝州红原县自然资源局</w:t>
      </w: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hint="eastAsia" w:ascii="仿宋" w:hAnsi="仿宋" w:eastAsia="仿宋" w:cs="仿宋"/>
          <w:kern w:val="0"/>
          <w:sz w:val="32"/>
          <w:szCs w:val="32"/>
        </w:rPr>
        <w:t>年度部门决算编制范围的二级预算单位包括：</w:t>
      </w:r>
      <w:r>
        <w:rPr>
          <w:rFonts w:hint="eastAsia" w:ascii="仿宋" w:hAnsi="仿宋" w:eastAsia="仿宋" w:cs="宋体"/>
          <w:kern w:val="0"/>
          <w:sz w:val="32"/>
          <w:szCs w:val="32"/>
        </w:rPr>
        <w:t>1.四川省阿坝州红原县自然资源局（本级）2.四川省阿坝州</w:t>
      </w:r>
      <w:r>
        <w:rPr>
          <w:rFonts w:hint="eastAsia" w:ascii="仿宋" w:hAnsi="仿宋" w:eastAsia="仿宋" w:cs="仿宋"/>
          <w:kern w:val="0"/>
          <w:sz w:val="32"/>
          <w:szCs w:val="32"/>
        </w:rPr>
        <w:t>红原县不动产登记中心（本级）。</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二、部门财政资金收支情况</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（一）部门财政资金收入情况。</w:t>
      </w:r>
    </w:p>
    <w:p>
      <w:pPr>
        <w:pStyle w:val="2"/>
        <w:keepNext w:val="0"/>
        <w:keepLines w:val="0"/>
        <w:pageBreakBefore w:val="0"/>
        <w:widowControl/>
        <w:suppressLineNumbers w:val="0"/>
        <w:kinsoku/>
        <w:wordWrap/>
        <w:overflowPunct/>
        <w:topLinePunct w:val="0"/>
        <w:autoSpaceDE w:val="0"/>
        <w:autoSpaceDN/>
        <w:bidi w:val="0"/>
        <w:snapToGrid w:val="0"/>
        <w:spacing w:afterAutospacing="0" w:line="560" w:lineRule="exact"/>
        <w:ind w:firstLine="640" w:firstLineChars="200"/>
        <w:textAlignment w:val="auto"/>
        <w:rPr>
          <w:rFonts w:hint="default" w:ascii="仿宋_GB2312" w:hAnsi="宋体" w:eastAsia="仿宋_GB2312" w:cs="宋体"/>
          <w:kern w:val="0"/>
          <w:sz w:val="32"/>
          <w:szCs w:val="32"/>
          <w:lang w:val="en-US"/>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hint="eastAsia" w:ascii="仿宋" w:hAnsi="仿宋" w:eastAsia="仿宋" w:cs="仿宋"/>
          <w:kern w:val="0"/>
          <w:sz w:val="32"/>
          <w:szCs w:val="32"/>
        </w:rPr>
        <w:t>年本年收入合计</w:t>
      </w:r>
      <w:r>
        <w:rPr>
          <w:rFonts w:hint="eastAsia" w:ascii="仿宋_GB2312" w:hAnsi="宋体" w:eastAsia="仿宋_GB2312" w:cs="仿宋_GB2312"/>
          <w:b w:val="0"/>
          <w:kern w:val="0"/>
          <w:sz w:val="32"/>
          <w:szCs w:val="32"/>
          <w:lang w:val="en-US" w:eastAsia="zh-CN" w:bidi="ar"/>
        </w:rPr>
        <w:t>4335.57万元</w:t>
      </w:r>
      <w:r>
        <w:rPr>
          <w:rFonts w:hint="eastAsia" w:cs="仿宋_GB2312"/>
          <w:b w:val="0"/>
          <w:kern w:val="0"/>
          <w:sz w:val="32"/>
          <w:szCs w:val="32"/>
          <w:lang w:val="en-US" w:eastAsia="zh-CN" w:bidi="ar"/>
        </w:rPr>
        <w:t>，</w:t>
      </w:r>
      <w:r>
        <w:rPr>
          <w:rFonts w:hint="eastAsia" w:ascii="仿宋_GB2312" w:hAnsi="宋体" w:eastAsia="仿宋_GB2312" w:cs="仿宋_GB2312"/>
          <w:b w:val="0"/>
          <w:kern w:val="0"/>
          <w:sz w:val="32"/>
          <w:szCs w:val="32"/>
          <w:lang w:val="en-US" w:eastAsia="zh-CN" w:bidi="ar"/>
        </w:rPr>
        <w:t>其中财政拨款收入2005.39万元</w:t>
      </w:r>
      <w:r>
        <w:rPr>
          <w:rFonts w:hint="eastAsia" w:cs="仿宋_GB2312"/>
          <w:b w:val="0"/>
          <w:kern w:val="0"/>
          <w:sz w:val="32"/>
          <w:szCs w:val="32"/>
          <w:lang w:val="en-US" w:eastAsia="zh-CN" w:bidi="ar"/>
        </w:rPr>
        <w:t>，占46.25%</w:t>
      </w:r>
      <w:r>
        <w:rPr>
          <w:rFonts w:hint="eastAsia" w:ascii="仿宋_GB2312" w:hAnsi="宋体" w:eastAsia="仿宋_GB2312" w:cs="仿宋_GB2312"/>
          <w:b w:val="0"/>
          <w:kern w:val="0"/>
          <w:sz w:val="32"/>
          <w:szCs w:val="32"/>
          <w:lang w:val="en-US" w:eastAsia="zh-CN" w:bidi="ar"/>
        </w:rPr>
        <w:t>、其他收入2330.18万元</w:t>
      </w:r>
      <w:r>
        <w:rPr>
          <w:rFonts w:hint="eastAsia" w:cs="仿宋_GB2312"/>
          <w:b w:val="0"/>
          <w:kern w:val="0"/>
          <w:sz w:val="32"/>
          <w:szCs w:val="32"/>
          <w:lang w:val="en-US" w:eastAsia="zh-CN" w:bidi="ar"/>
        </w:rPr>
        <w:t>，占53.75%</w:t>
      </w:r>
    </w:p>
    <w:p>
      <w:pPr>
        <w:keepNext w:val="0"/>
        <w:keepLines w:val="0"/>
        <w:pageBreakBefore w:val="0"/>
        <w:widowControl/>
        <w:numPr>
          <w:ilvl w:val="0"/>
          <w:numId w:val="6"/>
        </w:numPr>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部门财政资金支出情况。</w:t>
      </w:r>
    </w:p>
    <w:p>
      <w:pPr>
        <w:pStyle w:val="2"/>
        <w:keepNext w:val="0"/>
        <w:keepLines w:val="0"/>
        <w:pageBreakBefore w:val="0"/>
        <w:widowControl/>
        <w:suppressLineNumbers w:val="0"/>
        <w:kinsoku/>
        <w:wordWrap/>
        <w:overflowPunct/>
        <w:topLinePunct w:val="0"/>
        <w:autoSpaceDE w:val="0"/>
        <w:autoSpaceDN/>
        <w:bidi w:val="0"/>
        <w:snapToGrid w:val="0"/>
        <w:spacing w:afterAutospacing="0" w:line="560" w:lineRule="exact"/>
        <w:ind w:left="0" w:firstLine="640" w:firstLineChars="200"/>
        <w:textAlignment w:val="auto"/>
        <w:rPr>
          <w:rFonts w:hint="default" w:ascii="仿宋_GB2312" w:hAnsi="宋体" w:eastAsia="仿宋_GB2312" w:cs="宋体"/>
          <w:kern w:val="0"/>
          <w:sz w:val="32"/>
          <w:szCs w:val="32"/>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hint="eastAsia" w:ascii="仿宋" w:hAnsi="仿宋" w:eastAsia="仿宋" w:cs="仿宋"/>
          <w:kern w:val="0"/>
          <w:sz w:val="32"/>
          <w:szCs w:val="32"/>
        </w:rPr>
        <w:t>年本年支出合计</w:t>
      </w:r>
      <w:r>
        <w:rPr>
          <w:rFonts w:hint="eastAsia" w:ascii="仿宋" w:hAnsi="仿宋" w:eastAsia="仿宋" w:cs="宋体"/>
          <w:kern w:val="0"/>
          <w:sz w:val="32"/>
          <w:szCs w:val="32"/>
        </w:rPr>
        <w:t>2321.41</w:t>
      </w:r>
      <w:r>
        <w:rPr>
          <w:rFonts w:hint="eastAsia" w:ascii="仿宋" w:hAnsi="仿宋" w:eastAsia="仿宋" w:cs="仿宋"/>
          <w:kern w:val="0"/>
          <w:sz w:val="32"/>
          <w:szCs w:val="32"/>
        </w:rPr>
        <w:t>万元，其中：基本支出合计</w:t>
      </w:r>
      <w:r>
        <w:rPr>
          <w:rFonts w:hint="eastAsia" w:ascii="仿宋" w:hAnsi="仿宋" w:eastAsia="仿宋" w:cs="宋体"/>
          <w:kern w:val="0"/>
          <w:sz w:val="32"/>
          <w:szCs w:val="32"/>
        </w:rPr>
        <w:t>556</w:t>
      </w:r>
      <w:r>
        <w:rPr>
          <w:rFonts w:hint="eastAsia" w:ascii="仿宋" w:hAnsi="仿宋" w:eastAsia="仿宋" w:cs="宋体"/>
          <w:kern w:val="0"/>
          <w:sz w:val="32"/>
          <w:szCs w:val="32"/>
          <w:lang w:val="en-US" w:eastAsia="zh-CN"/>
        </w:rPr>
        <w:t>.</w:t>
      </w:r>
      <w:r>
        <w:rPr>
          <w:rFonts w:hint="eastAsia" w:ascii="仿宋" w:hAnsi="仿宋" w:eastAsia="仿宋" w:cs="宋体"/>
          <w:kern w:val="0"/>
          <w:sz w:val="32"/>
          <w:szCs w:val="32"/>
        </w:rPr>
        <w:t>9</w:t>
      </w:r>
      <w:r>
        <w:rPr>
          <w:rFonts w:hint="eastAsia" w:ascii="仿宋" w:hAnsi="仿宋" w:eastAsia="仿宋" w:cs="宋体"/>
          <w:kern w:val="0"/>
          <w:sz w:val="32"/>
          <w:szCs w:val="32"/>
          <w:lang w:val="en-US" w:eastAsia="zh-CN"/>
        </w:rPr>
        <w:t>4</w:t>
      </w:r>
      <w:r>
        <w:rPr>
          <w:rFonts w:hint="eastAsia" w:ascii="仿宋" w:hAnsi="仿宋" w:eastAsia="仿宋" w:cs="仿宋"/>
          <w:kern w:val="0"/>
          <w:sz w:val="32"/>
          <w:szCs w:val="32"/>
        </w:rPr>
        <w:t>万元，占</w:t>
      </w:r>
      <w:r>
        <w:rPr>
          <w:rFonts w:hint="eastAsia" w:ascii="仿宋" w:hAnsi="仿宋" w:eastAsia="仿宋" w:cs="宋体"/>
          <w:kern w:val="0"/>
          <w:sz w:val="32"/>
          <w:szCs w:val="32"/>
          <w:lang w:val="en-US" w:eastAsia="zh-CN"/>
        </w:rPr>
        <w:t>23.99</w:t>
      </w:r>
      <w:r>
        <w:rPr>
          <w:rFonts w:hint="eastAsia" w:ascii="仿宋" w:hAnsi="仿宋" w:eastAsia="仿宋" w:cs="宋体"/>
          <w:kern w:val="0"/>
          <w:sz w:val="32"/>
          <w:szCs w:val="32"/>
        </w:rPr>
        <w:t>%</w:t>
      </w:r>
      <w:r>
        <w:rPr>
          <w:rFonts w:hint="eastAsia" w:ascii="仿宋" w:hAnsi="仿宋" w:eastAsia="仿宋" w:cs="仿宋"/>
          <w:kern w:val="0"/>
          <w:sz w:val="32"/>
          <w:szCs w:val="32"/>
        </w:rPr>
        <w:t>；项目支出合计1764</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47万元，占</w:t>
      </w:r>
      <w:r>
        <w:rPr>
          <w:rFonts w:hint="eastAsia" w:ascii="仿宋" w:hAnsi="仿宋" w:eastAsia="仿宋" w:cs="宋体"/>
          <w:kern w:val="0"/>
          <w:sz w:val="32"/>
          <w:szCs w:val="32"/>
          <w:lang w:val="en-US" w:eastAsia="zh-CN"/>
        </w:rPr>
        <w:t>76.01</w:t>
      </w:r>
      <w:r>
        <w:rPr>
          <w:rFonts w:hint="eastAsia" w:ascii="仿宋" w:hAnsi="仿宋" w:eastAsia="仿宋" w:cs="宋体"/>
          <w:kern w:val="0"/>
          <w:sz w:val="32"/>
          <w:szCs w:val="32"/>
        </w:rPr>
        <w:t>%</w:t>
      </w:r>
      <w:r>
        <w:rPr>
          <w:rFonts w:hint="eastAsia" w:ascii="仿宋" w:hAnsi="仿宋" w:eastAsia="仿宋" w:cs="仿宋"/>
          <w:kern w:val="0"/>
          <w:sz w:val="32"/>
          <w:szCs w:val="32"/>
        </w:rPr>
        <w:t>；</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三、部门整体预算绩效管理情况</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（一）部门预算管理。</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我局严格按照《预算法》及相关财经法规和政策编制本年度预算，严格控制编报质量，保证所有资金合法合规，严格按照相关规定进行预算编制，中央转移支付资金按照文件要求下达，专项转移支付严格根据分地区分项目进行编制。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（二）执行管理情况。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我局预算执行到位，严格按照预算管理进行支付并做到节能降耗，“三公”经费严格按照年初预算执行。</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四、评价结论及建议</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（一）评价结论。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根据《红原县部门支出绩效评价指标体系》评分得分96分，其中：预算调整扣2分，原因为年中存在追加资金；绩效评价扣2分，原因为绩效覆盖评价率较低。</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（二）存在的问题</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1.未更好的将地质灾害防治项目资金做好预算，导致年中申请追加预算。2.由于实际工作需要，导致预算经济科目与实际支出存在差异。</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（三）改进建议。</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right="0" w:firstLine="640" w:firstLineChars="200"/>
        <w:jc w:val="left"/>
        <w:textAlignment w:val="auto"/>
        <w:rPr>
          <w:rFonts w:hint="default" w:ascii="仿宋_GB2312" w:hAnsi="宋体" w:eastAsia="仿宋_GB2312" w:cs="仿宋_GB2312"/>
          <w:kern w:val="0"/>
          <w:sz w:val="32"/>
          <w:szCs w:val="32"/>
          <w:lang w:val="en-US" w:eastAsia="zh-CN" w:bidi="ar"/>
        </w:rPr>
      </w:pPr>
      <w:r>
        <w:rPr>
          <w:rFonts w:hint="default" w:ascii="仿宋_GB2312" w:hAnsi="宋体" w:eastAsia="仿宋_GB2312" w:cs="仿宋_GB2312"/>
          <w:kern w:val="0"/>
          <w:sz w:val="32"/>
          <w:szCs w:val="32"/>
          <w:lang w:val="en-US" w:eastAsia="zh-CN" w:bidi="ar"/>
        </w:rPr>
        <w:t>1.加强组织领导，增强预算编制的准确性，提高对预算编制与执行的认识，为绩效评价工作开展创造更好的条件；</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2.建立长效机制，加强管理提高部门支出的绩效成果，为更好的服务工作发挥最大效益。</w:t>
      </w:r>
    </w:p>
    <w:p>
      <w:pPr>
        <w:pStyle w:val="2"/>
        <w:keepNext w:val="0"/>
        <w:keepLines w:val="0"/>
        <w:pageBreakBefore w:val="0"/>
        <w:widowControl/>
        <w:suppressLineNumbers w:val="0"/>
        <w:kinsoku/>
        <w:wordWrap/>
        <w:overflowPunct/>
        <w:topLinePunct w:val="0"/>
        <w:autoSpaceDE w:val="0"/>
        <w:bidi w:val="0"/>
        <w:snapToGrid w:val="0"/>
        <w:spacing w:afterAutospacing="0" w:line="560" w:lineRule="exact"/>
        <w:ind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Style w:val="18"/>
          <w:rFonts w:hint="eastAsia" w:ascii="黑体" w:hAnsi="宋体" w:eastAsia="黑体" w:cs="宋体"/>
          <w:b w:val="0"/>
          <w:kern w:val="44"/>
          <w:sz w:val="48"/>
          <w:szCs w:val="48"/>
          <w:lang w:val="en-US" w:eastAsia="zh-CN" w:bidi="ar"/>
        </w:rPr>
      </w:pP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960" w:firstLineChars="200"/>
        <w:jc w:val="center"/>
        <w:textAlignment w:val="auto"/>
        <w:outlineLvl w:val="9"/>
        <w:rPr>
          <w:rFonts w:hint="eastAsia" w:ascii="黑体" w:hAnsi="宋体" w:eastAsia="黑体" w:cs="宋体"/>
          <w:b w:val="0"/>
          <w:kern w:val="44"/>
          <w:sz w:val="48"/>
          <w:szCs w:val="48"/>
        </w:rPr>
      </w:pPr>
      <w:r>
        <w:rPr>
          <w:rStyle w:val="18"/>
          <w:rFonts w:hint="eastAsia" w:ascii="黑体" w:hAnsi="宋体" w:eastAsia="黑体" w:cs="宋体"/>
          <w:b w:val="0"/>
          <w:kern w:val="44"/>
          <w:sz w:val="48"/>
          <w:szCs w:val="48"/>
          <w:lang w:val="en-US" w:eastAsia="zh-CN" w:bidi="ar"/>
        </w:rPr>
        <w:t xml:space="preserve"> </w:t>
      </w:r>
    </w:p>
    <w:p>
      <w:pPr>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880" w:firstLineChars="200"/>
        <w:jc w:val="center"/>
        <w:textAlignment w:val="auto"/>
        <w:outlineLvl w:val="0"/>
        <w:rPr>
          <w:rFonts w:hint="eastAsia" w:ascii="黑体" w:hAnsi="宋体" w:eastAsia="黑体" w:cs="宋体"/>
          <w:b w:val="0"/>
          <w:kern w:val="44"/>
          <w:sz w:val="48"/>
          <w:szCs w:val="48"/>
        </w:rPr>
      </w:pPr>
      <w:bookmarkStart w:id="101" w:name="_Toc17228"/>
      <w:bookmarkStart w:id="102" w:name="_Toc15309"/>
      <w:bookmarkStart w:id="103" w:name="_Toc30347"/>
      <w:bookmarkStart w:id="104" w:name="_Toc19549"/>
      <w:r>
        <w:rPr>
          <w:rFonts w:hint="eastAsia" w:ascii="黑体" w:hAnsi="宋体" w:eastAsia="黑体" w:cs="黑体"/>
          <w:kern w:val="0"/>
          <w:sz w:val="44"/>
          <w:szCs w:val="44"/>
          <w:lang w:val="en-US" w:eastAsia="zh-CN" w:bidi="ar"/>
        </w:rPr>
        <w:t>第</w:t>
      </w:r>
      <w:r>
        <w:rPr>
          <w:rStyle w:val="18"/>
          <w:rFonts w:hint="eastAsia" w:ascii="黑体" w:hAnsi="宋体" w:eastAsia="黑体" w:cs="黑体"/>
          <w:b w:val="0"/>
          <w:kern w:val="44"/>
          <w:sz w:val="48"/>
          <w:szCs w:val="48"/>
          <w:lang w:val="en-US" w:eastAsia="zh-CN" w:bidi="ar"/>
        </w:rPr>
        <w:t>五部分</w:t>
      </w:r>
      <w:r>
        <w:rPr>
          <w:rStyle w:val="18"/>
          <w:rFonts w:hint="eastAsia" w:ascii="黑体" w:hAnsi="宋体" w:eastAsia="黑体" w:cs="宋体"/>
          <w:b w:val="0"/>
          <w:kern w:val="44"/>
          <w:sz w:val="48"/>
          <w:szCs w:val="48"/>
          <w:lang w:val="en-US" w:eastAsia="zh-CN" w:bidi="ar"/>
        </w:rPr>
        <w:t xml:space="preserve"> </w:t>
      </w:r>
      <w:r>
        <w:rPr>
          <w:rStyle w:val="18"/>
          <w:rFonts w:hint="eastAsia" w:ascii="黑体" w:hAnsi="宋体" w:eastAsia="黑体" w:cs="黑体"/>
          <w:b w:val="0"/>
          <w:kern w:val="44"/>
          <w:sz w:val="48"/>
          <w:szCs w:val="48"/>
          <w:lang w:val="en-US" w:eastAsia="zh-CN" w:bidi="ar"/>
        </w:rPr>
        <w:t>附表</w:t>
      </w:r>
      <w:bookmarkEnd w:id="101"/>
      <w:bookmarkEnd w:id="102"/>
      <w:bookmarkEnd w:id="103"/>
      <w:bookmarkEnd w:id="104"/>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一、收入支出决算总表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二、收入决算表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三、支出决算表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四、财政拨款收入支出决算总表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五、财政拨款支出决算明细表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六、一般公共预算财政拨款支出决算表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七、一般公共预算财政拨款支出决算明细表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八、一般公共预算财政拨款基本支出决算表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九、一般公共预算财政拨款项目支出决算表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十、一般公共预算财政拨款“三公”经费支出决算表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十一、政府性基金预算财政拨款收入支出决算表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十二、政府性基金预算财政拨款“三公”经费支出决算表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十三、国有资本经营预算财政拨款收入支出决算表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十四、国有资本经营预算财政拨款支出决算表</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E w:val="0"/>
        <w:bidi w:val="0"/>
        <w:snapToGrid w:val="0"/>
        <w:spacing w:before="0" w:beforeAutospacing="0" w:after="0" w:afterAutospacing="0" w:line="560" w:lineRule="exact"/>
        <w:ind w:left="0" w:right="0" w:firstLine="480" w:firstLineChars="200"/>
        <w:jc w:val="left"/>
        <w:textAlignment w:val="auto"/>
      </w:pPr>
      <w:r>
        <w:rPr>
          <w:rFonts w:hint="eastAsia" w:ascii="宋体" w:hAnsi="宋体" w:eastAsia="宋体" w:cs="宋体"/>
          <w:b w:val="0"/>
          <w:kern w:val="0"/>
          <w:sz w:val="24"/>
          <w:szCs w:val="24"/>
          <w:shd w:val="clear" w:fill="FFFFFF"/>
          <w:lang w:val="en-US" w:eastAsia="zh-CN" w:bidi="ar"/>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4F0E3A"/>
    <w:multiLevelType w:val="multilevel"/>
    <w:tmpl w:val="814F0E3A"/>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7CAC312"/>
    <w:multiLevelType w:val="multilevel"/>
    <w:tmpl w:val="A7CAC312"/>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D6768431"/>
    <w:multiLevelType w:val="singleLevel"/>
    <w:tmpl w:val="D6768431"/>
    <w:lvl w:ilvl="0" w:tentative="0">
      <w:start w:val="1"/>
      <w:numFmt w:val="decimal"/>
      <w:lvlText w:val="%1."/>
      <w:lvlJc w:val="left"/>
      <w:pPr>
        <w:tabs>
          <w:tab w:val="left" w:pos="312"/>
        </w:tabs>
      </w:pPr>
    </w:lvl>
  </w:abstractNum>
  <w:abstractNum w:abstractNumId="3">
    <w:nsid w:val="D70501B7"/>
    <w:multiLevelType w:val="singleLevel"/>
    <w:tmpl w:val="D70501B7"/>
    <w:lvl w:ilvl="0" w:tentative="0">
      <w:start w:val="1"/>
      <w:numFmt w:val="chineseCounting"/>
      <w:suff w:val="nothing"/>
      <w:lvlText w:val="（%1）"/>
      <w:lvlJc w:val="left"/>
      <w:rPr>
        <w:rFonts w:hint="eastAsia"/>
      </w:rPr>
    </w:lvl>
  </w:abstractNum>
  <w:abstractNum w:abstractNumId="4">
    <w:nsid w:val="FFCE8F6A"/>
    <w:multiLevelType w:val="singleLevel"/>
    <w:tmpl w:val="FFCE8F6A"/>
    <w:lvl w:ilvl="0" w:tentative="0">
      <w:start w:val="2"/>
      <w:numFmt w:val="chineseCounting"/>
      <w:suff w:val="space"/>
      <w:lvlText w:val="第%1部分"/>
      <w:lvlJc w:val="left"/>
      <w:rPr>
        <w:rFonts w:hint="eastAsia"/>
      </w:rPr>
    </w:lvl>
  </w:abstractNum>
  <w:abstractNum w:abstractNumId="5">
    <w:nsid w:val="5F819D8E"/>
    <w:multiLevelType w:val="singleLevel"/>
    <w:tmpl w:val="5F819D8E"/>
    <w:lvl w:ilvl="0" w:tentative="0">
      <w:start w:val="1"/>
      <w:numFmt w:val="decimal"/>
      <w:lvlText w:val="%1."/>
      <w:lvlJc w:val="left"/>
      <w:pPr>
        <w:tabs>
          <w:tab w:val="left" w:pos="312"/>
        </w:tabs>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753B2"/>
    <w:rsid w:val="01F55E84"/>
    <w:rsid w:val="02C105ED"/>
    <w:rsid w:val="039E0244"/>
    <w:rsid w:val="045815B7"/>
    <w:rsid w:val="07234F85"/>
    <w:rsid w:val="084F0AB5"/>
    <w:rsid w:val="0A893384"/>
    <w:rsid w:val="0E2C65FB"/>
    <w:rsid w:val="0E9E247D"/>
    <w:rsid w:val="105F548B"/>
    <w:rsid w:val="13383DB5"/>
    <w:rsid w:val="14031524"/>
    <w:rsid w:val="142A76AD"/>
    <w:rsid w:val="1510351E"/>
    <w:rsid w:val="15156A91"/>
    <w:rsid w:val="16D76C8C"/>
    <w:rsid w:val="17453066"/>
    <w:rsid w:val="174D3668"/>
    <w:rsid w:val="17ED1F4E"/>
    <w:rsid w:val="18193E70"/>
    <w:rsid w:val="19CB7205"/>
    <w:rsid w:val="1BBA7DBD"/>
    <w:rsid w:val="1DE22B5C"/>
    <w:rsid w:val="1E337201"/>
    <w:rsid w:val="1EDC3F26"/>
    <w:rsid w:val="21100FC8"/>
    <w:rsid w:val="266740CD"/>
    <w:rsid w:val="281B5468"/>
    <w:rsid w:val="29E7536B"/>
    <w:rsid w:val="2B421C88"/>
    <w:rsid w:val="2B92303C"/>
    <w:rsid w:val="2CCC6C77"/>
    <w:rsid w:val="2EDE4DD2"/>
    <w:rsid w:val="2F5F1102"/>
    <w:rsid w:val="2F96CEF4"/>
    <w:rsid w:val="31024073"/>
    <w:rsid w:val="326F5058"/>
    <w:rsid w:val="3377DFB9"/>
    <w:rsid w:val="33BD7FE6"/>
    <w:rsid w:val="35640213"/>
    <w:rsid w:val="36165CC0"/>
    <w:rsid w:val="365E3383"/>
    <w:rsid w:val="36AB0857"/>
    <w:rsid w:val="37BC3527"/>
    <w:rsid w:val="37C827CC"/>
    <w:rsid w:val="38DF5707"/>
    <w:rsid w:val="3D286E3A"/>
    <w:rsid w:val="3D776225"/>
    <w:rsid w:val="3DC23DD5"/>
    <w:rsid w:val="3DF84858"/>
    <w:rsid w:val="3F656687"/>
    <w:rsid w:val="418B5A8C"/>
    <w:rsid w:val="42126CDA"/>
    <w:rsid w:val="43100B18"/>
    <w:rsid w:val="43AA5ED5"/>
    <w:rsid w:val="45E03447"/>
    <w:rsid w:val="45EC5BE3"/>
    <w:rsid w:val="48C50EAF"/>
    <w:rsid w:val="4A8624E9"/>
    <w:rsid w:val="4B387641"/>
    <w:rsid w:val="4F0C4071"/>
    <w:rsid w:val="5015026C"/>
    <w:rsid w:val="501B3ED6"/>
    <w:rsid w:val="513E3614"/>
    <w:rsid w:val="51CF723A"/>
    <w:rsid w:val="531F4499"/>
    <w:rsid w:val="54F54957"/>
    <w:rsid w:val="551926E1"/>
    <w:rsid w:val="578B9294"/>
    <w:rsid w:val="58032C1C"/>
    <w:rsid w:val="588B5AB4"/>
    <w:rsid w:val="5A3C0347"/>
    <w:rsid w:val="5A9F0A4E"/>
    <w:rsid w:val="5D7C41C8"/>
    <w:rsid w:val="5EF9F845"/>
    <w:rsid w:val="5EFE03E2"/>
    <w:rsid w:val="5F041983"/>
    <w:rsid w:val="61334D02"/>
    <w:rsid w:val="631F005D"/>
    <w:rsid w:val="6630401B"/>
    <w:rsid w:val="66815E07"/>
    <w:rsid w:val="67B5DD31"/>
    <w:rsid w:val="699F7753"/>
    <w:rsid w:val="6ADE9ECC"/>
    <w:rsid w:val="6C762B03"/>
    <w:rsid w:val="6C99163A"/>
    <w:rsid w:val="6E7E6378"/>
    <w:rsid w:val="6FD44DC7"/>
    <w:rsid w:val="71705232"/>
    <w:rsid w:val="71A27AAE"/>
    <w:rsid w:val="72336F32"/>
    <w:rsid w:val="73AC12DC"/>
    <w:rsid w:val="76384975"/>
    <w:rsid w:val="772B3E09"/>
    <w:rsid w:val="77A250BF"/>
    <w:rsid w:val="788F149F"/>
    <w:rsid w:val="7A07709E"/>
    <w:rsid w:val="7AAE51A2"/>
    <w:rsid w:val="7C587389"/>
    <w:rsid w:val="7D225155"/>
    <w:rsid w:val="7D7DC589"/>
    <w:rsid w:val="7DDC3386"/>
    <w:rsid w:val="7DE3EFED"/>
    <w:rsid w:val="7DFDCD66"/>
    <w:rsid w:val="7E9D5234"/>
    <w:rsid w:val="7EFC48F2"/>
    <w:rsid w:val="7F7DEA5D"/>
    <w:rsid w:val="7F9D2684"/>
    <w:rsid w:val="7FB72746"/>
    <w:rsid w:val="7FBCDC4B"/>
    <w:rsid w:val="7FCC4C48"/>
    <w:rsid w:val="7FDCEBA0"/>
    <w:rsid w:val="9FFD66C1"/>
    <w:rsid w:val="A3FB8B3E"/>
    <w:rsid w:val="B7DEAC10"/>
    <w:rsid w:val="BB52CC57"/>
    <w:rsid w:val="BD7D7289"/>
    <w:rsid w:val="BFAD9F7F"/>
    <w:rsid w:val="CFEFB8F7"/>
    <w:rsid w:val="D6EC7DC8"/>
    <w:rsid w:val="EFFFE5BC"/>
    <w:rsid w:val="F3FFEA35"/>
    <w:rsid w:val="F7EA7F69"/>
    <w:rsid w:val="FB6FE73B"/>
    <w:rsid w:val="FCF73819"/>
    <w:rsid w:val="FEF7CDC0"/>
    <w:rsid w:val="FF96909A"/>
    <w:rsid w:val="FFD34292"/>
    <w:rsid w:val="FFF6CEF7"/>
    <w:rsid w:val="FFFF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4"/>
    <w:qFormat/>
    <w:uiPriority w:val="0"/>
    <w:pPr>
      <w:spacing w:before="0" w:beforeAutospacing="0" w:after="0" w:afterAutospacing="0"/>
      <w:ind w:left="0" w:right="0" w:firstLine="420" w:firstLineChars="200"/>
      <w:jc w:val="left"/>
    </w:pPr>
    <w:rPr>
      <w:rFonts w:hint="default" w:ascii="仿宋_GB2312" w:hAnsi="宋体" w:eastAsia="仿宋_GB2312" w:cs="宋体"/>
      <w:color w:val="000000"/>
      <w:kern w:val="0"/>
      <w:sz w:val="32"/>
      <w:szCs w:val="32"/>
      <w:lang w:val="en-US" w:eastAsia="zh-CN" w:bidi="ar"/>
    </w:rPr>
  </w:style>
  <w:style w:type="paragraph" w:styleId="3">
    <w:name w:val="Body Text Indent"/>
    <w:basedOn w:val="1"/>
    <w:next w:val="2"/>
    <w:unhideWhenUsed/>
    <w:qFormat/>
    <w:uiPriority w:val="99"/>
    <w:pPr>
      <w:ind w:firstLine="496" w:firstLineChars="155"/>
    </w:pPr>
    <w:rPr>
      <w:rFonts w:ascii="FangSong_GB2312" w:hAnsi="宋体" w:eastAsia="FangSong_GB2312"/>
      <w:color w:val="000000"/>
      <w:sz w:val="32"/>
      <w:szCs w:val="20"/>
    </w:rPr>
  </w:style>
  <w:style w:type="paragraph" w:styleId="4">
    <w:name w:val="Plain Text"/>
    <w:basedOn w:val="1"/>
    <w:qFormat/>
    <w:uiPriority w:val="0"/>
    <w:pPr>
      <w:spacing w:before="0" w:beforeAutospacing="0" w:after="0" w:afterAutospacing="0"/>
      <w:ind w:left="0" w:right="0"/>
      <w:jc w:val="left"/>
    </w:pPr>
    <w:rPr>
      <w:rFonts w:hint="eastAsia" w:ascii="宋体" w:hAnsi="宋体" w:eastAsia="宋体" w:cs="Courier New"/>
      <w:kern w:val="0"/>
      <w:sz w:val="24"/>
      <w:szCs w:val="24"/>
      <w:lang w:val="en-US" w:eastAsia="zh-CN" w:bidi="ar"/>
    </w:rPr>
  </w:style>
  <w:style w:type="paragraph" w:styleId="6">
    <w:name w:val="index 5"/>
    <w:basedOn w:val="1"/>
    <w:next w:val="1"/>
    <w:qFormat/>
    <w:uiPriority w:val="0"/>
    <w:pPr>
      <w:ind w:left="1680"/>
      <w:jc w:val="left"/>
    </w:pPr>
    <w:rPr>
      <w:rFonts w:hint="eastAsia" w:ascii="宋体" w:hAnsi="宋体" w:eastAsia="宋体" w:cs="宋体"/>
      <w:kern w:val="0"/>
      <w:sz w:val="24"/>
      <w:szCs w:val="24"/>
      <w:lang w:val="en-US" w:eastAsia="zh-CN" w:bidi="ar"/>
    </w:rPr>
  </w:style>
  <w:style w:type="paragraph" w:styleId="7">
    <w:name w:val="Body Text"/>
    <w:basedOn w:val="1"/>
    <w:qFormat/>
    <w:uiPriority w:val="0"/>
    <w:pPr>
      <w:keepNext w:val="0"/>
      <w:keepLines w:val="0"/>
      <w:widowControl/>
      <w:suppressLineNumbers w:val="0"/>
      <w:spacing w:before="0" w:beforeAutospacing="1" w:after="0" w:afterAutospacing="1"/>
      <w:jc w:val="left"/>
    </w:pPr>
    <w:rPr>
      <w:rFonts w:hint="eastAsia" w:ascii="宋体" w:hAnsi="宋体" w:eastAsia="宋体" w:cs="宋体"/>
      <w:kern w:val="0"/>
      <w:sz w:val="24"/>
      <w:szCs w:val="24"/>
      <w:lang w:val="en-US" w:eastAsia="zh-CN" w:bidi="ar"/>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rFonts w:hint="default" w:ascii="宋体" w:hAnsi="宋体" w:eastAsia="宋体" w:cs="宋体"/>
      <w:kern w:val="0"/>
      <w:sz w:val="24"/>
      <w:lang w:val="en-US" w:eastAsia="zh-CN" w:bidi="ar"/>
    </w:rPr>
  </w:style>
  <w:style w:type="character" w:styleId="15">
    <w:name w:val="Strong"/>
    <w:basedOn w:val="14"/>
    <w:qFormat/>
    <w:uiPriority w:val="0"/>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15"/>
    <w:basedOn w:val="14"/>
    <w:qFormat/>
    <w:uiPriority w:val="0"/>
    <w:rPr>
      <w:rFonts w:hint="eastAsia" w:ascii="宋体" w:hAnsi="宋体" w:eastAsia="宋体" w:cs="宋体"/>
      <w:b/>
      <w:sz w:val="36"/>
      <w:szCs w:val="36"/>
    </w:rPr>
  </w:style>
  <w:style w:type="character" w:customStyle="1" w:styleId="18">
    <w:name w:val="17"/>
    <w:basedOn w:val="14"/>
    <w:qFormat/>
    <w:uiPriority w:val="0"/>
    <w:rPr>
      <w:rFonts w:hint="eastAsia" w:ascii="宋体" w:hAnsi="宋体" w:eastAsia="宋体" w:cs="宋体"/>
      <w:b/>
      <w:kern w:val="44"/>
      <w:sz w:val="48"/>
      <w:szCs w:val="48"/>
    </w:rPr>
  </w:style>
  <w:style w:type="character" w:customStyle="1" w:styleId="19">
    <w:name w:val="10"/>
    <w:basedOn w:val="14"/>
    <w:qFormat/>
    <w:uiPriority w:val="0"/>
    <w:rPr>
      <w:rFonts w:hint="default" w:ascii="Times New Roman" w:hAnsi="Times New Roman" w:cs="Times New Roman"/>
    </w:rPr>
  </w:style>
  <w:style w:type="character" w:customStyle="1" w:styleId="20">
    <w:name w:val="16"/>
    <w:basedOn w:val="14"/>
    <w:qFormat/>
    <w:uiPriority w:val="0"/>
    <w:rPr>
      <w:rFonts w:hint="default" w:ascii="Times New Roman" w:hAnsi="Times New Roman" w:cs="Times New Roman"/>
      <w:b/>
    </w:rPr>
  </w:style>
  <w:style w:type="paragraph" w:customStyle="1" w:styleId="21">
    <w:name w:val="四号正文"/>
    <w:basedOn w:val="1"/>
    <w:qFormat/>
    <w:uiPriority w:val="0"/>
    <w:pPr>
      <w:spacing w:before="0" w:beforeAutospacing="0" w:after="0" w:afterAutospacing="0" w:line="360" w:lineRule="auto"/>
      <w:ind w:left="0" w:right="0"/>
      <w:jc w:val="left"/>
    </w:pPr>
    <w:rPr>
      <w:rFonts w:hint="default" w:ascii="??" w:hAnsi="??" w:eastAsia="宋体" w:cs="宋体"/>
      <w:color w:val="000000"/>
      <w:kern w:val="0"/>
      <w:sz w:val="28"/>
      <w:szCs w:val="28"/>
      <w:lang w:val="en-US" w:eastAsia="zh-CN" w:bidi="ar"/>
    </w:rPr>
  </w:style>
  <w:style w:type="paragraph" w:customStyle="1" w:styleId="22">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character" w:customStyle="1" w:styleId="24">
    <w:name w:val="NormalCharacter"/>
    <w:qFormat/>
    <w:uiPriority w:val="0"/>
    <w:rPr>
      <w:rFonts w:ascii="Calibri" w:hAnsi="Calibri" w:eastAsia="宋体" w:cs="Times New Roman"/>
      <w:kern w:val="2"/>
      <w:sz w:val="21"/>
      <w:szCs w:val="24"/>
      <w:lang w:val="en-US" w:eastAsia="zh-CN" w:bidi="ar-SA"/>
    </w:rPr>
  </w:style>
  <w:style w:type="paragraph" w:customStyle="1" w:styleId="25">
    <w:name w:val="BodyText1I2"/>
    <w:basedOn w:val="26"/>
    <w:next w:val="1"/>
    <w:qFormat/>
    <w:uiPriority w:val="0"/>
    <w:pPr>
      <w:spacing w:line="560" w:lineRule="atLeast"/>
      <w:ind w:firstLine="420" w:firstLineChars="200"/>
      <w:jc w:val="both"/>
      <w:textAlignment w:val="baseline"/>
    </w:pPr>
  </w:style>
  <w:style w:type="paragraph" w:customStyle="1" w:styleId="26">
    <w:name w:val="BodyTextIndent"/>
    <w:basedOn w:val="1"/>
    <w:next w:val="25"/>
    <w:qFormat/>
    <w:uiPriority w:val="0"/>
    <w:pPr>
      <w:spacing w:line="560" w:lineRule="atLeast"/>
      <w:ind w:firstLine="640" w:firstLineChars="200"/>
      <w:jc w:val="both"/>
      <w:textAlignment w:val="baseline"/>
    </w:pPr>
    <w:rPr>
      <w:rFonts w:ascii="仿宋_GB2312" w:eastAsia="仿宋_GB2312"/>
      <w:kern w:val="2"/>
      <w:sz w:val="32"/>
      <w:szCs w:val="24"/>
      <w:lang w:val="en-US" w:eastAsia="zh-CN" w:bidi="ar-SA"/>
    </w:rPr>
  </w:style>
  <w:style w:type="paragraph" w:customStyle="1" w:styleId="27">
    <w:name w:val="HtmlNormal"/>
    <w:basedOn w:val="1"/>
    <w:next w:val="28"/>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28">
    <w:name w:val="Index5"/>
    <w:basedOn w:val="1"/>
    <w:next w:val="1"/>
    <w:qFormat/>
    <w:uiPriority w:val="0"/>
    <w:pPr>
      <w:ind w:left="1680"/>
      <w:jc w:val="both"/>
      <w:textAlignment w:val="baseline"/>
    </w:pPr>
  </w:style>
  <w:style w:type="paragraph" w:customStyle="1" w:styleId="29">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1487;&#25191;&#34892;&#25351;&#26631;&#25191;&#34892;&#24773;&#20917;&#34920;&#25130;&#27490;23.1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manualLayout>
          <c:xMode val="edge"/>
          <c:yMode val="edge"/>
          <c:x val="0.361021170610212"/>
          <c:y val="0.00736015701668302"/>
        </c:manualLayout>
      </c:layout>
      <c:overlay val="0"/>
      <c:spPr>
        <a:noFill/>
        <a:ln>
          <a:noFill/>
        </a:ln>
        <a:effectLst/>
      </c:spPr>
    </c:title>
    <c:autoTitleDeleted val="0"/>
    <c:plotArea>
      <c:layout/>
      <c:doughnut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[工作簿2]Sheet1!$D$4:$D$9</c:f>
              <c:strCache>
                <c:ptCount val="6"/>
                <c:pt idx="0">
                  <c:v>社会保障和就业支出</c:v>
                </c:pt>
                <c:pt idx="1">
                  <c:v>卫生健康支出</c:v>
                </c:pt>
                <c:pt idx="2">
                  <c:v>农林水支出</c:v>
                </c:pt>
                <c:pt idx="3">
                  <c:v>自然资源海洋气象等支出</c:v>
                </c:pt>
                <c:pt idx="4">
                  <c:v>住房保障支出</c:v>
                </c:pt>
                <c:pt idx="5">
                  <c:v>灾害防治及应急管理支出</c:v>
                </c:pt>
              </c:strCache>
            </c:strRef>
          </c:cat>
          <c:val>
            <c:numRef>
              <c:f>[工作簿2]Sheet1!$E$4:$E$9</c:f>
              <c:numCache>
                <c:formatCode>#,##0.00</c:formatCode>
                <c:ptCount val="6"/>
                <c:pt idx="0">
                  <c:v>604754.16</c:v>
                </c:pt>
                <c:pt idx="1">
                  <c:v>252719.4</c:v>
                </c:pt>
                <c:pt idx="2">
                  <c:v>879740</c:v>
                </c:pt>
                <c:pt idx="3">
                  <c:v>12388621.13</c:v>
                </c:pt>
                <c:pt idx="4">
                  <c:v>385891</c:v>
                </c:pt>
                <c:pt idx="5">
                  <c:v>6755336.49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一般公共预算财政拨款基本支出决算情况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[可执行指标执行情况表截止23.10.11.xlsx]Sheet1!$A$2:$A$5</c:f>
              <c:strCache>
                <c:ptCount val="4"/>
                <c:pt idx="0">
                  <c:v>社会保障和就业支出</c:v>
                </c:pt>
                <c:pt idx="1">
                  <c:v>卫生健康支出</c:v>
                </c:pt>
                <c:pt idx="2">
                  <c:v>自然资源海洋气象等支出</c:v>
                </c:pt>
                <c:pt idx="3">
                  <c:v>住房保障支出</c:v>
                </c:pt>
              </c:strCache>
            </c:strRef>
          </c:cat>
          <c:val>
            <c:numRef>
              <c:f>[可执行指标执行情况表截止23.10.11.xlsx]Sheet1!$B$2:$B$5</c:f>
              <c:numCache>
                <c:formatCode>General</c:formatCode>
                <c:ptCount val="4"/>
                <c:pt idx="0">
                  <c:v>60.48</c:v>
                </c:pt>
                <c:pt idx="1">
                  <c:v>25.27</c:v>
                </c:pt>
                <c:pt idx="2">
                  <c:v>429.51</c:v>
                </c:pt>
                <c:pt idx="3">
                  <c:v>38.59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08389614287858"/>
          <c:y val="0.72606268784886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flip="none">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2021-12-01T11:27:00Z</cp:lastPrinted>
  <dcterms:modified xsi:type="dcterms:W3CDTF">2023-10-25T06:16:10Z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035464E06E3B4C6DAA4AD3F042230C02</vt:lpwstr>
  </property>
</Properties>
</file>