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0D0A31">
      <w:pPr>
        <w:keepNext w:val="0"/>
        <w:keepLines w:val="0"/>
        <w:pageBreakBefore w:val="0"/>
        <w:widowControl w:val="0"/>
        <w:spacing w:line="550" w:lineRule="exact"/>
        <w:ind w:left="0" w:right="0" w:firstLine="0"/>
        <w:jc w:val="both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B37E6C7">
      <w:pPr>
        <w:keepNext w:val="0"/>
        <w:keepLines w:val="0"/>
        <w:pageBreakBefore w:val="0"/>
        <w:widowControl w:val="0"/>
        <w:spacing w:line="550" w:lineRule="exact"/>
        <w:ind w:left="0" w:right="0" w:firstLine="0"/>
        <w:jc w:val="both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B534733">
      <w:pPr>
        <w:keepNext w:val="0"/>
        <w:keepLines w:val="0"/>
        <w:pageBreakBefore w:val="0"/>
        <w:widowControl w:val="0"/>
        <w:spacing w:line="550" w:lineRule="exact"/>
        <w:ind w:left="0" w:right="0" w:firstLine="0"/>
        <w:jc w:val="both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4614A63">
      <w:pPr>
        <w:keepNext w:val="0"/>
        <w:keepLines w:val="0"/>
        <w:pageBreakBefore w:val="0"/>
        <w:spacing w:line="550" w:lineRule="exact"/>
        <w:outlineLvl w:val="9"/>
        <w:rPr>
          <w:rFonts w:hint="eastAsia" w:ascii="仿宋_GB2312" w:hAnsi="仿宋_GB2312" w:eastAsia="仿宋_GB2312" w:cs="仿宋_GB2312"/>
          <w:sz w:val="32"/>
        </w:rPr>
      </w:pPr>
    </w:p>
    <w:p w14:paraId="1EF00A61">
      <w:pPr>
        <w:keepNext w:val="0"/>
        <w:keepLines w:val="0"/>
        <w:pageBreakBefore w:val="0"/>
        <w:widowControl w:val="0"/>
        <w:spacing w:line="900" w:lineRule="exact"/>
        <w:outlineLvl w:val="9"/>
        <w:rPr>
          <w:rFonts w:hint="eastAsia" w:ascii="仿宋_GB2312" w:hAnsi="仿宋_GB2312" w:eastAsia="仿宋_GB2312" w:cs="仿宋_GB2312"/>
          <w:sz w:val="32"/>
        </w:rPr>
      </w:pPr>
      <w:bookmarkStart w:id="0" w:name="_GoBack"/>
      <w:bookmarkEnd w:id="0"/>
    </w:p>
    <w:p w14:paraId="6FD903F6">
      <w:pPr>
        <w:keepNext w:val="0"/>
        <w:keepLines w:val="0"/>
        <w:pageBreakBefore w:val="0"/>
        <w:spacing w:line="550" w:lineRule="exact"/>
        <w:outlineLvl w:val="9"/>
        <w:rPr>
          <w:rFonts w:hint="eastAsia" w:ascii="仿宋_GB2312" w:hAnsi="仿宋_GB2312" w:eastAsia="仿宋_GB2312" w:cs="仿宋_GB2312"/>
          <w:sz w:val="32"/>
        </w:rPr>
      </w:pPr>
    </w:p>
    <w:p w14:paraId="72818BB5">
      <w:pPr>
        <w:ind w:firstLine="256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红</w:t>
      </w:r>
      <w:r>
        <w:rPr>
          <w:rFonts w:hint="eastAsia" w:ascii="仿宋_GB2312" w:eastAsia="仿宋_GB2312"/>
          <w:sz w:val="32"/>
          <w:szCs w:val="32"/>
        </w:rPr>
        <w:t>疾〔20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</w:t>
      </w:r>
    </w:p>
    <w:p w14:paraId="3747CBF9">
      <w:pPr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</w:t>
      </w:r>
    </w:p>
    <w:p w14:paraId="57889EE4">
      <w:pPr>
        <w:keepNext w:val="0"/>
        <w:keepLines w:val="0"/>
        <w:pageBreakBefore w:val="0"/>
        <w:widowControl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红原县疾病预防控制中心</w:t>
      </w:r>
    </w:p>
    <w:p w14:paraId="5C5C9C84">
      <w:pPr>
        <w:widowControl/>
        <w:spacing w:line="560" w:lineRule="exact"/>
        <w:contextualSpacing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</w:rPr>
        <w:t>2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  <w:lang w:val="en-US" w:eastAsia="zh-CN"/>
        </w:rPr>
        <w:t>021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</w:rPr>
        <w:t>年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  <w:lang w:eastAsia="zh-CN"/>
        </w:rPr>
        <w:t>度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</w:rPr>
        <w:t>部门整体支出绩效评价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  <w:lang w:eastAsia="zh-CN"/>
        </w:rPr>
        <w:t>自评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</w:rPr>
        <w:t>报告</w:t>
      </w:r>
    </w:p>
    <w:p w14:paraId="678A024F">
      <w:pPr>
        <w:widowControl/>
        <w:spacing w:line="480" w:lineRule="exact"/>
        <w:ind w:firstLine="720"/>
        <w:jc w:val="left"/>
        <w:outlineLvl w:val="0"/>
        <w:rPr>
          <w:rFonts w:hint="eastAsia" w:ascii="黑体" w:hAnsi="宋体" w:eastAsia="黑体" w:cs="宋体"/>
          <w:color w:val="000000"/>
        </w:rPr>
      </w:pPr>
    </w:p>
    <w:p w14:paraId="184E921C">
      <w:pPr>
        <w:pStyle w:val="28"/>
        <w:keepNext w:val="0"/>
        <w:keepLines w:val="0"/>
        <w:pageBreakBefore w:val="0"/>
        <w:widowControl/>
        <w:suppressLineNumbers w:val="0"/>
        <w:pBdr>
          <w:top w:val="none" w:color="000000" w:sz="0" w:space="0"/>
        </w:pBdr>
        <w:spacing w:before="0" w:beforeAutospacing="0" w:after="0" w:afterAutospacing="0" w:line="560" w:lineRule="exact"/>
        <w:ind w:right="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县财政局：</w:t>
      </w:r>
    </w:p>
    <w:p w14:paraId="7B3651C2">
      <w:pPr>
        <w:widowControl/>
        <w:spacing w:line="480" w:lineRule="exact"/>
        <w:ind w:firstLine="720"/>
        <w:jc w:val="left"/>
        <w:outlineLvl w:val="0"/>
        <w:rPr>
          <w:rFonts w:hint="eastAsia" w:ascii="黑体" w:hAnsi="宋体" w:eastAsia="黑体" w:cs="宋体"/>
          <w:color w:val="000000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现将本单位2021年度部门整体支出绩效评价自评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报告如下：</w:t>
      </w:r>
    </w:p>
    <w:p w14:paraId="2AFFE389">
      <w:pPr>
        <w:widowControl/>
        <w:spacing w:line="480" w:lineRule="exact"/>
        <w:ind w:firstLine="720"/>
        <w:jc w:val="left"/>
        <w:outlineLvl w:val="0"/>
        <w:rPr>
          <w:rFonts w:ascii="黑体" w:hAnsi="宋体" w:eastAsia="黑体" w:cs="宋体"/>
          <w:color w:val="000000"/>
          <w:lang w:val="zh-CN"/>
        </w:rPr>
      </w:pPr>
      <w:r>
        <w:rPr>
          <w:rFonts w:hint="eastAsia" w:ascii="黑体" w:hAnsi="宋体" w:eastAsia="黑体" w:cs="宋体"/>
          <w:color w:val="000000"/>
        </w:rPr>
        <w:t>一、</w:t>
      </w:r>
      <w:r>
        <w:rPr>
          <w:rFonts w:hint="eastAsia" w:ascii="黑体" w:hAnsi="宋体" w:eastAsia="黑体" w:cs="宋体"/>
          <w:color w:val="000000"/>
          <w:lang w:val="zh-CN"/>
        </w:rPr>
        <w:t>单位概况</w:t>
      </w:r>
    </w:p>
    <w:p w14:paraId="6A48B694">
      <w:pPr>
        <w:spacing w:line="520" w:lineRule="exact"/>
        <w:ind w:firstLine="640"/>
        <w:jc w:val="left"/>
        <w:rPr>
          <w:rFonts w:hint="eastAsia" w:ascii="楷体" w:hAnsi="楷体" w:eastAsia="楷体" w:cs="楷体"/>
          <w:color w:val="000000"/>
          <w:lang w:val="zh-CN"/>
        </w:rPr>
      </w:pPr>
      <w:r>
        <w:rPr>
          <w:rFonts w:hint="eastAsia" w:ascii="楷体" w:hAnsi="楷体" w:eastAsia="楷体" w:cs="楷体"/>
          <w:color w:val="000000"/>
          <w:lang w:val="zh-CN"/>
        </w:rPr>
        <w:t>（一）机构组成</w:t>
      </w:r>
    </w:p>
    <w:p w14:paraId="0C601F78">
      <w:pPr>
        <w:spacing w:line="520" w:lineRule="exact"/>
        <w:ind w:firstLine="640"/>
        <w:jc w:val="left"/>
        <w:rPr>
          <w:rFonts w:ascii="仿宋_GB2312" w:hAnsi="宋体" w:cs="宋体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为红原县卫生健康局下属二级预算单位，属全额拨款公益一类事业单位，下设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办公室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监测科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传管科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、健教科、财务科、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结艾科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地方病防治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检验科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公卫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，包虫病防治办公室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个科室。</w:t>
      </w:r>
    </w:p>
    <w:p w14:paraId="0D36FA29">
      <w:pPr>
        <w:pStyle w:val="2"/>
        <w:spacing w:line="520" w:lineRule="exact"/>
        <w:ind w:firstLine="640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（二）机构职能</w:t>
      </w:r>
    </w:p>
    <w:p w14:paraId="57915D79">
      <w:pPr>
        <w:widowControl/>
        <w:spacing w:line="480" w:lineRule="exact"/>
        <w:ind w:firstLine="720"/>
        <w:jc w:val="left"/>
        <w:outlineLvl w:val="1"/>
        <w:rPr>
          <w:rFonts w:ascii="仿宋_GB2312" w:hAnsi="宋体" w:cs="宋体"/>
          <w:color w:val="000000"/>
          <w:lang w:val="zh-CN"/>
        </w:rPr>
      </w:pPr>
      <w:r>
        <w:rPr>
          <w:rFonts w:hint="eastAsia" w:ascii="仿宋_GB2312" w:hAnsi="仿宋" w:eastAsia="仿宋_GB2312"/>
          <w:sz w:val="32"/>
          <w:szCs w:val="32"/>
        </w:rPr>
        <w:t>全面履行政府赋予的卫生防病职能, 做好传染病等突发公共卫生事件应急、监测、报告与管理；信息与网络管理；加强疾病及健康相关因素监测和分析评估能力的储备及应用；完成国家、省、州下达的重大疾病预防控制指令性任务；实施疾病预防控制规划、方案，组织开展辖区内疾病爆发调查处理和报告；负责全县慢性传染病、慢性非传染性疾病的流行病学调查、监测，营养健康，健康教育与健康促进，实施儿童计划免疫及预防性生物制品管理；推行重大公共卫生服务项目，免费为艾滋病患者提供“四免一关怀”服务；制定我县结核病预防控制规划并组织实施；负责本辖区内大骨节病、包虫病、地氟病、碘缺乏病的综合防治和研究；提供消毒、杀虫、灭蝇等相关技术性服务；对食品卫生、公共场所、工矿企业、学校及生产经营单位的卫生具有监测职能和卫生学评价职能；为社会人群提供预防性疫苗接种等工作。</w:t>
      </w:r>
    </w:p>
    <w:p w14:paraId="46BACC7D">
      <w:pPr>
        <w:pStyle w:val="2"/>
        <w:spacing w:line="520" w:lineRule="exact"/>
        <w:ind w:firstLine="640"/>
        <w:jc w:val="left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（三）人员概况</w:t>
      </w:r>
    </w:p>
    <w:p w14:paraId="720F0755">
      <w:pPr>
        <w:spacing w:line="560" w:lineRule="exact"/>
        <w:ind w:left="0" w:firstLine="640"/>
        <w:rPr>
          <w:rFonts w:ascii="仿宋_GB2312" w:hAnsi="宋体" w:cs="宋体"/>
          <w:color w:val="000000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我单位截止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年底我单位共有编制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个，其中事业编制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个，在职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人，事业编制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其中专业技术人员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人，管理人员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人，工勤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人；退休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人。</w:t>
      </w:r>
    </w:p>
    <w:p w14:paraId="1E5F35BB">
      <w:pPr>
        <w:widowControl/>
        <w:spacing w:line="480" w:lineRule="exact"/>
        <w:ind w:firstLine="720"/>
        <w:jc w:val="left"/>
        <w:outlineLvl w:val="0"/>
        <w:rPr>
          <w:rFonts w:ascii="黑体" w:hAnsi="宋体" w:eastAsia="黑体" w:cs="宋体"/>
          <w:color w:val="000000"/>
        </w:rPr>
      </w:pPr>
      <w:r>
        <w:rPr>
          <w:rFonts w:hint="eastAsia" w:ascii="黑体" w:hAnsi="宋体" w:eastAsia="黑体" w:cs="宋体"/>
          <w:color w:val="000000"/>
        </w:rPr>
        <w:t>二、部门财政资金收支情况</w:t>
      </w:r>
    </w:p>
    <w:p w14:paraId="0EA18B20">
      <w:pPr>
        <w:spacing w:line="520" w:lineRule="exact"/>
        <w:ind w:firstLine="640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(一)部门财政资金收入情况</w:t>
      </w:r>
    </w:p>
    <w:p w14:paraId="51106813">
      <w:pPr>
        <w:spacing w:line="560" w:lineRule="exact"/>
        <w:ind w:lef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年度总收入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:1411.38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万元，其中财政拨款收入总计：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1411.38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万元，占总收入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100%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年相比较，增加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61.26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4.5%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；主要原因是人员工资调整，目标奖增加。</w:t>
      </w:r>
    </w:p>
    <w:p w14:paraId="3FC7CE70">
      <w:pPr>
        <w:numPr>
          <w:ilvl w:val="0"/>
          <w:numId w:val="1"/>
        </w:numPr>
        <w:spacing w:line="520" w:lineRule="exact"/>
        <w:ind w:left="0" w:firstLine="640"/>
        <w:rPr>
          <w:rFonts w:hint="eastAsia" w:ascii="楷体" w:hAnsi="楷体" w:eastAsia="楷体" w:cs="楷体"/>
          <w:b w:val="0"/>
          <w:bCs w:val="0"/>
          <w:color w:val="000000"/>
          <w:lang w:val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lang w:val="zh-CN"/>
        </w:rPr>
        <w:t>部门财政资金支出情况</w:t>
      </w:r>
    </w:p>
    <w:p w14:paraId="708C0409">
      <w:pPr>
        <w:spacing w:line="560" w:lineRule="exact"/>
        <w:ind w:lef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年度财政拨款支出总计：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1411.38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万元，其中基本支出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883.28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万元，占比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62.58%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，主要用于人员经费和日常公用经费；项目支出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528.09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元，占比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37.42%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；年末项目结转结余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元。</w:t>
      </w:r>
    </w:p>
    <w:p w14:paraId="534F5B24">
      <w:pPr>
        <w:widowControl/>
        <w:spacing w:line="560" w:lineRule="exact"/>
        <w:ind w:firstLine="640"/>
        <w:contextualSpacing/>
        <w:jc w:val="left"/>
        <w:rPr>
          <w:rFonts w:ascii="黑体" w:hAnsi="宋体" w:eastAsia="黑体" w:cs="宋体"/>
          <w:color w:val="000000"/>
        </w:rPr>
      </w:pPr>
      <w:r>
        <w:rPr>
          <w:rFonts w:hint="eastAsia" w:ascii="黑体" w:hAnsi="宋体" w:eastAsia="黑体" w:cs="宋体"/>
          <w:color w:val="000000"/>
          <w:szCs w:val="32"/>
          <w:shd w:val="clear" w:color="auto" w:fill="FFFFFF"/>
          <w:lang w:eastAsia="zh-CN"/>
        </w:rPr>
        <w:t>三、</w:t>
      </w:r>
      <w:r>
        <w:rPr>
          <w:rFonts w:hint="eastAsia" w:ascii="黑体" w:hAnsi="宋体" w:eastAsia="黑体" w:cs="宋体"/>
          <w:color w:val="000000"/>
          <w:szCs w:val="32"/>
          <w:shd w:val="clear" w:color="auto" w:fill="FFFFFF"/>
        </w:rPr>
        <w:t>部门整体预算绩效管理情况</w:t>
      </w:r>
    </w:p>
    <w:p w14:paraId="071FA76A">
      <w:pPr>
        <w:widowControl/>
        <w:spacing w:line="480" w:lineRule="exact"/>
        <w:ind w:firstLine="720"/>
        <w:jc w:val="left"/>
        <w:outlineLvl w:val="1"/>
        <w:rPr>
          <w:rFonts w:ascii="楷体" w:hAnsi="楷体" w:eastAsia="楷体" w:cs="宋体"/>
          <w:color w:val="000000"/>
          <w:lang w:val="zh-CN"/>
        </w:rPr>
      </w:pPr>
      <w:r>
        <w:rPr>
          <w:rFonts w:hint="eastAsia" w:ascii="楷体" w:hAnsi="楷体" w:eastAsia="楷体" w:cs="宋体"/>
          <w:color w:val="000000"/>
          <w:lang w:val="zh-CN"/>
        </w:rPr>
        <w:t>（一）预算编制情况</w:t>
      </w:r>
    </w:p>
    <w:p w14:paraId="5E02FA0E">
      <w:pPr>
        <w:pStyle w:val="28"/>
        <w:shd w:val="clear" w:color="auto" w:fill="FFFFFF"/>
        <w:spacing w:before="0" w:beforeAutospacing="0" w:after="0" w:afterAutospacing="0" w:line="560" w:lineRule="exact"/>
        <w:ind w:left="0" w:righ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根据《中华人民共和国预算法》及红原县财政局印发的《关于下达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/>
        </w:rPr>
        <w:t>2020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年部门预算的通知》要求，结合本单位实际，按照增收节支、厉行节约、绩效优化的原则，严控“三公”经费管理，从严从紧编制预算。细化支出预算编制，推进预算信息公开，深化预算绩效管理，提高资金使用效益。</w:t>
      </w:r>
    </w:p>
    <w:p w14:paraId="14F51C39">
      <w:pPr>
        <w:pStyle w:val="28"/>
        <w:shd w:val="clear" w:color="auto" w:fill="FFFFFF"/>
        <w:spacing w:before="0" w:beforeAutospacing="0" w:after="0" w:afterAutospacing="0" w:line="560" w:lineRule="exact"/>
        <w:ind w:left="0" w:righ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年预算人员支出对照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/>
        </w:rPr>
        <w:t>1</w:t>
      </w:r>
      <w:r>
        <w:rPr>
          <w:rFonts w:hint="eastAsia" w:ascii="仿宋_GB2312" w:hAnsi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月份人员及工资信息编制，日常公用支出按照“经费包干、明细编报”的原则进行编制，重点做好“三公”经费、会议费、培训费等预算编制。</w:t>
      </w:r>
    </w:p>
    <w:p w14:paraId="1CBAAB58">
      <w:pPr>
        <w:spacing w:line="560" w:lineRule="exact"/>
        <w:ind w:left="0" w:firstLine="720"/>
        <w:rPr>
          <w:rFonts w:ascii="仿宋_GB2312" w:hAnsi="宋体" w:cs="宋体"/>
          <w:color w:val="000000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年度收入预算合计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1022.68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万元，均为财政补助收入；支出预算合计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1411.38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万元，其中基本支出预算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883.28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万元，人员经费支出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839.54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万元；日常公用经费支出预算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43.74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万元；项目支出预算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528.09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万元。年初项目结转结余支出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388.7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万元。</w:t>
      </w:r>
    </w:p>
    <w:p w14:paraId="31864FF1">
      <w:pPr>
        <w:widowControl/>
        <w:spacing w:line="480" w:lineRule="exact"/>
        <w:ind w:firstLine="640"/>
        <w:jc w:val="left"/>
        <w:outlineLvl w:val="1"/>
        <w:rPr>
          <w:rFonts w:ascii="楷体" w:hAnsi="楷体" w:eastAsia="楷体" w:cs="宋体"/>
          <w:color w:val="000000"/>
          <w:lang w:val="zh-CN"/>
        </w:rPr>
      </w:pPr>
      <w:r>
        <w:rPr>
          <w:rFonts w:hint="eastAsia" w:ascii="楷体" w:hAnsi="楷体" w:eastAsia="楷体" w:cs="宋体"/>
          <w:color w:val="000000"/>
          <w:lang w:val="zh-CN"/>
        </w:rPr>
        <w:t>（二）执行管理情况。</w:t>
      </w:r>
      <w:r>
        <w:rPr>
          <w:rFonts w:ascii="楷体" w:hAnsi="楷体" w:eastAsia="楷体" w:cs="宋体"/>
          <w:color w:val="000000"/>
          <w:lang w:val="zh-CN"/>
        </w:rPr>
        <w:tab/>
      </w:r>
    </w:p>
    <w:p w14:paraId="1FBFC57B">
      <w:pPr>
        <w:spacing w:line="560" w:lineRule="exact"/>
        <w:ind w:left="0" w:firstLine="602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eastAsia="zh-CN"/>
        </w:rPr>
        <w:t>本年度基本支出预算执行情况</w:t>
      </w:r>
    </w:p>
    <w:p w14:paraId="5B4AF33E">
      <w:pPr>
        <w:spacing w:line="560" w:lineRule="exact"/>
        <w:ind w:left="0" w:firstLine="6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基本支出预算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883.28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万元，决算金额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883.28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万元，其中人员经费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839.54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万元，日常公用经费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43.74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万元，执行率为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100%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656FCFAD">
      <w:pPr>
        <w:spacing w:line="560" w:lineRule="exact"/>
        <w:ind w:left="0" w:firstLine="645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人员经费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839.54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万元，主要包括：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30101-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基本工资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145.09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30102-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津贴补贴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325.92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30107-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绩效工资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118.87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30108-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机关事业单位基本养老保险缴费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77.02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30109-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职业年金缴费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38.51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30112-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其他社会保障缴费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9.6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30110-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职工基本医疗保险缴费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28.24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30114-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医疗费补助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3.8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sz w:val="32"/>
          <w:szCs w:val="32"/>
          <w:shd w:val="clear" w:color="auto" w:fill="FFFFFF"/>
          <w:lang w:val="en-US"/>
        </w:rPr>
        <w:t>2101199-</w:t>
      </w:r>
      <w:r>
        <w:rPr>
          <w:sz w:val="32"/>
          <w:szCs w:val="32"/>
          <w:shd w:val="clear" w:color="auto" w:fill="FFFFFF"/>
          <w:lang w:eastAsia="zh-CN"/>
        </w:rPr>
        <w:t>公务员医疗补助</w:t>
      </w:r>
      <w:r>
        <w:rPr>
          <w:sz w:val="32"/>
          <w:szCs w:val="32"/>
          <w:shd w:val="clear" w:color="auto" w:fill="FFFFFF"/>
          <w:lang w:val="en-US"/>
        </w:rPr>
        <w:t>8.9</w:t>
      </w:r>
      <w:r>
        <w:rPr>
          <w:sz w:val="32"/>
          <w:szCs w:val="32"/>
          <w:shd w:val="clear" w:color="auto" w:fill="FFFFFF"/>
          <w:lang w:eastAsia="zh-CN"/>
        </w:rPr>
        <w:t>万元</w:t>
      </w:r>
      <w:r>
        <w:rPr>
          <w:sz w:val="32"/>
          <w:szCs w:val="32"/>
          <w:shd w:val="clear" w:color="auto" w:fill="FFFFFF"/>
          <w:lang w:val="en-US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30113-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住房公积金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57.14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万元。</w:t>
      </w:r>
    </w:p>
    <w:p w14:paraId="586FCE47">
      <w:pPr>
        <w:spacing w:line="560" w:lineRule="exact"/>
        <w:ind w:left="0" w:firstLine="645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公用经费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45.58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万元，主要包括：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30201-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办公费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6.96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30202-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印刷费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0.2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30206-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电费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2.27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30207-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邮电费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4.48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30211-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差旅费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8.92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30213-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维修（护）费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1.98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30217-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公务接待费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0.56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30226-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劳务费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5.9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30214-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专用材料费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1.45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30231-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公务用车运行维护费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5.4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万元；委托业务费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0.2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万元；取暖费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1.8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万元。</w:t>
      </w:r>
    </w:p>
    <w:p w14:paraId="7DEA3FEF">
      <w:pPr>
        <w:spacing w:line="560" w:lineRule="exact"/>
        <w:ind w:left="0" w:firstLine="645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对个人和家庭的补助，生活补助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万元，奖励金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0.02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万元。</w:t>
      </w:r>
    </w:p>
    <w:p w14:paraId="08EA5F73">
      <w:pPr>
        <w:spacing w:line="560" w:lineRule="exact"/>
        <w:ind w:left="0" w:firstLine="643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项目预算执行情况</w:t>
      </w:r>
    </w:p>
    <w:p w14:paraId="2C96B113">
      <w:pPr>
        <w:spacing w:line="560" w:lineRule="exact"/>
        <w:ind w:lef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年度项目支出预算数为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17.46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万元，决算金额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528.09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万元，主要原因是中央，省级财政项目资金陆续实施。县级财政专项预算分配及时，中央，省级专项资金分配合规率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100%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年底结转结余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元。</w:t>
      </w:r>
    </w:p>
    <w:p w14:paraId="278F055D">
      <w:pPr>
        <w:spacing w:line="560" w:lineRule="exact"/>
        <w:ind w:lef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2100401-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疾病预防控制机构支出决算为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283.38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万元，完成预算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100%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，决算数与预算数持平；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2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2100408-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基本公共卫生服务支出决算数为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32.68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万元。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2100409-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重大公共卫生专项支出决算为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114.92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万元，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 xml:space="preserve"> 2100499-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其它公共卫生支出决算为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82.38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万元，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 xml:space="preserve"> 2109999-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其它卫生健康支出决算为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8.7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万元，完成预算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100%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；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2100399-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其它基层医疗卫生支出决算为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  <w:t>6.0</w:t>
      </w:r>
      <w:r>
        <w:rPr>
          <w:rStyle w:val="33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万元。</w:t>
      </w:r>
    </w:p>
    <w:p w14:paraId="51E4F847">
      <w:pPr>
        <w:widowControl/>
        <w:spacing w:line="480" w:lineRule="exact"/>
        <w:ind w:firstLine="720"/>
        <w:jc w:val="left"/>
        <w:outlineLvl w:val="1"/>
        <w:rPr>
          <w:rFonts w:ascii="楷体" w:hAnsi="楷体" w:eastAsia="楷体" w:cs="宋体"/>
          <w:color w:val="000000"/>
          <w:lang w:val="zh-CN"/>
        </w:rPr>
      </w:pPr>
      <w:r>
        <w:rPr>
          <w:rFonts w:hint="eastAsia" w:ascii="楷体" w:hAnsi="楷体" w:eastAsia="楷体" w:cs="宋体"/>
          <w:color w:val="000000"/>
          <w:lang w:val="zh-CN"/>
        </w:rPr>
        <w:t>（三）综合管理情况。</w:t>
      </w:r>
    </w:p>
    <w:p w14:paraId="2A80EAD0">
      <w:pPr>
        <w:pStyle w:val="28"/>
        <w:widowControl/>
        <w:shd w:val="clear" w:color="auto" w:fill="FFFFFF"/>
        <w:spacing w:before="0" w:beforeAutospacing="0" w:after="0" w:afterAutospacing="0" w:line="520" w:lineRule="exact"/>
        <w:ind w:firstLine="645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建立了整体支出管理方面的内控制度，并不断进行完善和修订，制定了《财务管理制度》、《预算管理制度》、《国有资产管理制度》、《政府采购管理制度》等财务相关制度；对预算资金的收支管理、资产管理、资产采购、差旅费报销等开支标准严格按照规定执行，对各项预算支出进行了有效管控，严肃财经纪律，严格审核审批程序，及时进行信息公开，依法接受财政监督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对照年初的预算，通过编制部门决算报表，全面、真实、准确的反映了红原县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疾病预防控制中心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年度财政资金的使用情况。</w:t>
      </w:r>
    </w:p>
    <w:p w14:paraId="2568D49A">
      <w:pPr>
        <w:numPr>
          <w:ilvl w:val="0"/>
          <w:numId w:val="2"/>
        </w:numPr>
        <w:spacing w:line="560" w:lineRule="exact"/>
        <w:ind w:left="0" w:firstLine="720"/>
        <w:rPr>
          <w:rFonts w:hint="eastAsia" w:ascii="黑体" w:hAnsi="黑体" w:eastAsia="黑体" w:cs="黑体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zh-CN"/>
        </w:rPr>
        <w:t>整体绩效。</w:t>
      </w:r>
    </w:p>
    <w:p w14:paraId="0F8C5008">
      <w:pPr>
        <w:numPr>
          <w:ilvl w:val="0"/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年度预算支出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1411.38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万元，其中基本支出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883.28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万元，主要用于人员经费和日常公用经费；项目支出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528.09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万元，主要用于各种传染病及地方病的筛查，宣传等项目工作；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我单位严格执行《预算法》和各项财经纪律，机关制度健全，财务管理规范，预算编制合理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/>
        </w:rPr>
        <w:t>;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二是资金监管到位。经费开支按用途使用合理，做到专帐专管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专款专用；三是人员配备和</w:t>
      </w:r>
      <w:r>
        <w:rPr>
          <w:rFonts w:hint="eastAsia" w:ascii="仿宋_GB2312" w:hAnsi="仿宋_GB2312" w:cs="仿宋_GB2312"/>
          <w:color w:val="000000"/>
          <w:sz w:val="32"/>
          <w:szCs w:val="32"/>
          <w:shd w:val="clear" w:color="auto" w:fill="FFFFFF"/>
          <w:lang w:eastAsia="zh-CN"/>
        </w:rPr>
        <w:t>账务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核算到位。财务人员</w:t>
      </w:r>
      <w:r>
        <w:rPr>
          <w:rFonts w:hint="eastAsia" w:ascii="仿宋_GB2312" w:hAnsi="仿宋_GB2312" w:cs="仿宋_GB2312"/>
          <w:color w:val="000000"/>
          <w:sz w:val="32"/>
          <w:szCs w:val="32"/>
          <w:shd w:val="clear" w:color="auto" w:fill="FFFFFF"/>
          <w:lang w:eastAsia="zh-CN"/>
        </w:rPr>
        <w:t>账务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核算及时规范。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我单位在财务上进行合理安排和运用，以“认真、严谨、细致”的精神，做好一切财务工作，圆满完成了各项工作任务，产生了良好的社会效益，得到广大老百姓的一致好评。</w:t>
      </w:r>
    </w:p>
    <w:p w14:paraId="54DCE651">
      <w:pPr>
        <w:widowControl/>
        <w:spacing w:line="480" w:lineRule="exact"/>
        <w:ind w:firstLine="640"/>
        <w:jc w:val="left"/>
        <w:outlineLvl w:val="0"/>
        <w:rPr>
          <w:rFonts w:ascii="黑体" w:hAnsi="宋体" w:eastAsia="黑体" w:cs="宋体"/>
          <w:color w:val="000000"/>
        </w:rPr>
      </w:pPr>
      <w:r>
        <w:rPr>
          <w:rFonts w:hint="eastAsia" w:ascii="黑体" w:hAnsi="宋体" w:eastAsia="黑体" w:cs="宋体"/>
          <w:color w:val="000000"/>
          <w:lang w:eastAsia="zh-CN"/>
        </w:rPr>
        <w:t>五</w:t>
      </w:r>
      <w:r>
        <w:rPr>
          <w:rFonts w:hint="eastAsia" w:ascii="黑体" w:hAnsi="宋体" w:eastAsia="黑体" w:cs="宋体"/>
          <w:color w:val="000000"/>
        </w:rPr>
        <w:t>、评价结论及建议</w:t>
      </w:r>
    </w:p>
    <w:p w14:paraId="569F4934">
      <w:pPr>
        <w:spacing w:line="560" w:lineRule="exact"/>
        <w:ind w:left="0" w:firstLine="600"/>
        <w:rPr>
          <w:rFonts w:hint="eastAsia" w:ascii="仿宋_GB2312" w:hAnsi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30"/>
          <w:szCs w:val="30"/>
          <w:lang w:val="en-US" w:eastAsia="zh-CN"/>
        </w:rPr>
        <w:t>（一）评价结论</w:t>
      </w:r>
    </w:p>
    <w:p w14:paraId="5A043DB5">
      <w:pPr>
        <w:spacing w:line="560" w:lineRule="exact"/>
        <w:ind w:lef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年度我单位财政供养人员控制在预算编制内，编制内在职人员控制率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100%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；日常公用经费年初预算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40.5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万元，决算金额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40.5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万元，预算完成率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100%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，主要是践行厉行节约；预算管理工作较上年有所进步，执行制度总体有效，资金管理工作有待加强，建立了资产管理制度，总体执行较好。</w:t>
      </w:r>
    </w:p>
    <w:p w14:paraId="485C0D97">
      <w:pPr>
        <w:numPr>
          <w:ilvl w:val="0"/>
          <w:numId w:val="0"/>
        </w:numPr>
        <w:spacing w:line="520" w:lineRule="exact"/>
        <w:rPr>
          <w:rFonts w:hint="eastAsia" w:ascii="楷体" w:hAnsi="楷体" w:eastAsia="楷体" w:cs="楷体"/>
          <w:color w:val="000000"/>
          <w:lang w:val="zh-CN"/>
        </w:rPr>
      </w:pPr>
      <w:r>
        <w:rPr>
          <w:rFonts w:hint="eastAsia" w:ascii="楷体" w:hAnsi="楷体" w:eastAsia="楷体" w:cs="楷体"/>
          <w:color w:val="000000"/>
          <w:lang w:val="zh-CN"/>
        </w:rPr>
        <w:t>（二）存在问题</w:t>
      </w:r>
    </w:p>
    <w:p w14:paraId="538BD41B">
      <w:pPr>
        <w:spacing w:line="560" w:lineRule="exact"/>
        <w:ind w:left="640" w:firstLine="3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/>
        </w:rPr>
        <w:t>1</w:t>
      </w:r>
      <w:r>
        <w:rPr>
          <w:rFonts w:hint="eastAsia" w:ascii="仿宋_GB2312" w:hAnsi="仿宋_GB2312" w:cs="仿宋_GB2312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在实际经费列支中，未严格按照预算科目进行列支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要进一步规范资金的使用。</w:t>
      </w:r>
    </w:p>
    <w:p w14:paraId="242F516B">
      <w:pPr>
        <w:spacing w:line="560" w:lineRule="exact"/>
        <w:ind w:left="0" w:firstLine="800"/>
        <w:rPr>
          <w:rFonts w:ascii="仿宋_GB2312" w:hAnsi="宋体" w:cs="宋体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2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会计核算欠规范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缺少项目资金使用效益评估。</w:t>
      </w:r>
    </w:p>
    <w:p w14:paraId="7BA6290E">
      <w:pPr>
        <w:numPr>
          <w:ilvl w:val="0"/>
          <w:numId w:val="1"/>
        </w:numPr>
        <w:spacing w:line="560" w:lineRule="exact"/>
        <w:ind w:left="0" w:firstLine="640"/>
        <w:rPr>
          <w:rFonts w:hint="eastAsia" w:ascii="楷体" w:hAnsi="楷体" w:eastAsia="楷体" w:cs="楷体"/>
          <w:color w:val="000000"/>
          <w:lang w:val="zh-CN"/>
        </w:rPr>
      </w:pPr>
      <w:r>
        <w:rPr>
          <w:rFonts w:hint="eastAsia" w:ascii="楷体" w:hAnsi="楷体" w:eastAsia="楷体" w:cs="楷体"/>
          <w:color w:val="000000"/>
          <w:lang w:val="zh-CN"/>
        </w:rPr>
        <w:t>改进建议</w:t>
      </w:r>
    </w:p>
    <w:p w14:paraId="2821B7DD">
      <w:pPr>
        <w:spacing w:line="560" w:lineRule="exact"/>
        <w:ind w:firstLine="640"/>
        <w:rPr>
          <w:rFonts w:hint="eastAsia" w:ascii="仿宋_GB2312" w:hAnsi="宋体" w:cs="宋体"/>
          <w:color w:val="000000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一是进一步加强预算编制工作；二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规范账务处理，提高财务信息质量，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不断完善各项规章制度；三是加大对财务人员的培训，多提供对财务的学习机会。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建立长效机制，严格财务管理，加强财务监督，坚持厉行节约，严格杜绝现金交易，加强事业单位会计制度的学习。</w:t>
      </w:r>
    </w:p>
    <w:p w14:paraId="76F8119B">
      <w:pPr>
        <w:numPr>
          <w:ilvl w:val="0"/>
          <w:numId w:val="1"/>
        </w:numPr>
        <w:spacing w:line="560" w:lineRule="exact"/>
        <w:ind w:left="0" w:firstLine="64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下一步计划</w:t>
      </w:r>
    </w:p>
    <w:p w14:paraId="62DF8348">
      <w:pPr>
        <w:numPr>
          <w:ilvl w:val="0"/>
          <w:numId w:val="0"/>
        </w:numPr>
        <w:spacing w:line="560" w:lineRule="exact"/>
        <w:ind w:firstLine="64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color w:val="000000"/>
          <w:sz w:val="32"/>
          <w:szCs w:val="32"/>
        </w:rPr>
        <w:t>是进一步加强预算编制工作；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color w:val="000000"/>
          <w:sz w:val="32"/>
          <w:szCs w:val="32"/>
        </w:rPr>
        <w:t>不断完善各项规章制度；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color w:val="000000"/>
          <w:sz w:val="32"/>
          <w:szCs w:val="32"/>
        </w:rPr>
        <w:t>是加大对财务人员的培训，多提供对财务的学习机会。</w:t>
      </w:r>
      <w:r>
        <w:rPr>
          <w:rFonts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建立长效机制，严格财务管理，加强财务监督，坚持厉行节约，严格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color="auto" w:fill="FFFFFF"/>
        </w:rPr>
        <w:t>杜绝</w:t>
      </w:r>
      <w:r>
        <w:rPr>
          <w:rFonts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现金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交易，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加强事业单位会计制度的学习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。</w:t>
      </w:r>
    </w:p>
    <w:p w14:paraId="6C7F6D48"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7E4C6FD8">
      <w:pPr>
        <w:spacing w:line="560" w:lineRule="exact"/>
        <w:ind w:firstLine="4480"/>
        <w:rPr>
          <w:rFonts w:hint="eastAsia" w:ascii="仿宋_GB2312" w:hAnsi="黑体" w:eastAsia="仿宋_GB2312"/>
          <w:sz w:val="32"/>
        </w:rPr>
      </w:pPr>
    </w:p>
    <w:p w14:paraId="34AB9E91">
      <w:pPr>
        <w:spacing w:line="560" w:lineRule="exact"/>
        <w:ind w:firstLine="4480"/>
        <w:rPr>
          <w:rFonts w:hint="eastAsia" w:ascii="仿宋_GB2312" w:hAnsi="黑体" w:eastAsia="仿宋_GB2312"/>
          <w:sz w:val="32"/>
        </w:rPr>
      </w:pPr>
    </w:p>
    <w:p w14:paraId="7236B339">
      <w:pPr>
        <w:spacing w:line="560" w:lineRule="exact"/>
        <w:ind w:firstLine="4480"/>
        <w:rPr>
          <w:rFonts w:hint="eastAsia" w:ascii="仿宋_GB2312" w:hAnsi="黑体" w:eastAsia="仿宋_GB2312"/>
          <w:sz w:val="32"/>
          <w:lang w:val="en-US" w:eastAsia="zh-CN"/>
        </w:rPr>
      </w:pPr>
      <w:r>
        <w:rPr>
          <w:rFonts w:hint="eastAsia" w:ascii="仿宋_GB2312" w:hAnsi="黑体" w:eastAsia="仿宋_GB2312"/>
          <w:sz w:val="32"/>
        </w:rPr>
        <w:t>红原县疾病预防控制中心</w:t>
      </w:r>
    </w:p>
    <w:p w14:paraId="30EDE182">
      <w:pPr>
        <w:spacing w:line="560" w:lineRule="exact"/>
        <w:ind w:firstLine="640"/>
        <w:rPr>
          <w:rFonts w:hint="eastAsia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32"/>
        </w:rPr>
        <w:t xml:space="preserve">                        </w:t>
      </w:r>
      <w:r>
        <w:rPr>
          <w:rFonts w:hint="eastAsia" w:ascii="仿宋_GB2312" w:hAnsi="黑体"/>
          <w:sz w:val="32"/>
          <w:lang w:val="en-US" w:eastAsia="zh-CN"/>
        </w:rPr>
        <w:t xml:space="preserve">  </w:t>
      </w:r>
      <w:r>
        <w:rPr>
          <w:rFonts w:hint="eastAsia" w:ascii="仿宋_GB2312" w:hAnsi="黑体" w:eastAsia="仿宋_GB2312"/>
          <w:sz w:val="32"/>
          <w:lang w:val="en-US" w:eastAsia="zh-CN"/>
        </w:rPr>
        <w:t>2022</w:t>
      </w:r>
      <w:r>
        <w:rPr>
          <w:rFonts w:hint="eastAsia" w:ascii="仿宋_GB2312" w:hAnsi="黑体" w:eastAsia="仿宋_GB2312"/>
          <w:sz w:val="32"/>
        </w:rPr>
        <w:t>年</w:t>
      </w:r>
      <w:r>
        <w:rPr>
          <w:rFonts w:hint="eastAsia" w:ascii="仿宋_GB2312" w:hAnsi="黑体"/>
          <w:sz w:val="32"/>
          <w:lang w:val="en-US" w:eastAsia="zh-CN"/>
        </w:rPr>
        <w:t>3</w:t>
      </w:r>
      <w:r>
        <w:rPr>
          <w:rFonts w:hint="eastAsia" w:ascii="仿宋_GB2312" w:hAnsi="黑体" w:eastAsia="仿宋_GB2312"/>
          <w:sz w:val="32"/>
        </w:rPr>
        <w:t>月</w:t>
      </w:r>
      <w:r>
        <w:rPr>
          <w:rFonts w:hint="eastAsia" w:ascii="仿宋_GB2312" w:hAnsi="黑体" w:eastAsia="仿宋_GB2312"/>
          <w:sz w:val="32"/>
          <w:lang w:val="en-US" w:eastAsia="zh-CN"/>
        </w:rPr>
        <w:t>2</w:t>
      </w:r>
      <w:r>
        <w:rPr>
          <w:rFonts w:hint="eastAsia" w:ascii="仿宋_GB2312" w:hAnsi="黑体"/>
          <w:sz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</w:rPr>
        <w:t>日</w:t>
      </w:r>
    </w:p>
    <w:p w14:paraId="5606BDB2">
      <w:pPr>
        <w:pStyle w:val="2"/>
        <w:rPr>
          <w:rFonts w:hint="eastAsia" w:ascii="仿宋_GB2312" w:hAnsi="黑体" w:eastAsia="仿宋_GB2312"/>
          <w:sz w:val="32"/>
          <w:lang w:val="en-US" w:eastAsia="zh-CN"/>
        </w:rPr>
      </w:pPr>
    </w:p>
    <w:p w14:paraId="00012A09">
      <w:pPr>
        <w:keepNext w:val="0"/>
        <w:keepLines w:val="0"/>
        <w:pageBreakBefore w:val="0"/>
        <w:widowControl w:val="0"/>
        <w:spacing w:after="240" w:afterAutospacing="0" w:line="400" w:lineRule="exact"/>
        <w:rPr>
          <w:rFonts w:hint="default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                          </w:t>
      </w:r>
    </w:p>
    <w:p w14:paraId="0E237054">
      <w:pPr>
        <w:keepNext w:val="0"/>
        <w:keepLines w:val="0"/>
        <w:pageBreakBefore w:val="0"/>
        <w:widowControl w:val="0"/>
        <w:spacing w:after="240" w:afterAutospacing="0" w:line="400" w:lineRule="exact"/>
        <w:rPr>
          <w:rFonts w:hint="default" w:ascii="仿宋_GB2312" w:hAnsi="仿宋" w:eastAsia="仿宋_GB2312" w:cs="仿宋"/>
          <w:b/>
          <w:bCs w:val="0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  <w:t>报：县</w:t>
      </w:r>
      <w:r>
        <w:rPr>
          <w:rFonts w:hint="eastAsia" w:ascii="仿宋_GB2312" w:hAnsi="仿宋" w:cs="仿宋"/>
          <w:b w:val="0"/>
          <w:bCs/>
          <w:color w:val="000000"/>
          <w:sz w:val="32"/>
          <w:szCs w:val="32"/>
          <w:u w:val="single"/>
          <w:lang w:val="en-US" w:eastAsia="zh-CN"/>
        </w:rPr>
        <w:t>财政局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b/>
          <w:bCs w:val="0"/>
          <w:color w:val="000000"/>
          <w:sz w:val="32"/>
          <w:szCs w:val="32"/>
          <w:u w:val="single"/>
          <w:lang w:val="en-US" w:eastAsia="zh-CN"/>
        </w:rPr>
        <w:t xml:space="preserve">                                                  </w:t>
      </w:r>
      <w:r>
        <w:rPr>
          <w:rFonts w:hint="eastAsia" w:ascii="仿宋_GB2312" w:hAnsi="仿宋" w:eastAsia="仿宋_GB2312" w:cs="仿宋"/>
          <w:b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b/>
          <w:bCs w:val="0"/>
          <w:color w:val="000000"/>
          <w:sz w:val="32"/>
          <w:szCs w:val="32"/>
          <w:u w:val="single"/>
          <w:lang w:val="en-US" w:eastAsia="zh-CN"/>
        </w:rPr>
        <w:t xml:space="preserve">   </w:t>
      </w:r>
    </w:p>
    <w:p w14:paraId="10FA429D">
      <w:pPr>
        <w:keepNext w:val="0"/>
        <w:keepLines w:val="0"/>
        <w:pageBreakBefore w:val="0"/>
        <w:widowControl w:val="0"/>
        <w:spacing w:line="400" w:lineRule="exact"/>
        <w:rPr>
          <w:rFonts w:hint="eastAsia" w:ascii="仿宋_GB2312" w:hAnsi="仿宋" w:eastAsia="仿宋_GB2312" w:cs="仿宋"/>
          <w:bCs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</w:rPr>
        <w:t xml:space="preserve">红原县疾病预防控制中心办公室 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</w:rPr>
        <w:t>20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  <w:t>22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</w:rPr>
        <w:t>年</w:t>
      </w:r>
      <w:r>
        <w:rPr>
          <w:rFonts w:hint="eastAsia" w:ascii="仿宋_GB2312" w:hAnsi="仿宋" w:cs="仿宋"/>
          <w:b w:val="0"/>
          <w:bCs/>
          <w:color w:val="00000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</w:rPr>
        <w:t>月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_GB2312" w:hAnsi="仿宋" w:cs="仿宋"/>
          <w:b w:val="0"/>
          <w:bCs/>
          <w:color w:val="000000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</w:rPr>
        <w:t>日</w:t>
      </w:r>
      <w:r>
        <w:rPr>
          <w:rFonts w:hint="eastAsia" w:ascii="仿宋_GB2312" w:hAnsi="仿宋" w:eastAsia="仿宋_GB2312" w:cs="仿宋"/>
          <w:b w:val="0"/>
          <w:bCs/>
          <w:color w:val="000000"/>
          <w:sz w:val="32"/>
          <w:szCs w:val="32"/>
          <w:u w:val="single"/>
          <w:lang w:eastAsia="zh-CN"/>
        </w:rPr>
        <w:t>印</w:t>
      </w:r>
    </w:p>
    <w:p w14:paraId="0BBA8D86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9606162">
      <w:pPr>
        <w:pStyle w:val="2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30E398CC">
      <w:pPr>
        <w:pStyle w:val="2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219F5B3F">
      <w:pPr>
        <w:pStyle w:val="2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24B0A55F">
      <w:pPr>
        <w:pStyle w:val="2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C2C823C">
      <w:pPr>
        <w:keepNext w:val="0"/>
        <w:keepLines w:val="0"/>
        <w:pageBreakBefore w:val="0"/>
        <w:widowControl w:val="0"/>
        <w:spacing w:line="400" w:lineRule="exact"/>
        <w:rPr>
          <w:rFonts w:hint="default" w:ascii="仿宋" w:hAnsi="仿宋" w:eastAsia="仿宋"/>
          <w:lang w:val="en-US"/>
        </w:rPr>
      </w:pP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B0604020202020204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0053208E"/>
    <w:multiLevelType w:val="multilevel"/>
    <w:tmpl w:val="0053208E"/>
    <w:lvl w:ilvl="0" w:tentative="0">
      <w:start w:val="2"/>
      <w:numFmt w:val="chineseCounting"/>
      <w:suff w:val="nothing"/>
      <w:lvlText w:val="（%1）"/>
      <w:lvlJc w:val="left"/>
      <w:pPr>
        <w:ind w:left="0"/>
      </w:pPr>
      <w:rPr>
        <w:rFonts w:hint="eastAsia" w:ascii="仿宋_GB2312" w:hAnsi="仿宋_GB2312" w:eastAsia="仿宋_GB2312" w:cs="仿宋_GB2312"/>
        <w:sz w:val="32"/>
        <w:szCs w:val="32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854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37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4">
    <w:name w:val="heading 2"/>
    <w:basedOn w:val="1"/>
    <w:next w:val="1"/>
    <w:link w:val="38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5">
    <w:name w:val="heading 3"/>
    <w:basedOn w:val="1"/>
    <w:next w:val="1"/>
    <w:link w:val="39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6">
    <w:name w:val="heading 4"/>
    <w:basedOn w:val="1"/>
    <w:next w:val="1"/>
    <w:link w:val="40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7">
    <w:name w:val="heading 5"/>
    <w:basedOn w:val="1"/>
    <w:next w:val="1"/>
    <w:link w:val="41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8">
    <w:name w:val="heading 6"/>
    <w:basedOn w:val="1"/>
    <w:next w:val="1"/>
    <w:link w:val="42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9">
    <w:name w:val="heading 7"/>
    <w:basedOn w:val="1"/>
    <w:next w:val="1"/>
    <w:link w:val="43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44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1">
    <w:name w:val="heading 9"/>
    <w:basedOn w:val="1"/>
    <w:next w:val="1"/>
    <w:link w:val="45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unhideWhenUsed/>
    <w:qFormat/>
    <w:uiPriority w:val="1"/>
  </w:style>
  <w:style w:type="table" w:default="1" w:styleId="3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2">
    <w:name w:val="Body Text"/>
    <w:basedOn w:val="1"/>
    <w:qFormat/>
    <w:uiPriority w:val="0"/>
    <w:pPr>
      <w:spacing w:before="93"/>
    </w:pPr>
    <w:rPr>
      <w:rFonts w:ascii="仿宋_GB2312" w:eastAsia="仿宋_GB2312"/>
      <w:sz w:val="30"/>
    </w:rPr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3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186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9">
    <w:name w:val="header"/>
    <w:basedOn w:val="1"/>
    <w:link w:val="185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9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2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  <w:style w:type="paragraph" w:styleId="29">
    <w:name w:val="Title"/>
    <w:basedOn w:val="1"/>
    <w:next w:val="1"/>
    <w:link w:val="48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3">
    <w:name w:val="Strong"/>
    <w:basedOn w:val="32"/>
    <w:qFormat/>
    <w:uiPriority w:val="0"/>
    <w:rPr>
      <w:b/>
    </w:rPr>
  </w:style>
  <w:style w:type="character" w:styleId="34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5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6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7">
    <w:name w:val="Heading 1 Char"/>
    <w:basedOn w:val="32"/>
    <w:link w:val="3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8">
    <w:name w:val="Heading 2 Char"/>
    <w:basedOn w:val="32"/>
    <w:link w:val="4"/>
    <w:qFormat/>
    <w:uiPriority w:val="9"/>
    <w:rPr>
      <w:rFonts w:ascii="等线" w:hAnsi="等线" w:eastAsia="等线" w:cs="等线"/>
      <w:sz w:val="34"/>
    </w:rPr>
  </w:style>
  <w:style w:type="character" w:customStyle="1" w:styleId="39">
    <w:name w:val="Heading 3 Char"/>
    <w:basedOn w:val="32"/>
    <w:link w:val="5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40">
    <w:name w:val="Heading 4 Char"/>
    <w:basedOn w:val="32"/>
    <w:link w:val="6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1">
    <w:name w:val="Heading 5 Char"/>
    <w:basedOn w:val="32"/>
    <w:link w:val="7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2">
    <w:name w:val="Heading 6 Char"/>
    <w:basedOn w:val="32"/>
    <w:link w:val="8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3">
    <w:name w:val="Heading 7 Char"/>
    <w:basedOn w:val="32"/>
    <w:link w:val="9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4">
    <w:name w:val="Heading 8 Char"/>
    <w:basedOn w:val="32"/>
    <w:link w:val="10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5">
    <w:name w:val="Heading 9 Char"/>
    <w:basedOn w:val="32"/>
    <w:link w:val="11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paragraph" w:styleId="47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8">
    <w:name w:val="Title Char"/>
    <w:basedOn w:val="32"/>
    <w:link w:val="29"/>
    <w:uiPriority w:val="10"/>
    <w:rPr>
      <w:sz w:val="48"/>
      <w:szCs w:val="48"/>
    </w:rPr>
  </w:style>
  <w:style w:type="character" w:customStyle="1" w:styleId="49">
    <w:name w:val="Subtitle Char"/>
    <w:basedOn w:val="32"/>
    <w:link w:val="22"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Quote Char"/>
    <w:link w:val="50"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3">
    <w:name w:val="Intense Quote Char"/>
    <w:link w:val="52"/>
    <w:uiPriority w:val="30"/>
    <w:rPr>
      <w:i/>
    </w:rPr>
  </w:style>
  <w:style w:type="character" w:customStyle="1" w:styleId="54">
    <w:name w:val="Header Char"/>
    <w:basedOn w:val="32"/>
    <w:uiPriority w:val="99"/>
  </w:style>
  <w:style w:type="character" w:customStyle="1" w:styleId="55">
    <w:name w:val="Footer Char"/>
    <w:basedOn w:val="32"/>
    <w:uiPriority w:val="99"/>
  </w:style>
  <w:style w:type="character" w:customStyle="1" w:styleId="56">
    <w:name w:val="Caption Char"/>
    <w:qFormat/>
    <w:uiPriority w:val="99"/>
  </w:style>
  <w:style w:type="table" w:customStyle="1" w:styleId="57">
    <w:name w:val="Table Grid Light"/>
    <w:basedOn w:val="30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2"/>
    <w:basedOn w:val="3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Plain Table 3"/>
    <w:basedOn w:val="30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Plain Table 4"/>
    <w:basedOn w:val="30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Plain Table 5"/>
    <w:basedOn w:val="30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1"/>
    <w:basedOn w:val="30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2"/>
    <w:basedOn w:val="30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1 Light - Accent 4"/>
    <w:basedOn w:val="30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1 Light - Accent 6"/>
    <w:basedOn w:val="30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1"/>
    <w:basedOn w:val="30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3"/>
    <w:basedOn w:val="30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2 - Accent 5"/>
    <w:basedOn w:val="30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2 - Accent 6"/>
    <w:basedOn w:val="30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1"/>
    <w:basedOn w:val="30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3"/>
    <w:basedOn w:val="30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3 - Accent 5"/>
    <w:basedOn w:val="30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"/>
    <w:basedOn w:val="30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2"/>
    <w:basedOn w:val="30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3"/>
    <w:basedOn w:val="30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4 - Accent 5"/>
    <w:basedOn w:val="30"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"/>
    <w:basedOn w:val="3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1EB" w:themeColor="accent1" w:themeTint="75" w:fill="B3D1EB" w:themeFill="accent1" w:themeFillTint="75"/>
      </w:tcPr>
    </w:tblStylePr>
    <w:tblStylePr w:type="band2Vert">
      <w:tblPr/>
    </w:tblStylePr>
    <w:tblStylePr w:type="band1Horz">
      <w:tblPr/>
      <w:tcPr>
        <w:shd w:val="clear" w:color="B3D1EB" w:themeColor="accent1" w:themeTint="75" w:fill="B3D1EB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2"/>
    <w:basedOn w:val="3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5 Dark- Accent 4"/>
    <w:basedOn w:val="3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3" w:themeColor="accent5" w:themeTint="75" w:fill="A9BEE3" w:themeFill="accent5" w:themeFillTint="75"/>
      </w:tcPr>
    </w:tblStylePr>
    <w:tblStylePr w:type="band2Vert">
      <w:tblPr/>
    </w:tblStylePr>
    <w:tblStylePr w:type="band1Horz">
      <w:tblPr/>
      <w:tcPr>
        <w:shd w:val="clear" w:color="A9BEE3" w:themeColor="accent5" w:themeTint="75" w:fill="A9BEE3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5 Dark - Accent 6"/>
    <w:basedOn w:val="30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"/>
    <w:basedOn w:val="30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2"/>
    <w:basedOn w:val="30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6 Colorful - Accent 4"/>
    <w:basedOn w:val="30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  <w:tblPr/>
    </w:tblStylePr>
    <w:tblStylePr w:type="firstCol">
      <w:rPr>
        <w:b/>
        <w:color w:val="254174" w:themeColor="accent5" w:themeShade="94"/>
      </w:rPr>
      <w:tblPr/>
    </w:tblStylePr>
    <w:tblStylePr w:type="lastCol">
      <w:rPr>
        <w:b/>
        <w:color w:val="254174" w:themeColor="accent5" w:themeShade="94"/>
      </w:rPr>
      <w:tblPr/>
    </w:tblStylePr>
    <w:tblStylePr w:type="band1Vert">
      <w:tblPr/>
      <w:tcPr>
        <w:shd w:val="clear" w:color="D8E2F2" w:themeColor="accent5" w:themeTint="34" w:fill="D8E2F2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54174" w:themeColor="accent5" w:themeShade="94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6 Colorful - Accent 6"/>
    <w:basedOn w:val="30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  <w:tblPr/>
    </w:tblStylePr>
    <w:tblStylePr w:type="firstCol">
      <w:rPr>
        <w:b/>
        <w:color w:val="254174" w:themeColor="accent5" w:themeShade="94"/>
      </w:rPr>
      <w:tblPr/>
    </w:tblStylePr>
    <w:tblStylePr w:type="lastCol">
      <w:rPr>
        <w:b/>
        <w:color w:val="254174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5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3"/>
    <w:basedOn w:val="30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Grid Table 7 Colorful - Accent 4"/>
    <w:basedOn w:val="30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blPr/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blPr/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blPr/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5" w:themeTint="34" w:fill="D8E2F2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54174" w:themeColor="accent5" w:themeShade="94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Grid Table 7 Colorful - Accent 6"/>
    <w:basedOn w:val="30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1"/>
    <w:basedOn w:val="30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Vert">
      <w:tblPr/>
    </w:tblStylePr>
    <w:tblStylePr w:type="band1Horz">
      <w:tblPr/>
      <w:tcPr>
        <w:shd w:val="clear" w:color="D5E5F4" w:themeColor="accent1" w:themeTint="40" w:fill="D5E5F4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2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3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1 Light - Accent 4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1 Light - Accent 5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5" w:themeTint="40" w:fill="D0DBF0" w:themeFill="accent5" w:themeFillTint="40"/>
      </w:tcPr>
    </w:tblStylePr>
    <w:tblStylePr w:type="band2Vert">
      <w:tblPr/>
    </w:tblStylePr>
    <w:tblStylePr w:type="band1Horz">
      <w:tblPr/>
      <w:tcPr>
        <w:shd w:val="clear" w:color="D0DBF0" w:themeColor="accent5" w:themeTint="40" w:fill="D0DB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1 Light - Accent 6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5" w:themeTint="40" w:fill="D0DB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5" w:themeTint="40" w:fill="D0DB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5" w:themeTint="40" w:fill="D0DB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5" w:themeTint="40" w:fill="D0DB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  <w:tblPr/>
    </w:tblStylePr>
    <w:tblStylePr w:type="lastCol">
      <w:rPr>
        <w:b/>
        <w:color w:val="245B8C" w:themeColor="accent1" w:themeShade="94"/>
      </w:rPr>
      <w:tblPr/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45B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0DBF0" w:themeColor="accent5" w:themeTint="40" w:fill="D0DB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blPr/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blPr/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blPr/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45B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5" w:themeTint="40" w:fill="D0DB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1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2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3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Lined - Accent 4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Lined - Accent 5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Lined - Accent 6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8E2F2" w:themeColor="accent5" w:themeTint="34" w:fill="D8E2F2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9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0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8EA9DB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1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82">
    <w:name w:val="Footnote Text Char"/>
    <w:link w:val="23"/>
    <w:qFormat/>
    <w:uiPriority w:val="99"/>
    <w:rPr>
      <w:sz w:val="18"/>
    </w:rPr>
  </w:style>
  <w:style w:type="character" w:customStyle="1" w:styleId="183">
    <w:name w:val="Endnote Text Char"/>
    <w:link w:val="17"/>
    <w:qFormat/>
    <w:uiPriority w:val="99"/>
    <w:rPr>
      <w:sz w:val="20"/>
    </w:rPr>
  </w:style>
  <w:style w:type="paragraph" w:customStyle="1" w:styleId="184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  <w:style w:type="character" w:customStyle="1" w:styleId="185">
    <w:name w:val="页眉 Char"/>
    <w:basedOn w:val="32"/>
    <w:link w:val="19"/>
    <w:semiHidden/>
    <w:qFormat/>
    <w:uiPriority w:val="99"/>
    <w:rPr>
      <w:sz w:val="18"/>
      <w:szCs w:val="18"/>
    </w:rPr>
  </w:style>
  <w:style w:type="character" w:customStyle="1" w:styleId="186">
    <w:name w:val="页脚 Char"/>
    <w:basedOn w:val="32"/>
    <w:link w:val="18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2629</Words>
  <Characters>3101</Characters>
  <TotalTime>0</TotalTime>
  <ScaleCrop>false</ScaleCrop>
  <LinksUpToDate>false</LinksUpToDate>
  <CharactersWithSpaces>3295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2020-07-23T17:02:00Z</dcterms:created>
  <dc:creator>李银琳</dc:creator>
  <cp:lastModifiedBy>Administrator</cp:lastModifiedBy>
  <dcterms:modified xsi:type="dcterms:W3CDTF">2025-04-11T03:14:28Z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A50528C3092141B4B0612BF9C99E26F7</vt:lpwstr>
  </property>
  <property fmtid="{D5CDD505-2E9C-101B-9397-08002B2CF9AE}" pid="4" name="KSOTemplateDocerSaveRecord">
    <vt:lpwstr>eyJoZGlkIjoiYTZlYTVjODcyNTU1MzBiMDcyYjhmOGIxMTczZjVhMTEifQ==</vt:lpwstr>
  </property>
</Properties>
</file>