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eastAsia" w:ascii="BZDBT" w:eastAsia="BZDBT"/>
          <w:b/>
          <w:color w:val="FF0000"/>
          <w:w w:val="65"/>
          <w:sz w:val="36"/>
          <w:szCs w:val="36"/>
        </w:rPr>
      </w:pPr>
      <w:r>
        <w:rPr>
          <w:rFonts w:hint="eastAsia" w:ascii="BZDBT" w:eastAsia="BZDBT"/>
          <w:b/>
          <w:color w:val="FF0000"/>
          <w:w w:val="65"/>
          <w:sz w:val="36"/>
          <w:szCs w:val="36"/>
        </w:rPr>
        <w:t>︶︹﹀﹀  谍爸︽底稗︽稻爸︽</w:t>
      </w:r>
      <w:r>
        <w:rPr>
          <w:rFonts w:hint="eastAsia" w:ascii="BZDBT" w:hAnsi="新宋体" w:eastAsia="BZDBT"/>
          <w:b/>
          <w:color w:val="FF0000"/>
          <w:w w:val="65"/>
          <w:sz w:val="36"/>
          <w:szCs w:val="36"/>
        </w:rPr>
        <w:t>梆︽扳惨罢︽</w:t>
      </w:r>
      <w:r>
        <w:rPr>
          <w:rFonts w:hint="eastAsia" w:ascii="BZDBT" w:eastAsia="BZDBT"/>
          <w:b/>
          <w:color w:val="FF0000"/>
          <w:w w:val="65"/>
          <w:sz w:val="36"/>
          <w:szCs w:val="36"/>
        </w:rPr>
        <w:t>表爸︽郴办︽脆︽拜扳爸邦︽刁拜︽罢的爸︽编︽翟罢︽柏﹀</w:t>
      </w:r>
    </w:p>
    <w:p>
      <w:pPr>
        <w:spacing w:line="1360" w:lineRule="exact"/>
        <w:jc w:val="center"/>
        <w:rPr>
          <w:rFonts w:hint="eastAsia" w:ascii="方正小标宋简体" w:hAnsi="华文中宋" w:eastAsia="方正小标宋简体"/>
          <w:color w:val="FF0000"/>
          <w:w w:val="52"/>
          <w:sz w:val="130"/>
          <w:szCs w:val="130"/>
        </w:rPr>
      </w:pPr>
      <w:r>
        <w:rPr>
          <w:rFonts w:hint="eastAsia" w:ascii="方正小标宋简体" w:hAnsi="华文中宋" w:eastAsia="方正小标宋简体"/>
          <w:color w:val="FF0000"/>
          <w:w w:val="52"/>
          <w:sz w:val="130"/>
          <w:szCs w:val="130"/>
        </w:rPr>
        <w:t>红原县安曲镇人民政府文件</w:t>
      </w:r>
    </w:p>
    <w:p>
      <w:pPr>
        <w:jc w:val="center"/>
        <w:rPr>
          <w:rFonts w:ascii="华文中宋" w:hAnsi="华文中宋" w:eastAsia="华文中宋" w:cs="华文中宋"/>
          <w:sz w:val="36"/>
          <w:szCs w:val="36"/>
        </w:rPr>
      </w:pPr>
    </w:p>
    <w:p>
      <w:pPr>
        <w:spacing w:line="560" w:lineRule="exact"/>
        <w:rPr>
          <w:rFonts w:ascii="楷体_GB2312" w:hAnsi="楷体_GB2312" w:eastAsia="楷体_GB2312" w:cs="楷体_GB2312"/>
          <w:b/>
          <w:bCs/>
          <w:color w:val="000000" w:themeColor="text1"/>
          <w:sz w:val="32"/>
          <w14:textFill>
            <w14:solidFill>
              <w14:schemeClr w14:val="tx1"/>
            </w14:solidFill>
          </w14:textFill>
        </w:rPr>
      </w:pPr>
      <w:r>
        <w:rPr>
          <w:rFonts w:hint="eastAsia" w:ascii="仿宋_GB2312" w:eastAsia="仿宋_GB2312"/>
          <w:color w:val="000000" w:themeColor="text1"/>
          <w:sz w:val="32"/>
          <w14:textFill>
            <w14:solidFill>
              <w14:schemeClr w14:val="tx1"/>
            </w14:solidFill>
          </w14:textFill>
        </w:rPr>
        <w:t>红</w:t>
      </w:r>
      <w:r>
        <w:rPr>
          <w:rFonts w:hint="eastAsia" w:ascii="仿宋_GB2312"/>
          <w:color w:val="000000" w:themeColor="text1"/>
          <w:sz w:val="32"/>
          <w:lang w:eastAsia="zh-CN"/>
          <w14:textFill>
            <w14:solidFill>
              <w14:schemeClr w14:val="tx1"/>
            </w14:solidFill>
          </w14:textFill>
        </w:rPr>
        <w:t>安</w:t>
      </w:r>
      <w:r>
        <w:rPr>
          <w:rFonts w:hint="eastAsia" w:ascii="仿宋_GB2312" w:eastAsia="仿宋_GB2312"/>
          <w:color w:val="000000" w:themeColor="text1"/>
          <w:sz w:val="32"/>
          <w14:textFill>
            <w14:solidFill>
              <w14:schemeClr w14:val="tx1"/>
            </w14:solidFill>
          </w14:textFill>
        </w:rPr>
        <w:t>府〔</w:t>
      </w:r>
      <w:r>
        <w:rPr>
          <w:rFonts w:ascii="仿宋_GB2312" w:eastAsia="仿宋_GB2312"/>
          <w:color w:val="000000" w:themeColor="text1"/>
          <w:sz w:val="32"/>
          <w14:textFill>
            <w14:solidFill>
              <w14:schemeClr w14:val="tx1"/>
            </w14:solidFill>
          </w14:textFill>
        </w:rPr>
        <w:t>20</w:t>
      </w:r>
      <w:r>
        <w:rPr>
          <w:rFonts w:hint="eastAsia" w:ascii="仿宋_GB2312" w:eastAsia="仿宋_GB2312"/>
          <w:color w:val="000000" w:themeColor="text1"/>
          <w:sz w:val="32"/>
          <w:lang w:val="en-US" w:eastAsia="zh-CN"/>
          <w14:textFill>
            <w14:solidFill>
              <w14:schemeClr w14:val="tx1"/>
            </w14:solidFill>
          </w14:textFill>
        </w:rPr>
        <w:t>22</w:t>
      </w:r>
      <w:r>
        <w:rPr>
          <w:rFonts w:hint="eastAsia" w:ascii="仿宋_GB2312" w:eastAsia="仿宋_GB2312"/>
          <w:color w:val="000000" w:themeColor="text1"/>
          <w:sz w:val="32"/>
          <w14:textFill>
            <w14:solidFill>
              <w14:schemeClr w14:val="tx1"/>
            </w14:solidFill>
          </w14:textFill>
        </w:rPr>
        <w:t>〕</w:t>
      </w:r>
      <w:r>
        <w:rPr>
          <w:rFonts w:hint="eastAsia" w:ascii="仿宋_GB2312"/>
          <w:color w:val="000000" w:themeColor="text1"/>
          <w:sz w:val="32"/>
          <w:lang w:val="en-US" w:eastAsia="zh-CN"/>
          <w14:textFill>
            <w14:solidFill>
              <w14:schemeClr w14:val="tx1"/>
            </w14:solidFill>
          </w14:textFill>
        </w:rPr>
        <w:t>22</w:t>
      </w:r>
      <w:r>
        <w:rPr>
          <w:rFonts w:hint="eastAsia" w:ascii="仿宋_GB2312" w:eastAsia="仿宋_GB2312"/>
          <w:color w:val="000000" w:themeColor="text1"/>
          <w:sz w:val="32"/>
          <w14:textFill>
            <w14:solidFill>
              <w14:schemeClr w14:val="tx1"/>
            </w14:solidFill>
          </w14:textFill>
        </w:rPr>
        <w:t>号                  签发人：</w:t>
      </w:r>
      <w:r>
        <w:rPr>
          <w:rFonts w:hint="eastAsia" w:ascii="楷体_GB2312" w:hAnsi="楷体_GB2312" w:eastAsia="楷体_GB2312" w:cs="楷体_GB2312"/>
          <w:b/>
          <w:bCs/>
          <w:sz w:val="32"/>
          <w:lang w:eastAsia="zh-CN"/>
        </w:rPr>
        <w:t>择让栋周</w:t>
      </w:r>
    </w:p>
    <w:p>
      <w:pPr>
        <w:spacing w:line="560" w:lineRule="exact"/>
        <w:jc w:val="center"/>
        <w:rPr>
          <w:rFonts w:ascii="华文中宋" w:hAnsi="华文中宋" w:eastAsia="华文中宋"/>
          <w:color w:val="000000" w:themeColor="text1"/>
          <w:sz w:val="44"/>
          <w14:textFill>
            <w14:solidFill>
              <w14:schemeClr w14:val="tx1"/>
            </w14:solidFill>
          </w14:textFill>
        </w:rPr>
      </w:pPr>
      <w:r>
        <w:rPr>
          <w:rFonts w:hint="eastAsia" w:ascii="仿宋_GB2312" w:hAnsi="宋体" w:eastAsia="仿宋_GB2312"/>
          <w:color w:val="FFFFFF"/>
          <w:sz w:val="32"/>
          <w:szCs w:val="32"/>
        </w:rPr>
        <mc:AlternateContent>
          <mc:Choice Requires="wps">
            <w:drawing>
              <wp:anchor distT="0" distB="0" distL="114300" distR="114300" simplePos="0" relativeHeight="251659264" behindDoc="0" locked="0" layoutInCell="1" allowOverlap="1">
                <wp:simplePos x="0" y="0"/>
                <wp:positionH relativeFrom="column">
                  <wp:posOffset>-107950</wp:posOffset>
                </wp:positionH>
                <wp:positionV relativeFrom="paragraph">
                  <wp:posOffset>39370</wp:posOffset>
                </wp:positionV>
                <wp:extent cx="5486400" cy="0"/>
                <wp:effectExtent l="0" t="10795" r="0" b="17780"/>
                <wp:wrapNone/>
                <wp:docPr id="1" name="直接连接符 1"/>
                <wp:cNvGraphicFramePr/>
                <a:graphic xmlns:a="http://schemas.openxmlformats.org/drawingml/2006/main">
                  <a:graphicData uri="http://schemas.microsoft.com/office/word/2010/wordprocessingShape">
                    <wps:wsp>
                      <wps:cNvCnPr/>
                      <wps:spPr>
                        <a:xfrm>
                          <a:off x="0" y="0"/>
                          <a:ext cx="54864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5pt;margin-top:3.1pt;height:0pt;width:432pt;z-index:251659264;mso-width-relative:page;mso-height-relative:page;" filled="f" stroked="t" coordsize="21600,21600" o:gfxdata="UEsDBAoAAAAAAIdO4kAAAAAAAAAAAAAAAAAEAAAAZHJzL1BLAwQUAAAACACHTuJAiBIYstUAAAAH&#10;AQAADwAAAGRycy9kb3ducmV2LnhtbE2Py2rDMBBF94X+g5hCd4nsUJzgWs4i0EKf4LQfIFsT20Qa&#10;uZbipP36TrpJl5c7nHumWJ+cFROOofekIJ0nIJAab3pqFXx+PMxWIELUZLT1hAq+McC6vL4qdG78&#10;kSqctrEVDKGQawVdjEMuZWg6dDrM/YDE3c6PTkeOYyvNqI8Md1YukiSTTvfEC50ecNNhs98eHFOm&#10;5f715e2n+nru/VP1mL3XrUWlbm/S5B5ExFO8HMNZn9WhZKfaH8gEYRXM0iX/EhVkCxDcr+7Ouf7L&#10;sizkf//yF1BLAwQUAAAACACHTuJAMtqIKvYBAADlAwAADgAAAGRycy9lMm9Eb2MueG1srVPNjtMw&#10;EL4j8Q6W7zRptbtaRU33sKVcEFQCHmDqOIkl/8njNu1L8AJI3ODEkTtvw/IYjJ1uF3YvPWwOztgz&#10;/ma+b8bzm73RbCcDKmdrPp2UnEkrXKNsV/NPH1evrjnDCLYB7ays+UEiv1m8fDEffCVnrne6kYER&#10;iMVq8DXvY/RVUaDopQGcOC8tOVsXDETahq5oAgyEbnQxK8urYnCh8cEJiUiny9HJj4jhHEDXtkrI&#10;pRNbI20cUYPUEIkS9sojX+Rq21aK+L5tUUama05MY14pCdmbtBaLOVRdAN8rcSwBzinhEScDylLS&#10;E9QSIrBtUE+gjBLBoWvjRDhTjESyIsRiWj7S5kMPXmYuJDX6k+j4fLDi3W4dmGpoEjizYKjhd19+&#10;/v787c+vr7Te/fjOpkmkwWNFsbd2HY479OuQGO/bYNKfuLB9FvZwElbuIxN0eHlxfXVRkubi3lc8&#10;XPQB4xvpDEtGzbWyiTNUsHuLkZJR6H1IOtaWDTWf0XdJeEAT2FLnyTSeWKDt8mV0WjUrpXW6gqHb&#10;3OrAdkBTsFqV9CVOBPxfWMqyBOzHuOwa56OX0Ly2DYsHT/pYehY81WBkw5mW9IqSRYBQRVD6nEhK&#10;rS1VkGQdhUzWxjUH6sbWB9X1JEVWPsdQ93O9x0lN4/XvPiM9vM7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gSGLLVAAAABwEAAA8AAAAAAAAAAQAgAAAAIgAAAGRycy9kb3ducmV2LnhtbFBLAQIU&#10;ABQAAAAIAIdO4kAy2ogq9gEAAOUDAAAOAAAAAAAAAAEAIAAAACQBAABkcnMvZTJvRG9jLnhtbFBL&#10;BQYAAAAABgAGAFkBAACMBQ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2021年部门整体支出绩效报告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_GB2312" w:hAnsi="仿宋_GB2312" w:eastAsia="仿宋_GB2312" w:cs="仿宋_GB2312"/>
          <w:b/>
          <w:bCs/>
          <w:i w:val="0"/>
          <w:iCs w:val="0"/>
          <w:caps w:val="0"/>
          <w:color w:val="333333"/>
          <w:spacing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sz w:val="32"/>
          <w:szCs w:val="32"/>
          <w:shd w:val="clear" w:fill="FFFFFF"/>
          <w:lang w:bidi="ar"/>
        </w:rPr>
        <w:t>一、</w:t>
      </w:r>
      <w:r>
        <w:rPr>
          <w:rFonts w:hint="eastAsia" w:ascii="仿宋_GB2312" w:hAnsi="仿宋_GB2312" w:eastAsia="仿宋_GB2312" w:cs="仿宋_GB2312"/>
          <w:b/>
          <w:bCs/>
          <w:i w:val="0"/>
          <w:iCs w:val="0"/>
          <w:caps w:val="0"/>
          <w:color w:val="333333"/>
          <w:spacing w:val="0"/>
          <w:sz w:val="32"/>
          <w:szCs w:val="32"/>
          <w:shd w:val="clear" w:fill="FFFFFF"/>
          <w:lang w:val="zh-CN" w:eastAsia="zh-CN" w:bidi="ar"/>
        </w:rPr>
        <w:t>部门（单位）概况</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（一）机构组成</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color w:val="000000" w:themeColor="text1"/>
          <w:sz w:val="32"/>
          <w:szCs w:val="32"/>
          <w:lang w:val="zh-CN" w:eastAsia="zh-CN"/>
          <w14:textFill>
            <w14:solidFill>
              <w14:schemeClr w14:val="tx1"/>
            </w14:solidFill>
          </w14:textFill>
        </w:rPr>
      </w:pP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红原县</w:t>
      </w:r>
      <w:r>
        <w:rPr>
          <w:rFonts w:hint="eastAsia" w:ascii="仿宋_GB2312" w:hAnsi="仿宋_GB2312" w:cs="仿宋_GB2312"/>
          <w:color w:val="000000" w:themeColor="text1"/>
          <w:sz w:val="32"/>
          <w:szCs w:val="32"/>
          <w:lang w:val="zh-CN" w:eastAsia="zh-CN"/>
          <w14:textFill>
            <w14:solidFill>
              <w14:schemeClr w14:val="tx1"/>
            </w14:solidFill>
          </w14:textFill>
        </w:rPr>
        <w:t>安曲镇</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人民政府是行政单位，执行行政单位会计制度，我单位下属二级决算单位0个，其中行政单位</w:t>
      </w:r>
      <w:r>
        <w:rPr>
          <w:rFonts w:hint="eastAsia" w:ascii="仿宋_GB2312" w:hAnsi="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个，参照公务员法管理的事业单位0个，其他事业单位0个。是独立核算的机构，是独立编报决算的单位。</w:t>
      </w:r>
      <w:r>
        <w:rPr>
          <w:rFonts w:hint="eastAsia" w:ascii="仿宋_GB2312" w:hAnsi="仿宋_GB2312" w:cs="仿宋_GB2312"/>
          <w:color w:val="000000" w:themeColor="text1"/>
          <w:sz w:val="32"/>
          <w:szCs w:val="32"/>
          <w:lang w:val="zh-CN" w:eastAsia="zh-CN"/>
          <w14:textFill>
            <w14:solidFill>
              <w14:schemeClr w14:val="tx1"/>
            </w14:solidFill>
          </w14:textFill>
        </w:rPr>
        <w:t>安曲镇</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辖</w:t>
      </w:r>
      <w:r>
        <w:rPr>
          <w:rFonts w:hint="eastAsia" w:ascii="仿宋_GB2312" w:hAnsi="仿宋_GB2312" w:cs="仿宋_GB2312"/>
          <w:color w:val="000000" w:themeColor="text1"/>
          <w:sz w:val="32"/>
          <w:szCs w:val="32"/>
          <w:lang w:val="zh-CN" w:eastAsia="zh-CN"/>
          <w14:textFill>
            <w14:solidFill>
              <w14:schemeClr w14:val="tx1"/>
            </w14:solidFill>
          </w14:textFill>
        </w:rPr>
        <w:t>区</w:t>
      </w:r>
      <w:r>
        <w:rPr>
          <w:rFonts w:hint="eastAsia" w:ascii="仿宋_GB2312" w:hAnsi="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个行政村</w:t>
      </w:r>
      <w:r>
        <w:rPr>
          <w:rFonts w:hint="eastAsia" w:ascii="仿宋_GB2312" w:hAnsi="仿宋_GB2312" w:cs="仿宋_GB2312"/>
          <w:color w:val="000000" w:themeColor="text1"/>
          <w:sz w:val="32"/>
          <w:szCs w:val="32"/>
          <w:lang w:val="zh-CN"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总共</w:t>
      </w:r>
      <w:r>
        <w:rPr>
          <w:rFonts w:hint="eastAsia" w:ascii="仿宋_GB2312" w:hAnsi="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名村干部。</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（二）机构职能</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镇党委工作职责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镇党委是本镇各项工作的领导核心，是农村改革和经济建设的直接组织者和领导者，其主要职责: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1.负责贯彻执行党的路线方针政策和上级党组织及本镇党员代表大会的决议;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2.讨论决定本镇经济建设和社会发展的重大问题;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3.领导镇政权机关和群众组织，支持和保证这些机机关和组织依照国家法律法规及各自章程充分行使职权;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4.加强镇党委自身建设和以党支部为核心的村级组织建设;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5.按照干部管理权限，负责对干部的教育、培养、选拔、考核和监督工作;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6.领导本镇的社会主义民主法制建设和精神文明建设，以及社会治安综合治理、维护稳定、党风廉政和计划生育等工作。</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镇人民代表大会工作职责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1.负责召开本级人民代表大会会议的具体准备工作: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2.负责联系本级人民代表大会代表，组织代表开展活动，总结交流代表小组活动经验；</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3.反映代表和群众对本级人民政府工作的建议、批评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意见；</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4.参加本级人民政府的重要会议;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5.组织实施本级人民代表大会和主席团决定的事项；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6.督促办理代表和人民群众的来信来访。</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镇人民政府工作职责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1.贯彻执行党的路线方针政策和国家法律法规，贯彻执</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行上级行政机关的决议、命令及同级党委的决定，执行镇人民代表大会的决议;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2.对镇人民代表大会及其主席团和上级行政机关负责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并报告工作;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3.编制和执行镇国民经济和社会发展计划，编制并执</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执行行政预算;</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4.管理本行政区域经济和各项社会事业的行政工作；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5.负责辖区内法律赋予的行政执法工作，维护社会秩序，保护公民人身、民主、财产等权利，保护各种经济组织的合法权益;</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6.指导、支持和帮助村民委员会工作;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7.法律规定赋予的其它职责。</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纪委（派出监察室）工作职责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3.领导下辖纪检组织的工作，指导村务监督机构的工作。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4.负责村（社）纪检监察组织的自身建设。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5.完成县纪委监委和乡镇党委交办的其他任务。</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镇人民武装部工作职责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1.负责民兵组织建设、政治教育、军事训练;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2.为本系统自主择业转业干部提供管理和服务;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3.组织带领民兵完成战备执勤任务，配合公安部门维护社会治安;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4.战时组织带领民兵参军参战，支援前线;</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5.负责征兵工作和预备役士兵、预备役军官登记统计等工作;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6.协同预备役部(分)队落实参训人员，做好兵员管理、动员集结等工作;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7.协助有关部门开展国防教育，做好退伍人员的安置和烈军属的优抚工作;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8.完成地方党委、人民政府和上级军事机关交给的其他工作任务。</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（三）人员概况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全镇总编制</w:t>
      </w:r>
      <w:r>
        <w:rPr>
          <w:rFonts w:hint="eastAsia" w:ascii="仿宋_GB2312" w:hAnsi="仿宋_GB2312" w:cs="仿宋_GB2312"/>
          <w:color w:val="000000" w:themeColor="text1"/>
          <w:sz w:val="32"/>
          <w:szCs w:val="32"/>
          <w:lang w:val="en-US" w:eastAsia="zh-CN"/>
          <w14:textFill>
            <w14:solidFill>
              <w14:schemeClr w14:val="tx1"/>
            </w14:solidFill>
          </w14:textFill>
        </w:rPr>
        <w:t>37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名，其中：行政编制：</w:t>
      </w:r>
      <w:r>
        <w:rPr>
          <w:rFonts w:hint="eastAsia" w:ascii="仿宋_GB2312" w:hAnsi="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名，事业编制：</w:t>
      </w:r>
      <w:r>
        <w:rPr>
          <w:rFonts w:hint="eastAsia" w:ascii="仿宋_GB2312" w:hAnsi="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名，行政工勤编制：</w:t>
      </w:r>
      <w:r>
        <w:rPr>
          <w:rFonts w:hint="eastAsia" w:ascii="仿宋_GB2312" w:hAnsi="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名。有编在岗人员总数名，其中：行政人员</w:t>
      </w:r>
      <w:r>
        <w:rPr>
          <w:rFonts w:hint="eastAsia" w:ascii="仿宋_GB2312" w:hAnsi="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名，事业人员</w:t>
      </w:r>
      <w:r>
        <w:rPr>
          <w:rFonts w:hint="eastAsia" w:ascii="仿宋_GB2312" w:hAnsi="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名，行政工勤人员</w:t>
      </w:r>
      <w:r>
        <w:rPr>
          <w:rFonts w:hint="eastAsia" w:ascii="仿宋_GB2312" w:hAnsi="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w:t>
      </w:r>
      <w:r>
        <w:rPr>
          <w:rFonts w:hint="eastAsia" w:ascii="仿宋_GB2312" w:hAnsi="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退休人员</w:t>
      </w:r>
      <w:r>
        <w:rPr>
          <w:rFonts w:hint="eastAsia" w:ascii="仿宋_GB2312" w:hAnsi="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人，退职人员0名。</w:t>
      </w:r>
      <w:r>
        <w:rPr>
          <w:rFonts w:hint="eastAsia" w:ascii="仿宋_GB2312" w:hAnsi="仿宋_GB2312" w:cs="仿宋_GB2312"/>
          <w:color w:val="000000" w:themeColor="text1"/>
          <w:sz w:val="32"/>
          <w:szCs w:val="32"/>
          <w:lang w:val="en-US" w:eastAsia="zh-CN"/>
          <w14:textFill>
            <w14:solidFill>
              <w14:schemeClr w14:val="tx1"/>
            </w14:solidFill>
          </w14:textFill>
        </w:rPr>
        <w:t>安曲镇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下辖</w:t>
      </w:r>
      <w:r>
        <w:rPr>
          <w:rFonts w:hint="eastAsia" w:ascii="仿宋_GB2312" w:hAnsi="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个行政村，</w:t>
      </w:r>
      <w:r>
        <w:rPr>
          <w:rFonts w:hint="eastAsia" w:ascii="仿宋_GB2312" w:hAnsi="仿宋_GB2312" w:cs="仿宋_GB2312"/>
          <w:color w:val="000000" w:themeColor="text1"/>
          <w:sz w:val="32"/>
          <w:szCs w:val="32"/>
          <w:lang w:val="en-US" w:eastAsia="zh-CN"/>
          <w14:textFill>
            <w14:solidFill>
              <w14:schemeClr w14:val="tx1"/>
            </w14:solidFill>
          </w14:textFill>
        </w:rPr>
        <w:t>村干部15名，村民小组长26名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r>
        <w:rPr>
          <w:rFonts w:hint="eastAsia" w:ascii="仿宋_GB2312" w:hAnsi="仿宋_GB2312" w:eastAsia="仿宋_GB2312" w:cs="仿宋_GB2312"/>
          <w:b/>
          <w:bCs/>
          <w:i w:val="0"/>
          <w:iCs w:val="0"/>
          <w:caps w:val="0"/>
          <w:color w:val="333333"/>
          <w:spacing w:val="0"/>
          <w:sz w:val="32"/>
          <w:szCs w:val="32"/>
          <w:shd w:val="clear" w:fill="FFFFFF"/>
          <w:lang w:bidi="ar"/>
        </w:rPr>
        <w:t>二、部门财政支出管理情况</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（一）部门财政资金收入情况</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安曲镇</w:t>
      </w:r>
      <w:r>
        <w:rPr>
          <w:rFonts w:hint="eastAsia" w:ascii="仿宋_GB2312" w:hAnsi="仿宋_GB2312" w:eastAsia="仿宋_GB2312" w:cs="仿宋_GB2312"/>
          <w:color w:val="000000" w:themeColor="text1"/>
          <w:sz w:val="32"/>
          <w:szCs w:val="32"/>
          <w14:textFill>
            <w14:solidFill>
              <w14:schemeClr w14:val="tx1"/>
            </w14:solidFill>
          </w14:textFill>
        </w:rPr>
        <w:t>人民政府收入预算总额为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660.6092</w:t>
      </w:r>
      <w:r>
        <w:rPr>
          <w:rFonts w:hint="eastAsia" w:ascii="仿宋_GB2312" w:hAnsi="仿宋_GB2312" w:eastAsia="仿宋_GB2312" w:cs="仿宋_GB2312"/>
          <w:color w:val="000000" w:themeColor="text1"/>
          <w:sz w:val="32"/>
          <w:szCs w:val="32"/>
          <w14:textFill>
            <w14:solidFill>
              <w14:schemeClr w14:val="tx1"/>
            </w14:solidFill>
          </w14:textFill>
        </w:rPr>
        <w:t>万元，其中：当年财政拨款收入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660.6092</w:t>
      </w:r>
      <w:r>
        <w:rPr>
          <w:rFonts w:hint="eastAsia" w:ascii="仿宋_GB2312" w:hAnsi="仿宋_GB2312" w:eastAsia="仿宋_GB2312" w:cs="仿宋_GB2312"/>
          <w:color w:val="000000" w:themeColor="text1"/>
          <w:sz w:val="32"/>
          <w:szCs w:val="32"/>
          <w14:textFill>
            <w14:solidFill>
              <w14:schemeClr w14:val="tx1"/>
            </w14:solidFill>
          </w14:textFill>
        </w:rPr>
        <w:t>万元。相应安排支出预算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660.6092</w:t>
      </w:r>
      <w:r>
        <w:rPr>
          <w:rFonts w:hint="eastAsia" w:ascii="仿宋_GB2312" w:hAnsi="仿宋_GB2312" w:eastAsia="仿宋_GB2312" w:cs="仿宋_GB2312"/>
          <w:color w:val="000000" w:themeColor="text1"/>
          <w:sz w:val="32"/>
          <w:szCs w:val="32"/>
          <w14:textFill>
            <w14:solidFill>
              <w14:schemeClr w14:val="tx1"/>
            </w14:solidFill>
          </w14:textFill>
        </w:rPr>
        <w:t>万元，其中：一般公共服务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433.9996</w:t>
      </w:r>
      <w:r>
        <w:rPr>
          <w:rFonts w:hint="eastAsia" w:ascii="仿宋_GB2312" w:hAnsi="仿宋_GB2312" w:eastAsia="仿宋_GB2312" w:cs="仿宋_GB2312"/>
          <w:color w:val="000000" w:themeColor="text1"/>
          <w:sz w:val="32"/>
          <w:szCs w:val="32"/>
          <w14:textFill>
            <w14:solidFill>
              <w14:schemeClr w14:val="tx1"/>
            </w14:solidFill>
          </w14:textFill>
        </w:rPr>
        <w:t>万元，社会保障和就业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68.024</w:t>
      </w:r>
      <w:r>
        <w:rPr>
          <w:rFonts w:hint="eastAsia" w:ascii="仿宋_GB2312" w:hAnsi="仿宋_GB2312" w:eastAsia="仿宋_GB2312" w:cs="仿宋_GB2312"/>
          <w:color w:val="000000" w:themeColor="text1"/>
          <w:sz w:val="32"/>
          <w:szCs w:val="32"/>
          <w14:textFill>
            <w14:solidFill>
              <w14:schemeClr w14:val="tx1"/>
            </w14:solidFill>
          </w14:textFill>
        </w:rPr>
        <w:t>万元，医疗卫生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35.7821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城乡社区支出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10.00万元，</w:t>
      </w:r>
      <w:r>
        <w:rPr>
          <w:rFonts w:hint="eastAsia" w:ascii="仿宋_GB2312" w:hAnsi="仿宋_GB2312" w:eastAsia="仿宋_GB2312" w:cs="仿宋_GB2312"/>
          <w:color w:val="000000" w:themeColor="text1"/>
          <w:sz w:val="32"/>
          <w:szCs w:val="32"/>
          <w14:textFill>
            <w14:solidFill>
              <w14:schemeClr w14:val="tx1"/>
            </w14:solidFill>
          </w14:textFill>
        </w:rPr>
        <w:t>农林水支出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62.296</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50.5075</w:t>
      </w:r>
      <w:r>
        <w:rPr>
          <w:rFonts w:hint="eastAsia" w:ascii="仿宋_GB2312" w:hAnsi="仿宋_GB2312" w:eastAsia="仿宋_GB2312" w:cs="仿宋_GB2312"/>
          <w:color w:val="000000" w:themeColor="text1"/>
          <w:sz w:val="32"/>
          <w:szCs w:val="32"/>
          <w14:textFill>
            <w14:solidFill>
              <w14:schemeClr w14:val="tx1"/>
            </w14:solidFill>
          </w14:textFill>
        </w:rPr>
        <w:t>万元。</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（二）支出预算安排情况</w:t>
      </w:r>
    </w:p>
    <w:p>
      <w:pPr>
        <w:spacing w:line="56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安曲镇</w:t>
      </w:r>
      <w:r>
        <w:rPr>
          <w:rFonts w:hint="eastAsia" w:ascii="仿宋_GB2312" w:hAnsi="仿宋_GB2312" w:eastAsia="仿宋_GB2312" w:cs="仿宋_GB2312"/>
          <w:color w:val="000000" w:themeColor="text1"/>
          <w:sz w:val="32"/>
          <w:szCs w:val="32"/>
          <w14:textFill>
            <w14:solidFill>
              <w14:schemeClr w14:val="tx1"/>
            </w14:solidFill>
          </w14:textFill>
        </w:rPr>
        <w:t xml:space="preserve">人民政府预算安排支出主要用于保障本部门机构正常运转、完成日常工作任务以及承担政府事业发展相关工作。  </w:t>
      </w:r>
    </w:p>
    <w:p>
      <w:pPr>
        <w:spacing w:line="560" w:lineRule="exact"/>
        <w:ind w:firstLine="640" w:firstLineChars="200"/>
        <w:jc w:val="left"/>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基本支出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620.0272</w:t>
      </w:r>
      <w:r>
        <w:rPr>
          <w:rFonts w:hint="eastAsia" w:ascii="仿宋_GB2312" w:hAnsi="仿宋_GB2312" w:eastAsia="仿宋_GB2312" w:cs="仿宋_GB2312"/>
          <w:color w:val="000000" w:themeColor="text1"/>
          <w:sz w:val="32"/>
          <w:szCs w:val="32"/>
          <w14:textFill>
            <w14:solidFill>
              <w14:schemeClr w14:val="tx1"/>
            </w14:solidFill>
          </w14:textFill>
        </w:rPr>
        <w:t>万元。其中人员经费支出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568.9736</w:t>
      </w:r>
      <w:r>
        <w:rPr>
          <w:rFonts w:hint="eastAsia" w:ascii="仿宋_GB2312" w:hAnsi="仿宋_GB2312" w:eastAsia="仿宋_GB2312" w:cs="仿宋_GB2312"/>
          <w:color w:val="000000" w:themeColor="text1"/>
          <w:sz w:val="32"/>
          <w:szCs w:val="32"/>
          <w14:textFill>
            <w14:solidFill>
              <w14:schemeClr w14:val="tx1"/>
            </w14:solidFill>
          </w14:textFill>
        </w:rPr>
        <w:t>万元，机关运行经费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51.0536</w:t>
      </w:r>
      <w:r>
        <w:rPr>
          <w:rFonts w:hint="eastAsia" w:ascii="仿宋_GB2312" w:hAnsi="仿宋_GB2312" w:eastAsia="仿宋_GB2312" w:cs="仿宋_GB2312"/>
          <w:color w:val="000000" w:themeColor="text1"/>
          <w:sz w:val="32"/>
          <w:szCs w:val="32"/>
          <w14:textFill>
            <w14:solidFill>
              <w14:schemeClr w14:val="tx1"/>
            </w14:solidFill>
          </w14:textFill>
        </w:rPr>
        <w:t>万元，其中办公费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14.4857</w:t>
      </w:r>
      <w:r>
        <w:rPr>
          <w:rFonts w:hint="eastAsia" w:ascii="仿宋_GB2312" w:hAnsi="仿宋_GB2312" w:eastAsia="仿宋_GB2312" w:cs="仿宋_GB2312"/>
          <w:color w:val="000000" w:themeColor="text1"/>
          <w:sz w:val="32"/>
          <w:szCs w:val="32"/>
          <w14:textFill>
            <w14:solidFill>
              <w14:schemeClr w14:val="tx1"/>
            </w14:solidFill>
          </w14:textFill>
        </w:rPr>
        <w:t>万元，印刷费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color w:val="000000" w:themeColor="text1"/>
          <w:sz w:val="32"/>
          <w:szCs w:val="32"/>
          <w14:textFill>
            <w14:solidFill>
              <w14:schemeClr w14:val="tx1"/>
            </w14:solidFill>
          </w14:textFill>
        </w:rPr>
        <w:t>万元，电费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万元，邮电费2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万元，取暖费1万元，差旅费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维修（护）费0.8万元，会议费0.8万元，</w:t>
      </w:r>
      <w:r>
        <w:rPr>
          <w:rFonts w:hint="eastAsia" w:ascii="仿宋_GB2312" w:hAnsi="仿宋_GB2312" w:eastAsia="仿宋_GB2312" w:cs="仿宋_GB2312"/>
          <w:color w:val="000000" w:themeColor="text1"/>
          <w:sz w:val="32"/>
          <w:szCs w:val="32"/>
          <w14:textFill>
            <w14:solidFill>
              <w14:schemeClr w14:val="tx1"/>
            </w14:solidFill>
          </w14:textFill>
        </w:rPr>
        <w:t>培训费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w:t>
      </w:r>
      <w:r>
        <w:rPr>
          <w:rFonts w:hint="eastAsia" w:ascii="仿宋_GB2312" w:hAnsi="仿宋_GB2312" w:eastAsia="仿宋_GB2312" w:cs="仿宋_GB2312"/>
          <w:color w:val="000000" w:themeColor="text1"/>
          <w:sz w:val="32"/>
          <w:szCs w:val="32"/>
          <w14:textFill>
            <w14:solidFill>
              <w14:schemeClr w14:val="tx1"/>
            </w14:solidFill>
          </w14:textFill>
        </w:rPr>
        <w:t>万元，公务接待费0.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劳务费2万元，</w:t>
      </w:r>
      <w:r>
        <w:rPr>
          <w:rFonts w:hint="eastAsia" w:ascii="仿宋_GB2312" w:hAnsi="仿宋_GB2312" w:eastAsia="仿宋_GB2312" w:cs="仿宋_GB2312"/>
          <w:color w:val="000000" w:themeColor="text1"/>
          <w:sz w:val="32"/>
          <w:szCs w:val="32"/>
          <w14:textFill>
            <w14:solidFill>
              <w14:schemeClr w14:val="tx1"/>
            </w14:solidFill>
          </w14:textFill>
        </w:rPr>
        <w:t>工会经费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4.1598</w:t>
      </w:r>
      <w:r>
        <w:rPr>
          <w:rFonts w:hint="eastAsia" w:ascii="仿宋_GB2312" w:hAnsi="仿宋_GB2312" w:eastAsia="仿宋_GB2312" w:cs="仿宋_GB2312"/>
          <w:color w:val="000000" w:themeColor="text1"/>
          <w:sz w:val="32"/>
          <w:szCs w:val="32"/>
          <w14:textFill>
            <w14:solidFill>
              <w14:schemeClr w14:val="tx1"/>
            </w14:solidFill>
          </w14:textFill>
        </w:rPr>
        <w:t>万元，公务用车运行维护费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9.7</w:t>
      </w:r>
      <w:r>
        <w:rPr>
          <w:rFonts w:hint="eastAsia" w:ascii="仿宋_GB2312" w:hAnsi="仿宋_GB2312" w:eastAsia="仿宋_GB2312" w:cs="仿宋_GB2312"/>
          <w:color w:val="000000" w:themeColor="text1"/>
          <w:sz w:val="32"/>
          <w:szCs w:val="32"/>
          <w14:textFill>
            <w14:solidFill>
              <w14:schemeClr w14:val="tx1"/>
            </w14:solidFill>
          </w14:textFill>
        </w:rPr>
        <w:t>万元，信息网络构建费0.408万元。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r>
        <w:rPr>
          <w:rFonts w:hint="eastAsia" w:ascii="仿宋_GB2312" w:hAnsi="仿宋_GB2312" w:eastAsia="仿宋_GB2312" w:cs="仿宋_GB2312"/>
          <w:b/>
          <w:bCs/>
          <w:i w:val="0"/>
          <w:iCs w:val="0"/>
          <w:caps w:val="0"/>
          <w:color w:val="333333"/>
          <w:spacing w:val="0"/>
          <w:sz w:val="32"/>
          <w:szCs w:val="32"/>
          <w:shd w:val="clear" w:fill="FFFFFF"/>
          <w:lang w:bidi="ar"/>
        </w:rPr>
        <w:t>三、部门整体预算绩效管理情况</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（一）综合管理情况</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1.</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资产管理情况</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2.</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内控制度管理</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一、明确了记账人员与审批人员、经办人员的职责权限，使其相互分离、相互制约，以明确责任，防止舞弊，各项业务事项得以有序进行。</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二、明确了财务收支审批程序和审批人的权限和责任，规范了各项资金的使用，提高了资金使用效益。</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三、明确经费支出的范围和开支标准，采取各种有效措施控制经费开支，杜绝了浪费现象的发生。</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四、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keepNext w:val="0"/>
        <w:keepLines w:val="0"/>
        <w:pageBreakBefore w:val="0"/>
        <w:kinsoku/>
        <w:wordWrap/>
        <w:overflowPunct/>
        <w:topLinePunct w:val="0"/>
        <w:bidi w:val="0"/>
        <w:spacing w:line="576" w:lineRule="exact"/>
        <w:ind w:firstLine="643" w:firstLineChars="200"/>
        <w:textAlignment w:val="auto"/>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cs="仿宋_GB2312"/>
          <w:b/>
          <w:bCs/>
          <w:i w:val="0"/>
          <w:iCs w:val="0"/>
          <w:caps w:val="0"/>
          <w:color w:val="333333"/>
          <w:spacing w:val="0"/>
          <w:kern w:val="0"/>
          <w:sz w:val="32"/>
          <w:szCs w:val="32"/>
          <w:shd w:val="clear" w:fill="FFFFFF"/>
          <w:lang w:val="en-US" w:eastAsia="zh-CN" w:bidi="ar"/>
        </w:rPr>
        <w:t>3.</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信息(三公及预算决算)公开情况</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根据县政府相关工作要求，及时依法在政府官方网站对“三公经费”及预算、决算进行公示，授受社会的监督。</w:t>
      </w:r>
    </w:p>
    <w:p>
      <w:pPr>
        <w:keepNext w:val="0"/>
        <w:keepLines w:val="0"/>
        <w:pageBreakBefore w:val="0"/>
        <w:kinsoku/>
        <w:wordWrap/>
        <w:overflowPunct/>
        <w:topLinePunct w:val="0"/>
        <w:bidi w:val="0"/>
        <w:spacing w:line="576" w:lineRule="exact"/>
        <w:ind w:firstLine="643" w:firstLineChars="200"/>
        <w:textAlignment w:val="auto"/>
        <w:rPr>
          <w:rFonts w:hint="eastAsia" w:ascii="仿宋_GB2312" w:hAnsi="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cs="仿宋_GB2312"/>
          <w:b/>
          <w:bCs/>
          <w:i w:val="0"/>
          <w:iCs w:val="0"/>
          <w:caps w:val="0"/>
          <w:color w:val="333333"/>
          <w:spacing w:val="0"/>
          <w:kern w:val="0"/>
          <w:sz w:val="32"/>
          <w:szCs w:val="32"/>
          <w:shd w:val="clear" w:fill="FFFFFF"/>
          <w:lang w:val="en-US" w:eastAsia="zh-CN" w:bidi="ar"/>
        </w:rPr>
        <w:t>4.</w:t>
      </w:r>
      <w:r>
        <w:rPr>
          <w:rFonts w:hint="eastAsia" w:ascii="仿宋_GB2312" w:hAnsi="仿宋_GB2312" w:cs="仿宋_GB2312"/>
          <w:b/>
          <w:bCs/>
          <w:i w:val="0"/>
          <w:iCs w:val="0"/>
          <w:caps w:val="0"/>
          <w:color w:val="333333"/>
          <w:spacing w:val="0"/>
          <w:kern w:val="0"/>
          <w:sz w:val="32"/>
          <w:szCs w:val="32"/>
          <w:shd w:val="clear" w:fill="FFFFFF"/>
          <w:lang w:val="zh-CN" w:eastAsia="zh-CN" w:bidi="ar"/>
        </w:rPr>
        <w:t>财务财政监督情况</w:t>
      </w:r>
    </w:p>
    <w:p>
      <w:pPr>
        <w:keepNext w:val="0"/>
        <w:keepLines w:val="0"/>
        <w:pageBreakBefore w:val="0"/>
        <w:kinsoku/>
        <w:wordWrap/>
        <w:overflowPunct/>
        <w:topLinePunct w:val="0"/>
        <w:bidi w:val="0"/>
        <w:spacing w:line="576" w:lineRule="exact"/>
        <w:ind w:firstLine="640" w:firstLineChars="200"/>
        <w:textAlignment w:val="auto"/>
        <w:rPr>
          <w:rFonts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（二）</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执行管理情况</w:t>
      </w:r>
    </w:p>
    <w:p>
      <w:pPr>
        <w:pStyle w:val="6"/>
        <w:keepNext w:val="0"/>
        <w:keepLines w:val="0"/>
        <w:pageBreakBefore w:val="0"/>
        <w:kinsoku/>
        <w:wordWrap/>
        <w:overflowPunct/>
        <w:topLinePunct w:val="0"/>
        <w:autoSpaceDE/>
        <w:autoSpaceDN/>
        <w:bidi w:val="0"/>
        <w:spacing w:before="72" w:afterAutospacing="0" w:line="576"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在预算执行中，我</w:t>
      </w:r>
      <w:r>
        <w:rPr>
          <w:rFonts w:hint="eastAsia" w:ascii="仿宋" w:hAnsi="仿宋" w:eastAsia="仿宋" w:cs="仿宋"/>
          <w:color w:val="000000" w:themeColor="text1"/>
          <w:sz w:val="32"/>
          <w:szCs w:val="32"/>
          <w:lang w:eastAsia="zh-CN"/>
          <w14:textFill>
            <w14:solidFill>
              <w14:schemeClr w14:val="tx1"/>
            </w14:solidFill>
          </w14:textFill>
        </w:rPr>
        <w:t>镇</w:t>
      </w:r>
      <w:r>
        <w:rPr>
          <w:rFonts w:hint="eastAsia" w:ascii="仿宋" w:hAnsi="仿宋" w:eastAsia="仿宋" w:cs="仿宋"/>
          <w:color w:val="000000" w:themeColor="text1"/>
          <w:sz w:val="32"/>
          <w:szCs w:val="32"/>
          <w14:textFill>
            <w14:solidFill>
              <w14:schemeClr w14:val="tx1"/>
            </w14:solidFill>
          </w14:textFill>
        </w:rPr>
        <w:t>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cs="仿宋_GB2312"/>
          <w:b/>
          <w:bCs/>
          <w:i w:val="0"/>
          <w:iCs w:val="0"/>
          <w:caps w:val="0"/>
          <w:color w:val="333333"/>
          <w:spacing w:val="0"/>
          <w:kern w:val="0"/>
          <w:sz w:val="32"/>
          <w:szCs w:val="32"/>
          <w:shd w:val="clear" w:fill="FFFFFF"/>
          <w:lang w:val="zh-CN" w:eastAsia="zh-CN" w:bidi="ar"/>
        </w:rPr>
        <w:t>（三）</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整体绩效情况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Autospacing="0" w:afterAutospacing="0" w:line="576" w:lineRule="exact"/>
        <w:ind w:left="0" w:leftChars="0"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综合考虑，今年全镇经济社会发展主要预期目标是：地区生产总值增长</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%以上，全社会固定资产投资增长</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%，社会消费品零售总额增长</w:t>
      </w:r>
      <w:r>
        <w:rPr>
          <w:rFonts w:hint="eastAsia" w:ascii="仿宋_GB2312" w:hAnsi="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%，城乡居民人均可支配收入稳步增长</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r>
        <w:rPr>
          <w:rFonts w:hint="eastAsia" w:ascii="仿宋_GB2312" w:hAnsi="仿宋_GB2312" w:eastAsia="仿宋_GB2312" w:cs="仿宋_GB2312"/>
          <w:b/>
          <w:bCs/>
          <w:i w:val="0"/>
          <w:iCs w:val="0"/>
          <w:caps w:val="0"/>
          <w:color w:val="333333"/>
          <w:spacing w:val="0"/>
          <w:sz w:val="32"/>
          <w:szCs w:val="32"/>
          <w:shd w:val="clear" w:fill="FFFFFF"/>
          <w:lang w:bidi="ar"/>
        </w:rPr>
        <w:t>四、评价结论及建议</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（一）评价结论</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outlineLvl w:val="1"/>
        <w:rPr>
          <w:rFonts w:hint="eastAsia" w:ascii="仿宋_GB2312" w:hAnsi="宋体" w:cs="宋体"/>
          <w:color w:val="000000" w:themeColor="text1"/>
          <w:kern w:val="0"/>
          <w:lang w:val="zh-CN" w:eastAsia="zh-CN"/>
          <w14:textFill>
            <w14:solidFill>
              <w14:schemeClr w14:val="tx1"/>
            </w14:solidFill>
          </w14:textFill>
        </w:rPr>
      </w:pPr>
      <w:r>
        <w:rPr>
          <w:rFonts w:hint="eastAsia" w:ascii="仿宋_GB2312" w:hAnsi="宋体" w:cs="宋体"/>
          <w:color w:val="000000" w:themeColor="text1"/>
          <w:kern w:val="0"/>
          <w:lang w:val="en-US" w:eastAsia="zh-CN"/>
          <w14:textFill>
            <w14:solidFill>
              <w14:schemeClr w14:val="tx1"/>
            </w14:solidFill>
          </w14:textFill>
        </w:rPr>
        <w:t>自评分数94分，自评等级为优秀。</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（二）存在问题</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outlineLvl w:val="1"/>
        <w:rPr>
          <w:rFonts w:hint="eastAsia" w:ascii="仿宋_GB2312" w:hAnsi="宋体" w:cs="宋体"/>
          <w:color w:val="000000" w:themeColor="text1"/>
          <w:kern w:val="0"/>
          <w:lang w:val="en-US" w:eastAsia="zh-CN"/>
          <w14:textFill>
            <w14:solidFill>
              <w14:schemeClr w14:val="tx1"/>
            </w14:solidFill>
          </w14:textFill>
        </w:rPr>
      </w:pPr>
      <w:r>
        <w:rPr>
          <w:rFonts w:hint="eastAsia" w:ascii="仿宋_GB2312" w:hAnsi="宋体" w:cs="宋体"/>
          <w:color w:val="000000" w:themeColor="text1"/>
          <w:kern w:val="0"/>
          <w:lang w:val="en-US" w:eastAsia="zh-CN"/>
          <w14:textFill>
            <w14:solidFill>
              <w14:schemeClr w14:val="tx1"/>
            </w14:solidFill>
          </w14:textFill>
        </w:rPr>
        <w:t>1.资产录入系统不及时，未定期清查盘点，未及时报废已到使用年限的资产。</w:t>
      </w:r>
    </w:p>
    <w:p>
      <w:pPr>
        <w:pStyle w:val="4"/>
        <w:keepNext w:val="0"/>
        <w:keepLines w:val="0"/>
        <w:pageBreakBefore w:val="0"/>
        <w:kinsoku/>
        <w:wordWrap/>
        <w:overflowPunct/>
        <w:topLinePunct w:val="0"/>
        <w:bidi w:val="0"/>
        <w:spacing w:line="576" w:lineRule="exact"/>
        <w:textAlignment w:val="auto"/>
        <w:rPr>
          <w:rFonts w:hint="eastAsia" w:ascii="仿宋_GB2312" w:hAnsi="宋体" w:cs="宋体"/>
          <w:color w:val="000000" w:themeColor="text1"/>
          <w:kern w:val="0"/>
          <w:lang w:val="en-US" w:eastAsia="zh-CN"/>
          <w14:textFill>
            <w14:solidFill>
              <w14:schemeClr w14:val="tx1"/>
            </w14:solidFill>
          </w14:textFill>
        </w:rPr>
      </w:pPr>
      <w:r>
        <w:rPr>
          <w:rFonts w:hint="eastAsia" w:ascii="仿宋_GB2312" w:hAnsi="宋体" w:cs="宋体"/>
          <w:color w:val="000000" w:themeColor="text1"/>
          <w:kern w:val="0"/>
          <w:lang w:val="en-US" w:eastAsia="zh-CN"/>
          <w14:textFill>
            <w14:solidFill>
              <w14:schemeClr w14:val="tx1"/>
            </w14:solidFill>
          </w14:textFill>
        </w:rPr>
        <w:t>2.内控制度建立的不够健全、完善、责任划分不够明确、执行力度不强。</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hint="default" w:ascii="仿宋_GB2312" w:hAnsi="宋体" w:cs="宋体"/>
          <w:color w:val="000000" w:themeColor="text1"/>
          <w:kern w:val="0"/>
          <w:lang w:val="en-US" w:eastAsia="zh-CN"/>
          <w14:textFill>
            <w14:solidFill>
              <w14:schemeClr w14:val="tx1"/>
            </w14:solidFill>
          </w14:textFill>
        </w:rPr>
      </w:pPr>
      <w:r>
        <w:rPr>
          <w:rFonts w:hint="eastAsia" w:ascii="仿宋_GB2312" w:hAnsi="宋体" w:cs="宋体"/>
          <w:color w:val="000000" w:themeColor="text1"/>
          <w:kern w:val="0"/>
          <w:lang w:val="en-US" w:eastAsia="zh-CN"/>
          <w14:textFill>
            <w14:solidFill>
              <w14:schemeClr w14:val="tx1"/>
            </w14:solidFill>
          </w14:textFill>
        </w:rPr>
        <w:t>3.</w:t>
      </w:r>
      <w:r>
        <w:rPr>
          <w:rFonts w:hint="eastAsia" w:ascii="仿宋_GB2312" w:eastAsia="仿宋_GB2312"/>
          <w:color w:val="000000" w:themeColor="text1"/>
          <w:sz w:val="32"/>
          <w:szCs w:val="32"/>
          <w:lang w:val="zh-CN"/>
          <w14:textFill>
            <w14:solidFill>
              <w14:schemeClr w14:val="tx1"/>
            </w14:solidFill>
          </w14:textFill>
        </w:rPr>
        <w:t>会计核算欠规范</w:t>
      </w:r>
      <w:r>
        <w:rPr>
          <w:rFonts w:hint="eastAsia" w:ascii="仿宋_GB2312"/>
          <w:color w:val="000000" w:themeColor="text1"/>
          <w:sz w:val="32"/>
          <w:szCs w:val="32"/>
          <w:lang w:val="zh-CN"/>
          <w14:textFill>
            <w14:solidFill>
              <w14:schemeClr w14:val="tx1"/>
            </w14:solidFill>
          </w14:textFill>
        </w:rPr>
        <w:t>，</w:t>
      </w:r>
      <w:r>
        <w:rPr>
          <w:rFonts w:hint="eastAsia" w:ascii="仿宋_GB2312" w:eastAsia="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（三）改进建议</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宋体"/>
          <w:color w:val="000000" w:themeColor="text1"/>
          <w:lang w:val="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1.</w:t>
      </w:r>
      <w:r>
        <w:rPr>
          <w:rFonts w:hint="eastAsia" w:ascii="仿宋_GB2312" w:hAnsi="宋体"/>
          <w:color w:val="000000" w:themeColor="text1"/>
          <w:lang w:val="zh-CN"/>
          <w14:textFill>
            <w14:solidFill>
              <w14:schemeClr w14:val="tx1"/>
            </w14:solidFill>
          </w14:textFill>
        </w:rPr>
        <w:t>单位资产管理由办公室总负责，使用人具体负责管理，对不能继续使用的资产由使用人交回办公室并提出申请，由办公室提供材料交给财务室按照相关程序统一处置。财政所应及时在系统中录入资产信息，每年对单位资产进行一次集中清理，对不能使用的资产及时报相关部门进行报废处理。</w:t>
      </w:r>
    </w:p>
    <w:p>
      <w:pPr>
        <w:pStyle w:val="4"/>
        <w:keepNext w:val="0"/>
        <w:keepLines w:val="0"/>
        <w:pageBreakBefore w:val="0"/>
        <w:kinsoku/>
        <w:wordWrap/>
        <w:overflowPunct/>
        <w:topLinePunct w:val="0"/>
        <w:bidi w:val="0"/>
        <w:spacing w:line="576" w:lineRule="exact"/>
        <w:textAlignment w:val="auto"/>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pP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进一步完善内部管理制度，提升管理效能，更好地履行生态文明建设职能。</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ascii="仿宋_GB2312" w:eastAsia="仿宋_GB2312"/>
          <w:color w:val="000000" w:themeColor="text1"/>
          <w:sz w:val="32"/>
          <w:szCs w:val="32"/>
          <w:lang w:val="zh-CN"/>
          <w14:textFill>
            <w14:solidFill>
              <w14:schemeClr w14:val="tx1"/>
            </w14:solidFill>
          </w14:textFill>
        </w:rPr>
      </w:pPr>
      <w:r>
        <w:rPr>
          <w:rFonts w:hint="eastAsia" w:ascii="仿宋_GB2312" w:hAnsi="宋体" w:cs="Times New Roman"/>
          <w:color w:val="000000" w:themeColor="text1"/>
          <w:kern w:val="2"/>
          <w:sz w:val="32"/>
          <w:szCs w:val="32"/>
          <w:lang w:val="en-US" w:eastAsia="zh-CN" w:bidi="ar-SA"/>
          <w14:textFill>
            <w14:solidFill>
              <w14:schemeClr w14:val="tx1"/>
            </w14:solidFill>
          </w14:textFill>
        </w:rPr>
        <w:t>3.</w:t>
      </w:r>
      <w:r>
        <w:rPr>
          <w:rFonts w:hint="eastAsia" w:ascii="仿宋_GB2312" w:eastAsia="仿宋_GB2312"/>
          <w:color w:val="000000" w:themeColor="text1"/>
          <w:sz w:val="32"/>
          <w:szCs w:val="32"/>
          <w:lang w:val="zh-CN"/>
          <w14:textFill>
            <w14:solidFill>
              <w14:schemeClr w14:val="tx1"/>
            </w14:solidFill>
          </w14:textFill>
        </w:rPr>
        <w:t>规范账务处理，提高财务信息质量</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pStyle w:val="4"/>
        <w:keepNext w:val="0"/>
        <w:keepLines w:val="0"/>
        <w:pageBreakBefore w:val="0"/>
        <w:kinsoku/>
        <w:wordWrap/>
        <w:overflowPunct/>
        <w:topLinePunct w:val="0"/>
        <w:bidi w:val="0"/>
        <w:spacing w:line="576" w:lineRule="exact"/>
        <w:textAlignment w:val="auto"/>
        <w:rPr>
          <w:rFonts w:hint="default" w:ascii="仿宋_GB2312" w:hAnsi="宋体" w:eastAsia="仿宋_GB2312" w:cs="Times New Roman"/>
          <w:color w:val="000000" w:themeColor="text1"/>
          <w:kern w:val="2"/>
          <w:sz w:val="32"/>
          <w:szCs w:val="32"/>
          <w:lang w:val="en-US" w:eastAsia="zh-CN" w:bidi="ar-SA"/>
          <w14:textFill>
            <w14:solidFill>
              <w14:schemeClr w14:val="tx1"/>
            </w14:solidFill>
          </w14:textFill>
        </w:rPr>
      </w:pPr>
    </w:p>
    <w:p>
      <w:pPr>
        <w:pStyle w:val="4"/>
        <w:keepNext w:val="0"/>
        <w:keepLines w:val="0"/>
        <w:pageBreakBefore w:val="0"/>
        <w:kinsoku/>
        <w:wordWrap/>
        <w:overflowPunct/>
        <w:topLinePunct w:val="0"/>
        <w:bidi w:val="0"/>
        <w:spacing w:line="576" w:lineRule="exact"/>
        <w:ind w:left="0" w:leftChars="0" w:firstLine="4800" w:firstLineChars="1500"/>
        <w:textAlignment w:val="auto"/>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pPr>
    </w:p>
    <w:p>
      <w:pPr>
        <w:pStyle w:val="4"/>
        <w:keepNext w:val="0"/>
        <w:keepLines w:val="0"/>
        <w:pageBreakBefore w:val="0"/>
        <w:kinsoku/>
        <w:wordWrap/>
        <w:overflowPunct/>
        <w:topLinePunct w:val="0"/>
        <w:bidi w:val="0"/>
        <w:spacing w:line="576" w:lineRule="exact"/>
        <w:ind w:firstLine="4480" w:firstLineChars="1400"/>
        <w:textAlignment w:val="auto"/>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 xml:space="preserve"> 红原县</w:t>
      </w:r>
      <w:r>
        <w:rPr>
          <w:rFonts w:hint="eastAsia" w:ascii="仿宋_GB2312" w:hAnsi="宋体" w:cs="Times New Roman"/>
          <w:color w:val="000000" w:themeColor="text1"/>
          <w:kern w:val="2"/>
          <w:sz w:val="32"/>
          <w:szCs w:val="32"/>
          <w:lang w:val="en-US" w:eastAsia="zh-CN" w:bidi="ar-SA"/>
          <w14:textFill>
            <w14:solidFill>
              <w14:schemeClr w14:val="tx1"/>
            </w14:solidFill>
          </w14:textFill>
        </w:rPr>
        <w:t>安曲镇</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人民政府</w:t>
      </w:r>
    </w:p>
    <w:p>
      <w:pPr>
        <w:pStyle w:val="4"/>
        <w:keepNext w:val="0"/>
        <w:keepLines w:val="0"/>
        <w:pageBreakBefore w:val="0"/>
        <w:kinsoku/>
        <w:wordWrap/>
        <w:overflowPunct/>
        <w:topLinePunct w:val="0"/>
        <w:bidi w:val="0"/>
        <w:spacing w:line="576" w:lineRule="exact"/>
        <w:textAlignment w:val="auto"/>
        <w:rPr>
          <w:color w:val="000000" w:themeColor="text1"/>
          <w14:textFill>
            <w14:solidFill>
              <w14:schemeClr w14:val="tx1"/>
            </w14:solidFill>
          </w14:textFill>
        </w:rPr>
      </w:pP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 xml:space="preserve">                            202</w:t>
      </w:r>
      <w:r>
        <w:rPr>
          <w:rFonts w:hint="eastAsia" w:ascii="仿宋_GB2312" w:hAnsi="宋体" w:cs="Times New Roman"/>
          <w:color w:val="000000" w:themeColor="text1"/>
          <w:kern w:val="2"/>
          <w:sz w:val="32"/>
          <w:szCs w:val="32"/>
          <w:lang w:val="en-US"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年</w:t>
      </w:r>
      <w:r>
        <w:rPr>
          <w:rFonts w:hint="eastAsia" w:ascii="仿宋_GB2312" w:hAnsi="宋体" w:cs="Times New Roman"/>
          <w:color w:val="000000" w:themeColor="text1"/>
          <w:kern w:val="2"/>
          <w:sz w:val="32"/>
          <w:szCs w:val="32"/>
          <w:lang w:val="en-US" w:eastAsia="zh-CN" w:bidi="ar-SA"/>
          <w14:textFill>
            <w14:solidFill>
              <w14:schemeClr w14:val="tx1"/>
            </w14:solidFill>
          </w14:textFill>
        </w:rPr>
        <w:t>3</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月</w:t>
      </w:r>
      <w:r>
        <w:rPr>
          <w:rFonts w:hint="eastAsia" w:ascii="仿宋_GB2312" w:hAnsi="宋体" w:cs="Times New Roman"/>
          <w:color w:val="000000" w:themeColor="text1"/>
          <w:kern w:val="2"/>
          <w:sz w:val="32"/>
          <w:szCs w:val="32"/>
          <w:lang w:val="en-US" w:eastAsia="zh-CN" w:bidi="ar-SA"/>
          <w14:textFill>
            <w14:solidFill>
              <w14:schemeClr w14:val="tx1"/>
            </w14:solidFill>
          </w14:textFill>
        </w:rPr>
        <w:t>20</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日</w:t>
      </w:r>
    </w:p>
    <w:p>
      <w:pPr>
        <w:pStyle w:val="4"/>
        <w:keepNext w:val="0"/>
        <w:keepLines w:val="0"/>
        <w:pageBreakBefore w:val="0"/>
        <w:kinsoku/>
        <w:wordWrap/>
        <w:overflowPunct/>
        <w:topLinePunct w:val="0"/>
        <w:bidi w:val="0"/>
        <w:spacing w:line="576" w:lineRule="exact"/>
        <w:textAlignment w:val="auto"/>
        <w:rPr>
          <w:color w:val="000000" w:themeColor="text1"/>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BZDBT">
    <w:altName w:val="宋体"/>
    <w:panose1 w:val="02010601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911AE8"/>
    <w:rsid w:val="0039732C"/>
    <w:rsid w:val="09136147"/>
    <w:rsid w:val="0DA92ABC"/>
    <w:rsid w:val="15677EDE"/>
    <w:rsid w:val="21021D92"/>
    <w:rsid w:val="213478A6"/>
    <w:rsid w:val="27E6705E"/>
    <w:rsid w:val="2B911AE8"/>
    <w:rsid w:val="306232A0"/>
    <w:rsid w:val="36655B51"/>
    <w:rsid w:val="377D645B"/>
    <w:rsid w:val="4060096E"/>
    <w:rsid w:val="414F638D"/>
    <w:rsid w:val="498C5A96"/>
    <w:rsid w:val="4F250987"/>
    <w:rsid w:val="52DE121F"/>
    <w:rsid w:val="55E87AF6"/>
    <w:rsid w:val="5DA25284"/>
    <w:rsid w:val="5F0258CC"/>
    <w:rsid w:val="71033AE0"/>
    <w:rsid w:val="742D4913"/>
    <w:rsid w:val="773D1936"/>
    <w:rsid w:val="7B3F6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4">
    <w:name w:val="Normal Indent"/>
    <w:basedOn w:val="1"/>
    <w:qFormat/>
    <w:uiPriority w:val="0"/>
    <w:pPr>
      <w:ind w:firstLine="420" w:firstLineChars="200"/>
    </w:pPr>
    <w:rPr>
      <w:rFonts w:ascii="Calibri" w:hAnsi="Calibri" w:cs="黑体"/>
    </w:rPr>
  </w:style>
  <w:style w:type="paragraph" w:styleId="5">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6">
    <w:name w:val="Body Text"/>
    <w:basedOn w:val="1"/>
    <w:qFormat/>
    <w:uiPriority w:val="99"/>
    <w:pPr>
      <w:spacing w:beforeLines="30"/>
    </w:pPr>
    <w:rPr>
      <w:rFonts w:ascii="仿宋_GB2312" w:eastAsia="仿宋_GB2312"/>
      <w:kern w:val="0"/>
      <w:sz w:val="30"/>
    </w:rPr>
  </w:style>
  <w:style w:type="paragraph" w:styleId="7">
    <w:name w:val="Body Text Indent"/>
    <w:basedOn w:val="1"/>
    <w:next w:val="8"/>
    <w:qFormat/>
    <w:uiPriority w:val="99"/>
    <w:pPr>
      <w:spacing w:after="120"/>
      <w:ind w:left="420" w:leftChars="200"/>
    </w:pPr>
  </w:style>
  <w:style w:type="paragraph" w:styleId="8">
    <w:name w:val="Body Text First Indent 2"/>
    <w:basedOn w:val="7"/>
    <w:qFormat/>
    <w:uiPriority w:val="99"/>
    <w:pPr>
      <w:ind w:firstLine="420" w:firstLineChars="200"/>
    </w:pPr>
  </w:style>
  <w:style w:type="paragraph" w:styleId="9">
    <w:name w:val="Normal (Web)"/>
    <w:basedOn w:val="1"/>
    <w:qFormat/>
    <w:uiPriority w:val="99"/>
    <w:pPr>
      <w:spacing w:beforeAutospacing="1" w:afterAutospacing="1"/>
      <w:jc w:val="left"/>
    </w:pPr>
    <w:rPr>
      <w:rFonts w:ascii="Calibri" w:hAnsi="Calibri" w:eastAsia="宋?"/>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3417</Words>
  <Characters>3590</Characters>
  <Lines>0</Lines>
  <Paragraphs>0</Paragraphs>
  <TotalTime>0</TotalTime>
  <ScaleCrop>false</ScaleCrop>
  <LinksUpToDate>false</LinksUpToDate>
  <CharactersWithSpaces>3647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2022-03-16T03:41:00Z</dcterms:created>
  <dc:creator>错落</dc:creator>
  <cp:lastModifiedBy>￼不要太正经也不要太不正经</cp:lastModifiedBy>
  <cp:lastPrinted>2022-03-31T09:33:00Z</cp:lastPrinted>
  <dcterms:modified xsi:type="dcterms:W3CDTF">2022-04-07T10:10:09Z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40E419354E3847D19DD91FBA58BF36D1</vt:lpwstr>
  </property>
</Properties>
</file>