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before="0" w:beforeLines="0" w:after="0" w:afterLines="0" w:line="560" w:lineRule="exact"/>
        <w:jc w:val="both"/>
        <w:textAlignment w:val="auto"/>
        <w:rPr>
          <w:rFonts w:hint="eastAsia"/>
          <w:lang w:val="en-US" w:eastAsia="zh-CN"/>
        </w:rPr>
      </w:pP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before="0" w:beforeLines="0" w:after="0" w:afterLines="0"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lang w:val="en-US" w:eastAsia="zh-CN"/>
        </w:rPr>
        <w:t>红原县自然资源局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before="0" w:beforeLines="0" w:after="0" w:afterLines="0"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lang w:val="en-US" w:eastAsia="zh-CN"/>
        </w:rPr>
        <w:t>关于2021年整体支出绩效的报告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黑体" w:hAnsi="宋体" w:eastAsia="黑体" w:cs="宋体"/>
          <w:color w:val="000000"/>
          <w:kern w:val="0"/>
          <w:sz w:val="32"/>
          <w:szCs w:val="24"/>
          <w:lang w:val="en-US" w:eastAsia="zh-CN" w:bidi="ar"/>
        </w:rPr>
      </w:pP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rPr>
          <w:rFonts w:hint="eastAsia" w:eastAsia="仿宋_GB2312"/>
          <w:lang w:val="en-US" w:eastAsia="zh-CN"/>
        </w:rPr>
      </w:pPr>
      <w:r>
        <w:rPr>
          <w:rFonts w:hint="eastAsia"/>
          <w:lang w:val="en-US" w:eastAsia="zh-CN"/>
        </w:rPr>
        <w:t>红原县财政局：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黑体" w:hAnsi="宋体" w:eastAsia="黑体" w:cs="宋体"/>
          <w:color w:val="000000"/>
          <w:kern w:val="0"/>
          <w:lang w:val="zh-CN" w:eastAsia="zh-CN"/>
        </w:rPr>
      </w:pPr>
      <w:r>
        <w:rPr>
          <w:rFonts w:hint="eastAsia" w:ascii="黑体" w:hAnsi="宋体" w:eastAsia="黑体" w:cs="宋体"/>
          <w:color w:val="000000"/>
          <w:kern w:val="0"/>
          <w:sz w:val="32"/>
          <w:szCs w:val="24"/>
          <w:lang w:val="en-US" w:eastAsia="zh-CN" w:bidi="ar"/>
        </w:rPr>
        <w:t>一、</w:t>
      </w:r>
      <w:r>
        <w:rPr>
          <w:rFonts w:hint="eastAsia" w:ascii="黑体" w:hAnsi="宋体" w:eastAsia="黑体" w:cs="宋体"/>
          <w:color w:val="000000"/>
          <w:kern w:val="0"/>
          <w:sz w:val="32"/>
          <w:szCs w:val="24"/>
          <w:lang w:val="zh-CN" w:eastAsia="zh-CN" w:bidi="ar"/>
        </w:rPr>
        <w:t>部门概况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right="0" w:firstLine="643" w:firstLineChars="200"/>
        <w:jc w:val="left"/>
        <w:textAlignment w:val="auto"/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24"/>
          <w:lang w:val="zh-CN" w:eastAsia="zh-CN" w:bidi="ar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24"/>
          <w:lang w:val="zh-CN" w:eastAsia="zh-CN" w:bidi="ar"/>
        </w:rPr>
        <w:t>（一）机构组成。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24"/>
          <w:lang w:val="zh-CN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红原县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自然</w:t>
      </w:r>
      <w:r>
        <w:rPr>
          <w:rFonts w:hint="eastAsia" w:ascii="仿宋_GB2312" w:hAnsi="仿宋_GB2312" w:eastAsia="仿宋_GB2312" w:cs="仿宋_GB2312"/>
          <w:sz w:val="32"/>
          <w:szCs w:val="32"/>
        </w:rPr>
        <w:t>资源局现有办公室、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资源环境和矿产管理股、建设用地和规划股三个股室组成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right="0" w:firstLine="643" w:firstLineChars="200"/>
        <w:jc w:val="left"/>
        <w:textAlignment w:val="auto"/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24"/>
          <w:lang w:val="zh-CN" w:eastAsia="zh-CN" w:bidi="ar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24"/>
          <w:lang w:val="zh-CN" w:eastAsia="zh-CN" w:bidi="ar"/>
        </w:rPr>
        <w:t>机构职能。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（一）按照规定权限，履行全民所有土地、矿产、森林、草原、湿地、水等自然资源资产所有者职责和所有国土空间用途管制职责，制定有关政策措施并监督检查执行情况。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（二）负责全县自然资源调查监测评价。依照自然资源调查监测评价的指标体系和统计标准，建立统一规范的自然资源调查监测评价制度。实施自然资源基础调查、专项调查和监测。负责自然资源调查监测评价成果的监督管理和信息发布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（三）负责全县自然资源统一确权登记工作。组织实施各类自然资源和不动产统一确权登记、权籍调查、不动产测绘、争议调处、成果应用的制度、标准、规范。建立健全全县自然资源和不动产登记信息管理基础平台。负责自然资源和不动产登记资料收集、整理、共享、汇交管理等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（四）负责全县自然资源资产有偿使用工作。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（五）负责全县自然资源的合理开发利用。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（六）负责建立全县空间规划体系并监督实施，推进主体功能区战略和制度，组织编制并监督实施国土空间规划和相关专项规划。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（七）负责统筹全县国土空间生态修复。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（八）负责组织实施最严格的耕地保护制度。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（九）负责管理全县地质勘查行业和地质工作。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（十）负责落实综合防灾减灾规划相关要求，组织编制并实施地质灾害防治规划。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（十一）负责全县矿产资源管理工作。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（十二）负责全县测绘地理信息工作。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24"/>
          <w:lang w:val="zh-CN" w:eastAsia="zh-CN" w:bidi="ar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（十三）推动全县自然资源领域科技发展。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right="0" w:firstLine="643" w:firstLineChars="200"/>
        <w:jc w:val="left"/>
        <w:textAlignment w:val="auto"/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24"/>
          <w:lang w:val="zh-CN" w:eastAsia="zh-CN" w:bidi="ar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24"/>
          <w:lang w:val="zh-CN" w:eastAsia="zh-CN" w:bidi="ar"/>
        </w:rPr>
        <w:t>（三）人员概况。</w:t>
      </w:r>
    </w:p>
    <w:p>
      <w:pPr>
        <w:pStyle w:val="6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2"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我单位为独立核算全额拨款行政单位，20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</w:rPr>
        <w:t>年底我单位</w:t>
      </w:r>
      <w:r>
        <w:rPr>
          <w:rFonts w:hint="eastAsia" w:eastAsia="仿宋_GB2312"/>
          <w:sz w:val="32"/>
          <w:szCs w:val="32"/>
          <w:lang w:eastAsia="zh-CN"/>
        </w:rPr>
        <w:t>年末实有人数为26人，比上年</w:t>
      </w:r>
      <w:r>
        <w:rPr>
          <w:rFonts w:hint="eastAsia"/>
          <w:sz w:val="32"/>
          <w:szCs w:val="32"/>
          <w:lang w:eastAsia="zh-CN"/>
        </w:rPr>
        <w:t>减少</w:t>
      </w:r>
      <w:r>
        <w:rPr>
          <w:rFonts w:hint="eastAsia" w:eastAsia="仿宋_GB2312"/>
          <w:sz w:val="32"/>
          <w:szCs w:val="32"/>
          <w:lang w:eastAsia="zh-CN"/>
        </w:rPr>
        <w:t>2人</w:t>
      </w:r>
      <w:r>
        <w:rPr>
          <w:rFonts w:hint="eastAsia"/>
          <w:sz w:val="32"/>
          <w:szCs w:val="32"/>
          <w:lang w:eastAsia="zh-CN"/>
        </w:rPr>
        <w:t>，为调离单位</w:t>
      </w:r>
      <w:r>
        <w:rPr>
          <w:rFonts w:hint="eastAsia"/>
          <w:sz w:val="32"/>
          <w:szCs w:val="32"/>
          <w:lang w:val="en-US" w:eastAsia="zh-CN"/>
        </w:rPr>
        <w:t>2人</w:t>
      </w:r>
      <w:r>
        <w:rPr>
          <w:rFonts w:hint="eastAsia" w:eastAsia="仿宋_GB2312"/>
          <w:sz w:val="32"/>
          <w:szCs w:val="32"/>
          <w:lang w:eastAsia="zh-CN"/>
        </w:rPr>
        <w:t>；年末实有离退休人数为7人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firstLine="627" w:firstLineChars="200"/>
        <w:textAlignment w:val="auto"/>
        <w:rPr>
          <w:rFonts w:hint="eastAsia" w:ascii="楷体_GB2312" w:hAnsi="仿宋" w:eastAsia="楷体_GB2312"/>
          <w:b/>
          <w:sz w:val="32"/>
          <w:szCs w:val="32"/>
          <w:highlight w:val="none"/>
        </w:rPr>
      </w:pPr>
      <w:r>
        <w:rPr>
          <w:rFonts w:hint="eastAsia" w:ascii="楷体_GB2312" w:hAnsi="仿宋" w:eastAsia="楷体_GB2312"/>
          <w:b/>
          <w:sz w:val="32"/>
          <w:szCs w:val="32"/>
          <w:highlight w:val="none"/>
        </w:rPr>
        <w:t>（</w:t>
      </w:r>
      <w:r>
        <w:rPr>
          <w:rFonts w:hint="eastAsia" w:ascii="楷体_GB2312" w:hAnsi="仿宋" w:eastAsia="楷体_GB2312"/>
          <w:b/>
          <w:sz w:val="32"/>
          <w:szCs w:val="32"/>
          <w:highlight w:val="none"/>
          <w:lang w:eastAsia="zh-CN"/>
        </w:rPr>
        <w:t>四</w:t>
      </w:r>
      <w:r>
        <w:rPr>
          <w:rFonts w:hint="eastAsia" w:ascii="楷体_GB2312" w:hAnsi="仿宋" w:eastAsia="楷体_GB2312"/>
          <w:b/>
          <w:sz w:val="32"/>
          <w:szCs w:val="32"/>
          <w:highlight w:val="none"/>
        </w:rPr>
        <w:t>）当年取得的主要事业成效。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firstLine="643" w:firstLineChars="200"/>
        <w:jc w:val="both"/>
        <w:textAlignment w:val="auto"/>
        <w:rPr>
          <w:rStyle w:val="14"/>
          <w:rFonts w:hint="default" w:ascii="仿宋_GB2312" w:hAnsi="仿宋_GB2312" w:eastAsia="仿宋_GB2312"/>
          <w:i w:val="0"/>
          <w:cap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Style w:val="14"/>
          <w:rFonts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  <w:t>用地保障工作。</w:t>
      </w:r>
      <w:r>
        <w:rPr>
          <w:rStyle w:val="14"/>
          <w:rFonts w:hint="eastAsia" w:ascii="仿宋_GB2312" w:eastAsia="仿宋_GB2312"/>
          <w:spacing w:val="-4"/>
          <w:sz w:val="32"/>
          <w:szCs w:val="32"/>
          <w:lang w:val="en-US" w:eastAsia="zh-CN"/>
        </w:rPr>
        <w:t>一是批准久马高速公路临时用地2450亩，确保久马高速项目顺利推进，久马高速永久性建设用地已获国务院批准；二是完成我县城镇标定地价制定、集体建设用地基准地价制定、农用地分等定级及农用地基准地价制定审核上报工作；三是完成我县设施农用地上图入库工作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firstLine="643" w:firstLineChars="200"/>
        <w:jc w:val="both"/>
        <w:textAlignment w:val="auto"/>
        <w:rPr>
          <w:rStyle w:val="14"/>
          <w:rFonts w:hint="eastAsia" w:ascii="仿宋_GB2312" w:eastAsia="仿宋_GB2312"/>
          <w:spacing w:val="-4"/>
          <w:sz w:val="32"/>
          <w:szCs w:val="32"/>
          <w:lang w:val="en-US" w:eastAsia="zh-CN"/>
        </w:rPr>
      </w:pPr>
      <w:r>
        <w:rPr>
          <w:rStyle w:val="14"/>
          <w:rFonts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  <w:t>国土空间规划编制工作。</w:t>
      </w:r>
      <w:r>
        <w:rPr>
          <w:rStyle w:val="14"/>
          <w:rFonts w:hint="eastAsia" w:ascii="仿宋_GB2312" w:eastAsia="仿宋_GB2312"/>
          <w:spacing w:val="-4"/>
          <w:sz w:val="32"/>
          <w:szCs w:val="32"/>
          <w:lang w:val="en-US" w:eastAsia="zh-CN"/>
        </w:rPr>
        <w:t>一是国土空间规划编制工作顺利进行。召开第二次国土空间规划委员会会议，审议《红原县国土空间总体规划（2020—2035）》方案稿。按照省、州自然资源主管部门要求，就进一步落实“三区三线试划”，及“基数转换”等相关工作，要求规划编制进度与省、州要求保持一致。二是试点镇、村国土空间规划编制情况。按照乡村规划建设工作方案，统筹谋划、试点先行的原则，经实地调研，选取安曲镇作为镇级国土空间规划试点镇，刷经寺镇壤口村作为实用性村庄规划试点村。现已开展前期、试点调研。目前，正在开展资料分析研究及初步方案设计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firstLine="643" w:firstLineChars="200"/>
        <w:jc w:val="both"/>
        <w:textAlignment w:val="auto"/>
        <w:rPr>
          <w:rStyle w:val="14"/>
          <w:rFonts w:hint="eastAsia" w:ascii="仿宋_GB2312" w:eastAsia="仿宋_GB2312"/>
          <w:spacing w:val="-4"/>
          <w:sz w:val="32"/>
          <w:szCs w:val="32"/>
          <w:lang w:val="en-US" w:eastAsia="zh-CN"/>
        </w:rPr>
      </w:pPr>
      <w:r>
        <w:rPr>
          <w:rStyle w:val="14"/>
          <w:rFonts w:ascii="仿宋_GB2312" w:hAnsi="Calibri" w:eastAsia="仿宋_GB2312" w:cs="Times New Roman"/>
          <w:b/>
          <w:bCs/>
          <w:kern w:val="2"/>
          <w:sz w:val="32"/>
          <w:szCs w:val="32"/>
          <w:lang w:val="en-US" w:eastAsia="zh-CN" w:bidi="ar-SA"/>
        </w:rPr>
        <w:t>（三）规划审批工作。</w:t>
      </w:r>
      <w:r>
        <w:rPr>
          <w:rStyle w:val="14"/>
          <w:rFonts w:hint="eastAsia" w:ascii="仿宋_GB2312" w:eastAsia="仿宋_GB2312"/>
          <w:spacing w:val="-4"/>
          <w:sz w:val="32"/>
          <w:szCs w:val="32"/>
          <w:lang w:val="en-US" w:eastAsia="zh-CN"/>
        </w:rPr>
        <w:t>审批项目34项，办理建设项目用地预审和选址意见书27份，办理建设项目用地规划许可证14份，建设项目工程规划许可证14份，下达规划条件函3份。</w:t>
      </w:r>
    </w:p>
    <w:p>
      <w:pPr>
        <w:pStyle w:val="1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firstLine="643" w:firstLineChars="200"/>
        <w:textAlignment w:val="auto"/>
        <w:rPr>
          <w:rStyle w:val="14"/>
          <w:rFonts w:ascii="仿宋_GB2312" w:hAnsi="仿宋_GB2312" w:eastAsia="仿宋_GB2312"/>
          <w:kern w:val="0"/>
          <w:sz w:val="32"/>
          <w:szCs w:val="32"/>
          <w:lang w:val="en-US" w:eastAsia="zh-CN"/>
        </w:rPr>
      </w:pPr>
      <w:r>
        <w:rPr>
          <w:rStyle w:val="14"/>
          <w:rFonts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（四）</w:t>
      </w:r>
      <w:r>
        <w:rPr>
          <w:rStyle w:val="14"/>
          <w:rFonts w:ascii="楷体_GB2312" w:hAnsi="楷体_GB2312" w:eastAsia="楷体_GB2312" w:cs="楷体_GB2312"/>
          <w:b/>
          <w:bCs/>
          <w:color w:val="000000"/>
          <w:sz w:val="32"/>
          <w:szCs w:val="32"/>
          <w:lang w:val="en-US" w:eastAsia="zh-CN"/>
        </w:rPr>
        <w:t>执法监察工作。</w:t>
      </w:r>
      <w:r>
        <w:rPr>
          <w:rStyle w:val="14"/>
          <w:rFonts w:hint="eastAsia" w:ascii="仿宋_GB2312" w:eastAsia="仿宋_GB2312"/>
          <w:spacing w:val="-4"/>
          <w:sz w:val="32"/>
          <w:szCs w:val="32"/>
          <w:lang w:val="en-US" w:eastAsia="zh-CN"/>
        </w:rPr>
        <w:t>一是加大违法行为查处力度，查处擅自超占国有土地案件4起，超占面积719.305㎡，处罚36354.2元（叁万陆仟叁佰伍拾肆元零两角）人民币罚款，查处非法盗采矿产资源案件3起，共计罚款37000元（叁万柒仟元整），其中1起盗采矿产资源案件已移送公安机关依法处理。二是卫片执法核查，自然资源部共下发71个土地卫片图斑，经现场核查、佐证认定均为合法图斑。</w:t>
      </w:r>
    </w:p>
    <w:p>
      <w:pPr>
        <w:pStyle w:val="17"/>
        <w:keepNext w:val="0"/>
        <w:keepLines w:val="0"/>
        <w:pageBreakBefore w:val="0"/>
        <w:widowControl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left="0" w:leftChars="0" w:right="300" w:firstLine="643" w:firstLineChars="200"/>
        <w:jc w:val="left"/>
        <w:textAlignment w:val="auto"/>
        <w:rPr>
          <w:rStyle w:val="14"/>
          <w:rFonts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Style w:val="14"/>
          <w:rFonts w:ascii="楷体" w:hAnsi="楷体" w:eastAsia="楷体" w:cs="楷体"/>
          <w:b/>
          <w:bCs/>
          <w:kern w:val="0"/>
          <w:sz w:val="32"/>
          <w:szCs w:val="32"/>
          <w:lang w:val="en-US" w:eastAsia="zh-CN"/>
        </w:rPr>
        <w:t>（五）不动产登记工作。</w:t>
      </w:r>
      <w:r>
        <w:rPr>
          <w:rStyle w:val="14"/>
          <w:rFonts w:hint="eastAsia" w:ascii="仿宋_GB2312" w:eastAsia="仿宋_GB2312"/>
          <w:spacing w:val="-4"/>
          <w:sz w:val="32"/>
          <w:szCs w:val="32"/>
          <w:lang w:val="en-US" w:eastAsia="zh-CN"/>
        </w:rPr>
        <w:t>开展全县“房地一体”测绘以及权籍调查工作，</w:t>
      </w:r>
      <w:r>
        <w:rPr>
          <w:rStyle w:val="14"/>
          <w:rFonts w:hint="eastAsia" w:ascii="仿宋_GB2312" w:eastAsia="仿宋_GB2312"/>
          <w:spacing w:val="-4"/>
          <w:sz w:val="32"/>
          <w:szCs w:val="32"/>
          <w:lang w:eastAsia="zh-CN"/>
        </w:rPr>
        <w:t>共计测绘</w:t>
      </w:r>
      <w:r>
        <w:rPr>
          <w:rStyle w:val="14"/>
          <w:rFonts w:hint="eastAsia" w:ascii="仿宋_GB2312" w:eastAsia="仿宋_GB2312"/>
          <w:spacing w:val="-4"/>
          <w:sz w:val="32"/>
          <w:szCs w:val="32"/>
          <w:lang w:val="en-US" w:eastAsia="zh-CN"/>
        </w:rPr>
        <w:t>7474户，权籍调查7474户。完成易地扶贫搬迁安置住房不动产登记，共办理易地扶贫搬迁安置不动产权证书284件，完成登记率100%。</w:t>
      </w:r>
    </w:p>
    <w:p>
      <w:pPr>
        <w:pStyle w:val="1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Chars="100" w:firstLine="643" w:firstLineChars="200"/>
        <w:textAlignment w:val="auto"/>
        <w:rPr>
          <w:rStyle w:val="14"/>
          <w:rFonts w:ascii="Calibri" w:hAnsi="仿宋_GB2312" w:eastAsia="宋体"/>
          <w:kern w:val="2"/>
          <w:sz w:val="32"/>
          <w:szCs w:val="32"/>
          <w:lang w:val="en-US" w:eastAsia="zh-CN" w:bidi="ar-SA"/>
        </w:rPr>
      </w:pPr>
      <w:r>
        <w:rPr>
          <w:rFonts w:ascii="楷体_GB2312" w:hAnsi="楷体_GB2312" w:eastAsia="楷体_GB2312"/>
          <w:b/>
          <w:bCs w:val="0"/>
          <w:kern w:val="2"/>
          <w:sz w:val="32"/>
          <w:szCs w:val="32"/>
          <w:lang w:val="en-US" w:eastAsia="zh-CN" w:bidi="ar-SA"/>
        </w:rPr>
        <w:t>（六）地质灾害防治工作。</w:t>
      </w:r>
      <w:r>
        <w:rPr>
          <w:rStyle w:val="14"/>
          <w:rFonts w:hint="eastAsia" w:ascii="仿宋_GB2312" w:eastAsia="仿宋_GB2312"/>
          <w:spacing w:val="-4"/>
          <w:sz w:val="32"/>
          <w:szCs w:val="32"/>
          <w:lang w:val="en-US" w:eastAsia="zh-CN"/>
        </w:rPr>
        <w:t>一是编制印发《红原县地质灾害防御预案》(2021)和《红原县突发性地质灾害应急预案》(2021)，二是开展地质灾害逐点应急演练19次，实现了地质灾害隐患点应急演练全覆盖，开展宣传培训65次，参与人数超过1000人，发放宣传资料600余份；三是邀请省州专家、督导单位在全县范围内开展了4轮全覆盖“拉网式”“地毯式”大排查，制定了防灾预案，发放了“一卡两表”。四是投入资金98万元，实施“红原县地质灾害风险调查评价项目”，形成县级地质灾害矢量数据库和地质灾害分布图、风险和防治区划图等；五是实施完成红原县暴雨洪灾灾后地质灾害隐患排查；六是投入资金76万元，实施“地质灾害群专结合监测预警建设项目”，实现了13个地质灾害隐患点专业监测；七是投入资金380万元，实施了“瓦切镇如意空行寺寺庙滑坡治理工程项目”，投入资金240万元，实施了“龙日镇壤噶夺玛村泥石流治理工程项目”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firstLine="627" w:firstLineChars="200"/>
        <w:textAlignment w:val="auto"/>
        <w:rPr>
          <w:rStyle w:val="14"/>
          <w:rFonts w:ascii="仿宋_GB2312" w:hAnsi="仿宋_GB2312" w:eastAsia="仿宋_GB2312"/>
          <w:spacing w:val="0"/>
          <w:sz w:val="32"/>
          <w:szCs w:val="32"/>
          <w:lang w:val="en-US" w:eastAsia="zh-CN"/>
        </w:rPr>
      </w:pPr>
      <w:r>
        <w:rPr>
          <w:rStyle w:val="14"/>
          <w:rFonts w:ascii="仿宋_GB2312" w:hAnsi="仿宋_GB2312" w:eastAsia="仿宋_GB2312" w:cs="仿宋_GB2312"/>
          <w:b/>
          <w:bCs/>
          <w:spacing w:val="-4"/>
          <w:kern w:val="2"/>
          <w:sz w:val="32"/>
          <w:szCs w:val="32"/>
          <w:lang w:val="en-US" w:eastAsia="zh-CN" w:bidi="ar-SA"/>
        </w:rPr>
        <w:t>（七）生态修复工作</w:t>
      </w:r>
      <w:r>
        <w:rPr>
          <w:rStyle w:val="14"/>
          <w:rFonts w:hint="eastAsia" w:hAnsi="仿宋_GB2312" w:cs="仿宋_GB2312"/>
          <w:b/>
          <w:bCs/>
          <w:spacing w:val="-4"/>
          <w:kern w:val="2"/>
          <w:sz w:val="32"/>
          <w:szCs w:val="32"/>
          <w:lang w:val="en-US" w:eastAsia="zh-CN" w:bidi="ar-SA"/>
        </w:rPr>
        <w:t>。</w:t>
      </w:r>
      <w:r>
        <w:rPr>
          <w:rStyle w:val="14"/>
          <w:rFonts w:hint="eastAsia" w:ascii="仿宋_GB2312" w:hAnsi="Calibri" w:eastAsia="仿宋_GB2312"/>
          <w:kern w:val="2"/>
          <w:sz w:val="32"/>
          <w:szCs w:val="32"/>
          <w:lang w:val="en-US" w:eastAsia="zh-CN" w:bidi="ar-SA"/>
        </w:rPr>
        <w:t>积极推进矿山修复，守护绿水青山。争取省资金178.25万元，组织实施“红原县达峨村采石场废弃矿山生态修复”等5个项目，修复治理面积共计11.65公顷。根据县委、县政府工作安排，投入资金177万元，完成“红原县邛溪镇德柏料场”、“</w:t>
      </w:r>
      <w:r>
        <w:rPr>
          <w:rStyle w:val="14"/>
          <w:rFonts w:hint="eastAsia"/>
          <w:kern w:val="2"/>
          <w:sz w:val="32"/>
          <w:szCs w:val="32"/>
          <w:lang w:val="en-US" w:eastAsia="zh-CN" w:bidi="ar-SA"/>
        </w:rPr>
        <w:t>刷经</w:t>
      </w:r>
      <w:r>
        <w:rPr>
          <w:rStyle w:val="14"/>
          <w:rFonts w:hint="eastAsia" w:ascii="仿宋_GB2312" w:hAnsi="Calibri" w:eastAsia="仿宋_GB2312"/>
          <w:kern w:val="2"/>
          <w:sz w:val="32"/>
          <w:szCs w:val="32"/>
          <w:lang w:val="en-US" w:eastAsia="zh-CN" w:bidi="ar-SA"/>
        </w:rPr>
        <w:t>寺镇红原县三家寨村料场”废弃矿山生态修复项目，修复治理面积共11.11公顷。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黑体" w:hAnsi="宋体" w:eastAsia="黑体" w:cs="宋体"/>
          <w:color w:val="000000"/>
          <w:kern w:val="0"/>
          <w:lang w:val="en-US"/>
        </w:rPr>
      </w:pPr>
      <w:r>
        <w:rPr>
          <w:rFonts w:hint="eastAsia" w:ascii="黑体" w:hAnsi="宋体" w:eastAsia="黑体" w:cs="宋体"/>
          <w:color w:val="000000"/>
          <w:kern w:val="0"/>
          <w:sz w:val="32"/>
          <w:szCs w:val="24"/>
          <w:lang w:val="en-US" w:eastAsia="zh-CN" w:bidi="ar"/>
        </w:rPr>
        <w:t>二、部门财政资金收支情况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right="0" w:firstLine="643" w:firstLineChars="200"/>
        <w:jc w:val="left"/>
        <w:textAlignment w:val="auto"/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24"/>
          <w:lang w:val="zh-CN" w:eastAsia="zh-CN" w:bidi="ar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24"/>
          <w:lang w:val="zh-CN" w:eastAsia="zh-CN" w:bidi="ar"/>
        </w:rPr>
        <w:t>（一）部门财政资金收入情况。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firstLine="624" w:firstLineChars="200"/>
        <w:textAlignment w:val="auto"/>
        <w:rPr>
          <w:rStyle w:val="14"/>
          <w:rFonts w:hint="eastAsia" w:ascii="仿宋_GB2312" w:hAnsi="Calibri" w:eastAsia="仿宋_GB2312"/>
          <w:kern w:val="2"/>
          <w:sz w:val="32"/>
          <w:szCs w:val="32"/>
          <w:lang w:val="zh-CN" w:eastAsia="zh-CN" w:bidi="ar-SA"/>
        </w:rPr>
      </w:pPr>
      <w:r>
        <w:rPr>
          <w:rFonts w:hint="eastAsia" w:eastAsia="仿宋_GB2312"/>
          <w:sz w:val="32"/>
          <w:szCs w:val="32"/>
          <w:lang w:eastAsia="zh-CN"/>
        </w:rPr>
        <w:t>本单位本年度总收入为4,335.57万元。其中：一般公共预算财政拨款收入为2,005.39万元，占比46.25%；其他收入为 2,330.18万元，占比53.75%。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right="0" w:firstLine="643" w:firstLineChars="200"/>
        <w:jc w:val="left"/>
        <w:textAlignment w:val="auto"/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24"/>
          <w:lang w:val="zh-CN" w:eastAsia="zh-CN" w:bidi="ar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24"/>
          <w:lang w:val="zh-CN" w:eastAsia="zh-CN" w:bidi="ar"/>
        </w:rPr>
        <w:t>（二）部门财政资金支出情况。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firstLine="624" w:firstLineChars="200"/>
        <w:textAlignment w:val="auto"/>
        <w:rPr>
          <w:rStyle w:val="14"/>
          <w:rFonts w:hint="default" w:ascii="仿宋_GB2312" w:hAnsi="Calibri" w:eastAsia="仿宋_GB2312"/>
          <w:kern w:val="2"/>
          <w:sz w:val="32"/>
          <w:szCs w:val="32"/>
          <w:lang w:val="en-US" w:eastAsia="zh-CN" w:bidi="ar-SA"/>
        </w:rPr>
      </w:pPr>
      <w:r>
        <w:rPr>
          <w:rFonts w:hint="eastAsia" w:eastAsia="仿宋_GB2312"/>
          <w:sz w:val="32"/>
          <w:szCs w:val="32"/>
          <w:lang w:eastAsia="zh-CN"/>
        </w:rPr>
        <w:t>本年度总支出为2,321.41万元。社会保障和就业支出为60.48万元，占比2.61%；卫生健康支出为25.27万元，占比1.09%；农林水支出为87.97万元，占比3.79%；自然资源海洋气象等支出为1,433.56万元，占比61.75%；住房保障支出为38.59万元，占比1.66%；灾害防治及应急管理支出为675.53万元，占比29.10%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黑体" w:hAnsi="宋体" w:eastAsia="黑体" w:cs="宋体"/>
          <w:color w:val="000000"/>
          <w:kern w:val="0"/>
          <w:lang w:val="en-US"/>
        </w:rPr>
      </w:pPr>
      <w:r>
        <w:rPr>
          <w:rFonts w:hint="eastAsia" w:ascii="黑体" w:hAnsi="宋体" w:eastAsia="黑体" w:cs="宋体"/>
          <w:color w:val="000000"/>
          <w:kern w:val="0"/>
          <w:sz w:val="32"/>
          <w:szCs w:val="24"/>
          <w:lang w:val="en-US" w:eastAsia="zh-CN" w:bidi="ar"/>
        </w:rPr>
        <w:t>三、部门财政支出管理情况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right="0" w:firstLine="643" w:firstLineChars="200"/>
        <w:jc w:val="left"/>
        <w:textAlignment w:val="auto"/>
        <w:rPr>
          <w:rFonts w:hint="eastAsia" w:ascii="楷体" w:hAnsi="楷体" w:eastAsia="楷体" w:cs="楷体"/>
          <w:b/>
          <w:bCs/>
          <w:color w:val="000000"/>
          <w:kern w:val="0"/>
          <w:lang w:val="zh-CN" w:eastAsia="zh-CN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24"/>
          <w:lang w:val="zh-CN" w:eastAsia="zh-CN" w:bidi="ar"/>
        </w:rPr>
        <w:t>（一）预算编制情况。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局严格按照《预算法》及相关财经法规和政策编制本年度预算，严格控制编报质量，保证所有资金合法合规，严格按照相关规定进行预算编制，中央转移支付资金按照文件要求下达，专项转移支付严格根据分地区分项目进行编制。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预算中</w:t>
      </w:r>
      <w:r>
        <w:rPr>
          <w:rFonts w:hint="eastAsia" w:ascii="仿宋_GB2312" w:hAnsi="仿宋_GB2312" w:eastAsia="仿宋_GB2312" w:cs="仿宋_GB2312"/>
          <w:sz w:val="32"/>
          <w:szCs w:val="32"/>
        </w:rPr>
        <w:t>基本支出，是用于保障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我局</w:t>
      </w:r>
      <w:r>
        <w:rPr>
          <w:rFonts w:hint="eastAsia" w:ascii="仿宋_GB2312" w:hAnsi="仿宋_GB2312" w:eastAsia="仿宋_GB2312" w:cs="仿宋_GB2312"/>
          <w:sz w:val="32"/>
          <w:szCs w:val="32"/>
        </w:rPr>
        <w:t>正常运转的日常支出，包括基本工资、津贴补贴等人员经费以及办公费、印刷费、水电费、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培训费、会议费</w:t>
      </w:r>
      <w:r>
        <w:rPr>
          <w:rFonts w:hint="eastAsia" w:ascii="仿宋_GB2312" w:hAnsi="仿宋_GB2312" w:eastAsia="仿宋_GB2312" w:cs="仿宋_GB2312"/>
          <w:sz w:val="32"/>
          <w:szCs w:val="32"/>
        </w:rPr>
        <w:t>等日常公用经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费。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2021年绩效目标执行率96%以上完成度较好，2021年我单位及时公开部门预算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决算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绩效报告等，对预算编制进一步细化。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right="0" w:firstLine="643" w:firstLineChars="200"/>
        <w:jc w:val="left"/>
        <w:textAlignment w:val="auto"/>
        <w:rPr>
          <w:rFonts w:hint="eastAsia" w:ascii="楷体" w:hAnsi="楷体" w:eastAsia="楷体" w:cs="楷体"/>
          <w:b/>
          <w:bCs/>
          <w:color w:val="000000"/>
          <w:kern w:val="0"/>
          <w:lang w:val="zh-CN" w:eastAsia="zh-CN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24"/>
          <w:lang w:val="zh-CN" w:eastAsia="zh-CN" w:bidi="ar"/>
        </w:rPr>
        <w:t>（二）执行管理情况。</w:t>
      </w: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24"/>
          <w:lang w:val="zh-CN" w:eastAsia="zh-CN" w:bidi="ar"/>
        </w:rPr>
        <w:tab/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000000"/>
          <w:kern w:val="0"/>
          <w:lang w:val="zh-CN" w:eastAsia="zh-CN"/>
        </w:rPr>
      </w:pPr>
      <w:r>
        <w:rPr>
          <w:rFonts w:hint="eastAsia" w:ascii="仿宋_GB2312" w:hAnsi="仿宋_GB2312" w:cs="仿宋_GB2312"/>
          <w:sz w:val="32"/>
          <w:szCs w:val="32"/>
          <w:lang w:eastAsia="zh-CN"/>
        </w:rPr>
        <w:t>我局</w:t>
      </w:r>
      <w:r>
        <w:rPr>
          <w:rFonts w:hint="eastAsia" w:ascii="仿宋_GB2312" w:hAnsi="仿宋_GB2312" w:eastAsia="仿宋_GB2312" w:cs="仿宋_GB2312"/>
          <w:sz w:val="32"/>
          <w:szCs w:val="32"/>
        </w:rPr>
        <w:t>预算执行到位，严格按照预算管理进行支付并做到节能降耗，“三公”经费严格按照年初预算执行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，预算数为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4.34万元，</w:t>
      </w:r>
      <w:r>
        <w:rPr>
          <w:rFonts w:hint="eastAsia" w:eastAsia="仿宋_GB2312"/>
          <w:sz w:val="32"/>
          <w:szCs w:val="32"/>
          <w:lang w:eastAsia="zh-CN"/>
        </w:rPr>
        <w:t>决算数为4.34万元</w:t>
      </w:r>
      <w:r>
        <w:rPr>
          <w:rFonts w:hint="eastAsia"/>
          <w:sz w:val="32"/>
          <w:szCs w:val="32"/>
          <w:lang w:eastAsia="zh-CN"/>
        </w:rPr>
        <w:t>，</w:t>
      </w:r>
      <w:r>
        <w:rPr>
          <w:rFonts w:hint="eastAsia" w:eastAsia="仿宋_GB2312"/>
          <w:sz w:val="32"/>
          <w:szCs w:val="32"/>
          <w:lang w:eastAsia="zh-CN"/>
        </w:rPr>
        <w:t>预算完成度为100.00%</w:t>
      </w:r>
      <w:r>
        <w:rPr>
          <w:rFonts w:hint="eastAsia"/>
          <w:sz w:val="32"/>
          <w:szCs w:val="32"/>
          <w:lang w:eastAsia="zh-CN"/>
        </w:rPr>
        <w:t>，</w:t>
      </w:r>
      <w:r>
        <w:rPr>
          <w:rFonts w:hint="eastAsia" w:eastAsia="仿宋_GB2312"/>
          <w:sz w:val="32"/>
          <w:szCs w:val="32"/>
          <w:lang w:eastAsia="zh-CN"/>
        </w:rPr>
        <w:t>其中:公务用车购置及运行维护费支出决算数为3.91万元，相比上年度增加0.43万元，主要原因是因</w:t>
      </w:r>
      <w:r>
        <w:rPr>
          <w:rStyle w:val="14"/>
          <w:rFonts w:hint="eastAsia" w:ascii="仿宋_GB2312" w:hAnsi="仿宋_GB2312" w:eastAsia="仿宋_GB2312"/>
          <w:sz w:val="32"/>
          <w:szCs w:val="32"/>
          <w:lang w:val="en-US" w:eastAsia="zh-CN"/>
        </w:rPr>
        <w:t>为我局单位车辆年限较长，车辆维修维护费用增加</w:t>
      </w:r>
      <w:r>
        <w:rPr>
          <w:rFonts w:hint="eastAsia" w:eastAsia="仿宋_GB2312"/>
          <w:sz w:val="32"/>
          <w:szCs w:val="32"/>
          <w:lang w:eastAsia="zh-CN"/>
        </w:rPr>
        <w:t xml:space="preserve">；公务接待费支出决算数为0.42万元，相比上年度持平。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right="0" w:firstLine="643" w:firstLineChars="200"/>
        <w:jc w:val="left"/>
        <w:textAlignment w:val="auto"/>
        <w:rPr>
          <w:rFonts w:hint="eastAsia" w:ascii="楷体" w:hAnsi="楷体" w:eastAsia="楷体" w:cs="楷体"/>
          <w:b/>
          <w:bCs/>
          <w:color w:val="000000"/>
          <w:kern w:val="0"/>
          <w:lang w:val="zh-CN" w:eastAsia="zh-CN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24"/>
          <w:lang w:val="zh-CN" w:eastAsia="zh-CN" w:bidi="ar"/>
        </w:rPr>
        <w:t>（三）综合管理情况。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财务管理过程中建立健全财务核算制度、严格执行国家相关财经法规，加强了会计基础工作、逐渐规范了财务管理行为。严格按照《行政单位会计制度》和《行政单位财务规则》的规定设置的会计科目，建立了科学有效的会计核算方式，均真实、合法、准确的反映各项收支活动；建立健全了内控制度，加强和完善了经费收支和财务管理，积极配合各级财政部门开展相关经费的考评工作；本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在资金使用过程中，合理使用各项资金，严格执行各项经费开支范围和标准。对中央、省转移支付资金的使用全部用于与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自然资源</w:t>
      </w:r>
      <w:r>
        <w:rPr>
          <w:rFonts w:hint="eastAsia" w:ascii="仿宋_GB2312" w:hAnsi="仿宋_GB2312" w:eastAsia="仿宋_GB2312" w:cs="仿宋_GB2312"/>
          <w:sz w:val="32"/>
          <w:szCs w:val="32"/>
        </w:rPr>
        <w:t>事务，并确保专款专用；在账务报销过程中贯彻执行国家颁布的有关财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务制度，严格按照《会计法》规定以完整、合法的原始凭证及财务报销手续进行报账、核算，做到了手续齐备、内容真实、数据准确、账目清晰，认真及时的填报了各项年度统计报表；在整个财务收支管理中做到了会计核算与财政收支账一致，实现了会计电算化，在采购资金支出时手续齐备，采购的固定资产及时登记并入账；严格落实《党政机关厉行节约反对浪费条例》的相关规定，进一步规范了“三公经费”的管理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并严格控制了“三公经费”的支出。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leftChars="0" w:right="0" w:firstLine="643" w:firstLineChars="200"/>
        <w:jc w:val="left"/>
        <w:textAlignment w:val="auto"/>
        <w:rPr>
          <w:rFonts w:hint="eastAsia" w:ascii="楷体" w:hAnsi="楷体" w:eastAsia="楷体" w:cs="楷体"/>
          <w:b/>
          <w:bCs/>
          <w:color w:val="auto"/>
          <w:kern w:val="0"/>
          <w:lang w:val="zh-CN" w:eastAsia="zh-CN"/>
        </w:rPr>
      </w:pP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24"/>
          <w:lang w:val="zh-CN" w:eastAsia="zh-CN" w:bidi="ar"/>
        </w:rPr>
        <w:t>（四）整体绩效。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leftChars="0" w:right="0" w:firstLine="640" w:firstLineChars="200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lang w:val="zh-CN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年全年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非税收入总计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114.83万元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，其中：</w:t>
      </w:r>
      <w:r>
        <w:rPr>
          <w:rFonts w:hint="eastAsia" w:ascii="仿宋_GB2312" w:hAnsi="仿宋_GB2312" w:eastAsia="仿宋_GB2312" w:cs="仿宋_GB2312"/>
          <w:sz w:val="32"/>
          <w:szCs w:val="32"/>
        </w:rPr>
        <w:t>土地出让金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（协议和挂牌）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93.35万元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收缴证书费、不动产登记收费共计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4.96万元、收缴罚没款16.52万元。2021年我局完成龙日乡壤噶夺玛泥石流防治项目、瓦切镇如意空行寺滑坡治理工程、阿坝州红原县2021年地质灾害风险调查与评价项目、红原县2020年暴雨洪灾灾后应急排查、刷经寺镇三家寨村生态修复项目、红原县县城标定地价制定、集体建设用地基准地价制定、农用地分等定级及农用地基准地价制定等项目。</w:t>
      </w:r>
      <w:r>
        <w:rPr>
          <w:rFonts w:hint="eastAsia" w:ascii="仿宋" w:hAnsi="仿宋" w:eastAsia="仿宋" w:cs="宋体"/>
          <w:kern w:val="0"/>
          <w:sz w:val="32"/>
          <w:szCs w:val="32"/>
        </w:rPr>
        <w:t>我局整体支出绩效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目标较好</w:t>
      </w:r>
      <w:r>
        <w:rPr>
          <w:rFonts w:hint="eastAsia" w:ascii="仿宋" w:hAnsi="仿宋" w:eastAsia="仿宋" w:cs="宋体"/>
          <w:kern w:val="0"/>
          <w:sz w:val="32"/>
          <w:szCs w:val="32"/>
        </w:rPr>
        <w:t>，完成今年预定工作目标，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有效的保护了自然资源。各项费用支出</w:t>
      </w:r>
      <w:r>
        <w:rPr>
          <w:rFonts w:hint="eastAsia" w:ascii="仿宋" w:hAnsi="仿宋" w:eastAsia="仿宋" w:cs="宋体"/>
          <w:kern w:val="0"/>
          <w:sz w:val="32"/>
          <w:szCs w:val="32"/>
        </w:rPr>
        <w:t>严格按照预算管理进行支付并做到节能降耗，“三公”经费严格按照年初预算执行。</w:t>
      </w:r>
      <w:r>
        <w:rPr>
          <w:rFonts w:hint="eastAsia" w:ascii="仿宋_GB2312" w:hAnsi="仿宋_GB2312" w:eastAsia="仿宋_GB2312" w:cs="仿宋_GB2312"/>
          <w:sz w:val="32"/>
          <w:szCs w:val="32"/>
        </w:rPr>
        <w:t>在全面贯彻落实党的十九大精神,坚持以习近平新时代中国特色社会主义思想为指导,努力实现人民群众满意。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leftChars="0" w:right="0" w:firstLine="640" w:firstLineChars="200"/>
        <w:jc w:val="left"/>
        <w:textAlignment w:val="auto"/>
        <w:rPr>
          <w:rFonts w:hint="eastAsia" w:ascii="黑体" w:hAnsi="宋体" w:eastAsia="黑体" w:cs="宋体"/>
          <w:color w:val="000000"/>
          <w:kern w:val="0"/>
          <w:lang w:val="en-US"/>
        </w:rPr>
      </w:pPr>
      <w:r>
        <w:rPr>
          <w:rFonts w:hint="eastAsia" w:ascii="黑体" w:hAnsi="宋体" w:eastAsia="黑体" w:cs="宋体"/>
          <w:color w:val="000000"/>
          <w:kern w:val="0"/>
          <w:sz w:val="32"/>
          <w:szCs w:val="24"/>
          <w:lang w:val="en-US" w:eastAsia="zh-CN" w:bidi="ar"/>
        </w:rPr>
        <w:t>四、评价结论及建议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leftChars="0" w:right="0" w:firstLine="643" w:firstLineChars="200"/>
        <w:jc w:val="left"/>
        <w:textAlignment w:val="auto"/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24"/>
          <w:lang w:val="zh-CN" w:eastAsia="zh-CN" w:bidi="ar"/>
        </w:rPr>
      </w:pP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24"/>
          <w:lang w:val="zh-CN" w:eastAsia="zh-CN" w:bidi="ar"/>
        </w:rPr>
        <w:t>（一）评价结论。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textAlignment w:val="auto"/>
        <w:rPr>
          <w:rFonts w:hint="default" w:ascii="仿宋_GB2312" w:hAnsi="宋体" w:eastAsia="仿宋_GB2312" w:cs="宋体"/>
          <w:color w:val="auto"/>
          <w:kern w:val="0"/>
          <w:sz w:val="32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根据《20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年红原县部门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整体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支出绩效评价指标体系》评分得分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96.5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分，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其中：固定资产在用率扣除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1分，原因为：我局固定资产存在部分老旧的未使用，也未报废；不动产权证书登记、发放的服务对象或受益对象满意度扣除1分，原因为：群众满意度较高，但未达100%，存在极少个别疑难问题待解决；申报绩效目标的量化程度扣除0.5分，原因为专项均设定了量化，但量化指标还不够精细；年初预算安排的准确性扣除1分，原因为：单位在年中存在追加资金情况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leftChars="0" w:right="0" w:firstLine="643" w:firstLineChars="200"/>
        <w:jc w:val="left"/>
        <w:textAlignment w:val="auto"/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24"/>
          <w:lang w:val="zh-CN" w:eastAsia="zh-CN" w:bidi="ar"/>
        </w:rPr>
      </w:pP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24"/>
          <w:lang w:val="zh-CN" w:eastAsia="zh-CN" w:bidi="ar"/>
        </w:rPr>
        <w:t>存在问题。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lang w:val="zh-CN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1.由于财政支出的多样性和复杂性，绩效评价指标体系设置难度大，即使可以量化，但实际操作中很多项目间缺乏可比性且指标本身也在逐步变化，需要逐步完善。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 xml:space="preserve">    2.在平时工作推进过程中，缺乏技术人员进行专业指导及培训，工作推进存在一定困难，预算编制还需更加精准。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leftChars="0" w:right="0" w:firstLine="643" w:firstLineChars="200"/>
        <w:jc w:val="left"/>
        <w:textAlignment w:val="auto"/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24"/>
          <w:lang w:val="zh-CN" w:eastAsia="zh-CN" w:bidi="ar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24"/>
          <w:lang w:val="zh-CN" w:eastAsia="zh-CN" w:bidi="ar"/>
        </w:rPr>
        <w:t>改进建议。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1.加强组织领导，增强预算编制的准确性，提高对预算编制与执行的认识，为绩效评价工作开展创造更好的条件。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2.建立长效机制，加强管理提高部门支出的绩效成果，为更好的服务工作发挥最大效益。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firstLine="640" w:firstLineChars="200"/>
        <w:textAlignment w:val="auto"/>
        <w:rPr>
          <w:rFonts w:hint="eastAsia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cs="仿宋_GB2312"/>
          <w:lang w:val="en-US" w:eastAsia="zh-CN"/>
        </w:rPr>
        <w:t xml:space="preserve">                                   </w:t>
      </w:r>
      <w:r>
        <w:rPr>
          <w:rFonts w:hint="eastAsia" w:ascii="仿宋_GB2312" w:hAnsi="仿宋_GB2312" w:eastAsia="仿宋_GB2312" w:cs="仿宋_GB2312"/>
          <w:lang w:eastAsia="zh-CN"/>
        </w:rPr>
        <w:t>红原县自然资源局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firstLine="640" w:firstLineChars="200"/>
        <w:jc w:val="center"/>
        <w:textAlignment w:val="auto"/>
      </w:pPr>
      <w:r>
        <w:rPr>
          <w:rFonts w:hint="eastAsia" w:ascii="仿宋_GB2312" w:hAnsi="仿宋_GB2312" w:cs="仿宋_GB2312"/>
          <w:lang w:val="en-US" w:eastAsia="zh-CN"/>
        </w:rPr>
        <w:t xml:space="preserve">                                    </w:t>
      </w:r>
      <w:r>
        <w:rPr>
          <w:rFonts w:hint="eastAsia" w:ascii="仿宋_GB2312" w:hAnsi="仿宋_GB2312" w:eastAsia="仿宋_GB2312" w:cs="仿宋_GB2312"/>
          <w:lang w:val="en-US" w:eastAsia="zh-CN"/>
        </w:rPr>
        <w:t>20</w:t>
      </w:r>
      <w:r>
        <w:rPr>
          <w:rFonts w:hint="eastAsia" w:ascii="仿宋_GB2312" w:hAnsi="仿宋_GB2312" w:cs="仿宋_GB231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lang w:val="en-US" w:eastAsia="zh-CN"/>
        </w:rPr>
        <w:t>年</w:t>
      </w:r>
      <w:r>
        <w:rPr>
          <w:rFonts w:hint="eastAsia" w:ascii="仿宋_GB2312" w:hAnsi="仿宋_GB2312" w:cs="仿宋_GB231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lang w:val="en-US" w:eastAsia="zh-CN"/>
        </w:rPr>
        <w:t>月</w:t>
      </w:r>
      <w:r>
        <w:rPr>
          <w:rFonts w:hint="eastAsia" w:ascii="仿宋_GB2312" w:hAnsi="仿宋_GB2312" w:cs="仿宋_GB231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lang w:val="en-US" w:eastAsia="zh-CN"/>
        </w:rPr>
        <w:t>日</w:t>
      </w:r>
    </w:p>
    <w:sectPr>
      <w:headerReference r:id="rId3" w:type="default"/>
      <w:footerReference r:id="rId4" w:type="default"/>
      <w:footerReference r:id="rId5" w:type="even"/>
      <w:pgSz w:w="11906" w:h="16838"/>
      <w:pgMar w:top="2211" w:right="1531" w:bottom="1871" w:left="1531" w:header="851" w:footer="992" w:gutter="0"/>
      <w:pgNumType w:start="1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xAlign="center" w:y="1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separate"/>
    </w:r>
    <w:r>
      <w:rPr>
        <w:rStyle w:val="13"/>
      </w:rPr>
      <w:t>1</w:t>
    </w:r>
    <w:r>
      <w:rPr>
        <w:rStyle w:val="13"/>
      </w:rPr>
      <w:fldChar w:fldCharType="end"/>
    </w:r>
  </w:p>
  <w:p>
    <w:pPr>
      <w:pStyle w:val="8"/>
      <w:ind w:right="360"/>
      <w:rPr>
        <w:rFonts w:hint="eastAsia"/>
      </w:rPr>
    </w:pPr>
    <w:r>
      <w:rPr>
        <w:kern w:val="0"/>
        <w:szCs w:val="21"/>
      </w:rPr>
      <w:t xml:space="preserve">-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xAlign="center" w:y="1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separate"/>
    </w:r>
    <w:r>
      <w:rPr>
        <w:rStyle w:val="13"/>
      </w:rPr>
      <w:t>9</w:t>
    </w:r>
    <w:r>
      <w:rPr>
        <w:rStyle w:val="13"/>
      </w:rPr>
      <w:fldChar w:fldCharType="end"/>
    </w:r>
  </w:p>
  <w:p>
    <w:pPr>
      <w:pStyle w:val="8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E627DE"/>
    <w:multiLevelType w:val="singleLevel"/>
    <w:tmpl w:val="B1E627DE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D70501B7"/>
    <w:multiLevelType w:val="singleLevel"/>
    <w:tmpl w:val="D70501B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3227A906"/>
    <w:multiLevelType w:val="singleLevel"/>
    <w:tmpl w:val="3227A906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D19B9"/>
    <w:rsid w:val="02967667"/>
    <w:rsid w:val="02FC3D8C"/>
    <w:rsid w:val="055575F9"/>
    <w:rsid w:val="077D2665"/>
    <w:rsid w:val="07CC1289"/>
    <w:rsid w:val="09B55612"/>
    <w:rsid w:val="0C3713CC"/>
    <w:rsid w:val="0DE1251D"/>
    <w:rsid w:val="0EE4313B"/>
    <w:rsid w:val="10BA4235"/>
    <w:rsid w:val="11137412"/>
    <w:rsid w:val="11EA2BC6"/>
    <w:rsid w:val="14346707"/>
    <w:rsid w:val="15B1043A"/>
    <w:rsid w:val="17605B51"/>
    <w:rsid w:val="179377C4"/>
    <w:rsid w:val="18D378DC"/>
    <w:rsid w:val="1967361A"/>
    <w:rsid w:val="19C5412D"/>
    <w:rsid w:val="1A9577A4"/>
    <w:rsid w:val="1D0E7694"/>
    <w:rsid w:val="1DDC26B8"/>
    <w:rsid w:val="1F486A35"/>
    <w:rsid w:val="20B90BD7"/>
    <w:rsid w:val="236D0C7F"/>
    <w:rsid w:val="24B0252A"/>
    <w:rsid w:val="268D25FB"/>
    <w:rsid w:val="26DC7E0C"/>
    <w:rsid w:val="2975618B"/>
    <w:rsid w:val="2A444CD0"/>
    <w:rsid w:val="2FC80D77"/>
    <w:rsid w:val="30AA2C95"/>
    <w:rsid w:val="31250E5C"/>
    <w:rsid w:val="389E454D"/>
    <w:rsid w:val="3A0C0F3C"/>
    <w:rsid w:val="3A0D5088"/>
    <w:rsid w:val="3A475BA1"/>
    <w:rsid w:val="3AB47B37"/>
    <w:rsid w:val="3C26576F"/>
    <w:rsid w:val="3E0E30DF"/>
    <w:rsid w:val="3EB722A5"/>
    <w:rsid w:val="40CA1C27"/>
    <w:rsid w:val="44157E10"/>
    <w:rsid w:val="4585653C"/>
    <w:rsid w:val="462443E4"/>
    <w:rsid w:val="495E464D"/>
    <w:rsid w:val="49A23114"/>
    <w:rsid w:val="49B0222A"/>
    <w:rsid w:val="4A48358D"/>
    <w:rsid w:val="524D4C80"/>
    <w:rsid w:val="52DF636A"/>
    <w:rsid w:val="54066628"/>
    <w:rsid w:val="54BE1B37"/>
    <w:rsid w:val="585F02BB"/>
    <w:rsid w:val="59A3789B"/>
    <w:rsid w:val="59BB3192"/>
    <w:rsid w:val="603A047A"/>
    <w:rsid w:val="62184348"/>
    <w:rsid w:val="62CC553B"/>
    <w:rsid w:val="65621F59"/>
    <w:rsid w:val="65FA08D1"/>
    <w:rsid w:val="662B3D25"/>
    <w:rsid w:val="679D1050"/>
    <w:rsid w:val="6AA32F11"/>
    <w:rsid w:val="6B280B6A"/>
    <w:rsid w:val="6E9D1FFB"/>
    <w:rsid w:val="6F077D6C"/>
    <w:rsid w:val="6F6F7716"/>
    <w:rsid w:val="7176657B"/>
    <w:rsid w:val="74D30DA7"/>
    <w:rsid w:val="75395E30"/>
    <w:rsid w:val="75FB2EAB"/>
    <w:rsid w:val="76F702B2"/>
    <w:rsid w:val="78C03D24"/>
    <w:rsid w:val="7B975E74"/>
    <w:rsid w:val="7C77415E"/>
    <w:rsid w:val="7D626BE0"/>
    <w:rsid w:val="7DA6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2"/>
    <w:qFormat/>
    <w:uiPriority w:val="0"/>
    <w:pPr>
      <w:spacing w:after="120"/>
      <w:ind w:left="420" w:leftChars="200"/>
    </w:pPr>
    <w:rPr>
      <w:szCs w:val="20"/>
    </w:rPr>
  </w:style>
  <w:style w:type="paragraph" w:styleId="5">
    <w:name w:val="index 5"/>
    <w:basedOn w:val="1"/>
    <w:next w:val="1"/>
    <w:qFormat/>
    <w:uiPriority w:val="0"/>
    <w:pPr>
      <w:ind w:left="1680"/>
    </w:pPr>
  </w:style>
  <w:style w:type="paragraph" w:styleId="6">
    <w:name w:val="Body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Plain Text"/>
    <w:basedOn w:val="1"/>
    <w:qFormat/>
    <w:uiPriority w:val="0"/>
    <w:rPr>
      <w:rFonts w:ascii="宋体" w:cs="Courier New"/>
      <w:szCs w:val="22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styleId="10">
    <w:name w:val="Normal (Web)"/>
    <w:basedOn w:val="1"/>
    <w:next w:val="5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page number"/>
    <w:basedOn w:val="12"/>
    <w:qFormat/>
    <w:uiPriority w:val="0"/>
  </w:style>
  <w:style w:type="character" w:customStyle="1" w:styleId="14">
    <w:name w:val="NormalCharacter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5">
    <w:name w:val="BodyText1I2"/>
    <w:basedOn w:val="16"/>
    <w:next w:val="1"/>
    <w:qFormat/>
    <w:uiPriority w:val="0"/>
    <w:pPr>
      <w:spacing w:line="560" w:lineRule="atLeast"/>
      <w:ind w:firstLine="420" w:firstLineChars="200"/>
      <w:jc w:val="both"/>
      <w:textAlignment w:val="baseline"/>
    </w:pPr>
  </w:style>
  <w:style w:type="paragraph" w:customStyle="1" w:styleId="16">
    <w:name w:val="BodyTextIndent"/>
    <w:basedOn w:val="1"/>
    <w:next w:val="15"/>
    <w:qFormat/>
    <w:uiPriority w:val="0"/>
    <w:pPr>
      <w:spacing w:line="560" w:lineRule="atLeast"/>
      <w:ind w:firstLine="640" w:firstLineChars="200"/>
      <w:jc w:val="both"/>
      <w:textAlignment w:val="baseline"/>
    </w:pPr>
    <w:rPr>
      <w:rFonts w:ascii="仿宋_GB2312" w:eastAsia="仿宋_GB2312"/>
      <w:kern w:val="2"/>
      <w:sz w:val="32"/>
      <w:szCs w:val="24"/>
      <w:lang w:val="en-US" w:eastAsia="zh-CN" w:bidi="ar-SA"/>
    </w:rPr>
  </w:style>
  <w:style w:type="paragraph" w:customStyle="1" w:styleId="17">
    <w:name w:val="HtmlNormal"/>
    <w:basedOn w:val="1"/>
    <w:next w:val="18"/>
    <w:qFormat/>
    <w:uiPriority w:val="0"/>
    <w:pPr>
      <w:spacing w:before="100" w:beforeAutospacing="1" w:after="100" w:afterAutospacing="1"/>
      <w:ind w:left="0" w:right="0"/>
      <w:jc w:val="left"/>
      <w:textAlignment w:val="baseline"/>
    </w:pPr>
    <w:rPr>
      <w:rFonts w:ascii="Calibri" w:hAnsi="Calibri" w:eastAsia="宋体"/>
      <w:kern w:val="0"/>
      <w:sz w:val="24"/>
      <w:szCs w:val="24"/>
      <w:lang w:val="en-US" w:eastAsia="zh-CN"/>
    </w:rPr>
  </w:style>
  <w:style w:type="paragraph" w:customStyle="1" w:styleId="18">
    <w:name w:val="Index5"/>
    <w:basedOn w:val="1"/>
    <w:next w:val="1"/>
    <w:qFormat/>
    <w:uiPriority w:val="0"/>
    <w:pPr>
      <w:ind w:left="1680"/>
      <w:jc w:val="both"/>
      <w:textAlignment w:val="baseline"/>
    </w:pPr>
  </w:style>
  <w:style w:type="paragraph" w:customStyle="1" w:styleId="19">
    <w:name w:val="BodyTextIndent2"/>
    <w:basedOn w:val="1"/>
    <w:qFormat/>
    <w:uiPriority w:val="0"/>
    <w:pPr>
      <w:spacing w:line="580" w:lineRule="exact"/>
      <w:ind w:firstLine="544" w:firstLineChars="200"/>
      <w:jc w:val="both"/>
      <w:textAlignment w:val="baseline"/>
    </w:pPr>
    <w:rPr>
      <w:rFonts w:ascii="仿宋_GB2312" w:hAnsi="Calibri" w:eastAsia="仿宋_GB2312"/>
      <w:spacing w:val="-4"/>
      <w:kern w:val="2"/>
      <w:sz w:val="2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bgs</cp:lastModifiedBy>
  <dcterms:modified xsi:type="dcterms:W3CDTF">2022-03-22T07:51:17Z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01BDC5FD56E94898A66F3E47DA1A5475</vt:lpwstr>
  </property>
</Properties>
</file>