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60D495">
      <w:pPr>
        <w:spacing w:line="480" w:lineRule="exact"/>
        <w:jc w:val="both"/>
        <w:rPr>
          <w:rFonts w:hint="eastAsia" w:ascii="仿宋_GB2312" w:eastAsia="仿宋_GB2312"/>
          <w:sz w:val="72"/>
          <w:szCs w:val="72"/>
          <w:lang w:val="en-US" w:eastAsia="zh-CN"/>
        </w:rPr>
      </w:pPr>
    </w:p>
    <w:p w14:paraId="7D555FE4">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b/>
          <w:bCs/>
          <w:sz w:val="44"/>
          <w:szCs w:val="44"/>
          <w:lang w:val="en-US" w:eastAsia="zh-CN" w:bidi="ar"/>
        </w:rPr>
      </w:pPr>
      <w:r>
        <w:rPr>
          <w:rFonts w:hint="eastAsia" w:ascii="仿宋_GB2312" w:eastAsia="仿宋_GB2312"/>
          <w:b/>
          <w:bCs/>
          <w:sz w:val="44"/>
          <w:szCs w:val="44"/>
          <w:lang w:val="en-US" w:eastAsia="zh-CN"/>
        </w:rPr>
        <w:t xml:space="preserve">   </w:t>
      </w:r>
      <w:r>
        <w:rPr>
          <w:rFonts w:hint="eastAsia" w:ascii="仿宋_GB2312" w:hAnsi="仿宋_GB2312" w:eastAsia="仿宋_GB2312" w:cs="仿宋_GB2312"/>
          <w:b/>
          <w:bCs/>
          <w:sz w:val="44"/>
          <w:szCs w:val="44"/>
        </w:rPr>
        <w:t>红原县</w:t>
      </w:r>
      <w:r>
        <w:rPr>
          <w:rFonts w:hint="eastAsia" w:ascii="仿宋_GB2312" w:hAnsi="仿宋_GB2312" w:eastAsia="仿宋_GB2312" w:cs="仿宋_GB2312"/>
          <w:b/>
          <w:bCs/>
          <w:sz w:val="44"/>
          <w:szCs w:val="44"/>
          <w:lang w:val="en-US" w:eastAsia="zh-CN" w:bidi="ar"/>
        </w:rPr>
        <w:t>卫生健康局</w:t>
      </w:r>
    </w:p>
    <w:p w14:paraId="6B8DA2EA">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b/>
          <w:bCs/>
          <w:sz w:val="44"/>
          <w:szCs w:val="44"/>
          <w:lang w:val="en-US"/>
        </w:rPr>
      </w:pPr>
      <w:r>
        <w:rPr>
          <w:rFonts w:hint="eastAsia" w:ascii="仿宋_GB2312" w:hAnsi="仿宋_GB2312" w:eastAsia="仿宋_GB2312" w:cs="仿宋_GB2312"/>
          <w:b/>
          <w:bCs/>
          <w:sz w:val="44"/>
          <w:szCs w:val="44"/>
          <w:lang w:val="en-US" w:eastAsia="zh-CN" w:bidi="ar"/>
        </w:rPr>
        <w:t>关于2021年部门整体支出绩效报告</w:t>
      </w:r>
    </w:p>
    <w:p w14:paraId="1A805B18">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b/>
          <w:bCs/>
          <w:color w:val="000000"/>
          <w:lang w:val="en-US"/>
        </w:rPr>
      </w:pPr>
      <w:r>
        <w:rPr>
          <w:rFonts w:hint="eastAsia" w:ascii="仿宋_GB2312" w:hAnsi="仿宋_GB2312" w:eastAsia="仿宋_GB2312" w:cs="仿宋_GB2312"/>
          <w:b/>
          <w:bCs/>
          <w:sz w:val="32"/>
          <w:szCs w:val="24"/>
          <w:lang w:val="en-US" w:eastAsia="zh-CN" w:bidi="ar"/>
        </w:rPr>
        <w:t xml:space="preserve"> </w:t>
      </w:r>
    </w:p>
    <w:p w14:paraId="0E620A15">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color w:val="000000"/>
          <w:sz w:val="32"/>
          <w:szCs w:val="24"/>
          <w:lang w:val="en-US" w:eastAsia="zh-CN" w:bidi="ar"/>
        </w:rPr>
        <w:t>一、</w:t>
      </w:r>
      <w:r>
        <w:rPr>
          <w:rFonts w:hint="eastAsia" w:ascii="仿宋_GB2312" w:hAnsi="仿宋_GB2312" w:eastAsia="仿宋_GB2312" w:cs="仿宋_GB2312"/>
          <w:color w:val="000000"/>
          <w:sz w:val="32"/>
          <w:szCs w:val="24"/>
          <w:lang w:val="zh-CN" w:eastAsia="zh-CN" w:bidi="ar"/>
        </w:rPr>
        <w:t>部门（单位）概况</w:t>
      </w:r>
    </w:p>
    <w:p w14:paraId="31DEE9E3">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（一）机构组成。</w:t>
      </w:r>
    </w:p>
    <w:p w14:paraId="775E8647">
      <w:pPr>
        <w:pStyle w:val="193"/>
        <w:keepNext w:val="0"/>
        <w:keepLines w:val="0"/>
        <w:widowControl/>
        <w:suppressLineNumbers w:val="0"/>
        <w:spacing w:before="0" w:beforeAutospacing="0"/>
        <w:ind w:left="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我单位为独立核算行政单位，下属二级</w:t>
      </w:r>
      <w:bookmarkStart w:id="0" w:name="_GoBack"/>
      <w:bookmarkEnd w:id="0"/>
      <w:r>
        <w:rPr>
          <w:rFonts w:hint="eastAsia" w:ascii="仿宋_GB2312" w:hAnsi="仿宋_GB2312" w:eastAsia="仿宋_GB2312" w:cs="仿宋_GB2312"/>
          <w:color w:val="000000"/>
          <w:sz w:val="32"/>
          <w:szCs w:val="24"/>
          <w:lang w:val="zh-CN" w:eastAsia="zh-CN" w:bidi="ar"/>
        </w:rPr>
        <w:t>预算单位17个，其中行政单位1个，参照公务员法管理的事业单位2个，其他事业单位14个阿坝州红原县卫生和计划生育局(本级）。</w:t>
      </w:r>
    </w:p>
    <w:p w14:paraId="3A9FD313">
      <w:pPr>
        <w:pStyle w:val="193"/>
        <w:keepNext w:val="0"/>
        <w:keepLines w:val="0"/>
        <w:widowControl/>
        <w:suppressLineNumbers w:val="0"/>
        <w:spacing w:before="0" w:beforeAutospacing="0"/>
        <w:ind w:left="0" w:firstLine="64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纳入阿坝州红原县卫生和计划生育局(本级）202</w:t>
      </w:r>
      <w:r>
        <w:rPr>
          <w:rFonts w:hint="eastAsia" w:ascii="仿宋_GB2312" w:hAnsi="仿宋_GB2312" w:eastAsia="仿宋_GB2312" w:cs="仿宋_GB2312"/>
          <w:color w:val="000000"/>
          <w:sz w:val="32"/>
          <w:szCs w:val="24"/>
          <w:lang w:val="en-US" w:eastAsia="zh-CN" w:bidi="ar"/>
        </w:rPr>
        <w:t>1</w:t>
      </w:r>
      <w:r>
        <w:rPr>
          <w:rFonts w:hint="eastAsia" w:ascii="仿宋_GB2312" w:hAnsi="仿宋_GB2312" w:eastAsia="仿宋_GB2312" w:cs="仿宋_GB2312"/>
          <w:color w:val="000000"/>
          <w:sz w:val="32"/>
          <w:szCs w:val="24"/>
          <w:lang w:val="zh-CN" w:eastAsia="zh-CN" w:bidi="ar"/>
        </w:rPr>
        <w:t>年度部门整体支出绩效评价编制范围的二级预算单位包括：</w:t>
      </w:r>
    </w:p>
    <w:p w14:paraId="2EAE05AC">
      <w:pPr>
        <w:pStyle w:val="193"/>
        <w:keepNext w:val="0"/>
        <w:keepLines w:val="0"/>
        <w:widowControl/>
        <w:suppressLineNumbers w:val="0"/>
        <w:spacing w:before="0" w:beforeAutospacing="0"/>
        <w:ind w:left="0" w:right="0" w:firstLine="64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1.红原县卫生和计划生育局(</w:t>
      </w:r>
      <w:r>
        <w:rPr>
          <w:rFonts w:hint="eastAsia" w:ascii="仿宋_GB2312" w:hAnsi="仿宋_GB2312" w:eastAsia="仿宋_GB2312" w:cs="仿宋_GB2312"/>
          <w:color w:val="000000"/>
          <w:sz w:val="32"/>
          <w:szCs w:val="24"/>
          <w:lang w:val="en-US" w:eastAsia="zh-CN" w:bidi="ar"/>
        </w:rPr>
        <w:t>局</w:t>
      </w:r>
      <w:r>
        <w:rPr>
          <w:rFonts w:hint="eastAsia" w:ascii="仿宋_GB2312" w:hAnsi="仿宋_GB2312" w:eastAsia="仿宋_GB2312" w:cs="仿宋_GB2312"/>
          <w:color w:val="000000"/>
          <w:sz w:val="32"/>
          <w:szCs w:val="24"/>
          <w:lang w:val="zh-CN" w:eastAsia="zh-CN" w:bidi="ar"/>
        </w:rPr>
        <w:t>本级）</w:t>
      </w:r>
    </w:p>
    <w:p w14:paraId="2E5F7DF8">
      <w:pPr>
        <w:pStyle w:val="193"/>
        <w:keepNext w:val="0"/>
        <w:keepLines w:val="0"/>
        <w:widowControl/>
        <w:suppressLineNumbers w:val="0"/>
        <w:spacing w:before="0" w:beforeAutospacing="0"/>
        <w:ind w:left="0" w:firstLine="64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2.红原县计划生育流动人口管理办公室</w:t>
      </w:r>
    </w:p>
    <w:p w14:paraId="4063D931">
      <w:pPr>
        <w:numPr>
          <w:ilvl w:val="0"/>
          <w:numId w:val="1"/>
        </w:numPr>
        <w:spacing w:line="580" w:lineRule="exact"/>
        <w:ind w:firstLine="640"/>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机构职能。</w:t>
      </w:r>
    </w:p>
    <w:p w14:paraId="73FC465F">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1.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14:paraId="0619EBEE">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2.贯彻落实《传染病防治法》，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p>
    <w:p w14:paraId="7A0FE5F5">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p>
    <w:p w14:paraId="43DD96F6">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14:paraId="2DA51D38">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5.负责全县医疗机构医疗服务的全行业监督管理，实施医疗机构医疗服务、技术、医疗质量和采供血机构管理的政策、规范、标准，实施医疗机构、从业人员执业许可制度以及医疗卫生职业道德规范，建立全县医疗机构医疗服务评价和监督体系，依法监督管理血站的采供血及临床用血质量。</w:t>
      </w:r>
    </w:p>
    <w:p w14:paraId="3FCCE9C1">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p>
    <w:p w14:paraId="5C0683ED">
      <w:pPr>
        <w:keepNext w:val="0"/>
        <w:keepLines w:val="0"/>
        <w:widowControl/>
        <w:numPr>
          <w:ilvl w:val="0"/>
          <w:numId w:val="1"/>
        </w:numPr>
        <w:suppressLineNumbers w:val="0"/>
        <w:spacing w:before="0" w:beforeAutospacing="0" w:after="0" w:afterAutospacing="0" w:line="480" w:lineRule="exact"/>
        <w:ind w:left="0" w:right="0" w:firstLine="64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人员概况。</w:t>
      </w:r>
    </w:p>
    <w:p w14:paraId="5265A50B">
      <w:pPr>
        <w:keepNext w:val="0"/>
        <w:keepLines w:val="0"/>
        <w:widowControl/>
        <w:numPr>
          <w:ilvl w:val="0"/>
          <w:numId w:val="0"/>
        </w:numPr>
        <w:suppressLineNumbers w:val="0"/>
        <w:spacing w:before="0" w:beforeAutospacing="0" w:after="0" w:afterAutospacing="0" w:line="480" w:lineRule="exact"/>
        <w:ind w:right="0" w:firstLine="1280"/>
        <w:jc w:val="both"/>
        <w:rPr>
          <w:rFonts w:hint="eastAsia" w:ascii="仿宋_GB2312" w:hAnsi="仿宋_GB2312" w:eastAsia="仿宋_GB2312" w:cs="仿宋_GB2312"/>
          <w:color w:val="000000"/>
          <w:sz w:val="32"/>
          <w:szCs w:val="24"/>
          <w:lang w:val="en-US" w:eastAsia="zh-CN" w:bidi="ar"/>
        </w:rPr>
      </w:pPr>
      <w:r>
        <w:rPr>
          <w:rFonts w:hint="eastAsia" w:ascii="仿宋_GB2312" w:hAnsi="仿宋_GB2312" w:eastAsia="仿宋_GB2312" w:cs="仿宋_GB2312"/>
          <w:color w:val="000000"/>
          <w:sz w:val="32"/>
          <w:szCs w:val="24"/>
          <w:lang w:val="en-US" w:eastAsia="zh-CN" w:bidi="ar"/>
        </w:rPr>
        <w:t>2021年我局共有编制28个，其中行政编制9名、事业参公编制9名,</w:t>
      </w:r>
      <w:r>
        <w:rPr>
          <w:rFonts w:hint="eastAsia" w:ascii="仿宋_GB2312" w:hAnsi="仿宋_GB2312" w:eastAsia="仿宋_GB2312" w:cs="仿宋_GB2312"/>
          <w:bCs/>
          <w:sz w:val="32"/>
          <w:szCs w:val="32"/>
        </w:rPr>
        <w:t>事业编制</w:t>
      </w: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lang w:eastAsia="zh-CN"/>
        </w:rPr>
        <w:t>名，</w:t>
      </w:r>
      <w:r>
        <w:rPr>
          <w:rFonts w:hint="eastAsia" w:ascii="仿宋_GB2312" w:hAnsi="仿宋_GB2312" w:eastAsia="仿宋_GB2312" w:cs="仿宋_GB2312"/>
          <w:color w:val="000000"/>
          <w:sz w:val="32"/>
          <w:szCs w:val="24"/>
          <w:lang w:val="en-US" w:eastAsia="zh-CN" w:bidi="ar"/>
        </w:rPr>
        <w:t>在职共计26人。</w:t>
      </w:r>
    </w:p>
    <w:p w14:paraId="18CB4F58">
      <w:pPr>
        <w:keepNext w:val="0"/>
        <w:keepLines w:val="0"/>
        <w:widowControl/>
        <w:suppressLineNumbers w:val="0"/>
        <w:spacing w:before="0" w:beforeAutospacing="0" w:after="0" w:afterAutospacing="0" w:line="480" w:lineRule="exact"/>
        <w:ind w:right="0" w:firstLine="960"/>
        <w:jc w:val="left"/>
        <w:rPr>
          <w:rFonts w:hint="eastAsia" w:ascii="仿宋_GB2312" w:hAnsi="仿宋_GB2312" w:eastAsia="仿宋_GB2312" w:cs="仿宋_GB2312"/>
          <w:color w:val="000000"/>
          <w:lang w:val="en-US"/>
        </w:rPr>
      </w:pPr>
      <w:r>
        <w:rPr>
          <w:rFonts w:hint="eastAsia" w:ascii="仿宋_GB2312" w:hAnsi="仿宋_GB2312" w:eastAsia="仿宋_GB2312" w:cs="仿宋_GB2312"/>
          <w:color w:val="000000"/>
          <w:sz w:val="32"/>
          <w:szCs w:val="24"/>
          <w:lang w:val="en-US" w:eastAsia="zh-CN" w:bidi="ar"/>
        </w:rPr>
        <w:t>二、部门财政资金收支情况</w:t>
      </w:r>
    </w:p>
    <w:p w14:paraId="39440695">
      <w:pPr>
        <w:keepNext w:val="0"/>
        <w:keepLines w:val="0"/>
        <w:widowControl/>
        <w:numPr>
          <w:ilvl w:val="0"/>
          <w:numId w:val="0"/>
        </w:numPr>
        <w:suppressLineNumbers w:val="0"/>
        <w:spacing w:before="0" w:beforeAutospacing="0" w:after="0" w:afterAutospacing="0" w:line="480" w:lineRule="exact"/>
        <w:ind w:right="0" w:firstLine="64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（一）部门财政资金收入情况。</w:t>
      </w:r>
    </w:p>
    <w:p w14:paraId="51E1C9FC">
      <w:pPr>
        <w:keepNext w:val="0"/>
        <w:keepLines w:val="0"/>
        <w:widowControl/>
        <w:numPr>
          <w:ilvl w:val="0"/>
          <w:numId w:val="0"/>
        </w:numPr>
        <w:suppressLineNumbers w:val="0"/>
        <w:spacing w:before="0" w:beforeAutospacing="0" w:after="0" w:afterAutospacing="0" w:line="480" w:lineRule="exact"/>
        <w:ind w:right="0" w:firstLine="60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b w:val="0"/>
          <w:color w:val="000000"/>
          <w:sz w:val="30"/>
          <w:szCs w:val="30"/>
        </w:rPr>
        <w:t>20</w:t>
      </w:r>
      <w:r>
        <w:rPr>
          <w:rFonts w:hint="eastAsia" w:ascii="仿宋_GB2312" w:hAnsi="仿宋_GB2312" w:eastAsia="仿宋_GB2312" w:cs="仿宋_GB2312"/>
          <w:b w:val="0"/>
          <w:color w:val="000000"/>
          <w:sz w:val="30"/>
          <w:szCs w:val="30"/>
          <w:lang w:val="en-US" w:eastAsia="zh-CN"/>
        </w:rPr>
        <w:t>21</w:t>
      </w:r>
      <w:r>
        <w:rPr>
          <w:rFonts w:hint="eastAsia" w:ascii="仿宋_GB2312" w:hAnsi="仿宋_GB2312" w:eastAsia="仿宋_GB2312" w:cs="仿宋_GB2312"/>
          <w:b w:val="0"/>
          <w:color w:val="000000"/>
          <w:sz w:val="30"/>
          <w:szCs w:val="30"/>
        </w:rPr>
        <w:t>年收入合计</w:t>
      </w:r>
      <w:r>
        <w:rPr>
          <w:rFonts w:hint="eastAsia" w:ascii="仿宋_GB2312" w:hAnsi="仿宋_GB2312" w:eastAsia="仿宋_GB2312" w:cs="仿宋_GB2312"/>
          <w:b w:val="0"/>
          <w:color w:val="000000"/>
          <w:sz w:val="30"/>
          <w:szCs w:val="30"/>
          <w:lang w:val="en-US" w:eastAsia="zh-CN"/>
        </w:rPr>
        <w:t>1286.23万</w:t>
      </w:r>
      <w:r>
        <w:rPr>
          <w:rFonts w:hint="eastAsia" w:ascii="仿宋_GB2312" w:hAnsi="仿宋_GB2312" w:eastAsia="仿宋_GB2312" w:cs="仿宋_GB2312"/>
          <w:b w:val="0"/>
          <w:color w:val="000000"/>
          <w:sz w:val="30"/>
          <w:szCs w:val="30"/>
          <w:lang w:eastAsia="zh-CN"/>
        </w:rPr>
        <w:t>元</w:t>
      </w:r>
      <w:r>
        <w:rPr>
          <w:rFonts w:hint="eastAsia" w:ascii="仿宋_GB2312" w:hAnsi="仿宋_GB2312" w:eastAsia="仿宋_GB2312" w:cs="仿宋_GB2312"/>
          <w:b w:val="0"/>
          <w:color w:val="000000"/>
          <w:sz w:val="30"/>
          <w:szCs w:val="30"/>
        </w:rPr>
        <w:t>，其中：一般公共预算财政拨款收入</w:t>
      </w:r>
      <w:r>
        <w:rPr>
          <w:rFonts w:hint="eastAsia" w:ascii="仿宋_GB2312" w:hAnsi="仿宋_GB2312" w:eastAsia="仿宋_GB2312" w:cs="仿宋_GB2312"/>
          <w:b w:val="0"/>
          <w:color w:val="000000"/>
          <w:sz w:val="30"/>
          <w:szCs w:val="30"/>
          <w:lang w:val="en-US" w:eastAsia="zh-CN"/>
        </w:rPr>
        <w:t>1275万</w:t>
      </w:r>
      <w:r>
        <w:rPr>
          <w:rFonts w:hint="eastAsia" w:ascii="仿宋_GB2312" w:hAnsi="仿宋_GB2312" w:eastAsia="仿宋_GB2312" w:cs="仿宋_GB2312"/>
          <w:b w:val="0"/>
          <w:color w:val="000000"/>
          <w:sz w:val="30"/>
          <w:szCs w:val="30"/>
          <w:lang w:eastAsia="zh-CN"/>
        </w:rPr>
        <w:t>元，其他收入</w:t>
      </w:r>
      <w:r>
        <w:rPr>
          <w:rFonts w:hint="eastAsia" w:ascii="仿宋_GB2312" w:hAnsi="仿宋_GB2312" w:eastAsia="仿宋_GB2312" w:cs="仿宋_GB2312"/>
          <w:b w:val="0"/>
          <w:color w:val="000000"/>
          <w:sz w:val="30"/>
          <w:szCs w:val="30"/>
          <w:lang w:val="en-US" w:eastAsia="zh-CN"/>
        </w:rPr>
        <w:t>11.23万元</w:t>
      </w:r>
      <w:r>
        <w:rPr>
          <w:rFonts w:hint="eastAsia" w:ascii="仿宋_GB2312" w:hAnsi="仿宋_GB2312" w:eastAsia="仿宋_GB2312" w:cs="仿宋_GB2312"/>
          <w:b w:val="0"/>
          <w:color w:val="000000"/>
          <w:sz w:val="30"/>
          <w:szCs w:val="30"/>
          <w:lang w:eastAsia="zh-CN"/>
        </w:rPr>
        <w:t>。</w:t>
      </w:r>
    </w:p>
    <w:p w14:paraId="18D4B9C9">
      <w:pPr>
        <w:keepNext w:val="0"/>
        <w:keepLines w:val="0"/>
        <w:widowControl/>
        <w:numPr>
          <w:ilvl w:val="0"/>
          <w:numId w:val="2"/>
        </w:numPr>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部门财政资金支出情况。</w:t>
      </w:r>
    </w:p>
    <w:p w14:paraId="289ABDC7">
      <w:pPr>
        <w:keepNext w:val="0"/>
        <w:keepLines w:val="0"/>
        <w:widowControl/>
        <w:numPr>
          <w:ilvl w:val="0"/>
          <w:numId w:val="0"/>
        </w:numPr>
        <w:suppressLineNumbers w:val="0"/>
        <w:spacing w:before="0" w:beforeAutospacing="0" w:after="0" w:afterAutospacing="0" w:line="480" w:lineRule="exact"/>
        <w:ind w:right="0" w:firstLine="60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b w:val="0"/>
          <w:color w:val="000000"/>
          <w:sz w:val="30"/>
          <w:szCs w:val="30"/>
        </w:rPr>
        <w:t>20</w:t>
      </w:r>
      <w:r>
        <w:rPr>
          <w:rFonts w:hint="eastAsia" w:ascii="仿宋_GB2312" w:hAnsi="仿宋_GB2312" w:eastAsia="仿宋_GB2312" w:cs="仿宋_GB2312"/>
          <w:b w:val="0"/>
          <w:color w:val="000000"/>
          <w:sz w:val="30"/>
          <w:szCs w:val="30"/>
          <w:lang w:val="en-US" w:eastAsia="zh-CN"/>
        </w:rPr>
        <w:t>21</w:t>
      </w:r>
      <w:r>
        <w:rPr>
          <w:rFonts w:hint="eastAsia" w:ascii="仿宋_GB2312" w:hAnsi="仿宋_GB2312" w:eastAsia="仿宋_GB2312" w:cs="仿宋_GB2312"/>
          <w:b w:val="0"/>
          <w:color w:val="000000"/>
          <w:sz w:val="30"/>
          <w:szCs w:val="30"/>
        </w:rPr>
        <w:t>年支出合计</w:t>
      </w:r>
      <w:r>
        <w:rPr>
          <w:rFonts w:hint="eastAsia" w:ascii="仿宋_GB2312" w:hAnsi="仿宋_GB2312" w:eastAsia="仿宋_GB2312" w:cs="仿宋_GB2312"/>
          <w:b w:val="0"/>
          <w:color w:val="000000"/>
          <w:sz w:val="30"/>
          <w:szCs w:val="30"/>
          <w:lang w:val="en-US" w:eastAsia="zh-CN"/>
        </w:rPr>
        <w:t>1401.36万</w:t>
      </w:r>
      <w:r>
        <w:rPr>
          <w:rFonts w:hint="eastAsia" w:ascii="仿宋_GB2312" w:hAnsi="仿宋_GB2312" w:eastAsia="仿宋_GB2312" w:cs="仿宋_GB2312"/>
          <w:b w:val="0"/>
          <w:color w:val="000000"/>
          <w:sz w:val="30"/>
          <w:szCs w:val="30"/>
          <w:lang w:eastAsia="zh-CN"/>
        </w:rPr>
        <w:t>元</w:t>
      </w:r>
      <w:r>
        <w:rPr>
          <w:rFonts w:hint="eastAsia" w:ascii="仿宋_GB2312" w:hAnsi="仿宋_GB2312" w:eastAsia="仿宋_GB2312" w:cs="仿宋_GB2312"/>
          <w:b w:val="0"/>
          <w:color w:val="000000"/>
          <w:sz w:val="30"/>
          <w:szCs w:val="30"/>
        </w:rPr>
        <w:t>，其中：基本支出</w:t>
      </w:r>
      <w:r>
        <w:rPr>
          <w:rFonts w:hint="eastAsia" w:ascii="仿宋_GB2312" w:hAnsi="仿宋_GB2312" w:eastAsia="仿宋_GB2312" w:cs="仿宋_GB2312"/>
          <w:b w:val="0"/>
          <w:color w:val="000000"/>
          <w:sz w:val="30"/>
          <w:szCs w:val="30"/>
          <w:lang w:val="en-US" w:eastAsia="zh-CN"/>
        </w:rPr>
        <w:t>678.56万</w:t>
      </w:r>
      <w:r>
        <w:rPr>
          <w:rFonts w:hint="eastAsia" w:ascii="仿宋_GB2312" w:hAnsi="仿宋_GB2312" w:eastAsia="仿宋_GB2312" w:cs="仿宋_GB2312"/>
          <w:b w:val="0"/>
          <w:color w:val="000000"/>
          <w:sz w:val="30"/>
          <w:szCs w:val="30"/>
          <w:lang w:eastAsia="zh-CN"/>
        </w:rPr>
        <w:t>元</w:t>
      </w:r>
      <w:r>
        <w:rPr>
          <w:rFonts w:hint="eastAsia" w:ascii="仿宋_GB2312" w:hAnsi="仿宋_GB2312" w:eastAsia="仿宋_GB2312" w:cs="仿宋_GB2312"/>
          <w:b w:val="0"/>
          <w:color w:val="000000"/>
          <w:sz w:val="30"/>
          <w:szCs w:val="30"/>
          <w:lang w:val="en-US" w:eastAsia="zh-CN"/>
        </w:rPr>
        <w:t>,</w:t>
      </w:r>
      <w:r>
        <w:rPr>
          <w:rFonts w:hint="eastAsia" w:ascii="仿宋_GB2312" w:hAnsi="仿宋_GB2312" w:eastAsia="仿宋_GB2312" w:cs="仿宋_GB2312"/>
          <w:b w:val="0"/>
          <w:color w:val="000000"/>
          <w:sz w:val="30"/>
          <w:szCs w:val="30"/>
        </w:rPr>
        <w:t>项目支出</w:t>
      </w:r>
      <w:r>
        <w:rPr>
          <w:rFonts w:hint="eastAsia" w:ascii="仿宋_GB2312" w:hAnsi="仿宋_GB2312" w:eastAsia="仿宋_GB2312" w:cs="仿宋_GB2312"/>
          <w:b w:val="0"/>
          <w:color w:val="000000"/>
          <w:sz w:val="30"/>
          <w:szCs w:val="30"/>
          <w:lang w:val="en-US" w:eastAsia="zh-CN"/>
        </w:rPr>
        <w:t>722.80元。</w:t>
      </w:r>
    </w:p>
    <w:p w14:paraId="4EF62A58">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en-US"/>
        </w:rPr>
      </w:pPr>
      <w:r>
        <w:rPr>
          <w:rFonts w:hint="eastAsia" w:ascii="仿宋_GB2312" w:hAnsi="仿宋_GB2312" w:eastAsia="仿宋_GB2312" w:cs="仿宋_GB2312"/>
          <w:color w:val="000000"/>
          <w:sz w:val="32"/>
          <w:szCs w:val="24"/>
          <w:lang w:val="en-US" w:eastAsia="zh-CN" w:bidi="ar"/>
        </w:rPr>
        <w:t>三、部门财政支出管理情况</w:t>
      </w:r>
    </w:p>
    <w:p w14:paraId="6B3A11A4">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color w:val="000000"/>
          <w:sz w:val="32"/>
          <w:szCs w:val="24"/>
          <w:lang w:val="zh-CN" w:eastAsia="zh-CN" w:bidi="ar"/>
        </w:rPr>
        <w:t>（一）预算编制情况。</w:t>
      </w:r>
    </w:p>
    <w:p w14:paraId="063F6162">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right="0" w:firstLine="600"/>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根据《中华人民共和国预算法》及</w:t>
      </w:r>
      <w:r>
        <w:rPr>
          <w:rFonts w:hint="eastAsia" w:ascii="仿宋_GB2312" w:hAnsi="仿宋_GB2312" w:eastAsia="仿宋_GB2312" w:cs="仿宋_GB2312"/>
          <w:b w:val="0"/>
          <w:i w:val="0"/>
          <w:caps w:val="0"/>
          <w:color w:val="000000"/>
          <w:spacing w:val="0"/>
          <w:sz w:val="30"/>
          <w:szCs w:val="30"/>
          <w:shd w:val="clear" w:color="auto" w:fill="FFFFFF"/>
          <w:lang w:eastAsia="zh-CN"/>
        </w:rPr>
        <w:t>红原县</w:t>
      </w:r>
      <w:r>
        <w:rPr>
          <w:rFonts w:hint="eastAsia" w:ascii="仿宋_GB2312" w:hAnsi="仿宋_GB2312" w:eastAsia="仿宋_GB2312" w:cs="仿宋_GB2312"/>
          <w:b w:val="0"/>
          <w:i w:val="0"/>
          <w:caps w:val="0"/>
          <w:color w:val="000000"/>
          <w:spacing w:val="0"/>
          <w:sz w:val="30"/>
          <w:szCs w:val="30"/>
          <w:shd w:val="clear" w:color="auto" w:fill="FFFFFF"/>
        </w:rPr>
        <w:t>财政局印发的《关于</w:t>
      </w:r>
      <w:r>
        <w:rPr>
          <w:rFonts w:hint="eastAsia" w:ascii="仿宋_GB2312" w:hAnsi="仿宋_GB2312" w:eastAsia="仿宋_GB2312" w:cs="仿宋_GB2312"/>
          <w:b w:val="0"/>
          <w:i w:val="0"/>
          <w:caps w:val="0"/>
          <w:color w:val="000000"/>
          <w:spacing w:val="0"/>
          <w:sz w:val="30"/>
          <w:szCs w:val="30"/>
          <w:shd w:val="clear" w:color="auto" w:fill="FFFFFF"/>
          <w:lang w:eastAsia="zh-CN"/>
        </w:rPr>
        <w:t>下达</w:t>
      </w:r>
      <w:r>
        <w:rPr>
          <w:rFonts w:hint="eastAsia" w:ascii="仿宋_GB2312" w:hAnsi="仿宋_GB2312" w:eastAsia="仿宋_GB2312" w:cs="仿宋_GB2312"/>
          <w:b w:val="0"/>
          <w:i w:val="0"/>
          <w:caps w:val="0"/>
          <w:color w:val="000000"/>
          <w:spacing w:val="0"/>
          <w:sz w:val="30"/>
          <w:szCs w:val="30"/>
          <w:shd w:val="clear" w:color="auto" w:fill="FFFFFF"/>
          <w:lang w:val="en-US" w:eastAsia="zh-CN"/>
        </w:rPr>
        <w:t>2021年</w:t>
      </w:r>
      <w:r>
        <w:rPr>
          <w:rFonts w:hint="eastAsia" w:ascii="仿宋_GB2312" w:hAnsi="仿宋_GB2312" w:eastAsia="仿宋_GB2312" w:cs="仿宋_GB2312"/>
          <w:b w:val="0"/>
          <w:i w:val="0"/>
          <w:caps w:val="0"/>
          <w:color w:val="000000"/>
          <w:spacing w:val="0"/>
          <w:sz w:val="30"/>
          <w:szCs w:val="30"/>
          <w:shd w:val="clear" w:color="auto" w:fill="FFFFFF"/>
        </w:rPr>
        <w:t>部门预算的通知》要求，结合本单位实际，按照增收节支、厉行节约、绩效优化的原则，从严从紧编制预算。细化支出预算编制，推进预算信息公开，深化预算绩效管理，提高资金使用效益。</w:t>
      </w:r>
    </w:p>
    <w:p w14:paraId="15DF0C62">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right="0" w:firstLine="600"/>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20</w:t>
      </w:r>
      <w:r>
        <w:rPr>
          <w:rFonts w:hint="eastAsia" w:ascii="仿宋_GB2312" w:hAnsi="仿宋_GB2312" w:eastAsia="仿宋_GB2312" w:cs="仿宋_GB2312"/>
          <w:b w:val="0"/>
          <w:i w:val="0"/>
          <w:caps w:val="0"/>
          <w:color w:val="000000"/>
          <w:spacing w:val="0"/>
          <w:sz w:val="30"/>
          <w:szCs w:val="30"/>
          <w:shd w:val="clear" w:color="auto" w:fill="FFFFFF"/>
          <w:lang w:val="en-US" w:eastAsia="zh-CN"/>
        </w:rPr>
        <w:t>21</w:t>
      </w:r>
      <w:r>
        <w:rPr>
          <w:rFonts w:hint="eastAsia" w:ascii="仿宋_GB2312" w:hAnsi="仿宋_GB2312" w:eastAsia="仿宋_GB2312" w:cs="仿宋_GB2312"/>
          <w:b w:val="0"/>
          <w:i w:val="0"/>
          <w:caps w:val="0"/>
          <w:color w:val="000000"/>
          <w:spacing w:val="0"/>
          <w:sz w:val="30"/>
          <w:szCs w:val="30"/>
          <w:shd w:val="clear" w:color="auto" w:fill="FFFFFF"/>
        </w:rPr>
        <w:t>年预算人员支出对照20</w:t>
      </w:r>
      <w:r>
        <w:rPr>
          <w:rFonts w:hint="eastAsia" w:ascii="仿宋_GB2312" w:hAnsi="仿宋_GB2312" w:eastAsia="仿宋_GB2312" w:cs="仿宋_GB2312"/>
          <w:b w:val="0"/>
          <w:i w:val="0"/>
          <w:caps w:val="0"/>
          <w:color w:val="000000"/>
          <w:spacing w:val="0"/>
          <w:sz w:val="30"/>
          <w:szCs w:val="30"/>
          <w:shd w:val="clear" w:color="auto" w:fill="FFFFFF"/>
          <w:lang w:val="en-US" w:eastAsia="zh-CN"/>
        </w:rPr>
        <w:t>20</w:t>
      </w:r>
      <w:r>
        <w:rPr>
          <w:rFonts w:hint="eastAsia" w:ascii="仿宋_GB2312" w:hAnsi="仿宋_GB2312" w:eastAsia="仿宋_GB2312" w:cs="仿宋_GB2312"/>
          <w:b w:val="0"/>
          <w:i w:val="0"/>
          <w:caps w:val="0"/>
          <w:color w:val="000000"/>
          <w:spacing w:val="0"/>
          <w:sz w:val="30"/>
          <w:szCs w:val="30"/>
          <w:shd w:val="clear" w:color="auto" w:fill="FFFFFF"/>
        </w:rPr>
        <w:t>年12月份人员及工资信息编制，日常公用支出按照“经费包干、明细编报”的原则进行编制，重点做好培训费等预算编制。</w:t>
      </w:r>
    </w:p>
    <w:p w14:paraId="39697EE4">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left="0" w:right="0" w:firstLine="645"/>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对照年初的预算，通过编制部门决算报表，全面、真实、准确的反映了20</w:t>
      </w:r>
      <w:r>
        <w:rPr>
          <w:rFonts w:hint="eastAsia" w:ascii="仿宋_GB2312" w:hAnsi="仿宋_GB2312" w:eastAsia="仿宋_GB2312" w:cs="仿宋_GB2312"/>
          <w:b w:val="0"/>
          <w:i w:val="0"/>
          <w:caps w:val="0"/>
          <w:color w:val="000000"/>
          <w:spacing w:val="0"/>
          <w:sz w:val="30"/>
          <w:szCs w:val="30"/>
          <w:shd w:val="clear" w:color="auto" w:fill="FFFFFF"/>
          <w:lang w:val="en-US" w:eastAsia="zh-CN"/>
        </w:rPr>
        <w:t>21</w:t>
      </w:r>
      <w:r>
        <w:rPr>
          <w:rFonts w:hint="eastAsia" w:ascii="仿宋_GB2312" w:hAnsi="仿宋_GB2312" w:eastAsia="仿宋_GB2312" w:cs="仿宋_GB2312"/>
          <w:b w:val="0"/>
          <w:i w:val="0"/>
          <w:caps w:val="0"/>
          <w:color w:val="000000"/>
          <w:spacing w:val="0"/>
          <w:sz w:val="30"/>
          <w:szCs w:val="30"/>
          <w:shd w:val="clear" w:color="auto" w:fill="FFFFFF"/>
        </w:rPr>
        <w:t>年度财政资金的使用情况。</w:t>
      </w:r>
    </w:p>
    <w:p w14:paraId="44C3DAFA">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color w:val="000000"/>
          <w:sz w:val="32"/>
          <w:szCs w:val="24"/>
          <w:lang w:val="zh-CN" w:eastAsia="zh-CN" w:bidi="ar"/>
        </w:rPr>
        <w:t>（二）执行管理情况。</w:t>
      </w:r>
      <w:r>
        <w:rPr>
          <w:rFonts w:hint="eastAsia" w:ascii="仿宋_GB2312" w:hAnsi="仿宋_GB2312" w:eastAsia="仿宋_GB2312" w:cs="仿宋_GB2312"/>
          <w:color w:val="000000"/>
          <w:sz w:val="32"/>
          <w:szCs w:val="24"/>
          <w:lang w:val="zh-CN" w:eastAsia="zh-CN" w:bidi="ar"/>
        </w:rPr>
        <w:tab/>
      </w:r>
    </w:p>
    <w:p w14:paraId="375828CA">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right="0" w:firstLine="600"/>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本着少花钱、多办事、办好事、遵循有预算才支出的原则，20</w:t>
      </w:r>
      <w:r>
        <w:rPr>
          <w:rFonts w:hint="eastAsia" w:ascii="仿宋_GB2312" w:hAnsi="仿宋_GB2312" w:eastAsia="仿宋_GB2312" w:cs="仿宋_GB2312"/>
          <w:b w:val="0"/>
          <w:i w:val="0"/>
          <w:caps w:val="0"/>
          <w:color w:val="000000"/>
          <w:spacing w:val="0"/>
          <w:sz w:val="30"/>
          <w:szCs w:val="30"/>
          <w:shd w:val="clear" w:color="auto" w:fill="FFFFFF"/>
          <w:lang w:val="en-US" w:eastAsia="zh-CN"/>
        </w:rPr>
        <w:t>21</w:t>
      </w:r>
      <w:r>
        <w:rPr>
          <w:rFonts w:hint="eastAsia" w:ascii="仿宋_GB2312" w:hAnsi="仿宋_GB2312" w:eastAsia="仿宋_GB2312" w:cs="仿宋_GB2312"/>
          <w:b w:val="0"/>
          <w:i w:val="0"/>
          <w:caps w:val="0"/>
          <w:color w:val="000000"/>
          <w:spacing w:val="0"/>
          <w:sz w:val="30"/>
          <w:szCs w:val="30"/>
          <w:shd w:val="clear" w:color="auto" w:fill="FFFFFF"/>
        </w:rPr>
        <w:t>年财政预算支出全面落实到位，均按规定的用途支付</w:t>
      </w:r>
    </w:p>
    <w:p w14:paraId="7A0BAA89">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left="0" w:right="0" w:firstLine="645"/>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基本支出，是用于保障本单位正常运转的日常支出，包括基本工资、津贴补贴等人员经费以及办公费、印刷费、水电费、办公设备购置等日常公用经费。</w:t>
      </w:r>
    </w:p>
    <w:p w14:paraId="5FB6DDC5">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left="0" w:right="0" w:firstLine="645"/>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rPr>
        <w:t>项目支出，是用于保障本单位为完成特定的</w:t>
      </w:r>
      <w:r>
        <w:rPr>
          <w:rFonts w:hint="eastAsia" w:ascii="仿宋_GB2312" w:hAnsi="仿宋_GB2312" w:eastAsia="仿宋_GB2312" w:cs="仿宋_GB2312"/>
          <w:b w:val="0"/>
          <w:i w:val="0"/>
          <w:caps w:val="0"/>
          <w:color w:val="000000"/>
          <w:spacing w:val="0"/>
          <w:sz w:val="30"/>
          <w:szCs w:val="30"/>
          <w:shd w:val="clear" w:color="auto" w:fill="FFFFFF"/>
          <w:lang w:eastAsia="zh-CN"/>
        </w:rPr>
        <w:t>项上</w:t>
      </w:r>
      <w:r>
        <w:rPr>
          <w:rFonts w:hint="eastAsia" w:ascii="仿宋_GB2312" w:hAnsi="仿宋_GB2312" w:eastAsia="仿宋_GB2312" w:cs="仿宋_GB2312"/>
          <w:b w:val="0"/>
          <w:i w:val="0"/>
          <w:caps w:val="0"/>
          <w:color w:val="000000"/>
          <w:spacing w:val="0"/>
          <w:sz w:val="30"/>
          <w:szCs w:val="30"/>
          <w:shd w:val="clear" w:color="auto" w:fill="FFFFFF"/>
        </w:rPr>
        <w:t>工作任务</w:t>
      </w:r>
      <w:r>
        <w:rPr>
          <w:rFonts w:hint="eastAsia" w:ascii="仿宋_GB2312" w:hAnsi="仿宋_GB2312" w:eastAsia="仿宋_GB2312" w:cs="仿宋_GB2312"/>
          <w:b w:val="0"/>
          <w:i w:val="0"/>
          <w:caps w:val="0"/>
          <w:color w:val="000000"/>
          <w:spacing w:val="0"/>
          <w:sz w:val="30"/>
          <w:szCs w:val="30"/>
          <w:shd w:val="clear" w:color="auto" w:fill="FFFFFF"/>
          <w:lang w:eastAsia="zh-CN"/>
        </w:rPr>
        <w:t>，</w:t>
      </w:r>
      <w:r>
        <w:rPr>
          <w:rFonts w:hint="eastAsia" w:ascii="仿宋_GB2312" w:hAnsi="仿宋_GB2312" w:eastAsia="仿宋_GB2312" w:cs="仿宋_GB2312"/>
          <w:b w:val="0"/>
          <w:i w:val="0"/>
          <w:caps w:val="0"/>
          <w:color w:val="000000"/>
          <w:spacing w:val="0"/>
          <w:sz w:val="30"/>
          <w:szCs w:val="30"/>
          <w:shd w:val="clear" w:color="auto" w:fill="FFFFFF"/>
        </w:rPr>
        <w:t>用于专项业务工作的经费支出。</w:t>
      </w:r>
    </w:p>
    <w:p w14:paraId="1A9126AA">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left="0" w:right="0" w:firstLine="600"/>
        <w:rPr>
          <w:rFonts w:hint="eastAsia" w:ascii="仿宋_GB2312" w:hAnsi="仿宋_GB2312" w:eastAsia="仿宋_GB2312" w:cs="仿宋_GB2312"/>
          <w:b w:val="0"/>
          <w:i w:val="0"/>
          <w:caps w:val="0"/>
          <w:color w:val="000000"/>
          <w:spacing w:val="0"/>
          <w:sz w:val="30"/>
          <w:szCs w:val="30"/>
        </w:rPr>
      </w:pPr>
      <w:r>
        <w:rPr>
          <w:rFonts w:hint="eastAsia" w:ascii="仿宋_GB2312" w:hAnsi="仿宋_GB2312" w:eastAsia="仿宋_GB2312" w:cs="仿宋_GB2312"/>
          <w:b w:val="0"/>
          <w:i w:val="0"/>
          <w:caps w:val="0"/>
          <w:color w:val="000000"/>
          <w:spacing w:val="0"/>
          <w:sz w:val="30"/>
          <w:szCs w:val="30"/>
          <w:shd w:val="clear" w:color="auto" w:fill="FFFFFF"/>
          <w:lang w:eastAsia="zh-CN"/>
        </w:rPr>
        <w:t>我单位</w:t>
      </w:r>
      <w:r>
        <w:rPr>
          <w:rFonts w:hint="eastAsia" w:ascii="仿宋_GB2312" w:hAnsi="仿宋_GB2312" w:eastAsia="仿宋_GB2312" w:cs="仿宋_GB2312"/>
          <w:b w:val="0"/>
          <w:i w:val="0"/>
          <w:caps w:val="0"/>
          <w:color w:val="000000"/>
          <w:spacing w:val="0"/>
          <w:sz w:val="30"/>
          <w:szCs w:val="30"/>
          <w:shd w:val="clear" w:color="auto" w:fill="FFFFFF"/>
        </w:rPr>
        <w:t>20</w:t>
      </w:r>
      <w:r>
        <w:rPr>
          <w:rFonts w:hint="eastAsia" w:ascii="仿宋_GB2312" w:hAnsi="仿宋_GB2312" w:eastAsia="仿宋_GB2312" w:cs="仿宋_GB2312"/>
          <w:b w:val="0"/>
          <w:i w:val="0"/>
          <w:caps w:val="0"/>
          <w:color w:val="000000"/>
          <w:spacing w:val="0"/>
          <w:sz w:val="30"/>
          <w:szCs w:val="30"/>
          <w:shd w:val="clear" w:color="auto" w:fill="FFFFFF"/>
          <w:lang w:val="en-US" w:eastAsia="zh-CN"/>
        </w:rPr>
        <w:t>21</w:t>
      </w:r>
      <w:r>
        <w:rPr>
          <w:rFonts w:hint="eastAsia" w:ascii="仿宋_GB2312" w:hAnsi="仿宋_GB2312" w:eastAsia="仿宋_GB2312" w:cs="仿宋_GB2312"/>
          <w:b w:val="0"/>
          <w:i w:val="0"/>
          <w:caps w:val="0"/>
          <w:color w:val="000000"/>
          <w:spacing w:val="0"/>
          <w:sz w:val="30"/>
          <w:szCs w:val="30"/>
          <w:shd w:val="clear" w:color="auto" w:fill="FFFFFF"/>
        </w:rPr>
        <w:t>年未发生公务出国（境）费用，本着厉行节约的原则，公务用车实行定点加油和维修，使用及维修前报分管领导和主要负责人同意。</w:t>
      </w:r>
    </w:p>
    <w:p w14:paraId="0FBC0751">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color w:val="000000"/>
          <w:sz w:val="32"/>
          <w:szCs w:val="24"/>
          <w:lang w:val="zh-CN" w:eastAsia="zh-CN" w:bidi="ar"/>
        </w:rPr>
        <w:t>（三）综合管理情况。</w:t>
      </w:r>
    </w:p>
    <w:p w14:paraId="0530C364">
      <w:pPr>
        <w:pStyle w:val="191"/>
        <w:keepNext w:val="0"/>
        <w:keepLines w:val="0"/>
        <w:pageBreakBefore w:val="0"/>
        <w:widowControl/>
        <w:numPr>
          <w:ilvl w:val="0"/>
          <w:numId w:val="0"/>
        </w:numPr>
        <w:suppressLineNumbers w:val="0"/>
        <w:spacing w:before="0" w:beforeAutospacing="0" w:after="0" w:afterAutospacing="0" w:line="540" w:lineRule="exact"/>
        <w:ind w:right="0" w:firstLine="6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w:t>
      </w:r>
      <w:r>
        <w:rPr>
          <w:rFonts w:hint="eastAsia" w:ascii="仿宋_GB2312" w:hAnsi="仿宋_GB2312" w:eastAsia="仿宋_GB2312" w:cs="仿宋_GB2312"/>
          <w:color w:val="000000"/>
          <w:sz w:val="30"/>
          <w:szCs w:val="30"/>
          <w:lang w:eastAsia="zh-CN"/>
        </w:rPr>
        <w:t>建立建全内部控制</w:t>
      </w:r>
      <w:r>
        <w:rPr>
          <w:rFonts w:hint="eastAsia" w:ascii="仿宋_GB2312" w:hAnsi="仿宋_GB2312" w:eastAsia="仿宋_GB2312" w:cs="仿宋_GB2312"/>
          <w:color w:val="000000"/>
          <w:sz w:val="30"/>
          <w:szCs w:val="30"/>
        </w:rPr>
        <w:t>制度：我</w:t>
      </w:r>
      <w:r>
        <w:rPr>
          <w:rFonts w:hint="eastAsia" w:ascii="仿宋_GB2312" w:hAnsi="仿宋_GB2312" w:eastAsia="仿宋_GB2312" w:cs="仿宋_GB2312"/>
          <w:color w:val="000000"/>
          <w:sz w:val="30"/>
          <w:szCs w:val="30"/>
          <w:lang w:eastAsia="zh-CN"/>
        </w:rPr>
        <w:t>单位</w:t>
      </w:r>
      <w:r>
        <w:rPr>
          <w:rFonts w:hint="eastAsia" w:ascii="仿宋_GB2312" w:hAnsi="仿宋_GB2312" w:eastAsia="仿宋_GB2312" w:cs="仿宋_GB2312"/>
          <w:color w:val="000000"/>
          <w:sz w:val="30"/>
          <w:szCs w:val="30"/>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14:paraId="71887A68">
      <w:pPr>
        <w:pStyle w:val="191"/>
        <w:keepNext w:val="0"/>
        <w:keepLines w:val="0"/>
        <w:pageBreakBefore w:val="0"/>
        <w:widowControl/>
        <w:numPr>
          <w:ilvl w:val="0"/>
          <w:numId w:val="0"/>
        </w:numPr>
        <w:suppressLineNumbers w:val="0"/>
        <w:spacing w:before="0" w:beforeAutospacing="0" w:after="0" w:afterAutospacing="0" w:line="540" w:lineRule="exact"/>
        <w:ind w:right="0" w:firstLine="6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14:paraId="7E5943D8">
      <w:pPr>
        <w:pStyle w:val="191"/>
        <w:keepNext w:val="0"/>
        <w:keepLines w:val="0"/>
        <w:pageBreakBefore w:val="0"/>
        <w:widowControl/>
        <w:suppressLineNumbers w:val="0"/>
        <w:spacing w:before="0" w:beforeAutospacing="0" w:after="0" w:afterAutospacing="0" w:line="540" w:lineRule="exact"/>
        <w:ind w:left="0" w:right="0" w:firstLine="6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w:t>
      </w:r>
      <w:r>
        <w:rPr>
          <w:rFonts w:hint="eastAsia" w:ascii="仿宋_GB2312" w:hAnsi="仿宋_GB2312" w:eastAsia="仿宋_GB2312" w:cs="仿宋_GB2312"/>
          <w:color w:val="000000"/>
          <w:sz w:val="30"/>
          <w:szCs w:val="30"/>
          <w:lang w:val="en-US" w:eastAsia="zh-CN"/>
        </w:rPr>
        <w:t>.</w:t>
      </w:r>
      <w:r>
        <w:rPr>
          <w:rFonts w:hint="eastAsia" w:ascii="仿宋_GB2312" w:hAnsi="仿宋_GB2312" w:eastAsia="仿宋_GB2312" w:cs="仿宋_GB2312"/>
          <w:color w:val="000000"/>
          <w:sz w:val="30"/>
          <w:szCs w:val="30"/>
        </w:rPr>
        <w:t>预算信息公开：</w:t>
      </w:r>
      <w:r>
        <w:rPr>
          <w:rFonts w:hint="eastAsia" w:ascii="仿宋_GB2312" w:hAnsi="仿宋_GB2312" w:eastAsia="仿宋_GB2312" w:cs="仿宋_GB2312"/>
          <w:color w:val="000000"/>
          <w:sz w:val="30"/>
          <w:szCs w:val="30"/>
          <w:lang w:eastAsia="zh-CN"/>
        </w:rPr>
        <w:t>我单位</w:t>
      </w:r>
      <w:r>
        <w:rPr>
          <w:rFonts w:hint="eastAsia" w:ascii="仿宋_GB2312" w:hAnsi="仿宋_GB2312" w:eastAsia="仿宋_GB2312" w:cs="仿宋_GB2312"/>
          <w:color w:val="000000"/>
          <w:sz w:val="30"/>
          <w:szCs w:val="30"/>
        </w:rPr>
        <w:t xml:space="preserve">按规定内容公开预决算信息；按规定时限公开预决算信息；基础数据信息和会计信息资料真实；基础数据信息和会计信息资料完整；基础数据信息和汇集信息资料准确。 </w:t>
      </w:r>
    </w:p>
    <w:p w14:paraId="111511BE">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rPr>
        <w:t>4</w:t>
      </w:r>
      <w:r>
        <w:rPr>
          <w:rFonts w:hint="eastAsia" w:ascii="仿宋_GB2312" w:hAnsi="仿宋_GB2312" w:eastAsia="仿宋_GB2312" w:cs="仿宋_GB2312"/>
          <w:color w:val="000000"/>
          <w:sz w:val="30"/>
          <w:szCs w:val="30"/>
          <w:lang w:val="en-US" w:eastAsia="zh-CN"/>
        </w:rPr>
        <w:t>.</w:t>
      </w:r>
      <w:r>
        <w:rPr>
          <w:rFonts w:hint="eastAsia" w:ascii="仿宋_GB2312" w:hAnsi="仿宋_GB2312" w:eastAsia="仿宋_GB2312" w:cs="仿宋_GB2312"/>
          <w:color w:val="000000"/>
          <w:sz w:val="30"/>
          <w:szCs w:val="30"/>
        </w:rPr>
        <w:t>财务信息完善性：经核对</w:t>
      </w:r>
      <w:r>
        <w:rPr>
          <w:rFonts w:hint="eastAsia" w:ascii="仿宋_GB2312" w:hAnsi="仿宋_GB2312" w:eastAsia="仿宋_GB2312" w:cs="仿宋_GB2312"/>
          <w:color w:val="000000"/>
          <w:sz w:val="30"/>
          <w:szCs w:val="30"/>
          <w:lang w:eastAsia="zh-CN"/>
        </w:rPr>
        <w:t>我单位</w:t>
      </w: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21</w:t>
      </w:r>
      <w:r>
        <w:rPr>
          <w:rFonts w:hint="eastAsia" w:ascii="仿宋_GB2312" w:hAnsi="仿宋_GB2312" w:eastAsia="仿宋_GB2312" w:cs="仿宋_GB2312"/>
          <w:color w:val="000000"/>
          <w:sz w:val="30"/>
          <w:szCs w:val="30"/>
        </w:rPr>
        <w:t>年度总账、明细账、决算报表，其结果账账、账表相符；财务信息资料真实、完整、准确</w:t>
      </w:r>
      <w:r>
        <w:rPr>
          <w:rFonts w:hint="eastAsia" w:ascii="仿宋_GB2312" w:hAnsi="仿宋_GB2312" w:eastAsia="仿宋_GB2312" w:cs="仿宋_GB2312"/>
          <w:color w:val="000000"/>
          <w:sz w:val="30"/>
          <w:szCs w:val="30"/>
          <w:lang w:eastAsia="zh-CN"/>
        </w:rPr>
        <w:t>。</w:t>
      </w:r>
    </w:p>
    <w:p w14:paraId="1A95BC40">
      <w:pPr>
        <w:keepNext w:val="0"/>
        <w:keepLines w:val="0"/>
        <w:widowControl/>
        <w:suppressLineNumbers w:val="0"/>
        <w:spacing w:before="0" w:beforeAutospacing="0" w:after="0" w:afterAutospacing="0" w:line="480" w:lineRule="exact"/>
        <w:ind w:right="0"/>
        <w:jc w:val="left"/>
        <w:rPr>
          <w:rFonts w:hint="eastAsia" w:ascii="仿宋_GB2312" w:hAnsi="仿宋_GB2312" w:eastAsia="仿宋_GB2312" w:cs="仿宋_GB2312"/>
          <w:color w:val="000000"/>
          <w:sz w:val="36"/>
          <w:szCs w:val="36"/>
          <w:lang w:val="zh-CN" w:eastAsia="zh-CN"/>
        </w:rPr>
      </w:pPr>
      <w:r>
        <w:rPr>
          <w:rFonts w:hint="eastAsia" w:ascii="仿宋_GB2312" w:hAnsi="仿宋_GB2312" w:eastAsia="仿宋_GB2312" w:cs="仿宋_GB2312"/>
          <w:color w:val="000000"/>
          <w:sz w:val="36"/>
          <w:szCs w:val="36"/>
          <w:lang w:val="zh-CN" w:eastAsia="zh-CN" w:bidi="ar"/>
        </w:rPr>
        <w:t>（四）整体绩效。</w:t>
      </w:r>
    </w:p>
    <w:p w14:paraId="6E6D3F48">
      <w:pPr>
        <w:keepNext w:val="0"/>
        <w:keepLines w:val="0"/>
        <w:widowControl/>
        <w:suppressLineNumbers w:val="0"/>
        <w:spacing w:before="0" w:beforeAutospacing="0" w:after="0" w:afterAutospacing="0" w:line="480" w:lineRule="exact"/>
        <w:ind w:right="0"/>
        <w:jc w:val="left"/>
        <w:rPr>
          <w:rFonts w:hint="eastAsia" w:ascii="仿宋_GB2312" w:hAnsi="仿宋_GB2312" w:eastAsia="仿宋_GB2312" w:cs="仿宋_GB2312"/>
          <w:color w:val="000000"/>
          <w:sz w:val="30"/>
          <w:szCs w:val="30"/>
          <w:lang w:val="zh-CN" w:eastAsia="zh-CN"/>
        </w:rPr>
      </w:pPr>
      <w:r>
        <w:rPr>
          <w:rFonts w:hint="eastAsia" w:ascii="仿宋_GB2312" w:hAnsi="仿宋_GB2312" w:eastAsia="仿宋_GB2312" w:cs="仿宋_GB2312"/>
          <w:color w:val="000000"/>
          <w:sz w:val="30"/>
          <w:szCs w:val="30"/>
          <w:lang w:val="zh-CN" w:eastAsia="zh-CN" w:bidi="ar"/>
        </w:rPr>
        <w:t>部门职责履行</w:t>
      </w:r>
      <w:r>
        <w:rPr>
          <w:rFonts w:hint="eastAsia" w:ascii="仿宋_GB2312" w:hAnsi="仿宋_GB2312" w:eastAsia="仿宋_GB2312" w:cs="仿宋_GB2312"/>
          <w:sz w:val="30"/>
          <w:szCs w:val="30"/>
          <w:lang w:eastAsia="zh-CN"/>
        </w:rPr>
        <w:t>宣传贯彻党和政府的各项医疗卫生方针政策，协助政府实施农村医改工作；</w:t>
      </w:r>
      <w:r>
        <w:rPr>
          <w:rFonts w:hint="eastAsia" w:ascii="仿宋_GB2312" w:hAnsi="仿宋_GB2312" w:eastAsia="仿宋_GB2312" w:cs="仿宋_GB2312"/>
          <w:sz w:val="30"/>
          <w:szCs w:val="30"/>
          <w:lang w:val="en-US" w:eastAsia="zh-CN"/>
        </w:rPr>
        <w:t>本部门按要求对2021年部门整体支出开展绩效自评，本年度依法行政工作，落实行政执法责任制，统筹规划全县卫生计生服务资源配置，指导全县卫生计生工作，指导和推动卫生计生公共服务网络体系建设。</w:t>
      </w:r>
    </w:p>
    <w:p w14:paraId="119EFD45">
      <w:pPr>
        <w:keepNext w:val="0"/>
        <w:keepLines w:val="0"/>
        <w:pageBreakBefore w:val="0"/>
        <w:spacing w:beforeAutospacing="0" w:afterAutospacing="0" w:line="540" w:lineRule="exact"/>
        <w:rPr>
          <w:rFonts w:hint="eastAsia" w:ascii="仿宋_GB2312" w:hAnsi="仿宋_GB2312" w:eastAsia="仿宋_GB2312" w:cs="仿宋_GB2312"/>
          <w:b/>
          <w:bCs w:val="0"/>
          <w:color w:val="000000"/>
          <w:sz w:val="30"/>
          <w:szCs w:val="30"/>
          <w:lang w:eastAsia="zh-CN"/>
        </w:rPr>
      </w:pPr>
      <w:r>
        <w:rPr>
          <w:rFonts w:hint="eastAsia" w:ascii="仿宋_GB2312" w:hAnsi="仿宋_GB2312" w:eastAsia="仿宋_GB2312" w:cs="仿宋_GB2312"/>
          <w:color w:val="000000"/>
          <w:sz w:val="32"/>
          <w:szCs w:val="24"/>
          <w:lang w:val="en-US" w:eastAsia="zh-CN" w:bidi="ar"/>
        </w:rPr>
        <w:t xml:space="preserve"> 四、</w:t>
      </w:r>
      <w:r>
        <w:rPr>
          <w:rFonts w:hint="eastAsia" w:ascii="仿宋_GB2312" w:hAnsi="仿宋_GB2312" w:eastAsia="仿宋_GB2312" w:cs="仿宋_GB2312"/>
          <w:b/>
          <w:bCs w:val="0"/>
          <w:color w:val="000000"/>
          <w:sz w:val="30"/>
          <w:szCs w:val="30"/>
          <w:lang w:eastAsia="zh-CN"/>
        </w:rPr>
        <w:t>评价结论及建议</w:t>
      </w:r>
    </w:p>
    <w:p w14:paraId="26016B17">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right="0"/>
        <w:rPr>
          <w:rFonts w:hint="eastAsia" w:ascii="仿宋_GB2312" w:hAnsi="仿宋_GB2312" w:eastAsia="仿宋_GB2312" w:cs="仿宋_GB2312"/>
          <w:b w:val="0"/>
          <w:bCs w:val="0"/>
          <w:i w:val="0"/>
          <w:caps w:val="0"/>
          <w:color w:val="000000"/>
          <w:spacing w:val="0"/>
          <w:sz w:val="30"/>
          <w:szCs w:val="30"/>
          <w:shd w:val="clear" w:color="auto" w:fill="FFFFFF"/>
        </w:rPr>
      </w:pPr>
      <w:r>
        <w:rPr>
          <w:rFonts w:hint="eastAsia" w:ascii="仿宋_GB2312" w:hAnsi="仿宋_GB2312" w:eastAsia="仿宋_GB2312" w:cs="仿宋_GB2312"/>
          <w:b/>
          <w:bCs/>
          <w:i w:val="0"/>
          <w:caps w:val="0"/>
          <w:color w:val="000000"/>
          <w:spacing w:val="0"/>
          <w:sz w:val="30"/>
          <w:szCs w:val="30"/>
          <w:shd w:val="clear" w:color="auto" w:fill="FFFFFF"/>
          <w:lang w:eastAsia="zh-CN"/>
        </w:rPr>
        <w:t>（一）</w:t>
      </w:r>
      <w:r>
        <w:rPr>
          <w:rFonts w:hint="eastAsia" w:ascii="仿宋_GB2312" w:hAnsi="仿宋_GB2312" w:eastAsia="仿宋_GB2312" w:cs="仿宋_GB2312"/>
          <w:b w:val="0"/>
          <w:bCs w:val="0"/>
          <w:i w:val="0"/>
          <w:caps w:val="0"/>
          <w:color w:val="000000"/>
          <w:spacing w:val="0"/>
          <w:sz w:val="30"/>
          <w:szCs w:val="30"/>
          <w:shd w:val="clear" w:color="auto" w:fill="FFFFFF"/>
        </w:rPr>
        <w:t>执行预算制度到位</w:t>
      </w:r>
    </w:p>
    <w:p w14:paraId="35B93E83">
      <w:pPr>
        <w:pStyle w:val="1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540" w:lineRule="exact"/>
        <w:ind w:right="0" w:firstLine="600"/>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b w:val="0"/>
          <w:i w:val="0"/>
          <w:caps w:val="0"/>
          <w:color w:val="000000"/>
          <w:spacing w:val="0"/>
          <w:sz w:val="30"/>
          <w:szCs w:val="30"/>
          <w:shd w:val="clear" w:color="auto" w:fill="FFFFFF"/>
        </w:rPr>
        <w:t>能够严格执行《预算法》和各项财经纪律，财务管理规范，预算编制合理;二是资金监管到位。经费开支按用途使用合理，做到专帐专管,专款专用；三是人员配备和</w:t>
      </w:r>
      <w:r>
        <w:rPr>
          <w:rFonts w:hint="eastAsia" w:ascii="仿宋_GB2312" w:hAnsi="仿宋_GB2312" w:eastAsia="仿宋_GB2312" w:cs="仿宋_GB2312"/>
          <w:b w:val="0"/>
          <w:i w:val="0"/>
          <w:caps w:val="0"/>
          <w:color w:val="000000"/>
          <w:spacing w:val="0"/>
          <w:sz w:val="30"/>
          <w:szCs w:val="30"/>
          <w:shd w:val="clear" w:color="auto" w:fill="FFFFFF"/>
          <w:lang w:eastAsia="zh-CN"/>
        </w:rPr>
        <w:t>账务</w:t>
      </w:r>
      <w:r>
        <w:rPr>
          <w:rFonts w:hint="eastAsia" w:ascii="仿宋_GB2312" w:hAnsi="仿宋_GB2312" w:eastAsia="仿宋_GB2312" w:cs="仿宋_GB2312"/>
          <w:b w:val="0"/>
          <w:i w:val="0"/>
          <w:caps w:val="0"/>
          <w:color w:val="000000"/>
          <w:spacing w:val="0"/>
          <w:sz w:val="30"/>
          <w:szCs w:val="30"/>
          <w:shd w:val="clear" w:color="auto" w:fill="FFFFFF"/>
        </w:rPr>
        <w:t>核算到位。财务人员</w:t>
      </w:r>
      <w:r>
        <w:rPr>
          <w:rFonts w:hint="eastAsia" w:ascii="仿宋_GB2312" w:hAnsi="仿宋_GB2312" w:eastAsia="仿宋_GB2312" w:cs="仿宋_GB2312"/>
          <w:b w:val="0"/>
          <w:i w:val="0"/>
          <w:caps w:val="0"/>
          <w:color w:val="000000"/>
          <w:spacing w:val="0"/>
          <w:sz w:val="30"/>
          <w:szCs w:val="30"/>
          <w:shd w:val="clear" w:color="auto" w:fill="FFFFFF"/>
          <w:lang w:eastAsia="zh-CN"/>
        </w:rPr>
        <w:t>账务</w:t>
      </w:r>
      <w:r>
        <w:rPr>
          <w:rFonts w:hint="eastAsia" w:ascii="仿宋_GB2312" w:hAnsi="仿宋_GB2312" w:eastAsia="仿宋_GB2312" w:cs="仿宋_GB2312"/>
          <w:b w:val="0"/>
          <w:i w:val="0"/>
          <w:caps w:val="0"/>
          <w:color w:val="000000"/>
          <w:spacing w:val="0"/>
          <w:sz w:val="30"/>
          <w:szCs w:val="30"/>
          <w:shd w:val="clear" w:color="auto" w:fill="FFFFFF"/>
        </w:rPr>
        <w:t>核算及时规范。</w:t>
      </w:r>
      <w:r>
        <w:rPr>
          <w:rFonts w:hint="eastAsia" w:ascii="仿宋_GB2312" w:hAnsi="仿宋_GB2312" w:eastAsia="仿宋_GB2312" w:cs="仿宋_GB2312"/>
          <w:color w:val="000000"/>
          <w:sz w:val="30"/>
          <w:szCs w:val="30"/>
        </w:rPr>
        <w:t>我单位在财务上进行合理安排和运用，以“认真、严谨、细致”</w:t>
      </w:r>
      <w:r>
        <w:rPr>
          <w:rFonts w:hint="eastAsia" w:ascii="仿宋_GB2312" w:hAnsi="仿宋_GB2312" w:eastAsia="仿宋_GB2312" w:cs="仿宋_GB2312"/>
          <w:color w:val="000000"/>
          <w:sz w:val="30"/>
          <w:szCs w:val="30"/>
          <w:lang w:eastAsia="zh-CN"/>
        </w:rPr>
        <w:t>的</w:t>
      </w:r>
      <w:r>
        <w:rPr>
          <w:rFonts w:hint="eastAsia" w:ascii="仿宋_GB2312" w:hAnsi="仿宋_GB2312" w:eastAsia="仿宋_GB2312" w:cs="仿宋_GB2312"/>
          <w:color w:val="000000"/>
          <w:sz w:val="30"/>
          <w:szCs w:val="30"/>
        </w:rPr>
        <w:t>精神，做好一切财务工作</w:t>
      </w:r>
      <w:r>
        <w:rPr>
          <w:rFonts w:hint="eastAsia" w:ascii="仿宋_GB2312" w:hAnsi="仿宋_GB2312" w:eastAsia="仿宋_GB2312" w:cs="仿宋_GB2312"/>
          <w:color w:val="000000"/>
          <w:sz w:val="30"/>
          <w:szCs w:val="30"/>
          <w:lang w:eastAsia="zh-CN"/>
        </w:rPr>
        <w:t>。</w:t>
      </w:r>
    </w:p>
    <w:p w14:paraId="1822494C">
      <w:pPr>
        <w:keepNext w:val="0"/>
        <w:keepLines w:val="0"/>
        <w:widowControl/>
        <w:suppressLineNumbers w:val="0"/>
        <w:spacing w:before="0" w:beforeAutospacing="0" w:after="0" w:afterAutospacing="0" w:line="480" w:lineRule="exact"/>
        <w:ind w:right="0"/>
        <w:jc w:val="left"/>
        <w:rPr>
          <w:rFonts w:hint="eastAsia" w:ascii="仿宋_GB2312" w:hAnsi="仿宋_GB2312" w:eastAsia="仿宋_GB2312" w:cs="仿宋_GB2312"/>
          <w:color w:val="000000"/>
          <w:sz w:val="32"/>
          <w:szCs w:val="24"/>
          <w:lang w:val="zh-CN" w:eastAsia="zh-CN" w:bidi="ar"/>
        </w:rPr>
      </w:pPr>
    </w:p>
    <w:p w14:paraId="4652856F">
      <w:pPr>
        <w:keepNext w:val="0"/>
        <w:keepLines w:val="0"/>
        <w:widowControl/>
        <w:suppressLineNumbers w:val="0"/>
        <w:spacing w:before="0" w:beforeAutospacing="0" w:after="0" w:afterAutospacing="0" w:line="480" w:lineRule="exact"/>
        <w:ind w:right="0"/>
        <w:jc w:val="left"/>
        <w:rPr>
          <w:rStyle w:val="192"/>
          <w:rFonts w:hint="eastAsia" w:ascii="仿宋_GB2312" w:hAnsi="仿宋_GB2312" w:eastAsia="仿宋_GB2312" w:cs="仿宋_GB2312"/>
          <w:b w:val="0"/>
          <w:bCs/>
          <w:i w:val="0"/>
          <w:caps w:val="0"/>
          <w:color w:val="000000"/>
          <w:spacing w:val="0"/>
          <w:sz w:val="30"/>
          <w:szCs w:val="30"/>
          <w:shd w:val="clear" w:color="auto" w:fill="FFFFFF"/>
          <w:lang w:val="zh-CN" w:eastAsia="zh-CN"/>
        </w:rPr>
      </w:pPr>
      <w:r>
        <w:rPr>
          <w:rFonts w:hint="eastAsia" w:ascii="仿宋_GB2312" w:hAnsi="仿宋_GB2312" w:eastAsia="仿宋_GB2312" w:cs="仿宋_GB2312"/>
          <w:color w:val="000000"/>
          <w:sz w:val="32"/>
          <w:szCs w:val="24"/>
          <w:lang w:val="zh-CN" w:eastAsia="zh-CN" w:bidi="ar"/>
        </w:rPr>
        <w:t>（二）评价结论。</w:t>
      </w:r>
      <w:r>
        <w:rPr>
          <w:rStyle w:val="192"/>
          <w:rFonts w:hint="eastAsia" w:ascii="仿宋_GB2312" w:hAnsi="仿宋_GB2312" w:eastAsia="仿宋_GB2312" w:cs="仿宋_GB2312"/>
          <w:b w:val="0"/>
          <w:bCs/>
          <w:i w:val="0"/>
          <w:caps w:val="0"/>
          <w:color w:val="000000"/>
          <w:spacing w:val="0"/>
          <w:sz w:val="30"/>
          <w:szCs w:val="30"/>
          <w:shd w:val="clear" w:color="auto" w:fill="FFFFFF"/>
        </w:rPr>
        <w:t>经自评20</w:t>
      </w:r>
      <w:r>
        <w:rPr>
          <w:rStyle w:val="192"/>
          <w:rFonts w:hint="eastAsia" w:ascii="仿宋_GB2312" w:hAnsi="仿宋_GB2312" w:eastAsia="仿宋_GB2312" w:cs="仿宋_GB2312"/>
          <w:b w:val="0"/>
          <w:bCs/>
          <w:i w:val="0"/>
          <w:caps w:val="0"/>
          <w:color w:val="000000"/>
          <w:spacing w:val="0"/>
          <w:sz w:val="30"/>
          <w:szCs w:val="30"/>
          <w:shd w:val="clear" w:color="auto" w:fill="FFFFFF"/>
          <w:lang w:val="en-US" w:eastAsia="zh-CN"/>
        </w:rPr>
        <w:t>21</w:t>
      </w:r>
      <w:r>
        <w:rPr>
          <w:rStyle w:val="192"/>
          <w:rFonts w:hint="eastAsia" w:ascii="仿宋_GB2312" w:hAnsi="仿宋_GB2312" w:eastAsia="仿宋_GB2312" w:cs="仿宋_GB2312"/>
          <w:b w:val="0"/>
          <w:bCs/>
          <w:i w:val="0"/>
          <w:caps w:val="0"/>
          <w:color w:val="000000"/>
          <w:spacing w:val="0"/>
          <w:sz w:val="30"/>
          <w:szCs w:val="30"/>
          <w:shd w:val="clear" w:color="auto" w:fill="FFFFFF"/>
        </w:rPr>
        <w:t>年度</w:t>
      </w:r>
      <w:r>
        <w:rPr>
          <w:rStyle w:val="192"/>
          <w:rFonts w:hint="eastAsia" w:ascii="仿宋_GB2312" w:hAnsi="仿宋_GB2312" w:eastAsia="仿宋_GB2312" w:cs="仿宋_GB2312"/>
          <w:b w:val="0"/>
          <w:bCs/>
          <w:i w:val="0"/>
          <w:caps w:val="0"/>
          <w:color w:val="000000"/>
          <w:spacing w:val="0"/>
          <w:sz w:val="30"/>
          <w:szCs w:val="30"/>
          <w:shd w:val="clear" w:color="auto" w:fill="FFFFFF"/>
          <w:lang w:eastAsia="zh-CN"/>
        </w:rPr>
        <w:t>本单位整体</w:t>
      </w:r>
      <w:r>
        <w:rPr>
          <w:rStyle w:val="192"/>
          <w:rFonts w:hint="eastAsia" w:ascii="仿宋_GB2312" w:hAnsi="仿宋_GB2312" w:eastAsia="仿宋_GB2312" w:cs="仿宋_GB2312"/>
          <w:b w:val="0"/>
          <w:bCs/>
          <w:i w:val="0"/>
          <w:caps w:val="0"/>
          <w:color w:val="000000"/>
          <w:spacing w:val="0"/>
          <w:sz w:val="30"/>
          <w:szCs w:val="30"/>
          <w:shd w:val="clear" w:color="auto" w:fill="FFFFFF"/>
        </w:rPr>
        <w:t>支出绩效</w:t>
      </w:r>
      <w:r>
        <w:rPr>
          <w:rStyle w:val="192"/>
          <w:rFonts w:hint="eastAsia" w:ascii="仿宋_GB2312" w:hAnsi="仿宋_GB2312" w:eastAsia="仿宋_GB2312" w:cs="仿宋_GB2312"/>
          <w:b w:val="0"/>
          <w:bCs/>
          <w:i w:val="0"/>
          <w:caps w:val="0"/>
          <w:color w:val="000000"/>
          <w:spacing w:val="0"/>
          <w:sz w:val="30"/>
          <w:szCs w:val="30"/>
          <w:shd w:val="clear" w:color="auto" w:fill="FFFFFF"/>
          <w:lang w:eastAsia="zh-CN"/>
        </w:rPr>
        <w:t>评价为良</w:t>
      </w:r>
      <w:r>
        <w:rPr>
          <w:rStyle w:val="192"/>
          <w:rFonts w:hint="eastAsia" w:ascii="仿宋_GB2312" w:hAnsi="仿宋_GB2312" w:eastAsia="仿宋_GB2312" w:cs="仿宋_GB2312"/>
          <w:b w:val="0"/>
          <w:bCs/>
          <w:i w:val="0"/>
          <w:caps w:val="0"/>
          <w:color w:val="000000"/>
          <w:spacing w:val="0"/>
          <w:sz w:val="30"/>
          <w:szCs w:val="30"/>
          <w:shd w:val="clear" w:color="auto" w:fill="FFFFFF"/>
        </w:rPr>
        <w:t>。</w:t>
      </w:r>
    </w:p>
    <w:p w14:paraId="6076D4B5">
      <w:pPr>
        <w:pStyle w:val="1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tabs>
          <w:tab w:val="left" w:pos="817"/>
        </w:tabs>
        <w:spacing w:before="0" w:beforeAutospacing="0" w:after="0" w:afterAutospacing="0" w:line="540" w:lineRule="exact"/>
        <w:ind w:right="0"/>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（三）存在问题。</w:t>
      </w:r>
    </w:p>
    <w:p w14:paraId="54881D18">
      <w:pPr>
        <w:keepNext w:val="0"/>
        <w:keepLines w:val="0"/>
        <w:widowControl/>
        <w:suppressLineNumbers w:val="0"/>
        <w:spacing w:before="0" w:beforeAutospacing="0" w:after="0" w:afterAutospacing="0" w:line="480" w:lineRule="exact"/>
        <w:ind w:left="0" w:right="0" w:firstLine="720"/>
        <w:jc w:val="left"/>
        <w:rPr>
          <w:rFonts w:hint="eastAsia" w:ascii="仿宋_GB2312" w:hAnsi="仿宋_GB2312" w:eastAsia="仿宋_GB2312" w:cs="仿宋_GB2312"/>
          <w:color w:val="000000"/>
          <w:lang w:val="zh-CN" w:eastAsia="zh-CN"/>
        </w:rPr>
      </w:pPr>
      <w:r>
        <w:rPr>
          <w:rFonts w:hint="eastAsia" w:ascii="仿宋_GB2312" w:hAnsi="仿宋_GB2312" w:eastAsia="仿宋_GB2312" w:cs="仿宋_GB2312"/>
          <w:b w:val="0"/>
          <w:i w:val="0"/>
          <w:caps w:val="0"/>
          <w:color w:val="000000"/>
          <w:spacing w:val="0"/>
          <w:sz w:val="30"/>
          <w:szCs w:val="30"/>
          <w:shd w:val="clear" w:color="auto" w:fill="FFFFFF"/>
          <w:lang w:eastAsia="zh-CN"/>
        </w:rPr>
        <w:t>内部控制制度缺乏完善，需要完善机制。</w:t>
      </w:r>
    </w:p>
    <w:p w14:paraId="46B2F0D0">
      <w:pPr>
        <w:pStyle w:val="1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tabs>
          <w:tab w:val="left" w:pos="817"/>
        </w:tabs>
        <w:spacing w:before="0" w:beforeAutospacing="0" w:after="0" w:afterAutospacing="0" w:line="540" w:lineRule="exact"/>
        <w:ind w:right="0"/>
        <w:rPr>
          <w:rFonts w:hint="eastAsia" w:ascii="仿宋_GB2312" w:hAnsi="仿宋_GB2312" w:eastAsia="仿宋_GB2312" w:cs="仿宋_GB2312"/>
          <w:color w:val="000000"/>
          <w:sz w:val="32"/>
          <w:szCs w:val="24"/>
          <w:lang w:val="zh-CN" w:eastAsia="zh-CN" w:bidi="ar"/>
        </w:rPr>
      </w:pPr>
      <w:r>
        <w:rPr>
          <w:rFonts w:hint="eastAsia" w:ascii="仿宋_GB2312" w:hAnsi="仿宋_GB2312" w:eastAsia="仿宋_GB2312" w:cs="仿宋_GB2312"/>
          <w:color w:val="000000"/>
          <w:sz w:val="32"/>
          <w:szCs w:val="24"/>
          <w:lang w:val="zh-CN" w:eastAsia="zh-CN" w:bidi="ar"/>
        </w:rPr>
        <w:t>（四）改进建议。</w:t>
      </w:r>
    </w:p>
    <w:p w14:paraId="0C643771">
      <w:pPr>
        <w:pStyle w:val="191"/>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line="450" w:lineRule="atLeast"/>
        <w:ind w:left="0" w:right="0" w:firstLine="510"/>
        <w:rPr>
          <w:rFonts w:hint="eastAsia" w:ascii="宋体" w:hAnsi="宋体" w:eastAsia="宋体" w:cs="宋体"/>
          <w:i w:val="0"/>
          <w:iCs w:val="0"/>
          <w:caps w:val="0"/>
          <w:color w:val="333333"/>
          <w:spacing w:val="0"/>
          <w:sz w:val="32"/>
          <w:szCs w:val="32"/>
          <w:lang w:eastAsia="zh-CN"/>
        </w:rPr>
      </w:pPr>
      <w:r>
        <w:rPr>
          <w:rFonts w:hint="eastAsia" w:ascii="仿宋_GB2312" w:hAnsi="仿宋_GB2312" w:eastAsia="仿宋_GB2312" w:cs="仿宋_GB2312"/>
          <w:b w:val="0"/>
          <w:i w:val="0"/>
          <w:caps w:val="0"/>
          <w:color w:val="000000"/>
          <w:spacing w:val="0"/>
          <w:sz w:val="30"/>
          <w:szCs w:val="30"/>
          <w:shd w:val="clear" w:color="auto" w:fill="FFFFFF"/>
        </w:rPr>
        <w:t>建立长效机制，严格财务管理，加强财务监督，坚持厉行节约，严格</w:t>
      </w:r>
      <w:r>
        <w:rPr>
          <w:rFonts w:hint="eastAsia" w:ascii="仿宋_GB2312" w:hAnsi="仿宋_GB2312" w:eastAsia="仿宋_GB2312" w:cs="仿宋_GB2312"/>
          <w:b w:val="0"/>
          <w:i w:val="0"/>
          <w:caps w:val="0"/>
          <w:color w:val="000000"/>
          <w:spacing w:val="0"/>
          <w:sz w:val="30"/>
          <w:szCs w:val="30"/>
          <w:shd w:val="clear" w:color="auto" w:fill="FFFFFF"/>
          <w:lang w:eastAsia="zh-CN"/>
        </w:rPr>
        <w:t>杜绝</w:t>
      </w:r>
      <w:r>
        <w:rPr>
          <w:rFonts w:hint="eastAsia" w:ascii="仿宋_GB2312" w:hAnsi="仿宋_GB2312" w:eastAsia="仿宋_GB2312" w:cs="仿宋_GB2312"/>
          <w:b w:val="0"/>
          <w:i w:val="0"/>
          <w:caps w:val="0"/>
          <w:color w:val="000000"/>
          <w:spacing w:val="0"/>
          <w:sz w:val="30"/>
          <w:szCs w:val="30"/>
          <w:shd w:val="clear" w:color="auto" w:fill="FFFFFF"/>
        </w:rPr>
        <w:t>现金支出。加强事业单位会计制度的学习，准且完整的核算部门全年收入支出，确保不漏记多记支</w:t>
      </w:r>
      <w:r>
        <w:rPr>
          <w:rFonts w:hint="eastAsia" w:ascii="仿宋_GB2312" w:hAnsi="仿宋_GB2312" w:eastAsia="仿宋_GB2312" w:cs="仿宋_GB2312"/>
          <w:b w:val="0"/>
          <w:i w:val="0"/>
          <w:caps w:val="0"/>
          <w:color w:val="000000"/>
          <w:spacing w:val="0"/>
          <w:sz w:val="30"/>
          <w:szCs w:val="30"/>
          <w:shd w:val="clear" w:color="auto" w:fill="FFFFFF"/>
          <w:lang w:eastAsia="zh-CN"/>
        </w:rPr>
        <w:t>。</w:t>
      </w:r>
      <w:r>
        <w:rPr>
          <w:rFonts w:hint="eastAsia" w:ascii="仿宋_GB2312" w:hAnsi="仿宋_GB2312" w:eastAsia="仿宋_GB2312" w:cs="仿宋_GB2312"/>
          <w:b w:val="0"/>
          <w:i w:val="0"/>
          <w:caps w:val="0"/>
          <w:color w:val="000000"/>
          <w:spacing w:val="0"/>
          <w:sz w:val="30"/>
          <w:szCs w:val="30"/>
          <w:shd w:val="clear" w:color="auto" w:fill="FFFFFF"/>
        </w:rPr>
        <w:t> </w:t>
      </w:r>
      <w:r>
        <w:rPr>
          <w:rFonts w:hint="eastAsia" w:ascii="仿宋_GB2312" w:hAnsi="仿宋_GB2312" w:eastAsia="仿宋_GB2312" w:cs="仿宋_GB2312"/>
          <w:b w:val="0"/>
          <w:i w:val="0"/>
          <w:caps w:val="0"/>
          <w:color w:val="000000"/>
          <w:spacing w:val="0"/>
          <w:sz w:val="30"/>
          <w:szCs w:val="30"/>
          <w:shd w:val="clear" w:color="auto" w:fill="FFFFFF"/>
          <w:lang w:eastAsia="zh-CN"/>
        </w:rPr>
        <w:t>加强对财务人员的培训。</w:t>
      </w:r>
      <w:r>
        <w:rPr>
          <w:rFonts w:hint="eastAsia" w:ascii="仿宋_GB2312" w:hAnsi="仿宋_GB2312" w:eastAsia="仿宋_GB2312" w:cs="仿宋_GB2312"/>
          <w:b w:val="0"/>
          <w:i w:val="0"/>
          <w:caps w:val="0"/>
          <w:color w:val="000000"/>
          <w:spacing w:val="0"/>
          <w:sz w:val="30"/>
          <w:szCs w:val="30"/>
          <w:shd w:val="clear" w:color="auto" w:fill="FFFFFF"/>
        </w:rPr>
        <w:t>             </w:t>
      </w:r>
    </w:p>
    <w:p w14:paraId="333B411A">
      <w:pPr>
        <w:numPr>
          <w:ilvl w:val="0"/>
          <w:numId w:val="0"/>
        </w:numPr>
        <w:spacing w:line="480" w:lineRule="exact"/>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p>
    <w:p w14:paraId="351C54EF">
      <w:pPr>
        <w:pStyle w:val="2"/>
        <w:rPr>
          <w:rFonts w:hint="eastAsia"/>
          <w:lang w:val="en-US" w:eastAsia="zh-CN"/>
        </w:rPr>
      </w:pPr>
    </w:p>
    <w:p w14:paraId="0BAA1AFD">
      <w:pPr>
        <w:pStyle w:val="2"/>
        <w:rPr>
          <w:rFonts w:hint="eastAsia" w:ascii="宋体" w:hAnsi="宋体" w:eastAsia="宋体" w:cs="宋体"/>
          <w:b/>
          <w:bCs/>
          <w:sz w:val="32"/>
          <w:szCs w:val="32"/>
          <w:lang w:val="en-US" w:eastAsia="zh-CN"/>
        </w:rPr>
      </w:pPr>
    </w:p>
    <w:p w14:paraId="4CFBDC9C">
      <w:pPr>
        <w:pStyle w:val="2"/>
        <w:rPr>
          <w:rFonts w:hint="eastAsia" w:ascii="宋体" w:hAnsi="宋体" w:eastAsia="宋体" w:cs="宋体"/>
          <w:b/>
          <w:bCs/>
          <w:sz w:val="32"/>
          <w:szCs w:val="32"/>
          <w:lang w:val="en-US" w:eastAsia="zh-CN"/>
        </w:rPr>
      </w:pPr>
    </w:p>
    <w:p w14:paraId="53092FC2">
      <w:pPr>
        <w:pStyle w:val="2"/>
        <w:rPr>
          <w:rFonts w:hint="eastAsia" w:ascii="宋体" w:hAnsi="宋体" w:eastAsia="宋体" w:cs="宋体"/>
          <w:b/>
          <w:bCs/>
          <w:sz w:val="30"/>
          <w:szCs w:val="30"/>
          <w:lang w:val="en-US" w:eastAsia="zh-CN"/>
        </w:rPr>
      </w:pPr>
    </w:p>
    <w:p w14:paraId="306D78DB">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b/>
          <w:bCs/>
          <w:sz w:val="30"/>
          <w:szCs w:val="30"/>
          <w:lang w:val="en-US" w:eastAsia="zh-CN" w:bidi="ar"/>
        </w:rPr>
      </w:pPr>
      <w:r>
        <w:rPr>
          <w:rFonts w:hint="eastAsia" w:ascii="宋体" w:hAnsi="宋体" w:eastAsia="宋体" w:cs="宋体"/>
          <w:b/>
          <w:bCs/>
          <w:sz w:val="30"/>
          <w:szCs w:val="30"/>
          <w:lang w:val="en-US" w:eastAsia="zh-CN"/>
        </w:rPr>
        <w:t xml:space="preserve">                          </w:t>
      </w:r>
      <w:r>
        <w:rPr>
          <w:rFonts w:hint="eastAsia" w:ascii="仿宋_GB2312" w:hAnsi="仿宋_GB2312" w:eastAsia="仿宋_GB2312" w:cs="仿宋_GB2312"/>
          <w:b/>
          <w:bCs/>
          <w:sz w:val="30"/>
          <w:szCs w:val="30"/>
        </w:rPr>
        <w:t>红原县</w:t>
      </w:r>
      <w:r>
        <w:rPr>
          <w:rFonts w:hint="eastAsia" w:ascii="仿宋_GB2312" w:hAnsi="仿宋_GB2312" w:eastAsia="仿宋_GB2312" w:cs="仿宋_GB2312"/>
          <w:b/>
          <w:bCs/>
          <w:sz w:val="30"/>
          <w:szCs w:val="30"/>
          <w:lang w:eastAsia="zh-CN"/>
        </w:rPr>
        <w:t>卫生健康局</w:t>
      </w:r>
    </w:p>
    <w:p w14:paraId="24B98C42">
      <w:pPr>
        <w:pStyle w:val="2"/>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2022年3月22日</w:t>
      </w:r>
    </w:p>
    <w:sectPr>
      <w:headerReference r:id="rId5" w:type="first"/>
      <w:footerReference r:id="rId8" w:type="first"/>
      <w:headerReference r:id="rId3" w:type="default"/>
      <w:footerReference r:id="rId6" w:type="default"/>
      <w:headerReference r:id="rId4" w:type="even"/>
      <w:footerReference r:id="rId7" w:type="even"/>
      <w:pgSz w:w="11906" w:h="16838" w:orient="landscape"/>
      <w:pgMar w:top="2098" w:right="1587" w:bottom="2041" w:left="1587"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FangSong_GB2312">
    <w:altName w:val="仿宋_GB2312"/>
    <w:panose1 w:val="0201060903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2FE02">
    <w:pPr>
      <w:pStyle w:val="18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F01F6">
    <w:pPr>
      <w:pStyle w:val="18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85A94">
    <w:pPr>
      <w:pStyle w:val="18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14FA9">
    <w:pPr>
      <w:pStyle w:val="189"/>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A077D">
    <w:pPr>
      <w:pStyle w:val="18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AA3FA">
    <w:pPr>
      <w:pStyle w:val="18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D01B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4">
    <w:name w:val="heading 1"/>
    <w:basedOn w:val="1"/>
    <w:next w:val="1"/>
    <w:link w:val="36"/>
    <w:qFormat/>
    <w:uiPriority w:val="9"/>
    <w:pPr>
      <w:keepNext/>
      <w:keepLines/>
      <w:spacing w:before="480" w:after="200"/>
      <w:outlineLvl w:val="0"/>
    </w:pPr>
    <w:rPr>
      <w:rFonts w:ascii="等线" w:hAnsi="等线" w:eastAsia="等线" w:cs="等线"/>
      <w:sz w:val="40"/>
      <w:szCs w:val="40"/>
    </w:rPr>
  </w:style>
  <w:style w:type="paragraph" w:styleId="5">
    <w:name w:val="heading 2"/>
    <w:basedOn w:val="1"/>
    <w:next w:val="1"/>
    <w:link w:val="37"/>
    <w:unhideWhenUsed/>
    <w:qFormat/>
    <w:uiPriority w:val="9"/>
    <w:pPr>
      <w:keepNext/>
      <w:keepLines/>
      <w:spacing w:before="360" w:after="200"/>
      <w:outlineLvl w:val="1"/>
    </w:pPr>
    <w:rPr>
      <w:rFonts w:ascii="等线" w:hAnsi="等线" w:eastAsia="等线" w:cs="等线"/>
      <w:sz w:val="34"/>
    </w:rPr>
  </w:style>
  <w:style w:type="paragraph" w:styleId="6">
    <w:name w:val="heading 3"/>
    <w:basedOn w:val="1"/>
    <w:next w:val="1"/>
    <w:link w:val="38"/>
    <w:unhideWhenUsed/>
    <w:qFormat/>
    <w:uiPriority w:val="9"/>
    <w:pPr>
      <w:keepNext/>
      <w:keepLines/>
      <w:spacing w:before="320" w:after="200"/>
      <w:outlineLvl w:val="2"/>
    </w:pPr>
    <w:rPr>
      <w:rFonts w:ascii="等线" w:hAnsi="等线" w:eastAsia="等线" w:cs="等线"/>
      <w:sz w:val="30"/>
      <w:szCs w:val="30"/>
    </w:rPr>
  </w:style>
  <w:style w:type="paragraph" w:styleId="7">
    <w:name w:val="heading 4"/>
    <w:basedOn w:val="1"/>
    <w:next w:val="1"/>
    <w:link w:val="39"/>
    <w:unhideWhenUsed/>
    <w:qFormat/>
    <w:uiPriority w:val="9"/>
    <w:pPr>
      <w:keepNext/>
      <w:keepLines/>
      <w:spacing w:before="320" w:after="200"/>
      <w:outlineLvl w:val="3"/>
    </w:pPr>
    <w:rPr>
      <w:rFonts w:ascii="等线" w:hAnsi="等线" w:eastAsia="等线" w:cs="等线"/>
      <w:b/>
      <w:bCs/>
      <w:sz w:val="26"/>
      <w:szCs w:val="26"/>
    </w:rPr>
  </w:style>
  <w:style w:type="paragraph" w:styleId="8">
    <w:name w:val="heading 5"/>
    <w:basedOn w:val="1"/>
    <w:next w:val="1"/>
    <w:link w:val="40"/>
    <w:unhideWhenUsed/>
    <w:qFormat/>
    <w:uiPriority w:val="9"/>
    <w:pPr>
      <w:keepNext/>
      <w:keepLines/>
      <w:spacing w:before="320" w:after="200"/>
      <w:outlineLvl w:val="4"/>
    </w:pPr>
    <w:rPr>
      <w:rFonts w:ascii="等线" w:hAnsi="等线" w:eastAsia="等线" w:cs="等线"/>
      <w:b/>
      <w:bCs/>
      <w:sz w:val="24"/>
      <w:szCs w:val="24"/>
    </w:rPr>
  </w:style>
  <w:style w:type="paragraph" w:styleId="9">
    <w:name w:val="heading 6"/>
    <w:basedOn w:val="1"/>
    <w:next w:val="1"/>
    <w:link w:val="41"/>
    <w:unhideWhenUsed/>
    <w:qFormat/>
    <w:uiPriority w:val="9"/>
    <w:pPr>
      <w:keepNext/>
      <w:keepLines/>
      <w:spacing w:before="320" w:after="200"/>
      <w:outlineLvl w:val="5"/>
    </w:pPr>
    <w:rPr>
      <w:rFonts w:ascii="等线" w:hAnsi="等线" w:eastAsia="等线" w:cs="等线"/>
      <w:b/>
      <w:bCs/>
      <w:sz w:val="22"/>
      <w:szCs w:val="22"/>
    </w:rPr>
  </w:style>
  <w:style w:type="paragraph" w:styleId="10">
    <w:name w:val="heading 7"/>
    <w:basedOn w:val="1"/>
    <w:next w:val="1"/>
    <w:link w:val="42"/>
    <w:unhideWhenUsed/>
    <w:qFormat/>
    <w:uiPriority w:val="9"/>
    <w:pPr>
      <w:keepNext/>
      <w:keepLines/>
      <w:spacing w:before="320" w:after="200"/>
      <w:outlineLvl w:val="6"/>
    </w:pPr>
    <w:rPr>
      <w:rFonts w:ascii="等线" w:hAnsi="等线" w:eastAsia="等线" w:cs="等线"/>
      <w:b/>
      <w:bCs/>
      <w:i/>
      <w:iCs/>
      <w:sz w:val="22"/>
      <w:szCs w:val="22"/>
    </w:rPr>
  </w:style>
  <w:style w:type="paragraph" w:styleId="11">
    <w:name w:val="heading 8"/>
    <w:basedOn w:val="1"/>
    <w:next w:val="1"/>
    <w:link w:val="43"/>
    <w:unhideWhenUsed/>
    <w:qFormat/>
    <w:uiPriority w:val="9"/>
    <w:pPr>
      <w:keepNext/>
      <w:keepLines/>
      <w:spacing w:before="320" w:after="200"/>
      <w:outlineLvl w:val="7"/>
    </w:pPr>
    <w:rPr>
      <w:rFonts w:ascii="等线" w:hAnsi="等线" w:eastAsia="等线" w:cs="等线"/>
      <w:i/>
      <w:iCs/>
      <w:sz w:val="22"/>
      <w:szCs w:val="22"/>
    </w:rPr>
  </w:style>
  <w:style w:type="paragraph" w:styleId="12">
    <w:name w:val="heading 9"/>
    <w:basedOn w:val="1"/>
    <w:next w:val="1"/>
    <w:link w:val="44"/>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unhideWhenUsed/>
    <w:uiPriority w:val="1"/>
  </w:style>
  <w:style w:type="table" w:default="1" w:styleId="30">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首行缩进 21"/>
    <w:basedOn w:val="3"/>
    <w:unhideWhenUsed/>
    <w:qFormat/>
    <w:uiPriority w:val="99"/>
    <w:pPr>
      <w:ind w:firstLine="420"/>
    </w:pPr>
  </w:style>
  <w:style w:type="paragraph" w:customStyle="1" w:styleId="3">
    <w:name w:val="正文文本缩进1"/>
    <w:basedOn w:val="1"/>
    <w:unhideWhenUsed/>
    <w:qFormat/>
    <w:uiPriority w:val="99"/>
    <w:pPr>
      <w:ind w:firstLine="496"/>
    </w:pPr>
    <w:rPr>
      <w:rFonts w:ascii="FangSong_GB2312" w:hAnsi="宋体" w:eastAsia="FangSong_GB2312"/>
      <w:color w:val="000000"/>
      <w:sz w:val="32"/>
      <w:szCs w:val="20"/>
    </w:rPr>
  </w:style>
  <w:style w:type="paragraph" w:styleId="13">
    <w:name w:val="toc 7"/>
    <w:basedOn w:val="1"/>
    <w:next w:val="1"/>
    <w:unhideWhenUsed/>
    <w:uiPriority w:val="39"/>
    <w:pPr>
      <w:spacing w:after="57"/>
      <w:ind w:left="1701" w:right="0" w:firstLine="0"/>
    </w:p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toc 5"/>
    <w:basedOn w:val="1"/>
    <w:next w:val="1"/>
    <w:unhideWhenUsed/>
    <w:uiPriority w:val="39"/>
    <w:pPr>
      <w:spacing w:after="57"/>
      <w:ind w:left="1134" w:right="0" w:firstLine="0"/>
    </w:pPr>
  </w:style>
  <w:style w:type="paragraph" w:styleId="16">
    <w:name w:val="toc 3"/>
    <w:basedOn w:val="1"/>
    <w:next w:val="1"/>
    <w:unhideWhenUsed/>
    <w:uiPriority w:val="39"/>
    <w:pPr>
      <w:spacing w:after="57"/>
      <w:ind w:left="567" w:right="0" w:firstLine="0"/>
    </w:pPr>
  </w:style>
  <w:style w:type="paragraph" w:styleId="17">
    <w:name w:val="toc 8"/>
    <w:basedOn w:val="1"/>
    <w:next w:val="1"/>
    <w:unhideWhenUsed/>
    <w:uiPriority w:val="39"/>
    <w:pPr>
      <w:spacing w:after="57"/>
      <w:ind w:left="1984" w:right="0" w:firstLine="0"/>
    </w:pPr>
  </w:style>
  <w:style w:type="paragraph" w:styleId="18">
    <w:name w:val="endnote text"/>
    <w:basedOn w:val="1"/>
    <w:link w:val="182"/>
    <w:semiHidden/>
    <w:unhideWhenUsed/>
    <w:uiPriority w:val="99"/>
    <w:pPr>
      <w:spacing w:after="0" w:line="240" w:lineRule="auto"/>
    </w:pPr>
    <w:rPr>
      <w:sz w:val="20"/>
    </w:rPr>
  </w:style>
  <w:style w:type="paragraph" w:styleId="19">
    <w:name w:val="footer"/>
    <w:basedOn w:val="1"/>
    <w:link w:val="55"/>
    <w:unhideWhenUsed/>
    <w:uiPriority w:val="99"/>
    <w:pPr>
      <w:tabs>
        <w:tab w:val="center" w:pos="7143"/>
        <w:tab w:val="right" w:pos="14287"/>
      </w:tabs>
      <w:spacing w:after="0" w:line="240" w:lineRule="auto"/>
    </w:pPr>
  </w:style>
  <w:style w:type="paragraph" w:styleId="20">
    <w:name w:val="header"/>
    <w:basedOn w:val="1"/>
    <w:link w:val="53"/>
    <w:unhideWhenUsed/>
    <w:qFormat/>
    <w:uiPriority w:val="99"/>
    <w:pPr>
      <w:tabs>
        <w:tab w:val="center" w:pos="7143"/>
        <w:tab w:val="right" w:pos="14287"/>
      </w:tabs>
      <w:spacing w:after="0" w:line="240" w:lineRule="auto"/>
    </w:pPr>
  </w:style>
  <w:style w:type="paragraph" w:styleId="21">
    <w:name w:val="toc 1"/>
    <w:basedOn w:val="1"/>
    <w:next w:val="1"/>
    <w:unhideWhenUsed/>
    <w:uiPriority w:val="39"/>
    <w:pPr>
      <w:spacing w:after="57"/>
      <w:ind w:left="0" w:right="0" w:firstLine="0"/>
    </w:pPr>
  </w:style>
  <w:style w:type="paragraph" w:styleId="22">
    <w:name w:val="toc 4"/>
    <w:basedOn w:val="1"/>
    <w:next w:val="1"/>
    <w:unhideWhenUsed/>
    <w:uiPriority w:val="39"/>
    <w:pPr>
      <w:spacing w:after="57"/>
      <w:ind w:left="850" w:right="0" w:firstLine="0"/>
    </w:pPr>
  </w:style>
  <w:style w:type="paragraph" w:styleId="23">
    <w:name w:val="Subtitle"/>
    <w:basedOn w:val="1"/>
    <w:next w:val="1"/>
    <w:link w:val="48"/>
    <w:qFormat/>
    <w:uiPriority w:val="11"/>
    <w:pPr>
      <w:spacing w:before="200" w:after="200"/>
    </w:pPr>
    <w:rPr>
      <w:sz w:val="24"/>
      <w:szCs w:val="24"/>
    </w:rPr>
  </w:style>
  <w:style w:type="paragraph" w:styleId="24">
    <w:name w:val="footnote text"/>
    <w:basedOn w:val="1"/>
    <w:link w:val="181"/>
    <w:semiHidden/>
    <w:unhideWhenUsed/>
    <w:uiPriority w:val="99"/>
    <w:pPr>
      <w:spacing w:after="40" w:line="240" w:lineRule="auto"/>
    </w:pPr>
    <w:rPr>
      <w:sz w:val="18"/>
    </w:rPr>
  </w:style>
  <w:style w:type="paragraph" w:styleId="25">
    <w:name w:val="toc 6"/>
    <w:basedOn w:val="1"/>
    <w:next w:val="1"/>
    <w:unhideWhenUsed/>
    <w:uiPriority w:val="39"/>
    <w:pPr>
      <w:spacing w:after="57"/>
      <w:ind w:left="1417" w:right="0" w:firstLine="0"/>
    </w:pPr>
  </w:style>
  <w:style w:type="paragraph" w:styleId="26">
    <w:name w:val="table of figures"/>
    <w:basedOn w:val="1"/>
    <w:next w:val="1"/>
    <w:unhideWhenUsed/>
    <w:uiPriority w:val="99"/>
    <w:pPr>
      <w:spacing w:after="0" w:afterAutospacing="0"/>
    </w:pPr>
  </w:style>
  <w:style w:type="paragraph" w:styleId="27">
    <w:name w:val="toc 2"/>
    <w:basedOn w:val="1"/>
    <w:next w:val="1"/>
    <w:unhideWhenUsed/>
    <w:uiPriority w:val="39"/>
    <w:pPr>
      <w:spacing w:after="57"/>
      <w:ind w:left="283" w:right="0" w:firstLine="0"/>
    </w:pPr>
  </w:style>
  <w:style w:type="paragraph" w:styleId="28">
    <w:name w:val="toc 9"/>
    <w:basedOn w:val="1"/>
    <w:next w:val="1"/>
    <w:unhideWhenUsed/>
    <w:uiPriority w:val="39"/>
    <w:pPr>
      <w:spacing w:after="57"/>
      <w:ind w:left="2268" w:right="0" w:firstLine="0"/>
    </w:pPr>
  </w:style>
  <w:style w:type="paragraph" w:styleId="29">
    <w:name w:val="Title"/>
    <w:basedOn w:val="1"/>
    <w:next w:val="1"/>
    <w:link w:val="47"/>
    <w:qFormat/>
    <w:uiPriority w:val="10"/>
    <w:pPr>
      <w:spacing w:before="300" w:after="200"/>
      <w:contextualSpacing/>
    </w:pPr>
    <w:rPr>
      <w:sz w:val="48"/>
      <w:szCs w:val="48"/>
    </w:rPr>
  </w:style>
  <w:style w:type="table" w:styleId="31">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3">
    <w:name w:val="endnote reference"/>
    <w:semiHidden/>
    <w:unhideWhenUsed/>
    <w:qFormat/>
    <w:uiPriority w:val="99"/>
    <w:rPr>
      <w:vertAlign w:val="superscript"/>
    </w:rPr>
  </w:style>
  <w:style w:type="character" w:styleId="34">
    <w:name w:val="Hyperlink"/>
    <w:unhideWhenUsed/>
    <w:uiPriority w:val="99"/>
    <w:rPr>
      <w:color w:val="0000FF" w:themeColor="hyperlink"/>
      <w:u w:val="single"/>
      <w14:textFill>
        <w14:solidFill>
          <w14:schemeClr w14:val="hlink"/>
        </w14:solidFill>
      </w14:textFill>
    </w:rPr>
  </w:style>
  <w:style w:type="character" w:styleId="35">
    <w:name w:val="footnote reference"/>
    <w:unhideWhenUsed/>
    <w:uiPriority w:val="99"/>
    <w:rPr>
      <w:vertAlign w:val="superscript"/>
    </w:rPr>
  </w:style>
  <w:style w:type="character" w:customStyle="1" w:styleId="36">
    <w:name w:val="Heading 1 Char"/>
    <w:link w:val="4"/>
    <w:qFormat/>
    <w:uiPriority w:val="9"/>
    <w:rPr>
      <w:rFonts w:ascii="等线" w:hAnsi="等线" w:eastAsia="等线" w:cs="等线"/>
      <w:sz w:val="40"/>
      <w:szCs w:val="40"/>
    </w:rPr>
  </w:style>
  <w:style w:type="character" w:customStyle="1" w:styleId="37">
    <w:name w:val="Heading 2 Char"/>
    <w:link w:val="5"/>
    <w:qFormat/>
    <w:uiPriority w:val="9"/>
    <w:rPr>
      <w:rFonts w:ascii="等线" w:hAnsi="等线" w:eastAsia="等线" w:cs="等线"/>
      <w:sz w:val="34"/>
    </w:rPr>
  </w:style>
  <w:style w:type="character" w:customStyle="1" w:styleId="38">
    <w:name w:val="Heading 3 Char"/>
    <w:link w:val="6"/>
    <w:qFormat/>
    <w:uiPriority w:val="9"/>
    <w:rPr>
      <w:rFonts w:ascii="等线" w:hAnsi="等线" w:eastAsia="等线" w:cs="等线"/>
      <w:sz w:val="30"/>
      <w:szCs w:val="30"/>
    </w:rPr>
  </w:style>
  <w:style w:type="character" w:customStyle="1" w:styleId="39">
    <w:name w:val="Heading 4 Char"/>
    <w:link w:val="7"/>
    <w:uiPriority w:val="9"/>
    <w:rPr>
      <w:rFonts w:ascii="等线" w:hAnsi="等线" w:eastAsia="等线" w:cs="等线"/>
      <w:b/>
      <w:bCs/>
      <w:sz w:val="26"/>
      <w:szCs w:val="26"/>
    </w:rPr>
  </w:style>
  <w:style w:type="character" w:customStyle="1" w:styleId="40">
    <w:name w:val="Heading 5 Char"/>
    <w:link w:val="8"/>
    <w:uiPriority w:val="9"/>
    <w:rPr>
      <w:rFonts w:ascii="等线" w:hAnsi="等线" w:eastAsia="等线" w:cs="等线"/>
      <w:b/>
      <w:bCs/>
      <w:sz w:val="24"/>
      <w:szCs w:val="24"/>
    </w:rPr>
  </w:style>
  <w:style w:type="character" w:customStyle="1" w:styleId="41">
    <w:name w:val="Heading 6 Char"/>
    <w:link w:val="9"/>
    <w:uiPriority w:val="9"/>
    <w:rPr>
      <w:rFonts w:ascii="等线" w:hAnsi="等线" w:eastAsia="等线" w:cs="等线"/>
      <w:b/>
      <w:bCs/>
      <w:sz w:val="22"/>
      <w:szCs w:val="22"/>
    </w:rPr>
  </w:style>
  <w:style w:type="character" w:customStyle="1" w:styleId="42">
    <w:name w:val="Heading 7 Char"/>
    <w:link w:val="10"/>
    <w:uiPriority w:val="9"/>
    <w:rPr>
      <w:rFonts w:ascii="等线" w:hAnsi="等线" w:eastAsia="等线" w:cs="等线"/>
      <w:b/>
      <w:bCs/>
      <w:i/>
      <w:iCs/>
      <w:sz w:val="22"/>
      <w:szCs w:val="22"/>
    </w:rPr>
  </w:style>
  <w:style w:type="character" w:customStyle="1" w:styleId="43">
    <w:name w:val="Heading 8 Char"/>
    <w:link w:val="11"/>
    <w:qFormat/>
    <w:uiPriority w:val="9"/>
    <w:rPr>
      <w:rFonts w:ascii="等线" w:hAnsi="等线" w:eastAsia="等线" w:cs="等线"/>
      <w:i/>
      <w:iCs/>
      <w:sz w:val="22"/>
      <w:szCs w:val="22"/>
    </w:rPr>
  </w:style>
  <w:style w:type="character" w:customStyle="1" w:styleId="44">
    <w:name w:val="Heading 9 Char"/>
    <w:link w:val="12"/>
    <w:uiPriority w:val="9"/>
    <w:rPr>
      <w:rFonts w:ascii="等线" w:hAnsi="等线" w:eastAsia="等线" w:cs="等线"/>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link w:val="29"/>
    <w:uiPriority w:val="10"/>
    <w:rPr>
      <w:sz w:val="48"/>
      <w:szCs w:val="48"/>
    </w:rPr>
  </w:style>
  <w:style w:type="character" w:customStyle="1" w:styleId="48">
    <w:name w:val="Subtitle Char"/>
    <w:link w:val="23"/>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link w:val="20"/>
    <w:uiPriority w:val="99"/>
  </w:style>
  <w:style w:type="character" w:customStyle="1" w:styleId="54">
    <w:name w:val="Footer Char"/>
    <w:link w:val="19"/>
    <w:qFormat/>
    <w:uiPriority w:val="99"/>
  </w:style>
  <w:style w:type="character" w:customStyle="1" w:styleId="55">
    <w:name w:val="Caption Char"/>
    <w:link w:val="19"/>
    <w:uiPriority w:val="99"/>
  </w:style>
  <w:style w:type="table" w:customStyle="1" w:styleId="56">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qFormat/>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qFormat/>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qFormat/>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qFormat/>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4"/>
    <w:uiPriority w:val="99"/>
    <w:rPr>
      <w:sz w:val="18"/>
    </w:rPr>
  </w:style>
  <w:style w:type="character" w:customStyle="1" w:styleId="182">
    <w:name w:val="Endnote Text Char"/>
    <w:link w:val="18"/>
    <w:uiPriority w:val="99"/>
    <w:rPr>
      <w:sz w:val="20"/>
    </w:rPr>
  </w:style>
  <w:style w:type="paragraph" w:customStyle="1" w:styleId="183">
    <w:name w:val="TOC Heading"/>
    <w:unhideWhenUsed/>
    <w:uiPriority w:val="39"/>
    <w:rPr>
      <w:rFonts w:hint="default" w:ascii="Times New Roman" w:hAnsi="Times New Roman" w:eastAsia="宋体" w:cs="Times New Roman"/>
    </w:rPr>
  </w:style>
  <w:style w:type="character" w:customStyle="1" w:styleId="184">
    <w:name w:val="默认段落字体1"/>
    <w:link w:val="1"/>
    <w:semiHidden/>
    <w:uiPriority w:val="0"/>
  </w:style>
  <w:style w:type="table" w:customStyle="1" w:styleId="185">
    <w:name w:val="普通表格1"/>
    <w:semiHidden/>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6">
    <w:name w:val="日期1"/>
    <w:basedOn w:val="1"/>
    <w:next w:val="1"/>
    <w:uiPriority w:val="0"/>
    <w:pPr>
      <w:ind w:left="100"/>
    </w:pPr>
  </w:style>
  <w:style w:type="paragraph" w:customStyle="1" w:styleId="187">
    <w:name w:val="页脚1"/>
    <w:basedOn w:val="1"/>
    <w:link w:val="188"/>
    <w:uiPriority w:val="0"/>
    <w:pPr>
      <w:tabs>
        <w:tab w:val="center" w:pos="4153"/>
        <w:tab w:val="right" w:pos="8306"/>
      </w:tabs>
      <w:jc w:val="left"/>
    </w:pPr>
    <w:rPr>
      <w:sz w:val="18"/>
      <w:szCs w:val="18"/>
    </w:rPr>
  </w:style>
  <w:style w:type="character" w:customStyle="1" w:styleId="188">
    <w:name w:val="页脚 Char"/>
    <w:link w:val="187"/>
    <w:uiPriority w:val="0"/>
    <w:rPr>
      <w:sz w:val="18"/>
      <w:szCs w:val="18"/>
    </w:rPr>
  </w:style>
  <w:style w:type="paragraph" w:customStyle="1" w:styleId="189">
    <w:name w:val="页眉1"/>
    <w:basedOn w:val="1"/>
    <w:link w:val="190"/>
    <w:uiPriority w:val="0"/>
    <w:pPr>
      <w:pBdr>
        <w:bottom w:val="single" w:color="000000" w:sz="6" w:space="1"/>
      </w:pBdr>
      <w:tabs>
        <w:tab w:val="center" w:pos="4153"/>
        <w:tab w:val="right" w:pos="8306"/>
      </w:tabs>
      <w:jc w:val="center"/>
    </w:pPr>
    <w:rPr>
      <w:sz w:val="18"/>
      <w:szCs w:val="18"/>
    </w:rPr>
  </w:style>
  <w:style w:type="character" w:customStyle="1" w:styleId="190">
    <w:name w:val="页眉 Char"/>
    <w:link w:val="189"/>
    <w:uiPriority w:val="0"/>
    <w:rPr>
      <w:sz w:val="18"/>
      <w:szCs w:val="18"/>
    </w:rPr>
  </w:style>
  <w:style w:type="paragraph" w:customStyle="1" w:styleId="191">
    <w:name w:val="普通(网站)1"/>
    <w:basedOn w:val="1"/>
    <w:uiPriority w:val="0"/>
    <w:pPr>
      <w:spacing w:before="100" w:beforeAutospacing="1" w:after="100" w:afterAutospacing="1"/>
      <w:ind w:left="0" w:right="0"/>
      <w:jc w:val="left"/>
    </w:pPr>
    <w:rPr>
      <w:sz w:val="24"/>
      <w:lang w:val="en-US" w:eastAsia="zh-CN" w:bidi="ar"/>
    </w:rPr>
  </w:style>
  <w:style w:type="character" w:customStyle="1" w:styleId="192">
    <w:name w:val="要点1"/>
    <w:basedOn w:val="184"/>
    <w:link w:val="1"/>
    <w:qFormat/>
    <w:uiPriority w:val="99"/>
    <w:rPr>
      <w:b/>
    </w:rPr>
  </w:style>
  <w:style w:type="paragraph" w:customStyle="1" w:styleId="193">
    <w:name w:val="普通(网站) Char"/>
    <w:basedOn w:val="1"/>
    <w:uiPriority w:val="0"/>
    <w:pPr>
      <w:spacing w:before="100" w:beforeAutospacing="1" w:after="100" w:afterAutospacing="1"/>
      <w:ind w:left="0" w:right="0"/>
      <w:jc w:val="left"/>
    </w:pPr>
    <w:rPr>
      <w:rFonts w:hint="eastAsia" w:ascii="宋体" w:hAnsi="宋体" w:eastAsia="宋体" w:cs="宋体"/>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Company>微软</Company>
  <Pages>5</Pages>
  <Words>2426</Words>
  <Characters>2518</Characters>
  <TotalTime>0</TotalTime>
  <ScaleCrop>false</ScaleCrop>
  <LinksUpToDate>false</LinksUpToDate>
  <CharactersWithSpaces>2598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2016-05-23T09:41:00Z</dcterms:created>
  <dc:creator>微软</dc:creator>
  <cp:lastModifiedBy>Administrator</cp:lastModifiedBy>
  <dcterms:modified xsi:type="dcterms:W3CDTF">2025-04-11T04:02:28Z</dcterms:modified>
  <dc:title>红卫计[20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eyJoZGlkIjoiYTZlYTVjODcyNTU1MzBiMDcyYjhmOGIxMTczZjVhMTEifQ==</vt:lpwstr>
  </property>
  <property fmtid="{D5CDD505-2E9C-101B-9397-08002B2CF9AE}" pid="3" name="KSOProductBuildVer">
    <vt:lpwstr>2052-12.1.0.20305</vt:lpwstr>
  </property>
  <property fmtid="{D5CDD505-2E9C-101B-9397-08002B2CF9AE}" pid="4" name="ICV">
    <vt:lpwstr>6DE4101A142341FE94EE366B7F022BB9_12</vt:lpwstr>
  </property>
</Properties>
</file>