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2240" w:firstLineChars="400"/>
        <w:jc w:val="both"/>
        <w:rPr>
          <w:rFonts w:hint="eastAsia" w:ascii="方正小标宋简体" w:hAnsi="方正小标宋简体" w:eastAsia="方正小标宋简体" w:cs="方正小标宋简体"/>
          <w:bCs/>
          <w:sz w:val="56"/>
          <w:szCs w:val="56"/>
          <w:lang w:eastAsia="zh-CN"/>
        </w:rPr>
      </w:pPr>
      <w:r>
        <w:rPr>
          <w:rFonts w:hint="eastAsia" w:ascii="方正小标宋简体" w:hAnsi="方正小标宋简体" w:eastAsia="方正小标宋简体" w:cs="方正小标宋简体"/>
          <w:bCs/>
          <w:sz w:val="56"/>
          <w:szCs w:val="56"/>
        </w:rPr>
        <w:t>关于红原县</w:t>
      </w:r>
      <w:r>
        <w:rPr>
          <w:rFonts w:hint="eastAsia" w:ascii="方正小标宋简体" w:hAnsi="方正小标宋简体" w:eastAsia="方正小标宋简体" w:cs="方正小标宋简体"/>
          <w:bCs/>
          <w:sz w:val="56"/>
          <w:szCs w:val="56"/>
          <w:lang w:eastAsia="zh-CN"/>
        </w:rPr>
        <w:t>司法局</w:t>
      </w:r>
    </w:p>
    <w:p>
      <w:pPr>
        <w:pStyle w:val="2"/>
      </w:pPr>
    </w:p>
    <w:p>
      <w:pPr>
        <w:spacing w:line="560" w:lineRule="exact"/>
        <w:jc w:val="center"/>
        <w:rPr>
          <w:rFonts w:ascii="方正小标宋简体" w:hAnsi="方正小标宋简体" w:eastAsia="方正小标宋简体" w:cs="方正小标宋简体"/>
          <w:bCs/>
          <w:sz w:val="56"/>
          <w:szCs w:val="56"/>
        </w:rPr>
      </w:pPr>
      <w:r>
        <w:rPr>
          <w:rFonts w:hint="eastAsia" w:ascii="方正小标宋简体" w:hAnsi="方正小标宋简体" w:eastAsia="方正小标宋简体" w:cs="方正小标宋简体"/>
          <w:bCs/>
          <w:sz w:val="56"/>
          <w:szCs w:val="56"/>
          <w:lang w:eastAsia="zh-CN"/>
        </w:rPr>
        <w:t>2022</w:t>
      </w:r>
      <w:r>
        <w:rPr>
          <w:rFonts w:hint="eastAsia" w:ascii="方正小标宋简体" w:hAnsi="方正小标宋简体" w:eastAsia="方正小标宋简体" w:cs="方正小标宋简体"/>
          <w:bCs/>
          <w:sz w:val="56"/>
          <w:szCs w:val="56"/>
        </w:rPr>
        <w:t>年部门预算编制的说明</w:t>
      </w: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line="560" w:lineRule="exact"/>
        <w:jc w:val="both"/>
        <w:rPr>
          <w:rFonts w:ascii="方正小标宋简体" w:hAnsi="方正小标宋简体" w:eastAsia="方正小标宋简体" w:cs="方正小标宋简体"/>
          <w:bCs/>
          <w:sz w:val="72"/>
          <w:szCs w:val="72"/>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p>
    <w:p>
      <w:pPr>
        <w:spacing w:before="0" w:beforeLines="0" w:after="0" w:afterLines="0" w:line="240" w:lineRule="auto"/>
        <w:ind w:right="0" w:rightChars="0"/>
        <w:jc w:val="both"/>
        <w:rPr>
          <w:rFonts w:hint="eastAsia" w:ascii="微软雅黑" w:hAnsi="微软雅黑" w:eastAsia="微软雅黑" w:cs="微软雅黑"/>
          <w:sz w:val="40"/>
          <w:szCs w:val="40"/>
        </w:rPr>
      </w:pPr>
      <w:bookmarkStart w:id="46" w:name="_GoBack"/>
      <w:bookmarkEnd w:id="46"/>
    </w:p>
    <w:p>
      <w:pPr>
        <w:spacing w:before="0" w:beforeLines="0" w:after="0" w:afterLines="0" w:line="240" w:lineRule="auto"/>
        <w:ind w:right="0" w:rightChars="0"/>
        <w:jc w:val="center"/>
        <w:rPr>
          <w:rFonts w:hint="eastAsia" w:ascii="微软雅黑" w:hAnsi="微软雅黑" w:eastAsia="微软雅黑" w:cs="微软雅黑"/>
          <w:sz w:val="40"/>
          <w:szCs w:val="40"/>
        </w:rPr>
      </w:pPr>
      <w:r>
        <w:rPr>
          <w:rFonts w:hint="eastAsia" w:ascii="微软雅黑" w:hAnsi="微软雅黑" w:eastAsia="微软雅黑" w:cs="微软雅黑"/>
          <w:sz w:val="40"/>
          <w:szCs w:val="40"/>
        </w:rPr>
        <w:t>目录</w:t>
      </w:r>
    </w:p>
    <w:p>
      <w:pPr>
        <w:pStyle w:val="16"/>
        <w:tabs>
          <w:tab w:val="right" w:leader="dot" w:pos="8844"/>
        </w:tabs>
        <w:rPr>
          <w:rFonts w:hint="eastAsia" w:ascii="仿宋" w:hAnsi="仿宋" w:eastAsia="仿宋" w:cs="仿宋"/>
          <w:sz w:val="32"/>
          <w:szCs w:val="32"/>
          <w:lang w:eastAsia="zh-CN"/>
        </w:rPr>
      </w:pPr>
    </w:p>
    <w:p>
      <w:pPr>
        <w:pStyle w:val="16"/>
        <w:tabs>
          <w:tab w:val="right" w:leader="dot" w:pos="8844"/>
        </w:tabs>
        <w:rPr>
          <w:rFonts w:hint="eastAsia" w:ascii="仿宋" w:hAnsi="仿宋" w:eastAsia="仿宋" w:cs="仿宋"/>
          <w:b/>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TOC \o "1-2" \h \u </w:instrText>
      </w:r>
      <w:r>
        <w:rPr>
          <w:rFonts w:hint="eastAsia" w:ascii="仿宋" w:hAnsi="仿宋" w:eastAsia="仿宋" w:cs="仿宋"/>
          <w:sz w:val="32"/>
          <w:szCs w:val="32"/>
          <w:lang w:eastAsia="zh-CN"/>
        </w:rPr>
        <w:fldChar w:fldCharType="separate"/>
      </w: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_Toc16170 </w:instrText>
      </w:r>
      <w:r>
        <w:rPr>
          <w:rFonts w:hint="eastAsia" w:ascii="仿宋" w:hAnsi="仿宋" w:eastAsia="仿宋" w:cs="仿宋"/>
          <w:b/>
          <w:sz w:val="32"/>
          <w:szCs w:val="32"/>
          <w:lang w:eastAsia="zh-CN"/>
        </w:rPr>
        <w:fldChar w:fldCharType="separate"/>
      </w:r>
      <w:r>
        <w:rPr>
          <w:rFonts w:hint="eastAsia" w:ascii="仿宋" w:hAnsi="仿宋" w:eastAsia="仿宋" w:cs="仿宋"/>
          <w:b/>
          <w:bCs/>
          <w:sz w:val="32"/>
          <w:szCs w:val="32"/>
        </w:rPr>
        <w:t>一、基本职能及主要工作</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_Toc16170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1</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7"/>
        <w:tabs>
          <w:tab w:val="right" w:leader="dot" w:pos="8844"/>
        </w:tabs>
        <w:rPr>
          <w:rFonts w:hint="eastAsia" w:ascii="仿宋" w:hAnsi="仿宋" w:eastAsia="仿宋" w:cs="仿宋"/>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_Toc4904 </w:instrText>
      </w:r>
      <w:r>
        <w:rPr>
          <w:rFonts w:hint="eastAsia" w:ascii="仿宋" w:hAnsi="仿宋" w:eastAsia="仿宋" w:cs="仿宋"/>
          <w:sz w:val="32"/>
          <w:szCs w:val="32"/>
          <w:lang w:eastAsia="zh-CN"/>
        </w:rPr>
        <w:fldChar w:fldCharType="separate"/>
      </w:r>
      <w:r>
        <w:rPr>
          <w:rFonts w:hint="eastAsia" w:ascii="仿宋" w:hAnsi="仿宋" w:eastAsia="仿宋" w:cs="仿宋"/>
          <w:sz w:val="32"/>
          <w:szCs w:val="32"/>
        </w:rPr>
        <w:t>（一）基本职能</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_Toc4904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lang w:eastAsia="zh-CN"/>
        </w:rPr>
        <w:fldChar w:fldCharType="end"/>
      </w:r>
    </w:p>
    <w:p>
      <w:pPr>
        <w:pStyle w:val="17"/>
        <w:tabs>
          <w:tab w:val="right" w:leader="dot" w:pos="8844"/>
        </w:tabs>
        <w:rPr>
          <w:rFonts w:hint="eastAsia" w:ascii="仿宋" w:hAnsi="仿宋" w:eastAsia="仿宋" w:cs="仿宋"/>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_Toc24298 </w:instrText>
      </w:r>
      <w:r>
        <w:rPr>
          <w:rFonts w:hint="eastAsia" w:ascii="仿宋" w:hAnsi="仿宋" w:eastAsia="仿宋" w:cs="仿宋"/>
          <w:sz w:val="32"/>
          <w:szCs w:val="32"/>
          <w:lang w:eastAsia="zh-CN"/>
        </w:rPr>
        <w:fldChar w:fldCharType="separate"/>
      </w:r>
      <w:r>
        <w:rPr>
          <w:rFonts w:hint="eastAsia" w:ascii="仿宋" w:hAnsi="仿宋" w:eastAsia="仿宋" w:cs="仿宋"/>
          <w:sz w:val="32"/>
          <w:szCs w:val="32"/>
        </w:rPr>
        <w:t>（二）</w:t>
      </w:r>
      <w:r>
        <w:rPr>
          <w:rFonts w:hint="eastAsia" w:ascii="仿宋" w:hAnsi="仿宋" w:eastAsia="仿宋" w:cs="仿宋"/>
          <w:sz w:val="32"/>
          <w:szCs w:val="32"/>
          <w:lang w:eastAsia="zh-CN"/>
        </w:rPr>
        <w:t>2022</w:t>
      </w:r>
      <w:r>
        <w:rPr>
          <w:rFonts w:hint="eastAsia" w:ascii="仿宋" w:hAnsi="仿宋" w:eastAsia="仿宋" w:cs="仿宋"/>
          <w:sz w:val="32"/>
          <w:szCs w:val="32"/>
        </w:rPr>
        <w:t>年重点工作任务</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_Toc24298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rPr>
        <w:fldChar w:fldCharType="end"/>
      </w:r>
      <w:r>
        <w:rPr>
          <w:rFonts w:hint="eastAsia" w:ascii="仿宋" w:hAnsi="仿宋" w:eastAsia="仿宋" w:cs="仿宋"/>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_Toc8547 </w:instrText>
      </w:r>
      <w:r>
        <w:rPr>
          <w:rFonts w:hint="eastAsia" w:ascii="仿宋" w:hAnsi="仿宋" w:eastAsia="仿宋" w:cs="仿宋"/>
          <w:b/>
          <w:sz w:val="32"/>
          <w:szCs w:val="32"/>
          <w:lang w:eastAsia="zh-CN"/>
        </w:rPr>
        <w:fldChar w:fldCharType="separate"/>
      </w:r>
      <w:r>
        <w:rPr>
          <w:rFonts w:hint="eastAsia" w:ascii="仿宋" w:hAnsi="仿宋" w:eastAsia="仿宋" w:cs="仿宋"/>
          <w:b/>
          <w:bCs/>
          <w:sz w:val="32"/>
          <w:szCs w:val="32"/>
          <w:lang w:eastAsia="zh-CN"/>
        </w:rPr>
        <w:t>二、</w:t>
      </w:r>
      <w:r>
        <w:rPr>
          <w:rFonts w:hint="eastAsia" w:ascii="仿宋" w:hAnsi="仿宋" w:eastAsia="仿宋" w:cs="仿宋"/>
          <w:b/>
          <w:bCs/>
          <w:sz w:val="32"/>
          <w:szCs w:val="32"/>
        </w:rPr>
        <w:t>部门</w:t>
      </w:r>
      <w:r>
        <w:rPr>
          <w:rFonts w:hint="eastAsia" w:ascii="仿宋" w:hAnsi="仿宋" w:eastAsia="仿宋" w:cs="仿宋"/>
          <w:b/>
          <w:bCs/>
          <w:sz w:val="32"/>
          <w:szCs w:val="32"/>
          <w:lang w:eastAsia="zh-CN"/>
        </w:rPr>
        <w:t>预算单位构成</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_Toc8547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3</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_Toc12775 </w:instrText>
      </w:r>
      <w:r>
        <w:rPr>
          <w:rFonts w:hint="eastAsia" w:ascii="仿宋" w:hAnsi="仿宋" w:eastAsia="仿宋" w:cs="仿宋"/>
          <w:b/>
          <w:sz w:val="32"/>
          <w:szCs w:val="32"/>
          <w:lang w:eastAsia="zh-CN"/>
        </w:rPr>
        <w:fldChar w:fldCharType="separate"/>
      </w:r>
      <w:r>
        <w:rPr>
          <w:rFonts w:hint="eastAsia" w:ascii="仿宋" w:hAnsi="仿宋" w:eastAsia="仿宋" w:cs="仿宋"/>
          <w:b/>
          <w:bCs/>
          <w:sz w:val="32"/>
          <w:szCs w:val="32"/>
        </w:rPr>
        <w:t>三、收支预算总体情况</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_Toc12775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4</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_Toc23810 </w:instrText>
      </w:r>
      <w:r>
        <w:rPr>
          <w:rFonts w:hint="eastAsia" w:ascii="仿宋" w:hAnsi="仿宋" w:eastAsia="仿宋" w:cs="仿宋"/>
          <w:b/>
          <w:sz w:val="32"/>
          <w:szCs w:val="32"/>
          <w:lang w:eastAsia="zh-CN"/>
        </w:rPr>
        <w:fldChar w:fldCharType="separate"/>
      </w:r>
      <w:r>
        <w:rPr>
          <w:rFonts w:hint="eastAsia" w:ascii="仿宋" w:hAnsi="仿宋" w:eastAsia="仿宋" w:cs="仿宋"/>
          <w:b/>
          <w:bCs/>
          <w:sz w:val="32"/>
          <w:szCs w:val="32"/>
          <w:lang w:eastAsia="zh-CN"/>
        </w:rPr>
        <w:t>四、</w:t>
      </w:r>
      <w:r>
        <w:rPr>
          <w:rFonts w:hint="eastAsia" w:ascii="仿宋" w:hAnsi="仿宋" w:eastAsia="仿宋" w:cs="仿宋"/>
          <w:b/>
          <w:bCs/>
          <w:sz w:val="32"/>
          <w:szCs w:val="32"/>
        </w:rPr>
        <w:t>支出预算安排情况</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_Toc23810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4</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_Toc22641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rPr>
        <w:t>五、较上年度增减变化</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_Toc22641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5</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_Toc30672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lang w:eastAsia="zh-CN"/>
        </w:rPr>
        <w:t>六</w:t>
      </w:r>
      <w:r>
        <w:rPr>
          <w:rFonts w:hint="eastAsia" w:ascii="仿宋" w:hAnsi="仿宋" w:eastAsia="仿宋" w:cs="仿宋"/>
          <w:b/>
          <w:bCs/>
          <w:kern w:val="0"/>
          <w:sz w:val="32"/>
          <w:szCs w:val="32"/>
          <w:shd w:val="clear" w:color="auto" w:fill="FFFFFF"/>
        </w:rPr>
        <w:t>、“三公”经费预算</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_Toc30672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5</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_Toc3294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lang w:val="en-US" w:eastAsia="zh-CN" w:bidi="ar"/>
        </w:rPr>
        <w:t>七、政府性基金预算收支情况说明</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_Toc3294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5</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_Toc15268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lang w:val="en-US" w:eastAsia="zh-CN" w:bidi="ar"/>
        </w:rPr>
        <w:t>八、国有资本经营预算收支情况说明</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_Toc15268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5</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_Toc20277 </w:instrText>
      </w:r>
      <w:r>
        <w:rPr>
          <w:rFonts w:hint="eastAsia" w:ascii="仿宋" w:hAnsi="仿宋" w:eastAsia="仿宋" w:cs="仿宋"/>
          <w:b/>
          <w:sz w:val="32"/>
          <w:szCs w:val="32"/>
          <w:lang w:eastAsia="zh-CN"/>
        </w:rPr>
        <w:fldChar w:fldCharType="separate"/>
      </w:r>
      <w:r>
        <w:rPr>
          <w:rFonts w:hint="eastAsia" w:ascii="仿宋" w:hAnsi="仿宋" w:eastAsia="仿宋" w:cs="仿宋"/>
          <w:b/>
          <w:bCs/>
          <w:kern w:val="0"/>
          <w:sz w:val="32"/>
          <w:szCs w:val="32"/>
          <w:shd w:val="clear" w:color="auto" w:fill="FFFFFF"/>
          <w:lang w:val="en-US" w:eastAsia="zh-CN" w:bidi="ar"/>
        </w:rPr>
        <w:t>九、其他重要事项的情况说明</w:t>
      </w:r>
      <w:r>
        <w:rPr>
          <w:rFonts w:hint="eastAsia" w:ascii="仿宋" w:hAnsi="仿宋" w:eastAsia="仿宋" w:cs="仿宋"/>
          <w:b/>
          <w:sz w:val="32"/>
          <w:szCs w:val="32"/>
        </w:rPr>
        <w:tab/>
      </w:r>
      <w:r>
        <w:rPr>
          <w:rFonts w:hint="eastAsia" w:ascii="仿宋" w:hAnsi="仿宋" w:eastAsia="仿宋" w:cs="仿宋"/>
          <w:b/>
          <w:sz w:val="32"/>
          <w:szCs w:val="32"/>
        </w:rPr>
        <w:fldChar w:fldCharType="begin"/>
      </w:r>
      <w:r>
        <w:rPr>
          <w:rFonts w:hint="eastAsia" w:ascii="仿宋" w:hAnsi="仿宋" w:eastAsia="仿宋" w:cs="仿宋"/>
          <w:b/>
          <w:sz w:val="32"/>
          <w:szCs w:val="32"/>
        </w:rPr>
        <w:instrText xml:space="preserve"> PAGEREF _Toc20277 \h </w:instrText>
      </w:r>
      <w:r>
        <w:rPr>
          <w:rFonts w:hint="eastAsia" w:ascii="仿宋" w:hAnsi="仿宋" w:eastAsia="仿宋" w:cs="仿宋"/>
          <w:b/>
          <w:sz w:val="32"/>
          <w:szCs w:val="32"/>
        </w:rPr>
        <w:fldChar w:fldCharType="separate"/>
      </w:r>
      <w:r>
        <w:rPr>
          <w:rFonts w:hint="eastAsia" w:ascii="仿宋" w:hAnsi="仿宋" w:eastAsia="仿宋" w:cs="仿宋"/>
          <w:b/>
          <w:sz w:val="32"/>
          <w:szCs w:val="32"/>
        </w:rPr>
        <w:t>6</w:t>
      </w:r>
      <w:r>
        <w:rPr>
          <w:rFonts w:hint="eastAsia" w:ascii="仿宋" w:hAnsi="仿宋" w:eastAsia="仿宋" w:cs="仿宋"/>
          <w:b/>
          <w:sz w:val="32"/>
          <w:szCs w:val="32"/>
        </w:rPr>
        <w:fldChar w:fldCharType="end"/>
      </w:r>
      <w:r>
        <w:rPr>
          <w:rFonts w:hint="eastAsia" w:ascii="仿宋" w:hAnsi="仿宋" w:eastAsia="仿宋" w:cs="仿宋"/>
          <w:b/>
          <w:sz w:val="32"/>
          <w:szCs w:val="32"/>
          <w:lang w:eastAsia="zh-CN"/>
        </w:rPr>
        <w:fldChar w:fldCharType="end"/>
      </w:r>
    </w:p>
    <w:p>
      <w:pPr>
        <w:pStyle w:val="17"/>
        <w:tabs>
          <w:tab w:val="right" w:leader="dot" w:pos="8844"/>
        </w:tabs>
        <w:rPr>
          <w:rFonts w:hint="eastAsia" w:ascii="仿宋" w:hAnsi="仿宋" w:eastAsia="仿宋" w:cs="仿宋"/>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_Toc14278 </w:instrText>
      </w:r>
      <w:r>
        <w:rPr>
          <w:rFonts w:hint="eastAsia" w:ascii="仿宋" w:hAnsi="仿宋" w:eastAsia="仿宋" w:cs="仿宋"/>
          <w:sz w:val="32"/>
          <w:szCs w:val="32"/>
          <w:lang w:eastAsia="zh-CN"/>
        </w:rPr>
        <w:fldChar w:fldCharType="separate"/>
      </w:r>
      <w:r>
        <w:rPr>
          <w:rFonts w:hint="eastAsia" w:ascii="仿宋" w:hAnsi="仿宋" w:eastAsia="仿宋" w:cs="仿宋"/>
          <w:bCs/>
          <w:kern w:val="0"/>
          <w:sz w:val="32"/>
          <w:szCs w:val="32"/>
          <w:shd w:val="clear" w:color="auto" w:fill="FFFFFF"/>
          <w:lang w:val="en-US" w:eastAsia="zh-CN" w:bidi="ar"/>
        </w:rPr>
        <w:t>（一）政府采购预算情况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_Toc14278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lang w:eastAsia="zh-CN"/>
        </w:rPr>
        <w:fldChar w:fldCharType="end"/>
      </w:r>
    </w:p>
    <w:p>
      <w:pPr>
        <w:pStyle w:val="17"/>
        <w:tabs>
          <w:tab w:val="right" w:leader="dot" w:pos="8844"/>
        </w:tabs>
        <w:rPr>
          <w:rFonts w:hint="eastAsia" w:ascii="仿宋" w:hAnsi="仿宋" w:eastAsia="仿宋" w:cs="仿宋"/>
          <w:sz w:val="32"/>
          <w:szCs w:val="32"/>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_Toc19319 </w:instrText>
      </w:r>
      <w:r>
        <w:rPr>
          <w:rFonts w:hint="eastAsia" w:ascii="仿宋" w:hAnsi="仿宋" w:eastAsia="仿宋" w:cs="仿宋"/>
          <w:sz w:val="32"/>
          <w:szCs w:val="32"/>
          <w:lang w:eastAsia="zh-CN"/>
        </w:rPr>
        <w:fldChar w:fldCharType="separate"/>
      </w:r>
      <w:r>
        <w:rPr>
          <w:rFonts w:hint="eastAsia" w:ascii="仿宋" w:hAnsi="仿宋" w:eastAsia="仿宋" w:cs="仿宋"/>
          <w:bCs/>
          <w:kern w:val="0"/>
          <w:sz w:val="32"/>
          <w:szCs w:val="32"/>
          <w:shd w:val="clear" w:color="auto" w:fill="FFFFFF"/>
          <w:lang w:val="en-US" w:eastAsia="zh-CN" w:bidi="ar"/>
        </w:rPr>
        <w:t>（二）政府财政国有资产占用情况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_Toc19319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lang w:eastAsia="zh-CN"/>
        </w:rPr>
        <w:fldChar w:fldCharType="end"/>
      </w:r>
    </w:p>
    <w:p>
      <w:pPr>
        <w:pStyle w:val="17"/>
        <w:tabs>
          <w:tab w:val="right" w:leader="dot" w:pos="8844"/>
        </w:tabs>
        <w:rPr>
          <w:rFonts w:hint="eastAsia" w:ascii="仿宋" w:hAnsi="仿宋" w:eastAsia="仿宋" w:cs="仿宋"/>
          <w:sz w:val="32"/>
          <w:szCs w:val="32"/>
          <w:lang w:eastAsia="zh-CN"/>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\l _Toc17064 </w:instrText>
      </w:r>
      <w:r>
        <w:rPr>
          <w:rFonts w:hint="eastAsia" w:ascii="仿宋" w:hAnsi="仿宋" w:eastAsia="仿宋" w:cs="仿宋"/>
          <w:sz w:val="32"/>
          <w:szCs w:val="32"/>
          <w:lang w:eastAsia="zh-CN"/>
        </w:rPr>
        <w:fldChar w:fldCharType="separate"/>
      </w:r>
      <w:r>
        <w:rPr>
          <w:rFonts w:hint="eastAsia" w:ascii="仿宋" w:hAnsi="仿宋" w:eastAsia="仿宋" w:cs="仿宋"/>
          <w:bCs/>
          <w:kern w:val="0"/>
          <w:sz w:val="32"/>
          <w:szCs w:val="32"/>
          <w:shd w:val="clear" w:color="auto" w:fill="FFFFFF"/>
          <w:lang w:val="en-US" w:eastAsia="zh-CN" w:bidi="ar"/>
        </w:rPr>
        <w:t>（三）绩效目标设置情况</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_Toc17064 \h </w:instrText>
      </w:r>
      <w:r>
        <w:rPr>
          <w:rFonts w:hint="eastAsia" w:ascii="仿宋" w:hAnsi="仿宋" w:eastAsia="仿宋" w:cs="仿宋"/>
          <w:sz w:val="32"/>
          <w:szCs w:val="32"/>
        </w:rPr>
        <w:fldChar w:fldCharType="separate"/>
      </w:r>
      <w:r>
        <w:rPr>
          <w:rFonts w:hint="eastAsia" w:ascii="仿宋" w:hAnsi="仿宋" w:eastAsia="仿宋" w:cs="仿宋"/>
          <w:sz w:val="32"/>
          <w:szCs w:val="32"/>
        </w:rPr>
        <w:t>6</w:t>
      </w:r>
      <w:r>
        <w:rPr>
          <w:rFonts w:hint="eastAsia" w:ascii="仿宋" w:hAnsi="仿宋" w:eastAsia="仿宋" w:cs="仿宋"/>
          <w:sz w:val="32"/>
          <w:szCs w:val="32"/>
        </w:rPr>
        <w:fldChar w:fldCharType="end"/>
      </w:r>
      <w:r>
        <w:rPr>
          <w:rFonts w:hint="eastAsia" w:ascii="仿宋" w:hAnsi="仿宋" w:eastAsia="仿宋" w:cs="仿宋"/>
          <w:sz w:val="32"/>
          <w:szCs w:val="32"/>
          <w:lang w:eastAsia="zh-CN"/>
        </w:rPr>
        <w:fldChar w:fldCharType="end"/>
      </w:r>
    </w:p>
    <w:p>
      <w:pPr>
        <w:pStyle w:val="16"/>
        <w:tabs>
          <w:tab w:val="right" w:leader="dot" w:pos="8844"/>
        </w:tabs>
        <w:rPr>
          <w:rFonts w:hint="eastAsia" w:ascii="仿宋" w:hAnsi="仿宋" w:eastAsia="仿宋" w:cs="仿宋"/>
          <w:b/>
          <w:sz w:val="32"/>
          <w:szCs w:val="32"/>
        </w:rPr>
      </w:pPr>
      <w:r>
        <w:rPr>
          <w:rFonts w:hint="eastAsia" w:ascii="仿宋" w:hAnsi="仿宋" w:eastAsia="仿宋" w:cs="仿宋"/>
          <w:b/>
          <w:sz w:val="32"/>
          <w:szCs w:val="32"/>
          <w:lang w:eastAsia="zh-CN"/>
        </w:rPr>
        <w:fldChar w:fldCharType="begin"/>
      </w:r>
      <w:r>
        <w:rPr>
          <w:rFonts w:hint="eastAsia" w:ascii="仿宋" w:hAnsi="仿宋" w:eastAsia="仿宋" w:cs="仿宋"/>
          <w:b/>
          <w:sz w:val="32"/>
          <w:szCs w:val="32"/>
          <w:lang w:eastAsia="zh-CN"/>
        </w:rPr>
        <w:instrText xml:space="preserve"> HYPERLINK \l _Toc20277 </w:instrText>
      </w:r>
      <w:r>
        <w:rPr>
          <w:rFonts w:hint="eastAsia" w:ascii="仿宋" w:hAnsi="仿宋" w:eastAsia="仿宋" w:cs="仿宋"/>
          <w:b/>
          <w:sz w:val="32"/>
          <w:szCs w:val="32"/>
          <w:lang w:eastAsia="zh-CN"/>
        </w:rPr>
        <w:fldChar w:fldCharType="separate"/>
      </w:r>
      <w:r>
        <w:rPr>
          <w:rFonts w:hint="eastAsia" w:ascii="仿宋" w:hAnsi="仿宋" w:eastAsia="仿宋" w:cs="仿宋"/>
          <w:b/>
          <w:sz w:val="32"/>
          <w:szCs w:val="32"/>
          <w:lang w:eastAsia="zh-CN"/>
        </w:rPr>
        <w:t>十</w:t>
      </w:r>
      <w:r>
        <w:rPr>
          <w:rFonts w:hint="eastAsia" w:ascii="仿宋" w:hAnsi="仿宋" w:eastAsia="仿宋" w:cs="仿宋"/>
          <w:b/>
          <w:bCs/>
          <w:kern w:val="0"/>
          <w:sz w:val="32"/>
          <w:szCs w:val="32"/>
          <w:shd w:val="clear" w:color="auto" w:fill="FFFFFF"/>
          <w:lang w:val="en-US" w:eastAsia="zh-CN" w:bidi="ar"/>
        </w:rPr>
        <w:t>、名词解释</w:t>
      </w:r>
      <w:r>
        <w:rPr>
          <w:rFonts w:hint="eastAsia" w:ascii="仿宋" w:hAnsi="仿宋" w:eastAsia="仿宋" w:cs="仿宋"/>
          <w:b/>
          <w:sz w:val="32"/>
          <w:szCs w:val="32"/>
        </w:rPr>
        <w:tab/>
      </w:r>
      <w:r>
        <w:rPr>
          <w:rFonts w:hint="eastAsia" w:ascii="仿宋" w:hAnsi="仿宋" w:eastAsia="仿宋" w:cs="仿宋"/>
          <w:b/>
          <w:sz w:val="32"/>
          <w:szCs w:val="32"/>
          <w:lang w:val="en-US" w:eastAsia="zh-CN"/>
        </w:rPr>
        <w:t>7</w:t>
      </w:r>
      <w:r>
        <w:rPr>
          <w:rFonts w:hint="eastAsia" w:ascii="仿宋" w:hAnsi="仿宋" w:eastAsia="仿宋" w:cs="仿宋"/>
          <w:b/>
          <w:sz w:val="32"/>
          <w:szCs w:val="32"/>
          <w:lang w:eastAsia="zh-CN"/>
        </w:rPr>
        <w:fldChar w:fldCharType="end"/>
      </w:r>
    </w:p>
    <w:p>
      <w:pPr>
        <w:pStyle w:val="17"/>
        <w:tabs>
          <w:tab w:val="right" w:leader="dot" w:pos="8844"/>
        </w:tabs>
        <w:rPr>
          <w:rFonts w:hint="eastAsia" w:ascii="仿宋" w:hAnsi="仿宋" w:eastAsia="仿宋" w:cs="仿宋"/>
          <w:sz w:val="32"/>
          <w:szCs w:val="32"/>
          <w:lang w:eastAsia="zh-CN"/>
        </w:rPr>
      </w:pPr>
    </w:p>
    <w:p>
      <w:pPr>
        <w:pStyle w:val="2"/>
        <w:ind w:left="0" w:leftChars="0" w:firstLine="0" w:firstLineChars="0"/>
        <w:rPr>
          <w:rFonts w:hint="eastAsia" w:ascii="方正小标宋简体" w:hAnsi="方正小标宋简体" w:eastAsia="方正小标宋简体" w:cs="方正小标宋简体"/>
          <w:bCs/>
          <w:sz w:val="44"/>
          <w:szCs w:val="44"/>
        </w:rPr>
      </w:pPr>
      <w:r>
        <w:rPr>
          <w:rFonts w:hint="eastAsia" w:ascii="仿宋" w:hAnsi="仿宋" w:eastAsia="仿宋" w:cs="仿宋"/>
          <w:b/>
          <w:sz w:val="32"/>
          <w:szCs w:val="32"/>
          <w:lang w:eastAsia="zh-CN"/>
        </w:rPr>
        <w:fldChar w:fldCharType="end"/>
      </w:r>
    </w:p>
    <w:p>
      <w:pPr>
        <w:spacing w:line="560" w:lineRule="exact"/>
        <w:ind w:firstLine="2640" w:firstLineChars="600"/>
        <w:jc w:val="both"/>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关于红原县</w:t>
      </w:r>
      <w:r>
        <w:rPr>
          <w:rFonts w:hint="eastAsia" w:ascii="方正小标宋简体" w:hAnsi="方正小标宋简体" w:eastAsia="方正小标宋简体" w:cs="方正小标宋简体"/>
          <w:bCs/>
          <w:sz w:val="44"/>
          <w:szCs w:val="44"/>
          <w:lang w:eastAsia="zh-CN"/>
        </w:rPr>
        <w:t>司法局</w:t>
      </w:r>
    </w:p>
    <w:p>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2022</w:t>
      </w:r>
      <w:r>
        <w:rPr>
          <w:rFonts w:hint="eastAsia" w:ascii="方正小标宋简体" w:hAnsi="方正小标宋简体" w:eastAsia="方正小标宋简体" w:cs="方正小标宋简体"/>
          <w:bCs/>
          <w:sz w:val="44"/>
          <w:szCs w:val="44"/>
        </w:rPr>
        <w:t>年部门预算编制的说明</w:t>
      </w:r>
    </w:p>
    <w:p>
      <w:pPr>
        <w:pStyle w:val="5"/>
        <w:adjustRightInd w:val="0"/>
        <w:snapToGrid w:val="0"/>
        <w:spacing w:beforeLines="0" w:line="560" w:lineRule="exact"/>
        <w:rPr>
          <w:rFonts w:ascii="宋体" w:hAnsi="宋体" w:eastAsia="宋体"/>
          <w:b/>
          <w:sz w:val="44"/>
          <w:szCs w:val="44"/>
        </w:rPr>
      </w:pPr>
      <w:r>
        <w:rPr>
          <w:rFonts w:ascii="宋体" w:hAnsi="宋体" w:eastAsia="宋体"/>
          <w:b/>
          <w:sz w:val="44"/>
          <w:szCs w:val="44"/>
        </w:rPr>
        <w:t xml:space="preserve">    </w:t>
      </w:r>
    </w:p>
    <w:p>
      <w:pPr>
        <w:pStyle w:val="5"/>
        <w:adjustRightInd w:val="0"/>
        <w:snapToGrid w:val="0"/>
        <w:spacing w:before="93" w:line="560" w:lineRule="exact"/>
        <w:ind w:firstLine="640" w:firstLineChars="200"/>
        <w:rPr>
          <w:rFonts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shd w:val="clear" w:fill="FFFFFF" w:themeFill="background1"/>
        <w:spacing w:line="560" w:lineRule="exact"/>
        <w:ind w:firstLine="643" w:firstLineChars="200"/>
        <w:outlineLvl w:val="0"/>
        <w:rPr>
          <w:rFonts w:ascii="黑体" w:eastAsia="黑体"/>
          <w:b/>
          <w:bCs/>
          <w:color w:val="000000" w:themeColor="text1"/>
          <w:sz w:val="32"/>
          <w:szCs w:val="32"/>
        </w:rPr>
      </w:pPr>
      <w:bookmarkStart w:id="0" w:name="_Toc15517"/>
      <w:bookmarkStart w:id="1" w:name="_Toc32454"/>
      <w:bookmarkStart w:id="2" w:name="_Toc19097"/>
      <w:bookmarkStart w:id="3" w:name="_Toc16170"/>
      <w:r>
        <w:rPr>
          <w:rFonts w:hint="eastAsia" w:ascii="黑体" w:eastAsia="黑体"/>
          <w:b/>
          <w:bCs/>
          <w:color w:val="000000" w:themeColor="text1"/>
          <w:sz w:val="32"/>
          <w:szCs w:val="32"/>
        </w:rPr>
        <w:t>一、基本职能及主要工作</w:t>
      </w:r>
      <w:bookmarkEnd w:id="0"/>
      <w:bookmarkEnd w:id="1"/>
      <w:bookmarkEnd w:id="2"/>
      <w:bookmarkEnd w:id="3"/>
    </w:p>
    <w:p>
      <w:pPr>
        <w:pStyle w:val="5"/>
        <w:shd w:val="clear" w:fill="FFFFFF" w:themeFill="background1"/>
        <w:adjustRightInd w:val="0"/>
        <w:snapToGrid w:val="0"/>
        <w:spacing w:before="93" w:line="560" w:lineRule="exact"/>
        <w:ind w:firstLine="632" w:firstLineChars="210"/>
        <w:outlineLvl w:val="1"/>
        <w:rPr>
          <w:rFonts w:hint="eastAsia" w:ascii="楷体_GB2312" w:hAnsi="楷体_GB2312" w:eastAsia="楷体_GB2312" w:cs="楷体_GB2312"/>
          <w:b/>
          <w:color w:val="000000" w:themeColor="text1"/>
          <w:sz w:val="30"/>
          <w:szCs w:val="30"/>
        </w:rPr>
      </w:pPr>
      <w:bookmarkStart w:id="4" w:name="_Toc28378"/>
      <w:bookmarkStart w:id="5" w:name="_Toc4904"/>
      <w:r>
        <w:rPr>
          <w:rFonts w:hint="eastAsia" w:ascii="楷体_GB2312" w:hAnsi="楷体_GB2312" w:eastAsia="楷体_GB2312" w:cs="楷体_GB2312"/>
          <w:b/>
          <w:color w:val="000000" w:themeColor="text1"/>
          <w:sz w:val="30"/>
          <w:szCs w:val="30"/>
        </w:rPr>
        <w:t>（一）基本职能</w:t>
      </w:r>
      <w:bookmarkEnd w:id="4"/>
      <w:bookmarkEnd w:id="5"/>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1、</w:t>
      </w:r>
      <w:r>
        <w:rPr>
          <w:rFonts w:hint="eastAsia" w:ascii="仿宋_GB2312" w:hAnsi="仿宋_GB2312" w:eastAsia="仿宋_GB2312" w:cs="仿宋_GB2312"/>
          <w:b w:val="0"/>
          <w:bCs/>
          <w:color w:val="000000" w:themeColor="text1"/>
          <w:sz w:val="32"/>
          <w:szCs w:val="32"/>
        </w:rPr>
        <w:t>贯彻执行国家、省、州、县关于司法行政工作的方针、政策和法律、法规及规章，制订司法行政规范性文件和工作发展规划、工作计划并组织实施。</w:t>
      </w:r>
    </w:p>
    <w:p>
      <w:pPr>
        <w:pStyle w:val="5"/>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rPr>
      </w:pPr>
      <w:r>
        <w:rPr>
          <w:rFonts w:hint="eastAsia" w:hAnsi="仿宋_GB2312" w:cs="仿宋_GB2312"/>
          <w:b w:val="0"/>
          <w:bCs/>
          <w:color w:val="000000" w:themeColor="text1"/>
          <w:sz w:val="32"/>
          <w:szCs w:val="32"/>
          <w:lang w:val="en-US" w:eastAsia="zh-CN"/>
        </w:rPr>
        <w:t>2、按照县委全面依法治县委员会要求，贯彻落实依法治县决策部署。承担全面依法治县重大问题的政策研究，协调有关方面提出全面依法治县规划建议，负责重大决策部署督察工作。</w:t>
      </w:r>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3、负责县政府规范性文件、重大行政决策发布前的合法性审查。承办县政府规范性文件报送备案工作。负责各乡（镇）人民政府和县政府各部门规范性文件报送县政府的备案审查工作。组织开展规范性文件清理。</w:t>
      </w:r>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4、承担统筹推进法治政府建设的责任。指导监督县政府各部门、各乡（镇）人民政府依法行政工作。负责综合协调、监督检查行政执法，承担推进行政执法体制改革有关工作，推进严格规范公正文明执法。指导监督全县行政复议、行政应诉和行政赔偿工作，承办向县政府申请的行政复议、行政赔偿案件，代理县政府行政应诉案件。</w:t>
      </w:r>
    </w:p>
    <w:p>
      <w:pPr>
        <w:pStyle w:val="5"/>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rPr>
      </w:pPr>
      <w:r>
        <w:rPr>
          <w:rFonts w:hint="eastAsia" w:hAnsi="仿宋_GB2312" w:cs="仿宋_GB2312"/>
          <w:b w:val="0"/>
          <w:bCs/>
          <w:color w:val="000000" w:themeColor="text1"/>
          <w:sz w:val="32"/>
          <w:szCs w:val="32"/>
          <w:lang w:val="en-US" w:eastAsia="zh-CN"/>
        </w:rPr>
        <w:t>5、负责拟定法治宣传教育规划，组织实施普法宣传工作，指导全县各行业的法治宣传和依法治理工作。</w:t>
      </w:r>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6、负责拟定全县公共法律服务体系建设规划并指导实施。指导、监督全县律师、公证、法律援助工作。</w:t>
      </w:r>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7、指导、监督基层司法所建设和人民调解、基层法律服务管理工作。指导人民陪审员、人民监督员选任管理工作。</w:t>
      </w:r>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8、指导管理社区矫正工作。指导刑满释放人员帮教安置工作。</w:t>
      </w:r>
      <w:r>
        <w:rPr>
          <w:rFonts w:hint="eastAsia" w:ascii="仿宋_GB2312" w:hAnsi="仿宋_GB2312" w:eastAsia="仿宋_GB2312" w:cs="仿宋_GB2312"/>
          <w:b w:val="0"/>
          <w:bCs/>
          <w:color w:val="000000" w:themeColor="text1"/>
          <w:sz w:val="32"/>
          <w:szCs w:val="32"/>
        </w:rPr>
        <w:t>主管司法鉴定机构和司法鉴定人的管理、审查登记工作。</w:t>
      </w:r>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9、协助上级主管部门开展国家司法考试、司法鉴定工作。</w:t>
      </w:r>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10、</w:t>
      </w:r>
      <w:r>
        <w:rPr>
          <w:rFonts w:hint="eastAsia" w:ascii="仿宋_GB2312" w:hAnsi="仿宋_GB2312" w:eastAsia="仿宋_GB2312" w:cs="仿宋_GB2312"/>
          <w:b w:val="0"/>
          <w:bCs/>
          <w:color w:val="000000" w:themeColor="text1"/>
          <w:sz w:val="32"/>
          <w:szCs w:val="32"/>
        </w:rPr>
        <w:t>指导管理全县司法行政系统的计划、财务、车辆、服装等物资装备工作。</w:t>
      </w:r>
    </w:p>
    <w:p>
      <w:pPr>
        <w:pStyle w:val="5"/>
        <w:shd w:val="clear" w:fill="FFFFFF" w:themeFill="background1"/>
        <w:adjustRightInd w:val="0"/>
        <w:snapToGrid w:val="0"/>
        <w:spacing w:before="93" w:line="560" w:lineRule="exact"/>
        <w:ind w:firstLine="672" w:firstLineChars="210"/>
        <w:rPr>
          <w:rFonts w:hint="eastAsia" w:ascii="仿宋_GB2312" w:hAnsi="仿宋_GB2312" w:eastAsia="仿宋_GB2312" w:cs="仿宋_GB2312"/>
          <w:b w:val="0"/>
          <w:bCs/>
          <w:color w:val="000000" w:themeColor="text1"/>
          <w:sz w:val="32"/>
          <w:szCs w:val="32"/>
        </w:rPr>
      </w:pPr>
      <w:r>
        <w:rPr>
          <w:rFonts w:hint="eastAsia" w:hAnsi="仿宋_GB2312" w:cs="仿宋_GB2312"/>
          <w:b w:val="0"/>
          <w:bCs/>
          <w:color w:val="000000" w:themeColor="text1"/>
          <w:sz w:val="32"/>
          <w:szCs w:val="32"/>
          <w:lang w:val="en-US" w:eastAsia="zh-CN"/>
        </w:rPr>
        <w:t>11、</w:t>
      </w:r>
      <w:r>
        <w:rPr>
          <w:rFonts w:hint="eastAsia" w:ascii="仿宋_GB2312" w:hAnsi="仿宋_GB2312" w:eastAsia="仿宋_GB2312" w:cs="仿宋_GB2312"/>
          <w:b w:val="0"/>
          <w:bCs/>
          <w:color w:val="000000" w:themeColor="text1"/>
          <w:sz w:val="32"/>
          <w:szCs w:val="32"/>
        </w:rPr>
        <w:t>指导、监督全县司法行政系统队伍建设和思想政治工作，负责本系统人事警务和干警培训工作。</w:t>
      </w:r>
    </w:p>
    <w:p>
      <w:pPr>
        <w:pStyle w:val="5"/>
        <w:shd w:val="clear" w:fill="FFFFFF" w:themeFill="background1"/>
        <w:adjustRightInd w:val="0"/>
        <w:snapToGrid w:val="0"/>
        <w:spacing w:before="93" w:line="560" w:lineRule="exact"/>
        <w:ind w:firstLine="672" w:firstLineChars="210"/>
        <w:rPr>
          <w:rFonts w:hint="eastAsia" w:hAnsi="仿宋_GB2312" w:cs="仿宋_GB2312"/>
          <w:b w:val="0"/>
          <w:bCs/>
          <w:color w:val="000000" w:themeColor="text1"/>
          <w:sz w:val="32"/>
          <w:szCs w:val="32"/>
          <w:lang w:val="en-US" w:eastAsia="zh-CN"/>
        </w:rPr>
      </w:pPr>
      <w:r>
        <w:rPr>
          <w:rFonts w:hint="eastAsia" w:hAnsi="仿宋_GB2312" w:cs="仿宋_GB2312"/>
          <w:b w:val="0"/>
          <w:bCs/>
          <w:color w:val="000000" w:themeColor="text1"/>
          <w:sz w:val="32"/>
          <w:szCs w:val="32"/>
          <w:lang w:val="en-US" w:eastAsia="zh-CN"/>
        </w:rPr>
        <w:t>12、完成县委、县政府交办的其他任务。</w:t>
      </w:r>
    </w:p>
    <w:p>
      <w:pPr>
        <w:keepNext w:val="0"/>
        <w:keepLines w:val="0"/>
        <w:pageBreakBefore w:val="0"/>
        <w:widowControl w:val="0"/>
        <w:shd w:val="clear" w:fill="FFFFFF" w:themeFill="background1"/>
        <w:kinsoku/>
        <w:wordWrap/>
        <w:overflowPunct/>
        <w:topLinePunct w:val="0"/>
        <w:autoSpaceDE/>
        <w:autoSpaceDN/>
        <w:bidi w:val="0"/>
        <w:adjustRightInd/>
        <w:snapToGrid/>
        <w:spacing w:line="540" w:lineRule="exact"/>
        <w:ind w:firstLine="301" w:firstLineChars="100"/>
        <w:jc w:val="both"/>
        <w:textAlignment w:val="auto"/>
        <w:outlineLvl w:val="1"/>
        <w:rPr>
          <w:rFonts w:hint="eastAsia" w:ascii="楷体_GB2312" w:hAnsi="楷体_GB2312" w:eastAsia="楷体_GB2312" w:cs="楷体_GB2312"/>
          <w:b/>
          <w:color w:val="000000" w:themeColor="text1"/>
          <w:sz w:val="30"/>
          <w:szCs w:val="30"/>
        </w:rPr>
      </w:pPr>
      <w:bookmarkStart w:id="6" w:name="_Toc14583"/>
      <w:bookmarkStart w:id="7" w:name="_Toc24298"/>
      <w:r>
        <w:rPr>
          <w:rFonts w:hint="eastAsia" w:ascii="楷体_GB2312" w:hAnsi="楷体_GB2312" w:eastAsia="楷体_GB2312" w:cs="楷体_GB2312"/>
          <w:b/>
          <w:color w:val="000000" w:themeColor="text1"/>
          <w:sz w:val="30"/>
          <w:szCs w:val="30"/>
        </w:rPr>
        <w:t>（二）</w:t>
      </w:r>
      <w:r>
        <w:rPr>
          <w:rFonts w:hint="eastAsia" w:ascii="楷体_GB2312" w:hAnsi="楷体_GB2312" w:eastAsia="楷体_GB2312" w:cs="楷体_GB2312"/>
          <w:b/>
          <w:color w:val="000000" w:themeColor="text1"/>
          <w:sz w:val="30"/>
          <w:szCs w:val="30"/>
          <w:lang w:eastAsia="zh-CN"/>
        </w:rPr>
        <w:t>2022</w:t>
      </w:r>
      <w:r>
        <w:rPr>
          <w:rFonts w:hint="eastAsia" w:ascii="楷体_GB2312" w:hAnsi="楷体_GB2312" w:eastAsia="楷体_GB2312" w:cs="楷体_GB2312"/>
          <w:b/>
          <w:color w:val="000000" w:themeColor="text1"/>
          <w:sz w:val="30"/>
          <w:szCs w:val="30"/>
        </w:rPr>
        <w:t>年重点工作任务</w:t>
      </w:r>
      <w:bookmarkEnd w:id="6"/>
      <w:bookmarkEnd w:id="7"/>
    </w:p>
    <w:p>
      <w:pPr>
        <w:keepNext w:val="0"/>
        <w:keepLines w:val="0"/>
        <w:pageBreakBefore w:val="0"/>
        <w:widowControl w:val="0"/>
        <w:numPr>
          <w:ilvl w:val="0"/>
          <w:numId w:val="1"/>
        </w:numPr>
        <w:shd w:val="clear" w:fill="FFFFFF" w:themeFill="background1"/>
        <w:kinsoku/>
        <w:wordWrap/>
        <w:overflowPunct/>
        <w:topLinePunct w:val="0"/>
        <w:autoSpaceDE/>
        <w:autoSpaceDN/>
        <w:bidi w:val="0"/>
        <w:adjustRightInd/>
        <w:snapToGrid/>
        <w:spacing w:line="540" w:lineRule="exact"/>
        <w:ind w:firstLine="321" w:firstLineChars="100"/>
        <w:jc w:val="both"/>
        <w:textAlignment w:val="auto"/>
        <w:rPr>
          <w:rFonts w:hint="eastAsia" w:ascii="楷体_GB2312" w:hAnsi="楷体_GB2312" w:eastAsia="楷体_GB2312" w:cs="楷体_GB2312"/>
          <w:b/>
          <w:bCs/>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狠抓党的建设，打造坚强有力政治机关。</w:t>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深入推进“两学一做”学习教育常态化制度化，在深学精学上下功夫，强化落实党建工作责任制。</w:t>
      </w:r>
    </w:p>
    <w:p>
      <w:pPr>
        <w:keepNext w:val="0"/>
        <w:keepLines w:val="0"/>
        <w:pageBreakBefore w:val="0"/>
        <w:widowControl w:val="0"/>
        <w:numPr>
          <w:ilvl w:val="0"/>
          <w:numId w:val="1"/>
        </w:numPr>
        <w:shd w:val="clear" w:fill="FFFFFF" w:themeFill="background1"/>
        <w:kinsoku/>
        <w:wordWrap/>
        <w:overflowPunct/>
        <w:topLinePunct w:val="0"/>
        <w:autoSpaceDE/>
        <w:autoSpaceDN/>
        <w:bidi w:val="0"/>
        <w:adjustRightInd/>
        <w:snapToGrid/>
        <w:spacing w:line="540" w:lineRule="exact"/>
        <w:ind w:left="0" w:leftChars="0" w:firstLine="321" w:firstLineChars="100"/>
        <w:jc w:val="both"/>
        <w:textAlignment w:val="auto"/>
        <w:rPr>
          <w:rFonts w:hint="eastAsia" w:ascii="楷体_GB2312" w:hAnsi="楷体_GB2312" w:eastAsia="楷体_GB2312" w:cs="楷体_GB2312"/>
          <w:b/>
          <w:bCs/>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落实依法行政，统筹推进法治政府建设和依法治县工作有序开展。</w:t>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40" w:lineRule="exact"/>
        <w:ind w:leftChars="10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完善重大行政决策合法性审查机制，优化行政复议审理机制，推进依法行政，继续做好执法主体和执法人员清理，落实好年度执法监督计划。</w:t>
      </w:r>
    </w:p>
    <w:p>
      <w:pPr>
        <w:keepNext w:val="0"/>
        <w:keepLines w:val="0"/>
        <w:pageBreakBefore w:val="0"/>
        <w:widowControl w:val="0"/>
        <w:numPr>
          <w:ilvl w:val="0"/>
          <w:numId w:val="1"/>
        </w:numPr>
        <w:shd w:val="clear" w:fill="FFFFFF" w:themeFill="background1"/>
        <w:kinsoku/>
        <w:wordWrap/>
        <w:overflowPunct/>
        <w:topLinePunct w:val="0"/>
        <w:autoSpaceDE/>
        <w:autoSpaceDN/>
        <w:bidi w:val="0"/>
        <w:adjustRightInd/>
        <w:snapToGrid/>
        <w:spacing w:line="540" w:lineRule="exact"/>
        <w:ind w:left="0" w:leftChars="0" w:firstLine="321" w:firstLineChars="100"/>
        <w:jc w:val="both"/>
        <w:textAlignment w:val="auto"/>
        <w:rPr>
          <w:rFonts w:hint="eastAsia" w:ascii="楷体_GB2312" w:hAnsi="楷体_GB2312" w:eastAsia="楷体_GB2312" w:cs="楷体_GB2312"/>
          <w:b/>
          <w:bCs/>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以“八五”普法为抓手，营造良好法治环境。</w:t>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40" w:lineRule="exact"/>
        <w:ind w:leftChars="100" w:firstLine="640" w:firstLineChars="200"/>
        <w:jc w:val="both"/>
        <w:textAlignment w:val="auto"/>
        <w:rPr>
          <w:rFonts w:hint="default" w:ascii="仿宋_GB2312" w:hAnsi="仿宋_GB2312" w:eastAsia="仿宋_GB2312" w:cs="仿宋_GB2312"/>
          <w:b w:val="0"/>
          <w:bCs w:val="0"/>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建立健全法治宣传教育考核评估体系和配套机制，对责任单位和成员单位实行动态管理，依托姐妹宣讲、马背宣讲、高僧大德宣讲、法治政策宣讲等平台，采取藏汉双语，贴近实际、贴近生活、贴近群众，深入机关、乡村、寺庙、学校、企业，开展全覆盖宣讲。</w:t>
      </w:r>
    </w:p>
    <w:p>
      <w:pPr>
        <w:keepNext w:val="0"/>
        <w:keepLines w:val="0"/>
        <w:pageBreakBefore w:val="0"/>
        <w:widowControl w:val="0"/>
        <w:numPr>
          <w:ilvl w:val="0"/>
          <w:numId w:val="1"/>
        </w:numPr>
        <w:shd w:val="clear" w:fill="FFFFFF" w:themeFill="background1"/>
        <w:kinsoku/>
        <w:wordWrap/>
        <w:overflowPunct/>
        <w:topLinePunct w:val="0"/>
        <w:autoSpaceDE/>
        <w:autoSpaceDN/>
        <w:bidi w:val="0"/>
        <w:adjustRightInd/>
        <w:snapToGrid/>
        <w:spacing w:line="540" w:lineRule="exact"/>
        <w:ind w:left="0" w:leftChars="0" w:firstLine="321" w:firstLineChars="100"/>
        <w:jc w:val="both"/>
        <w:textAlignment w:val="auto"/>
        <w:rPr>
          <w:rFonts w:hint="eastAsia" w:ascii="楷体_GB2312" w:hAnsi="楷体_GB2312" w:eastAsia="楷体_GB2312" w:cs="楷体_GB2312"/>
          <w:b/>
          <w:bCs/>
          <w:color w:val="000000" w:themeColor="text1"/>
          <w:sz w:val="32"/>
          <w:szCs w:val="32"/>
          <w:lang w:val="en-US" w:eastAsia="zh-CN"/>
        </w:rPr>
      </w:pPr>
      <w:r>
        <w:rPr>
          <w:rFonts w:hint="eastAsia" w:ascii="楷体_GB2312" w:hAnsi="楷体_GB2312" w:eastAsia="楷体_GB2312" w:cs="楷体_GB2312"/>
          <w:b/>
          <w:bCs/>
          <w:color w:val="000000" w:themeColor="text1"/>
          <w:sz w:val="32"/>
          <w:szCs w:val="32"/>
          <w:lang w:val="en-US" w:eastAsia="zh-CN"/>
        </w:rPr>
        <w:t>完善公共法律服务体系，满足人民群众法律服务需求</w:t>
      </w:r>
    </w:p>
    <w:p>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540" w:lineRule="exact"/>
        <w:ind w:leftChars="100" w:firstLine="640" w:firstLineChars="200"/>
        <w:jc w:val="both"/>
        <w:textAlignment w:val="auto"/>
        <w:rPr>
          <w:rFonts w:hint="eastAsia" w:ascii="仿宋_GB2312" w:hAnsi="仿宋_GB2312" w:eastAsia="仿宋_GB2312" w:cs="仿宋_GB2312"/>
          <w:b w:val="0"/>
          <w:bCs w:val="0"/>
          <w:color w:val="000000" w:themeColor="text1"/>
          <w:sz w:val="32"/>
          <w:szCs w:val="32"/>
          <w:lang w:val="en-US" w:eastAsia="zh-CN"/>
        </w:rPr>
      </w:pPr>
      <w:r>
        <w:rPr>
          <w:rFonts w:hint="eastAsia" w:ascii="仿宋_GB2312" w:hAnsi="仿宋_GB2312" w:eastAsia="仿宋_GB2312" w:cs="仿宋_GB2312"/>
          <w:b w:val="0"/>
          <w:bCs w:val="0"/>
          <w:color w:val="000000" w:themeColor="text1"/>
          <w:sz w:val="32"/>
          <w:szCs w:val="32"/>
          <w:lang w:val="en-US" w:eastAsia="zh-CN"/>
        </w:rPr>
        <w:t xml:space="preserve">提升公共法律服务体系建设成果，推进实体、热线、网络三大平台一体化建设。强化法律援助办案质量，努力实现“应援尽援”。 </w:t>
      </w:r>
    </w:p>
    <w:p>
      <w:pPr>
        <w:numPr>
          <w:ilvl w:val="0"/>
          <w:numId w:val="0"/>
        </w:numPr>
        <w:spacing w:line="560" w:lineRule="exact"/>
        <w:ind w:firstLine="643" w:firstLineChars="200"/>
        <w:jc w:val="left"/>
        <w:outlineLvl w:val="0"/>
        <w:rPr>
          <w:rFonts w:hint="eastAsia" w:ascii="黑体" w:eastAsia="黑体"/>
          <w:b/>
          <w:bCs/>
          <w:sz w:val="32"/>
          <w:szCs w:val="32"/>
          <w:lang w:eastAsia="zh-CN"/>
        </w:rPr>
      </w:pPr>
      <w:bookmarkStart w:id="8" w:name="_Toc4112"/>
      <w:bookmarkStart w:id="9" w:name="_Toc11643"/>
      <w:bookmarkStart w:id="10" w:name="_Toc9409"/>
      <w:bookmarkStart w:id="11" w:name="_Toc8547"/>
      <w:r>
        <w:rPr>
          <w:rFonts w:hint="eastAsia" w:ascii="黑体" w:eastAsia="黑体"/>
          <w:b/>
          <w:bCs/>
          <w:sz w:val="32"/>
          <w:szCs w:val="32"/>
          <w:lang w:eastAsia="zh-CN"/>
        </w:rPr>
        <w:t>二、</w:t>
      </w:r>
      <w:r>
        <w:rPr>
          <w:rFonts w:hint="eastAsia" w:ascii="黑体" w:eastAsia="黑体"/>
          <w:b/>
          <w:bCs/>
          <w:sz w:val="32"/>
          <w:szCs w:val="32"/>
        </w:rPr>
        <w:t>部门</w:t>
      </w:r>
      <w:r>
        <w:rPr>
          <w:rFonts w:hint="eastAsia" w:ascii="黑体" w:eastAsia="黑体"/>
          <w:b/>
          <w:bCs/>
          <w:sz w:val="32"/>
          <w:szCs w:val="32"/>
          <w:lang w:eastAsia="zh-CN"/>
        </w:rPr>
        <w:t>预算单位构成</w:t>
      </w:r>
      <w:bookmarkEnd w:id="8"/>
      <w:bookmarkEnd w:id="9"/>
      <w:bookmarkEnd w:id="10"/>
      <w:bookmarkEnd w:id="11"/>
    </w:p>
    <w:p>
      <w:pPr>
        <w:numPr>
          <w:ilvl w:val="0"/>
          <w:numId w:val="0"/>
        </w:numPr>
        <w:spacing w:line="560" w:lineRule="exact"/>
        <w:ind w:firstLine="640" w:firstLineChars="200"/>
        <w:jc w:val="left"/>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红原县司法局</w:t>
      </w:r>
      <w:r>
        <w:rPr>
          <w:rFonts w:hint="eastAsia" w:ascii="仿宋_GB2312" w:hAnsi="仿宋_GB2312" w:eastAsia="仿宋_GB2312" w:cs="仿宋_GB2312"/>
          <w:bCs/>
          <w:sz w:val="32"/>
          <w:szCs w:val="32"/>
        </w:rPr>
        <w:t>为独立核算全额拨款行政单位，下设</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个</w:t>
      </w:r>
      <w:r>
        <w:rPr>
          <w:rFonts w:hint="eastAsia" w:ascii="仿宋_GB2312" w:hAnsi="仿宋_GB2312" w:eastAsia="仿宋_GB2312" w:cs="仿宋_GB2312"/>
          <w:bCs/>
          <w:sz w:val="32"/>
          <w:szCs w:val="32"/>
          <w:lang w:eastAsia="zh-CN"/>
        </w:rPr>
        <w:t>机构</w:t>
      </w:r>
      <w:r>
        <w:rPr>
          <w:rFonts w:hint="eastAsia" w:ascii="仿宋_GB2312" w:hAnsi="仿宋_GB2312" w:eastAsia="仿宋_GB2312" w:cs="仿宋_GB2312"/>
          <w:bCs/>
          <w:sz w:val="32"/>
          <w:szCs w:val="32"/>
        </w:rPr>
        <w:t>：办公室、</w:t>
      </w:r>
      <w:r>
        <w:rPr>
          <w:rFonts w:hint="eastAsia" w:ascii="仿宋_GB2312" w:hAnsi="仿宋_GB2312" w:eastAsia="仿宋_GB2312" w:cs="仿宋_GB2312"/>
          <w:bCs/>
          <w:sz w:val="32"/>
          <w:szCs w:val="32"/>
          <w:lang w:eastAsia="zh-CN"/>
        </w:rPr>
        <w:t>法制股、</w:t>
      </w:r>
      <w:r>
        <w:rPr>
          <w:rFonts w:hint="eastAsia" w:ascii="仿宋_GB2312" w:hAnsi="仿宋_GB2312" w:eastAsia="仿宋_GB2312" w:cs="仿宋_GB2312"/>
          <w:bCs/>
          <w:sz w:val="32"/>
          <w:szCs w:val="32"/>
        </w:rPr>
        <w:t>基层工作股、法治宣传</w:t>
      </w:r>
      <w:r>
        <w:rPr>
          <w:rFonts w:hint="eastAsia" w:ascii="仿宋_GB2312" w:hAnsi="仿宋_GB2312" w:eastAsia="仿宋_GB2312" w:cs="仿宋_GB2312"/>
          <w:bCs/>
          <w:sz w:val="32"/>
          <w:szCs w:val="32"/>
          <w:lang w:eastAsia="zh-CN"/>
        </w:rPr>
        <w:t>教育</w:t>
      </w:r>
      <w:r>
        <w:rPr>
          <w:rFonts w:hint="eastAsia" w:ascii="仿宋_GB2312" w:hAnsi="仿宋_GB2312" w:eastAsia="仿宋_GB2312" w:cs="仿宋_GB2312"/>
          <w:bCs/>
          <w:sz w:val="32"/>
          <w:szCs w:val="32"/>
        </w:rPr>
        <w:t>股、</w:t>
      </w:r>
      <w:r>
        <w:rPr>
          <w:rFonts w:hint="eastAsia" w:ascii="仿宋_GB2312" w:hAnsi="仿宋_GB2312" w:eastAsia="仿宋_GB2312" w:cs="仿宋_GB2312"/>
          <w:bCs/>
          <w:sz w:val="32"/>
          <w:szCs w:val="32"/>
          <w:lang w:eastAsia="zh-CN"/>
        </w:rPr>
        <w:t>装备财务保障股、公共法律服务管理股、政工室、社区矫正执法大队。</w:t>
      </w:r>
    </w:p>
    <w:p>
      <w:pPr>
        <w:ind w:firstLine="640" w:firstLineChars="200"/>
        <w:jc w:val="left"/>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截止2021年底我单位共有编制35个，其中公务员编制28个，行政工勤编制2个，事业编制5个;在职33人，其中公务员26人，事业5人，工勤2人。</w:t>
      </w:r>
    </w:p>
    <w:p>
      <w:pPr>
        <w:spacing w:line="560" w:lineRule="exact"/>
        <w:ind w:firstLine="643" w:firstLineChars="200"/>
        <w:outlineLvl w:val="0"/>
        <w:rPr>
          <w:rFonts w:ascii="黑体" w:eastAsia="黑体"/>
          <w:b/>
          <w:bCs/>
          <w:sz w:val="32"/>
          <w:szCs w:val="32"/>
        </w:rPr>
      </w:pPr>
      <w:bookmarkStart w:id="12" w:name="_Toc8869"/>
      <w:bookmarkStart w:id="13" w:name="_Toc9941"/>
      <w:bookmarkStart w:id="14" w:name="_Toc19827"/>
      <w:bookmarkStart w:id="15" w:name="_Toc12775"/>
      <w:r>
        <w:rPr>
          <w:rFonts w:hint="eastAsia" w:ascii="黑体" w:eastAsia="黑体"/>
          <w:b/>
          <w:bCs/>
          <w:sz w:val="32"/>
          <w:szCs w:val="32"/>
        </w:rPr>
        <w:t>三、收支预算总体情况</w:t>
      </w:r>
      <w:bookmarkEnd w:id="12"/>
      <w:bookmarkEnd w:id="13"/>
      <w:bookmarkEnd w:id="14"/>
      <w:bookmarkEnd w:id="15"/>
    </w:p>
    <w:p>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eastAsia="仿宋_GB2312"/>
          <w:sz w:val="32"/>
          <w:szCs w:val="32"/>
          <w:lang w:eastAsia="zh-CN"/>
        </w:rPr>
        <w:t>红原县司法局</w:t>
      </w:r>
      <w:r>
        <w:rPr>
          <w:rFonts w:hint="eastAsia" w:ascii="仿宋_GB2312" w:eastAsia="仿宋_GB2312"/>
          <w:sz w:val="32"/>
          <w:szCs w:val="32"/>
        </w:rPr>
        <w:t>收入预算总额为</w:t>
      </w:r>
      <w:r>
        <w:rPr>
          <w:rFonts w:hint="eastAsia" w:ascii="仿宋_GB2312" w:eastAsia="仿宋_GB2312"/>
          <w:sz w:val="32"/>
          <w:szCs w:val="32"/>
          <w:lang w:val="en-US" w:eastAsia="zh-CN"/>
        </w:rPr>
        <w:t>720.42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720.42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720.42</w:t>
      </w:r>
      <w:r>
        <w:rPr>
          <w:rFonts w:hint="eastAsia" w:ascii="仿宋_GB2312" w:eastAsia="仿宋_GB2312"/>
          <w:sz w:val="32"/>
          <w:szCs w:val="32"/>
        </w:rPr>
        <w:t>万元，其中：</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534.22</w:t>
      </w:r>
      <w:r>
        <w:rPr>
          <w:rFonts w:hint="eastAsia" w:ascii="仿宋_GB2312" w:eastAsia="仿宋_GB2312"/>
          <w:sz w:val="32"/>
          <w:szCs w:val="32"/>
        </w:rPr>
        <w:t>万元</w:t>
      </w:r>
      <w:r>
        <w:rPr>
          <w:rFonts w:hint="eastAsia" w:ascii="仿宋_GB2312" w:eastAsia="仿宋_GB2312"/>
          <w:sz w:val="32"/>
          <w:szCs w:val="32"/>
          <w:lang w:eastAsia="zh-CN"/>
        </w:rPr>
        <w:t>；社会保障和就业</w:t>
      </w:r>
      <w:r>
        <w:rPr>
          <w:rFonts w:hint="eastAsia" w:ascii="仿宋_GB2312" w:eastAsia="仿宋_GB2312"/>
          <w:sz w:val="32"/>
          <w:szCs w:val="32"/>
          <w:lang w:val="en-US" w:eastAsia="zh-CN"/>
        </w:rPr>
        <w:t>94.38万元；卫生健康支出</w:t>
      </w:r>
      <w:r>
        <w:rPr>
          <w:rFonts w:hint="eastAsia" w:ascii="仿宋_GB2312" w:eastAsia="仿宋_GB2312"/>
          <w:sz w:val="32"/>
          <w:szCs w:val="32"/>
        </w:rPr>
        <w:t>35.75万元</w:t>
      </w:r>
      <w:r>
        <w:rPr>
          <w:rFonts w:hint="eastAsia" w:ascii="仿宋_GB2312" w:eastAsia="仿宋_GB2312"/>
          <w:sz w:val="32"/>
          <w:szCs w:val="32"/>
          <w:lang w:eastAsia="zh-CN"/>
        </w:rPr>
        <w:t>；</w:t>
      </w:r>
      <w:r>
        <w:rPr>
          <w:rFonts w:hint="eastAsia" w:ascii="仿宋_GB2312" w:eastAsia="仿宋_GB2312"/>
          <w:sz w:val="32"/>
          <w:szCs w:val="32"/>
        </w:rPr>
        <w:t>住房保障支出</w:t>
      </w:r>
      <w:r>
        <w:rPr>
          <w:rFonts w:hint="eastAsia" w:ascii="仿宋_GB2312" w:eastAsia="仿宋_GB2312"/>
          <w:sz w:val="32"/>
          <w:szCs w:val="32"/>
          <w:lang w:val="en-US" w:eastAsia="zh-CN"/>
        </w:rPr>
        <w:t>56.07</w:t>
      </w:r>
      <w:r>
        <w:rPr>
          <w:rFonts w:hint="eastAsia" w:ascii="仿宋_GB2312" w:eastAsia="仿宋_GB2312"/>
          <w:sz w:val="32"/>
          <w:szCs w:val="32"/>
        </w:rPr>
        <w:t>万元。</w:t>
      </w:r>
    </w:p>
    <w:p>
      <w:pPr>
        <w:numPr>
          <w:ilvl w:val="0"/>
          <w:numId w:val="0"/>
        </w:numPr>
        <w:spacing w:line="560" w:lineRule="exact"/>
        <w:ind w:firstLine="643" w:firstLineChars="200"/>
        <w:outlineLvl w:val="0"/>
        <w:rPr>
          <w:rFonts w:ascii="黑体" w:eastAsia="黑体"/>
          <w:b/>
          <w:bCs/>
          <w:sz w:val="32"/>
          <w:szCs w:val="32"/>
        </w:rPr>
      </w:pPr>
      <w:bookmarkStart w:id="16" w:name="_Toc15034"/>
      <w:bookmarkStart w:id="17" w:name="_Toc24074"/>
      <w:bookmarkStart w:id="18" w:name="_Toc11979"/>
      <w:bookmarkStart w:id="19" w:name="_Toc23810"/>
      <w:r>
        <w:rPr>
          <w:rFonts w:hint="eastAsia" w:ascii="黑体" w:eastAsia="黑体"/>
          <w:b/>
          <w:bCs/>
          <w:sz w:val="32"/>
          <w:szCs w:val="32"/>
          <w:lang w:eastAsia="zh-CN"/>
        </w:rPr>
        <w:t>四、</w:t>
      </w:r>
      <w:r>
        <w:rPr>
          <w:rFonts w:hint="eastAsia" w:ascii="黑体" w:eastAsia="黑体"/>
          <w:b/>
          <w:bCs/>
          <w:sz w:val="32"/>
          <w:szCs w:val="32"/>
        </w:rPr>
        <w:t>支出预算安排情况</w:t>
      </w:r>
      <w:bookmarkEnd w:id="16"/>
      <w:bookmarkEnd w:id="17"/>
      <w:bookmarkEnd w:id="18"/>
      <w:bookmarkEnd w:id="19"/>
    </w:p>
    <w:p>
      <w:pPr>
        <w:spacing w:line="56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lang w:val="en-US" w:eastAsia="zh-CN"/>
        </w:rPr>
        <w:t xml:space="preserve"> 红原县司法局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法律服务</w:t>
      </w:r>
      <w:r>
        <w:rPr>
          <w:rFonts w:hint="eastAsia" w:ascii="仿宋_GB2312" w:eastAsia="仿宋_GB2312"/>
          <w:sz w:val="32"/>
          <w:szCs w:val="32"/>
        </w:rPr>
        <w:t>事业发展相关工作。</w:t>
      </w:r>
      <w:r>
        <w:rPr>
          <w:rFonts w:ascii="仿宋_GB2312" w:eastAsia="仿宋_GB2312"/>
          <w:sz w:val="32"/>
          <w:szCs w:val="32"/>
        </w:rPr>
        <w:t xml:space="preserve">  </w:t>
      </w:r>
    </w:p>
    <w:p>
      <w:p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lang w:val="en-US" w:eastAsia="zh-CN"/>
        </w:rPr>
        <w:t>基本支出668.62万元。其中人员经费支出591.97万元，机关运行经费76.65万元，其中：办公费56.5万元，维修（护）费1万元，培训费1万元，委托业务费2万元，公务接待费1.16万元，公务用车运行维护费15万元。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r>
        <w:rPr>
          <w:rFonts w:ascii="仿宋_GB2312" w:eastAsia="仿宋_GB2312"/>
          <w:sz w:val="32"/>
          <w:szCs w:val="32"/>
        </w:rPr>
        <w:t>:</w:t>
      </w:r>
    </w:p>
    <w:p>
      <w:pPr>
        <w:numPr>
          <w:ilvl w:val="0"/>
          <w:numId w:val="2"/>
        </w:numPr>
        <w:spacing w:line="580" w:lineRule="exact"/>
        <w:ind w:firstLine="640" w:firstLineChars="200"/>
        <w:rPr>
          <w:rFonts w:ascii="仿宋_GB2312" w:eastAsia="仿宋_GB2312"/>
          <w:sz w:val="32"/>
          <w:szCs w:val="32"/>
        </w:rPr>
      </w:pPr>
      <w:r>
        <w:rPr>
          <w:rFonts w:hint="eastAsia" w:ascii="仿宋_GB2312" w:eastAsia="仿宋_GB2312"/>
          <w:sz w:val="32"/>
          <w:szCs w:val="32"/>
          <w:lang w:eastAsia="zh-CN"/>
        </w:rPr>
        <w:t>公共安全</w:t>
      </w:r>
      <w:r>
        <w:rPr>
          <w:rFonts w:hint="eastAsia" w:ascii="仿宋_GB2312" w:eastAsia="仿宋_GB2312"/>
          <w:sz w:val="32"/>
          <w:szCs w:val="32"/>
          <w:lang w:val="en-US" w:eastAsia="zh-CN"/>
        </w:rPr>
        <w:t>534.22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）社会保障和就业</w:t>
      </w:r>
      <w:r>
        <w:rPr>
          <w:rFonts w:hint="eastAsia" w:ascii="仿宋_GB2312" w:eastAsia="仿宋_GB2312"/>
          <w:sz w:val="32"/>
          <w:szCs w:val="32"/>
          <w:lang w:val="en-US" w:eastAsia="zh-CN"/>
        </w:rPr>
        <w:t>94.38</w:t>
      </w:r>
      <w:r>
        <w:rPr>
          <w:rFonts w:hint="eastAsia" w:ascii="仿宋_GB2312" w:eastAsia="仿宋_GB2312"/>
          <w:sz w:val="32"/>
          <w:szCs w:val="32"/>
        </w:rPr>
        <w:t>万元，主要用于机关及下属事业单位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w:t>
      </w:r>
      <w:r>
        <w:rPr>
          <w:rFonts w:hint="eastAsia" w:ascii="仿宋_GB2312" w:eastAsia="仿宋_GB2312"/>
          <w:sz w:val="32"/>
          <w:szCs w:val="32"/>
          <w:lang w:eastAsia="zh-CN"/>
        </w:rPr>
        <w:t>卫生健康</w:t>
      </w:r>
      <w:r>
        <w:rPr>
          <w:rFonts w:hint="eastAsia" w:ascii="仿宋_GB2312" w:eastAsia="仿宋_GB2312"/>
          <w:sz w:val="32"/>
          <w:szCs w:val="32"/>
          <w:lang w:val="en-US" w:eastAsia="zh-CN"/>
        </w:rPr>
        <w:t>35.75</w:t>
      </w:r>
      <w:r>
        <w:rPr>
          <w:rFonts w:hint="eastAsia" w:ascii="仿宋_GB2312" w:eastAsia="仿宋_GB2312"/>
          <w:sz w:val="32"/>
          <w:szCs w:val="32"/>
        </w:rPr>
        <w:t>万元，主要用于机关及下属事业单位按照规定标准为职工缴纳的基本医疗保险及公务员医疗补助等支出。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）住房保障支出</w:t>
      </w:r>
      <w:r>
        <w:rPr>
          <w:rFonts w:hint="eastAsia" w:ascii="仿宋_GB2312" w:eastAsia="仿宋_GB2312"/>
          <w:sz w:val="32"/>
          <w:szCs w:val="32"/>
          <w:lang w:val="en-US" w:eastAsia="zh-CN"/>
        </w:rPr>
        <w:t>56.07</w:t>
      </w:r>
      <w:r>
        <w:rPr>
          <w:rFonts w:hint="eastAsia" w:ascii="仿宋_GB2312" w:eastAsia="仿宋_GB2312"/>
          <w:sz w:val="32"/>
          <w:szCs w:val="32"/>
        </w:rPr>
        <w:t>万元，用于机关及下属事业单位按照规定标准为职工缴纳住房公积金等支出。</w:t>
      </w:r>
    </w:p>
    <w:p>
      <w:pPr>
        <w:widowControl/>
        <w:shd w:val="clear" w:color="auto" w:fill="FFFFFF"/>
        <w:spacing w:line="560" w:lineRule="exact"/>
        <w:ind w:firstLine="480"/>
        <w:jc w:val="left"/>
        <w:outlineLvl w:val="0"/>
        <w:rPr>
          <w:rFonts w:ascii="黑体" w:hAnsi="黑体" w:eastAsia="黑体" w:cs="黑体"/>
          <w:sz w:val="32"/>
          <w:szCs w:val="32"/>
        </w:rPr>
      </w:pPr>
      <w:bookmarkStart w:id="20" w:name="_Toc31923"/>
      <w:bookmarkStart w:id="21" w:name="_Toc29583"/>
      <w:bookmarkStart w:id="22" w:name="_Toc13740"/>
      <w:bookmarkStart w:id="23" w:name="_Toc22641"/>
      <w:r>
        <w:rPr>
          <w:rFonts w:hint="eastAsia" w:ascii="黑体" w:hAnsi="黑体" w:eastAsia="黑体" w:cs="黑体"/>
          <w:b/>
          <w:bCs/>
          <w:color w:val="333333"/>
          <w:kern w:val="0"/>
          <w:sz w:val="32"/>
          <w:szCs w:val="32"/>
          <w:shd w:val="clear" w:color="auto" w:fill="FFFFFF"/>
        </w:rPr>
        <w:t>五、较上年度增减变化</w:t>
      </w:r>
      <w:bookmarkEnd w:id="20"/>
      <w:bookmarkEnd w:id="21"/>
      <w:bookmarkEnd w:id="22"/>
      <w:bookmarkEnd w:id="23"/>
      <w:r>
        <w:rPr>
          <w:rFonts w:ascii="黑体" w:hAnsi="黑体" w:eastAsia="黑体" w:cs="黑体"/>
          <w:color w:val="333333"/>
          <w:kern w:val="0"/>
          <w:sz w:val="32"/>
          <w:szCs w:val="32"/>
          <w:shd w:val="clear" w:color="auto" w:fill="FFFFFF"/>
        </w:rPr>
        <w:t xml:space="preserve"> </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本年度预算拨款收入</w:t>
      </w:r>
      <w:r>
        <w:rPr>
          <w:rFonts w:hint="eastAsia" w:ascii="仿宋_GB2312" w:eastAsia="仿宋_GB2312"/>
          <w:sz w:val="32"/>
          <w:szCs w:val="32"/>
          <w:lang w:val="en-US" w:eastAsia="zh-CN"/>
        </w:rPr>
        <w:t>720.42</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较上年度预算</w:t>
      </w:r>
      <w:r>
        <w:rPr>
          <w:rFonts w:hint="eastAsia" w:ascii="仿宋_GB2312" w:eastAsia="仿宋_GB2312"/>
          <w:sz w:val="32"/>
          <w:szCs w:val="32"/>
          <w:lang w:val="en-US" w:eastAsia="zh-CN"/>
        </w:rPr>
        <w:t>689.43</w:t>
      </w:r>
      <w:r>
        <w:rPr>
          <w:rFonts w:hint="eastAsia" w:ascii="仿宋_GB2312" w:eastAsia="仿宋_GB2312"/>
          <w:sz w:val="32"/>
          <w:szCs w:val="32"/>
        </w:rPr>
        <w:t>万元</w:t>
      </w:r>
      <w:r>
        <w:rPr>
          <w:rFonts w:hint="eastAsia" w:ascii="仿宋_GB2312" w:eastAsia="仿宋_GB2312"/>
          <w:sz w:val="32"/>
          <w:szCs w:val="32"/>
          <w:lang w:eastAsia="zh-CN"/>
        </w:rPr>
        <w:t>增加</w:t>
      </w:r>
      <w:r>
        <w:rPr>
          <w:rFonts w:hint="eastAsia" w:ascii="仿宋_GB2312" w:eastAsia="仿宋_GB2312"/>
          <w:sz w:val="32"/>
          <w:szCs w:val="32"/>
        </w:rPr>
        <w:t>了</w:t>
      </w:r>
      <w:r>
        <w:rPr>
          <w:rFonts w:hint="eastAsia" w:ascii="仿宋_GB2312" w:eastAsia="仿宋_GB2312"/>
          <w:sz w:val="32"/>
          <w:szCs w:val="32"/>
          <w:lang w:val="en-US" w:eastAsia="zh-CN"/>
        </w:rPr>
        <w:t>4.49</w:t>
      </w:r>
      <w:r>
        <w:rPr>
          <w:rFonts w:ascii="仿宋_GB2312" w:eastAsia="仿宋_GB2312"/>
          <w:sz w:val="32"/>
          <w:szCs w:val="32"/>
        </w:rPr>
        <w:t>%</w:t>
      </w:r>
      <w:r>
        <w:rPr>
          <w:rFonts w:hint="eastAsia" w:ascii="仿宋_GB2312" w:eastAsia="仿宋_GB2312"/>
          <w:sz w:val="32"/>
          <w:szCs w:val="32"/>
          <w:lang w:eastAsia="zh-CN"/>
        </w:rPr>
        <w:t>，原因是业务经费的增加，收入增加。</w:t>
      </w:r>
      <w:r>
        <w:rPr>
          <w:rFonts w:hint="eastAsia" w:ascii="仿宋_GB2312" w:eastAsia="仿宋_GB2312"/>
          <w:sz w:val="32"/>
          <w:szCs w:val="32"/>
        </w:rPr>
        <w:t>其中基本行政运行经费预算</w:t>
      </w:r>
      <w:r>
        <w:rPr>
          <w:rFonts w:hint="eastAsia" w:ascii="仿宋_GB2312" w:eastAsia="仿宋_GB2312"/>
          <w:sz w:val="32"/>
          <w:szCs w:val="32"/>
          <w:lang w:val="en-US" w:eastAsia="zh-CN"/>
        </w:rPr>
        <w:t>668.62</w:t>
      </w:r>
      <w:r>
        <w:rPr>
          <w:rFonts w:hint="eastAsia" w:ascii="仿宋_GB2312" w:eastAsia="仿宋_GB2312"/>
          <w:sz w:val="32"/>
          <w:szCs w:val="32"/>
        </w:rPr>
        <w:t>万元，占全部总预算的</w:t>
      </w:r>
      <w:r>
        <w:rPr>
          <w:rFonts w:hint="eastAsia" w:ascii="仿宋_GB2312" w:eastAsia="仿宋_GB2312"/>
          <w:sz w:val="32"/>
          <w:szCs w:val="32"/>
          <w:lang w:val="en-US" w:eastAsia="zh-CN"/>
        </w:rPr>
        <w:t>92.81</w:t>
      </w:r>
      <w:r>
        <w:rPr>
          <w:rFonts w:ascii="仿宋_GB2312" w:eastAsia="仿宋_GB2312"/>
          <w:sz w:val="32"/>
          <w:szCs w:val="32"/>
        </w:rPr>
        <w:t>%</w:t>
      </w:r>
      <w:r>
        <w:rPr>
          <w:rFonts w:hint="eastAsia" w:ascii="仿宋_GB2312" w:eastAsia="仿宋_GB2312"/>
          <w:sz w:val="32"/>
          <w:szCs w:val="32"/>
        </w:rPr>
        <w:t>，较上年</w:t>
      </w:r>
      <w:r>
        <w:rPr>
          <w:rFonts w:hint="eastAsia" w:ascii="仿宋_GB2312" w:eastAsia="仿宋_GB2312"/>
          <w:sz w:val="32"/>
          <w:szCs w:val="32"/>
          <w:lang w:val="en-US" w:eastAsia="zh-CN"/>
        </w:rPr>
        <w:t>638万元</w:t>
      </w:r>
      <w:r>
        <w:rPr>
          <w:rFonts w:hint="eastAsia" w:ascii="仿宋_GB2312" w:eastAsia="仿宋_GB2312"/>
          <w:sz w:val="32"/>
          <w:szCs w:val="32"/>
          <w:lang w:eastAsia="zh-CN"/>
        </w:rPr>
        <w:t>减少</w:t>
      </w:r>
      <w:r>
        <w:rPr>
          <w:rFonts w:hint="eastAsia" w:ascii="仿宋_GB2312" w:eastAsia="仿宋_GB2312"/>
          <w:sz w:val="32"/>
          <w:szCs w:val="32"/>
        </w:rPr>
        <w:t>了</w:t>
      </w:r>
      <w:r>
        <w:rPr>
          <w:rFonts w:hint="eastAsia" w:ascii="仿宋_GB2312" w:eastAsia="仿宋_GB2312"/>
          <w:sz w:val="32"/>
          <w:szCs w:val="32"/>
          <w:lang w:val="en-US" w:eastAsia="zh-CN"/>
        </w:rPr>
        <w:t>4.80%</w:t>
      </w:r>
      <w:r>
        <w:rPr>
          <w:rFonts w:hint="eastAsia" w:ascii="仿宋_GB2312" w:eastAsia="仿宋_GB2312"/>
          <w:sz w:val="32"/>
          <w:szCs w:val="32"/>
        </w:rPr>
        <w:t>，原因</w:t>
      </w:r>
      <w:r>
        <w:rPr>
          <w:rFonts w:hint="eastAsia" w:ascii="仿宋_GB2312" w:eastAsia="仿宋_GB2312"/>
          <w:sz w:val="32"/>
          <w:szCs w:val="32"/>
          <w:lang w:eastAsia="zh-CN"/>
        </w:rPr>
        <w:t>是压缩各项开支，减少基本支出</w:t>
      </w:r>
      <w:r>
        <w:rPr>
          <w:rFonts w:hint="eastAsia" w:ascii="仿宋_GB2312" w:eastAsia="仿宋_GB2312"/>
          <w:sz w:val="32"/>
          <w:szCs w:val="32"/>
          <w:lang w:val="en-US" w:eastAsia="zh-CN"/>
        </w:rPr>
        <w:t>；</w:t>
      </w:r>
      <w:r>
        <w:rPr>
          <w:rFonts w:hint="eastAsia" w:ascii="仿宋_GB2312" w:eastAsia="仿宋_GB2312"/>
          <w:sz w:val="32"/>
          <w:szCs w:val="32"/>
        </w:rPr>
        <w:t>专项业务工作经费预算</w:t>
      </w:r>
      <w:r>
        <w:rPr>
          <w:rFonts w:hint="eastAsia" w:ascii="仿宋_GB2312" w:eastAsia="仿宋_GB2312"/>
          <w:sz w:val="32"/>
          <w:szCs w:val="32"/>
          <w:lang w:val="en-US" w:eastAsia="zh-CN"/>
        </w:rPr>
        <w:t>51.8</w:t>
      </w:r>
      <w:r>
        <w:rPr>
          <w:rFonts w:hint="eastAsia" w:ascii="仿宋_GB2312" w:eastAsia="仿宋_GB2312"/>
          <w:sz w:val="32"/>
          <w:szCs w:val="32"/>
        </w:rPr>
        <w:t>万元，</w:t>
      </w:r>
      <w:r>
        <w:rPr>
          <w:rFonts w:hint="eastAsia" w:ascii="仿宋_GB2312" w:eastAsia="仿宋_GB2312"/>
          <w:sz w:val="32"/>
          <w:szCs w:val="32"/>
          <w:lang w:eastAsia="zh-CN"/>
        </w:rPr>
        <w:t>占总预算的</w:t>
      </w:r>
      <w:r>
        <w:rPr>
          <w:rFonts w:hint="eastAsia" w:ascii="仿宋_GB2312" w:eastAsia="仿宋_GB2312"/>
          <w:sz w:val="32"/>
          <w:szCs w:val="32"/>
          <w:lang w:val="en-US" w:eastAsia="zh-CN"/>
        </w:rPr>
        <w:t>7.19%，较上年预算51.84万元减少了0.08%，主要原因是压缩项目专项支出。</w:t>
      </w:r>
    </w:p>
    <w:p>
      <w:pPr>
        <w:spacing w:line="560" w:lineRule="exact"/>
        <w:ind w:firstLine="643" w:firstLineChars="200"/>
        <w:outlineLvl w:val="0"/>
        <w:rPr>
          <w:rFonts w:ascii="黑体" w:hAnsi="黑体" w:eastAsia="黑体" w:cs="黑体"/>
          <w:color w:val="333333"/>
          <w:kern w:val="0"/>
          <w:sz w:val="32"/>
          <w:szCs w:val="32"/>
          <w:shd w:val="clear" w:color="auto" w:fill="FFFFFF"/>
        </w:rPr>
      </w:pPr>
      <w:r>
        <w:rPr>
          <w:rFonts w:ascii="黑体" w:hAnsi="黑体" w:eastAsia="黑体" w:cs="黑体"/>
          <w:b/>
          <w:bCs/>
          <w:color w:val="333333"/>
          <w:kern w:val="0"/>
          <w:sz w:val="32"/>
          <w:szCs w:val="32"/>
          <w:shd w:val="clear" w:color="auto" w:fill="FFFFFF"/>
        </w:rPr>
        <w:t xml:space="preserve"> </w:t>
      </w:r>
      <w:bookmarkStart w:id="24" w:name="_Toc27407"/>
      <w:bookmarkStart w:id="25" w:name="_Toc21191"/>
      <w:bookmarkStart w:id="26" w:name="_Toc10435"/>
      <w:bookmarkStart w:id="27" w:name="_Toc30672"/>
      <w:r>
        <w:rPr>
          <w:rFonts w:hint="eastAsia" w:ascii="黑体" w:hAnsi="黑体" w:eastAsia="黑体" w:cs="黑体"/>
          <w:b/>
          <w:bCs/>
          <w:color w:val="333333"/>
          <w:kern w:val="0"/>
          <w:sz w:val="32"/>
          <w:szCs w:val="32"/>
          <w:shd w:val="clear" w:color="auto" w:fill="FFFFFF"/>
          <w:lang w:eastAsia="zh-CN"/>
        </w:rPr>
        <w:t>六</w:t>
      </w:r>
      <w:r>
        <w:rPr>
          <w:rFonts w:hint="eastAsia" w:ascii="黑体" w:hAnsi="黑体" w:eastAsia="黑体" w:cs="黑体"/>
          <w:b/>
          <w:bCs/>
          <w:color w:val="333333"/>
          <w:kern w:val="0"/>
          <w:sz w:val="32"/>
          <w:szCs w:val="32"/>
          <w:shd w:val="clear" w:color="auto" w:fill="FFFFFF"/>
        </w:rPr>
        <w:t>、“三公”经费预算</w:t>
      </w:r>
      <w:bookmarkEnd w:id="24"/>
      <w:bookmarkEnd w:id="25"/>
      <w:bookmarkEnd w:id="26"/>
      <w:bookmarkEnd w:id="27"/>
      <w:r>
        <w:rPr>
          <w:rFonts w:ascii="黑体" w:hAnsi="黑体" w:eastAsia="黑体" w:cs="黑体"/>
          <w:color w:val="333333"/>
          <w:kern w:val="0"/>
          <w:sz w:val="32"/>
          <w:szCs w:val="32"/>
          <w:shd w:val="clear" w:color="auto" w:fill="FFFFFF"/>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本年度三公经费预算安排支出为</w:t>
      </w:r>
      <w:r>
        <w:rPr>
          <w:rFonts w:hint="eastAsia" w:ascii="仿宋_GB2312" w:eastAsia="仿宋_GB2312"/>
          <w:sz w:val="32"/>
          <w:szCs w:val="32"/>
          <w:lang w:val="en-US" w:eastAsia="zh-CN"/>
        </w:rPr>
        <w:t>16.36</w:t>
      </w:r>
      <w:r>
        <w:rPr>
          <w:rFonts w:hint="eastAsia" w:ascii="仿宋_GB2312" w:eastAsia="仿宋_GB2312"/>
          <w:sz w:val="32"/>
          <w:szCs w:val="32"/>
        </w:rPr>
        <w:t>万元，其中：出国费</w:t>
      </w:r>
      <w:r>
        <w:rPr>
          <w:rFonts w:ascii="仿宋_GB2312" w:eastAsia="仿宋_GB2312"/>
          <w:sz w:val="32"/>
          <w:szCs w:val="32"/>
        </w:rPr>
        <w:t>0</w:t>
      </w:r>
      <w:r>
        <w:rPr>
          <w:rFonts w:hint="eastAsia" w:ascii="仿宋_GB2312" w:eastAsia="仿宋_GB2312"/>
          <w:sz w:val="32"/>
          <w:szCs w:val="32"/>
        </w:rPr>
        <w:t>万元，与上年持平，主要原因为未安排因公出国；公车购置费</w:t>
      </w:r>
      <w:r>
        <w:rPr>
          <w:rFonts w:ascii="仿宋_GB2312" w:eastAsia="仿宋_GB2312"/>
          <w:sz w:val="32"/>
          <w:szCs w:val="32"/>
        </w:rPr>
        <w:t>0</w:t>
      </w:r>
      <w:r>
        <w:rPr>
          <w:rFonts w:hint="eastAsia" w:ascii="仿宋_GB2312" w:eastAsia="仿宋_GB2312"/>
          <w:sz w:val="32"/>
          <w:szCs w:val="32"/>
        </w:rPr>
        <w:t>元，与上年持平；公务用车维护费支出</w:t>
      </w:r>
      <w:r>
        <w:rPr>
          <w:rFonts w:hint="eastAsia" w:ascii="仿宋_GB2312" w:eastAsia="仿宋_GB2312"/>
          <w:sz w:val="32"/>
          <w:szCs w:val="32"/>
          <w:lang w:val="en-US" w:eastAsia="zh-CN"/>
        </w:rPr>
        <w:t>15</w:t>
      </w:r>
      <w:r>
        <w:rPr>
          <w:rFonts w:hint="eastAsia" w:ascii="仿宋_GB2312" w:eastAsia="仿宋_GB2312"/>
          <w:sz w:val="32"/>
          <w:szCs w:val="32"/>
        </w:rPr>
        <w:t>万元，与上年</w:t>
      </w:r>
      <w:r>
        <w:rPr>
          <w:rFonts w:hint="eastAsia" w:ascii="仿宋_GB2312" w:eastAsia="仿宋_GB2312"/>
          <w:sz w:val="32"/>
          <w:szCs w:val="32"/>
          <w:lang w:eastAsia="zh-CN"/>
        </w:rPr>
        <w:t>持平。</w:t>
      </w:r>
      <w:r>
        <w:rPr>
          <w:rFonts w:hint="eastAsia" w:ascii="仿宋_GB2312" w:eastAsia="仿宋_GB2312"/>
          <w:sz w:val="32"/>
          <w:szCs w:val="32"/>
        </w:rPr>
        <w:t>公务接待费</w:t>
      </w:r>
      <w:r>
        <w:rPr>
          <w:rFonts w:hint="eastAsia" w:ascii="仿宋_GB2312" w:eastAsia="仿宋_GB2312"/>
          <w:sz w:val="32"/>
          <w:szCs w:val="32"/>
          <w:lang w:val="en-US" w:eastAsia="zh-CN"/>
        </w:rPr>
        <w:t>1.36</w:t>
      </w:r>
      <w:r>
        <w:rPr>
          <w:rFonts w:hint="eastAsia" w:ascii="仿宋_GB2312" w:eastAsia="仿宋_GB2312"/>
          <w:sz w:val="32"/>
          <w:szCs w:val="32"/>
        </w:rPr>
        <w:t>万元，</w:t>
      </w:r>
      <w:r>
        <w:rPr>
          <w:rFonts w:hint="eastAsia" w:ascii="仿宋_GB2312" w:eastAsia="仿宋_GB2312"/>
          <w:sz w:val="32"/>
          <w:szCs w:val="32"/>
          <w:lang w:eastAsia="zh-CN"/>
        </w:rPr>
        <w:t>较上年增加</w:t>
      </w:r>
      <w:r>
        <w:rPr>
          <w:rFonts w:hint="eastAsia" w:ascii="仿宋_GB2312" w:eastAsia="仿宋_GB2312"/>
          <w:sz w:val="32"/>
          <w:szCs w:val="32"/>
        </w:rPr>
        <w:t>，</w:t>
      </w:r>
      <w:r>
        <w:rPr>
          <w:rFonts w:hint="eastAsia" w:ascii="仿宋_GB2312" w:eastAsia="仿宋_GB2312"/>
          <w:sz w:val="32"/>
          <w:szCs w:val="32"/>
          <w:lang w:val="en-US" w:eastAsia="zh-CN"/>
        </w:rPr>
        <w:t>主要原因是本年度上级督导检查增加。</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28" w:name="_Toc19028"/>
      <w:bookmarkStart w:id="29" w:name="_Toc8757"/>
      <w:bookmarkStart w:id="30" w:name="_Toc24319"/>
      <w:bookmarkStart w:id="31" w:name="_Toc3294"/>
      <w:r>
        <w:rPr>
          <w:rFonts w:hint="eastAsia" w:ascii="黑体" w:hAnsi="黑体" w:eastAsia="黑体" w:cs="黑体"/>
          <w:b/>
          <w:bCs/>
          <w:color w:val="333333"/>
          <w:kern w:val="0"/>
          <w:sz w:val="32"/>
          <w:szCs w:val="32"/>
          <w:shd w:val="clear" w:color="auto" w:fill="FFFFFF"/>
          <w:lang w:val="en-US" w:eastAsia="zh-CN" w:bidi="ar"/>
        </w:rPr>
        <w:t>七、政府性基金预算收支情况说明</w:t>
      </w:r>
      <w:bookmarkEnd w:id="28"/>
      <w:bookmarkEnd w:id="29"/>
      <w:bookmarkEnd w:id="30"/>
      <w:bookmarkEnd w:id="31"/>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b/>
          <w:bCs/>
          <w:color w:val="333333"/>
          <w:kern w:val="0"/>
          <w:sz w:val="32"/>
          <w:szCs w:val="32"/>
          <w:shd w:val="clear" w:color="auto" w:fill="FFFFFF"/>
          <w:lang w:val="en-US" w:eastAsia="zh-CN" w:bidi="ar"/>
        </w:rPr>
      </w:pPr>
      <w:bookmarkStart w:id="32" w:name="_Toc6125"/>
      <w:bookmarkStart w:id="33" w:name="_Toc18265"/>
      <w:bookmarkStart w:id="34" w:name="_Toc22962"/>
      <w:bookmarkStart w:id="35" w:name="_Toc15268"/>
      <w:r>
        <w:rPr>
          <w:rFonts w:hint="eastAsia" w:ascii="黑体" w:hAnsi="黑体" w:eastAsia="黑体" w:cs="黑体"/>
          <w:b/>
          <w:bCs/>
          <w:color w:val="333333"/>
          <w:kern w:val="0"/>
          <w:sz w:val="32"/>
          <w:szCs w:val="32"/>
          <w:shd w:val="clear" w:color="auto" w:fill="FFFFFF"/>
          <w:lang w:val="en-US" w:eastAsia="zh-CN" w:bidi="ar"/>
        </w:rPr>
        <w:t>八、国有资本经营预算收支情况说明</w:t>
      </w:r>
      <w:bookmarkEnd w:id="32"/>
      <w:bookmarkEnd w:id="33"/>
      <w:bookmarkEnd w:id="34"/>
      <w:bookmarkEnd w:id="35"/>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0"/>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w:t>
      </w:r>
      <w:bookmarkStart w:id="36" w:name="_Toc28056"/>
      <w:bookmarkStart w:id="37" w:name="_Toc19867"/>
      <w:bookmarkStart w:id="38" w:name="_Toc28046"/>
      <w:bookmarkStart w:id="39" w:name="_Toc20277"/>
      <w:r>
        <w:rPr>
          <w:rFonts w:hint="eastAsia" w:ascii="黑体" w:hAnsi="黑体" w:eastAsia="黑体" w:cs="黑体"/>
          <w:b/>
          <w:bCs/>
          <w:color w:val="333333"/>
          <w:kern w:val="0"/>
          <w:sz w:val="32"/>
          <w:szCs w:val="32"/>
          <w:shd w:val="clear" w:color="auto" w:fill="FFFFFF"/>
          <w:lang w:val="en-US" w:eastAsia="zh-CN" w:bidi="ar"/>
        </w:rPr>
        <w:t>九、其他重要事项的情况说明</w:t>
      </w:r>
      <w:bookmarkEnd w:id="36"/>
      <w:bookmarkEnd w:id="37"/>
      <w:bookmarkEnd w:id="38"/>
      <w:bookmarkEnd w:id="39"/>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outlineLvl w:val="1"/>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40" w:name="_Toc28451"/>
      <w:bookmarkStart w:id="41" w:name="_Toc14278"/>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bookmarkEnd w:id="40"/>
      <w:bookmarkEnd w:id="41"/>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42" w:name="_Toc26893"/>
      <w:bookmarkStart w:id="43" w:name="_Toc19319"/>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bookmarkEnd w:id="42"/>
      <w:bookmarkEnd w:id="43"/>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截止2021年底，实际共有固定资产价值645.14</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57.45</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317.89</w:t>
      </w:r>
      <w:r>
        <w:rPr>
          <w:rFonts w:hint="eastAsia" w:ascii="仿宋_GB2312" w:eastAsia="仿宋_GB2312"/>
          <w:sz w:val="32"/>
          <w:szCs w:val="32"/>
          <w:lang w:eastAsia="zh-CN"/>
        </w:rPr>
        <w:t>万元，其他固定资产</w:t>
      </w:r>
      <w:r>
        <w:rPr>
          <w:rFonts w:hint="eastAsia" w:ascii="仿宋_GB2312" w:eastAsia="仿宋_GB2312"/>
          <w:sz w:val="32"/>
          <w:szCs w:val="32"/>
          <w:lang w:val="en-US" w:eastAsia="zh-CN"/>
        </w:rPr>
        <w:t>269.8万元。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outlineLvl w:val="1"/>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w:t>
      </w:r>
      <w:bookmarkStart w:id="44" w:name="_Toc11546"/>
      <w:bookmarkStart w:id="45" w:name="_Toc17064"/>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bookmarkEnd w:id="44"/>
      <w:bookmarkEnd w:id="4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ascii="黑体" w:hAnsi="黑体" w:eastAsia="黑体" w:cs="黑体"/>
          <w:b/>
          <w:bCs/>
          <w:color w:val="333333"/>
          <w:kern w:val="0"/>
          <w:sz w:val="32"/>
          <w:szCs w:val="32"/>
          <w:shd w:val="clear" w:color="auto" w:fill="FFFFFF"/>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spacing w:line="560" w:lineRule="exact"/>
        <w:rPr>
          <w:rFonts w:ascii="仿宋_GB2312" w:eastAsia="仿宋_GB2312"/>
          <w:sz w:val="32"/>
          <w:szCs w:val="32"/>
        </w:rPr>
      </w:pPr>
      <w:r>
        <w:rPr>
          <w:rFonts w:ascii="黑体" w:hAnsi="黑体" w:eastAsia="黑体" w:cs="黑体"/>
          <w:b/>
          <w:bCs/>
          <w:color w:val="333333"/>
          <w:kern w:val="0"/>
          <w:sz w:val="32"/>
          <w:szCs w:val="32"/>
          <w:shd w:val="clear" w:color="auto" w:fill="FFFFFF"/>
        </w:rPr>
        <w:t xml:space="preserve"> </w:t>
      </w:r>
      <w:r>
        <w:rPr>
          <w:rFonts w:hint="eastAsia" w:ascii="黑体" w:hAnsi="黑体" w:eastAsia="黑体" w:cs="黑体"/>
          <w:b/>
          <w:bCs/>
          <w:color w:val="333333"/>
          <w:kern w:val="0"/>
          <w:sz w:val="32"/>
          <w:szCs w:val="32"/>
          <w:shd w:val="clear" w:color="auto" w:fill="FFFFFF"/>
          <w:lang w:val="en-US" w:eastAsia="zh-CN"/>
        </w:rPr>
        <w:t xml:space="preserve"> </w:t>
      </w:r>
      <w:r>
        <w:rPr>
          <w:rFonts w:hint="eastAsia" w:ascii="黑体" w:hAnsi="黑体" w:eastAsia="黑体" w:cs="黑体"/>
          <w:b/>
          <w:bCs/>
          <w:color w:val="333333"/>
          <w:kern w:val="0"/>
          <w:sz w:val="32"/>
          <w:szCs w:val="32"/>
          <w:shd w:val="clear" w:color="auto" w:fill="FFFFFF"/>
          <w:lang w:eastAsia="zh-CN"/>
        </w:rPr>
        <w:t>十、</w:t>
      </w:r>
      <w:r>
        <w:rPr>
          <w:rFonts w:hint="eastAsia" w:ascii="黑体" w:hAnsi="黑体" w:eastAsia="黑体" w:cs="黑体"/>
          <w:b/>
          <w:bCs/>
          <w:color w:val="333333"/>
          <w:kern w:val="0"/>
          <w:sz w:val="32"/>
          <w:szCs w:val="32"/>
          <w:shd w:val="clear" w:color="auto" w:fill="FFFFFF"/>
        </w:rPr>
        <w:t>名词解释</w:t>
      </w:r>
      <w:r>
        <w:rPr>
          <w:rFonts w:ascii="黑体" w:hAnsi="黑体" w:eastAsia="黑体" w:cs="黑体"/>
          <w:color w:val="333333"/>
          <w:kern w:val="0"/>
          <w:sz w:val="32"/>
          <w:szCs w:val="32"/>
          <w:shd w:val="clear" w:color="auto" w:fill="FFFFFF"/>
        </w:rPr>
        <w:t xml:space="preserve"> </w:t>
      </w:r>
      <w:r>
        <w:rPr>
          <w:rFonts w:ascii="宋体" w:cs="宋体"/>
          <w:sz w:val="28"/>
          <w:szCs w:val="28"/>
        </w:rPr>
        <w:br w:type="textWrapping"/>
      </w:r>
      <w:r>
        <w:rPr>
          <w:rFonts w:hint="eastAsia" w:ascii="宋体" w:hAnsi="宋体" w:cs="宋体"/>
          <w:sz w:val="28"/>
          <w:szCs w:val="28"/>
        </w:rPr>
        <w:t>　</w:t>
      </w:r>
      <w:r>
        <w:rPr>
          <w:rFonts w:hint="eastAsia" w:ascii="仿宋_GB2312" w:eastAsia="仿宋_GB2312"/>
          <w:sz w:val="32"/>
          <w:szCs w:val="32"/>
        </w:rPr>
        <w:t>　</w:t>
      </w:r>
      <w:r>
        <w:rPr>
          <w:rFonts w:ascii="仿宋_GB2312" w:eastAsia="仿宋_GB2312"/>
          <w:sz w:val="32"/>
          <w:szCs w:val="32"/>
        </w:rPr>
        <w:t>1.</w:t>
      </w:r>
      <w:r>
        <w:rPr>
          <w:rFonts w:hint="eastAsia" w:ascii="仿宋_GB2312" w:eastAsia="仿宋_GB2312"/>
          <w:sz w:val="32"/>
          <w:szCs w:val="32"/>
        </w:rPr>
        <w:t>财政拨款收入：指财政部门核拨给单位的财政预算资金。</w:t>
      </w:r>
      <w:r>
        <w:rPr>
          <w:rFonts w:ascii="仿宋_GB2312" w:eastAsia="仿宋_GB2312"/>
          <w:sz w:val="32"/>
          <w:szCs w:val="32"/>
        </w:rPr>
        <w:t xml:space="preserve"> </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2.</w:t>
      </w:r>
      <w:r>
        <w:rPr>
          <w:rFonts w:hint="eastAsia" w:ascii="仿宋_GB2312" w:eastAsia="仿宋_GB2312"/>
          <w:sz w:val="32"/>
          <w:szCs w:val="32"/>
        </w:rPr>
        <w:t>其他收入：指除上述财政部门拨付单位以外的收入。</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基本支出：指为保障单位机关正常运转、完成日常工作任务而发生的人员支出和公用支出。</w:t>
      </w:r>
      <w:r>
        <w:rPr>
          <w:rFonts w:ascii="仿宋_GB2312" w:eastAsia="仿宋_GB2312"/>
          <w:sz w:val="32"/>
          <w:szCs w:val="32"/>
        </w:rPr>
        <w:t xml:space="preserve"> </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4.</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r>
        <w:rPr>
          <w:rFonts w:ascii="仿宋_GB2312" w:eastAsia="仿宋_GB2312"/>
          <w:sz w:val="32"/>
          <w:szCs w:val="32"/>
        </w:rPr>
        <w:br w:type="textWrapping"/>
      </w:r>
      <w:r>
        <w:rPr>
          <w:rFonts w:hint="eastAsia" w:ascii="仿宋_GB2312" w:eastAsia="仿宋_GB2312"/>
          <w:sz w:val="32"/>
          <w:szCs w:val="32"/>
        </w:rPr>
        <w:t>　</w:t>
      </w:r>
      <w:r>
        <w:rPr>
          <w:rFonts w:ascii="仿宋_GB2312" w:eastAsia="仿宋_GB2312"/>
          <w:sz w:val="32"/>
          <w:szCs w:val="32"/>
        </w:rPr>
        <w:t xml:space="preserve">  5</w:t>
      </w:r>
      <w:r>
        <w:rPr>
          <w:rFonts w:hint="eastAsia" w:ascii="仿宋_GB2312" w:eastAsia="仿宋_GB2312"/>
          <w:sz w:val="32"/>
          <w:szCs w:val="32"/>
        </w:rPr>
        <w:t>、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仿宋_GB2312" w:eastAsia="仿宋_GB2312"/>
          <w:sz w:val="32"/>
          <w:szCs w:val="32"/>
        </w:rPr>
        <w:t xml:space="preserve"> </w:t>
      </w:r>
    </w:p>
    <w:p>
      <w:pPr>
        <w:spacing w:line="560" w:lineRule="exact"/>
        <w:ind w:firstLine="640" w:firstLineChars="200"/>
        <w:rPr>
          <w:rFonts w:ascii="仿宋_GB2312" w:eastAsia="仿宋_GB2312"/>
          <w:sz w:val="32"/>
          <w:szCs w:val="32"/>
        </w:rPr>
      </w:pPr>
    </w:p>
    <w:p>
      <w:pPr>
        <w:spacing w:line="560" w:lineRule="exact"/>
        <w:ind w:firstLine="5920" w:firstLineChars="1850"/>
        <w:jc w:val="both"/>
        <w:rPr>
          <w:rFonts w:ascii="仿宋_GB2312" w:eastAsia="仿宋_GB2312"/>
          <w:sz w:val="32"/>
          <w:szCs w:val="32"/>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4</w:t>
    </w:r>
    <w:r>
      <w:rPr>
        <w:rStyle w:val="12"/>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8F6E7D"/>
    <w:multiLevelType w:val="singleLevel"/>
    <w:tmpl w:val="108F6E7D"/>
    <w:lvl w:ilvl="0" w:tentative="0">
      <w:start w:val="1"/>
      <w:numFmt w:val="decimal"/>
      <w:suff w:val="nothing"/>
      <w:lvlText w:val="%1、"/>
      <w:lvlJc w:val="left"/>
    </w:lvl>
  </w:abstractNum>
  <w:abstractNum w:abstractNumId="1">
    <w:nsid w:val="5C3FF6E6"/>
    <w:multiLevelType w:val="singleLevel"/>
    <w:tmpl w:val="5C3FF6E6"/>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TUyNDljYmVlNTIzMTczZjE3Y2QwNWNkNmQ0ZmRhNDYifQ=="/>
  </w:docVars>
  <w:rsids>
    <w:rsidRoot w:val="10B92046"/>
    <w:rsid w:val="0035259A"/>
    <w:rsid w:val="00430DCB"/>
    <w:rsid w:val="004542C4"/>
    <w:rsid w:val="00535B36"/>
    <w:rsid w:val="00762F85"/>
    <w:rsid w:val="0087218C"/>
    <w:rsid w:val="009614B2"/>
    <w:rsid w:val="009B552A"/>
    <w:rsid w:val="009D3CCA"/>
    <w:rsid w:val="00A24EFF"/>
    <w:rsid w:val="00B22AE5"/>
    <w:rsid w:val="00B827AA"/>
    <w:rsid w:val="00D15E90"/>
    <w:rsid w:val="00D9199C"/>
    <w:rsid w:val="00EA2AF9"/>
    <w:rsid w:val="00EE3C24"/>
    <w:rsid w:val="00EF59D6"/>
    <w:rsid w:val="06C63277"/>
    <w:rsid w:val="072F6421"/>
    <w:rsid w:val="07FD016F"/>
    <w:rsid w:val="0800209D"/>
    <w:rsid w:val="092110CF"/>
    <w:rsid w:val="0C4760BB"/>
    <w:rsid w:val="0EDF40EE"/>
    <w:rsid w:val="100127C3"/>
    <w:rsid w:val="10174245"/>
    <w:rsid w:val="10B92046"/>
    <w:rsid w:val="13674B7A"/>
    <w:rsid w:val="1502281D"/>
    <w:rsid w:val="152A59C7"/>
    <w:rsid w:val="155E4BBD"/>
    <w:rsid w:val="163F35AE"/>
    <w:rsid w:val="16661690"/>
    <w:rsid w:val="16AB47E3"/>
    <w:rsid w:val="18870CA9"/>
    <w:rsid w:val="19FF4796"/>
    <w:rsid w:val="1B4C5278"/>
    <w:rsid w:val="1CE85864"/>
    <w:rsid w:val="1D710441"/>
    <w:rsid w:val="1D8D4C9A"/>
    <w:rsid w:val="20207AD8"/>
    <w:rsid w:val="21B56CCF"/>
    <w:rsid w:val="23E1458D"/>
    <w:rsid w:val="258E7025"/>
    <w:rsid w:val="28A75942"/>
    <w:rsid w:val="2AAF076C"/>
    <w:rsid w:val="2EBE2B7B"/>
    <w:rsid w:val="2ED77CF5"/>
    <w:rsid w:val="2FD5758D"/>
    <w:rsid w:val="317A5125"/>
    <w:rsid w:val="333C3679"/>
    <w:rsid w:val="336E19B2"/>
    <w:rsid w:val="36321AB2"/>
    <w:rsid w:val="366F3F94"/>
    <w:rsid w:val="37C86A42"/>
    <w:rsid w:val="39545D0B"/>
    <w:rsid w:val="3D5C2DDD"/>
    <w:rsid w:val="3E4966BC"/>
    <w:rsid w:val="46BB4DA1"/>
    <w:rsid w:val="47AD53B2"/>
    <w:rsid w:val="489A1DCA"/>
    <w:rsid w:val="489B58CB"/>
    <w:rsid w:val="48FB1946"/>
    <w:rsid w:val="495804A7"/>
    <w:rsid w:val="4B4B37CC"/>
    <w:rsid w:val="4D2E66D8"/>
    <w:rsid w:val="4D2F4168"/>
    <w:rsid w:val="4D715D51"/>
    <w:rsid w:val="4D732EC3"/>
    <w:rsid w:val="4D912502"/>
    <w:rsid w:val="4EB56257"/>
    <w:rsid w:val="4F2F19BC"/>
    <w:rsid w:val="52472FB7"/>
    <w:rsid w:val="524E1D0D"/>
    <w:rsid w:val="529F24CF"/>
    <w:rsid w:val="530677C3"/>
    <w:rsid w:val="54E65A27"/>
    <w:rsid w:val="55927232"/>
    <w:rsid w:val="567E7A97"/>
    <w:rsid w:val="57876851"/>
    <w:rsid w:val="59EE52F0"/>
    <w:rsid w:val="5ABE6554"/>
    <w:rsid w:val="5C116019"/>
    <w:rsid w:val="5C9B2C6C"/>
    <w:rsid w:val="5ED62129"/>
    <w:rsid w:val="5EE624A5"/>
    <w:rsid w:val="5F7E7AE6"/>
    <w:rsid w:val="611E301E"/>
    <w:rsid w:val="62706B8B"/>
    <w:rsid w:val="62AD08F0"/>
    <w:rsid w:val="685C7706"/>
    <w:rsid w:val="687925D8"/>
    <w:rsid w:val="6957323A"/>
    <w:rsid w:val="6C335580"/>
    <w:rsid w:val="714C6BC2"/>
    <w:rsid w:val="72445239"/>
    <w:rsid w:val="728B3B2C"/>
    <w:rsid w:val="72EA06E0"/>
    <w:rsid w:val="74B3205C"/>
    <w:rsid w:val="74F10AC4"/>
    <w:rsid w:val="74FC2498"/>
    <w:rsid w:val="766D1DF2"/>
    <w:rsid w:val="77844FC2"/>
    <w:rsid w:val="7A734A67"/>
    <w:rsid w:val="7B127155"/>
    <w:rsid w:val="7C817CA3"/>
    <w:rsid w:val="7CEA7F68"/>
    <w:rsid w:val="7DAD7DAB"/>
    <w:rsid w:val="7FC773E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qFormat/>
    <w:uiPriority w:val="99"/>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widowControl w:val="0"/>
      <w:spacing w:before="0" w:after="120"/>
      <w:ind w:left="420" w:leftChars="200" w:right="0" w:firstLine="420" w:firstLineChars="200"/>
      <w:jc w:val="both"/>
    </w:pPr>
    <w:rPr>
      <w:rFonts w:hint="eastAsia" w:ascii="Times New Roman" w:hAnsi="Times New Roman" w:eastAsia="宋体" w:cs="Times New Roman"/>
      <w:kern w:val="2"/>
      <w:sz w:val="21"/>
      <w:lang w:val="en-US" w:eastAsia="zh-CN"/>
    </w:rPr>
  </w:style>
  <w:style w:type="paragraph" w:styleId="3">
    <w:name w:val="Body Text Indent"/>
    <w:basedOn w:val="1"/>
    <w:next w:val="2"/>
    <w:unhideWhenUsed/>
    <w:qFormat/>
    <w:uiPriority w:val="99"/>
    <w:pPr>
      <w:widowControl w:val="0"/>
      <w:spacing w:before="0" w:after="120"/>
      <w:ind w:left="420" w:leftChars="200" w:right="0"/>
      <w:jc w:val="both"/>
    </w:pPr>
    <w:rPr>
      <w:rFonts w:hint="eastAsia" w:ascii="Times New Roman" w:hAnsi="Times New Roman" w:eastAsia="宋体" w:cs="Times New Roman"/>
      <w:kern w:val="2"/>
      <w:sz w:val="21"/>
      <w:lang w:val="en-US" w:eastAsia="zh-CN"/>
    </w:rPr>
  </w:style>
  <w:style w:type="paragraph" w:styleId="5">
    <w:name w:val="Body Text"/>
    <w:basedOn w:val="1"/>
    <w:link w:val="13"/>
    <w:qFormat/>
    <w:uiPriority w:val="99"/>
    <w:pPr>
      <w:spacing w:beforeLines="30"/>
    </w:pPr>
    <w:rPr>
      <w:rFonts w:ascii="仿宋_GB2312" w:eastAsia="仿宋_GB2312"/>
      <w:sz w:val="30"/>
    </w:rPr>
  </w:style>
  <w:style w:type="paragraph" w:styleId="6">
    <w:name w:val="Balloon Text"/>
    <w:basedOn w:val="1"/>
    <w:link w:val="15"/>
    <w:semiHidden/>
    <w:qFormat/>
    <w:uiPriority w:val="99"/>
    <w:rPr>
      <w:sz w:val="18"/>
      <w:szCs w:val="18"/>
    </w:rPr>
  </w:style>
  <w:style w:type="paragraph" w:styleId="7">
    <w:name w:val="footer"/>
    <w:basedOn w:val="1"/>
    <w:link w:val="14"/>
    <w:qFormat/>
    <w:uiPriority w:val="99"/>
    <w:pPr>
      <w:tabs>
        <w:tab w:val="center" w:pos="4153"/>
        <w:tab w:val="right" w:pos="8306"/>
      </w:tabs>
      <w:snapToGrid w:val="0"/>
      <w:jc w:val="left"/>
    </w:pPr>
    <w:rPr>
      <w:sz w:val="18"/>
      <w:szCs w:val="18"/>
    </w:rPr>
  </w:style>
  <w:style w:type="paragraph" w:styleId="8">
    <w:name w:val="toc 1"/>
    <w:basedOn w:val="1"/>
    <w:next w:val="1"/>
    <w:locked/>
    <w:uiPriority w:val="0"/>
  </w:style>
  <w:style w:type="paragraph" w:styleId="9">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12">
    <w:name w:val="page number"/>
    <w:basedOn w:val="11"/>
    <w:qFormat/>
    <w:uiPriority w:val="99"/>
    <w:rPr>
      <w:rFonts w:cs="Times New Roman"/>
    </w:rPr>
  </w:style>
  <w:style w:type="character" w:customStyle="1" w:styleId="13">
    <w:name w:val="Body Text Char"/>
    <w:basedOn w:val="11"/>
    <w:link w:val="5"/>
    <w:semiHidden/>
    <w:qFormat/>
    <w:locked/>
    <w:uiPriority w:val="99"/>
    <w:rPr>
      <w:rFonts w:cs="Times New Roman"/>
      <w:sz w:val="24"/>
      <w:szCs w:val="24"/>
    </w:rPr>
  </w:style>
  <w:style w:type="character" w:customStyle="1" w:styleId="14">
    <w:name w:val="Footer Char"/>
    <w:basedOn w:val="11"/>
    <w:link w:val="7"/>
    <w:semiHidden/>
    <w:qFormat/>
    <w:locked/>
    <w:uiPriority w:val="99"/>
    <w:rPr>
      <w:rFonts w:cs="Times New Roman"/>
      <w:sz w:val="18"/>
      <w:szCs w:val="18"/>
    </w:rPr>
  </w:style>
  <w:style w:type="character" w:customStyle="1" w:styleId="15">
    <w:name w:val="Balloon Text Char"/>
    <w:basedOn w:val="11"/>
    <w:link w:val="6"/>
    <w:semiHidden/>
    <w:qFormat/>
    <w:uiPriority w:val="99"/>
    <w:rPr>
      <w:sz w:val="0"/>
      <w:szCs w:val="0"/>
    </w:rPr>
  </w:style>
  <w:style w:type="paragraph" w:customStyle="1" w:styleId="16">
    <w:name w:val="WPSOffice手动目录 1"/>
    <w:uiPriority w:val="0"/>
    <w:pPr>
      <w:ind w:leftChars="0"/>
    </w:pPr>
    <w:rPr>
      <w:sz w:val="20"/>
      <w:szCs w:val="20"/>
    </w:rPr>
  </w:style>
  <w:style w:type="paragraph" w:customStyle="1" w:styleId="17">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4</Pages>
  <Words>273</Words>
  <Characters>1562</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cp:lastPrinted>2018-03-04T07:18:00Z</cp:lastPrinted>
  <dcterms:modified xsi:type="dcterms:W3CDTF">2023-10-25T03:39:21Z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AF731B863C744146A9B464F7315141A4</vt:lpwstr>
  </property>
</Properties>
</file>