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Arial"/>
          <w:kern w:val="2"/>
          <w:sz w:val="21"/>
          <w:szCs w:val="24"/>
          <w:lang w:val="en-US" w:eastAsia="zh-CN" w:bidi="ar-SA"/>
        </w:rPr>
        <w:id w:val="147476745"/>
        <w15:color w:val="DBDBDB"/>
        <w:docPartObj>
          <w:docPartGallery w:val="Table of Contents"/>
          <w:docPartUnique/>
        </w:docPartObj>
      </w:sdtPr>
      <w:sdtEndPr>
        <w:rPr>
          <w:rFonts w:hint="eastAsia" w:ascii="仿宋_GB2312" w:hAnsi="Calibri" w:eastAsia="仿宋_GB2312" w:cs="Arial"/>
          <w:kern w:val="2"/>
          <w:sz w:val="21"/>
          <w:szCs w:val="32"/>
          <w:lang w:val="en-US" w:eastAsia="zh-CN" w:bidi="ar-SA"/>
        </w:rPr>
      </w:sdtEndPr>
      <w:sdtContent>
        <w:p>
          <w:pPr>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pPr>
          <w:r>
            <w:rPr>
              <w:rFonts w:ascii="宋体" w:hAnsi="宋体" w:eastAsia="宋体"/>
              <w:sz w:val="21"/>
            </w:rPr>
            <w:t>目录</w:t>
          </w:r>
          <w:bookmarkStart w:id="13" w:name="_GoBack"/>
          <w:bookmarkEnd w:id="13"/>
        </w:p>
        <w:p>
          <w:pPr>
            <w:pStyle w:val="15"/>
            <w:keepNext w:val="0"/>
            <w:keepLines w:val="0"/>
            <w:pageBreakBefore w:val="0"/>
            <w:tabs>
              <w:tab w:val="right" w:leader="dot" w:pos="8844"/>
            </w:tabs>
            <w:kinsoku/>
            <w:wordWrap/>
            <w:overflowPunct/>
            <w:topLinePunct w:val="0"/>
            <w:autoSpaceDE/>
            <w:autoSpaceDN/>
            <w:bidi w:val="0"/>
            <w:adjustRightInd/>
            <w:snapToGrid/>
            <w:spacing w:line="560" w:lineRule="exact"/>
            <w:textAlignment w:val="auto"/>
          </w:pPr>
          <w:r>
            <w:rPr>
              <w:rFonts w:hint="eastAsia" w:ascii="仿宋_GB2312" w:eastAsia="仿宋_GB2312"/>
              <w:sz w:val="32"/>
              <w:szCs w:val="32"/>
            </w:rPr>
            <w:fldChar w:fldCharType="begin"/>
          </w:r>
          <w:r>
            <w:rPr>
              <w:rFonts w:hint="eastAsia" w:ascii="仿宋_GB2312" w:eastAsia="仿宋_GB2312"/>
              <w:sz w:val="32"/>
              <w:szCs w:val="32"/>
            </w:rPr>
            <w:instrText xml:space="preserve">TOC \o "1-1" \h \u </w:instrText>
          </w:r>
          <w:r>
            <w:rPr>
              <w:rFonts w:hint="eastAsia" w:ascii="仿宋_GB2312" w:eastAsia="仿宋_GB2312"/>
              <w:sz w:val="32"/>
              <w:szCs w:val="32"/>
            </w:rPr>
            <w:fldChar w:fldCharType="separate"/>
          </w:r>
          <w:r>
            <w:rPr>
              <w:rFonts w:hint="eastAsia" w:ascii="仿宋_GB2312" w:eastAsia="仿宋_GB2312"/>
              <w:szCs w:val="32"/>
            </w:rPr>
            <w:fldChar w:fldCharType="begin"/>
          </w:r>
          <w:r>
            <w:rPr>
              <w:rFonts w:hint="eastAsia" w:ascii="仿宋_GB2312" w:eastAsia="仿宋_GB2312"/>
              <w:szCs w:val="32"/>
            </w:rPr>
            <w:instrText xml:space="preserve"> HYPERLINK \l _Toc890 </w:instrText>
          </w:r>
          <w:r>
            <w:rPr>
              <w:rFonts w:hint="eastAsia" w:ascii="仿宋_GB2312" w:eastAsia="仿宋_GB2312"/>
              <w:szCs w:val="32"/>
            </w:rPr>
            <w:fldChar w:fldCharType="separate"/>
          </w:r>
          <w:r>
            <w:rPr>
              <w:rFonts w:hint="eastAsia" w:ascii="方正小标宋简体" w:eastAsia="方正小标宋简体" w:cs="方正小标宋简体"/>
              <w:bCs/>
              <w:szCs w:val="44"/>
              <w:lang w:eastAsia="zh-CN"/>
            </w:rPr>
            <w:t>红原县疾病预防控制中心</w:t>
          </w:r>
          <w:r>
            <w:tab/>
          </w:r>
          <w:r>
            <w:fldChar w:fldCharType="begin"/>
          </w:r>
          <w:r>
            <w:instrText xml:space="preserve"> PAGEREF _Toc890 \h </w:instrText>
          </w:r>
          <w:r>
            <w:fldChar w:fldCharType="separate"/>
          </w:r>
          <w:r>
            <w:t>2</w:t>
          </w:r>
          <w:r>
            <w:fldChar w:fldCharType="end"/>
          </w:r>
          <w:r>
            <w:rPr>
              <w:rFonts w:hint="eastAsia" w:ascii="仿宋_GB2312" w:eastAsia="仿宋_GB2312"/>
              <w:szCs w:val="32"/>
            </w:rPr>
            <w:fldChar w:fldCharType="end"/>
          </w:r>
        </w:p>
        <w:p>
          <w:pPr>
            <w:pStyle w:val="15"/>
            <w:keepNext w:val="0"/>
            <w:keepLines w:val="0"/>
            <w:pageBreakBefore w:val="0"/>
            <w:tabs>
              <w:tab w:val="right" w:leader="dot" w:pos="8844"/>
            </w:tabs>
            <w:kinsoku/>
            <w:wordWrap/>
            <w:overflowPunct/>
            <w:topLinePunct w:val="0"/>
            <w:autoSpaceDE/>
            <w:autoSpaceDN/>
            <w:bidi w:val="0"/>
            <w:adjustRightInd/>
            <w:snapToGrid/>
            <w:spacing w:line="560" w:lineRule="exact"/>
            <w:textAlignment w:val="auto"/>
          </w:pPr>
          <w:r>
            <w:rPr>
              <w:rFonts w:hint="eastAsia" w:ascii="仿宋_GB2312" w:eastAsia="仿宋_GB2312"/>
              <w:szCs w:val="32"/>
            </w:rPr>
            <w:fldChar w:fldCharType="begin"/>
          </w:r>
          <w:r>
            <w:rPr>
              <w:rFonts w:hint="eastAsia" w:ascii="仿宋_GB2312" w:eastAsia="仿宋_GB2312"/>
              <w:szCs w:val="32"/>
            </w:rPr>
            <w:instrText xml:space="preserve"> HYPERLINK \l _Toc23939 </w:instrText>
          </w:r>
          <w:r>
            <w:rPr>
              <w:rFonts w:hint="eastAsia" w:ascii="仿宋_GB2312" w:eastAsia="仿宋_GB2312"/>
              <w:szCs w:val="32"/>
            </w:rPr>
            <w:fldChar w:fldCharType="separate"/>
          </w:r>
          <w:r>
            <w:rPr>
              <w:rFonts w:hint="eastAsia" w:ascii="黑体" w:eastAsia="黑体"/>
              <w:szCs w:val="32"/>
            </w:rPr>
            <w:t>一、基本职能及主要工作</w:t>
          </w:r>
          <w:r>
            <w:tab/>
          </w:r>
          <w:r>
            <w:fldChar w:fldCharType="begin"/>
          </w:r>
          <w:r>
            <w:instrText xml:space="preserve"> PAGEREF _Toc23939 \h </w:instrText>
          </w:r>
          <w:r>
            <w:fldChar w:fldCharType="separate"/>
          </w:r>
          <w:r>
            <w:t>2</w:t>
          </w:r>
          <w:r>
            <w:fldChar w:fldCharType="end"/>
          </w:r>
          <w:r>
            <w:rPr>
              <w:rFonts w:hint="eastAsia" w:ascii="仿宋_GB2312" w:eastAsia="仿宋_GB2312"/>
              <w:szCs w:val="32"/>
            </w:rPr>
            <w:fldChar w:fldCharType="end"/>
          </w:r>
        </w:p>
        <w:p>
          <w:pPr>
            <w:pStyle w:val="15"/>
            <w:keepNext w:val="0"/>
            <w:keepLines w:val="0"/>
            <w:pageBreakBefore w:val="0"/>
            <w:tabs>
              <w:tab w:val="right" w:leader="dot" w:pos="8844"/>
            </w:tabs>
            <w:kinsoku/>
            <w:wordWrap/>
            <w:overflowPunct/>
            <w:topLinePunct w:val="0"/>
            <w:autoSpaceDE/>
            <w:autoSpaceDN/>
            <w:bidi w:val="0"/>
            <w:adjustRightInd/>
            <w:snapToGrid/>
            <w:spacing w:line="560" w:lineRule="exact"/>
            <w:textAlignment w:val="auto"/>
          </w:pPr>
          <w:r>
            <w:rPr>
              <w:rFonts w:hint="eastAsia" w:ascii="仿宋_GB2312" w:eastAsia="仿宋_GB2312"/>
              <w:szCs w:val="32"/>
            </w:rPr>
            <w:fldChar w:fldCharType="begin"/>
          </w:r>
          <w:r>
            <w:rPr>
              <w:rFonts w:hint="eastAsia" w:ascii="仿宋_GB2312" w:eastAsia="仿宋_GB2312"/>
              <w:szCs w:val="32"/>
            </w:rPr>
            <w:instrText xml:space="preserve"> HYPERLINK \l _Toc21712 </w:instrText>
          </w:r>
          <w:r>
            <w:rPr>
              <w:rFonts w:hint="eastAsia" w:ascii="仿宋_GB2312" w:eastAsia="仿宋_GB2312"/>
              <w:szCs w:val="32"/>
            </w:rPr>
            <w:fldChar w:fldCharType="separate"/>
          </w:r>
          <w:r>
            <w:rPr>
              <w:rFonts w:hint="eastAsia" w:ascii="黑体" w:eastAsia="黑体" w:cs="仿宋_GB2312"/>
              <w:szCs w:val="32"/>
              <w:lang w:eastAsia="zh-CN"/>
            </w:rPr>
            <w:t>二</w:t>
          </w:r>
          <w:r>
            <w:rPr>
              <w:rFonts w:hint="eastAsia" w:ascii="黑体" w:eastAsia="黑体" w:cs="仿宋_GB2312"/>
              <w:szCs w:val="32"/>
            </w:rPr>
            <w:t>、</w:t>
          </w:r>
          <w:r>
            <w:rPr>
              <w:rFonts w:ascii="黑体" w:eastAsia="黑体" w:cs="仿宋_GB2312"/>
              <w:szCs w:val="32"/>
            </w:rPr>
            <w:t>工作计划</w:t>
          </w:r>
          <w:r>
            <w:tab/>
          </w:r>
          <w:r>
            <w:fldChar w:fldCharType="begin"/>
          </w:r>
          <w:r>
            <w:instrText xml:space="preserve"> PAGEREF _Toc21712 \h </w:instrText>
          </w:r>
          <w:r>
            <w:fldChar w:fldCharType="separate"/>
          </w:r>
          <w:r>
            <w:t>3</w:t>
          </w:r>
          <w:r>
            <w:fldChar w:fldCharType="end"/>
          </w:r>
          <w:r>
            <w:rPr>
              <w:rFonts w:hint="eastAsia" w:ascii="仿宋_GB2312" w:eastAsia="仿宋_GB2312"/>
              <w:szCs w:val="32"/>
            </w:rPr>
            <w:fldChar w:fldCharType="end"/>
          </w:r>
        </w:p>
        <w:p>
          <w:pPr>
            <w:pStyle w:val="15"/>
            <w:keepNext w:val="0"/>
            <w:keepLines w:val="0"/>
            <w:pageBreakBefore w:val="0"/>
            <w:widowControl/>
            <w:tabs>
              <w:tab w:val="right" w:leader="dot" w:pos="8844"/>
            </w:tabs>
            <w:kinsoku/>
            <w:wordWrap/>
            <w:overflowPunct/>
            <w:topLinePunct w:val="0"/>
            <w:autoSpaceDE/>
            <w:autoSpaceDN/>
            <w:bidi w:val="0"/>
            <w:adjustRightInd/>
            <w:snapToGrid/>
            <w:spacing w:line="560" w:lineRule="exact"/>
            <w:textAlignment w:val="auto"/>
          </w:pPr>
          <w:r>
            <w:rPr>
              <w:rFonts w:hint="eastAsia" w:ascii="仿宋_GB2312" w:eastAsia="仿宋_GB2312"/>
              <w:szCs w:val="32"/>
            </w:rPr>
            <w:fldChar w:fldCharType="begin"/>
          </w:r>
          <w:r>
            <w:rPr>
              <w:rFonts w:hint="eastAsia" w:ascii="仿宋_GB2312" w:eastAsia="仿宋_GB2312"/>
              <w:szCs w:val="32"/>
            </w:rPr>
            <w:instrText xml:space="preserve"> HYPERLINK \l _Toc12382 </w:instrText>
          </w:r>
          <w:r>
            <w:rPr>
              <w:rFonts w:hint="eastAsia" w:ascii="仿宋_GB2312" w:eastAsia="仿宋_GB2312"/>
              <w:szCs w:val="32"/>
            </w:rPr>
            <w:fldChar w:fldCharType="separate"/>
          </w:r>
          <w:r>
            <w:rPr>
              <w:rFonts w:hint="eastAsia" w:ascii="黑体" w:eastAsia="黑体" w:cs="仿宋_GB2312"/>
              <w:szCs w:val="32"/>
              <w:lang w:eastAsia="zh-CN"/>
            </w:rPr>
            <w:t>三</w:t>
          </w:r>
          <w:r>
            <w:rPr>
              <w:rFonts w:hint="eastAsia" w:ascii="黑体" w:eastAsia="黑体" w:cs="仿宋_GB2312"/>
              <w:szCs w:val="32"/>
            </w:rPr>
            <w:t>、主要措施</w:t>
          </w:r>
          <w:r>
            <w:tab/>
          </w:r>
          <w:r>
            <w:fldChar w:fldCharType="begin"/>
          </w:r>
          <w:r>
            <w:instrText xml:space="preserve"> PAGEREF _Toc12382 \h </w:instrText>
          </w:r>
          <w:r>
            <w:fldChar w:fldCharType="separate"/>
          </w:r>
          <w:r>
            <w:t>4</w:t>
          </w:r>
          <w:r>
            <w:fldChar w:fldCharType="end"/>
          </w:r>
          <w:r>
            <w:rPr>
              <w:rFonts w:hint="eastAsia" w:ascii="仿宋_GB2312" w:eastAsia="仿宋_GB2312"/>
              <w:szCs w:val="32"/>
            </w:rPr>
            <w:fldChar w:fldCharType="end"/>
          </w:r>
        </w:p>
        <w:p>
          <w:pPr>
            <w:pStyle w:val="15"/>
            <w:keepNext w:val="0"/>
            <w:keepLines w:val="0"/>
            <w:pageBreakBefore w:val="0"/>
            <w:tabs>
              <w:tab w:val="right" w:leader="dot" w:pos="8844"/>
            </w:tabs>
            <w:kinsoku/>
            <w:wordWrap/>
            <w:overflowPunct/>
            <w:topLinePunct w:val="0"/>
            <w:autoSpaceDE/>
            <w:autoSpaceDN/>
            <w:bidi w:val="0"/>
            <w:adjustRightInd/>
            <w:snapToGrid/>
            <w:spacing w:line="560" w:lineRule="exact"/>
            <w:textAlignment w:val="auto"/>
          </w:pPr>
          <w:r>
            <w:rPr>
              <w:rFonts w:hint="eastAsia" w:ascii="仿宋_GB2312" w:eastAsia="仿宋_GB2312"/>
              <w:szCs w:val="32"/>
            </w:rPr>
            <w:fldChar w:fldCharType="begin"/>
          </w:r>
          <w:r>
            <w:rPr>
              <w:rFonts w:hint="eastAsia" w:ascii="仿宋_GB2312" w:eastAsia="仿宋_GB2312"/>
              <w:szCs w:val="32"/>
            </w:rPr>
            <w:instrText xml:space="preserve"> HYPERLINK \l _Toc9284 </w:instrText>
          </w:r>
          <w:r>
            <w:rPr>
              <w:rFonts w:hint="eastAsia" w:ascii="仿宋_GB2312" w:eastAsia="仿宋_GB2312"/>
              <w:szCs w:val="32"/>
            </w:rPr>
            <w:fldChar w:fldCharType="separate"/>
          </w:r>
          <w:r>
            <w:rPr>
              <w:rFonts w:hint="eastAsia" w:ascii="黑体" w:eastAsia="黑体"/>
              <w:szCs w:val="32"/>
              <w:lang w:eastAsia="zh-CN"/>
            </w:rPr>
            <w:t>四</w:t>
          </w:r>
          <w:r>
            <w:rPr>
              <w:rFonts w:hint="eastAsia" w:ascii="黑体" w:eastAsia="黑体"/>
              <w:szCs w:val="32"/>
            </w:rPr>
            <w:t>、部门</w:t>
          </w:r>
          <w:r>
            <w:rPr>
              <w:rFonts w:hint="eastAsia" w:ascii="黑体" w:eastAsia="黑体"/>
              <w:szCs w:val="32"/>
              <w:lang w:eastAsia="zh-CN"/>
            </w:rPr>
            <w:t>预算单位构成</w:t>
          </w:r>
          <w:r>
            <w:tab/>
          </w:r>
          <w:r>
            <w:fldChar w:fldCharType="begin"/>
          </w:r>
          <w:r>
            <w:instrText xml:space="preserve"> PAGEREF _Toc9284 \h </w:instrText>
          </w:r>
          <w:r>
            <w:fldChar w:fldCharType="separate"/>
          </w:r>
          <w:r>
            <w:t>4</w:t>
          </w:r>
          <w:r>
            <w:fldChar w:fldCharType="end"/>
          </w:r>
          <w:r>
            <w:rPr>
              <w:rFonts w:hint="eastAsia" w:ascii="仿宋_GB2312" w:eastAsia="仿宋_GB2312"/>
              <w:szCs w:val="32"/>
            </w:rPr>
            <w:fldChar w:fldCharType="end"/>
          </w:r>
        </w:p>
        <w:p>
          <w:pPr>
            <w:pStyle w:val="15"/>
            <w:keepNext w:val="0"/>
            <w:keepLines w:val="0"/>
            <w:pageBreakBefore w:val="0"/>
            <w:tabs>
              <w:tab w:val="right" w:leader="dot" w:pos="8844"/>
            </w:tabs>
            <w:kinsoku/>
            <w:wordWrap/>
            <w:overflowPunct/>
            <w:topLinePunct w:val="0"/>
            <w:autoSpaceDE/>
            <w:autoSpaceDN/>
            <w:bidi w:val="0"/>
            <w:adjustRightInd/>
            <w:snapToGrid/>
            <w:spacing w:line="560" w:lineRule="exact"/>
            <w:textAlignment w:val="auto"/>
          </w:pPr>
          <w:r>
            <w:rPr>
              <w:rFonts w:hint="eastAsia" w:ascii="仿宋_GB2312" w:eastAsia="仿宋_GB2312"/>
              <w:szCs w:val="32"/>
            </w:rPr>
            <w:fldChar w:fldCharType="begin"/>
          </w:r>
          <w:r>
            <w:rPr>
              <w:rFonts w:hint="eastAsia" w:ascii="仿宋_GB2312" w:eastAsia="仿宋_GB2312"/>
              <w:szCs w:val="32"/>
            </w:rPr>
            <w:instrText xml:space="preserve"> HYPERLINK \l _Toc5143 </w:instrText>
          </w:r>
          <w:r>
            <w:rPr>
              <w:rFonts w:hint="eastAsia" w:ascii="仿宋_GB2312" w:eastAsia="仿宋_GB2312"/>
              <w:szCs w:val="32"/>
            </w:rPr>
            <w:fldChar w:fldCharType="separate"/>
          </w:r>
          <w:r>
            <w:rPr>
              <w:rFonts w:hint="eastAsia" w:ascii="黑体" w:eastAsia="黑体"/>
              <w:szCs w:val="32"/>
              <w:lang w:eastAsia="zh-CN"/>
            </w:rPr>
            <w:t>五</w:t>
          </w:r>
          <w:r>
            <w:rPr>
              <w:rFonts w:hint="eastAsia" w:ascii="黑体" w:eastAsia="黑体"/>
              <w:szCs w:val="32"/>
            </w:rPr>
            <w:t>、收支预算总体情况</w:t>
          </w:r>
          <w:r>
            <w:tab/>
          </w:r>
          <w:r>
            <w:fldChar w:fldCharType="begin"/>
          </w:r>
          <w:r>
            <w:instrText xml:space="preserve"> PAGEREF _Toc5143 \h </w:instrText>
          </w:r>
          <w:r>
            <w:fldChar w:fldCharType="separate"/>
          </w:r>
          <w:r>
            <w:t>4</w:t>
          </w:r>
          <w:r>
            <w:fldChar w:fldCharType="end"/>
          </w:r>
          <w:r>
            <w:rPr>
              <w:rFonts w:hint="eastAsia" w:ascii="仿宋_GB2312" w:eastAsia="仿宋_GB2312"/>
              <w:szCs w:val="32"/>
            </w:rPr>
            <w:fldChar w:fldCharType="end"/>
          </w:r>
        </w:p>
        <w:p>
          <w:pPr>
            <w:pStyle w:val="15"/>
            <w:keepNext w:val="0"/>
            <w:keepLines w:val="0"/>
            <w:pageBreakBefore w:val="0"/>
            <w:tabs>
              <w:tab w:val="right" w:leader="dot" w:pos="8844"/>
            </w:tabs>
            <w:kinsoku/>
            <w:wordWrap/>
            <w:overflowPunct/>
            <w:topLinePunct w:val="0"/>
            <w:autoSpaceDE/>
            <w:autoSpaceDN/>
            <w:bidi w:val="0"/>
            <w:adjustRightInd/>
            <w:snapToGrid/>
            <w:spacing w:line="560" w:lineRule="exact"/>
            <w:textAlignment w:val="auto"/>
          </w:pPr>
          <w:r>
            <w:rPr>
              <w:rFonts w:hint="eastAsia" w:ascii="仿宋_GB2312" w:eastAsia="仿宋_GB2312"/>
              <w:szCs w:val="32"/>
            </w:rPr>
            <w:fldChar w:fldCharType="begin"/>
          </w:r>
          <w:r>
            <w:rPr>
              <w:rFonts w:hint="eastAsia" w:ascii="仿宋_GB2312" w:eastAsia="仿宋_GB2312"/>
              <w:szCs w:val="32"/>
            </w:rPr>
            <w:instrText xml:space="preserve"> HYPERLINK \l _Toc1147 </w:instrText>
          </w:r>
          <w:r>
            <w:rPr>
              <w:rFonts w:hint="eastAsia" w:ascii="仿宋_GB2312" w:eastAsia="仿宋_GB2312"/>
              <w:szCs w:val="32"/>
            </w:rPr>
            <w:fldChar w:fldCharType="separate"/>
          </w:r>
          <w:r>
            <w:rPr>
              <w:rFonts w:hint="eastAsia" w:ascii="楷体_GB2312" w:eastAsia="楷体_GB2312" w:cs="楷体_GB2312"/>
              <w:szCs w:val="32"/>
              <w:lang w:eastAsia="zh-CN"/>
            </w:rPr>
            <w:t>六、支出预算安排情况</w:t>
          </w:r>
          <w:r>
            <w:tab/>
          </w:r>
          <w:r>
            <w:fldChar w:fldCharType="begin"/>
          </w:r>
          <w:r>
            <w:instrText xml:space="preserve"> PAGEREF _Toc1147 \h </w:instrText>
          </w:r>
          <w:r>
            <w:fldChar w:fldCharType="separate"/>
          </w:r>
          <w:r>
            <w:t>5</w:t>
          </w:r>
          <w:r>
            <w:fldChar w:fldCharType="end"/>
          </w:r>
          <w:r>
            <w:rPr>
              <w:rFonts w:hint="eastAsia" w:ascii="仿宋_GB2312" w:eastAsia="仿宋_GB2312"/>
              <w:szCs w:val="32"/>
            </w:rPr>
            <w:fldChar w:fldCharType="end"/>
          </w:r>
        </w:p>
        <w:p>
          <w:pPr>
            <w:pStyle w:val="15"/>
            <w:keepNext w:val="0"/>
            <w:keepLines w:val="0"/>
            <w:pageBreakBefore w:val="0"/>
            <w:tabs>
              <w:tab w:val="right" w:leader="dot" w:pos="8844"/>
            </w:tabs>
            <w:kinsoku/>
            <w:wordWrap/>
            <w:overflowPunct/>
            <w:topLinePunct w:val="0"/>
            <w:autoSpaceDE/>
            <w:autoSpaceDN/>
            <w:bidi w:val="0"/>
            <w:adjustRightInd/>
            <w:snapToGrid/>
            <w:spacing w:line="560" w:lineRule="exact"/>
            <w:textAlignment w:val="auto"/>
          </w:pPr>
          <w:r>
            <w:rPr>
              <w:rFonts w:hint="eastAsia" w:ascii="仿宋_GB2312" w:eastAsia="仿宋_GB2312"/>
              <w:szCs w:val="32"/>
            </w:rPr>
            <w:fldChar w:fldCharType="begin"/>
          </w:r>
          <w:r>
            <w:rPr>
              <w:rFonts w:hint="eastAsia" w:ascii="仿宋_GB2312" w:eastAsia="仿宋_GB2312"/>
              <w:szCs w:val="32"/>
            </w:rPr>
            <w:instrText xml:space="preserve"> HYPERLINK \l _Toc19557 </w:instrText>
          </w:r>
          <w:r>
            <w:rPr>
              <w:rFonts w:hint="eastAsia" w:ascii="仿宋_GB2312" w:eastAsia="仿宋_GB2312"/>
              <w:szCs w:val="32"/>
            </w:rPr>
            <w:fldChar w:fldCharType="separate"/>
          </w:r>
          <w:r>
            <w:rPr>
              <w:rFonts w:hint="eastAsia" w:ascii="黑体" w:eastAsia="黑体" w:cs="黑体"/>
              <w:kern w:val="0"/>
              <w:szCs w:val="32"/>
              <w:shd w:val="clear" w:color="auto" w:fill="FFFFFF"/>
              <w:lang w:val="en-US" w:eastAsia="zh-CN"/>
            </w:rPr>
            <w:t>七、较上年度增减变化</w:t>
          </w:r>
          <w:r>
            <w:tab/>
          </w:r>
          <w:r>
            <w:fldChar w:fldCharType="begin"/>
          </w:r>
          <w:r>
            <w:instrText xml:space="preserve"> PAGEREF _Toc19557 \h </w:instrText>
          </w:r>
          <w:r>
            <w:fldChar w:fldCharType="separate"/>
          </w:r>
          <w:r>
            <w:t>6</w:t>
          </w:r>
          <w:r>
            <w:fldChar w:fldCharType="end"/>
          </w:r>
          <w:r>
            <w:rPr>
              <w:rFonts w:hint="eastAsia" w:ascii="仿宋_GB2312" w:eastAsia="仿宋_GB2312"/>
              <w:szCs w:val="32"/>
            </w:rPr>
            <w:fldChar w:fldCharType="end"/>
          </w:r>
        </w:p>
        <w:p>
          <w:pPr>
            <w:pStyle w:val="15"/>
            <w:keepNext w:val="0"/>
            <w:keepLines w:val="0"/>
            <w:pageBreakBefore w:val="0"/>
            <w:tabs>
              <w:tab w:val="right" w:leader="dot" w:pos="8844"/>
            </w:tabs>
            <w:kinsoku/>
            <w:wordWrap/>
            <w:overflowPunct/>
            <w:topLinePunct w:val="0"/>
            <w:autoSpaceDE/>
            <w:autoSpaceDN/>
            <w:bidi w:val="0"/>
            <w:adjustRightInd/>
            <w:snapToGrid/>
            <w:spacing w:line="560" w:lineRule="exact"/>
            <w:textAlignment w:val="auto"/>
          </w:pPr>
          <w:r>
            <w:rPr>
              <w:rFonts w:hint="eastAsia" w:ascii="仿宋_GB2312" w:eastAsia="仿宋_GB2312"/>
              <w:szCs w:val="32"/>
            </w:rPr>
            <w:fldChar w:fldCharType="begin"/>
          </w:r>
          <w:r>
            <w:rPr>
              <w:rFonts w:hint="eastAsia" w:ascii="仿宋_GB2312" w:eastAsia="仿宋_GB2312"/>
              <w:szCs w:val="32"/>
            </w:rPr>
            <w:instrText xml:space="preserve"> HYPERLINK \l _Toc24407 </w:instrText>
          </w:r>
          <w:r>
            <w:rPr>
              <w:rFonts w:hint="eastAsia" w:ascii="仿宋_GB2312" w:eastAsia="仿宋_GB2312"/>
              <w:szCs w:val="32"/>
            </w:rPr>
            <w:fldChar w:fldCharType="separate"/>
          </w:r>
          <w:r>
            <w:rPr>
              <w:rFonts w:hint="eastAsia" w:ascii="黑体" w:eastAsia="黑体" w:cs="黑体"/>
              <w:kern w:val="0"/>
              <w:szCs w:val="32"/>
              <w:shd w:val="clear" w:color="auto" w:fill="FFFFFF"/>
              <w:lang w:val="en-US" w:eastAsia="zh-CN"/>
            </w:rPr>
            <w:t>八、“三公”经费预算</w:t>
          </w:r>
          <w:r>
            <w:tab/>
          </w:r>
          <w:r>
            <w:fldChar w:fldCharType="begin"/>
          </w:r>
          <w:r>
            <w:instrText xml:space="preserve"> PAGEREF _Toc24407 \h </w:instrText>
          </w:r>
          <w:r>
            <w:fldChar w:fldCharType="separate"/>
          </w:r>
          <w:r>
            <w:t>6</w:t>
          </w:r>
          <w:r>
            <w:fldChar w:fldCharType="end"/>
          </w:r>
          <w:r>
            <w:rPr>
              <w:rFonts w:hint="eastAsia" w:ascii="仿宋_GB2312" w:eastAsia="仿宋_GB2312"/>
              <w:szCs w:val="32"/>
            </w:rPr>
            <w:fldChar w:fldCharType="end"/>
          </w:r>
        </w:p>
        <w:p>
          <w:pPr>
            <w:pStyle w:val="15"/>
            <w:keepNext w:val="0"/>
            <w:keepLines w:val="0"/>
            <w:pageBreakBefore w:val="0"/>
            <w:tabs>
              <w:tab w:val="right" w:leader="dot" w:pos="8844"/>
            </w:tabs>
            <w:kinsoku/>
            <w:wordWrap/>
            <w:overflowPunct/>
            <w:topLinePunct w:val="0"/>
            <w:autoSpaceDE/>
            <w:autoSpaceDN/>
            <w:bidi w:val="0"/>
            <w:adjustRightInd/>
            <w:snapToGrid/>
            <w:spacing w:line="560" w:lineRule="exact"/>
            <w:textAlignment w:val="auto"/>
          </w:pPr>
          <w:r>
            <w:rPr>
              <w:rFonts w:hint="eastAsia" w:ascii="仿宋_GB2312" w:eastAsia="仿宋_GB2312"/>
              <w:szCs w:val="32"/>
            </w:rPr>
            <w:fldChar w:fldCharType="begin"/>
          </w:r>
          <w:r>
            <w:rPr>
              <w:rFonts w:hint="eastAsia" w:ascii="仿宋_GB2312" w:eastAsia="仿宋_GB2312"/>
              <w:szCs w:val="32"/>
            </w:rPr>
            <w:instrText xml:space="preserve"> HYPERLINK \l _Toc1179 </w:instrText>
          </w:r>
          <w:r>
            <w:rPr>
              <w:rFonts w:hint="eastAsia" w:ascii="仿宋_GB2312" w:eastAsia="仿宋_GB2312"/>
              <w:szCs w:val="32"/>
            </w:rPr>
            <w:fldChar w:fldCharType="separate"/>
          </w:r>
          <w:r>
            <w:rPr>
              <w:rFonts w:hint="eastAsia" w:ascii="黑体" w:eastAsia="黑体" w:cs="黑体"/>
              <w:kern w:val="0"/>
              <w:szCs w:val="32"/>
              <w:shd w:val="clear" w:color="auto" w:fill="FFFFFF"/>
              <w:lang w:val="en-US" w:eastAsia="zh-CN"/>
            </w:rPr>
            <w:t>九、政府性基金预算收支情况说明</w:t>
          </w:r>
          <w:r>
            <w:tab/>
          </w:r>
          <w:r>
            <w:fldChar w:fldCharType="begin"/>
          </w:r>
          <w:r>
            <w:instrText xml:space="preserve"> PAGEREF _Toc1179 \h </w:instrText>
          </w:r>
          <w:r>
            <w:fldChar w:fldCharType="separate"/>
          </w:r>
          <w:r>
            <w:t>6</w:t>
          </w:r>
          <w:r>
            <w:fldChar w:fldCharType="end"/>
          </w:r>
          <w:r>
            <w:rPr>
              <w:rFonts w:hint="eastAsia" w:ascii="仿宋_GB2312" w:eastAsia="仿宋_GB2312"/>
              <w:szCs w:val="32"/>
            </w:rPr>
            <w:fldChar w:fldCharType="end"/>
          </w:r>
        </w:p>
        <w:p>
          <w:pPr>
            <w:pStyle w:val="15"/>
            <w:keepNext w:val="0"/>
            <w:keepLines w:val="0"/>
            <w:pageBreakBefore w:val="0"/>
            <w:tabs>
              <w:tab w:val="right" w:leader="dot" w:pos="8844"/>
            </w:tabs>
            <w:kinsoku/>
            <w:wordWrap/>
            <w:overflowPunct/>
            <w:topLinePunct w:val="0"/>
            <w:autoSpaceDE/>
            <w:autoSpaceDN/>
            <w:bidi w:val="0"/>
            <w:adjustRightInd/>
            <w:snapToGrid/>
            <w:spacing w:line="560" w:lineRule="exact"/>
            <w:textAlignment w:val="auto"/>
          </w:pPr>
          <w:r>
            <w:rPr>
              <w:rFonts w:hint="eastAsia" w:ascii="仿宋_GB2312" w:eastAsia="仿宋_GB2312"/>
              <w:szCs w:val="32"/>
            </w:rPr>
            <w:fldChar w:fldCharType="begin"/>
          </w:r>
          <w:r>
            <w:rPr>
              <w:rFonts w:hint="eastAsia" w:ascii="仿宋_GB2312" w:eastAsia="仿宋_GB2312"/>
              <w:szCs w:val="32"/>
            </w:rPr>
            <w:instrText xml:space="preserve"> HYPERLINK \l _Toc24559 </w:instrText>
          </w:r>
          <w:r>
            <w:rPr>
              <w:rFonts w:hint="eastAsia" w:ascii="仿宋_GB2312" w:eastAsia="仿宋_GB2312"/>
              <w:szCs w:val="32"/>
            </w:rPr>
            <w:fldChar w:fldCharType="separate"/>
          </w:r>
          <w:r>
            <w:rPr>
              <w:rFonts w:hint="eastAsia" w:ascii="黑体" w:eastAsia="黑体" w:cs="黑体"/>
              <w:kern w:val="0"/>
              <w:szCs w:val="32"/>
              <w:shd w:val="clear" w:color="auto" w:fill="FFFFFF"/>
              <w:lang w:val="en-US" w:eastAsia="zh-CN"/>
            </w:rPr>
            <w:t>十、国有资本经营预算收支情况说明</w:t>
          </w:r>
          <w:r>
            <w:tab/>
          </w:r>
          <w:r>
            <w:fldChar w:fldCharType="begin"/>
          </w:r>
          <w:r>
            <w:instrText xml:space="preserve"> PAGEREF _Toc24559 \h </w:instrText>
          </w:r>
          <w:r>
            <w:fldChar w:fldCharType="separate"/>
          </w:r>
          <w:r>
            <w:t>6</w:t>
          </w:r>
          <w:r>
            <w:fldChar w:fldCharType="end"/>
          </w:r>
          <w:r>
            <w:rPr>
              <w:rFonts w:hint="eastAsia" w:ascii="仿宋_GB2312" w:eastAsia="仿宋_GB2312"/>
              <w:szCs w:val="32"/>
            </w:rPr>
            <w:fldChar w:fldCharType="end"/>
          </w:r>
        </w:p>
        <w:p>
          <w:pPr>
            <w:pStyle w:val="15"/>
            <w:keepNext w:val="0"/>
            <w:keepLines w:val="0"/>
            <w:pageBreakBefore w:val="0"/>
            <w:tabs>
              <w:tab w:val="right" w:leader="dot" w:pos="8844"/>
            </w:tabs>
            <w:kinsoku/>
            <w:wordWrap/>
            <w:overflowPunct/>
            <w:topLinePunct w:val="0"/>
            <w:autoSpaceDE/>
            <w:autoSpaceDN/>
            <w:bidi w:val="0"/>
            <w:adjustRightInd/>
            <w:snapToGrid/>
            <w:spacing w:line="560" w:lineRule="exact"/>
            <w:textAlignment w:val="auto"/>
          </w:pPr>
          <w:r>
            <w:rPr>
              <w:rFonts w:hint="eastAsia" w:ascii="仿宋_GB2312" w:eastAsia="仿宋_GB2312"/>
              <w:szCs w:val="32"/>
            </w:rPr>
            <w:fldChar w:fldCharType="begin"/>
          </w:r>
          <w:r>
            <w:rPr>
              <w:rFonts w:hint="eastAsia" w:ascii="仿宋_GB2312" w:eastAsia="仿宋_GB2312"/>
              <w:szCs w:val="32"/>
            </w:rPr>
            <w:instrText xml:space="preserve"> HYPERLINK \l _Toc31811 </w:instrText>
          </w:r>
          <w:r>
            <w:rPr>
              <w:rFonts w:hint="eastAsia" w:ascii="仿宋_GB2312" w:eastAsia="仿宋_GB2312"/>
              <w:szCs w:val="32"/>
            </w:rPr>
            <w:fldChar w:fldCharType="separate"/>
          </w:r>
          <w:r>
            <w:rPr>
              <w:rFonts w:hint="eastAsia" w:ascii="黑体" w:eastAsia="黑体" w:cs="黑体"/>
              <w:kern w:val="0"/>
              <w:szCs w:val="32"/>
              <w:shd w:val="clear" w:color="auto" w:fill="FFFFFF"/>
              <w:lang w:val="en-US" w:eastAsia="zh-CN"/>
            </w:rPr>
            <w:t>十一、其他重要事项的情况说明</w:t>
          </w:r>
          <w:r>
            <w:tab/>
          </w:r>
          <w:r>
            <w:fldChar w:fldCharType="begin"/>
          </w:r>
          <w:r>
            <w:instrText xml:space="preserve"> PAGEREF _Toc31811 \h </w:instrText>
          </w:r>
          <w:r>
            <w:fldChar w:fldCharType="separate"/>
          </w:r>
          <w:r>
            <w:t>6</w:t>
          </w:r>
          <w:r>
            <w:fldChar w:fldCharType="end"/>
          </w:r>
          <w:r>
            <w:rPr>
              <w:rFonts w:hint="eastAsia" w:ascii="仿宋_GB2312" w:eastAsia="仿宋_GB2312"/>
              <w:szCs w:val="32"/>
            </w:rPr>
            <w:fldChar w:fldCharType="end"/>
          </w:r>
        </w:p>
        <w:p>
          <w:pPr>
            <w:pStyle w:val="15"/>
            <w:keepNext w:val="0"/>
            <w:keepLines w:val="0"/>
            <w:pageBreakBefore w:val="0"/>
            <w:tabs>
              <w:tab w:val="right" w:leader="dot" w:pos="8844"/>
            </w:tabs>
            <w:kinsoku/>
            <w:wordWrap/>
            <w:overflowPunct/>
            <w:topLinePunct w:val="0"/>
            <w:autoSpaceDE/>
            <w:autoSpaceDN/>
            <w:bidi w:val="0"/>
            <w:adjustRightInd/>
            <w:snapToGrid/>
            <w:spacing w:line="560" w:lineRule="exact"/>
            <w:textAlignment w:val="auto"/>
            <w:rPr>
              <w:rFonts w:hint="eastAsia" w:ascii="仿宋_GB2312" w:eastAsia="仿宋_GB2312"/>
              <w:szCs w:val="32"/>
            </w:rPr>
          </w:pPr>
          <w:r>
            <w:rPr>
              <w:rFonts w:hint="eastAsia" w:ascii="仿宋_GB2312" w:eastAsia="仿宋_GB2312"/>
              <w:szCs w:val="32"/>
            </w:rPr>
            <w:fldChar w:fldCharType="begin"/>
          </w:r>
          <w:r>
            <w:rPr>
              <w:rFonts w:hint="eastAsia" w:ascii="仿宋_GB2312" w:eastAsia="仿宋_GB2312"/>
              <w:szCs w:val="32"/>
            </w:rPr>
            <w:instrText xml:space="preserve"> HYPERLINK \l _Toc11594 </w:instrText>
          </w:r>
          <w:r>
            <w:rPr>
              <w:rFonts w:hint="eastAsia" w:ascii="仿宋_GB2312" w:eastAsia="仿宋_GB2312"/>
              <w:szCs w:val="32"/>
            </w:rPr>
            <w:fldChar w:fldCharType="separate"/>
          </w:r>
          <w:r>
            <w:rPr>
              <w:rFonts w:hint="eastAsia" w:ascii="黑体" w:eastAsia="黑体" w:cs="黑体"/>
              <w:kern w:val="0"/>
              <w:szCs w:val="32"/>
              <w:shd w:val="clear" w:color="auto" w:fill="FFFFFF"/>
              <w:lang w:val="en-US" w:eastAsia="zh-CN"/>
            </w:rPr>
            <w:t>十二、名词解释</w:t>
          </w:r>
          <w:r>
            <w:tab/>
          </w:r>
          <w:r>
            <w:fldChar w:fldCharType="begin"/>
          </w:r>
          <w:r>
            <w:instrText xml:space="preserve"> PAGEREF _Toc11594 \h </w:instrText>
          </w:r>
          <w:r>
            <w:fldChar w:fldCharType="separate"/>
          </w:r>
          <w:r>
            <w:t>12</w:t>
          </w:r>
          <w:r>
            <w:fldChar w:fldCharType="end"/>
          </w:r>
          <w:r>
            <w:rPr>
              <w:rFonts w:hint="eastAsia" w:ascii="仿宋_GB2312" w:eastAsia="仿宋_GB2312"/>
              <w:szCs w:val="32"/>
            </w:rPr>
            <w:fldChar w:fldCharType="end"/>
          </w:r>
        </w:p>
        <w:p>
          <w:pPr>
            <w:pStyle w:val="15"/>
            <w:keepNext w:val="0"/>
            <w:keepLines w:val="0"/>
            <w:pageBreakBefore w:val="0"/>
            <w:tabs>
              <w:tab w:val="right" w:leader="dot" w:pos="8844"/>
            </w:tabs>
            <w:kinsoku/>
            <w:wordWrap/>
            <w:overflowPunct/>
            <w:topLinePunct w:val="0"/>
            <w:autoSpaceDE/>
            <w:autoSpaceDN/>
            <w:bidi w:val="0"/>
            <w:adjustRightInd/>
            <w:snapToGrid/>
            <w:spacing w:line="560" w:lineRule="exact"/>
            <w:textAlignment w:val="auto"/>
            <w:rPr>
              <w:rFonts w:hint="eastAsia" w:ascii="仿宋_GB2312" w:eastAsia="仿宋_GB2312"/>
              <w:szCs w:val="32"/>
            </w:rPr>
          </w:pPr>
        </w:p>
        <w:p>
          <w:pPr>
            <w:pStyle w:val="15"/>
            <w:keepNext w:val="0"/>
            <w:keepLines w:val="0"/>
            <w:pageBreakBefore w:val="0"/>
            <w:tabs>
              <w:tab w:val="right" w:leader="dot" w:pos="8844"/>
            </w:tabs>
            <w:kinsoku/>
            <w:wordWrap/>
            <w:overflowPunct/>
            <w:topLinePunct w:val="0"/>
            <w:autoSpaceDE/>
            <w:autoSpaceDN/>
            <w:bidi w:val="0"/>
            <w:adjustRightInd/>
            <w:snapToGrid/>
            <w:spacing w:line="560" w:lineRule="exact"/>
            <w:textAlignment w:val="auto"/>
            <w:rPr>
              <w:rFonts w:hint="eastAsia" w:ascii="仿宋_GB2312" w:eastAsia="仿宋_GB2312"/>
              <w:szCs w:val="32"/>
            </w:rPr>
          </w:pPr>
        </w:p>
        <w:p>
          <w:pPr>
            <w:pStyle w:val="15"/>
            <w:keepNext w:val="0"/>
            <w:keepLines w:val="0"/>
            <w:pageBreakBefore w:val="0"/>
            <w:tabs>
              <w:tab w:val="right" w:leader="dot" w:pos="8844"/>
            </w:tabs>
            <w:kinsoku/>
            <w:wordWrap/>
            <w:overflowPunct/>
            <w:topLinePunct w:val="0"/>
            <w:autoSpaceDE/>
            <w:autoSpaceDN/>
            <w:bidi w:val="0"/>
            <w:adjustRightInd/>
            <w:snapToGrid/>
            <w:spacing w:line="560" w:lineRule="exact"/>
            <w:textAlignment w:val="auto"/>
            <w:rPr>
              <w:rFonts w:hint="eastAsia" w:ascii="仿宋_GB2312" w:eastAsia="仿宋_GB2312"/>
              <w:szCs w:val="32"/>
            </w:rPr>
          </w:pPr>
        </w:p>
        <w:p>
          <w:pPr>
            <w:pStyle w:val="15"/>
            <w:keepNext w:val="0"/>
            <w:keepLines w:val="0"/>
            <w:pageBreakBefore w:val="0"/>
            <w:tabs>
              <w:tab w:val="right" w:leader="dot" w:pos="8844"/>
            </w:tabs>
            <w:kinsoku/>
            <w:wordWrap/>
            <w:overflowPunct/>
            <w:topLinePunct w:val="0"/>
            <w:autoSpaceDE/>
            <w:autoSpaceDN/>
            <w:bidi w:val="0"/>
            <w:adjustRightInd/>
            <w:snapToGrid/>
            <w:spacing w:line="560" w:lineRule="exact"/>
            <w:textAlignment w:val="auto"/>
            <w:rPr>
              <w:rFonts w:hint="eastAsia" w:ascii="仿宋_GB2312" w:eastAsia="仿宋_GB2312"/>
              <w:szCs w:val="32"/>
            </w:rPr>
          </w:pPr>
        </w:p>
        <w:p>
          <w:pPr>
            <w:pStyle w:val="15"/>
            <w:keepNext w:val="0"/>
            <w:keepLines w:val="0"/>
            <w:pageBreakBefore w:val="0"/>
            <w:tabs>
              <w:tab w:val="right" w:leader="dot" w:pos="8844"/>
            </w:tabs>
            <w:kinsoku/>
            <w:wordWrap/>
            <w:overflowPunct/>
            <w:topLinePunct w:val="0"/>
            <w:autoSpaceDE/>
            <w:autoSpaceDN/>
            <w:bidi w:val="0"/>
            <w:adjustRightInd/>
            <w:snapToGrid/>
            <w:spacing w:line="560" w:lineRule="exact"/>
            <w:textAlignment w:val="auto"/>
            <w:rPr>
              <w:rFonts w:hint="eastAsia" w:ascii="仿宋_GB2312" w:eastAsia="仿宋_GB2312"/>
              <w:szCs w:val="32"/>
            </w:rPr>
          </w:pPr>
        </w:p>
        <w:p>
          <w:pPr>
            <w:pStyle w:val="15"/>
            <w:keepNext w:val="0"/>
            <w:keepLines w:val="0"/>
            <w:pageBreakBefore w:val="0"/>
            <w:tabs>
              <w:tab w:val="right" w:leader="dot" w:pos="8844"/>
            </w:tabs>
            <w:kinsoku/>
            <w:wordWrap/>
            <w:overflowPunct/>
            <w:topLinePunct w:val="0"/>
            <w:autoSpaceDE/>
            <w:autoSpaceDN/>
            <w:bidi w:val="0"/>
            <w:adjustRightInd/>
            <w:snapToGrid/>
            <w:spacing w:line="560" w:lineRule="exact"/>
            <w:textAlignment w:val="auto"/>
            <w:rPr>
              <w:rFonts w:hint="eastAsia" w:ascii="仿宋_GB2312" w:eastAsia="仿宋_GB2312"/>
              <w:szCs w:val="32"/>
            </w:rPr>
          </w:pPr>
        </w:p>
        <w:p>
          <w:pPr>
            <w:pStyle w:val="15"/>
            <w:keepNext w:val="0"/>
            <w:keepLines w:val="0"/>
            <w:pageBreakBefore w:val="0"/>
            <w:tabs>
              <w:tab w:val="right" w:leader="dot" w:pos="8844"/>
            </w:tabs>
            <w:kinsoku/>
            <w:wordWrap/>
            <w:overflowPunct/>
            <w:topLinePunct w:val="0"/>
            <w:autoSpaceDE/>
            <w:autoSpaceDN/>
            <w:bidi w:val="0"/>
            <w:adjustRightInd/>
            <w:snapToGrid/>
            <w:spacing w:line="560" w:lineRule="exact"/>
            <w:textAlignment w:val="auto"/>
            <w:rPr>
              <w:rFonts w:hint="eastAsia" w:ascii="仿宋_GB2312" w:eastAsia="仿宋_GB2312"/>
              <w:szCs w:val="32"/>
            </w:rPr>
          </w:pPr>
        </w:p>
        <w:p>
          <w:pPr>
            <w:pStyle w:val="15"/>
            <w:keepNext w:val="0"/>
            <w:keepLines w:val="0"/>
            <w:pageBreakBefore w:val="0"/>
            <w:tabs>
              <w:tab w:val="right" w:leader="dot" w:pos="8844"/>
            </w:tabs>
            <w:kinsoku/>
            <w:wordWrap/>
            <w:overflowPunct/>
            <w:topLinePunct w:val="0"/>
            <w:autoSpaceDE/>
            <w:autoSpaceDN/>
            <w:bidi w:val="0"/>
            <w:adjustRightInd/>
            <w:snapToGrid/>
            <w:spacing w:line="560" w:lineRule="exact"/>
            <w:textAlignment w:val="auto"/>
            <w:rPr>
              <w:rFonts w:hint="eastAsia" w:ascii="仿宋_GB2312" w:eastAsia="仿宋_GB2312"/>
              <w:szCs w:val="32"/>
            </w:rPr>
          </w:pPr>
        </w:p>
        <w:p>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rPr>
              <w:rFonts w:hint="eastAsia" w:ascii="仿宋_GB2312" w:eastAsia="仿宋_GB2312"/>
              <w:sz w:val="32"/>
              <w:szCs w:val="32"/>
            </w:rPr>
          </w:pPr>
          <w:r>
            <w:rPr>
              <w:rFonts w:hint="eastAsia" w:ascii="仿宋_GB2312" w:eastAsia="仿宋_GB2312"/>
              <w:szCs w:val="32"/>
            </w:rPr>
            <w:fldChar w:fldCharType="end"/>
          </w:r>
        </w:p>
      </w:sdtContent>
    </w:sdt>
    <w:p>
      <w:pPr>
        <w:keepNext w:val="0"/>
        <w:keepLines w:val="0"/>
        <w:pageBreakBefore w:val="0"/>
        <w:widowControl w:val="0"/>
        <w:kinsoku/>
        <w:wordWrap/>
        <w:overflowPunct/>
        <w:topLinePunct w:val="0"/>
        <w:autoSpaceDE/>
        <w:autoSpaceDN/>
        <w:bidi w:val="0"/>
        <w:spacing w:line="560" w:lineRule="exact"/>
        <w:ind w:left="0" w:right="0"/>
        <w:jc w:val="center"/>
        <w:textAlignment w:val="auto"/>
        <w:outlineLvl w:val="0"/>
        <w:rPr>
          <w:rFonts w:hint="eastAsia" w:ascii="方正小标宋简体" w:eastAsia="方正小标宋简体" w:cs="方正小标宋简体"/>
          <w:b w:val="0"/>
          <w:bCs/>
          <w:sz w:val="44"/>
          <w:szCs w:val="44"/>
          <w:lang w:val="en-US" w:eastAsia="zh-CN"/>
        </w:rPr>
      </w:pPr>
      <w:bookmarkStart w:id="0" w:name="_Toc890"/>
      <w:r>
        <w:rPr>
          <w:rFonts w:hint="eastAsia" w:ascii="方正小标宋简体" w:eastAsia="方正小标宋简体" w:cs="方正小标宋简体"/>
          <w:b w:val="0"/>
          <w:bCs/>
          <w:sz w:val="44"/>
          <w:szCs w:val="44"/>
        </w:rPr>
        <w:t>关于</w:t>
      </w:r>
      <w:r>
        <w:rPr>
          <w:rFonts w:hint="eastAsia" w:ascii="方正小标宋简体" w:eastAsia="方正小标宋简体" w:cs="方正小标宋简体"/>
          <w:b w:val="0"/>
          <w:bCs/>
          <w:sz w:val="44"/>
          <w:szCs w:val="44"/>
          <w:lang w:eastAsia="zh-CN"/>
        </w:rPr>
        <w:t>红原县疾病预防控制中心</w:t>
      </w:r>
      <w:bookmarkEnd w:id="0"/>
    </w:p>
    <w:p>
      <w:pPr>
        <w:keepNext w:val="0"/>
        <w:keepLines w:val="0"/>
        <w:pageBreakBefore w:val="0"/>
        <w:widowControl w:val="0"/>
        <w:kinsoku/>
        <w:wordWrap/>
        <w:overflowPunct/>
        <w:topLinePunct w:val="0"/>
        <w:autoSpaceDE/>
        <w:autoSpaceDN/>
        <w:bidi w:val="0"/>
        <w:spacing w:line="560" w:lineRule="exact"/>
        <w:ind w:left="0" w:right="0"/>
        <w:jc w:val="center"/>
        <w:textAlignment w:val="auto"/>
        <w:rPr>
          <w:rFonts w:hint="eastAsia" w:ascii="方正小标宋简体" w:eastAsia="方正小标宋简体" w:cs="方正小标宋简体"/>
          <w:b w:val="0"/>
          <w:bCs/>
          <w:sz w:val="44"/>
          <w:szCs w:val="44"/>
        </w:rPr>
      </w:pPr>
      <w:r>
        <w:rPr>
          <w:rFonts w:hint="eastAsia" w:ascii="方正小标宋简体" w:eastAsia="方正小标宋简体" w:cs="方正小标宋简体"/>
          <w:b w:val="0"/>
          <w:bCs/>
          <w:sz w:val="44"/>
          <w:szCs w:val="44"/>
          <w:lang w:eastAsia="zh-CN"/>
        </w:rPr>
        <w:t>202</w:t>
      </w:r>
      <w:r>
        <w:rPr>
          <w:rFonts w:hint="eastAsia" w:ascii="方正小标宋简体" w:eastAsia="方正小标宋简体" w:cs="方正小标宋简体"/>
          <w:b w:val="0"/>
          <w:bCs/>
          <w:sz w:val="44"/>
          <w:szCs w:val="44"/>
          <w:lang w:val="en-US" w:eastAsia="zh-CN"/>
        </w:rPr>
        <w:t>2</w:t>
      </w:r>
      <w:r>
        <w:rPr>
          <w:rFonts w:hint="eastAsia" w:ascii="方正小标宋简体" w:eastAsia="方正小标宋简体" w:cs="方正小标宋简体"/>
          <w:b w:val="0"/>
          <w:bCs/>
          <w:sz w:val="44"/>
          <w:szCs w:val="44"/>
        </w:rPr>
        <w:t>年部门预算编制的说明</w:t>
      </w:r>
    </w:p>
    <w:p>
      <w:pPr>
        <w:pStyle w:val="7"/>
        <w:keepNext w:val="0"/>
        <w:keepLines w:val="0"/>
        <w:pageBreakBefore w:val="0"/>
        <w:widowControl w:val="0"/>
        <w:kinsoku/>
        <w:wordWrap/>
        <w:overflowPunct/>
        <w:topLinePunct w:val="0"/>
        <w:autoSpaceDE/>
        <w:autoSpaceDN/>
        <w:bidi w:val="0"/>
        <w:adjustRightInd w:val="0"/>
        <w:snapToGrid w:val="0"/>
        <w:spacing w:before="0" w:beforeLines="0" w:line="560" w:lineRule="exact"/>
        <w:ind w:left="0" w:right="0"/>
        <w:textAlignment w:val="auto"/>
        <w:rPr>
          <w:rFonts w:hint="eastAsia" w:ascii="宋体" w:eastAsia="宋体"/>
          <w:b/>
          <w:sz w:val="44"/>
          <w:szCs w:val="44"/>
        </w:rPr>
      </w:pPr>
      <w:r>
        <w:rPr>
          <w:rFonts w:hint="eastAsia" w:ascii="宋体" w:eastAsia="宋体"/>
          <w:b/>
          <w:sz w:val="44"/>
          <w:szCs w:val="44"/>
        </w:rPr>
        <w:t xml:space="preserve">    </w:t>
      </w:r>
    </w:p>
    <w:p>
      <w:pPr>
        <w:pStyle w:val="7"/>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textAlignment w:val="auto"/>
        <w:rPr>
          <w:rFonts w:hint="eastAsia" w:asci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outlineLvl w:val="0"/>
        <w:rPr>
          <w:rFonts w:hint="eastAsia" w:ascii="黑体" w:eastAsia="黑体"/>
          <w:sz w:val="32"/>
          <w:szCs w:val="32"/>
        </w:rPr>
      </w:pPr>
      <w:bookmarkStart w:id="1" w:name="_Toc23939"/>
      <w:r>
        <w:rPr>
          <w:rFonts w:hint="eastAsia" w:ascii="黑体" w:eastAsia="黑体"/>
          <w:sz w:val="32"/>
          <w:szCs w:val="32"/>
        </w:rPr>
        <w:t>一、基本职能及主要工作</w:t>
      </w:r>
      <w:bookmarkEnd w:id="1"/>
    </w:p>
    <w:p>
      <w:pPr>
        <w:pStyle w:val="7"/>
        <w:keepNext w:val="0"/>
        <w:keepLines w:val="0"/>
        <w:pageBreakBefore w:val="0"/>
        <w:widowControl w:val="0"/>
        <w:kinsoku/>
        <w:wordWrap/>
        <w:overflowPunct/>
        <w:topLinePunct w:val="0"/>
        <w:autoSpaceDE/>
        <w:autoSpaceDN/>
        <w:bidi w:val="0"/>
        <w:adjustRightInd w:val="0"/>
        <w:snapToGrid w:val="0"/>
        <w:spacing w:line="560" w:lineRule="exact"/>
        <w:ind w:left="0" w:right="0" w:firstLine="671" w:firstLineChars="209"/>
        <w:textAlignment w:val="auto"/>
        <w:rPr>
          <w:rFonts w:hint="eastAsia" w:ascii="楷体_GB2312" w:eastAsia="楷体_GB2312" w:cs="楷体_GB2312"/>
          <w:b/>
          <w:bCs w:val="0"/>
          <w:sz w:val="32"/>
          <w:szCs w:val="32"/>
          <w:lang w:eastAsia="zh-CN"/>
        </w:rPr>
      </w:pPr>
      <w:r>
        <w:rPr>
          <w:rFonts w:hint="eastAsia" w:ascii="楷体_GB2312" w:eastAsia="楷体_GB2312" w:cs="楷体_GB2312"/>
          <w:b/>
          <w:bCs w:val="0"/>
          <w:sz w:val="32"/>
          <w:szCs w:val="32"/>
          <w:lang w:eastAsia="zh-CN"/>
        </w:rPr>
        <w:t>（一）基本职能</w:t>
      </w:r>
    </w:p>
    <w:p>
      <w:pPr>
        <w:ind w:firstLine="627" w:firstLineChars="196"/>
        <w:rPr>
          <w:rFonts w:hint="eastAsia"/>
          <w:bCs/>
          <w:sz w:val="32"/>
          <w:szCs w:val="32"/>
          <w:lang w:eastAsia="zh-CN"/>
        </w:rPr>
      </w:pPr>
      <w:r>
        <w:rPr>
          <w:rFonts w:hint="eastAsia" w:ascii="仿宋_GB2312" w:eastAsia="仿宋_GB2312" w:cs="仿宋_GB2312"/>
          <w:sz w:val="32"/>
          <w:szCs w:val="32"/>
        </w:rPr>
        <w:t>全面履行政府赋予的卫生防病职能, 做好传染病等突发公共卫生事件应急、监测、报告与管理；信息与网络管理；加强疾病及健康相关因素监测和分析评估能力的储备及应用；完成国家、省、州下达的重大疾病预防控制指令性任务；实施疾病预防控制规划、方案，组织开展辖区内疾病爆发调查处理和报告；负责全县慢性传染病、慢性非传染性疾病的流行病学调查、监测，营养健康，健康教育与健康促进，实施儿童计划免疫及预防性生物制品管理；推行重大公共卫生服务项目，免费为艾滋病患者提供“四免一关怀”服务；制定我县结核病预防控制规划并组织实施；负责本辖区内大骨节病、包虫病、地氟病、碘缺乏病的综合防治和研究；提供消毒、杀虫、灭蝇等相关技术性服务；对食品卫生、公共场所、工矿企业、学校及生产经营单位的卫生具有监测职能和卫生学评价职能，对其从业人员定期进行健康体检；为社会人群提供预防性疫苗接种等工作。</w:t>
      </w:r>
    </w:p>
    <w:p>
      <w:pPr>
        <w:pStyle w:val="7"/>
        <w:keepNext w:val="0"/>
        <w:keepLines w:val="0"/>
        <w:pageBreakBefore w:val="0"/>
        <w:widowControl w:val="0"/>
        <w:kinsoku/>
        <w:wordWrap/>
        <w:overflowPunct/>
        <w:topLinePunct w:val="0"/>
        <w:autoSpaceDE/>
        <w:autoSpaceDN/>
        <w:bidi w:val="0"/>
        <w:adjustRightInd w:val="0"/>
        <w:snapToGrid w:val="0"/>
        <w:spacing w:line="560" w:lineRule="exact"/>
        <w:ind w:left="0" w:right="0" w:firstLine="671" w:firstLineChars="209"/>
        <w:textAlignment w:val="auto"/>
        <w:rPr>
          <w:rFonts w:hint="eastAsia" w:ascii="楷体_GB2312" w:eastAsia="楷体_GB2312" w:cs="楷体_GB2312"/>
          <w:b/>
          <w:bCs w:val="0"/>
          <w:sz w:val="32"/>
          <w:szCs w:val="32"/>
          <w:lang w:eastAsia="zh-CN"/>
        </w:rPr>
      </w:pPr>
      <w:r>
        <w:rPr>
          <w:rFonts w:hint="eastAsia" w:ascii="楷体_GB2312" w:eastAsia="楷体_GB2312" w:cs="楷体_GB2312"/>
          <w:b/>
          <w:bCs w:val="0"/>
          <w:sz w:val="32"/>
          <w:szCs w:val="32"/>
          <w:lang w:eastAsia="zh-CN"/>
        </w:rPr>
        <w:t>（二）202</w:t>
      </w:r>
      <w:r>
        <w:rPr>
          <w:rFonts w:hint="eastAsia" w:ascii="楷体_GB2312" w:eastAsia="楷体_GB2312" w:cs="楷体_GB2312"/>
          <w:b/>
          <w:bCs w:val="0"/>
          <w:sz w:val="32"/>
          <w:szCs w:val="32"/>
          <w:lang w:val="en-US" w:eastAsia="zh-CN"/>
        </w:rPr>
        <w:t>2</w:t>
      </w:r>
      <w:r>
        <w:rPr>
          <w:rFonts w:hint="eastAsia" w:ascii="楷体_GB2312" w:eastAsia="楷体_GB2312" w:cs="楷体_GB2312"/>
          <w:b/>
          <w:bCs w:val="0"/>
          <w:sz w:val="32"/>
          <w:szCs w:val="32"/>
          <w:lang w:eastAsia="zh-CN"/>
        </w:rPr>
        <w:t>年重点工作任务</w:t>
      </w:r>
    </w:p>
    <w:p>
      <w:pPr>
        <w:pStyle w:val="2"/>
        <w:spacing w:line="560" w:lineRule="exact"/>
        <w:ind w:left="0" w:leftChars="0"/>
        <w:rPr>
          <w:rFonts w:ascii="仿宋_GB2312" w:eastAsia="仿宋_GB2312" w:cs="仿宋_GB2312"/>
          <w:sz w:val="32"/>
          <w:szCs w:val="32"/>
        </w:rPr>
      </w:pPr>
      <w:r>
        <w:rPr>
          <w:rFonts w:hint="eastAsia" w:ascii="仿宋_GB2312" w:eastAsia="仿宋_GB2312" w:cs="仿宋_GB2312"/>
          <w:sz w:val="32"/>
          <w:szCs w:val="32"/>
        </w:rPr>
        <w:t>以“</w:t>
      </w:r>
      <w:r>
        <w:rPr>
          <w:rFonts w:hint="eastAsia" w:ascii="仿宋_GB2312" w:eastAsia="仿宋_GB2312" w:cs="仿宋_GB2312"/>
          <w:sz w:val="32"/>
          <w:szCs w:val="32"/>
          <w:lang w:eastAsia="zh-CN"/>
        </w:rPr>
        <w:t>习近平新时代中国特色社会主义思想</w:t>
      </w:r>
      <w:r>
        <w:rPr>
          <w:rFonts w:hint="eastAsia" w:ascii="仿宋_GB2312" w:eastAsia="仿宋_GB2312" w:cs="仿宋_GB2312"/>
          <w:sz w:val="32"/>
          <w:szCs w:val="32"/>
        </w:rPr>
        <w:t>”为指导思想，围绕县委县政府决策部署、县卫健局及州疾控工作要求，重点抓好中心主题教育、人员培训、能力提升、资金使用六项工作，全面做好艾滋病、结核病、大骨节病、鼠疫、碘缺乏病等重大传染病、地方病防治工作及相关国家政策的落实。</w:t>
      </w:r>
    </w:p>
    <w:p>
      <w:pPr>
        <w:pStyle w:val="2"/>
        <w:spacing w:line="560" w:lineRule="exact"/>
        <w:ind w:left="0" w:leftChars="0"/>
        <w:outlineLvl w:val="0"/>
        <w:rPr>
          <w:rFonts w:ascii="黑体" w:eastAsia="黑体" w:cs="仿宋_GB2312"/>
          <w:sz w:val="32"/>
          <w:szCs w:val="32"/>
        </w:rPr>
      </w:pPr>
      <w:bookmarkStart w:id="2" w:name="_Toc21712"/>
      <w:r>
        <w:rPr>
          <w:rFonts w:hint="eastAsia" w:ascii="黑体" w:eastAsia="黑体" w:cs="仿宋_GB2312"/>
          <w:sz w:val="32"/>
          <w:szCs w:val="32"/>
          <w:lang w:eastAsia="zh-CN"/>
        </w:rPr>
        <w:t>二</w:t>
      </w:r>
      <w:r>
        <w:rPr>
          <w:rFonts w:hint="eastAsia" w:ascii="黑体" w:eastAsia="黑体" w:cs="仿宋_GB2312"/>
          <w:sz w:val="32"/>
          <w:szCs w:val="32"/>
        </w:rPr>
        <w:t>、</w:t>
      </w:r>
      <w:r>
        <w:rPr>
          <w:rFonts w:ascii="黑体" w:eastAsia="黑体" w:cs="仿宋_GB2312"/>
          <w:sz w:val="32"/>
          <w:szCs w:val="32"/>
        </w:rPr>
        <w:t>工作计划</w:t>
      </w:r>
      <w:bookmarkEnd w:id="2"/>
    </w:p>
    <w:p>
      <w:pPr>
        <w:numPr>
          <w:ilvl w:val="0"/>
          <w:numId w:val="1"/>
        </w:numPr>
        <w:spacing w:line="240" w:lineRule="auto"/>
        <w:ind w:left="0" w:firstLine="640" w:firstLineChars="200"/>
        <w:rPr>
          <w:rFonts w:hint="eastAsia" w:ascii="仿宋_GB2312" w:eastAsia="仿宋_GB2312" w:cs="仿宋_GB2312"/>
          <w:sz w:val="32"/>
          <w:lang w:val="en-US" w:eastAsia="zh-CN"/>
        </w:rPr>
      </w:pPr>
      <w:r>
        <w:rPr>
          <w:rFonts w:hint="eastAsia" w:ascii="仿宋_GB2312" w:eastAsia="仿宋_GB2312" w:cs="仿宋_GB2312"/>
          <w:sz w:val="32"/>
          <w:lang w:val="en-US" w:eastAsia="zh-CN"/>
        </w:rPr>
        <w:t>持续强化疾控体系建设和中心文化内涵建设，大力营造风清气正、干事创业的工作氛围。</w:t>
      </w:r>
    </w:p>
    <w:p>
      <w:pPr>
        <w:spacing w:line="240" w:lineRule="auto"/>
        <w:ind w:left="0" w:firstLine="640" w:firstLineChars="200"/>
        <w:rPr>
          <w:rFonts w:hint="eastAsia" w:ascii="仿宋_GB2312" w:eastAsia="仿宋_GB2312" w:cs="仿宋_GB2312"/>
          <w:sz w:val="32"/>
          <w:lang w:val="en-US" w:eastAsia="zh-CN"/>
        </w:rPr>
      </w:pPr>
      <w:r>
        <w:rPr>
          <w:rFonts w:hint="eastAsia" w:ascii="仿宋_GB2312" w:eastAsia="仿宋_GB2312" w:cs="仿宋_GB2312"/>
          <w:sz w:val="32"/>
          <w:lang w:val="en-US" w:eastAsia="zh-CN"/>
        </w:rPr>
        <w:t>1.加大公卫、预防医学等紧缺专业人才的申报力度，落实岗位编制申请，强化中心人才建设，积极引进高素质人才，改善中心人才短缺现状。</w:t>
      </w:r>
    </w:p>
    <w:p>
      <w:pPr>
        <w:spacing w:line="240" w:lineRule="auto"/>
        <w:ind w:left="0" w:firstLine="640" w:firstLineChars="200"/>
        <w:rPr>
          <w:rFonts w:hint="eastAsia" w:ascii="仿宋_GB2312" w:eastAsia="仿宋_GB2312" w:cs="仿宋_GB2312"/>
          <w:sz w:val="32"/>
          <w:lang w:val="en-US" w:eastAsia="zh-CN"/>
        </w:rPr>
      </w:pPr>
      <w:r>
        <w:rPr>
          <w:rFonts w:hint="eastAsia" w:ascii="仿宋_GB2312" w:eastAsia="仿宋_GB2312" w:cs="仿宋_GB2312"/>
          <w:sz w:val="32"/>
          <w:lang w:val="en-US" w:eastAsia="zh-CN"/>
        </w:rPr>
        <w:t>2.大力争取社会各方面支持，加大中心软件投入力度，规划和建设中心信息化办公平台。</w:t>
      </w:r>
    </w:p>
    <w:p>
      <w:pPr>
        <w:spacing w:line="240" w:lineRule="auto"/>
        <w:ind w:left="0" w:firstLine="640" w:firstLineChars="200"/>
        <w:rPr>
          <w:rFonts w:hint="eastAsia" w:ascii="仿宋_GB2312" w:eastAsia="仿宋_GB2312" w:cs="仿宋_GB2312"/>
          <w:sz w:val="32"/>
          <w:lang w:val="en-US" w:eastAsia="zh-CN"/>
        </w:rPr>
      </w:pPr>
      <w:r>
        <w:rPr>
          <w:rFonts w:hint="eastAsia" w:ascii="仿宋_GB2312" w:eastAsia="仿宋_GB2312" w:cs="仿宋_GB2312"/>
          <w:sz w:val="32"/>
          <w:lang w:val="en-US" w:eastAsia="zh-CN"/>
        </w:rPr>
        <w:t>3.努力争取疾控项目，抓项目发展，强化项目带动，拓展疾病防控工作新思路，促进我县疾控工作高标准、规范化开展。</w:t>
      </w:r>
    </w:p>
    <w:p>
      <w:pPr>
        <w:spacing w:line="240" w:lineRule="auto"/>
        <w:ind w:left="0" w:firstLine="640" w:firstLineChars="200"/>
        <w:rPr>
          <w:rFonts w:hint="eastAsia" w:ascii="仿宋_GB2312" w:eastAsia="仿宋_GB2312" w:cs="仿宋_GB2312"/>
          <w:sz w:val="32"/>
          <w:lang w:val="en-US" w:eastAsia="zh-CN"/>
        </w:rPr>
      </w:pPr>
      <w:r>
        <w:rPr>
          <w:rFonts w:hint="eastAsia" w:ascii="仿宋_GB2312" w:eastAsia="仿宋_GB2312" w:cs="仿宋_GB2312"/>
          <w:sz w:val="32"/>
          <w:lang w:val="en-US" w:eastAsia="zh-CN"/>
        </w:rPr>
        <w:t>（二）抓好传染病管理，进一步完善应急预案和应急联动机制，进一步提升突发公共卫生事件应急处置能力，保证无重大传染病突发流行，提升人民群众健康水平。</w:t>
      </w:r>
    </w:p>
    <w:p>
      <w:pPr>
        <w:spacing w:line="240" w:lineRule="auto"/>
        <w:ind w:left="0" w:firstLine="640" w:firstLineChars="200"/>
        <w:rPr>
          <w:rFonts w:hint="eastAsia" w:ascii="仿宋_GB2312" w:eastAsia="仿宋_GB2312" w:cs="仿宋_GB2312"/>
          <w:sz w:val="32"/>
          <w:lang w:val="en-US" w:eastAsia="zh-CN"/>
        </w:rPr>
      </w:pPr>
      <w:r>
        <w:rPr>
          <w:rFonts w:hint="eastAsia" w:ascii="仿宋_GB2312" w:eastAsia="仿宋_GB2312" w:cs="仿宋_GB2312"/>
          <w:sz w:val="32"/>
          <w:lang w:val="en-US" w:eastAsia="zh-CN"/>
        </w:rPr>
        <w:t>（三）进一步强化疾病监测检验工作，提升疾病预警推测能力。</w:t>
      </w:r>
    </w:p>
    <w:p>
      <w:pPr>
        <w:spacing w:line="240" w:lineRule="auto"/>
        <w:ind w:left="0" w:firstLine="640" w:firstLineChars="200"/>
        <w:rPr>
          <w:rFonts w:hint="eastAsia" w:ascii="仿宋_GB2312" w:eastAsia="仿宋_GB2312" w:cs="仿宋_GB2312"/>
          <w:sz w:val="32"/>
          <w:lang w:val="en-US" w:eastAsia="zh-CN"/>
        </w:rPr>
      </w:pPr>
      <w:r>
        <w:rPr>
          <w:rFonts w:hint="eastAsia" w:ascii="仿宋_GB2312" w:eastAsia="仿宋_GB2312" w:cs="仿宋_GB2312"/>
          <w:sz w:val="32"/>
          <w:lang w:val="en-US" w:eastAsia="zh-CN"/>
        </w:rPr>
        <w:t>（四）强化基本公共卫生服务均等化指导工作，进一步规范服务质量，大力开展健康教育活动，提升人民群众健康水平。</w:t>
      </w:r>
    </w:p>
    <w:p>
      <w:pPr>
        <w:pStyle w:val="2"/>
        <w:spacing w:line="560" w:lineRule="exact"/>
        <w:ind w:left="0" w:leftChars="0"/>
        <w:outlineLvl w:val="0"/>
        <w:rPr>
          <w:rFonts w:ascii="黑体" w:eastAsia="黑体" w:cs="仿宋_GB2312"/>
          <w:sz w:val="32"/>
          <w:szCs w:val="32"/>
        </w:rPr>
      </w:pPr>
      <w:bookmarkStart w:id="3" w:name="_Toc12382"/>
      <w:r>
        <w:rPr>
          <w:rFonts w:hint="eastAsia" w:ascii="黑体" w:eastAsia="黑体" w:cs="仿宋_GB2312"/>
          <w:sz w:val="32"/>
          <w:szCs w:val="32"/>
          <w:lang w:eastAsia="zh-CN"/>
        </w:rPr>
        <w:t>三</w:t>
      </w:r>
      <w:r>
        <w:rPr>
          <w:rFonts w:hint="eastAsia" w:ascii="黑体" w:eastAsia="黑体" w:cs="仿宋_GB2312"/>
          <w:sz w:val="32"/>
          <w:szCs w:val="32"/>
        </w:rPr>
        <w:t>、主要措施</w:t>
      </w:r>
      <w:bookmarkEnd w:id="3"/>
    </w:p>
    <w:p>
      <w:pPr>
        <w:pStyle w:val="2"/>
        <w:spacing w:line="560" w:lineRule="exact"/>
        <w:ind w:left="0" w:leftChars="0"/>
        <w:rPr>
          <w:rFonts w:hint="eastAsia" w:ascii="仿宋_GB2312" w:eastAsia="仿宋_GB2312" w:cs="仿宋_GB2312"/>
          <w:sz w:val="32"/>
          <w:szCs w:val="32"/>
        </w:rPr>
      </w:pPr>
      <w:r>
        <w:rPr>
          <w:rFonts w:hint="eastAsia" w:ascii="仿宋_GB2312" w:eastAsia="仿宋_GB2312" w:cs="仿宋_GB2312"/>
          <w:sz w:val="32"/>
          <w:szCs w:val="32"/>
        </w:rPr>
        <w:t>1.加强业务培训，提升整体工作能力。</w:t>
      </w:r>
    </w:p>
    <w:p>
      <w:pPr>
        <w:pStyle w:val="2"/>
        <w:spacing w:line="560" w:lineRule="exact"/>
        <w:ind w:left="0" w:leftChars="0"/>
        <w:rPr>
          <w:rFonts w:hint="eastAsia" w:ascii="仿宋_GB2312" w:eastAsia="仿宋_GB2312" w:cs="仿宋_GB2312"/>
          <w:sz w:val="32"/>
          <w:szCs w:val="32"/>
        </w:rPr>
      </w:pPr>
      <w:r>
        <w:rPr>
          <w:rFonts w:hint="eastAsia" w:ascii="仿宋_GB2312" w:eastAsia="仿宋_GB2312" w:cs="仿宋_GB2312"/>
          <w:sz w:val="32"/>
          <w:szCs w:val="32"/>
        </w:rPr>
        <w:t>2.强化“不忘初心 牢记使命”主题教育，确保中心全体职工思想上大提升、大转变，促进思想自信、行动自觉。</w:t>
      </w:r>
    </w:p>
    <w:p>
      <w:pPr>
        <w:pStyle w:val="2"/>
        <w:spacing w:line="560" w:lineRule="exact"/>
        <w:ind w:left="0" w:leftChars="0"/>
        <w:rPr>
          <w:rFonts w:hint="eastAsia" w:ascii="仿宋_GB2312" w:eastAsia="仿宋_GB2312" w:cs="仿宋_GB2312"/>
          <w:sz w:val="32"/>
          <w:szCs w:val="32"/>
        </w:rPr>
      </w:pPr>
      <w:r>
        <w:rPr>
          <w:rFonts w:hint="eastAsia" w:ascii="仿宋_GB2312" w:eastAsia="仿宋_GB2312" w:cs="仿宋_GB2312"/>
          <w:sz w:val="32"/>
          <w:szCs w:val="32"/>
        </w:rPr>
        <w:t>3.持续深化“传帮带”工作内涵，进一步挖掘与支援方的合作潜力，积极争取资金支持。</w:t>
      </w:r>
    </w:p>
    <w:p>
      <w:pPr>
        <w:pStyle w:val="2"/>
        <w:spacing w:line="560" w:lineRule="exact"/>
        <w:ind w:left="0" w:leftChars="0"/>
        <w:rPr>
          <w:rFonts w:hint="eastAsia" w:ascii="仿宋_GB2312" w:eastAsia="仿宋_GB2312" w:cs="仿宋_GB2312"/>
          <w:sz w:val="32"/>
          <w:szCs w:val="32"/>
        </w:rPr>
      </w:pPr>
      <w:r>
        <w:rPr>
          <w:rFonts w:hint="eastAsia" w:ascii="仿宋_GB2312" w:eastAsia="仿宋_GB2312" w:cs="仿宋_GB2312"/>
          <w:sz w:val="32"/>
          <w:szCs w:val="32"/>
        </w:rPr>
        <w:t>4.强化对全县医疗机构疾控工作指导督导力度，提升工作质量。</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outlineLvl w:val="0"/>
        <w:rPr>
          <w:rFonts w:hint="eastAsia" w:ascii="黑体" w:eastAsia="黑体"/>
          <w:sz w:val="32"/>
          <w:szCs w:val="32"/>
        </w:rPr>
      </w:pPr>
      <w:bookmarkStart w:id="4" w:name="_Toc9284"/>
      <w:r>
        <w:rPr>
          <w:rFonts w:hint="eastAsia" w:ascii="黑体" w:eastAsia="黑体"/>
          <w:sz w:val="32"/>
          <w:szCs w:val="32"/>
          <w:lang w:eastAsia="zh-CN"/>
        </w:rPr>
        <w:t>四</w:t>
      </w:r>
      <w:r>
        <w:rPr>
          <w:rFonts w:hint="eastAsia" w:ascii="黑体" w:eastAsia="黑体"/>
          <w:sz w:val="32"/>
          <w:szCs w:val="32"/>
        </w:rPr>
        <w:t>、部门</w:t>
      </w:r>
      <w:r>
        <w:rPr>
          <w:rFonts w:hint="eastAsia" w:ascii="黑体" w:eastAsia="黑体"/>
          <w:sz w:val="32"/>
          <w:szCs w:val="32"/>
          <w:lang w:eastAsia="zh-CN"/>
        </w:rPr>
        <w:t>预算单位构成</w:t>
      </w:r>
      <w:bookmarkEnd w:id="4"/>
    </w:p>
    <w:p>
      <w:pPr>
        <w:keepNext w:val="0"/>
        <w:keepLines w:val="0"/>
        <w:pageBreakBefore w:val="0"/>
        <w:widowControl/>
        <w:kinsoku/>
        <w:wordWrap/>
        <w:overflowPunct/>
        <w:topLinePunct w:val="0"/>
        <w:bidi w:val="0"/>
        <w:adjustRightInd/>
        <w:snapToGrid/>
        <w:spacing w:line="540" w:lineRule="exact"/>
        <w:ind w:right="0" w:firstLine="640" w:firstLineChars="200"/>
        <w:jc w:val="left"/>
        <w:textAlignment w:val="auto"/>
        <w:outlineLvl w:val="9"/>
        <w:rPr>
          <w:rFonts w:hint="eastAsia" w:ascii="仿宋_GB2312" w:eastAsia="仿宋_GB2312"/>
          <w:sz w:val="32"/>
          <w:szCs w:val="32"/>
          <w:lang w:eastAsia="zh-CN"/>
        </w:rPr>
      </w:pPr>
      <w:r>
        <w:rPr>
          <w:rFonts w:hint="eastAsia" w:ascii="仿宋_GB2312" w:eastAsia="仿宋_GB2312" w:cs="仿宋"/>
          <w:bCs/>
          <w:sz w:val="32"/>
          <w:szCs w:val="32"/>
        </w:rPr>
        <w:t>本单位为</w:t>
      </w:r>
      <w:r>
        <w:rPr>
          <w:rFonts w:hint="eastAsia" w:ascii="仿宋_GB2312" w:eastAsia="仿宋_GB2312" w:cs="仿宋"/>
          <w:bCs/>
          <w:sz w:val="32"/>
          <w:szCs w:val="32"/>
          <w:lang w:eastAsia="zh-CN"/>
        </w:rPr>
        <w:t>红原县卫生健康局</w:t>
      </w:r>
      <w:r>
        <w:rPr>
          <w:rFonts w:hint="eastAsia" w:ascii="仿宋_GB2312" w:eastAsia="仿宋_GB2312" w:cs="仿宋"/>
          <w:bCs/>
          <w:sz w:val="32"/>
          <w:szCs w:val="32"/>
        </w:rPr>
        <w:t>所属</w:t>
      </w:r>
      <w:r>
        <w:rPr>
          <w:rFonts w:hint="eastAsia" w:ascii="仿宋_GB2312" w:eastAsia="仿宋_GB2312" w:cs="仿宋"/>
          <w:bCs/>
          <w:sz w:val="32"/>
          <w:szCs w:val="32"/>
          <w:lang w:eastAsia="zh-CN"/>
        </w:rPr>
        <w:t>二</w:t>
      </w:r>
      <w:r>
        <w:rPr>
          <w:rFonts w:hint="eastAsia" w:ascii="仿宋_GB2312" w:eastAsia="仿宋_GB2312" w:cs="仿宋"/>
          <w:bCs/>
          <w:sz w:val="32"/>
          <w:szCs w:val="32"/>
        </w:rPr>
        <w:t>级</w:t>
      </w:r>
      <w:r>
        <w:rPr>
          <w:rFonts w:hint="eastAsia" w:ascii="仿宋_GB2312" w:eastAsia="仿宋_GB2312" w:cs="仿宋"/>
          <w:bCs/>
          <w:spacing w:val="14"/>
          <w:sz w:val="32"/>
          <w:szCs w:val="32"/>
        </w:rPr>
        <w:t>预算单位，单位性质</w:t>
      </w:r>
      <w:r>
        <w:rPr>
          <w:rFonts w:hint="eastAsia" w:ascii="仿宋_GB2312" w:eastAsia="仿宋_GB2312" w:cs="仿宋"/>
          <w:bCs/>
          <w:sz w:val="32"/>
          <w:szCs w:val="32"/>
        </w:rPr>
        <w:t>为</w:t>
      </w:r>
      <w:r>
        <w:rPr>
          <w:rFonts w:hint="eastAsia" w:ascii="仿宋_GB2312" w:eastAsia="仿宋_GB2312" w:cs="仿宋"/>
          <w:bCs/>
          <w:sz w:val="32"/>
          <w:szCs w:val="32"/>
          <w:lang w:eastAsia="zh-CN"/>
        </w:rPr>
        <w:t>全额拨款公益一类事业单位；</w:t>
      </w:r>
      <w:r>
        <w:rPr>
          <w:rFonts w:hint="eastAsia" w:ascii="仿宋_GB2312" w:eastAsia="仿宋_GB2312" w:cs="仿宋"/>
          <w:bCs/>
          <w:sz w:val="32"/>
          <w:szCs w:val="32"/>
        </w:rPr>
        <w:t>单位</w:t>
      </w:r>
      <w:r>
        <w:rPr>
          <w:rFonts w:hint="eastAsia" w:ascii="仿宋_GB2312" w:eastAsia="仿宋_GB2312"/>
          <w:sz w:val="32"/>
          <w:szCs w:val="32"/>
          <w:lang w:eastAsia="zh-CN"/>
        </w:rPr>
        <w:t>下设科室</w:t>
      </w:r>
      <w:r>
        <w:rPr>
          <w:rFonts w:hint="eastAsia" w:ascii="仿宋_GB2312" w:eastAsia="仿宋_GB2312"/>
          <w:sz w:val="32"/>
          <w:szCs w:val="32"/>
          <w:lang w:val="en-US" w:eastAsia="zh-CN"/>
        </w:rPr>
        <w:t>12</w:t>
      </w:r>
      <w:r>
        <w:rPr>
          <w:rFonts w:hint="eastAsia" w:ascii="仿宋_GB2312" w:eastAsia="仿宋_GB2312"/>
          <w:sz w:val="32"/>
          <w:szCs w:val="32"/>
        </w:rPr>
        <w:t>个，</w:t>
      </w:r>
      <w:r>
        <w:rPr>
          <w:rFonts w:hint="eastAsia" w:ascii="仿宋_GB2312" w:eastAsia="仿宋_GB2312"/>
          <w:sz w:val="32"/>
          <w:szCs w:val="32"/>
          <w:lang w:eastAsia="zh-CN"/>
        </w:rPr>
        <w:t>分别是：主任办公室</w:t>
      </w:r>
      <w:r>
        <w:rPr>
          <w:rFonts w:hint="eastAsia" w:ascii="仿宋_GB2312" w:eastAsia="仿宋_GB2312"/>
          <w:sz w:val="32"/>
          <w:szCs w:val="32"/>
          <w:lang w:val="en-US" w:eastAsia="zh-CN"/>
        </w:rPr>
        <w:t>，副主任办公室，党建办，行政办公室，财务室，地防科，结艾科，传管科，监测及包虫病办公室，免规科，检验科，公卫科</w:t>
      </w:r>
      <w:r>
        <w:rPr>
          <w:rFonts w:hint="eastAsia" w:ascii="仿宋_GB2312" w:eastAsia="仿宋_GB2312"/>
          <w:sz w:val="32"/>
          <w:szCs w:val="32"/>
          <w:lang w:eastAsia="zh-CN"/>
        </w:rPr>
        <w:t>。</w:t>
      </w:r>
    </w:p>
    <w:p>
      <w:pPr>
        <w:keepNext w:val="0"/>
        <w:keepLines w:val="0"/>
        <w:pageBreakBefore w:val="0"/>
        <w:widowControl/>
        <w:kinsoku/>
        <w:wordWrap/>
        <w:overflowPunct/>
        <w:topLinePunct w:val="0"/>
        <w:adjustRightInd/>
        <w:snapToGrid/>
        <w:spacing w:line="540" w:lineRule="exact"/>
        <w:ind w:firstLine="640" w:firstLineChars="200"/>
        <w:jc w:val="left"/>
        <w:rPr>
          <w:rFonts w:hint="eastAsia" w:ascii="仿宋_GB2312" w:eastAsia="仿宋_GB2312" w:cs="宋体"/>
          <w:color w:val="000000"/>
          <w:kern w:val="0"/>
          <w:sz w:val="32"/>
          <w:szCs w:val="32"/>
        </w:rPr>
      </w:pPr>
      <w:r>
        <w:rPr>
          <w:rFonts w:hint="eastAsia" w:ascii="仿宋_GB2312" w:eastAsia="仿宋_GB2312" w:cs="宋体"/>
          <w:color w:val="000000"/>
          <w:kern w:val="0"/>
          <w:sz w:val="32"/>
          <w:szCs w:val="32"/>
        </w:rPr>
        <w:t>总编制</w:t>
      </w:r>
      <w:r>
        <w:rPr>
          <w:rFonts w:hint="eastAsia" w:ascii="仿宋_GB2312" w:eastAsia="仿宋_GB2312" w:cs="宋体"/>
          <w:color w:val="000000"/>
          <w:kern w:val="0"/>
          <w:sz w:val="32"/>
          <w:szCs w:val="32"/>
          <w:lang w:val="en-US" w:eastAsia="zh-CN"/>
        </w:rPr>
        <w:t>39</w:t>
      </w:r>
      <w:r>
        <w:rPr>
          <w:rFonts w:hint="eastAsia" w:ascii="仿宋_GB2312" w:eastAsia="仿宋_GB2312" w:cs="宋体"/>
          <w:color w:val="000000"/>
          <w:kern w:val="0"/>
          <w:sz w:val="32"/>
          <w:szCs w:val="32"/>
        </w:rPr>
        <w:t>名,其中:事业编制</w:t>
      </w:r>
      <w:r>
        <w:rPr>
          <w:rFonts w:hint="eastAsia" w:ascii="仿宋_GB2312" w:eastAsia="仿宋_GB2312" w:cs="宋体"/>
          <w:color w:val="000000"/>
          <w:kern w:val="0"/>
          <w:sz w:val="32"/>
          <w:szCs w:val="32"/>
          <w:lang w:val="en-US" w:eastAsia="zh-CN"/>
        </w:rPr>
        <w:t>39</w:t>
      </w:r>
      <w:r>
        <w:rPr>
          <w:rFonts w:hint="eastAsia" w:ascii="仿宋_GB2312" w:eastAsia="仿宋_GB2312" w:cs="宋体"/>
          <w:color w:val="000000"/>
          <w:kern w:val="0"/>
          <w:sz w:val="32"/>
          <w:szCs w:val="32"/>
        </w:rPr>
        <w:t>名。在职人员总数</w:t>
      </w:r>
      <w:r>
        <w:rPr>
          <w:rFonts w:hint="eastAsia" w:ascii="仿宋_GB2312" w:eastAsia="仿宋_GB2312" w:cs="宋体"/>
          <w:color w:val="000000"/>
          <w:kern w:val="0"/>
          <w:sz w:val="32"/>
          <w:szCs w:val="32"/>
          <w:lang w:val="en-US" w:eastAsia="zh-CN"/>
        </w:rPr>
        <w:t>37</w:t>
      </w:r>
      <w:r>
        <w:rPr>
          <w:rFonts w:hint="eastAsia" w:ascii="仿宋_GB2312" w:eastAsia="仿宋_GB2312" w:cs="宋体"/>
          <w:color w:val="000000"/>
          <w:kern w:val="0"/>
          <w:sz w:val="32"/>
          <w:szCs w:val="32"/>
        </w:rPr>
        <w:t>名，其中：事业</w:t>
      </w:r>
      <w:r>
        <w:rPr>
          <w:rFonts w:hint="eastAsia" w:ascii="仿宋_GB2312" w:eastAsia="仿宋_GB2312" w:cs="宋体"/>
          <w:color w:val="000000"/>
          <w:kern w:val="0"/>
          <w:sz w:val="32"/>
          <w:szCs w:val="32"/>
          <w:lang w:eastAsia="zh-CN"/>
        </w:rPr>
        <w:t>专技</w:t>
      </w:r>
      <w:r>
        <w:rPr>
          <w:rFonts w:hint="eastAsia" w:ascii="仿宋_GB2312" w:eastAsia="仿宋_GB2312" w:cs="宋体"/>
          <w:color w:val="000000"/>
          <w:kern w:val="0"/>
          <w:sz w:val="32"/>
          <w:szCs w:val="32"/>
        </w:rPr>
        <w:t>人员</w:t>
      </w:r>
      <w:r>
        <w:rPr>
          <w:rFonts w:hint="eastAsia" w:ascii="仿宋_GB2312" w:eastAsia="仿宋_GB2312" w:cs="宋体"/>
          <w:color w:val="000000"/>
          <w:kern w:val="0"/>
          <w:sz w:val="32"/>
          <w:szCs w:val="32"/>
          <w:lang w:val="en-US" w:eastAsia="zh-CN"/>
        </w:rPr>
        <w:t>33</w:t>
      </w:r>
      <w:r>
        <w:rPr>
          <w:rFonts w:hint="eastAsia" w:ascii="仿宋_GB2312" w:eastAsia="仿宋_GB2312" w:cs="宋体"/>
          <w:color w:val="000000"/>
          <w:kern w:val="0"/>
          <w:sz w:val="32"/>
          <w:szCs w:val="32"/>
        </w:rPr>
        <w:t>名，事业</w:t>
      </w:r>
      <w:r>
        <w:rPr>
          <w:rFonts w:hint="eastAsia" w:ascii="仿宋_GB2312" w:eastAsia="仿宋_GB2312" w:cs="宋体"/>
          <w:color w:val="000000"/>
          <w:kern w:val="0"/>
          <w:sz w:val="32"/>
          <w:szCs w:val="32"/>
          <w:lang w:eastAsia="zh-CN"/>
        </w:rPr>
        <w:t>管理</w:t>
      </w:r>
      <w:r>
        <w:rPr>
          <w:rFonts w:hint="eastAsia" w:ascii="仿宋_GB2312" w:eastAsia="仿宋_GB2312" w:cs="宋体"/>
          <w:color w:val="000000"/>
          <w:kern w:val="0"/>
          <w:sz w:val="32"/>
          <w:szCs w:val="32"/>
        </w:rPr>
        <w:t>人员</w:t>
      </w:r>
      <w:r>
        <w:rPr>
          <w:rFonts w:hint="eastAsia" w:ascii="仿宋_GB2312" w:eastAsia="仿宋_GB2312" w:cs="宋体"/>
          <w:color w:val="000000"/>
          <w:kern w:val="0"/>
          <w:sz w:val="32"/>
          <w:szCs w:val="32"/>
          <w:lang w:val="en-US" w:eastAsia="zh-CN"/>
        </w:rPr>
        <w:t>1</w:t>
      </w:r>
      <w:r>
        <w:rPr>
          <w:rFonts w:hint="eastAsia" w:ascii="仿宋_GB2312" w:eastAsia="仿宋_GB2312" w:cs="宋体"/>
          <w:color w:val="000000"/>
          <w:kern w:val="0"/>
          <w:sz w:val="32"/>
          <w:szCs w:val="32"/>
        </w:rPr>
        <w:t>名；</w:t>
      </w:r>
      <w:r>
        <w:rPr>
          <w:rFonts w:hint="eastAsia" w:ascii="仿宋_GB2312" w:eastAsia="仿宋_GB2312" w:cs="宋体"/>
          <w:color w:val="000000"/>
          <w:kern w:val="0"/>
          <w:sz w:val="32"/>
          <w:szCs w:val="32"/>
          <w:lang w:eastAsia="zh-CN"/>
        </w:rPr>
        <w:t>工勤</w:t>
      </w:r>
      <w:r>
        <w:rPr>
          <w:rFonts w:hint="eastAsia" w:ascii="仿宋_GB2312" w:eastAsia="仿宋_GB2312" w:cs="宋体"/>
          <w:color w:val="000000"/>
          <w:kern w:val="0"/>
          <w:sz w:val="32"/>
          <w:szCs w:val="32"/>
        </w:rPr>
        <w:t>人员</w:t>
      </w:r>
      <w:r>
        <w:rPr>
          <w:rFonts w:hint="eastAsia" w:ascii="仿宋_GB2312" w:eastAsia="仿宋_GB2312" w:cs="宋体"/>
          <w:color w:val="000000"/>
          <w:kern w:val="0"/>
          <w:sz w:val="32"/>
          <w:szCs w:val="32"/>
          <w:lang w:val="en-US" w:eastAsia="zh-CN"/>
        </w:rPr>
        <w:t>3</w:t>
      </w:r>
      <w:r>
        <w:rPr>
          <w:rFonts w:hint="eastAsia" w:ascii="仿宋_GB2312" w:eastAsia="仿宋_GB2312" w:cs="宋体"/>
          <w:color w:val="000000"/>
          <w:kern w:val="0"/>
          <w:sz w:val="32"/>
          <w:szCs w:val="32"/>
        </w:rPr>
        <w:t>人，退休人员</w:t>
      </w:r>
      <w:r>
        <w:rPr>
          <w:rFonts w:hint="eastAsia" w:ascii="仿宋_GB2312" w:eastAsia="仿宋_GB2312" w:cs="宋体"/>
          <w:color w:val="000000"/>
          <w:kern w:val="0"/>
          <w:sz w:val="32"/>
          <w:szCs w:val="32"/>
          <w:lang w:val="en-US" w:eastAsia="zh-CN"/>
        </w:rPr>
        <w:t>13</w:t>
      </w:r>
      <w:r>
        <w:rPr>
          <w:rFonts w:hint="eastAsia" w:ascii="仿宋_GB2312" w:eastAsia="仿宋_GB2312" w:cs="宋体"/>
          <w:color w:val="000000"/>
          <w:kern w:val="0"/>
          <w:sz w:val="32"/>
          <w:szCs w:val="32"/>
        </w:rPr>
        <w:t>人。</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outlineLvl w:val="0"/>
        <w:rPr>
          <w:rFonts w:hint="eastAsia" w:ascii="黑体" w:eastAsia="黑体"/>
          <w:sz w:val="32"/>
          <w:szCs w:val="32"/>
        </w:rPr>
      </w:pPr>
      <w:bookmarkStart w:id="5" w:name="_Toc5143"/>
      <w:r>
        <w:rPr>
          <w:rFonts w:hint="eastAsia" w:ascii="黑体" w:eastAsia="黑体"/>
          <w:sz w:val="32"/>
          <w:szCs w:val="32"/>
          <w:lang w:eastAsia="zh-CN"/>
        </w:rPr>
        <w:t>五</w:t>
      </w:r>
      <w:r>
        <w:rPr>
          <w:rFonts w:hint="eastAsia" w:ascii="黑体" w:eastAsia="黑体"/>
          <w:sz w:val="32"/>
          <w:szCs w:val="32"/>
        </w:rPr>
        <w:t>、收支预算总体情况</w:t>
      </w:r>
      <w:bookmarkEnd w:id="5"/>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eastAsia="zh-CN"/>
        </w:rPr>
        <w:t>红原县疾病预防控制中心</w:t>
      </w:r>
      <w:r>
        <w:rPr>
          <w:rFonts w:hint="eastAsia" w:ascii="仿宋_GB2312" w:eastAsia="仿宋_GB2312"/>
          <w:sz w:val="32"/>
          <w:szCs w:val="32"/>
        </w:rPr>
        <w:t>收入预算总额为</w:t>
      </w:r>
      <w:r>
        <w:rPr>
          <w:rFonts w:hint="eastAsia" w:ascii="仿宋_GB2312" w:eastAsia="仿宋_GB2312"/>
          <w:sz w:val="32"/>
          <w:szCs w:val="32"/>
          <w:lang w:val="en-US" w:eastAsia="zh-CN"/>
        </w:rPr>
        <w:t>653.03</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653.03</w:t>
      </w:r>
      <w:r>
        <w:rPr>
          <w:rFonts w:hint="eastAsia" w:ascii="仿宋_GB2312" w:eastAsia="仿宋_GB2312"/>
          <w:sz w:val="32"/>
          <w:szCs w:val="32"/>
        </w:rPr>
        <w:t>万元。相应安排支出预算</w:t>
      </w:r>
      <w:r>
        <w:rPr>
          <w:rFonts w:hint="eastAsia" w:ascii="仿宋_GB2312" w:eastAsia="仿宋_GB2312"/>
          <w:sz w:val="32"/>
          <w:szCs w:val="32"/>
          <w:lang w:val="en-US" w:eastAsia="zh-CN"/>
        </w:rPr>
        <w:t>653.03</w:t>
      </w:r>
      <w:r>
        <w:rPr>
          <w:rFonts w:hint="eastAsia" w:ascii="仿宋_GB2312" w:eastAsia="仿宋_GB2312"/>
          <w:sz w:val="32"/>
          <w:szCs w:val="32"/>
        </w:rPr>
        <w:t>万元，其中：社会保障和就业</w:t>
      </w:r>
      <w:r>
        <w:rPr>
          <w:rFonts w:hint="eastAsia" w:ascii="仿宋_GB2312" w:eastAsia="仿宋_GB2312"/>
          <w:sz w:val="32"/>
          <w:szCs w:val="32"/>
          <w:lang w:val="en-US" w:eastAsia="zh-CN"/>
        </w:rPr>
        <w:t>90.51</w:t>
      </w:r>
      <w:r>
        <w:rPr>
          <w:rFonts w:hint="eastAsia" w:ascii="仿宋_GB2312" w:eastAsia="仿宋_GB2312"/>
          <w:sz w:val="32"/>
          <w:szCs w:val="32"/>
        </w:rPr>
        <w:t>万元，医疗卫生</w:t>
      </w:r>
      <w:r>
        <w:rPr>
          <w:rFonts w:hint="eastAsia" w:ascii="仿宋_GB2312" w:eastAsia="仿宋_GB2312"/>
          <w:sz w:val="32"/>
          <w:szCs w:val="32"/>
          <w:lang w:val="en-US" w:eastAsia="zh-CN"/>
        </w:rPr>
        <w:t>500.75</w:t>
      </w:r>
      <w:r>
        <w:rPr>
          <w:rFonts w:hint="eastAsia" w:ascii="仿宋_GB2312" w:eastAsia="仿宋_GB2312"/>
          <w:sz w:val="32"/>
          <w:szCs w:val="32"/>
        </w:rPr>
        <w:t>万元，住房保障支出</w:t>
      </w:r>
      <w:r>
        <w:rPr>
          <w:rFonts w:hint="eastAsia" w:ascii="仿宋_GB2312" w:eastAsia="仿宋_GB2312"/>
          <w:sz w:val="32"/>
          <w:szCs w:val="32"/>
          <w:lang w:val="en-US" w:eastAsia="zh-CN"/>
        </w:rPr>
        <w:t>61.76</w:t>
      </w:r>
      <w:r>
        <w:rPr>
          <w:rFonts w:hint="eastAsia" w:ascii="仿宋_GB2312" w:eastAsia="仿宋_GB2312"/>
          <w:sz w:val="32"/>
          <w:szCs w:val="32"/>
        </w:rPr>
        <w:t>万元。</w:t>
      </w:r>
    </w:p>
    <w:p>
      <w:pPr>
        <w:pStyle w:val="2"/>
        <w:ind w:left="0" w:leftChars="0" w:firstLine="640" w:firstLineChars="200"/>
        <w:outlineLvl w:val="0"/>
        <w:rPr>
          <w:rFonts w:hint="eastAsia" w:ascii="楷体_GB2312" w:eastAsia="楷体_GB2312" w:cs="楷体_GB2312"/>
          <w:sz w:val="32"/>
          <w:szCs w:val="32"/>
          <w:lang w:eastAsia="zh-CN"/>
        </w:rPr>
      </w:pPr>
      <w:bookmarkStart w:id="6" w:name="_Toc1147"/>
      <w:r>
        <w:rPr>
          <w:rFonts w:hint="eastAsia" w:ascii="楷体_GB2312" w:eastAsia="楷体_GB2312" w:cs="楷体_GB2312"/>
          <w:sz w:val="32"/>
          <w:szCs w:val="32"/>
          <w:lang w:eastAsia="zh-CN"/>
        </w:rPr>
        <w:t>六、支出预算安排情况</w:t>
      </w:r>
      <w:bookmarkEnd w:id="6"/>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红原县疾病预防控制中心</w:t>
      </w:r>
      <w:r>
        <w:rPr>
          <w:rFonts w:hint="eastAsia" w:ascii="仿宋_GB2312" w:eastAsia="仿宋_GB2312"/>
          <w:sz w:val="32"/>
          <w:szCs w:val="32"/>
        </w:rPr>
        <w:t>支出预算安排情况预算安排支出主要用于保障该部门机构正常运转、完成日常工作任务以及承担</w:t>
      </w:r>
      <w:r>
        <w:rPr>
          <w:rFonts w:hint="eastAsia" w:ascii="仿宋_GB2312" w:eastAsia="仿宋_GB2312"/>
          <w:sz w:val="32"/>
          <w:szCs w:val="32"/>
          <w:lang w:eastAsia="zh-CN"/>
        </w:rPr>
        <w:t>卫生</w:t>
      </w:r>
      <w:r>
        <w:rPr>
          <w:rFonts w:hint="eastAsia" w:ascii="仿宋_GB2312" w:eastAsia="仿宋_GB2312"/>
          <w:sz w:val="32"/>
          <w:szCs w:val="32"/>
        </w:rPr>
        <w:t xml:space="preserve">事业发展相关工作。  </w:t>
      </w:r>
    </w:p>
    <w:p>
      <w:pPr>
        <w:keepNext w:val="0"/>
        <w:keepLines w:val="0"/>
        <w:pageBreakBefore w:val="0"/>
        <w:widowControl w:val="0"/>
        <w:kinsoku/>
        <w:wordWrap/>
        <w:overflowPunct/>
        <w:topLinePunct w:val="0"/>
        <w:autoSpaceDE/>
        <w:autoSpaceDN/>
        <w:bidi w:val="0"/>
        <w:spacing w:line="560" w:lineRule="exact"/>
        <w:ind w:left="0" w:right="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625.77</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580.47万元，公用经费45.3万元，其中：办公费12.1万元，差旅费6.0万元，工会经费6.53万元，公务用车运行维护费4.0万元，印刷费0.2万元，培训费0万元，手续费0.1万元，电费2.0万元，取暖费3.3万元，维修维护费2.5万元，租赁费0万元，专用材料费0万元，公务接待费0.67万元，劳务费6.0万元，邮电费2万元，信息网络购建费0.41万元，对家庭和个人的补助1.47万元。</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90.51</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500.75</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61.76</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outlineLvl w:val="0"/>
        <w:rPr>
          <w:rFonts w:hint="eastAsia" w:ascii="黑体" w:eastAsia="黑体" w:cs="黑体"/>
          <w:sz w:val="32"/>
          <w:szCs w:val="32"/>
        </w:rPr>
      </w:pPr>
      <w:r>
        <w:rPr>
          <w:rFonts w:hint="eastAsia" w:ascii="黑体" w:eastAsia="黑体" w:cs="黑体"/>
          <w:color w:val="333333"/>
          <w:kern w:val="0"/>
          <w:sz w:val="32"/>
          <w:szCs w:val="32"/>
          <w:shd w:val="clear" w:color="auto" w:fill="FFFFFF"/>
          <w:lang w:val="en-US" w:eastAsia="zh-CN"/>
        </w:rPr>
        <w:t xml:space="preserve"> </w:t>
      </w:r>
      <w:bookmarkStart w:id="7" w:name="_Toc19557"/>
      <w:r>
        <w:rPr>
          <w:rFonts w:hint="eastAsia" w:ascii="黑体" w:eastAsia="黑体" w:cs="黑体"/>
          <w:color w:val="333333"/>
          <w:kern w:val="0"/>
          <w:sz w:val="32"/>
          <w:szCs w:val="32"/>
          <w:shd w:val="clear" w:color="auto" w:fill="FFFFFF"/>
          <w:lang w:val="en-US" w:eastAsia="zh-CN"/>
        </w:rPr>
        <w:t>七、较上年度增减变化</w:t>
      </w:r>
      <w:bookmarkEnd w:id="7"/>
      <w:r>
        <w:rPr>
          <w:rFonts w:hint="eastAsia" w:ascii="黑体" w:eastAsia="黑体" w:cs="黑体"/>
          <w:color w:val="333333"/>
          <w:kern w:val="0"/>
          <w:sz w:val="32"/>
          <w:szCs w:val="32"/>
          <w:shd w:val="clear" w:color="auto" w:fill="FFFFFF"/>
          <w:lang w:val="en-US" w:eastAsia="zh-CN"/>
        </w:rPr>
        <w:t xml:space="preserve"> </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本年度预算拨款收入653.03万元较上年度预算633.42万元增加了3.09%，其中基本经费预算437.95万元，占全部总预算的67%，较上年持平；专项业务工作经费预算27.26</w:t>
      </w:r>
      <w:r>
        <w:rPr>
          <w:rFonts w:hint="eastAsia" w:ascii="仿宋_GB2312" w:eastAsia="仿宋_GB2312"/>
          <w:i w:val="0"/>
          <w:iCs w:val="0"/>
          <w:sz w:val="32"/>
          <w:szCs w:val="32"/>
          <w:lang w:val="en-US" w:eastAsia="zh-CN"/>
        </w:rPr>
        <w:t>万元，占总预算的33%，较上年预算25.48万元增加了6.9%，</w:t>
      </w:r>
      <w:r>
        <w:rPr>
          <w:rFonts w:hint="eastAsia" w:ascii="仿宋_GB2312" w:eastAsia="仿宋_GB2312"/>
          <w:sz w:val="32"/>
          <w:szCs w:val="32"/>
          <w:lang w:val="en-US" w:eastAsia="zh-CN"/>
        </w:rPr>
        <w:t xml:space="preserve">主要原因为红原县2022年增加了严重精神障碍患者，增加了监护经费开支。 </w:t>
      </w:r>
      <w:r>
        <w:rPr>
          <w:rFonts w:hint="eastAsia" w:ascii="黑体" w:eastAsia="黑体" w:cs="黑体"/>
          <w:color w:val="333333"/>
          <w:kern w:val="0"/>
          <w:sz w:val="32"/>
          <w:szCs w:val="32"/>
          <w:shd w:val="clear" w:color="auto" w:fill="FFFFFF"/>
          <w:lang w:val="en-US" w:eastAsia="zh-CN"/>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outlineLvl w:val="0"/>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 xml:space="preserve"> </w:t>
      </w:r>
      <w:bookmarkStart w:id="8" w:name="_Toc24407"/>
      <w:r>
        <w:rPr>
          <w:rFonts w:hint="eastAsia" w:ascii="黑体" w:eastAsia="黑体" w:cs="黑体"/>
          <w:color w:val="333333"/>
          <w:kern w:val="0"/>
          <w:sz w:val="32"/>
          <w:szCs w:val="32"/>
          <w:shd w:val="clear" w:color="auto" w:fill="FFFFFF"/>
          <w:lang w:val="en-US" w:eastAsia="zh-CN"/>
        </w:rPr>
        <w:t>八、“三公”经费预算</w:t>
      </w:r>
      <w:bookmarkEnd w:id="8"/>
      <w:r>
        <w:rPr>
          <w:rFonts w:hint="eastAsia" w:ascii="黑体" w:eastAsia="黑体" w:cs="黑体"/>
          <w:color w:val="333333"/>
          <w:kern w:val="0"/>
          <w:sz w:val="32"/>
          <w:szCs w:val="32"/>
          <w:shd w:val="clear" w:color="auto" w:fill="FFFFFF"/>
          <w:lang w:val="en-US" w:eastAsia="zh-CN"/>
        </w:rPr>
        <w:t xml:space="preserve"> </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三公经费预算安排支出为4.67万元，其中：出国费0万元，与上年持平，主要原因为未安排因公出国；公车购置费0元，与上年持平；公务用车维护费支出4万元，较上年度预算减少，主要原因为本年度各业务科室下乡检查，督导在项目中支出；接待费0.67万元，较上年增加1.5%，省、州各级领导到本县检查，督导次数增加；在今后的工作中，我们将严格执行“八项规定、六项禁令”，结合本年度工作需要，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outlineLvl w:val="0"/>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 xml:space="preserve"> </w:t>
      </w:r>
      <w:bookmarkStart w:id="9" w:name="_Toc1179"/>
      <w:r>
        <w:rPr>
          <w:rFonts w:hint="eastAsia" w:ascii="黑体" w:eastAsia="黑体" w:cs="黑体"/>
          <w:color w:val="333333"/>
          <w:kern w:val="0"/>
          <w:sz w:val="32"/>
          <w:szCs w:val="32"/>
          <w:shd w:val="clear" w:color="auto" w:fill="FFFFFF"/>
          <w:lang w:val="en-US" w:eastAsia="zh-CN"/>
        </w:rPr>
        <w:t>九、政府性基金预算收支情况说明</w:t>
      </w:r>
      <w:bookmarkEnd w:id="9"/>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2022年没有使用政府性基金预算拨款安排的支出。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outlineLvl w:val="0"/>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 xml:space="preserve"> </w:t>
      </w:r>
      <w:bookmarkStart w:id="10" w:name="_Toc24559"/>
      <w:r>
        <w:rPr>
          <w:rFonts w:hint="eastAsia" w:ascii="黑体" w:eastAsia="黑体" w:cs="黑体"/>
          <w:color w:val="333333"/>
          <w:kern w:val="0"/>
          <w:sz w:val="32"/>
          <w:szCs w:val="32"/>
          <w:shd w:val="clear" w:color="auto" w:fill="FFFFFF"/>
          <w:lang w:val="en-US" w:eastAsia="zh-CN"/>
        </w:rPr>
        <w:t>十、国有资本经营预算收支情况说明</w:t>
      </w:r>
      <w:bookmarkEnd w:id="10"/>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2022年没有使用国有资本经营预算拨款安排的支出。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outlineLvl w:val="0"/>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 xml:space="preserve"> </w:t>
      </w:r>
      <w:bookmarkStart w:id="11" w:name="_Toc31811"/>
      <w:r>
        <w:rPr>
          <w:rFonts w:hint="eastAsia" w:ascii="黑体" w:eastAsia="黑体" w:cs="黑体"/>
          <w:color w:val="333333"/>
          <w:kern w:val="0"/>
          <w:sz w:val="32"/>
          <w:szCs w:val="32"/>
          <w:shd w:val="clear" w:color="auto" w:fill="FFFFFF"/>
          <w:lang w:val="en-US" w:eastAsia="zh-CN"/>
        </w:rPr>
        <w:t>十一、其他重要事项的情况说明</w:t>
      </w:r>
      <w:bookmarkEnd w:id="11"/>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eastAsia="黑体" w:cs="黑体"/>
          <w:color w:val="333333"/>
          <w:kern w:val="0"/>
          <w:sz w:val="32"/>
          <w:szCs w:val="32"/>
          <w:shd w:val="clear" w:color="auto" w:fill="FFFFFF"/>
          <w:lang w:val="en-US" w:eastAsia="zh-CN"/>
        </w:rPr>
      </w:pPr>
      <w:r>
        <w:rPr>
          <w:rFonts w:hint="eastAsia" w:ascii="楷体_GB2312" w:eastAsia="楷体_GB2312" w:cs="楷体_GB2312"/>
          <w:b/>
          <w:bCs/>
          <w:color w:val="333333"/>
          <w:kern w:val="0"/>
          <w:sz w:val="32"/>
          <w:szCs w:val="32"/>
          <w:shd w:val="clear" w:color="auto" w:fill="FFFFFF"/>
          <w:lang w:val="en-US" w:eastAsia="zh-CN"/>
        </w:rPr>
        <w:t xml:space="preserve"> （一）政府采购预算情况</w:t>
      </w:r>
      <w:r>
        <w:rPr>
          <w:rFonts w:hint="eastAsia" w:ascii="黑体" w:eastAsia="黑体" w:cs="黑体"/>
          <w:color w:val="333333"/>
          <w:kern w:val="0"/>
          <w:sz w:val="32"/>
          <w:szCs w:val="32"/>
          <w:shd w:val="clear" w:color="auto" w:fill="FFFFFF"/>
          <w:lang w:val="en-US" w:eastAsia="zh-CN"/>
        </w:rPr>
        <w:t xml:space="preserve"> </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2022年度安排政府采购预算0万元。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pPr>
      <w:r>
        <w:rPr>
          <w:rFonts w:hint="eastAsia" w:ascii="楷体_GB2312" w:eastAsia="楷体_GB2312" w:cs="楷体_GB2312"/>
          <w:b/>
          <w:bCs/>
          <w:color w:val="333333"/>
          <w:kern w:val="0"/>
          <w:sz w:val="32"/>
          <w:szCs w:val="32"/>
          <w:shd w:val="clear" w:color="auto" w:fill="FFFFFF"/>
          <w:lang w:val="en-US" w:eastAsia="zh-CN"/>
        </w:rPr>
        <w:t xml:space="preserve"> （二）政府财政国有资产占用情况</w:t>
      </w:r>
      <w:r>
        <w:rPr>
          <w:rFonts w:hint="eastAsia" w:ascii="微软雅黑" w:eastAsia="微软雅黑" w:cs="微软雅黑"/>
          <w:color w:val="333333"/>
          <w:kern w:val="0"/>
          <w:sz w:val="24"/>
          <w:szCs w:val="24"/>
          <w:shd w:val="clear" w:color="auto" w:fill="FFFFFF"/>
          <w:lang w:val="en-US" w:eastAsia="zh-CN"/>
        </w:rPr>
        <w:t xml:space="preserve"> </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截止2021年底，实际共有固定资产价值1424.96</w:t>
      </w:r>
      <w:r>
        <w:rPr>
          <w:rFonts w:hint="eastAsia" w:ascii="仿宋_GB2312" w:eastAsia="仿宋_GB2312"/>
          <w:sz w:val="32"/>
          <w:szCs w:val="32"/>
          <w:lang w:eastAsia="zh-CN"/>
        </w:rPr>
        <w:t>万元，</w:t>
      </w:r>
      <w:r>
        <w:rPr>
          <w:rFonts w:hint="eastAsia" w:ascii="仿宋_GB2312" w:eastAsia="仿宋_GB2312"/>
          <w:sz w:val="32"/>
          <w:szCs w:val="32"/>
          <w:lang w:val="en-US" w:eastAsia="zh-CN"/>
        </w:rPr>
        <w:t>2021年新增固定资产393.13万元；</w:t>
      </w:r>
      <w:r>
        <w:rPr>
          <w:rFonts w:hint="eastAsia" w:ascii="仿宋_GB2312" w:eastAsia="仿宋_GB2312"/>
          <w:sz w:val="32"/>
          <w:szCs w:val="32"/>
          <w:lang w:eastAsia="zh-CN"/>
        </w:rPr>
        <w:t>累计折旧金额为</w:t>
      </w:r>
      <w:r>
        <w:rPr>
          <w:rFonts w:hint="eastAsia" w:ascii="仿宋_GB2312" w:eastAsia="仿宋_GB2312"/>
          <w:sz w:val="32"/>
          <w:szCs w:val="32"/>
          <w:lang w:val="en-US" w:eastAsia="zh-CN"/>
        </w:rPr>
        <w:t>521.91万元</w:t>
      </w:r>
      <w:r>
        <w:rPr>
          <w:rFonts w:hint="eastAsia" w:ascii="仿宋_GB2312" w:eastAsia="仿宋_GB2312"/>
          <w:sz w:val="32"/>
          <w:szCs w:val="32"/>
          <w:lang w:eastAsia="zh-CN"/>
        </w:rPr>
        <w:t>：其中：公务用车</w:t>
      </w:r>
      <w:r>
        <w:rPr>
          <w:rFonts w:hint="eastAsia" w:ascii="仿宋_GB2312" w:eastAsia="仿宋_GB2312"/>
          <w:sz w:val="32"/>
          <w:szCs w:val="32"/>
          <w:lang w:val="en-US" w:eastAsia="zh-CN"/>
        </w:rPr>
        <w:t>90.91</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515.51</w:t>
      </w:r>
      <w:r>
        <w:rPr>
          <w:rFonts w:hint="eastAsia" w:ascii="仿宋_GB2312" w:eastAsia="仿宋_GB2312"/>
          <w:sz w:val="32"/>
          <w:szCs w:val="32"/>
          <w:lang w:eastAsia="zh-CN"/>
        </w:rPr>
        <w:t>万元，其它通用设备</w:t>
      </w:r>
      <w:r>
        <w:rPr>
          <w:rFonts w:hint="eastAsia" w:ascii="仿宋_GB2312" w:eastAsia="仿宋_GB2312"/>
          <w:sz w:val="32"/>
          <w:szCs w:val="32"/>
          <w:lang w:val="en-US" w:eastAsia="zh-CN"/>
        </w:rPr>
        <w:t>68.79万元，专用设备679.27万元。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楷体_GB2312" w:eastAsia="楷体_GB2312" w:cs="楷体_GB2312"/>
          <w:b/>
          <w:bCs/>
          <w:color w:val="333333"/>
          <w:kern w:val="0"/>
          <w:sz w:val="32"/>
          <w:szCs w:val="32"/>
          <w:shd w:val="clear" w:color="auto" w:fill="FFFFFF"/>
          <w:lang w:val="en-US" w:eastAsia="zh-CN"/>
        </w:rPr>
      </w:pPr>
      <w:r>
        <w:rPr>
          <w:rFonts w:hint="eastAsia" w:ascii="楷体_GB2312" w:eastAsia="楷体_GB2312" w:cs="楷体_GB2312"/>
          <w:b/>
          <w:bCs/>
          <w:color w:val="333333"/>
          <w:kern w:val="0"/>
          <w:sz w:val="32"/>
          <w:szCs w:val="32"/>
          <w:shd w:val="clear" w:color="auto" w:fill="FFFFFF"/>
          <w:lang w:val="en-US" w:eastAsia="zh-CN"/>
        </w:rPr>
        <w:t xml:space="preserve"> （三）绩效目标设置情况</w:t>
      </w:r>
    </w:p>
    <w:p>
      <w:pPr>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绩效目标是预算编制的前提和基础，按照“费随事定”的原则，2022年我单位项目支出按要求编制了绩效目标，从项目完成、项目效益、满意度。</w:t>
      </w:r>
    </w:p>
    <w:tbl>
      <w:tblPr>
        <w:tblStyle w:val="9"/>
        <w:tblW w:w="105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6"/>
        <w:gridCol w:w="1536"/>
        <w:gridCol w:w="678"/>
        <w:gridCol w:w="784"/>
        <w:gridCol w:w="503"/>
        <w:gridCol w:w="57"/>
        <w:gridCol w:w="948"/>
        <w:gridCol w:w="387"/>
        <w:gridCol w:w="615"/>
        <w:gridCol w:w="152"/>
        <w:gridCol w:w="457"/>
        <w:gridCol w:w="284"/>
        <w:gridCol w:w="705"/>
        <w:gridCol w:w="374"/>
        <w:gridCol w:w="440"/>
        <w:gridCol w:w="399"/>
        <w:gridCol w:w="1199"/>
        <w:gridCol w:w="4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36" w:type="dxa"/>
          <w:trHeight w:val="405" w:hRule="atLeast"/>
        </w:trPr>
        <w:tc>
          <w:tcPr>
            <w:tcW w:w="10154" w:type="dxa"/>
            <w:gridSpan w:val="17"/>
            <w:tcBorders>
              <w:top w:val="nil"/>
              <w:left w:val="nil"/>
              <w:bottom w:val="nil"/>
              <w:right w:val="nil"/>
            </w:tcBorders>
            <w:shd w:val="clear" w:color="auto" w:fill="auto"/>
            <w:noWrap/>
            <w:vAlign w:val="center"/>
          </w:tcPr>
          <w:p>
            <w:pPr>
              <w:keepNext w:val="0"/>
              <w:keepLines w:val="0"/>
              <w:widowControl/>
              <w:suppressLineNumbers w:val="0"/>
              <w:textAlignment w:val="center"/>
              <w:rPr>
                <w:rFonts w:hint="eastAsia" w:asci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137" w:type="dxa"/>
            <w:gridSpan w:val="5"/>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eastAsia="宋体" w:cs="宋体"/>
                <w:i w:val="0"/>
                <w:iCs w:val="0"/>
                <w:color w:val="000000"/>
                <w:sz w:val="22"/>
                <w:szCs w:val="22"/>
                <w:u w:val="none"/>
              </w:rPr>
            </w:pPr>
          </w:p>
        </w:tc>
        <w:tc>
          <w:tcPr>
            <w:tcW w:w="1005" w:type="dxa"/>
            <w:gridSpan w:val="2"/>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eastAsia="宋体" w:cs="宋体"/>
                <w:i w:val="0"/>
                <w:iCs w:val="0"/>
                <w:color w:val="000000"/>
                <w:sz w:val="22"/>
                <w:szCs w:val="22"/>
                <w:u w:val="none"/>
              </w:rPr>
            </w:pPr>
          </w:p>
        </w:tc>
        <w:tc>
          <w:tcPr>
            <w:tcW w:w="1154" w:type="dxa"/>
            <w:gridSpan w:val="3"/>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eastAsia="宋体" w:cs="宋体"/>
                <w:i w:val="0"/>
                <w:iCs w:val="0"/>
                <w:color w:val="000000"/>
                <w:sz w:val="22"/>
                <w:szCs w:val="22"/>
                <w:u w:val="none"/>
              </w:rPr>
            </w:pPr>
          </w:p>
        </w:tc>
        <w:tc>
          <w:tcPr>
            <w:tcW w:w="1820" w:type="dxa"/>
            <w:gridSpan w:val="4"/>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eastAsia="宋体" w:cs="宋体"/>
                <w:i w:val="0"/>
                <w:iCs w:val="0"/>
                <w:color w:val="000000"/>
                <w:sz w:val="22"/>
                <w:szCs w:val="22"/>
                <w:u w:val="none"/>
              </w:rPr>
            </w:pPr>
          </w:p>
        </w:tc>
        <w:tc>
          <w:tcPr>
            <w:tcW w:w="440"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eastAsia="宋体" w:cs="宋体"/>
                <w:i w:val="0"/>
                <w:iCs w:val="0"/>
                <w:color w:val="000000"/>
                <w:sz w:val="22"/>
                <w:szCs w:val="22"/>
                <w:u w:val="none"/>
              </w:rPr>
            </w:pPr>
          </w:p>
        </w:tc>
        <w:tc>
          <w:tcPr>
            <w:tcW w:w="399"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eastAsia="宋体" w:cs="宋体"/>
                <w:i w:val="0"/>
                <w:iCs w:val="0"/>
                <w:color w:val="000000"/>
                <w:sz w:val="22"/>
                <w:szCs w:val="22"/>
                <w:u w:val="none"/>
              </w:rPr>
            </w:pPr>
          </w:p>
        </w:tc>
        <w:tc>
          <w:tcPr>
            <w:tcW w:w="1635" w:type="dxa"/>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ind w:left="-2728" w:firstLine="2728"/>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8556" w:type="dxa"/>
            <w:gridSpan w:val="15"/>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ind w:firstLine="3313" w:firstLineChars="1100"/>
              <w:jc w:val="both"/>
              <w:textAlignment w:val="center"/>
              <w:rPr>
                <w:rFonts w:hint="eastAsia" w:ascii="宋体" w:eastAsia="宋体" w:cs="宋体"/>
                <w:b/>
                <w:bCs/>
                <w:i w:val="0"/>
                <w:iCs w:val="0"/>
                <w:color w:val="000000"/>
                <w:sz w:val="30"/>
                <w:szCs w:val="30"/>
                <w:u w:val="none"/>
              </w:rPr>
            </w:pPr>
            <w:r>
              <w:rPr>
                <w:rFonts w:hint="eastAsia" w:ascii="宋体" w:eastAsia="宋体" w:cs="宋体"/>
                <w:b/>
                <w:bCs/>
                <w:i w:val="0"/>
                <w:iCs w:val="0"/>
                <w:color w:val="000000"/>
                <w:kern w:val="0"/>
                <w:sz w:val="30"/>
                <w:szCs w:val="30"/>
                <w:u w:val="none"/>
                <w:lang w:val="en-US" w:eastAsia="zh-CN"/>
              </w:rPr>
              <w:t>项目支出绩效表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390" w:hRule="atLeast"/>
        </w:trPr>
        <w:tc>
          <w:tcPr>
            <w:tcW w:w="2850" w:type="dxa"/>
            <w:gridSpan w:val="3"/>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eastAsia="宋体" w:cs="宋体"/>
                <w:i w:val="0"/>
                <w:iCs w:val="0"/>
                <w:color w:val="000000"/>
                <w:sz w:val="22"/>
                <w:szCs w:val="22"/>
                <w:u w:val="none"/>
              </w:rPr>
            </w:pPr>
          </w:p>
        </w:tc>
        <w:tc>
          <w:tcPr>
            <w:tcW w:w="784"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eastAsia="宋体" w:cs="宋体"/>
                <w:i w:val="0"/>
                <w:iCs w:val="0"/>
                <w:color w:val="000000"/>
                <w:sz w:val="22"/>
                <w:szCs w:val="22"/>
                <w:u w:val="none"/>
              </w:rPr>
            </w:pPr>
          </w:p>
        </w:tc>
        <w:tc>
          <w:tcPr>
            <w:tcW w:w="560" w:type="dxa"/>
            <w:gridSpan w:val="2"/>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eastAsia="宋体" w:cs="宋体"/>
                <w:i w:val="0"/>
                <w:iCs w:val="0"/>
                <w:color w:val="000000"/>
                <w:sz w:val="22"/>
                <w:szCs w:val="22"/>
                <w:u w:val="none"/>
              </w:rPr>
            </w:pPr>
          </w:p>
        </w:tc>
        <w:tc>
          <w:tcPr>
            <w:tcW w:w="1335" w:type="dxa"/>
            <w:gridSpan w:val="2"/>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eastAsia="宋体" w:cs="宋体"/>
                <w:i w:val="0"/>
                <w:iCs w:val="0"/>
                <w:color w:val="000000"/>
                <w:sz w:val="22"/>
                <w:szCs w:val="22"/>
                <w:u w:val="none"/>
              </w:rPr>
            </w:pPr>
          </w:p>
        </w:tc>
        <w:tc>
          <w:tcPr>
            <w:tcW w:w="615"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eastAsia="宋体" w:cs="宋体"/>
                <w:i w:val="0"/>
                <w:iCs w:val="0"/>
                <w:color w:val="000000"/>
                <w:sz w:val="22"/>
                <w:szCs w:val="22"/>
                <w:u w:val="none"/>
              </w:rPr>
            </w:pPr>
          </w:p>
        </w:tc>
        <w:tc>
          <w:tcPr>
            <w:tcW w:w="609" w:type="dxa"/>
            <w:gridSpan w:val="2"/>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eastAsia="宋体" w:cs="宋体"/>
                <w:i w:val="0"/>
                <w:iCs w:val="0"/>
                <w:color w:val="000000"/>
                <w:sz w:val="22"/>
                <w:szCs w:val="22"/>
                <w:u w:val="none"/>
              </w:rPr>
            </w:pPr>
          </w:p>
        </w:tc>
        <w:tc>
          <w:tcPr>
            <w:tcW w:w="1803" w:type="dxa"/>
            <w:gridSpan w:val="4"/>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88" w:hRule="atLeast"/>
        </w:trPr>
        <w:tc>
          <w:tcPr>
            <w:tcW w:w="636"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pPr>
              <w:keepNext w:val="0"/>
              <w:keepLines w:val="0"/>
              <w:widowControl/>
              <w:suppressLineNumbers w:val="0"/>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单位名称</w:t>
            </w:r>
          </w:p>
        </w:tc>
        <w:tc>
          <w:tcPr>
            <w:tcW w:w="1536"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pPr>
              <w:keepNext w:val="0"/>
              <w:keepLines w:val="0"/>
              <w:widowControl/>
              <w:suppressLineNumbers w:val="0"/>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项目名称</w:t>
            </w:r>
          </w:p>
        </w:tc>
        <w:tc>
          <w:tcPr>
            <w:tcW w:w="678"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pPr>
              <w:keepNext w:val="0"/>
              <w:keepLines w:val="0"/>
              <w:widowControl/>
              <w:suppressLineNumbers w:val="0"/>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预算数</w:t>
            </w:r>
          </w:p>
        </w:tc>
        <w:tc>
          <w:tcPr>
            <w:tcW w:w="784"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pPr>
              <w:keepNext w:val="0"/>
              <w:keepLines w:val="0"/>
              <w:widowControl/>
              <w:suppressLineNumbers w:val="0"/>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一级指标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FFFFFF" w:fill="FFFFFF"/>
            <w:noWrap/>
            <w:vAlign w:val="center"/>
          </w:tcPr>
          <w:p>
            <w:pPr>
              <w:keepNext w:val="0"/>
              <w:keepLines w:val="0"/>
              <w:widowControl/>
              <w:suppressLineNumbers w:val="0"/>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二级指标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FFFFFF" w:fill="FFFFFF"/>
            <w:noWrap/>
            <w:vAlign w:val="center"/>
          </w:tcPr>
          <w:p>
            <w:pPr>
              <w:keepNext w:val="0"/>
              <w:keepLines w:val="0"/>
              <w:widowControl/>
              <w:suppressLineNumbers w:val="0"/>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三级指标</w:t>
            </w:r>
          </w:p>
        </w:tc>
        <w:tc>
          <w:tcPr>
            <w:tcW w:w="615"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pPr>
              <w:keepNext w:val="0"/>
              <w:keepLines w:val="0"/>
              <w:widowControl/>
              <w:suppressLineNumbers w:val="0"/>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指标性质</w:t>
            </w:r>
          </w:p>
        </w:tc>
        <w:tc>
          <w:tcPr>
            <w:tcW w:w="609" w:type="dxa"/>
            <w:gridSpan w:val="2"/>
            <w:tcBorders>
              <w:top w:val="single" w:color="C0C0C0" w:sz="4" w:space="0"/>
              <w:left w:val="single" w:color="C0C0C0" w:sz="4" w:space="0"/>
              <w:bottom w:val="single" w:color="C0C0C0" w:sz="4" w:space="0"/>
              <w:right w:val="single" w:color="C0C0C0" w:sz="4" w:space="0"/>
            </w:tcBorders>
            <w:shd w:val="clear" w:color="FFFFFF" w:fill="FFFFFF"/>
            <w:noWrap/>
            <w:vAlign w:val="center"/>
          </w:tcPr>
          <w:p>
            <w:pPr>
              <w:keepNext w:val="0"/>
              <w:keepLines w:val="0"/>
              <w:widowControl/>
              <w:suppressLineNumbers w:val="0"/>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指标值</w:t>
            </w:r>
          </w:p>
        </w:tc>
        <w:tc>
          <w:tcPr>
            <w:tcW w:w="284"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pPr>
              <w:keepNext w:val="0"/>
              <w:keepLines w:val="0"/>
              <w:widowControl/>
              <w:suppressLineNumbers w:val="0"/>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度量单位</w:t>
            </w:r>
          </w:p>
        </w:tc>
        <w:tc>
          <w:tcPr>
            <w:tcW w:w="705"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pPr>
              <w:keepNext w:val="0"/>
              <w:keepLines w:val="0"/>
              <w:widowControl/>
              <w:suppressLineNumbers w:val="0"/>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权重</w:t>
            </w:r>
          </w:p>
        </w:tc>
        <w:tc>
          <w:tcPr>
            <w:tcW w:w="814" w:type="dxa"/>
            <w:gridSpan w:val="2"/>
            <w:tcBorders>
              <w:top w:val="single" w:color="C0C0C0" w:sz="4" w:space="0"/>
              <w:left w:val="single" w:color="C0C0C0" w:sz="4" w:space="0"/>
              <w:bottom w:val="single" w:color="C0C0C0" w:sz="4" w:space="0"/>
              <w:right w:val="single" w:color="C0C0C0" w:sz="4" w:space="0"/>
            </w:tcBorders>
            <w:shd w:val="clear" w:color="FFFFFF" w:fill="FFFFFF"/>
            <w:noWrap/>
            <w:vAlign w:val="center"/>
          </w:tcPr>
          <w:p>
            <w:pPr>
              <w:keepNext w:val="0"/>
              <w:keepLines w:val="0"/>
              <w:widowControl/>
              <w:suppressLineNumbers w:val="0"/>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指标方向性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122005-红原县疾病预防控制中心</w:t>
            </w:r>
          </w:p>
        </w:tc>
        <w:tc>
          <w:tcPr>
            <w:tcW w:w="1536"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51000021R000000019951-工资性支出</w:t>
            </w:r>
          </w:p>
        </w:tc>
        <w:tc>
          <w:tcPr>
            <w:tcW w:w="678"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377.16</w:t>
            </w: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时效指标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按时发放率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结余率（计算方法为：结余数/预算数）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足额保障率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51000021R000000019956-离退休费支出</w:t>
            </w:r>
          </w:p>
        </w:tc>
        <w:tc>
          <w:tcPr>
            <w:tcW w:w="678"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1.45</w:t>
            </w: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足额保障率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时效指标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按时发放率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结余率（计算方法为：结余数/预算数）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51000021Y000000011490-定额公用经费</w:t>
            </w:r>
          </w:p>
        </w:tc>
        <w:tc>
          <w:tcPr>
            <w:tcW w:w="678"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4.53</w:t>
            </w: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质量指标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预算编制准确率（计算方法为：∣（执行数-预算数）/预算数∣）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“三公经费”控制率[计算方法为：（三公经费实际支出数/预算安排数]×100%）</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运转保障率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51323321T000000091630-艾滋病项目经费</w:t>
            </w:r>
          </w:p>
        </w:tc>
        <w:tc>
          <w:tcPr>
            <w:tcW w:w="678"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5.00</w:t>
            </w: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人群主动筛查任务完成率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艾滋病感染者接受规范随访人数及任务完成率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95</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项目完成及社会效益情况</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40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人数</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艾滋病病毒感染者和病人规范管理率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95</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51323321T000000091785-严重精神障碍患者监护费</w:t>
            </w:r>
          </w:p>
        </w:tc>
        <w:tc>
          <w:tcPr>
            <w:tcW w:w="678"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18.76</w:t>
            </w: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精神分裂症患者服药率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70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精神分裂症患者检出率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人数</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0</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精神分裂症患者管理率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人数</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0</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在册患者管理率和精神分裂症治疗率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96</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精神分裂患者管理率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95</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人群主动筛查任务完成率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95</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51323322R000000309914-社会保障缴费（机关事业单位基本养老保险缴费）</w:t>
            </w:r>
          </w:p>
        </w:tc>
        <w:tc>
          <w:tcPr>
            <w:tcW w:w="678"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60.34</w:t>
            </w: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结余率（计算方法为：结余数/预算数）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时效指标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按时发放率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足额保障率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51323322R000000309915-社会保障缴费（职业年金缴费）</w:t>
            </w:r>
          </w:p>
        </w:tc>
        <w:tc>
          <w:tcPr>
            <w:tcW w:w="678"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30.17</w:t>
            </w: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足额保障率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结余率（计算方法为：结余数/预算数）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时效指标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按时发放率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51323322R000000309918-社会保障缴费（职工基本医疗保险缴费事业）</w:t>
            </w:r>
          </w:p>
        </w:tc>
        <w:tc>
          <w:tcPr>
            <w:tcW w:w="678"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26.40</w:t>
            </w: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结余率（计算方法为：结余数/预算数）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时效指标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按时发放率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足额保障率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51323322R000000309920-社会保障缴费（公务员医疗补助缴费）</w:t>
            </w:r>
          </w:p>
        </w:tc>
        <w:tc>
          <w:tcPr>
            <w:tcW w:w="678"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9.14</w:t>
            </w: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时效指标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按时发放率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足额保障率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结余率（计算方法为：结余数/预算数）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51323322R000000309921-住房公积金</w:t>
            </w:r>
          </w:p>
        </w:tc>
        <w:tc>
          <w:tcPr>
            <w:tcW w:w="678"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61.76</w:t>
            </w: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足额保障率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结余率（计算方法为：结余数/预算数）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时效指标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按时发放率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51323322R000000309923-社会保障缴费（其他社保缴费）</w:t>
            </w:r>
          </w:p>
        </w:tc>
        <w:tc>
          <w:tcPr>
            <w:tcW w:w="678"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9.81</w:t>
            </w: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足额保障率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结余率（计算方法为：结余数/预算数）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时效指标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按时发放率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51323322R000000309926-体检费</w:t>
            </w:r>
          </w:p>
        </w:tc>
        <w:tc>
          <w:tcPr>
            <w:tcW w:w="678"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4.24</w:t>
            </w: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足额保障率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结余率（计算方法为：结余数/预算数）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时效指标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按时发放率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51323322T000000385078-免疫规划项目经费</w:t>
            </w:r>
          </w:p>
        </w:tc>
        <w:tc>
          <w:tcPr>
            <w:tcW w:w="678"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适龄儿童国家免疫规划疫苗接种率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95</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适龄儿童国家免疫规划脊灰疫苗接种率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满意度指标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服务对象满意度指标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疫苗管理率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适龄儿童国家免疫规划麻疹疫苗接种率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95</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51323322T000000385079-结核病项目经费</w:t>
            </w:r>
          </w:p>
        </w:tc>
        <w:tc>
          <w:tcPr>
            <w:tcW w:w="678"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满意度指标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服务对象满意度指标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人群筛查规范治疗</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人群主动筛查任务完成率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80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涂阳肺结核患者耐药筛查率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85</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肺结核病患者健康管理率及规则服药率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40</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51323322T000000385080-传染病项目经费</w:t>
            </w:r>
          </w:p>
        </w:tc>
        <w:tc>
          <w:tcPr>
            <w:tcW w:w="678"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1.50</w:t>
            </w: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满意度指标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服务对象满意度指标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新冠疫情核算监测</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40</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28种传染病报告发病率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28种传染病报告死亡率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人群主动筛查任务完成率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51323322Y000000274175-党建群众工作经费</w:t>
            </w:r>
          </w:p>
        </w:tc>
        <w:tc>
          <w:tcPr>
            <w:tcW w:w="678"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3.77</w:t>
            </w: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“三公经费”控制率[计算方法为：（三公经费实际支出数/预算安排数]×100%）</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运转保障率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质量指标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预算编制准确率（计算方法为：∣（执行数-预算数）/预算数∣）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51323322Y000000304723-公用经费（非定额）</w:t>
            </w:r>
          </w:p>
        </w:tc>
        <w:tc>
          <w:tcPr>
            <w:tcW w:w="678"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33.30</w:t>
            </w: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质量指标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预算编制准确率（计算方法为：∣（执行数-预算数）/预算数∣）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运转保障率</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034" w:type="dxa"/>
          <w:trHeight w:val="458" w:hRule="atLeast"/>
        </w:trPr>
        <w:tc>
          <w:tcPr>
            <w:tcW w:w="6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1536"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678"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tc>
        <w:tc>
          <w:tcPr>
            <w:tcW w:w="7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5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3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“三公经费”控制率[计算方法为：（三公经费实际支出数/预算安排数]×100%）</w:t>
            </w: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60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22.5</w:t>
            </w:r>
          </w:p>
        </w:tc>
        <w:tc>
          <w:tcPr>
            <w:tcW w:w="8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bl>
    <w:p>
      <w:pPr>
        <w:keepNext w:val="0"/>
        <w:keepLines w:val="0"/>
        <w:pageBreakBefore w:val="0"/>
        <w:widowControl w:val="0"/>
        <w:kinsoku/>
        <w:wordWrap/>
        <w:overflowPunct/>
        <w:topLinePunct w:val="0"/>
        <w:autoSpaceDE/>
        <w:autoSpaceDN/>
        <w:bidi w:val="0"/>
        <w:spacing w:line="560" w:lineRule="exact"/>
        <w:ind w:left="0" w:right="0"/>
        <w:textAlignment w:val="auto"/>
        <w:rPr>
          <w:rFonts w:ascii="黑体" w:eastAsia="黑体" w:cs="黑体"/>
          <w:color w:val="333333"/>
          <w:kern w:val="0"/>
          <w:sz w:val="32"/>
          <w:szCs w:val="32"/>
          <w:shd w:val="clear" w:color="auto" w:fill="FFFFFF"/>
          <w:lang w:val="en-US" w:eastAsia="zh-CN"/>
        </w:rPr>
      </w:pPr>
    </w:p>
    <w:p>
      <w:pPr>
        <w:pStyle w:val="2"/>
        <w:keepNext w:val="0"/>
        <w:keepLines w:val="0"/>
        <w:pageBreakBefore w:val="0"/>
        <w:widowControl w:val="0"/>
        <w:bidi w:val="0"/>
        <w:ind w:left="420" w:leftChars="200"/>
      </w:pPr>
    </w:p>
    <w:p>
      <w:pPr>
        <w:pStyle w:val="2"/>
        <w:keepNext w:val="0"/>
        <w:keepLines w:val="0"/>
        <w:pageBreakBefore w:val="0"/>
        <w:widowControl w:val="0"/>
        <w:bidi w:val="0"/>
        <w:ind w:left="420" w:leftChars="200"/>
      </w:pPr>
    </w:p>
    <w:p>
      <w:pPr>
        <w:pStyle w:val="2"/>
        <w:keepNext w:val="0"/>
        <w:keepLines w:val="0"/>
        <w:pageBreakBefore w:val="0"/>
        <w:widowControl w:val="0"/>
        <w:bidi w:val="0"/>
        <w:ind w:left="420" w:leftChars="200"/>
      </w:pPr>
    </w:p>
    <w:p>
      <w:pPr>
        <w:pStyle w:val="2"/>
        <w:keepNext w:val="0"/>
        <w:keepLines w:val="0"/>
        <w:pageBreakBefore w:val="0"/>
        <w:widowControl w:val="0"/>
        <w:bidi w:val="0"/>
        <w:ind w:left="420" w:leftChars="200"/>
        <w:rPr>
          <w:rFonts w:hint="eastAsia"/>
        </w:rPr>
      </w:pPr>
    </w:p>
    <w:p>
      <w:pPr>
        <w:keepNext w:val="0"/>
        <w:keepLines w:val="0"/>
        <w:pageBreakBefore w:val="0"/>
        <w:widowControl w:val="0"/>
        <w:kinsoku/>
        <w:wordWrap/>
        <w:overflowPunct/>
        <w:topLinePunct w:val="0"/>
        <w:autoSpaceDE/>
        <w:autoSpaceDN/>
        <w:bidi w:val="0"/>
        <w:spacing w:line="560" w:lineRule="exact"/>
        <w:ind w:left="0" w:right="0"/>
        <w:textAlignment w:val="auto"/>
        <w:outlineLvl w:val="0"/>
        <w:rPr>
          <w:rFonts w:hint="eastAsia" w:ascii="黑体" w:eastAsia="黑体" w:cs="黑体"/>
          <w:color w:val="333333"/>
          <w:kern w:val="0"/>
          <w:sz w:val="32"/>
          <w:szCs w:val="32"/>
          <w:shd w:val="clear" w:color="auto" w:fill="FFFFFF"/>
          <w:lang w:val="en-US" w:eastAsia="zh-CN"/>
        </w:rPr>
      </w:pPr>
      <w:bookmarkStart w:id="12" w:name="_Toc11594"/>
      <w:r>
        <w:rPr>
          <w:rFonts w:hint="eastAsia" w:ascii="黑体" w:eastAsia="黑体" w:cs="黑体"/>
          <w:color w:val="333333"/>
          <w:kern w:val="0"/>
          <w:sz w:val="32"/>
          <w:szCs w:val="32"/>
          <w:shd w:val="clear" w:color="auto" w:fill="FFFFFF"/>
          <w:lang w:val="en-US" w:eastAsia="zh-CN"/>
        </w:rPr>
        <w:t>十二、名词解释</w:t>
      </w:r>
      <w:bookmarkEnd w:id="12"/>
      <w:r>
        <w:rPr>
          <w:rFonts w:hint="eastAsia" w:ascii="黑体" w:eastAsia="黑体" w:cs="黑体"/>
          <w:color w:val="333333"/>
          <w:kern w:val="0"/>
          <w:sz w:val="32"/>
          <w:szCs w:val="32"/>
          <w:shd w:val="clear" w:color="auto" w:fill="FFFFFF"/>
          <w:lang w:val="en-US" w:eastAsia="zh-CN"/>
        </w:rPr>
        <w:t xml:space="preserve"> </w:t>
      </w:r>
    </w:p>
    <w:p>
      <w:pPr>
        <w:keepNext w:val="0"/>
        <w:keepLines w:val="0"/>
        <w:pageBreakBefore w:val="0"/>
        <w:widowControl w:val="0"/>
        <w:kinsoku/>
        <w:wordWrap/>
        <w:overflowPunct/>
        <w:topLinePunct w:val="0"/>
        <w:autoSpaceDE/>
        <w:autoSpaceDN/>
        <w:bidi w:val="0"/>
        <w:spacing w:line="560" w:lineRule="exact"/>
        <w:ind w:left="0" w:right="0"/>
        <w:textAlignment w:val="auto"/>
        <w:rPr>
          <w:rFonts w:hint="eastAsia" w:ascii="仿宋_GB2312" w:eastAsia="仿宋_GB2312"/>
          <w:sz w:val="32"/>
          <w:szCs w:val="32"/>
          <w:lang w:val="en-US" w:eastAsia="zh-CN"/>
        </w:rPr>
      </w:pPr>
      <w:r>
        <w:rPr>
          <w:rFonts w:hint="eastAsia" w:asci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p>
    <w:p>
      <w:pPr>
        <w:keepNext w:val="0"/>
        <w:keepLines w:val="0"/>
        <w:pageBreakBefore w:val="0"/>
        <w:widowControl w:val="0"/>
        <w:kinsoku/>
        <w:wordWrap/>
        <w:overflowPunct/>
        <w:topLinePunct w:val="0"/>
        <w:autoSpaceDE/>
        <w:autoSpaceDN/>
        <w:bidi w:val="0"/>
        <w:spacing w:line="560" w:lineRule="exact"/>
        <w:ind w:left="0" w:right="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2.其他收入：指除上述财政部门拨付单位以外的收入。</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4.项目支出：指在基本支出之外为完成特定行政任务和事业发展目标所发生的支出。 </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ascii="仿宋_GB2312" w:eastAsia="仿宋_GB2312"/>
          <w:sz w:val="32"/>
          <w:szCs w:val="32"/>
          <w:lang w:val="en-US" w:eastAsia="zh-CN"/>
        </w:rPr>
      </w:pPr>
    </w:p>
    <w:p>
      <w:pPr>
        <w:pStyle w:val="2"/>
        <w:keepNext w:val="0"/>
        <w:keepLines w:val="0"/>
        <w:pageBreakBefore w:val="0"/>
        <w:widowControl w:val="0"/>
        <w:bidi w:val="0"/>
        <w:ind w:left="420" w:leftChars="200" w:firstLine="420" w:firstLineChars="200"/>
        <w:rPr>
          <w:rFonts w:hint="eastAsia"/>
        </w:rPr>
      </w:pP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表1-1.部门收入总表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表1-2.部门支出总表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表2-1.财政拨款支出预算表（政府经济分类科目）</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表3-1.一般公共预算基本支出预算表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ascii="仿宋_GB2312" w:eastAsia="仿宋_GB2312"/>
          <w:sz w:val="32"/>
          <w:szCs w:val="32"/>
          <w:lang w:val="en-US" w:eastAsia="zh-CN"/>
        </w:rPr>
      </w:pPr>
    </w:p>
    <w:p>
      <w:pPr>
        <w:keepNext w:val="0"/>
        <w:keepLines w:val="0"/>
        <w:pageBreakBefore w:val="0"/>
        <w:widowControl w:val="0"/>
        <w:kinsoku/>
        <w:wordWrap/>
        <w:overflowPunct/>
        <w:topLinePunct w:val="0"/>
        <w:autoSpaceDE/>
        <w:autoSpaceDN/>
        <w:adjustRightInd/>
        <w:snapToGrid/>
        <w:spacing w:line="560" w:lineRule="exact"/>
        <w:ind w:left="0" w:firstLine="1600" w:firstLineChars="500"/>
        <w:rPr>
          <w:rFonts w:ascii="仿宋_GB2312" w:eastAsia="仿宋_GB2312"/>
          <w:sz w:val="32"/>
          <w:szCs w:val="32"/>
          <w:lang w:val="en-US" w:eastAsia="zh-CN"/>
        </w:rPr>
      </w:pPr>
    </w:p>
    <w:p>
      <w:pPr>
        <w:keepNext w:val="0"/>
        <w:keepLines w:val="0"/>
        <w:pageBreakBefore w:val="0"/>
        <w:widowControl w:val="0"/>
        <w:kinsoku/>
        <w:wordWrap/>
        <w:overflowPunct/>
        <w:topLinePunct w:val="0"/>
        <w:autoSpaceDE/>
        <w:autoSpaceDN/>
        <w:adjustRightInd/>
        <w:snapToGrid/>
        <w:spacing w:line="560" w:lineRule="exact"/>
        <w:ind w:left="0" w:firstLine="1600" w:firstLineChars="500"/>
        <w:rPr>
          <w:rFonts w:ascii="仿宋_GB2312" w:eastAsia="仿宋_GB2312"/>
          <w:sz w:val="32"/>
          <w:szCs w:val="32"/>
          <w:lang w:val="en-US" w:eastAsia="zh-CN"/>
        </w:rPr>
      </w:pPr>
    </w:p>
    <w:p>
      <w:pPr>
        <w:keepNext w:val="0"/>
        <w:keepLines w:val="0"/>
        <w:pageBreakBefore w:val="0"/>
        <w:widowControl w:val="0"/>
        <w:kinsoku/>
        <w:wordWrap/>
        <w:overflowPunct/>
        <w:topLinePunct w:val="0"/>
        <w:autoSpaceDE/>
        <w:autoSpaceDN/>
        <w:adjustRightInd/>
        <w:snapToGrid/>
        <w:spacing w:line="560" w:lineRule="exact"/>
        <w:ind w:left="0" w:firstLine="1600" w:firstLineChars="500"/>
        <w:rPr>
          <w:rFonts w:ascii="仿宋_GB2312" w:eastAsia="仿宋_GB2312"/>
          <w:sz w:val="32"/>
          <w:szCs w:val="32"/>
          <w:lang w:val="en-US" w:eastAsia="zh-CN"/>
        </w:rPr>
      </w:pPr>
      <w:r>
        <w:rPr>
          <w:rFonts w:hint="eastAsia" w:ascii="仿宋_GB2312" w:eastAsia="仿宋_GB2312"/>
          <w:sz w:val="32"/>
          <w:szCs w:val="32"/>
          <w:lang w:val="en-US" w:eastAsia="zh-CN"/>
        </w:rPr>
        <w:t>表3-2.一般公共预算项目支出预算表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表3-3.一般公共预算“三公”经费支出预算表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表6.2020年红原县部门预算项目绩效目标（部门预</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算）</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1"/>
      </w:rPr>
    </w:pPr>
    <w:r>
      <w:rPr>
        <w:rStyle w:val="11"/>
      </w:rPr>
      <w:fldChar w:fldCharType="begin"/>
    </w:r>
    <w:r>
      <w:rPr>
        <w:rStyle w:val="11"/>
      </w:rPr>
      <w:instrText xml:space="preserve">PAGE  </w:instrText>
    </w:r>
    <w:r>
      <w:fldChar w:fldCharType="separate"/>
    </w:r>
    <w:r>
      <w:rPr>
        <w:rStyle w:val="11"/>
      </w:rPr>
      <w:t>2</w:t>
    </w:r>
    <w: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1"/>
      </w:rPr>
    </w:pPr>
    <w:r>
      <w:rPr>
        <w:rStyle w:val="11"/>
      </w:rPr>
      <w:fldChar w:fldCharType="begin"/>
    </w:r>
    <w:r>
      <w:rPr>
        <w:rStyle w:val="11"/>
      </w:rPr>
      <w:instrText xml:space="preserve">PAGE  </w:instrText>
    </w:r>
    <w:r>
      <w:fldChar w:fldCharType="separate"/>
    </w:r>
    <w:r>
      <w:t xml:space="preserve"> </w:t>
    </w:r>
    <w:r>
      <w:fldChar w:fldCharType="end"/>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EB7D6"/>
    <w:multiLevelType w:val="singleLevel"/>
    <w:tmpl w:val="5A7EB7D6"/>
    <w:lvl w:ilvl="0" w:tentative="0">
      <w:start w:val="1"/>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docVars>
    <w:docVar w:name="commondata" w:val="eyJoZGlkIjoiYjc5YTRjNDRhNDhiYzg1MzM4NzhlYzA0ODZmNjdmMDAifQ=="/>
  </w:docVars>
  <w:rsids>
    <w:rsidRoot w:val="00000000"/>
    <w:rsid w:val="3311011C"/>
    <w:rsid w:val="43FC507C"/>
    <w:rsid w:val="61923225"/>
    <w:rsid w:val="648B1133"/>
    <w:rsid w:val="7F636CC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Arial"/>
      <w:kern w:val="2"/>
      <w:sz w:val="21"/>
      <w:szCs w:val="24"/>
      <w:lang w:val="en-US" w:eastAsia="zh-CN" w:bidi="ar-SA"/>
    </w:rPr>
  </w:style>
  <w:style w:type="paragraph" w:styleId="4">
    <w:name w:val="heading 1"/>
    <w:basedOn w:val="1"/>
    <w:next w:val="1"/>
    <w:uiPriority w:val="0"/>
    <w:pPr>
      <w:keepNext/>
      <w:keepLines/>
      <w:spacing w:before="340" w:after="330" w:line="578" w:lineRule="auto"/>
      <w:outlineLvl w:val="0"/>
    </w:pPr>
    <w:rPr>
      <w:b/>
      <w:bCs/>
      <w:kern w:val="44"/>
      <w:sz w:val="44"/>
    </w:rPr>
  </w:style>
  <w:style w:type="paragraph" w:styleId="5">
    <w:name w:val="heading 2"/>
    <w:basedOn w:val="1"/>
    <w:next w:val="1"/>
    <w:uiPriority w:val="0"/>
    <w:pPr>
      <w:keepNext/>
      <w:keepLines/>
      <w:spacing w:before="260" w:after="260" w:line="415" w:lineRule="auto"/>
      <w:outlineLvl w:val="1"/>
    </w:pPr>
    <w:rPr>
      <w:rFonts w:ascii="Times New Roman" w:hAnsi="Times New Roman" w:eastAsia="黑体"/>
      <w:b/>
      <w:sz w:val="32"/>
    </w:rPr>
  </w:style>
  <w:style w:type="paragraph" w:styleId="6">
    <w:name w:val="heading 3"/>
    <w:basedOn w:val="1"/>
    <w:next w:val="1"/>
    <w:uiPriority w:val="0"/>
    <w:pPr>
      <w:keepNext/>
      <w:keepLines/>
      <w:spacing w:before="260" w:after="260" w:line="415" w:lineRule="auto"/>
      <w:outlineLvl w:val="2"/>
    </w:pPr>
    <w:rPr>
      <w:b/>
      <w:sz w:val="32"/>
    </w:rPr>
  </w:style>
  <w:style w:type="character" w:default="1" w:styleId="10">
    <w:name w:val="Default Paragraph Fon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200" w:firstLineChars="200"/>
    </w:pPr>
  </w:style>
  <w:style w:type="paragraph" w:styleId="3">
    <w:name w:val="Body Text Indent"/>
    <w:basedOn w:val="1"/>
    <w:uiPriority w:val="0"/>
    <w:pPr>
      <w:spacing w:after="120"/>
      <w:ind w:left="200" w:leftChars="200"/>
    </w:pPr>
  </w:style>
  <w:style w:type="paragraph" w:styleId="7">
    <w:name w:val="Body Text"/>
    <w:basedOn w:val="1"/>
    <w:uiPriority w:val="0"/>
    <w:pPr>
      <w:spacing w:before="30" w:beforeLines="30"/>
    </w:pPr>
    <w:rPr>
      <w:rFonts w:ascii="仿宋_GB2312" w:eastAsia="仿宋_GB2312"/>
      <w:sz w:val="30"/>
    </w:rPr>
  </w:style>
  <w:style w:type="paragraph" w:styleId="8">
    <w:name w:val="footer"/>
    <w:basedOn w:val="1"/>
    <w:uiPriority w:val="0"/>
    <w:pPr>
      <w:tabs>
        <w:tab w:val="center" w:pos="4153"/>
        <w:tab w:val="right" w:pos="8306"/>
      </w:tabs>
      <w:snapToGrid w:val="0"/>
      <w:jc w:val="left"/>
    </w:pPr>
    <w:rPr>
      <w:sz w:val="18"/>
      <w:szCs w:val="18"/>
    </w:rPr>
  </w:style>
  <w:style w:type="character" w:styleId="11">
    <w:name w:val="page number"/>
    <w:basedOn w:val="10"/>
    <w:uiPriority w:val="0"/>
  </w:style>
  <w:style w:type="character" w:styleId="12">
    <w:name w:val="line number"/>
    <w:basedOn w:val="10"/>
    <w:uiPriority w:val="0"/>
    <w:rPr>
      <w:sz w:val="22"/>
    </w:rPr>
  </w:style>
  <w:style w:type="character" w:styleId="13">
    <w:name w:val="Hyperlink"/>
    <w:uiPriority w:val="0"/>
    <w:rPr>
      <w:sz w:val="22"/>
    </w:rPr>
  </w:style>
  <w:style w:type="character" w:customStyle="1" w:styleId="14">
    <w:name w:val="font31"/>
    <w:basedOn w:val="10"/>
    <w:uiPriority w:val="0"/>
    <w:rPr>
      <w:rFonts w:ascii="宋体" w:eastAsia="宋体" w:cs="宋体"/>
      <w:color w:val="000000"/>
      <w:sz w:val="18"/>
      <w:szCs w:val="18"/>
      <w:u w:val="none"/>
    </w:rPr>
  </w:style>
  <w:style w:type="paragraph" w:customStyle="1" w:styleId="15">
    <w:name w:val="WPSOffice手动目录 1"/>
    <w:uiPriority w:val="0"/>
    <w:pPr>
      <w:ind w:leftChars="0"/>
    </w:pPr>
    <w:rPr>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12</Pages>
  <Words>5135</Words>
  <Characters>6061</Characters>
  <Lines>957</Lines>
  <Paragraphs>674</Paragraphs>
  <TotalTime>3</TotalTime>
  <ScaleCrop>false</ScaleCrop>
  <LinksUpToDate>false</LinksUpToDate>
  <CharactersWithSpaces>6106</CharactersWithSpaces>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dcterms:modified xsi:type="dcterms:W3CDTF">2023-10-25T07:05:51Z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FE7CF85EEA3145ABA9981FCA3B797494_13</vt:lpwstr>
  </property>
</Properties>
</file>