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jc w:val="center"/>
        <w:outlineLvl w:val="9"/>
        <w:rPr>
          <w:rFonts w:ascii="黑体" w:hAnsi="黑体" w:eastAsia="黑体"/>
          <w:color w:val="000000"/>
          <w:sz w:val="72"/>
          <w:szCs w:val="72"/>
        </w:rPr>
      </w:pPr>
      <w:bookmarkStart w:id="0" w:name="_Toc15377193"/>
      <w:bookmarkStart w:id="1" w:name="_Toc3565"/>
      <w:bookmarkStart w:id="2" w:name="_Toc15396597"/>
      <w:bookmarkStart w:id="3" w:name="_Toc15378441"/>
      <w:bookmarkStart w:id="4" w:name="_Toc15396475"/>
      <w:bookmarkStart w:id="5" w:name="_Toc15377425"/>
    </w:p>
    <w:p>
      <w:pPr>
        <w:adjustRightInd w:val="0"/>
        <w:snapToGrid w:val="0"/>
        <w:spacing w:line="360" w:lineRule="auto"/>
        <w:jc w:val="center"/>
        <w:outlineLvl w:val="0"/>
        <w:rPr>
          <w:rFonts w:ascii="方正小标宋简体" w:hAnsi="宋体" w:eastAsia="方正小标宋简体"/>
          <w:color w:val="000000"/>
          <w:sz w:val="72"/>
          <w:szCs w:val="72"/>
        </w:rPr>
      </w:pPr>
      <w:bookmarkStart w:id="6" w:name="_Toc30737"/>
      <w:r>
        <w:rPr>
          <w:rFonts w:ascii="黑体" w:hAnsi="黑体" w:eastAsia="黑体"/>
          <w:color w:val="000000"/>
          <w:sz w:val="72"/>
          <w:szCs w:val="72"/>
        </w:rPr>
        <w:t>20</w:t>
      </w:r>
      <w:r>
        <w:rPr>
          <w:rFonts w:hint="eastAsia" w:ascii="黑体" w:hAnsi="黑体" w:eastAsia="黑体"/>
          <w:color w:val="000000"/>
          <w:sz w:val="72"/>
          <w:szCs w:val="72"/>
          <w:lang w:val="en-US" w:eastAsia="zh-CN"/>
        </w:rPr>
        <w:t>22</w:t>
      </w:r>
      <w:r>
        <w:rPr>
          <w:rFonts w:hint="eastAsia" w:ascii="方正小标宋简体" w:hAnsi="宋体" w:eastAsia="方正小标宋简体"/>
          <w:color w:val="000000"/>
          <w:sz w:val="72"/>
          <w:szCs w:val="72"/>
        </w:rPr>
        <w:t>年度</w:t>
      </w:r>
      <w:bookmarkEnd w:id="0"/>
      <w:bookmarkEnd w:id="1"/>
      <w:bookmarkEnd w:id="2"/>
      <w:bookmarkEnd w:id="3"/>
      <w:bookmarkEnd w:id="4"/>
      <w:bookmarkEnd w:id="5"/>
      <w:bookmarkEnd w:id="6"/>
      <w:bookmarkStart w:id="30" w:name="_GoBack"/>
      <w:bookmarkEnd w:id="30"/>
    </w:p>
    <w:p>
      <w:pPr>
        <w:adjustRightInd w:val="0"/>
        <w:snapToGrid w:val="0"/>
        <w:spacing w:line="360" w:lineRule="auto"/>
        <w:jc w:val="center"/>
        <w:outlineLvl w:val="0"/>
        <w:rPr>
          <w:rFonts w:ascii="方正小标宋简体" w:hAnsi="宋体" w:eastAsia="方正小标宋简体"/>
          <w:color w:val="000000"/>
          <w:sz w:val="72"/>
          <w:szCs w:val="72"/>
        </w:rPr>
      </w:pPr>
      <w:bookmarkStart w:id="7" w:name="_Toc15377194"/>
      <w:bookmarkStart w:id="8" w:name="_Toc15377426"/>
      <w:bookmarkStart w:id="9" w:name="_Toc24869"/>
      <w:bookmarkStart w:id="10" w:name="_Toc15396598"/>
      <w:bookmarkStart w:id="11" w:name="_Toc15378442"/>
      <w:bookmarkStart w:id="12" w:name="_Toc15396476"/>
      <w:bookmarkStart w:id="13" w:name="_Toc6282"/>
      <w:r>
        <w:rPr>
          <w:rFonts w:hint="eastAsia" w:ascii="方正小标宋简体" w:hAnsi="宋体" w:eastAsia="方正小标宋简体"/>
          <w:color w:val="000000"/>
          <w:sz w:val="72"/>
          <w:szCs w:val="72"/>
        </w:rPr>
        <w:t>四川省阿坝州</w:t>
      </w:r>
      <w:r>
        <w:rPr>
          <w:rFonts w:hint="eastAsia" w:ascii="方正小标宋简体" w:hAnsi="宋体" w:eastAsia="方正小标宋简体"/>
          <w:color w:val="000000"/>
          <w:sz w:val="72"/>
          <w:szCs w:val="72"/>
          <w:lang w:eastAsia="zh-CN"/>
        </w:rPr>
        <w:t>红原县</w:t>
      </w:r>
      <w:bookmarkStart w:id="14" w:name="_Toc15306268"/>
      <w:r>
        <w:rPr>
          <w:rFonts w:hint="eastAsia" w:ascii="方正小标宋简体" w:hAnsi="宋体" w:eastAsia="方正小标宋简体"/>
          <w:color w:val="000000"/>
          <w:sz w:val="72"/>
          <w:szCs w:val="72"/>
          <w:lang w:val="en-US" w:eastAsia="zh-CN"/>
        </w:rPr>
        <w:t>退役军人事务局</w:t>
      </w:r>
      <w:r>
        <w:rPr>
          <w:rFonts w:hint="eastAsia" w:ascii="方正小标宋简体" w:hAnsi="宋体" w:eastAsia="方正小标宋简体"/>
          <w:color w:val="000000"/>
          <w:sz w:val="72"/>
          <w:szCs w:val="72"/>
        </w:rPr>
        <w:t>部门</w:t>
      </w:r>
      <w:r>
        <w:rPr>
          <w:rFonts w:hint="eastAsia" w:ascii="方正小标宋简体" w:hAnsi="宋体" w:eastAsia="方正小标宋简体"/>
          <w:color w:val="000000"/>
          <w:sz w:val="72"/>
          <w:szCs w:val="72"/>
          <w:lang w:val="en-US" w:eastAsia="zh-CN"/>
        </w:rPr>
        <w:t>预</w:t>
      </w:r>
      <w:r>
        <w:rPr>
          <w:rFonts w:hint="eastAsia" w:ascii="方正小标宋简体" w:hAnsi="宋体" w:eastAsia="方正小标宋简体"/>
          <w:color w:val="000000"/>
          <w:sz w:val="72"/>
          <w:szCs w:val="72"/>
        </w:rPr>
        <w:t>算</w:t>
      </w:r>
      <w:bookmarkEnd w:id="7"/>
      <w:bookmarkEnd w:id="8"/>
      <w:bookmarkEnd w:id="9"/>
      <w:bookmarkEnd w:id="10"/>
      <w:bookmarkEnd w:id="11"/>
      <w:bookmarkEnd w:id="12"/>
      <w:bookmarkEnd w:id="13"/>
      <w:bookmarkEnd w:id="14"/>
    </w:p>
    <w:p>
      <w:pPr>
        <w:widowControl/>
        <w:jc w:val="center"/>
        <w:rPr>
          <w:rFonts w:ascii="方正小标宋简体" w:hAnsi="宋体" w:eastAsia="方正小标宋简体"/>
          <w:color w:val="000000"/>
          <w:sz w:val="36"/>
          <w:szCs w:val="36"/>
        </w:rPr>
      </w:pPr>
    </w:p>
    <w:p>
      <w:pPr>
        <w:pStyle w:val="6"/>
      </w:pPr>
    </w:p>
    <w:p>
      <w:pPr>
        <w:rPr>
          <w:rFonts w:ascii="方正小标宋简体" w:hAnsi="宋体" w:eastAsia="方正小标宋简体"/>
          <w:sz w:val="36"/>
          <w:szCs w:val="36"/>
        </w:rPr>
      </w:pPr>
    </w:p>
    <w:p>
      <w:pPr>
        <w:rPr>
          <w:rFonts w:ascii="方正小标宋简体" w:hAnsi="宋体" w:eastAsia="方正小标宋简体"/>
          <w:sz w:val="36"/>
          <w:szCs w:val="36"/>
        </w:rPr>
      </w:pPr>
    </w:p>
    <w:p>
      <w:pPr>
        <w:rPr>
          <w:rFonts w:ascii="方正小标宋简体" w:hAnsi="宋体" w:eastAsia="方正小标宋简体"/>
          <w:sz w:val="36"/>
          <w:szCs w:val="36"/>
        </w:rPr>
      </w:pPr>
    </w:p>
    <w:p>
      <w:pPr>
        <w:rPr>
          <w:rFonts w:ascii="方正小标宋简体" w:hAnsi="宋体" w:eastAsia="方正小标宋简体"/>
          <w:sz w:val="36"/>
          <w:szCs w:val="36"/>
        </w:rPr>
      </w:pPr>
    </w:p>
    <w:p>
      <w:pPr>
        <w:autoSpaceDE w:val="0"/>
        <w:autoSpaceDN w:val="0"/>
        <w:adjustRightInd w:val="0"/>
        <w:ind w:firstLine="1276"/>
        <w:jc w:val="left"/>
        <w:rPr>
          <w:rFonts w:eastAsia="仿宋_GB2312"/>
          <w:sz w:val="32"/>
          <w:szCs w:val="32"/>
        </w:rPr>
      </w:pPr>
      <w:r>
        <w:rPr>
          <w:rFonts w:hint="eastAsia" w:ascii="仿宋_GB2312" w:hAnsi="Calibri" w:eastAsia="仿宋_GB2312" w:cs="仿宋_GB2312"/>
          <w:sz w:val="32"/>
          <w:szCs w:val="32"/>
        </w:rPr>
        <w:t>保密审查情况：已审查，内容审定</w:t>
      </w:r>
    </w:p>
    <w:p>
      <w:pPr>
        <w:autoSpaceDE w:val="0"/>
        <w:autoSpaceDN w:val="0"/>
        <w:adjustRightInd w:val="0"/>
        <w:ind w:firstLine="1276"/>
        <w:jc w:val="left"/>
        <w:rPr>
          <w:rFonts w:eastAsia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部门主要负责人审签情况：已审签</w:t>
      </w:r>
      <w:r>
        <w:rPr>
          <w:rFonts w:hint="eastAsia" w:ascii="仿宋_GB2312" w:hAnsi="Calibri" w:eastAsia="仿宋_GB2312" w:cs="仿宋_GB2312"/>
          <w:sz w:val="32"/>
          <w:szCs w:val="32"/>
        </w:rPr>
        <w:t>，同意对外公开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center"/>
        <w:textAlignment w:val="auto"/>
        <w:outlineLvl w:val="9"/>
        <w:rPr>
          <w:rFonts w:hint="eastAsia" w:ascii="黑体" w:hAnsi="黑体" w:eastAsia="黑体" w:cs="黑体"/>
          <w:b w:val="0"/>
          <w:bCs w:val="0"/>
          <w:color w:val="000000"/>
          <w:kern w:val="36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center"/>
        <w:textAlignment w:val="auto"/>
        <w:outlineLvl w:val="9"/>
        <w:rPr>
          <w:rFonts w:hint="eastAsia" w:ascii="黑体" w:hAnsi="黑体" w:eastAsia="黑体" w:cs="黑体"/>
          <w:b w:val="0"/>
          <w:bCs w:val="0"/>
          <w:color w:val="000000"/>
          <w:kern w:val="36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center"/>
        <w:textAlignment w:val="auto"/>
        <w:outlineLvl w:val="9"/>
        <w:rPr>
          <w:rFonts w:hint="eastAsia" w:ascii="黑体" w:hAnsi="黑体" w:eastAsia="黑体" w:cs="黑体"/>
          <w:b w:val="0"/>
          <w:bCs w:val="0"/>
          <w:color w:val="000000"/>
          <w:kern w:val="36"/>
          <w:sz w:val="32"/>
          <w:szCs w:val="32"/>
          <w:lang w:val="en-US" w:eastAsia="zh-CN"/>
        </w:rPr>
      </w:pPr>
    </w:p>
    <w:p>
      <w:pPr>
        <w:pStyle w:val="2"/>
        <w:rPr>
          <w:rFonts w:hint="eastAsia" w:ascii="黑体" w:hAnsi="黑体" w:eastAsia="黑体" w:cs="黑体"/>
          <w:b w:val="0"/>
          <w:bCs w:val="0"/>
          <w:color w:val="000000"/>
          <w:kern w:val="36"/>
          <w:sz w:val="32"/>
          <w:szCs w:val="32"/>
          <w:lang w:val="en-US" w:eastAsia="zh-CN"/>
        </w:rPr>
      </w:pPr>
    </w:p>
    <w:p>
      <w:pPr>
        <w:pStyle w:val="2"/>
        <w:rPr>
          <w:rFonts w:hint="eastAsia" w:ascii="黑体" w:hAnsi="黑体" w:eastAsia="黑体" w:cs="黑体"/>
          <w:b w:val="0"/>
          <w:bCs w:val="0"/>
          <w:color w:val="000000"/>
          <w:kern w:val="36"/>
          <w:sz w:val="32"/>
          <w:szCs w:val="32"/>
          <w:lang w:val="en-US" w:eastAsia="zh-CN"/>
        </w:rPr>
      </w:pPr>
    </w:p>
    <w:p>
      <w:pPr>
        <w:pStyle w:val="2"/>
        <w:rPr>
          <w:rFonts w:hint="eastAsia" w:ascii="黑体" w:hAnsi="黑体" w:eastAsia="黑体" w:cs="黑体"/>
          <w:b w:val="0"/>
          <w:bCs w:val="0"/>
          <w:color w:val="000000"/>
          <w:kern w:val="36"/>
          <w:sz w:val="32"/>
          <w:szCs w:val="32"/>
          <w:lang w:val="en-US" w:eastAsia="zh-CN"/>
        </w:rPr>
      </w:pPr>
    </w:p>
    <w:sdt>
      <w:sdtPr>
        <w:rPr>
          <w:rFonts w:ascii="宋体" w:hAnsi="宋体" w:eastAsia="宋体" w:cstheme="minorBidi"/>
          <w:kern w:val="2"/>
          <w:sz w:val="52"/>
          <w:szCs w:val="52"/>
          <w:lang w:val="en-US" w:eastAsia="zh-CN" w:bidi="ar-SA"/>
        </w:rPr>
        <w:id w:val="147472094"/>
        <w15:color w:val="DBDBDB"/>
        <w:docPartObj>
          <w:docPartGallery w:val="Table of Contents"/>
          <w:docPartUnique/>
        </w:docPartObj>
      </w:sdtPr>
      <w:sdtEndPr>
        <w:rPr>
          <w:rFonts w:hint="eastAsia" w:ascii="黑体" w:eastAsia="黑体" w:hAnsiTheme="minorHAnsi" w:cstheme="minorBidi"/>
          <w:b/>
          <w:kern w:val="2"/>
          <w:sz w:val="21"/>
          <w:szCs w:val="32"/>
          <w:lang w:val="en-US" w:eastAsia="zh-CN" w:bidi="ar-SA"/>
        </w:rPr>
      </w:sdtEndPr>
      <w:sdtContent>
        <w:p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sz w:val="52"/>
              <w:szCs w:val="52"/>
            </w:rPr>
          </w:pPr>
          <w:r>
            <w:rPr>
              <w:rFonts w:ascii="宋体" w:hAnsi="宋体" w:eastAsia="宋体"/>
              <w:sz w:val="52"/>
              <w:szCs w:val="52"/>
            </w:rPr>
            <w:t>目录</w:t>
          </w:r>
        </w:p>
        <w:p>
          <w:pPr>
            <w:pStyle w:val="7"/>
            <w:tabs>
              <w:tab w:val="right" w:leader="dot" w:pos="8306"/>
            </w:tabs>
            <w:rPr>
              <w:sz w:val="32"/>
              <w:szCs w:val="32"/>
            </w:rPr>
          </w:pPr>
          <w:r>
            <w:rPr>
              <w:rFonts w:hint="eastAsia" w:ascii="黑体" w:eastAsia="黑体"/>
              <w:sz w:val="32"/>
              <w:szCs w:val="32"/>
            </w:rPr>
            <w:fldChar w:fldCharType="begin"/>
          </w:r>
          <w:r>
            <w:rPr>
              <w:rFonts w:hint="eastAsia" w:ascii="黑体" w:eastAsia="黑体"/>
              <w:sz w:val="32"/>
              <w:szCs w:val="32"/>
            </w:rPr>
            <w:instrText xml:space="preserve">TOC \o "1-2" \h \u </w:instrText>
          </w:r>
          <w:r>
            <w:rPr>
              <w:rFonts w:hint="eastAsia" w:ascii="黑体" w:eastAsia="黑体"/>
              <w:sz w:val="32"/>
              <w:szCs w:val="32"/>
            </w:rPr>
            <w:fldChar w:fldCharType="separate"/>
          </w:r>
          <w:r>
            <w:rPr>
              <w:rFonts w:hint="eastAsia" w:ascii="黑体" w:eastAsia="黑体"/>
              <w:sz w:val="32"/>
              <w:szCs w:val="32"/>
            </w:rPr>
            <w:fldChar w:fldCharType="begin"/>
          </w:r>
          <w:r>
            <w:rPr>
              <w:rFonts w:hint="eastAsia" w:ascii="黑体" w:eastAsia="黑体"/>
              <w:sz w:val="32"/>
              <w:szCs w:val="32"/>
            </w:rPr>
            <w:instrText xml:space="preserve"> HYPERLINK \l _Toc30737 </w:instrText>
          </w:r>
          <w:r>
            <w:rPr>
              <w:rFonts w:hint="eastAsia" w:ascii="黑体" w:eastAsia="黑体"/>
              <w:sz w:val="32"/>
              <w:szCs w:val="32"/>
            </w:rPr>
            <w:fldChar w:fldCharType="separate"/>
          </w:r>
          <w:r>
            <w:rPr>
              <w:rFonts w:ascii="黑体" w:hAnsi="黑体" w:eastAsia="黑体"/>
              <w:sz w:val="32"/>
              <w:szCs w:val="32"/>
            </w:rPr>
            <w:t>20</w:t>
          </w:r>
          <w:r>
            <w:rPr>
              <w:rFonts w:hint="eastAsia" w:ascii="黑体" w:hAnsi="黑体" w:eastAsia="黑体"/>
              <w:sz w:val="32"/>
              <w:szCs w:val="32"/>
              <w:lang w:val="en-US" w:eastAsia="zh-CN"/>
            </w:rPr>
            <w:t>22</w:t>
          </w:r>
          <w:r>
            <w:rPr>
              <w:rFonts w:hint="eastAsia" w:ascii="方正小标宋简体" w:hAnsi="宋体" w:eastAsia="方正小标宋简体"/>
              <w:sz w:val="32"/>
              <w:szCs w:val="32"/>
            </w:rPr>
            <w:t>年度</w:t>
          </w:r>
          <w:r>
            <w:rPr>
              <w:sz w:val="32"/>
              <w:szCs w:val="32"/>
            </w:rPr>
            <w:tab/>
          </w:r>
          <w:r>
            <w:rPr>
              <w:sz w:val="32"/>
              <w:szCs w:val="32"/>
            </w:rPr>
            <w:fldChar w:fldCharType="begin"/>
          </w:r>
          <w:r>
            <w:rPr>
              <w:sz w:val="32"/>
              <w:szCs w:val="32"/>
            </w:rPr>
            <w:instrText xml:space="preserve"> PAGEREF _Toc30737 \h </w:instrText>
          </w:r>
          <w:r>
            <w:rPr>
              <w:sz w:val="32"/>
              <w:szCs w:val="32"/>
            </w:rPr>
            <w:fldChar w:fldCharType="separate"/>
          </w:r>
          <w:r>
            <w:rPr>
              <w:sz w:val="32"/>
              <w:szCs w:val="32"/>
            </w:rPr>
            <w:t>1</w:t>
          </w:r>
          <w:r>
            <w:rPr>
              <w:sz w:val="32"/>
              <w:szCs w:val="32"/>
            </w:rPr>
            <w:fldChar w:fldCharType="end"/>
          </w:r>
          <w:r>
            <w:rPr>
              <w:rFonts w:hint="eastAsia" w:ascii="黑体" w:eastAsia="黑体"/>
              <w:sz w:val="32"/>
              <w:szCs w:val="32"/>
            </w:rPr>
            <w:fldChar w:fldCharType="end"/>
          </w:r>
        </w:p>
        <w:p>
          <w:pPr>
            <w:pStyle w:val="7"/>
            <w:tabs>
              <w:tab w:val="right" w:leader="dot" w:pos="8306"/>
            </w:tabs>
            <w:rPr>
              <w:sz w:val="32"/>
              <w:szCs w:val="32"/>
            </w:rPr>
          </w:pPr>
          <w:r>
            <w:rPr>
              <w:rFonts w:hint="eastAsia" w:ascii="黑体" w:eastAsia="黑体"/>
              <w:sz w:val="32"/>
              <w:szCs w:val="32"/>
            </w:rPr>
            <w:fldChar w:fldCharType="begin"/>
          </w:r>
          <w:r>
            <w:rPr>
              <w:rFonts w:hint="eastAsia" w:ascii="黑体" w:eastAsia="黑体"/>
              <w:sz w:val="32"/>
              <w:szCs w:val="32"/>
            </w:rPr>
            <w:instrText xml:space="preserve"> HYPERLINK \l _Toc6282 </w:instrText>
          </w:r>
          <w:r>
            <w:rPr>
              <w:rFonts w:hint="eastAsia" w:ascii="黑体" w:eastAsia="黑体"/>
              <w:sz w:val="32"/>
              <w:szCs w:val="32"/>
            </w:rPr>
            <w:fldChar w:fldCharType="separate"/>
          </w:r>
          <w:r>
            <w:rPr>
              <w:rFonts w:hint="eastAsia" w:ascii="方正小标宋简体" w:hAnsi="宋体" w:eastAsia="方正小标宋简体"/>
              <w:sz w:val="32"/>
              <w:szCs w:val="32"/>
            </w:rPr>
            <w:t>四川省阿坝州</w:t>
          </w:r>
          <w:r>
            <w:rPr>
              <w:rFonts w:hint="eastAsia" w:ascii="方正小标宋简体" w:hAnsi="宋体" w:eastAsia="方正小标宋简体"/>
              <w:sz w:val="32"/>
              <w:szCs w:val="32"/>
              <w:lang w:eastAsia="zh-CN"/>
            </w:rPr>
            <w:t>红原县</w:t>
          </w:r>
          <w:r>
            <w:rPr>
              <w:rFonts w:hint="eastAsia" w:ascii="方正小标宋简体" w:hAnsi="宋体" w:eastAsia="方正小标宋简体"/>
              <w:sz w:val="32"/>
              <w:szCs w:val="32"/>
              <w:lang w:val="en-US" w:eastAsia="zh-CN"/>
            </w:rPr>
            <w:t>退役军人事务局</w:t>
          </w:r>
          <w:r>
            <w:rPr>
              <w:rFonts w:hint="eastAsia" w:ascii="方正小标宋简体" w:hAnsi="宋体" w:eastAsia="方正小标宋简体"/>
              <w:sz w:val="32"/>
              <w:szCs w:val="32"/>
            </w:rPr>
            <w:t>部门</w:t>
          </w:r>
          <w:r>
            <w:rPr>
              <w:rFonts w:hint="eastAsia" w:ascii="方正小标宋简体" w:hAnsi="宋体" w:eastAsia="方正小标宋简体"/>
              <w:sz w:val="32"/>
              <w:szCs w:val="32"/>
              <w:lang w:val="en-US" w:eastAsia="zh-CN"/>
            </w:rPr>
            <w:t>预</w:t>
          </w:r>
          <w:r>
            <w:rPr>
              <w:rFonts w:hint="eastAsia" w:ascii="方正小标宋简体" w:hAnsi="宋体" w:eastAsia="方正小标宋简体"/>
              <w:sz w:val="32"/>
              <w:szCs w:val="32"/>
            </w:rPr>
            <w:t>算</w:t>
          </w:r>
          <w:r>
            <w:rPr>
              <w:sz w:val="32"/>
              <w:szCs w:val="32"/>
            </w:rPr>
            <w:tab/>
          </w:r>
          <w:r>
            <w:rPr>
              <w:sz w:val="32"/>
              <w:szCs w:val="32"/>
            </w:rPr>
            <w:fldChar w:fldCharType="begin"/>
          </w:r>
          <w:r>
            <w:rPr>
              <w:sz w:val="32"/>
              <w:szCs w:val="32"/>
            </w:rPr>
            <w:instrText xml:space="preserve"> PAGEREF _Toc6282 \h </w:instrText>
          </w:r>
          <w:r>
            <w:rPr>
              <w:sz w:val="32"/>
              <w:szCs w:val="32"/>
            </w:rPr>
            <w:fldChar w:fldCharType="separate"/>
          </w:r>
          <w:r>
            <w:rPr>
              <w:sz w:val="32"/>
              <w:szCs w:val="32"/>
            </w:rPr>
            <w:t>1</w:t>
          </w:r>
          <w:r>
            <w:rPr>
              <w:sz w:val="32"/>
              <w:szCs w:val="32"/>
            </w:rPr>
            <w:fldChar w:fldCharType="end"/>
          </w:r>
          <w:r>
            <w:rPr>
              <w:rFonts w:hint="eastAsia" w:ascii="黑体" w:eastAsia="黑体"/>
              <w:sz w:val="32"/>
              <w:szCs w:val="32"/>
            </w:rPr>
            <w:fldChar w:fldCharType="end"/>
          </w:r>
        </w:p>
        <w:p>
          <w:pPr>
            <w:pStyle w:val="7"/>
            <w:tabs>
              <w:tab w:val="right" w:leader="dot" w:pos="8306"/>
            </w:tabs>
            <w:rPr>
              <w:sz w:val="32"/>
              <w:szCs w:val="32"/>
            </w:rPr>
          </w:pPr>
          <w:r>
            <w:rPr>
              <w:rFonts w:hint="eastAsia" w:ascii="黑体" w:eastAsia="黑体"/>
              <w:sz w:val="32"/>
              <w:szCs w:val="32"/>
            </w:rPr>
            <w:fldChar w:fldCharType="begin"/>
          </w:r>
          <w:r>
            <w:rPr>
              <w:rFonts w:hint="eastAsia" w:ascii="黑体" w:eastAsia="黑体"/>
              <w:sz w:val="32"/>
              <w:szCs w:val="32"/>
            </w:rPr>
            <w:instrText xml:space="preserve"> HYPERLINK \l _Toc7077 </w:instrText>
          </w:r>
          <w:r>
            <w:rPr>
              <w:rFonts w:hint="eastAsia" w:ascii="黑体" w:eastAsia="黑体"/>
              <w:sz w:val="32"/>
              <w:szCs w:val="32"/>
            </w:rPr>
            <w:fldChar w:fldCharType="separate"/>
          </w:r>
          <w:r>
            <w:rPr>
              <w:rFonts w:hint="eastAsia" w:ascii="黑体" w:eastAsia="黑体"/>
              <w:sz w:val="32"/>
              <w:szCs w:val="32"/>
            </w:rPr>
            <w:t>一、基本职能及主要工作</w:t>
          </w:r>
          <w:r>
            <w:rPr>
              <w:sz w:val="32"/>
              <w:szCs w:val="32"/>
            </w:rPr>
            <w:tab/>
          </w:r>
          <w:r>
            <w:rPr>
              <w:sz w:val="32"/>
              <w:szCs w:val="32"/>
            </w:rPr>
            <w:fldChar w:fldCharType="begin"/>
          </w:r>
          <w:r>
            <w:rPr>
              <w:sz w:val="32"/>
              <w:szCs w:val="32"/>
            </w:rPr>
            <w:instrText xml:space="preserve"> PAGEREF _Toc7077 \h </w:instrText>
          </w:r>
          <w:r>
            <w:rPr>
              <w:sz w:val="32"/>
              <w:szCs w:val="32"/>
            </w:rPr>
            <w:fldChar w:fldCharType="separate"/>
          </w:r>
          <w:r>
            <w:rPr>
              <w:sz w:val="32"/>
              <w:szCs w:val="32"/>
            </w:rPr>
            <w:t>3</w:t>
          </w:r>
          <w:r>
            <w:rPr>
              <w:sz w:val="32"/>
              <w:szCs w:val="32"/>
            </w:rPr>
            <w:fldChar w:fldCharType="end"/>
          </w:r>
          <w:r>
            <w:rPr>
              <w:rFonts w:hint="eastAsia" w:ascii="黑体" w:eastAsia="黑体"/>
              <w:sz w:val="32"/>
              <w:szCs w:val="32"/>
            </w:rPr>
            <w:fldChar w:fldCharType="end"/>
          </w:r>
        </w:p>
        <w:p>
          <w:pPr>
            <w:pStyle w:val="8"/>
            <w:tabs>
              <w:tab w:val="right" w:leader="dot" w:pos="8306"/>
            </w:tabs>
            <w:rPr>
              <w:sz w:val="32"/>
              <w:szCs w:val="32"/>
            </w:rPr>
          </w:pPr>
          <w:r>
            <w:rPr>
              <w:rFonts w:hint="eastAsia" w:ascii="黑体" w:eastAsia="黑体"/>
              <w:sz w:val="32"/>
              <w:szCs w:val="32"/>
            </w:rPr>
            <w:fldChar w:fldCharType="begin"/>
          </w:r>
          <w:r>
            <w:rPr>
              <w:rFonts w:hint="eastAsia" w:ascii="黑体" w:eastAsia="黑体"/>
              <w:sz w:val="32"/>
              <w:szCs w:val="32"/>
            </w:rPr>
            <w:instrText xml:space="preserve"> HYPERLINK \l _Toc27950 </w:instrText>
          </w:r>
          <w:r>
            <w:rPr>
              <w:rFonts w:hint="eastAsia" w:ascii="黑体" w:eastAsia="黑体"/>
              <w:sz w:val="32"/>
              <w:szCs w:val="32"/>
            </w:rPr>
            <w:fldChar w:fldCharType="separate"/>
          </w:r>
          <w:r>
            <w:rPr>
              <w:rFonts w:hint="eastAsia" w:ascii="楷体_GB2312" w:hAnsi="楷体_GB2312" w:eastAsia="楷体_GB2312" w:cs="楷体_GB2312"/>
              <w:sz w:val="32"/>
              <w:szCs w:val="32"/>
            </w:rPr>
            <w:t>（一）基本职能</w:t>
          </w:r>
          <w:r>
            <w:rPr>
              <w:sz w:val="32"/>
              <w:szCs w:val="32"/>
            </w:rPr>
            <w:tab/>
          </w:r>
          <w:r>
            <w:rPr>
              <w:sz w:val="32"/>
              <w:szCs w:val="32"/>
            </w:rPr>
            <w:fldChar w:fldCharType="begin"/>
          </w:r>
          <w:r>
            <w:rPr>
              <w:sz w:val="32"/>
              <w:szCs w:val="32"/>
            </w:rPr>
            <w:instrText xml:space="preserve"> PAGEREF _Toc27950 \h </w:instrText>
          </w:r>
          <w:r>
            <w:rPr>
              <w:sz w:val="32"/>
              <w:szCs w:val="32"/>
            </w:rPr>
            <w:fldChar w:fldCharType="separate"/>
          </w:r>
          <w:r>
            <w:rPr>
              <w:sz w:val="32"/>
              <w:szCs w:val="32"/>
            </w:rPr>
            <w:t>3</w:t>
          </w:r>
          <w:r>
            <w:rPr>
              <w:sz w:val="32"/>
              <w:szCs w:val="32"/>
            </w:rPr>
            <w:fldChar w:fldCharType="end"/>
          </w:r>
          <w:r>
            <w:rPr>
              <w:rFonts w:hint="eastAsia" w:ascii="黑体" w:eastAsia="黑体"/>
              <w:sz w:val="32"/>
              <w:szCs w:val="32"/>
            </w:rPr>
            <w:fldChar w:fldCharType="end"/>
          </w:r>
        </w:p>
        <w:p>
          <w:pPr>
            <w:pStyle w:val="8"/>
            <w:tabs>
              <w:tab w:val="right" w:leader="dot" w:pos="8306"/>
            </w:tabs>
            <w:rPr>
              <w:sz w:val="32"/>
              <w:szCs w:val="32"/>
            </w:rPr>
          </w:pPr>
          <w:r>
            <w:rPr>
              <w:rFonts w:hint="eastAsia" w:ascii="黑体" w:eastAsia="黑体"/>
              <w:sz w:val="32"/>
              <w:szCs w:val="32"/>
            </w:rPr>
            <w:fldChar w:fldCharType="begin"/>
          </w:r>
          <w:r>
            <w:rPr>
              <w:rFonts w:hint="eastAsia" w:ascii="黑体" w:eastAsia="黑体"/>
              <w:sz w:val="32"/>
              <w:szCs w:val="32"/>
            </w:rPr>
            <w:instrText xml:space="preserve"> HYPERLINK \l _Toc3767 </w:instrText>
          </w:r>
          <w:r>
            <w:rPr>
              <w:rFonts w:hint="eastAsia" w:ascii="黑体" w:eastAsia="黑体"/>
              <w:sz w:val="32"/>
              <w:szCs w:val="32"/>
            </w:rPr>
            <w:fldChar w:fldCharType="separate"/>
          </w:r>
          <w:r>
            <w:rPr>
              <w:rFonts w:hint="eastAsia" w:ascii="楷体_GB2312" w:hAnsi="楷体_GB2312" w:eastAsia="楷体_GB2312" w:cs="楷体_GB2312"/>
              <w:bCs w:val="0"/>
              <w:sz w:val="32"/>
              <w:szCs w:val="32"/>
              <w:lang w:eastAsia="zh-CN"/>
            </w:rPr>
            <w:t>（二）202</w:t>
          </w:r>
          <w:r>
            <w:rPr>
              <w:rFonts w:hint="eastAsia" w:ascii="楷体_GB2312" w:hAnsi="楷体_GB2312" w:eastAsia="楷体_GB2312" w:cs="楷体_GB2312"/>
              <w:bCs w:val="0"/>
              <w:sz w:val="32"/>
              <w:szCs w:val="32"/>
              <w:lang w:val="en-US" w:eastAsia="zh-CN"/>
            </w:rPr>
            <w:t>2</w:t>
          </w:r>
          <w:r>
            <w:rPr>
              <w:rFonts w:hint="eastAsia" w:ascii="楷体_GB2312" w:hAnsi="楷体_GB2312" w:eastAsia="楷体_GB2312" w:cs="楷体_GB2312"/>
              <w:bCs w:val="0"/>
              <w:sz w:val="32"/>
              <w:szCs w:val="32"/>
              <w:lang w:eastAsia="zh-CN"/>
            </w:rPr>
            <w:t>年重点工作任务</w:t>
          </w:r>
          <w:r>
            <w:rPr>
              <w:sz w:val="32"/>
              <w:szCs w:val="32"/>
            </w:rPr>
            <w:tab/>
          </w:r>
          <w:r>
            <w:rPr>
              <w:sz w:val="32"/>
              <w:szCs w:val="32"/>
            </w:rPr>
            <w:fldChar w:fldCharType="begin"/>
          </w:r>
          <w:r>
            <w:rPr>
              <w:sz w:val="32"/>
              <w:szCs w:val="32"/>
            </w:rPr>
            <w:instrText xml:space="preserve"> PAGEREF _Toc3767 \h </w:instrText>
          </w:r>
          <w:r>
            <w:rPr>
              <w:sz w:val="32"/>
              <w:szCs w:val="32"/>
            </w:rPr>
            <w:fldChar w:fldCharType="separate"/>
          </w:r>
          <w:r>
            <w:rPr>
              <w:sz w:val="32"/>
              <w:szCs w:val="32"/>
            </w:rPr>
            <w:t>3</w:t>
          </w:r>
          <w:r>
            <w:rPr>
              <w:sz w:val="32"/>
              <w:szCs w:val="32"/>
            </w:rPr>
            <w:fldChar w:fldCharType="end"/>
          </w:r>
          <w:r>
            <w:rPr>
              <w:rFonts w:hint="eastAsia" w:ascii="黑体" w:eastAsia="黑体"/>
              <w:sz w:val="32"/>
              <w:szCs w:val="32"/>
            </w:rPr>
            <w:fldChar w:fldCharType="end"/>
          </w:r>
        </w:p>
        <w:p>
          <w:pPr>
            <w:pStyle w:val="7"/>
            <w:tabs>
              <w:tab w:val="right" w:leader="dot" w:pos="8306"/>
            </w:tabs>
            <w:rPr>
              <w:sz w:val="32"/>
              <w:szCs w:val="32"/>
            </w:rPr>
          </w:pPr>
          <w:r>
            <w:rPr>
              <w:rFonts w:hint="eastAsia" w:ascii="黑体" w:eastAsia="黑体"/>
              <w:sz w:val="32"/>
              <w:szCs w:val="32"/>
            </w:rPr>
            <w:fldChar w:fldCharType="begin"/>
          </w:r>
          <w:r>
            <w:rPr>
              <w:rFonts w:hint="eastAsia" w:ascii="黑体" w:eastAsia="黑体"/>
              <w:sz w:val="32"/>
              <w:szCs w:val="32"/>
            </w:rPr>
            <w:instrText xml:space="preserve"> HYPERLINK \l _Toc13220 </w:instrText>
          </w:r>
          <w:r>
            <w:rPr>
              <w:rFonts w:hint="eastAsia" w:ascii="黑体" w:eastAsia="黑体"/>
              <w:sz w:val="32"/>
              <w:szCs w:val="32"/>
            </w:rPr>
            <w:fldChar w:fldCharType="separate"/>
          </w:r>
          <w:r>
            <w:rPr>
              <w:rFonts w:hint="eastAsia" w:ascii="黑体" w:eastAsia="黑体"/>
              <w:sz w:val="32"/>
              <w:szCs w:val="32"/>
            </w:rPr>
            <w:t>二、部门</w:t>
          </w:r>
          <w:r>
            <w:rPr>
              <w:rFonts w:hint="eastAsia" w:ascii="黑体" w:eastAsia="黑体"/>
              <w:sz w:val="32"/>
              <w:szCs w:val="32"/>
              <w:lang w:eastAsia="zh-CN"/>
            </w:rPr>
            <w:t>预算单位构成</w:t>
          </w:r>
          <w:r>
            <w:rPr>
              <w:sz w:val="32"/>
              <w:szCs w:val="32"/>
            </w:rPr>
            <w:tab/>
          </w:r>
          <w:r>
            <w:rPr>
              <w:sz w:val="32"/>
              <w:szCs w:val="32"/>
            </w:rPr>
            <w:fldChar w:fldCharType="begin"/>
          </w:r>
          <w:r>
            <w:rPr>
              <w:sz w:val="32"/>
              <w:szCs w:val="32"/>
            </w:rPr>
            <w:instrText xml:space="preserve"> PAGEREF _Toc13220 \h </w:instrText>
          </w:r>
          <w:r>
            <w:rPr>
              <w:sz w:val="32"/>
              <w:szCs w:val="32"/>
            </w:rPr>
            <w:fldChar w:fldCharType="separate"/>
          </w:r>
          <w:r>
            <w:rPr>
              <w:sz w:val="32"/>
              <w:szCs w:val="32"/>
            </w:rPr>
            <w:t>4</w:t>
          </w:r>
          <w:r>
            <w:rPr>
              <w:sz w:val="32"/>
              <w:szCs w:val="32"/>
            </w:rPr>
            <w:fldChar w:fldCharType="end"/>
          </w:r>
          <w:r>
            <w:rPr>
              <w:rFonts w:hint="eastAsia" w:ascii="黑体" w:eastAsia="黑体"/>
              <w:sz w:val="32"/>
              <w:szCs w:val="32"/>
            </w:rPr>
            <w:fldChar w:fldCharType="end"/>
          </w:r>
        </w:p>
        <w:p>
          <w:pPr>
            <w:pStyle w:val="7"/>
            <w:tabs>
              <w:tab w:val="right" w:leader="dot" w:pos="8306"/>
            </w:tabs>
            <w:rPr>
              <w:sz w:val="32"/>
              <w:szCs w:val="32"/>
            </w:rPr>
          </w:pPr>
          <w:r>
            <w:rPr>
              <w:rFonts w:hint="eastAsia" w:ascii="黑体" w:eastAsia="黑体"/>
              <w:sz w:val="32"/>
              <w:szCs w:val="32"/>
            </w:rPr>
            <w:fldChar w:fldCharType="begin"/>
          </w:r>
          <w:r>
            <w:rPr>
              <w:rFonts w:hint="eastAsia" w:ascii="黑体" w:eastAsia="黑体"/>
              <w:sz w:val="32"/>
              <w:szCs w:val="32"/>
            </w:rPr>
            <w:instrText xml:space="preserve"> HYPERLINK \l _Toc1137 </w:instrText>
          </w:r>
          <w:r>
            <w:rPr>
              <w:rFonts w:hint="eastAsia" w:ascii="黑体" w:eastAsia="黑体"/>
              <w:sz w:val="32"/>
              <w:szCs w:val="32"/>
            </w:rPr>
            <w:fldChar w:fldCharType="separate"/>
          </w:r>
          <w:r>
            <w:rPr>
              <w:rFonts w:hint="eastAsia" w:ascii="黑体" w:eastAsia="黑体"/>
              <w:sz w:val="32"/>
              <w:szCs w:val="32"/>
            </w:rPr>
            <w:t>三、收支预算总体情况</w:t>
          </w:r>
          <w:r>
            <w:rPr>
              <w:sz w:val="32"/>
              <w:szCs w:val="32"/>
            </w:rPr>
            <w:tab/>
          </w:r>
          <w:r>
            <w:rPr>
              <w:sz w:val="32"/>
              <w:szCs w:val="32"/>
            </w:rPr>
            <w:fldChar w:fldCharType="begin"/>
          </w:r>
          <w:r>
            <w:rPr>
              <w:sz w:val="32"/>
              <w:szCs w:val="32"/>
            </w:rPr>
            <w:instrText xml:space="preserve"> PAGEREF _Toc1137 \h </w:instrText>
          </w:r>
          <w:r>
            <w:rPr>
              <w:sz w:val="32"/>
              <w:szCs w:val="32"/>
            </w:rPr>
            <w:fldChar w:fldCharType="separate"/>
          </w:r>
          <w:r>
            <w:rPr>
              <w:sz w:val="32"/>
              <w:szCs w:val="32"/>
            </w:rPr>
            <w:t>4</w:t>
          </w:r>
          <w:r>
            <w:rPr>
              <w:sz w:val="32"/>
              <w:szCs w:val="32"/>
            </w:rPr>
            <w:fldChar w:fldCharType="end"/>
          </w:r>
          <w:r>
            <w:rPr>
              <w:rFonts w:hint="eastAsia" w:ascii="黑体" w:eastAsia="黑体"/>
              <w:sz w:val="32"/>
              <w:szCs w:val="32"/>
            </w:rPr>
            <w:fldChar w:fldCharType="end"/>
          </w:r>
        </w:p>
        <w:p>
          <w:pPr>
            <w:pStyle w:val="7"/>
            <w:tabs>
              <w:tab w:val="right" w:leader="dot" w:pos="8306"/>
            </w:tabs>
            <w:rPr>
              <w:sz w:val="32"/>
              <w:szCs w:val="32"/>
            </w:rPr>
          </w:pPr>
          <w:r>
            <w:rPr>
              <w:rFonts w:hint="eastAsia" w:ascii="黑体" w:eastAsia="黑体"/>
              <w:sz w:val="32"/>
              <w:szCs w:val="32"/>
            </w:rPr>
            <w:fldChar w:fldCharType="begin"/>
          </w:r>
          <w:r>
            <w:rPr>
              <w:rFonts w:hint="eastAsia" w:ascii="黑体" w:eastAsia="黑体"/>
              <w:sz w:val="32"/>
              <w:szCs w:val="32"/>
            </w:rPr>
            <w:instrText xml:space="preserve"> HYPERLINK \l _Toc32447 </w:instrText>
          </w:r>
          <w:r>
            <w:rPr>
              <w:rFonts w:hint="eastAsia" w:ascii="黑体" w:eastAsia="黑体"/>
              <w:sz w:val="32"/>
              <w:szCs w:val="32"/>
            </w:rPr>
            <w:fldChar w:fldCharType="separate"/>
          </w:r>
          <w:r>
            <w:rPr>
              <w:rFonts w:hint="eastAsia" w:ascii="黑体" w:eastAsia="黑体"/>
              <w:sz w:val="32"/>
              <w:szCs w:val="32"/>
            </w:rPr>
            <w:t>四、 支出预算安排情况</w:t>
          </w:r>
          <w:r>
            <w:rPr>
              <w:sz w:val="32"/>
              <w:szCs w:val="32"/>
            </w:rPr>
            <w:tab/>
          </w:r>
          <w:r>
            <w:rPr>
              <w:sz w:val="32"/>
              <w:szCs w:val="32"/>
            </w:rPr>
            <w:fldChar w:fldCharType="begin"/>
          </w:r>
          <w:r>
            <w:rPr>
              <w:sz w:val="32"/>
              <w:szCs w:val="32"/>
            </w:rPr>
            <w:instrText xml:space="preserve"> PAGEREF _Toc32447 \h </w:instrText>
          </w:r>
          <w:r>
            <w:rPr>
              <w:sz w:val="32"/>
              <w:szCs w:val="32"/>
            </w:rPr>
            <w:fldChar w:fldCharType="separate"/>
          </w:r>
          <w:r>
            <w:rPr>
              <w:sz w:val="32"/>
              <w:szCs w:val="32"/>
            </w:rPr>
            <w:t>4</w:t>
          </w:r>
          <w:r>
            <w:rPr>
              <w:sz w:val="32"/>
              <w:szCs w:val="32"/>
            </w:rPr>
            <w:fldChar w:fldCharType="end"/>
          </w:r>
          <w:r>
            <w:rPr>
              <w:rFonts w:hint="eastAsia" w:ascii="黑体" w:eastAsia="黑体"/>
              <w:sz w:val="32"/>
              <w:szCs w:val="32"/>
            </w:rPr>
            <w:fldChar w:fldCharType="end"/>
          </w:r>
        </w:p>
        <w:p>
          <w:pPr>
            <w:pStyle w:val="7"/>
            <w:tabs>
              <w:tab w:val="right" w:leader="dot" w:pos="8306"/>
            </w:tabs>
            <w:rPr>
              <w:sz w:val="32"/>
              <w:szCs w:val="32"/>
            </w:rPr>
          </w:pPr>
          <w:r>
            <w:rPr>
              <w:rFonts w:hint="eastAsia" w:ascii="黑体" w:eastAsia="黑体"/>
              <w:sz w:val="32"/>
              <w:szCs w:val="32"/>
            </w:rPr>
            <w:fldChar w:fldCharType="begin"/>
          </w:r>
          <w:r>
            <w:rPr>
              <w:rFonts w:hint="eastAsia" w:ascii="黑体" w:eastAsia="黑体"/>
              <w:sz w:val="32"/>
              <w:szCs w:val="32"/>
            </w:rPr>
            <w:instrText xml:space="preserve"> HYPERLINK \l _Toc1896 </w:instrText>
          </w:r>
          <w:r>
            <w:rPr>
              <w:rFonts w:hint="eastAsia" w:ascii="黑体" w:eastAsia="黑体"/>
              <w:sz w:val="32"/>
              <w:szCs w:val="32"/>
            </w:rPr>
            <w:fldChar w:fldCharType="separate"/>
          </w:r>
          <w:r>
            <w:rPr>
              <w:rFonts w:hint="eastAsia" w:ascii="黑体" w:eastAsia="黑体"/>
              <w:sz w:val="32"/>
              <w:szCs w:val="32"/>
              <w:lang w:val="en-US" w:eastAsia="zh-CN"/>
            </w:rPr>
            <w:t>五、较上年度增减变化</w:t>
          </w:r>
          <w:r>
            <w:rPr>
              <w:sz w:val="32"/>
              <w:szCs w:val="32"/>
            </w:rPr>
            <w:tab/>
          </w:r>
          <w:r>
            <w:rPr>
              <w:sz w:val="32"/>
              <w:szCs w:val="32"/>
            </w:rPr>
            <w:fldChar w:fldCharType="begin"/>
          </w:r>
          <w:r>
            <w:rPr>
              <w:sz w:val="32"/>
              <w:szCs w:val="32"/>
            </w:rPr>
            <w:instrText xml:space="preserve"> PAGEREF _Toc1896 \h </w:instrText>
          </w:r>
          <w:r>
            <w:rPr>
              <w:sz w:val="32"/>
              <w:szCs w:val="32"/>
            </w:rPr>
            <w:fldChar w:fldCharType="separate"/>
          </w:r>
          <w:r>
            <w:rPr>
              <w:sz w:val="32"/>
              <w:szCs w:val="32"/>
            </w:rPr>
            <w:t>5</w:t>
          </w:r>
          <w:r>
            <w:rPr>
              <w:sz w:val="32"/>
              <w:szCs w:val="32"/>
            </w:rPr>
            <w:fldChar w:fldCharType="end"/>
          </w:r>
          <w:r>
            <w:rPr>
              <w:rFonts w:hint="eastAsia" w:ascii="黑体" w:eastAsia="黑体"/>
              <w:sz w:val="32"/>
              <w:szCs w:val="32"/>
            </w:rPr>
            <w:fldChar w:fldCharType="end"/>
          </w:r>
        </w:p>
        <w:p>
          <w:pPr>
            <w:pStyle w:val="7"/>
            <w:tabs>
              <w:tab w:val="right" w:leader="dot" w:pos="8306"/>
            </w:tabs>
            <w:rPr>
              <w:sz w:val="32"/>
              <w:szCs w:val="32"/>
            </w:rPr>
          </w:pPr>
          <w:r>
            <w:rPr>
              <w:rFonts w:hint="eastAsia" w:ascii="黑体" w:eastAsia="黑体"/>
              <w:sz w:val="32"/>
              <w:szCs w:val="32"/>
            </w:rPr>
            <w:fldChar w:fldCharType="begin"/>
          </w:r>
          <w:r>
            <w:rPr>
              <w:rFonts w:hint="eastAsia" w:ascii="黑体" w:eastAsia="黑体"/>
              <w:sz w:val="32"/>
              <w:szCs w:val="32"/>
            </w:rPr>
            <w:instrText xml:space="preserve"> HYPERLINK \l _Toc3485 </w:instrText>
          </w:r>
          <w:r>
            <w:rPr>
              <w:rFonts w:hint="eastAsia" w:ascii="黑体" w:eastAsia="黑体"/>
              <w:sz w:val="32"/>
              <w:szCs w:val="32"/>
            </w:rPr>
            <w:fldChar w:fldCharType="separate"/>
          </w:r>
          <w:r>
            <w:rPr>
              <w:rFonts w:hint="eastAsia" w:ascii="黑体" w:eastAsia="黑体"/>
              <w:sz w:val="32"/>
              <w:szCs w:val="32"/>
              <w:lang w:val="en-US" w:eastAsia="zh-CN"/>
            </w:rPr>
            <w:t>七、政府性基金预算收支情况说明</w:t>
          </w:r>
          <w:r>
            <w:rPr>
              <w:sz w:val="32"/>
              <w:szCs w:val="32"/>
            </w:rPr>
            <w:tab/>
          </w:r>
          <w:r>
            <w:rPr>
              <w:sz w:val="32"/>
              <w:szCs w:val="32"/>
            </w:rPr>
            <w:fldChar w:fldCharType="begin"/>
          </w:r>
          <w:r>
            <w:rPr>
              <w:sz w:val="32"/>
              <w:szCs w:val="32"/>
            </w:rPr>
            <w:instrText xml:space="preserve"> PAGEREF _Toc3485 \h </w:instrText>
          </w:r>
          <w:r>
            <w:rPr>
              <w:sz w:val="32"/>
              <w:szCs w:val="32"/>
            </w:rPr>
            <w:fldChar w:fldCharType="separate"/>
          </w:r>
          <w:r>
            <w:rPr>
              <w:sz w:val="32"/>
              <w:szCs w:val="32"/>
            </w:rPr>
            <w:t>6</w:t>
          </w:r>
          <w:r>
            <w:rPr>
              <w:sz w:val="32"/>
              <w:szCs w:val="32"/>
            </w:rPr>
            <w:fldChar w:fldCharType="end"/>
          </w:r>
          <w:r>
            <w:rPr>
              <w:rFonts w:hint="eastAsia" w:ascii="黑体" w:eastAsia="黑体"/>
              <w:sz w:val="32"/>
              <w:szCs w:val="32"/>
            </w:rPr>
            <w:fldChar w:fldCharType="end"/>
          </w:r>
        </w:p>
        <w:p>
          <w:pPr>
            <w:pStyle w:val="8"/>
            <w:tabs>
              <w:tab w:val="right" w:leader="dot" w:pos="8306"/>
            </w:tabs>
            <w:rPr>
              <w:sz w:val="32"/>
              <w:szCs w:val="32"/>
            </w:rPr>
          </w:pPr>
          <w:r>
            <w:rPr>
              <w:rFonts w:hint="eastAsia" w:ascii="黑体" w:eastAsia="黑体"/>
              <w:sz w:val="32"/>
              <w:szCs w:val="32"/>
            </w:rPr>
            <w:fldChar w:fldCharType="begin"/>
          </w:r>
          <w:r>
            <w:rPr>
              <w:rFonts w:hint="eastAsia" w:ascii="黑体" w:eastAsia="黑体"/>
              <w:sz w:val="32"/>
              <w:szCs w:val="32"/>
            </w:rPr>
            <w:instrText xml:space="preserve"> HYPERLINK \l _Toc17819 </w:instrText>
          </w:r>
          <w:r>
            <w:rPr>
              <w:rFonts w:hint="eastAsia" w:ascii="黑体" w:eastAsia="黑体"/>
              <w:sz w:val="32"/>
              <w:szCs w:val="32"/>
            </w:rPr>
            <w:fldChar w:fldCharType="separate"/>
          </w:r>
          <w:r>
            <w:rPr>
              <w:rFonts w:hint="eastAsia" w:ascii="仿宋_GB2312" w:eastAsia="仿宋_GB2312"/>
              <w:sz w:val="32"/>
              <w:szCs w:val="32"/>
              <w:lang w:val="en-US" w:eastAsia="zh-CN"/>
            </w:rPr>
            <w:t>我单位不涉及政府性基金预算收支</w:t>
          </w:r>
          <w:r>
            <w:rPr>
              <w:sz w:val="32"/>
              <w:szCs w:val="32"/>
            </w:rPr>
            <w:tab/>
          </w:r>
          <w:r>
            <w:rPr>
              <w:sz w:val="32"/>
              <w:szCs w:val="32"/>
            </w:rPr>
            <w:fldChar w:fldCharType="begin"/>
          </w:r>
          <w:r>
            <w:rPr>
              <w:sz w:val="32"/>
              <w:szCs w:val="32"/>
            </w:rPr>
            <w:instrText xml:space="preserve"> PAGEREF _Toc17819 \h </w:instrText>
          </w:r>
          <w:r>
            <w:rPr>
              <w:sz w:val="32"/>
              <w:szCs w:val="32"/>
            </w:rPr>
            <w:fldChar w:fldCharType="separate"/>
          </w:r>
          <w:r>
            <w:rPr>
              <w:sz w:val="32"/>
              <w:szCs w:val="32"/>
            </w:rPr>
            <w:t>6</w:t>
          </w:r>
          <w:r>
            <w:rPr>
              <w:sz w:val="32"/>
              <w:szCs w:val="32"/>
            </w:rPr>
            <w:fldChar w:fldCharType="end"/>
          </w:r>
          <w:r>
            <w:rPr>
              <w:rFonts w:hint="eastAsia" w:ascii="黑体" w:eastAsia="黑体"/>
              <w:sz w:val="32"/>
              <w:szCs w:val="32"/>
            </w:rPr>
            <w:fldChar w:fldCharType="end"/>
          </w:r>
        </w:p>
        <w:p>
          <w:pPr>
            <w:pStyle w:val="7"/>
            <w:tabs>
              <w:tab w:val="right" w:leader="dot" w:pos="8306"/>
            </w:tabs>
            <w:rPr>
              <w:sz w:val="32"/>
              <w:szCs w:val="32"/>
            </w:rPr>
          </w:pPr>
          <w:r>
            <w:rPr>
              <w:rFonts w:hint="eastAsia" w:ascii="黑体" w:eastAsia="黑体"/>
              <w:sz w:val="32"/>
              <w:szCs w:val="32"/>
            </w:rPr>
            <w:fldChar w:fldCharType="begin"/>
          </w:r>
          <w:r>
            <w:rPr>
              <w:rFonts w:hint="eastAsia" w:ascii="黑体" w:eastAsia="黑体"/>
              <w:sz w:val="32"/>
              <w:szCs w:val="32"/>
            </w:rPr>
            <w:instrText xml:space="preserve"> HYPERLINK \l _Toc31803 </w:instrText>
          </w:r>
          <w:r>
            <w:rPr>
              <w:rFonts w:hint="eastAsia" w:ascii="黑体" w:eastAsia="黑体"/>
              <w:sz w:val="32"/>
              <w:szCs w:val="32"/>
            </w:rPr>
            <w:fldChar w:fldCharType="separate"/>
          </w:r>
          <w:r>
            <w:rPr>
              <w:rFonts w:hint="eastAsia" w:ascii="黑体" w:eastAsia="黑体"/>
              <w:sz w:val="32"/>
              <w:szCs w:val="32"/>
              <w:lang w:val="en-US" w:eastAsia="zh-CN"/>
            </w:rPr>
            <w:t>八、国有资本经营预算收支情况说明</w:t>
          </w:r>
          <w:r>
            <w:rPr>
              <w:sz w:val="32"/>
              <w:szCs w:val="32"/>
            </w:rPr>
            <w:tab/>
          </w:r>
          <w:r>
            <w:rPr>
              <w:sz w:val="32"/>
              <w:szCs w:val="32"/>
            </w:rPr>
            <w:fldChar w:fldCharType="begin"/>
          </w:r>
          <w:r>
            <w:rPr>
              <w:sz w:val="32"/>
              <w:szCs w:val="32"/>
            </w:rPr>
            <w:instrText xml:space="preserve"> PAGEREF _Toc31803 \h </w:instrText>
          </w:r>
          <w:r>
            <w:rPr>
              <w:sz w:val="32"/>
              <w:szCs w:val="32"/>
            </w:rPr>
            <w:fldChar w:fldCharType="separate"/>
          </w:r>
          <w:r>
            <w:rPr>
              <w:sz w:val="32"/>
              <w:szCs w:val="32"/>
            </w:rPr>
            <w:t>6</w:t>
          </w:r>
          <w:r>
            <w:rPr>
              <w:sz w:val="32"/>
              <w:szCs w:val="32"/>
            </w:rPr>
            <w:fldChar w:fldCharType="end"/>
          </w:r>
          <w:r>
            <w:rPr>
              <w:rFonts w:hint="eastAsia" w:ascii="黑体" w:eastAsia="黑体"/>
              <w:sz w:val="32"/>
              <w:szCs w:val="32"/>
            </w:rPr>
            <w:fldChar w:fldCharType="end"/>
          </w:r>
        </w:p>
        <w:p>
          <w:pPr>
            <w:pStyle w:val="7"/>
            <w:tabs>
              <w:tab w:val="right" w:leader="dot" w:pos="8306"/>
            </w:tabs>
            <w:rPr>
              <w:sz w:val="32"/>
              <w:szCs w:val="32"/>
            </w:rPr>
          </w:pPr>
          <w:r>
            <w:rPr>
              <w:rFonts w:hint="eastAsia" w:ascii="黑体" w:eastAsia="黑体"/>
              <w:sz w:val="32"/>
              <w:szCs w:val="32"/>
            </w:rPr>
            <w:fldChar w:fldCharType="begin"/>
          </w:r>
          <w:r>
            <w:rPr>
              <w:rFonts w:hint="eastAsia" w:ascii="黑体" w:eastAsia="黑体"/>
              <w:sz w:val="32"/>
              <w:szCs w:val="32"/>
            </w:rPr>
            <w:instrText xml:space="preserve"> HYPERLINK \l _Toc16705 </w:instrText>
          </w:r>
          <w:r>
            <w:rPr>
              <w:rFonts w:hint="eastAsia" w:ascii="黑体" w:eastAsia="黑体"/>
              <w:sz w:val="32"/>
              <w:szCs w:val="32"/>
            </w:rPr>
            <w:fldChar w:fldCharType="separate"/>
          </w:r>
          <w:r>
            <w:rPr>
              <w:rFonts w:hint="eastAsia" w:ascii="黑体" w:eastAsia="黑体"/>
              <w:sz w:val="32"/>
              <w:szCs w:val="32"/>
              <w:lang w:val="en-US" w:eastAsia="zh-CN"/>
            </w:rPr>
            <w:t>九、其他重要事项的情况说明</w:t>
          </w:r>
          <w:r>
            <w:rPr>
              <w:sz w:val="32"/>
              <w:szCs w:val="32"/>
            </w:rPr>
            <w:tab/>
          </w:r>
          <w:r>
            <w:rPr>
              <w:sz w:val="32"/>
              <w:szCs w:val="32"/>
            </w:rPr>
            <w:fldChar w:fldCharType="begin"/>
          </w:r>
          <w:r>
            <w:rPr>
              <w:sz w:val="32"/>
              <w:szCs w:val="32"/>
            </w:rPr>
            <w:instrText xml:space="preserve"> PAGEREF _Toc16705 \h </w:instrText>
          </w:r>
          <w:r>
            <w:rPr>
              <w:sz w:val="32"/>
              <w:szCs w:val="32"/>
            </w:rPr>
            <w:fldChar w:fldCharType="separate"/>
          </w:r>
          <w:r>
            <w:rPr>
              <w:sz w:val="32"/>
              <w:szCs w:val="32"/>
            </w:rPr>
            <w:t>6</w:t>
          </w:r>
          <w:r>
            <w:rPr>
              <w:sz w:val="32"/>
              <w:szCs w:val="32"/>
            </w:rPr>
            <w:fldChar w:fldCharType="end"/>
          </w:r>
          <w:r>
            <w:rPr>
              <w:rFonts w:hint="eastAsia" w:ascii="黑体" w:eastAsia="黑体"/>
              <w:sz w:val="32"/>
              <w:szCs w:val="32"/>
            </w:rPr>
            <w:fldChar w:fldCharType="end"/>
          </w:r>
        </w:p>
        <w:p>
          <w:pPr>
            <w:pStyle w:val="8"/>
            <w:tabs>
              <w:tab w:val="right" w:leader="dot" w:pos="8306"/>
            </w:tabs>
            <w:rPr>
              <w:sz w:val="32"/>
              <w:szCs w:val="32"/>
            </w:rPr>
          </w:pPr>
          <w:r>
            <w:rPr>
              <w:rFonts w:hint="eastAsia" w:ascii="黑体" w:eastAsia="黑体"/>
              <w:sz w:val="32"/>
              <w:szCs w:val="32"/>
            </w:rPr>
            <w:fldChar w:fldCharType="begin"/>
          </w:r>
          <w:r>
            <w:rPr>
              <w:rFonts w:hint="eastAsia" w:ascii="黑体" w:eastAsia="黑体"/>
              <w:sz w:val="32"/>
              <w:szCs w:val="32"/>
            </w:rPr>
            <w:instrText xml:space="preserve"> HYPERLINK \l _Toc26994 </w:instrText>
          </w:r>
          <w:r>
            <w:rPr>
              <w:rFonts w:hint="eastAsia" w:ascii="黑体" w:eastAsia="黑体"/>
              <w:sz w:val="32"/>
              <w:szCs w:val="32"/>
            </w:rPr>
            <w:fldChar w:fldCharType="separate"/>
          </w:r>
          <w:r>
            <w:rPr>
              <w:rFonts w:hint="eastAsia" w:ascii="楷体_GB2312" w:hAnsi="楷体_GB2312" w:eastAsia="楷体_GB2312" w:cs="楷体_GB2312"/>
              <w:bCs/>
              <w:kern w:val="0"/>
              <w:sz w:val="32"/>
              <w:szCs w:val="32"/>
              <w:shd w:val="clear" w:color="auto" w:fill="FFFFFF"/>
              <w:lang w:val="en-US" w:eastAsia="zh-CN" w:bidi="ar"/>
            </w:rPr>
            <w:t>（一）机关运行经费</w:t>
          </w:r>
          <w:r>
            <w:rPr>
              <w:sz w:val="32"/>
              <w:szCs w:val="32"/>
            </w:rPr>
            <w:tab/>
          </w:r>
          <w:r>
            <w:rPr>
              <w:sz w:val="32"/>
              <w:szCs w:val="32"/>
            </w:rPr>
            <w:fldChar w:fldCharType="begin"/>
          </w:r>
          <w:r>
            <w:rPr>
              <w:sz w:val="32"/>
              <w:szCs w:val="32"/>
            </w:rPr>
            <w:instrText xml:space="preserve"> PAGEREF _Toc26994 \h </w:instrText>
          </w:r>
          <w:r>
            <w:rPr>
              <w:sz w:val="32"/>
              <w:szCs w:val="32"/>
            </w:rPr>
            <w:fldChar w:fldCharType="separate"/>
          </w:r>
          <w:r>
            <w:rPr>
              <w:sz w:val="32"/>
              <w:szCs w:val="32"/>
            </w:rPr>
            <w:t>6</w:t>
          </w:r>
          <w:r>
            <w:rPr>
              <w:sz w:val="32"/>
              <w:szCs w:val="32"/>
            </w:rPr>
            <w:fldChar w:fldCharType="end"/>
          </w:r>
          <w:r>
            <w:rPr>
              <w:rFonts w:hint="eastAsia" w:ascii="黑体" w:eastAsia="黑体"/>
              <w:sz w:val="32"/>
              <w:szCs w:val="32"/>
            </w:rPr>
            <w:fldChar w:fldCharType="end"/>
          </w:r>
        </w:p>
        <w:p>
          <w:pPr>
            <w:pStyle w:val="8"/>
            <w:tabs>
              <w:tab w:val="right" w:leader="dot" w:pos="8306"/>
            </w:tabs>
            <w:rPr>
              <w:sz w:val="32"/>
              <w:szCs w:val="32"/>
            </w:rPr>
          </w:pPr>
          <w:r>
            <w:rPr>
              <w:rFonts w:hint="eastAsia" w:ascii="黑体" w:eastAsia="黑体"/>
              <w:sz w:val="32"/>
              <w:szCs w:val="32"/>
            </w:rPr>
            <w:fldChar w:fldCharType="begin"/>
          </w:r>
          <w:r>
            <w:rPr>
              <w:rFonts w:hint="eastAsia" w:ascii="黑体" w:eastAsia="黑体"/>
              <w:sz w:val="32"/>
              <w:szCs w:val="32"/>
            </w:rPr>
            <w:instrText xml:space="preserve"> HYPERLINK \l _Toc13633 </w:instrText>
          </w:r>
          <w:r>
            <w:rPr>
              <w:rFonts w:hint="eastAsia" w:ascii="黑体" w:eastAsia="黑体"/>
              <w:sz w:val="32"/>
              <w:szCs w:val="32"/>
            </w:rPr>
            <w:fldChar w:fldCharType="separate"/>
          </w:r>
          <w:r>
            <w:rPr>
              <w:rFonts w:hint="eastAsia" w:ascii="楷体_GB2312" w:hAnsi="楷体_GB2312" w:eastAsia="楷体_GB2312" w:cs="楷体_GB2312"/>
              <w:bCs/>
              <w:kern w:val="0"/>
              <w:sz w:val="32"/>
              <w:szCs w:val="32"/>
              <w:shd w:val="clear" w:color="auto" w:fill="FFFFFF"/>
              <w:lang w:val="en-US" w:eastAsia="zh-CN" w:bidi="ar"/>
            </w:rPr>
            <w:t>（二）政府采购预算情况</w:t>
          </w:r>
          <w:r>
            <w:rPr>
              <w:sz w:val="32"/>
              <w:szCs w:val="32"/>
            </w:rPr>
            <w:tab/>
          </w:r>
          <w:r>
            <w:rPr>
              <w:sz w:val="32"/>
              <w:szCs w:val="32"/>
            </w:rPr>
            <w:fldChar w:fldCharType="begin"/>
          </w:r>
          <w:r>
            <w:rPr>
              <w:sz w:val="32"/>
              <w:szCs w:val="32"/>
            </w:rPr>
            <w:instrText xml:space="preserve"> PAGEREF _Toc13633 \h </w:instrText>
          </w:r>
          <w:r>
            <w:rPr>
              <w:sz w:val="32"/>
              <w:szCs w:val="32"/>
            </w:rPr>
            <w:fldChar w:fldCharType="separate"/>
          </w:r>
          <w:r>
            <w:rPr>
              <w:sz w:val="32"/>
              <w:szCs w:val="32"/>
            </w:rPr>
            <w:t>6</w:t>
          </w:r>
          <w:r>
            <w:rPr>
              <w:sz w:val="32"/>
              <w:szCs w:val="32"/>
            </w:rPr>
            <w:fldChar w:fldCharType="end"/>
          </w:r>
          <w:r>
            <w:rPr>
              <w:rFonts w:hint="eastAsia" w:ascii="黑体" w:eastAsia="黑体"/>
              <w:sz w:val="32"/>
              <w:szCs w:val="32"/>
            </w:rPr>
            <w:fldChar w:fldCharType="end"/>
          </w:r>
        </w:p>
        <w:p>
          <w:pPr>
            <w:pStyle w:val="8"/>
            <w:tabs>
              <w:tab w:val="right" w:leader="dot" w:pos="8306"/>
            </w:tabs>
            <w:rPr>
              <w:sz w:val="32"/>
              <w:szCs w:val="32"/>
            </w:rPr>
          </w:pPr>
          <w:r>
            <w:rPr>
              <w:rFonts w:hint="eastAsia" w:ascii="黑体" w:eastAsia="黑体"/>
              <w:sz w:val="32"/>
              <w:szCs w:val="32"/>
            </w:rPr>
            <w:fldChar w:fldCharType="begin"/>
          </w:r>
          <w:r>
            <w:rPr>
              <w:rFonts w:hint="eastAsia" w:ascii="黑体" w:eastAsia="黑体"/>
              <w:sz w:val="32"/>
              <w:szCs w:val="32"/>
            </w:rPr>
            <w:instrText xml:space="preserve"> HYPERLINK \l _Toc17953 </w:instrText>
          </w:r>
          <w:r>
            <w:rPr>
              <w:rFonts w:hint="eastAsia" w:ascii="黑体" w:eastAsia="黑体"/>
              <w:sz w:val="32"/>
              <w:szCs w:val="32"/>
            </w:rPr>
            <w:fldChar w:fldCharType="separate"/>
          </w:r>
          <w:r>
            <w:rPr>
              <w:rFonts w:hint="eastAsia" w:ascii="楷体_GB2312" w:hAnsi="楷体_GB2312" w:eastAsia="楷体_GB2312" w:cs="楷体_GB2312"/>
              <w:bCs/>
              <w:kern w:val="0"/>
              <w:sz w:val="32"/>
              <w:szCs w:val="32"/>
              <w:shd w:val="clear" w:color="auto" w:fill="FFFFFF"/>
              <w:lang w:val="en-US" w:eastAsia="zh-CN" w:bidi="ar"/>
            </w:rPr>
            <w:t>（三）政府财政国有资产占用情况</w:t>
          </w:r>
          <w:r>
            <w:rPr>
              <w:sz w:val="32"/>
              <w:szCs w:val="32"/>
            </w:rPr>
            <w:tab/>
          </w:r>
          <w:r>
            <w:rPr>
              <w:sz w:val="32"/>
              <w:szCs w:val="32"/>
            </w:rPr>
            <w:fldChar w:fldCharType="begin"/>
          </w:r>
          <w:r>
            <w:rPr>
              <w:sz w:val="32"/>
              <w:szCs w:val="32"/>
            </w:rPr>
            <w:instrText xml:space="preserve"> PAGEREF _Toc17953 \h </w:instrText>
          </w:r>
          <w:r>
            <w:rPr>
              <w:sz w:val="32"/>
              <w:szCs w:val="32"/>
            </w:rPr>
            <w:fldChar w:fldCharType="separate"/>
          </w:r>
          <w:r>
            <w:rPr>
              <w:sz w:val="32"/>
              <w:szCs w:val="32"/>
            </w:rPr>
            <w:t>6</w:t>
          </w:r>
          <w:r>
            <w:rPr>
              <w:sz w:val="32"/>
              <w:szCs w:val="32"/>
            </w:rPr>
            <w:fldChar w:fldCharType="end"/>
          </w:r>
          <w:r>
            <w:rPr>
              <w:rFonts w:hint="eastAsia" w:ascii="黑体" w:eastAsia="黑体"/>
              <w:sz w:val="32"/>
              <w:szCs w:val="32"/>
            </w:rPr>
            <w:fldChar w:fldCharType="end"/>
          </w:r>
        </w:p>
        <w:p>
          <w:pPr>
            <w:pStyle w:val="8"/>
            <w:tabs>
              <w:tab w:val="right" w:leader="dot" w:pos="8306"/>
            </w:tabs>
          </w:pPr>
          <w:r>
            <w:rPr>
              <w:rFonts w:hint="eastAsia" w:ascii="黑体" w:eastAsia="黑体"/>
              <w:sz w:val="32"/>
              <w:szCs w:val="32"/>
            </w:rPr>
            <w:fldChar w:fldCharType="begin"/>
          </w:r>
          <w:r>
            <w:rPr>
              <w:rFonts w:hint="eastAsia" w:ascii="黑体" w:eastAsia="黑体"/>
              <w:sz w:val="32"/>
              <w:szCs w:val="32"/>
            </w:rPr>
            <w:instrText xml:space="preserve"> HYPERLINK \l _Toc12879 </w:instrText>
          </w:r>
          <w:r>
            <w:rPr>
              <w:rFonts w:hint="eastAsia" w:ascii="黑体" w:eastAsia="黑体"/>
              <w:sz w:val="32"/>
              <w:szCs w:val="32"/>
            </w:rPr>
            <w:fldChar w:fldCharType="separate"/>
          </w:r>
          <w:r>
            <w:rPr>
              <w:rFonts w:hint="eastAsia" w:ascii="楷体_GB2312" w:hAnsi="楷体_GB2312" w:eastAsia="楷体_GB2312" w:cs="楷体_GB2312"/>
              <w:bCs/>
              <w:kern w:val="0"/>
              <w:sz w:val="32"/>
              <w:szCs w:val="32"/>
              <w:shd w:val="clear" w:color="auto" w:fill="FFFFFF"/>
              <w:lang w:val="en-US" w:eastAsia="zh-CN" w:bidi="ar"/>
            </w:rPr>
            <w:t>（四）绩效目标设置情况</w:t>
          </w:r>
          <w:r>
            <w:rPr>
              <w:sz w:val="32"/>
              <w:szCs w:val="32"/>
            </w:rPr>
            <w:tab/>
          </w:r>
          <w:r>
            <w:rPr>
              <w:sz w:val="32"/>
              <w:szCs w:val="32"/>
            </w:rPr>
            <w:fldChar w:fldCharType="begin"/>
          </w:r>
          <w:r>
            <w:rPr>
              <w:sz w:val="32"/>
              <w:szCs w:val="32"/>
            </w:rPr>
            <w:instrText xml:space="preserve"> PAGEREF _Toc12879 \h </w:instrText>
          </w:r>
          <w:r>
            <w:rPr>
              <w:sz w:val="32"/>
              <w:szCs w:val="32"/>
            </w:rPr>
            <w:fldChar w:fldCharType="separate"/>
          </w:r>
          <w:r>
            <w:rPr>
              <w:sz w:val="32"/>
              <w:szCs w:val="32"/>
            </w:rPr>
            <w:t>6</w:t>
          </w:r>
          <w:r>
            <w:rPr>
              <w:sz w:val="32"/>
              <w:szCs w:val="32"/>
            </w:rPr>
            <w:fldChar w:fldCharType="end"/>
          </w:r>
          <w:r>
            <w:rPr>
              <w:rFonts w:hint="eastAsia" w:ascii="黑体" w:eastAsia="黑体"/>
              <w:sz w:val="32"/>
              <w:szCs w:val="32"/>
            </w:rPr>
            <w:fldChar w:fldCharType="end"/>
          </w:r>
        </w:p>
        <w:p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spacing w:line="560" w:lineRule="exact"/>
            <w:ind w:left="0" w:leftChars="0" w:right="0" w:rightChars="0" w:firstLine="420" w:firstLineChars="200"/>
            <w:textAlignment w:val="auto"/>
            <w:rPr>
              <w:rFonts w:hint="eastAsia" w:ascii="黑体" w:eastAsia="黑体"/>
              <w:sz w:val="32"/>
              <w:szCs w:val="32"/>
            </w:rPr>
          </w:pPr>
          <w:r>
            <w:rPr>
              <w:rFonts w:hint="eastAsia" w:ascii="黑体" w:eastAsia="黑体"/>
              <w:szCs w:val="32"/>
            </w:rPr>
            <w:fldChar w:fldCharType="end"/>
          </w:r>
        </w:p>
      </w:sdtContent>
    </w:sdt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黑体" w:eastAsia="黑体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黑体" w:eastAsia="黑体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outlineLvl w:val="0"/>
        <w:rPr>
          <w:rFonts w:hint="eastAsia" w:ascii="黑体" w:eastAsia="黑体"/>
          <w:sz w:val="32"/>
          <w:szCs w:val="32"/>
        </w:rPr>
      </w:pPr>
      <w:bookmarkStart w:id="15" w:name="_Toc7077"/>
      <w:r>
        <w:rPr>
          <w:rFonts w:hint="eastAsia" w:ascii="黑体" w:eastAsia="黑体"/>
          <w:sz w:val="32"/>
          <w:szCs w:val="32"/>
        </w:rPr>
        <w:t>一、基本职能及主要工作</w:t>
      </w:r>
      <w:bookmarkEnd w:id="15"/>
    </w:p>
    <w:p>
      <w:pPr>
        <w:pStyle w:val="4"/>
        <w:adjustRightInd w:val="0"/>
        <w:snapToGrid w:val="0"/>
        <w:spacing w:line="560" w:lineRule="exact"/>
        <w:ind w:firstLine="675" w:firstLineChars="210"/>
        <w:outlineLvl w:val="1"/>
        <w:rPr>
          <w:rFonts w:ascii="楷体_GB2312" w:hAnsi="楷体_GB2312" w:eastAsia="楷体_GB2312" w:cs="楷体_GB2312"/>
          <w:b/>
          <w:sz w:val="32"/>
          <w:szCs w:val="32"/>
        </w:rPr>
      </w:pPr>
      <w:bookmarkStart w:id="16" w:name="_Toc27950"/>
      <w:r>
        <w:rPr>
          <w:rFonts w:hint="eastAsia" w:ascii="楷体_GB2312" w:hAnsi="楷体_GB2312" w:eastAsia="楷体_GB2312" w:cs="楷体_GB2312"/>
          <w:b/>
          <w:sz w:val="32"/>
          <w:szCs w:val="32"/>
        </w:rPr>
        <w:t>（一）基本职能</w:t>
      </w:r>
      <w:bookmarkEnd w:id="16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　　贯彻落实党中央、国务院有关退役军人工作方针政策、法律法规和省、市重大决策部署，拟定退役军人思想政治、管理保障等工作政策措施并组织实施，负责军队转业干部、复员干部、退休干部、退役士兵的移交安置工作和服务管理、待遇保障工作，组织开展优待抚恤、拥军优属和荣誉奖励、军人公墓维护以及纪念活动等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75" w:firstLineChars="210"/>
        <w:textAlignment w:val="auto"/>
        <w:outlineLvl w:val="1"/>
        <w:rPr>
          <w:rFonts w:hint="eastAsia" w:ascii="楷体_GB2312" w:hAnsi="楷体_GB2312" w:eastAsia="楷体_GB2312" w:cs="楷体_GB2312"/>
          <w:b/>
          <w:bCs w:val="0"/>
          <w:sz w:val="32"/>
          <w:szCs w:val="32"/>
          <w:lang w:eastAsia="zh-CN"/>
        </w:rPr>
      </w:pPr>
      <w:bookmarkStart w:id="17" w:name="_Toc3767"/>
      <w:r>
        <w:rPr>
          <w:rFonts w:hint="eastAsia" w:ascii="楷体_GB2312" w:hAnsi="楷体_GB2312" w:eastAsia="楷体_GB2312" w:cs="楷体_GB2312"/>
          <w:b/>
          <w:bCs w:val="0"/>
          <w:sz w:val="32"/>
          <w:szCs w:val="32"/>
          <w:lang w:eastAsia="zh-CN"/>
        </w:rPr>
        <w:t>（二）202</w:t>
      </w:r>
      <w:r>
        <w:rPr>
          <w:rFonts w:hint="eastAsia" w:ascii="楷体_GB2312" w:hAnsi="楷体_GB2312" w:eastAsia="楷体_GB2312" w:cs="楷体_GB2312"/>
          <w:b/>
          <w:bCs w:val="0"/>
          <w:sz w:val="32"/>
          <w:szCs w:val="32"/>
          <w:lang w:val="en-US" w:eastAsia="zh-CN"/>
        </w:rPr>
        <w:t>2</w:t>
      </w:r>
      <w:r>
        <w:rPr>
          <w:rFonts w:hint="eastAsia" w:ascii="楷体_GB2312" w:hAnsi="楷体_GB2312" w:eastAsia="楷体_GB2312" w:cs="楷体_GB2312"/>
          <w:b/>
          <w:bCs w:val="0"/>
          <w:sz w:val="32"/>
          <w:szCs w:val="32"/>
          <w:lang w:eastAsia="zh-CN"/>
        </w:rPr>
        <w:t>年重点工作任务</w:t>
      </w:r>
      <w:bookmarkEnd w:id="17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</w:rPr>
        <w:t>一是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抓好思想政治工作，加强退役军人党员教育管理，加大典型宣传表彰力度，探索建立诚信机制，激发退役军人正能量。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　　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eastAsia="zh-CN"/>
        </w:rPr>
        <w:t>二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</w:rPr>
        <w:t>是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做好移交安置和服务管理工作，推进安置制度改革，改进军休人员和伤病残人员接收安置机制，创新军休服务管理模式。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　　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eastAsia="zh-CN"/>
        </w:rPr>
        <w:t>三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</w:rPr>
        <w:t>是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加强教育培训，提高自主就业退役士兵职业技能教育，加大就业创业服务扶持力度，提高退役军人就业竞争力。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　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</w:rPr>
        <w:t>　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eastAsia="zh-CN"/>
        </w:rPr>
        <w:t>四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</w:rPr>
        <w:t>是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构建统筹平衡的抚恤补助标准，加强社会优待工作，逐步实现从生活解困向褒扬激励转变。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　　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eastAsia="zh-CN"/>
        </w:rPr>
        <w:t>五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</w:rPr>
        <w:t>是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做好褒扬纪念工作，推动形成崇尚英雄、缅怀先烈的良好社会风尚。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eastAsia="zh-CN"/>
        </w:rPr>
        <w:t>六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</w:rPr>
        <w:t>是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做好信访工作，完善督导检查机制，加大关爱帮扶力度，维护退役军人合法权益。着力破解矛盾问题，及时回应退役军人最直接最现实的利益诉求。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outlineLvl w:val="0"/>
        <w:rPr>
          <w:rFonts w:hint="eastAsia" w:ascii="黑体" w:eastAsia="黑体"/>
          <w:sz w:val="32"/>
          <w:szCs w:val="32"/>
        </w:rPr>
      </w:pPr>
      <w:bookmarkStart w:id="18" w:name="_Toc13220"/>
      <w:r>
        <w:rPr>
          <w:rFonts w:hint="eastAsia" w:ascii="黑体" w:eastAsia="黑体"/>
          <w:sz w:val="32"/>
          <w:szCs w:val="32"/>
        </w:rPr>
        <w:t>二、部门</w:t>
      </w:r>
      <w:r>
        <w:rPr>
          <w:rFonts w:hint="eastAsia" w:ascii="黑体" w:eastAsia="黑体"/>
          <w:sz w:val="32"/>
          <w:szCs w:val="32"/>
          <w:lang w:eastAsia="zh-CN"/>
        </w:rPr>
        <w:t>预算单位构成</w:t>
      </w:r>
      <w:bookmarkEnd w:id="18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eastAsia="仿宋_GB2312" w:cstheme="minorBidi"/>
          <w:kern w:val="2"/>
          <w:sz w:val="32"/>
          <w:szCs w:val="32"/>
          <w:lang w:val="en-US" w:eastAsia="zh-CN" w:bidi="ar-SA"/>
        </w:rPr>
        <w:t>红原县退役军人事务局属行政机关单位，</w:t>
      </w:r>
      <w:r>
        <w:rPr>
          <w:rFonts w:hint="eastAsia"/>
          <w:sz w:val="32"/>
          <w:szCs w:val="32"/>
        </w:rPr>
        <w:t>其中行政单位</w:t>
      </w:r>
      <w:r>
        <w:rPr>
          <w:rFonts w:hint="eastAsia"/>
          <w:sz w:val="32"/>
          <w:szCs w:val="32"/>
          <w:lang w:eastAsia="zh-CN"/>
        </w:rPr>
        <w:t>设有</w:t>
      </w:r>
      <w:r>
        <w:rPr>
          <w:rFonts w:hint="eastAsia"/>
          <w:sz w:val="32"/>
          <w:szCs w:val="32"/>
          <w:lang w:val="en-US" w:eastAsia="zh-CN"/>
        </w:rPr>
        <w:t>1</w:t>
      </w:r>
      <w:r>
        <w:rPr>
          <w:rFonts w:hint="eastAsia"/>
          <w:sz w:val="32"/>
          <w:szCs w:val="32"/>
        </w:rPr>
        <w:t>个，参照公务员法管理的事业单位</w:t>
      </w:r>
      <w:r>
        <w:rPr>
          <w:rFonts w:hint="eastAsia"/>
          <w:sz w:val="32"/>
          <w:szCs w:val="32"/>
          <w:lang w:eastAsia="zh-CN"/>
        </w:rPr>
        <w:t>设</w:t>
      </w:r>
      <w:r>
        <w:rPr>
          <w:rFonts w:hint="eastAsia"/>
          <w:bCs/>
          <w:sz w:val="32"/>
          <w:szCs w:val="32"/>
          <w:lang w:val="en-US" w:eastAsia="zh-CN"/>
        </w:rPr>
        <w:t>1</w:t>
      </w:r>
      <w:r>
        <w:rPr>
          <w:rFonts w:hint="eastAsia"/>
          <w:sz w:val="32"/>
          <w:szCs w:val="32"/>
        </w:rPr>
        <w:t>个</w:t>
      </w:r>
      <w:r>
        <w:rPr>
          <w:rFonts w:hint="eastAsia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部门基本情况如下：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　　在职人员编制10人，其中：行政编制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人，事业编制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人。工勤人员1人，在职实有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人，退休0人。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outlineLvl w:val="0"/>
        <w:rPr>
          <w:rFonts w:hint="eastAsia" w:ascii="黑体" w:eastAsia="黑体"/>
          <w:sz w:val="32"/>
          <w:szCs w:val="32"/>
        </w:rPr>
      </w:pPr>
      <w:bookmarkStart w:id="19" w:name="_Toc1137"/>
      <w:r>
        <w:rPr>
          <w:rFonts w:hint="eastAsia" w:ascii="黑体" w:eastAsia="黑体"/>
          <w:sz w:val="32"/>
          <w:szCs w:val="32"/>
        </w:rPr>
        <w:t>三、收支预算总体情况</w:t>
      </w:r>
      <w:bookmarkEnd w:id="19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eastAsia="zh-CN"/>
        </w:rPr>
        <w:t>红原县退役军人事务局办公室</w:t>
      </w:r>
      <w:r>
        <w:rPr>
          <w:rFonts w:hint="eastAsia" w:ascii="仿宋_GB2312" w:eastAsia="仿宋_GB2312"/>
          <w:sz w:val="32"/>
          <w:szCs w:val="32"/>
        </w:rPr>
        <w:t>收入预算总额为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532.45</w:t>
      </w:r>
      <w:r>
        <w:rPr>
          <w:rFonts w:hint="eastAsia" w:ascii="仿宋_GB2312" w:eastAsia="仿宋_GB2312"/>
          <w:sz w:val="32"/>
          <w:szCs w:val="32"/>
        </w:rPr>
        <w:t>万元，其中：当年财政拨款收入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532.45</w:t>
      </w:r>
      <w:r>
        <w:rPr>
          <w:rFonts w:hint="eastAsia" w:ascii="仿宋_GB2312" w:eastAsia="仿宋_GB2312"/>
          <w:sz w:val="32"/>
          <w:szCs w:val="32"/>
        </w:rPr>
        <w:t>万元。相应安排支出预算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532.45</w:t>
      </w:r>
      <w:r>
        <w:rPr>
          <w:rFonts w:hint="eastAsia" w:ascii="仿宋_GB2312" w:eastAsia="仿宋_GB2312"/>
          <w:sz w:val="32"/>
          <w:szCs w:val="32"/>
        </w:rPr>
        <w:t>万元，其中：社会保障和就业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506.60</w:t>
      </w:r>
      <w:r>
        <w:rPr>
          <w:rFonts w:hint="eastAsia" w:ascii="仿宋_GB2312" w:eastAsia="仿宋_GB2312"/>
          <w:sz w:val="32"/>
          <w:szCs w:val="32"/>
        </w:rPr>
        <w:t>万元，卫生</w:t>
      </w:r>
      <w:r>
        <w:rPr>
          <w:rFonts w:hint="eastAsia" w:ascii="仿宋_GB2312" w:eastAsia="仿宋_GB2312"/>
          <w:sz w:val="32"/>
          <w:szCs w:val="32"/>
          <w:lang w:eastAsia="zh-CN"/>
        </w:rPr>
        <w:t>健康支出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8.83</w:t>
      </w:r>
      <w:r>
        <w:rPr>
          <w:rFonts w:hint="eastAsia" w:ascii="仿宋_GB2312" w:eastAsia="仿宋_GB2312"/>
          <w:sz w:val="32"/>
          <w:szCs w:val="32"/>
        </w:rPr>
        <w:t>万元，住房保障支出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17.02</w:t>
      </w:r>
      <w:r>
        <w:rPr>
          <w:rFonts w:hint="eastAsia" w:ascii="仿宋_GB2312" w:eastAsia="仿宋_GB2312"/>
          <w:sz w:val="32"/>
          <w:szCs w:val="32"/>
        </w:rPr>
        <w:t>万元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outlineLvl w:val="0"/>
        <w:rPr>
          <w:rFonts w:hint="eastAsia" w:ascii="黑体" w:eastAsia="黑体"/>
          <w:sz w:val="32"/>
          <w:szCs w:val="32"/>
        </w:rPr>
      </w:pPr>
      <w:bookmarkStart w:id="20" w:name="_Toc32447"/>
      <w:r>
        <w:rPr>
          <w:rFonts w:hint="eastAsia" w:ascii="黑体" w:eastAsia="黑体"/>
          <w:sz w:val="32"/>
          <w:szCs w:val="32"/>
        </w:rPr>
        <w:t>支出预算安排情况</w:t>
      </w:r>
      <w:bookmarkEnd w:id="20"/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红原县</w:t>
      </w:r>
      <w:r>
        <w:rPr>
          <w:rFonts w:hint="eastAsia" w:ascii="仿宋_GB2312" w:eastAsia="仿宋_GB2312"/>
          <w:sz w:val="32"/>
          <w:szCs w:val="32"/>
          <w:lang w:eastAsia="zh-CN"/>
        </w:rPr>
        <w:t>红原县退役军人事务局</w:t>
      </w:r>
      <w:r>
        <w:rPr>
          <w:rFonts w:hint="eastAsia" w:ascii="仿宋_GB2312" w:eastAsia="仿宋_GB2312"/>
          <w:sz w:val="32"/>
          <w:szCs w:val="32"/>
        </w:rPr>
        <w:t>预算安排支出主要用于保障部门机构正常运转完成日常工作任务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基本支出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175.50</w:t>
      </w:r>
      <w:r>
        <w:rPr>
          <w:rFonts w:hint="eastAsia" w:ascii="仿宋_GB2312" w:eastAsia="仿宋_GB2312"/>
          <w:sz w:val="32"/>
          <w:szCs w:val="32"/>
          <w:lang w:eastAsia="zh-CN"/>
        </w:rPr>
        <w:t>万元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。</w:t>
      </w:r>
      <w:r>
        <w:rPr>
          <w:rFonts w:hint="eastAsia" w:ascii="仿宋_GB2312" w:eastAsia="仿宋_GB2312"/>
          <w:sz w:val="32"/>
          <w:szCs w:val="32"/>
          <w:lang w:eastAsia="zh-CN"/>
        </w:rPr>
        <w:t>其中人员经费支出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158.71万元，公用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经费16.80万元，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其中：办公费3.80万元，印刷费1.0万元，手续费0.10，电费1.55万元，水费0.10万元，邮电费0.60万元，取暖费0.60万元，差旅费1.5万元，维修费0.60万元，会议费0.20万元，培训费0.30万元，公务接待费0.35万元，工会经费1.20万元，公务用车运行维护费4.90万元，生活补助5.53万元，奖励金0.01万元，对个人和家庭的补助5.54万元。项目支出356.94万元。主要用于退役军人事务管理各项支出，其中：退役军人事务局抚恤补助资金15.71万元，军队移交政府的离退休人员安置补助支出336.23万元，其它退役军人管理事务5万元，（拥军优属）双拥5万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按支出功能分类主要用于以下方面: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一般公共服务</w:t>
      </w:r>
      <w:r>
        <w:rPr>
          <w:rFonts w:hint="eastAsia" w:ascii="仿宋_GB2312" w:eastAsia="仿宋_GB2312"/>
          <w:sz w:val="32"/>
          <w:szCs w:val="32"/>
          <w:lang w:eastAsia="zh-CN"/>
        </w:rPr>
        <w:t>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532.45</w:t>
      </w:r>
      <w:r>
        <w:rPr>
          <w:rFonts w:hint="eastAsia" w:ascii="仿宋_GB2312" w:eastAsia="仿宋_GB2312"/>
          <w:sz w:val="32"/>
          <w:szCs w:val="32"/>
          <w:lang w:eastAsia="zh-CN"/>
        </w:rPr>
        <w:t>万元</w:t>
      </w:r>
      <w:r>
        <w:rPr>
          <w:rFonts w:hint="eastAsia" w:ascii="仿宋_GB2312" w:eastAsia="仿宋_GB2312"/>
          <w:sz w:val="32"/>
          <w:szCs w:val="32"/>
        </w:rPr>
        <w:t>，主要用于</w:t>
      </w:r>
      <w:r>
        <w:rPr>
          <w:rFonts w:hint="eastAsia" w:ascii="仿宋_GB2312" w:eastAsia="仿宋_GB2312"/>
          <w:sz w:val="32"/>
          <w:szCs w:val="32"/>
          <w:lang w:eastAsia="zh-CN"/>
        </w:rPr>
        <w:t>军转干安置、退役安置、临时工补助、（拥军优属）双拥等资金。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leftChars="200" w:right="0" w:rightChars="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（二）社会保障和就业</w:t>
      </w:r>
      <w:r>
        <w:rPr>
          <w:rFonts w:hint="eastAsia" w:ascii="仿宋_GB2312" w:eastAsia="仿宋_GB2312"/>
          <w:sz w:val="32"/>
          <w:szCs w:val="32"/>
          <w:lang w:eastAsia="zh-CN"/>
        </w:rPr>
        <w:t>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506.60</w:t>
      </w:r>
      <w:r>
        <w:rPr>
          <w:rFonts w:hint="eastAsia" w:ascii="仿宋_GB2312" w:eastAsia="仿宋_GB2312"/>
          <w:sz w:val="32"/>
          <w:szCs w:val="32"/>
          <w:lang w:eastAsia="zh-CN"/>
        </w:rPr>
        <w:t>万元</w:t>
      </w:r>
      <w:r>
        <w:rPr>
          <w:rFonts w:hint="eastAsia" w:ascii="仿宋_GB2312" w:eastAsia="仿宋_GB2312"/>
          <w:sz w:val="32"/>
          <w:szCs w:val="32"/>
        </w:rPr>
        <w:t>，用于</w:t>
      </w:r>
      <w:r>
        <w:rPr>
          <w:rFonts w:hint="eastAsia" w:ascii="仿宋_GB2312" w:eastAsia="仿宋_GB2312"/>
          <w:sz w:val="32"/>
          <w:szCs w:val="32"/>
          <w:lang w:eastAsia="zh-CN"/>
        </w:rPr>
        <w:t>缴纳</w:t>
      </w:r>
      <w:r>
        <w:rPr>
          <w:rFonts w:hint="eastAsia" w:ascii="仿宋_GB2312" w:eastAsia="仿宋_GB2312"/>
          <w:sz w:val="32"/>
          <w:szCs w:val="32"/>
        </w:rPr>
        <w:t>机关</w:t>
      </w:r>
      <w:r>
        <w:rPr>
          <w:rFonts w:hint="eastAsia" w:ascii="仿宋_GB2312" w:eastAsia="仿宋_GB2312"/>
          <w:sz w:val="32"/>
          <w:szCs w:val="32"/>
          <w:lang w:eastAsia="zh-CN"/>
        </w:rPr>
        <w:t>干部职工养老保险及职业年金缴费单位部分</w:t>
      </w:r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（三）卫生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健康支出8.83</w:t>
      </w:r>
      <w:r>
        <w:rPr>
          <w:rFonts w:hint="eastAsia" w:ascii="仿宋_GB2312" w:eastAsia="仿宋_GB2312"/>
          <w:sz w:val="32"/>
          <w:szCs w:val="32"/>
          <w:lang w:eastAsia="zh-CN"/>
        </w:rPr>
        <w:t>万元</w:t>
      </w:r>
      <w:r>
        <w:rPr>
          <w:rFonts w:hint="eastAsia" w:ascii="仿宋_GB2312" w:eastAsia="仿宋_GB2312"/>
          <w:sz w:val="32"/>
          <w:szCs w:val="32"/>
        </w:rPr>
        <w:t>，用于机关</w:t>
      </w:r>
      <w:r>
        <w:rPr>
          <w:rFonts w:hint="eastAsia" w:ascii="仿宋_GB2312" w:eastAsia="仿宋_GB2312"/>
          <w:sz w:val="32"/>
          <w:szCs w:val="32"/>
          <w:lang w:eastAsia="zh-CN"/>
        </w:rPr>
        <w:t>干部职工</w:t>
      </w:r>
      <w:r>
        <w:rPr>
          <w:rFonts w:hint="eastAsia" w:ascii="仿宋_GB2312" w:eastAsia="仿宋_GB2312"/>
          <w:sz w:val="32"/>
          <w:szCs w:val="32"/>
        </w:rPr>
        <w:t>按照规定标准为职工缴纳的基本医疗保险及公务员医疗补助支出。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（四）住房保障支出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17.02</w:t>
      </w:r>
      <w:r>
        <w:rPr>
          <w:rFonts w:hint="eastAsia" w:ascii="仿宋_GB2312" w:eastAsia="仿宋_GB2312"/>
          <w:sz w:val="32"/>
          <w:szCs w:val="32"/>
          <w:lang w:eastAsia="zh-CN"/>
        </w:rPr>
        <w:t>万元</w:t>
      </w:r>
      <w:r>
        <w:rPr>
          <w:rFonts w:hint="eastAsia" w:ascii="仿宋_GB2312" w:eastAsia="仿宋_GB2312"/>
          <w:sz w:val="32"/>
          <w:szCs w:val="32"/>
        </w:rPr>
        <w:t>，用于机关</w:t>
      </w:r>
      <w:r>
        <w:rPr>
          <w:rFonts w:hint="eastAsia" w:ascii="仿宋_GB2312" w:eastAsia="仿宋_GB2312"/>
          <w:sz w:val="32"/>
          <w:szCs w:val="32"/>
          <w:lang w:eastAsia="zh-CN"/>
        </w:rPr>
        <w:t>干部职工</w:t>
      </w:r>
      <w:r>
        <w:rPr>
          <w:rFonts w:hint="eastAsia" w:ascii="仿宋_GB2312" w:eastAsia="仿宋_GB2312"/>
          <w:sz w:val="32"/>
          <w:szCs w:val="32"/>
        </w:rPr>
        <w:t>按照规定标准为职工缴纳住房公积金支出。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outlineLvl w:val="0"/>
        <w:rPr>
          <w:rFonts w:hint="eastAsia" w:asci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eastAsia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bookmarkStart w:id="21" w:name="_Toc1896"/>
      <w:r>
        <w:rPr>
          <w:rFonts w:hint="eastAsia" w:ascii="黑体" w:eastAsia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五、较上年度增减变化</w:t>
      </w:r>
      <w:bookmarkEnd w:id="21"/>
      <w:r>
        <w:rPr>
          <w:rFonts w:hint="eastAsia" w:ascii="黑体" w:eastAsia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leftChars="200" w:right="0" w:rightChars="0" w:firstLine="640" w:firstLineChars="200"/>
        <w:jc w:val="left"/>
        <w:textAlignment w:val="auto"/>
        <w:rPr>
          <w:rFonts w:hint="eastAsia" w:ascii="黑体" w:eastAsia="黑体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本年度预算拨款收入532.45万元较上年度预算446.52元增加了19%万元，其中基本行政运行经费预算175.51万元，占全部总预算的20%万元，较上年143.25万元增加了18%万元，原因为本单位人员增加，工作力度增强；专项业务工作经费预算532.45万元，占总预算的100%，较上年预算446.52万元增加了19.2%，主要原因为本单位人员增加，工作力度增强。 </w:t>
      </w:r>
      <w:r>
        <w:rPr>
          <w:rFonts w:hint="eastAsia" w:ascii="仿宋_GB2312" w:eastAsia="仿宋_GB2312"/>
          <w:color w:val="0000FF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 </w:t>
      </w:r>
      <w:r>
        <w:rPr>
          <w:rFonts w:hint="eastAsia" w:ascii="黑体" w:eastAsia="黑体"/>
          <w:sz w:val="32"/>
          <w:szCs w:val="32"/>
          <w:lang w:val="en-US" w:eastAsia="zh-CN"/>
        </w:rPr>
        <w:t xml:space="preserve">                                 六、“三公”经费预算 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right="0" w:rightChars="0" w:firstLine="640" w:firstLineChars="2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本年度三公经费预算安排支出为4.9万元，其中：出国费0万元，与上年持平，主要原因为未安排因公出国；公车购置费0元，与上年持平；公务用车维护费支出4.9万元。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right="0" w:rightChars="0" w:firstLine="640" w:firstLineChars="200"/>
        <w:textAlignment w:val="auto"/>
        <w:outlineLvl w:val="0"/>
        <w:rPr>
          <w:rFonts w:hint="eastAsia" w:ascii="黑体" w:eastAsia="黑体"/>
          <w:sz w:val="32"/>
          <w:szCs w:val="32"/>
          <w:lang w:val="en-US" w:eastAsia="zh-CN"/>
        </w:rPr>
      </w:pPr>
      <w:bookmarkStart w:id="22" w:name="_Toc3485"/>
      <w:r>
        <w:rPr>
          <w:rFonts w:hint="eastAsia" w:ascii="黑体" w:eastAsia="黑体"/>
          <w:sz w:val="32"/>
          <w:szCs w:val="32"/>
          <w:lang w:val="en-US" w:eastAsia="zh-CN"/>
        </w:rPr>
        <w:t>七、政府性基金预算收支情况说明</w:t>
      </w:r>
      <w:bookmarkEnd w:id="22"/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Autospacing="0" w:line="560" w:lineRule="exact"/>
        <w:ind w:right="0" w:rightChars="0" w:firstLine="640" w:firstLineChars="200"/>
        <w:jc w:val="left"/>
        <w:textAlignment w:val="auto"/>
        <w:outlineLvl w:val="1"/>
        <w:rPr>
          <w:rFonts w:hint="default" w:ascii="仿宋_GB2312" w:eastAsia="仿宋_GB2312"/>
          <w:sz w:val="32"/>
          <w:szCs w:val="32"/>
          <w:lang w:val="en-US" w:eastAsia="zh-CN"/>
        </w:rPr>
      </w:pPr>
      <w:bookmarkStart w:id="23" w:name="_Toc17819"/>
      <w:r>
        <w:rPr>
          <w:rFonts w:hint="eastAsia" w:ascii="仿宋_GB2312" w:eastAsia="仿宋_GB2312"/>
          <w:sz w:val="32"/>
          <w:szCs w:val="32"/>
          <w:lang w:val="en-US" w:eastAsia="zh-CN"/>
        </w:rPr>
        <w:t>我单位不涉及政府性基金预算收支</w:t>
      </w:r>
      <w:bookmarkEnd w:id="23"/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Autospacing="0" w:line="560" w:lineRule="exact"/>
        <w:ind w:right="0" w:rightChars="0" w:firstLine="640" w:firstLineChars="200"/>
        <w:jc w:val="left"/>
        <w:textAlignment w:val="auto"/>
        <w:outlineLvl w:val="0"/>
        <w:rPr>
          <w:rFonts w:hint="eastAsia" w:ascii="黑体" w:hAnsi="黑体" w:eastAsia="黑体" w:cs="黑体"/>
          <w:color w:val="333333"/>
          <w:kern w:val="0"/>
          <w:sz w:val="32"/>
          <w:szCs w:val="32"/>
          <w:shd w:val="clear" w:color="auto" w:fill="FFFFFF"/>
          <w:lang w:val="en-US" w:eastAsia="zh-CN" w:bidi="ar"/>
        </w:rPr>
      </w:pPr>
      <w:bookmarkStart w:id="24" w:name="_Toc31803"/>
      <w:r>
        <w:rPr>
          <w:rFonts w:hint="eastAsia" w:ascii="黑体" w:eastAsia="黑体"/>
          <w:sz w:val="32"/>
          <w:szCs w:val="32"/>
          <w:lang w:val="en-US" w:eastAsia="zh-CN"/>
        </w:rPr>
        <w:t>八、国有资本经营预算收支情况说明</w:t>
      </w:r>
      <w:bookmarkEnd w:id="24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2022年没有使用国有资本经营预算拨款安排的支出。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right="0" w:rightChars="0" w:firstLine="640" w:firstLineChars="200"/>
        <w:textAlignment w:val="auto"/>
        <w:outlineLvl w:val="0"/>
        <w:rPr>
          <w:rFonts w:hint="eastAsia" w:ascii="黑体" w:eastAsia="黑体"/>
          <w:sz w:val="32"/>
          <w:szCs w:val="32"/>
          <w:lang w:val="en-US" w:eastAsia="zh-CN"/>
        </w:rPr>
      </w:pPr>
      <w:bookmarkStart w:id="25" w:name="_Toc16705"/>
      <w:r>
        <w:rPr>
          <w:rFonts w:hint="eastAsia" w:ascii="黑体" w:eastAsia="黑体"/>
          <w:sz w:val="32"/>
          <w:szCs w:val="32"/>
          <w:lang w:val="en-US" w:eastAsia="zh-CN"/>
        </w:rPr>
        <w:t>九、其他重要事项的情况说明</w:t>
      </w:r>
      <w:bookmarkEnd w:id="25"/>
    </w:p>
    <w:p>
      <w:pPr>
        <w:pStyle w:val="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9F9F9"/>
        <w:spacing w:before="0" w:beforeAutospacing="0" w:after="0" w:afterAutospacing="0"/>
        <w:ind w:left="0" w:right="0" w:firstLine="643" w:firstLineChars="200"/>
        <w:jc w:val="both"/>
        <w:outlineLvl w:val="1"/>
        <w:rPr>
          <w:rFonts w:hint="eastAsia" w:ascii="宋体" w:hAnsi="宋体" w:eastAsia="宋体" w:cs="宋体"/>
          <w:i w:val="0"/>
          <w:caps w:val="0"/>
          <w:color w:val="323232"/>
          <w:spacing w:val="12"/>
          <w:sz w:val="32"/>
          <w:szCs w:val="32"/>
        </w:rPr>
      </w:pPr>
      <w:bookmarkStart w:id="26" w:name="_Toc26994"/>
      <w:r>
        <w:rPr>
          <w:rFonts w:hint="eastAsia" w:ascii="楷体_GB2312" w:hAnsi="楷体_GB2312" w:eastAsia="楷体_GB2312" w:cs="楷体_GB2312"/>
          <w:b/>
          <w:bCs/>
          <w:color w:val="333333"/>
          <w:kern w:val="0"/>
          <w:sz w:val="32"/>
          <w:szCs w:val="32"/>
          <w:shd w:val="clear" w:color="auto" w:fill="FFFFFF"/>
          <w:lang w:val="en-US" w:eastAsia="zh-CN" w:bidi="ar"/>
        </w:rPr>
        <w:t>（一）机关运行经费</w:t>
      </w:r>
      <w:bookmarkEnd w:id="26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88" w:firstLineChars="200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i w:val="0"/>
          <w:caps w:val="0"/>
          <w:color w:val="323232"/>
          <w:spacing w:val="12"/>
          <w:sz w:val="32"/>
          <w:szCs w:val="32"/>
          <w:shd w:val="clear" w:color="auto" w:fill="F9F9F9"/>
        </w:rPr>
        <w:t>　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2022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红原县</w:t>
      </w:r>
      <w:r>
        <w:rPr>
          <w:rFonts w:hint="eastAsia" w:ascii="仿宋_GB2312" w:eastAsia="仿宋_GB2312"/>
          <w:sz w:val="32"/>
          <w:szCs w:val="32"/>
          <w:lang w:eastAsia="zh-CN"/>
        </w:rPr>
        <w:t>退役军人事务局</w:t>
      </w:r>
      <w:r>
        <w:rPr>
          <w:rFonts w:hint="eastAsia" w:ascii="仿宋_GB2312" w:eastAsia="仿宋_GB2312"/>
          <w:sz w:val="32"/>
          <w:szCs w:val="32"/>
        </w:rPr>
        <w:t>运行经费财政拨款预算合计为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532.45</w:t>
      </w:r>
      <w:r>
        <w:rPr>
          <w:rFonts w:hint="eastAsia" w:ascii="仿宋_GB2312" w:eastAsia="仿宋_GB2312"/>
          <w:sz w:val="32"/>
          <w:szCs w:val="32"/>
        </w:rPr>
        <w:t>万元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Autospacing="0" w:line="560" w:lineRule="exact"/>
        <w:ind w:right="0" w:rightChars="0" w:firstLine="643" w:firstLineChars="200"/>
        <w:jc w:val="left"/>
        <w:textAlignment w:val="auto"/>
        <w:outlineLvl w:val="1"/>
        <w:rPr>
          <w:rFonts w:hint="eastAsia" w:ascii="黑体" w:hAnsi="黑体" w:eastAsia="黑体" w:cs="黑体"/>
          <w:color w:val="333333"/>
          <w:kern w:val="0"/>
          <w:sz w:val="32"/>
          <w:szCs w:val="32"/>
          <w:shd w:val="clear" w:color="auto" w:fill="FFFFFF"/>
          <w:lang w:val="en-US" w:eastAsia="zh-CN" w:bidi="ar"/>
        </w:rPr>
      </w:pPr>
      <w:bookmarkStart w:id="27" w:name="_Toc13633"/>
      <w:r>
        <w:rPr>
          <w:rFonts w:hint="eastAsia" w:ascii="楷体_GB2312" w:hAnsi="楷体_GB2312" w:eastAsia="楷体_GB2312" w:cs="楷体_GB2312"/>
          <w:b/>
          <w:bCs/>
          <w:color w:val="333333"/>
          <w:kern w:val="0"/>
          <w:sz w:val="32"/>
          <w:szCs w:val="32"/>
          <w:shd w:val="clear" w:color="auto" w:fill="FFFFFF"/>
          <w:lang w:val="en-US" w:eastAsia="zh-CN" w:bidi="ar"/>
        </w:rPr>
        <w:t>（二）政府采购预算情况</w:t>
      </w:r>
      <w:bookmarkEnd w:id="27"/>
      <w:r>
        <w:rPr>
          <w:rFonts w:hint="eastAsia" w:ascii="黑体" w:hAnsi="黑体" w:eastAsia="黑体" w:cs="黑体"/>
          <w:color w:val="333333"/>
          <w:kern w:val="0"/>
          <w:sz w:val="32"/>
          <w:szCs w:val="32"/>
          <w:shd w:val="clear" w:color="auto" w:fill="FFFFFF"/>
          <w:lang w:val="en-US" w:eastAsia="zh-CN" w:bidi="ar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right="0" w:rightChars="0" w:firstLine="640" w:firstLineChars="2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2022年度安排政府采购预算0万元。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Autospacing="0" w:line="560" w:lineRule="exact"/>
        <w:ind w:right="0" w:rightChars="0" w:firstLine="321" w:firstLineChars="100"/>
        <w:jc w:val="left"/>
        <w:textAlignment w:val="auto"/>
        <w:outlineLvl w:val="1"/>
        <w:rPr>
          <w:sz w:val="32"/>
          <w:szCs w:val="32"/>
        </w:rPr>
      </w:pPr>
      <w:bookmarkStart w:id="28" w:name="_Toc17953"/>
      <w:r>
        <w:rPr>
          <w:rFonts w:hint="eastAsia" w:ascii="楷体_GB2312" w:hAnsi="楷体_GB2312" w:eastAsia="楷体_GB2312" w:cs="楷体_GB2312"/>
          <w:b/>
          <w:bCs/>
          <w:color w:val="333333"/>
          <w:kern w:val="0"/>
          <w:sz w:val="32"/>
          <w:szCs w:val="32"/>
          <w:shd w:val="clear" w:color="auto" w:fill="FFFFFF"/>
          <w:lang w:val="en-US" w:eastAsia="zh-CN" w:bidi="ar"/>
        </w:rPr>
        <w:t>（三）政府财政国有资产占用情况</w:t>
      </w:r>
      <w:bookmarkEnd w:id="28"/>
      <w:r>
        <w:rPr>
          <w:rFonts w:hint="eastAsia" w:ascii="微软雅黑" w:hAnsi="微软雅黑" w:eastAsia="微软雅黑" w:cs="微软雅黑"/>
          <w:color w:val="333333"/>
          <w:kern w:val="0"/>
          <w:sz w:val="32"/>
          <w:szCs w:val="32"/>
          <w:shd w:val="clear" w:color="auto" w:fill="FFFFFF"/>
          <w:lang w:val="en-US" w:eastAsia="zh-CN" w:bidi="ar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截止2021年底，实际共有固定资产价值0</w:t>
      </w:r>
      <w:r>
        <w:rPr>
          <w:rFonts w:hint="eastAsia" w:ascii="仿宋_GB2312" w:eastAsia="仿宋_GB2312"/>
          <w:sz w:val="32"/>
          <w:szCs w:val="32"/>
          <w:lang w:eastAsia="zh-CN"/>
        </w:rPr>
        <w:t>万元，因机构改革新成立单位，暂没有固定资产。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Autospacing="0" w:line="560" w:lineRule="exact"/>
        <w:ind w:right="0" w:rightChars="0" w:firstLine="321" w:firstLineChars="100"/>
        <w:jc w:val="left"/>
        <w:textAlignment w:val="auto"/>
        <w:outlineLvl w:val="1"/>
        <w:rPr>
          <w:rFonts w:hint="eastAsia" w:ascii="楷体_GB2312" w:hAnsi="楷体_GB2312" w:eastAsia="楷体_GB2312" w:cs="楷体_GB2312"/>
          <w:b/>
          <w:bCs/>
          <w:color w:val="333333"/>
          <w:kern w:val="0"/>
          <w:sz w:val="32"/>
          <w:szCs w:val="32"/>
          <w:shd w:val="clear" w:color="auto" w:fill="FFFFFF"/>
          <w:lang w:val="en-US" w:eastAsia="zh-CN" w:bidi="ar"/>
        </w:rPr>
      </w:pPr>
      <w:bookmarkStart w:id="29" w:name="_Toc12879"/>
      <w:r>
        <w:rPr>
          <w:rFonts w:hint="eastAsia" w:ascii="楷体_GB2312" w:hAnsi="楷体_GB2312" w:eastAsia="楷体_GB2312" w:cs="楷体_GB2312"/>
          <w:b/>
          <w:bCs/>
          <w:color w:val="333333"/>
          <w:kern w:val="0"/>
          <w:sz w:val="32"/>
          <w:szCs w:val="32"/>
          <w:shd w:val="clear" w:color="auto" w:fill="FFFFFF"/>
          <w:lang w:val="en-US" w:eastAsia="zh-CN" w:bidi="ar"/>
        </w:rPr>
        <w:t>（四）绩效目标设置情况</w:t>
      </w:r>
      <w:bookmarkEnd w:id="29"/>
    </w:p>
    <w:p>
      <w:pPr>
        <w:pStyle w:val="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9F9F9"/>
        <w:spacing w:before="0" w:beforeAutospacing="0" w:after="0" w:afterAutospacing="0"/>
        <w:ind w:left="0" w:right="0" w:firstLine="0"/>
        <w:jc w:val="both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 xml:space="preserve">  </w:t>
      </w:r>
      <w:r>
        <w:rPr>
          <w:rFonts w:hint="eastAsia" w:ascii="仿宋_GB2312" w:eastAsia="仿宋_GB2312" w:cstheme="minorBidi"/>
          <w:kern w:val="2"/>
          <w:sz w:val="32"/>
          <w:szCs w:val="32"/>
          <w:lang w:val="en-US" w:eastAsia="zh-CN" w:bidi="ar-SA"/>
        </w:rPr>
        <w:t xml:space="preserve"> </w:t>
      </w: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绩效目标是预算编制的前提和基础，按照“费随事定”的原则，</w:t>
      </w:r>
      <w:r>
        <w:rPr>
          <w:rFonts w:hint="eastAsia" w:ascii="仿宋_GB2312" w:eastAsia="仿宋_GB2312" w:cstheme="minorBidi"/>
          <w:kern w:val="2"/>
          <w:sz w:val="32"/>
          <w:szCs w:val="32"/>
          <w:lang w:val="en-US" w:eastAsia="zh-CN" w:bidi="ar-SA"/>
        </w:rPr>
        <w:t>2022</w:t>
      </w: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年</w:t>
      </w:r>
      <w:r>
        <w:rPr>
          <w:rFonts w:hint="eastAsia" w:ascii="仿宋_GB2312" w:eastAsia="仿宋_GB2312" w:cstheme="minorBidi"/>
          <w:kern w:val="2"/>
          <w:sz w:val="32"/>
          <w:szCs w:val="32"/>
          <w:lang w:val="en-US" w:eastAsia="zh-CN" w:bidi="ar-SA"/>
        </w:rPr>
        <w:t>县退役军人事务局对所有的</w:t>
      </w: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项目</w:t>
      </w:r>
      <w:r>
        <w:rPr>
          <w:rFonts w:hint="eastAsia" w:ascii="仿宋_GB2312" w:eastAsia="仿宋_GB2312" w:cstheme="minorBidi"/>
          <w:kern w:val="2"/>
          <w:sz w:val="32"/>
          <w:szCs w:val="32"/>
          <w:lang w:val="en-US" w:eastAsia="zh-CN" w:bidi="ar-SA"/>
        </w:rPr>
        <w:t>支出预算</w:t>
      </w: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按要求编制了绩效目标,从项目完成、项目效益、满意度等方面设置了绩效指标，综合反映项目预期完成的数量、成本、时效、质量，预期达到的社会效益、经济效益、生态效益、可持续影响以及服务对象满意度等情况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333333"/>
          <w:kern w:val="0"/>
          <w:sz w:val="32"/>
          <w:szCs w:val="32"/>
          <w:shd w:val="clear" w:color="auto" w:fill="FFFFFF"/>
          <w:lang w:val="en-US" w:eastAsia="zh-CN" w:bidi="ar"/>
        </w:rPr>
        <w:t xml:space="preserve">    十、名词解释 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br w:type="textWrapping"/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　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　　1.财政拨款收入：是指省级财政当年拨款形成的部门收入。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　　2.事业收入：是指事业单位开展专业活动及辅助活动所取得的收入。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　　3.其他收入：是指部门取得的除“财政拨款收入”、“事业收入”、“事业单位经营收入”等以外的收入。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　　4.上年结转：是指以前年度尚未完成、结转到本年仍按原规定用途继续使用的资金。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　　5.基本支出：是指为保障机构正常运转、完成日常工作任务而发生的人员经费和日常公用经费。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　　6.项目支出：是指在基本支出之外，为完成特定工作任务或事业发展目标所发生的支出。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7.“三公”经费：是指纳入省级财政预算管理，部门使用财政拨款安排的因公出国(境)费、公务用车购置及运行费和公务接待费。其中，因公出国(境)费反映单位公务出国(境)的国际差旅费，包括国外城市间交通费、住宿费、伙食费、培训费、公杂费等支出；公务用车购置及运行费反映单位公务用车购置支出（含车辆购置税）及租用费、燃料费、维修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br w:type="textWrapping"/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　 8.机关运行经费：为保障单位机关运行用于购买货物和服务的各项资金，包括办公及印刷费、邮电费、差旅费、会议费、福利费、日常维修费、专用材料及一般设备购置费、办公用房水电费、办公用房取暖费、办公用房物业管理费、公务用车运行维护费以及其他费用。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附件：表1.部门收支总表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1600" w:firstLineChars="500"/>
        <w:jc w:val="both"/>
        <w:textAlignment w:val="auto"/>
        <w:outlineLvl w:val="9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表1-1.部门收入总表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1600" w:firstLineChars="500"/>
        <w:jc w:val="both"/>
        <w:textAlignment w:val="auto"/>
        <w:outlineLvl w:val="9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表1-2.部门支出总表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1600" w:firstLineChars="500"/>
        <w:jc w:val="both"/>
        <w:textAlignment w:val="auto"/>
        <w:outlineLvl w:val="9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表2.财政拨款收支预算总表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1600" w:firstLineChars="500"/>
        <w:jc w:val="both"/>
        <w:textAlignment w:val="auto"/>
        <w:outlineLvl w:val="9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表2-1.财政拨款支出预算表（政府经济分类科目）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1600" w:firstLineChars="500"/>
        <w:jc w:val="both"/>
        <w:textAlignment w:val="auto"/>
        <w:outlineLvl w:val="9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表3.一般公共预算支出预算表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1600" w:firstLineChars="500"/>
        <w:jc w:val="both"/>
        <w:textAlignment w:val="auto"/>
        <w:outlineLvl w:val="9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表3-1.一般公共预算基本支出预算表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1600" w:firstLineChars="500"/>
        <w:jc w:val="both"/>
        <w:textAlignment w:val="auto"/>
        <w:outlineLvl w:val="9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表3-2.一般公共预算项目支出预算表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1600" w:firstLineChars="500"/>
        <w:jc w:val="both"/>
        <w:textAlignment w:val="auto"/>
        <w:outlineLvl w:val="9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表3-3.一般公共预算“三公”经费支出预算表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1600" w:firstLineChars="500"/>
        <w:jc w:val="both"/>
        <w:textAlignment w:val="auto"/>
        <w:outlineLvl w:val="9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表4.政府性基金支出预算表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1600" w:firstLineChars="500"/>
        <w:jc w:val="both"/>
        <w:textAlignment w:val="auto"/>
        <w:outlineLvl w:val="9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表4-1.政府性基金预算“三公”经费支出预算表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1600" w:firstLineChars="500"/>
        <w:jc w:val="both"/>
        <w:textAlignment w:val="auto"/>
        <w:outlineLvl w:val="9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表5.国有资本经营预算支出预算表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1600" w:firstLineChars="500"/>
        <w:jc w:val="both"/>
        <w:textAlignment w:val="auto"/>
        <w:outlineLvl w:val="9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表6.2021年红原县部门预算项目绩效目标（部门预算）</w:t>
      </w:r>
    </w:p>
    <w:p>
      <w:pPr>
        <w:rPr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01DB9A1"/>
    <w:multiLevelType w:val="singleLevel"/>
    <w:tmpl w:val="101DB9A1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5A717D6F"/>
    <w:multiLevelType w:val="singleLevel"/>
    <w:tmpl w:val="5A717D6F"/>
    <w:lvl w:ilvl="0" w:tentative="0">
      <w:start w:val="4"/>
      <w:numFmt w:val="chineseCounting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g2ZTk0Y2QxZmUxOTIzMWNkNGVhOTM5MGQ1NzBjODcifQ=="/>
  </w:docVars>
  <w:rsids>
    <w:rsidRoot w:val="00000000"/>
    <w:rsid w:val="18971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18"/>
    </w:rPr>
  </w:style>
  <w:style w:type="paragraph" w:styleId="3">
    <w:name w:val="Normal Indent"/>
    <w:basedOn w:val="1"/>
    <w:qFormat/>
    <w:uiPriority w:val="0"/>
    <w:pPr>
      <w:ind w:firstLine="420" w:firstLineChars="200"/>
    </w:pPr>
    <w:rPr>
      <w:rFonts w:eastAsia="宋体"/>
      <w:sz w:val="21"/>
    </w:rPr>
  </w:style>
  <w:style w:type="paragraph" w:styleId="4">
    <w:name w:val="Body Text"/>
    <w:basedOn w:val="1"/>
    <w:qFormat/>
    <w:uiPriority w:val="0"/>
    <w:pPr>
      <w:spacing w:before="93" w:beforeLines="30"/>
    </w:pPr>
    <w:rPr>
      <w:rFonts w:ascii="仿宋_GB2312" w:eastAsia="仿宋_GB2312"/>
      <w:sz w:val="30"/>
    </w:rPr>
  </w:style>
  <w:style w:type="paragraph" w:styleId="5">
    <w:name w:val="Body Text Indent"/>
    <w:basedOn w:val="1"/>
    <w:next w:val="6"/>
    <w:qFormat/>
    <w:uiPriority w:val="99"/>
    <w:pPr>
      <w:spacing w:after="120"/>
      <w:ind w:left="420" w:leftChars="200"/>
    </w:pPr>
    <w:rPr>
      <w:szCs w:val="20"/>
    </w:rPr>
  </w:style>
  <w:style w:type="paragraph" w:styleId="6">
    <w:name w:val="Body Text First Indent 2"/>
    <w:basedOn w:val="5"/>
    <w:qFormat/>
    <w:uiPriority w:val="99"/>
    <w:pPr>
      <w:ind w:firstLine="420" w:firstLineChars="200"/>
    </w:pPr>
  </w:style>
  <w:style w:type="paragraph" w:styleId="7">
    <w:name w:val="toc 1"/>
    <w:basedOn w:val="1"/>
    <w:next w:val="1"/>
    <w:uiPriority w:val="0"/>
  </w:style>
  <w:style w:type="paragraph" w:styleId="8">
    <w:name w:val="toc 2"/>
    <w:basedOn w:val="1"/>
    <w:next w:val="1"/>
    <w:uiPriority w:val="0"/>
    <w:pPr>
      <w:ind w:left="420" w:leftChars="200"/>
    </w:pPr>
  </w:style>
  <w:style w:type="paragraph" w:styleId="9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12">
    <w:name w:val="WPSOffice手动目录 1"/>
    <w:uiPriority w:val="0"/>
    <w:pPr>
      <w:ind w:leftChars="0"/>
    </w:pPr>
    <w:rPr>
      <w:sz w:val="20"/>
      <w:szCs w:val="20"/>
    </w:rPr>
  </w:style>
  <w:style w:type="paragraph" w:customStyle="1" w:styleId="13">
    <w:name w:val="WPSOffice手动目录 2"/>
    <w:uiPriority w:val="0"/>
    <w:pPr>
      <w:ind w:leftChars="200"/>
    </w:pPr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2023-10-24T14:36:56Z</dcterms:created>
  <dc:creator>HuaWei</dc:creator>
  <cp:lastModifiedBy>万信会计服务田会计</cp:lastModifiedBy>
  <dcterms:modified xsi:type="dcterms:W3CDTF">2023-10-24T14:43:28Z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DE91678C65EC40578F0DC898FA66118D_12</vt:lpwstr>
  </property>
</Properties>
</file>