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4715B">
      <w:pPr>
        <w:spacing w:line="600" w:lineRule="exact"/>
        <w:jc w:val="center"/>
        <w:outlineLvl w:val="0"/>
        <w:rPr>
          <w:rFonts w:ascii="方正小标宋简体" w:eastAsia="方正小标宋简体"/>
          <w:sz w:val="72"/>
          <w:szCs w:val="72"/>
        </w:rPr>
      </w:pPr>
      <w:bookmarkStart w:id="0" w:name="_Toc15377193"/>
      <w:bookmarkStart w:id="1" w:name="_Toc15396475"/>
      <w:bookmarkStart w:id="2" w:name="_Toc15377425"/>
      <w:bookmarkStart w:id="3" w:name="_Toc15396597"/>
      <w:bookmarkStart w:id="4" w:name="_Toc15378441"/>
      <w:bookmarkStart w:id="5" w:name="_Toc15306267"/>
      <w:bookmarkStart w:id="146" w:name="_GoBack"/>
      <w:bookmarkEnd w:id="146"/>
    </w:p>
    <w:p w14:paraId="19AC6783">
      <w:pPr>
        <w:spacing w:line="600" w:lineRule="exact"/>
        <w:jc w:val="center"/>
        <w:outlineLvl w:val="0"/>
        <w:rPr>
          <w:rFonts w:ascii="方正小标宋简体" w:eastAsia="方正小标宋简体"/>
          <w:sz w:val="72"/>
          <w:szCs w:val="72"/>
        </w:rPr>
      </w:pPr>
    </w:p>
    <w:p w14:paraId="37631937">
      <w:pPr>
        <w:spacing w:line="600" w:lineRule="exact"/>
        <w:jc w:val="center"/>
        <w:outlineLvl w:val="0"/>
        <w:rPr>
          <w:rFonts w:ascii="方正小标宋简体" w:eastAsia="方正小标宋简体"/>
          <w:sz w:val="72"/>
          <w:szCs w:val="72"/>
        </w:rPr>
      </w:pPr>
    </w:p>
    <w:p w14:paraId="4A5A1896">
      <w:pPr>
        <w:adjustRightInd w:val="0"/>
        <w:snapToGrid w:val="0"/>
        <w:spacing w:line="360" w:lineRule="auto"/>
        <w:jc w:val="center"/>
        <w:outlineLvl w:val="0"/>
        <w:rPr>
          <w:rFonts w:ascii="方正小标宋简体" w:eastAsia="方正小标宋简体" w:cs="方正小标宋简体"/>
          <w:sz w:val="72"/>
          <w:szCs w:val="72"/>
        </w:rPr>
      </w:pPr>
      <w:bookmarkStart w:id="6" w:name="_Toc31687"/>
      <w:r>
        <w:rPr>
          <w:rFonts w:hint="eastAsia" w:ascii="方正小标宋简体" w:eastAsia="方正小标宋简体" w:cs="方正小标宋简体"/>
          <w:sz w:val="72"/>
          <w:szCs w:val="72"/>
        </w:rPr>
        <w:t>202</w:t>
      </w:r>
      <w:r>
        <w:rPr>
          <w:rFonts w:hint="eastAsia" w:ascii="方正小标宋简体" w:eastAsia="方正小标宋简体" w:cs="方正小标宋简体"/>
          <w:sz w:val="72"/>
          <w:szCs w:val="72"/>
          <w:lang w:val="en-US" w:eastAsia="zh-CN"/>
        </w:rPr>
        <w:t>2</w:t>
      </w:r>
      <w:r>
        <w:rPr>
          <w:rFonts w:hint="eastAsia" w:ascii="方正小标宋简体" w:eastAsia="方正小标宋简体" w:cs="方正小标宋简体"/>
          <w:sz w:val="72"/>
          <w:szCs w:val="72"/>
        </w:rPr>
        <w:t>年度</w:t>
      </w:r>
      <w:bookmarkEnd w:id="0"/>
      <w:bookmarkEnd w:id="1"/>
      <w:bookmarkEnd w:id="2"/>
      <w:bookmarkEnd w:id="3"/>
      <w:bookmarkEnd w:id="4"/>
      <w:bookmarkEnd w:id="6"/>
    </w:p>
    <w:p w14:paraId="45B3EED3">
      <w:pPr>
        <w:adjustRightInd w:val="0"/>
        <w:snapToGrid w:val="0"/>
        <w:spacing w:line="360" w:lineRule="auto"/>
        <w:jc w:val="center"/>
        <w:outlineLvl w:val="0"/>
        <w:rPr>
          <w:rFonts w:hint="eastAsia" w:ascii="方正小标宋简体" w:eastAsia="方正小标宋简体"/>
          <w:sz w:val="52"/>
          <w:szCs w:val="52"/>
          <w:lang w:eastAsia="zh-CN"/>
        </w:rPr>
      </w:pPr>
      <w:bookmarkStart w:id="7" w:name="_Toc15396598"/>
      <w:bookmarkStart w:id="8" w:name="_Toc15396476"/>
      <w:bookmarkStart w:id="9" w:name="_Toc15378442"/>
      <w:bookmarkStart w:id="10" w:name="_Toc15377426"/>
      <w:bookmarkStart w:id="11" w:name="_Toc15377194"/>
      <w:bookmarkStart w:id="12" w:name="_Toc9554"/>
      <w:r>
        <w:rPr>
          <w:rFonts w:ascii="方正小标宋简体" w:eastAsia="方正小标宋简体" w:cs="方正小标宋简体"/>
          <w:sz w:val="72"/>
          <w:szCs w:val="72"/>
        </w:rPr>
        <w:t>阿坝州</w:t>
      </w:r>
      <w:bookmarkEnd w:id="5"/>
      <w:bookmarkStart w:id="13" w:name="_Toc15306268"/>
      <w:r>
        <w:rPr>
          <w:rFonts w:hint="eastAsia" w:ascii="方正小标宋简体" w:eastAsia="方正小标宋简体" w:cs="方正小标宋简体"/>
          <w:sz w:val="72"/>
          <w:szCs w:val="72"/>
          <w:lang w:eastAsia="zh-CN"/>
        </w:rPr>
        <w:t>红原县自然资源局</w:t>
      </w:r>
      <w:r>
        <w:rPr>
          <w:rFonts w:hint="eastAsia" w:ascii="方正小标宋简体" w:eastAsia="方正小标宋简体" w:cs="方正小标宋简体"/>
          <w:sz w:val="72"/>
          <w:szCs w:val="72"/>
        </w:rPr>
        <w:t>部门决算</w:t>
      </w:r>
      <w:bookmarkEnd w:id="7"/>
      <w:bookmarkEnd w:id="8"/>
      <w:bookmarkEnd w:id="9"/>
      <w:bookmarkEnd w:id="10"/>
      <w:bookmarkEnd w:id="11"/>
      <w:bookmarkEnd w:id="12"/>
      <w:bookmarkEnd w:id="13"/>
      <w:bookmarkStart w:id="14" w:name="_Toc13202"/>
      <w:r>
        <w:rPr>
          <w:rFonts w:hint="eastAsia" w:ascii="方正小标宋简体" w:eastAsia="方正小标宋简体" w:cs="方正小标宋简体"/>
          <w:sz w:val="72"/>
          <w:szCs w:val="72"/>
        </w:rPr>
        <w:t>公开</w:t>
      </w:r>
      <w:bookmarkEnd w:id="14"/>
      <w:r>
        <w:rPr>
          <w:rFonts w:hint="eastAsia" w:ascii="方正小标宋简体" w:eastAsia="方正小标宋简体" w:cs="方正小标宋简体"/>
          <w:sz w:val="72"/>
          <w:szCs w:val="72"/>
          <w:lang w:eastAsia="zh-CN"/>
        </w:rPr>
        <w:t>说明</w:t>
      </w:r>
    </w:p>
    <w:p w14:paraId="4D33D9AF">
      <w:pPr>
        <w:widowControl/>
        <w:jc w:val="center"/>
        <w:rPr>
          <w:rFonts w:ascii="方正小标宋简体" w:eastAsia="方正小标宋简体"/>
          <w:sz w:val="36"/>
          <w:szCs w:val="36"/>
        </w:rPr>
      </w:pPr>
    </w:p>
    <w:p w14:paraId="6F3DD16C">
      <w:pPr>
        <w:pStyle w:val="2"/>
        <w:rPr>
          <w:rFonts w:ascii="方正小标宋简体" w:eastAsia="方正小标宋简体"/>
          <w:sz w:val="36"/>
          <w:szCs w:val="36"/>
        </w:rPr>
      </w:pPr>
    </w:p>
    <w:p w14:paraId="54E672D0">
      <w:pPr>
        <w:pStyle w:val="4"/>
        <w:rPr>
          <w:rFonts w:ascii="方正小标宋简体" w:eastAsia="方正小标宋简体"/>
          <w:sz w:val="36"/>
          <w:szCs w:val="36"/>
        </w:rPr>
      </w:pPr>
    </w:p>
    <w:p w14:paraId="174E1382">
      <w:pPr>
        <w:pStyle w:val="4"/>
        <w:rPr>
          <w:rFonts w:ascii="方正小标宋简体" w:eastAsia="方正小标宋简体"/>
          <w:sz w:val="36"/>
          <w:szCs w:val="36"/>
        </w:rPr>
      </w:pPr>
    </w:p>
    <w:p w14:paraId="6D0DFF99">
      <w:pPr>
        <w:pStyle w:val="4"/>
        <w:rPr>
          <w:rFonts w:ascii="方正小标宋简体" w:eastAsia="方正小标宋简体"/>
          <w:sz w:val="36"/>
          <w:szCs w:val="36"/>
        </w:rPr>
      </w:pPr>
    </w:p>
    <w:p w14:paraId="2982FCA5">
      <w:pPr>
        <w:pStyle w:val="4"/>
        <w:rPr>
          <w:rFonts w:ascii="方正小标宋简体" w:eastAsia="方正小标宋简体"/>
          <w:sz w:val="36"/>
          <w:szCs w:val="36"/>
        </w:rPr>
      </w:pPr>
    </w:p>
    <w:p w14:paraId="7F008968">
      <w:pPr>
        <w:pStyle w:val="4"/>
        <w:rPr>
          <w:rFonts w:ascii="方正小标宋简体" w:eastAsia="方正小标宋简体"/>
          <w:sz w:val="36"/>
          <w:szCs w:val="36"/>
        </w:rPr>
      </w:pPr>
    </w:p>
    <w:p w14:paraId="2BFC9025">
      <w:pPr>
        <w:pStyle w:val="4"/>
        <w:rPr>
          <w:rFonts w:ascii="方正小标宋简体" w:eastAsia="方正小标宋简体"/>
          <w:sz w:val="36"/>
          <w:szCs w:val="36"/>
        </w:rPr>
      </w:pPr>
    </w:p>
    <w:p w14:paraId="0AEAE41D">
      <w:pPr>
        <w:widowControl/>
        <w:jc w:val="both"/>
        <w:rPr>
          <w:rFonts w:ascii="方正小标宋简体" w:eastAsia="方正小标宋简体"/>
          <w:sz w:val="36"/>
          <w:szCs w:val="36"/>
        </w:rPr>
      </w:pPr>
    </w:p>
    <w:p w14:paraId="43308C52">
      <w:pPr>
        <w:pStyle w:val="18"/>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560" w:firstLineChars="200"/>
        <w:jc w:val="left"/>
        <w:textAlignment w:val="auto"/>
        <w:outlineLvl w:val="0"/>
        <w:rPr>
          <w:rFonts w:hint="eastAsia" w:ascii="宋体" w:hAnsi="宋体" w:eastAsia="宋体" w:cs="宋体"/>
          <w:b w:val="0"/>
          <w:kern w:val="0"/>
          <w:sz w:val="28"/>
          <w:szCs w:val="28"/>
        </w:rPr>
      </w:pPr>
      <w:r>
        <w:rPr>
          <w:rFonts w:hint="eastAsia" w:ascii="宋体" w:hAnsi="宋体" w:eastAsia="宋体" w:cs="宋体"/>
          <w:b w:val="0"/>
          <w:kern w:val="0"/>
          <w:sz w:val="28"/>
          <w:szCs w:val="28"/>
          <w:shd w:val="clear" w:fill="FFFFFF"/>
          <w:lang w:val="en-US" w:eastAsia="zh-CN" w:bidi="ar"/>
        </w:rPr>
        <w:t xml:space="preserve"> </w:t>
      </w:r>
      <w:bookmarkStart w:id="15" w:name="_Toc24061"/>
      <w:bookmarkStart w:id="16" w:name="_Toc10042"/>
      <w:bookmarkStart w:id="17" w:name="_Toc8490"/>
      <w:bookmarkStart w:id="18" w:name="_Toc28746"/>
      <w:bookmarkStart w:id="19" w:name="_Toc30158"/>
      <w:bookmarkStart w:id="20" w:name="_Toc14521"/>
      <w:bookmarkStart w:id="21" w:name="_Toc3192"/>
      <w:r>
        <w:rPr>
          <w:rFonts w:hint="eastAsia" w:ascii="宋体" w:hAnsi="宋体" w:eastAsia="宋体" w:cs="宋体"/>
          <w:b w:val="0"/>
          <w:kern w:val="0"/>
          <w:sz w:val="28"/>
          <w:szCs w:val="28"/>
          <w:shd w:val="clear" w:fill="FFFFFF"/>
          <w:lang w:val="en-US" w:eastAsia="zh-CN" w:bidi="ar"/>
        </w:rPr>
        <w:t>保密审查情况：已审查，内容审定</w:t>
      </w:r>
      <w:bookmarkEnd w:id="15"/>
      <w:bookmarkEnd w:id="16"/>
      <w:bookmarkEnd w:id="17"/>
      <w:bookmarkEnd w:id="18"/>
      <w:bookmarkEnd w:id="19"/>
      <w:bookmarkEnd w:id="20"/>
      <w:bookmarkEnd w:id="21"/>
    </w:p>
    <w:p w14:paraId="0AF2B65F">
      <w:pPr>
        <w:pStyle w:val="18"/>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560" w:firstLineChars="200"/>
        <w:jc w:val="left"/>
        <w:textAlignment w:val="auto"/>
        <w:outlineLvl w:val="0"/>
        <w:rPr>
          <w:rFonts w:hint="eastAsia" w:ascii="宋体" w:hAnsi="宋体" w:eastAsia="宋体" w:cs="宋体"/>
          <w:b w:val="0"/>
          <w:kern w:val="0"/>
          <w:sz w:val="28"/>
          <w:szCs w:val="28"/>
          <w:shd w:val="clear" w:fill="FFFFFF"/>
        </w:rPr>
      </w:pPr>
      <w:r>
        <w:rPr>
          <w:rFonts w:hint="eastAsia" w:ascii="宋体" w:hAnsi="宋体" w:eastAsia="宋体" w:cs="宋体"/>
          <w:b w:val="0"/>
          <w:kern w:val="0"/>
          <w:sz w:val="28"/>
          <w:szCs w:val="28"/>
          <w:shd w:val="clear" w:fill="FFFFFF"/>
          <w:lang w:val="en-US" w:eastAsia="zh-CN" w:bidi="ar"/>
        </w:rPr>
        <w:t xml:space="preserve"> </w:t>
      </w:r>
      <w:bookmarkStart w:id="22" w:name="_Toc631"/>
      <w:bookmarkStart w:id="23" w:name="_Toc23851"/>
      <w:bookmarkStart w:id="24" w:name="_Toc10088"/>
      <w:bookmarkStart w:id="25" w:name="_Toc29906"/>
      <w:bookmarkStart w:id="26" w:name="_Toc23196"/>
      <w:bookmarkStart w:id="27" w:name="_Toc32544"/>
      <w:bookmarkStart w:id="28" w:name="_Toc24561"/>
      <w:r>
        <w:rPr>
          <w:rFonts w:hint="eastAsia" w:ascii="宋体" w:hAnsi="宋体" w:eastAsia="宋体" w:cs="宋体"/>
          <w:b w:val="0"/>
          <w:kern w:val="0"/>
          <w:sz w:val="28"/>
          <w:szCs w:val="28"/>
          <w:shd w:val="clear" w:fill="FFFFFF"/>
          <w:lang w:val="en-US" w:eastAsia="zh-CN" w:bidi="ar"/>
        </w:rPr>
        <w:t>部门主要负责人审签情况：已审签，同意对外公开</w:t>
      </w:r>
      <w:bookmarkEnd w:id="22"/>
      <w:bookmarkEnd w:id="23"/>
      <w:bookmarkEnd w:id="24"/>
      <w:bookmarkEnd w:id="25"/>
      <w:bookmarkEnd w:id="26"/>
      <w:bookmarkEnd w:id="27"/>
      <w:bookmarkEnd w:id="28"/>
    </w:p>
    <w:p w14:paraId="3C8873CA">
      <w:pPr>
        <w:widowControl/>
        <w:jc w:val="center"/>
        <w:rPr>
          <w:rFonts w:ascii="黑体" w:eastAsia="黑体" w:cs="Arial"/>
          <w:sz w:val="28"/>
          <w:szCs w:val="28"/>
        </w:rPr>
      </w:pPr>
      <w:r>
        <w:rPr>
          <w:rFonts w:ascii="方正小标宋简体" w:eastAsia="方正小标宋简体"/>
          <w:sz w:val="36"/>
          <w:szCs w:val="36"/>
        </w:rPr>
        <w:br w:type="page"/>
      </w:r>
      <w:r>
        <w:rPr>
          <w:rFonts w:hint="eastAsia" w:ascii="黑体" w:eastAsia="黑体"/>
          <w:sz w:val="48"/>
          <w:szCs w:val="48"/>
        </w:rPr>
        <w:t>目录</w:t>
      </w:r>
    </w:p>
    <w:p w14:paraId="662CE237">
      <w:pPr>
        <w:pStyle w:val="14"/>
      </w:pPr>
      <w:r>
        <w:rPr>
          <w:rFonts w:hint="eastAsia"/>
          <w:b/>
          <w:bCs/>
        </w:rPr>
        <w:t>公开时间：2023年</w:t>
      </w:r>
      <w:r>
        <w:rPr>
          <w:rFonts w:hint="eastAsia"/>
          <w:b/>
          <w:bCs/>
          <w:lang w:val="en-US" w:eastAsia="zh-CN"/>
        </w:rPr>
        <w:t>10</w:t>
      </w:r>
      <w:r>
        <w:rPr>
          <w:rFonts w:hint="eastAsia"/>
          <w:b/>
          <w:bCs/>
        </w:rPr>
        <w:t>月2</w:t>
      </w:r>
      <w:r>
        <w:rPr>
          <w:rFonts w:hint="eastAsia"/>
          <w:b/>
          <w:bCs/>
          <w:lang w:val="en-US" w:eastAsia="zh-CN"/>
        </w:rPr>
        <w:t>6</w:t>
      </w:r>
      <w:r>
        <w:rPr>
          <w:rFonts w:hint="eastAsia"/>
          <w:b/>
          <w:bCs/>
        </w:rPr>
        <w:t>日</w:t>
      </w:r>
      <w:bookmarkStart w:id="29" w:name="_Toc15396599"/>
      <w:bookmarkStart w:id="30" w:name="_Toc15377196"/>
    </w:p>
    <w:sdt>
      <w:sdtPr>
        <w:rPr>
          <w:rFonts w:ascii="宋体" w:hAnsi="宋体" w:eastAsia="宋体" w:cs="Times New Roman"/>
          <w:kern w:val="2"/>
          <w:sz w:val="21"/>
          <w:szCs w:val="24"/>
          <w:lang w:val="en-US" w:eastAsia="zh-CN" w:bidi="ar-SA"/>
        </w:rPr>
        <w:id w:val="147467799"/>
        <w15:color w:val="DBDBDB"/>
        <w:docPartObj>
          <w:docPartGallery w:val="Table of Contents"/>
          <w:docPartUnique/>
        </w:docPartObj>
      </w:sdtPr>
      <w:sdtEndPr>
        <w:rPr>
          <w:rFonts w:ascii="宋体" w:hAnsi="宋体" w:eastAsia="宋体" w:cs="Times New Roman"/>
          <w:kern w:val="2"/>
          <w:sz w:val="21"/>
          <w:szCs w:val="21"/>
          <w:lang w:val="en-US" w:eastAsia="zh-CN" w:bidi="ar-SA"/>
        </w:rPr>
      </w:sdtEndPr>
      <w:sdtContent>
        <w:p w14:paraId="11E581D8">
          <w:pPr>
            <w:pStyle w:val="14"/>
            <w:rPr>
              <w:sz w:val="22"/>
              <w:szCs w:val="28"/>
            </w:rPr>
          </w:pPr>
          <w:r>
            <w:rPr>
              <w:sz w:val="22"/>
              <w:szCs w:val="28"/>
            </w:rPr>
            <w:fldChar w:fldCharType="begin"/>
          </w:r>
          <w:r>
            <w:rPr>
              <w:sz w:val="22"/>
              <w:szCs w:val="28"/>
            </w:rPr>
            <w:instrText xml:space="preserve">TOC \o "1-3" \h \u </w:instrText>
          </w:r>
          <w:r>
            <w:rPr>
              <w:sz w:val="22"/>
              <w:szCs w:val="28"/>
            </w:rPr>
            <w:fldChar w:fldCharType="separate"/>
          </w:r>
        </w:p>
        <w:p w14:paraId="7F91A92F">
          <w:pPr>
            <w:pStyle w:val="14"/>
            <w:tabs>
              <w:tab w:val="right" w:leader="dot" w:pos="8306"/>
              <w:tab w:val="clear" w:pos="8296"/>
            </w:tabs>
            <w:rPr>
              <w:sz w:val="28"/>
              <w:szCs w:val="28"/>
            </w:rPr>
          </w:pPr>
          <w:r>
            <w:rPr>
              <w:sz w:val="28"/>
              <w:szCs w:val="28"/>
            </w:rPr>
            <w:fldChar w:fldCharType="begin"/>
          </w:r>
          <w:r>
            <w:rPr>
              <w:sz w:val="28"/>
              <w:szCs w:val="28"/>
            </w:rPr>
            <w:instrText xml:space="preserve"> HYPERLINK \l _Toc22686 </w:instrText>
          </w:r>
          <w:r>
            <w:rPr>
              <w:sz w:val="28"/>
              <w:szCs w:val="28"/>
            </w:rPr>
            <w:fldChar w:fldCharType="separate"/>
          </w:r>
          <w:r>
            <w:rPr>
              <w:rFonts w:hint="eastAsia" w:ascii="黑体" w:eastAsia="黑体"/>
              <w:sz w:val="28"/>
              <w:szCs w:val="28"/>
            </w:rPr>
            <w:t xml:space="preserve">第一部分 </w:t>
          </w:r>
          <w:r>
            <w:rPr>
              <w:rFonts w:hint="eastAsia" w:ascii="黑体" w:eastAsia="黑体"/>
              <w:bCs w:val="0"/>
              <w:sz w:val="28"/>
              <w:szCs w:val="28"/>
            </w:rPr>
            <w:t>部门概况</w:t>
          </w:r>
          <w:r>
            <w:rPr>
              <w:sz w:val="28"/>
              <w:szCs w:val="28"/>
            </w:rPr>
            <w:tab/>
          </w:r>
          <w:r>
            <w:rPr>
              <w:sz w:val="28"/>
              <w:szCs w:val="28"/>
            </w:rPr>
            <w:fldChar w:fldCharType="begin"/>
          </w:r>
          <w:r>
            <w:rPr>
              <w:sz w:val="28"/>
              <w:szCs w:val="28"/>
            </w:rPr>
            <w:instrText xml:space="preserve"> PAGEREF _Toc22686 </w:instrText>
          </w:r>
          <w:r>
            <w:rPr>
              <w:sz w:val="28"/>
              <w:szCs w:val="28"/>
            </w:rPr>
            <w:fldChar w:fldCharType="separate"/>
          </w:r>
          <w:r>
            <w:rPr>
              <w:sz w:val="28"/>
              <w:szCs w:val="28"/>
            </w:rPr>
            <w:t>4</w:t>
          </w:r>
          <w:r>
            <w:rPr>
              <w:sz w:val="28"/>
              <w:szCs w:val="28"/>
            </w:rPr>
            <w:fldChar w:fldCharType="end"/>
          </w:r>
          <w:r>
            <w:rPr>
              <w:sz w:val="28"/>
              <w:szCs w:val="28"/>
            </w:rPr>
            <w:fldChar w:fldCharType="end"/>
          </w:r>
        </w:p>
        <w:p w14:paraId="74CBEF0B">
          <w:pPr>
            <w:pStyle w:val="16"/>
            <w:tabs>
              <w:tab w:val="right" w:leader="dot" w:pos="8306"/>
              <w:tab w:val="clear" w:pos="8296"/>
            </w:tabs>
            <w:rPr>
              <w:sz w:val="21"/>
              <w:szCs w:val="24"/>
            </w:rPr>
          </w:pPr>
          <w:r>
            <w:rPr>
              <w:sz w:val="21"/>
              <w:szCs w:val="24"/>
            </w:rPr>
            <w:fldChar w:fldCharType="begin"/>
          </w:r>
          <w:r>
            <w:rPr>
              <w:sz w:val="21"/>
              <w:szCs w:val="24"/>
            </w:rPr>
            <w:instrText xml:space="preserve"> HYPERLINK \l _Toc26821 </w:instrText>
          </w:r>
          <w:r>
            <w:rPr>
              <w:sz w:val="21"/>
              <w:szCs w:val="24"/>
            </w:rPr>
            <w:fldChar w:fldCharType="separate"/>
          </w:r>
          <w:r>
            <w:rPr>
              <w:rFonts w:hint="eastAsia" w:ascii="黑体" w:eastAsia="黑体"/>
              <w:sz w:val="21"/>
              <w:szCs w:val="24"/>
            </w:rPr>
            <w:t>一、部门职责</w:t>
          </w:r>
          <w:r>
            <w:rPr>
              <w:sz w:val="21"/>
              <w:szCs w:val="24"/>
            </w:rPr>
            <w:tab/>
          </w:r>
          <w:r>
            <w:rPr>
              <w:sz w:val="21"/>
              <w:szCs w:val="24"/>
            </w:rPr>
            <w:fldChar w:fldCharType="begin"/>
          </w:r>
          <w:r>
            <w:rPr>
              <w:sz w:val="21"/>
              <w:szCs w:val="24"/>
            </w:rPr>
            <w:instrText xml:space="preserve"> PAGEREF _Toc26821 </w:instrText>
          </w:r>
          <w:r>
            <w:rPr>
              <w:sz w:val="21"/>
              <w:szCs w:val="24"/>
            </w:rPr>
            <w:fldChar w:fldCharType="separate"/>
          </w:r>
          <w:r>
            <w:rPr>
              <w:sz w:val="21"/>
              <w:szCs w:val="24"/>
            </w:rPr>
            <w:t>4</w:t>
          </w:r>
          <w:r>
            <w:rPr>
              <w:sz w:val="21"/>
              <w:szCs w:val="24"/>
            </w:rPr>
            <w:fldChar w:fldCharType="end"/>
          </w:r>
          <w:r>
            <w:rPr>
              <w:sz w:val="21"/>
              <w:szCs w:val="24"/>
            </w:rPr>
            <w:fldChar w:fldCharType="end"/>
          </w:r>
        </w:p>
        <w:p w14:paraId="4540684F">
          <w:pPr>
            <w:pStyle w:val="16"/>
            <w:tabs>
              <w:tab w:val="right" w:leader="dot" w:pos="8306"/>
              <w:tab w:val="clear" w:pos="8296"/>
            </w:tabs>
            <w:rPr>
              <w:rFonts w:hint="eastAsia" w:eastAsia="宋体"/>
              <w:sz w:val="21"/>
              <w:szCs w:val="24"/>
              <w:lang w:val="en-US" w:eastAsia="zh-CN"/>
            </w:rPr>
          </w:pPr>
          <w:r>
            <w:rPr>
              <w:sz w:val="21"/>
              <w:szCs w:val="24"/>
            </w:rPr>
            <w:fldChar w:fldCharType="begin"/>
          </w:r>
          <w:r>
            <w:rPr>
              <w:sz w:val="21"/>
              <w:szCs w:val="24"/>
            </w:rPr>
            <w:instrText xml:space="preserve"> HYPERLINK \l _Toc11868 </w:instrText>
          </w:r>
          <w:r>
            <w:rPr>
              <w:sz w:val="21"/>
              <w:szCs w:val="24"/>
            </w:rPr>
            <w:fldChar w:fldCharType="separate"/>
          </w:r>
          <w:r>
            <w:rPr>
              <w:rFonts w:hint="eastAsia" w:ascii="黑体" w:hAnsi="Times New Roman" w:eastAsia="黑体" w:cs="Times New Roman"/>
              <w:sz w:val="21"/>
              <w:szCs w:val="24"/>
            </w:rPr>
            <w:t>二、</w:t>
          </w:r>
          <w:r>
            <w:rPr>
              <w:rFonts w:hint="eastAsia" w:ascii="黑体" w:hAnsi="Times New Roman" w:eastAsia="黑体" w:cs="Times New Roman"/>
              <w:sz w:val="21"/>
              <w:szCs w:val="24"/>
              <w:lang w:eastAsia="zh-CN"/>
            </w:rPr>
            <w:t>当年取得的主要事业成效</w:t>
          </w:r>
          <w:r>
            <w:rPr>
              <w:sz w:val="21"/>
              <w:szCs w:val="24"/>
            </w:rPr>
            <w:tab/>
          </w:r>
          <w:r>
            <w:rPr>
              <w:rFonts w:hint="eastAsia"/>
              <w:sz w:val="21"/>
              <w:szCs w:val="24"/>
              <w:lang w:val="en-US" w:eastAsia="zh-CN"/>
            </w:rPr>
            <w:t>5</w:t>
          </w:r>
        </w:p>
        <w:p w14:paraId="6E029DEC">
          <w:pPr>
            <w:pStyle w:val="16"/>
            <w:tabs>
              <w:tab w:val="right" w:leader="dot" w:pos="8306"/>
              <w:tab w:val="clear" w:pos="8296"/>
            </w:tabs>
            <w:rPr>
              <w:sz w:val="21"/>
              <w:szCs w:val="24"/>
            </w:rPr>
          </w:pPr>
          <w:r>
            <w:rPr>
              <w:rFonts w:hint="eastAsia" w:ascii="黑体" w:eastAsia="黑体"/>
              <w:sz w:val="21"/>
              <w:szCs w:val="24"/>
              <w:lang w:eastAsia="zh-CN"/>
            </w:rPr>
            <w:t>三、</w:t>
          </w:r>
          <w:r>
            <w:rPr>
              <w:rFonts w:hint="eastAsia" w:ascii="黑体" w:eastAsia="黑体"/>
              <w:sz w:val="21"/>
              <w:szCs w:val="24"/>
            </w:rPr>
            <w:t>机</w:t>
          </w:r>
          <w:r>
            <w:rPr>
              <w:rFonts w:hint="eastAsia" w:ascii="黑体" w:eastAsia="黑体"/>
              <w:bCs w:val="0"/>
              <w:sz w:val="21"/>
              <w:szCs w:val="24"/>
            </w:rPr>
            <w:t>构设置</w:t>
          </w:r>
          <w:r>
            <w:rPr>
              <w:sz w:val="21"/>
              <w:szCs w:val="24"/>
            </w:rPr>
            <w:tab/>
          </w:r>
          <w:r>
            <w:rPr>
              <w:sz w:val="21"/>
              <w:szCs w:val="24"/>
            </w:rPr>
            <w:fldChar w:fldCharType="begin"/>
          </w:r>
          <w:r>
            <w:rPr>
              <w:sz w:val="21"/>
              <w:szCs w:val="24"/>
            </w:rPr>
            <w:instrText xml:space="preserve"> PAGEREF _Toc11868 </w:instrText>
          </w:r>
          <w:r>
            <w:rPr>
              <w:sz w:val="21"/>
              <w:szCs w:val="24"/>
            </w:rPr>
            <w:fldChar w:fldCharType="separate"/>
          </w:r>
          <w:r>
            <w:rPr>
              <w:sz w:val="21"/>
              <w:szCs w:val="24"/>
            </w:rPr>
            <w:t>6</w:t>
          </w:r>
          <w:r>
            <w:rPr>
              <w:sz w:val="21"/>
              <w:szCs w:val="24"/>
            </w:rPr>
            <w:fldChar w:fldCharType="end"/>
          </w:r>
          <w:r>
            <w:rPr>
              <w:sz w:val="21"/>
              <w:szCs w:val="24"/>
            </w:rPr>
            <w:fldChar w:fldCharType="end"/>
          </w:r>
        </w:p>
        <w:p w14:paraId="20510A9D">
          <w:pPr>
            <w:pStyle w:val="14"/>
            <w:tabs>
              <w:tab w:val="right" w:leader="dot" w:pos="8306"/>
              <w:tab w:val="clear" w:pos="8296"/>
            </w:tabs>
            <w:rPr>
              <w:sz w:val="28"/>
              <w:szCs w:val="28"/>
            </w:rPr>
          </w:pPr>
          <w:r>
            <w:rPr>
              <w:sz w:val="28"/>
              <w:szCs w:val="28"/>
            </w:rPr>
            <w:fldChar w:fldCharType="begin"/>
          </w:r>
          <w:r>
            <w:rPr>
              <w:sz w:val="28"/>
              <w:szCs w:val="28"/>
            </w:rPr>
            <w:instrText xml:space="preserve"> HYPERLINK \l _Toc2886 </w:instrText>
          </w:r>
          <w:r>
            <w:rPr>
              <w:sz w:val="28"/>
              <w:szCs w:val="28"/>
            </w:rPr>
            <w:fldChar w:fldCharType="separate"/>
          </w:r>
          <w:r>
            <w:rPr>
              <w:rFonts w:hint="eastAsia" w:ascii="黑体" w:eastAsia="黑体"/>
              <w:sz w:val="28"/>
              <w:szCs w:val="28"/>
            </w:rPr>
            <w:t>第二部分 2022年度</w:t>
          </w:r>
          <w:r>
            <w:rPr>
              <w:rFonts w:hint="eastAsia" w:ascii="黑体" w:eastAsia="黑体"/>
              <w:bCs/>
              <w:sz w:val="28"/>
              <w:szCs w:val="28"/>
            </w:rPr>
            <w:t>部门决算情况说明</w:t>
          </w:r>
          <w:r>
            <w:rPr>
              <w:sz w:val="28"/>
              <w:szCs w:val="28"/>
            </w:rPr>
            <w:tab/>
          </w:r>
          <w:r>
            <w:rPr>
              <w:sz w:val="28"/>
              <w:szCs w:val="28"/>
            </w:rPr>
            <w:fldChar w:fldCharType="begin"/>
          </w:r>
          <w:r>
            <w:rPr>
              <w:sz w:val="28"/>
              <w:szCs w:val="28"/>
            </w:rPr>
            <w:instrText xml:space="preserve"> PAGEREF _Toc2886 </w:instrText>
          </w:r>
          <w:r>
            <w:rPr>
              <w:sz w:val="28"/>
              <w:szCs w:val="28"/>
            </w:rPr>
            <w:fldChar w:fldCharType="separate"/>
          </w:r>
          <w:r>
            <w:rPr>
              <w:sz w:val="28"/>
              <w:szCs w:val="28"/>
            </w:rPr>
            <w:t>10</w:t>
          </w:r>
          <w:r>
            <w:rPr>
              <w:sz w:val="28"/>
              <w:szCs w:val="28"/>
            </w:rPr>
            <w:fldChar w:fldCharType="end"/>
          </w:r>
          <w:r>
            <w:rPr>
              <w:sz w:val="28"/>
              <w:szCs w:val="28"/>
            </w:rPr>
            <w:fldChar w:fldCharType="end"/>
          </w:r>
        </w:p>
        <w:p w14:paraId="33C1202C">
          <w:pPr>
            <w:pStyle w:val="16"/>
            <w:tabs>
              <w:tab w:val="right" w:leader="dot" w:pos="8306"/>
              <w:tab w:val="clear" w:pos="8296"/>
            </w:tabs>
            <w:rPr>
              <w:sz w:val="21"/>
              <w:szCs w:val="24"/>
            </w:rPr>
          </w:pPr>
          <w:r>
            <w:rPr>
              <w:sz w:val="21"/>
              <w:szCs w:val="24"/>
            </w:rPr>
            <w:fldChar w:fldCharType="begin"/>
          </w:r>
          <w:r>
            <w:rPr>
              <w:sz w:val="21"/>
              <w:szCs w:val="24"/>
            </w:rPr>
            <w:instrText xml:space="preserve"> HYPERLINK \l _Toc15510 </w:instrText>
          </w:r>
          <w:r>
            <w:rPr>
              <w:sz w:val="21"/>
              <w:szCs w:val="24"/>
            </w:rPr>
            <w:fldChar w:fldCharType="separate"/>
          </w:r>
          <w:r>
            <w:rPr>
              <w:rFonts w:hint="default" w:ascii="黑体" w:eastAsia="黑体"/>
              <w:sz w:val="21"/>
              <w:szCs w:val="24"/>
            </w:rPr>
            <w:t xml:space="preserve">一、 </w:t>
          </w:r>
          <w:r>
            <w:rPr>
              <w:rFonts w:hint="eastAsia" w:ascii="黑体" w:eastAsia="黑体"/>
              <w:sz w:val="21"/>
              <w:szCs w:val="32"/>
            </w:rPr>
            <w:t>收</w:t>
          </w:r>
          <w:r>
            <w:rPr>
              <w:rFonts w:hint="eastAsia" w:ascii="黑体" w:eastAsia="黑体"/>
              <w:sz w:val="21"/>
              <w:szCs w:val="24"/>
            </w:rPr>
            <w:t>入支出决算总体情况说明</w:t>
          </w:r>
          <w:r>
            <w:rPr>
              <w:sz w:val="21"/>
              <w:szCs w:val="24"/>
            </w:rPr>
            <w:tab/>
          </w:r>
          <w:r>
            <w:rPr>
              <w:sz w:val="21"/>
              <w:szCs w:val="24"/>
            </w:rPr>
            <w:fldChar w:fldCharType="begin"/>
          </w:r>
          <w:r>
            <w:rPr>
              <w:sz w:val="21"/>
              <w:szCs w:val="24"/>
            </w:rPr>
            <w:instrText xml:space="preserve"> PAGEREF _Toc15510 </w:instrText>
          </w:r>
          <w:r>
            <w:rPr>
              <w:sz w:val="21"/>
              <w:szCs w:val="24"/>
            </w:rPr>
            <w:fldChar w:fldCharType="separate"/>
          </w:r>
          <w:r>
            <w:rPr>
              <w:sz w:val="21"/>
              <w:szCs w:val="24"/>
            </w:rPr>
            <w:t>10</w:t>
          </w:r>
          <w:r>
            <w:rPr>
              <w:sz w:val="21"/>
              <w:szCs w:val="24"/>
            </w:rPr>
            <w:fldChar w:fldCharType="end"/>
          </w:r>
          <w:r>
            <w:rPr>
              <w:sz w:val="21"/>
              <w:szCs w:val="24"/>
            </w:rPr>
            <w:fldChar w:fldCharType="end"/>
          </w:r>
        </w:p>
        <w:p w14:paraId="6A660A21">
          <w:pPr>
            <w:pStyle w:val="16"/>
            <w:tabs>
              <w:tab w:val="right" w:leader="dot" w:pos="8306"/>
              <w:tab w:val="clear" w:pos="8296"/>
            </w:tabs>
            <w:rPr>
              <w:sz w:val="21"/>
              <w:szCs w:val="24"/>
            </w:rPr>
          </w:pPr>
          <w:r>
            <w:rPr>
              <w:sz w:val="21"/>
              <w:szCs w:val="24"/>
            </w:rPr>
            <w:fldChar w:fldCharType="begin"/>
          </w:r>
          <w:r>
            <w:rPr>
              <w:sz w:val="21"/>
              <w:szCs w:val="24"/>
            </w:rPr>
            <w:instrText xml:space="preserve"> HYPERLINK \l _Toc30065 </w:instrText>
          </w:r>
          <w:r>
            <w:rPr>
              <w:sz w:val="21"/>
              <w:szCs w:val="24"/>
            </w:rPr>
            <w:fldChar w:fldCharType="separate"/>
          </w:r>
          <w:r>
            <w:rPr>
              <w:rFonts w:hint="default" w:ascii="黑体" w:eastAsia="黑体"/>
              <w:sz w:val="21"/>
              <w:szCs w:val="24"/>
            </w:rPr>
            <w:t xml:space="preserve">二、 </w:t>
          </w:r>
          <w:r>
            <w:rPr>
              <w:rFonts w:hint="eastAsia" w:ascii="黑体" w:eastAsia="黑体"/>
              <w:sz w:val="21"/>
              <w:szCs w:val="32"/>
            </w:rPr>
            <w:t>收</w:t>
          </w:r>
          <w:r>
            <w:rPr>
              <w:rFonts w:hint="eastAsia" w:ascii="黑体" w:eastAsia="黑体"/>
              <w:sz w:val="21"/>
              <w:szCs w:val="24"/>
            </w:rPr>
            <w:t>入决算情况说明</w:t>
          </w:r>
          <w:r>
            <w:rPr>
              <w:sz w:val="21"/>
              <w:szCs w:val="24"/>
            </w:rPr>
            <w:tab/>
          </w:r>
          <w:r>
            <w:rPr>
              <w:sz w:val="21"/>
              <w:szCs w:val="24"/>
            </w:rPr>
            <w:fldChar w:fldCharType="begin"/>
          </w:r>
          <w:r>
            <w:rPr>
              <w:sz w:val="21"/>
              <w:szCs w:val="24"/>
            </w:rPr>
            <w:instrText xml:space="preserve"> PAGEREF _Toc30065 </w:instrText>
          </w:r>
          <w:r>
            <w:rPr>
              <w:sz w:val="21"/>
              <w:szCs w:val="24"/>
            </w:rPr>
            <w:fldChar w:fldCharType="separate"/>
          </w:r>
          <w:r>
            <w:rPr>
              <w:sz w:val="21"/>
              <w:szCs w:val="24"/>
            </w:rPr>
            <w:t>10</w:t>
          </w:r>
          <w:r>
            <w:rPr>
              <w:sz w:val="21"/>
              <w:szCs w:val="24"/>
            </w:rPr>
            <w:fldChar w:fldCharType="end"/>
          </w:r>
          <w:r>
            <w:rPr>
              <w:sz w:val="21"/>
              <w:szCs w:val="24"/>
            </w:rPr>
            <w:fldChar w:fldCharType="end"/>
          </w:r>
        </w:p>
        <w:p w14:paraId="04BA0586">
          <w:pPr>
            <w:pStyle w:val="16"/>
            <w:tabs>
              <w:tab w:val="right" w:leader="dot" w:pos="8306"/>
              <w:tab w:val="clear" w:pos="8296"/>
            </w:tabs>
            <w:rPr>
              <w:sz w:val="21"/>
              <w:szCs w:val="24"/>
            </w:rPr>
          </w:pPr>
          <w:r>
            <w:rPr>
              <w:sz w:val="21"/>
              <w:szCs w:val="24"/>
            </w:rPr>
            <w:fldChar w:fldCharType="begin"/>
          </w:r>
          <w:r>
            <w:rPr>
              <w:sz w:val="21"/>
              <w:szCs w:val="24"/>
            </w:rPr>
            <w:instrText xml:space="preserve"> HYPERLINK \l _Toc1696 </w:instrText>
          </w:r>
          <w:r>
            <w:rPr>
              <w:sz w:val="21"/>
              <w:szCs w:val="24"/>
            </w:rPr>
            <w:fldChar w:fldCharType="separate"/>
          </w:r>
          <w:r>
            <w:rPr>
              <w:rFonts w:hint="default" w:ascii="黑体" w:eastAsia="黑体"/>
              <w:sz w:val="21"/>
              <w:szCs w:val="24"/>
            </w:rPr>
            <w:t xml:space="preserve">三、 </w:t>
          </w:r>
          <w:r>
            <w:rPr>
              <w:rFonts w:hint="eastAsia" w:ascii="黑体" w:eastAsia="黑体"/>
              <w:sz w:val="21"/>
              <w:szCs w:val="32"/>
            </w:rPr>
            <w:t>支</w:t>
          </w:r>
          <w:r>
            <w:rPr>
              <w:rFonts w:hint="eastAsia" w:ascii="黑体" w:eastAsia="黑体"/>
              <w:sz w:val="21"/>
              <w:szCs w:val="24"/>
            </w:rPr>
            <w:t>出决算情况说明</w:t>
          </w:r>
          <w:r>
            <w:rPr>
              <w:sz w:val="21"/>
              <w:szCs w:val="24"/>
            </w:rPr>
            <w:tab/>
          </w:r>
          <w:r>
            <w:rPr>
              <w:sz w:val="21"/>
              <w:szCs w:val="24"/>
            </w:rPr>
            <w:fldChar w:fldCharType="begin"/>
          </w:r>
          <w:r>
            <w:rPr>
              <w:sz w:val="21"/>
              <w:szCs w:val="24"/>
            </w:rPr>
            <w:instrText xml:space="preserve"> PAGEREF _Toc1696 </w:instrText>
          </w:r>
          <w:r>
            <w:rPr>
              <w:sz w:val="21"/>
              <w:szCs w:val="24"/>
            </w:rPr>
            <w:fldChar w:fldCharType="separate"/>
          </w:r>
          <w:r>
            <w:rPr>
              <w:sz w:val="21"/>
              <w:szCs w:val="24"/>
            </w:rPr>
            <w:t>11</w:t>
          </w:r>
          <w:r>
            <w:rPr>
              <w:sz w:val="21"/>
              <w:szCs w:val="24"/>
            </w:rPr>
            <w:fldChar w:fldCharType="end"/>
          </w:r>
          <w:r>
            <w:rPr>
              <w:sz w:val="21"/>
              <w:szCs w:val="24"/>
            </w:rPr>
            <w:fldChar w:fldCharType="end"/>
          </w:r>
        </w:p>
        <w:p w14:paraId="3BCA3D27">
          <w:pPr>
            <w:pStyle w:val="16"/>
            <w:tabs>
              <w:tab w:val="right" w:leader="dot" w:pos="8306"/>
              <w:tab w:val="clear" w:pos="8296"/>
            </w:tabs>
            <w:rPr>
              <w:sz w:val="21"/>
              <w:szCs w:val="24"/>
            </w:rPr>
          </w:pPr>
          <w:r>
            <w:rPr>
              <w:sz w:val="21"/>
              <w:szCs w:val="24"/>
            </w:rPr>
            <w:fldChar w:fldCharType="begin"/>
          </w:r>
          <w:r>
            <w:rPr>
              <w:sz w:val="21"/>
              <w:szCs w:val="24"/>
            </w:rPr>
            <w:instrText xml:space="preserve"> HYPERLINK \l _Toc30089 </w:instrText>
          </w:r>
          <w:r>
            <w:rPr>
              <w:sz w:val="21"/>
              <w:szCs w:val="24"/>
            </w:rPr>
            <w:fldChar w:fldCharType="separate"/>
          </w:r>
          <w:r>
            <w:rPr>
              <w:rFonts w:hint="eastAsia" w:ascii="黑体" w:eastAsia="黑体"/>
              <w:sz w:val="21"/>
              <w:szCs w:val="32"/>
            </w:rPr>
            <w:t>四、财</w:t>
          </w:r>
          <w:r>
            <w:rPr>
              <w:rFonts w:hint="eastAsia" w:ascii="黑体" w:eastAsia="黑体"/>
              <w:sz w:val="21"/>
              <w:szCs w:val="24"/>
            </w:rPr>
            <w:t>政拨款收入支出决算总体情况说明</w:t>
          </w:r>
          <w:r>
            <w:rPr>
              <w:sz w:val="21"/>
              <w:szCs w:val="24"/>
            </w:rPr>
            <w:tab/>
          </w:r>
          <w:r>
            <w:rPr>
              <w:sz w:val="21"/>
              <w:szCs w:val="24"/>
            </w:rPr>
            <w:fldChar w:fldCharType="begin"/>
          </w:r>
          <w:r>
            <w:rPr>
              <w:sz w:val="21"/>
              <w:szCs w:val="24"/>
            </w:rPr>
            <w:instrText xml:space="preserve"> PAGEREF _Toc30089 </w:instrText>
          </w:r>
          <w:r>
            <w:rPr>
              <w:sz w:val="21"/>
              <w:szCs w:val="24"/>
            </w:rPr>
            <w:fldChar w:fldCharType="separate"/>
          </w:r>
          <w:r>
            <w:rPr>
              <w:sz w:val="21"/>
              <w:szCs w:val="24"/>
            </w:rPr>
            <w:t>11</w:t>
          </w:r>
          <w:r>
            <w:rPr>
              <w:sz w:val="21"/>
              <w:szCs w:val="24"/>
            </w:rPr>
            <w:fldChar w:fldCharType="end"/>
          </w:r>
          <w:r>
            <w:rPr>
              <w:sz w:val="21"/>
              <w:szCs w:val="24"/>
            </w:rPr>
            <w:fldChar w:fldCharType="end"/>
          </w:r>
        </w:p>
        <w:p w14:paraId="507A077A">
          <w:pPr>
            <w:pStyle w:val="16"/>
            <w:tabs>
              <w:tab w:val="right" w:leader="dot" w:pos="8306"/>
              <w:tab w:val="clear" w:pos="8296"/>
            </w:tabs>
            <w:rPr>
              <w:sz w:val="21"/>
              <w:szCs w:val="24"/>
            </w:rPr>
          </w:pPr>
          <w:r>
            <w:rPr>
              <w:sz w:val="21"/>
              <w:szCs w:val="24"/>
            </w:rPr>
            <w:fldChar w:fldCharType="begin"/>
          </w:r>
          <w:r>
            <w:rPr>
              <w:sz w:val="21"/>
              <w:szCs w:val="24"/>
            </w:rPr>
            <w:instrText xml:space="preserve"> HYPERLINK \l _Toc31712 </w:instrText>
          </w:r>
          <w:r>
            <w:rPr>
              <w:sz w:val="21"/>
              <w:szCs w:val="24"/>
            </w:rPr>
            <w:fldChar w:fldCharType="separate"/>
          </w:r>
          <w:r>
            <w:rPr>
              <w:rFonts w:hint="eastAsia" w:ascii="黑体" w:eastAsia="黑体"/>
              <w:sz w:val="21"/>
              <w:szCs w:val="32"/>
            </w:rPr>
            <w:t>五、一</w:t>
          </w:r>
          <w:r>
            <w:rPr>
              <w:rFonts w:hint="eastAsia" w:ascii="黑体" w:eastAsia="黑体"/>
              <w:sz w:val="21"/>
              <w:szCs w:val="24"/>
            </w:rPr>
            <w:t>般公共预算财政拨款支出决算情况说明</w:t>
          </w:r>
          <w:r>
            <w:rPr>
              <w:sz w:val="21"/>
              <w:szCs w:val="24"/>
            </w:rPr>
            <w:tab/>
          </w:r>
          <w:r>
            <w:rPr>
              <w:sz w:val="21"/>
              <w:szCs w:val="24"/>
            </w:rPr>
            <w:fldChar w:fldCharType="begin"/>
          </w:r>
          <w:r>
            <w:rPr>
              <w:sz w:val="21"/>
              <w:szCs w:val="24"/>
            </w:rPr>
            <w:instrText xml:space="preserve"> PAGEREF _Toc31712 </w:instrText>
          </w:r>
          <w:r>
            <w:rPr>
              <w:sz w:val="21"/>
              <w:szCs w:val="24"/>
            </w:rPr>
            <w:fldChar w:fldCharType="separate"/>
          </w:r>
          <w:r>
            <w:rPr>
              <w:sz w:val="21"/>
              <w:szCs w:val="24"/>
            </w:rPr>
            <w:t>12</w:t>
          </w:r>
          <w:r>
            <w:rPr>
              <w:sz w:val="21"/>
              <w:szCs w:val="24"/>
            </w:rPr>
            <w:fldChar w:fldCharType="end"/>
          </w:r>
          <w:r>
            <w:rPr>
              <w:sz w:val="21"/>
              <w:szCs w:val="24"/>
            </w:rPr>
            <w:fldChar w:fldCharType="end"/>
          </w:r>
        </w:p>
        <w:p w14:paraId="7B2B3414">
          <w:pPr>
            <w:pStyle w:val="10"/>
            <w:tabs>
              <w:tab w:val="right" w:leader="dot" w:pos="8306"/>
              <w:tab w:val="clear" w:pos="8296"/>
            </w:tabs>
            <w:rPr>
              <w:sz w:val="21"/>
              <w:szCs w:val="24"/>
            </w:rPr>
          </w:pPr>
          <w:r>
            <w:rPr>
              <w:sz w:val="21"/>
              <w:szCs w:val="24"/>
            </w:rPr>
            <w:fldChar w:fldCharType="begin"/>
          </w:r>
          <w:r>
            <w:rPr>
              <w:sz w:val="21"/>
              <w:szCs w:val="24"/>
            </w:rPr>
            <w:instrText xml:space="preserve"> HYPERLINK \l _Toc30165 </w:instrText>
          </w:r>
          <w:r>
            <w:rPr>
              <w:sz w:val="21"/>
              <w:szCs w:val="24"/>
            </w:rPr>
            <w:fldChar w:fldCharType="separate"/>
          </w:r>
          <w:r>
            <w:rPr>
              <w:rFonts w:hint="eastAsia" w:ascii="仿宋" w:eastAsia="仿宋"/>
              <w:sz w:val="21"/>
              <w:szCs w:val="32"/>
            </w:rPr>
            <w:t>（一）一般公共预算财政拨款支出决算总体情况</w:t>
          </w:r>
          <w:r>
            <w:rPr>
              <w:sz w:val="21"/>
              <w:szCs w:val="24"/>
            </w:rPr>
            <w:tab/>
          </w:r>
          <w:r>
            <w:rPr>
              <w:sz w:val="21"/>
              <w:szCs w:val="24"/>
            </w:rPr>
            <w:fldChar w:fldCharType="begin"/>
          </w:r>
          <w:r>
            <w:rPr>
              <w:sz w:val="21"/>
              <w:szCs w:val="24"/>
            </w:rPr>
            <w:instrText xml:space="preserve"> PAGEREF _Toc30165 </w:instrText>
          </w:r>
          <w:r>
            <w:rPr>
              <w:sz w:val="21"/>
              <w:szCs w:val="24"/>
            </w:rPr>
            <w:fldChar w:fldCharType="separate"/>
          </w:r>
          <w:r>
            <w:rPr>
              <w:sz w:val="21"/>
              <w:szCs w:val="24"/>
            </w:rPr>
            <w:t>12</w:t>
          </w:r>
          <w:r>
            <w:rPr>
              <w:sz w:val="21"/>
              <w:szCs w:val="24"/>
            </w:rPr>
            <w:fldChar w:fldCharType="end"/>
          </w:r>
          <w:r>
            <w:rPr>
              <w:sz w:val="21"/>
              <w:szCs w:val="24"/>
            </w:rPr>
            <w:fldChar w:fldCharType="end"/>
          </w:r>
        </w:p>
        <w:p w14:paraId="762DD5D2">
          <w:pPr>
            <w:pStyle w:val="10"/>
            <w:tabs>
              <w:tab w:val="right" w:leader="dot" w:pos="8306"/>
              <w:tab w:val="clear" w:pos="8296"/>
            </w:tabs>
            <w:rPr>
              <w:sz w:val="21"/>
              <w:szCs w:val="24"/>
            </w:rPr>
          </w:pPr>
          <w:r>
            <w:rPr>
              <w:sz w:val="21"/>
              <w:szCs w:val="24"/>
            </w:rPr>
            <w:fldChar w:fldCharType="begin"/>
          </w:r>
          <w:r>
            <w:rPr>
              <w:sz w:val="21"/>
              <w:szCs w:val="24"/>
            </w:rPr>
            <w:instrText xml:space="preserve"> HYPERLINK \l _Toc19381 </w:instrText>
          </w:r>
          <w:r>
            <w:rPr>
              <w:sz w:val="21"/>
              <w:szCs w:val="24"/>
            </w:rPr>
            <w:fldChar w:fldCharType="separate"/>
          </w:r>
          <w:r>
            <w:rPr>
              <w:rFonts w:hint="eastAsia" w:ascii="仿宋" w:eastAsia="仿宋"/>
              <w:sz w:val="21"/>
              <w:szCs w:val="32"/>
            </w:rPr>
            <w:t>（二）一般公共预算财政拨款支出决算结构情况</w:t>
          </w:r>
          <w:r>
            <w:rPr>
              <w:sz w:val="21"/>
              <w:szCs w:val="24"/>
            </w:rPr>
            <w:tab/>
          </w:r>
          <w:r>
            <w:rPr>
              <w:sz w:val="21"/>
              <w:szCs w:val="24"/>
            </w:rPr>
            <w:fldChar w:fldCharType="begin"/>
          </w:r>
          <w:r>
            <w:rPr>
              <w:sz w:val="21"/>
              <w:szCs w:val="24"/>
            </w:rPr>
            <w:instrText xml:space="preserve"> PAGEREF _Toc19381 </w:instrText>
          </w:r>
          <w:r>
            <w:rPr>
              <w:sz w:val="21"/>
              <w:szCs w:val="24"/>
            </w:rPr>
            <w:fldChar w:fldCharType="separate"/>
          </w:r>
          <w:r>
            <w:rPr>
              <w:sz w:val="21"/>
              <w:szCs w:val="24"/>
            </w:rPr>
            <w:t>12</w:t>
          </w:r>
          <w:r>
            <w:rPr>
              <w:sz w:val="21"/>
              <w:szCs w:val="24"/>
            </w:rPr>
            <w:fldChar w:fldCharType="end"/>
          </w:r>
          <w:r>
            <w:rPr>
              <w:sz w:val="21"/>
              <w:szCs w:val="24"/>
            </w:rPr>
            <w:fldChar w:fldCharType="end"/>
          </w:r>
        </w:p>
        <w:p w14:paraId="630004B5">
          <w:pPr>
            <w:pStyle w:val="10"/>
            <w:tabs>
              <w:tab w:val="right" w:leader="dot" w:pos="8306"/>
              <w:tab w:val="clear" w:pos="8296"/>
            </w:tabs>
            <w:rPr>
              <w:sz w:val="21"/>
              <w:szCs w:val="24"/>
            </w:rPr>
          </w:pPr>
          <w:r>
            <w:rPr>
              <w:sz w:val="21"/>
              <w:szCs w:val="24"/>
            </w:rPr>
            <w:fldChar w:fldCharType="begin"/>
          </w:r>
          <w:r>
            <w:rPr>
              <w:sz w:val="21"/>
              <w:szCs w:val="24"/>
            </w:rPr>
            <w:instrText xml:space="preserve"> HYPERLINK \l _Toc32455 </w:instrText>
          </w:r>
          <w:r>
            <w:rPr>
              <w:sz w:val="21"/>
              <w:szCs w:val="24"/>
            </w:rPr>
            <w:fldChar w:fldCharType="separate"/>
          </w:r>
          <w:r>
            <w:rPr>
              <w:rFonts w:hint="eastAsia" w:ascii="仿宋" w:eastAsia="仿宋"/>
              <w:sz w:val="21"/>
              <w:szCs w:val="32"/>
            </w:rPr>
            <w:t>（三）一般公共预算财政拨款支出决算具体情况</w:t>
          </w:r>
          <w:r>
            <w:rPr>
              <w:sz w:val="21"/>
              <w:szCs w:val="24"/>
            </w:rPr>
            <w:tab/>
          </w:r>
          <w:r>
            <w:rPr>
              <w:sz w:val="21"/>
              <w:szCs w:val="24"/>
            </w:rPr>
            <w:fldChar w:fldCharType="begin"/>
          </w:r>
          <w:r>
            <w:rPr>
              <w:sz w:val="21"/>
              <w:szCs w:val="24"/>
            </w:rPr>
            <w:instrText xml:space="preserve"> PAGEREF _Toc32455 </w:instrText>
          </w:r>
          <w:r>
            <w:rPr>
              <w:sz w:val="21"/>
              <w:szCs w:val="24"/>
            </w:rPr>
            <w:fldChar w:fldCharType="separate"/>
          </w:r>
          <w:r>
            <w:rPr>
              <w:sz w:val="21"/>
              <w:szCs w:val="24"/>
            </w:rPr>
            <w:t>13</w:t>
          </w:r>
          <w:r>
            <w:rPr>
              <w:sz w:val="21"/>
              <w:szCs w:val="24"/>
            </w:rPr>
            <w:fldChar w:fldCharType="end"/>
          </w:r>
          <w:r>
            <w:rPr>
              <w:sz w:val="21"/>
              <w:szCs w:val="24"/>
            </w:rPr>
            <w:fldChar w:fldCharType="end"/>
          </w:r>
        </w:p>
        <w:p w14:paraId="05BE7C86">
          <w:pPr>
            <w:pStyle w:val="16"/>
            <w:tabs>
              <w:tab w:val="right" w:leader="dot" w:pos="8306"/>
              <w:tab w:val="clear" w:pos="8296"/>
            </w:tabs>
            <w:rPr>
              <w:sz w:val="21"/>
              <w:szCs w:val="24"/>
            </w:rPr>
          </w:pPr>
          <w:r>
            <w:rPr>
              <w:sz w:val="21"/>
              <w:szCs w:val="24"/>
            </w:rPr>
            <w:fldChar w:fldCharType="begin"/>
          </w:r>
          <w:r>
            <w:rPr>
              <w:sz w:val="21"/>
              <w:szCs w:val="24"/>
            </w:rPr>
            <w:instrText xml:space="preserve"> HYPERLINK \l _Toc1575 </w:instrText>
          </w:r>
          <w:r>
            <w:rPr>
              <w:sz w:val="21"/>
              <w:szCs w:val="24"/>
            </w:rPr>
            <w:fldChar w:fldCharType="separate"/>
          </w:r>
          <w:r>
            <w:rPr>
              <w:rFonts w:hint="eastAsia" w:ascii="黑体" w:eastAsia="黑体"/>
              <w:sz w:val="21"/>
              <w:szCs w:val="32"/>
            </w:rPr>
            <w:t>六、一</w:t>
          </w:r>
          <w:r>
            <w:rPr>
              <w:rFonts w:hint="eastAsia" w:ascii="黑体" w:eastAsia="黑体"/>
              <w:sz w:val="21"/>
              <w:szCs w:val="24"/>
            </w:rPr>
            <w:t>般公共预算财政拨款基本支出决算情况说明</w:t>
          </w:r>
          <w:r>
            <w:rPr>
              <w:sz w:val="21"/>
              <w:szCs w:val="24"/>
            </w:rPr>
            <w:tab/>
          </w:r>
          <w:r>
            <w:rPr>
              <w:sz w:val="21"/>
              <w:szCs w:val="24"/>
            </w:rPr>
            <w:fldChar w:fldCharType="begin"/>
          </w:r>
          <w:r>
            <w:rPr>
              <w:sz w:val="21"/>
              <w:szCs w:val="24"/>
            </w:rPr>
            <w:instrText xml:space="preserve"> PAGEREF _Toc1575 </w:instrText>
          </w:r>
          <w:r>
            <w:rPr>
              <w:sz w:val="21"/>
              <w:szCs w:val="24"/>
            </w:rPr>
            <w:fldChar w:fldCharType="separate"/>
          </w:r>
          <w:r>
            <w:rPr>
              <w:sz w:val="21"/>
              <w:szCs w:val="24"/>
            </w:rPr>
            <w:t>15</w:t>
          </w:r>
          <w:r>
            <w:rPr>
              <w:sz w:val="21"/>
              <w:szCs w:val="24"/>
            </w:rPr>
            <w:fldChar w:fldCharType="end"/>
          </w:r>
          <w:r>
            <w:rPr>
              <w:sz w:val="21"/>
              <w:szCs w:val="24"/>
            </w:rPr>
            <w:fldChar w:fldCharType="end"/>
          </w:r>
        </w:p>
        <w:p w14:paraId="3150B4F4">
          <w:pPr>
            <w:pStyle w:val="16"/>
            <w:tabs>
              <w:tab w:val="right" w:leader="dot" w:pos="8306"/>
              <w:tab w:val="clear" w:pos="8296"/>
            </w:tabs>
            <w:rPr>
              <w:sz w:val="21"/>
              <w:szCs w:val="24"/>
            </w:rPr>
          </w:pPr>
          <w:r>
            <w:rPr>
              <w:sz w:val="21"/>
              <w:szCs w:val="24"/>
            </w:rPr>
            <w:fldChar w:fldCharType="begin"/>
          </w:r>
          <w:r>
            <w:rPr>
              <w:sz w:val="21"/>
              <w:szCs w:val="24"/>
            </w:rPr>
            <w:instrText xml:space="preserve"> HYPERLINK \l _Toc244 </w:instrText>
          </w:r>
          <w:r>
            <w:rPr>
              <w:sz w:val="21"/>
              <w:szCs w:val="24"/>
            </w:rPr>
            <w:fldChar w:fldCharType="separate"/>
          </w:r>
          <w:r>
            <w:rPr>
              <w:rFonts w:hint="eastAsia" w:ascii="黑体" w:eastAsia="黑体"/>
              <w:sz w:val="21"/>
              <w:szCs w:val="32"/>
            </w:rPr>
            <w:t>七、</w:t>
          </w:r>
          <w:r>
            <w:rPr>
              <w:rFonts w:hint="eastAsia" w:ascii="黑体" w:eastAsia="黑体"/>
              <w:sz w:val="21"/>
              <w:szCs w:val="24"/>
            </w:rPr>
            <w:t>财政拨款“三公”经费支出决算情况说明</w:t>
          </w:r>
          <w:r>
            <w:rPr>
              <w:sz w:val="21"/>
              <w:szCs w:val="24"/>
            </w:rPr>
            <w:tab/>
          </w:r>
          <w:r>
            <w:rPr>
              <w:sz w:val="21"/>
              <w:szCs w:val="24"/>
            </w:rPr>
            <w:fldChar w:fldCharType="begin"/>
          </w:r>
          <w:r>
            <w:rPr>
              <w:sz w:val="21"/>
              <w:szCs w:val="24"/>
            </w:rPr>
            <w:instrText xml:space="preserve"> PAGEREF _Toc244 </w:instrText>
          </w:r>
          <w:r>
            <w:rPr>
              <w:sz w:val="21"/>
              <w:szCs w:val="24"/>
            </w:rPr>
            <w:fldChar w:fldCharType="separate"/>
          </w:r>
          <w:r>
            <w:rPr>
              <w:sz w:val="21"/>
              <w:szCs w:val="24"/>
            </w:rPr>
            <w:t>16</w:t>
          </w:r>
          <w:r>
            <w:rPr>
              <w:sz w:val="21"/>
              <w:szCs w:val="24"/>
            </w:rPr>
            <w:fldChar w:fldCharType="end"/>
          </w:r>
          <w:r>
            <w:rPr>
              <w:sz w:val="21"/>
              <w:szCs w:val="24"/>
            </w:rPr>
            <w:fldChar w:fldCharType="end"/>
          </w:r>
        </w:p>
        <w:p w14:paraId="5733B754">
          <w:pPr>
            <w:pStyle w:val="10"/>
            <w:tabs>
              <w:tab w:val="right" w:leader="dot" w:pos="8306"/>
              <w:tab w:val="clear" w:pos="8296"/>
            </w:tabs>
            <w:rPr>
              <w:sz w:val="21"/>
              <w:szCs w:val="24"/>
            </w:rPr>
          </w:pPr>
          <w:r>
            <w:rPr>
              <w:sz w:val="21"/>
              <w:szCs w:val="24"/>
            </w:rPr>
            <w:fldChar w:fldCharType="begin"/>
          </w:r>
          <w:r>
            <w:rPr>
              <w:sz w:val="21"/>
              <w:szCs w:val="24"/>
            </w:rPr>
            <w:instrText xml:space="preserve"> HYPERLINK \l _Toc10423 </w:instrText>
          </w:r>
          <w:r>
            <w:rPr>
              <w:sz w:val="21"/>
              <w:szCs w:val="24"/>
            </w:rPr>
            <w:fldChar w:fldCharType="separate"/>
          </w:r>
          <w:r>
            <w:rPr>
              <w:rFonts w:hint="eastAsia" w:ascii="仿宋" w:eastAsia="仿宋"/>
              <w:sz w:val="21"/>
              <w:szCs w:val="32"/>
            </w:rPr>
            <w:t>（一）“三公”经费财政拨款支出决算总体情况说明</w:t>
          </w:r>
          <w:r>
            <w:rPr>
              <w:sz w:val="21"/>
              <w:szCs w:val="24"/>
            </w:rPr>
            <w:tab/>
          </w:r>
          <w:r>
            <w:rPr>
              <w:sz w:val="21"/>
              <w:szCs w:val="24"/>
            </w:rPr>
            <w:fldChar w:fldCharType="begin"/>
          </w:r>
          <w:r>
            <w:rPr>
              <w:sz w:val="21"/>
              <w:szCs w:val="24"/>
            </w:rPr>
            <w:instrText xml:space="preserve"> PAGEREF _Toc10423 </w:instrText>
          </w:r>
          <w:r>
            <w:rPr>
              <w:sz w:val="21"/>
              <w:szCs w:val="24"/>
            </w:rPr>
            <w:fldChar w:fldCharType="separate"/>
          </w:r>
          <w:r>
            <w:rPr>
              <w:sz w:val="21"/>
              <w:szCs w:val="24"/>
            </w:rPr>
            <w:t>16</w:t>
          </w:r>
          <w:r>
            <w:rPr>
              <w:sz w:val="21"/>
              <w:szCs w:val="24"/>
            </w:rPr>
            <w:fldChar w:fldCharType="end"/>
          </w:r>
          <w:r>
            <w:rPr>
              <w:sz w:val="21"/>
              <w:szCs w:val="24"/>
            </w:rPr>
            <w:fldChar w:fldCharType="end"/>
          </w:r>
        </w:p>
        <w:p w14:paraId="26AFBC8F">
          <w:pPr>
            <w:pStyle w:val="10"/>
            <w:tabs>
              <w:tab w:val="right" w:leader="dot" w:pos="8306"/>
              <w:tab w:val="clear" w:pos="8296"/>
            </w:tabs>
            <w:rPr>
              <w:sz w:val="21"/>
              <w:szCs w:val="24"/>
            </w:rPr>
          </w:pPr>
          <w:r>
            <w:rPr>
              <w:sz w:val="21"/>
              <w:szCs w:val="24"/>
            </w:rPr>
            <w:fldChar w:fldCharType="begin"/>
          </w:r>
          <w:r>
            <w:rPr>
              <w:sz w:val="21"/>
              <w:szCs w:val="24"/>
            </w:rPr>
            <w:instrText xml:space="preserve"> HYPERLINK \l _Toc14368 </w:instrText>
          </w:r>
          <w:r>
            <w:rPr>
              <w:sz w:val="21"/>
              <w:szCs w:val="24"/>
            </w:rPr>
            <w:fldChar w:fldCharType="separate"/>
          </w:r>
          <w:r>
            <w:rPr>
              <w:rFonts w:hint="eastAsia" w:ascii="仿宋" w:eastAsia="仿宋"/>
              <w:sz w:val="21"/>
              <w:szCs w:val="32"/>
            </w:rPr>
            <w:t>（二）“三公”经费财政拨款支出决算具体情况说明</w:t>
          </w:r>
          <w:r>
            <w:rPr>
              <w:sz w:val="21"/>
              <w:szCs w:val="24"/>
            </w:rPr>
            <w:tab/>
          </w:r>
          <w:r>
            <w:rPr>
              <w:sz w:val="21"/>
              <w:szCs w:val="24"/>
            </w:rPr>
            <w:fldChar w:fldCharType="begin"/>
          </w:r>
          <w:r>
            <w:rPr>
              <w:sz w:val="21"/>
              <w:szCs w:val="24"/>
            </w:rPr>
            <w:instrText xml:space="preserve"> PAGEREF _Toc14368 </w:instrText>
          </w:r>
          <w:r>
            <w:rPr>
              <w:sz w:val="21"/>
              <w:szCs w:val="24"/>
            </w:rPr>
            <w:fldChar w:fldCharType="separate"/>
          </w:r>
          <w:r>
            <w:rPr>
              <w:sz w:val="21"/>
              <w:szCs w:val="24"/>
            </w:rPr>
            <w:t>16</w:t>
          </w:r>
          <w:r>
            <w:rPr>
              <w:sz w:val="21"/>
              <w:szCs w:val="24"/>
            </w:rPr>
            <w:fldChar w:fldCharType="end"/>
          </w:r>
          <w:r>
            <w:rPr>
              <w:sz w:val="21"/>
              <w:szCs w:val="24"/>
            </w:rPr>
            <w:fldChar w:fldCharType="end"/>
          </w:r>
        </w:p>
        <w:p w14:paraId="6A3CBE94">
          <w:pPr>
            <w:pStyle w:val="16"/>
            <w:tabs>
              <w:tab w:val="right" w:leader="dot" w:pos="8306"/>
              <w:tab w:val="clear" w:pos="8296"/>
            </w:tabs>
            <w:rPr>
              <w:sz w:val="21"/>
              <w:szCs w:val="24"/>
            </w:rPr>
          </w:pPr>
          <w:r>
            <w:rPr>
              <w:sz w:val="21"/>
              <w:szCs w:val="24"/>
            </w:rPr>
            <w:fldChar w:fldCharType="begin"/>
          </w:r>
          <w:r>
            <w:rPr>
              <w:sz w:val="21"/>
              <w:szCs w:val="24"/>
            </w:rPr>
            <w:instrText xml:space="preserve"> HYPERLINK \l _Toc18495 </w:instrText>
          </w:r>
          <w:r>
            <w:rPr>
              <w:sz w:val="21"/>
              <w:szCs w:val="24"/>
            </w:rPr>
            <w:fldChar w:fldCharType="separate"/>
          </w:r>
          <w:r>
            <w:rPr>
              <w:rFonts w:hint="eastAsia" w:ascii="黑体" w:eastAsia="黑体"/>
              <w:sz w:val="21"/>
              <w:szCs w:val="32"/>
            </w:rPr>
            <w:t>八、</w:t>
          </w:r>
          <w:r>
            <w:rPr>
              <w:rFonts w:hint="eastAsia" w:ascii="黑体" w:eastAsia="黑体"/>
              <w:sz w:val="21"/>
              <w:szCs w:val="24"/>
            </w:rPr>
            <w:t>政府性基金预算支出决算情况说明</w:t>
          </w:r>
          <w:r>
            <w:rPr>
              <w:sz w:val="21"/>
              <w:szCs w:val="24"/>
            </w:rPr>
            <w:tab/>
          </w:r>
          <w:r>
            <w:rPr>
              <w:sz w:val="21"/>
              <w:szCs w:val="24"/>
            </w:rPr>
            <w:fldChar w:fldCharType="begin"/>
          </w:r>
          <w:r>
            <w:rPr>
              <w:sz w:val="21"/>
              <w:szCs w:val="24"/>
            </w:rPr>
            <w:instrText xml:space="preserve"> PAGEREF _Toc18495 </w:instrText>
          </w:r>
          <w:r>
            <w:rPr>
              <w:sz w:val="21"/>
              <w:szCs w:val="24"/>
            </w:rPr>
            <w:fldChar w:fldCharType="separate"/>
          </w:r>
          <w:r>
            <w:rPr>
              <w:sz w:val="21"/>
              <w:szCs w:val="24"/>
            </w:rPr>
            <w:t>18</w:t>
          </w:r>
          <w:r>
            <w:rPr>
              <w:sz w:val="21"/>
              <w:szCs w:val="24"/>
            </w:rPr>
            <w:fldChar w:fldCharType="end"/>
          </w:r>
          <w:r>
            <w:rPr>
              <w:sz w:val="21"/>
              <w:szCs w:val="24"/>
            </w:rPr>
            <w:fldChar w:fldCharType="end"/>
          </w:r>
        </w:p>
        <w:p w14:paraId="694F3C6B">
          <w:pPr>
            <w:pStyle w:val="16"/>
            <w:tabs>
              <w:tab w:val="right" w:leader="dot" w:pos="8306"/>
              <w:tab w:val="clear" w:pos="8296"/>
            </w:tabs>
            <w:rPr>
              <w:sz w:val="21"/>
              <w:szCs w:val="24"/>
            </w:rPr>
          </w:pPr>
          <w:r>
            <w:rPr>
              <w:sz w:val="21"/>
              <w:szCs w:val="24"/>
            </w:rPr>
            <w:fldChar w:fldCharType="begin"/>
          </w:r>
          <w:r>
            <w:rPr>
              <w:sz w:val="21"/>
              <w:szCs w:val="24"/>
            </w:rPr>
            <w:instrText xml:space="preserve"> HYPERLINK \l _Toc9602 </w:instrText>
          </w:r>
          <w:r>
            <w:rPr>
              <w:sz w:val="21"/>
              <w:szCs w:val="24"/>
            </w:rPr>
            <w:fldChar w:fldCharType="separate"/>
          </w:r>
          <w:r>
            <w:rPr>
              <w:rFonts w:hint="eastAsia" w:ascii="黑体" w:eastAsia="黑体"/>
              <w:sz w:val="21"/>
              <w:szCs w:val="24"/>
            </w:rPr>
            <w:t>九、 国有资本经营预算支出决算情况说明</w:t>
          </w:r>
          <w:r>
            <w:rPr>
              <w:sz w:val="21"/>
              <w:szCs w:val="24"/>
            </w:rPr>
            <w:tab/>
          </w:r>
          <w:r>
            <w:rPr>
              <w:sz w:val="21"/>
              <w:szCs w:val="24"/>
            </w:rPr>
            <w:fldChar w:fldCharType="begin"/>
          </w:r>
          <w:r>
            <w:rPr>
              <w:sz w:val="21"/>
              <w:szCs w:val="24"/>
            </w:rPr>
            <w:instrText xml:space="preserve"> PAGEREF _Toc9602 </w:instrText>
          </w:r>
          <w:r>
            <w:rPr>
              <w:sz w:val="21"/>
              <w:szCs w:val="24"/>
            </w:rPr>
            <w:fldChar w:fldCharType="separate"/>
          </w:r>
          <w:r>
            <w:rPr>
              <w:sz w:val="21"/>
              <w:szCs w:val="24"/>
            </w:rPr>
            <w:t>18</w:t>
          </w:r>
          <w:r>
            <w:rPr>
              <w:sz w:val="21"/>
              <w:szCs w:val="24"/>
            </w:rPr>
            <w:fldChar w:fldCharType="end"/>
          </w:r>
          <w:r>
            <w:rPr>
              <w:sz w:val="21"/>
              <w:szCs w:val="24"/>
            </w:rPr>
            <w:fldChar w:fldCharType="end"/>
          </w:r>
        </w:p>
        <w:p w14:paraId="67B36032">
          <w:pPr>
            <w:pStyle w:val="16"/>
            <w:tabs>
              <w:tab w:val="right" w:leader="dot" w:pos="8306"/>
              <w:tab w:val="clear" w:pos="8296"/>
            </w:tabs>
            <w:rPr>
              <w:sz w:val="21"/>
              <w:szCs w:val="24"/>
            </w:rPr>
          </w:pPr>
          <w:r>
            <w:rPr>
              <w:sz w:val="21"/>
              <w:szCs w:val="24"/>
            </w:rPr>
            <w:fldChar w:fldCharType="begin"/>
          </w:r>
          <w:r>
            <w:rPr>
              <w:sz w:val="21"/>
              <w:szCs w:val="24"/>
            </w:rPr>
            <w:instrText xml:space="preserve"> HYPERLINK \l _Toc19142 </w:instrText>
          </w:r>
          <w:r>
            <w:rPr>
              <w:sz w:val="21"/>
              <w:szCs w:val="24"/>
            </w:rPr>
            <w:fldChar w:fldCharType="separate"/>
          </w:r>
          <w:r>
            <w:rPr>
              <w:rFonts w:hint="eastAsia" w:ascii="黑体" w:eastAsia="黑体"/>
              <w:sz w:val="21"/>
              <w:szCs w:val="24"/>
            </w:rPr>
            <w:t>十、 其他重要事项的情况说明</w:t>
          </w:r>
          <w:r>
            <w:rPr>
              <w:sz w:val="21"/>
              <w:szCs w:val="24"/>
            </w:rPr>
            <w:tab/>
          </w:r>
          <w:r>
            <w:rPr>
              <w:sz w:val="21"/>
              <w:szCs w:val="24"/>
            </w:rPr>
            <w:fldChar w:fldCharType="begin"/>
          </w:r>
          <w:r>
            <w:rPr>
              <w:sz w:val="21"/>
              <w:szCs w:val="24"/>
            </w:rPr>
            <w:instrText xml:space="preserve"> PAGEREF _Toc19142 </w:instrText>
          </w:r>
          <w:r>
            <w:rPr>
              <w:sz w:val="21"/>
              <w:szCs w:val="24"/>
            </w:rPr>
            <w:fldChar w:fldCharType="separate"/>
          </w:r>
          <w:r>
            <w:rPr>
              <w:sz w:val="21"/>
              <w:szCs w:val="24"/>
            </w:rPr>
            <w:t>18</w:t>
          </w:r>
          <w:r>
            <w:rPr>
              <w:sz w:val="21"/>
              <w:szCs w:val="24"/>
            </w:rPr>
            <w:fldChar w:fldCharType="end"/>
          </w:r>
          <w:r>
            <w:rPr>
              <w:sz w:val="21"/>
              <w:szCs w:val="24"/>
            </w:rPr>
            <w:fldChar w:fldCharType="end"/>
          </w:r>
        </w:p>
        <w:p w14:paraId="57CBA861">
          <w:pPr>
            <w:pStyle w:val="10"/>
            <w:tabs>
              <w:tab w:val="right" w:leader="dot" w:pos="8306"/>
              <w:tab w:val="clear" w:pos="8296"/>
            </w:tabs>
            <w:rPr>
              <w:sz w:val="21"/>
              <w:szCs w:val="24"/>
            </w:rPr>
          </w:pPr>
          <w:r>
            <w:rPr>
              <w:sz w:val="21"/>
              <w:szCs w:val="24"/>
            </w:rPr>
            <w:fldChar w:fldCharType="begin"/>
          </w:r>
          <w:r>
            <w:rPr>
              <w:sz w:val="21"/>
              <w:szCs w:val="24"/>
            </w:rPr>
            <w:instrText xml:space="preserve"> HYPERLINK \l _Toc12802 </w:instrText>
          </w:r>
          <w:r>
            <w:rPr>
              <w:sz w:val="21"/>
              <w:szCs w:val="24"/>
            </w:rPr>
            <w:fldChar w:fldCharType="separate"/>
          </w:r>
          <w:r>
            <w:rPr>
              <w:rFonts w:hint="eastAsia" w:ascii="仿宋" w:eastAsia="仿宋"/>
              <w:sz w:val="21"/>
              <w:szCs w:val="32"/>
            </w:rPr>
            <w:t>（一）机关运行经费支出情况</w:t>
          </w:r>
          <w:r>
            <w:rPr>
              <w:sz w:val="21"/>
              <w:szCs w:val="24"/>
            </w:rPr>
            <w:tab/>
          </w:r>
          <w:r>
            <w:rPr>
              <w:sz w:val="21"/>
              <w:szCs w:val="24"/>
            </w:rPr>
            <w:fldChar w:fldCharType="begin"/>
          </w:r>
          <w:r>
            <w:rPr>
              <w:sz w:val="21"/>
              <w:szCs w:val="24"/>
            </w:rPr>
            <w:instrText xml:space="preserve"> PAGEREF _Toc12802 </w:instrText>
          </w:r>
          <w:r>
            <w:rPr>
              <w:sz w:val="21"/>
              <w:szCs w:val="24"/>
            </w:rPr>
            <w:fldChar w:fldCharType="separate"/>
          </w:r>
          <w:r>
            <w:rPr>
              <w:sz w:val="21"/>
              <w:szCs w:val="24"/>
            </w:rPr>
            <w:t>18</w:t>
          </w:r>
          <w:r>
            <w:rPr>
              <w:sz w:val="21"/>
              <w:szCs w:val="24"/>
            </w:rPr>
            <w:fldChar w:fldCharType="end"/>
          </w:r>
          <w:r>
            <w:rPr>
              <w:sz w:val="21"/>
              <w:szCs w:val="24"/>
            </w:rPr>
            <w:fldChar w:fldCharType="end"/>
          </w:r>
        </w:p>
        <w:p w14:paraId="55B1CF26">
          <w:pPr>
            <w:pStyle w:val="10"/>
            <w:tabs>
              <w:tab w:val="right" w:leader="dot" w:pos="8306"/>
              <w:tab w:val="clear" w:pos="8296"/>
            </w:tabs>
            <w:rPr>
              <w:sz w:val="21"/>
              <w:szCs w:val="24"/>
            </w:rPr>
          </w:pPr>
          <w:r>
            <w:rPr>
              <w:sz w:val="21"/>
              <w:szCs w:val="24"/>
            </w:rPr>
            <w:fldChar w:fldCharType="begin"/>
          </w:r>
          <w:r>
            <w:rPr>
              <w:sz w:val="21"/>
              <w:szCs w:val="24"/>
            </w:rPr>
            <w:instrText xml:space="preserve"> HYPERLINK \l _Toc3241 </w:instrText>
          </w:r>
          <w:r>
            <w:rPr>
              <w:sz w:val="21"/>
              <w:szCs w:val="24"/>
            </w:rPr>
            <w:fldChar w:fldCharType="separate"/>
          </w:r>
          <w:r>
            <w:rPr>
              <w:rFonts w:hint="eastAsia" w:ascii="仿宋" w:eastAsia="仿宋"/>
              <w:sz w:val="21"/>
              <w:szCs w:val="32"/>
            </w:rPr>
            <w:t>（二）政府采购支出情况</w:t>
          </w:r>
          <w:r>
            <w:rPr>
              <w:sz w:val="21"/>
              <w:szCs w:val="24"/>
            </w:rPr>
            <w:tab/>
          </w:r>
          <w:r>
            <w:rPr>
              <w:sz w:val="21"/>
              <w:szCs w:val="24"/>
            </w:rPr>
            <w:fldChar w:fldCharType="begin"/>
          </w:r>
          <w:r>
            <w:rPr>
              <w:sz w:val="21"/>
              <w:szCs w:val="24"/>
            </w:rPr>
            <w:instrText xml:space="preserve"> PAGEREF _Toc3241 </w:instrText>
          </w:r>
          <w:r>
            <w:rPr>
              <w:sz w:val="21"/>
              <w:szCs w:val="24"/>
            </w:rPr>
            <w:fldChar w:fldCharType="separate"/>
          </w:r>
          <w:r>
            <w:rPr>
              <w:sz w:val="21"/>
              <w:szCs w:val="24"/>
            </w:rPr>
            <w:t>18</w:t>
          </w:r>
          <w:r>
            <w:rPr>
              <w:sz w:val="21"/>
              <w:szCs w:val="24"/>
            </w:rPr>
            <w:fldChar w:fldCharType="end"/>
          </w:r>
          <w:r>
            <w:rPr>
              <w:sz w:val="21"/>
              <w:szCs w:val="24"/>
            </w:rPr>
            <w:fldChar w:fldCharType="end"/>
          </w:r>
        </w:p>
        <w:p w14:paraId="5157756C">
          <w:pPr>
            <w:pStyle w:val="10"/>
            <w:tabs>
              <w:tab w:val="right" w:leader="dot" w:pos="8306"/>
              <w:tab w:val="clear" w:pos="8296"/>
            </w:tabs>
            <w:rPr>
              <w:sz w:val="21"/>
              <w:szCs w:val="24"/>
            </w:rPr>
          </w:pPr>
          <w:r>
            <w:rPr>
              <w:sz w:val="21"/>
              <w:szCs w:val="24"/>
            </w:rPr>
            <w:fldChar w:fldCharType="begin"/>
          </w:r>
          <w:r>
            <w:rPr>
              <w:sz w:val="21"/>
              <w:szCs w:val="24"/>
            </w:rPr>
            <w:instrText xml:space="preserve"> HYPERLINK \l _Toc19278 </w:instrText>
          </w:r>
          <w:r>
            <w:rPr>
              <w:sz w:val="21"/>
              <w:szCs w:val="24"/>
            </w:rPr>
            <w:fldChar w:fldCharType="separate"/>
          </w:r>
          <w:r>
            <w:rPr>
              <w:rFonts w:hint="eastAsia" w:ascii="仿宋" w:eastAsia="仿宋"/>
              <w:sz w:val="21"/>
              <w:szCs w:val="32"/>
            </w:rPr>
            <w:t>（三）国有资产占有使用情况</w:t>
          </w:r>
          <w:r>
            <w:rPr>
              <w:sz w:val="21"/>
              <w:szCs w:val="24"/>
            </w:rPr>
            <w:tab/>
          </w:r>
          <w:r>
            <w:rPr>
              <w:sz w:val="21"/>
              <w:szCs w:val="24"/>
            </w:rPr>
            <w:fldChar w:fldCharType="begin"/>
          </w:r>
          <w:r>
            <w:rPr>
              <w:sz w:val="21"/>
              <w:szCs w:val="24"/>
            </w:rPr>
            <w:instrText xml:space="preserve"> PAGEREF _Toc19278 </w:instrText>
          </w:r>
          <w:r>
            <w:rPr>
              <w:sz w:val="21"/>
              <w:szCs w:val="24"/>
            </w:rPr>
            <w:fldChar w:fldCharType="separate"/>
          </w:r>
          <w:r>
            <w:rPr>
              <w:sz w:val="21"/>
              <w:szCs w:val="24"/>
            </w:rPr>
            <w:t>18</w:t>
          </w:r>
          <w:r>
            <w:rPr>
              <w:sz w:val="21"/>
              <w:szCs w:val="24"/>
            </w:rPr>
            <w:fldChar w:fldCharType="end"/>
          </w:r>
          <w:r>
            <w:rPr>
              <w:sz w:val="21"/>
              <w:szCs w:val="24"/>
            </w:rPr>
            <w:fldChar w:fldCharType="end"/>
          </w:r>
        </w:p>
        <w:p w14:paraId="6F1003A5">
          <w:pPr>
            <w:pStyle w:val="10"/>
            <w:tabs>
              <w:tab w:val="right" w:leader="dot" w:pos="8306"/>
              <w:tab w:val="clear" w:pos="8296"/>
            </w:tabs>
            <w:rPr>
              <w:sz w:val="21"/>
              <w:szCs w:val="24"/>
            </w:rPr>
          </w:pPr>
          <w:r>
            <w:rPr>
              <w:sz w:val="21"/>
              <w:szCs w:val="24"/>
            </w:rPr>
            <w:fldChar w:fldCharType="begin"/>
          </w:r>
          <w:r>
            <w:rPr>
              <w:sz w:val="21"/>
              <w:szCs w:val="24"/>
            </w:rPr>
            <w:instrText xml:space="preserve"> HYPERLINK \l _Toc25726 </w:instrText>
          </w:r>
          <w:r>
            <w:rPr>
              <w:sz w:val="21"/>
              <w:szCs w:val="24"/>
            </w:rPr>
            <w:fldChar w:fldCharType="separate"/>
          </w:r>
          <w:r>
            <w:rPr>
              <w:rFonts w:hint="eastAsia" w:ascii="仿宋" w:eastAsia="仿宋"/>
              <w:sz w:val="21"/>
              <w:szCs w:val="32"/>
            </w:rPr>
            <w:t>（四）预算绩效管理情况</w:t>
          </w:r>
          <w:r>
            <w:rPr>
              <w:sz w:val="21"/>
              <w:szCs w:val="24"/>
            </w:rPr>
            <w:tab/>
          </w:r>
          <w:r>
            <w:rPr>
              <w:sz w:val="21"/>
              <w:szCs w:val="24"/>
            </w:rPr>
            <w:fldChar w:fldCharType="begin"/>
          </w:r>
          <w:r>
            <w:rPr>
              <w:sz w:val="21"/>
              <w:szCs w:val="24"/>
            </w:rPr>
            <w:instrText xml:space="preserve"> PAGEREF _Toc25726 </w:instrText>
          </w:r>
          <w:r>
            <w:rPr>
              <w:sz w:val="21"/>
              <w:szCs w:val="24"/>
            </w:rPr>
            <w:fldChar w:fldCharType="separate"/>
          </w:r>
          <w:r>
            <w:rPr>
              <w:sz w:val="21"/>
              <w:szCs w:val="24"/>
            </w:rPr>
            <w:t>19</w:t>
          </w:r>
          <w:r>
            <w:rPr>
              <w:sz w:val="21"/>
              <w:szCs w:val="24"/>
            </w:rPr>
            <w:fldChar w:fldCharType="end"/>
          </w:r>
          <w:r>
            <w:rPr>
              <w:sz w:val="21"/>
              <w:szCs w:val="24"/>
            </w:rPr>
            <w:fldChar w:fldCharType="end"/>
          </w:r>
        </w:p>
        <w:p w14:paraId="08C23805">
          <w:pPr>
            <w:pStyle w:val="10"/>
            <w:tabs>
              <w:tab w:val="right" w:leader="dot" w:pos="8306"/>
              <w:tab w:val="clear" w:pos="8296"/>
            </w:tabs>
            <w:rPr>
              <w:sz w:val="21"/>
              <w:szCs w:val="24"/>
            </w:rPr>
          </w:pPr>
          <w:r>
            <w:rPr>
              <w:rFonts w:hint="eastAsia" w:eastAsia="仿宋"/>
              <w:sz w:val="21"/>
              <w:szCs w:val="24"/>
              <w:lang w:eastAsia="zh-CN"/>
            </w:rPr>
            <w:t>（五）</w:t>
          </w:r>
          <w:r>
            <w:rPr>
              <w:rFonts w:hint="eastAsia" w:ascii="仿宋" w:hAnsi="Times New Roman" w:eastAsia="仿宋" w:cs="Times New Roman"/>
              <w:kern w:val="2"/>
              <w:sz w:val="21"/>
              <w:szCs w:val="32"/>
              <w:lang w:val="en-US" w:eastAsia="zh-CN" w:bidi="ar-SA"/>
            </w:rPr>
            <w:t>由养老保险机构发放养老金的退休人员</w:t>
          </w:r>
          <w:r>
            <w:rPr>
              <w:sz w:val="21"/>
              <w:szCs w:val="24"/>
            </w:rPr>
            <w:tab/>
          </w:r>
          <w:r>
            <w:rPr>
              <w:sz w:val="21"/>
              <w:szCs w:val="24"/>
            </w:rPr>
            <w:fldChar w:fldCharType="begin"/>
          </w:r>
          <w:r>
            <w:rPr>
              <w:sz w:val="21"/>
              <w:szCs w:val="24"/>
            </w:rPr>
            <w:instrText xml:space="preserve"> PAGEREF _Toc25726 </w:instrText>
          </w:r>
          <w:r>
            <w:rPr>
              <w:sz w:val="21"/>
              <w:szCs w:val="24"/>
            </w:rPr>
            <w:fldChar w:fldCharType="separate"/>
          </w:r>
          <w:r>
            <w:rPr>
              <w:sz w:val="21"/>
              <w:szCs w:val="24"/>
            </w:rPr>
            <w:t>19</w:t>
          </w:r>
          <w:r>
            <w:rPr>
              <w:sz w:val="21"/>
              <w:szCs w:val="24"/>
            </w:rPr>
            <w:fldChar w:fldCharType="end"/>
          </w:r>
        </w:p>
        <w:p w14:paraId="098DFFFF">
          <w:pPr>
            <w:pStyle w:val="14"/>
            <w:tabs>
              <w:tab w:val="right" w:leader="dot" w:pos="8306"/>
              <w:tab w:val="clear" w:pos="8296"/>
            </w:tabs>
            <w:rPr>
              <w:sz w:val="28"/>
              <w:szCs w:val="28"/>
            </w:rPr>
          </w:pPr>
          <w:r>
            <w:rPr>
              <w:sz w:val="28"/>
              <w:szCs w:val="28"/>
            </w:rPr>
            <w:fldChar w:fldCharType="begin"/>
          </w:r>
          <w:r>
            <w:rPr>
              <w:sz w:val="28"/>
              <w:szCs w:val="28"/>
            </w:rPr>
            <w:instrText xml:space="preserve"> HYPERLINK \l _Toc5831 </w:instrText>
          </w:r>
          <w:r>
            <w:rPr>
              <w:sz w:val="28"/>
              <w:szCs w:val="28"/>
            </w:rPr>
            <w:fldChar w:fldCharType="separate"/>
          </w:r>
          <w:r>
            <w:rPr>
              <w:rFonts w:hint="eastAsia" w:ascii="黑体" w:eastAsia="黑体"/>
              <w:sz w:val="28"/>
              <w:szCs w:val="28"/>
            </w:rPr>
            <w:t xml:space="preserve">第三部分 </w:t>
          </w:r>
          <w:r>
            <w:rPr>
              <w:rFonts w:hint="eastAsia" w:ascii="黑体" w:eastAsia="黑体"/>
              <w:sz w:val="28"/>
              <w:szCs w:val="44"/>
            </w:rPr>
            <w:t>名</w:t>
          </w:r>
          <w:r>
            <w:rPr>
              <w:rFonts w:hint="eastAsia" w:ascii="黑体" w:eastAsia="黑体"/>
              <w:sz w:val="28"/>
              <w:szCs w:val="28"/>
            </w:rPr>
            <w:t>词解释</w:t>
          </w:r>
          <w:r>
            <w:rPr>
              <w:sz w:val="28"/>
              <w:szCs w:val="28"/>
            </w:rPr>
            <w:tab/>
          </w:r>
          <w:r>
            <w:rPr>
              <w:sz w:val="28"/>
              <w:szCs w:val="28"/>
            </w:rPr>
            <w:fldChar w:fldCharType="begin"/>
          </w:r>
          <w:r>
            <w:rPr>
              <w:sz w:val="28"/>
              <w:szCs w:val="28"/>
            </w:rPr>
            <w:instrText xml:space="preserve"> PAGEREF _Toc5831 </w:instrText>
          </w:r>
          <w:r>
            <w:rPr>
              <w:sz w:val="28"/>
              <w:szCs w:val="28"/>
            </w:rPr>
            <w:fldChar w:fldCharType="separate"/>
          </w:r>
          <w:r>
            <w:rPr>
              <w:sz w:val="28"/>
              <w:szCs w:val="28"/>
            </w:rPr>
            <w:t>20</w:t>
          </w:r>
          <w:r>
            <w:rPr>
              <w:sz w:val="28"/>
              <w:szCs w:val="28"/>
            </w:rPr>
            <w:fldChar w:fldCharType="end"/>
          </w:r>
          <w:r>
            <w:rPr>
              <w:sz w:val="28"/>
              <w:szCs w:val="28"/>
            </w:rPr>
            <w:fldChar w:fldCharType="end"/>
          </w:r>
        </w:p>
        <w:p w14:paraId="2EBA9018">
          <w:pPr>
            <w:pStyle w:val="14"/>
            <w:tabs>
              <w:tab w:val="right" w:leader="dot" w:pos="8306"/>
              <w:tab w:val="clear" w:pos="8296"/>
            </w:tabs>
            <w:rPr>
              <w:sz w:val="28"/>
              <w:szCs w:val="28"/>
            </w:rPr>
          </w:pPr>
          <w:r>
            <w:rPr>
              <w:sz w:val="28"/>
              <w:szCs w:val="28"/>
            </w:rPr>
            <w:fldChar w:fldCharType="begin"/>
          </w:r>
          <w:r>
            <w:rPr>
              <w:sz w:val="28"/>
              <w:szCs w:val="28"/>
            </w:rPr>
            <w:instrText xml:space="preserve"> HYPERLINK \l _Toc20182 </w:instrText>
          </w:r>
          <w:r>
            <w:rPr>
              <w:sz w:val="28"/>
              <w:szCs w:val="28"/>
            </w:rPr>
            <w:fldChar w:fldCharType="separate"/>
          </w:r>
          <w:r>
            <w:rPr>
              <w:rFonts w:hint="eastAsia" w:ascii="黑体" w:eastAsia="黑体"/>
              <w:sz w:val="28"/>
              <w:szCs w:val="44"/>
            </w:rPr>
            <w:t>第</w:t>
          </w:r>
          <w:r>
            <w:rPr>
              <w:rFonts w:hint="eastAsia" w:ascii="黑体" w:eastAsia="黑体"/>
              <w:sz w:val="28"/>
              <w:szCs w:val="28"/>
            </w:rPr>
            <w:t>四部分 附件</w:t>
          </w:r>
          <w:r>
            <w:rPr>
              <w:sz w:val="28"/>
              <w:szCs w:val="28"/>
            </w:rPr>
            <w:tab/>
          </w:r>
          <w:r>
            <w:rPr>
              <w:sz w:val="28"/>
              <w:szCs w:val="28"/>
            </w:rPr>
            <w:fldChar w:fldCharType="begin"/>
          </w:r>
          <w:r>
            <w:rPr>
              <w:sz w:val="28"/>
              <w:szCs w:val="28"/>
            </w:rPr>
            <w:instrText xml:space="preserve"> PAGEREF _Toc20182 </w:instrText>
          </w:r>
          <w:r>
            <w:rPr>
              <w:sz w:val="28"/>
              <w:szCs w:val="28"/>
            </w:rPr>
            <w:fldChar w:fldCharType="separate"/>
          </w:r>
          <w:r>
            <w:rPr>
              <w:sz w:val="28"/>
              <w:szCs w:val="28"/>
            </w:rPr>
            <w:t>24</w:t>
          </w:r>
          <w:r>
            <w:rPr>
              <w:sz w:val="28"/>
              <w:szCs w:val="28"/>
            </w:rPr>
            <w:fldChar w:fldCharType="end"/>
          </w:r>
          <w:r>
            <w:rPr>
              <w:sz w:val="28"/>
              <w:szCs w:val="28"/>
            </w:rPr>
            <w:fldChar w:fldCharType="end"/>
          </w:r>
        </w:p>
        <w:p w14:paraId="080DDA1C">
          <w:pPr>
            <w:pStyle w:val="10"/>
            <w:tabs>
              <w:tab w:val="right" w:leader="dot" w:pos="8306"/>
              <w:tab w:val="clear" w:pos="8296"/>
            </w:tabs>
            <w:ind w:left="0" w:leftChars="0" w:firstLine="0" w:firstLineChars="0"/>
            <w:rPr>
              <w:rFonts w:hint="eastAsia" w:ascii="仿宋" w:hAnsi="Times New Roman" w:eastAsia="仿宋" w:cs="Times New Roman"/>
              <w:sz w:val="21"/>
              <w:szCs w:val="32"/>
              <w:lang w:val="en-US" w:eastAsia="zh-CN"/>
            </w:rPr>
          </w:pPr>
          <w:r>
            <w:rPr>
              <w:rFonts w:hint="eastAsia" w:ascii="仿宋" w:hAnsi="Times New Roman" w:eastAsia="仿宋" w:cs="Times New Roman"/>
              <w:sz w:val="18"/>
              <w:szCs w:val="24"/>
              <w:lang w:val="en-US" w:eastAsia="zh-CN"/>
            </w:rPr>
            <w:t>附件1</w:t>
          </w:r>
          <w:r>
            <w:rPr>
              <w:rFonts w:hint="eastAsia" w:ascii="仿宋" w:hAnsi="Times New Roman" w:eastAsia="仿宋" w:cs="Times New Roman"/>
              <w:sz w:val="21"/>
              <w:szCs w:val="32"/>
              <w:lang w:val="en-US" w:eastAsia="zh-CN"/>
            </w:rPr>
            <w:t>：红原县自然资源局关于2022年整体支出绩效的报告………………………………………………………………………</w:t>
          </w:r>
          <w:r>
            <w:rPr>
              <w:rFonts w:hint="eastAsia" w:ascii="仿宋" w:hAnsi="Times New Roman" w:eastAsia="仿宋" w:cs="Times New Roman"/>
              <w:sz w:val="24"/>
              <w:szCs w:val="40"/>
              <w:lang w:val="en-US" w:eastAsia="zh-CN"/>
            </w:rPr>
            <w:t>…………</w:t>
          </w:r>
          <w:r>
            <w:rPr>
              <w:rFonts w:hint="eastAsia" w:ascii="仿宋" w:hAnsi="Times New Roman" w:eastAsia="仿宋" w:cs="Times New Roman"/>
              <w:sz w:val="21"/>
              <w:szCs w:val="32"/>
              <w:lang w:val="en-US" w:eastAsia="zh-CN"/>
            </w:rPr>
            <w:t>……………24</w:t>
          </w:r>
        </w:p>
        <w:p w14:paraId="5B474373">
          <w:pPr>
            <w:pStyle w:val="10"/>
            <w:tabs>
              <w:tab w:val="right" w:leader="dot" w:pos="8306"/>
              <w:tab w:val="clear" w:pos="8296"/>
            </w:tabs>
            <w:ind w:left="0" w:leftChars="0" w:firstLine="0" w:firstLineChars="0"/>
            <w:rPr>
              <w:rFonts w:hint="default" w:ascii="仿宋" w:hAnsi="Times New Roman" w:eastAsia="仿宋" w:cs="Times New Roman"/>
              <w:sz w:val="21"/>
              <w:szCs w:val="32"/>
              <w:lang w:val="en-US" w:eastAsia="zh-CN"/>
            </w:rPr>
          </w:pPr>
          <w:r>
            <w:rPr>
              <w:rFonts w:hint="eastAsia" w:ascii="仿宋" w:hAnsi="Times New Roman" w:eastAsia="仿宋" w:cs="Times New Roman"/>
              <w:sz w:val="21"/>
              <w:szCs w:val="32"/>
              <w:lang w:val="en-US" w:eastAsia="zh-CN"/>
            </w:rPr>
            <w:t>附件2：红原县自然资源局关于红原县阿木乡峨扎村废弃取料点生态修复项目支出绩效的自评报告……………………………………………………………………</w:t>
          </w:r>
          <w:r>
            <w:rPr>
              <w:rFonts w:hint="eastAsia" w:ascii="仿宋" w:hAnsi="Times New Roman" w:eastAsia="仿宋" w:cs="Times New Roman"/>
              <w:sz w:val="24"/>
              <w:szCs w:val="40"/>
              <w:lang w:val="en-US" w:eastAsia="zh-CN"/>
            </w:rPr>
            <w:t>………</w:t>
          </w:r>
          <w:r>
            <w:rPr>
              <w:rFonts w:hint="eastAsia" w:ascii="仿宋" w:hAnsi="Times New Roman" w:eastAsia="仿宋" w:cs="Times New Roman"/>
              <w:sz w:val="21"/>
              <w:szCs w:val="32"/>
              <w:lang w:val="en-US" w:eastAsia="zh-CN"/>
            </w:rPr>
            <w:t>………………34</w:t>
          </w:r>
        </w:p>
        <w:p w14:paraId="347B25A8">
          <w:pPr>
            <w:pStyle w:val="10"/>
            <w:tabs>
              <w:tab w:val="right" w:leader="dot" w:pos="8306"/>
              <w:tab w:val="clear" w:pos="8296"/>
            </w:tabs>
            <w:ind w:left="0" w:leftChars="0" w:firstLine="0" w:firstLineChars="0"/>
            <w:rPr>
              <w:rFonts w:hint="default" w:ascii="仿宋" w:hAnsi="Times New Roman" w:eastAsia="仿宋" w:cs="Times New Roman"/>
              <w:sz w:val="21"/>
              <w:szCs w:val="32"/>
              <w:lang w:val="en-US" w:eastAsia="zh-CN"/>
            </w:rPr>
          </w:pPr>
          <w:r>
            <w:rPr>
              <w:rFonts w:hint="eastAsia" w:ascii="仿宋" w:hAnsi="Times New Roman" w:eastAsia="仿宋" w:cs="Times New Roman"/>
              <w:sz w:val="21"/>
              <w:szCs w:val="32"/>
              <w:lang w:val="en-US" w:eastAsia="zh-CN"/>
            </w:rPr>
            <w:t>附件3：红原县自然资源局关于黄河长江上游历史废弃工矿取料点生态修复项目支出绩效自评报告…………………………………………………………………</w:t>
          </w:r>
          <w:r>
            <w:rPr>
              <w:rFonts w:hint="eastAsia" w:ascii="仿宋" w:hAnsi="Times New Roman" w:eastAsia="仿宋" w:cs="Times New Roman"/>
              <w:sz w:val="24"/>
              <w:szCs w:val="40"/>
              <w:lang w:val="en-US" w:eastAsia="zh-CN"/>
            </w:rPr>
            <w:t>………</w:t>
          </w:r>
          <w:r>
            <w:rPr>
              <w:rFonts w:hint="eastAsia" w:ascii="仿宋" w:hAnsi="Times New Roman" w:eastAsia="仿宋" w:cs="Times New Roman"/>
              <w:sz w:val="21"/>
              <w:szCs w:val="32"/>
              <w:lang w:val="en-US" w:eastAsia="zh-CN"/>
            </w:rPr>
            <w:t>…………………37</w:t>
          </w:r>
        </w:p>
        <w:p w14:paraId="1303350F">
          <w:pPr>
            <w:pStyle w:val="10"/>
            <w:tabs>
              <w:tab w:val="right" w:leader="dot" w:pos="8306"/>
              <w:tab w:val="clear" w:pos="8296"/>
            </w:tabs>
            <w:ind w:left="0" w:leftChars="0" w:firstLine="0" w:firstLineChars="0"/>
            <w:rPr>
              <w:rFonts w:hint="default" w:ascii="仿宋" w:hAnsi="Times New Roman" w:eastAsia="仿宋" w:cs="Times New Roman"/>
              <w:sz w:val="21"/>
              <w:szCs w:val="32"/>
              <w:lang w:val="en-US" w:eastAsia="zh-CN"/>
            </w:rPr>
          </w:pPr>
          <w:r>
            <w:rPr>
              <w:rFonts w:hint="eastAsia" w:ascii="仿宋" w:hAnsi="Times New Roman" w:eastAsia="仿宋" w:cs="Times New Roman"/>
              <w:sz w:val="21"/>
              <w:szCs w:val="32"/>
              <w:lang w:val="en-US" w:eastAsia="zh-CN"/>
            </w:rPr>
            <w:t>附件4：红原县自然资源局关于红原县黄河长江上游历史废弃工矿取料点生态修复子项目（第二批）绩效自评报告……………………………………</w:t>
          </w:r>
          <w:r>
            <w:rPr>
              <w:rFonts w:hint="eastAsia" w:ascii="仿宋" w:hAnsi="Times New Roman" w:eastAsia="仿宋" w:cs="Times New Roman"/>
              <w:sz w:val="24"/>
              <w:szCs w:val="40"/>
              <w:lang w:val="en-US" w:eastAsia="zh-CN"/>
            </w:rPr>
            <w:t>…………………</w:t>
          </w:r>
          <w:r>
            <w:rPr>
              <w:rFonts w:hint="eastAsia" w:ascii="仿宋" w:hAnsi="Times New Roman" w:eastAsia="仿宋" w:cs="Times New Roman"/>
              <w:sz w:val="21"/>
              <w:szCs w:val="32"/>
              <w:lang w:val="en-US" w:eastAsia="zh-CN"/>
            </w:rPr>
            <w:t>……………40</w:t>
          </w:r>
        </w:p>
        <w:p w14:paraId="208D4FE4">
          <w:pPr>
            <w:pStyle w:val="17"/>
            <w:rPr>
              <w:rFonts w:hint="eastAsia" w:eastAsia="宋体"/>
              <w:sz w:val="28"/>
              <w:szCs w:val="28"/>
              <w:lang w:val="en-US" w:eastAsia="zh-CN"/>
            </w:rPr>
          </w:pPr>
          <w:r>
            <w:rPr>
              <w:sz w:val="28"/>
              <w:szCs w:val="28"/>
            </w:rPr>
            <w:fldChar w:fldCharType="begin"/>
          </w:r>
          <w:r>
            <w:rPr>
              <w:sz w:val="28"/>
              <w:szCs w:val="28"/>
            </w:rPr>
            <w:instrText xml:space="preserve"> HYPERLINK \l _Toc18788 </w:instrText>
          </w:r>
          <w:r>
            <w:rPr>
              <w:sz w:val="28"/>
              <w:szCs w:val="28"/>
            </w:rPr>
            <w:fldChar w:fldCharType="separate"/>
          </w:r>
          <w:r>
            <w:rPr>
              <w:rFonts w:hint="eastAsia" w:ascii="黑体" w:eastAsia="黑体"/>
              <w:sz w:val="28"/>
              <w:szCs w:val="44"/>
            </w:rPr>
            <w:t>第</w:t>
          </w:r>
          <w:r>
            <w:rPr>
              <w:rFonts w:hint="eastAsia" w:ascii="黑体" w:eastAsia="黑体"/>
              <w:sz w:val="28"/>
              <w:szCs w:val="28"/>
            </w:rPr>
            <w:t>五部分 附表</w:t>
          </w:r>
          <w:r>
            <w:rPr>
              <w:rFonts w:hint="eastAsia" w:ascii="仿宋" w:hAnsi="Times New Roman" w:eastAsia="仿宋" w:cs="Times New Roman"/>
              <w:sz w:val="21"/>
              <w:szCs w:val="32"/>
              <w:lang w:val="en-US" w:eastAsia="zh-CN"/>
            </w:rPr>
            <w:t>……………………………………………………………………………</w:t>
          </w:r>
          <w:r>
            <w:rPr>
              <w:sz w:val="28"/>
              <w:szCs w:val="28"/>
            </w:rPr>
            <w:tab/>
          </w:r>
          <w:r>
            <w:rPr>
              <w:rFonts w:hint="eastAsia"/>
              <w:sz w:val="28"/>
              <w:szCs w:val="28"/>
              <w:lang w:val="en-US" w:eastAsia="zh-CN"/>
            </w:rPr>
            <w:t>4</w:t>
          </w:r>
          <w:r>
            <w:rPr>
              <w:sz w:val="28"/>
              <w:szCs w:val="28"/>
            </w:rPr>
            <w:fldChar w:fldCharType="end"/>
          </w:r>
          <w:r>
            <w:rPr>
              <w:rFonts w:hint="eastAsia"/>
              <w:sz w:val="28"/>
              <w:szCs w:val="28"/>
              <w:lang w:val="en-US" w:eastAsia="zh-CN"/>
            </w:rPr>
            <w:t>3</w:t>
          </w:r>
        </w:p>
        <w:p w14:paraId="3202A91D">
          <w:pPr>
            <w:pStyle w:val="16"/>
            <w:tabs>
              <w:tab w:val="right" w:leader="dot" w:pos="8306"/>
              <w:tab w:val="clear" w:pos="8296"/>
            </w:tabs>
            <w:rPr>
              <w:sz w:val="21"/>
              <w:szCs w:val="24"/>
            </w:rPr>
          </w:pPr>
          <w:r>
            <w:rPr>
              <w:sz w:val="21"/>
              <w:szCs w:val="24"/>
            </w:rPr>
            <w:fldChar w:fldCharType="begin"/>
          </w:r>
          <w:r>
            <w:rPr>
              <w:sz w:val="21"/>
              <w:szCs w:val="24"/>
            </w:rPr>
            <w:instrText xml:space="preserve"> HYPERLINK \l _Toc4332 </w:instrText>
          </w:r>
          <w:r>
            <w:rPr>
              <w:sz w:val="21"/>
              <w:szCs w:val="24"/>
            </w:rPr>
            <w:fldChar w:fldCharType="separate"/>
          </w:r>
          <w:r>
            <w:rPr>
              <w:rFonts w:hint="eastAsia" w:ascii="仿宋" w:eastAsia="仿宋"/>
              <w:sz w:val="21"/>
              <w:szCs w:val="24"/>
            </w:rPr>
            <w:t>一、收</w:t>
          </w:r>
          <w:r>
            <w:rPr>
              <w:rFonts w:hint="eastAsia" w:ascii="仿宋" w:eastAsia="仿宋"/>
              <w:bCs w:val="0"/>
              <w:sz w:val="21"/>
              <w:szCs w:val="24"/>
            </w:rPr>
            <w:t>入支出决算总表</w:t>
          </w:r>
          <w:r>
            <w:rPr>
              <w:sz w:val="21"/>
              <w:szCs w:val="24"/>
            </w:rPr>
            <w:tab/>
          </w:r>
          <w:r>
            <w:rPr>
              <w:sz w:val="21"/>
              <w:szCs w:val="24"/>
            </w:rPr>
            <w:fldChar w:fldCharType="begin"/>
          </w:r>
          <w:r>
            <w:rPr>
              <w:sz w:val="21"/>
              <w:szCs w:val="24"/>
            </w:rPr>
            <w:instrText xml:space="preserve"> PAGEREF _Toc4332 </w:instrText>
          </w:r>
          <w:r>
            <w:rPr>
              <w:sz w:val="21"/>
              <w:szCs w:val="24"/>
            </w:rPr>
            <w:fldChar w:fldCharType="separate"/>
          </w:r>
          <w:r>
            <w:rPr>
              <w:sz w:val="21"/>
              <w:szCs w:val="24"/>
            </w:rPr>
            <w:t>43</w:t>
          </w:r>
          <w:r>
            <w:rPr>
              <w:sz w:val="21"/>
              <w:szCs w:val="24"/>
            </w:rPr>
            <w:fldChar w:fldCharType="end"/>
          </w:r>
          <w:r>
            <w:rPr>
              <w:sz w:val="21"/>
              <w:szCs w:val="24"/>
            </w:rPr>
            <w:fldChar w:fldCharType="end"/>
          </w:r>
        </w:p>
        <w:p w14:paraId="20BA9BB5">
          <w:pPr>
            <w:pStyle w:val="16"/>
            <w:tabs>
              <w:tab w:val="right" w:leader="dot" w:pos="8306"/>
              <w:tab w:val="clear" w:pos="8296"/>
            </w:tabs>
            <w:rPr>
              <w:sz w:val="21"/>
              <w:szCs w:val="24"/>
            </w:rPr>
          </w:pPr>
          <w:r>
            <w:rPr>
              <w:sz w:val="21"/>
              <w:szCs w:val="24"/>
            </w:rPr>
            <w:fldChar w:fldCharType="begin"/>
          </w:r>
          <w:r>
            <w:rPr>
              <w:sz w:val="21"/>
              <w:szCs w:val="24"/>
            </w:rPr>
            <w:instrText xml:space="preserve"> HYPERLINK \l _Toc24601 </w:instrText>
          </w:r>
          <w:r>
            <w:rPr>
              <w:sz w:val="21"/>
              <w:szCs w:val="24"/>
            </w:rPr>
            <w:fldChar w:fldCharType="separate"/>
          </w:r>
          <w:r>
            <w:rPr>
              <w:rFonts w:hint="eastAsia" w:ascii="仿宋" w:eastAsia="仿宋"/>
              <w:sz w:val="21"/>
              <w:szCs w:val="24"/>
            </w:rPr>
            <w:t>二、收</w:t>
          </w:r>
          <w:r>
            <w:rPr>
              <w:rFonts w:hint="eastAsia" w:ascii="仿宋" w:eastAsia="仿宋"/>
              <w:bCs w:val="0"/>
              <w:sz w:val="21"/>
              <w:szCs w:val="24"/>
            </w:rPr>
            <w:t>入决算表</w:t>
          </w:r>
          <w:r>
            <w:rPr>
              <w:sz w:val="21"/>
              <w:szCs w:val="24"/>
            </w:rPr>
            <w:tab/>
          </w:r>
          <w:r>
            <w:rPr>
              <w:sz w:val="21"/>
              <w:szCs w:val="24"/>
            </w:rPr>
            <w:fldChar w:fldCharType="begin"/>
          </w:r>
          <w:r>
            <w:rPr>
              <w:sz w:val="21"/>
              <w:szCs w:val="24"/>
            </w:rPr>
            <w:instrText xml:space="preserve"> PAGEREF _Toc24601 </w:instrText>
          </w:r>
          <w:r>
            <w:rPr>
              <w:sz w:val="21"/>
              <w:szCs w:val="24"/>
            </w:rPr>
            <w:fldChar w:fldCharType="separate"/>
          </w:r>
          <w:r>
            <w:rPr>
              <w:sz w:val="21"/>
              <w:szCs w:val="24"/>
            </w:rPr>
            <w:t>43</w:t>
          </w:r>
          <w:r>
            <w:rPr>
              <w:sz w:val="21"/>
              <w:szCs w:val="24"/>
            </w:rPr>
            <w:fldChar w:fldCharType="end"/>
          </w:r>
          <w:r>
            <w:rPr>
              <w:sz w:val="21"/>
              <w:szCs w:val="24"/>
            </w:rPr>
            <w:fldChar w:fldCharType="end"/>
          </w:r>
        </w:p>
        <w:p w14:paraId="104CC82E">
          <w:pPr>
            <w:pStyle w:val="16"/>
            <w:tabs>
              <w:tab w:val="right" w:leader="dot" w:pos="8306"/>
              <w:tab w:val="clear" w:pos="8296"/>
            </w:tabs>
            <w:rPr>
              <w:sz w:val="21"/>
              <w:szCs w:val="24"/>
            </w:rPr>
          </w:pPr>
          <w:r>
            <w:rPr>
              <w:sz w:val="21"/>
              <w:szCs w:val="24"/>
            </w:rPr>
            <w:fldChar w:fldCharType="begin"/>
          </w:r>
          <w:r>
            <w:rPr>
              <w:sz w:val="21"/>
              <w:szCs w:val="24"/>
            </w:rPr>
            <w:instrText xml:space="preserve"> HYPERLINK \l _Toc32502 </w:instrText>
          </w:r>
          <w:r>
            <w:rPr>
              <w:sz w:val="21"/>
              <w:szCs w:val="24"/>
            </w:rPr>
            <w:fldChar w:fldCharType="separate"/>
          </w:r>
          <w:r>
            <w:rPr>
              <w:rFonts w:hint="eastAsia" w:ascii="仿宋" w:eastAsia="仿宋"/>
              <w:bCs w:val="0"/>
              <w:sz w:val="21"/>
              <w:szCs w:val="24"/>
            </w:rPr>
            <w:t>三、</w:t>
          </w:r>
          <w:r>
            <w:rPr>
              <w:rFonts w:hint="eastAsia" w:ascii="仿宋" w:eastAsia="仿宋"/>
              <w:sz w:val="21"/>
              <w:szCs w:val="24"/>
            </w:rPr>
            <w:t>支</w:t>
          </w:r>
          <w:r>
            <w:rPr>
              <w:rFonts w:hint="eastAsia" w:ascii="仿宋" w:eastAsia="仿宋"/>
              <w:bCs w:val="0"/>
              <w:sz w:val="21"/>
              <w:szCs w:val="24"/>
            </w:rPr>
            <w:t>出决算表</w:t>
          </w:r>
          <w:r>
            <w:rPr>
              <w:sz w:val="21"/>
              <w:szCs w:val="24"/>
            </w:rPr>
            <w:tab/>
          </w:r>
          <w:r>
            <w:rPr>
              <w:sz w:val="21"/>
              <w:szCs w:val="24"/>
            </w:rPr>
            <w:fldChar w:fldCharType="begin"/>
          </w:r>
          <w:r>
            <w:rPr>
              <w:sz w:val="21"/>
              <w:szCs w:val="24"/>
            </w:rPr>
            <w:instrText xml:space="preserve"> PAGEREF _Toc32502 </w:instrText>
          </w:r>
          <w:r>
            <w:rPr>
              <w:sz w:val="21"/>
              <w:szCs w:val="24"/>
            </w:rPr>
            <w:fldChar w:fldCharType="separate"/>
          </w:r>
          <w:r>
            <w:rPr>
              <w:sz w:val="21"/>
              <w:szCs w:val="24"/>
            </w:rPr>
            <w:t>43</w:t>
          </w:r>
          <w:r>
            <w:rPr>
              <w:sz w:val="21"/>
              <w:szCs w:val="24"/>
            </w:rPr>
            <w:fldChar w:fldCharType="end"/>
          </w:r>
          <w:r>
            <w:rPr>
              <w:sz w:val="21"/>
              <w:szCs w:val="24"/>
            </w:rPr>
            <w:fldChar w:fldCharType="end"/>
          </w:r>
        </w:p>
        <w:p w14:paraId="755DAD10">
          <w:pPr>
            <w:pStyle w:val="16"/>
            <w:tabs>
              <w:tab w:val="right" w:leader="dot" w:pos="8306"/>
              <w:tab w:val="clear" w:pos="8296"/>
            </w:tabs>
            <w:rPr>
              <w:sz w:val="21"/>
              <w:szCs w:val="24"/>
            </w:rPr>
          </w:pPr>
          <w:r>
            <w:rPr>
              <w:sz w:val="21"/>
              <w:szCs w:val="24"/>
            </w:rPr>
            <w:fldChar w:fldCharType="begin"/>
          </w:r>
          <w:r>
            <w:rPr>
              <w:sz w:val="21"/>
              <w:szCs w:val="24"/>
            </w:rPr>
            <w:instrText xml:space="preserve"> HYPERLINK \l _Toc17441 </w:instrText>
          </w:r>
          <w:r>
            <w:rPr>
              <w:sz w:val="21"/>
              <w:szCs w:val="24"/>
            </w:rPr>
            <w:fldChar w:fldCharType="separate"/>
          </w:r>
          <w:r>
            <w:rPr>
              <w:rFonts w:hint="eastAsia" w:ascii="仿宋" w:eastAsia="仿宋"/>
              <w:bCs w:val="0"/>
              <w:sz w:val="21"/>
              <w:szCs w:val="24"/>
            </w:rPr>
            <w:t>四、</w:t>
          </w:r>
          <w:r>
            <w:rPr>
              <w:rFonts w:hint="eastAsia" w:ascii="仿宋" w:eastAsia="仿宋"/>
              <w:sz w:val="21"/>
              <w:szCs w:val="24"/>
            </w:rPr>
            <w:t>财</w:t>
          </w:r>
          <w:r>
            <w:rPr>
              <w:rFonts w:hint="eastAsia" w:ascii="仿宋" w:eastAsia="仿宋"/>
              <w:bCs w:val="0"/>
              <w:sz w:val="21"/>
              <w:szCs w:val="24"/>
            </w:rPr>
            <w:t>政拨款收入支出决算总表</w:t>
          </w:r>
          <w:r>
            <w:rPr>
              <w:sz w:val="21"/>
              <w:szCs w:val="24"/>
            </w:rPr>
            <w:tab/>
          </w:r>
          <w:r>
            <w:rPr>
              <w:sz w:val="21"/>
              <w:szCs w:val="24"/>
            </w:rPr>
            <w:fldChar w:fldCharType="begin"/>
          </w:r>
          <w:r>
            <w:rPr>
              <w:sz w:val="21"/>
              <w:szCs w:val="24"/>
            </w:rPr>
            <w:instrText xml:space="preserve"> PAGEREF _Toc17441 </w:instrText>
          </w:r>
          <w:r>
            <w:rPr>
              <w:sz w:val="21"/>
              <w:szCs w:val="24"/>
            </w:rPr>
            <w:fldChar w:fldCharType="separate"/>
          </w:r>
          <w:r>
            <w:rPr>
              <w:sz w:val="21"/>
              <w:szCs w:val="24"/>
            </w:rPr>
            <w:t>43</w:t>
          </w:r>
          <w:r>
            <w:rPr>
              <w:sz w:val="21"/>
              <w:szCs w:val="24"/>
            </w:rPr>
            <w:fldChar w:fldCharType="end"/>
          </w:r>
          <w:r>
            <w:rPr>
              <w:sz w:val="21"/>
              <w:szCs w:val="24"/>
            </w:rPr>
            <w:fldChar w:fldCharType="end"/>
          </w:r>
        </w:p>
        <w:p w14:paraId="2FCF51C0">
          <w:pPr>
            <w:pStyle w:val="16"/>
            <w:tabs>
              <w:tab w:val="right" w:leader="dot" w:pos="8306"/>
              <w:tab w:val="clear" w:pos="8296"/>
            </w:tabs>
            <w:rPr>
              <w:sz w:val="21"/>
              <w:szCs w:val="24"/>
            </w:rPr>
          </w:pPr>
          <w:r>
            <w:rPr>
              <w:sz w:val="21"/>
              <w:szCs w:val="24"/>
            </w:rPr>
            <w:fldChar w:fldCharType="begin"/>
          </w:r>
          <w:r>
            <w:rPr>
              <w:sz w:val="21"/>
              <w:szCs w:val="24"/>
            </w:rPr>
            <w:instrText xml:space="preserve"> HYPERLINK \l _Toc31372 </w:instrText>
          </w:r>
          <w:r>
            <w:rPr>
              <w:sz w:val="21"/>
              <w:szCs w:val="24"/>
            </w:rPr>
            <w:fldChar w:fldCharType="separate"/>
          </w:r>
          <w:r>
            <w:rPr>
              <w:rFonts w:hint="eastAsia" w:ascii="仿宋" w:eastAsia="仿宋"/>
              <w:bCs w:val="0"/>
              <w:sz w:val="21"/>
              <w:szCs w:val="24"/>
            </w:rPr>
            <w:t>五、</w:t>
          </w:r>
          <w:r>
            <w:rPr>
              <w:rFonts w:hint="eastAsia" w:ascii="仿宋" w:eastAsia="仿宋"/>
              <w:sz w:val="21"/>
              <w:szCs w:val="24"/>
            </w:rPr>
            <w:t>财</w:t>
          </w:r>
          <w:r>
            <w:rPr>
              <w:rFonts w:hint="eastAsia" w:ascii="仿宋" w:eastAsia="仿宋"/>
              <w:bCs w:val="0"/>
              <w:sz w:val="21"/>
              <w:szCs w:val="24"/>
            </w:rPr>
            <w:t>政拨款支出决算明细表</w:t>
          </w:r>
          <w:r>
            <w:rPr>
              <w:sz w:val="21"/>
              <w:szCs w:val="24"/>
            </w:rPr>
            <w:tab/>
          </w:r>
          <w:r>
            <w:rPr>
              <w:sz w:val="21"/>
              <w:szCs w:val="24"/>
            </w:rPr>
            <w:fldChar w:fldCharType="begin"/>
          </w:r>
          <w:r>
            <w:rPr>
              <w:sz w:val="21"/>
              <w:szCs w:val="24"/>
            </w:rPr>
            <w:instrText xml:space="preserve"> PAGEREF _Toc31372 </w:instrText>
          </w:r>
          <w:r>
            <w:rPr>
              <w:sz w:val="21"/>
              <w:szCs w:val="24"/>
            </w:rPr>
            <w:fldChar w:fldCharType="separate"/>
          </w:r>
          <w:r>
            <w:rPr>
              <w:sz w:val="21"/>
              <w:szCs w:val="24"/>
            </w:rPr>
            <w:t>43</w:t>
          </w:r>
          <w:r>
            <w:rPr>
              <w:sz w:val="21"/>
              <w:szCs w:val="24"/>
            </w:rPr>
            <w:fldChar w:fldCharType="end"/>
          </w:r>
          <w:r>
            <w:rPr>
              <w:sz w:val="21"/>
              <w:szCs w:val="24"/>
            </w:rPr>
            <w:fldChar w:fldCharType="end"/>
          </w:r>
        </w:p>
        <w:p w14:paraId="742B32F0">
          <w:pPr>
            <w:pStyle w:val="16"/>
            <w:tabs>
              <w:tab w:val="right" w:leader="dot" w:pos="8306"/>
              <w:tab w:val="clear" w:pos="8296"/>
            </w:tabs>
            <w:rPr>
              <w:sz w:val="21"/>
              <w:szCs w:val="24"/>
            </w:rPr>
          </w:pPr>
          <w:r>
            <w:rPr>
              <w:sz w:val="21"/>
              <w:szCs w:val="24"/>
            </w:rPr>
            <w:fldChar w:fldCharType="begin"/>
          </w:r>
          <w:r>
            <w:rPr>
              <w:sz w:val="21"/>
              <w:szCs w:val="24"/>
            </w:rPr>
            <w:instrText xml:space="preserve"> HYPERLINK \l _Toc17398 </w:instrText>
          </w:r>
          <w:r>
            <w:rPr>
              <w:sz w:val="21"/>
              <w:szCs w:val="24"/>
            </w:rPr>
            <w:fldChar w:fldCharType="separate"/>
          </w:r>
          <w:r>
            <w:rPr>
              <w:rFonts w:hint="eastAsia" w:ascii="仿宋" w:eastAsia="仿宋"/>
              <w:bCs w:val="0"/>
              <w:sz w:val="21"/>
              <w:szCs w:val="24"/>
            </w:rPr>
            <w:t>六、</w:t>
          </w:r>
          <w:r>
            <w:rPr>
              <w:rFonts w:hint="eastAsia" w:ascii="仿宋" w:eastAsia="仿宋"/>
              <w:sz w:val="21"/>
              <w:szCs w:val="24"/>
            </w:rPr>
            <w:t>一</w:t>
          </w:r>
          <w:r>
            <w:rPr>
              <w:rFonts w:hint="eastAsia" w:ascii="仿宋" w:eastAsia="仿宋"/>
              <w:bCs w:val="0"/>
              <w:sz w:val="21"/>
              <w:szCs w:val="24"/>
            </w:rPr>
            <w:t>般公共预算财政拨款支出决算表</w:t>
          </w:r>
          <w:r>
            <w:rPr>
              <w:sz w:val="21"/>
              <w:szCs w:val="24"/>
            </w:rPr>
            <w:tab/>
          </w:r>
          <w:r>
            <w:rPr>
              <w:sz w:val="21"/>
              <w:szCs w:val="24"/>
            </w:rPr>
            <w:fldChar w:fldCharType="begin"/>
          </w:r>
          <w:r>
            <w:rPr>
              <w:sz w:val="21"/>
              <w:szCs w:val="24"/>
            </w:rPr>
            <w:instrText xml:space="preserve"> PAGEREF _Toc17398 </w:instrText>
          </w:r>
          <w:r>
            <w:rPr>
              <w:sz w:val="21"/>
              <w:szCs w:val="24"/>
            </w:rPr>
            <w:fldChar w:fldCharType="separate"/>
          </w:r>
          <w:r>
            <w:rPr>
              <w:sz w:val="21"/>
              <w:szCs w:val="24"/>
            </w:rPr>
            <w:t>43</w:t>
          </w:r>
          <w:r>
            <w:rPr>
              <w:sz w:val="21"/>
              <w:szCs w:val="24"/>
            </w:rPr>
            <w:fldChar w:fldCharType="end"/>
          </w:r>
          <w:r>
            <w:rPr>
              <w:sz w:val="21"/>
              <w:szCs w:val="24"/>
            </w:rPr>
            <w:fldChar w:fldCharType="end"/>
          </w:r>
        </w:p>
        <w:p w14:paraId="4B7930A1">
          <w:pPr>
            <w:pStyle w:val="16"/>
            <w:tabs>
              <w:tab w:val="right" w:leader="dot" w:pos="8306"/>
              <w:tab w:val="clear" w:pos="8296"/>
            </w:tabs>
            <w:rPr>
              <w:sz w:val="21"/>
              <w:szCs w:val="24"/>
            </w:rPr>
          </w:pPr>
          <w:r>
            <w:rPr>
              <w:sz w:val="21"/>
              <w:szCs w:val="24"/>
            </w:rPr>
            <w:fldChar w:fldCharType="begin"/>
          </w:r>
          <w:r>
            <w:rPr>
              <w:sz w:val="21"/>
              <w:szCs w:val="24"/>
            </w:rPr>
            <w:instrText xml:space="preserve"> HYPERLINK \l _Toc26219 </w:instrText>
          </w:r>
          <w:r>
            <w:rPr>
              <w:sz w:val="21"/>
              <w:szCs w:val="24"/>
            </w:rPr>
            <w:fldChar w:fldCharType="separate"/>
          </w:r>
          <w:r>
            <w:rPr>
              <w:rFonts w:hint="eastAsia" w:ascii="仿宋" w:eastAsia="仿宋"/>
              <w:bCs w:val="0"/>
              <w:sz w:val="21"/>
              <w:szCs w:val="24"/>
            </w:rPr>
            <w:t>七、</w:t>
          </w:r>
          <w:r>
            <w:rPr>
              <w:rFonts w:hint="eastAsia" w:ascii="仿宋" w:eastAsia="仿宋"/>
              <w:sz w:val="21"/>
              <w:szCs w:val="24"/>
            </w:rPr>
            <w:t>一</w:t>
          </w:r>
          <w:r>
            <w:rPr>
              <w:rFonts w:hint="eastAsia" w:ascii="仿宋" w:eastAsia="仿宋"/>
              <w:bCs w:val="0"/>
              <w:sz w:val="21"/>
              <w:szCs w:val="24"/>
            </w:rPr>
            <w:t>般公共预算财政拨款支出决算明细表</w:t>
          </w:r>
          <w:r>
            <w:rPr>
              <w:sz w:val="21"/>
              <w:szCs w:val="24"/>
            </w:rPr>
            <w:tab/>
          </w:r>
          <w:r>
            <w:rPr>
              <w:sz w:val="21"/>
              <w:szCs w:val="24"/>
            </w:rPr>
            <w:fldChar w:fldCharType="begin"/>
          </w:r>
          <w:r>
            <w:rPr>
              <w:sz w:val="21"/>
              <w:szCs w:val="24"/>
            </w:rPr>
            <w:instrText xml:space="preserve"> PAGEREF _Toc26219 </w:instrText>
          </w:r>
          <w:r>
            <w:rPr>
              <w:sz w:val="21"/>
              <w:szCs w:val="24"/>
            </w:rPr>
            <w:fldChar w:fldCharType="separate"/>
          </w:r>
          <w:r>
            <w:rPr>
              <w:sz w:val="21"/>
              <w:szCs w:val="24"/>
            </w:rPr>
            <w:t>43</w:t>
          </w:r>
          <w:r>
            <w:rPr>
              <w:sz w:val="21"/>
              <w:szCs w:val="24"/>
            </w:rPr>
            <w:fldChar w:fldCharType="end"/>
          </w:r>
          <w:r>
            <w:rPr>
              <w:sz w:val="21"/>
              <w:szCs w:val="24"/>
            </w:rPr>
            <w:fldChar w:fldCharType="end"/>
          </w:r>
        </w:p>
        <w:p w14:paraId="48BFF1E3">
          <w:pPr>
            <w:pStyle w:val="16"/>
            <w:tabs>
              <w:tab w:val="right" w:leader="dot" w:pos="8306"/>
              <w:tab w:val="clear" w:pos="8296"/>
            </w:tabs>
            <w:rPr>
              <w:sz w:val="21"/>
              <w:szCs w:val="24"/>
            </w:rPr>
          </w:pPr>
          <w:r>
            <w:rPr>
              <w:sz w:val="21"/>
              <w:szCs w:val="24"/>
            </w:rPr>
            <w:fldChar w:fldCharType="begin"/>
          </w:r>
          <w:r>
            <w:rPr>
              <w:sz w:val="21"/>
              <w:szCs w:val="24"/>
            </w:rPr>
            <w:instrText xml:space="preserve"> HYPERLINK \l _Toc29921 </w:instrText>
          </w:r>
          <w:r>
            <w:rPr>
              <w:sz w:val="21"/>
              <w:szCs w:val="24"/>
            </w:rPr>
            <w:fldChar w:fldCharType="separate"/>
          </w:r>
          <w:r>
            <w:rPr>
              <w:rFonts w:hint="eastAsia" w:ascii="仿宋" w:eastAsia="仿宋"/>
              <w:bCs w:val="0"/>
              <w:sz w:val="21"/>
              <w:szCs w:val="24"/>
            </w:rPr>
            <w:t>八、</w:t>
          </w:r>
          <w:r>
            <w:rPr>
              <w:rFonts w:hint="eastAsia" w:ascii="仿宋" w:eastAsia="仿宋"/>
              <w:sz w:val="21"/>
              <w:szCs w:val="24"/>
            </w:rPr>
            <w:t>一</w:t>
          </w:r>
          <w:r>
            <w:rPr>
              <w:rFonts w:hint="eastAsia" w:ascii="仿宋" w:eastAsia="仿宋"/>
              <w:bCs w:val="0"/>
              <w:sz w:val="21"/>
              <w:szCs w:val="24"/>
            </w:rPr>
            <w:t>般公共预算财政拨款基本支出决算表</w:t>
          </w:r>
          <w:r>
            <w:rPr>
              <w:sz w:val="21"/>
              <w:szCs w:val="24"/>
            </w:rPr>
            <w:tab/>
          </w:r>
          <w:r>
            <w:rPr>
              <w:sz w:val="21"/>
              <w:szCs w:val="24"/>
            </w:rPr>
            <w:fldChar w:fldCharType="begin"/>
          </w:r>
          <w:r>
            <w:rPr>
              <w:sz w:val="21"/>
              <w:szCs w:val="24"/>
            </w:rPr>
            <w:instrText xml:space="preserve"> PAGEREF _Toc29921 </w:instrText>
          </w:r>
          <w:r>
            <w:rPr>
              <w:sz w:val="21"/>
              <w:szCs w:val="24"/>
            </w:rPr>
            <w:fldChar w:fldCharType="separate"/>
          </w:r>
          <w:r>
            <w:rPr>
              <w:sz w:val="21"/>
              <w:szCs w:val="24"/>
            </w:rPr>
            <w:t>43</w:t>
          </w:r>
          <w:r>
            <w:rPr>
              <w:sz w:val="21"/>
              <w:szCs w:val="24"/>
            </w:rPr>
            <w:fldChar w:fldCharType="end"/>
          </w:r>
          <w:r>
            <w:rPr>
              <w:sz w:val="21"/>
              <w:szCs w:val="24"/>
            </w:rPr>
            <w:fldChar w:fldCharType="end"/>
          </w:r>
        </w:p>
        <w:p w14:paraId="76036AE7">
          <w:pPr>
            <w:pStyle w:val="16"/>
            <w:tabs>
              <w:tab w:val="right" w:leader="dot" w:pos="8306"/>
              <w:tab w:val="clear" w:pos="8296"/>
            </w:tabs>
            <w:rPr>
              <w:sz w:val="21"/>
              <w:szCs w:val="24"/>
            </w:rPr>
          </w:pPr>
          <w:r>
            <w:rPr>
              <w:sz w:val="21"/>
              <w:szCs w:val="24"/>
            </w:rPr>
            <w:fldChar w:fldCharType="begin"/>
          </w:r>
          <w:r>
            <w:rPr>
              <w:sz w:val="21"/>
              <w:szCs w:val="24"/>
            </w:rPr>
            <w:instrText xml:space="preserve"> HYPERLINK \l _Toc21041 </w:instrText>
          </w:r>
          <w:r>
            <w:rPr>
              <w:sz w:val="21"/>
              <w:szCs w:val="24"/>
            </w:rPr>
            <w:fldChar w:fldCharType="separate"/>
          </w:r>
          <w:r>
            <w:rPr>
              <w:rFonts w:hint="eastAsia" w:ascii="仿宋" w:eastAsia="仿宋"/>
              <w:bCs w:val="0"/>
              <w:sz w:val="21"/>
              <w:szCs w:val="24"/>
            </w:rPr>
            <w:t>九、</w:t>
          </w:r>
          <w:r>
            <w:rPr>
              <w:rFonts w:hint="eastAsia" w:ascii="仿宋" w:eastAsia="仿宋"/>
              <w:sz w:val="21"/>
              <w:szCs w:val="24"/>
            </w:rPr>
            <w:t>一</w:t>
          </w:r>
          <w:r>
            <w:rPr>
              <w:rFonts w:hint="eastAsia" w:ascii="仿宋" w:eastAsia="仿宋"/>
              <w:bCs w:val="0"/>
              <w:sz w:val="21"/>
              <w:szCs w:val="24"/>
            </w:rPr>
            <w:t>般公共预算财政拨款项目支出决算表</w:t>
          </w:r>
          <w:r>
            <w:rPr>
              <w:sz w:val="21"/>
              <w:szCs w:val="24"/>
            </w:rPr>
            <w:tab/>
          </w:r>
          <w:r>
            <w:rPr>
              <w:sz w:val="21"/>
              <w:szCs w:val="24"/>
            </w:rPr>
            <w:fldChar w:fldCharType="begin"/>
          </w:r>
          <w:r>
            <w:rPr>
              <w:sz w:val="21"/>
              <w:szCs w:val="24"/>
            </w:rPr>
            <w:instrText xml:space="preserve"> PAGEREF _Toc21041 </w:instrText>
          </w:r>
          <w:r>
            <w:rPr>
              <w:sz w:val="21"/>
              <w:szCs w:val="24"/>
            </w:rPr>
            <w:fldChar w:fldCharType="separate"/>
          </w:r>
          <w:r>
            <w:rPr>
              <w:sz w:val="21"/>
              <w:szCs w:val="24"/>
            </w:rPr>
            <w:t>43</w:t>
          </w:r>
          <w:r>
            <w:rPr>
              <w:sz w:val="21"/>
              <w:szCs w:val="24"/>
            </w:rPr>
            <w:fldChar w:fldCharType="end"/>
          </w:r>
          <w:r>
            <w:rPr>
              <w:sz w:val="21"/>
              <w:szCs w:val="24"/>
            </w:rPr>
            <w:fldChar w:fldCharType="end"/>
          </w:r>
        </w:p>
        <w:p w14:paraId="3617EEE2">
          <w:pPr>
            <w:pStyle w:val="16"/>
            <w:tabs>
              <w:tab w:val="right" w:leader="dot" w:pos="8306"/>
              <w:tab w:val="clear" w:pos="8296"/>
            </w:tabs>
            <w:rPr>
              <w:sz w:val="21"/>
              <w:szCs w:val="24"/>
            </w:rPr>
          </w:pPr>
          <w:r>
            <w:rPr>
              <w:sz w:val="21"/>
              <w:szCs w:val="24"/>
            </w:rPr>
            <w:fldChar w:fldCharType="begin"/>
          </w:r>
          <w:r>
            <w:rPr>
              <w:sz w:val="21"/>
              <w:szCs w:val="24"/>
            </w:rPr>
            <w:instrText xml:space="preserve"> HYPERLINK \l _Toc8604 </w:instrText>
          </w:r>
          <w:r>
            <w:rPr>
              <w:sz w:val="21"/>
              <w:szCs w:val="24"/>
            </w:rPr>
            <w:fldChar w:fldCharType="separate"/>
          </w:r>
          <w:r>
            <w:rPr>
              <w:rFonts w:hint="eastAsia" w:ascii="仿宋" w:eastAsia="仿宋"/>
              <w:bCs w:val="0"/>
              <w:sz w:val="21"/>
              <w:szCs w:val="24"/>
            </w:rPr>
            <w:t>十、</w:t>
          </w:r>
          <w:r>
            <w:rPr>
              <w:rFonts w:hint="eastAsia" w:ascii="仿宋" w:eastAsia="仿宋"/>
              <w:sz w:val="21"/>
              <w:szCs w:val="24"/>
            </w:rPr>
            <w:t>政</w:t>
          </w:r>
          <w:r>
            <w:rPr>
              <w:rFonts w:hint="eastAsia" w:ascii="仿宋" w:eastAsia="仿宋"/>
              <w:bCs w:val="0"/>
              <w:sz w:val="21"/>
              <w:szCs w:val="24"/>
            </w:rPr>
            <w:t>府性基金预算财政拨款收入支出决算表</w:t>
          </w:r>
          <w:r>
            <w:rPr>
              <w:sz w:val="21"/>
              <w:szCs w:val="24"/>
            </w:rPr>
            <w:tab/>
          </w:r>
          <w:r>
            <w:rPr>
              <w:sz w:val="21"/>
              <w:szCs w:val="24"/>
            </w:rPr>
            <w:fldChar w:fldCharType="begin"/>
          </w:r>
          <w:r>
            <w:rPr>
              <w:sz w:val="21"/>
              <w:szCs w:val="24"/>
            </w:rPr>
            <w:instrText xml:space="preserve"> PAGEREF _Toc8604 </w:instrText>
          </w:r>
          <w:r>
            <w:rPr>
              <w:sz w:val="21"/>
              <w:szCs w:val="24"/>
            </w:rPr>
            <w:fldChar w:fldCharType="separate"/>
          </w:r>
          <w:r>
            <w:rPr>
              <w:sz w:val="21"/>
              <w:szCs w:val="24"/>
            </w:rPr>
            <w:t>43</w:t>
          </w:r>
          <w:r>
            <w:rPr>
              <w:sz w:val="21"/>
              <w:szCs w:val="24"/>
            </w:rPr>
            <w:fldChar w:fldCharType="end"/>
          </w:r>
          <w:r>
            <w:rPr>
              <w:sz w:val="21"/>
              <w:szCs w:val="24"/>
            </w:rPr>
            <w:fldChar w:fldCharType="end"/>
          </w:r>
        </w:p>
        <w:p w14:paraId="17383E7F">
          <w:pPr>
            <w:pStyle w:val="16"/>
            <w:tabs>
              <w:tab w:val="right" w:leader="dot" w:pos="8306"/>
              <w:tab w:val="clear" w:pos="8296"/>
            </w:tabs>
            <w:rPr>
              <w:sz w:val="21"/>
              <w:szCs w:val="24"/>
            </w:rPr>
          </w:pPr>
          <w:r>
            <w:rPr>
              <w:sz w:val="21"/>
              <w:szCs w:val="24"/>
            </w:rPr>
            <w:fldChar w:fldCharType="begin"/>
          </w:r>
          <w:r>
            <w:rPr>
              <w:sz w:val="21"/>
              <w:szCs w:val="24"/>
            </w:rPr>
            <w:instrText xml:space="preserve"> HYPERLINK \l _Toc14584 </w:instrText>
          </w:r>
          <w:r>
            <w:rPr>
              <w:sz w:val="21"/>
              <w:szCs w:val="24"/>
            </w:rPr>
            <w:fldChar w:fldCharType="separate"/>
          </w:r>
          <w:r>
            <w:rPr>
              <w:rFonts w:hint="eastAsia" w:ascii="仿宋" w:eastAsia="仿宋"/>
              <w:bCs w:val="0"/>
              <w:sz w:val="21"/>
              <w:szCs w:val="24"/>
            </w:rPr>
            <w:t>十一、</w:t>
          </w:r>
          <w:r>
            <w:rPr>
              <w:rFonts w:hint="eastAsia" w:ascii="仿宋" w:eastAsia="仿宋"/>
              <w:sz w:val="21"/>
              <w:szCs w:val="24"/>
            </w:rPr>
            <w:t>国</w:t>
          </w:r>
          <w:r>
            <w:rPr>
              <w:rFonts w:hint="eastAsia" w:ascii="仿宋" w:eastAsia="仿宋"/>
              <w:bCs w:val="0"/>
              <w:sz w:val="21"/>
              <w:szCs w:val="24"/>
            </w:rPr>
            <w:t>有资本经营预算财政拨款收入支出决算表</w:t>
          </w:r>
          <w:r>
            <w:rPr>
              <w:sz w:val="21"/>
              <w:szCs w:val="24"/>
            </w:rPr>
            <w:tab/>
          </w:r>
          <w:r>
            <w:rPr>
              <w:sz w:val="21"/>
              <w:szCs w:val="24"/>
            </w:rPr>
            <w:fldChar w:fldCharType="begin"/>
          </w:r>
          <w:r>
            <w:rPr>
              <w:sz w:val="21"/>
              <w:szCs w:val="24"/>
            </w:rPr>
            <w:instrText xml:space="preserve"> PAGEREF _Toc14584 </w:instrText>
          </w:r>
          <w:r>
            <w:rPr>
              <w:sz w:val="21"/>
              <w:szCs w:val="24"/>
            </w:rPr>
            <w:fldChar w:fldCharType="separate"/>
          </w:r>
          <w:r>
            <w:rPr>
              <w:sz w:val="21"/>
              <w:szCs w:val="24"/>
            </w:rPr>
            <w:t>43</w:t>
          </w:r>
          <w:r>
            <w:rPr>
              <w:sz w:val="21"/>
              <w:szCs w:val="24"/>
            </w:rPr>
            <w:fldChar w:fldCharType="end"/>
          </w:r>
          <w:r>
            <w:rPr>
              <w:sz w:val="21"/>
              <w:szCs w:val="24"/>
            </w:rPr>
            <w:fldChar w:fldCharType="end"/>
          </w:r>
        </w:p>
        <w:p w14:paraId="53EF7A04">
          <w:pPr>
            <w:pStyle w:val="16"/>
            <w:tabs>
              <w:tab w:val="right" w:leader="dot" w:pos="8306"/>
              <w:tab w:val="clear" w:pos="8296"/>
            </w:tabs>
            <w:rPr>
              <w:sz w:val="21"/>
              <w:szCs w:val="24"/>
            </w:rPr>
          </w:pPr>
          <w:r>
            <w:rPr>
              <w:sz w:val="21"/>
              <w:szCs w:val="24"/>
            </w:rPr>
            <w:fldChar w:fldCharType="begin"/>
          </w:r>
          <w:r>
            <w:rPr>
              <w:sz w:val="21"/>
              <w:szCs w:val="24"/>
            </w:rPr>
            <w:instrText xml:space="preserve"> HYPERLINK \l _Toc28409 </w:instrText>
          </w:r>
          <w:r>
            <w:rPr>
              <w:sz w:val="21"/>
              <w:szCs w:val="24"/>
            </w:rPr>
            <w:fldChar w:fldCharType="separate"/>
          </w:r>
          <w:r>
            <w:rPr>
              <w:rFonts w:hint="eastAsia" w:ascii="仿宋" w:eastAsia="仿宋"/>
              <w:bCs w:val="0"/>
              <w:sz w:val="21"/>
              <w:szCs w:val="24"/>
            </w:rPr>
            <w:t>十二、国有资本经营预算财政拨款支出决算表</w:t>
          </w:r>
          <w:r>
            <w:rPr>
              <w:sz w:val="21"/>
              <w:szCs w:val="24"/>
            </w:rPr>
            <w:tab/>
          </w:r>
          <w:r>
            <w:rPr>
              <w:sz w:val="21"/>
              <w:szCs w:val="24"/>
            </w:rPr>
            <w:fldChar w:fldCharType="begin"/>
          </w:r>
          <w:r>
            <w:rPr>
              <w:sz w:val="21"/>
              <w:szCs w:val="24"/>
            </w:rPr>
            <w:instrText xml:space="preserve"> PAGEREF _Toc28409 </w:instrText>
          </w:r>
          <w:r>
            <w:rPr>
              <w:sz w:val="21"/>
              <w:szCs w:val="24"/>
            </w:rPr>
            <w:fldChar w:fldCharType="separate"/>
          </w:r>
          <w:r>
            <w:rPr>
              <w:sz w:val="21"/>
              <w:szCs w:val="24"/>
            </w:rPr>
            <w:t>43</w:t>
          </w:r>
          <w:r>
            <w:rPr>
              <w:sz w:val="21"/>
              <w:szCs w:val="24"/>
            </w:rPr>
            <w:fldChar w:fldCharType="end"/>
          </w:r>
          <w:r>
            <w:rPr>
              <w:sz w:val="21"/>
              <w:szCs w:val="24"/>
            </w:rPr>
            <w:fldChar w:fldCharType="end"/>
          </w:r>
        </w:p>
        <w:p w14:paraId="55D1AF95">
          <w:pPr>
            <w:pStyle w:val="16"/>
            <w:tabs>
              <w:tab w:val="right" w:leader="dot" w:pos="8306"/>
              <w:tab w:val="clear" w:pos="8296"/>
            </w:tabs>
            <w:rPr>
              <w:sz w:val="22"/>
              <w:szCs w:val="28"/>
            </w:rPr>
          </w:pPr>
          <w:r>
            <w:rPr>
              <w:sz w:val="21"/>
              <w:szCs w:val="24"/>
            </w:rPr>
            <w:fldChar w:fldCharType="begin"/>
          </w:r>
          <w:r>
            <w:rPr>
              <w:sz w:val="21"/>
              <w:szCs w:val="24"/>
            </w:rPr>
            <w:instrText xml:space="preserve"> HYPERLINK \l _Toc29162 </w:instrText>
          </w:r>
          <w:r>
            <w:rPr>
              <w:sz w:val="21"/>
              <w:szCs w:val="24"/>
            </w:rPr>
            <w:fldChar w:fldCharType="separate"/>
          </w:r>
          <w:r>
            <w:rPr>
              <w:rFonts w:hint="eastAsia" w:ascii="仿宋" w:eastAsia="仿宋"/>
              <w:bCs w:val="0"/>
              <w:sz w:val="21"/>
              <w:szCs w:val="24"/>
            </w:rPr>
            <w:t>十三、财政拨款“三公”经费支出决算表</w:t>
          </w:r>
          <w:r>
            <w:rPr>
              <w:sz w:val="21"/>
              <w:szCs w:val="24"/>
            </w:rPr>
            <w:tab/>
          </w:r>
          <w:r>
            <w:rPr>
              <w:sz w:val="21"/>
              <w:szCs w:val="24"/>
            </w:rPr>
            <w:fldChar w:fldCharType="begin"/>
          </w:r>
          <w:r>
            <w:rPr>
              <w:sz w:val="21"/>
              <w:szCs w:val="24"/>
            </w:rPr>
            <w:instrText xml:space="preserve"> PAGEREF _Toc29162 </w:instrText>
          </w:r>
          <w:r>
            <w:rPr>
              <w:sz w:val="21"/>
              <w:szCs w:val="24"/>
            </w:rPr>
            <w:fldChar w:fldCharType="separate"/>
          </w:r>
          <w:r>
            <w:rPr>
              <w:sz w:val="21"/>
              <w:szCs w:val="24"/>
            </w:rPr>
            <w:t>43</w:t>
          </w:r>
          <w:r>
            <w:rPr>
              <w:sz w:val="21"/>
              <w:szCs w:val="24"/>
            </w:rPr>
            <w:fldChar w:fldCharType="end"/>
          </w:r>
          <w:r>
            <w:rPr>
              <w:sz w:val="21"/>
              <w:szCs w:val="24"/>
            </w:rPr>
            <w:fldChar w:fldCharType="end"/>
          </w:r>
        </w:p>
        <w:p w14:paraId="198B609E">
          <w:pPr>
            <w:rPr>
              <w:sz w:val="21"/>
              <w:szCs w:val="21"/>
            </w:rPr>
          </w:pPr>
          <w:r>
            <w:rPr>
              <w:sz w:val="21"/>
              <w:szCs w:val="21"/>
            </w:rPr>
            <w:fldChar w:fldCharType="end"/>
          </w:r>
        </w:p>
      </w:sdtContent>
    </w:sdt>
    <w:p w14:paraId="45F8DFAE">
      <w:pPr>
        <w:widowControl/>
        <w:spacing w:line="440" w:lineRule="exact"/>
        <w:jc w:val="left"/>
        <w:rPr>
          <w:rFonts w:ascii="仿宋" w:eastAsia="仿宋"/>
          <w:bCs/>
          <w:kern w:val="44"/>
          <w:sz w:val="24"/>
        </w:rPr>
      </w:pPr>
      <w:r>
        <w:rPr>
          <w:rFonts w:ascii="仿宋" w:eastAsia="仿宋"/>
          <w:b/>
          <w:sz w:val="24"/>
        </w:rPr>
        <w:br w:type="page"/>
      </w:r>
    </w:p>
    <w:p w14:paraId="2E3E1DB4">
      <w:pPr>
        <w:pStyle w:val="5"/>
        <w:jc w:val="center"/>
        <w:rPr>
          <w:rStyle w:val="24"/>
          <w:rFonts w:ascii="黑体" w:eastAsia="黑体"/>
          <w:b/>
          <w:bCs w:val="0"/>
        </w:rPr>
      </w:pPr>
      <w:bookmarkStart w:id="31" w:name="_Toc22686"/>
      <w:r>
        <w:rPr>
          <w:rFonts w:hint="eastAsia" w:ascii="黑体" w:eastAsia="黑体"/>
          <w:b w:val="0"/>
        </w:rPr>
        <w:t xml:space="preserve">第一部分 </w:t>
      </w:r>
      <w:r>
        <w:rPr>
          <w:rStyle w:val="24"/>
          <w:rFonts w:hint="eastAsia" w:ascii="黑体" w:eastAsia="黑体"/>
          <w:b w:val="0"/>
          <w:bCs w:val="0"/>
        </w:rPr>
        <w:t>部门概况</w:t>
      </w:r>
      <w:bookmarkEnd w:id="29"/>
      <w:bookmarkEnd w:id="30"/>
      <w:bookmarkEnd w:id="31"/>
    </w:p>
    <w:p w14:paraId="004CBEF8">
      <w:pPr>
        <w:pStyle w:val="6"/>
        <w:numPr>
          <w:ilvl w:val="0"/>
          <w:numId w:val="1"/>
        </w:numPr>
        <w:rPr>
          <w:rFonts w:hint="default" w:ascii="仿宋_GB2312" w:hAnsi="仿宋" w:eastAsia="仿宋_GB2312" w:cs="仿宋"/>
          <w:b w:val="0"/>
          <w:kern w:val="0"/>
          <w:sz w:val="32"/>
          <w:szCs w:val="32"/>
        </w:rPr>
      </w:pPr>
      <w:bookmarkStart w:id="32" w:name="_Toc26821"/>
      <w:r>
        <w:rPr>
          <w:rFonts w:hint="eastAsia" w:ascii="黑体" w:eastAsia="黑体"/>
          <w:b w:val="0"/>
        </w:rPr>
        <w:t>部门职责</w:t>
      </w:r>
      <w:bookmarkEnd w:id="32"/>
      <w:bookmarkStart w:id="33" w:name="_Toc19604"/>
      <w:bookmarkStart w:id="34" w:name="_Toc27841"/>
      <w:bookmarkStart w:id="35" w:name="_Toc25241"/>
      <w:bookmarkStart w:id="36" w:name="_Toc17382"/>
      <w:bookmarkStart w:id="37" w:name="_Toc27837"/>
    </w:p>
    <w:p w14:paraId="0505E19A">
      <w:pPr>
        <w:keepNext w:val="0"/>
        <w:keepLines w:val="0"/>
        <w:pageBreakBefore w:val="0"/>
        <w:widowControl/>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left"/>
        <w:textAlignment w:val="auto"/>
        <w:outlineLvl w:val="1"/>
        <w:rPr>
          <w:rFonts w:hint="default" w:ascii="仿宋_GB2312" w:hAnsi="仿宋" w:eastAsia="仿宋_GB2312" w:cs="仿宋_GB2312"/>
          <w:b w:val="0"/>
          <w:kern w:val="0"/>
          <w:sz w:val="32"/>
          <w:szCs w:val="32"/>
          <w:lang w:val="en-US" w:eastAsia="zh-CN" w:bidi="ar"/>
        </w:rPr>
      </w:pPr>
      <w:r>
        <w:rPr>
          <w:rFonts w:hint="default" w:ascii="仿宋_GB2312" w:hAnsi="仿宋" w:eastAsia="仿宋_GB2312" w:cs="仿宋_GB2312"/>
          <w:b w:val="0"/>
          <w:kern w:val="0"/>
          <w:sz w:val="32"/>
          <w:szCs w:val="32"/>
          <w:lang w:val="en-US" w:eastAsia="zh-CN" w:bidi="ar"/>
        </w:rPr>
        <w:t>（一）履行政治领导责任，做好理论武装和思想政治工作，负责学习、宣传、贯彻执行党的理论和路线方针政策，贯彻落实党中央、省委、州委、县委的决策部署，发挥好把方向、管大局、保落实的重要作用。</w:t>
      </w:r>
      <w:bookmarkEnd w:id="33"/>
      <w:bookmarkEnd w:id="34"/>
      <w:bookmarkEnd w:id="35"/>
      <w:bookmarkEnd w:id="36"/>
      <w:bookmarkEnd w:id="37"/>
    </w:p>
    <w:p w14:paraId="49451C10">
      <w:pPr>
        <w:keepNext w:val="0"/>
        <w:keepLines w:val="0"/>
        <w:pageBreakBefore w:val="0"/>
        <w:widowControl/>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left"/>
        <w:textAlignment w:val="auto"/>
        <w:outlineLvl w:val="1"/>
        <w:rPr>
          <w:rFonts w:hint="default" w:ascii="仿宋_GB2312" w:hAnsi="仿宋" w:eastAsia="仿宋_GB2312" w:cs="仿宋"/>
          <w:b w:val="0"/>
          <w:kern w:val="0"/>
          <w:sz w:val="32"/>
          <w:szCs w:val="32"/>
        </w:rPr>
      </w:pPr>
      <w:bookmarkStart w:id="38" w:name="_Toc4250"/>
      <w:bookmarkStart w:id="39" w:name="_Toc27403"/>
      <w:bookmarkStart w:id="40" w:name="_Toc4737"/>
      <w:bookmarkStart w:id="41" w:name="_Toc25295"/>
      <w:bookmarkStart w:id="42" w:name="_Toc957"/>
      <w:r>
        <w:rPr>
          <w:rFonts w:hint="default" w:ascii="仿宋_GB2312" w:hAnsi="仿宋" w:eastAsia="仿宋_GB2312" w:cs="仿宋_GB2312"/>
          <w:b w:val="0"/>
          <w:kern w:val="0"/>
          <w:sz w:val="32"/>
          <w:szCs w:val="32"/>
          <w:lang w:val="en-US" w:eastAsia="zh-CN" w:bidi="ar"/>
        </w:rPr>
        <w:t>（二）讨论和决定本单位下列重大问题。党的路线方针政策、国家法律法规和上级党组织重要会议、重要文件、重大决策部署的贯彻落实事项。需要向上级党组织请示报告的重要事项。内部机构设置、职责、人员编制等事项。重大决策、重要人事任免、重大项目安排、大额资金使用等事项。基层党组织和党员队伍建设方面的重要事项。意识形态工作、思想政治工作和精神文明建设方面的重要事项。党风廉政建设和反腐败工作方面的重要事项。其他应当由党组讨论和决定的重大问题。</w:t>
      </w:r>
      <w:bookmarkEnd w:id="38"/>
      <w:bookmarkEnd w:id="39"/>
      <w:bookmarkEnd w:id="40"/>
      <w:bookmarkEnd w:id="41"/>
      <w:bookmarkEnd w:id="42"/>
    </w:p>
    <w:p w14:paraId="44A202C1">
      <w:pPr>
        <w:keepNext w:val="0"/>
        <w:keepLines w:val="0"/>
        <w:pageBreakBefore w:val="0"/>
        <w:widowControl/>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left"/>
        <w:textAlignment w:val="auto"/>
        <w:outlineLvl w:val="1"/>
        <w:rPr>
          <w:rFonts w:hint="default" w:ascii="仿宋_GB2312" w:hAnsi="仿宋" w:eastAsia="仿宋_GB2312" w:cs="仿宋"/>
          <w:b w:val="0"/>
          <w:kern w:val="0"/>
          <w:sz w:val="32"/>
          <w:szCs w:val="32"/>
        </w:rPr>
      </w:pPr>
      <w:bookmarkStart w:id="43" w:name="_Toc31222"/>
      <w:bookmarkStart w:id="44" w:name="_Toc1345"/>
      <w:bookmarkStart w:id="45" w:name="_Toc21623"/>
      <w:bookmarkStart w:id="46" w:name="_Toc16486"/>
      <w:bookmarkStart w:id="47" w:name="_Toc28915"/>
      <w:r>
        <w:rPr>
          <w:rFonts w:hint="default" w:ascii="仿宋_GB2312" w:hAnsi="仿宋" w:eastAsia="仿宋_GB2312" w:cs="仿宋_GB2312"/>
          <w:b w:val="0"/>
          <w:kern w:val="0"/>
          <w:sz w:val="32"/>
          <w:szCs w:val="32"/>
          <w:lang w:val="en-US" w:eastAsia="zh-CN" w:bidi="ar"/>
        </w:rPr>
        <w:t>（三）贯彻党管干部原则，加强干部队伍建设，完善干部培养选拔机制，加强干部教育管理监督。贯彻党管人才原则，加强人才队伍建设。加强对本单位工会、共青团、妇联等群团工作的领导。</w:t>
      </w:r>
      <w:bookmarkEnd w:id="43"/>
      <w:bookmarkEnd w:id="44"/>
      <w:bookmarkEnd w:id="45"/>
      <w:bookmarkEnd w:id="46"/>
      <w:bookmarkEnd w:id="47"/>
    </w:p>
    <w:p w14:paraId="62A1DAC2">
      <w:pPr>
        <w:keepNext w:val="0"/>
        <w:keepLines w:val="0"/>
        <w:pageBreakBefore w:val="0"/>
        <w:numPr>
          <w:ilvl w:val="0"/>
          <w:numId w:val="0"/>
        </w:numPr>
        <w:kinsoku/>
        <w:wordWrap/>
        <w:overflowPunct/>
        <w:topLinePunct w:val="0"/>
        <w:autoSpaceDN/>
        <w:bidi w:val="0"/>
        <w:adjustRightInd/>
        <w:spacing w:line="560" w:lineRule="exact"/>
        <w:ind w:firstLine="640" w:firstLineChars="200"/>
        <w:textAlignment w:val="auto"/>
        <w:rPr>
          <w:rFonts w:hint="default" w:ascii="仿宋_GB2312" w:hAnsi="仿宋" w:eastAsia="仿宋_GB2312" w:cs="仿宋_GB2312"/>
          <w:b w:val="0"/>
          <w:kern w:val="0"/>
          <w:sz w:val="32"/>
          <w:szCs w:val="32"/>
          <w:lang w:val="en-US" w:eastAsia="zh-CN" w:bidi="ar"/>
        </w:rPr>
      </w:pPr>
      <w:r>
        <w:rPr>
          <w:rFonts w:hint="default" w:ascii="仿宋_GB2312" w:hAnsi="仿宋" w:eastAsia="仿宋_GB2312" w:cs="仿宋_GB2312"/>
          <w:b w:val="0"/>
          <w:kern w:val="0"/>
          <w:sz w:val="32"/>
          <w:szCs w:val="32"/>
          <w:lang w:val="en-US" w:eastAsia="zh-CN" w:bidi="ar"/>
        </w:rPr>
        <w:t>（四）履行党要管党、从严治党责任，加强对本单位党的建设的领导，落实党建工作责任制。认真履行党风廉政建设主体责任，支持纪检监察机构履行监督责任。</w:t>
      </w:r>
    </w:p>
    <w:p w14:paraId="29C59CAC">
      <w:pPr>
        <w:pStyle w:val="6"/>
        <w:numPr>
          <w:ilvl w:val="0"/>
          <w:numId w:val="1"/>
        </w:numPr>
        <w:rPr>
          <w:rFonts w:hint="eastAsia" w:ascii="黑体" w:eastAsia="黑体" w:cs="Times New Roman"/>
          <w:b w:val="0"/>
          <w:lang w:eastAsia="zh-CN"/>
        </w:rPr>
      </w:pPr>
      <w:r>
        <w:rPr>
          <w:rFonts w:hint="eastAsia" w:ascii="黑体" w:eastAsia="黑体" w:cs="Times New Roman"/>
          <w:b w:val="0"/>
          <w:lang w:eastAsia="zh-CN"/>
        </w:rPr>
        <w:t>当年取得的主要事业成效。</w:t>
      </w:r>
    </w:p>
    <w:p w14:paraId="347ACE66">
      <w:pPr>
        <w:pStyle w:val="35"/>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楷体_GB2312" w:hAnsi="楷体_GB2312" w:eastAsia="楷体_GB2312" w:cs="楷体_GB2312"/>
          <w:bCs/>
          <w:spacing w:val="0"/>
          <w:kern w:val="2"/>
          <w:sz w:val="32"/>
          <w:szCs w:val="32"/>
          <w:lang w:val="en-US" w:eastAsia="zh-CN" w:bidi="ar-SA"/>
        </w:rPr>
      </w:pPr>
      <w:r>
        <w:rPr>
          <w:rFonts w:hint="eastAsia" w:ascii="楷体_GB2312" w:hAnsi="楷体_GB2312" w:eastAsia="楷体_GB2312" w:cs="楷体_GB2312"/>
          <w:bCs/>
          <w:spacing w:val="0"/>
          <w:kern w:val="2"/>
          <w:sz w:val="32"/>
          <w:szCs w:val="32"/>
          <w:lang w:val="en-US" w:eastAsia="zh-CN" w:bidi="ar-SA"/>
        </w:rPr>
        <w:t>国土空间规划</w:t>
      </w:r>
    </w:p>
    <w:p w14:paraId="79B37130">
      <w:pPr>
        <w:pStyle w:val="35"/>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Cs/>
          <w:spacing w:val="0"/>
          <w:kern w:val="2"/>
          <w:sz w:val="32"/>
          <w:szCs w:val="32"/>
          <w:lang w:val="en-US" w:eastAsia="zh-CN" w:bidi="ar-SA"/>
        </w:rPr>
      </w:pPr>
      <w:r>
        <w:rPr>
          <w:rFonts w:hint="eastAsia" w:ascii="仿宋_GB2312" w:hAnsi="仿宋_GB2312" w:eastAsia="仿宋_GB2312" w:cs="仿宋_GB2312"/>
          <w:b/>
          <w:bCs w:val="0"/>
          <w:spacing w:val="0"/>
          <w:kern w:val="2"/>
          <w:sz w:val="32"/>
          <w:szCs w:val="32"/>
          <w:lang w:val="en-US" w:eastAsia="zh-CN" w:bidi="ar-SA"/>
        </w:rPr>
        <w:t>一是</w:t>
      </w:r>
      <w:r>
        <w:rPr>
          <w:rFonts w:hint="eastAsia" w:ascii="仿宋_GB2312" w:hAnsi="仿宋_GB2312" w:eastAsia="仿宋_GB2312" w:cs="仿宋_GB2312"/>
          <w:bCs/>
          <w:spacing w:val="0"/>
          <w:kern w:val="2"/>
          <w:sz w:val="32"/>
          <w:szCs w:val="32"/>
          <w:lang w:val="en-US" w:eastAsia="zh-CN" w:bidi="ar-SA"/>
        </w:rPr>
        <w:t>差别化、个性化编制国土空间规划。安曲清洁能源空港片区规划成果紧扣片区特色定位，坚持生态优先、绿色发展的总体思路，坚持符合实际、具有可操作性、实用性的国土空间规划编制原则，以黄河流域高质量发展为导向，规划围绕“高原空港、牧旅家园”主题，对产业、城镇、乡村空间布局做出安排，落实清洁能源—光伏用地、牧草种植用地、畜牧养殖基地等用地安排，并在城镇空间上预留发展空间，以留白用地形式应对规划期内用地的不确定性，以镇乡村均衡化构建公共服务体系、以“强弱补短”强化基础设施配套建设。</w:t>
      </w:r>
      <w:r>
        <w:rPr>
          <w:rFonts w:hint="eastAsia" w:ascii="仿宋_GB2312" w:hAnsi="仿宋_GB2312" w:eastAsia="仿宋_GB2312" w:cs="仿宋_GB2312"/>
          <w:b/>
          <w:bCs w:val="0"/>
          <w:spacing w:val="0"/>
          <w:kern w:val="2"/>
          <w:sz w:val="32"/>
          <w:szCs w:val="32"/>
          <w:lang w:val="en-US" w:eastAsia="zh-CN" w:bidi="ar-SA"/>
        </w:rPr>
        <w:t>二是</w:t>
      </w:r>
      <w:r>
        <w:rPr>
          <w:rFonts w:hint="eastAsia" w:ascii="仿宋_GB2312" w:hAnsi="仿宋_GB2312" w:eastAsia="仿宋_GB2312" w:cs="仿宋_GB2312"/>
          <w:bCs/>
          <w:spacing w:val="0"/>
          <w:kern w:val="2"/>
          <w:sz w:val="32"/>
          <w:szCs w:val="32"/>
          <w:lang w:val="en-US" w:eastAsia="zh-CN" w:bidi="ar-SA"/>
        </w:rPr>
        <w:t>最大程度使用脱贫攻坚指标，全力保障乡村振兴。在规划编制过程中，我县积极探索新发展思路，强化新发展理念。为保障县域片区高质量发展，最大程度使用州级下达600亩脱贫攻坚年度用地指标，该项指标主要用于红原县城市供暖（二期）项目、黄河流域生活垃圾无害化技术处理建设项目、红原县垃圾焚烧飞灰固化填埋场建设项目、红原县高原绿色环保基地基础设施建设项目以及红原县安曲镇瓯越供暖设备加工调试建设项目、红原县月亮湾景区游客中心建设等项目，全力保障乡村振兴用地需求。</w:t>
      </w:r>
    </w:p>
    <w:p w14:paraId="2F5E2836">
      <w:pPr>
        <w:pStyle w:val="35"/>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楷体_GB2312" w:hAnsi="楷体_GB2312" w:eastAsia="楷体_GB2312" w:cs="楷体_GB2312"/>
          <w:bCs/>
          <w:spacing w:val="0"/>
          <w:kern w:val="2"/>
          <w:sz w:val="32"/>
          <w:szCs w:val="32"/>
          <w:lang w:val="en-US" w:eastAsia="zh-CN" w:bidi="ar-SA"/>
        </w:rPr>
      </w:pPr>
      <w:r>
        <w:rPr>
          <w:rFonts w:hint="eastAsia" w:ascii="楷体_GB2312" w:hAnsi="楷体_GB2312" w:eastAsia="楷体_GB2312" w:cs="楷体_GB2312"/>
          <w:bCs/>
          <w:spacing w:val="0"/>
          <w:kern w:val="2"/>
          <w:sz w:val="32"/>
          <w:szCs w:val="32"/>
          <w:lang w:val="en-US" w:eastAsia="zh-CN" w:bidi="ar-SA"/>
        </w:rPr>
        <w:t>山水项目</w:t>
      </w:r>
    </w:p>
    <w:p w14:paraId="73D7E845">
      <w:pPr>
        <w:keepNext w:val="0"/>
        <w:keepLines w:val="0"/>
        <w:pageBreakBefore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一是示范项目打造</w:t>
      </w:r>
      <w:r>
        <w:rPr>
          <w:rFonts w:hint="eastAsia" w:ascii="仿宋_GB2312" w:hAnsi="仿宋_GB2312" w:eastAsia="仿宋_GB2312" w:cs="仿宋_GB2312"/>
          <w:color w:val="auto"/>
          <w:sz w:val="32"/>
          <w:szCs w:val="32"/>
          <w:lang w:val="en-US" w:eastAsia="zh-CN"/>
        </w:rPr>
        <w:t>，结合红原总体布局，因地制宜，按照特色亮点多、修复效果好的标准，扎实做好“山水工程”项目的编制和申报，谋划储备一批打基础、管长远、利全局的“山水工程”项目示范样板。</w:t>
      </w:r>
      <w:r>
        <w:rPr>
          <w:rFonts w:hint="eastAsia" w:ascii="仿宋_GB2312" w:hAnsi="仿宋_GB2312" w:eastAsia="仿宋_GB2312" w:cs="仿宋_GB2312"/>
          <w:b/>
          <w:bCs/>
          <w:color w:val="auto"/>
          <w:sz w:val="32"/>
          <w:szCs w:val="32"/>
          <w:lang w:val="en-US" w:eastAsia="zh-CN"/>
        </w:rPr>
        <w:t>二是扩充项目储备。</w:t>
      </w:r>
      <w:r>
        <w:rPr>
          <w:rFonts w:hint="eastAsia" w:ascii="Times New Roman" w:hAnsi="Times New Roman" w:eastAsia="仿宋_GB2312" w:cs="Times New Roman"/>
          <w:color w:val="auto"/>
          <w:sz w:val="32"/>
          <w:szCs w:val="32"/>
          <w:lang w:val="en-US" w:eastAsia="zh-CN"/>
        </w:rPr>
        <w:t>山水工程”项目对照州</w:t>
      </w:r>
      <w:r>
        <w:rPr>
          <w:rFonts w:hint="default" w:ascii="Times New Roman" w:hAnsi="Times New Roman" w:eastAsia="仿宋_GB2312" w:cs="Times New Roman"/>
          <w:color w:val="auto"/>
          <w:sz w:val="32"/>
          <w:szCs w:val="32"/>
          <w:lang w:val="en-US" w:eastAsia="zh-CN"/>
        </w:rPr>
        <w:t>下达</w:t>
      </w:r>
      <w:r>
        <w:rPr>
          <w:rFonts w:hint="eastAsia" w:ascii="Times New Roman" w:hAnsi="Times New Roman" w:eastAsia="仿宋_GB2312" w:cs="Times New Roman"/>
          <w:color w:val="auto"/>
          <w:sz w:val="32"/>
          <w:szCs w:val="32"/>
          <w:lang w:val="en-US" w:eastAsia="zh-CN"/>
        </w:rPr>
        <w:t>指标进行编制和申报，为防止申报项目被调整删减或财评核减等情况发生，将进一步强化</w:t>
      </w:r>
      <w:r>
        <w:rPr>
          <w:rFonts w:hint="default" w:ascii="Times New Roman" w:hAnsi="Times New Roman" w:eastAsia="仿宋_GB2312" w:cs="Times New Roman"/>
          <w:color w:val="auto"/>
          <w:sz w:val="32"/>
          <w:szCs w:val="32"/>
          <w:lang w:val="en-US" w:eastAsia="zh-CN"/>
        </w:rPr>
        <w:t>项目储备</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谋划储备一批打基础、管长远、利全局的重大项目，</w:t>
      </w:r>
      <w:r>
        <w:rPr>
          <w:rFonts w:hint="eastAsia" w:ascii="Times New Roman" w:hAnsi="Times New Roman" w:eastAsia="仿宋_GB2312" w:cs="Times New Roman"/>
          <w:color w:val="auto"/>
          <w:sz w:val="32"/>
          <w:szCs w:val="32"/>
          <w:lang w:val="en-US" w:eastAsia="zh-CN"/>
        </w:rPr>
        <w:t>为</w:t>
      </w:r>
      <w:r>
        <w:rPr>
          <w:rFonts w:hint="default" w:ascii="Times New Roman" w:hAnsi="Times New Roman" w:eastAsia="仿宋_GB2312" w:cs="Times New Roman"/>
          <w:color w:val="auto"/>
          <w:sz w:val="32"/>
          <w:szCs w:val="32"/>
          <w:lang w:val="en-US" w:eastAsia="zh-CN"/>
        </w:rPr>
        <w:t>及时补充申报</w:t>
      </w:r>
      <w:r>
        <w:rPr>
          <w:rFonts w:hint="eastAsia" w:ascii="Times New Roman" w:hAnsi="Times New Roman" w:eastAsia="仿宋_GB2312" w:cs="Times New Roman"/>
          <w:color w:val="auto"/>
          <w:sz w:val="32"/>
          <w:szCs w:val="32"/>
          <w:lang w:val="en-US" w:eastAsia="zh-CN"/>
        </w:rPr>
        <w:t>做好项目储备保障</w:t>
      </w:r>
      <w:r>
        <w:rPr>
          <w:rFonts w:hint="default" w:ascii="Times New Roman" w:hAnsi="Times New Roman" w:eastAsia="仿宋_GB2312" w:cs="Times New Roman"/>
          <w:color w:val="auto"/>
          <w:sz w:val="32"/>
          <w:szCs w:val="32"/>
          <w:lang w:val="en-US" w:eastAsia="zh-CN"/>
        </w:rPr>
        <w:t>，确保山水工程项目能精准对标</w:t>
      </w:r>
      <w:r>
        <w:rPr>
          <w:rFonts w:hint="eastAsia" w:ascii="Times New Roman" w:hAnsi="Times New Roman" w:eastAsia="仿宋_GB2312" w:cs="Times New Roman"/>
          <w:color w:val="auto"/>
          <w:sz w:val="32"/>
          <w:szCs w:val="32"/>
          <w:lang w:val="en-US" w:eastAsia="zh-CN"/>
        </w:rPr>
        <w:t>州级绩效目标考核任务</w:t>
      </w:r>
      <w:r>
        <w:rPr>
          <w:rFonts w:hint="eastAsia" w:ascii="仿宋_GB2312" w:hAnsi="仿宋_GB2312" w:eastAsia="仿宋_GB2312" w:cs="仿宋_GB2312"/>
          <w:color w:val="auto"/>
          <w:sz w:val="32"/>
          <w:szCs w:val="32"/>
          <w:lang w:val="en-US" w:eastAsia="zh-CN"/>
        </w:rPr>
        <w:t>。</w:t>
      </w:r>
    </w:p>
    <w:p w14:paraId="5A462650">
      <w:pPr>
        <w:pStyle w:val="2"/>
      </w:pPr>
    </w:p>
    <w:p w14:paraId="075DAD8A">
      <w:pPr>
        <w:pStyle w:val="6"/>
        <w:rPr>
          <w:rStyle w:val="25"/>
          <w:b w:val="0"/>
          <w:bCs w:val="0"/>
        </w:rPr>
      </w:pPr>
      <w:bookmarkStart w:id="48" w:name="_Toc15377200"/>
      <w:bookmarkStart w:id="49" w:name="_Toc15396601"/>
      <w:bookmarkStart w:id="50" w:name="_Toc11868"/>
      <w:r>
        <w:rPr>
          <w:rFonts w:hint="eastAsia" w:ascii="黑体" w:eastAsia="黑体"/>
          <w:b w:val="0"/>
          <w:lang w:eastAsia="zh-CN"/>
        </w:rPr>
        <w:t>三</w:t>
      </w:r>
      <w:r>
        <w:rPr>
          <w:rFonts w:hint="eastAsia" w:ascii="黑体" w:eastAsia="黑体"/>
          <w:b w:val="0"/>
        </w:rPr>
        <w:t>、机</w:t>
      </w:r>
      <w:r>
        <w:rPr>
          <w:rStyle w:val="25"/>
          <w:rFonts w:hint="eastAsia" w:ascii="黑体" w:eastAsia="黑体"/>
          <w:b w:val="0"/>
          <w:bCs w:val="0"/>
        </w:rPr>
        <w:t>构设置</w:t>
      </w:r>
      <w:bookmarkEnd w:id="48"/>
      <w:bookmarkEnd w:id="49"/>
      <w:bookmarkEnd w:id="50"/>
    </w:p>
    <w:p w14:paraId="781B38FA">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eastAsia" w:ascii="楷体" w:hAnsi="楷体" w:eastAsia="楷体" w:cs="楷体"/>
          <w:b w:val="0"/>
          <w:kern w:val="0"/>
          <w:sz w:val="32"/>
          <w:szCs w:val="32"/>
        </w:rPr>
      </w:pPr>
      <w:r>
        <w:rPr>
          <w:rFonts w:hint="eastAsia" w:ascii="楷体" w:hAnsi="楷体" w:eastAsia="楷体" w:cs="楷体"/>
          <w:b w:val="0"/>
          <w:kern w:val="0"/>
          <w:sz w:val="32"/>
          <w:szCs w:val="32"/>
          <w:lang w:val="en-US" w:eastAsia="zh-CN" w:bidi="ar"/>
        </w:rPr>
        <w:t>(一)办公室</w:t>
      </w:r>
    </w:p>
    <w:p w14:paraId="01943BB1">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default" w:ascii="宋体" w:hAnsi="宋体" w:eastAsia="仿宋_GB2312" w:cs="宋体"/>
          <w:b w:val="0"/>
          <w:color w:val="000000"/>
          <w:kern w:val="0"/>
          <w:sz w:val="32"/>
          <w:szCs w:val="32"/>
        </w:rPr>
      </w:pPr>
      <w:r>
        <w:rPr>
          <w:rFonts w:hint="default" w:ascii="仿宋_GB2312" w:hAnsi="宋体" w:eastAsia="仿宋_GB2312" w:cs="仿宋_GB2312"/>
          <w:b w:val="0"/>
          <w:kern w:val="0"/>
          <w:sz w:val="32"/>
          <w:szCs w:val="32"/>
          <w:lang w:val="en-US" w:eastAsia="zh-CN" w:bidi="ar"/>
        </w:rPr>
        <w:t>负责文电、会务、档案、机要、后勤等机关日常运转工作；承担保密、安全、信息、信访、绩效管理、政务公开、新闻宣传工作；做好党建、党风廉政建设、意识形态、群团、信访等工作；承担有关文稿、报告、调研和史志年鉴编撰工作；组织办理人大代表建议、政协委员提案；承担机构编制、离退休人员、干部培训和人事等工作；指导本行业综合行政执法，承担有关行政应诉、行政复议、行政调解、规范性文件的合法性审核与报备等工作；</w:t>
      </w:r>
      <w:r>
        <w:rPr>
          <w:rFonts w:hint="default" w:ascii="仿宋_GB2312" w:hAnsi="宋体" w:eastAsia="仿宋_GB2312" w:cs="仿宋_GB2312"/>
          <w:b w:val="0"/>
          <w:color w:val="000000"/>
          <w:kern w:val="0"/>
          <w:sz w:val="32"/>
          <w:szCs w:val="32"/>
          <w:lang w:val="en-US" w:eastAsia="zh-CN" w:bidi="ar"/>
        </w:rPr>
        <w:t>牵头协调推进本系统</w:t>
      </w:r>
      <w:r>
        <w:rPr>
          <w:rFonts w:hint="eastAsia" w:ascii="宋体" w:hAnsi="宋体" w:eastAsia="仿宋_GB2312" w:cs="宋体"/>
          <w:b w:val="0"/>
          <w:color w:val="000000"/>
          <w:kern w:val="0"/>
          <w:sz w:val="32"/>
          <w:szCs w:val="32"/>
          <w:lang w:val="en-US" w:eastAsia="zh-CN" w:bidi="ar"/>
        </w:rPr>
        <w:t>“</w:t>
      </w:r>
      <w:r>
        <w:rPr>
          <w:rFonts w:hint="default" w:ascii="仿宋_GB2312" w:hAnsi="宋体" w:eastAsia="仿宋_GB2312" w:cs="仿宋_GB2312"/>
          <w:b w:val="0"/>
          <w:color w:val="000000"/>
          <w:kern w:val="0"/>
          <w:sz w:val="32"/>
          <w:szCs w:val="32"/>
          <w:lang w:val="en-US" w:eastAsia="zh-CN" w:bidi="ar"/>
        </w:rPr>
        <w:t>放管服</w:t>
      </w:r>
      <w:r>
        <w:rPr>
          <w:rFonts w:hint="eastAsia" w:ascii="宋体" w:hAnsi="宋体" w:eastAsia="宋体" w:cs="宋体"/>
          <w:b w:val="0"/>
          <w:color w:val="000000"/>
          <w:kern w:val="0"/>
          <w:sz w:val="32"/>
          <w:szCs w:val="32"/>
          <w:lang w:val="en-US" w:eastAsia="zh-CN" w:bidi="ar"/>
        </w:rPr>
        <w:t>’</w:t>
      </w:r>
      <w:r>
        <w:rPr>
          <w:rFonts w:hint="default" w:ascii="仿宋_GB2312" w:hAnsi="宋体" w:eastAsia="仿宋_GB2312" w:cs="仿宋_GB2312"/>
          <w:b w:val="0"/>
          <w:color w:val="000000"/>
          <w:kern w:val="0"/>
          <w:sz w:val="32"/>
          <w:szCs w:val="32"/>
          <w:lang w:val="en-US" w:eastAsia="zh-CN" w:bidi="ar"/>
        </w:rPr>
        <w:t>改革，承担审批服务便民化有关工作；落实党中央、国务院、省委、省政府关于自然资源和国土空间规划的重大方针政策、决策部署及法律法规执行情况。</w:t>
      </w:r>
    </w:p>
    <w:p w14:paraId="0C55F850">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default" w:ascii="楷体_GB2312" w:hAnsi="宋体" w:eastAsia="楷体_GB2312" w:cs="宋体"/>
          <w:b w:val="0"/>
          <w:kern w:val="0"/>
          <w:sz w:val="32"/>
          <w:szCs w:val="32"/>
        </w:rPr>
      </w:pPr>
      <w:r>
        <w:rPr>
          <w:rFonts w:hint="default" w:ascii="仿宋_GB2312" w:hAnsi="宋体" w:eastAsia="仿宋_GB2312" w:cs="仿宋_GB2312"/>
          <w:b w:val="0"/>
          <w:kern w:val="0"/>
          <w:sz w:val="32"/>
          <w:szCs w:val="32"/>
          <w:lang w:val="en-US" w:eastAsia="zh-CN" w:bidi="ar"/>
        </w:rPr>
        <w:t>承担自然资源专项收入征管和专项资金、基金的管理工作。拟订有关财务、资产管理的规章，负责机关和所属单位财务及国有资产监管，负责部门预决算、政府采购、国库集中支付工作。管理基本建设及重大专项投资、重大装备。承担财政和社会资金的结构优化和监测工作，拟订合理利用社会资金的政策措施，提出重大备选项目。</w:t>
      </w:r>
    </w:p>
    <w:p w14:paraId="2D17F887">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eastAsia" w:ascii="楷体" w:hAnsi="楷体" w:eastAsia="楷体" w:cs="楷体"/>
          <w:b w:val="0"/>
          <w:color w:val="000000"/>
          <w:kern w:val="0"/>
          <w:sz w:val="32"/>
          <w:szCs w:val="32"/>
        </w:rPr>
      </w:pPr>
      <w:r>
        <w:rPr>
          <w:rFonts w:hint="eastAsia" w:ascii="楷体" w:hAnsi="楷体" w:eastAsia="楷体" w:cs="楷体"/>
          <w:b w:val="0"/>
          <w:color w:val="000000"/>
          <w:kern w:val="0"/>
          <w:sz w:val="32"/>
          <w:szCs w:val="32"/>
          <w:lang w:val="en-US" w:eastAsia="zh-CN" w:bidi="ar"/>
        </w:rPr>
        <w:t>(二)建设用地和规划股</w:t>
      </w:r>
    </w:p>
    <w:p w14:paraId="38C69662">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default" w:ascii="宋体" w:hAnsi="宋体" w:eastAsia="仿宋_GB2312" w:cs="宋体"/>
          <w:b w:val="0"/>
          <w:kern w:val="0"/>
          <w:sz w:val="32"/>
          <w:szCs w:val="32"/>
        </w:rPr>
      </w:pPr>
      <w:r>
        <w:rPr>
          <w:rFonts w:hint="default" w:ascii="仿宋_GB2312" w:hAnsi="宋体" w:eastAsia="仿宋_GB2312" w:cs="仿宋_GB2312"/>
          <w:b w:val="0"/>
          <w:kern w:val="0"/>
          <w:sz w:val="32"/>
          <w:szCs w:val="32"/>
          <w:lang w:val="en-US" w:eastAsia="zh-CN" w:bidi="ar"/>
        </w:rPr>
        <w:t>依法管理土地资产，组织实施土地利用使用权出让、转让、招标、拍卖、作价出资、入股、交易和政府收购、储备管理工作；组织实施土地资源调查，动态监测和统计。拟订并实施全县耕地保护政策，组织实施耕地保护责任目标考核和永久基本农田特殊保护，负责永久基本农田划定、占用和补划的监督管理。承担生态保护补偿相关工作。负责耕地保护政策与林地、草地、湿地等土地资源保护政策的衔接。负责全县自然资源市场监督管理和动态监测，建立自然资源市场信用体系。建立政府公示自然资源价格体系，组织开展全县自然资源分等定级价格评估。拟订自然资源开发利用地方标准，开展评价考核，指导节约集约利用。国有土地资产处置相关工作。</w:t>
      </w:r>
    </w:p>
    <w:p w14:paraId="6B5B5F87">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default" w:ascii="仿宋_GB2312" w:eastAsia="仿宋_GB2312" w:cs="仿宋_GB2312"/>
          <w:b w:val="0"/>
          <w:kern w:val="0"/>
          <w:sz w:val="32"/>
          <w:szCs w:val="32"/>
        </w:rPr>
      </w:pPr>
      <w:r>
        <w:rPr>
          <w:rFonts w:hint="default" w:ascii="仿宋_GB2312" w:hAnsi="宋体" w:eastAsia="仿宋_GB2312" w:cs="仿宋_GB2312"/>
          <w:b w:val="0"/>
          <w:kern w:val="0"/>
          <w:sz w:val="32"/>
          <w:szCs w:val="32"/>
          <w:lang w:val="en-US" w:eastAsia="zh-CN" w:bidi="ar"/>
        </w:rPr>
        <w:t>承担组织实施编制自然资源发展战略、中长期规划。督促实施国土空间规划相关政策，承担建立空间规划体系工作并监督实施。组织编制全县国土空间规划和相关专项规划并监督实施。承担报省政府和州政府审批的国土空间规划的审核、报批工作，指导和审核涉及国土空间开发利用的全县重大专项规划。开展国土空间开发适宜性评价，建立国土空间规划实施监测、评估和预警体系。组织执行国土空间用途管制制度规范和技术标准。提出全县土地年度利用计划并组织实施。组织实施耕地、林地、草地、湿地等国土空间用途转用政策和管理规定，承担全县建设项目用地预审工作。拟订开展城乡规划管理和主体功能区规划编制等用途管制政策并监督实施。</w:t>
      </w:r>
    </w:p>
    <w:p w14:paraId="1CCBCFA4">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eastAsia" w:ascii="楷体" w:hAnsi="楷体" w:eastAsia="楷体" w:cs="楷体"/>
          <w:b w:val="0"/>
          <w:kern w:val="0"/>
          <w:sz w:val="32"/>
          <w:szCs w:val="32"/>
        </w:rPr>
      </w:pPr>
      <w:r>
        <w:rPr>
          <w:rFonts w:hint="eastAsia" w:ascii="楷体" w:hAnsi="楷体" w:eastAsia="楷体" w:cs="楷体"/>
          <w:b w:val="0"/>
          <w:kern w:val="0"/>
          <w:sz w:val="32"/>
          <w:szCs w:val="32"/>
          <w:lang w:val="en-US" w:eastAsia="zh-CN" w:bidi="ar"/>
        </w:rPr>
        <w:t>(三)资源环境和矿产管理股</w:t>
      </w:r>
    </w:p>
    <w:p w14:paraId="301628D8">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default" w:ascii="仿宋_GB2312" w:hAnsi="宋体" w:eastAsia="仿宋_GB2312" w:cs="宋体"/>
          <w:b w:val="0"/>
          <w:kern w:val="0"/>
          <w:sz w:val="32"/>
          <w:szCs w:val="32"/>
        </w:rPr>
      </w:pPr>
      <w:r>
        <w:rPr>
          <w:rFonts w:hint="default" w:ascii="仿宋_GB2312" w:hAnsi="宋体" w:eastAsia="仿宋_GB2312" w:cs="仿宋_GB2312"/>
          <w:b w:val="0"/>
          <w:kern w:val="0"/>
          <w:sz w:val="32"/>
          <w:szCs w:val="32"/>
          <w:lang w:val="en-US" w:eastAsia="zh-CN" w:bidi="ar"/>
        </w:rPr>
        <w:t>管理全县地质勘查行业和地质工作，拟订全县地质勘查规划并监督检查执行情况。管理县级地质勘查项目，组织实施重大地质矿产勘查专项。负责全县公益性地质调查和矿产资源调查评价。承担全县地质勘查行业统计和成果统计，监督管理矿产资源勘查行为。</w:t>
      </w:r>
    </w:p>
    <w:p w14:paraId="36B41F84">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eastAsia" w:ascii="宋体" w:hAnsi="宋体" w:eastAsia="仿宋_GB2312" w:cs="宋体"/>
          <w:b w:val="0"/>
          <w:kern w:val="0"/>
          <w:sz w:val="32"/>
          <w:szCs w:val="32"/>
        </w:rPr>
      </w:pPr>
      <w:r>
        <w:rPr>
          <w:rFonts w:hint="default" w:ascii="仿宋_GB2312" w:hAnsi="宋体" w:eastAsia="仿宋_GB2312" w:cs="仿宋_GB2312"/>
          <w:b w:val="0"/>
          <w:kern w:val="0"/>
          <w:sz w:val="32"/>
          <w:szCs w:val="32"/>
          <w:lang w:val="en-US" w:eastAsia="zh-CN" w:bidi="ar"/>
        </w:rPr>
        <w:t>拟订全县矿业权管理政策并组织实施，负责县级发证的矿产资源矿业权出让及审批登记。统计分析并指导全县探矿权、采矿权审批登记，调处重大权属纠纷。承担保护性开采的特定矿种、优势矿产的开采总量控制及相关管理工作。负责职责范围内的安全生产和职业健康工作。</w:t>
      </w:r>
    </w:p>
    <w:p w14:paraId="167E2A47">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default" w:ascii="仿宋_GB2312" w:hAnsi="宋体" w:eastAsia="仿宋_GB2312" w:cs="宋体"/>
          <w:b w:val="0"/>
          <w:kern w:val="0"/>
          <w:sz w:val="32"/>
          <w:szCs w:val="32"/>
        </w:rPr>
      </w:pPr>
      <w:r>
        <w:rPr>
          <w:rFonts w:hint="default" w:ascii="仿宋_GB2312" w:hAnsi="宋体" w:eastAsia="仿宋_GB2312" w:cs="仿宋_GB2312"/>
          <w:b w:val="0"/>
          <w:kern w:val="0"/>
          <w:sz w:val="32"/>
          <w:szCs w:val="32"/>
          <w:lang w:val="en-US" w:eastAsia="zh-CN" w:bidi="ar"/>
        </w:rPr>
        <w:t>拟订全县矿产资源战略、政策和规划并组织实施，监督指导矿产资源合理利用和保护。承担矿产资源储量评审、备案、登记、统计和信息发布及压覆矿产资源审批管理、矿产地战略储备工作。实施矿山储量动态管理，建立矿产资源安全监测预警体系。监督地质资料汇交、保管和利用，监督管理古生物化石。</w:t>
      </w:r>
    </w:p>
    <w:p w14:paraId="401E4752">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560" w:lineRule="exact"/>
        <w:ind w:left="0" w:right="0" w:firstLine="640" w:firstLineChars="200"/>
        <w:jc w:val="both"/>
        <w:textAlignment w:val="auto"/>
        <w:rPr>
          <w:rFonts w:hint="default" w:ascii="仿宋_GB2312" w:hAnsi="宋体" w:eastAsia="仿宋_GB2312" w:cs="仿宋_GB2312"/>
          <w:b w:val="0"/>
          <w:kern w:val="0"/>
          <w:sz w:val="32"/>
          <w:szCs w:val="32"/>
          <w:lang w:val="en-US" w:eastAsia="zh-CN" w:bidi="ar"/>
        </w:rPr>
      </w:pPr>
      <w:r>
        <w:rPr>
          <w:rFonts w:hint="default" w:ascii="仿宋_GB2312" w:hAnsi="宋体" w:eastAsia="仿宋_GB2312" w:cs="仿宋_GB2312"/>
          <w:b w:val="0"/>
          <w:kern w:val="0"/>
          <w:sz w:val="32"/>
          <w:szCs w:val="32"/>
          <w:lang w:val="en-US" w:eastAsia="zh-CN" w:bidi="ar"/>
        </w:rPr>
        <w:t>负责全县地质灾害防治、组织、协调、指导和监督工作。开展地质灾害防治知识的宣传教育；加强对地质灾害险情的动态监测和群测群防工作；确保广大群众的生命财产安全。承担国土空间综合整治，矿产地质环境恢复治理，承担生态保护补偿相关工作，生态环境保护工作。</w:t>
      </w:r>
    </w:p>
    <w:p w14:paraId="0C69BCB0">
      <w:pPr>
        <w:ind w:firstLine="800" w:firstLineChars="250"/>
        <w:rPr>
          <w:rFonts w:ascii="仿宋" w:eastAsia="仿宋"/>
          <w:sz w:val="32"/>
          <w:szCs w:val="32"/>
        </w:rPr>
      </w:pPr>
      <w:r>
        <w:rPr>
          <w:rFonts w:hint="eastAsia" w:ascii="仿宋" w:eastAsia="仿宋"/>
          <w:sz w:val="32"/>
          <w:szCs w:val="32"/>
          <w:lang w:eastAsia="zh-CN"/>
        </w:rPr>
        <w:t>红原县自然资源局</w:t>
      </w:r>
      <w:r>
        <w:rPr>
          <w:rFonts w:hint="eastAsia" w:ascii="仿宋" w:eastAsia="仿宋"/>
          <w:sz w:val="32"/>
          <w:szCs w:val="32"/>
        </w:rPr>
        <w:t>下属二级预算单位</w:t>
      </w:r>
      <w:r>
        <w:rPr>
          <w:rFonts w:hint="eastAsia" w:ascii="仿宋" w:eastAsia="仿宋"/>
          <w:sz w:val="32"/>
          <w:szCs w:val="32"/>
          <w:lang w:val="en-US" w:eastAsia="zh-CN"/>
        </w:rPr>
        <w:t>2</w:t>
      </w:r>
      <w:r>
        <w:rPr>
          <w:rFonts w:hint="eastAsia" w:ascii="仿宋" w:eastAsia="仿宋"/>
          <w:sz w:val="32"/>
          <w:szCs w:val="32"/>
        </w:rPr>
        <w:t>个，其中行政单位</w:t>
      </w:r>
      <w:r>
        <w:rPr>
          <w:rFonts w:hint="eastAsia" w:ascii="仿宋" w:eastAsia="仿宋"/>
          <w:sz w:val="32"/>
          <w:szCs w:val="32"/>
          <w:lang w:val="en-US" w:eastAsia="zh-CN"/>
        </w:rPr>
        <w:t>1</w:t>
      </w:r>
      <w:r>
        <w:rPr>
          <w:rFonts w:hint="eastAsia" w:ascii="仿宋" w:eastAsia="仿宋"/>
          <w:sz w:val="32"/>
          <w:szCs w:val="32"/>
        </w:rPr>
        <w:t>个，参照公务员法管理的事业单位</w:t>
      </w:r>
      <w:r>
        <w:rPr>
          <w:rFonts w:hint="eastAsia" w:ascii="仿宋" w:eastAsia="仿宋"/>
          <w:bCs/>
          <w:sz w:val="32"/>
          <w:szCs w:val="32"/>
          <w:lang w:val="en-US" w:eastAsia="zh-CN"/>
        </w:rPr>
        <w:t>1</w:t>
      </w:r>
      <w:r>
        <w:rPr>
          <w:rFonts w:hint="eastAsia" w:ascii="仿宋" w:eastAsia="仿宋"/>
          <w:sz w:val="32"/>
          <w:szCs w:val="32"/>
        </w:rPr>
        <w:t>个。</w:t>
      </w:r>
    </w:p>
    <w:p w14:paraId="03C90A52">
      <w:pPr>
        <w:pStyle w:val="9"/>
        <w:adjustRightInd w:val="0"/>
        <w:snapToGrid w:val="0"/>
        <w:spacing w:beforeLines="0" w:line="600" w:lineRule="exact"/>
        <w:ind w:firstLine="668" w:firstLineChars="209"/>
        <w:rPr>
          <w:rFonts w:ascii="仿宋" w:eastAsia="仿宋"/>
          <w:sz w:val="32"/>
          <w:szCs w:val="32"/>
        </w:rPr>
      </w:pPr>
      <w:r>
        <w:rPr>
          <w:rFonts w:hint="eastAsia" w:ascii="仿宋" w:eastAsia="仿宋"/>
          <w:sz w:val="32"/>
          <w:szCs w:val="32"/>
        </w:rPr>
        <w:t>纳入2022年度部门决算编制范围的二级预算单位包括：</w:t>
      </w:r>
    </w:p>
    <w:p w14:paraId="17F7CE79">
      <w:pPr>
        <w:pStyle w:val="9"/>
        <w:numPr>
          <w:ilvl w:val="0"/>
          <w:numId w:val="3"/>
        </w:numPr>
        <w:adjustRightInd w:val="0"/>
        <w:snapToGrid w:val="0"/>
        <w:spacing w:beforeLines="0" w:line="600" w:lineRule="exact"/>
        <w:outlineLvl w:val="2"/>
        <w:rPr>
          <w:rFonts w:ascii="仿宋" w:eastAsia="仿宋"/>
          <w:kern w:val="0"/>
          <w:sz w:val="32"/>
          <w:szCs w:val="32"/>
        </w:rPr>
      </w:pPr>
      <w:bookmarkStart w:id="51" w:name="_Toc15377433"/>
      <w:bookmarkStart w:id="52" w:name="_Toc15306276"/>
      <w:bookmarkStart w:id="53" w:name="_Toc15378449"/>
      <w:bookmarkStart w:id="54" w:name="_Toc15377202"/>
      <w:bookmarkStart w:id="55" w:name="_Toc22803"/>
      <w:r>
        <w:rPr>
          <w:rFonts w:hint="eastAsia" w:ascii="仿宋" w:eastAsia="仿宋"/>
          <w:sz w:val="32"/>
          <w:szCs w:val="32"/>
          <w:lang w:eastAsia="zh-CN"/>
        </w:rPr>
        <w:t>阿坝州红原县自然资源局</w:t>
      </w:r>
      <w:bookmarkEnd w:id="51"/>
      <w:bookmarkEnd w:id="52"/>
      <w:bookmarkEnd w:id="53"/>
      <w:bookmarkEnd w:id="54"/>
      <w:bookmarkEnd w:id="55"/>
      <w:r>
        <w:rPr>
          <w:rFonts w:hint="eastAsia" w:ascii="仿宋" w:eastAsia="仿宋"/>
          <w:sz w:val="32"/>
          <w:szCs w:val="32"/>
          <w:lang w:eastAsia="zh-CN"/>
        </w:rPr>
        <w:t>（本级）</w:t>
      </w:r>
    </w:p>
    <w:p w14:paraId="34FC2998">
      <w:pPr>
        <w:pStyle w:val="9"/>
        <w:numPr>
          <w:ilvl w:val="0"/>
          <w:numId w:val="3"/>
        </w:numPr>
        <w:adjustRightInd w:val="0"/>
        <w:snapToGrid w:val="0"/>
        <w:spacing w:beforeLines="0" w:line="600" w:lineRule="exact"/>
        <w:outlineLvl w:val="2"/>
        <w:rPr>
          <w:rFonts w:ascii="仿宋" w:eastAsia="仿宋"/>
          <w:kern w:val="0"/>
          <w:sz w:val="32"/>
          <w:szCs w:val="32"/>
        </w:rPr>
      </w:pPr>
      <w:r>
        <w:rPr>
          <w:rFonts w:hint="eastAsia" w:ascii="仿宋" w:eastAsia="仿宋"/>
          <w:sz w:val="32"/>
          <w:szCs w:val="32"/>
          <w:lang w:eastAsia="zh-CN"/>
        </w:rPr>
        <w:t>阿坝州红原县不动产登记中心</w:t>
      </w:r>
    </w:p>
    <w:p w14:paraId="19EFEA3F">
      <w:pPr>
        <w:pStyle w:val="2"/>
        <w:rPr>
          <w:rFonts w:hint="default"/>
        </w:rPr>
      </w:pPr>
    </w:p>
    <w:p w14:paraId="004388E2">
      <w:pPr>
        <w:pStyle w:val="9"/>
        <w:numPr>
          <w:ilvl w:val="0"/>
          <w:numId w:val="3"/>
        </w:numPr>
        <w:adjustRightInd w:val="0"/>
        <w:snapToGrid w:val="0"/>
        <w:spacing w:beforeLines="0" w:line="600" w:lineRule="exact"/>
        <w:outlineLvl w:val="2"/>
        <w:rPr>
          <w:rFonts w:ascii="仿宋" w:eastAsia="仿宋"/>
          <w:kern w:val="0"/>
          <w:sz w:val="32"/>
          <w:szCs w:val="32"/>
        </w:rPr>
      </w:pPr>
      <w:r>
        <w:rPr>
          <w:rFonts w:ascii="仿宋" w:eastAsia="仿宋"/>
          <w:sz w:val="32"/>
          <w:szCs w:val="32"/>
        </w:rPr>
        <w:br w:type="page"/>
      </w:r>
    </w:p>
    <w:p w14:paraId="01E1274A">
      <w:pPr>
        <w:pStyle w:val="5"/>
        <w:ind w:right="440"/>
        <w:jc w:val="center"/>
        <w:rPr>
          <w:rStyle w:val="24"/>
          <w:rFonts w:ascii="黑体" w:eastAsia="黑体"/>
          <w:b w:val="0"/>
          <w:bCs/>
        </w:rPr>
      </w:pPr>
      <w:bookmarkStart w:id="56" w:name="_Toc15396602"/>
      <w:bookmarkStart w:id="57" w:name="_Toc2886"/>
      <w:bookmarkStart w:id="58" w:name="_Toc15377204"/>
      <w:r>
        <w:rPr>
          <w:rFonts w:hint="eastAsia" w:ascii="黑体" w:eastAsia="黑体"/>
          <w:b w:val="0"/>
        </w:rPr>
        <w:t>第二部分 2022年度</w:t>
      </w:r>
      <w:r>
        <w:rPr>
          <w:rStyle w:val="24"/>
          <w:rFonts w:hint="eastAsia" w:ascii="黑体" w:eastAsia="黑体"/>
          <w:b w:val="0"/>
          <w:bCs/>
        </w:rPr>
        <w:t>部门决算情况说明</w:t>
      </w:r>
      <w:bookmarkEnd w:id="56"/>
      <w:bookmarkEnd w:id="57"/>
      <w:bookmarkEnd w:id="58"/>
    </w:p>
    <w:p w14:paraId="5C236FF1"/>
    <w:p w14:paraId="38531DD7">
      <w:pPr>
        <w:pStyle w:val="31"/>
        <w:numPr>
          <w:ilvl w:val="0"/>
          <w:numId w:val="4"/>
        </w:numPr>
        <w:spacing w:line="600" w:lineRule="exact"/>
        <w:ind w:firstLineChars="0"/>
        <w:outlineLvl w:val="1"/>
        <w:rPr>
          <w:rStyle w:val="25"/>
          <w:rFonts w:ascii="黑体" w:eastAsia="黑体"/>
          <w:b w:val="0"/>
        </w:rPr>
      </w:pPr>
      <w:bookmarkStart w:id="59" w:name="_Toc15377205"/>
      <w:bookmarkStart w:id="60" w:name="_Toc15396603"/>
      <w:bookmarkStart w:id="61" w:name="_Toc15510"/>
      <w:r>
        <w:rPr>
          <w:rFonts w:hint="eastAsia" w:ascii="黑体" w:eastAsia="黑体"/>
          <w:sz w:val="32"/>
          <w:szCs w:val="32"/>
        </w:rPr>
        <w:t>收</w:t>
      </w:r>
      <w:r>
        <w:rPr>
          <w:rStyle w:val="25"/>
          <w:rFonts w:hint="eastAsia" w:ascii="黑体" w:eastAsia="黑体"/>
          <w:b w:val="0"/>
        </w:rPr>
        <w:t>入支出决算总体情况说明</w:t>
      </w:r>
      <w:bookmarkEnd w:id="59"/>
      <w:bookmarkEnd w:id="60"/>
      <w:bookmarkEnd w:id="61"/>
    </w:p>
    <w:p w14:paraId="7082261D">
      <w:pPr>
        <w:spacing w:line="600" w:lineRule="exact"/>
        <w:ind w:firstLine="420" w:firstLineChars="200"/>
        <w:rPr>
          <w:rFonts w:hint="default" w:ascii="仿宋" w:eastAsia="仿宋"/>
          <w:sz w:val="32"/>
          <w:szCs w:val="32"/>
          <w:lang w:val="en-US"/>
        </w:rPr>
      </w:pPr>
      <w:r>
        <w:drawing>
          <wp:anchor distT="0" distB="0" distL="114300" distR="114300" simplePos="0" relativeHeight="251659264" behindDoc="0" locked="0" layoutInCell="1" allowOverlap="1">
            <wp:simplePos x="0" y="0"/>
            <wp:positionH relativeFrom="column">
              <wp:posOffset>314325</wp:posOffset>
            </wp:positionH>
            <wp:positionV relativeFrom="paragraph">
              <wp:posOffset>2552065</wp:posOffset>
            </wp:positionV>
            <wp:extent cx="4596130" cy="2053590"/>
            <wp:effectExtent l="0" t="0" r="13970" b="381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596130" cy="2053590"/>
                    </a:xfrm>
                    <a:prstGeom prst="rect">
                      <a:avLst/>
                    </a:prstGeom>
                    <a:noFill/>
                    <a:ln>
                      <a:noFill/>
                    </a:ln>
                  </pic:spPr>
                </pic:pic>
              </a:graphicData>
            </a:graphic>
          </wp:anchor>
        </w:drawing>
      </w:r>
      <w:r>
        <w:rPr>
          <w:rFonts w:hint="eastAsia" w:ascii="仿宋" w:eastAsia="仿宋"/>
          <w:sz w:val="32"/>
          <w:szCs w:val="32"/>
        </w:rPr>
        <w:t>2022年度收</w:t>
      </w:r>
      <w:r>
        <w:rPr>
          <w:rFonts w:hint="eastAsia" w:ascii="仿宋" w:eastAsia="仿宋"/>
          <w:sz w:val="32"/>
          <w:szCs w:val="32"/>
          <w:lang w:eastAsia="zh-CN"/>
        </w:rPr>
        <w:t>入</w:t>
      </w:r>
      <w:r>
        <w:rPr>
          <w:rFonts w:hint="eastAsia" w:ascii="仿宋" w:eastAsia="仿宋"/>
          <w:sz w:val="32"/>
          <w:szCs w:val="32"/>
        </w:rPr>
        <w:t>总计6418.88万元</w:t>
      </w:r>
      <w:r>
        <w:rPr>
          <w:rFonts w:hint="eastAsia" w:ascii="仿宋" w:eastAsia="仿宋"/>
          <w:sz w:val="32"/>
          <w:szCs w:val="32"/>
          <w:lang w:eastAsia="zh-CN"/>
        </w:rPr>
        <w:t>，</w:t>
      </w:r>
      <w:r>
        <w:rPr>
          <w:rFonts w:hint="eastAsia" w:ascii="仿宋" w:eastAsia="仿宋"/>
          <w:sz w:val="32"/>
          <w:szCs w:val="32"/>
        </w:rPr>
        <w:t>与2021年</w:t>
      </w:r>
      <w:r>
        <w:rPr>
          <w:rFonts w:hint="eastAsia" w:ascii="仿宋" w:eastAsia="仿宋"/>
          <w:sz w:val="32"/>
          <w:szCs w:val="32"/>
          <w:lang w:val="en-US" w:eastAsia="zh-CN"/>
        </w:rPr>
        <w:t>4335.57万元对比增长2083.31万元，增长48%，主要原因是</w:t>
      </w:r>
      <w:r>
        <w:rPr>
          <w:rFonts w:hint="eastAsia" w:ascii="仿宋_GB2312" w:hAnsi="宋体" w:eastAsia="仿宋_GB2312" w:cs="仿宋_GB2312"/>
          <w:b w:val="0"/>
          <w:kern w:val="0"/>
          <w:sz w:val="32"/>
          <w:szCs w:val="32"/>
          <w:lang w:val="en-US" w:eastAsia="zh-CN" w:bidi="ar"/>
        </w:rPr>
        <w:t>增加了项目专款资金收入。支出总计6418.88万元，</w:t>
      </w:r>
      <w:r>
        <w:rPr>
          <w:rFonts w:hint="eastAsia" w:ascii="仿宋" w:eastAsia="仿宋"/>
          <w:sz w:val="32"/>
          <w:szCs w:val="32"/>
        </w:rPr>
        <w:t>与2021年</w:t>
      </w:r>
      <w:r>
        <w:rPr>
          <w:rFonts w:hint="eastAsia" w:ascii="仿宋_GB2312" w:hAnsi="宋体" w:eastAsia="仿宋_GB2312" w:cs="仿宋_GB2312"/>
          <w:b w:val="0"/>
          <w:kern w:val="0"/>
          <w:sz w:val="32"/>
          <w:szCs w:val="32"/>
          <w:lang w:val="en-US" w:eastAsia="zh-CN" w:bidi="ar"/>
        </w:rPr>
        <w:t>2,321.41</w:t>
      </w:r>
      <w:r>
        <w:rPr>
          <w:rFonts w:hint="eastAsia" w:ascii="仿宋" w:eastAsia="仿宋"/>
          <w:sz w:val="32"/>
          <w:szCs w:val="32"/>
          <w:lang w:val="en-US" w:eastAsia="zh-CN"/>
        </w:rPr>
        <w:t>万元对比增长4097.47万元，增长175.51%，主要原因是增加了山水林田湖草专项资金支付和生态修复等项目资金支出。</w:t>
      </w:r>
    </w:p>
    <w:p w14:paraId="355C2D12">
      <w:pPr>
        <w:pStyle w:val="31"/>
        <w:numPr>
          <w:ilvl w:val="0"/>
          <w:numId w:val="4"/>
        </w:numPr>
        <w:spacing w:line="600" w:lineRule="exact"/>
        <w:ind w:firstLineChars="0"/>
        <w:outlineLvl w:val="1"/>
        <w:rPr>
          <w:rStyle w:val="25"/>
          <w:rFonts w:ascii="黑体" w:eastAsia="黑体"/>
          <w:b w:val="0"/>
        </w:rPr>
      </w:pPr>
      <w:bookmarkStart w:id="62" w:name="_Toc30065"/>
      <w:bookmarkStart w:id="63" w:name="_Toc15377206"/>
      <w:bookmarkStart w:id="64" w:name="_Toc15396604"/>
      <w:r>
        <w:rPr>
          <w:rFonts w:hint="eastAsia" w:ascii="黑体" w:eastAsia="黑体"/>
          <w:sz w:val="32"/>
          <w:szCs w:val="32"/>
        </w:rPr>
        <w:t>收</w:t>
      </w:r>
      <w:r>
        <w:rPr>
          <w:rStyle w:val="25"/>
          <w:rFonts w:hint="eastAsia" w:ascii="黑体" w:eastAsia="黑体"/>
          <w:b w:val="0"/>
        </w:rPr>
        <w:t>入决算情况说明</w:t>
      </w:r>
      <w:bookmarkEnd w:id="62"/>
      <w:bookmarkEnd w:id="63"/>
      <w:bookmarkEnd w:id="64"/>
    </w:p>
    <w:p w14:paraId="6BEAE83F">
      <w:pPr>
        <w:spacing w:line="600" w:lineRule="exact"/>
        <w:ind w:firstLine="420" w:firstLineChars="200"/>
        <w:outlineLvl w:val="1"/>
        <w:rPr>
          <w:rFonts w:ascii="仿宋" w:eastAsia="仿宋"/>
          <w:sz w:val="32"/>
          <w:szCs w:val="32"/>
        </w:rPr>
      </w:pPr>
      <w:bookmarkStart w:id="65" w:name="_Toc12589"/>
      <w:r>
        <w:drawing>
          <wp:anchor distT="0" distB="0" distL="114300" distR="114300" simplePos="0" relativeHeight="251660288" behindDoc="0" locked="0" layoutInCell="1" allowOverlap="1">
            <wp:simplePos x="0" y="0"/>
            <wp:positionH relativeFrom="column">
              <wp:posOffset>410210</wp:posOffset>
            </wp:positionH>
            <wp:positionV relativeFrom="paragraph">
              <wp:posOffset>1624330</wp:posOffset>
            </wp:positionV>
            <wp:extent cx="4824095" cy="1805940"/>
            <wp:effectExtent l="0" t="0" r="14605" b="381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824095" cy="1805940"/>
                    </a:xfrm>
                    <a:prstGeom prst="rect">
                      <a:avLst/>
                    </a:prstGeom>
                    <a:noFill/>
                    <a:ln>
                      <a:noFill/>
                    </a:ln>
                  </pic:spPr>
                </pic:pic>
              </a:graphicData>
            </a:graphic>
          </wp:anchor>
        </w:drawing>
      </w:r>
      <w:r>
        <w:rPr>
          <w:rFonts w:ascii="仿宋" w:eastAsia="仿宋"/>
          <w:sz w:val="32"/>
          <w:szCs w:val="32"/>
        </w:rPr>
        <w:t>20</w:t>
      </w:r>
      <w:r>
        <w:rPr>
          <w:rFonts w:hint="eastAsia" w:ascii="仿宋" w:eastAsia="仿宋"/>
          <w:sz w:val="32"/>
          <w:szCs w:val="32"/>
        </w:rPr>
        <w:t>22年本年收入合计</w:t>
      </w:r>
      <w:r>
        <w:rPr>
          <w:rFonts w:hint="eastAsia" w:ascii="仿宋" w:eastAsia="仿宋"/>
          <w:sz w:val="32"/>
          <w:szCs w:val="32"/>
          <w:lang w:val="en-US" w:eastAsia="zh-CN"/>
        </w:rPr>
        <w:t>6418.88</w:t>
      </w:r>
      <w:r>
        <w:rPr>
          <w:rFonts w:hint="eastAsia" w:ascii="仿宋" w:eastAsia="仿宋"/>
          <w:sz w:val="32"/>
          <w:szCs w:val="32"/>
        </w:rPr>
        <w:t>万元，其中：一般公共预算财政拨款收入</w:t>
      </w:r>
      <w:r>
        <w:rPr>
          <w:rFonts w:hint="eastAsia" w:ascii="仿宋" w:eastAsia="仿宋"/>
          <w:sz w:val="32"/>
          <w:szCs w:val="32"/>
          <w:lang w:val="en-US" w:eastAsia="zh-CN"/>
        </w:rPr>
        <w:t>6091.9</w:t>
      </w:r>
      <w:r>
        <w:rPr>
          <w:rFonts w:hint="eastAsia" w:ascii="仿宋" w:eastAsia="仿宋"/>
          <w:sz w:val="32"/>
          <w:szCs w:val="32"/>
        </w:rPr>
        <w:t>万元，占</w:t>
      </w:r>
      <w:r>
        <w:rPr>
          <w:rFonts w:hint="eastAsia" w:ascii="仿宋" w:eastAsia="仿宋"/>
          <w:sz w:val="32"/>
          <w:szCs w:val="32"/>
          <w:lang w:val="en-US" w:eastAsia="zh-CN"/>
        </w:rPr>
        <w:t>94.91</w:t>
      </w:r>
      <w:r>
        <w:rPr>
          <w:rFonts w:ascii="仿宋" w:eastAsia="仿宋"/>
          <w:sz w:val="32"/>
          <w:szCs w:val="32"/>
        </w:rPr>
        <w:t>%</w:t>
      </w:r>
      <w:r>
        <w:rPr>
          <w:rFonts w:hint="eastAsia" w:ascii="仿宋" w:eastAsia="仿宋"/>
          <w:sz w:val="32"/>
          <w:szCs w:val="32"/>
        </w:rPr>
        <w:t>；政府性基金预算财政拨款收入</w:t>
      </w:r>
      <w:r>
        <w:rPr>
          <w:rFonts w:hint="eastAsia" w:ascii="仿宋" w:eastAsia="仿宋"/>
          <w:sz w:val="32"/>
          <w:szCs w:val="32"/>
          <w:lang w:val="en-US" w:eastAsia="zh-CN"/>
        </w:rPr>
        <w:t>326.87</w:t>
      </w:r>
      <w:r>
        <w:rPr>
          <w:rFonts w:hint="eastAsia" w:ascii="仿宋" w:eastAsia="仿宋"/>
          <w:sz w:val="32"/>
          <w:szCs w:val="32"/>
        </w:rPr>
        <w:t>万元，占</w:t>
      </w:r>
      <w:r>
        <w:rPr>
          <w:rFonts w:hint="eastAsia" w:ascii="仿宋" w:eastAsia="仿宋"/>
          <w:sz w:val="32"/>
          <w:szCs w:val="32"/>
          <w:lang w:val="en-US" w:eastAsia="zh-CN"/>
        </w:rPr>
        <w:t>5.1</w:t>
      </w:r>
      <w:r>
        <w:rPr>
          <w:rFonts w:ascii="仿宋" w:eastAsia="仿宋"/>
          <w:sz w:val="32"/>
          <w:szCs w:val="32"/>
        </w:rPr>
        <w:t>%</w:t>
      </w:r>
      <w:r>
        <w:rPr>
          <w:rFonts w:hint="eastAsia" w:ascii="仿宋" w:eastAsia="仿宋"/>
          <w:sz w:val="32"/>
          <w:szCs w:val="32"/>
        </w:rPr>
        <w:t>；其他收入</w:t>
      </w:r>
      <w:r>
        <w:rPr>
          <w:rFonts w:hint="eastAsia" w:ascii="仿宋" w:eastAsia="仿宋"/>
          <w:sz w:val="32"/>
          <w:szCs w:val="32"/>
          <w:lang w:val="en-US" w:eastAsia="zh-CN"/>
        </w:rPr>
        <w:t>0.11</w:t>
      </w:r>
      <w:r>
        <w:rPr>
          <w:rFonts w:hint="eastAsia" w:ascii="仿宋" w:eastAsia="仿宋"/>
          <w:sz w:val="32"/>
          <w:szCs w:val="32"/>
        </w:rPr>
        <w:t>万元</w:t>
      </w:r>
      <w:r>
        <w:rPr>
          <w:rFonts w:hint="eastAsia" w:ascii="仿宋" w:eastAsia="仿宋"/>
          <w:sz w:val="32"/>
          <w:szCs w:val="32"/>
          <w:lang w:eastAsia="zh-CN"/>
        </w:rPr>
        <w:t>，</w:t>
      </w:r>
      <w:r>
        <w:rPr>
          <w:rFonts w:hint="eastAsia" w:ascii="仿宋" w:eastAsia="仿宋"/>
          <w:sz w:val="32"/>
          <w:szCs w:val="32"/>
        </w:rPr>
        <w:t>占</w:t>
      </w:r>
      <w:r>
        <w:rPr>
          <w:rFonts w:hint="eastAsia" w:ascii="仿宋" w:eastAsia="仿宋"/>
          <w:sz w:val="32"/>
          <w:szCs w:val="32"/>
          <w:lang w:val="en-US" w:eastAsia="zh-CN"/>
        </w:rPr>
        <w:t>0.001</w:t>
      </w:r>
      <w:r>
        <w:rPr>
          <w:rFonts w:ascii="仿宋" w:eastAsia="仿宋"/>
          <w:sz w:val="32"/>
          <w:szCs w:val="32"/>
        </w:rPr>
        <w:t>%</w:t>
      </w:r>
      <w:r>
        <w:rPr>
          <w:rFonts w:hint="eastAsia" w:ascii="仿宋" w:eastAsia="仿宋"/>
          <w:sz w:val="32"/>
          <w:szCs w:val="32"/>
        </w:rPr>
        <w:t>。</w:t>
      </w:r>
      <w:bookmarkEnd w:id="65"/>
    </w:p>
    <w:p w14:paraId="1D195537">
      <w:pPr>
        <w:spacing w:line="600" w:lineRule="exact"/>
        <w:ind w:firstLine="420" w:firstLineChars="200"/>
        <w:outlineLvl w:val="1"/>
        <w:rPr>
          <w:rFonts w:ascii="仿宋_GB2312" w:eastAsia="仿宋_GB2312"/>
          <w:sz w:val="32"/>
          <w:szCs w:val="32"/>
        </w:rPr>
      </w:pPr>
      <w:r>
        <w:rPr>
          <w:rFonts w:hint="eastAsia"/>
          <w:lang w:val="en-US" w:eastAsia="zh-CN"/>
        </w:rPr>
        <w:t xml:space="preserve">            </w:t>
      </w:r>
      <w:r>
        <w:rPr>
          <w:rFonts w:hint="eastAsia" w:ascii="仿宋" w:eastAsia="仿宋"/>
          <w:sz w:val="32"/>
          <w:szCs w:val="32"/>
        </w:rPr>
        <w:t>（图2：收入决算结构图）</w:t>
      </w:r>
    </w:p>
    <w:p w14:paraId="7BB9B841">
      <w:pPr>
        <w:pStyle w:val="31"/>
        <w:numPr>
          <w:ilvl w:val="0"/>
          <w:numId w:val="4"/>
        </w:numPr>
        <w:spacing w:line="600" w:lineRule="exact"/>
        <w:ind w:firstLineChars="0"/>
        <w:outlineLvl w:val="1"/>
        <w:rPr>
          <w:rStyle w:val="25"/>
          <w:rFonts w:ascii="黑体" w:eastAsia="黑体"/>
          <w:b w:val="0"/>
        </w:rPr>
      </w:pPr>
      <w:bookmarkStart w:id="66" w:name="_Toc15396605"/>
      <w:bookmarkStart w:id="67" w:name="_Toc15377207"/>
      <w:bookmarkStart w:id="68" w:name="_Toc1696"/>
      <w:r>
        <w:rPr>
          <w:rFonts w:hint="eastAsia" w:ascii="黑体" w:eastAsia="黑体"/>
          <w:sz w:val="32"/>
          <w:szCs w:val="32"/>
        </w:rPr>
        <w:t>支</w:t>
      </w:r>
      <w:r>
        <w:rPr>
          <w:rStyle w:val="25"/>
          <w:rFonts w:hint="eastAsia" w:ascii="黑体" w:eastAsia="黑体"/>
          <w:b w:val="0"/>
        </w:rPr>
        <w:t>出决算情况说明</w:t>
      </w:r>
      <w:bookmarkEnd w:id="66"/>
      <w:bookmarkEnd w:id="67"/>
      <w:bookmarkEnd w:id="68"/>
    </w:p>
    <w:p w14:paraId="1EE3A245">
      <w:pPr>
        <w:spacing w:line="600" w:lineRule="exact"/>
        <w:ind w:firstLine="420" w:firstLineChars="200"/>
        <w:outlineLvl w:val="1"/>
        <w:rPr>
          <w:rFonts w:ascii="仿宋" w:eastAsia="仿宋"/>
          <w:sz w:val="32"/>
          <w:szCs w:val="32"/>
        </w:rPr>
      </w:pPr>
      <w:bookmarkStart w:id="69" w:name="_Toc21471"/>
      <w:r>
        <w:drawing>
          <wp:anchor distT="0" distB="0" distL="114300" distR="114300" simplePos="0" relativeHeight="251661312" behindDoc="0" locked="0" layoutInCell="1" allowOverlap="1">
            <wp:simplePos x="0" y="0"/>
            <wp:positionH relativeFrom="column">
              <wp:posOffset>561975</wp:posOffset>
            </wp:positionH>
            <wp:positionV relativeFrom="paragraph">
              <wp:posOffset>780415</wp:posOffset>
            </wp:positionV>
            <wp:extent cx="4596130" cy="1409065"/>
            <wp:effectExtent l="0" t="0" r="13970" b="635"/>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596130" cy="1409065"/>
                    </a:xfrm>
                    <a:prstGeom prst="rect">
                      <a:avLst/>
                    </a:prstGeom>
                    <a:noFill/>
                    <a:ln>
                      <a:noFill/>
                    </a:ln>
                  </pic:spPr>
                </pic:pic>
              </a:graphicData>
            </a:graphic>
          </wp:anchor>
        </w:drawing>
      </w:r>
      <w:r>
        <w:rPr>
          <w:rFonts w:ascii="仿宋" w:eastAsia="仿宋"/>
          <w:sz w:val="32"/>
          <w:szCs w:val="32"/>
        </w:rPr>
        <w:t>20</w:t>
      </w:r>
      <w:r>
        <w:rPr>
          <w:rFonts w:hint="eastAsia" w:ascii="仿宋" w:eastAsia="仿宋"/>
          <w:sz w:val="32"/>
          <w:szCs w:val="32"/>
        </w:rPr>
        <w:t>22年本年支出合计</w:t>
      </w:r>
      <w:r>
        <w:rPr>
          <w:rFonts w:hint="eastAsia" w:ascii="仿宋" w:eastAsia="仿宋"/>
          <w:sz w:val="32"/>
          <w:szCs w:val="32"/>
          <w:lang w:val="en-US" w:eastAsia="zh-CN"/>
        </w:rPr>
        <w:t>6418.88</w:t>
      </w:r>
      <w:r>
        <w:rPr>
          <w:rFonts w:hint="eastAsia" w:ascii="仿宋" w:eastAsia="仿宋"/>
          <w:sz w:val="32"/>
          <w:szCs w:val="32"/>
        </w:rPr>
        <w:t>万元，其中：基本支出</w:t>
      </w:r>
      <w:r>
        <w:rPr>
          <w:rFonts w:hint="eastAsia" w:ascii="仿宋" w:eastAsia="仿宋"/>
          <w:sz w:val="32"/>
          <w:szCs w:val="32"/>
          <w:lang w:val="en-US" w:eastAsia="zh-CN"/>
        </w:rPr>
        <w:t>575.82</w:t>
      </w:r>
      <w:r>
        <w:rPr>
          <w:rFonts w:hint="eastAsia" w:ascii="仿宋" w:eastAsia="仿宋"/>
          <w:sz w:val="32"/>
          <w:szCs w:val="32"/>
        </w:rPr>
        <w:t>万元，占</w:t>
      </w:r>
      <w:r>
        <w:rPr>
          <w:rFonts w:hint="eastAsia" w:ascii="仿宋" w:eastAsia="仿宋"/>
          <w:sz w:val="32"/>
          <w:szCs w:val="32"/>
          <w:lang w:val="en-US" w:eastAsia="zh-CN"/>
        </w:rPr>
        <w:t>8.97</w:t>
      </w:r>
      <w:r>
        <w:rPr>
          <w:rFonts w:ascii="仿宋" w:eastAsia="仿宋"/>
          <w:sz w:val="32"/>
          <w:szCs w:val="32"/>
        </w:rPr>
        <w:t>%</w:t>
      </w:r>
      <w:r>
        <w:rPr>
          <w:rFonts w:hint="eastAsia" w:ascii="仿宋" w:eastAsia="仿宋"/>
          <w:sz w:val="32"/>
          <w:szCs w:val="32"/>
        </w:rPr>
        <w:t>；项目支出</w:t>
      </w:r>
      <w:r>
        <w:rPr>
          <w:rFonts w:hint="eastAsia" w:ascii="仿宋" w:eastAsia="仿宋"/>
          <w:sz w:val="32"/>
          <w:szCs w:val="32"/>
          <w:lang w:val="en-US" w:eastAsia="zh-CN"/>
        </w:rPr>
        <w:t>5843.06</w:t>
      </w:r>
      <w:r>
        <w:rPr>
          <w:rFonts w:hint="eastAsia" w:ascii="仿宋" w:eastAsia="仿宋"/>
          <w:sz w:val="32"/>
          <w:szCs w:val="32"/>
        </w:rPr>
        <w:t>万元，占</w:t>
      </w:r>
      <w:r>
        <w:rPr>
          <w:rFonts w:hint="eastAsia" w:ascii="仿宋" w:eastAsia="仿宋"/>
          <w:sz w:val="32"/>
          <w:szCs w:val="32"/>
          <w:lang w:val="en-US" w:eastAsia="zh-CN"/>
        </w:rPr>
        <w:t>91.03</w:t>
      </w:r>
      <w:r>
        <w:rPr>
          <w:rFonts w:ascii="仿宋" w:eastAsia="仿宋"/>
          <w:sz w:val="32"/>
          <w:szCs w:val="32"/>
        </w:rPr>
        <w:t>%</w:t>
      </w:r>
      <w:r>
        <w:rPr>
          <w:rFonts w:hint="eastAsia" w:ascii="仿宋" w:eastAsia="仿宋"/>
          <w:sz w:val="32"/>
          <w:szCs w:val="32"/>
        </w:rPr>
        <w:t>；</w:t>
      </w:r>
      <w:bookmarkEnd w:id="69"/>
    </w:p>
    <w:p w14:paraId="11E6B758">
      <w:pPr>
        <w:spacing w:line="600" w:lineRule="exact"/>
        <w:ind w:firstLine="640" w:firstLineChars="200"/>
        <w:jc w:val="center"/>
        <w:rPr>
          <w:rFonts w:ascii="仿宋_GB2312" w:eastAsia="仿宋_GB2312"/>
          <w:sz w:val="32"/>
          <w:szCs w:val="32"/>
        </w:rPr>
      </w:pPr>
      <w:r>
        <w:rPr>
          <w:rFonts w:hint="eastAsia" w:ascii="仿宋" w:eastAsia="仿宋"/>
          <w:sz w:val="32"/>
          <w:szCs w:val="32"/>
        </w:rPr>
        <w:t>（图3：支出决算结构图）</w:t>
      </w:r>
    </w:p>
    <w:p w14:paraId="231E42E0">
      <w:pPr>
        <w:spacing w:line="600" w:lineRule="exact"/>
        <w:ind w:firstLine="640" w:firstLineChars="200"/>
        <w:outlineLvl w:val="1"/>
        <w:rPr>
          <w:rStyle w:val="25"/>
          <w:rFonts w:ascii="黑体" w:eastAsia="黑体"/>
          <w:b w:val="0"/>
        </w:rPr>
      </w:pPr>
      <w:bookmarkStart w:id="70" w:name="_Toc15396606"/>
      <w:bookmarkStart w:id="71" w:name="_Toc15377208"/>
      <w:bookmarkStart w:id="72" w:name="_Toc30089"/>
      <w:r>
        <w:rPr>
          <w:rFonts w:hint="eastAsia" w:ascii="黑体" w:eastAsia="黑体"/>
          <w:sz w:val="32"/>
          <w:szCs w:val="32"/>
        </w:rPr>
        <w:t>四、财</w:t>
      </w:r>
      <w:r>
        <w:rPr>
          <w:rStyle w:val="25"/>
          <w:rFonts w:hint="eastAsia" w:ascii="黑体" w:eastAsia="黑体"/>
          <w:b w:val="0"/>
        </w:rPr>
        <w:t>政拨款收入支出决算总体情况说明</w:t>
      </w:r>
      <w:bookmarkEnd w:id="70"/>
      <w:bookmarkEnd w:id="71"/>
      <w:bookmarkEnd w:id="72"/>
    </w:p>
    <w:p w14:paraId="580F9FCD">
      <w:pPr>
        <w:spacing w:line="600" w:lineRule="exact"/>
        <w:ind w:firstLine="640"/>
        <w:rPr>
          <w:rFonts w:hint="eastAsia" w:ascii="仿宋" w:eastAsia="仿宋"/>
          <w:sz w:val="32"/>
          <w:szCs w:val="32"/>
          <w:lang w:val="en-US" w:eastAsia="zh-CN"/>
        </w:rPr>
      </w:pPr>
      <w:r>
        <w:rPr>
          <w:rFonts w:ascii="仿宋" w:eastAsia="仿宋"/>
          <w:sz w:val="32"/>
          <w:szCs w:val="32"/>
        </w:rPr>
        <w:t>20</w:t>
      </w:r>
      <w:r>
        <w:rPr>
          <w:rFonts w:hint="eastAsia" w:ascii="仿宋" w:eastAsia="仿宋"/>
          <w:sz w:val="32"/>
          <w:szCs w:val="32"/>
        </w:rPr>
        <w:t>22年财政拨款收</w:t>
      </w:r>
      <w:r>
        <w:rPr>
          <w:rFonts w:hint="eastAsia" w:ascii="仿宋" w:eastAsia="仿宋"/>
          <w:sz w:val="32"/>
          <w:szCs w:val="32"/>
          <w:lang w:eastAsia="zh-CN"/>
        </w:rPr>
        <w:t>入</w:t>
      </w:r>
      <w:r>
        <w:rPr>
          <w:rFonts w:hint="eastAsia" w:ascii="仿宋" w:eastAsia="仿宋"/>
          <w:sz w:val="32"/>
          <w:szCs w:val="32"/>
        </w:rPr>
        <w:t>总计</w:t>
      </w:r>
      <w:r>
        <w:rPr>
          <w:rFonts w:hint="eastAsia" w:ascii="仿宋" w:eastAsia="仿宋"/>
          <w:sz w:val="32"/>
          <w:szCs w:val="32"/>
          <w:lang w:val="en-US" w:eastAsia="zh-CN"/>
        </w:rPr>
        <w:t>6418.77</w:t>
      </w:r>
      <w:r>
        <w:rPr>
          <w:rFonts w:hint="eastAsia" w:ascii="仿宋" w:eastAsia="仿宋"/>
          <w:sz w:val="32"/>
          <w:szCs w:val="32"/>
        </w:rPr>
        <w:t>万元</w:t>
      </w:r>
      <w:r>
        <w:rPr>
          <w:rFonts w:hint="eastAsia" w:ascii="仿宋" w:eastAsia="仿宋"/>
          <w:sz w:val="32"/>
          <w:szCs w:val="32"/>
          <w:lang w:eastAsia="zh-CN"/>
        </w:rPr>
        <w:t>，</w:t>
      </w:r>
      <w:r>
        <w:rPr>
          <w:rFonts w:hint="eastAsia" w:ascii="仿宋" w:eastAsia="仿宋"/>
          <w:sz w:val="32"/>
          <w:szCs w:val="32"/>
        </w:rPr>
        <w:t>与</w:t>
      </w:r>
      <w:r>
        <w:rPr>
          <w:rFonts w:ascii="仿宋" w:eastAsia="仿宋"/>
          <w:sz w:val="32"/>
          <w:szCs w:val="32"/>
        </w:rPr>
        <w:t>20</w:t>
      </w:r>
      <w:r>
        <w:rPr>
          <w:rFonts w:hint="eastAsia" w:ascii="仿宋" w:eastAsia="仿宋"/>
          <w:sz w:val="32"/>
          <w:szCs w:val="32"/>
        </w:rPr>
        <w:t>21年</w:t>
      </w:r>
      <w:r>
        <w:rPr>
          <w:rFonts w:hint="eastAsia" w:ascii="仿宋" w:eastAsia="仿宋"/>
          <w:sz w:val="32"/>
          <w:szCs w:val="32"/>
          <w:lang w:val="en-US" w:eastAsia="zh-CN"/>
        </w:rPr>
        <w:t>2005.39万元</w:t>
      </w:r>
      <w:r>
        <w:rPr>
          <w:rFonts w:hint="eastAsia" w:ascii="仿宋" w:eastAsia="仿宋"/>
          <w:sz w:val="32"/>
          <w:szCs w:val="32"/>
        </w:rPr>
        <w:t>相比</w:t>
      </w:r>
      <w:r>
        <w:rPr>
          <w:rFonts w:hint="eastAsia" w:ascii="仿宋" w:eastAsia="仿宋"/>
          <w:sz w:val="32"/>
          <w:szCs w:val="32"/>
          <w:lang w:eastAsia="zh-CN"/>
        </w:rPr>
        <w:t>增加</w:t>
      </w:r>
      <w:r>
        <w:rPr>
          <w:rFonts w:hint="eastAsia" w:ascii="仿宋" w:eastAsia="仿宋"/>
          <w:sz w:val="32"/>
          <w:szCs w:val="32"/>
          <w:lang w:val="en-US" w:eastAsia="zh-CN"/>
        </w:rPr>
        <w:t>4413.38万元，增加220.07%，主要原因是本年度增加专项资金收入：例如：山水林田湖草项目专款资金、生态保护专项资金、地质灾害治理等专项资金等。</w:t>
      </w:r>
      <w:r>
        <w:rPr>
          <w:rFonts w:ascii="仿宋" w:eastAsia="仿宋"/>
          <w:sz w:val="32"/>
          <w:szCs w:val="32"/>
        </w:rPr>
        <w:t>20</w:t>
      </w:r>
      <w:r>
        <w:rPr>
          <w:rFonts w:hint="eastAsia" w:ascii="仿宋" w:eastAsia="仿宋"/>
          <w:sz w:val="32"/>
          <w:szCs w:val="32"/>
        </w:rPr>
        <w:t>22年财政拨款</w:t>
      </w:r>
      <w:r>
        <w:rPr>
          <w:rFonts w:hint="eastAsia" w:ascii="仿宋" w:eastAsia="仿宋"/>
          <w:sz w:val="32"/>
          <w:szCs w:val="32"/>
          <w:lang w:eastAsia="zh-CN"/>
        </w:rPr>
        <w:t>支出</w:t>
      </w:r>
      <w:r>
        <w:rPr>
          <w:rFonts w:hint="eastAsia" w:ascii="仿宋" w:eastAsia="仿宋"/>
          <w:sz w:val="32"/>
          <w:szCs w:val="32"/>
        </w:rPr>
        <w:t>总计</w:t>
      </w:r>
      <w:r>
        <w:rPr>
          <w:rFonts w:hint="eastAsia" w:ascii="仿宋" w:eastAsia="仿宋"/>
          <w:sz w:val="32"/>
          <w:szCs w:val="32"/>
          <w:lang w:val="en-US" w:eastAsia="zh-CN"/>
        </w:rPr>
        <w:t>6418.77</w:t>
      </w:r>
      <w:r>
        <w:rPr>
          <w:rFonts w:hint="eastAsia" w:ascii="仿宋" w:eastAsia="仿宋"/>
          <w:sz w:val="32"/>
          <w:szCs w:val="32"/>
        </w:rPr>
        <w:t>万元</w:t>
      </w:r>
      <w:r>
        <w:rPr>
          <w:rFonts w:hint="eastAsia" w:ascii="仿宋" w:eastAsia="仿宋"/>
          <w:sz w:val="32"/>
          <w:szCs w:val="32"/>
          <w:lang w:eastAsia="zh-CN"/>
        </w:rPr>
        <w:t>，与</w:t>
      </w:r>
      <w:r>
        <w:rPr>
          <w:rFonts w:hint="eastAsia" w:ascii="仿宋" w:eastAsia="仿宋"/>
          <w:sz w:val="32"/>
          <w:szCs w:val="32"/>
          <w:lang w:val="en-US" w:eastAsia="zh-CN"/>
        </w:rPr>
        <w:t>2021年2126.71万元增加4292.06万元，增加201.82%，主要原因是是增加项目专款支出，如：耕地占补平衡支出、泥石流治理、生态修复、红原县黄河长江上游历史废弃工矿取料店生态修复项目、2022年普适性监测预警项目等项目专款支出。具体收支情况为：社会保障和就业支出</w:t>
      </w:r>
      <w:r>
        <w:rPr>
          <w:rFonts w:hint="eastAsia" w:ascii="仿宋" w:eastAsia="仿宋"/>
          <w:sz w:val="32"/>
          <w:szCs w:val="32"/>
          <w:lang w:val="en-US" w:eastAsia="zh-CN"/>
        </w:rPr>
        <w:tab/>
      </w:r>
      <w:r>
        <w:rPr>
          <w:rFonts w:hint="eastAsia" w:ascii="仿宋" w:eastAsia="仿宋"/>
          <w:sz w:val="32"/>
          <w:szCs w:val="32"/>
          <w:lang w:val="en-US" w:eastAsia="zh-CN"/>
        </w:rPr>
        <w:t>68.40万元、卫生健康支出30.84万元、节能环保支出</w:t>
      </w:r>
      <w:r>
        <w:rPr>
          <w:rFonts w:hint="eastAsia" w:ascii="仿宋" w:eastAsia="仿宋"/>
          <w:sz w:val="32"/>
          <w:szCs w:val="32"/>
          <w:lang w:val="en-US" w:eastAsia="zh-CN"/>
        </w:rPr>
        <w:tab/>
      </w:r>
      <w:r>
        <w:rPr>
          <w:rFonts w:hint="eastAsia" w:ascii="仿宋" w:eastAsia="仿宋"/>
          <w:sz w:val="32"/>
          <w:szCs w:val="32"/>
          <w:lang w:val="en-US" w:eastAsia="zh-CN"/>
        </w:rPr>
        <w:t>63.30万元、城乡社区支出326.87万元、农林水支出</w:t>
      </w:r>
      <w:r>
        <w:rPr>
          <w:rFonts w:hint="eastAsia" w:ascii="仿宋" w:eastAsia="仿宋"/>
          <w:sz w:val="32"/>
          <w:szCs w:val="32"/>
          <w:lang w:val="en-US" w:eastAsia="zh-CN"/>
        </w:rPr>
        <w:tab/>
      </w:r>
      <w:r>
        <w:rPr>
          <w:rFonts w:hint="eastAsia" w:ascii="仿宋" w:eastAsia="仿宋"/>
          <w:sz w:val="32"/>
          <w:szCs w:val="32"/>
          <w:lang w:val="en-US" w:eastAsia="zh-CN"/>
        </w:rPr>
        <w:t>75.93万元、自然资源海洋气象等支出5511.70万元、住房保障支出37.66万元、灾害防治及应急管理支出304.20万元。</w:t>
      </w:r>
    </w:p>
    <w:p w14:paraId="61D29099">
      <w:pPr>
        <w:pStyle w:val="2"/>
        <w:rPr>
          <w:rFonts w:hint="default"/>
          <w:lang w:val="en-US" w:eastAsia="zh-CN"/>
        </w:rPr>
      </w:pPr>
      <w:r>
        <w:drawing>
          <wp:inline distT="0" distB="0" distL="114300" distR="114300">
            <wp:extent cx="4596130" cy="2761615"/>
            <wp:effectExtent l="0" t="0" r="1397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596130" cy="2761615"/>
                    </a:xfrm>
                    <a:prstGeom prst="rect">
                      <a:avLst/>
                    </a:prstGeom>
                    <a:noFill/>
                    <a:ln>
                      <a:noFill/>
                    </a:ln>
                  </pic:spPr>
                </pic:pic>
              </a:graphicData>
            </a:graphic>
          </wp:inline>
        </w:drawing>
      </w:r>
    </w:p>
    <w:p w14:paraId="1B893068">
      <w:pPr>
        <w:spacing w:line="600" w:lineRule="exact"/>
        <w:ind w:firstLine="640" w:firstLineChars="200"/>
        <w:jc w:val="center"/>
        <w:rPr>
          <w:rFonts w:ascii="仿宋" w:eastAsia="仿宋"/>
          <w:b/>
          <w:sz w:val="32"/>
          <w:szCs w:val="32"/>
        </w:rPr>
      </w:pPr>
      <w:r>
        <w:rPr>
          <w:rFonts w:hint="eastAsia" w:ascii="仿宋" w:eastAsia="仿宋"/>
          <w:sz w:val="32"/>
          <w:szCs w:val="32"/>
        </w:rPr>
        <w:t>（图4：财政拨款收、支决算总计变动情况）</w:t>
      </w:r>
    </w:p>
    <w:p w14:paraId="58286512">
      <w:pPr>
        <w:spacing w:line="600" w:lineRule="exact"/>
        <w:ind w:firstLine="640" w:firstLineChars="200"/>
        <w:outlineLvl w:val="1"/>
        <w:rPr>
          <w:rStyle w:val="25"/>
          <w:rFonts w:ascii="黑体" w:eastAsia="黑体"/>
          <w:b w:val="0"/>
          <w:highlight w:val="none"/>
        </w:rPr>
      </w:pPr>
      <w:bookmarkStart w:id="73" w:name="_Toc15377209"/>
      <w:bookmarkStart w:id="74" w:name="_Toc15396607"/>
      <w:bookmarkStart w:id="75" w:name="_Toc31712"/>
      <w:r>
        <w:rPr>
          <w:rFonts w:hint="eastAsia" w:ascii="黑体" w:eastAsia="黑体"/>
          <w:sz w:val="32"/>
          <w:szCs w:val="32"/>
          <w:highlight w:val="none"/>
        </w:rPr>
        <w:t>五、</w:t>
      </w:r>
      <w:r>
        <w:rPr>
          <w:rFonts w:hint="eastAsia" w:ascii="黑体" w:eastAsia="黑体"/>
          <w:b/>
          <w:sz w:val="32"/>
          <w:szCs w:val="32"/>
          <w:highlight w:val="none"/>
        </w:rPr>
        <w:t>一</w:t>
      </w:r>
      <w:r>
        <w:rPr>
          <w:rStyle w:val="25"/>
          <w:rFonts w:hint="eastAsia" w:ascii="黑体" w:eastAsia="黑体"/>
          <w:b w:val="0"/>
          <w:highlight w:val="none"/>
        </w:rPr>
        <w:t>般公共预算财政拨款支出决算情况说明</w:t>
      </w:r>
      <w:bookmarkEnd w:id="73"/>
      <w:bookmarkEnd w:id="74"/>
      <w:bookmarkEnd w:id="75"/>
    </w:p>
    <w:p w14:paraId="50B45A1D">
      <w:pPr>
        <w:spacing w:line="600" w:lineRule="exact"/>
        <w:ind w:firstLine="643" w:firstLineChars="200"/>
        <w:outlineLvl w:val="2"/>
        <w:rPr>
          <w:rFonts w:ascii="仿宋" w:eastAsia="仿宋"/>
          <w:b/>
          <w:sz w:val="32"/>
          <w:szCs w:val="32"/>
          <w:highlight w:val="none"/>
        </w:rPr>
      </w:pPr>
      <w:bookmarkStart w:id="76" w:name="_Toc30165"/>
      <w:bookmarkStart w:id="77" w:name="_Toc15377210"/>
      <w:r>
        <w:rPr>
          <w:rFonts w:hint="eastAsia" w:ascii="仿宋" w:eastAsia="仿宋"/>
          <w:b/>
          <w:sz w:val="32"/>
          <w:szCs w:val="32"/>
          <w:highlight w:val="none"/>
        </w:rPr>
        <w:t>（一）一般公共预算财政拨款支出决算总体情况</w:t>
      </w:r>
      <w:bookmarkEnd w:id="76"/>
      <w:bookmarkEnd w:id="77"/>
    </w:p>
    <w:p w14:paraId="16A5CCF6">
      <w:pPr>
        <w:spacing w:line="600" w:lineRule="exact"/>
        <w:ind w:firstLine="640" w:firstLineChars="200"/>
        <w:rPr>
          <w:rFonts w:hint="eastAsia" w:ascii="仿宋" w:eastAsia="仿宋"/>
          <w:sz w:val="32"/>
          <w:szCs w:val="32"/>
          <w:highlight w:val="none"/>
          <w:lang w:eastAsia="zh-CN"/>
        </w:rPr>
      </w:pPr>
      <w:r>
        <w:rPr>
          <w:rFonts w:ascii="仿宋" w:eastAsia="仿宋"/>
          <w:sz w:val="32"/>
          <w:szCs w:val="32"/>
          <w:highlight w:val="none"/>
        </w:rPr>
        <w:t>20</w:t>
      </w:r>
      <w:r>
        <w:rPr>
          <w:rFonts w:hint="eastAsia" w:ascii="仿宋" w:eastAsia="仿宋"/>
          <w:sz w:val="32"/>
          <w:szCs w:val="32"/>
          <w:highlight w:val="none"/>
        </w:rPr>
        <w:t>22年一般公共预算财政拨款支出</w:t>
      </w:r>
      <w:r>
        <w:rPr>
          <w:rFonts w:hint="eastAsia" w:ascii="仿宋" w:eastAsia="仿宋"/>
          <w:sz w:val="32"/>
          <w:szCs w:val="32"/>
          <w:highlight w:val="none"/>
          <w:lang w:val="en-US" w:eastAsia="zh-CN"/>
        </w:rPr>
        <w:t>6091.9</w:t>
      </w:r>
      <w:r>
        <w:rPr>
          <w:rFonts w:hint="eastAsia" w:ascii="仿宋" w:eastAsia="仿宋"/>
          <w:sz w:val="32"/>
          <w:szCs w:val="32"/>
          <w:highlight w:val="none"/>
        </w:rPr>
        <w:t>万元，占本年支出合计的</w:t>
      </w:r>
      <w:r>
        <w:rPr>
          <w:rFonts w:hint="eastAsia" w:ascii="仿宋" w:eastAsia="仿宋"/>
          <w:sz w:val="32"/>
          <w:szCs w:val="32"/>
          <w:highlight w:val="none"/>
          <w:lang w:val="en-US" w:eastAsia="zh-CN"/>
        </w:rPr>
        <w:t>95</w:t>
      </w:r>
      <w:r>
        <w:rPr>
          <w:rFonts w:ascii="仿宋" w:eastAsia="仿宋"/>
          <w:sz w:val="32"/>
          <w:szCs w:val="32"/>
          <w:highlight w:val="none"/>
        </w:rPr>
        <w:t>%</w:t>
      </w:r>
      <w:r>
        <w:rPr>
          <w:rFonts w:hint="eastAsia" w:ascii="仿宋" w:eastAsia="仿宋"/>
          <w:sz w:val="32"/>
          <w:szCs w:val="32"/>
          <w:highlight w:val="none"/>
        </w:rPr>
        <w:t>。与</w:t>
      </w:r>
      <w:r>
        <w:rPr>
          <w:rFonts w:ascii="仿宋" w:eastAsia="仿宋"/>
          <w:sz w:val="32"/>
          <w:szCs w:val="32"/>
          <w:highlight w:val="none"/>
        </w:rPr>
        <w:t>20</w:t>
      </w:r>
      <w:r>
        <w:rPr>
          <w:rFonts w:hint="eastAsia" w:ascii="仿宋" w:eastAsia="仿宋"/>
          <w:sz w:val="32"/>
          <w:szCs w:val="32"/>
          <w:highlight w:val="none"/>
        </w:rPr>
        <w:t>21年相比，一般公共预算财政拨款支出</w:t>
      </w:r>
      <w:r>
        <w:rPr>
          <w:rFonts w:hint="eastAsia" w:ascii="仿宋" w:eastAsia="仿宋"/>
          <w:sz w:val="32"/>
          <w:szCs w:val="32"/>
          <w:highlight w:val="none"/>
          <w:lang w:val="en-US" w:eastAsia="zh-CN"/>
        </w:rPr>
        <w:t>2126.71万元</w:t>
      </w:r>
      <w:r>
        <w:rPr>
          <w:rFonts w:hint="eastAsia" w:ascii="仿宋" w:eastAsia="仿宋"/>
          <w:sz w:val="32"/>
          <w:szCs w:val="32"/>
          <w:highlight w:val="none"/>
        </w:rPr>
        <w:t>增加</w:t>
      </w:r>
      <w:r>
        <w:rPr>
          <w:rFonts w:hint="eastAsia" w:ascii="仿宋" w:eastAsia="仿宋"/>
          <w:sz w:val="32"/>
          <w:szCs w:val="32"/>
          <w:highlight w:val="none"/>
          <w:lang w:val="en-US" w:eastAsia="zh-CN"/>
        </w:rPr>
        <w:t>3965.19</w:t>
      </w:r>
      <w:r>
        <w:rPr>
          <w:rFonts w:hint="eastAsia" w:ascii="仿宋" w:eastAsia="仿宋"/>
          <w:sz w:val="32"/>
          <w:szCs w:val="32"/>
          <w:highlight w:val="none"/>
        </w:rPr>
        <w:t>万元，增长</w:t>
      </w:r>
      <w:r>
        <w:rPr>
          <w:rFonts w:hint="eastAsia" w:ascii="仿宋" w:eastAsia="仿宋"/>
          <w:sz w:val="32"/>
          <w:szCs w:val="32"/>
          <w:highlight w:val="none"/>
          <w:lang w:val="en-US" w:eastAsia="zh-CN"/>
        </w:rPr>
        <w:t>186.45</w:t>
      </w:r>
      <w:r>
        <w:rPr>
          <w:rFonts w:ascii="仿宋" w:eastAsia="仿宋"/>
          <w:sz w:val="32"/>
          <w:szCs w:val="32"/>
          <w:highlight w:val="none"/>
        </w:rPr>
        <w:t>%</w:t>
      </w:r>
      <w:r>
        <w:rPr>
          <w:rFonts w:hint="eastAsia" w:ascii="仿宋" w:eastAsia="仿宋"/>
          <w:sz w:val="32"/>
          <w:szCs w:val="32"/>
          <w:highlight w:val="none"/>
        </w:rPr>
        <w:t>。主要变动原因是</w:t>
      </w:r>
      <w:r>
        <w:rPr>
          <w:rFonts w:hint="eastAsia" w:ascii="仿宋" w:eastAsia="仿宋"/>
          <w:sz w:val="32"/>
          <w:szCs w:val="32"/>
          <w:highlight w:val="none"/>
          <w:lang w:eastAsia="zh-CN"/>
        </w:rPr>
        <w:t>本年增加工资性支出、保险调整、公积金缴费增长及项目、专项等资金支出，具体支出如下表。</w:t>
      </w:r>
    </w:p>
    <w:p w14:paraId="03DB6DAC">
      <w:pPr>
        <w:pStyle w:val="2"/>
        <w:rPr>
          <w:rFonts w:hint="eastAsia"/>
          <w:lang w:eastAsia="zh-CN"/>
        </w:rPr>
      </w:pPr>
      <w:r>
        <w:drawing>
          <wp:inline distT="0" distB="0" distL="114300" distR="114300">
            <wp:extent cx="4596130" cy="1428750"/>
            <wp:effectExtent l="0" t="0" r="139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596130" cy="1428750"/>
                    </a:xfrm>
                    <a:prstGeom prst="rect">
                      <a:avLst/>
                    </a:prstGeom>
                    <a:noFill/>
                    <a:ln>
                      <a:noFill/>
                    </a:ln>
                  </pic:spPr>
                </pic:pic>
              </a:graphicData>
            </a:graphic>
          </wp:inline>
        </w:drawing>
      </w:r>
    </w:p>
    <w:p w14:paraId="68DB6027">
      <w:pPr>
        <w:spacing w:line="600" w:lineRule="exact"/>
        <w:ind w:firstLine="640" w:firstLineChars="200"/>
        <w:jc w:val="center"/>
        <w:rPr>
          <w:rFonts w:ascii="仿宋" w:eastAsia="仿宋"/>
          <w:sz w:val="32"/>
          <w:szCs w:val="32"/>
        </w:rPr>
      </w:pPr>
      <w:r>
        <w:rPr>
          <w:rFonts w:hint="eastAsia" w:ascii="仿宋" w:eastAsia="仿宋"/>
          <w:sz w:val="32"/>
          <w:szCs w:val="32"/>
        </w:rPr>
        <w:t>（图5：一般公共预算财政拨款支出决算变动情况）</w:t>
      </w:r>
    </w:p>
    <w:p w14:paraId="779E8288">
      <w:pPr>
        <w:spacing w:line="600" w:lineRule="exact"/>
        <w:ind w:firstLine="643" w:firstLineChars="200"/>
        <w:outlineLvl w:val="2"/>
        <w:rPr>
          <w:rFonts w:ascii="仿宋" w:eastAsia="仿宋"/>
          <w:b/>
          <w:sz w:val="32"/>
          <w:szCs w:val="32"/>
        </w:rPr>
      </w:pPr>
      <w:bookmarkStart w:id="78" w:name="_Toc19381"/>
      <w:bookmarkStart w:id="79" w:name="_Toc15377211"/>
      <w:r>
        <w:rPr>
          <w:rFonts w:hint="eastAsia" w:ascii="仿宋" w:eastAsia="仿宋"/>
          <w:b/>
          <w:sz w:val="32"/>
          <w:szCs w:val="32"/>
        </w:rPr>
        <w:t>（二）一般公共预算财政拨款支出决算结构情况</w:t>
      </w:r>
      <w:bookmarkEnd w:id="78"/>
      <w:bookmarkEnd w:id="79"/>
    </w:p>
    <w:p w14:paraId="78F29A0D">
      <w:pPr>
        <w:spacing w:line="600" w:lineRule="exact"/>
        <w:ind w:firstLine="640"/>
        <w:rPr>
          <w:rFonts w:hint="eastAsia" w:ascii="仿宋" w:hAnsi="Times New Roman" w:eastAsia="仿宋" w:cs="Times New Roman"/>
          <w:b w:val="0"/>
          <w:bCs w:val="0"/>
          <w:sz w:val="32"/>
          <w:szCs w:val="32"/>
        </w:rPr>
      </w:pPr>
      <w:r>
        <w:drawing>
          <wp:anchor distT="0" distB="0" distL="114300" distR="114300" simplePos="0" relativeHeight="251662336" behindDoc="0" locked="0" layoutInCell="1" allowOverlap="1">
            <wp:simplePos x="0" y="0"/>
            <wp:positionH relativeFrom="column">
              <wp:posOffset>701675</wp:posOffset>
            </wp:positionH>
            <wp:positionV relativeFrom="paragraph">
              <wp:posOffset>3324225</wp:posOffset>
            </wp:positionV>
            <wp:extent cx="4596130" cy="1952625"/>
            <wp:effectExtent l="0" t="0" r="13970" b="9525"/>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4596130" cy="1952625"/>
                    </a:xfrm>
                    <a:prstGeom prst="rect">
                      <a:avLst/>
                    </a:prstGeom>
                    <a:noFill/>
                    <a:ln>
                      <a:noFill/>
                    </a:ln>
                  </pic:spPr>
                </pic:pic>
              </a:graphicData>
            </a:graphic>
          </wp:anchor>
        </w:drawing>
      </w:r>
      <w:r>
        <w:rPr>
          <w:rFonts w:ascii="仿宋" w:eastAsia="仿宋"/>
          <w:sz w:val="32"/>
          <w:szCs w:val="32"/>
        </w:rPr>
        <w:t>20</w:t>
      </w:r>
      <w:r>
        <w:rPr>
          <w:rFonts w:hint="eastAsia" w:ascii="仿宋" w:eastAsia="仿宋"/>
          <w:sz w:val="32"/>
          <w:szCs w:val="32"/>
        </w:rPr>
        <w:t>22年一般公共预算财政拨款支出</w:t>
      </w:r>
      <w:r>
        <w:rPr>
          <w:rFonts w:hint="eastAsia" w:ascii="仿宋" w:eastAsia="仿宋"/>
          <w:sz w:val="32"/>
          <w:szCs w:val="32"/>
          <w:lang w:val="en-US" w:eastAsia="zh-CN"/>
        </w:rPr>
        <w:t>6091.9</w:t>
      </w:r>
      <w:r>
        <w:rPr>
          <w:rFonts w:hint="eastAsia" w:ascii="仿宋" w:eastAsia="仿宋"/>
          <w:sz w:val="32"/>
          <w:szCs w:val="32"/>
        </w:rPr>
        <w:t>万元，主要用于以下方面</w:t>
      </w:r>
      <w:r>
        <w:rPr>
          <w:rFonts w:ascii="仿宋" w:eastAsia="仿宋"/>
          <w:sz w:val="32"/>
          <w:szCs w:val="32"/>
        </w:rPr>
        <w:t>:</w:t>
      </w:r>
      <w:r>
        <w:rPr>
          <w:rFonts w:hint="eastAsia" w:ascii="仿宋" w:eastAsia="仿宋"/>
          <w:b/>
          <w:sz w:val="32"/>
          <w:szCs w:val="32"/>
        </w:rPr>
        <w:t>社会保障和就业</w:t>
      </w:r>
      <w:r>
        <w:rPr>
          <w:rFonts w:hint="eastAsia" w:ascii="仿宋" w:eastAsia="仿宋"/>
          <w:b/>
          <w:bCs/>
          <w:sz w:val="32"/>
          <w:szCs w:val="32"/>
        </w:rPr>
        <w:t>支出</w:t>
      </w:r>
      <w:r>
        <w:rPr>
          <w:rFonts w:hint="eastAsia" w:ascii="仿宋" w:eastAsia="仿宋"/>
          <w:sz w:val="32"/>
          <w:szCs w:val="32"/>
          <w:lang w:val="en-US" w:eastAsia="zh-CN"/>
        </w:rPr>
        <w:t>68.4</w:t>
      </w:r>
      <w:r>
        <w:rPr>
          <w:rFonts w:hint="eastAsia" w:ascii="仿宋" w:eastAsia="仿宋"/>
          <w:sz w:val="32"/>
          <w:szCs w:val="32"/>
        </w:rPr>
        <w:t>万元，占</w:t>
      </w:r>
      <w:r>
        <w:rPr>
          <w:rFonts w:hint="eastAsia" w:ascii="仿宋" w:eastAsia="仿宋"/>
          <w:sz w:val="32"/>
          <w:szCs w:val="32"/>
          <w:lang w:val="en-US" w:eastAsia="zh-CN"/>
        </w:rPr>
        <w:t>1.12</w:t>
      </w:r>
      <w:r>
        <w:rPr>
          <w:rFonts w:ascii="仿宋" w:eastAsia="仿宋"/>
          <w:sz w:val="32"/>
          <w:szCs w:val="32"/>
        </w:rPr>
        <w:t>%</w:t>
      </w:r>
      <w:r>
        <w:rPr>
          <w:rFonts w:hint="eastAsia" w:ascii="仿宋" w:eastAsia="仿宋"/>
          <w:sz w:val="32"/>
          <w:szCs w:val="32"/>
        </w:rPr>
        <w:t>；</w:t>
      </w:r>
      <w:r>
        <w:rPr>
          <w:rFonts w:hint="eastAsia" w:ascii="仿宋" w:eastAsia="仿宋"/>
          <w:b/>
          <w:bCs/>
          <w:sz w:val="32"/>
          <w:szCs w:val="32"/>
        </w:rPr>
        <w:t>卫生健康支出</w:t>
      </w:r>
      <w:r>
        <w:rPr>
          <w:rFonts w:hint="eastAsia" w:ascii="仿宋" w:eastAsia="仿宋"/>
          <w:sz w:val="32"/>
          <w:szCs w:val="32"/>
          <w:lang w:val="en-US" w:eastAsia="zh-CN"/>
        </w:rPr>
        <w:t>30.84</w:t>
      </w:r>
      <w:r>
        <w:rPr>
          <w:rFonts w:hint="eastAsia" w:ascii="仿宋" w:eastAsia="仿宋"/>
          <w:sz w:val="32"/>
          <w:szCs w:val="32"/>
        </w:rPr>
        <w:t>万元，占</w:t>
      </w:r>
      <w:r>
        <w:rPr>
          <w:rFonts w:hint="eastAsia" w:ascii="仿宋" w:eastAsia="仿宋"/>
          <w:sz w:val="32"/>
          <w:szCs w:val="32"/>
          <w:lang w:val="en-US" w:eastAsia="zh-CN"/>
        </w:rPr>
        <w:t>0.5</w:t>
      </w:r>
      <w:r>
        <w:rPr>
          <w:rFonts w:ascii="仿宋" w:eastAsia="仿宋"/>
          <w:sz w:val="32"/>
          <w:szCs w:val="32"/>
        </w:rPr>
        <w:t>%</w:t>
      </w:r>
      <w:r>
        <w:rPr>
          <w:rFonts w:hint="eastAsia" w:ascii="仿宋" w:eastAsia="仿宋"/>
          <w:sz w:val="32"/>
          <w:szCs w:val="32"/>
        </w:rPr>
        <w:t>；</w:t>
      </w:r>
      <w:r>
        <w:rPr>
          <w:rFonts w:hint="eastAsia" w:ascii="仿宋" w:hAnsi="Times New Roman" w:eastAsia="仿宋" w:cs="Times New Roman"/>
          <w:b/>
          <w:bCs/>
          <w:sz w:val="32"/>
          <w:szCs w:val="32"/>
        </w:rPr>
        <w:t>节能环保支出</w:t>
      </w:r>
      <w:r>
        <w:rPr>
          <w:rFonts w:hint="eastAsia" w:ascii="仿宋" w:hAnsi="Times New Roman" w:eastAsia="仿宋" w:cs="Times New Roman"/>
          <w:b w:val="0"/>
          <w:bCs w:val="0"/>
          <w:sz w:val="32"/>
          <w:szCs w:val="32"/>
          <w:lang w:val="en-US" w:eastAsia="zh-CN"/>
        </w:rPr>
        <w:t>63.3万元，占1.04%；</w:t>
      </w:r>
      <w:r>
        <w:rPr>
          <w:rFonts w:hint="eastAsia" w:ascii="仿宋" w:hAnsi="Times New Roman" w:eastAsia="仿宋" w:cs="Times New Roman"/>
          <w:b/>
          <w:bCs/>
          <w:sz w:val="32"/>
          <w:szCs w:val="32"/>
          <w:lang w:val="en-US" w:eastAsia="zh-CN"/>
        </w:rPr>
        <w:t>农林水支出</w:t>
      </w:r>
      <w:r>
        <w:rPr>
          <w:rFonts w:hint="eastAsia" w:ascii="仿宋" w:hAnsi="Times New Roman" w:eastAsia="仿宋" w:cs="Times New Roman"/>
          <w:b w:val="0"/>
          <w:bCs w:val="0"/>
          <w:sz w:val="32"/>
          <w:szCs w:val="32"/>
          <w:lang w:val="en-US" w:eastAsia="zh-CN"/>
        </w:rPr>
        <w:t>75.93万元，占1.25%；</w:t>
      </w:r>
      <w:r>
        <w:rPr>
          <w:rFonts w:hint="eastAsia" w:ascii="仿宋" w:hAnsi="Times New Roman" w:eastAsia="仿宋" w:cs="Times New Roman"/>
          <w:b/>
          <w:bCs/>
          <w:sz w:val="32"/>
          <w:szCs w:val="32"/>
          <w:lang w:val="en-US" w:eastAsia="zh-CN"/>
        </w:rPr>
        <w:t>自然资源海洋气象等支出</w:t>
      </w:r>
      <w:r>
        <w:rPr>
          <w:rFonts w:hint="eastAsia" w:ascii="仿宋" w:hAnsi="Times New Roman" w:eastAsia="仿宋" w:cs="Times New Roman"/>
          <w:b w:val="0"/>
          <w:bCs w:val="0"/>
          <w:sz w:val="32"/>
          <w:szCs w:val="32"/>
          <w:lang w:val="en-US" w:eastAsia="zh-CN"/>
        </w:rPr>
        <w:t>5511.58万元，占90.47%；</w:t>
      </w:r>
      <w:r>
        <w:rPr>
          <w:rFonts w:hint="eastAsia" w:ascii="仿宋" w:eastAsia="仿宋"/>
          <w:b/>
          <w:bCs/>
          <w:sz w:val="32"/>
          <w:szCs w:val="32"/>
        </w:rPr>
        <w:t>住房保障支出</w:t>
      </w:r>
      <w:r>
        <w:rPr>
          <w:rFonts w:hint="eastAsia" w:ascii="仿宋" w:hAnsi="Times New Roman" w:eastAsia="仿宋" w:cs="Times New Roman"/>
          <w:sz w:val="32"/>
          <w:szCs w:val="32"/>
          <w:lang w:val="en-US" w:eastAsia="zh-CN"/>
        </w:rPr>
        <w:t>37.66</w:t>
      </w:r>
      <w:r>
        <w:rPr>
          <w:rFonts w:hint="eastAsia" w:ascii="仿宋" w:hAnsi="Times New Roman" w:eastAsia="仿宋" w:cs="Times New Roman"/>
          <w:sz w:val="32"/>
          <w:szCs w:val="32"/>
        </w:rPr>
        <w:t>万元，占</w:t>
      </w:r>
      <w:r>
        <w:rPr>
          <w:rFonts w:hint="eastAsia" w:ascii="仿宋" w:hAnsi="Times New Roman" w:eastAsia="仿宋" w:cs="Times New Roman"/>
          <w:sz w:val="32"/>
          <w:szCs w:val="32"/>
          <w:lang w:val="en-US" w:eastAsia="zh-CN"/>
        </w:rPr>
        <w:t>0.6%</w:t>
      </w:r>
      <w:r>
        <w:rPr>
          <w:rFonts w:hint="eastAsia" w:ascii="仿宋" w:hAnsi="Times New Roman" w:eastAsia="仿宋" w:cs="Times New Roman"/>
          <w:sz w:val="32"/>
          <w:szCs w:val="32"/>
        </w:rPr>
        <w:t>；</w:t>
      </w:r>
      <w:r>
        <w:rPr>
          <w:rFonts w:hint="eastAsia" w:ascii="仿宋" w:hAnsi="Times New Roman" w:eastAsia="仿宋" w:cs="Times New Roman"/>
          <w:b/>
          <w:bCs/>
          <w:sz w:val="32"/>
          <w:szCs w:val="32"/>
        </w:rPr>
        <w:t>灾害防治及应急管理支出</w:t>
      </w:r>
      <w:r>
        <w:rPr>
          <w:rFonts w:hint="eastAsia" w:ascii="仿宋" w:hAnsi="Times New Roman" w:eastAsia="仿宋" w:cs="Times New Roman"/>
          <w:b w:val="0"/>
          <w:bCs w:val="0"/>
          <w:sz w:val="32"/>
          <w:szCs w:val="32"/>
          <w:lang w:val="en-US" w:eastAsia="zh-CN"/>
        </w:rPr>
        <w:t>304.2万元，占4.99%</w:t>
      </w:r>
      <w:r>
        <w:rPr>
          <w:rFonts w:hint="eastAsia" w:ascii="仿宋" w:hAnsi="Times New Roman" w:eastAsia="仿宋" w:cs="Times New Roman"/>
          <w:b w:val="0"/>
          <w:bCs w:val="0"/>
          <w:sz w:val="32"/>
          <w:szCs w:val="32"/>
        </w:rPr>
        <w:t>。</w:t>
      </w:r>
    </w:p>
    <w:p w14:paraId="51AA2DAA">
      <w:pPr>
        <w:spacing w:line="600" w:lineRule="exact"/>
        <w:ind w:firstLine="640"/>
        <w:rPr>
          <w:rFonts w:ascii="仿宋" w:eastAsia="仿宋"/>
          <w:sz w:val="32"/>
          <w:szCs w:val="32"/>
        </w:rPr>
      </w:pPr>
    </w:p>
    <w:p w14:paraId="49055718">
      <w:pPr>
        <w:spacing w:line="600" w:lineRule="exact"/>
        <w:ind w:firstLine="640" w:firstLineChars="200"/>
        <w:jc w:val="center"/>
        <w:rPr>
          <w:rFonts w:ascii="仿宋" w:eastAsia="仿宋"/>
          <w:sz w:val="32"/>
          <w:szCs w:val="32"/>
        </w:rPr>
      </w:pPr>
      <w:r>
        <w:rPr>
          <w:rFonts w:hint="eastAsia" w:ascii="仿宋" w:eastAsia="仿宋"/>
          <w:sz w:val="32"/>
          <w:szCs w:val="32"/>
        </w:rPr>
        <w:t>（图6：一般公共预算财政拨款支出决算结构）</w:t>
      </w:r>
    </w:p>
    <w:p w14:paraId="6BC20F2F">
      <w:pPr>
        <w:spacing w:line="600" w:lineRule="exact"/>
        <w:ind w:firstLine="643" w:firstLineChars="200"/>
        <w:outlineLvl w:val="2"/>
        <w:rPr>
          <w:rFonts w:ascii="仿宋" w:eastAsia="仿宋"/>
          <w:b/>
          <w:sz w:val="32"/>
          <w:szCs w:val="32"/>
        </w:rPr>
      </w:pPr>
      <w:bookmarkStart w:id="80" w:name="_Toc15377212"/>
      <w:bookmarkStart w:id="81" w:name="_Toc32455"/>
      <w:r>
        <w:rPr>
          <w:rFonts w:hint="eastAsia" w:ascii="仿宋" w:eastAsia="仿宋"/>
          <w:b/>
          <w:sz w:val="32"/>
          <w:szCs w:val="32"/>
        </w:rPr>
        <w:t>（三）一般公共预算财政拨款支出决算具体情况</w:t>
      </w:r>
      <w:bookmarkEnd w:id="80"/>
      <w:bookmarkEnd w:id="81"/>
    </w:p>
    <w:p w14:paraId="6F5CDAD0">
      <w:pPr>
        <w:spacing w:line="600" w:lineRule="exact"/>
        <w:ind w:firstLine="643" w:firstLineChars="200"/>
        <w:outlineLvl w:val="2"/>
        <w:rPr>
          <w:rFonts w:ascii="仿宋" w:eastAsia="仿宋"/>
          <w:b w:val="0"/>
          <w:bCs w:val="0"/>
          <w:sz w:val="32"/>
          <w:szCs w:val="32"/>
        </w:rPr>
      </w:pPr>
      <w:bookmarkStart w:id="82" w:name="_Toc15378460"/>
      <w:bookmarkStart w:id="83" w:name="_Toc15377213"/>
      <w:bookmarkStart w:id="84" w:name="_Toc1962"/>
      <w:bookmarkStart w:id="85" w:name="_Toc15377444"/>
      <w:r>
        <w:rPr>
          <w:rFonts w:hint="eastAsia" w:ascii="仿宋" w:eastAsia="仿宋"/>
          <w:b/>
          <w:sz w:val="32"/>
          <w:szCs w:val="32"/>
        </w:rPr>
        <w:t>2022年一般公共预算支出决算数为</w:t>
      </w:r>
      <w:r>
        <w:rPr>
          <w:rFonts w:hint="eastAsia" w:ascii="仿宋" w:eastAsia="仿宋"/>
          <w:b w:val="0"/>
          <w:bCs/>
          <w:sz w:val="32"/>
          <w:szCs w:val="32"/>
          <w:lang w:val="en-US" w:eastAsia="zh-CN"/>
        </w:rPr>
        <w:t>6091.9万元</w:t>
      </w:r>
      <w:r>
        <w:rPr>
          <w:rFonts w:hint="eastAsia" w:ascii="仿宋" w:eastAsia="仿宋"/>
          <w:sz w:val="32"/>
          <w:szCs w:val="32"/>
        </w:rPr>
        <w:t>，</w:t>
      </w:r>
      <w:r>
        <w:rPr>
          <w:rStyle w:val="21"/>
          <w:rFonts w:hint="eastAsia" w:ascii="仿宋" w:eastAsia="仿宋"/>
          <w:b w:val="0"/>
          <w:bCs w:val="0"/>
          <w:sz w:val="32"/>
          <w:szCs w:val="32"/>
        </w:rPr>
        <w:t>完成预算</w:t>
      </w:r>
      <w:r>
        <w:rPr>
          <w:rStyle w:val="21"/>
          <w:rFonts w:hint="eastAsia" w:ascii="仿宋" w:eastAsia="仿宋"/>
          <w:b w:val="0"/>
          <w:bCs w:val="0"/>
          <w:sz w:val="32"/>
          <w:szCs w:val="32"/>
          <w:lang w:val="en-US" w:eastAsia="zh-CN"/>
        </w:rPr>
        <w:t>100</w:t>
      </w:r>
      <w:r>
        <w:rPr>
          <w:rStyle w:val="21"/>
          <w:rFonts w:ascii="仿宋" w:eastAsia="仿宋"/>
          <w:b w:val="0"/>
          <w:bCs w:val="0"/>
          <w:sz w:val="32"/>
          <w:szCs w:val="32"/>
        </w:rPr>
        <w:t>%</w:t>
      </w:r>
      <w:r>
        <w:rPr>
          <w:rStyle w:val="21"/>
          <w:rFonts w:hint="eastAsia" w:ascii="仿宋" w:eastAsia="仿宋"/>
          <w:b w:val="0"/>
          <w:bCs w:val="0"/>
          <w:sz w:val="32"/>
          <w:szCs w:val="32"/>
        </w:rPr>
        <w:t>。其中：</w:t>
      </w:r>
      <w:bookmarkEnd w:id="82"/>
      <w:bookmarkEnd w:id="83"/>
      <w:bookmarkEnd w:id="84"/>
      <w:bookmarkEnd w:id="85"/>
    </w:p>
    <w:p w14:paraId="3354B070">
      <w:pPr>
        <w:spacing w:line="600" w:lineRule="exact"/>
        <w:ind w:firstLine="643" w:firstLineChars="200"/>
        <w:outlineLvl w:val="2"/>
        <w:rPr>
          <w:rStyle w:val="21"/>
          <w:rFonts w:hint="eastAsia" w:ascii="仿宋" w:hAnsi="仿宋" w:eastAsia="仿宋"/>
          <w:b w:val="0"/>
          <w:bCs/>
          <w:color w:val="000000"/>
          <w:sz w:val="32"/>
          <w:szCs w:val="32"/>
          <w:lang w:eastAsia="zh-CN"/>
        </w:rPr>
      </w:pPr>
      <w:r>
        <w:rPr>
          <w:rStyle w:val="21"/>
          <w:rFonts w:ascii="仿宋" w:eastAsia="仿宋"/>
          <w:bCs/>
          <w:sz w:val="32"/>
          <w:szCs w:val="32"/>
        </w:rPr>
        <w:t>1.</w:t>
      </w:r>
      <w:r>
        <w:rPr>
          <w:rStyle w:val="21"/>
          <w:rFonts w:hint="eastAsia" w:ascii="仿宋" w:eastAsia="仿宋"/>
          <w:bCs/>
          <w:sz w:val="32"/>
          <w:szCs w:val="32"/>
          <w:lang w:val="en-US" w:eastAsia="zh-CN"/>
        </w:rPr>
        <w:t>208-</w:t>
      </w:r>
      <w:r>
        <w:rPr>
          <w:rStyle w:val="21"/>
          <w:rFonts w:hint="eastAsia" w:ascii="仿宋" w:eastAsia="仿宋"/>
          <w:bCs/>
          <w:sz w:val="32"/>
          <w:szCs w:val="32"/>
        </w:rPr>
        <w:t>社会保障和就业</w:t>
      </w:r>
      <w:r>
        <w:rPr>
          <w:rStyle w:val="21"/>
          <w:rFonts w:hint="eastAsia" w:ascii="仿宋" w:eastAsia="仿宋"/>
          <w:b w:val="0"/>
          <w:bCs/>
          <w:sz w:val="32"/>
          <w:szCs w:val="32"/>
        </w:rPr>
        <w:t>支出决算为</w:t>
      </w:r>
      <w:r>
        <w:rPr>
          <w:rStyle w:val="21"/>
          <w:rFonts w:hint="eastAsia" w:ascii="仿宋" w:eastAsia="仿宋"/>
          <w:b w:val="0"/>
          <w:bCs/>
          <w:sz w:val="32"/>
          <w:szCs w:val="32"/>
          <w:lang w:val="en-US" w:eastAsia="zh-CN"/>
        </w:rPr>
        <w:t>68.4</w:t>
      </w:r>
      <w:r>
        <w:rPr>
          <w:rStyle w:val="21"/>
          <w:rFonts w:hint="eastAsia" w:ascii="仿宋" w:eastAsia="仿宋"/>
          <w:b w:val="0"/>
          <w:bCs/>
          <w:sz w:val="32"/>
          <w:szCs w:val="32"/>
        </w:rPr>
        <w:t>万元，完成预算</w:t>
      </w:r>
      <w:r>
        <w:rPr>
          <w:rStyle w:val="21"/>
          <w:rFonts w:hint="eastAsia" w:ascii="仿宋" w:eastAsia="仿宋"/>
          <w:b w:val="0"/>
          <w:bCs/>
          <w:sz w:val="32"/>
          <w:szCs w:val="32"/>
          <w:lang w:val="en-US" w:eastAsia="zh-CN"/>
        </w:rPr>
        <w:t>100</w:t>
      </w:r>
      <w:r>
        <w:rPr>
          <w:rStyle w:val="21"/>
          <w:rFonts w:ascii="仿宋" w:eastAsia="仿宋"/>
          <w:b w:val="0"/>
          <w:bCs/>
          <w:sz w:val="32"/>
          <w:szCs w:val="32"/>
        </w:rPr>
        <w:t>%</w:t>
      </w:r>
      <w:r>
        <w:rPr>
          <w:rStyle w:val="21"/>
          <w:rFonts w:hint="eastAsia" w:ascii="仿宋" w:eastAsia="仿宋"/>
          <w:b w:val="0"/>
          <w:bCs/>
          <w:sz w:val="32"/>
          <w:szCs w:val="32"/>
        </w:rPr>
        <w:t>，</w:t>
      </w:r>
      <w:r>
        <w:rPr>
          <w:rStyle w:val="21"/>
          <w:rFonts w:hint="eastAsia" w:ascii="仿宋" w:eastAsia="仿宋"/>
          <w:b w:val="0"/>
          <w:bCs/>
          <w:sz w:val="32"/>
          <w:szCs w:val="32"/>
          <w:lang w:eastAsia="zh-CN"/>
        </w:rPr>
        <w:t>其中：</w:t>
      </w:r>
      <w:r>
        <w:rPr>
          <w:rFonts w:hint="eastAsia" w:eastAsia="仿宋_GB2312"/>
          <w:sz w:val="32"/>
          <w:szCs w:val="32"/>
          <w:lang w:val="en-US" w:eastAsia="zh-CN"/>
        </w:rPr>
        <w:t>2080505-机关事业单位基本养老保险缴费支出45.6万元，</w:t>
      </w:r>
      <w:r>
        <w:rPr>
          <w:rStyle w:val="21"/>
          <w:rFonts w:hint="eastAsia" w:ascii="仿宋" w:hAnsi="仿宋" w:eastAsia="仿宋"/>
          <w:b w:val="0"/>
          <w:bCs/>
          <w:color w:val="000000"/>
          <w:sz w:val="32"/>
          <w:szCs w:val="32"/>
          <w:lang w:eastAsia="zh-CN"/>
        </w:rPr>
        <w:t>全部用于职工缴纳养老保险单位部分；</w:t>
      </w:r>
      <w:r>
        <w:rPr>
          <w:rFonts w:hint="eastAsia" w:eastAsia="仿宋_GB2312"/>
          <w:sz w:val="32"/>
          <w:szCs w:val="32"/>
          <w:lang w:val="en-US" w:eastAsia="zh-CN"/>
        </w:rPr>
        <w:t>2080506-机关事业单位职业年金缴费支出22.8万元，</w:t>
      </w:r>
      <w:r>
        <w:rPr>
          <w:rStyle w:val="21"/>
          <w:rFonts w:hint="eastAsia" w:ascii="仿宋" w:hAnsi="仿宋" w:eastAsia="仿宋"/>
          <w:b w:val="0"/>
          <w:bCs/>
          <w:color w:val="000000"/>
          <w:sz w:val="32"/>
          <w:szCs w:val="32"/>
          <w:lang w:eastAsia="zh-CN"/>
        </w:rPr>
        <w:t>全部用于职工缴纳职业年金单位部分。</w:t>
      </w:r>
    </w:p>
    <w:p w14:paraId="7E1D75AF">
      <w:pPr>
        <w:pStyle w:val="2"/>
        <w:rPr>
          <w:rFonts w:hint="default"/>
          <w:lang w:val="en-US"/>
        </w:rPr>
      </w:pPr>
    </w:p>
    <w:p w14:paraId="5A683A59">
      <w:pPr>
        <w:spacing w:line="600" w:lineRule="exact"/>
        <w:ind w:firstLine="643" w:firstLineChars="200"/>
        <w:outlineLvl w:val="2"/>
        <w:rPr>
          <w:rStyle w:val="21"/>
          <w:rFonts w:hint="eastAsia" w:ascii="仿宋" w:hAnsi="Times New Roman" w:eastAsia="仿宋" w:cs="Times New Roman"/>
          <w:b w:val="0"/>
          <w:bCs w:val="0"/>
          <w:sz w:val="32"/>
          <w:szCs w:val="32"/>
          <w:lang w:val="en-US" w:eastAsia="zh-CN"/>
        </w:rPr>
      </w:pPr>
      <w:r>
        <w:rPr>
          <w:rStyle w:val="21"/>
          <w:rFonts w:hint="eastAsia" w:ascii="仿宋" w:hAnsi="Times New Roman" w:eastAsia="仿宋" w:cs="Times New Roman"/>
          <w:bCs/>
          <w:sz w:val="32"/>
          <w:szCs w:val="32"/>
          <w:lang w:val="en-US" w:eastAsia="zh-CN"/>
        </w:rPr>
        <w:t>2</w:t>
      </w:r>
      <w:r>
        <w:rPr>
          <w:rStyle w:val="21"/>
          <w:rFonts w:ascii="仿宋" w:hAnsi="Times New Roman" w:eastAsia="仿宋" w:cs="Times New Roman"/>
          <w:bCs/>
          <w:sz w:val="32"/>
          <w:szCs w:val="32"/>
        </w:rPr>
        <w:t>.</w:t>
      </w:r>
      <w:r>
        <w:rPr>
          <w:rStyle w:val="21"/>
          <w:rFonts w:hint="eastAsia" w:ascii="仿宋" w:hAnsi="Times New Roman" w:eastAsia="仿宋" w:cs="Times New Roman"/>
          <w:bCs/>
          <w:sz w:val="32"/>
          <w:szCs w:val="32"/>
          <w:lang w:val="en-US" w:eastAsia="zh-CN"/>
        </w:rPr>
        <w:t>210-卫生健康支出</w:t>
      </w:r>
      <w:r>
        <w:rPr>
          <w:rStyle w:val="21"/>
          <w:rFonts w:hint="eastAsia" w:ascii="仿宋" w:hAnsi="Times New Roman" w:eastAsia="仿宋" w:cs="Times New Roman"/>
          <w:b w:val="0"/>
          <w:bCs w:val="0"/>
          <w:sz w:val="32"/>
          <w:szCs w:val="32"/>
          <w:lang w:val="en-US" w:eastAsia="zh-CN"/>
        </w:rPr>
        <w:t>30.84万元，</w:t>
      </w:r>
      <w:r>
        <w:rPr>
          <w:rStyle w:val="21"/>
          <w:rFonts w:hint="eastAsia" w:ascii="仿宋" w:hAnsi="Times New Roman" w:eastAsia="仿宋" w:cs="Times New Roman"/>
          <w:b w:val="0"/>
          <w:bCs w:val="0"/>
          <w:sz w:val="32"/>
          <w:szCs w:val="32"/>
        </w:rPr>
        <w:t>完成预算</w:t>
      </w:r>
      <w:r>
        <w:rPr>
          <w:rStyle w:val="21"/>
          <w:rFonts w:hint="eastAsia" w:ascii="仿宋" w:hAnsi="Times New Roman" w:eastAsia="仿宋" w:cs="Times New Roman"/>
          <w:b w:val="0"/>
          <w:bCs w:val="0"/>
          <w:sz w:val="32"/>
          <w:szCs w:val="32"/>
          <w:lang w:val="en-US" w:eastAsia="zh-CN"/>
        </w:rPr>
        <w:t>100</w:t>
      </w:r>
      <w:r>
        <w:rPr>
          <w:rStyle w:val="21"/>
          <w:rFonts w:ascii="仿宋" w:hAnsi="Times New Roman" w:eastAsia="仿宋" w:cs="Times New Roman"/>
          <w:b w:val="0"/>
          <w:bCs w:val="0"/>
          <w:sz w:val="32"/>
          <w:szCs w:val="32"/>
        </w:rPr>
        <w:t>%</w:t>
      </w:r>
      <w:r>
        <w:rPr>
          <w:rStyle w:val="21"/>
          <w:rFonts w:hint="eastAsia" w:ascii="仿宋" w:hAnsi="Times New Roman" w:eastAsia="仿宋" w:cs="Times New Roman"/>
          <w:b w:val="0"/>
          <w:bCs w:val="0"/>
          <w:sz w:val="32"/>
          <w:szCs w:val="32"/>
          <w:lang w:eastAsia="zh-CN"/>
        </w:rPr>
        <w:t>，</w:t>
      </w:r>
      <w:r>
        <w:rPr>
          <w:rStyle w:val="21"/>
          <w:rFonts w:hint="eastAsia" w:ascii="仿宋" w:hAnsi="Times New Roman" w:eastAsia="仿宋" w:cs="Times New Roman"/>
          <w:b w:val="0"/>
          <w:bCs w:val="0"/>
          <w:sz w:val="32"/>
          <w:szCs w:val="32"/>
          <w:lang w:val="en-US" w:eastAsia="zh-CN"/>
        </w:rPr>
        <w:t>其中：2101101-行政单位医疗13.99万元，全部用于行政职工缴纳医疗保险单位部分；2101102-事业单位医疗10.88万元，全部用于职工缴纳医疗保险单位部分；2101103-公务员医疗补助3.27万元，</w:t>
      </w:r>
      <w:r>
        <w:rPr>
          <w:rStyle w:val="21"/>
          <w:rFonts w:hint="eastAsia" w:ascii="仿宋" w:hAnsi="Times New Roman" w:eastAsia="仿宋" w:cs="Times New Roman"/>
          <w:b w:val="0"/>
          <w:bCs w:val="0"/>
          <w:sz w:val="32"/>
          <w:szCs w:val="32"/>
          <w:lang w:eastAsia="zh-CN"/>
        </w:rPr>
        <w:t>全部用于职工公务员补充医保。</w:t>
      </w:r>
      <w:r>
        <w:rPr>
          <w:rStyle w:val="21"/>
          <w:rFonts w:hint="eastAsia" w:ascii="仿宋" w:hAnsi="Times New Roman" w:eastAsia="仿宋" w:cs="Times New Roman"/>
          <w:b w:val="0"/>
          <w:bCs w:val="0"/>
          <w:sz w:val="32"/>
          <w:szCs w:val="32"/>
          <w:lang w:val="en-US" w:eastAsia="zh-CN"/>
        </w:rPr>
        <w:t>2101199-其他行政事业单位医疗支出2.69万元，</w:t>
      </w:r>
      <w:r>
        <w:rPr>
          <w:rStyle w:val="21"/>
          <w:rFonts w:hint="eastAsia" w:ascii="仿宋" w:hAnsi="Times New Roman" w:eastAsia="仿宋" w:cs="Times New Roman"/>
          <w:b w:val="0"/>
          <w:bCs w:val="0"/>
          <w:sz w:val="32"/>
          <w:szCs w:val="32"/>
          <w:lang w:eastAsia="zh-CN"/>
        </w:rPr>
        <w:t>全部用于事业职工补充医保</w:t>
      </w:r>
      <w:r>
        <w:rPr>
          <w:rStyle w:val="21"/>
          <w:rFonts w:hint="eastAsia" w:ascii="仿宋" w:hAnsi="Times New Roman" w:eastAsia="仿宋" w:cs="Times New Roman"/>
          <w:b w:val="0"/>
          <w:bCs w:val="0"/>
          <w:sz w:val="32"/>
          <w:szCs w:val="32"/>
          <w:lang w:val="en-US" w:eastAsia="zh-CN"/>
        </w:rPr>
        <w:t>。</w:t>
      </w:r>
    </w:p>
    <w:p w14:paraId="64B9CF0B">
      <w:pPr>
        <w:spacing w:line="600" w:lineRule="exact"/>
        <w:ind w:firstLine="643" w:firstLineChars="200"/>
        <w:outlineLvl w:val="2"/>
        <w:rPr>
          <w:rStyle w:val="21"/>
          <w:rFonts w:hint="eastAsia" w:ascii="仿宋" w:hAnsi="Times New Roman" w:eastAsia="仿宋" w:cs="Times New Roman"/>
          <w:b w:val="0"/>
          <w:bCs w:val="0"/>
          <w:sz w:val="32"/>
          <w:szCs w:val="32"/>
          <w:lang w:val="en-US" w:eastAsia="zh-CN"/>
        </w:rPr>
      </w:pPr>
      <w:r>
        <w:rPr>
          <w:rStyle w:val="21"/>
          <w:rFonts w:hint="eastAsia" w:ascii="仿宋" w:hAnsi="Times New Roman" w:eastAsia="仿宋" w:cs="Times New Roman"/>
          <w:bCs/>
          <w:sz w:val="32"/>
          <w:szCs w:val="32"/>
          <w:lang w:val="en-US" w:eastAsia="zh-CN"/>
        </w:rPr>
        <w:t>3.220-自然资源海洋气象等支出</w:t>
      </w:r>
      <w:r>
        <w:rPr>
          <w:rStyle w:val="21"/>
          <w:rFonts w:hint="eastAsia" w:ascii="仿宋" w:hAnsi="Times New Roman" w:eastAsia="仿宋" w:cs="Times New Roman"/>
          <w:b w:val="0"/>
          <w:bCs w:val="0"/>
          <w:sz w:val="32"/>
          <w:szCs w:val="32"/>
          <w:lang w:val="en-US" w:eastAsia="zh-CN"/>
        </w:rPr>
        <w:t>5511.59万元，</w:t>
      </w:r>
      <w:r>
        <w:rPr>
          <w:rStyle w:val="21"/>
          <w:rFonts w:hint="eastAsia" w:ascii="仿宋" w:hAnsi="Times New Roman" w:eastAsia="仿宋" w:cs="Times New Roman"/>
          <w:b w:val="0"/>
          <w:bCs w:val="0"/>
          <w:sz w:val="32"/>
          <w:szCs w:val="32"/>
        </w:rPr>
        <w:t>完成预算</w:t>
      </w:r>
      <w:r>
        <w:rPr>
          <w:rStyle w:val="21"/>
          <w:rFonts w:hint="eastAsia" w:ascii="仿宋" w:hAnsi="Times New Roman" w:eastAsia="仿宋" w:cs="Times New Roman"/>
          <w:b w:val="0"/>
          <w:bCs w:val="0"/>
          <w:sz w:val="32"/>
          <w:szCs w:val="32"/>
          <w:lang w:val="en-US" w:eastAsia="zh-CN"/>
        </w:rPr>
        <w:t>100</w:t>
      </w:r>
      <w:r>
        <w:rPr>
          <w:rStyle w:val="21"/>
          <w:rFonts w:ascii="仿宋" w:hAnsi="Times New Roman" w:eastAsia="仿宋" w:cs="Times New Roman"/>
          <w:b w:val="0"/>
          <w:bCs w:val="0"/>
          <w:sz w:val="32"/>
          <w:szCs w:val="32"/>
        </w:rPr>
        <w:t>%</w:t>
      </w:r>
      <w:r>
        <w:rPr>
          <w:rStyle w:val="21"/>
          <w:rFonts w:hint="eastAsia" w:ascii="仿宋" w:hAnsi="Times New Roman" w:eastAsia="仿宋" w:cs="Times New Roman"/>
          <w:b w:val="0"/>
          <w:bCs w:val="0"/>
          <w:sz w:val="32"/>
          <w:szCs w:val="32"/>
          <w:lang w:eastAsia="zh-CN"/>
        </w:rPr>
        <w:t>，</w:t>
      </w:r>
      <w:r>
        <w:rPr>
          <w:rStyle w:val="21"/>
          <w:rFonts w:hint="eastAsia" w:ascii="仿宋" w:hAnsi="Times New Roman" w:eastAsia="仿宋" w:cs="Times New Roman"/>
          <w:b w:val="0"/>
          <w:bCs w:val="0"/>
          <w:sz w:val="32"/>
          <w:szCs w:val="32"/>
          <w:lang w:val="en-US" w:eastAsia="zh-CN"/>
        </w:rPr>
        <w:t>其中：2200101-行政运行237.12万元，2200104-自然资源规划及管理1388.8万元，2200106-自然资源利用与保护3111.7万元，2200150-事业运行201.69万元，2200199-其他自然资源事务支出491.02万元，用于开支日常公用经费及人员经费及与我局土地管理日常费用等开支。</w:t>
      </w:r>
    </w:p>
    <w:p w14:paraId="7D3034C2">
      <w:pPr>
        <w:spacing w:line="600" w:lineRule="exact"/>
        <w:ind w:firstLine="643" w:firstLineChars="200"/>
        <w:outlineLvl w:val="2"/>
        <w:rPr>
          <w:rStyle w:val="21"/>
          <w:rFonts w:hint="eastAsia" w:ascii="仿宋" w:hAnsi="Times New Roman" w:eastAsia="仿宋" w:cs="Times New Roman"/>
          <w:b w:val="0"/>
          <w:bCs w:val="0"/>
          <w:sz w:val="32"/>
          <w:szCs w:val="32"/>
          <w:lang w:val="en-US" w:eastAsia="zh-CN"/>
        </w:rPr>
      </w:pPr>
      <w:r>
        <w:rPr>
          <w:rStyle w:val="21"/>
          <w:rFonts w:hint="eastAsia" w:ascii="仿宋" w:hAnsi="Times New Roman" w:eastAsia="仿宋" w:cs="Times New Roman"/>
          <w:bCs/>
          <w:sz w:val="32"/>
          <w:szCs w:val="32"/>
          <w:lang w:val="en-US" w:eastAsia="zh-CN"/>
        </w:rPr>
        <w:t>4.221-住房保障支出</w:t>
      </w:r>
      <w:r>
        <w:rPr>
          <w:rStyle w:val="21"/>
          <w:rFonts w:hint="eastAsia" w:ascii="仿宋" w:hAnsi="Times New Roman" w:eastAsia="仿宋" w:cs="Times New Roman"/>
          <w:b w:val="0"/>
          <w:bCs w:val="0"/>
          <w:sz w:val="32"/>
          <w:szCs w:val="32"/>
          <w:lang w:val="en-US" w:eastAsia="zh-CN"/>
        </w:rPr>
        <w:t>37.66万元，完成预算100%，其中：2210201-住房公积金37.66万元，全部用于职工缴纳住房公积金单位部分。</w:t>
      </w:r>
    </w:p>
    <w:p w14:paraId="12C6CF7B">
      <w:pPr>
        <w:pStyle w:val="2"/>
        <w:ind w:left="0" w:leftChars="0" w:firstLine="643" w:firstLineChars="200"/>
        <w:rPr>
          <w:rStyle w:val="21"/>
          <w:rFonts w:hint="eastAsia" w:ascii="仿宋" w:hAnsi="Times New Roman" w:eastAsia="仿宋" w:cs="Times New Roman"/>
          <w:b w:val="0"/>
          <w:bCs w:val="0"/>
          <w:sz w:val="32"/>
          <w:szCs w:val="32"/>
          <w:lang w:val="en-US" w:eastAsia="zh-CN"/>
        </w:rPr>
      </w:pPr>
      <w:r>
        <w:rPr>
          <w:rStyle w:val="21"/>
          <w:rFonts w:hint="eastAsia" w:ascii="仿宋" w:hAnsi="Times New Roman" w:eastAsia="仿宋" w:cs="Times New Roman"/>
          <w:bCs/>
          <w:kern w:val="2"/>
          <w:sz w:val="32"/>
          <w:szCs w:val="32"/>
          <w:lang w:val="en-US" w:eastAsia="zh-CN" w:bidi="ar-SA"/>
        </w:rPr>
        <w:t>5</w:t>
      </w:r>
      <w:r>
        <w:rPr>
          <w:rStyle w:val="21"/>
          <w:rFonts w:hint="eastAsia" w:ascii="仿宋" w:hAnsi="Times New Roman" w:eastAsia="仿宋" w:cs="Times New Roman"/>
          <w:bCs/>
          <w:sz w:val="32"/>
          <w:szCs w:val="32"/>
          <w:lang w:val="en-US" w:eastAsia="zh-CN"/>
        </w:rPr>
        <w:t>.224-灾害防治及应急管理支出</w:t>
      </w:r>
      <w:r>
        <w:rPr>
          <w:rStyle w:val="21"/>
          <w:rFonts w:hint="eastAsia" w:ascii="仿宋" w:hAnsi="Times New Roman" w:eastAsia="仿宋" w:cs="Times New Roman"/>
          <w:b w:val="0"/>
          <w:bCs w:val="0"/>
          <w:sz w:val="32"/>
          <w:szCs w:val="32"/>
          <w:lang w:val="en-US" w:eastAsia="zh-CN"/>
        </w:rPr>
        <w:t>304.2万元，完成预算100%，其中：2240601-地质灾害防治233.46万元、2240799-其他自然灾害救灾及恢复重建支出70.74万元，全部用于防治地质灾害工程实施及泥石流滑坡治理工程等开支。</w:t>
      </w:r>
    </w:p>
    <w:p w14:paraId="0A46E655">
      <w:pPr>
        <w:pStyle w:val="2"/>
        <w:ind w:left="0" w:leftChars="0" w:firstLine="643" w:firstLineChars="200"/>
        <w:rPr>
          <w:rStyle w:val="21"/>
          <w:rFonts w:hint="eastAsia" w:ascii="仿宋" w:hAnsi="Times New Roman" w:eastAsia="仿宋" w:cs="Times New Roman"/>
          <w:b w:val="0"/>
          <w:bCs w:val="0"/>
          <w:sz w:val="32"/>
          <w:szCs w:val="32"/>
          <w:lang w:val="en-US" w:eastAsia="zh-CN"/>
        </w:rPr>
      </w:pPr>
      <w:r>
        <w:rPr>
          <w:rStyle w:val="21"/>
          <w:rFonts w:hint="eastAsia" w:ascii="仿宋" w:hAnsi="Times New Roman" w:eastAsia="仿宋" w:cs="Times New Roman"/>
          <w:bCs/>
          <w:sz w:val="32"/>
          <w:szCs w:val="32"/>
          <w:lang w:val="en-US" w:eastAsia="zh-CN"/>
        </w:rPr>
        <w:t>6.213-农林水支出</w:t>
      </w:r>
      <w:r>
        <w:rPr>
          <w:rStyle w:val="21"/>
          <w:rFonts w:hint="eastAsia" w:ascii="仿宋" w:hAnsi="Times New Roman" w:eastAsia="仿宋" w:cs="Times New Roman"/>
          <w:b w:val="0"/>
          <w:bCs w:val="0"/>
          <w:sz w:val="32"/>
          <w:szCs w:val="32"/>
          <w:lang w:val="en-US" w:eastAsia="zh-CN"/>
        </w:rPr>
        <w:t>75.93万元，完成预算100%，其中：2130504-农村基础设施建设68.70万元、2130599-其他巩固脱贫衔接乡村振兴支出7.23万元，全部用于增减挂钩项目、中央扶贫发展资金(刷经寺镇三家寨村生态修复项目)、久马高速（红原境内）公路主线及临时用地核查项目等项目支出。</w:t>
      </w:r>
    </w:p>
    <w:p w14:paraId="029C58D5">
      <w:pPr>
        <w:pStyle w:val="2"/>
        <w:ind w:left="0" w:leftChars="0" w:firstLine="643" w:firstLineChars="200"/>
        <w:rPr>
          <w:rFonts w:ascii="仿宋" w:eastAsia="仿宋"/>
          <w:b/>
          <w:sz w:val="32"/>
          <w:szCs w:val="32"/>
        </w:rPr>
      </w:pPr>
      <w:r>
        <w:rPr>
          <w:rStyle w:val="21"/>
          <w:rFonts w:hint="eastAsia" w:ascii="仿宋" w:hAnsi="Times New Roman" w:eastAsia="仿宋" w:cs="Times New Roman"/>
          <w:bCs/>
          <w:sz w:val="32"/>
          <w:szCs w:val="32"/>
          <w:lang w:val="en-US" w:eastAsia="zh-CN"/>
        </w:rPr>
        <w:t>7.</w:t>
      </w:r>
      <w:r>
        <w:rPr>
          <w:rStyle w:val="21"/>
          <w:rFonts w:hint="default" w:ascii="仿宋" w:hAnsi="Times New Roman" w:eastAsia="仿宋" w:cs="Times New Roman"/>
          <w:bCs/>
          <w:sz w:val="32"/>
          <w:szCs w:val="32"/>
          <w:lang w:val="en-US" w:eastAsia="zh-CN"/>
        </w:rPr>
        <w:t>211</w:t>
      </w:r>
      <w:r>
        <w:rPr>
          <w:rStyle w:val="21"/>
          <w:rFonts w:hint="eastAsia" w:ascii="仿宋" w:hAnsi="Times New Roman" w:eastAsia="仿宋" w:cs="Times New Roman"/>
          <w:bCs/>
          <w:sz w:val="32"/>
          <w:szCs w:val="32"/>
          <w:lang w:val="en-US" w:eastAsia="zh-CN"/>
        </w:rPr>
        <w:t>-</w:t>
      </w:r>
      <w:r>
        <w:rPr>
          <w:rStyle w:val="21"/>
          <w:rFonts w:hint="default" w:ascii="仿宋" w:hAnsi="Times New Roman" w:eastAsia="仿宋" w:cs="Times New Roman"/>
          <w:bCs/>
          <w:sz w:val="32"/>
          <w:szCs w:val="32"/>
          <w:lang w:val="en-US" w:eastAsia="zh-CN"/>
        </w:rPr>
        <w:t>节能环保支出</w:t>
      </w:r>
      <w:r>
        <w:rPr>
          <w:rStyle w:val="21"/>
          <w:rFonts w:hint="eastAsia" w:ascii="仿宋" w:hAnsi="Times New Roman" w:eastAsia="仿宋" w:cs="Times New Roman"/>
          <w:b w:val="0"/>
          <w:bCs w:val="0"/>
          <w:sz w:val="32"/>
          <w:szCs w:val="32"/>
          <w:lang w:val="en-US" w:eastAsia="zh-CN"/>
        </w:rPr>
        <w:t>63.3万元，完成预算100%，其中：2110405-草原生态修复治理63.30万元，全部用于红原县阿木乡峨扎村废弃矿山生态修复项目、瓦切达峨村、麦洼砂厂、阿木采砂厂等5个生态修复。</w:t>
      </w:r>
    </w:p>
    <w:p w14:paraId="750D0C21">
      <w:pPr>
        <w:tabs>
          <w:tab w:val="right" w:pos="8306"/>
        </w:tabs>
        <w:spacing w:line="600" w:lineRule="exact"/>
        <w:ind w:firstLine="640"/>
        <w:outlineLvl w:val="1"/>
        <w:rPr>
          <w:rStyle w:val="25"/>
        </w:rPr>
      </w:pPr>
      <w:bookmarkStart w:id="86" w:name="_Toc15396608"/>
      <w:bookmarkStart w:id="87" w:name="_Toc1575"/>
      <w:bookmarkStart w:id="88" w:name="_Toc15377214"/>
      <w:r>
        <w:rPr>
          <w:rFonts w:hint="eastAsia" w:ascii="黑体" w:eastAsia="黑体"/>
          <w:sz w:val="32"/>
          <w:szCs w:val="32"/>
        </w:rPr>
        <w:t>六</w:t>
      </w:r>
      <w:r>
        <w:rPr>
          <w:rFonts w:hint="eastAsia" w:ascii="黑体" w:eastAsia="黑体"/>
          <w:b/>
          <w:sz w:val="32"/>
          <w:szCs w:val="32"/>
        </w:rPr>
        <w:t>、一</w:t>
      </w:r>
      <w:r>
        <w:rPr>
          <w:rStyle w:val="25"/>
          <w:rFonts w:hint="eastAsia" w:ascii="黑体" w:eastAsia="黑体"/>
          <w:b w:val="0"/>
        </w:rPr>
        <w:t>般公共预算财政拨款基本支出决算情况说明</w:t>
      </w:r>
      <w:bookmarkEnd w:id="86"/>
      <w:bookmarkEnd w:id="87"/>
      <w:bookmarkEnd w:id="88"/>
      <w:r>
        <w:rPr>
          <w:rStyle w:val="25"/>
          <w:rFonts w:ascii="黑体" w:eastAsia="黑体"/>
          <w:b w:val="0"/>
        </w:rPr>
        <w:tab/>
      </w:r>
    </w:p>
    <w:p w14:paraId="0101444D">
      <w:pPr>
        <w:spacing w:line="600" w:lineRule="exact"/>
        <w:ind w:firstLine="645"/>
        <w:rPr>
          <w:rFonts w:ascii="仿宋" w:eastAsia="仿宋"/>
          <w:sz w:val="32"/>
          <w:szCs w:val="32"/>
        </w:rPr>
      </w:pPr>
      <w:r>
        <w:rPr>
          <w:rFonts w:ascii="仿宋" w:eastAsia="仿宋"/>
          <w:sz w:val="32"/>
          <w:szCs w:val="32"/>
        </w:rPr>
        <w:t>20</w:t>
      </w:r>
      <w:r>
        <w:rPr>
          <w:rFonts w:hint="eastAsia" w:ascii="仿宋" w:eastAsia="仿宋"/>
          <w:sz w:val="32"/>
          <w:szCs w:val="32"/>
        </w:rPr>
        <w:t>22年一般公共预算财政拨款基本支出</w:t>
      </w:r>
      <w:r>
        <w:rPr>
          <w:rFonts w:hint="eastAsia" w:ascii="仿宋" w:eastAsia="仿宋"/>
          <w:sz w:val="32"/>
          <w:szCs w:val="32"/>
          <w:lang w:val="en-US" w:eastAsia="zh-CN"/>
        </w:rPr>
        <w:t>575.71</w:t>
      </w:r>
      <w:r>
        <w:rPr>
          <w:rFonts w:hint="eastAsia" w:ascii="仿宋" w:eastAsia="仿宋"/>
          <w:sz w:val="32"/>
          <w:szCs w:val="32"/>
        </w:rPr>
        <w:t>万元，其中：</w:t>
      </w:r>
    </w:p>
    <w:p w14:paraId="336BA1A8">
      <w:pPr>
        <w:spacing w:line="600" w:lineRule="exact"/>
        <w:ind w:firstLine="645"/>
        <w:rPr>
          <w:rFonts w:hint="eastAsia" w:ascii="仿宋" w:eastAsia="仿宋"/>
          <w:sz w:val="32"/>
          <w:szCs w:val="32"/>
          <w:lang w:eastAsia="zh-CN"/>
        </w:rPr>
      </w:pPr>
      <w:r>
        <w:rPr>
          <w:rFonts w:hint="eastAsia" w:ascii="仿宋" w:eastAsia="仿宋"/>
          <w:sz w:val="32"/>
          <w:szCs w:val="32"/>
        </w:rPr>
        <w:t>人员经费</w:t>
      </w:r>
      <w:r>
        <w:rPr>
          <w:rFonts w:hint="eastAsia" w:ascii="仿宋" w:eastAsia="仿宋"/>
          <w:sz w:val="32"/>
          <w:szCs w:val="32"/>
          <w:lang w:val="en-US" w:eastAsia="zh-CN"/>
        </w:rPr>
        <w:t>529.41</w:t>
      </w:r>
      <w:r>
        <w:rPr>
          <w:rFonts w:hint="eastAsia" w:ascii="仿宋" w:eastAsia="仿宋"/>
          <w:sz w:val="32"/>
          <w:szCs w:val="32"/>
        </w:rPr>
        <w:t>万元，主要包括：基本工资</w:t>
      </w:r>
      <w:r>
        <w:rPr>
          <w:rFonts w:hint="eastAsia" w:ascii="仿宋" w:eastAsia="仿宋"/>
          <w:sz w:val="32"/>
          <w:szCs w:val="32"/>
          <w:lang w:val="en-US" w:eastAsia="zh-CN"/>
        </w:rPr>
        <w:t>97.73万元</w:t>
      </w:r>
      <w:r>
        <w:rPr>
          <w:rFonts w:hint="eastAsia" w:ascii="仿宋" w:eastAsia="仿宋"/>
          <w:sz w:val="32"/>
          <w:szCs w:val="32"/>
        </w:rPr>
        <w:t>、津贴补贴</w:t>
      </w:r>
      <w:r>
        <w:rPr>
          <w:rFonts w:hint="eastAsia" w:ascii="仿宋" w:eastAsia="仿宋"/>
          <w:sz w:val="32"/>
          <w:szCs w:val="32"/>
          <w:lang w:val="en-US" w:eastAsia="zh-CN"/>
        </w:rPr>
        <w:t>237.29万元</w:t>
      </w:r>
      <w:r>
        <w:rPr>
          <w:rFonts w:hint="eastAsia" w:ascii="仿宋" w:eastAsia="仿宋"/>
          <w:sz w:val="32"/>
          <w:szCs w:val="32"/>
        </w:rPr>
        <w:t>、奖金</w:t>
      </w:r>
      <w:r>
        <w:rPr>
          <w:rFonts w:hint="eastAsia" w:ascii="仿宋" w:eastAsia="仿宋"/>
          <w:sz w:val="32"/>
          <w:szCs w:val="32"/>
          <w:lang w:val="en-US" w:eastAsia="zh-CN"/>
        </w:rPr>
        <w:t>7.23万元</w:t>
      </w:r>
      <w:r>
        <w:rPr>
          <w:rFonts w:hint="eastAsia" w:ascii="仿宋" w:eastAsia="仿宋"/>
          <w:sz w:val="32"/>
          <w:szCs w:val="32"/>
        </w:rPr>
        <w:t>、绩效工资</w:t>
      </w:r>
      <w:r>
        <w:rPr>
          <w:rFonts w:hint="eastAsia" w:ascii="仿宋" w:eastAsia="仿宋"/>
          <w:sz w:val="32"/>
          <w:szCs w:val="32"/>
          <w:lang w:val="en-US" w:eastAsia="zh-CN"/>
        </w:rPr>
        <w:t>35.87万元</w:t>
      </w:r>
      <w:r>
        <w:rPr>
          <w:rFonts w:hint="eastAsia" w:ascii="仿宋" w:eastAsia="仿宋"/>
          <w:sz w:val="32"/>
          <w:szCs w:val="32"/>
        </w:rPr>
        <w:t>、机关事业单位基本养老保险缴费</w:t>
      </w:r>
      <w:r>
        <w:rPr>
          <w:rFonts w:hint="eastAsia" w:ascii="仿宋" w:eastAsia="仿宋"/>
          <w:sz w:val="32"/>
          <w:szCs w:val="32"/>
          <w:lang w:val="en-US" w:eastAsia="zh-CN"/>
        </w:rPr>
        <w:t>45.6万元</w:t>
      </w:r>
      <w:r>
        <w:rPr>
          <w:rFonts w:hint="eastAsia" w:ascii="仿宋" w:eastAsia="仿宋"/>
          <w:sz w:val="32"/>
          <w:szCs w:val="32"/>
        </w:rPr>
        <w:t>、职业年金缴费</w:t>
      </w:r>
      <w:r>
        <w:rPr>
          <w:rFonts w:hint="eastAsia" w:ascii="仿宋" w:eastAsia="仿宋"/>
          <w:sz w:val="32"/>
          <w:szCs w:val="32"/>
          <w:lang w:val="en-US" w:eastAsia="zh-CN"/>
        </w:rPr>
        <w:t>22.88万元</w:t>
      </w:r>
      <w:r>
        <w:rPr>
          <w:rFonts w:hint="eastAsia" w:ascii="仿宋" w:eastAsia="仿宋"/>
          <w:sz w:val="32"/>
          <w:szCs w:val="32"/>
          <w:lang w:eastAsia="zh-CN"/>
        </w:rPr>
        <w:t>、</w:t>
      </w:r>
      <w:r>
        <w:rPr>
          <w:rFonts w:hint="eastAsia" w:ascii="仿宋" w:eastAsia="仿宋"/>
          <w:sz w:val="32"/>
          <w:szCs w:val="32"/>
        </w:rPr>
        <w:t>职工基本医疗保险缴费24.87</w:t>
      </w:r>
      <w:r>
        <w:rPr>
          <w:rFonts w:hint="eastAsia" w:ascii="仿宋" w:eastAsia="仿宋"/>
          <w:sz w:val="32"/>
          <w:szCs w:val="32"/>
          <w:lang w:eastAsia="zh-CN"/>
        </w:rPr>
        <w:t>万元、</w:t>
      </w:r>
      <w:r>
        <w:rPr>
          <w:rFonts w:hint="eastAsia" w:ascii="仿宋" w:eastAsia="仿宋"/>
          <w:sz w:val="32"/>
          <w:szCs w:val="32"/>
        </w:rPr>
        <w:t>公务员医疗补助缴费5.97</w:t>
      </w:r>
      <w:r>
        <w:rPr>
          <w:rFonts w:hint="eastAsia" w:ascii="仿宋" w:eastAsia="仿宋"/>
          <w:sz w:val="32"/>
          <w:szCs w:val="32"/>
          <w:lang w:eastAsia="zh-CN"/>
        </w:rPr>
        <w:t>万元、</w:t>
      </w:r>
      <w:r>
        <w:rPr>
          <w:rFonts w:hint="eastAsia" w:ascii="仿宋" w:eastAsia="仿宋"/>
          <w:sz w:val="32"/>
          <w:szCs w:val="32"/>
        </w:rPr>
        <w:t>其他社会保障缴费5.31</w:t>
      </w:r>
      <w:r>
        <w:rPr>
          <w:rFonts w:hint="eastAsia" w:ascii="仿宋" w:eastAsia="仿宋"/>
          <w:sz w:val="32"/>
          <w:szCs w:val="32"/>
          <w:lang w:eastAsia="zh-CN"/>
        </w:rPr>
        <w:t>万元、</w:t>
      </w:r>
      <w:r>
        <w:rPr>
          <w:rFonts w:hint="eastAsia" w:ascii="仿宋" w:eastAsia="仿宋"/>
          <w:sz w:val="32"/>
          <w:szCs w:val="32"/>
        </w:rPr>
        <w:t xml:space="preserve">  住房公积金</w:t>
      </w:r>
      <w:r>
        <w:rPr>
          <w:rFonts w:hint="eastAsia" w:ascii="仿宋" w:eastAsia="仿宋"/>
          <w:sz w:val="32"/>
          <w:szCs w:val="32"/>
        </w:rPr>
        <w:tab/>
      </w:r>
      <w:r>
        <w:rPr>
          <w:rFonts w:hint="eastAsia" w:ascii="仿宋" w:eastAsia="仿宋"/>
          <w:sz w:val="32"/>
          <w:szCs w:val="32"/>
        </w:rPr>
        <w:t>37.66</w:t>
      </w:r>
      <w:r>
        <w:rPr>
          <w:rFonts w:hint="eastAsia" w:ascii="仿宋" w:eastAsia="仿宋"/>
          <w:sz w:val="32"/>
          <w:szCs w:val="32"/>
          <w:lang w:eastAsia="zh-CN"/>
        </w:rPr>
        <w:t>万元、</w:t>
      </w:r>
      <w:r>
        <w:rPr>
          <w:rFonts w:hint="eastAsia" w:ascii="仿宋" w:eastAsia="仿宋"/>
          <w:sz w:val="32"/>
          <w:szCs w:val="32"/>
        </w:rPr>
        <w:t>医疗费0.36</w:t>
      </w:r>
      <w:r>
        <w:rPr>
          <w:rFonts w:hint="eastAsia" w:ascii="仿宋" w:eastAsia="仿宋"/>
          <w:sz w:val="32"/>
          <w:szCs w:val="32"/>
          <w:lang w:eastAsia="zh-CN"/>
        </w:rPr>
        <w:t>万元、对个人和家庭的补助8.72万元、生活补助8.22万元、医疗费补助0.5万元、奖励金</w:t>
      </w:r>
      <w:r>
        <w:rPr>
          <w:rFonts w:hint="eastAsia" w:ascii="仿宋" w:eastAsia="仿宋"/>
          <w:sz w:val="32"/>
          <w:szCs w:val="32"/>
          <w:lang w:eastAsia="zh-CN"/>
        </w:rPr>
        <w:tab/>
      </w:r>
      <w:r>
        <w:rPr>
          <w:rFonts w:hint="eastAsia" w:ascii="仿宋" w:eastAsia="仿宋"/>
          <w:sz w:val="32"/>
          <w:szCs w:val="32"/>
          <w:lang w:eastAsia="zh-CN"/>
        </w:rPr>
        <w:t>0.01万元。</w:t>
      </w:r>
    </w:p>
    <w:p w14:paraId="73A8026E">
      <w:pPr>
        <w:spacing w:line="600" w:lineRule="exact"/>
        <w:ind w:firstLine="645"/>
        <w:rPr>
          <w:rFonts w:hint="eastAsia" w:ascii="仿宋" w:eastAsia="仿宋"/>
          <w:sz w:val="32"/>
          <w:szCs w:val="32"/>
          <w:lang w:eastAsia="zh-CN"/>
        </w:rPr>
      </w:pPr>
      <w:r>
        <w:rPr>
          <w:rFonts w:hint="eastAsia" w:ascii="仿宋" w:eastAsia="仿宋"/>
          <w:sz w:val="32"/>
          <w:szCs w:val="32"/>
        </w:rPr>
        <w:t>公用经费</w:t>
      </w:r>
      <w:r>
        <w:rPr>
          <w:rFonts w:hint="eastAsia" w:ascii="仿宋" w:eastAsia="仿宋"/>
          <w:sz w:val="32"/>
          <w:szCs w:val="32"/>
          <w:lang w:val="en-US" w:eastAsia="zh-CN"/>
        </w:rPr>
        <w:t>46.3</w:t>
      </w:r>
      <w:r>
        <w:rPr>
          <w:rFonts w:hint="eastAsia" w:ascii="仿宋" w:eastAsia="仿宋"/>
          <w:sz w:val="32"/>
          <w:szCs w:val="32"/>
        </w:rPr>
        <w:t>万元，主要包括</w:t>
      </w:r>
      <w:r>
        <w:rPr>
          <w:rFonts w:hint="eastAsia" w:ascii="仿宋" w:eastAsia="仿宋"/>
          <w:sz w:val="32"/>
          <w:szCs w:val="32"/>
          <w:lang w:val="en-US" w:eastAsia="zh-CN"/>
        </w:rPr>
        <w:t>:</w:t>
      </w:r>
      <w:r>
        <w:rPr>
          <w:rFonts w:hint="eastAsia" w:ascii="仿宋" w:eastAsia="仿宋"/>
          <w:sz w:val="32"/>
          <w:szCs w:val="32"/>
        </w:rPr>
        <w:t>办公费11.37</w:t>
      </w:r>
      <w:r>
        <w:rPr>
          <w:rFonts w:hint="eastAsia" w:ascii="仿宋" w:eastAsia="仿宋"/>
          <w:sz w:val="32"/>
          <w:szCs w:val="32"/>
          <w:lang w:eastAsia="zh-CN"/>
        </w:rPr>
        <w:t>万元、</w:t>
      </w:r>
      <w:r>
        <w:rPr>
          <w:rFonts w:hint="eastAsia" w:ascii="仿宋" w:eastAsia="仿宋"/>
          <w:sz w:val="32"/>
          <w:szCs w:val="32"/>
        </w:rPr>
        <w:t xml:space="preserve">  水费0.36</w:t>
      </w:r>
      <w:r>
        <w:rPr>
          <w:rFonts w:hint="eastAsia" w:ascii="仿宋" w:eastAsia="仿宋"/>
          <w:sz w:val="32"/>
          <w:szCs w:val="32"/>
          <w:lang w:eastAsia="zh-CN"/>
        </w:rPr>
        <w:t>万元、</w:t>
      </w:r>
      <w:r>
        <w:rPr>
          <w:rFonts w:hint="eastAsia" w:ascii="仿宋" w:eastAsia="仿宋"/>
          <w:sz w:val="32"/>
          <w:szCs w:val="32"/>
        </w:rPr>
        <w:t>电费2.99</w:t>
      </w:r>
      <w:r>
        <w:rPr>
          <w:rFonts w:hint="eastAsia" w:ascii="仿宋" w:eastAsia="仿宋"/>
          <w:sz w:val="32"/>
          <w:szCs w:val="32"/>
          <w:lang w:eastAsia="zh-CN"/>
        </w:rPr>
        <w:t>万元、</w:t>
      </w:r>
      <w:r>
        <w:rPr>
          <w:rFonts w:hint="eastAsia" w:ascii="仿宋" w:eastAsia="仿宋"/>
          <w:sz w:val="32"/>
          <w:szCs w:val="32"/>
        </w:rPr>
        <w:t>邮电费</w:t>
      </w:r>
      <w:r>
        <w:rPr>
          <w:rFonts w:hint="eastAsia" w:ascii="仿宋" w:eastAsia="仿宋"/>
          <w:sz w:val="32"/>
          <w:szCs w:val="32"/>
        </w:rPr>
        <w:tab/>
      </w:r>
      <w:r>
        <w:rPr>
          <w:rFonts w:hint="eastAsia" w:ascii="仿宋" w:eastAsia="仿宋"/>
          <w:sz w:val="32"/>
          <w:szCs w:val="32"/>
        </w:rPr>
        <w:t>5.26</w:t>
      </w:r>
      <w:r>
        <w:rPr>
          <w:rFonts w:hint="eastAsia" w:ascii="仿宋" w:eastAsia="仿宋"/>
          <w:sz w:val="32"/>
          <w:szCs w:val="32"/>
          <w:lang w:eastAsia="zh-CN"/>
        </w:rPr>
        <w:t>万元、</w:t>
      </w:r>
      <w:r>
        <w:rPr>
          <w:rFonts w:hint="eastAsia" w:ascii="仿宋" w:eastAsia="仿宋"/>
          <w:sz w:val="32"/>
          <w:szCs w:val="32"/>
        </w:rPr>
        <w:t>取暖费0.17</w:t>
      </w:r>
      <w:r>
        <w:rPr>
          <w:rFonts w:hint="eastAsia" w:ascii="仿宋" w:eastAsia="仿宋"/>
          <w:sz w:val="32"/>
          <w:szCs w:val="32"/>
          <w:lang w:eastAsia="zh-CN"/>
        </w:rPr>
        <w:t>万元、</w:t>
      </w:r>
      <w:r>
        <w:rPr>
          <w:rFonts w:hint="eastAsia" w:ascii="仿宋" w:eastAsia="仿宋"/>
          <w:sz w:val="32"/>
          <w:szCs w:val="32"/>
        </w:rPr>
        <w:t>差旅费16.49</w:t>
      </w:r>
      <w:r>
        <w:rPr>
          <w:rFonts w:hint="eastAsia" w:ascii="仿宋" w:eastAsia="仿宋"/>
          <w:sz w:val="32"/>
          <w:szCs w:val="32"/>
          <w:lang w:eastAsia="zh-CN"/>
        </w:rPr>
        <w:t>万元、</w:t>
      </w:r>
      <w:r>
        <w:rPr>
          <w:rFonts w:hint="eastAsia" w:ascii="仿宋" w:eastAsia="仿宋"/>
          <w:sz w:val="32"/>
          <w:szCs w:val="32"/>
        </w:rPr>
        <w:t>公务接待费</w:t>
      </w:r>
      <w:r>
        <w:rPr>
          <w:rFonts w:hint="eastAsia" w:ascii="仿宋" w:eastAsia="仿宋"/>
          <w:sz w:val="32"/>
          <w:szCs w:val="32"/>
        </w:rPr>
        <w:tab/>
      </w:r>
      <w:r>
        <w:rPr>
          <w:rFonts w:hint="eastAsia" w:ascii="仿宋" w:eastAsia="仿宋"/>
          <w:sz w:val="32"/>
          <w:szCs w:val="32"/>
        </w:rPr>
        <w:t>0.38</w:t>
      </w:r>
      <w:r>
        <w:rPr>
          <w:rFonts w:hint="eastAsia" w:ascii="仿宋" w:eastAsia="仿宋"/>
          <w:sz w:val="32"/>
          <w:szCs w:val="32"/>
          <w:lang w:eastAsia="zh-CN"/>
        </w:rPr>
        <w:t>万元、</w:t>
      </w:r>
      <w:r>
        <w:rPr>
          <w:rFonts w:hint="eastAsia" w:ascii="仿宋" w:eastAsia="仿宋"/>
          <w:sz w:val="32"/>
          <w:szCs w:val="32"/>
        </w:rPr>
        <w:t xml:space="preserve">  工会经费3.08</w:t>
      </w:r>
      <w:r>
        <w:rPr>
          <w:rFonts w:hint="eastAsia" w:ascii="仿宋" w:eastAsia="仿宋"/>
          <w:sz w:val="32"/>
          <w:szCs w:val="32"/>
          <w:lang w:eastAsia="zh-CN"/>
        </w:rPr>
        <w:t>万元、</w:t>
      </w:r>
      <w:r>
        <w:rPr>
          <w:rFonts w:hint="eastAsia" w:ascii="仿宋" w:eastAsia="仿宋"/>
          <w:sz w:val="32"/>
          <w:szCs w:val="32"/>
        </w:rPr>
        <w:t>公务用车运行维护费5.52</w:t>
      </w:r>
      <w:r>
        <w:rPr>
          <w:rFonts w:hint="eastAsia" w:ascii="仿宋" w:eastAsia="仿宋"/>
          <w:sz w:val="32"/>
          <w:szCs w:val="32"/>
          <w:lang w:eastAsia="zh-CN"/>
        </w:rPr>
        <w:t>万元、</w:t>
      </w:r>
      <w:r>
        <w:rPr>
          <w:rFonts w:hint="eastAsia" w:ascii="仿宋" w:eastAsia="仿宋"/>
          <w:sz w:val="32"/>
          <w:szCs w:val="32"/>
        </w:rPr>
        <w:t>其他交通费用0.68</w:t>
      </w:r>
      <w:r>
        <w:rPr>
          <w:rFonts w:hint="eastAsia" w:ascii="仿宋" w:eastAsia="仿宋"/>
          <w:sz w:val="32"/>
          <w:szCs w:val="32"/>
          <w:lang w:eastAsia="zh-CN"/>
        </w:rPr>
        <w:t>万元。</w:t>
      </w:r>
    </w:p>
    <w:p w14:paraId="1BEB1AEF">
      <w:pPr>
        <w:spacing w:line="600" w:lineRule="exact"/>
        <w:ind w:firstLine="640"/>
        <w:outlineLvl w:val="1"/>
        <w:rPr>
          <w:rStyle w:val="25"/>
          <w:rFonts w:ascii="黑体" w:eastAsia="黑体"/>
          <w:b w:val="0"/>
          <w:color w:val="auto"/>
        </w:rPr>
      </w:pPr>
      <w:bookmarkStart w:id="89" w:name="_Toc244"/>
      <w:bookmarkStart w:id="90" w:name="_Toc15377215"/>
      <w:bookmarkStart w:id="91" w:name="_Toc15396609"/>
      <w:r>
        <w:rPr>
          <w:rFonts w:hint="eastAsia" w:ascii="黑体" w:eastAsia="黑体"/>
          <w:color w:val="auto"/>
          <w:sz w:val="32"/>
          <w:szCs w:val="32"/>
        </w:rPr>
        <w:t>七、</w:t>
      </w:r>
      <w:r>
        <w:rPr>
          <w:rStyle w:val="25"/>
          <w:rFonts w:hint="eastAsia" w:ascii="黑体" w:eastAsia="黑体"/>
          <w:b w:val="0"/>
          <w:color w:val="auto"/>
        </w:rPr>
        <w:t>财政拨款</w:t>
      </w:r>
      <w:r>
        <w:rPr>
          <w:rStyle w:val="25"/>
          <w:rFonts w:hint="eastAsia" w:ascii="黑体" w:eastAsia="黑体"/>
          <w:color w:val="auto"/>
        </w:rPr>
        <w:t>“</w:t>
      </w:r>
      <w:r>
        <w:rPr>
          <w:rStyle w:val="25"/>
          <w:rFonts w:hint="eastAsia" w:ascii="黑体" w:eastAsia="黑体"/>
          <w:b w:val="0"/>
          <w:color w:val="auto"/>
        </w:rPr>
        <w:t>三公”经费支出决算情况说明</w:t>
      </w:r>
      <w:bookmarkEnd w:id="89"/>
      <w:bookmarkEnd w:id="90"/>
      <w:bookmarkEnd w:id="91"/>
    </w:p>
    <w:p w14:paraId="321808B1">
      <w:pPr>
        <w:spacing w:line="600" w:lineRule="exact"/>
        <w:ind w:firstLine="640"/>
        <w:outlineLvl w:val="2"/>
        <w:rPr>
          <w:rFonts w:ascii="仿宋" w:eastAsia="仿宋"/>
          <w:b/>
          <w:color w:val="auto"/>
          <w:sz w:val="32"/>
          <w:szCs w:val="32"/>
        </w:rPr>
      </w:pPr>
      <w:bookmarkStart w:id="92" w:name="_Toc10423"/>
      <w:bookmarkStart w:id="93" w:name="_Toc15377216"/>
      <w:r>
        <w:rPr>
          <w:rFonts w:hint="eastAsia" w:ascii="仿宋" w:hAnsi="Times New Roman" w:eastAsia="仿宋" w:cs="Times New Roman"/>
          <w:b/>
          <w:color w:val="auto"/>
          <w:sz w:val="32"/>
          <w:szCs w:val="32"/>
        </w:rPr>
        <w:t>（一）“</w:t>
      </w:r>
      <w:r>
        <w:rPr>
          <w:rFonts w:hint="eastAsia" w:ascii="仿宋" w:eastAsia="仿宋"/>
          <w:b/>
          <w:color w:val="auto"/>
          <w:sz w:val="32"/>
          <w:szCs w:val="32"/>
        </w:rPr>
        <w:t>三公”经费财政拨款支出决算总体情况说明</w:t>
      </w:r>
      <w:bookmarkEnd w:id="92"/>
      <w:bookmarkEnd w:id="93"/>
    </w:p>
    <w:p w14:paraId="026E37BF">
      <w:pPr>
        <w:spacing w:line="600" w:lineRule="exact"/>
        <w:ind w:firstLine="640"/>
        <w:rPr>
          <w:rFonts w:ascii="仿宋" w:eastAsia="仿宋"/>
          <w:color w:val="auto"/>
          <w:sz w:val="32"/>
          <w:szCs w:val="32"/>
        </w:rPr>
      </w:pPr>
      <w:r>
        <w:rPr>
          <w:rFonts w:ascii="仿宋" w:eastAsia="仿宋"/>
          <w:color w:val="auto"/>
          <w:sz w:val="32"/>
          <w:szCs w:val="32"/>
        </w:rPr>
        <w:t>20</w:t>
      </w:r>
      <w:r>
        <w:rPr>
          <w:rFonts w:hint="eastAsia" w:ascii="仿宋" w:eastAsia="仿宋"/>
          <w:color w:val="auto"/>
          <w:sz w:val="32"/>
          <w:szCs w:val="32"/>
        </w:rPr>
        <w:t>22年“三公”经费财政拨款支出决算为</w:t>
      </w:r>
      <w:r>
        <w:rPr>
          <w:rFonts w:hint="eastAsia" w:ascii="仿宋" w:eastAsia="仿宋"/>
          <w:color w:val="auto"/>
          <w:sz w:val="32"/>
          <w:szCs w:val="32"/>
          <w:lang w:val="en-US" w:eastAsia="zh-CN"/>
        </w:rPr>
        <w:t>5.9</w:t>
      </w:r>
      <w:r>
        <w:rPr>
          <w:rFonts w:hint="eastAsia" w:ascii="仿宋" w:eastAsia="仿宋"/>
          <w:color w:val="auto"/>
          <w:sz w:val="32"/>
          <w:szCs w:val="32"/>
        </w:rPr>
        <w:t>万元，完成预算</w:t>
      </w:r>
      <w:r>
        <w:rPr>
          <w:rFonts w:hint="eastAsia" w:ascii="仿宋" w:eastAsia="仿宋"/>
          <w:color w:val="auto"/>
          <w:sz w:val="32"/>
          <w:szCs w:val="32"/>
          <w:lang w:val="en-US" w:eastAsia="zh-CN"/>
        </w:rPr>
        <w:t>100</w:t>
      </w:r>
      <w:r>
        <w:rPr>
          <w:rFonts w:ascii="仿宋" w:eastAsia="仿宋"/>
          <w:color w:val="auto"/>
          <w:sz w:val="32"/>
          <w:szCs w:val="32"/>
        </w:rPr>
        <w:t>%</w:t>
      </w:r>
      <w:r>
        <w:rPr>
          <w:rFonts w:hint="eastAsia" w:ascii="仿宋" w:eastAsia="仿宋"/>
          <w:color w:val="auto"/>
          <w:sz w:val="32"/>
          <w:szCs w:val="32"/>
        </w:rPr>
        <w:t>，较上年</w:t>
      </w:r>
      <w:r>
        <w:rPr>
          <w:rFonts w:hint="eastAsia" w:ascii="仿宋" w:eastAsia="仿宋"/>
          <w:color w:val="auto"/>
          <w:sz w:val="32"/>
          <w:szCs w:val="32"/>
          <w:lang w:val="en-US" w:eastAsia="zh-CN"/>
        </w:rPr>
        <w:t>4.34万元</w:t>
      </w:r>
      <w:r>
        <w:rPr>
          <w:rFonts w:hint="eastAsia" w:ascii="仿宋" w:eastAsia="仿宋"/>
          <w:color w:val="auto"/>
          <w:sz w:val="32"/>
          <w:szCs w:val="32"/>
        </w:rPr>
        <w:t>增加</w:t>
      </w:r>
      <w:r>
        <w:rPr>
          <w:rFonts w:hint="eastAsia" w:ascii="仿宋" w:eastAsia="仿宋"/>
          <w:color w:val="auto"/>
          <w:sz w:val="32"/>
          <w:szCs w:val="32"/>
          <w:lang w:val="en-US" w:eastAsia="zh-CN"/>
        </w:rPr>
        <w:t>1.56</w:t>
      </w:r>
      <w:r>
        <w:rPr>
          <w:rFonts w:hint="eastAsia" w:ascii="仿宋" w:eastAsia="仿宋"/>
          <w:color w:val="auto"/>
          <w:sz w:val="32"/>
          <w:szCs w:val="32"/>
        </w:rPr>
        <w:t>万元，增长</w:t>
      </w:r>
      <w:r>
        <w:rPr>
          <w:rFonts w:hint="eastAsia" w:ascii="仿宋" w:eastAsia="仿宋"/>
          <w:color w:val="auto"/>
          <w:sz w:val="32"/>
          <w:szCs w:val="32"/>
          <w:lang w:val="en-US" w:eastAsia="zh-CN"/>
        </w:rPr>
        <w:t>35.94</w:t>
      </w:r>
      <w:r>
        <w:rPr>
          <w:rFonts w:hint="eastAsia" w:ascii="仿宋" w:eastAsia="仿宋"/>
          <w:color w:val="auto"/>
          <w:sz w:val="32"/>
          <w:szCs w:val="32"/>
        </w:rPr>
        <w:t>%。主要原因是</w:t>
      </w:r>
      <w:r>
        <w:rPr>
          <w:rFonts w:hint="eastAsia" w:ascii="仿宋" w:eastAsia="仿宋"/>
          <w:color w:val="auto"/>
          <w:sz w:val="32"/>
          <w:szCs w:val="32"/>
          <w:lang w:eastAsia="zh-CN"/>
        </w:rPr>
        <w:t>我局日常业务繁重，由县政府调剂</w:t>
      </w:r>
      <w:r>
        <w:rPr>
          <w:rFonts w:hint="eastAsia" w:ascii="仿宋" w:eastAsia="仿宋"/>
          <w:color w:val="auto"/>
          <w:sz w:val="32"/>
          <w:szCs w:val="32"/>
          <w:lang w:val="en-US" w:eastAsia="zh-CN"/>
        </w:rPr>
        <w:t>1辆公务用车用于日常工作，2022年运行车辆共计2辆，公务用车加油、维修、保险等相应增加故导致“三公”经费增加</w:t>
      </w:r>
      <w:r>
        <w:rPr>
          <w:rFonts w:hint="eastAsia" w:ascii="仿宋" w:eastAsia="仿宋"/>
          <w:color w:val="auto"/>
          <w:sz w:val="32"/>
          <w:szCs w:val="32"/>
        </w:rPr>
        <w:t>。</w:t>
      </w:r>
    </w:p>
    <w:p w14:paraId="57A65E2E">
      <w:pPr>
        <w:spacing w:line="600" w:lineRule="exact"/>
        <w:ind w:firstLine="640"/>
        <w:outlineLvl w:val="2"/>
        <w:rPr>
          <w:rFonts w:ascii="仿宋" w:eastAsia="仿宋"/>
          <w:b/>
          <w:color w:val="auto"/>
          <w:sz w:val="32"/>
          <w:szCs w:val="32"/>
        </w:rPr>
      </w:pPr>
      <w:bookmarkStart w:id="94" w:name="_Toc15377217"/>
      <w:bookmarkStart w:id="95" w:name="_Toc14368"/>
      <w:r>
        <w:rPr>
          <w:rFonts w:hint="eastAsia" w:ascii="仿宋" w:eastAsia="仿宋"/>
          <w:b/>
          <w:color w:val="auto"/>
          <w:sz w:val="32"/>
          <w:szCs w:val="32"/>
        </w:rPr>
        <w:t>（二）“三公”经费财政拨款支出决算具体情况说明</w:t>
      </w:r>
      <w:bookmarkEnd w:id="94"/>
      <w:bookmarkEnd w:id="95"/>
    </w:p>
    <w:p w14:paraId="2CE79E15">
      <w:pPr>
        <w:spacing w:line="600" w:lineRule="exact"/>
        <w:ind w:firstLine="640"/>
        <w:rPr>
          <w:rFonts w:hint="eastAsia" w:ascii="仿宋" w:eastAsia="仿宋"/>
          <w:sz w:val="32"/>
          <w:szCs w:val="32"/>
        </w:rPr>
      </w:pPr>
      <w:r>
        <w:rPr>
          <w:rFonts w:ascii="仿宋" w:eastAsia="仿宋"/>
          <w:sz w:val="32"/>
          <w:szCs w:val="32"/>
        </w:rPr>
        <w:t>20</w:t>
      </w:r>
      <w:r>
        <w:rPr>
          <w:rFonts w:hint="eastAsia" w:ascii="仿宋" w:eastAsia="仿宋"/>
          <w:sz w:val="32"/>
          <w:szCs w:val="32"/>
        </w:rPr>
        <w:t>22年“三公”经费财政拨款支出决算中，因公出国（境）费支出决算</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；公务用车购置及运行维护费支出决算</w:t>
      </w:r>
      <w:r>
        <w:rPr>
          <w:rFonts w:hint="eastAsia" w:ascii="仿宋" w:eastAsia="仿宋"/>
          <w:sz w:val="32"/>
          <w:szCs w:val="32"/>
          <w:lang w:val="en-US" w:eastAsia="zh-CN"/>
        </w:rPr>
        <w:t>5.52</w:t>
      </w:r>
      <w:r>
        <w:rPr>
          <w:rFonts w:hint="eastAsia" w:ascii="仿宋" w:eastAsia="仿宋"/>
          <w:sz w:val="32"/>
          <w:szCs w:val="32"/>
        </w:rPr>
        <w:t>万元，占</w:t>
      </w:r>
      <w:r>
        <w:rPr>
          <w:rFonts w:hint="eastAsia" w:ascii="仿宋" w:eastAsia="仿宋"/>
          <w:sz w:val="32"/>
          <w:szCs w:val="32"/>
          <w:lang w:val="en-US" w:eastAsia="zh-CN"/>
        </w:rPr>
        <w:t>93.56</w:t>
      </w:r>
      <w:r>
        <w:rPr>
          <w:rFonts w:ascii="仿宋" w:eastAsia="仿宋"/>
          <w:sz w:val="32"/>
          <w:szCs w:val="32"/>
        </w:rPr>
        <w:t>%</w:t>
      </w:r>
      <w:r>
        <w:rPr>
          <w:rFonts w:hint="eastAsia" w:ascii="仿宋" w:eastAsia="仿宋"/>
          <w:sz w:val="32"/>
          <w:szCs w:val="32"/>
        </w:rPr>
        <w:t>；公务接待费支出决算</w:t>
      </w:r>
      <w:r>
        <w:rPr>
          <w:rFonts w:hint="eastAsia" w:ascii="仿宋" w:eastAsia="仿宋"/>
          <w:sz w:val="32"/>
          <w:szCs w:val="32"/>
          <w:lang w:val="en-US" w:eastAsia="zh-CN"/>
        </w:rPr>
        <w:t>0.38</w:t>
      </w:r>
      <w:r>
        <w:rPr>
          <w:rFonts w:hint="eastAsia" w:ascii="仿宋" w:eastAsia="仿宋"/>
          <w:sz w:val="32"/>
          <w:szCs w:val="32"/>
        </w:rPr>
        <w:t>万元，占</w:t>
      </w:r>
      <w:r>
        <w:rPr>
          <w:rFonts w:hint="eastAsia" w:ascii="仿宋" w:eastAsia="仿宋"/>
          <w:sz w:val="32"/>
          <w:szCs w:val="32"/>
          <w:lang w:val="en-US" w:eastAsia="zh-CN"/>
        </w:rPr>
        <w:t>6.44</w:t>
      </w:r>
      <w:r>
        <w:rPr>
          <w:rFonts w:ascii="仿宋" w:eastAsia="仿宋"/>
          <w:sz w:val="32"/>
          <w:szCs w:val="32"/>
        </w:rPr>
        <w:t>%</w:t>
      </w:r>
      <w:r>
        <w:rPr>
          <w:rFonts w:hint="eastAsia" w:ascii="仿宋" w:eastAsia="仿宋"/>
          <w:sz w:val="32"/>
          <w:szCs w:val="32"/>
        </w:rPr>
        <w:t>。具体情况如下：</w:t>
      </w:r>
    </w:p>
    <w:p w14:paraId="48A6230C">
      <w:pPr>
        <w:pStyle w:val="15"/>
      </w:pPr>
      <w:r>
        <w:drawing>
          <wp:inline distT="0" distB="0" distL="114300" distR="114300">
            <wp:extent cx="4596130" cy="2247265"/>
            <wp:effectExtent l="0" t="0" r="1397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4596130" cy="2247265"/>
                    </a:xfrm>
                    <a:prstGeom prst="rect">
                      <a:avLst/>
                    </a:prstGeom>
                    <a:noFill/>
                    <a:ln>
                      <a:noFill/>
                    </a:ln>
                  </pic:spPr>
                </pic:pic>
              </a:graphicData>
            </a:graphic>
          </wp:inline>
        </w:drawing>
      </w:r>
    </w:p>
    <w:p w14:paraId="3C75CE06">
      <w:pPr>
        <w:spacing w:line="600" w:lineRule="exact"/>
        <w:ind w:firstLine="640"/>
        <w:jc w:val="center"/>
        <w:rPr>
          <w:rFonts w:ascii="仿宋" w:eastAsia="仿宋"/>
          <w:sz w:val="32"/>
          <w:szCs w:val="32"/>
        </w:rPr>
      </w:pPr>
      <w:r>
        <w:rPr>
          <w:rFonts w:hint="eastAsia" w:ascii="仿宋" w:eastAsia="仿宋"/>
          <w:sz w:val="32"/>
          <w:szCs w:val="32"/>
        </w:rPr>
        <w:t>（图7：“三公”经费财政拨款支出结构）</w:t>
      </w:r>
    </w:p>
    <w:p w14:paraId="2DD08BE6">
      <w:pPr>
        <w:numPr>
          <w:ilvl w:val="0"/>
          <w:numId w:val="5"/>
        </w:numPr>
        <w:spacing w:line="600" w:lineRule="exact"/>
        <w:ind w:firstLine="640"/>
        <w:rPr>
          <w:rFonts w:hint="eastAsia" w:ascii="仿宋_GB2312" w:eastAsia="仿宋_GB2312"/>
          <w:sz w:val="32"/>
          <w:szCs w:val="32"/>
          <w:lang w:eastAsia="zh-CN"/>
        </w:rPr>
      </w:pP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21"/>
          <w:rFonts w:hint="eastAsia" w:ascii="仿宋" w:eastAsia="仿宋"/>
          <w:b w:val="0"/>
          <w:bCs/>
          <w:sz w:val="32"/>
          <w:szCs w:val="32"/>
        </w:rPr>
        <w:t>完成预算</w:t>
      </w:r>
      <w:r>
        <w:rPr>
          <w:rStyle w:val="21"/>
          <w:rFonts w:hint="eastAsia" w:ascii="仿宋" w:eastAsia="仿宋"/>
          <w:b w:val="0"/>
          <w:bCs/>
          <w:sz w:val="32"/>
          <w:szCs w:val="32"/>
          <w:lang w:val="en-US" w:eastAsia="zh-CN"/>
        </w:rPr>
        <w:t>0</w:t>
      </w:r>
      <w:r>
        <w:rPr>
          <w:rStyle w:val="21"/>
          <w:rFonts w:ascii="仿宋" w:eastAsia="仿宋"/>
          <w:b w:val="0"/>
          <w:bCs/>
          <w:sz w:val="32"/>
          <w:szCs w:val="32"/>
        </w:rPr>
        <w:t>%</w:t>
      </w:r>
      <w:r>
        <w:rPr>
          <w:rStyle w:val="21"/>
          <w:rFonts w:hint="eastAsia" w:asci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eastAsia="zh-CN"/>
        </w:rPr>
        <w:t>持平。</w:t>
      </w:r>
    </w:p>
    <w:p w14:paraId="2C2B9946">
      <w:pPr>
        <w:numPr>
          <w:ilvl w:val="0"/>
          <w:numId w:val="5"/>
        </w:numPr>
        <w:spacing w:line="600" w:lineRule="exact"/>
        <w:ind w:firstLine="640"/>
        <w:rPr>
          <w:rFonts w:ascii="仿宋_GB2312" w:eastAsia="仿宋_GB2312"/>
          <w:b/>
          <w:sz w:val="32"/>
          <w:szCs w:val="32"/>
        </w:rPr>
      </w:pP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5.52</w:t>
      </w:r>
      <w:r>
        <w:rPr>
          <w:rFonts w:hint="eastAsia" w:ascii="仿宋_GB2312" w:eastAsia="仿宋_GB2312"/>
          <w:sz w:val="32"/>
          <w:szCs w:val="32"/>
        </w:rPr>
        <w:t>万元,</w:t>
      </w:r>
      <w:r>
        <w:rPr>
          <w:rStyle w:val="21"/>
          <w:rFonts w:hint="eastAsia" w:ascii="仿宋" w:eastAsia="仿宋"/>
          <w:b w:val="0"/>
          <w:bCs/>
          <w:sz w:val="32"/>
          <w:szCs w:val="32"/>
        </w:rPr>
        <w:t>完成预算</w:t>
      </w:r>
      <w:r>
        <w:rPr>
          <w:rStyle w:val="21"/>
          <w:rFonts w:hint="eastAsia" w:ascii="仿宋" w:eastAsia="仿宋"/>
          <w:b w:val="0"/>
          <w:bCs/>
          <w:sz w:val="32"/>
          <w:szCs w:val="32"/>
          <w:lang w:val="en-US" w:eastAsia="zh-CN"/>
        </w:rPr>
        <w:t>100</w:t>
      </w:r>
      <w:r>
        <w:rPr>
          <w:rStyle w:val="21"/>
          <w:rFonts w:ascii="仿宋" w:eastAsia="仿宋"/>
          <w:b w:val="0"/>
          <w:bCs/>
          <w:sz w:val="32"/>
          <w:szCs w:val="32"/>
        </w:rPr>
        <w:t>%</w:t>
      </w:r>
      <w:r>
        <w:rPr>
          <w:rStyle w:val="21"/>
          <w:rFonts w:hint="eastAsia" w:asci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3.91万元</w:t>
      </w:r>
      <w:r>
        <w:rPr>
          <w:rFonts w:hint="eastAsia" w:ascii="仿宋_GB2312" w:eastAsia="仿宋_GB2312"/>
          <w:sz w:val="32"/>
          <w:szCs w:val="32"/>
        </w:rPr>
        <w:t>增加</w:t>
      </w:r>
      <w:r>
        <w:rPr>
          <w:rFonts w:hint="eastAsia" w:ascii="仿宋_GB2312" w:eastAsia="仿宋_GB2312"/>
          <w:sz w:val="32"/>
          <w:szCs w:val="32"/>
          <w:lang w:val="en-US" w:eastAsia="zh-CN"/>
        </w:rPr>
        <w:t>1.61</w:t>
      </w:r>
      <w:r>
        <w:rPr>
          <w:rFonts w:hint="eastAsia" w:ascii="仿宋_GB2312" w:eastAsia="仿宋_GB2312"/>
          <w:sz w:val="32"/>
          <w:szCs w:val="32"/>
        </w:rPr>
        <w:t>万元，增长</w:t>
      </w:r>
      <w:r>
        <w:rPr>
          <w:rFonts w:hint="eastAsia" w:ascii="仿宋_GB2312" w:eastAsia="仿宋_GB2312"/>
          <w:sz w:val="32"/>
          <w:szCs w:val="32"/>
          <w:lang w:val="en-US" w:eastAsia="zh-CN"/>
        </w:rPr>
        <w:t>41.17</w:t>
      </w:r>
      <w:r>
        <w:rPr>
          <w:rFonts w:ascii="仿宋_GB2312" w:eastAsia="仿宋_GB2312"/>
          <w:sz w:val="32"/>
          <w:szCs w:val="32"/>
        </w:rPr>
        <w:t>%</w:t>
      </w:r>
      <w:r>
        <w:rPr>
          <w:rFonts w:hint="eastAsia" w:ascii="仿宋_GB2312" w:eastAsia="仿宋_GB2312"/>
          <w:sz w:val="32"/>
          <w:szCs w:val="32"/>
        </w:rPr>
        <w:t>。主要原因是</w:t>
      </w:r>
      <w:r>
        <w:rPr>
          <w:rFonts w:hint="eastAsia" w:ascii="仿宋" w:eastAsia="仿宋"/>
          <w:color w:val="auto"/>
          <w:sz w:val="32"/>
          <w:szCs w:val="32"/>
          <w:lang w:eastAsia="zh-CN"/>
        </w:rPr>
        <w:t>由县政府调剂</w:t>
      </w:r>
      <w:r>
        <w:rPr>
          <w:rFonts w:hint="eastAsia" w:ascii="仿宋" w:eastAsia="仿宋"/>
          <w:color w:val="auto"/>
          <w:sz w:val="32"/>
          <w:szCs w:val="32"/>
          <w:lang w:val="en-US" w:eastAsia="zh-CN"/>
        </w:rPr>
        <w:t>1辆公务用车用于日常工作，2022年2辆运行车辆，相应增加公务用车加油、维修、保险等</w:t>
      </w:r>
      <w:r>
        <w:rPr>
          <w:rFonts w:hint="eastAsia" w:ascii="仿宋_GB2312" w:eastAsia="仿宋_GB2312"/>
          <w:sz w:val="32"/>
          <w:szCs w:val="32"/>
        </w:rPr>
        <w:t>。</w:t>
      </w:r>
    </w:p>
    <w:p w14:paraId="10627DE3">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w:t>
      </w:r>
      <w:r>
        <w:rPr>
          <w:rFonts w:hint="eastAsia" w:ascii="仿宋_GB2312" w:eastAsia="仿宋_GB2312"/>
          <w:sz w:val="32"/>
          <w:szCs w:val="32"/>
          <w:lang w:eastAsia="zh-CN"/>
        </w:rPr>
        <w:t>车辆编制为</w:t>
      </w:r>
      <w:r>
        <w:rPr>
          <w:rFonts w:hint="eastAsia" w:ascii="仿宋_GB2312" w:eastAsia="仿宋_GB2312"/>
          <w:sz w:val="32"/>
          <w:szCs w:val="32"/>
          <w:lang w:val="en-US" w:eastAsia="zh-CN"/>
        </w:rPr>
        <w:t>1辆，截止年末使用</w:t>
      </w:r>
      <w:r>
        <w:rPr>
          <w:rFonts w:hint="eastAsia" w:ascii="仿宋_GB2312" w:eastAsia="仿宋_GB2312"/>
          <w:sz w:val="32"/>
          <w:szCs w:val="32"/>
        </w:rPr>
        <w:t>公务用车</w:t>
      </w:r>
      <w:r>
        <w:rPr>
          <w:rFonts w:hint="eastAsia" w:ascii="仿宋_GB2312" w:eastAsia="仿宋_GB2312"/>
          <w:sz w:val="32"/>
          <w:szCs w:val="32"/>
          <w:lang w:val="en-US" w:eastAsia="zh-CN"/>
        </w:rPr>
        <w:t>2</w:t>
      </w:r>
      <w:r>
        <w:rPr>
          <w:rFonts w:hint="eastAsia" w:ascii="仿宋_GB2312" w:eastAsia="仿宋_GB2312"/>
          <w:sz w:val="32"/>
          <w:szCs w:val="32"/>
        </w:rPr>
        <w:t>辆，其中：轿车</w:t>
      </w:r>
      <w:r>
        <w:rPr>
          <w:rFonts w:hint="eastAsia" w:ascii="仿宋_GB2312" w:eastAsia="仿宋_GB2312"/>
          <w:sz w:val="32"/>
          <w:szCs w:val="32"/>
          <w:lang w:val="en-US" w:eastAsia="zh-CN"/>
        </w:rPr>
        <w:t>1</w:t>
      </w:r>
      <w:r>
        <w:rPr>
          <w:rFonts w:hint="eastAsia" w:ascii="仿宋_GB2312" w:eastAsia="仿宋_GB2312"/>
          <w:sz w:val="32"/>
          <w:szCs w:val="32"/>
        </w:rPr>
        <w:t>辆、越野车</w:t>
      </w:r>
      <w:r>
        <w:rPr>
          <w:rFonts w:hint="eastAsia" w:ascii="仿宋_GB2312" w:eastAsia="仿宋_GB2312"/>
          <w:sz w:val="32"/>
          <w:szCs w:val="32"/>
          <w:lang w:val="en-US" w:eastAsia="zh-CN"/>
        </w:rPr>
        <w:t>1</w:t>
      </w:r>
      <w:r>
        <w:rPr>
          <w:rFonts w:hint="eastAsia" w:ascii="仿宋_GB2312" w:eastAsia="仿宋_GB2312"/>
          <w:sz w:val="32"/>
          <w:szCs w:val="32"/>
        </w:rPr>
        <w:t>辆。</w:t>
      </w:r>
    </w:p>
    <w:p w14:paraId="659C5DE4">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5.52</w:t>
      </w:r>
      <w:r>
        <w:rPr>
          <w:rFonts w:hint="eastAsia" w:ascii="仿宋_GB2312" w:eastAsia="仿宋_GB2312"/>
          <w:sz w:val="32"/>
          <w:szCs w:val="32"/>
        </w:rPr>
        <w:t>万元。主要用于</w:t>
      </w:r>
      <w:r>
        <w:rPr>
          <w:rFonts w:hint="eastAsia" w:ascii="仿宋_GB2312" w:eastAsia="仿宋_GB2312"/>
          <w:sz w:val="32"/>
          <w:szCs w:val="32"/>
          <w:lang w:eastAsia="zh-CN"/>
        </w:rPr>
        <w:t>单位“两联一进”、查看地质灾害隐患点、山水工程、土地查看、执法</w:t>
      </w:r>
      <w:r>
        <w:rPr>
          <w:rFonts w:hint="eastAsia" w:ascii="仿宋_GB2312" w:eastAsia="仿宋_GB2312"/>
          <w:sz w:val="32"/>
          <w:szCs w:val="32"/>
        </w:rPr>
        <w:t>等所需的公务用车燃料费、维修费、过路费、</w:t>
      </w:r>
      <w:r>
        <w:rPr>
          <w:rFonts w:hint="eastAsia" w:ascii="仿宋_GB2312" w:eastAsia="仿宋_GB2312"/>
          <w:sz w:val="32"/>
          <w:szCs w:val="32"/>
          <w:lang w:eastAsia="zh-CN"/>
        </w:rPr>
        <w:t>洗车费、</w:t>
      </w:r>
      <w:r>
        <w:rPr>
          <w:rFonts w:hint="eastAsia" w:ascii="仿宋_GB2312" w:eastAsia="仿宋_GB2312"/>
          <w:sz w:val="32"/>
          <w:szCs w:val="32"/>
        </w:rPr>
        <w:t>保险费等支出。</w:t>
      </w:r>
    </w:p>
    <w:p w14:paraId="25FE8FFA">
      <w:pPr>
        <w:numPr>
          <w:ilvl w:val="0"/>
          <w:numId w:val="5"/>
        </w:numPr>
        <w:spacing w:line="600" w:lineRule="exact"/>
        <w:ind w:left="0" w:leftChars="0" w:firstLine="640" w:firstLineChars="0"/>
        <w:rPr>
          <w:rFonts w:hint="eastAsia" w:ascii="仿宋_GB2312" w:eastAsia="仿宋_GB2312"/>
          <w:sz w:val="32"/>
          <w:szCs w:val="32"/>
        </w:rPr>
      </w:pPr>
      <w:r>
        <w:rPr>
          <w:rFonts w:hint="eastAsia" w:ascii="仿宋_GB2312" w:eastAsia="仿宋_GB2312"/>
          <w:b/>
          <w:sz w:val="32"/>
          <w:szCs w:val="32"/>
        </w:rPr>
        <w:t>公务接待费支出</w:t>
      </w:r>
      <w:r>
        <w:rPr>
          <w:rFonts w:hint="eastAsia" w:ascii="仿宋_GB2312" w:eastAsia="仿宋_GB2312"/>
          <w:sz w:val="32"/>
          <w:szCs w:val="32"/>
          <w:lang w:val="en-US" w:eastAsia="zh-CN"/>
        </w:rPr>
        <w:t>0.38</w:t>
      </w:r>
      <w:r>
        <w:rPr>
          <w:rFonts w:hint="eastAsia" w:ascii="仿宋_GB2312" w:eastAsia="仿宋_GB2312"/>
          <w:sz w:val="32"/>
          <w:szCs w:val="32"/>
        </w:rPr>
        <w:t>万元，</w:t>
      </w:r>
      <w:r>
        <w:rPr>
          <w:rStyle w:val="21"/>
          <w:rFonts w:hint="eastAsia" w:ascii="仿宋" w:eastAsia="仿宋"/>
          <w:b w:val="0"/>
          <w:bCs/>
          <w:sz w:val="32"/>
          <w:szCs w:val="32"/>
        </w:rPr>
        <w:t>完成预算</w:t>
      </w:r>
      <w:r>
        <w:rPr>
          <w:rStyle w:val="21"/>
          <w:rFonts w:hint="eastAsia" w:ascii="仿宋" w:eastAsia="仿宋"/>
          <w:b w:val="0"/>
          <w:bCs/>
          <w:sz w:val="32"/>
          <w:szCs w:val="32"/>
          <w:lang w:val="en-US" w:eastAsia="zh-CN"/>
        </w:rPr>
        <w:t>100</w:t>
      </w:r>
      <w:r>
        <w:rPr>
          <w:rStyle w:val="21"/>
          <w:rFonts w:ascii="仿宋" w:eastAsia="仿宋"/>
          <w:b w:val="0"/>
          <w:bCs/>
          <w:sz w:val="32"/>
          <w:szCs w:val="32"/>
        </w:rPr>
        <w:t>%</w:t>
      </w:r>
      <w:r>
        <w:rPr>
          <w:rStyle w:val="21"/>
          <w:rFonts w:hint="eastAsia" w:asci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0.42万元</w:t>
      </w:r>
      <w:r>
        <w:rPr>
          <w:rFonts w:hint="eastAsia" w:ascii="仿宋_GB2312" w:eastAsia="仿宋_GB2312"/>
          <w:sz w:val="32"/>
          <w:szCs w:val="32"/>
        </w:rPr>
        <w:t>减少</w:t>
      </w:r>
      <w:r>
        <w:rPr>
          <w:rFonts w:hint="eastAsia" w:ascii="仿宋_GB2312" w:eastAsia="仿宋_GB2312"/>
          <w:sz w:val="32"/>
          <w:szCs w:val="32"/>
          <w:lang w:val="en-US" w:eastAsia="zh-CN"/>
        </w:rPr>
        <w:t>0.04</w:t>
      </w:r>
      <w:r>
        <w:rPr>
          <w:rFonts w:hint="eastAsia" w:ascii="仿宋_GB2312" w:eastAsia="仿宋_GB2312"/>
          <w:sz w:val="32"/>
          <w:szCs w:val="32"/>
        </w:rPr>
        <w:t>万元，下降</w:t>
      </w:r>
      <w:r>
        <w:rPr>
          <w:rFonts w:hint="eastAsia" w:ascii="仿宋_GB2312" w:eastAsia="仿宋_GB2312"/>
          <w:sz w:val="32"/>
          <w:szCs w:val="32"/>
          <w:lang w:val="en-US" w:eastAsia="zh-CN"/>
        </w:rPr>
        <w:t>10.53</w:t>
      </w:r>
      <w:r>
        <w:rPr>
          <w:rFonts w:ascii="仿宋_GB2312" w:eastAsia="仿宋_GB2312"/>
          <w:sz w:val="32"/>
          <w:szCs w:val="32"/>
        </w:rPr>
        <w:t>%</w:t>
      </w:r>
      <w:r>
        <w:rPr>
          <w:rFonts w:hint="eastAsia" w:ascii="仿宋_GB2312" w:eastAsia="仿宋_GB2312"/>
          <w:sz w:val="32"/>
          <w:szCs w:val="32"/>
        </w:rPr>
        <w:t>。</w:t>
      </w:r>
      <w:r>
        <w:rPr>
          <w:rStyle w:val="36"/>
          <w:rFonts w:hint="eastAsia" w:ascii="仿宋_GB2312" w:hAnsi="仿宋_GB2312" w:eastAsia="仿宋_GB2312"/>
          <w:sz w:val="32"/>
          <w:szCs w:val="32"/>
        </w:rPr>
        <w:t>主要原因一是严格执行“中央八项规定”、二是因</w:t>
      </w:r>
      <w:r>
        <w:rPr>
          <w:rStyle w:val="36"/>
          <w:rFonts w:hint="eastAsia" w:ascii="仿宋_GB2312" w:hAnsi="仿宋_GB2312" w:eastAsia="仿宋_GB2312" w:cs="Times New Roman"/>
          <w:sz w:val="32"/>
          <w:szCs w:val="32"/>
        </w:rPr>
        <w:t>疫情原因，上级检查及调研减少，故减少接待费支出</w:t>
      </w:r>
      <w:r>
        <w:rPr>
          <w:rFonts w:hint="eastAsia" w:ascii="仿宋_GB2312" w:eastAsia="仿宋_GB2312"/>
          <w:sz w:val="32"/>
          <w:szCs w:val="32"/>
        </w:rPr>
        <w:t>。</w:t>
      </w:r>
    </w:p>
    <w:p w14:paraId="21D47F03">
      <w:pPr>
        <w:spacing w:line="600" w:lineRule="exact"/>
        <w:ind w:firstLine="640"/>
        <w:rPr>
          <w:rFonts w:hint="eastAsia" w:ascii="仿宋_GB2312" w:hAnsi="Times New Roman" w:eastAsia="仿宋_GB2312" w:cs="Times New Roman"/>
          <w:b w:val="0"/>
          <w:bCs/>
          <w:color w:val="auto"/>
          <w:sz w:val="32"/>
          <w:szCs w:val="32"/>
          <w:highlight w:val="none"/>
          <w:shd w:val="clear" w:color="auto" w:fill="auto"/>
          <w:lang w:val="en-US" w:eastAsia="zh-CN"/>
        </w:rPr>
      </w:pPr>
      <w:r>
        <w:rPr>
          <w:rFonts w:hint="eastAsia" w:ascii="仿宋_GB2312" w:hAnsi="Times New Roman" w:eastAsia="仿宋_GB2312" w:cs="Times New Roman"/>
          <w:b/>
          <w:color w:val="auto"/>
          <w:sz w:val="32"/>
          <w:szCs w:val="32"/>
          <w:highlight w:val="none"/>
          <w:shd w:val="clear" w:color="auto" w:fill="auto"/>
        </w:rPr>
        <w:t>国内公务接待支出</w:t>
      </w:r>
      <w:r>
        <w:rPr>
          <w:rFonts w:hint="eastAsia" w:ascii="仿宋_GB2312" w:hAnsi="Times New Roman" w:eastAsia="仿宋_GB2312" w:cs="Times New Roman"/>
          <w:b w:val="0"/>
          <w:bCs/>
          <w:color w:val="auto"/>
          <w:sz w:val="32"/>
          <w:szCs w:val="32"/>
          <w:highlight w:val="none"/>
          <w:shd w:val="clear" w:color="auto" w:fill="auto"/>
          <w:lang w:val="en-US" w:eastAsia="zh-CN"/>
        </w:rPr>
        <w:t>0.38</w:t>
      </w:r>
      <w:r>
        <w:rPr>
          <w:rFonts w:hint="eastAsia" w:ascii="仿宋_GB2312" w:hAnsi="Times New Roman" w:eastAsia="仿宋_GB2312" w:cs="Times New Roman"/>
          <w:b w:val="0"/>
          <w:bCs/>
          <w:color w:val="auto"/>
          <w:sz w:val="32"/>
          <w:szCs w:val="32"/>
          <w:highlight w:val="none"/>
          <w:shd w:val="clear" w:color="auto" w:fill="auto"/>
        </w:rPr>
        <w:t>万元，国内公务接待</w:t>
      </w:r>
      <w:r>
        <w:rPr>
          <w:rFonts w:hint="eastAsia" w:ascii="仿宋_GB2312" w:hAnsi="Times New Roman" w:eastAsia="仿宋_GB2312" w:cs="Times New Roman"/>
          <w:b w:val="0"/>
          <w:bCs/>
          <w:color w:val="auto"/>
          <w:sz w:val="32"/>
          <w:szCs w:val="32"/>
          <w:highlight w:val="none"/>
          <w:shd w:val="clear" w:color="auto" w:fill="auto"/>
          <w:lang w:val="en-US" w:eastAsia="zh-CN"/>
        </w:rPr>
        <w:t>3</w:t>
      </w:r>
      <w:r>
        <w:rPr>
          <w:rFonts w:hint="eastAsia" w:ascii="仿宋_GB2312" w:hAnsi="Times New Roman" w:eastAsia="仿宋_GB2312" w:cs="Times New Roman"/>
          <w:b w:val="0"/>
          <w:bCs/>
          <w:color w:val="auto"/>
          <w:sz w:val="32"/>
          <w:szCs w:val="32"/>
          <w:highlight w:val="none"/>
          <w:shd w:val="clear" w:color="auto" w:fill="auto"/>
        </w:rPr>
        <w:t>批次，</w:t>
      </w:r>
      <w:r>
        <w:rPr>
          <w:rFonts w:hint="eastAsia" w:ascii="仿宋_GB2312" w:hAnsi="Times New Roman" w:eastAsia="仿宋_GB2312" w:cs="Times New Roman"/>
          <w:b w:val="0"/>
          <w:bCs/>
          <w:color w:val="auto"/>
          <w:sz w:val="32"/>
          <w:szCs w:val="32"/>
          <w:highlight w:val="none"/>
          <w:shd w:val="clear" w:color="auto" w:fill="auto"/>
          <w:lang w:val="en-US" w:eastAsia="zh-CN"/>
        </w:rPr>
        <w:t>25</w:t>
      </w:r>
      <w:r>
        <w:rPr>
          <w:rFonts w:hint="eastAsia" w:ascii="仿宋_GB2312" w:hAnsi="Times New Roman" w:eastAsia="仿宋_GB2312" w:cs="Times New Roman"/>
          <w:b w:val="0"/>
          <w:bCs/>
          <w:color w:val="auto"/>
          <w:sz w:val="32"/>
          <w:szCs w:val="32"/>
          <w:highlight w:val="none"/>
          <w:shd w:val="clear" w:color="auto" w:fill="auto"/>
        </w:rPr>
        <w:t>人次，共计支出</w:t>
      </w:r>
      <w:r>
        <w:rPr>
          <w:rFonts w:hint="eastAsia" w:ascii="仿宋_GB2312" w:hAnsi="Times New Roman" w:eastAsia="仿宋_GB2312" w:cs="Times New Roman"/>
          <w:b w:val="0"/>
          <w:bCs/>
          <w:color w:val="auto"/>
          <w:sz w:val="32"/>
          <w:szCs w:val="32"/>
          <w:highlight w:val="none"/>
          <w:shd w:val="clear" w:color="auto" w:fill="auto"/>
          <w:lang w:val="en-US" w:eastAsia="zh-CN"/>
        </w:rPr>
        <w:t>0.38</w:t>
      </w:r>
      <w:r>
        <w:rPr>
          <w:rFonts w:hint="eastAsia" w:ascii="仿宋_GB2312" w:hAnsi="Times New Roman" w:eastAsia="仿宋_GB2312" w:cs="Times New Roman"/>
          <w:b w:val="0"/>
          <w:bCs/>
          <w:color w:val="auto"/>
          <w:sz w:val="32"/>
          <w:szCs w:val="32"/>
          <w:highlight w:val="none"/>
          <w:shd w:val="clear" w:color="auto" w:fill="auto"/>
        </w:rPr>
        <w:t>万元，具体内容包括：</w:t>
      </w:r>
      <w:r>
        <w:rPr>
          <w:rFonts w:hint="eastAsia" w:ascii="仿宋_GB2312" w:hAnsi="Times New Roman" w:eastAsia="仿宋_GB2312" w:cs="Times New Roman"/>
          <w:b w:val="0"/>
          <w:bCs/>
          <w:color w:val="auto"/>
          <w:sz w:val="32"/>
          <w:szCs w:val="32"/>
          <w:highlight w:val="none"/>
          <w:shd w:val="clear" w:color="auto" w:fill="auto"/>
          <w:lang w:eastAsia="zh-CN"/>
        </w:rPr>
        <w:t>阿坝州自然资源局</w:t>
      </w:r>
      <w:r>
        <w:rPr>
          <w:rFonts w:hint="eastAsia" w:ascii="仿宋_GB2312" w:hAnsi="Times New Roman" w:eastAsia="仿宋_GB2312" w:cs="Times New Roman"/>
          <w:b w:val="0"/>
          <w:bCs/>
          <w:color w:val="auto"/>
          <w:sz w:val="32"/>
          <w:szCs w:val="32"/>
          <w:highlight w:val="none"/>
          <w:shd w:val="clear" w:color="auto" w:fill="auto"/>
          <w:lang w:val="en-US" w:eastAsia="zh-CN"/>
        </w:rPr>
        <w:t>2022年度片区工作组地质灾害汛前检查工作0.21万元、</w:t>
      </w:r>
      <w:r>
        <w:rPr>
          <w:rFonts w:hint="eastAsia" w:ascii="仿宋_GB2312" w:hAnsi="Times New Roman" w:eastAsia="仿宋_GB2312" w:cs="Times New Roman"/>
          <w:b w:val="0"/>
          <w:bCs/>
          <w:color w:val="auto"/>
          <w:sz w:val="32"/>
          <w:szCs w:val="32"/>
          <w:highlight w:val="none"/>
          <w:shd w:val="clear" w:color="auto" w:fill="auto"/>
          <w:lang w:eastAsia="zh-CN"/>
        </w:rPr>
        <w:t>阿坝州自然资源局开展打击“洗洞”盗采专项整治督导检查</w:t>
      </w:r>
      <w:r>
        <w:rPr>
          <w:rFonts w:hint="eastAsia" w:ascii="仿宋_GB2312" w:hAnsi="Times New Roman" w:eastAsia="仿宋_GB2312" w:cs="Times New Roman"/>
          <w:b w:val="0"/>
          <w:bCs/>
          <w:color w:val="auto"/>
          <w:sz w:val="32"/>
          <w:szCs w:val="32"/>
          <w:highlight w:val="none"/>
          <w:shd w:val="clear" w:color="auto" w:fill="auto"/>
          <w:lang w:val="en-US" w:eastAsia="zh-CN"/>
        </w:rPr>
        <w:t>0.17万元。</w:t>
      </w:r>
    </w:p>
    <w:p w14:paraId="1FCE5D21">
      <w:pPr>
        <w:spacing w:line="600" w:lineRule="exact"/>
        <w:ind w:firstLine="640"/>
        <w:rPr>
          <w:rFonts w:ascii="黑体" w:eastAsia="黑体"/>
          <w:sz w:val="32"/>
          <w:szCs w:val="32"/>
        </w:rPr>
      </w:pPr>
      <w:r>
        <w:rPr>
          <w:rFonts w:hint="eastAsia" w:ascii="仿宋_GB2312" w:hAnsi="Times New Roman" w:eastAsia="仿宋_GB2312" w:cs="Times New Roman"/>
          <w:b/>
          <w:sz w:val="32"/>
          <w:szCs w:val="32"/>
        </w:rPr>
        <w:t>外事接待支出</w:t>
      </w:r>
      <w:r>
        <w:rPr>
          <w:rFonts w:hint="eastAsia" w:ascii="仿宋_GB2312" w:hAnsi="Times New Roman" w:eastAsia="仿宋_GB2312" w:cs="Times New Roman"/>
          <w:b/>
          <w:sz w:val="32"/>
          <w:szCs w:val="32"/>
          <w:lang w:val="en-US" w:eastAsia="zh-CN"/>
        </w:rPr>
        <w:t>0</w:t>
      </w:r>
      <w:r>
        <w:rPr>
          <w:rFonts w:hint="eastAsia" w:ascii="仿宋_GB2312" w:hAnsi="Times New Roman" w:eastAsia="仿宋_GB2312" w:cs="Times New Roman"/>
          <w:b w:val="0"/>
          <w:bCs/>
          <w:sz w:val="32"/>
          <w:szCs w:val="32"/>
        </w:rPr>
        <w:t>万元。</w:t>
      </w:r>
      <w:r>
        <w:rPr>
          <w:rFonts w:hint="eastAsia" w:ascii="仿宋_GB2312" w:eastAsia="仿宋_GB2312"/>
          <w:sz w:val="32"/>
          <w:szCs w:val="32"/>
        </w:rPr>
        <w:t>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bookmarkStart w:id="96" w:name="_Toc15377218"/>
      <w:bookmarkStart w:id="97" w:name="_Toc15396610"/>
    </w:p>
    <w:p w14:paraId="1180904A">
      <w:pPr>
        <w:spacing w:line="600" w:lineRule="exact"/>
        <w:ind w:firstLine="640"/>
        <w:outlineLvl w:val="1"/>
        <w:rPr>
          <w:rStyle w:val="25"/>
          <w:rFonts w:ascii="黑体" w:eastAsia="黑体"/>
        </w:rPr>
      </w:pPr>
      <w:bookmarkStart w:id="98" w:name="_Toc18495"/>
      <w:r>
        <w:rPr>
          <w:rFonts w:hint="eastAsia" w:ascii="黑体" w:eastAsia="黑体"/>
          <w:sz w:val="32"/>
          <w:szCs w:val="32"/>
        </w:rPr>
        <w:t>八、</w:t>
      </w:r>
      <w:r>
        <w:rPr>
          <w:rStyle w:val="25"/>
          <w:rFonts w:hint="eastAsia" w:ascii="黑体" w:eastAsia="黑体"/>
          <w:b w:val="0"/>
        </w:rPr>
        <w:t>政府性基金预算支出决算情况说明</w:t>
      </w:r>
      <w:bookmarkEnd w:id="96"/>
      <w:bookmarkEnd w:id="97"/>
      <w:bookmarkEnd w:id="98"/>
    </w:p>
    <w:p w14:paraId="292ACD31">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326.87</w:t>
      </w:r>
      <w:r>
        <w:rPr>
          <w:rFonts w:hint="eastAsia" w:ascii="仿宋_GB2312" w:eastAsia="仿宋_GB2312"/>
          <w:sz w:val="32"/>
          <w:szCs w:val="32"/>
        </w:rPr>
        <w:t>万元</w:t>
      </w:r>
      <w:r>
        <w:rPr>
          <w:rFonts w:hint="eastAsia" w:ascii="仿宋_GB2312" w:eastAsia="仿宋_GB2312"/>
          <w:sz w:val="32"/>
          <w:szCs w:val="32"/>
          <w:lang w:eastAsia="zh-CN"/>
        </w:rPr>
        <w:t>，</w:t>
      </w:r>
      <w:r>
        <w:rPr>
          <w:rStyle w:val="21"/>
          <w:rFonts w:hint="eastAsia" w:ascii="仿宋" w:eastAsia="仿宋"/>
          <w:b w:val="0"/>
          <w:bCs/>
          <w:sz w:val="32"/>
          <w:szCs w:val="32"/>
        </w:rPr>
        <w:t>完成预算</w:t>
      </w:r>
      <w:r>
        <w:rPr>
          <w:rStyle w:val="21"/>
          <w:rFonts w:hint="eastAsia" w:ascii="仿宋" w:eastAsia="仿宋"/>
          <w:b w:val="0"/>
          <w:bCs/>
          <w:sz w:val="32"/>
          <w:szCs w:val="32"/>
          <w:lang w:val="en-US" w:eastAsia="zh-CN"/>
        </w:rPr>
        <w:t>100</w:t>
      </w:r>
      <w:r>
        <w:rPr>
          <w:rStyle w:val="21"/>
          <w:rFonts w:ascii="仿宋" w:eastAsia="仿宋"/>
          <w:b w:val="0"/>
          <w:bCs/>
          <w:sz w:val="32"/>
          <w:szCs w:val="32"/>
        </w:rPr>
        <w:t>%</w:t>
      </w:r>
      <w:r>
        <w:rPr>
          <w:rStyle w:val="21"/>
          <w:rFonts w:hint="eastAsia" w:ascii="仿宋" w:eastAsia="仿宋"/>
          <w:b w:val="0"/>
          <w:bCs/>
          <w:sz w:val="32"/>
          <w:szCs w:val="32"/>
          <w:lang w:eastAsia="zh-CN"/>
        </w:rPr>
        <w:t>，较上年增长</w:t>
      </w:r>
      <w:r>
        <w:rPr>
          <w:rStyle w:val="21"/>
          <w:rFonts w:hint="eastAsia" w:ascii="仿宋" w:eastAsia="仿宋"/>
          <w:b w:val="0"/>
          <w:bCs/>
          <w:sz w:val="32"/>
          <w:szCs w:val="32"/>
          <w:lang w:val="en-US" w:eastAsia="zh-CN"/>
        </w:rPr>
        <w:t>326.87万元，增长100%，主要用于红原县龙域酒店投资管理有限公司部分土地使用权补偿资金286.87万元和土地评估测绘费40万元。</w:t>
      </w:r>
    </w:p>
    <w:p w14:paraId="0F276B99">
      <w:pPr>
        <w:numPr>
          <w:ilvl w:val="0"/>
          <w:numId w:val="6"/>
        </w:numPr>
        <w:spacing w:line="600" w:lineRule="exact"/>
        <w:ind w:firstLine="640"/>
        <w:outlineLvl w:val="1"/>
        <w:rPr>
          <w:rStyle w:val="25"/>
          <w:rFonts w:ascii="黑体" w:eastAsia="黑体"/>
          <w:b w:val="0"/>
        </w:rPr>
      </w:pPr>
      <w:bookmarkStart w:id="99" w:name="_Toc15396611"/>
      <w:bookmarkStart w:id="100" w:name="_Toc9602"/>
      <w:bookmarkStart w:id="101" w:name="_Toc15377219"/>
      <w:r>
        <w:rPr>
          <w:rStyle w:val="25"/>
          <w:rFonts w:hint="eastAsia" w:ascii="黑体" w:eastAsia="黑体"/>
          <w:b w:val="0"/>
        </w:rPr>
        <w:t>国有资本经营预算支出决算情况说明</w:t>
      </w:r>
      <w:bookmarkEnd w:id="99"/>
      <w:bookmarkEnd w:id="100"/>
      <w:bookmarkEnd w:id="101"/>
    </w:p>
    <w:p w14:paraId="79B2F28D">
      <w:pPr>
        <w:spacing w:line="600" w:lineRule="exact"/>
        <w:ind w:firstLine="640"/>
        <w:rPr>
          <w:rFonts w:asci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，与上年持平</w:t>
      </w:r>
      <w:r>
        <w:rPr>
          <w:rFonts w:hint="eastAsia" w:ascii="仿宋_GB2312" w:eastAsia="仿宋_GB2312"/>
          <w:sz w:val="32"/>
          <w:szCs w:val="32"/>
        </w:rPr>
        <w:t>。</w:t>
      </w:r>
    </w:p>
    <w:p w14:paraId="1F83953C">
      <w:pPr>
        <w:numPr>
          <w:ilvl w:val="0"/>
          <w:numId w:val="6"/>
        </w:numPr>
        <w:spacing w:line="600" w:lineRule="exact"/>
        <w:ind w:firstLine="640"/>
        <w:outlineLvl w:val="1"/>
        <w:rPr>
          <w:rStyle w:val="25"/>
          <w:rFonts w:ascii="黑体" w:eastAsia="黑体"/>
          <w:b w:val="0"/>
        </w:rPr>
      </w:pPr>
      <w:bookmarkStart w:id="102" w:name="_Toc15377221"/>
      <w:bookmarkStart w:id="103" w:name="_Toc19142"/>
      <w:bookmarkStart w:id="104" w:name="_Toc15396612"/>
      <w:r>
        <w:rPr>
          <w:rStyle w:val="25"/>
          <w:rFonts w:hint="eastAsia" w:ascii="黑体" w:eastAsia="黑体"/>
          <w:b w:val="0"/>
        </w:rPr>
        <w:t>其他重要事项的情况说明</w:t>
      </w:r>
      <w:bookmarkEnd w:id="102"/>
      <w:bookmarkEnd w:id="103"/>
      <w:bookmarkEnd w:id="104"/>
    </w:p>
    <w:p w14:paraId="0111002C">
      <w:pPr>
        <w:spacing w:line="600" w:lineRule="exact"/>
        <w:ind w:firstLine="643" w:firstLineChars="200"/>
        <w:outlineLvl w:val="2"/>
        <w:rPr>
          <w:rFonts w:ascii="仿宋" w:eastAsia="仿宋"/>
          <w:sz w:val="32"/>
          <w:szCs w:val="32"/>
        </w:rPr>
      </w:pPr>
      <w:bookmarkStart w:id="105" w:name="_Toc15377222"/>
      <w:bookmarkStart w:id="106" w:name="_Toc12802"/>
      <w:r>
        <w:rPr>
          <w:rFonts w:hint="eastAsia" w:ascii="仿宋" w:eastAsia="仿宋"/>
          <w:b/>
          <w:sz w:val="32"/>
          <w:szCs w:val="32"/>
        </w:rPr>
        <w:t>（一）机关运行经费支出情况</w:t>
      </w:r>
      <w:bookmarkEnd w:id="105"/>
      <w:bookmarkEnd w:id="106"/>
    </w:p>
    <w:p w14:paraId="0A9439F4">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红原县自然资源局</w:t>
      </w:r>
      <w:r>
        <w:rPr>
          <w:rFonts w:hint="eastAsia" w:ascii="仿宋_GB2312" w:eastAsia="仿宋_GB2312"/>
          <w:sz w:val="32"/>
          <w:szCs w:val="32"/>
        </w:rPr>
        <w:t>机关运行经费支出</w:t>
      </w:r>
      <w:r>
        <w:rPr>
          <w:rFonts w:hint="eastAsia" w:ascii="仿宋_GB2312" w:eastAsia="仿宋_GB2312"/>
          <w:sz w:val="32"/>
          <w:szCs w:val="32"/>
          <w:lang w:val="en-US" w:eastAsia="zh-CN"/>
        </w:rPr>
        <w:t>19.68</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21.75万元</w:t>
      </w:r>
      <w:r>
        <w:rPr>
          <w:rFonts w:hint="eastAsia" w:ascii="仿宋_GB2312" w:eastAsia="仿宋_GB2312"/>
          <w:sz w:val="32"/>
          <w:szCs w:val="32"/>
        </w:rPr>
        <w:t>减少</w:t>
      </w:r>
      <w:r>
        <w:rPr>
          <w:rFonts w:hint="eastAsia" w:ascii="仿宋_GB2312" w:eastAsia="仿宋_GB2312"/>
          <w:sz w:val="32"/>
          <w:szCs w:val="32"/>
          <w:lang w:val="en-US" w:eastAsia="zh-CN"/>
        </w:rPr>
        <w:t>2.07</w:t>
      </w:r>
      <w:r>
        <w:rPr>
          <w:rFonts w:hint="eastAsia" w:ascii="仿宋_GB2312" w:eastAsia="仿宋_GB2312"/>
          <w:sz w:val="32"/>
          <w:szCs w:val="32"/>
        </w:rPr>
        <w:t>万元，下降</w:t>
      </w:r>
      <w:r>
        <w:rPr>
          <w:rFonts w:hint="eastAsia" w:ascii="仿宋_GB2312" w:eastAsia="仿宋_GB2312"/>
          <w:sz w:val="32"/>
          <w:szCs w:val="32"/>
          <w:lang w:val="en-US" w:eastAsia="zh-CN"/>
        </w:rPr>
        <w:t>9.52</w:t>
      </w:r>
      <w:r>
        <w:rPr>
          <w:rFonts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主要原因是</w:t>
      </w:r>
      <w:r>
        <w:rPr>
          <w:rFonts w:hint="eastAsia" w:ascii="仿宋_GB2312" w:eastAsia="仿宋_GB2312"/>
          <w:sz w:val="32"/>
          <w:szCs w:val="32"/>
          <w:lang w:eastAsia="zh-CN"/>
        </w:rPr>
        <w:t>厉行节约，压缩日常工作不必要的开支。</w:t>
      </w:r>
    </w:p>
    <w:p w14:paraId="3B918FB0">
      <w:pPr>
        <w:autoSpaceDE w:val="0"/>
        <w:autoSpaceDN w:val="0"/>
        <w:adjustRightInd w:val="0"/>
        <w:spacing w:line="600" w:lineRule="exact"/>
        <w:ind w:firstLine="643" w:firstLineChars="200"/>
        <w:jc w:val="left"/>
        <w:outlineLvl w:val="2"/>
        <w:rPr>
          <w:rFonts w:ascii="仿宋" w:eastAsia="仿宋"/>
          <w:b/>
          <w:sz w:val="32"/>
          <w:szCs w:val="32"/>
        </w:rPr>
      </w:pPr>
      <w:bookmarkStart w:id="107" w:name="_Toc3241"/>
      <w:bookmarkStart w:id="108" w:name="_Toc15377223"/>
      <w:r>
        <w:rPr>
          <w:rFonts w:hint="eastAsia" w:ascii="仿宋" w:eastAsia="仿宋"/>
          <w:b/>
          <w:sz w:val="32"/>
          <w:szCs w:val="32"/>
        </w:rPr>
        <w:t>（二）政府采购支出情况</w:t>
      </w:r>
      <w:bookmarkEnd w:id="107"/>
      <w:bookmarkEnd w:id="108"/>
    </w:p>
    <w:p w14:paraId="35E12734">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我局</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7D95F844">
      <w:pPr>
        <w:autoSpaceDE w:val="0"/>
        <w:autoSpaceDN w:val="0"/>
        <w:adjustRightInd w:val="0"/>
        <w:spacing w:line="600" w:lineRule="exact"/>
        <w:ind w:firstLine="643" w:firstLineChars="200"/>
        <w:jc w:val="left"/>
        <w:outlineLvl w:val="2"/>
        <w:rPr>
          <w:rFonts w:ascii="仿宋" w:eastAsia="仿宋"/>
          <w:b/>
          <w:sz w:val="32"/>
          <w:szCs w:val="32"/>
        </w:rPr>
      </w:pPr>
      <w:bookmarkStart w:id="109" w:name="_Toc15377224"/>
      <w:bookmarkStart w:id="110" w:name="_Toc19278"/>
      <w:r>
        <w:rPr>
          <w:rFonts w:hint="eastAsia" w:ascii="仿宋" w:eastAsia="仿宋"/>
          <w:b/>
          <w:sz w:val="32"/>
          <w:szCs w:val="32"/>
        </w:rPr>
        <w:t>（三）国有资产占有使用情况</w:t>
      </w:r>
      <w:bookmarkEnd w:id="109"/>
      <w:bookmarkEnd w:id="110"/>
    </w:p>
    <w:p w14:paraId="7F215AAB">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我局</w:t>
      </w:r>
      <w:r>
        <w:rPr>
          <w:rFonts w:hint="eastAsia" w:ascii="仿宋_GB2312" w:eastAsia="仿宋_GB2312"/>
          <w:sz w:val="32"/>
          <w:szCs w:val="32"/>
        </w:rPr>
        <w:t>共有车辆</w:t>
      </w:r>
      <w:r>
        <w:rPr>
          <w:rFonts w:hint="eastAsia" w:ascii="仿宋_GB2312" w:eastAsia="仿宋_GB2312"/>
          <w:sz w:val="32"/>
          <w:szCs w:val="32"/>
          <w:lang w:val="en-US" w:eastAsia="zh-CN"/>
        </w:rPr>
        <w:t>1</w:t>
      </w:r>
      <w:r>
        <w:rPr>
          <w:rFonts w:hint="eastAsia" w:ascii="仿宋_GB2312" w:eastAsia="仿宋_GB2312"/>
          <w:sz w:val="32"/>
          <w:szCs w:val="32"/>
        </w:rPr>
        <w:t>辆，其中：应急保障用车</w:t>
      </w:r>
      <w:r>
        <w:rPr>
          <w:rFonts w:hint="eastAsia" w:ascii="仿宋_GB2312" w:eastAsia="仿宋_GB2312"/>
          <w:sz w:val="32"/>
          <w:szCs w:val="32"/>
          <w:lang w:val="en-US" w:eastAsia="zh-CN"/>
        </w:rPr>
        <w:t>1</w:t>
      </w:r>
      <w:r>
        <w:rPr>
          <w:rFonts w:hint="eastAsia" w:ascii="仿宋_GB2312" w:eastAsia="仿宋_GB2312"/>
          <w:sz w:val="32"/>
          <w:szCs w:val="32"/>
        </w:rPr>
        <w:t>辆，主要是用于</w:t>
      </w:r>
      <w:r>
        <w:rPr>
          <w:rFonts w:hint="eastAsia" w:ascii="仿宋_GB2312" w:eastAsia="仿宋_GB2312"/>
          <w:sz w:val="32"/>
          <w:szCs w:val="32"/>
          <w:lang w:eastAsia="zh-CN"/>
        </w:rPr>
        <w:t>单位“两联一进”、查看地质灾害隐患点、山水林田湖项目、生态修复项目、土地查看、执法</w:t>
      </w:r>
      <w:r>
        <w:rPr>
          <w:rFonts w:hint="eastAsia" w:ascii="仿宋_GB2312" w:eastAsia="仿宋_GB2312"/>
          <w:sz w:val="32"/>
          <w:szCs w:val="32"/>
        </w:rPr>
        <w:t>等。</w:t>
      </w:r>
      <w:r>
        <w:rPr>
          <w:rFonts w:hint="eastAsia" w:ascii="仿宋_GB2312" w:eastAsia="仿宋_GB2312"/>
          <w:sz w:val="32"/>
          <w:szCs w:val="32"/>
          <w:lang w:eastAsia="zh-CN"/>
        </w:rPr>
        <w:t>截止</w:t>
      </w:r>
      <w:r>
        <w:rPr>
          <w:rFonts w:hint="eastAsia" w:ascii="仿宋_GB2312" w:eastAsia="仿宋_GB2312"/>
          <w:sz w:val="32"/>
          <w:szCs w:val="32"/>
          <w:lang w:val="en-US" w:eastAsia="zh-CN"/>
        </w:rPr>
        <w:t>2022年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，我局固定资产总价为</w:t>
      </w:r>
      <w:r>
        <w:rPr>
          <w:rFonts w:hint="eastAsia" w:ascii="仿宋_GB2312" w:eastAsia="仿宋_GB2312"/>
          <w:sz w:val="32"/>
          <w:szCs w:val="32"/>
          <w:lang w:val="en-US" w:eastAsia="zh-CN"/>
        </w:rPr>
        <w:t>229.31</w:t>
      </w:r>
      <w:r>
        <w:rPr>
          <w:rFonts w:hint="eastAsia" w:ascii="仿宋_GB2312" w:eastAsia="仿宋_GB2312"/>
          <w:sz w:val="32"/>
          <w:szCs w:val="32"/>
          <w:lang w:eastAsia="zh-CN"/>
        </w:rPr>
        <w:t>万元，其中房屋及建筑物</w:t>
      </w:r>
      <w:r>
        <w:rPr>
          <w:rFonts w:hint="eastAsia" w:ascii="仿宋_GB2312" w:eastAsia="仿宋_GB2312"/>
          <w:sz w:val="32"/>
          <w:szCs w:val="32"/>
          <w:lang w:val="en-US" w:eastAsia="zh-CN"/>
        </w:rPr>
        <w:t>76.77万元、通用设备141.93万元、家具10.61万元、</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r>
        <w:rPr>
          <w:rFonts w:hint="eastAsia" w:ascii="仿宋_GB2312" w:eastAsia="仿宋_GB2312"/>
          <w:sz w:val="32"/>
          <w:szCs w:val="32"/>
          <w:lang w:eastAsia="zh-CN"/>
        </w:rPr>
        <w:t>，</w:t>
      </w:r>
      <w:r>
        <w:rPr>
          <w:rFonts w:hint="eastAsia" w:ascii="仿宋_GB2312" w:eastAsia="仿宋_GB2312"/>
          <w:sz w:val="32"/>
          <w:szCs w:val="32"/>
        </w:rPr>
        <w:t>。</w:t>
      </w:r>
    </w:p>
    <w:p w14:paraId="6094895C">
      <w:pPr>
        <w:autoSpaceDE w:val="0"/>
        <w:autoSpaceDN w:val="0"/>
        <w:adjustRightInd w:val="0"/>
        <w:spacing w:line="600" w:lineRule="exact"/>
        <w:ind w:firstLine="643" w:firstLineChars="200"/>
        <w:jc w:val="left"/>
        <w:outlineLvl w:val="2"/>
        <w:rPr>
          <w:rFonts w:ascii="仿宋" w:eastAsia="仿宋"/>
          <w:b/>
          <w:sz w:val="32"/>
          <w:szCs w:val="32"/>
          <w:highlight w:val="none"/>
        </w:rPr>
      </w:pPr>
      <w:bookmarkStart w:id="111" w:name="_Toc25726"/>
      <w:r>
        <w:rPr>
          <w:rFonts w:hint="eastAsia" w:ascii="仿宋" w:eastAsia="仿宋"/>
          <w:b/>
          <w:sz w:val="32"/>
          <w:szCs w:val="32"/>
          <w:highlight w:val="none"/>
        </w:rPr>
        <w:t>（四）预算绩效管理情况</w:t>
      </w:r>
      <w:bookmarkEnd w:id="111"/>
    </w:p>
    <w:p w14:paraId="56477FC0">
      <w:pPr>
        <w:widowControl/>
        <w:ind w:firstLine="640" w:firstLineChars="200"/>
        <w:jc w:val="left"/>
        <w:rPr>
          <w:rFonts w:ascii="仿宋_GB2312" w:eastAsia="仿宋_GB2312" w:cs="仿宋_GB2312"/>
          <w:sz w:val="32"/>
          <w:szCs w:val="32"/>
          <w:highlight w:val="none"/>
        </w:rPr>
      </w:pPr>
      <w:r>
        <w:rPr>
          <w:rFonts w:hint="eastAsia" w:ascii="仿宋_GB2312" w:eastAsia="仿宋_GB2312" w:cs="仿宋_GB2312"/>
          <w:sz w:val="32"/>
          <w:szCs w:val="32"/>
          <w:highlight w:val="none"/>
        </w:rPr>
        <w:t>根据预算绩效管理要求，本部门在2022年度预算编制阶段，组织对红原县阿木乡峨扎村废弃取料点生态修复项</w:t>
      </w:r>
      <w:r>
        <w:rPr>
          <w:rFonts w:hint="eastAsia" w:ascii="仿宋_GB2312" w:hAnsi="Times New Roman" w:eastAsia="仿宋_GB2312" w:cs="仿宋_GB2312"/>
          <w:sz w:val="32"/>
          <w:szCs w:val="32"/>
          <w:highlight w:val="none"/>
          <w:lang w:val="en-US" w:eastAsia="zh-CN"/>
        </w:rPr>
        <w:t>目、红原县黄河长江上游历史废弃工矿取料点生态修复项目、红原县黄河长江上游历史废弃工矿取料点生态修复项目（第二批）等3个项目开展了预算事前绩效评估，对3个项目编制</w:t>
      </w:r>
      <w:r>
        <w:rPr>
          <w:rFonts w:hint="eastAsia" w:ascii="仿宋_GB2312" w:eastAsia="仿宋_GB2312" w:cs="仿宋_GB2312"/>
          <w:sz w:val="32"/>
          <w:szCs w:val="32"/>
          <w:highlight w:val="none"/>
        </w:rPr>
        <w:t>了绩效目标，预算执行过程中，选取</w:t>
      </w:r>
      <w:r>
        <w:rPr>
          <w:rFonts w:hint="eastAsia" w:ascii="仿宋_GB2312" w:eastAsia="仿宋_GB2312" w:cs="仿宋_GB2312"/>
          <w:sz w:val="32"/>
          <w:szCs w:val="32"/>
          <w:highlight w:val="none"/>
          <w:lang w:val="en-US" w:eastAsia="zh-CN"/>
        </w:rPr>
        <w:t>3</w:t>
      </w:r>
      <w:r>
        <w:rPr>
          <w:rFonts w:hint="eastAsia" w:ascii="仿宋_GB2312" w:eastAsia="仿宋_GB2312" w:cs="仿宋_GB2312"/>
          <w:sz w:val="32"/>
          <w:szCs w:val="32"/>
          <w:highlight w:val="none"/>
        </w:rPr>
        <w:t>个项目开展绩效监控。</w:t>
      </w:r>
    </w:p>
    <w:p w14:paraId="0F03151F">
      <w:pPr>
        <w:widowControl/>
        <w:ind w:firstLine="640" w:firstLineChars="200"/>
        <w:jc w:val="left"/>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组织对2022年度一般公共预算、政府性基金预算、社会保险基金预算以及资本资产等全面开展绩效自评，形成</w:t>
      </w:r>
      <w:r>
        <w:rPr>
          <w:rFonts w:hint="eastAsia" w:ascii="仿宋_GB2312" w:eastAsia="仿宋_GB2312" w:cs="仿宋_GB2312"/>
          <w:sz w:val="32"/>
          <w:szCs w:val="32"/>
          <w:highlight w:val="none"/>
          <w:lang w:eastAsia="zh-CN"/>
        </w:rPr>
        <w:t>红原县自然资源局</w:t>
      </w:r>
      <w:r>
        <w:rPr>
          <w:rFonts w:hint="eastAsia" w:ascii="仿宋_GB2312" w:eastAsia="仿宋_GB2312" w:cs="仿宋_GB2312"/>
          <w:sz w:val="32"/>
          <w:szCs w:val="32"/>
          <w:highlight w:val="none"/>
        </w:rPr>
        <w:t>部门整体绩效自评报告</w:t>
      </w:r>
      <w:r>
        <w:rPr>
          <w:rFonts w:hint="eastAsia" w:ascii="仿宋_GB2312" w:eastAsia="仿宋_GB2312" w:cs="仿宋_GB2312"/>
          <w:sz w:val="32"/>
          <w:szCs w:val="32"/>
          <w:highlight w:val="none"/>
          <w:lang w:eastAsia="zh-CN"/>
        </w:rPr>
        <w:t>，</w:t>
      </w:r>
      <w:r>
        <w:rPr>
          <w:rFonts w:hint="eastAsia" w:ascii="仿宋_GB2312" w:eastAsia="仿宋_GB2312" w:cs="仿宋_GB2312"/>
          <w:sz w:val="32"/>
          <w:szCs w:val="32"/>
          <w:highlight w:val="none"/>
        </w:rPr>
        <w:t>其中，部门整体（含部门预算项目）绩效自评得分为</w:t>
      </w:r>
      <w:r>
        <w:rPr>
          <w:rFonts w:hint="eastAsia" w:ascii="仿宋_GB2312" w:eastAsia="仿宋_GB2312" w:cs="仿宋_GB2312"/>
          <w:sz w:val="32"/>
          <w:szCs w:val="32"/>
          <w:highlight w:val="none"/>
          <w:lang w:val="en-US" w:eastAsia="zh-CN"/>
        </w:rPr>
        <w:t>96.5</w:t>
      </w:r>
      <w:r>
        <w:rPr>
          <w:rFonts w:hint="eastAsia" w:ascii="仿宋_GB2312" w:eastAsia="仿宋_GB2312" w:cs="仿宋_GB2312"/>
          <w:sz w:val="32"/>
          <w:szCs w:val="32"/>
          <w:highlight w:val="none"/>
        </w:rPr>
        <w:t>分</w:t>
      </w:r>
      <w:r>
        <w:rPr>
          <w:rFonts w:hint="eastAsia" w:ascii="仿宋_GB2312" w:eastAsia="仿宋_GB2312" w:cs="仿宋_GB2312"/>
          <w:sz w:val="32"/>
          <w:szCs w:val="32"/>
          <w:highlight w:val="none"/>
          <w:lang w:eastAsia="zh-CN"/>
        </w:rPr>
        <w:t>，</w:t>
      </w:r>
      <w:r>
        <w:rPr>
          <w:rFonts w:hint="eastAsia" w:ascii="仿宋_GB2312" w:eastAsia="仿宋_GB2312" w:cs="仿宋_GB2312"/>
          <w:sz w:val="32"/>
          <w:szCs w:val="32"/>
          <w:highlight w:val="none"/>
        </w:rPr>
        <w:t>绩效自评报告详见附件。</w:t>
      </w:r>
    </w:p>
    <w:p w14:paraId="32634D06">
      <w:pPr>
        <w:pStyle w:val="18"/>
        <w:keepNext w:val="0"/>
        <w:keepLines w:val="0"/>
        <w:pageBreakBefore w:val="0"/>
        <w:widowControl/>
        <w:numPr>
          <w:ilvl w:val="0"/>
          <w:numId w:val="0"/>
        </w:numPr>
        <w:suppressLineNumbers w:val="0"/>
        <w:kinsoku/>
        <w:wordWrap/>
        <w:overflowPunct/>
        <w:topLinePunct w:val="0"/>
        <w:autoSpaceDE w:val="0"/>
        <w:autoSpaceDN/>
        <w:bidi w:val="0"/>
        <w:adjustRightInd/>
        <w:spacing w:beforeAutospacing="0" w:afterAutospacing="0" w:line="560" w:lineRule="exact"/>
        <w:ind w:leftChars="0" w:right="75" w:rightChars="0" w:firstLine="643" w:firstLineChars="200"/>
        <w:textAlignment w:val="auto"/>
        <w:rPr>
          <w:rStyle w:val="21"/>
          <w:rFonts w:hint="eastAsia" w:ascii="仿宋_GB2312" w:hAnsi="仿宋_GB2312" w:eastAsia="仿宋_GB2312" w:cs="仿宋_GB2312"/>
          <w:color w:val="auto"/>
          <w:sz w:val="32"/>
          <w:szCs w:val="32"/>
          <w:shd w:val="clear" w:color="auto" w:fill="FFFFFF"/>
          <w:lang w:val="en-US" w:eastAsia="zh-CN"/>
        </w:rPr>
      </w:pPr>
      <w:r>
        <w:rPr>
          <w:rStyle w:val="21"/>
          <w:rFonts w:hint="eastAsia" w:ascii="仿宋_GB2312" w:hAnsi="仿宋_GB2312" w:eastAsia="仿宋_GB2312" w:cs="仿宋_GB2312"/>
          <w:color w:val="auto"/>
          <w:sz w:val="32"/>
          <w:szCs w:val="32"/>
          <w:shd w:val="clear" w:color="auto" w:fill="FFFFFF"/>
          <w:lang w:val="en-US" w:eastAsia="zh-CN"/>
        </w:rPr>
        <w:t>（五）由养老保险机构发放养老金的退休人员</w:t>
      </w:r>
    </w:p>
    <w:p w14:paraId="1E962A3D">
      <w:pPr>
        <w:widowControl/>
        <w:ind w:firstLine="640" w:firstLineChars="200"/>
        <w:jc w:val="left"/>
        <w:rPr>
          <w:rFonts w:ascii="仿宋_GB2312" w:eastAsia="仿宋_GB2312"/>
          <w:b/>
          <w:sz w:val="32"/>
          <w:szCs w:val="32"/>
        </w:rPr>
      </w:pPr>
      <w:r>
        <w:rPr>
          <w:rFonts w:hint="eastAsia" w:ascii="仿宋_GB2312" w:eastAsia="仿宋_GB2312"/>
          <w:color w:val="000000"/>
          <w:sz w:val="32"/>
          <w:szCs w:val="32"/>
        </w:rPr>
        <w:t>截至</w:t>
      </w:r>
      <w:r>
        <w:rPr>
          <w:rFonts w:ascii="仿宋_GB2312" w:eastAsia="仿宋_GB2312"/>
          <w:color w:val="000000"/>
          <w:sz w:val="32"/>
          <w:szCs w:val="32"/>
        </w:rPr>
        <w:t>20</w:t>
      </w:r>
      <w:r>
        <w:rPr>
          <w:rFonts w:hint="eastAsia" w:ascii="仿宋_GB2312" w:eastAsia="仿宋_GB2312"/>
          <w:color w:val="000000"/>
          <w:sz w:val="32"/>
          <w:szCs w:val="32"/>
          <w:lang w:val="en-US" w:eastAsia="zh-CN"/>
        </w:rPr>
        <w:t>22</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本单位由养老保险机构发放养老金的退休人员8人，较上年增加1人，为2022年到龄退休人员。</w:t>
      </w:r>
      <w:r>
        <w:rPr>
          <w:rFonts w:ascii="仿宋_GB2312" w:eastAsia="仿宋_GB2312"/>
          <w:b/>
          <w:sz w:val="32"/>
          <w:szCs w:val="32"/>
        </w:rPr>
        <w:br w:type="page"/>
      </w:r>
    </w:p>
    <w:p w14:paraId="2ECB4D79">
      <w:pPr>
        <w:numPr>
          <w:ilvl w:val="0"/>
          <w:numId w:val="7"/>
        </w:numPr>
        <w:spacing w:line="600" w:lineRule="exact"/>
        <w:ind w:firstLine="660" w:firstLineChars="150"/>
        <w:jc w:val="center"/>
        <w:outlineLvl w:val="0"/>
        <w:rPr>
          <w:rStyle w:val="24"/>
          <w:rFonts w:ascii="黑体" w:eastAsia="黑体"/>
          <w:b w:val="0"/>
        </w:rPr>
      </w:pPr>
      <w:bookmarkStart w:id="112" w:name="_Toc15396613"/>
      <w:bookmarkStart w:id="113" w:name="_Toc5831"/>
      <w:bookmarkStart w:id="114" w:name="_Toc15377225"/>
      <w:r>
        <w:rPr>
          <w:rFonts w:hint="eastAsia" w:ascii="黑体" w:eastAsia="黑体"/>
          <w:sz w:val="44"/>
          <w:szCs w:val="44"/>
        </w:rPr>
        <w:t>名</w:t>
      </w:r>
      <w:r>
        <w:rPr>
          <w:rStyle w:val="24"/>
          <w:rFonts w:hint="eastAsia" w:ascii="黑体" w:eastAsia="黑体"/>
          <w:b w:val="0"/>
        </w:rPr>
        <w:t>词解释</w:t>
      </w:r>
      <w:bookmarkEnd w:id="112"/>
      <w:bookmarkEnd w:id="113"/>
      <w:bookmarkEnd w:id="114"/>
    </w:p>
    <w:p w14:paraId="66507A67">
      <w:pPr>
        <w:spacing w:line="600" w:lineRule="exact"/>
        <w:jc w:val="left"/>
        <w:rPr>
          <w:rFonts w:ascii="宋体"/>
          <w:b/>
          <w:sz w:val="44"/>
          <w:szCs w:val="44"/>
        </w:rPr>
      </w:pPr>
    </w:p>
    <w:p w14:paraId="7546B1A5">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1.</w:t>
      </w:r>
      <w:r>
        <w:rPr>
          <w:rFonts w:hint="default" w:ascii="仿宋_GB2312" w:hAnsi="Calibri" w:eastAsia="仿宋_GB2312" w:cs="仿宋_GB2312"/>
          <w:sz w:val="32"/>
          <w:szCs w:val="32"/>
        </w:rPr>
        <w:t>财政拨款收入：指单位从同级财政部门取得的财政预算资金。</w:t>
      </w:r>
    </w:p>
    <w:p w14:paraId="24B5D28D">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2.</w:t>
      </w:r>
      <w:r>
        <w:rPr>
          <w:rFonts w:hint="default" w:ascii="仿宋_GB2312" w:hAnsi="Calibri" w:eastAsia="仿宋_GB2312" w:cs="仿宋_GB2312"/>
          <w:sz w:val="32"/>
          <w:szCs w:val="32"/>
        </w:rPr>
        <w:t>事业收入：指事业单位开展专业业务活动及辅助活动取得的收入。</w:t>
      </w:r>
    </w:p>
    <w:p w14:paraId="646200DE">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3.政府性基金收入：指各级政府及其所属部门根据法律、行政法规规定并经国务院或财政部批准，向公民、法人和其他组织征收的政府性基金，以及参照政府性基金管理或纳入基金预算、具有特定用途的财政资金。</w:t>
      </w:r>
    </w:p>
    <w:p w14:paraId="5D30E816">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4.</w:t>
      </w:r>
      <w:r>
        <w:rPr>
          <w:rFonts w:hint="default" w:ascii="仿宋_GB2312" w:hAnsi="Calibri" w:eastAsia="仿宋_GB2312" w:cs="仿宋_GB2312"/>
          <w:sz w:val="32"/>
          <w:szCs w:val="32"/>
        </w:rPr>
        <w:t>经营收入：指事业单位在专业业务活动及其辅助活动之外开展非独立核算经营活动取得的收入。</w:t>
      </w:r>
    </w:p>
    <w:p w14:paraId="63173641">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5.</w:t>
      </w:r>
      <w:r>
        <w:rPr>
          <w:rFonts w:hint="default" w:ascii="仿宋_GB2312" w:hAnsi="Calibri" w:eastAsia="仿宋_GB2312" w:cs="仿宋_GB2312"/>
          <w:sz w:val="32"/>
          <w:szCs w:val="32"/>
        </w:rPr>
        <w:t>其他收入：指单位取得的除上述收入以外的各项收入</w:t>
      </w:r>
      <w:r>
        <w:rPr>
          <w:rFonts w:hint="eastAsia" w:ascii="仿宋_GB2312" w:hAnsi="Calibri" w:eastAsia="仿宋_GB2312" w:cs="仿宋_GB2312"/>
          <w:sz w:val="32"/>
          <w:szCs w:val="32"/>
          <w:lang w:eastAsia="zh-CN"/>
        </w:rPr>
        <w:t>，</w:t>
      </w:r>
      <w:r>
        <w:rPr>
          <w:rFonts w:hint="default" w:ascii="仿宋_GB2312" w:hAnsi="Calibri" w:eastAsia="仿宋_GB2312" w:cs="仿宋_GB2312"/>
          <w:sz w:val="32"/>
          <w:szCs w:val="32"/>
        </w:rPr>
        <w:t>主要是利息收入。</w:t>
      </w:r>
      <w:r>
        <w:rPr>
          <w:rFonts w:hint="default" w:ascii="仿宋_GB2312" w:hAnsi="Calibri" w:eastAsia="仿宋_GB2312" w:cs="仿宋"/>
          <w:sz w:val="32"/>
          <w:szCs w:val="32"/>
        </w:rPr>
        <w:t xml:space="preserve"> </w:t>
      </w:r>
    </w:p>
    <w:p w14:paraId="17986518">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6.</w:t>
      </w:r>
      <w:r>
        <w:rPr>
          <w:rFonts w:hint="default" w:ascii="仿宋_GB2312" w:hAnsi="Calibri" w:eastAsia="仿宋_GB2312" w:cs="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hint="default" w:ascii="仿宋_GB2312" w:hAnsi="Calibri" w:eastAsia="仿宋_GB2312" w:cs="仿宋"/>
          <w:sz w:val="32"/>
          <w:szCs w:val="32"/>
        </w:rPr>
        <w:t xml:space="preserve"> </w:t>
      </w:r>
    </w:p>
    <w:p w14:paraId="336AF1AE">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7.</w:t>
      </w:r>
      <w:r>
        <w:rPr>
          <w:rFonts w:hint="default" w:ascii="仿宋_GB2312" w:hAnsi="Calibri" w:eastAsia="仿宋_GB2312" w:cs="仿宋_GB2312"/>
          <w:sz w:val="32"/>
          <w:szCs w:val="32"/>
        </w:rPr>
        <w:t>年初结转和结余：指以前年度尚未完成、结转到本年按有关规定继续使用的资金。</w:t>
      </w:r>
      <w:r>
        <w:rPr>
          <w:rFonts w:hint="default" w:ascii="仿宋_GB2312" w:hAnsi="Calibri" w:eastAsia="仿宋_GB2312" w:cs="仿宋"/>
          <w:sz w:val="32"/>
          <w:szCs w:val="32"/>
        </w:rPr>
        <w:t xml:space="preserve"> </w:t>
      </w:r>
    </w:p>
    <w:p w14:paraId="662D7D48">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8.</w:t>
      </w:r>
      <w:r>
        <w:rPr>
          <w:rFonts w:hint="default" w:ascii="仿宋_GB2312" w:hAnsi="Calibri" w:eastAsia="仿宋_GB2312" w:cs="仿宋_GB2312"/>
          <w:sz w:val="32"/>
          <w:szCs w:val="32"/>
        </w:rPr>
        <w:t>结余分配：指事业单位按照事业单位会计制度的规定从非财政补助结余中分配的事业基金和职工福利基金等。</w:t>
      </w:r>
    </w:p>
    <w:p w14:paraId="7B4247CD">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9</w:t>
      </w:r>
      <w:r>
        <w:rPr>
          <w:rFonts w:hint="default" w:ascii="仿宋_GB2312" w:hAnsi="Calibri" w:eastAsia="仿宋_GB2312" w:cs="仿宋_GB2312"/>
          <w:sz w:val="32"/>
          <w:szCs w:val="32"/>
        </w:rPr>
        <w:t>、年末结转和结余：指单位按有关规定结转到下年或以后年度继续使用的资金。</w:t>
      </w:r>
    </w:p>
    <w:p w14:paraId="4B843A10">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10.</w:t>
      </w:r>
      <w:r>
        <w:rPr>
          <w:rFonts w:hint="default" w:ascii="仿宋_GB2312" w:hAnsi="宋体" w:eastAsia="仿宋_GB2312" w:cs="仿宋_GB2312"/>
          <w:kern w:val="0"/>
          <w:sz w:val="32"/>
          <w:szCs w:val="32"/>
          <w:lang w:val="en-US" w:eastAsia="zh-CN" w:bidi="ar"/>
        </w:rPr>
        <w:t>社会保障和就业：指政府在社会保障与就业方面的支出。</w:t>
      </w:r>
    </w:p>
    <w:p w14:paraId="7710500F">
      <w:pPr>
        <w:pStyle w:val="2"/>
        <w:keepNext w:val="0"/>
        <w:keepLines w:val="0"/>
        <w:pageBreakBefore w:val="0"/>
        <w:widowControl/>
        <w:suppressLineNumbers w:val="0"/>
        <w:kinsoku/>
        <w:wordWrap/>
        <w:overflowPunct/>
        <w:topLinePunct w:val="0"/>
        <w:autoSpaceDE w:val="0"/>
        <w:bidi w:val="0"/>
        <w:snapToGrid w:val="0"/>
        <w:spacing w:afterAutospacing="0" w:line="560" w:lineRule="exact"/>
        <w:ind w:left="0" w:leftChars="0" w:firstLine="640" w:firstLineChars="200"/>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rPr>
        <w:t>11.行政事业单位医疗：指行政事业单位医疗方面的支出。</w:t>
      </w:r>
    </w:p>
    <w:p w14:paraId="5D7AC30E">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12.</w:t>
      </w:r>
      <w:r>
        <w:rPr>
          <w:rFonts w:hint="default" w:ascii="仿宋_GB2312" w:hAnsi="宋体" w:eastAsia="仿宋_GB2312" w:cs="仿宋_GB2312"/>
          <w:kern w:val="0"/>
          <w:sz w:val="32"/>
          <w:szCs w:val="32"/>
          <w:lang w:val="en-US" w:eastAsia="zh-CN" w:bidi="ar"/>
        </w:rPr>
        <w:t>国土资源事务：指国土资源管理等方面的支出。</w:t>
      </w:r>
    </w:p>
    <w:p w14:paraId="061B5AC4">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13.</w:t>
      </w:r>
      <w:r>
        <w:rPr>
          <w:rFonts w:hint="default" w:ascii="仿宋_GB2312" w:hAnsi="宋体" w:eastAsia="仿宋_GB2312" w:cs="仿宋_GB2312"/>
          <w:kern w:val="0"/>
          <w:sz w:val="32"/>
          <w:szCs w:val="32"/>
          <w:lang w:val="en-US" w:eastAsia="zh-CN" w:bidi="ar"/>
        </w:rPr>
        <w:t>行政运行：指行政单位（包括实行公务员管理的事业单位）的基本支出。</w:t>
      </w:r>
    </w:p>
    <w:p w14:paraId="018C8891">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14.事业运行：指事业单位的基本支出，不包括行政单位（包括实行公务员管理的事业单位）后勤服务中兴、医务室等附属事业单位。</w:t>
      </w:r>
    </w:p>
    <w:p w14:paraId="2D023D43">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15.住房保障支出：指集中反映政府用于住房方面的支出。</w:t>
      </w:r>
    </w:p>
    <w:p w14:paraId="659C89CE">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16.住房公积金：指反映行政事业单位按人力资源和社会保障部、财政部规定的基本工资和津贴补贴以及规定比例为职工缴纳的住房公积金。</w:t>
      </w:r>
    </w:p>
    <w:p w14:paraId="5F47D373">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17.</w:t>
      </w:r>
      <w:r>
        <w:rPr>
          <w:rFonts w:hint="default" w:ascii="仿宋_GB2312" w:hAnsi="宋体" w:eastAsia="仿宋_GB2312" w:cs="仿宋_GB2312"/>
          <w:kern w:val="0"/>
          <w:sz w:val="32"/>
          <w:szCs w:val="32"/>
          <w:lang w:val="en-US" w:eastAsia="zh-CN" w:bidi="ar"/>
        </w:rPr>
        <w:t>城乡社区支出：指政府城乡社区事务支出。</w:t>
      </w:r>
    </w:p>
    <w:p w14:paraId="54F89134">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18.</w:t>
      </w:r>
      <w:r>
        <w:rPr>
          <w:rFonts w:hint="default" w:ascii="仿宋_GB2312" w:hAnsi="宋体" w:eastAsia="仿宋_GB2312" w:cs="仿宋_GB2312"/>
          <w:kern w:val="0"/>
          <w:sz w:val="32"/>
          <w:szCs w:val="32"/>
          <w:lang w:val="en-US" w:eastAsia="zh-CN" w:bidi="ar"/>
        </w:rPr>
        <w:t>国土海洋气象等支出：指政府用于国土资源、海洋、测绘、地震、气象等公益服务事业方面的支出。</w:t>
      </w:r>
    </w:p>
    <w:p w14:paraId="3397BF04">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19.</w:t>
      </w:r>
      <w:r>
        <w:rPr>
          <w:rFonts w:hint="default" w:ascii="仿宋_GB2312" w:hAnsi="宋体" w:eastAsia="仿宋_GB2312" w:cs="仿宋_GB2312"/>
          <w:kern w:val="0"/>
          <w:sz w:val="32"/>
          <w:szCs w:val="32"/>
          <w:lang w:val="en-US" w:eastAsia="zh-CN" w:bidi="ar"/>
        </w:rPr>
        <w:t>一般行政管理事务：指行政单位（包括实行公务员管理的事业单位）未单独设置项级科目的其他项目支出。</w:t>
      </w:r>
    </w:p>
    <w:p w14:paraId="3FDA85E8">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20.</w:t>
      </w:r>
      <w:r>
        <w:rPr>
          <w:rFonts w:hint="default" w:ascii="仿宋_GB2312" w:hAnsi="宋体" w:eastAsia="仿宋_GB2312" w:cs="仿宋_GB2312"/>
          <w:kern w:val="0"/>
          <w:sz w:val="32"/>
          <w:szCs w:val="32"/>
          <w:lang w:val="en-US" w:eastAsia="zh-CN" w:bidi="ar"/>
        </w:rPr>
        <w:t>地质灾害防治：指地质灾害防治项目支出。</w:t>
      </w:r>
    </w:p>
    <w:p w14:paraId="09541B4E">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21.</w:t>
      </w:r>
      <w:r>
        <w:rPr>
          <w:rFonts w:hint="default" w:ascii="仿宋_GB2312" w:hAnsi="宋体" w:eastAsia="仿宋_GB2312" w:cs="仿宋_GB2312"/>
          <w:kern w:val="0"/>
          <w:sz w:val="32"/>
          <w:szCs w:val="32"/>
          <w:lang w:val="en-US" w:eastAsia="zh-CN" w:bidi="ar"/>
        </w:rPr>
        <w:t>地震监测：指地震和火山监测台站、台网等设施建设与运行维护，观测设备的购置、维护和技术升级，地震观测工作等方面的支出。</w:t>
      </w:r>
    </w:p>
    <w:p w14:paraId="63E6037B">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22.</w:t>
      </w:r>
      <w:r>
        <w:rPr>
          <w:rFonts w:hint="default" w:ascii="仿宋_GB2312" w:hAnsi="宋体" w:eastAsia="仿宋_GB2312" w:cs="仿宋_GB2312"/>
          <w:kern w:val="0"/>
          <w:sz w:val="32"/>
          <w:szCs w:val="32"/>
          <w:lang w:val="en-US" w:eastAsia="zh-CN" w:bidi="ar"/>
        </w:rPr>
        <w:t>其他国土海洋气象等支出：指其他用于国土海洋气象等方面的支出。</w:t>
      </w:r>
    </w:p>
    <w:p w14:paraId="344E601D">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23.</w:t>
      </w:r>
      <w:r>
        <w:rPr>
          <w:rFonts w:hint="default" w:ascii="仿宋_GB2312" w:hAnsi="宋体" w:eastAsia="仿宋_GB2312" w:cs="仿宋_GB2312"/>
          <w:kern w:val="0"/>
          <w:sz w:val="32"/>
          <w:szCs w:val="32"/>
          <w:lang w:val="en-US" w:eastAsia="zh-CN" w:bidi="ar"/>
        </w:rPr>
        <w:t>基本支出：指为保障机构正常运转、完成日常工作任务而发生的人员支出和公用支出。</w:t>
      </w:r>
    </w:p>
    <w:p w14:paraId="6567CC7D">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24.</w:t>
      </w:r>
      <w:r>
        <w:rPr>
          <w:rFonts w:hint="default" w:ascii="仿宋_GB2312" w:hAnsi="宋体" w:eastAsia="仿宋_GB2312" w:cs="仿宋_GB2312"/>
          <w:kern w:val="0"/>
          <w:sz w:val="32"/>
          <w:szCs w:val="32"/>
          <w:lang w:val="en-US" w:eastAsia="zh-CN" w:bidi="ar"/>
        </w:rPr>
        <w:t>项目支出：指在基本支出之外为完成特定行政任务和事业发展目标所发生的支出。</w:t>
      </w:r>
      <w:r>
        <w:rPr>
          <w:rFonts w:hint="default" w:ascii="仿宋_GB2312" w:hAnsi="宋体" w:eastAsia="仿宋_GB2312" w:cs="宋体"/>
          <w:kern w:val="0"/>
          <w:sz w:val="32"/>
          <w:szCs w:val="32"/>
          <w:lang w:val="en-US" w:eastAsia="zh-CN" w:bidi="ar"/>
        </w:rPr>
        <w:t xml:space="preserve"> </w:t>
      </w:r>
    </w:p>
    <w:p w14:paraId="26C51CE4">
      <w:pPr>
        <w:keepNext w:val="0"/>
        <w:keepLines w:val="0"/>
        <w:pageBreakBefore w:val="0"/>
        <w:widowControl/>
        <w:suppressLineNumbers w:val="0"/>
        <w:kinsoku/>
        <w:wordWrap/>
        <w:overflowPunct/>
        <w:topLinePunct w:val="0"/>
        <w:autoSpaceDE w:val="0"/>
        <w:bidi w:val="0"/>
        <w:snapToGrid w:val="0"/>
        <w:spacing w:before="0" w:beforeAutospacing="0" w:after="0" w:afterAutospacing="0" w:line="560" w:lineRule="exact"/>
        <w:ind w:left="0" w:right="0" w:firstLine="640" w:firstLineChars="200"/>
        <w:jc w:val="left"/>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lang w:val="en-US" w:eastAsia="zh-CN" w:bidi="ar"/>
        </w:rPr>
        <w:t>25.</w:t>
      </w:r>
      <w:r>
        <w:rPr>
          <w:rFonts w:hint="default" w:ascii="仿宋_GB2312" w:hAnsi="宋体" w:eastAsia="仿宋_GB2312" w:cs="仿宋_GB2312"/>
          <w:kern w:val="0"/>
          <w:sz w:val="32"/>
          <w:szCs w:val="32"/>
          <w:lang w:val="en-US" w:eastAsia="zh-CN" w:bidi="ar"/>
        </w:rPr>
        <w:t>经营支出：指事业单位在专业业务活动及其辅助活动之外开展非独立核算经营活动发生的支出。</w:t>
      </w:r>
    </w:p>
    <w:p w14:paraId="01222B83">
      <w:pPr>
        <w:pStyle w:val="2"/>
        <w:keepNext w:val="0"/>
        <w:keepLines w:val="0"/>
        <w:pageBreakBefore w:val="0"/>
        <w:widowControl/>
        <w:suppressLineNumbers w:val="0"/>
        <w:kinsoku/>
        <w:wordWrap/>
        <w:overflowPunct/>
        <w:topLinePunct w:val="0"/>
        <w:autoSpaceDE w:val="0"/>
        <w:bidi w:val="0"/>
        <w:snapToGrid w:val="0"/>
        <w:spacing w:afterAutospacing="0" w:line="560" w:lineRule="exact"/>
        <w:ind w:left="0" w:leftChars="0" w:firstLine="640" w:firstLineChars="200"/>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rPr>
        <w:t>26.对个人和家庭的补助：指政府用于对个人和家庭的补助支出。</w:t>
      </w:r>
    </w:p>
    <w:p w14:paraId="0DB3C487">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27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42D418D">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28.</w:t>
      </w:r>
      <w:r>
        <w:rPr>
          <w:rFonts w:hint="default" w:ascii="仿宋_GB2312" w:hAnsi="Calibri"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C123037">
      <w:pPr>
        <w:pStyle w:val="30"/>
        <w:keepNext w:val="0"/>
        <w:keepLines w:val="0"/>
        <w:pageBreakBefore w:val="0"/>
        <w:widowControl/>
        <w:kinsoku/>
        <w:wordWrap/>
        <w:overflowPunct/>
        <w:topLinePunct w:val="0"/>
        <w:autoSpaceDE w:val="0"/>
        <w:bidi w:val="0"/>
        <w:snapToGrid w:val="0"/>
        <w:spacing w:afterAutospacing="0" w:line="560" w:lineRule="exact"/>
        <w:ind w:left="0" w:firstLine="640" w:firstLineChars="200"/>
        <w:textAlignment w:val="auto"/>
        <w:rPr>
          <w:rFonts w:hint="default" w:ascii="仿宋_GB2312" w:hAnsi="Calibri" w:eastAsia="仿宋_GB2312" w:cs="仿宋"/>
          <w:sz w:val="32"/>
          <w:szCs w:val="32"/>
        </w:rPr>
      </w:pPr>
      <w:r>
        <w:rPr>
          <w:rFonts w:hint="default" w:ascii="仿宋_GB2312" w:hAnsi="Calibri" w:eastAsia="仿宋_GB2312" w:cs="仿宋"/>
          <w:sz w:val="32"/>
          <w:szCs w:val="32"/>
        </w:rPr>
        <w:t>29.委托业务费：指因委托外单位办理业务而支付的委托业务费。</w:t>
      </w:r>
    </w:p>
    <w:p w14:paraId="540A3B38">
      <w:pPr>
        <w:spacing w:line="600" w:lineRule="exact"/>
        <w:jc w:val="center"/>
        <w:outlineLvl w:val="0"/>
        <w:rPr>
          <w:rFonts w:hint="eastAsia" w:ascii="黑体" w:eastAsia="黑体"/>
          <w:sz w:val="44"/>
          <w:szCs w:val="44"/>
        </w:rPr>
      </w:pPr>
      <w:bookmarkStart w:id="115" w:name="_Toc15396614"/>
      <w:bookmarkStart w:id="116" w:name="_Toc20182"/>
      <w:bookmarkStart w:id="117" w:name="_Toc15377226"/>
    </w:p>
    <w:p w14:paraId="3F97DCF6">
      <w:pPr>
        <w:spacing w:line="600" w:lineRule="exact"/>
        <w:jc w:val="center"/>
        <w:outlineLvl w:val="0"/>
        <w:rPr>
          <w:rFonts w:hint="eastAsia" w:ascii="黑体" w:eastAsia="黑体"/>
          <w:sz w:val="44"/>
          <w:szCs w:val="44"/>
        </w:rPr>
      </w:pPr>
    </w:p>
    <w:p w14:paraId="17BB8A59">
      <w:pPr>
        <w:spacing w:line="600" w:lineRule="exact"/>
        <w:jc w:val="center"/>
        <w:outlineLvl w:val="0"/>
        <w:rPr>
          <w:rFonts w:hint="eastAsia" w:ascii="黑体" w:eastAsia="黑体"/>
          <w:sz w:val="44"/>
          <w:szCs w:val="44"/>
        </w:rPr>
      </w:pPr>
    </w:p>
    <w:p w14:paraId="1C876D12">
      <w:pPr>
        <w:spacing w:line="600" w:lineRule="exact"/>
        <w:jc w:val="center"/>
        <w:outlineLvl w:val="0"/>
        <w:rPr>
          <w:rFonts w:hint="eastAsia" w:ascii="黑体" w:eastAsia="黑体"/>
          <w:sz w:val="44"/>
          <w:szCs w:val="44"/>
        </w:rPr>
      </w:pPr>
    </w:p>
    <w:p w14:paraId="3F3DAD30">
      <w:pPr>
        <w:pStyle w:val="2"/>
        <w:rPr>
          <w:rFonts w:hint="eastAsia" w:ascii="黑体" w:eastAsia="黑体"/>
          <w:sz w:val="44"/>
          <w:szCs w:val="44"/>
        </w:rPr>
      </w:pPr>
    </w:p>
    <w:p w14:paraId="06177502">
      <w:pPr>
        <w:pStyle w:val="4"/>
        <w:rPr>
          <w:rFonts w:hint="eastAsia" w:ascii="黑体" w:eastAsia="黑体"/>
          <w:sz w:val="44"/>
          <w:szCs w:val="44"/>
        </w:rPr>
      </w:pPr>
    </w:p>
    <w:p w14:paraId="20389A30">
      <w:pPr>
        <w:pStyle w:val="4"/>
        <w:rPr>
          <w:rFonts w:hint="eastAsia" w:ascii="黑体" w:eastAsia="黑体"/>
          <w:sz w:val="44"/>
          <w:szCs w:val="44"/>
        </w:rPr>
      </w:pPr>
    </w:p>
    <w:p w14:paraId="0A718E50">
      <w:pPr>
        <w:pStyle w:val="4"/>
        <w:rPr>
          <w:rFonts w:hint="eastAsia" w:ascii="黑体" w:eastAsia="黑体"/>
          <w:sz w:val="44"/>
          <w:szCs w:val="44"/>
        </w:rPr>
      </w:pPr>
    </w:p>
    <w:p w14:paraId="03FBEA5E">
      <w:pPr>
        <w:pStyle w:val="4"/>
        <w:rPr>
          <w:rFonts w:hint="eastAsia" w:ascii="黑体" w:eastAsia="黑体"/>
          <w:sz w:val="44"/>
          <w:szCs w:val="44"/>
        </w:rPr>
      </w:pPr>
    </w:p>
    <w:p w14:paraId="0E608A05">
      <w:pPr>
        <w:pStyle w:val="4"/>
        <w:rPr>
          <w:rFonts w:hint="eastAsia" w:ascii="黑体" w:eastAsia="黑体"/>
          <w:sz w:val="44"/>
          <w:szCs w:val="44"/>
        </w:rPr>
      </w:pPr>
    </w:p>
    <w:p w14:paraId="65CCB115">
      <w:pPr>
        <w:pStyle w:val="4"/>
        <w:rPr>
          <w:rFonts w:hint="eastAsia" w:ascii="黑体" w:eastAsia="黑体"/>
          <w:sz w:val="44"/>
          <w:szCs w:val="44"/>
        </w:rPr>
      </w:pPr>
    </w:p>
    <w:p w14:paraId="587B9CA7">
      <w:pPr>
        <w:pStyle w:val="4"/>
        <w:rPr>
          <w:rFonts w:hint="eastAsia" w:ascii="黑体" w:eastAsia="黑体"/>
          <w:sz w:val="44"/>
          <w:szCs w:val="44"/>
        </w:rPr>
      </w:pPr>
    </w:p>
    <w:p w14:paraId="3209D376">
      <w:pPr>
        <w:pStyle w:val="4"/>
        <w:rPr>
          <w:rFonts w:hint="eastAsia" w:ascii="黑体" w:eastAsia="黑体"/>
          <w:sz w:val="44"/>
          <w:szCs w:val="44"/>
        </w:rPr>
      </w:pPr>
    </w:p>
    <w:p w14:paraId="2B17BA30">
      <w:pPr>
        <w:pStyle w:val="4"/>
        <w:rPr>
          <w:rFonts w:hint="eastAsia" w:ascii="黑体" w:eastAsia="黑体"/>
          <w:sz w:val="44"/>
          <w:szCs w:val="44"/>
        </w:rPr>
      </w:pPr>
    </w:p>
    <w:p w14:paraId="0ACC0D54">
      <w:pPr>
        <w:pStyle w:val="4"/>
        <w:rPr>
          <w:rFonts w:hint="eastAsia" w:ascii="黑体" w:eastAsia="黑体"/>
          <w:sz w:val="44"/>
          <w:szCs w:val="44"/>
        </w:rPr>
      </w:pPr>
    </w:p>
    <w:p w14:paraId="138A3DF1">
      <w:pPr>
        <w:pStyle w:val="4"/>
        <w:rPr>
          <w:rFonts w:hint="eastAsia" w:ascii="黑体" w:eastAsia="黑体"/>
          <w:sz w:val="44"/>
          <w:szCs w:val="44"/>
        </w:rPr>
      </w:pPr>
    </w:p>
    <w:p w14:paraId="1EFB3B3C">
      <w:pPr>
        <w:spacing w:line="600" w:lineRule="exact"/>
        <w:jc w:val="center"/>
        <w:outlineLvl w:val="0"/>
        <w:rPr>
          <w:rFonts w:hint="eastAsia" w:ascii="黑体" w:eastAsia="黑体"/>
          <w:sz w:val="44"/>
          <w:szCs w:val="44"/>
        </w:rPr>
      </w:pPr>
    </w:p>
    <w:p w14:paraId="198F980E">
      <w:pPr>
        <w:spacing w:line="600" w:lineRule="exact"/>
        <w:jc w:val="center"/>
        <w:outlineLvl w:val="0"/>
        <w:rPr>
          <w:rStyle w:val="24"/>
          <w:rFonts w:ascii="黑体" w:eastAsia="黑体"/>
          <w:b w:val="0"/>
        </w:rPr>
      </w:pPr>
      <w:r>
        <w:rPr>
          <w:rFonts w:hint="eastAsia" w:ascii="黑体" w:eastAsia="黑体"/>
          <w:sz w:val="44"/>
          <w:szCs w:val="44"/>
        </w:rPr>
        <w:t>第</w:t>
      </w:r>
      <w:r>
        <w:rPr>
          <w:rStyle w:val="24"/>
          <w:rFonts w:hint="eastAsia" w:ascii="黑体" w:eastAsia="黑体"/>
          <w:b w:val="0"/>
        </w:rPr>
        <w:t>四部分 附件</w:t>
      </w:r>
      <w:bookmarkEnd w:id="115"/>
      <w:bookmarkEnd w:id="116"/>
    </w:p>
    <w:p w14:paraId="42BF9DE8">
      <w:pPr>
        <w:pStyle w:val="9"/>
        <w:spacing w:before="93"/>
        <w:rPr>
          <w:rFonts w:hint="default" w:hAnsi="Times New Roman" w:cs="宋体"/>
          <w:sz w:val="32"/>
          <w:szCs w:val="32"/>
          <w:shd w:val="clear" w:color="auto" w:fill="FFFFFF"/>
          <w:lang w:val="en-US" w:eastAsia="zh-CN"/>
        </w:rPr>
      </w:pPr>
      <w:r>
        <w:rPr>
          <w:rFonts w:hint="eastAsia" w:hAnsi="Times New Roman" w:cs="宋体"/>
          <w:sz w:val="32"/>
          <w:szCs w:val="32"/>
          <w:shd w:val="clear" w:color="auto" w:fill="FFFFFF"/>
          <w:lang w:val="en-US" w:eastAsia="zh-CN"/>
        </w:rPr>
        <w:t>附件1：</w:t>
      </w:r>
    </w:p>
    <w:p w14:paraId="0C3883EF">
      <w:pPr>
        <w:pStyle w:val="5"/>
        <w:pageBreakBefore w:val="0"/>
        <w:kinsoku/>
        <w:wordWrap/>
        <w:overflowPunct/>
        <w:topLinePunct w:val="0"/>
        <w:autoSpaceDE/>
        <w:autoSpaceDN/>
        <w:bidi w:val="0"/>
        <w:spacing w:before="0" w:beforeLines="0" w:after="0" w:afterLines="0" w:line="560" w:lineRule="exact"/>
        <w:jc w:val="both"/>
        <w:textAlignment w:val="auto"/>
        <w:rPr>
          <w:rFonts w:hint="eastAsia"/>
          <w:color w:val="auto"/>
          <w:lang w:val="en-US" w:eastAsia="zh-CN"/>
        </w:rPr>
      </w:pPr>
    </w:p>
    <w:p w14:paraId="7634C658">
      <w:pPr>
        <w:pStyle w:val="5"/>
        <w:pageBreakBefore w:val="0"/>
        <w:kinsoku/>
        <w:wordWrap/>
        <w:overflowPunct/>
        <w:topLinePunct w:val="0"/>
        <w:autoSpaceDE/>
        <w:autoSpaceDN/>
        <w:bidi w:val="0"/>
        <w:spacing w:before="0" w:beforeLines="0" w:after="0" w:afterLines="0" w:line="560" w:lineRule="exact"/>
        <w:ind w:firstLine="880" w:firstLineChars="200"/>
        <w:jc w:val="center"/>
        <w:textAlignment w:val="auto"/>
        <w:rPr>
          <w:rFonts w:hint="eastAsia" w:ascii="方正小标宋简体" w:hAnsi="方正小标宋简体" w:eastAsia="方正小标宋简体" w:cs="方正小标宋简体"/>
          <w:b w:val="0"/>
          <w:bCs/>
          <w:color w:val="auto"/>
          <w:lang w:val="en-US" w:eastAsia="zh-CN"/>
        </w:rPr>
      </w:pPr>
      <w:r>
        <w:rPr>
          <w:rFonts w:hint="eastAsia" w:ascii="方正小标宋简体" w:hAnsi="方正小标宋简体" w:eastAsia="方正小标宋简体" w:cs="方正小标宋简体"/>
          <w:b w:val="0"/>
          <w:bCs/>
          <w:color w:val="auto"/>
          <w:lang w:val="en-US" w:eastAsia="zh-CN"/>
        </w:rPr>
        <w:t>红原县自然资源局</w:t>
      </w:r>
    </w:p>
    <w:p w14:paraId="5DC496DF">
      <w:pPr>
        <w:pStyle w:val="5"/>
        <w:pageBreakBefore w:val="0"/>
        <w:kinsoku/>
        <w:wordWrap/>
        <w:overflowPunct/>
        <w:topLinePunct w:val="0"/>
        <w:autoSpaceDE/>
        <w:autoSpaceDN/>
        <w:bidi w:val="0"/>
        <w:spacing w:before="0" w:beforeLines="0" w:after="0" w:afterLines="0" w:line="560" w:lineRule="exact"/>
        <w:ind w:firstLine="880" w:firstLineChars="200"/>
        <w:jc w:val="center"/>
        <w:textAlignment w:val="auto"/>
        <w:rPr>
          <w:rFonts w:hint="eastAsia" w:ascii="方正小标宋简体" w:hAnsi="方正小标宋简体" w:eastAsia="方正小标宋简体" w:cs="方正小标宋简体"/>
          <w:b w:val="0"/>
          <w:bCs/>
          <w:color w:val="auto"/>
          <w:lang w:val="en-US"/>
        </w:rPr>
      </w:pPr>
      <w:r>
        <w:rPr>
          <w:rFonts w:hint="eastAsia" w:ascii="方正小标宋简体" w:hAnsi="方正小标宋简体" w:eastAsia="方正小标宋简体" w:cs="方正小标宋简体"/>
          <w:b w:val="0"/>
          <w:bCs/>
          <w:color w:val="auto"/>
          <w:lang w:val="en-US" w:eastAsia="zh-CN"/>
        </w:rPr>
        <w:t>关于2022年整体支出绩效的报告</w:t>
      </w:r>
    </w:p>
    <w:p w14:paraId="4D1D4BBE">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0" w:firstLineChars="200"/>
        <w:jc w:val="left"/>
        <w:textAlignment w:val="auto"/>
        <w:rPr>
          <w:rFonts w:hint="eastAsia" w:ascii="黑体" w:hAnsi="宋体" w:eastAsia="黑体" w:cs="宋体"/>
          <w:color w:val="auto"/>
          <w:kern w:val="0"/>
          <w:sz w:val="32"/>
          <w:szCs w:val="24"/>
          <w:lang w:val="en-US" w:eastAsia="zh-CN" w:bidi="ar"/>
        </w:rPr>
      </w:pPr>
    </w:p>
    <w:p w14:paraId="086405BA">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0" w:firstLineChars="200"/>
        <w:jc w:val="left"/>
        <w:textAlignment w:val="auto"/>
        <w:rPr>
          <w:rFonts w:hint="eastAsia" w:ascii="黑体" w:hAnsi="宋体" w:eastAsia="黑体" w:cs="宋体"/>
          <w:color w:val="auto"/>
          <w:kern w:val="0"/>
          <w:lang w:val="zh-CN" w:eastAsia="zh-CN"/>
        </w:rPr>
      </w:pPr>
      <w:r>
        <w:rPr>
          <w:rFonts w:hint="eastAsia" w:ascii="黑体" w:hAnsi="宋体" w:eastAsia="黑体" w:cs="宋体"/>
          <w:color w:val="auto"/>
          <w:kern w:val="0"/>
          <w:sz w:val="32"/>
          <w:szCs w:val="24"/>
          <w:lang w:val="en-US" w:eastAsia="zh-CN" w:bidi="ar"/>
        </w:rPr>
        <w:t>一、</w:t>
      </w:r>
      <w:r>
        <w:rPr>
          <w:rFonts w:hint="eastAsia" w:ascii="黑体" w:hAnsi="宋体" w:eastAsia="黑体" w:cs="宋体"/>
          <w:color w:val="auto"/>
          <w:kern w:val="0"/>
          <w:sz w:val="32"/>
          <w:szCs w:val="24"/>
          <w:lang w:val="zh-CN" w:eastAsia="zh-CN" w:bidi="ar"/>
        </w:rPr>
        <w:t>部门概况</w:t>
      </w:r>
    </w:p>
    <w:p w14:paraId="562B77A5">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3" w:firstLineChars="200"/>
        <w:jc w:val="left"/>
        <w:textAlignment w:val="auto"/>
        <w:rPr>
          <w:rFonts w:hint="eastAsia" w:ascii="楷体" w:hAnsi="楷体" w:eastAsia="楷体" w:cs="楷体"/>
          <w:b/>
          <w:bCs/>
          <w:color w:val="auto"/>
          <w:kern w:val="0"/>
          <w:sz w:val="32"/>
          <w:szCs w:val="24"/>
          <w:lang w:val="zh-CN" w:eastAsia="zh-CN" w:bidi="ar"/>
        </w:rPr>
      </w:pPr>
      <w:r>
        <w:rPr>
          <w:rFonts w:hint="eastAsia" w:ascii="楷体" w:hAnsi="楷体" w:eastAsia="楷体" w:cs="楷体"/>
          <w:b/>
          <w:bCs/>
          <w:color w:val="auto"/>
          <w:kern w:val="0"/>
          <w:sz w:val="32"/>
          <w:szCs w:val="24"/>
          <w:lang w:val="zh-CN" w:eastAsia="zh-CN" w:bidi="ar"/>
        </w:rPr>
        <w:t>（一）机构组成。</w:t>
      </w:r>
    </w:p>
    <w:p w14:paraId="09818115">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en-US" w:eastAsia="zh-CN"/>
        </w:rPr>
        <w:t>红原县自然资源局现有办公室、资源环境和矿产管理股、建设用地和规划股三个股室组成。</w:t>
      </w:r>
    </w:p>
    <w:p w14:paraId="1D5E561E">
      <w:pPr>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Autospacing="0" w:afterAutospacing="0" w:line="560" w:lineRule="exact"/>
        <w:ind w:left="0" w:right="0" w:firstLine="643" w:firstLineChars="200"/>
        <w:jc w:val="left"/>
        <w:textAlignment w:val="auto"/>
        <w:rPr>
          <w:rFonts w:hint="eastAsia" w:ascii="楷体" w:hAnsi="楷体" w:eastAsia="楷体" w:cs="楷体"/>
          <w:b/>
          <w:bCs/>
          <w:color w:val="auto"/>
          <w:kern w:val="0"/>
          <w:sz w:val="32"/>
          <w:szCs w:val="24"/>
          <w:lang w:val="zh-CN" w:eastAsia="zh-CN" w:bidi="ar"/>
        </w:rPr>
      </w:pPr>
      <w:r>
        <w:rPr>
          <w:rFonts w:hint="eastAsia" w:ascii="楷体" w:hAnsi="楷体" w:eastAsia="楷体" w:cs="楷体"/>
          <w:b/>
          <w:bCs/>
          <w:color w:val="auto"/>
          <w:kern w:val="0"/>
          <w:sz w:val="32"/>
          <w:szCs w:val="24"/>
          <w:lang w:val="zh-CN" w:eastAsia="zh-CN" w:bidi="ar"/>
        </w:rPr>
        <w:t>机构职能。</w:t>
      </w:r>
    </w:p>
    <w:p w14:paraId="1C1958C5">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（一）按照规定权限，履行全民所有土地、矿产、森林、草原、湿地、水等自然资源资产所有者职责和所有国土空间用途管制职责，制定有关政策措施并监督检查执行情况。</w:t>
      </w:r>
    </w:p>
    <w:p w14:paraId="0F5B2909">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负责全县自然资源调查监测评价。依照自然资源调查监测评价的指标体系和统计标准，建立统一规范的自然资源调查监测评价制度。实施自然资源基础调查、专项调查和监测。负责自然资源调查监测评价成果的监督管理和信息发布。</w:t>
      </w:r>
    </w:p>
    <w:p w14:paraId="4FCF18A9">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负责全县自然资源统一确权登记工作。组织实施各类自然资源和不动产统一确权登记、权籍调查、不动产测绘、争议调处、成果应用的制度、标准、规范。建立健全全县自然资源和不动产登记信息管理基础平台。负责自然资源和不动产登记资料收集、整理、共享、汇交管理等。</w:t>
      </w:r>
    </w:p>
    <w:p w14:paraId="43D6F26A">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（四）负责全县自然资源资产有偿使用工作。</w:t>
      </w:r>
    </w:p>
    <w:p w14:paraId="142922FC">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（五）负责全县自然资源的合理开发利用。</w:t>
      </w:r>
    </w:p>
    <w:p w14:paraId="033E4BBB">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（六）负责建立全县空间规划体系并监督实施，推进主体功能区战略和制度，组织编制并监督实施国土空间规划和相关专项规划。</w:t>
      </w:r>
    </w:p>
    <w:p w14:paraId="0BA57266">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（七）负责统筹全县国土空间生态修复。</w:t>
      </w:r>
    </w:p>
    <w:p w14:paraId="5FC7F375">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（八）负责组织实施最严格的耕地保护制度。</w:t>
      </w:r>
    </w:p>
    <w:p w14:paraId="3C81C6A1">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（九）负责管理全县地质勘查行业和地质工作。</w:t>
      </w:r>
    </w:p>
    <w:p w14:paraId="7E570867">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（十）负责落实综合防灾减灾规划相关要求，组织编制并实施地质灾害防治规划。</w:t>
      </w:r>
    </w:p>
    <w:p w14:paraId="6A7CA0BB">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（十一）负责全县矿产资源管理工作。</w:t>
      </w:r>
    </w:p>
    <w:p w14:paraId="446F9018">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（十二）负责全县测绘地理信息工作。</w:t>
      </w:r>
    </w:p>
    <w:p w14:paraId="044B0E2F">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宋体" w:eastAsia="仿宋_GB2312" w:cs="宋体"/>
          <w:color w:val="auto"/>
          <w:kern w:val="0"/>
          <w:sz w:val="32"/>
          <w:szCs w:val="24"/>
          <w:lang w:val="zh-CN" w:eastAsia="zh-CN" w:bidi="ar"/>
        </w:rPr>
      </w:pPr>
      <w:r>
        <w:rPr>
          <w:rFonts w:hint="eastAsia" w:ascii="仿宋_GB2312" w:hAnsi="仿宋_GB2312" w:eastAsia="仿宋_GB2312" w:cs="仿宋_GB2312"/>
          <w:color w:val="auto"/>
          <w:sz w:val="32"/>
          <w:szCs w:val="32"/>
          <w:lang w:val="en-US" w:eastAsia="zh-CN"/>
        </w:rPr>
        <w:t>（十三）推动全县自然资源领域科技发展。</w:t>
      </w:r>
    </w:p>
    <w:p w14:paraId="1DB66896">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3" w:firstLineChars="200"/>
        <w:jc w:val="left"/>
        <w:textAlignment w:val="auto"/>
        <w:rPr>
          <w:rFonts w:hint="eastAsia" w:ascii="楷体" w:hAnsi="楷体" w:eastAsia="楷体" w:cs="楷体"/>
          <w:b/>
          <w:bCs/>
          <w:color w:val="auto"/>
          <w:kern w:val="0"/>
          <w:sz w:val="32"/>
          <w:szCs w:val="24"/>
          <w:lang w:val="zh-CN" w:eastAsia="zh-CN" w:bidi="ar"/>
        </w:rPr>
      </w:pPr>
      <w:r>
        <w:rPr>
          <w:rFonts w:hint="eastAsia" w:ascii="楷体" w:hAnsi="楷体" w:eastAsia="楷体" w:cs="楷体"/>
          <w:b/>
          <w:bCs/>
          <w:color w:val="auto"/>
          <w:kern w:val="0"/>
          <w:sz w:val="32"/>
          <w:szCs w:val="24"/>
          <w:lang w:val="zh-CN" w:eastAsia="zh-CN" w:bidi="ar"/>
        </w:rPr>
        <w:t>（三）人员概况。</w:t>
      </w:r>
    </w:p>
    <w:p w14:paraId="6C063E22">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我单位为独立核算全额拨款行政单位，2022年底我单位年末实有人数为24人，比上年减少2人，为调离单位2人；年末实有离退休人数为8人。</w:t>
      </w:r>
    </w:p>
    <w:p w14:paraId="5615740A">
      <w:pPr>
        <w:pStyle w:val="35"/>
        <w:keepNext w:val="0"/>
        <w:keepLines w:val="0"/>
        <w:pageBreakBefore w:val="0"/>
        <w:widowControl/>
        <w:kinsoku/>
        <w:wordWrap/>
        <w:overflowPunct/>
        <w:topLinePunct w:val="0"/>
        <w:autoSpaceDE/>
        <w:autoSpaceDN/>
        <w:bidi w:val="0"/>
        <w:snapToGrid/>
        <w:spacing w:beforeAutospacing="0" w:afterAutospacing="0" w:line="560" w:lineRule="exact"/>
        <w:ind w:firstLine="627" w:firstLineChars="200"/>
        <w:textAlignment w:val="auto"/>
        <w:rPr>
          <w:rFonts w:hint="eastAsia" w:ascii="楷体_GB2312" w:hAnsi="仿宋" w:eastAsia="楷体_GB2312"/>
          <w:b/>
          <w:color w:val="auto"/>
          <w:sz w:val="32"/>
          <w:szCs w:val="32"/>
          <w:highlight w:val="none"/>
        </w:rPr>
      </w:pPr>
      <w:r>
        <w:rPr>
          <w:rFonts w:hint="eastAsia" w:ascii="楷体_GB2312" w:hAnsi="仿宋" w:eastAsia="楷体_GB2312"/>
          <w:b/>
          <w:color w:val="auto"/>
          <w:sz w:val="32"/>
          <w:szCs w:val="32"/>
          <w:highlight w:val="none"/>
        </w:rPr>
        <w:t>（</w:t>
      </w:r>
      <w:r>
        <w:rPr>
          <w:rFonts w:hint="eastAsia" w:ascii="楷体_GB2312" w:hAnsi="仿宋" w:eastAsia="楷体_GB2312"/>
          <w:b/>
          <w:color w:val="auto"/>
          <w:sz w:val="32"/>
          <w:szCs w:val="32"/>
          <w:highlight w:val="none"/>
          <w:lang w:eastAsia="zh-CN"/>
        </w:rPr>
        <w:t>四</w:t>
      </w:r>
      <w:r>
        <w:rPr>
          <w:rFonts w:hint="eastAsia" w:ascii="楷体_GB2312" w:hAnsi="仿宋" w:eastAsia="楷体_GB2312"/>
          <w:b/>
          <w:color w:val="auto"/>
          <w:sz w:val="32"/>
          <w:szCs w:val="32"/>
          <w:highlight w:val="none"/>
        </w:rPr>
        <w:t>）当年取得的主要事业成效。</w:t>
      </w:r>
    </w:p>
    <w:p w14:paraId="6901302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40" w:lineRule="exact"/>
        <w:ind w:leftChars="200"/>
        <w:jc w:val="both"/>
        <w:textAlignment w:val="auto"/>
        <w:rPr>
          <w:rStyle w:val="36"/>
          <w:rFonts w:ascii="楷体_GB2312" w:eastAsia="楷体_GB2312" w:cs="楷体_GB2312"/>
          <w:b/>
          <w:bCs/>
          <w:color w:val="auto"/>
          <w:kern w:val="2"/>
          <w:sz w:val="32"/>
          <w:szCs w:val="32"/>
          <w:lang w:val="en-US" w:eastAsia="zh-CN" w:bidi="ar-SA"/>
        </w:rPr>
      </w:pPr>
      <w:r>
        <w:rPr>
          <w:rStyle w:val="36"/>
          <w:rFonts w:hint="eastAsia" w:ascii="楷体_GB2312" w:eastAsia="楷体_GB2312" w:cs="楷体_GB2312"/>
          <w:b/>
          <w:bCs/>
          <w:color w:val="auto"/>
          <w:kern w:val="2"/>
          <w:sz w:val="32"/>
          <w:szCs w:val="32"/>
          <w:lang w:val="en-US" w:eastAsia="zh-CN" w:bidi="ar-SA"/>
        </w:rPr>
        <w:t>1.</w:t>
      </w:r>
      <w:r>
        <w:rPr>
          <w:rStyle w:val="36"/>
          <w:rFonts w:ascii="楷体_GB2312" w:eastAsia="楷体_GB2312" w:cs="楷体_GB2312"/>
          <w:b/>
          <w:bCs/>
          <w:color w:val="auto"/>
          <w:kern w:val="2"/>
          <w:sz w:val="32"/>
          <w:szCs w:val="32"/>
          <w:lang w:val="en-US" w:eastAsia="zh-CN" w:bidi="ar-SA"/>
        </w:rPr>
        <w:t>用地保障工作</w:t>
      </w:r>
    </w:p>
    <w:p w14:paraId="7F7B7983">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开展全民所有自然资源资产所有权委托代理机制试点工作，拟定了《红原县贯彻落实全民所有自然资源资产所有权委托代理机制试点方案重点任务分工方案》并征求了相关部门意见，按照意见进行了修改完善，将修改完善方案印发相关部门；二是开展全县自然资源资产清查工作。已完成统计、核算各类自然资源资产并形成了资产价值核算的阶段性成果；三是报批报建工作，已完成红原县第1批次、第2批次、第4批次建设用地农用地转用上报工作，并取得州政府批复，面积为3.9029公顷；已完成组卷并上报州局审查的批次用地有4个批次，审核面积为7.8644公顷；暂未组卷的有8个报件项目（含1个独立选址项目）正在开展前期资料收集工作，面积为5.478公顷（含独立选址项目0.9813公顷）；四是临时用地审批工作，目前，已完成久马高速路8标段、9标段2宗临时用地审批、共计面积5.3995公顷（林地面积1.698公顷、草地面积3.7015公顷）；俄尔干砂场临时用地2宗，共计面积10.178公顷（林地面积8.4348公顷、草地面积1.7432公顷）；查尔玛乡哈炯沟料场临时用地2宗，共计面积11.1004公顷（草地面积11.1004公顷）；五是耕地占补平衡工作，与广安市自然资源和规划局达成意向协议，购买耕地占补平衡指标620亩。耕地占补平衡资料已完成组卷装档，待省自然资源厅核查，核查完后继续交易；六是红原县区片综合地价修订工作的初步成果已于8月27日提交州局，经过省科研院4轮技术审查的问题反馈与成果修改完善后，于9月23日提交修改后的成果与区片地价论证报告，目前待省厅确定时间组织开展省级专家审查会。</w:t>
      </w:r>
    </w:p>
    <w:p w14:paraId="4B5B1CF6">
      <w:pPr>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eastAsia" w:ascii="楷体_GB2312" w:eastAsia="楷体_GB2312" w:cs="楷体_GB2312"/>
          <w:b/>
          <w:bCs/>
          <w:color w:val="auto"/>
          <w:sz w:val="32"/>
          <w:lang w:val="en-US" w:eastAsia="zh-CN"/>
        </w:rPr>
      </w:pPr>
      <w:r>
        <w:rPr>
          <w:rFonts w:hint="eastAsia" w:ascii="楷体_GB2312" w:eastAsia="楷体_GB2312" w:cs="楷体_GB2312"/>
          <w:b/>
          <w:bCs/>
          <w:color w:val="auto"/>
          <w:sz w:val="32"/>
          <w:lang w:val="en-US" w:eastAsia="zh-CN"/>
        </w:rPr>
        <w:t>2.</w:t>
      </w:r>
      <w:r>
        <w:rPr>
          <w:rFonts w:hint="eastAsia" w:ascii="楷体_GB2312" w:eastAsia="楷体_GB2312" w:cs="楷体_GB2312"/>
          <w:b/>
          <w:bCs/>
          <w:color w:val="auto"/>
          <w:sz w:val="32"/>
        </w:rPr>
        <w:t>国土空间规划编制</w:t>
      </w:r>
      <w:r>
        <w:rPr>
          <w:rFonts w:hint="eastAsia" w:ascii="楷体_GB2312" w:eastAsia="楷体_GB2312" w:cs="楷体_GB2312"/>
          <w:b/>
          <w:bCs/>
          <w:color w:val="auto"/>
          <w:sz w:val="32"/>
          <w:lang w:val="en-US" w:eastAsia="zh-CN"/>
        </w:rPr>
        <w:t>工作</w:t>
      </w:r>
    </w:p>
    <w:p w14:paraId="7F93FDA3">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红原县国土空间规划工作。四川省级、阿坝州级、红原县级国土空间规划尚未正式公布，“三区三线”工作目前一直处于推进中，将按照省厅相关要求继续做好“三区三线”划定工作；二是乡村片区国土空间规划工作。我县于2022年5月底开始规划编制工作，截止目前已初步完成安曲片区国土空间总体规划编制和壤口、龙日两个村级片区编制。第二批次的瓦切长征文化片区、邛溪城乡融合乡镇片区和第一批热坤、德香、下哈拉玛3个村级片区成果正在编制过程中，预计到2022年底完成全县60%的乡镇片区国土空间规划、28%的村级片区国土空间规划。</w:t>
      </w:r>
    </w:p>
    <w:p w14:paraId="29611E99">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rPr>
          <w:rStyle w:val="36"/>
          <w:rFonts w:hint="eastAsia" w:ascii="楷体_GB2312" w:eastAsia="楷体_GB2312" w:cs="楷体_GB2312"/>
          <w:b/>
          <w:bCs/>
          <w:color w:val="auto"/>
          <w:kern w:val="2"/>
          <w:sz w:val="32"/>
          <w:szCs w:val="32"/>
          <w:lang w:val="en-US" w:eastAsia="zh-CN" w:bidi="ar-SA"/>
        </w:rPr>
      </w:pPr>
      <w:r>
        <w:rPr>
          <w:rStyle w:val="36"/>
          <w:rFonts w:hint="eastAsia" w:ascii="楷体_GB2312" w:eastAsia="楷体_GB2312" w:cs="楷体_GB2312"/>
          <w:b/>
          <w:bCs/>
          <w:color w:val="auto"/>
          <w:kern w:val="2"/>
          <w:sz w:val="32"/>
          <w:szCs w:val="32"/>
          <w:lang w:val="en-US" w:eastAsia="zh-CN" w:bidi="ar-SA"/>
        </w:rPr>
        <w:t>3.规划审批工作</w:t>
      </w:r>
    </w:p>
    <w:p w14:paraId="24592ED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36"/>
          <w:rFonts w:ascii="仿宋_GB2312" w:eastAsia="仿宋_GB2312"/>
          <w:b w:val="0"/>
          <w:bCs w:val="0"/>
          <w:color w:val="auto"/>
          <w:kern w:val="2"/>
          <w:sz w:val="32"/>
          <w:szCs w:val="32"/>
          <w:lang w:val="en-US" w:eastAsia="zh-CN" w:bidi="ar-SA"/>
        </w:rPr>
      </w:pPr>
      <w:r>
        <w:rPr>
          <w:rFonts w:hint="eastAsia" w:ascii="仿宋_GB2312" w:hAnsi="仿宋_GB2312" w:eastAsia="仿宋_GB2312" w:cs="仿宋_GB2312"/>
          <w:color w:val="auto"/>
          <w:sz w:val="32"/>
          <w:szCs w:val="32"/>
          <w:lang w:val="en-US" w:eastAsia="zh-CN"/>
        </w:rPr>
        <w:t>审批项目29项，办理选址意见书20份，办理用地规划许可证29份，工程规划许可证29份，下达规划条件函7份。</w:t>
      </w:r>
    </w:p>
    <w:p w14:paraId="5801A1D1">
      <w:pPr>
        <w:pStyle w:val="37"/>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3" w:firstLineChars="200"/>
        <w:textAlignment w:val="auto"/>
        <w:rPr>
          <w:rStyle w:val="36"/>
          <w:rFonts w:ascii="楷体_GB2312" w:eastAsia="楷体_GB2312" w:cs="楷体_GB2312"/>
          <w:b/>
          <w:bCs/>
          <w:color w:val="auto"/>
          <w:sz w:val="32"/>
          <w:szCs w:val="32"/>
          <w:lang w:val="en-US" w:eastAsia="zh-CN"/>
        </w:rPr>
      </w:pPr>
      <w:r>
        <w:rPr>
          <w:rStyle w:val="36"/>
          <w:rFonts w:hint="eastAsia" w:ascii="楷体_GB2312" w:eastAsia="楷体_GB2312" w:cs="楷体_GB2312"/>
          <w:b/>
          <w:bCs/>
          <w:color w:val="auto"/>
          <w:sz w:val="32"/>
          <w:szCs w:val="32"/>
          <w:lang w:val="en-US" w:eastAsia="zh-CN"/>
        </w:rPr>
        <w:t>4.</w:t>
      </w:r>
      <w:r>
        <w:rPr>
          <w:rStyle w:val="36"/>
          <w:rFonts w:ascii="楷体_GB2312" w:eastAsia="楷体_GB2312" w:cs="楷体_GB2312"/>
          <w:b/>
          <w:bCs/>
          <w:color w:val="auto"/>
          <w:sz w:val="32"/>
          <w:szCs w:val="32"/>
          <w:lang w:val="en-US" w:eastAsia="zh-CN"/>
        </w:rPr>
        <w:t>执法监察工作</w:t>
      </w:r>
    </w:p>
    <w:p w14:paraId="4C922C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县域内乱搭乱建乱占整治工作，我局会同相关部门在县城规划区内开展了非法占地、乱圈乱占、乱搭乱建清理排查工作。经摸排，县城规划区内在建自建房15处，非法占地、乱圈乱占、乱搭乱建违法行为违法行为19处。发出《责令拆除违法建筑通知书》18份。二是乱采乱挖整治工作，4月20日，在色地镇日西村发现非法盗采泥炭资源1起，目前，该案件已移交森林公安进行督办；6月2日，查处非法盗采泥炭资源案件1起，罚款1.5万元；7月20日，查处色地非法采挖土石料案件一起罚款4.5万元；9月21日，查处安曲镇非法占用土地案件一起，罚款2894017.56元，以上罚没收入均已上交。此外，久马高速TJ9标段和TJ6标段共有三处涉嫌在临时用地内非法采挖土石料的违法行为，目前方量已核实完毕，正在立案调查。三是卫片执法，完成了66个土地卫片图斑外业核查工作，完成1个土地卫片连线举证工作，现已通过省厅验收。完成2021年度119个耕地流向建设用地问题图斑外业核查。</w:t>
      </w:r>
    </w:p>
    <w:p w14:paraId="7AD94154">
      <w:pPr>
        <w:pStyle w:val="39"/>
        <w:keepNext w:val="0"/>
        <w:keepLines w:val="0"/>
        <w:pageBreakBefore w:val="0"/>
        <w:widowControl/>
        <w:pBdr>
          <w:bottom w:val="none" w:color="auto" w:sz="0" w:space="0"/>
        </w:pBdr>
        <w:kinsoku/>
        <w:wordWrap/>
        <w:overflowPunct/>
        <w:topLinePunct w:val="0"/>
        <w:autoSpaceDE/>
        <w:autoSpaceDN/>
        <w:bidi w:val="0"/>
        <w:adjustRightInd/>
        <w:snapToGrid/>
        <w:spacing w:before="0" w:beforeAutospacing="0" w:after="0" w:afterAutospacing="0" w:line="540" w:lineRule="exact"/>
        <w:ind w:right="300" w:firstLine="643" w:firstLineChars="200"/>
        <w:jc w:val="left"/>
        <w:textAlignment w:val="auto"/>
        <w:rPr>
          <w:rStyle w:val="36"/>
          <w:rFonts w:ascii="仿宋_GB2312" w:eastAsia="仿宋_GB2312" w:cs="仿宋_GB2312"/>
          <w:b/>
          <w:bCs/>
          <w:color w:val="auto"/>
          <w:kern w:val="2"/>
          <w:sz w:val="32"/>
          <w:szCs w:val="32"/>
          <w:lang w:val="en-US" w:eastAsia="zh-CN" w:bidi="ar-SA"/>
        </w:rPr>
      </w:pPr>
      <w:r>
        <w:rPr>
          <w:rStyle w:val="36"/>
          <w:rFonts w:hint="eastAsia" w:ascii="楷体" w:eastAsia="楷体" w:cs="楷体"/>
          <w:b/>
          <w:bCs/>
          <w:color w:val="auto"/>
          <w:kern w:val="0"/>
          <w:sz w:val="32"/>
          <w:szCs w:val="32"/>
          <w:lang w:val="en-US" w:eastAsia="zh-CN"/>
        </w:rPr>
        <w:t>5.</w:t>
      </w:r>
      <w:r>
        <w:rPr>
          <w:rStyle w:val="36"/>
          <w:rFonts w:ascii="楷体" w:eastAsia="楷体" w:cs="楷体"/>
          <w:b/>
          <w:bCs/>
          <w:color w:val="auto"/>
          <w:kern w:val="0"/>
          <w:sz w:val="32"/>
          <w:szCs w:val="32"/>
          <w:lang w:val="en-US" w:eastAsia="zh-CN"/>
        </w:rPr>
        <w:t>不动产登记工作</w:t>
      </w:r>
    </w:p>
    <w:p w14:paraId="16E0F4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开展全县“农村房地一体”权籍调查及入库工作，共计测绘7663户，完成数据入库6792户。开展了我县2021土地变更调查，完成了龙日镇龙日坝村改制草原确权发包工作和全县寺庙打桩定界工作外业测绘。</w:t>
      </w:r>
    </w:p>
    <w:p w14:paraId="78AE0CDF">
      <w:pPr>
        <w:pStyle w:val="37"/>
        <w:keepNext w:val="0"/>
        <w:keepLines w:val="0"/>
        <w:pageBreakBefore w:val="0"/>
        <w:widowControl/>
        <w:kinsoku/>
        <w:wordWrap/>
        <w:overflowPunct/>
        <w:topLinePunct w:val="0"/>
        <w:autoSpaceDE/>
        <w:autoSpaceDN/>
        <w:bidi w:val="0"/>
        <w:adjustRightInd/>
        <w:snapToGrid/>
        <w:spacing w:beforeAutospacing="0" w:afterAutospacing="0" w:line="540" w:lineRule="exact"/>
        <w:textAlignment w:val="auto"/>
        <w:rPr>
          <w:rFonts w:ascii="楷体_GB2312" w:eastAsia="楷体_GB2312"/>
          <w:b/>
          <w:bCs w:val="0"/>
          <w:color w:val="auto"/>
          <w:kern w:val="2"/>
          <w:sz w:val="32"/>
          <w:szCs w:val="32"/>
          <w:lang w:val="en-US" w:eastAsia="zh-CN" w:bidi="ar-SA"/>
        </w:rPr>
      </w:pPr>
      <w:r>
        <w:rPr>
          <w:rFonts w:hint="eastAsia" w:ascii="楷体_GB2312" w:eastAsia="楷体_GB2312"/>
          <w:b/>
          <w:bCs w:val="0"/>
          <w:color w:val="auto"/>
          <w:kern w:val="2"/>
          <w:sz w:val="32"/>
          <w:szCs w:val="32"/>
          <w:lang w:val="en-US" w:eastAsia="zh-CN" w:bidi="ar-SA"/>
        </w:rPr>
        <w:t>6.</w:t>
      </w:r>
      <w:r>
        <w:rPr>
          <w:rFonts w:ascii="楷体_GB2312" w:eastAsia="楷体_GB2312"/>
          <w:b/>
          <w:bCs w:val="0"/>
          <w:color w:val="auto"/>
          <w:kern w:val="2"/>
          <w:sz w:val="32"/>
          <w:szCs w:val="32"/>
          <w:lang w:val="en-US" w:eastAsia="zh-CN" w:bidi="ar-SA"/>
        </w:rPr>
        <w:t>地质灾害防治工作</w:t>
      </w:r>
    </w:p>
    <w:p w14:paraId="766C47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开展了全县地灾隐患排查工作、全县秋雨秋汛地质灾害隐患风险排查、先后开展了两轮“6.10”马尔康地震灾后应急排查以及“9·5”泸定县地震震后次生地质灾害排查。向受地灾威胁的群众发放《防灾预案表》、《防灾明白卡》和《避险明白卡》366份。二是开展了地质灾害防治知识宣传培训，全年开展地灾防治知识宣传培训67场，参与人数1894人，发放宣传资料1200余份。三是在地质灾害隐患点开展逐点应急演练42场，参与人数793人。通过开展地质灾害防治知识宣传培训和应急演练工作，切实提高了我县人民群众防灾避灾能力。四是加强项目监管，本年度我局共实施地质灾害治理项目2个，“阿木乡麦洼寺玛仲玛泥石流治理工程”已竣工，“色地镇从都街入口处滑坡治理工程”正在施工，计划10月底前完工。完成了红原县群专结合监测预警体系建设，全面提升了我县的防灾减灾能力。五是积极推进“6·10”马尔康6.0级震群地震灾后恢复重建工作。开展了震后地质灾害风险排查及安置点评估，排查报告已编制完成；红原县查尔玛乡查龙村村委会后山滑坡应急排危项目已完成评审，目前正在根据专家意见进行调整。</w:t>
      </w:r>
    </w:p>
    <w:p w14:paraId="1E1598B7">
      <w:pPr>
        <w:pStyle w:val="35"/>
        <w:keepNext w:val="0"/>
        <w:keepLines w:val="0"/>
        <w:pageBreakBefore w:val="0"/>
        <w:widowControl/>
        <w:kinsoku/>
        <w:wordWrap/>
        <w:overflowPunct/>
        <w:topLinePunct w:val="0"/>
        <w:autoSpaceDE/>
        <w:autoSpaceDN/>
        <w:bidi w:val="0"/>
        <w:adjustRightInd/>
        <w:snapToGrid/>
        <w:spacing w:beforeAutospacing="0" w:afterAutospacing="0" w:line="540" w:lineRule="exact"/>
        <w:textAlignment w:val="auto"/>
        <w:rPr>
          <w:rFonts w:ascii="楷体_GB2312" w:eastAsia="楷体_GB2312" w:cs="Arial"/>
          <w:b/>
          <w:bCs w:val="0"/>
          <w:color w:val="auto"/>
          <w:spacing w:val="0"/>
          <w:kern w:val="2"/>
          <w:sz w:val="32"/>
          <w:szCs w:val="32"/>
          <w:lang w:val="en-US" w:eastAsia="zh-CN" w:bidi="ar-SA"/>
        </w:rPr>
      </w:pPr>
      <w:r>
        <w:rPr>
          <w:rFonts w:hint="eastAsia" w:ascii="楷体_GB2312" w:eastAsia="楷体_GB2312" w:cs="Arial"/>
          <w:b/>
          <w:bCs w:val="0"/>
          <w:color w:val="auto"/>
          <w:spacing w:val="0"/>
          <w:kern w:val="2"/>
          <w:sz w:val="32"/>
          <w:szCs w:val="32"/>
          <w:lang w:val="en-US" w:eastAsia="zh-CN" w:bidi="ar-SA"/>
        </w:rPr>
        <w:t>7.山水林田湖草沙冰项目</w:t>
      </w:r>
    </w:p>
    <w:p w14:paraId="040DC46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局共申报“山水工程”项目3个，一是红原县地质灾害生态综合整治修复子项目，项目资金324万元，涉及两个子项目，阿木乡麦洼寺玛仲玛泥石流治理工程项目已于6月中旬竣工。色地镇丛都街入口处滑坡治理工程项目已进场施工，目前已完成工作量95%；二是红原县黄河长江上游历史废弃工矿取料点生态修复子项目，总投资2713万元，为申请中央奖补项目，目前施工招标挂网已完成，开标结果正在公示中。三是红原县黄河长江上游历史废弃工矿取料点生态修复子项目（第二批），总投资4000万元，为申请中央奖补项目，9月29日已开标，开标结果正在公示中。</w:t>
      </w:r>
    </w:p>
    <w:p w14:paraId="0CF9EC5D">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0" w:firstLineChars="200"/>
        <w:jc w:val="left"/>
        <w:textAlignment w:val="auto"/>
        <w:rPr>
          <w:rFonts w:hint="eastAsia" w:ascii="黑体" w:hAnsi="宋体" w:eastAsia="黑体" w:cs="宋体"/>
          <w:color w:val="auto"/>
          <w:kern w:val="0"/>
          <w:lang w:val="en-US"/>
        </w:rPr>
      </w:pPr>
      <w:r>
        <w:rPr>
          <w:rFonts w:hint="eastAsia" w:ascii="黑体" w:hAnsi="宋体" w:eastAsia="黑体" w:cs="宋体"/>
          <w:color w:val="auto"/>
          <w:kern w:val="0"/>
          <w:sz w:val="32"/>
          <w:szCs w:val="24"/>
          <w:lang w:val="en-US" w:eastAsia="zh-CN" w:bidi="ar"/>
        </w:rPr>
        <w:t>二、部门财政资金收支情况</w:t>
      </w:r>
    </w:p>
    <w:p w14:paraId="5F9556EA">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3" w:firstLineChars="200"/>
        <w:jc w:val="left"/>
        <w:textAlignment w:val="auto"/>
        <w:rPr>
          <w:rFonts w:hint="eastAsia" w:ascii="楷体" w:hAnsi="楷体" w:eastAsia="楷体" w:cs="楷体"/>
          <w:b/>
          <w:bCs/>
          <w:color w:val="auto"/>
          <w:kern w:val="0"/>
          <w:sz w:val="32"/>
          <w:szCs w:val="24"/>
          <w:lang w:val="zh-CN" w:eastAsia="zh-CN" w:bidi="ar"/>
        </w:rPr>
      </w:pPr>
      <w:r>
        <w:rPr>
          <w:rFonts w:hint="eastAsia" w:ascii="楷体" w:hAnsi="楷体" w:eastAsia="楷体" w:cs="楷体"/>
          <w:b/>
          <w:bCs/>
          <w:color w:val="auto"/>
          <w:kern w:val="0"/>
          <w:sz w:val="32"/>
          <w:szCs w:val="24"/>
          <w:lang w:val="zh-CN" w:eastAsia="zh-CN" w:bidi="ar"/>
        </w:rPr>
        <w:t>（一）部门财政资金收入情况。</w:t>
      </w:r>
    </w:p>
    <w:p w14:paraId="07DC8F0A">
      <w:pPr>
        <w:pStyle w:val="1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 w:hAnsi="仿宋" w:eastAsia="仿宋" w:cs="仿宋"/>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（1） 本单位本年度收入为6418.88万元，其中：一般公共预算财政拨款收入6,091.90万元，占总收入的94.906%；政府性基金预算财政拨款收入326.87万元，占总收入的5.092%。其他收入0.11万元，占总收入的0.002%。</w:t>
      </w:r>
    </w:p>
    <w:p w14:paraId="5AA21CEC">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3" w:firstLineChars="200"/>
        <w:jc w:val="left"/>
        <w:textAlignment w:val="auto"/>
        <w:rPr>
          <w:rFonts w:hint="eastAsia" w:ascii="楷体" w:hAnsi="楷体" w:eastAsia="楷体" w:cs="楷体"/>
          <w:b/>
          <w:bCs/>
          <w:color w:val="auto"/>
          <w:kern w:val="0"/>
          <w:sz w:val="32"/>
          <w:szCs w:val="24"/>
          <w:lang w:val="zh-CN" w:eastAsia="zh-CN" w:bidi="ar"/>
        </w:rPr>
      </w:pPr>
      <w:r>
        <w:rPr>
          <w:rFonts w:hint="eastAsia" w:ascii="楷体" w:hAnsi="楷体" w:eastAsia="楷体" w:cs="楷体"/>
          <w:b/>
          <w:bCs/>
          <w:color w:val="auto"/>
          <w:kern w:val="0"/>
          <w:sz w:val="32"/>
          <w:szCs w:val="24"/>
          <w:lang w:val="zh-CN" w:eastAsia="zh-CN" w:bidi="ar"/>
        </w:rPr>
        <w:t>（二）部门财政资金支出情况。</w:t>
      </w:r>
    </w:p>
    <w:p w14:paraId="5FBDC87E">
      <w:pPr>
        <w:pStyle w:val="35"/>
        <w:keepNext w:val="0"/>
        <w:keepLines w:val="0"/>
        <w:pageBreakBefore w:val="0"/>
        <w:widowControl/>
        <w:kinsoku/>
        <w:wordWrap/>
        <w:overflowPunct/>
        <w:topLinePunct w:val="0"/>
        <w:autoSpaceDE/>
        <w:autoSpaceDN/>
        <w:bidi w:val="0"/>
        <w:snapToGrid/>
        <w:spacing w:beforeAutospacing="0" w:afterAutospacing="0" w:line="560" w:lineRule="exact"/>
        <w:ind w:firstLine="640" w:firstLineChars="200"/>
        <w:textAlignment w:val="auto"/>
        <w:rPr>
          <w:rFonts w:hint="default" w:ascii="仿宋_GB2312" w:hAnsi="仿宋_GB2312" w:eastAsia="仿宋_GB2312" w:cs="仿宋_GB2312"/>
          <w:color w:val="auto"/>
          <w:spacing w:val="0"/>
          <w:kern w:val="2"/>
          <w:sz w:val="32"/>
          <w:szCs w:val="32"/>
          <w:lang w:val="en-US" w:eastAsia="zh-CN" w:bidi="ar-SA"/>
        </w:rPr>
      </w:pPr>
      <w:r>
        <w:rPr>
          <w:rFonts w:hint="eastAsia" w:ascii="仿宋_GB2312" w:hAnsi="仿宋_GB2312" w:eastAsia="仿宋_GB2312" w:cs="仿宋_GB2312"/>
          <w:color w:val="auto"/>
          <w:spacing w:val="0"/>
          <w:kern w:val="2"/>
          <w:sz w:val="32"/>
          <w:szCs w:val="32"/>
          <w:lang w:val="en-US" w:eastAsia="zh-CN" w:bidi="ar-SA"/>
        </w:rPr>
        <w:t>本年度总支出为6418.88万元，其中：社会保障和就业支出为68.40万元，占比1.07%；卫生健康支出为30.84万元，占比0.48%；农林水支出为75.93万元，占比1.18%；自然资源海洋气象等支出为5511.70万元，占比85.87%；住房保障支出为37.66万元，占比0.59%；灾害防治及应急管理支出为304.2万元，占比4.74%；节能环保支出63.30万元，占比0.99%；城乡社区支出326.87万元，占比5.09%。</w:t>
      </w:r>
    </w:p>
    <w:p w14:paraId="0568789B">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0" w:firstLineChars="200"/>
        <w:jc w:val="left"/>
        <w:textAlignment w:val="auto"/>
        <w:rPr>
          <w:rFonts w:hint="eastAsia" w:ascii="黑体" w:hAnsi="宋体" w:eastAsia="黑体" w:cs="宋体"/>
          <w:color w:val="auto"/>
          <w:kern w:val="0"/>
          <w:lang w:val="en-US"/>
        </w:rPr>
      </w:pPr>
      <w:r>
        <w:rPr>
          <w:rFonts w:hint="eastAsia" w:ascii="黑体" w:hAnsi="宋体" w:eastAsia="黑体" w:cs="宋体"/>
          <w:color w:val="auto"/>
          <w:kern w:val="0"/>
          <w:sz w:val="32"/>
          <w:szCs w:val="24"/>
          <w:lang w:val="en-US" w:eastAsia="zh-CN" w:bidi="ar"/>
        </w:rPr>
        <w:t>三、部门财政支出管理情况</w:t>
      </w:r>
    </w:p>
    <w:p w14:paraId="5063E0C0">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3" w:firstLineChars="200"/>
        <w:jc w:val="left"/>
        <w:textAlignment w:val="auto"/>
        <w:rPr>
          <w:rFonts w:hint="eastAsia" w:ascii="楷体" w:hAnsi="楷体" w:eastAsia="楷体" w:cs="楷体"/>
          <w:b/>
          <w:bCs/>
          <w:color w:val="auto"/>
          <w:kern w:val="0"/>
          <w:lang w:val="zh-CN" w:eastAsia="zh-CN"/>
        </w:rPr>
      </w:pPr>
      <w:r>
        <w:rPr>
          <w:rFonts w:hint="eastAsia" w:ascii="楷体" w:hAnsi="楷体" w:eastAsia="楷体" w:cs="楷体"/>
          <w:b/>
          <w:bCs/>
          <w:color w:val="auto"/>
          <w:kern w:val="0"/>
          <w:sz w:val="32"/>
          <w:szCs w:val="24"/>
          <w:lang w:val="zh-CN" w:eastAsia="zh-CN" w:bidi="ar"/>
        </w:rPr>
        <w:t>（一）预算编制情况。</w:t>
      </w:r>
    </w:p>
    <w:p w14:paraId="00915187">
      <w:pPr>
        <w:pStyle w:val="35"/>
        <w:keepNext w:val="0"/>
        <w:keepLines w:val="0"/>
        <w:pageBreakBefore w:val="0"/>
        <w:widowControl/>
        <w:kinsoku/>
        <w:wordWrap/>
        <w:overflowPunct/>
        <w:topLinePunct w:val="0"/>
        <w:autoSpaceDE/>
        <w:autoSpaceDN/>
        <w:bidi w:val="0"/>
        <w:snapToGrid/>
        <w:spacing w:beforeAutospacing="0" w:afterAutospacing="0" w:line="560" w:lineRule="exact"/>
        <w:ind w:firstLine="640" w:firstLineChars="200"/>
        <w:textAlignment w:val="auto"/>
        <w:rPr>
          <w:rFonts w:hint="eastAsia" w:ascii="仿宋_GB2312" w:hAnsi="仿宋_GB2312" w:eastAsia="仿宋_GB2312" w:cs="仿宋_GB2312"/>
          <w:color w:val="auto"/>
          <w:spacing w:val="0"/>
          <w:kern w:val="2"/>
          <w:sz w:val="32"/>
          <w:szCs w:val="32"/>
          <w:lang w:val="en-US" w:eastAsia="zh-CN" w:bidi="ar-SA"/>
        </w:rPr>
      </w:pPr>
      <w:r>
        <w:rPr>
          <w:rFonts w:hint="eastAsia" w:ascii="仿宋_GB2312" w:hAnsi="仿宋_GB2312" w:eastAsia="仿宋_GB2312" w:cs="仿宋_GB2312"/>
          <w:color w:val="auto"/>
          <w:spacing w:val="0"/>
          <w:kern w:val="2"/>
          <w:sz w:val="32"/>
          <w:szCs w:val="32"/>
          <w:lang w:val="en-US" w:eastAsia="zh-CN" w:bidi="ar-SA"/>
        </w:rPr>
        <w:t>我局严格按照《预算法》及相关财经法规和政策编制本年度预算，严格控制编报质量，保证所有资金合法合规，严格按照相关规定进行预算编制，中央转移支付资金按照文件要求下达，专项转移支付严格根据分地区分项目进行编制。预算中基本支出，是用于保障我局正常运转的日常支出，包括基本工资、津贴补贴等人员经费以及办公费、印刷费、水电费、培训费、会议费等日常公用经费。2022年绩效目标执行率96%以上完成度较好，2022年我单位及时公开部门预算、决算、绩效报告等，对预算编制进一步细化。</w:t>
      </w:r>
    </w:p>
    <w:p w14:paraId="51221738">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3" w:firstLineChars="200"/>
        <w:jc w:val="left"/>
        <w:textAlignment w:val="auto"/>
        <w:rPr>
          <w:rFonts w:hint="eastAsia" w:ascii="楷体" w:hAnsi="楷体" w:eastAsia="楷体" w:cs="楷体"/>
          <w:b/>
          <w:bCs/>
          <w:color w:val="auto"/>
          <w:kern w:val="0"/>
          <w:lang w:val="zh-CN" w:eastAsia="zh-CN"/>
        </w:rPr>
      </w:pPr>
      <w:r>
        <w:rPr>
          <w:rFonts w:hint="eastAsia" w:ascii="楷体" w:hAnsi="楷体" w:eastAsia="楷体" w:cs="楷体"/>
          <w:b/>
          <w:bCs/>
          <w:color w:val="auto"/>
          <w:kern w:val="0"/>
          <w:sz w:val="32"/>
          <w:szCs w:val="24"/>
          <w:lang w:val="zh-CN" w:eastAsia="zh-CN" w:bidi="ar"/>
        </w:rPr>
        <w:t>（二）执行管理情况。</w:t>
      </w:r>
      <w:r>
        <w:rPr>
          <w:rFonts w:hint="eastAsia" w:ascii="楷体" w:hAnsi="楷体" w:eastAsia="楷体" w:cs="楷体"/>
          <w:b/>
          <w:bCs/>
          <w:color w:val="auto"/>
          <w:kern w:val="0"/>
          <w:sz w:val="32"/>
          <w:szCs w:val="24"/>
          <w:lang w:val="zh-CN" w:eastAsia="zh-CN" w:bidi="ar"/>
        </w:rPr>
        <w:tab/>
      </w:r>
    </w:p>
    <w:p w14:paraId="7EF263C6">
      <w:pPr>
        <w:pStyle w:val="35"/>
        <w:keepNext w:val="0"/>
        <w:keepLines w:val="0"/>
        <w:pageBreakBefore w:val="0"/>
        <w:widowControl/>
        <w:kinsoku/>
        <w:wordWrap/>
        <w:overflowPunct/>
        <w:topLinePunct w:val="0"/>
        <w:autoSpaceDE/>
        <w:autoSpaceDN/>
        <w:bidi w:val="0"/>
        <w:snapToGrid/>
        <w:spacing w:beforeAutospacing="0" w:afterAutospacing="0" w:line="560" w:lineRule="exact"/>
        <w:ind w:firstLine="640" w:firstLineChars="200"/>
        <w:textAlignment w:val="auto"/>
        <w:rPr>
          <w:rFonts w:hint="eastAsia" w:ascii="仿宋_GB2312" w:hAnsi="仿宋_GB2312" w:eastAsia="仿宋_GB2312" w:cs="仿宋_GB2312"/>
          <w:color w:val="auto"/>
          <w:spacing w:val="0"/>
          <w:kern w:val="2"/>
          <w:sz w:val="32"/>
          <w:szCs w:val="32"/>
          <w:lang w:val="zh-CN" w:eastAsia="zh-CN" w:bidi="ar-SA"/>
        </w:rPr>
      </w:pPr>
      <w:r>
        <w:rPr>
          <w:rFonts w:hint="eastAsia" w:ascii="仿宋_GB2312" w:hAnsi="仿宋_GB2312" w:eastAsia="仿宋_GB2312" w:cs="仿宋_GB2312"/>
          <w:color w:val="auto"/>
          <w:spacing w:val="0"/>
          <w:kern w:val="2"/>
          <w:sz w:val="32"/>
          <w:szCs w:val="32"/>
          <w:lang w:val="en-US" w:eastAsia="zh-CN" w:bidi="ar-SA"/>
        </w:rPr>
        <w:t xml:space="preserve">我局预算执行到位，严格按照预算管理进行支付并做到节能降耗，“三公”经费严格按照年初预算执行，预算数为6.61万元，决算数为5.9万元，预算完成度为89.26%，其中:公务用车购置及运行维护费支出决算数为5.52万元，相比上年度3.91增加1.61万元，主要原因是因为我局单位车辆年限较长，车辆维修维护费用增加且本年度通过县政府借用一辆公务用车，增加相关费用；公务接待费支出决算数为0.38万元，相比上年度0.42万元减少0.04万元，主要原因是我局贯彻落实“中央八项规定”、严格执行《党政机关厉行节约反对浪费条例》，避免不必要的接待开支。 </w:t>
      </w:r>
    </w:p>
    <w:p w14:paraId="75FDC867">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3" w:firstLineChars="200"/>
        <w:jc w:val="left"/>
        <w:textAlignment w:val="auto"/>
        <w:rPr>
          <w:rFonts w:hint="eastAsia" w:ascii="楷体" w:hAnsi="楷体" w:eastAsia="楷体" w:cs="楷体"/>
          <w:b/>
          <w:bCs/>
          <w:color w:val="auto"/>
          <w:kern w:val="0"/>
          <w:lang w:val="zh-CN" w:eastAsia="zh-CN"/>
        </w:rPr>
      </w:pPr>
      <w:r>
        <w:rPr>
          <w:rFonts w:hint="eastAsia" w:ascii="楷体" w:hAnsi="楷体" w:eastAsia="楷体" w:cs="楷体"/>
          <w:b/>
          <w:bCs/>
          <w:color w:val="auto"/>
          <w:kern w:val="0"/>
          <w:sz w:val="32"/>
          <w:szCs w:val="24"/>
          <w:lang w:val="zh-CN" w:eastAsia="zh-CN" w:bidi="ar"/>
        </w:rPr>
        <w:t>（三）综合管理情况。</w:t>
      </w:r>
    </w:p>
    <w:p w14:paraId="4D8F6B4D">
      <w:pPr>
        <w:pStyle w:val="35"/>
        <w:keepNext w:val="0"/>
        <w:keepLines w:val="0"/>
        <w:pageBreakBefore w:val="0"/>
        <w:widowControl/>
        <w:kinsoku/>
        <w:wordWrap/>
        <w:overflowPunct/>
        <w:topLinePunct w:val="0"/>
        <w:autoSpaceDE/>
        <w:autoSpaceDN/>
        <w:bidi w:val="0"/>
        <w:snapToGrid/>
        <w:spacing w:beforeAutospacing="0" w:afterAutospacing="0" w:line="560" w:lineRule="exact"/>
        <w:ind w:firstLine="640" w:firstLineChars="200"/>
        <w:textAlignment w:val="auto"/>
        <w:rPr>
          <w:rFonts w:hint="eastAsia" w:ascii="仿宋_GB2312" w:hAnsi="仿宋_GB2312" w:eastAsia="仿宋_GB2312" w:cs="仿宋_GB2312"/>
          <w:color w:val="auto"/>
          <w:spacing w:val="0"/>
          <w:kern w:val="2"/>
          <w:sz w:val="32"/>
          <w:szCs w:val="32"/>
          <w:lang w:val="zh-CN" w:eastAsia="zh-CN" w:bidi="ar-SA"/>
        </w:rPr>
      </w:pPr>
      <w:r>
        <w:rPr>
          <w:rFonts w:hint="eastAsia" w:ascii="仿宋_GB2312" w:hAnsi="仿宋_GB2312" w:eastAsia="仿宋_GB2312" w:cs="仿宋_GB2312"/>
          <w:color w:val="auto"/>
          <w:spacing w:val="0"/>
          <w:kern w:val="2"/>
          <w:sz w:val="32"/>
          <w:szCs w:val="32"/>
          <w:lang w:val="en-US" w:eastAsia="zh-CN" w:bidi="ar-SA"/>
        </w:rPr>
        <w:t>在财务管理过程中建立健全财务核算制度、严格执行国家相关财经法规，加强了会计基础工作、逐渐规范了财务管理行为。严格按照《行政单位会计制度》和《行政单位财务规则》的规定设置的会计科目，建立了科学有效的会计核算方式，均真实、合法、准确的反映各项收支活动；建立健全了内控制度，加强和完善了经费收支和财务管理，积极配合各级财政部门开展相关经费的考评工作；本局在资金使用过程中，合理使用各项资金，严格执行各项经费开支范围和标准。对中央、省转移支付资金的使用全部用于与自然资源事务，并确保专款专用；在账务报销过程中贯彻执行国家颁布的有关财务制度，严格按照《会计法》规定以完整、合法的原始凭证及财务报销手续进行报账、核算，做到了手续齐备、内容真实、数据准确、账目清晰，认真及时的填报了各项年度统计报表；在整个财务收支管理中做到了会计核算与财政收支账一致，实现了会计电算化，在采购资金支出时手续齐备，采购的固定资产及时登记并入账；严格落实《党政机关厉行节约反对浪费条例》的相关规定，进一步规范了“三公经费”的管理并严格控制了“三公经费”的支出。</w:t>
      </w:r>
    </w:p>
    <w:p w14:paraId="382062FF">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firstLine="643" w:firstLineChars="200"/>
        <w:jc w:val="left"/>
        <w:textAlignment w:val="auto"/>
        <w:rPr>
          <w:rFonts w:hint="eastAsia" w:ascii="楷体" w:hAnsi="楷体" w:eastAsia="楷体" w:cs="楷体"/>
          <w:b/>
          <w:bCs/>
          <w:color w:val="auto"/>
          <w:kern w:val="0"/>
          <w:lang w:val="zh-CN" w:eastAsia="zh-CN"/>
        </w:rPr>
      </w:pPr>
      <w:r>
        <w:rPr>
          <w:rFonts w:hint="eastAsia" w:ascii="楷体" w:hAnsi="楷体" w:eastAsia="楷体" w:cs="楷体"/>
          <w:b/>
          <w:bCs/>
          <w:color w:val="auto"/>
          <w:kern w:val="0"/>
          <w:sz w:val="32"/>
          <w:szCs w:val="24"/>
          <w:lang w:val="zh-CN" w:eastAsia="zh-CN" w:bidi="ar"/>
        </w:rPr>
        <w:t>（四）整体绩效。</w:t>
      </w:r>
    </w:p>
    <w:p w14:paraId="2C9EC58F">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firstLine="640" w:firstLineChars="200"/>
        <w:jc w:val="left"/>
        <w:textAlignment w:val="auto"/>
        <w:rPr>
          <w:rFonts w:hint="eastAsia" w:ascii="仿宋_GB2312" w:hAnsi="宋体" w:eastAsia="仿宋_GB2312" w:cs="宋体"/>
          <w:color w:val="auto"/>
          <w:kern w:val="0"/>
          <w:lang w:val="zh-CN" w:eastAsia="zh-CN"/>
        </w:rPr>
      </w:pPr>
      <w:r>
        <w:rPr>
          <w:rFonts w:hint="eastAsia" w:ascii="仿宋_GB2312" w:hAnsi="仿宋_GB2312" w:eastAsia="仿宋_GB2312" w:cs="仿宋_GB2312"/>
          <w:color w:val="auto"/>
          <w:spacing w:val="0"/>
          <w:kern w:val="2"/>
          <w:sz w:val="32"/>
          <w:szCs w:val="32"/>
          <w:lang w:val="en-US" w:eastAsia="zh-CN" w:bidi="ar-SA"/>
        </w:rPr>
        <w:t>2022年全年非税收入总计507.88万元，其中：收缴证书费、不动产登记收费共计4.46万元、收缴罚没款503.42万元。2022年我局完成红原县瓦切镇10等6个废弃矿山生态修复项目、红原县地质灾害风险调查与评价项目、红原县久马高速黑沟、红原县K191+300、6标段K120三个取土场储量核实项目刷经寺镇三家寨村生态修复项目、久马高速（红原境内）公路主线及临时用地核查项目、2022年地质灾害群测群防专职监测、红原县哈炯沟料场砂岩矿项目等项目。我局整体支出绩效目标较好，完成今年预定工作目标，有效的保护了自然资源。各项费用支出严格按照预算管理进行支付并做到节能降耗，“三公”经费严格按照年初预算执行。在全面贯彻落实党的二十大精神,坚持以习近平新时代中国特色社会主义思想为指导,努力提升人民群众满意度。</w:t>
      </w:r>
    </w:p>
    <w:p w14:paraId="64D82A43">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firstLine="640" w:firstLineChars="200"/>
        <w:jc w:val="left"/>
        <w:textAlignment w:val="auto"/>
        <w:rPr>
          <w:rFonts w:hint="eastAsia" w:ascii="黑体" w:hAnsi="宋体" w:eastAsia="黑体" w:cs="宋体"/>
          <w:color w:val="auto"/>
          <w:kern w:val="0"/>
          <w:lang w:val="en-US"/>
        </w:rPr>
      </w:pPr>
      <w:r>
        <w:rPr>
          <w:rFonts w:hint="eastAsia" w:ascii="黑体" w:hAnsi="宋体" w:eastAsia="黑体" w:cs="宋体"/>
          <w:color w:val="auto"/>
          <w:kern w:val="0"/>
          <w:sz w:val="32"/>
          <w:szCs w:val="24"/>
          <w:lang w:val="en-US" w:eastAsia="zh-CN" w:bidi="ar"/>
        </w:rPr>
        <w:t>四、评价结论及建议</w:t>
      </w:r>
    </w:p>
    <w:p w14:paraId="2C66A926">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firstLine="643" w:firstLineChars="200"/>
        <w:jc w:val="left"/>
        <w:textAlignment w:val="auto"/>
        <w:rPr>
          <w:rFonts w:hint="eastAsia" w:ascii="楷体" w:hAnsi="楷体" w:eastAsia="楷体" w:cs="楷体"/>
          <w:b/>
          <w:bCs/>
          <w:color w:val="auto"/>
          <w:kern w:val="0"/>
          <w:sz w:val="32"/>
          <w:szCs w:val="24"/>
          <w:lang w:val="zh-CN" w:eastAsia="zh-CN" w:bidi="ar"/>
        </w:rPr>
      </w:pPr>
      <w:r>
        <w:rPr>
          <w:rFonts w:hint="eastAsia" w:ascii="楷体" w:hAnsi="楷体" w:eastAsia="楷体" w:cs="楷体"/>
          <w:b/>
          <w:bCs/>
          <w:color w:val="auto"/>
          <w:kern w:val="0"/>
          <w:sz w:val="32"/>
          <w:szCs w:val="24"/>
          <w:lang w:val="zh-CN" w:eastAsia="zh-CN" w:bidi="ar"/>
        </w:rPr>
        <w:t>（一）评价结论。</w:t>
      </w:r>
    </w:p>
    <w:p w14:paraId="1BB49C99">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firstLine="640" w:firstLineChars="200"/>
        <w:jc w:val="left"/>
        <w:textAlignment w:val="auto"/>
        <w:rPr>
          <w:rFonts w:hint="default" w:ascii="仿宋_GB2312" w:hAnsi="仿宋_GB2312" w:eastAsia="仿宋_GB2312" w:cs="仿宋_GB2312"/>
          <w:color w:val="auto"/>
          <w:spacing w:val="0"/>
          <w:kern w:val="2"/>
          <w:sz w:val="32"/>
          <w:szCs w:val="32"/>
          <w:lang w:val="en-US" w:eastAsia="zh-CN" w:bidi="ar-SA"/>
        </w:rPr>
      </w:pPr>
      <w:r>
        <w:rPr>
          <w:rFonts w:hint="eastAsia" w:ascii="仿宋_GB2312" w:hAnsi="仿宋_GB2312" w:eastAsia="仿宋_GB2312" w:cs="仿宋_GB2312"/>
          <w:color w:val="auto"/>
          <w:spacing w:val="0"/>
          <w:kern w:val="2"/>
          <w:sz w:val="32"/>
          <w:szCs w:val="32"/>
          <w:lang w:val="en-US" w:eastAsia="zh-CN" w:bidi="ar-SA"/>
        </w:rPr>
        <w:t>根据《2022年红原县部门整体支出绩效评价指标体系》评分得分96.5分，其中：固定资产在用率扣除1分，原因为：我局固定资产存在部分老旧的未使用，也未报废；不动产权证书登记、发放的服务对象或受益对象满意度扣除1分，原因为：群众满意度较高，但未达100%，存在极少个别疑难问题待解决；申报绩效目标的量化程度扣除0.5分，原因为专项均设定了量化，但量化指标还不够精细；年初预算安排的准确性扣除1分，原因为：单位在年中存在追加公用经费及专项资金的情况。</w:t>
      </w:r>
    </w:p>
    <w:p w14:paraId="7F69F986">
      <w:pPr>
        <w:keepNext w:val="0"/>
        <w:keepLines w:val="0"/>
        <w:pageBreakBefore w:val="0"/>
        <w:widowControl/>
        <w:numPr>
          <w:ilvl w:val="0"/>
          <w:numId w:val="9"/>
        </w:numPr>
        <w:suppressLineNumbers w:val="0"/>
        <w:kinsoku/>
        <w:wordWrap/>
        <w:overflowPunct/>
        <w:topLinePunct w:val="0"/>
        <w:autoSpaceDE/>
        <w:autoSpaceDN/>
        <w:bidi w:val="0"/>
        <w:adjustRightInd w:val="0"/>
        <w:snapToGrid w:val="0"/>
        <w:spacing w:beforeAutospacing="0" w:afterAutospacing="0" w:line="560" w:lineRule="exact"/>
        <w:ind w:left="0" w:leftChars="0" w:right="0" w:firstLine="643" w:firstLineChars="200"/>
        <w:jc w:val="left"/>
        <w:textAlignment w:val="auto"/>
        <w:rPr>
          <w:rFonts w:hint="eastAsia" w:ascii="楷体" w:hAnsi="楷体" w:eastAsia="楷体" w:cs="楷体"/>
          <w:b/>
          <w:bCs/>
          <w:color w:val="auto"/>
          <w:kern w:val="0"/>
          <w:sz w:val="32"/>
          <w:szCs w:val="24"/>
          <w:lang w:val="zh-CN" w:eastAsia="zh-CN" w:bidi="ar"/>
        </w:rPr>
      </w:pPr>
      <w:r>
        <w:rPr>
          <w:rFonts w:hint="eastAsia" w:ascii="楷体" w:hAnsi="楷体" w:eastAsia="楷体" w:cs="楷体"/>
          <w:b/>
          <w:bCs/>
          <w:color w:val="auto"/>
          <w:kern w:val="0"/>
          <w:sz w:val="32"/>
          <w:szCs w:val="24"/>
          <w:lang w:val="zh-CN" w:eastAsia="zh-CN" w:bidi="ar"/>
        </w:rPr>
        <w:t>存在问题。</w:t>
      </w:r>
    </w:p>
    <w:p w14:paraId="30BD7BDB">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firstLine="640" w:firstLineChars="200"/>
        <w:jc w:val="left"/>
        <w:textAlignment w:val="auto"/>
        <w:rPr>
          <w:rFonts w:hint="eastAsia" w:ascii="仿宋_GB2312" w:hAnsi="仿宋_GB2312" w:eastAsia="仿宋_GB2312" w:cs="仿宋_GB2312"/>
          <w:color w:val="auto"/>
          <w:spacing w:val="0"/>
          <w:kern w:val="2"/>
          <w:sz w:val="32"/>
          <w:szCs w:val="32"/>
          <w:lang w:val="zh-CN" w:eastAsia="zh-CN" w:bidi="ar-SA"/>
        </w:rPr>
      </w:pPr>
      <w:r>
        <w:rPr>
          <w:rFonts w:hint="eastAsia" w:ascii="仿宋_GB2312" w:hAnsi="仿宋_GB2312" w:eastAsia="仿宋_GB2312" w:cs="仿宋_GB2312"/>
          <w:color w:val="auto"/>
          <w:spacing w:val="0"/>
          <w:kern w:val="2"/>
          <w:sz w:val="32"/>
          <w:szCs w:val="32"/>
          <w:lang w:val="en-US" w:eastAsia="zh-CN" w:bidi="ar-SA"/>
        </w:rPr>
        <w:t>1.由于财政支出的多样性和复杂性，绩效评价指标体系设置难度大，即使可以量化，但实际操作中很多项目间缺乏可比性且指标本身也在逐步变化，需要逐步完善。</w:t>
      </w:r>
      <w:r>
        <w:rPr>
          <w:rFonts w:hint="eastAsia" w:ascii="仿宋_GB2312" w:hAnsi="仿宋_GB2312" w:eastAsia="仿宋_GB2312" w:cs="仿宋_GB2312"/>
          <w:color w:val="auto"/>
          <w:spacing w:val="0"/>
          <w:kern w:val="2"/>
          <w:sz w:val="32"/>
          <w:szCs w:val="32"/>
          <w:lang w:val="en-US" w:eastAsia="zh-CN" w:bidi="ar-SA"/>
        </w:rPr>
        <w:br w:type="textWrapping"/>
      </w:r>
      <w:r>
        <w:rPr>
          <w:rFonts w:hint="eastAsia" w:ascii="仿宋_GB2312" w:hAnsi="仿宋_GB2312" w:eastAsia="仿宋_GB2312" w:cs="仿宋_GB2312"/>
          <w:color w:val="auto"/>
          <w:spacing w:val="0"/>
          <w:kern w:val="2"/>
          <w:sz w:val="32"/>
          <w:szCs w:val="32"/>
          <w:lang w:val="en-US" w:eastAsia="zh-CN" w:bidi="ar-SA"/>
        </w:rPr>
        <w:t xml:space="preserve">   2.在平时工作推进过程中，缺乏技术人员进行专业指导及培训，工作推进存在一定困难，预算编制还需更加精准。</w:t>
      </w:r>
    </w:p>
    <w:p w14:paraId="61F8895B">
      <w:pPr>
        <w:keepNext w:val="0"/>
        <w:keepLines w:val="0"/>
        <w:pageBreakBefore w:val="0"/>
        <w:widowControl/>
        <w:numPr>
          <w:ilvl w:val="0"/>
          <w:numId w:val="9"/>
        </w:numPr>
        <w:suppressLineNumbers w:val="0"/>
        <w:kinsoku/>
        <w:wordWrap/>
        <w:overflowPunct/>
        <w:topLinePunct w:val="0"/>
        <w:autoSpaceDE/>
        <w:autoSpaceDN/>
        <w:bidi w:val="0"/>
        <w:adjustRightInd w:val="0"/>
        <w:snapToGrid w:val="0"/>
        <w:spacing w:beforeAutospacing="0" w:afterAutospacing="0" w:line="560" w:lineRule="exact"/>
        <w:ind w:left="0" w:leftChars="0" w:right="0" w:firstLine="643" w:firstLineChars="200"/>
        <w:jc w:val="left"/>
        <w:textAlignment w:val="auto"/>
        <w:rPr>
          <w:rFonts w:hint="eastAsia" w:ascii="楷体" w:hAnsi="楷体" w:eastAsia="楷体" w:cs="楷体"/>
          <w:b/>
          <w:bCs/>
          <w:color w:val="auto"/>
          <w:kern w:val="0"/>
          <w:sz w:val="32"/>
          <w:szCs w:val="24"/>
          <w:lang w:val="zh-CN" w:eastAsia="zh-CN" w:bidi="ar"/>
        </w:rPr>
      </w:pPr>
      <w:r>
        <w:rPr>
          <w:rFonts w:hint="eastAsia" w:ascii="楷体" w:hAnsi="楷体" w:eastAsia="楷体" w:cs="楷体"/>
          <w:b/>
          <w:bCs/>
          <w:color w:val="auto"/>
          <w:kern w:val="0"/>
          <w:sz w:val="32"/>
          <w:szCs w:val="24"/>
          <w:lang w:val="zh-CN" w:eastAsia="zh-CN" w:bidi="ar"/>
        </w:rPr>
        <w:t>改进建议。</w:t>
      </w:r>
    </w:p>
    <w:p w14:paraId="3F6B6BAD">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firstLine="640" w:firstLineChars="200"/>
        <w:jc w:val="left"/>
        <w:textAlignment w:val="auto"/>
        <w:rPr>
          <w:rFonts w:hint="eastAsia" w:ascii="仿宋_GB2312" w:hAnsi="仿宋_GB2312" w:eastAsia="仿宋_GB2312" w:cs="仿宋_GB2312"/>
          <w:color w:val="auto"/>
          <w:spacing w:val="0"/>
          <w:kern w:val="2"/>
          <w:sz w:val="32"/>
          <w:szCs w:val="32"/>
          <w:lang w:val="en-US" w:eastAsia="zh-CN" w:bidi="ar-SA"/>
        </w:rPr>
      </w:pPr>
      <w:r>
        <w:rPr>
          <w:rFonts w:hint="eastAsia" w:ascii="仿宋_GB2312" w:hAnsi="仿宋_GB2312" w:eastAsia="仿宋_GB2312" w:cs="仿宋_GB2312"/>
          <w:color w:val="auto"/>
          <w:spacing w:val="0"/>
          <w:kern w:val="2"/>
          <w:sz w:val="32"/>
          <w:szCs w:val="32"/>
          <w:lang w:val="en-US" w:eastAsia="zh-CN" w:bidi="ar-SA"/>
        </w:rPr>
        <w:t>1.加强组织领导，增强预算编制的准确性，提高对预算编制与执行的认识，为绩效评价工作开展创造更好的条件。</w:t>
      </w:r>
    </w:p>
    <w:p w14:paraId="4265748C">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firstLine="640" w:firstLineChars="200"/>
        <w:jc w:val="left"/>
        <w:textAlignment w:val="auto"/>
        <w:rPr>
          <w:rFonts w:hint="eastAsia" w:ascii="仿宋_GB2312" w:hAnsi="仿宋_GB2312" w:eastAsia="仿宋_GB2312" w:cs="仿宋_GB2312"/>
          <w:color w:val="auto"/>
          <w:spacing w:val="0"/>
          <w:kern w:val="2"/>
          <w:sz w:val="32"/>
          <w:szCs w:val="32"/>
          <w:lang w:val="en-US" w:eastAsia="zh-CN" w:bidi="ar-SA"/>
        </w:rPr>
      </w:pPr>
      <w:r>
        <w:rPr>
          <w:rFonts w:hint="eastAsia" w:ascii="仿宋_GB2312" w:hAnsi="仿宋_GB2312" w:eastAsia="仿宋_GB2312" w:cs="仿宋_GB2312"/>
          <w:color w:val="auto"/>
          <w:spacing w:val="0"/>
          <w:kern w:val="2"/>
          <w:sz w:val="32"/>
          <w:szCs w:val="32"/>
          <w:lang w:val="en-US" w:eastAsia="zh-CN" w:bidi="ar-SA"/>
        </w:rPr>
        <w:t>2.建立长效机制，加强管理提高部门支出的绩效成果，为更好的服务工作发挥最大效益。</w:t>
      </w:r>
    </w:p>
    <w:p w14:paraId="6BBD17C0">
      <w:pPr>
        <w:pStyle w:val="2"/>
        <w:keepNext w:val="0"/>
        <w:keepLines w:val="0"/>
        <w:pageBreakBefore w:val="0"/>
        <w:kinsoku/>
        <w:wordWrap/>
        <w:overflowPunct/>
        <w:topLinePunct w:val="0"/>
        <w:autoSpaceDE/>
        <w:autoSpaceDN/>
        <w:bidi w:val="0"/>
        <w:spacing w:after="0" w:line="560" w:lineRule="exact"/>
        <w:ind w:left="0" w:leftChars="0" w:firstLine="0" w:firstLineChars="0"/>
        <w:jc w:val="both"/>
        <w:textAlignment w:val="auto"/>
        <w:rPr>
          <w:rFonts w:hint="eastAsia" w:ascii="仿宋_GB2312" w:hAnsi="仿宋_GB2312" w:cs="仿宋_GB2312"/>
          <w:color w:val="auto"/>
          <w:lang w:val="en-US" w:eastAsia="zh-CN"/>
        </w:rPr>
      </w:pPr>
      <w:r>
        <w:drawing>
          <wp:anchor distT="0" distB="0" distL="114300" distR="114300" simplePos="0" relativeHeight="251663360" behindDoc="0" locked="0" layoutInCell="1" allowOverlap="1">
            <wp:simplePos x="0" y="0"/>
            <wp:positionH relativeFrom="column">
              <wp:posOffset>-857250</wp:posOffset>
            </wp:positionH>
            <wp:positionV relativeFrom="paragraph">
              <wp:posOffset>-6959600</wp:posOffset>
            </wp:positionV>
            <wp:extent cx="6859905" cy="8564880"/>
            <wp:effectExtent l="0" t="0" r="17145" b="762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6859905" cy="8564880"/>
                    </a:xfrm>
                    <a:prstGeom prst="rect">
                      <a:avLst/>
                    </a:prstGeom>
                    <a:noFill/>
                    <a:ln>
                      <a:noFill/>
                    </a:ln>
                  </pic:spPr>
                </pic:pic>
              </a:graphicData>
            </a:graphic>
          </wp:anchor>
        </w:drawing>
      </w:r>
      <w:r>
        <w:rPr>
          <w:rFonts w:hint="eastAsia" w:ascii="仿宋_GB2312" w:hAnsi="仿宋_GB2312" w:cs="仿宋_GB2312"/>
          <w:color w:val="auto"/>
          <w:lang w:val="en-US" w:eastAsia="zh-CN"/>
        </w:rPr>
        <w:t xml:space="preserve">   </w:t>
      </w:r>
    </w:p>
    <w:p w14:paraId="7537DAD6">
      <w:pPr>
        <w:pStyle w:val="2"/>
        <w:keepNext w:val="0"/>
        <w:keepLines w:val="0"/>
        <w:pageBreakBefore w:val="0"/>
        <w:kinsoku/>
        <w:wordWrap/>
        <w:overflowPunct/>
        <w:topLinePunct w:val="0"/>
        <w:autoSpaceDE/>
        <w:autoSpaceDN/>
        <w:bidi w:val="0"/>
        <w:spacing w:after="0" w:line="560" w:lineRule="exact"/>
        <w:ind w:left="0" w:leftChars="0" w:firstLine="0" w:firstLineChars="0"/>
        <w:jc w:val="both"/>
        <w:textAlignment w:val="auto"/>
        <w:rPr>
          <w:rFonts w:cs="宋体"/>
          <w:sz w:val="32"/>
          <w:szCs w:val="32"/>
          <w:shd w:val="clear" w:color="auto" w:fill="FFFFFF"/>
          <w:lang w:val="zh-CN"/>
        </w:rPr>
      </w:pPr>
      <w:r>
        <w:rPr>
          <w:rFonts w:hint="eastAsia" w:ascii="仿宋_GB2312" w:hAnsi="仿宋_GB2312" w:cs="仿宋_GB2312"/>
          <w:color w:val="auto"/>
          <w:lang w:val="en-US" w:eastAsia="zh-CN"/>
        </w:rPr>
        <w:t xml:space="preserve">                               </w:t>
      </w:r>
    </w:p>
    <w:p w14:paraId="009FA43D">
      <w:pPr>
        <w:pStyle w:val="9"/>
        <w:spacing w:before="93"/>
        <w:rPr>
          <w:rFonts w:cs="宋体"/>
          <w:sz w:val="32"/>
          <w:szCs w:val="32"/>
          <w:shd w:val="clear" w:color="auto" w:fill="FFFFFF"/>
          <w:lang w:val="zh-CN"/>
        </w:rPr>
      </w:pPr>
    </w:p>
    <w:p w14:paraId="50F883E1">
      <w:pPr>
        <w:pStyle w:val="9"/>
        <w:spacing w:before="93"/>
        <w:rPr>
          <w:rFonts w:hint="eastAsia" w:eastAsia="仿宋_GB2312"/>
          <w:sz w:val="32"/>
          <w:szCs w:val="32"/>
          <w:lang w:eastAsia="zh-CN"/>
        </w:rPr>
      </w:pPr>
      <w:r>
        <w:rPr>
          <w:rFonts w:hint="eastAsia" w:cs="宋体"/>
          <w:sz w:val="32"/>
          <w:szCs w:val="32"/>
          <w:shd w:val="clear" w:color="auto" w:fill="FFFFFF"/>
          <w:lang w:val="zh-CN"/>
        </w:rPr>
        <w:t>附件</w:t>
      </w:r>
      <w:r>
        <w:rPr>
          <w:rFonts w:hint="eastAsia" w:cs="宋体"/>
          <w:sz w:val="32"/>
          <w:szCs w:val="32"/>
          <w:shd w:val="clear" w:color="auto" w:fill="FFFFFF"/>
        </w:rPr>
        <w:t>2</w:t>
      </w:r>
      <w:r>
        <w:rPr>
          <w:rFonts w:hint="eastAsia" w:cs="宋体"/>
          <w:sz w:val="32"/>
          <w:szCs w:val="32"/>
          <w:shd w:val="clear" w:color="auto" w:fill="FFFFFF"/>
          <w:lang w:eastAsia="zh-CN"/>
        </w:rPr>
        <w:t>：</w:t>
      </w:r>
    </w:p>
    <w:p w14:paraId="4C85A6C7">
      <w:pPr>
        <w:pStyle w:val="34"/>
        <w:spacing w:line="600" w:lineRule="exact"/>
        <w:ind w:firstLine="640"/>
        <w:jc w:val="center"/>
        <w:rPr>
          <w:rFonts w:hint="eastAsia" w:ascii="方正小标宋简体" w:hAnsi="宋体" w:eastAsia="方正小标宋简体"/>
          <w:sz w:val="44"/>
          <w:szCs w:val="44"/>
          <w:lang w:eastAsia="zh-CN"/>
        </w:rPr>
      </w:pPr>
      <w:bookmarkStart w:id="118" w:name="_Toc15396618"/>
      <w:bookmarkStart w:id="119" w:name="_Toc18788"/>
      <w:r>
        <w:rPr>
          <w:rFonts w:hint="eastAsia" w:ascii="方正小标宋简体" w:hAnsi="宋体" w:eastAsia="方正小标宋简体"/>
          <w:sz w:val="44"/>
          <w:szCs w:val="44"/>
          <w:lang w:eastAsia="zh-CN"/>
        </w:rPr>
        <w:t>红原县自然资源局</w:t>
      </w:r>
    </w:p>
    <w:p w14:paraId="0B246B7D">
      <w:pPr>
        <w:pStyle w:val="34"/>
        <w:spacing w:line="600" w:lineRule="exact"/>
        <w:ind w:firstLine="640"/>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关于</w:t>
      </w:r>
      <w:r>
        <w:rPr>
          <w:rFonts w:hint="eastAsia" w:ascii="方正小标宋简体" w:hAnsi="宋体" w:eastAsia="方正小标宋简体"/>
          <w:sz w:val="44"/>
          <w:szCs w:val="44"/>
        </w:rPr>
        <w:t>红原县阿木乡峨扎村废弃取料点生态修复项目支出绩效</w:t>
      </w:r>
      <w:r>
        <w:rPr>
          <w:rFonts w:hint="eastAsia" w:ascii="方正小标宋简体" w:hAnsi="宋体" w:eastAsia="方正小标宋简体"/>
          <w:sz w:val="44"/>
          <w:szCs w:val="44"/>
          <w:lang w:eastAsia="zh-CN"/>
        </w:rPr>
        <w:t>的</w:t>
      </w:r>
      <w:r>
        <w:rPr>
          <w:rFonts w:hint="eastAsia" w:ascii="方正小标宋简体" w:hAnsi="宋体" w:eastAsia="方正小标宋简体"/>
          <w:sz w:val="44"/>
          <w:szCs w:val="44"/>
        </w:rPr>
        <w:t>自评报告</w:t>
      </w:r>
    </w:p>
    <w:p w14:paraId="2F7C2AA8">
      <w:pPr>
        <w:adjustRightInd w:val="0"/>
        <w:snapToGrid w:val="0"/>
        <w:spacing w:line="600" w:lineRule="exact"/>
        <w:ind w:firstLine="720"/>
        <w:outlineLvl w:val="0"/>
        <w:rPr>
          <w:rFonts w:hint="eastAsia" w:ascii="黑体" w:hAnsi="宋体" w:eastAsia="黑体"/>
        </w:rPr>
      </w:pPr>
    </w:p>
    <w:p w14:paraId="0FA8AC58">
      <w:pPr>
        <w:adjustRightInd w:val="0"/>
        <w:snapToGrid w:val="0"/>
        <w:spacing w:line="600" w:lineRule="exact"/>
        <w:ind w:firstLine="720"/>
        <w:outlineLvl w:val="0"/>
        <w:rPr>
          <w:rFonts w:ascii="黑体" w:hAnsi="宋体" w:eastAsia="黑体"/>
          <w:sz w:val="36"/>
          <w:szCs w:val="44"/>
          <w:lang w:val="zh-CN"/>
        </w:rPr>
      </w:pPr>
      <w:r>
        <w:rPr>
          <w:rFonts w:hint="eastAsia" w:ascii="黑体" w:hAnsi="宋体" w:eastAsia="黑体"/>
          <w:sz w:val="36"/>
          <w:szCs w:val="44"/>
        </w:rPr>
        <w:t>一、</w:t>
      </w:r>
      <w:r>
        <w:rPr>
          <w:rFonts w:hint="eastAsia" w:ascii="黑体" w:hAnsi="宋体" w:eastAsia="黑体"/>
          <w:sz w:val="36"/>
          <w:szCs w:val="44"/>
          <w:lang w:val="zh-CN"/>
        </w:rPr>
        <w:t>项目概况</w:t>
      </w:r>
    </w:p>
    <w:p w14:paraId="269FB6AE">
      <w:pPr>
        <w:adjustRightInd w:val="0"/>
        <w:snapToGrid w:val="0"/>
        <w:spacing w:line="600" w:lineRule="exact"/>
        <w:ind w:firstLine="720"/>
        <w:rPr>
          <w:rFonts w:hint="eastAsia" w:ascii="楷体_GB2312" w:hAnsi="宋体" w:eastAsia="楷体_GB2312"/>
          <w:b/>
          <w:sz w:val="32"/>
          <w:szCs w:val="40"/>
          <w:lang w:val="zh-CN"/>
        </w:rPr>
      </w:pPr>
      <w:r>
        <w:rPr>
          <w:rFonts w:hint="eastAsia" w:ascii="楷体_GB2312" w:hAnsi="宋体" w:eastAsia="楷体_GB2312"/>
          <w:b/>
          <w:sz w:val="32"/>
          <w:szCs w:val="40"/>
          <w:lang w:val="zh-CN"/>
        </w:rPr>
        <w:t>（一）项目资金申报及批复情况。</w:t>
      </w:r>
    </w:p>
    <w:p w14:paraId="2ADD2D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为</w:t>
      </w:r>
      <w:r>
        <w:rPr>
          <w:rFonts w:hint="eastAsia" w:ascii="仿宋_GB2312" w:hAnsi="Times New Roman" w:eastAsia="仿宋_GB2312" w:cs="Times New Roman"/>
          <w:sz w:val="32"/>
          <w:szCs w:val="32"/>
          <w:lang w:eastAsia="zh-CN"/>
        </w:rPr>
        <w:t>全面贯彻习近平生态文明思想，</w:t>
      </w:r>
      <w:r>
        <w:rPr>
          <w:rFonts w:hint="eastAsia" w:ascii="仿宋_GB2312" w:hAnsi="Times New Roman" w:eastAsia="仿宋_GB2312" w:cs="Times New Roman"/>
          <w:sz w:val="32"/>
          <w:szCs w:val="32"/>
          <w:lang w:val="en-US" w:eastAsia="zh-CN"/>
        </w:rPr>
        <w:t>认真落实中央和省、州、县关于全面加强生态环境保护要求，扎实做好突出生态环境问题整改工作，我局于2022年4月20日以《红原县自然资源局关于解决红原县阿木乡峨扎村废弃取料点生态修复项目经费的请示（红自然资〔2022〕64号）》向县政府申报项目资金25.6万元，</w:t>
      </w:r>
      <w:r>
        <w:rPr>
          <w:rFonts w:hint="eastAsia" w:ascii="仿宋_GB2312" w:hAnsi="Times New Roman" w:eastAsia="仿宋_GB2312" w:cs="Times New Roman"/>
          <w:sz w:val="32"/>
          <w:szCs w:val="32"/>
          <w:lang w:val="zh-CN" w:eastAsia="zh-CN"/>
        </w:rPr>
        <w:t>符合资金管理办法等相关规定。</w:t>
      </w:r>
    </w:p>
    <w:p w14:paraId="3DCC65B7">
      <w:pPr>
        <w:adjustRightInd w:val="0"/>
        <w:snapToGrid w:val="0"/>
        <w:spacing w:line="600" w:lineRule="exact"/>
        <w:ind w:firstLine="720"/>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（二）项目绩效目标。</w:t>
      </w:r>
    </w:p>
    <w:p w14:paraId="66F654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完成该项目勘查设计及施工工作。计划采用场地平整、客土、覆土、植草等工作手段完成生态修复面积1.4公顷。该项目已竣工，并通过验收。</w:t>
      </w:r>
    </w:p>
    <w:p w14:paraId="42174311">
      <w:pPr>
        <w:adjustRightInd w:val="0"/>
        <w:snapToGrid w:val="0"/>
        <w:spacing w:line="600" w:lineRule="exact"/>
        <w:ind w:firstLine="720"/>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（三）项目资金申报相符性。</w:t>
      </w:r>
    </w:p>
    <w:p w14:paraId="6B9190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该</w:t>
      </w:r>
      <w:r>
        <w:rPr>
          <w:rFonts w:hint="eastAsia" w:ascii="仿宋_GB2312" w:hAnsi="Times New Roman" w:eastAsia="仿宋_GB2312" w:cs="Times New Roman"/>
          <w:sz w:val="32"/>
          <w:szCs w:val="32"/>
          <w:lang w:val="zh-CN" w:eastAsia="zh-CN"/>
        </w:rPr>
        <w:t>项目申报内容与具体实施内容相符、申报目标合理可行。</w:t>
      </w:r>
    </w:p>
    <w:p w14:paraId="33F44DDA">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二、项目实施及管理情况</w:t>
      </w:r>
    </w:p>
    <w:p w14:paraId="4EE25BC2">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仿宋_GB2312" w:hAnsi="宋体"/>
          <w:lang w:val="zh-CN"/>
        </w:rPr>
        <w:tab/>
      </w:r>
      <w:r>
        <w:rPr>
          <w:rFonts w:hint="eastAsia" w:ascii="楷体_GB2312" w:hAnsi="宋体" w:eastAsia="楷体_GB2312" w:cs="Times New Roman"/>
          <w:b/>
          <w:sz w:val="32"/>
          <w:szCs w:val="40"/>
          <w:lang w:val="zh-CN"/>
        </w:rPr>
        <w:t>（一）资金计划、到位及使用情况。</w:t>
      </w:r>
    </w:p>
    <w:p w14:paraId="69089AC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eastAsia="zh-CN"/>
        </w:rPr>
        <w:t>1．资金计划及到位。</w:t>
      </w:r>
    </w:p>
    <w:p w14:paraId="35D6CDE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eastAsia="zh-CN"/>
        </w:rPr>
        <w:t>该项目资金计划</w:t>
      </w:r>
      <w:r>
        <w:rPr>
          <w:rFonts w:hint="eastAsia" w:ascii="仿宋_GB2312" w:hAnsi="Times New Roman" w:eastAsia="仿宋_GB2312" w:cs="Times New Roman"/>
          <w:sz w:val="32"/>
          <w:szCs w:val="32"/>
          <w:lang w:val="en-US" w:eastAsia="zh-CN"/>
        </w:rPr>
        <w:t>25.6万元，县级调剂资金，为2022年黄河流域生态保护和高质量发展专项奖补项目资金，实际使用资金25.6万元，实际到位资金25.6万元，到位率100%。</w:t>
      </w:r>
    </w:p>
    <w:p w14:paraId="3B28BA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val="zh-CN" w:eastAsia="zh-CN"/>
        </w:rPr>
        <w:t>资金使用。</w:t>
      </w:r>
    </w:p>
    <w:p w14:paraId="5B0B97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截止目前该项目资金已按照合同全部拨付完成，</w:t>
      </w:r>
      <w:r>
        <w:rPr>
          <w:rFonts w:hint="eastAsia" w:ascii="仿宋_GB2312" w:hAnsi="Times New Roman" w:eastAsia="仿宋_GB2312" w:cs="Times New Roman"/>
          <w:sz w:val="32"/>
          <w:szCs w:val="32"/>
          <w:lang w:val="zh-CN" w:eastAsia="zh-CN"/>
        </w:rPr>
        <w:t>支付依据合规合法，资金支付与</w:t>
      </w:r>
      <w:r>
        <w:rPr>
          <w:rFonts w:hint="eastAsia" w:ascii="仿宋_GB2312" w:hAnsi="Times New Roman" w:eastAsia="仿宋_GB2312" w:cs="Times New Roman"/>
          <w:sz w:val="32"/>
          <w:szCs w:val="32"/>
          <w:lang w:val="en-US" w:eastAsia="zh-CN"/>
        </w:rPr>
        <w:t>合同金额</w:t>
      </w:r>
      <w:r>
        <w:rPr>
          <w:rFonts w:hint="eastAsia" w:ascii="仿宋_GB2312" w:hAnsi="Times New Roman" w:eastAsia="仿宋_GB2312" w:cs="Times New Roman"/>
          <w:sz w:val="32"/>
          <w:szCs w:val="32"/>
          <w:lang w:val="zh-CN" w:eastAsia="zh-CN"/>
        </w:rPr>
        <w:t>相符，</w:t>
      </w:r>
      <w:r>
        <w:rPr>
          <w:rFonts w:hint="eastAsia" w:ascii="仿宋_GB2312" w:hAnsi="Times New Roman" w:eastAsia="仿宋_GB2312" w:cs="Times New Roman"/>
          <w:sz w:val="32"/>
          <w:szCs w:val="32"/>
          <w:lang w:val="en-US" w:eastAsia="zh-CN"/>
        </w:rPr>
        <w:t>共计25.6万元</w:t>
      </w:r>
      <w:r>
        <w:rPr>
          <w:rFonts w:hint="eastAsia" w:ascii="仿宋_GB2312" w:hAnsi="Times New Roman" w:eastAsia="仿宋_GB2312" w:cs="Times New Roman"/>
          <w:sz w:val="32"/>
          <w:szCs w:val="32"/>
          <w:lang w:val="zh-CN" w:eastAsia="zh-CN"/>
        </w:rPr>
        <w:t>。</w:t>
      </w:r>
    </w:p>
    <w:p w14:paraId="4049886F">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（二）项目财务管理情况。</w:t>
      </w:r>
    </w:p>
    <w:p w14:paraId="410DF0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该项目资金来源均系县</w:t>
      </w:r>
      <w:r>
        <w:rPr>
          <w:rFonts w:hint="eastAsia" w:ascii="仿宋_GB2312" w:hAnsi="Times New Roman" w:eastAsia="仿宋_GB2312" w:cs="Times New Roman"/>
          <w:sz w:val="32"/>
          <w:szCs w:val="32"/>
          <w:lang w:val="zh-CN" w:eastAsia="zh-CN"/>
        </w:rPr>
        <w:t>财政调剂资金，</w:t>
      </w:r>
      <w:r>
        <w:rPr>
          <w:rFonts w:hint="eastAsia" w:ascii="仿宋_GB2312" w:hAnsi="Times New Roman" w:eastAsia="仿宋_GB2312" w:cs="Times New Roman"/>
          <w:sz w:val="32"/>
          <w:szCs w:val="32"/>
          <w:lang w:val="en-US" w:eastAsia="zh-CN"/>
        </w:rPr>
        <w:t>具有严格的财务管理制度，在项目实施过程中也</w:t>
      </w:r>
      <w:r>
        <w:rPr>
          <w:rFonts w:hint="eastAsia" w:ascii="仿宋_GB2312" w:hAnsi="Times New Roman" w:eastAsia="仿宋_GB2312" w:cs="Times New Roman"/>
          <w:sz w:val="32"/>
          <w:szCs w:val="32"/>
          <w:lang w:val="zh-CN" w:eastAsia="zh-CN"/>
        </w:rPr>
        <w:t>严格执行财务管理制度，财务处理及时、会计核算规范。</w:t>
      </w:r>
    </w:p>
    <w:p w14:paraId="364BE1FD">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（三）项目组织实施情况。</w:t>
      </w:r>
    </w:p>
    <w:p w14:paraId="4F5656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严格按照《四川省历史遗留废弃矿山生态修复项目管理办法》、《省级重点生态保护修复治理资金管理办法》等各项规章制度进行招投标、施工、监管等工作。在项目建设中，为了确保工程质量、进度和安全文明施工，严格按照基本建设程序以及相关法律法规，对工程的质量、进度、安全和文明施工进行全过程、全方位的现场监督管理，努力化解工程风险，努力提高工作质量和效率。</w:t>
      </w:r>
    </w:p>
    <w:p w14:paraId="3967D167">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三、项目绩效情况</w:t>
      </w:r>
      <w:r>
        <w:rPr>
          <w:rFonts w:hint="eastAsia" w:ascii="黑体" w:hAnsi="宋体" w:eastAsia="黑体" w:cs="Times New Roman"/>
          <w:sz w:val="36"/>
          <w:szCs w:val="44"/>
          <w:lang w:val="zh-CN"/>
        </w:rPr>
        <w:tab/>
      </w:r>
    </w:p>
    <w:p w14:paraId="6805A3A7">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（一）项目完成情况。</w:t>
      </w:r>
    </w:p>
    <w:p w14:paraId="47C7E8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该</w:t>
      </w:r>
      <w:r>
        <w:rPr>
          <w:rFonts w:hint="eastAsia" w:ascii="仿宋_GB2312" w:hAnsi="Times New Roman" w:eastAsia="仿宋_GB2312" w:cs="Times New Roman"/>
          <w:sz w:val="32"/>
          <w:szCs w:val="32"/>
          <w:lang w:val="zh-CN" w:eastAsia="zh-CN"/>
        </w:rPr>
        <w:t>项目</w:t>
      </w:r>
      <w:r>
        <w:rPr>
          <w:rFonts w:hint="eastAsia" w:ascii="仿宋_GB2312" w:hAnsi="Times New Roman" w:eastAsia="仿宋_GB2312" w:cs="Times New Roman"/>
          <w:sz w:val="32"/>
          <w:szCs w:val="32"/>
          <w:lang w:val="en-US" w:eastAsia="zh-CN"/>
        </w:rPr>
        <w:t>计划</w:t>
      </w:r>
      <w:r>
        <w:rPr>
          <w:rFonts w:hint="eastAsia" w:ascii="仿宋_GB2312" w:hAnsi="Times New Roman" w:eastAsia="仿宋_GB2312" w:cs="Times New Roman"/>
          <w:sz w:val="32"/>
          <w:szCs w:val="32"/>
          <w:lang w:val="zh-CN" w:eastAsia="zh-CN"/>
        </w:rPr>
        <w:t>完成</w:t>
      </w:r>
      <w:r>
        <w:rPr>
          <w:rFonts w:hint="eastAsia" w:ascii="仿宋_GB2312" w:hAnsi="Times New Roman" w:eastAsia="仿宋_GB2312" w:cs="Times New Roman"/>
          <w:sz w:val="32"/>
          <w:szCs w:val="32"/>
          <w:lang w:val="en-US" w:eastAsia="zh-CN"/>
        </w:rPr>
        <w:t>修复面积1.4公顷，实际完成1.4公顷；已全面完成，质量符合相关要求，通过验收，计划支出25.6万元，实际支出25.6万元。</w:t>
      </w:r>
    </w:p>
    <w:p w14:paraId="31E89AE6">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（二）项目效益情况。</w:t>
      </w:r>
    </w:p>
    <w:p w14:paraId="268E69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通过废弃矿山生态修复工作，有效改善了废弃矿山周围生态环境，新增了大片草地，植被覆盖率大大提高，实现了植被防风固沙，减轻了水土流失，提高了附近人民群众生产生活质量，同时扩大的草原面积可使当地牧民更好的发展畜牧业，得到了矿区附近群众积极拥护和支持，助推了红原旅游业的健康有序发展，有利于维护当地社会的和谐与稳定，实现地方经济绿色健康发展，取得了良好的社会效益、环境效益和经济效益。</w:t>
      </w:r>
    </w:p>
    <w:p w14:paraId="0A6A2C22">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四、问题及建议</w:t>
      </w:r>
    </w:p>
    <w:p w14:paraId="297E702C">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（一）存在的问题。</w:t>
      </w:r>
    </w:p>
    <w:p w14:paraId="74524D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02C11D1A">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（二）相关建议。</w:t>
      </w:r>
    </w:p>
    <w:p w14:paraId="66C1FA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无</w:t>
      </w:r>
      <w:r>
        <w:rPr>
          <w:rFonts w:hint="eastAsia" w:ascii="仿宋_GB2312" w:hAnsi="Times New Roman" w:eastAsia="仿宋_GB2312" w:cs="Times New Roman"/>
          <w:sz w:val="32"/>
          <w:szCs w:val="32"/>
          <w:lang w:val="zh-CN" w:eastAsia="zh-CN"/>
        </w:rPr>
        <w:t>。</w:t>
      </w:r>
    </w:p>
    <w:p w14:paraId="0850F82C">
      <w:pPr>
        <w:pStyle w:val="34"/>
        <w:spacing w:line="600" w:lineRule="exact"/>
        <w:jc w:val="both"/>
        <w:outlineLvl w:val="0"/>
        <w:rPr>
          <w:rFonts w:hint="eastAsia" w:cs="宋体"/>
          <w:sz w:val="32"/>
          <w:szCs w:val="32"/>
          <w:shd w:val="clear" w:color="auto" w:fill="FFFFFF"/>
          <w:lang w:val="zh-CN"/>
        </w:rPr>
      </w:pPr>
    </w:p>
    <w:p w14:paraId="23F2F202">
      <w:pPr>
        <w:pStyle w:val="34"/>
        <w:spacing w:line="600" w:lineRule="exact"/>
        <w:jc w:val="both"/>
        <w:outlineLvl w:val="0"/>
        <w:rPr>
          <w:rFonts w:hint="eastAsia" w:cs="宋体"/>
          <w:sz w:val="32"/>
          <w:szCs w:val="32"/>
          <w:shd w:val="clear" w:color="auto" w:fill="FFFFFF"/>
          <w:lang w:val="en-US" w:eastAsia="zh-CN"/>
        </w:rPr>
      </w:pPr>
      <w:r>
        <w:rPr>
          <w:rFonts w:hint="eastAsia" w:cs="宋体"/>
          <w:sz w:val="32"/>
          <w:szCs w:val="32"/>
          <w:shd w:val="clear" w:color="auto" w:fill="FFFFFF"/>
          <w:lang w:val="zh-CN"/>
        </w:rPr>
        <w:t>附件</w:t>
      </w:r>
      <w:r>
        <w:rPr>
          <w:rFonts w:hint="eastAsia" w:cs="宋体"/>
          <w:sz w:val="32"/>
          <w:szCs w:val="32"/>
          <w:shd w:val="clear" w:color="auto" w:fill="FFFFFF"/>
          <w:lang w:val="en-US" w:eastAsia="zh-CN"/>
        </w:rPr>
        <w:t>3：</w:t>
      </w:r>
    </w:p>
    <w:p w14:paraId="0888DC27">
      <w:pPr>
        <w:pStyle w:val="34"/>
        <w:spacing w:line="600" w:lineRule="exact"/>
        <w:jc w:val="center"/>
        <w:outlineLvl w:val="0"/>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红原县自然资源局</w:t>
      </w:r>
    </w:p>
    <w:p w14:paraId="11CB3189">
      <w:pPr>
        <w:pStyle w:val="34"/>
        <w:spacing w:line="600" w:lineRule="exact"/>
        <w:jc w:val="center"/>
        <w:outlineLvl w:val="0"/>
        <w:rPr>
          <w:rFonts w:ascii="仿宋_GB2312" w:hAnsi="宋体" w:eastAsia="仿宋_GB2312"/>
          <w:b/>
          <w:bCs/>
          <w:color w:val="auto"/>
          <w:kern w:val="2"/>
          <w:sz w:val="32"/>
          <w:szCs w:val="32"/>
        </w:rPr>
      </w:pPr>
      <w:r>
        <w:rPr>
          <w:rFonts w:hint="eastAsia" w:ascii="方正小标宋简体" w:hAnsi="宋体" w:eastAsia="方正小标宋简体"/>
          <w:sz w:val="44"/>
          <w:szCs w:val="44"/>
          <w:lang w:eastAsia="zh-CN"/>
        </w:rPr>
        <w:t>关于</w:t>
      </w:r>
      <w:r>
        <w:rPr>
          <w:rFonts w:hint="eastAsia" w:ascii="方正小标宋简体" w:hAnsi="宋体" w:eastAsia="方正小标宋简体"/>
          <w:sz w:val="44"/>
          <w:szCs w:val="44"/>
        </w:rPr>
        <w:t>红原县黄河长江上游历史废弃工矿取料点生态修复项目支出绩效自评报告</w:t>
      </w:r>
    </w:p>
    <w:p w14:paraId="5AC14C8D">
      <w:pPr>
        <w:pStyle w:val="34"/>
        <w:spacing w:line="600" w:lineRule="exact"/>
        <w:ind w:firstLine="640"/>
        <w:jc w:val="center"/>
        <w:rPr>
          <w:rFonts w:ascii="宋体" w:hAnsi="宋体"/>
          <w:color w:val="auto"/>
          <w:kern w:val="2"/>
          <w:sz w:val="32"/>
          <w:szCs w:val="32"/>
        </w:rPr>
      </w:pPr>
    </w:p>
    <w:p w14:paraId="5E3FFF06">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一、项目概况</w:t>
      </w:r>
    </w:p>
    <w:p w14:paraId="35B4A353">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（一）项目资金申报及批复情况。</w:t>
      </w:r>
    </w:p>
    <w:p w14:paraId="4CC12011">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eastAsia="仿宋_GB2312"/>
          <w:sz w:val="32"/>
          <w:szCs w:val="32"/>
          <w:lang w:val="en-US" w:eastAsia="zh-CN"/>
        </w:rPr>
        <w:t>为</w:t>
      </w:r>
      <w:r>
        <w:rPr>
          <w:rFonts w:hint="eastAsia" w:ascii="仿宋_GB2312" w:eastAsia="仿宋_GB2312"/>
          <w:sz w:val="32"/>
          <w:szCs w:val="32"/>
          <w:lang w:eastAsia="zh-CN"/>
        </w:rPr>
        <w:t>全面贯彻习近平生态文明思想，</w:t>
      </w:r>
      <w:r>
        <w:rPr>
          <w:rFonts w:hint="eastAsia" w:ascii="仿宋_GB2312" w:eastAsia="仿宋_GB2312"/>
          <w:sz w:val="32"/>
          <w:szCs w:val="32"/>
          <w:lang w:val="en-US" w:eastAsia="zh-CN"/>
        </w:rPr>
        <w:t>认真落实中央和省、州、县关于全面加强</w:t>
      </w:r>
      <w:r>
        <w:rPr>
          <w:rFonts w:hint="eastAsia" w:ascii="仿宋_GB2312" w:hAnsi="Times New Roman" w:eastAsia="仿宋_GB2312" w:cs="Times New Roman"/>
          <w:sz w:val="32"/>
          <w:szCs w:val="32"/>
          <w:lang w:val="en-US" w:eastAsia="zh-CN"/>
        </w:rPr>
        <w:t>生态环境保护要求，切实做好生态保护工作，我局开展了红原县黄河长江上游历史废弃工矿取料点生态修复项目，2022年9月28日以《关于请求评审四川黄河上游若尔盖草原湿地山水林田湖草沙冰一体化保护和修复工程-红原县黄河长江上游历史废弃工矿取料点生态修复项目招标控制价评审的批复红财评（2022）176号》</w:t>
      </w:r>
      <w:r>
        <w:rPr>
          <w:rFonts w:hint="eastAsia" w:ascii="仿宋_GB2312" w:hAnsi="Times New Roman" w:eastAsia="仿宋_GB2312" w:cs="Times New Roman"/>
          <w:sz w:val="32"/>
          <w:szCs w:val="32"/>
          <w:lang w:val="zh-CN" w:eastAsia="zh-CN"/>
        </w:rPr>
        <w:t>。</w:t>
      </w:r>
    </w:p>
    <w:p w14:paraId="3B8B40DE">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（二）项目绩效目标。</w:t>
      </w:r>
    </w:p>
    <w:p w14:paraId="18FC0EC2">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eastAsia="zh-CN"/>
        </w:rPr>
        <w:t>修复历史废弃工矿取料点51处，面积35.35hm²。</w:t>
      </w:r>
    </w:p>
    <w:p w14:paraId="0FBC9DE6">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（三）项目资金申报相符性。</w:t>
      </w:r>
    </w:p>
    <w:p w14:paraId="0DB48562">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该</w:t>
      </w:r>
      <w:r>
        <w:rPr>
          <w:rFonts w:hint="eastAsia" w:ascii="仿宋_GB2312" w:hAnsi="Times New Roman" w:eastAsia="仿宋_GB2312" w:cs="Times New Roman"/>
          <w:sz w:val="32"/>
          <w:szCs w:val="32"/>
          <w:lang w:val="zh-CN" w:eastAsia="zh-CN"/>
        </w:rPr>
        <w:t>项目申报内容与具体实施内容相符、申报目标合理可行。</w:t>
      </w:r>
    </w:p>
    <w:p w14:paraId="50BCE515">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二、项目实施及管理情况</w:t>
      </w:r>
    </w:p>
    <w:p w14:paraId="3687F3DC">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ab/>
      </w:r>
      <w:r>
        <w:rPr>
          <w:rFonts w:hint="eastAsia" w:ascii="楷体_GB2312" w:hAnsi="宋体" w:eastAsia="楷体_GB2312" w:cs="Times New Roman"/>
          <w:b/>
          <w:sz w:val="32"/>
          <w:szCs w:val="40"/>
          <w:lang w:val="zh-CN"/>
        </w:rPr>
        <w:t>（一）资金计划、到位及使用情况。</w:t>
      </w:r>
    </w:p>
    <w:p w14:paraId="6783815C">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eastAsia="zh-CN"/>
        </w:rPr>
        <w:t>1．资金计划及到位。</w:t>
      </w:r>
    </w:p>
    <w:p w14:paraId="6DC34B18">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zh-CN" w:eastAsia="zh-CN"/>
        </w:rPr>
        <w:t>该项目计划总投资</w:t>
      </w:r>
      <w:r>
        <w:rPr>
          <w:rFonts w:hint="eastAsia" w:ascii="仿宋_GB2312" w:hAnsi="Times New Roman" w:eastAsia="仿宋_GB2312" w:cs="Times New Roman"/>
          <w:sz w:val="32"/>
          <w:szCs w:val="32"/>
          <w:lang w:val="en-US" w:eastAsia="zh-CN"/>
        </w:rPr>
        <w:t>2713万元，为中央奖补资金。2022年计划投资1553万元，截止2022年12月31日实际到位资金1553万元，到位率100%。</w:t>
      </w:r>
    </w:p>
    <w:p w14:paraId="4BC1105E">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val="zh-CN" w:eastAsia="zh-CN"/>
        </w:rPr>
        <w:t>资金使用。</w:t>
      </w:r>
    </w:p>
    <w:p w14:paraId="3E98C289">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截止2022年12月31日该项目资金已按照合同拨付，共计支付1539.75万元，</w:t>
      </w:r>
      <w:r>
        <w:rPr>
          <w:rFonts w:hint="eastAsia" w:ascii="仿宋_GB2312" w:hAnsi="Times New Roman" w:eastAsia="仿宋_GB2312" w:cs="Times New Roman"/>
          <w:sz w:val="32"/>
          <w:szCs w:val="32"/>
          <w:lang w:val="zh-CN" w:eastAsia="zh-CN"/>
        </w:rPr>
        <w:t>支付依据合规合法。</w:t>
      </w:r>
    </w:p>
    <w:p w14:paraId="21B76D3F">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（二）项目财务管理情况。</w:t>
      </w:r>
    </w:p>
    <w:p w14:paraId="604EB9B7">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项目实施过程中严格按照项目财务管理制度进行财务管理，严格按照《会计法》、财经法规执行，确保专款专用，专人负责，不挪用、截留、坐支项目资金，规范会计核算程序。</w:t>
      </w:r>
    </w:p>
    <w:p w14:paraId="406DBB1F">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（三）项目组织实施情况。</w:t>
      </w:r>
    </w:p>
    <w:p w14:paraId="16C0C4D7">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严格按照《四川省历史遗留废弃矿山生态修复项目管理办法》、《省级重点生态保护修复治理资金管理办法》等各项规章制度进行招投标等工作，在项目开始阶段，严格执行国家法律和行业法规，按照基本建设程序进行管理，及时办理各种建设手续，包括项目概算、建设用地、图纸审查、开工报告等，各项手续齐全，确保工程顺利进行。施工过程中对工程质量、进度、投资、安全以及外部协调等工作进行科学管理，质量上严格执行国家标准，进度上采用现代网络技术，安全执行国家安全生产条例，投资严格按照预算标准执行，保证工程目标实现。项目建设单位主体资格、管理人员资质满足项目质量管理要求。建设单位依法进行了工程发包，通过公开招标等法定程序选定参建单位并签定了有效设承包合同。</w:t>
      </w:r>
    </w:p>
    <w:p w14:paraId="659CBBBC">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三、项目绩效情况</w:t>
      </w:r>
      <w:r>
        <w:rPr>
          <w:rFonts w:hint="eastAsia" w:ascii="黑体" w:hAnsi="宋体" w:eastAsia="黑体" w:cs="Times New Roman"/>
          <w:sz w:val="36"/>
          <w:szCs w:val="44"/>
          <w:lang w:val="zh-CN"/>
        </w:rPr>
        <w:tab/>
      </w:r>
    </w:p>
    <w:p w14:paraId="063CDF98">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（一）项目完成情况。</w:t>
      </w:r>
    </w:p>
    <w:p w14:paraId="033B12E3">
      <w:pPr>
        <w:adjustRightInd w:val="0"/>
        <w:snapToGrid w:val="0"/>
        <w:spacing w:line="600" w:lineRule="exact"/>
        <w:ind w:firstLine="72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该项目主体工程已全面完成，等待验收。</w:t>
      </w:r>
    </w:p>
    <w:p w14:paraId="1C7CE2AB">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（二）项目效益情况。</w:t>
      </w:r>
    </w:p>
    <w:p w14:paraId="5D4ACE45">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zh-CN" w:eastAsia="zh-CN"/>
        </w:rPr>
        <w:t>该项目修复历史废弃工矿取料点51处，面积35.35hm²，</w:t>
      </w:r>
      <w:r>
        <w:rPr>
          <w:rFonts w:hint="eastAsia" w:ascii="仿宋_GB2312" w:hAnsi="Times New Roman" w:eastAsia="仿宋_GB2312" w:cs="Times New Roman"/>
          <w:sz w:val="32"/>
          <w:szCs w:val="32"/>
          <w:lang w:val="en-US" w:eastAsia="zh-CN"/>
        </w:rPr>
        <w:t>为我县开展历史遗留废弃工矿取料点生态修复提供了依据。助推了红原旅游业的健康有序发展，有利于维护当地社会的和谐与稳定，实现地方经济绿色健康发展，取得了良好的社会效益、环境效益和经济效益。</w:t>
      </w:r>
    </w:p>
    <w:p w14:paraId="3DB119F8">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四、问题及建议</w:t>
      </w:r>
    </w:p>
    <w:p w14:paraId="4222F022">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（一）存在的问题。</w:t>
      </w:r>
    </w:p>
    <w:p w14:paraId="412F1B11">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4985F4CA">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（二）相关建议。</w:t>
      </w:r>
    </w:p>
    <w:p w14:paraId="5BE789E3">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2834EBB7">
      <w:pPr>
        <w:pStyle w:val="17"/>
        <w:rPr>
          <w:rFonts w:hint="eastAsia"/>
          <w:lang w:val="zh-CN" w:eastAsia="zh-CN"/>
        </w:rPr>
      </w:pPr>
    </w:p>
    <w:p w14:paraId="2CFC25DF">
      <w:pPr>
        <w:pStyle w:val="9"/>
        <w:spacing w:before="93"/>
        <w:rPr>
          <w:rFonts w:hint="eastAsia"/>
          <w:sz w:val="32"/>
          <w:szCs w:val="32"/>
          <w:lang w:val="en-US" w:eastAsia="zh-CN"/>
        </w:rPr>
      </w:pPr>
      <w:r>
        <w:rPr>
          <w:rFonts w:hint="eastAsia"/>
          <w:sz w:val="32"/>
          <w:szCs w:val="32"/>
          <w:lang w:val="en-US" w:eastAsia="zh-CN"/>
        </w:rPr>
        <w:t>附件4：</w:t>
      </w:r>
    </w:p>
    <w:p w14:paraId="0BAE7F4E">
      <w:pPr>
        <w:pStyle w:val="34"/>
        <w:spacing w:line="600" w:lineRule="exact"/>
        <w:ind w:firstLine="640"/>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红原县自然资源局</w:t>
      </w:r>
    </w:p>
    <w:p w14:paraId="6885E209">
      <w:pPr>
        <w:pStyle w:val="34"/>
        <w:spacing w:line="60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关于</w:t>
      </w:r>
      <w:r>
        <w:rPr>
          <w:rFonts w:hint="eastAsia" w:ascii="方正小标宋简体" w:hAnsi="宋体" w:eastAsia="方正小标宋简体"/>
          <w:sz w:val="44"/>
          <w:szCs w:val="44"/>
        </w:rPr>
        <w:t>红原县黄河长江上游历史废弃工矿取料点生态修复子项目（第二批）</w:t>
      </w:r>
      <w:r>
        <w:rPr>
          <w:rFonts w:hint="eastAsia" w:ascii="方正小标宋简体" w:hAnsi="宋体" w:eastAsia="方正小标宋简体"/>
          <w:sz w:val="44"/>
          <w:szCs w:val="44"/>
          <w:lang w:eastAsia="zh-CN"/>
        </w:rPr>
        <w:t>绩效</w:t>
      </w:r>
    </w:p>
    <w:p w14:paraId="49E58206">
      <w:pPr>
        <w:pStyle w:val="34"/>
        <w:spacing w:line="600" w:lineRule="exact"/>
        <w:jc w:val="center"/>
        <w:rPr>
          <w:rFonts w:hint="eastAsia" w:ascii="宋体" w:hAnsi="宋体" w:eastAsia="方正小标宋简体"/>
          <w:color w:val="auto"/>
          <w:kern w:val="2"/>
          <w:sz w:val="32"/>
          <w:szCs w:val="32"/>
          <w:lang w:eastAsia="zh-CN"/>
        </w:rPr>
      </w:pPr>
      <w:r>
        <w:rPr>
          <w:rFonts w:hint="eastAsia" w:ascii="方正小标宋简体" w:hAnsi="宋体" w:eastAsia="方正小标宋简体"/>
          <w:sz w:val="44"/>
          <w:szCs w:val="44"/>
          <w:lang w:eastAsia="zh-CN"/>
        </w:rPr>
        <w:t>自评报告</w:t>
      </w:r>
    </w:p>
    <w:p w14:paraId="29E44450">
      <w:pPr>
        <w:adjustRightInd w:val="0"/>
        <w:snapToGrid w:val="0"/>
        <w:spacing w:line="600" w:lineRule="exact"/>
        <w:ind w:firstLine="720"/>
        <w:outlineLvl w:val="0"/>
        <w:rPr>
          <w:rFonts w:hint="eastAsia" w:ascii="黑体" w:hAnsi="宋体" w:eastAsia="黑体"/>
        </w:rPr>
      </w:pPr>
    </w:p>
    <w:p w14:paraId="151CA3ED">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一、项目概况</w:t>
      </w:r>
    </w:p>
    <w:p w14:paraId="0BAB5252">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（一）项目资金申报及批复情况。</w:t>
      </w:r>
    </w:p>
    <w:p w14:paraId="4486E70A">
      <w:pPr>
        <w:adjustRightInd w:val="0"/>
        <w:snapToGrid w:val="0"/>
        <w:spacing w:line="600" w:lineRule="exact"/>
        <w:ind w:firstLine="720"/>
        <w:rPr>
          <w:rFonts w:ascii="仿宋_GB2312" w:hAnsi="宋体"/>
          <w:lang w:val="zh-CN"/>
        </w:rPr>
      </w:pPr>
      <w:r>
        <w:rPr>
          <w:rFonts w:hint="eastAsia" w:ascii="仿宋_GB2312" w:eastAsia="仿宋_GB2312"/>
          <w:sz w:val="32"/>
          <w:szCs w:val="32"/>
          <w:lang w:val="en-US" w:eastAsia="zh-CN"/>
        </w:rPr>
        <w:t>为</w:t>
      </w:r>
      <w:r>
        <w:rPr>
          <w:rFonts w:hint="eastAsia" w:ascii="仿宋_GB2312" w:hAnsi="Times New Roman" w:eastAsia="仿宋_GB2312" w:cs="Times New Roman"/>
          <w:sz w:val="32"/>
          <w:szCs w:val="32"/>
          <w:lang w:val="en-US" w:eastAsia="zh-CN"/>
        </w:rPr>
        <w:t>全面贯彻习近平生态文明思想，认真落实中央和省、州、县关于全面加强生态环境保护要求，切实做好生态保护工作，我局开展了红原县黄河长江上游历史废弃工矿取料点生态修复项目，2022年9月28日以《关于请求评审红原县黄河长江上游历史废弃工矿取料点生态修复项目（第二批）预算招标控制价评审的批复红财评（2022）239号》</w:t>
      </w:r>
      <w:r>
        <w:rPr>
          <w:rFonts w:hint="eastAsia" w:ascii="仿宋_GB2312" w:hAnsi="Times New Roman" w:eastAsia="仿宋_GB2312" w:cs="Times New Roman"/>
          <w:sz w:val="32"/>
          <w:szCs w:val="32"/>
          <w:lang w:val="zh-CN" w:eastAsia="zh-CN"/>
        </w:rPr>
        <w:t>。</w:t>
      </w:r>
    </w:p>
    <w:p w14:paraId="6E052CB2">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en-US" w:eastAsia="zh-CN"/>
        </w:rPr>
        <w:t>(二)</w:t>
      </w:r>
      <w:r>
        <w:rPr>
          <w:rFonts w:hint="eastAsia" w:ascii="楷体_GB2312" w:hAnsi="宋体" w:eastAsia="楷体_GB2312" w:cs="Times New Roman"/>
          <w:b/>
          <w:sz w:val="32"/>
          <w:szCs w:val="40"/>
          <w:lang w:val="zh-CN"/>
        </w:rPr>
        <w:t>项目绩效目标。</w:t>
      </w:r>
    </w:p>
    <w:p w14:paraId="43F12B49">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eastAsia="zh-CN"/>
        </w:rPr>
        <w:t>修复历史废弃工矿取料点122处，面积88.22hm²。</w:t>
      </w:r>
    </w:p>
    <w:p w14:paraId="5F87F144">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（三）项目资金申报相符性。</w:t>
      </w:r>
    </w:p>
    <w:p w14:paraId="5BB39974">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该</w:t>
      </w:r>
      <w:r>
        <w:rPr>
          <w:rFonts w:hint="eastAsia" w:ascii="仿宋_GB2312" w:hAnsi="Times New Roman" w:eastAsia="仿宋_GB2312" w:cs="Times New Roman"/>
          <w:sz w:val="32"/>
          <w:szCs w:val="32"/>
          <w:lang w:val="zh-CN" w:eastAsia="zh-CN"/>
        </w:rPr>
        <w:t>项目申报内容与具体实施内容相符、申报目标合理可行。</w:t>
      </w:r>
    </w:p>
    <w:p w14:paraId="238C6F53">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二、项目实施及管理情况</w:t>
      </w:r>
    </w:p>
    <w:p w14:paraId="43F7770E">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ab/>
      </w:r>
      <w:r>
        <w:rPr>
          <w:rFonts w:hint="eastAsia" w:ascii="楷体_GB2312" w:hAnsi="宋体" w:eastAsia="楷体_GB2312" w:cs="Times New Roman"/>
          <w:b/>
          <w:sz w:val="32"/>
          <w:szCs w:val="40"/>
          <w:lang w:val="zh-CN"/>
        </w:rPr>
        <w:t>（一）资金计划、到位及使用情况。</w:t>
      </w:r>
    </w:p>
    <w:p w14:paraId="635CDEBE">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eastAsia="zh-CN"/>
        </w:rPr>
        <w:t>1．资金计划及到位。</w:t>
      </w:r>
    </w:p>
    <w:p w14:paraId="5BF36614">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zh-CN" w:eastAsia="zh-CN"/>
        </w:rPr>
        <w:t>该项目计划总投资</w:t>
      </w:r>
      <w:r>
        <w:rPr>
          <w:rFonts w:hint="eastAsia" w:ascii="仿宋_GB2312" w:hAnsi="Times New Roman" w:eastAsia="仿宋_GB2312" w:cs="Times New Roman"/>
          <w:sz w:val="32"/>
          <w:szCs w:val="32"/>
          <w:lang w:val="en-US" w:eastAsia="zh-CN"/>
        </w:rPr>
        <w:t>4000万元，为中央奖补资金。2022年计划投资1600万元，截止2022年12月31日实际到位资金1600万元，到位率100%。</w:t>
      </w:r>
    </w:p>
    <w:p w14:paraId="7971414F">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val="zh-CN" w:eastAsia="zh-CN"/>
        </w:rPr>
        <w:t>资金使用。</w:t>
      </w:r>
    </w:p>
    <w:p w14:paraId="080E2BB2">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截止2022年12月31日该项目资金已按照合同拨付，共计支付1522.07万元，</w:t>
      </w:r>
      <w:r>
        <w:rPr>
          <w:rFonts w:hint="eastAsia" w:ascii="仿宋_GB2312" w:hAnsi="Times New Roman" w:eastAsia="仿宋_GB2312" w:cs="Times New Roman"/>
          <w:sz w:val="32"/>
          <w:szCs w:val="32"/>
          <w:lang w:val="zh-CN" w:eastAsia="zh-CN"/>
        </w:rPr>
        <w:t>支付依据合规合法。</w:t>
      </w:r>
    </w:p>
    <w:p w14:paraId="7F5DD6D1">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（二）项目财务管理情况。</w:t>
      </w:r>
    </w:p>
    <w:p w14:paraId="1C56DB82">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项目实施过程中严格按照项目财务管理制度进行财务管理，严格按照《会计法》、财经法规执行，确保专款专用，专人负责，不挪用、截留、坐支项目资金，规范会计核算程序。</w:t>
      </w:r>
    </w:p>
    <w:p w14:paraId="37E2CD2B">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（三）项目组织实施情况。</w:t>
      </w:r>
    </w:p>
    <w:p w14:paraId="41EE9158">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严格按照《四川省历史遗留废弃矿山生态修复项目管理办法》、《省级重点生态保护修复治理资金管理办法》等各项规章制度进行招投标等工作，在项目开始阶段，严格执行国家法律和行业法规，按照基本建设程序进行管理，及时办理各种建设手续，包括项目概算、建设用地、图纸审查、开工报告等，各项手续齐全，确保工程顺利进行。施工过程中对工程质量、进度、投资、安全以及外部协调等工作进行科学管理，质量上严格执行国家标准，进度上采用现代网络技术，安全执行国家安全生产条例，投资严格按照预算标准执行，保证工程目标实现。项目建设单位主体资格、管理人员资质满足项目质量管理要求。建设单位依法进行了工程发包，通过公开招标等法定程序选定参建单位并签定了有效设承包合同。</w:t>
      </w:r>
    </w:p>
    <w:p w14:paraId="225B93A6">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三、项目绩效情况</w:t>
      </w:r>
      <w:r>
        <w:rPr>
          <w:rFonts w:hint="eastAsia" w:ascii="黑体" w:hAnsi="宋体" w:eastAsia="黑体" w:cs="Times New Roman"/>
          <w:sz w:val="36"/>
          <w:szCs w:val="44"/>
          <w:lang w:val="zh-CN"/>
        </w:rPr>
        <w:tab/>
      </w:r>
    </w:p>
    <w:p w14:paraId="1242BAF9">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（一）项目完成情况。</w:t>
      </w:r>
    </w:p>
    <w:p w14:paraId="162A0589">
      <w:pPr>
        <w:adjustRightInd w:val="0"/>
        <w:snapToGrid w:val="0"/>
        <w:spacing w:line="600" w:lineRule="exact"/>
        <w:ind w:firstLine="72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该项目主体工程已全面完成，等待验收。</w:t>
      </w:r>
    </w:p>
    <w:p w14:paraId="6D0A8BEC">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（二）项目效益情况。</w:t>
      </w:r>
    </w:p>
    <w:p w14:paraId="50B5E86D">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zh-CN" w:eastAsia="zh-CN"/>
        </w:rPr>
        <w:t>该项目完成修复历史废弃工矿取料点122处，面积88.22hm²，</w:t>
      </w:r>
      <w:r>
        <w:rPr>
          <w:rFonts w:hint="eastAsia" w:ascii="仿宋_GB2312" w:hAnsi="Times New Roman" w:eastAsia="仿宋_GB2312" w:cs="Times New Roman"/>
          <w:sz w:val="32"/>
          <w:szCs w:val="32"/>
          <w:lang w:val="en-US" w:eastAsia="zh-CN"/>
        </w:rPr>
        <w:t>为我县开展历史遗留废弃工矿取料点生态修复提供了依据。助推了红原旅游业的健康有序发展，有利于维护当地社会的和谐与稳定，实现地方经济绿色健康发展，取得了良好的社会效益、环境效益和经济效益。</w:t>
      </w:r>
    </w:p>
    <w:p w14:paraId="07FAF9BF">
      <w:pPr>
        <w:adjustRightInd w:val="0"/>
        <w:snapToGrid w:val="0"/>
        <w:spacing w:line="600" w:lineRule="exact"/>
        <w:ind w:firstLine="720"/>
        <w:outlineLvl w:val="0"/>
        <w:rPr>
          <w:rFonts w:hint="eastAsia" w:ascii="黑体" w:hAnsi="宋体" w:eastAsia="黑体" w:cs="Times New Roman"/>
          <w:sz w:val="36"/>
          <w:szCs w:val="44"/>
          <w:lang w:val="zh-CN"/>
        </w:rPr>
      </w:pPr>
      <w:r>
        <w:rPr>
          <w:rFonts w:hint="eastAsia" w:ascii="黑体" w:hAnsi="宋体" w:eastAsia="黑体" w:cs="Times New Roman"/>
          <w:sz w:val="36"/>
          <w:szCs w:val="44"/>
          <w:lang w:val="zh-CN"/>
        </w:rPr>
        <w:t>四、问题及建议</w:t>
      </w:r>
    </w:p>
    <w:p w14:paraId="32ECA8FD">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（一）存在的问题。</w:t>
      </w:r>
    </w:p>
    <w:p w14:paraId="17FE3B3A">
      <w:pPr>
        <w:adjustRightInd w:val="0"/>
        <w:snapToGrid w:val="0"/>
        <w:spacing w:line="600" w:lineRule="exact"/>
        <w:ind w:firstLine="72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77D7FB1E">
      <w:pPr>
        <w:adjustRightInd w:val="0"/>
        <w:snapToGrid w:val="0"/>
        <w:spacing w:line="600" w:lineRule="exact"/>
        <w:ind w:firstLine="720"/>
        <w:outlineLvl w:val="1"/>
        <w:rPr>
          <w:rFonts w:hint="eastAsia" w:ascii="楷体_GB2312" w:hAnsi="宋体" w:eastAsia="楷体_GB2312" w:cs="Times New Roman"/>
          <w:b/>
          <w:sz w:val="32"/>
          <w:szCs w:val="40"/>
          <w:lang w:val="zh-CN"/>
        </w:rPr>
      </w:pPr>
      <w:r>
        <w:rPr>
          <w:rFonts w:hint="eastAsia" w:ascii="楷体_GB2312" w:hAnsi="宋体" w:eastAsia="楷体_GB2312" w:cs="Times New Roman"/>
          <w:b/>
          <w:sz w:val="32"/>
          <w:szCs w:val="40"/>
          <w:lang w:val="zh-CN"/>
        </w:rPr>
        <w:t>（二）相关建议。</w:t>
      </w:r>
    </w:p>
    <w:p w14:paraId="0F7C5790">
      <w:pPr>
        <w:adjustRightInd w:val="0"/>
        <w:snapToGrid w:val="0"/>
        <w:spacing w:line="600" w:lineRule="exact"/>
        <w:ind w:firstLine="720"/>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无。</w:t>
      </w:r>
    </w:p>
    <w:p w14:paraId="27E38772">
      <w:pPr>
        <w:adjustRightInd w:val="0"/>
        <w:snapToGrid w:val="0"/>
        <w:spacing w:line="600" w:lineRule="exact"/>
        <w:ind w:firstLine="720"/>
        <w:rPr>
          <w:rFonts w:hint="eastAsia" w:ascii="仿宋_GB2312" w:hAnsi="Times New Roman" w:eastAsia="仿宋_GB2312" w:cs="Times New Roman"/>
          <w:sz w:val="32"/>
          <w:szCs w:val="32"/>
          <w:lang w:val="en-US" w:eastAsia="zh-CN"/>
        </w:rPr>
      </w:pPr>
    </w:p>
    <w:p w14:paraId="023AA58C">
      <w:pPr>
        <w:spacing w:line="600" w:lineRule="exact"/>
        <w:jc w:val="center"/>
        <w:outlineLvl w:val="0"/>
        <w:rPr>
          <w:rFonts w:ascii="仿宋" w:eastAsia="仿宋"/>
        </w:rPr>
      </w:pPr>
      <w:r>
        <w:rPr>
          <w:rFonts w:hint="eastAsia" w:ascii="黑体" w:eastAsia="黑体"/>
          <w:sz w:val="44"/>
          <w:szCs w:val="44"/>
        </w:rPr>
        <w:t>第</w:t>
      </w:r>
      <w:r>
        <w:rPr>
          <w:rStyle w:val="24"/>
          <w:rFonts w:hint="eastAsia" w:ascii="黑体" w:eastAsia="黑体"/>
          <w:b w:val="0"/>
        </w:rPr>
        <w:t>五部分 附表</w:t>
      </w:r>
      <w:bookmarkEnd w:id="117"/>
      <w:bookmarkEnd w:id="118"/>
      <w:bookmarkEnd w:id="119"/>
      <w:bookmarkStart w:id="120" w:name="_Toc15396619"/>
    </w:p>
    <w:p w14:paraId="2FF3F7D3">
      <w:pPr>
        <w:pStyle w:val="6"/>
        <w:rPr>
          <w:rFonts w:ascii="仿宋" w:eastAsia="仿宋"/>
        </w:rPr>
      </w:pPr>
      <w:bookmarkStart w:id="121" w:name="_Toc4332"/>
      <w:r>
        <w:rPr>
          <w:rFonts w:hint="eastAsia" w:ascii="仿宋" w:eastAsia="仿宋"/>
          <w:b w:val="0"/>
        </w:rPr>
        <w:t>一、收</w:t>
      </w:r>
      <w:r>
        <w:rPr>
          <w:rStyle w:val="25"/>
          <w:rFonts w:hint="eastAsia" w:ascii="仿宋" w:eastAsia="仿宋"/>
          <w:b w:val="0"/>
          <w:bCs w:val="0"/>
        </w:rPr>
        <w:t>入支出决算总表</w:t>
      </w:r>
      <w:bookmarkEnd w:id="120"/>
      <w:bookmarkEnd w:id="121"/>
    </w:p>
    <w:p w14:paraId="34FC54D1">
      <w:pPr>
        <w:pStyle w:val="6"/>
        <w:rPr>
          <w:rFonts w:ascii="仿宋" w:eastAsia="仿宋"/>
        </w:rPr>
      </w:pPr>
      <w:bookmarkStart w:id="122" w:name="_Toc15396620"/>
      <w:bookmarkStart w:id="123" w:name="_Toc24601"/>
      <w:r>
        <w:rPr>
          <w:rFonts w:hint="eastAsia" w:ascii="仿宋" w:eastAsia="仿宋"/>
          <w:b w:val="0"/>
        </w:rPr>
        <w:t>二、收</w:t>
      </w:r>
      <w:r>
        <w:rPr>
          <w:rStyle w:val="25"/>
          <w:rFonts w:hint="eastAsia" w:ascii="仿宋" w:eastAsia="仿宋"/>
          <w:b w:val="0"/>
          <w:bCs w:val="0"/>
        </w:rPr>
        <w:t>入决算表</w:t>
      </w:r>
      <w:bookmarkEnd w:id="122"/>
      <w:bookmarkEnd w:id="123"/>
    </w:p>
    <w:p w14:paraId="0ADF434D">
      <w:pPr>
        <w:pStyle w:val="6"/>
        <w:rPr>
          <w:rFonts w:ascii="仿宋" w:eastAsia="仿宋"/>
        </w:rPr>
      </w:pPr>
      <w:bookmarkStart w:id="124" w:name="_Toc15396621"/>
      <w:bookmarkStart w:id="125" w:name="_Toc32502"/>
      <w:r>
        <w:rPr>
          <w:rStyle w:val="25"/>
          <w:rFonts w:hint="eastAsia" w:ascii="仿宋" w:eastAsia="仿宋"/>
          <w:b w:val="0"/>
          <w:bCs w:val="0"/>
        </w:rPr>
        <w:t>三、</w:t>
      </w:r>
      <w:r>
        <w:rPr>
          <w:rFonts w:hint="eastAsia" w:ascii="仿宋" w:eastAsia="仿宋"/>
          <w:b w:val="0"/>
        </w:rPr>
        <w:t>支</w:t>
      </w:r>
      <w:r>
        <w:rPr>
          <w:rStyle w:val="25"/>
          <w:rFonts w:hint="eastAsia" w:ascii="仿宋" w:eastAsia="仿宋"/>
          <w:b w:val="0"/>
          <w:bCs w:val="0"/>
        </w:rPr>
        <w:t>出决算表</w:t>
      </w:r>
      <w:bookmarkEnd w:id="124"/>
      <w:bookmarkEnd w:id="125"/>
    </w:p>
    <w:p w14:paraId="7E858D85">
      <w:pPr>
        <w:pStyle w:val="6"/>
        <w:rPr>
          <w:rFonts w:ascii="仿宋" w:eastAsia="仿宋"/>
          <w:b w:val="0"/>
        </w:rPr>
      </w:pPr>
      <w:bookmarkStart w:id="126" w:name="_Toc15396622"/>
      <w:bookmarkStart w:id="127" w:name="_Toc17441"/>
      <w:r>
        <w:rPr>
          <w:rStyle w:val="25"/>
          <w:rFonts w:hint="eastAsia" w:ascii="仿宋" w:eastAsia="仿宋"/>
          <w:b w:val="0"/>
          <w:bCs w:val="0"/>
        </w:rPr>
        <w:t>四、</w:t>
      </w:r>
      <w:r>
        <w:rPr>
          <w:rFonts w:hint="eastAsia" w:ascii="仿宋" w:eastAsia="仿宋"/>
          <w:b w:val="0"/>
        </w:rPr>
        <w:t>财</w:t>
      </w:r>
      <w:r>
        <w:rPr>
          <w:rStyle w:val="25"/>
          <w:rFonts w:hint="eastAsia" w:ascii="仿宋" w:eastAsia="仿宋"/>
          <w:b w:val="0"/>
          <w:bCs w:val="0"/>
        </w:rPr>
        <w:t>政拨款收入支出决算总表</w:t>
      </w:r>
      <w:bookmarkEnd w:id="126"/>
      <w:bookmarkEnd w:id="127"/>
    </w:p>
    <w:p w14:paraId="4B404B06">
      <w:pPr>
        <w:pStyle w:val="6"/>
        <w:rPr>
          <w:rStyle w:val="25"/>
          <w:rFonts w:ascii="仿宋" w:eastAsia="仿宋"/>
          <w:b w:val="0"/>
          <w:bCs w:val="0"/>
        </w:rPr>
      </w:pPr>
      <w:bookmarkStart w:id="128" w:name="_Toc31372"/>
      <w:bookmarkStart w:id="129" w:name="_Toc15396623"/>
      <w:r>
        <w:rPr>
          <w:rStyle w:val="25"/>
          <w:rFonts w:hint="eastAsia" w:ascii="仿宋" w:eastAsia="仿宋"/>
          <w:b w:val="0"/>
          <w:bCs w:val="0"/>
        </w:rPr>
        <w:t>五、</w:t>
      </w:r>
      <w:r>
        <w:rPr>
          <w:rFonts w:hint="eastAsia" w:ascii="仿宋" w:eastAsia="仿宋"/>
          <w:b w:val="0"/>
        </w:rPr>
        <w:t>财</w:t>
      </w:r>
      <w:r>
        <w:rPr>
          <w:rStyle w:val="25"/>
          <w:rFonts w:hint="eastAsia" w:ascii="仿宋" w:eastAsia="仿宋"/>
          <w:b w:val="0"/>
          <w:bCs w:val="0"/>
        </w:rPr>
        <w:t>政拨款支出决算明细表</w:t>
      </w:r>
      <w:bookmarkEnd w:id="128"/>
      <w:bookmarkEnd w:id="129"/>
      <w:bookmarkStart w:id="130" w:name="_Toc15396624"/>
    </w:p>
    <w:p w14:paraId="50553C9E">
      <w:pPr>
        <w:pStyle w:val="6"/>
        <w:rPr>
          <w:rFonts w:ascii="仿宋" w:eastAsia="仿宋"/>
        </w:rPr>
      </w:pPr>
      <w:bookmarkStart w:id="131" w:name="_Toc17398"/>
      <w:r>
        <w:rPr>
          <w:rStyle w:val="25"/>
          <w:rFonts w:hint="eastAsia" w:ascii="仿宋" w:eastAsia="仿宋"/>
          <w:b w:val="0"/>
          <w:bCs w:val="0"/>
        </w:rPr>
        <w:t>六、</w:t>
      </w:r>
      <w:r>
        <w:rPr>
          <w:rFonts w:hint="eastAsia" w:ascii="仿宋" w:eastAsia="仿宋"/>
          <w:b w:val="0"/>
        </w:rPr>
        <w:t>一</w:t>
      </w:r>
      <w:r>
        <w:rPr>
          <w:rStyle w:val="25"/>
          <w:rFonts w:hint="eastAsia" w:ascii="仿宋" w:eastAsia="仿宋"/>
          <w:b w:val="0"/>
          <w:bCs w:val="0"/>
        </w:rPr>
        <w:t>般公共预算财政拨款支出决算表</w:t>
      </w:r>
      <w:bookmarkEnd w:id="130"/>
      <w:bookmarkEnd w:id="131"/>
    </w:p>
    <w:p w14:paraId="261C6141">
      <w:pPr>
        <w:pStyle w:val="6"/>
        <w:rPr>
          <w:rFonts w:ascii="仿宋" w:eastAsia="仿宋"/>
        </w:rPr>
      </w:pPr>
      <w:bookmarkStart w:id="132" w:name="_Toc15396625"/>
      <w:bookmarkStart w:id="133" w:name="_Toc26219"/>
      <w:r>
        <w:rPr>
          <w:rStyle w:val="25"/>
          <w:rFonts w:hint="eastAsia" w:ascii="仿宋" w:eastAsia="仿宋"/>
          <w:b w:val="0"/>
          <w:bCs w:val="0"/>
        </w:rPr>
        <w:t>七、</w:t>
      </w:r>
      <w:r>
        <w:rPr>
          <w:rFonts w:hint="eastAsia" w:ascii="仿宋" w:eastAsia="仿宋"/>
          <w:b w:val="0"/>
        </w:rPr>
        <w:t>一</w:t>
      </w:r>
      <w:r>
        <w:rPr>
          <w:rStyle w:val="25"/>
          <w:rFonts w:hint="eastAsia" w:ascii="仿宋" w:eastAsia="仿宋"/>
          <w:b w:val="0"/>
          <w:bCs w:val="0"/>
        </w:rPr>
        <w:t>般公共预算财政拨款支出决算明细表</w:t>
      </w:r>
      <w:bookmarkEnd w:id="132"/>
      <w:bookmarkEnd w:id="133"/>
    </w:p>
    <w:p w14:paraId="1B2D3B3C">
      <w:pPr>
        <w:pStyle w:val="6"/>
        <w:rPr>
          <w:rFonts w:ascii="仿宋" w:eastAsia="仿宋"/>
        </w:rPr>
      </w:pPr>
      <w:bookmarkStart w:id="134" w:name="_Toc29921"/>
      <w:bookmarkStart w:id="135" w:name="_Toc15396626"/>
      <w:r>
        <w:rPr>
          <w:rStyle w:val="25"/>
          <w:rFonts w:hint="eastAsia" w:ascii="仿宋" w:eastAsia="仿宋"/>
          <w:b w:val="0"/>
          <w:bCs w:val="0"/>
        </w:rPr>
        <w:t>八、</w:t>
      </w:r>
      <w:r>
        <w:rPr>
          <w:rFonts w:hint="eastAsia" w:ascii="仿宋" w:eastAsia="仿宋"/>
          <w:b w:val="0"/>
        </w:rPr>
        <w:t>一</w:t>
      </w:r>
      <w:r>
        <w:rPr>
          <w:rStyle w:val="25"/>
          <w:rFonts w:hint="eastAsia" w:ascii="仿宋" w:eastAsia="仿宋"/>
          <w:b w:val="0"/>
          <w:bCs w:val="0"/>
        </w:rPr>
        <w:t>般公共预算财政拨款基本支出决算表</w:t>
      </w:r>
      <w:bookmarkEnd w:id="134"/>
      <w:bookmarkEnd w:id="135"/>
    </w:p>
    <w:p w14:paraId="3B88AF4B">
      <w:pPr>
        <w:pStyle w:val="6"/>
        <w:rPr>
          <w:rFonts w:ascii="仿宋" w:eastAsia="仿宋"/>
        </w:rPr>
      </w:pPr>
      <w:bookmarkStart w:id="136" w:name="_Toc15396627"/>
      <w:bookmarkStart w:id="137" w:name="_Toc21041"/>
      <w:r>
        <w:rPr>
          <w:rStyle w:val="25"/>
          <w:rFonts w:hint="eastAsia" w:ascii="仿宋" w:eastAsia="仿宋"/>
          <w:b w:val="0"/>
          <w:bCs w:val="0"/>
        </w:rPr>
        <w:t>九、</w:t>
      </w:r>
      <w:r>
        <w:rPr>
          <w:rFonts w:hint="eastAsia" w:ascii="仿宋" w:eastAsia="仿宋"/>
          <w:b w:val="0"/>
        </w:rPr>
        <w:t>一</w:t>
      </w:r>
      <w:r>
        <w:rPr>
          <w:rStyle w:val="25"/>
          <w:rFonts w:hint="eastAsia" w:ascii="仿宋" w:eastAsia="仿宋"/>
          <w:b w:val="0"/>
          <w:bCs w:val="0"/>
        </w:rPr>
        <w:t>般公共预算财政拨款项目支出决算表</w:t>
      </w:r>
      <w:bookmarkEnd w:id="136"/>
      <w:bookmarkEnd w:id="137"/>
    </w:p>
    <w:p w14:paraId="75153D42">
      <w:pPr>
        <w:pStyle w:val="6"/>
        <w:rPr>
          <w:rFonts w:ascii="仿宋" w:eastAsia="仿宋"/>
        </w:rPr>
      </w:pPr>
      <w:bookmarkStart w:id="138" w:name="_Toc15396628"/>
      <w:bookmarkStart w:id="139" w:name="_Toc8604"/>
      <w:r>
        <w:rPr>
          <w:rStyle w:val="25"/>
          <w:rFonts w:hint="eastAsia" w:ascii="仿宋" w:eastAsia="仿宋"/>
          <w:b w:val="0"/>
          <w:bCs w:val="0"/>
        </w:rPr>
        <w:t>十、</w:t>
      </w:r>
      <w:bookmarkEnd w:id="138"/>
      <w:r>
        <w:rPr>
          <w:rFonts w:hint="eastAsia" w:ascii="仿宋" w:eastAsia="仿宋"/>
          <w:b w:val="0"/>
        </w:rPr>
        <w:t>政</w:t>
      </w:r>
      <w:r>
        <w:rPr>
          <w:rStyle w:val="25"/>
          <w:rFonts w:hint="eastAsia" w:ascii="仿宋" w:eastAsia="仿宋"/>
          <w:b w:val="0"/>
          <w:bCs w:val="0"/>
        </w:rPr>
        <w:t>府性基金预算财政拨款收入支出决算表</w:t>
      </w:r>
      <w:bookmarkEnd w:id="139"/>
    </w:p>
    <w:p w14:paraId="50747C82">
      <w:pPr>
        <w:pStyle w:val="6"/>
        <w:rPr>
          <w:rFonts w:ascii="仿宋" w:eastAsia="仿宋"/>
        </w:rPr>
      </w:pPr>
      <w:bookmarkStart w:id="140" w:name="_Toc15396629"/>
      <w:bookmarkStart w:id="141" w:name="_Toc14584"/>
      <w:r>
        <w:rPr>
          <w:rStyle w:val="25"/>
          <w:rFonts w:hint="eastAsia" w:ascii="仿宋" w:eastAsia="仿宋"/>
          <w:b w:val="0"/>
          <w:bCs w:val="0"/>
        </w:rPr>
        <w:t>十一、</w:t>
      </w:r>
      <w:bookmarkEnd w:id="140"/>
      <w:r>
        <w:rPr>
          <w:rFonts w:hint="eastAsia" w:ascii="仿宋" w:eastAsia="仿宋"/>
          <w:b w:val="0"/>
        </w:rPr>
        <w:t>国</w:t>
      </w:r>
      <w:r>
        <w:rPr>
          <w:rStyle w:val="25"/>
          <w:rFonts w:hint="eastAsia" w:ascii="仿宋" w:eastAsia="仿宋"/>
          <w:b w:val="0"/>
          <w:bCs w:val="0"/>
        </w:rPr>
        <w:t>有资本经营预算财政拨款收入支出决算表</w:t>
      </w:r>
      <w:bookmarkEnd w:id="141"/>
    </w:p>
    <w:p w14:paraId="709F2D43">
      <w:pPr>
        <w:pStyle w:val="6"/>
        <w:rPr>
          <w:rFonts w:ascii="仿宋" w:eastAsia="仿宋"/>
        </w:rPr>
      </w:pPr>
      <w:bookmarkStart w:id="142" w:name="_Toc15396630"/>
      <w:bookmarkStart w:id="143" w:name="_Toc28409"/>
      <w:r>
        <w:rPr>
          <w:rStyle w:val="25"/>
          <w:rFonts w:hint="eastAsia" w:ascii="仿宋" w:eastAsia="仿宋"/>
          <w:b w:val="0"/>
          <w:bCs w:val="0"/>
        </w:rPr>
        <w:t>十二、</w:t>
      </w:r>
      <w:bookmarkEnd w:id="142"/>
      <w:r>
        <w:rPr>
          <w:rStyle w:val="25"/>
          <w:rFonts w:hint="eastAsia" w:ascii="仿宋" w:eastAsia="仿宋"/>
          <w:b w:val="0"/>
          <w:bCs w:val="0"/>
        </w:rPr>
        <w:t>国有资本经营预算财政拨款支出决算表</w:t>
      </w:r>
      <w:bookmarkEnd w:id="143"/>
    </w:p>
    <w:p w14:paraId="05B0CD4E">
      <w:pPr>
        <w:pStyle w:val="6"/>
        <w:rPr>
          <w:rFonts w:eastAsia="仿宋"/>
        </w:rPr>
      </w:pPr>
      <w:bookmarkStart w:id="144" w:name="_Toc15396631"/>
      <w:bookmarkStart w:id="145" w:name="_Toc29162"/>
      <w:r>
        <w:rPr>
          <w:rStyle w:val="25"/>
          <w:rFonts w:hint="eastAsia" w:ascii="仿宋" w:eastAsia="仿宋"/>
          <w:b w:val="0"/>
          <w:bCs w:val="0"/>
        </w:rPr>
        <w:t>十三、</w:t>
      </w:r>
      <w:bookmarkEnd w:id="144"/>
      <w:r>
        <w:rPr>
          <w:rStyle w:val="25"/>
          <w:rFonts w:hint="eastAsia" w:ascii="仿宋" w:eastAsia="仿宋"/>
          <w:b w:val="0"/>
          <w:bCs w:val="0"/>
        </w:rPr>
        <w:t>财政拨款“三公”经费支出决算表</w:t>
      </w:r>
      <w:bookmarkEnd w:id="145"/>
    </w:p>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1616354"/>
    </w:sdtPr>
    <w:sdtContent>
      <w:p w14:paraId="44ACAF4E">
        <w:pPr>
          <w:pStyle w:val="12"/>
          <w:jc w:val="center"/>
        </w:pPr>
        <w:r>
          <w:fldChar w:fldCharType="begin"/>
        </w:r>
        <w:r>
          <w:instrText xml:space="preserve">PAGE   \* MERGEFORMAT</w:instrText>
        </w:r>
        <w:r>
          <w:fldChar w:fldCharType="separate"/>
        </w:r>
        <w:r>
          <w:rPr>
            <w:lang w:val="zh-CN"/>
          </w:rPr>
          <w:t>2</w:t>
        </w:r>
        <w:r>
          <w:fldChar w:fldCharType="end"/>
        </w:r>
      </w:p>
    </w:sdtContent>
  </w:sdt>
  <w:p w14:paraId="7CB596BE">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251E3">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9179A3"/>
    <w:multiLevelType w:val="singleLevel"/>
    <w:tmpl w:val="959179A3"/>
    <w:lvl w:ilvl="0" w:tentative="0">
      <w:start w:val="1"/>
      <w:numFmt w:val="decimal"/>
      <w:lvlText w:val="%1."/>
      <w:lvlJc w:val="left"/>
      <w:pPr>
        <w:tabs>
          <w:tab w:val="left" w:pos="312"/>
        </w:tabs>
      </w:pPr>
    </w:lvl>
  </w:abstractNum>
  <w:abstractNum w:abstractNumId="1">
    <w:nsid w:val="972907CE"/>
    <w:multiLevelType w:val="singleLevel"/>
    <w:tmpl w:val="972907CE"/>
    <w:lvl w:ilvl="0" w:tentative="0">
      <w:start w:val="1"/>
      <w:numFmt w:val="chineseCounting"/>
      <w:suff w:val="nothing"/>
      <w:lvlText w:val="（%1）"/>
      <w:lvlJc w:val="left"/>
      <w:rPr>
        <w:rFonts w:hint="eastAsia"/>
      </w:rPr>
    </w:lvl>
  </w:abstractNum>
  <w:abstractNum w:abstractNumId="2">
    <w:nsid w:val="B1E627DE"/>
    <w:multiLevelType w:val="singleLevel"/>
    <w:tmpl w:val="B1E627DE"/>
    <w:lvl w:ilvl="0" w:tentative="0">
      <w:start w:val="2"/>
      <w:numFmt w:val="chineseCounting"/>
      <w:suff w:val="nothing"/>
      <w:lvlText w:val="（%1）"/>
      <w:lvlJc w:val="left"/>
      <w:rPr>
        <w:rFonts w:hint="eastAsia"/>
      </w:rPr>
    </w:lvl>
  </w:abstractNum>
  <w:abstractNum w:abstractNumId="3">
    <w:nsid w:val="CF652CEC"/>
    <w:multiLevelType w:val="singleLevel"/>
    <w:tmpl w:val="CF652CEC"/>
    <w:lvl w:ilvl="0" w:tentative="0">
      <w:start w:val="9"/>
      <w:numFmt w:val="chineseCounting"/>
      <w:suff w:val="nothing"/>
      <w:lvlText w:val="%1、"/>
      <w:lvlJc w:val="left"/>
      <w:pPr>
        <w:ind w:left="0" w:firstLine="0"/>
      </w:pPr>
      <w:rPr>
        <w:rFonts w:hint="eastAsia"/>
      </w:rPr>
    </w:lvl>
  </w:abstractNum>
  <w:abstractNum w:abstractNumId="4">
    <w:nsid w:val="E2FA047D"/>
    <w:multiLevelType w:val="singleLevel"/>
    <w:tmpl w:val="E2FA047D"/>
    <w:lvl w:ilvl="0" w:tentative="0">
      <w:start w:val="3"/>
      <w:numFmt w:val="chineseCounting"/>
      <w:suff w:val="space"/>
      <w:lvlText w:val="第%1部分"/>
      <w:lvlJc w:val="left"/>
      <w:pPr>
        <w:ind w:left="0" w:firstLine="0"/>
      </w:pPr>
      <w:rPr>
        <w:rFonts w:hint="eastAsia"/>
      </w:rPr>
    </w:lvl>
  </w:abstractNum>
  <w:abstractNum w:abstractNumId="5">
    <w:nsid w:val="E7550524"/>
    <w:multiLevelType w:val="singleLevel"/>
    <w:tmpl w:val="E7550524"/>
    <w:lvl w:ilvl="0" w:tentative="0">
      <w:start w:val="1"/>
      <w:numFmt w:val="chineseCounting"/>
      <w:suff w:val="nothing"/>
      <w:lvlText w:val="%1、"/>
      <w:lvlJc w:val="left"/>
      <w:rPr>
        <w:rFonts w:hint="eastAsia"/>
      </w:rPr>
    </w:lvl>
  </w:abstractNum>
  <w:abstractNum w:abstractNumId="6">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7">
    <w:nsid w:val="3227A906"/>
    <w:multiLevelType w:val="singleLevel"/>
    <w:tmpl w:val="3227A906"/>
    <w:lvl w:ilvl="0" w:tentative="0">
      <w:start w:val="2"/>
      <w:numFmt w:val="chineseCounting"/>
      <w:suff w:val="nothing"/>
      <w:lvlText w:val="（%1）"/>
      <w:lvlJc w:val="left"/>
      <w:rPr>
        <w:rFonts w:hint="eastAsia"/>
      </w:rPr>
    </w:lvl>
  </w:abstractNum>
  <w:abstractNum w:abstractNumId="8">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5"/>
  </w:num>
  <w:num w:numId="2">
    <w:abstractNumId w:val="1"/>
  </w:num>
  <w:num w:numId="3">
    <w:abstractNumId w:val="8"/>
  </w:num>
  <w:num w:numId="4">
    <w:abstractNumId w:val="6"/>
  </w:num>
  <w:num w:numId="5">
    <w:abstractNumId w:val="0"/>
  </w:num>
  <w:num w:numId="6">
    <w:abstractNumId w:val="3"/>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1OGYzOTQxY2YzYzNlZWY2N2Q1ZmMwOWYxOWE3NTIifQ=="/>
  </w:docVars>
  <w:rsids>
    <w:rsidRoot w:val="005346C9"/>
    <w:rsid w:val="002C1B69"/>
    <w:rsid w:val="005346C9"/>
    <w:rsid w:val="00726E51"/>
    <w:rsid w:val="007C6D18"/>
    <w:rsid w:val="00DD01D2"/>
    <w:rsid w:val="00FB532C"/>
    <w:rsid w:val="030F0B5C"/>
    <w:rsid w:val="03DF5790"/>
    <w:rsid w:val="04E62116"/>
    <w:rsid w:val="0526776E"/>
    <w:rsid w:val="06E21479"/>
    <w:rsid w:val="07356F80"/>
    <w:rsid w:val="07D14ECB"/>
    <w:rsid w:val="082E749C"/>
    <w:rsid w:val="09606B5D"/>
    <w:rsid w:val="098323A5"/>
    <w:rsid w:val="0AD66DCB"/>
    <w:rsid w:val="0AD66F15"/>
    <w:rsid w:val="0B7B36B2"/>
    <w:rsid w:val="0BE84C83"/>
    <w:rsid w:val="0C655459"/>
    <w:rsid w:val="0CAD2C5C"/>
    <w:rsid w:val="0CE71B79"/>
    <w:rsid w:val="0D4E219F"/>
    <w:rsid w:val="0EEA5373"/>
    <w:rsid w:val="0F2566F5"/>
    <w:rsid w:val="0F2E4368"/>
    <w:rsid w:val="101A4A76"/>
    <w:rsid w:val="11861943"/>
    <w:rsid w:val="125C681E"/>
    <w:rsid w:val="157308EB"/>
    <w:rsid w:val="16D43E82"/>
    <w:rsid w:val="177B2C0A"/>
    <w:rsid w:val="18D34788"/>
    <w:rsid w:val="19EF4E3A"/>
    <w:rsid w:val="1A8E7DCB"/>
    <w:rsid w:val="1CF4653A"/>
    <w:rsid w:val="1D1430B7"/>
    <w:rsid w:val="1D8347D3"/>
    <w:rsid w:val="1E374EF7"/>
    <w:rsid w:val="1F6D3CC4"/>
    <w:rsid w:val="1FD73EB9"/>
    <w:rsid w:val="2056155C"/>
    <w:rsid w:val="23661190"/>
    <w:rsid w:val="23E5658B"/>
    <w:rsid w:val="24996E16"/>
    <w:rsid w:val="26131AA4"/>
    <w:rsid w:val="29246012"/>
    <w:rsid w:val="2C8A75AE"/>
    <w:rsid w:val="2D862EC5"/>
    <w:rsid w:val="2E0E211B"/>
    <w:rsid w:val="2EFA2C7B"/>
    <w:rsid w:val="300D51F3"/>
    <w:rsid w:val="308C762A"/>
    <w:rsid w:val="31881464"/>
    <w:rsid w:val="351B0E3A"/>
    <w:rsid w:val="374C23B1"/>
    <w:rsid w:val="37531EA6"/>
    <w:rsid w:val="38474E03"/>
    <w:rsid w:val="388E0B68"/>
    <w:rsid w:val="39752C31"/>
    <w:rsid w:val="39C30B72"/>
    <w:rsid w:val="3A1271AE"/>
    <w:rsid w:val="3A786EA0"/>
    <w:rsid w:val="3AC67708"/>
    <w:rsid w:val="3AF0102B"/>
    <w:rsid w:val="3C635D95"/>
    <w:rsid w:val="3DC84EEB"/>
    <w:rsid w:val="40461CDF"/>
    <w:rsid w:val="41DB2715"/>
    <w:rsid w:val="4202089A"/>
    <w:rsid w:val="421335F5"/>
    <w:rsid w:val="4251440E"/>
    <w:rsid w:val="45F61819"/>
    <w:rsid w:val="462616BF"/>
    <w:rsid w:val="462E650B"/>
    <w:rsid w:val="46554622"/>
    <w:rsid w:val="46BA4611"/>
    <w:rsid w:val="47761978"/>
    <w:rsid w:val="48200E6C"/>
    <w:rsid w:val="48E441A1"/>
    <w:rsid w:val="4A136486"/>
    <w:rsid w:val="4A280412"/>
    <w:rsid w:val="4A597333"/>
    <w:rsid w:val="4B6D06F5"/>
    <w:rsid w:val="4BE07C97"/>
    <w:rsid w:val="4D4F4C98"/>
    <w:rsid w:val="4D771361"/>
    <w:rsid w:val="4DC40D43"/>
    <w:rsid w:val="4E3C34E5"/>
    <w:rsid w:val="4FF5649E"/>
    <w:rsid w:val="52446C30"/>
    <w:rsid w:val="526E6F25"/>
    <w:rsid w:val="52BF3F71"/>
    <w:rsid w:val="53A56342"/>
    <w:rsid w:val="55F04149"/>
    <w:rsid w:val="564A3901"/>
    <w:rsid w:val="56502301"/>
    <w:rsid w:val="56D22693"/>
    <w:rsid w:val="56F52A92"/>
    <w:rsid w:val="57133AE1"/>
    <w:rsid w:val="57F012D3"/>
    <w:rsid w:val="58CC6D2D"/>
    <w:rsid w:val="58FA0452"/>
    <w:rsid w:val="5AF8464F"/>
    <w:rsid w:val="5BDF331F"/>
    <w:rsid w:val="5CA54D61"/>
    <w:rsid w:val="5CF55985"/>
    <w:rsid w:val="5D745CA7"/>
    <w:rsid w:val="5E045D34"/>
    <w:rsid w:val="5FD25E79"/>
    <w:rsid w:val="606032B3"/>
    <w:rsid w:val="61043579"/>
    <w:rsid w:val="632B70E3"/>
    <w:rsid w:val="6518565E"/>
    <w:rsid w:val="65E438F3"/>
    <w:rsid w:val="65ED3838"/>
    <w:rsid w:val="671C3F96"/>
    <w:rsid w:val="695A7EC2"/>
    <w:rsid w:val="69F92758"/>
    <w:rsid w:val="6A016603"/>
    <w:rsid w:val="6AC139DB"/>
    <w:rsid w:val="6B714B66"/>
    <w:rsid w:val="6C5F5594"/>
    <w:rsid w:val="6DD45BB3"/>
    <w:rsid w:val="6FA579FD"/>
    <w:rsid w:val="719678FD"/>
    <w:rsid w:val="7219620D"/>
    <w:rsid w:val="729F4DA9"/>
    <w:rsid w:val="72E10B31"/>
    <w:rsid w:val="72EF60D1"/>
    <w:rsid w:val="73CE6499"/>
    <w:rsid w:val="747C5CE8"/>
    <w:rsid w:val="754B2DB6"/>
    <w:rsid w:val="756D15A0"/>
    <w:rsid w:val="75F77364"/>
    <w:rsid w:val="7688488F"/>
    <w:rsid w:val="76F528E5"/>
    <w:rsid w:val="778731E7"/>
    <w:rsid w:val="78006CB7"/>
    <w:rsid w:val="78D15B9A"/>
    <w:rsid w:val="78FF737C"/>
    <w:rsid w:val="797B09E1"/>
    <w:rsid w:val="79C214C3"/>
    <w:rsid w:val="79DD22E8"/>
    <w:rsid w:val="7A067C34"/>
    <w:rsid w:val="7A8F2022"/>
    <w:rsid w:val="7B2565C5"/>
    <w:rsid w:val="7B4D6E23"/>
    <w:rsid w:val="7D1563E1"/>
    <w:rsid w:val="7D7A787F"/>
    <w:rsid w:val="7E0F7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4"/>
    <w:uiPriority w:val="0"/>
    <w:pPr>
      <w:keepNext/>
      <w:keepLines/>
      <w:spacing w:before="340" w:after="330" w:line="578" w:lineRule="auto"/>
      <w:outlineLvl w:val="0"/>
    </w:pPr>
    <w:rPr>
      <w:b/>
      <w:bCs/>
      <w:kern w:val="44"/>
      <w:sz w:val="44"/>
      <w:szCs w:val="44"/>
    </w:rPr>
  </w:style>
  <w:style w:type="paragraph" w:styleId="6">
    <w:name w:val="heading 2"/>
    <w:basedOn w:val="1"/>
    <w:next w:val="1"/>
    <w:link w:val="25"/>
    <w:qFormat/>
    <w:uiPriority w:val="0"/>
    <w:pPr>
      <w:keepNext/>
      <w:keepLines/>
      <w:spacing w:before="260" w:after="260" w:line="415" w:lineRule="auto"/>
      <w:outlineLvl w:val="1"/>
    </w:pPr>
    <w:rPr>
      <w:rFonts w:ascii="Cambria" w:hAnsi="Cambria"/>
      <w:b/>
      <w:bCs/>
      <w:sz w:val="32"/>
      <w:szCs w:val="32"/>
    </w:rPr>
  </w:style>
  <w:style w:type="paragraph" w:styleId="7">
    <w:name w:val="heading 3"/>
    <w:basedOn w:val="1"/>
    <w:next w:val="1"/>
    <w:uiPriority w:val="0"/>
    <w:pPr>
      <w:keepNext/>
      <w:keepLines/>
      <w:spacing w:before="260" w:after="260" w:line="415" w:lineRule="auto"/>
      <w:outlineLvl w:val="2"/>
    </w:pPr>
    <w:rPr>
      <w:b/>
      <w:bCs/>
      <w:sz w:val="32"/>
      <w:szCs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200" w:firstLineChars="200"/>
    </w:pPr>
  </w:style>
  <w:style w:type="paragraph" w:styleId="3">
    <w:name w:val="Body Text Indent"/>
    <w:basedOn w:val="1"/>
    <w:next w:val="2"/>
    <w:qFormat/>
    <w:uiPriority w:val="0"/>
    <w:pPr>
      <w:spacing w:after="120"/>
      <w:ind w:left="200" w:leftChars="200"/>
    </w:pPr>
    <w:rPr>
      <w:rFonts w:ascii="仿宋_GB2312" w:hAnsi="仿宋_GB2312"/>
      <w:szCs w:val="32"/>
    </w:rPr>
  </w:style>
  <w:style w:type="paragraph" w:styleId="4">
    <w:name w:val="Plain Text"/>
    <w:basedOn w:val="1"/>
    <w:qFormat/>
    <w:uiPriority w:val="0"/>
    <w:pPr>
      <w:spacing w:before="0" w:beforeAutospacing="0" w:after="0" w:afterAutospacing="0"/>
      <w:ind w:left="0" w:right="0"/>
      <w:jc w:val="left"/>
    </w:pPr>
    <w:rPr>
      <w:rFonts w:hint="eastAsia" w:ascii="宋体" w:hAnsi="宋体" w:eastAsia="宋体" w:cs="Courier New"/>
      <w:kern w:val="0"/>
      <w:sz w:val="24"/>
      <w:szCs w:val="24"/>
      <w:lang w:val="en-US" w:eastAsia="zh-CN" w:bidi="ar"/>
    </w:rPr>
  </w:style>
  <w:style w:type="paragraph" w:styleId="8">
    <w:name w:val="index 5"/>
    <w:basedOn w:val="1"/>
    <w:next w:val="1"/>
    <w:qFormat/>
    <w:uiPriority w:val="0"/>
    <w:pPr>
      <w:ind w:left="1680"/>
    </w:pPr>
  </w:style>
  <w:style w:type="paragraph" w:styleId="9">
    <w:name w:val="Body Text"/>
    <w:basedOn w:val="1"/>
    <w:qFormat/>
    <w:uiPriority w:val="0"/>
    <w:pPr>
      <w:spacing w:beforeLines="30"/>
    </w:pPr>
    <w:rPr>
      <w:rFonts w:ascii="仿宋_GB2312" w:eastAsia="仿宋_GB2312"/>
      <w:kern w:val="0"/>
      <w:sz w:val="30"/>
    </w:rPr>
  </w:style>
  <w:style w:type="paragraph" w:styleId="10">
    <w:name w:val="toc 3"/>
    <w:basedOn w:val="1"/>
    <w:next w:val="1"/>
    <w:qFormat/>
    <w:uiPriority w:val="0"/>
    <w:pPr>
      <w:tabs>
        <w:tab w:val="right" w:leader="dot" w:pos="8296"/>
      </w:tabs>
      <w:ind w:left="400" w:leftChars="400"/>
    </w:pPr>
  </w:style>
  <w:style w:type="paragraph" w:styleId="11">
    <w:name w:val="Balloon Text"/>
    <w:basedOn w:val="1"/>
    <w:qFormat/>
    <w:uiPriority w:val="0"/>
    <w:rPr>
      <w:sz w:val="18"/>
      <w:szCs w:val="18"/>
    </w:rPr>
  </w:style>
  <w:style w:type="paragraph" w:styleId="12">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qFormat/>
    <w:uiPriority w:val="0"/>
    <w:pPr>
      <w:tabs>
        <w:tab w:val="right" w:leader="dot" w:pos="8296"/>
      </w:tabs>
      <w:spacing w:before="93"/>
      <w:jc w:val="center"/>
    </w:pPr>
    <w:rPr>
      <w:rFonts w:ascii="仿宋" w:eastAsia="仿宋"/>
      <w:sz w:val="28"/>
      <w:szCs w:val="28"/>
    </w:rPr>
  </w:style>
  <w:style w:type="paragraph" w:styleId="15">
    <w:name w:val="table of figures"/>
    <w:basedOn w:val="1"/>
    <w:next w:val="1"/>
    <w:qFormat/>
    <w:uiPriority w:val="0"/>
    <w:pPr>
      <w:ind w:left="400" w:leftChars="200" w:hanging="200" w:hangingChars="200"/>
    </w:pPr>
  </w:style>
  <w:style w:type="paragraph" w:styleId="16">
    <w:name w:val="toc 2"/>
    <w:basedOn w:val="1"/>
    <w:next w:val="1"/>
    <w:qFormat/>
    <w:uiPriority w:val="0"/>
    <w:pPr>
      <w:tabs>
        <w:tab w:val="right" w:leader="dot" w:pos="8296"/>
      </w:tabs>
      <w:ind w:left="200" w:leftChars="200"/>
    </w:pPr>
  </w:style>
  <w:style w:type="paragraph" w:styleId="17">
    <w:name w:val="Body Text 2"/>
    <w:basedOn w:val="1"/>
    <w:qFormat/>
    <w:uiPriority w:val="0"/>
    <w:pPr>
      <w:spacing w:after="120" w:line="480" w:lineRule="auto"/>
    </w:pPr>
  </w:style>
  <w:style w:type="paragraph" w:styleId="18">
    <w:name w:val="Normal (Web)"/>
    <w:basedOn w:val="1"/>
    <w:next w:val="8"/>
    <w:qFormat/>
    <w:uiPriority w:val="0"/>
    <w:pPr>
      <w:spacing w:before="0" w:beforeAutospacing="1" w:after="0" w:afterAutospacing="1"/>
      <w:ind w:left="0" w:right="0"/>
      <w:jc w:val="left"/>
    </w:pPr>
    <w:rPr>
      <w:rFonts w:hint="default" w:ascii="宋体" w:hAnsi="宋体" w:eastAsia="宋体" w:cs="宋体"/>
      <w:kern w:val="0"/>
      <w:sz w:val="24"/>
      <w:lang w:val="en-US" w:eastAsia="zh-CN" w:bidi="ar"/>
    </w:rPr>
  </w:style>
  <w:style w:type="character" w:styleId="21">
    <w:name w:val="Strong"/>
    <w:basedOn w:val="20"/>
    <w:qFormat/>
    <w:uiPriority w:val="0"/>
    <w:rPr>
      <w:b/>
    </w:rPr>
  </w:style>
  <w:style w:type="character" w:styleId="22">
    <w:name w:val="page number"/>
    <w:basedOn w:val="20"/>
    <w:qFormat/>
    <w:uiPriority w:val="0"/>
  </w:style>
  <w:style w:type="character" w:styleId="23">
    <w:name w:val="Hyperlink"/>
    <w:basedOn w:val="20"/>
    <w:qFormat/>
    <w:uiPriority w:val="0"/>
    <w:rPr>
      <w:color w:val="0000FF"/>
      <w:u w:val="single"/>
    </w:rPr>
  </w:style>
  <w:style w:type="character" w:customStyle="1" w:styleId="24">
    <w:name w:val="标题 1 Char"/>
    <w:basedOn w:val="20"/>
    <w:link w:val="5"/>
    <w:qFormat/>
    <w:uiPriority w:val="0"/>
    <w:rPr>
      <w:rFonts w:ascii="Times New Roman" w:hAnsi="Times New Roman" w:eastAsia="宋体" w:cs="Times New Roman"/>
      <w:b/>
      <w:bCs/>
      <w:kern w:val="44"/>
      <w:sz w:val="44"/>
      <w:szCs w:val="44"/>
      <w:lang w:val="en-US" w:eastAsia="zh-CN" w:bidi="ar-SA"/>
    </w:rPr>
  </w:style>
  <w:style w:type="character" w:customStyle="1" w:styleId="25">
    <w:name w:val="标题 2 Char"/>
    <w:basedOn w:val="20"/>
    <w:link w:val="6"/>
    <w:qFormat/>
    <w:uiPriority w:val="0"/>
    <w:rPr>
      <w:rFonts w:ascii="Cambria" w:hAnsi="Cambria" w:eastAsia="宋体" w:cs="Times New Roman"/>
      <w:b/>
      <w:bCs/>
      <w:kern w:val="2"/>
      <w:sz w:val="32"/>
      <w:szCs w:val="32"/>
      <w:lang w:val="en-US" w:eastAsia="zh-CN" w:bidi="ar-SA"/>
    </w:rPr>
  </w:style>
  <w:style w:type="paragraph" w:customStyle="1" w:styleId="26">
    <w:name w:val="标题 5（有编号）（绿盟科技）"/>
    <w:next w:val="1"/>
    <w:qFormat/>
    <w:uiPriority w:val="0"/>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7">
    <w:name w:val="Header Char"/>
    <w:basedOn w:val="20"/>
    <w:qFormat/>
    <w:uiPriority w:val="0"/>
    <w:rPr>
      <w:rFonts w:ascii="Times New Roman" w:hAnsi="Times New Roman"/>
      <w:sz w:val="18"/>
      <w:szCs w:val="18"/>
    </w:rPr>
  </w:style>
  <w:style w:type="character" w:customStyle="1" w:styleId="28">
    <w:name w:val="Footer Char"/>
    <w:basedOn w:val="20"/>
    <w:qFormat/>
    <w:uiPriority w:val="0"/>
    <w:rPr>
      <w:rFonts w:ascii="Times New Roman" w:hAnsi="Times New Roman"/>
      <w:sz w:val="18"/>
      <w:szCs w:val="18"/>
    </w:rPr>
  </w:style>
  <w:style w:type="character" w:customStyle="1" w:styleId="29">
    <w:name w:val="Body Text Char"/>
    <w:basedOn w:val="20"/>
    <w:qFormat/>
    <w:uiPriority w:val="0"/>
    <w:rPr>
      <w:rFonts w:ascii="Times New Roman" w:hAnsi="Times New Roman"/>
      <w:szCs w:val="24"/>
    </w:rPr>
  </w:style>
  <w:style w:type="paragraph" w:customStyle="1" w:styleId="3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31">
    <w:name w:val="List Paragraph"/>
    <w:basedOn w:val="1"/>
    <w:qFormat/>
    <w:uiPriority w:val="0"/>
    <w:pPr>
      <w:ind w:firstLine="200" w:firstLineChars="200"/>
    </w:pPr>
  </w:style>
  <w:style w:type="paragraph" w:customStyle="1" w:styleId="32">
    <w:name w:val="TOC 标题1"/>
    <w:basedOn w:val="5"/>
    <w:next w:val="1"/>
    <w:qFormat/>
    <w:uiPriority w:val="0"/>
    <w:pPr>
      <w:widowControl/>
      <w:spacing w:before="480" w:after="0" w:line="276" w:lineRule="auto"/>
      <w:jc w:val="left"/>
      <w:outlineLvl w:val="9"/>
    </w:pPr>
    <w:rPr>
      <w:rFonts w:ascii="Cambria" w:hAnsi="Cambria"/>
      <w:color w:val="376092"/>
      <w:kern w:val="0"/>
      <w:sz w:val="28"/>
      <w:szCs w:val="28"/>
    </w:rPr>
  </w:style>
  <w:style w:type="paragraph" w:customStyle="1" w:styleId="33">
    <w:name w:val="TOC 标题2"/>
    <w:basedOn w:val="5"/>
    <w:next w:val="1"/>
    <w:qFormat/>
    <w:uiPriority w:val="0"/>
    <w:pPr>
      <w:widowControl/>
      <w:spacing w:before="480" w:after="0" w:line="276" w:lineRule="auto"/>
      <w:jc w:val="left"/>
      <w:outlineLvl w:val="9"/>
    </w:pPr>
    <w:rPr>
      <w:rFonts w:ascii="Cambria" w:hAnsi="Cambria"/>
      <w:color w:val="376092"/>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BodyTextIndent2"/>
    <w:basedOn w:val="1"/>
    <w:qFormat/>
    <w:uiPriority w:val="0"/>
    <w:pPr>
      <w:spacing w:line="580" w:lineRule="exact"/>
      <w:ind w:firstLine="544" w:firstLineChars="200"/>
      <w:jc w:val="both"/>
      <w:textAlignment w:val="baseline"/>
    </w:pPr>
    <w:rPr>
      <w:rFonts w:ascii="仿宋_GB2312" w:hAnsi="Calibri" w:eastAsia="仿宋_GB2312"/>
      <w:spacing w:val="-4"/>
      <w:kern w:val="2"/>
      <w:sz w:val="28"/>
      <w:szCs w:val="24"/>
      <w:lang w:val="en-US" w:eastAsia="zh-CN" w:bidi="ar-SA"/>
    </w:rPr>
  </w:style>
  <w:style w:type="character" w:customStyle="1" w:styleId="36">
    <w:name w:val="NormalCharacter"/>
    <w:qFormat/>
    <w:uiPriority w:val="0"/>
    <w:rPr>
      <w:rFonts w:ascii="Calibri" w:hAnsi="Calibri" w:eastAsia="宋体" w:cs="Times New Roman"/>
      <w:kern w:val="2"/>
      <w:sz w:val="21"/>
      <w:szCs w:val="24"/>
      <w:lang w:val="en-US" w:eastAsia="zh-CN" w:bidi="ar-SA"/>
    </w:rPr>
  </w:style>
  <w:style w:type="paragraph" w:customStyle="1" w:styleId="37">
    <w:name w:val="BodyText1I2"/>
    <w:basedOn w:val="38"/>
    <w:next w:val="1"/>
    <w:qFormat/>
    <w:uiPriority w:val="0"/>
    <w:pPr>
      <w:spacing w:line="560" w:lineRule="atLeast"/>
      <w:ind w:firstLine="420" w:firstLineChars="200"/>
      <w:jc w:val="both"/>
      <w:textAlignment w:val="baseline"/>
    </w:pPr>
  </w:style>
  <w:style w:type="paragraph" w:customStyle="1" w:styleId="38">
    <w:name w:val="BodyTextIndent"/>
    <w:basedOn w:val="1"/>
    <w:next w:val="37"/>
    <w:qFormat/>
    <w:uiPriority w:val="0"/>
    <w:pPr>
      <w:spacing w:line="560" w:lineRule="atLeast"/>
      <w:ind w:firstLine="640" w:firstLineChars="200"/>
      <w:jc w:val="both"/>
      <w:textAlignment w:val="baseline"/>
    </w:pPr>
    <w:rPr>
      <w:rFonts w:ascii="仿宋_GB2312" w:eastAsia="仿宋_GB2312"/>
      <w:kern w:val="2"/>
      <w:sz w:val="32"/>
      <w:szCs w:val="24"/>
      <w:lang w:val="en-US" w:eastAsia="zh-CN" w:bidi="ar-SA"/>
    </w:rPr>
  </w:style>
  <w:style w:type="paragraph" w:customStyle="1" w:styleId="39">
    <w:name w:val="HtmlNormal"/>
    <w:basedOn w:val="1"/>
    <w:next w:val="40"/>
    <w:qFormat/>
    <w:uiPriority w:val="0"/>
    <w:pPr>
      <w:spacing w:before="100" w:beforeAutospacing="1" w:after="100" w:afterAutospacing="1"/>
      <w:ind w:left="0" w:right="0"/>
      <w:jc w:val="left"/>
      <w:textAlignment w:val="baseline"/>
    </w:pPr>
    <w:rPr>
      <w:rFonts w:ascii="Calibri" w:hAnsi="Calibri" w:eastAsia="宋体"/>
      <w:kern w:val="0"/>
      <w:sz w:val="24"/>
      <w:szCs w:val="24"/>
      <w:lang w:val="en-US" w:eastAsia="zh-CN"/>
    </w:rPr>
  </w:style>
  <w:style w:type="paragraph" w:customStyle="1" w:styleId="40">
    <w:name w:val="Index5"/>
    <w:basedOn w:val="1"/>
    <w:next w:val="1"/>
    <w:qFormat/>
    <w:uiPriority w:val="0"/>
    <w:pPr>
      <w:ind w:left="1680"/>
      <w:jc w:val="both"/>
      <w:textAlignment w:val="baseline"/>
    </w:pPr>
  </w:style>
  <w:style w:type="character" w:customStyle="1" w:styleId="41">
    <w:name w:val="font01"/>
    <w:basedOn w:val="2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43</Pages>
  <Words>17201</Words>
  <Characters>18731</Characters>
  <Lines>58</Lines>
  <Paragraphs>16</Paragraphs>
  <TotalTime>4</TotalTime>
  <ScaleCrop>false</ScaleCrop>
  <LinksUpToDate>false</LinksUpToDate>
  <CharactersWithSpaces>18864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bgs</cp:lastModifiedBy>
  <cp:lastPrinted>2023-07-31T02:35:00Z</cp:lastPrinted>
  <dcterms:modified xsi:type="dcterms:W3CDTF">2024-09-04T02:12:45Z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C14320D27D394A6B8D9D8A4B3246FD80_13</vt:lpwstr>
  </property>
</Properties>
</file>