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红原县住房和城乡建设局</w:t>
      </w: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2022</w:t>
      </w:r>
      <w:r>
        <w:rPr>
          <w:rFonts w:hint="eastAsia" w:ascii="方正小标宋简体" w:hAnsi="方正小标宋简体" w:eastAsia="方正小标宋简体" w:cs="方正小标宋简体"/>
          <w:b w:val="0"/>
          <w:bCs/>
          <w:sz w:val="44"/>
          <w:szCs w:val="44"/>
        </w:rPr>
        <w:t>年部门预算编制的说明</w:t>
      </w:r>
    </w:p>
    <w:p>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4" w:firstLineChars="200"/>
        <w:textAlignment w:val="auto"/>
        <w:rPr>
          <w:rFonts w:hint="eastAsia" w:ascii="仿宋_GB2312" w:hAnsi="仿宋_GB2312" w:eastAsia="仿宋_GB2312" w:cstheme="minorBidi"/>
          <w:b w:val="0"/>
          <w:bCs/>
          <w:spacing w:val="6"/>
          <w:kern w:val="2"/>
          <w:sz w:val="32"/>
          <w:szCs w:val="32"/>
          <w:lang w:val="en-US" w:eastAsia="zh-CN" w:bidi="ar-SA"/>
        </w:rPr>
      </w:pPr>
      <w:r>
        <w:rPr>
          <w:rFonts w:hint="eastAsia" w:ascii="仿宋_GB2312" w:hAnsi="仿宋_GB2312" w:eastAsia="仿宋_GB2312" w:cstheme="minorBidi"/>
          <w:b w:val="0"/>
          <w:bCs/>
          <w:spacing w:val="6"/>
          <w:kern w:val="2"/>
          <w:sz w:val="32"/>
          <w:szCs w:val="32"/>
          <w:lang w:val="en-US" w:eastAsia="zh-CN" w:bidi="ar-SA"/>
        </w:rPr>
        <w:t>1.贯彻执行国家、省、州住房和城乡建设、城市管理、城乡环境综合治理、住房保障、工程建设、城乡建设、建筑业、房屋装饰装修业、住宅与房地产业、市政公用事业的法律、法规、地方性规章和方针、政策，负责本系统、本部门依法行政工作，落实行政执法责任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4" w:firstLineChars="200"/>
        <w:textAlignment w:val="auto"/>
        <w:rPr>
          <w:rFonts w:hint="eastAsia" w:ascii="仿宋_GB2312" w:hAnsi="仿宋_GB2312" w:eastAsia="仿宋_GB2312" w:cstheme="minorBidi"/>
          <w:b w:val="0"/>
          <w:bCs/>
          <w:spacing w:val="6"/>
          <w:kern w:val="2"/>
          <w:sz w:val="32"/>
          <w:szCs w:val="32"/>
          <w:lang w:val="en-US" w:eastAsia="zh-CN" w:bidi="ar-SA"/>
        </w:rPr>
      </w:pPr>
      <w:r>
        <w:rPr>
          <w:rFonts w:hint="eastAsia" w:ascii="仿宋_GB2312" w:hAnsi="仿宋_GB2312" w:eastAsia="仿宋_GB2312" w:cstheme="minorBidi"/>
          <w:b w:val="0"/>
          <w:bCs/>
          <w:spacing w:val="6"/>
          <w:kern w:val="2"/>
          <w:sz w:val="32"/>
          <w:szCs w:val="32"/>
          <w:lang w:val="en-US" w:eastAsia="zh-CN" w:bidi="ar-SA"/>
        </w:rPr>
        <w:t>2.承担推进住房制度改革、保障城镇低收入家庭住房的责任。贯彻落实省、州住房及住房保障相关政策，指导住房建设，推进住房制度改革。会同有关部门加强保障性住房资金的管理。拟定全县住房保障发展规划和年度计划并监督实施。</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4" w:firstLineChars="200"/>
        <w:textAlignment w:val="auto"/>
        <w:rPr>
          <w:rFonts w:hint="eastAsia" w:ascii="仿宋_GB2312" w:hAnsi="仿宋_GB2312" w:eastAsia="仿宋_GB2312" w:cstheme="minorBidi"/>
          <w:b w:val="0"/>
          <w:bCs/>
          <w:spacing w:val="6"/>
          <w:kern w:val="2"/>
          <w:sz w:val="32"/>
          <w:szCs w:val="32"/>
          <w:lang w:val="en-US" w:eastAsia="zh-CN" w:bidi="ar-SA"/>
        </w:rPr>
      </w:pPr>
      <w:r>
        <w:rPr>
          <w:rFonts w:hint="eastAsia" w:ascii="仿宋_GB2312" w:hAnsi="仿宋_GB2312" w:eastAsia="仿宋_GB2312" w:cstheme="minorBidi"/>
          <w:b w:val="0"/>
          <w:bCs/>
          <w:spacing w:val="6"/>
          <w:kern w:val="2"/>
          <w:sz w:val="32"/>
          <w:szCs w:val="32"/>
          <w:lang w:val="en-US" w:eastAsia="zh-CN" w:bidi="ar-SA"/>
        </w:rPr>
        <w:t>3.承担贯彻执行全县工程建设标准体系的责任。按照工程建设实施阶段的国家标准、四川省统一定额和行业标准定额以及工程建设的地方标准规定，监督各类工程建设标准定额的实施和工程造价计价，组织发布工程造价信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4" w:firstLineChars="200"/>
        <w:textAlignment w:val="auto"/>
        <w:rPr>
          <w:rFonts w:hint="eastAsia" w:ascii="仿宋_GB2312" w:hAnsi="仿宋_GB2312" w:eastAsia="仿宋_GB2312" w:cstheme="minorBidi"/>
          <w:b w:val="0"/>
          <w:bCs/>
          <w:spacing w:val="6"/>
          <w:kern w:val="2"/>
          <w:sz w:val="32"/>
          <w:szCs w:val="32"/>
          <w:lang w:val="en-US" w:eastAsia="zh-CN" w:bidi="ar-SA"/>
        </w:rPr>
      </w:pPr>
      <w:r>
        <w:rPr>
          <w:rFonts w:hint="eastAsia" w:ascii="仿宋_GB2312" w:hAnsi="仿宋_GB2312" w:eastAsia="仿宋_GB2312" w:cstheme="minorBidi"/>
          <w:b w:val="0"/>
          <w:bCs/>
          <w:spacing w:val="6"/>
          <w:kern w:val="2"/>
          <w:sz w:val="32"/>
          <w:szCs w:val="32"/>
          <w:lang w:val="en-US" w:eastAsia="zh-CN" w:bidi="ar-SA"/>
        </w:rPr>
        <w:t>4.承担规范房地产市场秩序、监督管理房地产市场的责任。会同有关部门组织拟订房地产市场监督管理政策并监督执行，提出房地产业的发展规划、发展计划和房地产市场监督管理措施，并监督执行。制定危房鉴定、白蚁防治、房地产估价物业管理、房屋征收拆迁的规章制度并监督执行。</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4" w:firstLineChars="200"/>
        <w:textAlignment w:val="auto"/>
        <w:rPr>
          <w:rFonts w:hint="eastAsia" w:ascii="仿宋_GB2312" w:hAnsi="仿宋_GB2312" w:eastAsia="仿宋_GB2312" w:cstheme="minorBidi"/>
          <w:b w:val="0"/>
          <w:bCs/>
          <w:spacing w:val="6"/>
          <w:kern w:val="2"/>
          <w:sz w:val="32"/>
          <w:szCs w:val="32"/>
          <w:lang w:val="en-US" w:eastAsia="zh-CN" w:bidi="ar-SA"/>
        </w:rPr>
      </w:pPr>
      <w:r>
        <w:rPr>
          <w:rFonts w:hint="eastAsia" w:ascii="仿宋_GB2312" w:hAnsi="仿宋_GB2312" w:eastAsia="仿宋_GB2312" w:cstheme="minorBidi"/>
          <w:b w:val="0"/>
          <w:bCs/>
          <w:spacing w:val="6"/>
          <w:kern w:val="2"/>
          <w:sz w:val="32"/>
          <w:szCs w:val="32"/>
          <w:lang w:val="en-US" w:eastAsia="zh-CN" w:bidi="ar-SA"/>
        </w:rPr>
        <w:t>5.承担监督管理建筑市场、规范市场各方主体行为的责任。指导全县建筑活动，拟订工程建设、建筑业及装饰装修业发展战略、中长期规划、改革方案、产业政策、规章制度并监督执行。配合相关部门开展房屋建筑和市政基础设施工程项目招投标活动的监督。监督执行建设工程施工、监理以及规范建筑市场各方主体行为的规章制度。负责建筑工程质量安全的监督管理工作，监督执行建筑工程质量、建筑安全生产和竣工验收备案的政策、规章制度，组织或参与工程重大质量、安全事故的调查处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4" w:firstLineChars="200"/>
        <w:textAlignment w:val="auto"/>
        <w:rPr>
          <w:rFonts w:hint="eastAsia" w:ascii="仿宋_GB2312" w:hAnsi="仿宋_GB2312" w:eastAsia="仿宋_GB2312" w:cstheme="minorBidi"/>
          <w:b w:val="0"/>
          <w:bCs/>
          <w:spacing w:val="6"/>
          <w:kern w:val="2"/>
          <w:sz w:val="32"/>
          <w:szCs w:val="32"/>
          <w:lang w:val="en-US" w:eastAsia="zh-CN" w:bidi="ar-SA"/>
        </w:rPr>
      </w:pPr>
      <w:r>
        <w:rPr>
          <w:rFonts w:hint="eastAsia" w:ascii="仿宋_GB2312" w:hAnsi="仿宋_GB2312" w:eastAsia="仿宋_GB2312" w:cstheme="minorBidi"/>
          <w:b w:val="0"/>
          <w:bCs/>
          <w:spacing w:val="6"/>
          <w:kern w:val="2"/>
          <w:sz w:val="32"/>
          <w:szCs w:val="32"/>
          <w:lang w:val="en-US" w:eastAsia="zh-CN" w:bidi="ar-SA"/>
        </w:rPr>
        <w:t>6.承担监督管理勘察设计咨询市场秩序和勘察设计咨询质量的责任。指导实施工程勘察设计咨询业的发展战略、中长期规划、改革方案、产业和技术政策、规章制度。指导建设工程抗震设防工作，组织开展城镇建筑物抗震性能普查、鉴定加固和改造工作，指导村镇和农村建设抗震工作，指导和组织灾后恢复重建工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4" w:firstLineChars="200"/>
        <w:textAlignment w:val="auto"/>
        <w:rPr>
          <w:rFonts w:hint="eastAsia" w:ascii="仿宋_GB2312" w:hAnsi="仿宋_GB2312" w:eastAsia="仿宋_GB2312" w:cstheme="minorBidi"/>
          <w:b w:val="0"/>
          <w:bCs/>
          <w:spacing w:val="6"/>
          <w:kern w:val="2"/>
          <w:sz w:val="32"/>
          <w:szCs w:val="32"/>
          <w:lang w:val="en-US" w:eastAsia="zh-CN" w:bidi="ar-SA"/>
        </w:rPr>
      </w:pPr>
      <w:r>
        <w:rPr>
          <w:rFonts w:hint="eastAsia" w:ascii="仿宋_GB2312" w:hAnsi="仿宋_GB2312" w:eastAsia="仿宋_GB2312" w:cstheme="minorBidi"/>
          <w:b w:val="0"/>
          <w:bCs/>
          <w:spacing w:val="6"/>
          <w:kern w:val="2"/>
          <w:sz w:val="32"/>
          <w:szCs w:val="32"/>
          <w:lang w:val="en-US" w:eastAsia="zh-CN" w:bidi="ar-SA"/>
        </w:rPr>
        <w:t>7.承担规范和指导村镇建设的责任。指导实施村庄和小城镇建设，指导农村住房建设管理和危房改造，指导小城镇和村庄人居生态环境的改善工作，指导和组织各类村镇建设试点工作，指导管理受灾村镇及国家大型重点建设项目地区村镇迁建、重建工作。指导城镇供水、节水、排水、燃气、污水和垃圾处理等市政公用设施的建设管理，指导城镇市容环境综合整治工作，指导城镇防汛排涝工作，指导城镇建设档案管理工作。会同有关部门做好城市维护资金监管使用，并组织实施。</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4" w:firstLineChars="200"/>
        <w:textAlignment w:val="auto"/>
        <w:rPr>
          <w:rFonts w:hint="eastAsia" w:ascii="仿宋_GB2312" w:hAnsi="仿宋_GB2312" w:eastAsia="仿宋_GB2312" w:cstheme="minorBidi"/>
          <w:b w:val="0"/>
          <w:bCs/>
          <w:spacing w:val="6"/>
          <w:kern w:val="2"/>
          <w:sz w:val="32"/>
          <w:szCs w:val="32"/>
          <w:lang w:val="en-US" w:eastAsia="zh-CN" w:bidi="ar-SA"/>
        </w:rPr>
      </w:pPr>
      <w:r>
        <w:rPr>
          <w:rFonts w:hint="eastAsia" w:ascii="仿宋_GB2312" w:hAnsi="仿宋_GB2312" w:eastAsia="仿宋_GB2312" w:cstheme="minorBidi"/>
          <w:b w:val="0"/>
          <w:bCs/>
          <w:spacing w:val="6"/>
          <w:kern w:val="2"/>
          <w:sz w:val="32"/>
          <w:szCs w:val="32"/>
          <w:lang w:val="en-US" w:eastAsia="zh-CN" w:bidi="ar-SA"/>
        </w:rPr>
        <w:t>8.承担推进建筑节能、城镇减排的责任。负责推进行业科学发展和建筑节能工作，推广应用新技术、新材料、新工艺，组织实施重大建筑节能项目，推进城镇减排。组织实施重点科技项目成果转化工作，承担推进墙体材料革新的责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4" w:firstLineChars="200"/>
        <w:textAlignment w:val="auto"/>
        <w:rPr>
          <w:rFonts w:hint="eastAsia" w:ascii="仿宋_GB2312" w:hAnsi="仿宋_GB2312" w:eastAsia="仿宋_GB2312" w:cstheme="minorBidi"/>
          <w:b w:val="0"/>
          <w:bCs/>
          <w:spacing w:val="6"/>
          <w:kern w:val="2"/>
          <w:sz w:val="32"/>
          <w:szCs w:val="32"/>
          <w:lang w:val="en-US" w:eastAsia="zh-CN" w:bidi="ar-SA"/>
        </w:rPr>
      </w:pPr>
      <w:r>
        <w:rPr>
          <w:rFonts w:hint="eastAsia" w:ascii="仿宋_GB2312" w:hAnsi="仿宋_GB2312" w:eastAsia="仿宋_GB2312" w:cstheme="minorBidi"/>
          <w:b w:val="0"/>
          <w:bCs/>
          <w:spacing w:val="6"/>
          <w:kern w:val="2"/>
          <w:sz w:val="32"/>
          <w:szCs w:val="32"/>
          <w:lang w:val="en-US" w:eastAsia="zh-CN" w:bidi="ar-SA"/>
        </w:rPr>
        <w:t>9.制订建设行业人才培养和教育发展规划并组织实施，指导建设行业科技人才队伍建设和执业资格管理工作。负责指导住房和城乡建设系统的信访工作，督查督办重大信访案件。开展住房和城乡建设方面的交流与合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4" w:firstLineChars="200"/>
        <w:textAlignment w:val="auto"/>
        <w:rPr>
          <w:rFonts w:hint="eastAsia" w:ascii="仿宋_GB2312" w:hAnsi="仿宋_GB2312" w:eastAsia="仿宋_GB2312" w:cstheme="minorBidi"/>
          <w:b w:val="0"/>
          <w:bCs/>
          <w:spacing w:val="6"/>
          <w:kern w:val="2"/>
          <w:sz w:val="32"/>
          <w:szCs w:val="32"/>
          <w:lang w:val="en-US" w:eastAsia="zh-CN" w:bidi="ar-SA"/>
        </w:rPr>
      </w:pPr>
      <w:r>
        <w:rPr>
          <w:rFonts w:hint="eastAsia" w:ascii="仿宋_GB2312" w:hAnsi="仿宋_GB2312" w:eastAsia="仿宋_GB2312" w:cstheme="minorBidi"/>
          <w:b w:val="0"/>
          <w:bCs/>
          <w:spacing w:val="6"/>
          <w:kern w:val="2"/>
          <w:sz w:val="32"/>
          <w:szCs w:val="32"/>
          <w:lang w:val="en-US" w:eastAsia="zh-CN" w:bidi="ar-SA"/>
        </w:rPr>
        <w:t>10.依据城乡管理方面的法律、法规、规章，对城乡市政工程设施、城市公用事业、市容环境、城市燃气、供水、排水、户外广告设施进行监察，查处和纠正违法违章行为；负责对城区道路路面、桥梁、路灯、下水道、公厕、广场、喷泉和文化雕塑墙等的管理与维护；审批和办理道路破挖、临时占用道路，设立杆、管、线、排水等许可手续。组织实施城市基础设施的建设和维修改造，负责全县地下管线的综合协调工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4" w:firstLineChars="200"/>
        <w:textAlignment w:val="auto"/>
        <w:rPr>
          <w:rFonts w:hint="eastAsia" w:ascii="仿宋_GB2312" w:hAnsi="仿宋_GB2312" w:eastAsia="仿宋_GB2312" w:cstheme="minorBidi"/>
          <w:b w:val="0"/>
          <w:bCs/>
          <w:spacing w:val="6"/>
          <w:kern w:val="2"/>
          <w:sz w:val="32"/>
          <w:szCs w:val="32"/>
          <w:lang w:val="en-US" w:eastAsia="zh-CN" w:bidi="ar-SA"/>
        </w:rPr>
      </w:pPr>
      <w:r>
        <w:rPr>
          <w:rFonts w:hint="eastAsia" w:ascii="仿宋_GB2312" w:hAnsi="仿宋_GB2312" w:eastAsia="仿宋_GB2312" w:cstheme="minorBidi"/>
          <w:b w:val="0"/>
          <w:bCs/>
          <w:spacing w:val="6"/>
          <w:kern w:val="2"/>
          <w:sz w:val="32"/>
          <w:szCs w:val="32"/>
          <w:lang w:val="en-US" w:eastAsia="zh-CN" w:bidi="ar-SA"/>
        </w:rPr>
        <w:t>11.负责对城乡市容和环境卫生工作的指导、协调、检查、监督和管理;负责城区主次街道、背街小巷的清扫保洁；负责城区生活垃投的收集运输和处置；负责对城区建筑垃圾、工业垃圾、医疗垃圾等有害废弃物的监管;负责对城区环卫设施的规划建设与管理，组织协调专项治理等重大活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4" w:firstLineChars="200"/>
        <w:textAlignment w:val="auto"/>
        <w:rPr>
          <w:rFonts w:hint="eastAsia" w:ascii="仿宋_GB2312" w:hAnsi="仿宋_GB2312" w:eastAsia="仿宋_GB2312" w:cstheme="minorBidi"/>
          <w:b w:val="0"/>
          <w:bCs/>
          <w:spacing w:val="6"/>
          <w:kern w:val="2"/>
          <w:sz w:val="32"/>
          <w:szCs w:val="32"/>
          <w:lang w:val="en-US" w:eastAsia="zh-CN" w:bidi="ar-SA"/>
        </w:rPr>
      </w:pPr>
      <w:r>
        <w:rPr>
          <w:rFonts w:hint="eastAsia" w:ascii="仿宋_GB2312" w:hAnsi="仿宋_GB2312" w:eastAsia="仿宋_GB2312" w:cstheme="minorBidi"/>
          <w:b w:val="0"/>
          <w:bCs/>
          <w:spacing w:val="6"/>
          <w:kern w:val="2"/>
          <w:sz w:val="32"/>
          <w:szCs w:val="32"/>
          <w:lang w:val="en-US" w:eastAsia="zh-CN" w:bidi="ar-SA"/>
        </w:rPr>
        <w:t>12.负责督促、指导全县各乡镇、各部门开展城乡环境综合治理工作，对工作开展情况进行考核。</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4" w:firstLineChars="200"/>
        <w:textAlignment w:val="auto"/>
        <w:rPr>
          <w:rFonts w:hint="eastAsia" w:ascii="仿宋_GB2312" w:hAnsi="仿宋_GB2312" w:eastAsia="仿宋_GB2312" w:cstheme="minorBidi"/>
          <w:b w:val="0"/>
          <w:bCs/>
          <w:spacing w:val="6"/>
          <w:kern w:val="2"/>
          <w:sz w:val="32"/>
          <w:szCs w:val="32"/>
          <w:lang w:val="en-US" w:eastAsia="zh-CN" w:bidi="ar-SA"/>
        </w:rPr>
      </w:pPr>
      <w:r>
        <w:rPr>
          <w:rFonts w:hint="eastAsia" w:ascii="仿宋_GB2312" w:hAnsi="仿宋_GB2312" w:eastAsia="仿宋_GB2312" w:cstheme="minorBidi"/>
          <w:b w:val="0"/>
          <w:bCs/>
          <w:spacing w:val="6"/>
          <w:kern w:val="2"/>
          <w:sz w:val="32"/>
          <w:szCs w:val="32"/>
          <w:lang w:val="en-US" w:eastAsia="zh-CN" w:bidi="ar-SA"/>
        </w:rPr>
        <w:t>13.承办县政府和上级部门交办的其他事项。</w:t>
      </w:r>
    </w:p>
    <w:p>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（二）2022年重点工作任务</w:t>
      </w:r>
    </w:p>
    <w:p>
      <w:pPr>
        <w:keepNext w:val="0"/>
        <w:keepLines w:val="0"/>
        <w:pageBreakBefore w:val="0"/>
        <w:widowControl w:val="0"/>
        <w:numPr>
          <w:ilvl w:val="0"/>
          <w:numId w:val="0"/>
        </w:numPr>
        <w:kinsoku/>
        <w:wordWrap/>
        <w:overflowPunct/>
        <w:topLinePunct w:val="0"/>
        <w:autoSpaceDE/>
        <w:autoSpaceDN/>
        <w:bidi w:val="0"/>
        <w:spacing w:line="560" w:lineRule="exact"/>
        <w:ind w:leftChars="0" w:right="0" w:rightChars="0" w:firstLine="664" w:firstLineChars="200"/>
        <w:jc w:val="both"/>
        <w:textAlignment w:val="auto"/>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b w:val="0"/>
          <w:bCs/>
          <w:spacing w:val="6"/>
          <w:sz w:val="32"/>
          <w:szCs w:val="32"/>
          <w:lang w:val="en-US" w:eastAsia="zh-CN"/>
        </w:rPr>
        <w:t>2022年，我局将紧紧围绕县委、县政府中心工作，在全面做好疫情防控工作的前提下</w:t>
      </w:r>
      <w:r>
        <w:rPr>
          <w:rFonts w:hint="eastAsia" w:ascii="仿宋_GB2312" w:hAnsi="仿宋_GB2312" w:eastAsia="仿宋_GB2312" w:cs="仿宋_GB2312"/>
          <w:b w:val="0"/>
          <w:bCs/>
          <w:color w:val="auto"/>
          <w:sz w:val="32"/>
          <w:szCs w:val="32"/>
          <w:lang w:eastAsia="zh-CN"/>
        </w:rPr>
        <w:t>持续深入抓好项目建设、住房安全保障、清房分房、全域环境整治、市政基础设施运营维护、建筑市场管理服务、质量安全监督、安全生产、城市管理等各方面工作。并重点做好以下工作：</w:t>
      </w: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firstLine="667" w:firstLineChars="200"/>
        <w:jc w:val="both"/>
        <w:textAlignment w:val="auto"/>
        <w:rPr>
          <w:rFonts w:hint="eastAsia" w:ascii="仿宋_GB2312" w:hAnsi="仿宋_GB2312" w:eastAsia="仿宋_GB2312" w:cs="仿宋_GB2312"/>
          <w:b w:val="0"/>
          <w:bCs/>
          <w:color w:val="auto"/>
          <w:spacing w:val="-11"/>
          <w:sz w:val="32"/>
          <w:szCs w:val="32"/>
          <w:lang w:val="en-US" w:eastAsia="zh-CN"/>
        </w:rPr>
      </w:pPr>
      <w:r>
        <w:rPr>
          <w:rFonts w:hint="eastAsia" w:ascii="楷体_GB2312" w:hAnsi="楷体_GB2312" w:eastAsia="楷体_GB2312" w:cs="楷体_GB2312"/>
          <w:b/>
          <w:bCs w:val="0"/>
          <w:spacing w:val="6"/>
          <w:sz w:val="32"/>
          <w:szCs w:val="32"/>
          <w:lang w:val="en-US" w:eastAsia="zh-CN"/>
        </w:rPr>
        <w:t>1.全面做好乡村振兴各项工作工作。</w:t>
      </w:r>
      <w:r>
        <w:rPr>
          <w:rFonts w:hint="eastAsia" w:ascii="仿宋_GB2312" w:hAnsi="仿宋_GB2312" w:eastAsia="仿宋_GB2312" w:cs="仿宋_GB2312"/>
          <w:b w:val="0"/>
          <w:bCs/>
          <w:color w:val="auto"/>
          <w:sz w:val="32"/>
          <w:szCs w:val="32"/>
          <w:lang w:val="en-US" w:eastAsia="zh-CN"/>
        </w:rPr>
        <w:t>按照全县乡村振兴工作部署，重点抓好城乡基础设施补短、农村人居环境提升整</w:t>
      </w:r>
      <w:r>
        <w:rPr>
          <w:rFonts w:hint="eastAsia" w:ascii="仿宋_GB2312" w:hAnsi="仿宋_GB2312" w:eastAsia="仿宋_GB2312" w:cs="仿宋_GB2312"/>
          <w:b w:val="0"/>
          <w:bCs/>
          <w:color w:val="auto"/>
          <w:spacing w:val="-11"/>
          <w:sz w:val="32"/>
          <w:szCs w:val="32"/>
          <w:lang w:val="en-US" w:eastAsia="zh-CN"/>
        </w:rPr>
        <w:t>治和建制镇、乡村污水处理项目建设，不断改善城乡人居环境质量。</w:t>
      </w:r>
    </w:p>
    <w:p>
      <w:pPr>
        <w:keepNext w:val="0"/>
        <w:keepLines w:val="0"/>
        <w:pageBreakBefore w:val="0"/>
        <w:widowControl w:val="0"/>
        <w:numPr>
          <w:ilvl w:val="0"/>
          <w:numId w:val="0"/>
        </w:numPr>
        <w:kinsoku/>
        <w:wordWrap/>
        <w:overflowPunct/>
        <w:topLinePunct w:val="0"/>
        <w:autoSpaceDE/>
        <w:autoSpaceDN/>
        <w:bidi w:val="0"/>
        <w:spacing w:line="560" w:lineRule="exact"/>
        <w:ind w:leftChars="0" w:right="0" w:rightChars="0" w:firstLine="667"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val="0"/>
          <w:spacing w:val="6"/>
          <w:sz w:val="32"/>
          <w:szCs w:val="32"/>
          <w:lang w:val="en-US" w:eastAsia="zh-CN"/>
        </w:rPr>
        <w:t>2.加大市政基础设施建设管理力度。</w:t>
      </w:r>
      <w:r>
        <w:rPr>
          <w:rFonts w:hint="eastAsia" w:ascii="仿宋_GB2312" w:hAnsi="仿宋_GB2312" w:eastAsia="仿宋_GB2312" w:cs="Times New Roman"/>
          <w:b/>
          <w:bCs w:val="0"/>
          <w:spacing w:val="6"/>
          <w:sz w:val="32"/>
          <w:szCs w:val="32"/>
          <w:lang w:val="en-US" w:eastAsia="zh-CN"/>
        </w:rPr>
        <w:t>一是</w:t>
      </w:r>
      <w:r>
        <w:rPr>
          <w:rFonts w:hint="eastAsia" w:ascii="仿宋_GB2312" w:hAnsi="仿宋_GB2312" w:eastAsia="仿宋_GB2312" w:cs="Times New Roman"/>
          <w:b w:val="0"/>
          <w:bCs/>
          <w:spacing w:val="6"/>
          <w:sz w:val="32"/>
          <w:szCs w:val="32"/>
          <w:lang w:val="en-US" w:eastAsia="zh-CN"/>
        </w:rPr>
        <w:t>加大市政项目建设力度。加快推进乡镇干部职工周转宿舍、嘉达路基础设施建设项目等市政项目前期工作，力争在明年下达开工令后立即推进项目建设，确保项目按时保质保量推进。</w:t>
      </w:r>
      <w:r>
        <w:rPr>
          <w:rFonts w:hint="eastAsia" w:ascii="仿宋_GB2312" w:hAnsi="仿宋_GB2312" w:eastAsia="仿宋_GB2312" w:cs="Times New Roman"/>
          <w:b/>
          <w:bCs w:val="0"/>
          <w:spacing w:val="6"/>
          <w:sz w:val="32"/>
          <w:szCs w:val="32"/>
          <w:lang w:val="en-US" w:eastAsia="zh-CN"/>
        </w:rPr>
        <w:t>二是</w:t>
      </w:r>
      <w:r>
        <w:rPr>
          <w:rFonts w:hint="eastAsia" w:ascii="仿宋_GB2312" w:hAnsi="仿宋_GB2312" w:eastAsia="仿宋_GB2312" w:cs="仿宋_GB2312"/>
          <w:sz w:val="32"/>
          <w:szCs w:val="32"/>
          <w:lang w:val="en-US" w:eastAsia="zh-CN"/>
        </w:rPr>
        <w:t>加快推进城区供暖三期、</w:t>
      </w:r>
      <w:r>
        <w:rPr>
          <w:rFonts w:hint="eastAsia" w:ascii="仿宋_GB2312" w:hAnsi="仿宋_GB2312" w:eastAsia="仿宋_GB2312" w:cs="Times New Roman"/>
          <w:b w:val="0"/>
          <w:bCs/>
          <w:spacing w:val="6"/>
          <w:sz w:val="32"/>
          <w:szCs w:val="32"/>
          <w:lang w:val="en-US" w:eastAsia="zh-CN"/>
        </w:rPr>
        <w:t>高原试点供氧</w:t>
      </w:r>
      <w:r>
        <w:rPr>
          <w:rFonts w:hint="eastAsia" w:ascii="仿宋_GB2312" w:hAnsi="仿宋_GB2312" w:eastAsia="仿宋_GB2312" w:cs="仿宋_GB2312"/>
          <w:sz w:val="32"/>
          <w:szCs w:val="32"/>
          <w:lang w:val="en-US" w:eastAsia="zh-CN"/>
        </w:rPr>
        <w:t>建设项目前期工作，力争明年年底完成项目建设。</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落实资金，对全县房屋及市政道路、桥梁、供水等市政基础设施进行防灾普查，确保年底前完成任务。</w:t>
      </w:r>
    </w:p>
    <w:p>
      <w:pPr>
        <w:keepNext w:val="0"/>
        <w:keepLines w:val="0"/>
        <w:pageBreakBefore w:val="0"/>
        <w:widowControl w:val="0"/>
        <w:numPr>
          <w:ilvl w:val="0"/>
          <w:numId w:val="0"/>
        </w:numPr>
        <w:kinsoku/>
        <w:wordWrap/>
        <w:overflowPunct/>
        <w:topLinePunct w:val="0"/>
        <w:autoSpaceDE/>
        <w:autoSpaceDN/>
        <w:bidi w:val="0"/>
        <w:spacing w:line="560" w:lineRule="exact"/>
        <w:ind w:leftChars="0" w:right="0" w:rightChars="0" w:firstLine="667"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val="0"/>
          <w:spacing w:val="6"/>
          <w:sz w:val="32"/>
          <w:szCs w:val="32"/>
          <w:lang w:val="en-US" w:eastAsia="zh-CN"/>
        </w:rPr>
        <w:t>3.加快环保产业园建设。</w:t>
      </w:r>
      <w:r>
        <w:rPr>
          <w:rFonts w:hint="eastAsia" w:ascii="仿宋_GB2312" w:hAnsi="仿宋_GB2312" w:eastAsia="仿宋_GB2312" w:cs="仿宋_GB2312"/>
          <w:sz w:val="32"/>
          <w:szCs w:val="32"/>
          <w:lang w:val="en-US" w:eastAsia="zh-CN"/>
        </w:rPr>
        <w:t>由于城区垃圾焚烧厂处理能力不足，为实现垃圾资源化、无害化处置，我局将积极与相关部门对接并办理前期要件手续，加快推进红原县环保产业园建设。</w:t>
      </w:r>
    </w:p>
    <w:p>
      <w:pPr>
        <w:keepNext w:val="0"/>
        <w:keepLines w:val="0"/>
        <w:pageBreakBefore w:val="0"/>
        <w:widowControl w:val="0"/>
        <w:numPr>
          <w:ilvl w:val="0"/>
          <w:numId w:val="0"/>
        </w:numPr>
        <w:kinsoku/>
        <w:wordWrap/>
        <w:overflowPunct/>
        <w:topLinePunct w:val="0"/>
        <w:autoSpaceDE/>
        <w:autoSpaceDN/>
        <w:bidi w:val="0"/>
        <w:spacing w:line="560" w:lineRule="exact"/>
        <w:ind w:firstLine="667" w:firstLineChars="200"/>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val="0"/>
          <w:spacing w:val="6"/>
          <w:sz w:val="32"/>
          <w:szCs w:val="32"/>
          <w:lang w:val="en-US" w:eastAsia="zh-CN"/>
        </w:rPr>
        <w:t>4.加快推进环保问题整改销号。</w:t>
      </w:r>
      <w:r>
        <w:rPr>
          <w:rFonts w:hint="eastAsia" w:ascii="仿宋_GB2312" w:hAnsi="仿宋_GB2312" w:eastAsia="仿宋_GB2312" w:cs="仿宋_GB2312"/>
          <w:sz w:val="32"/>
          <w:szCs w:val="32"/>
          <w:lang w:val="en-US" w:eastAsia="zh-CN"/>
        </w:rPr>
        <w:t>积极与州、县生态环保部门对接，对照还未完成销号的8个问题，争取项目和资金并采取有效措施加快推进整改。</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红原县住房和城乡建设局下设股室9个，其中行政单位0个，参照公务员法管理的事业单位0个，其他事业单位0个。</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2022年红原县住房和城乡建设局收入预算总额为2068.37万元，其中：当年财政拨款收入2068.37万元。相应安排支出预算2068.37万元，其中：社会保障和就业84.88万元，卫生健康33.9万元，城乡社区1898.21万元，住房保障支出51.38万元。</w:t>
      </w:r>
    </w:p>
    <w:p>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pPr>
        <w:keepNext w:val="0"/>
        <w:keepLines w:val="0"/>
        <w:pageBreakBefore w:val="0"/>
        <w:widowControl w:val="0"/>
        <w:numPr>
          <w:ilvl w:val="0"/>
          <w:numId w:val="0"/>
        </w:numPr>
        <w:kinsoku/>
        <w:wordWrap/>
        <w:overflowPunct/>
        <w:topLinePunct w:val="0"/>
        <w:autoSpaceDE/>
        <w:autoSpaceDN/>
        <w:bidi w:val="0"/>
        <w:spacing w:line="560" w:lineRule="exact"/>
        <w:ind w:leftChars="0" w:right="0" w:rightChars="0" w:firstLine="664" w:firstLineChars="200"/>
        <w:jc w:val="both"/>
        <w:textAlignment w:val="auto"/>
        <w:rPr>
          <w:rFonts w:hint="eastAsia" w:ascii="仿宋_GB2312" w:hAnsi="仿宋_GB2312" w:eastAsia="仿宋_GB2312"/>
          <w:b w:val="0"/>
          <w:bCs/>
          <w:spacing w:val="6"/>
          <w:sz w:val="32"/>
          <w:szCs w:val="32"/>
          <w:lang w:val="en-US" w:eastAsia="zh-CN"/>
        </w:rPr>
      </w:pPr>
      <w:r>
        <w:rPr>
          <w:rFonts w:hint="eastAsia" w:ascii="仿宋_GB2312" w:hAnsi="仿宋_GB2312" w:eastAsia="仿宋_GB2312"/>
          <w:b w:val="0"/>
          <w:bCs/>
          <w:spacing w:val="6"/>
          <w:sz w:val="32"/>
          <w:szCs w:val="32"/>
          <w:lang w:val="en-US" w:eastAsia="zh-CN"/>
        </w:rPr>
        <w:t xml:space="preserve">红原县住房和城乡建设局预算安排支出主要用于保障该部门机构正常运转、完成日常工作任务以及承担建设事业发展相关工作。  </w:t>
      </w:r>
    </w:p>
    <w:p>
      <w:pPr>
        <w:keepNext w:val="0"/>
        <w:keepLines w:val="0"/>
        <w:pageBreakBefore w:val="0"/>
        <w:widowControl w:val="0"/>
        <w:numPr>
          <w:ilvl w:val="0"/>
          <w:numId w:val="0"/>
        </w:numPr>
        <w:kinsoku/>
        <w:wordWrap/>
        <w:overflowPunct/>
        <w:topLinePunct w:val="0"/>
        <w:autoSpaceDE/>
        <w:autoSpaceDN/>
        <w:bidi w:val="0"/>
        <w:spacing w:line="560" w:lineRule="exact"/>
        <w:ind w:leftChars="0" w:right="0" w:rightChars="0" w:firstLine="664" w:firstLineChars="200"/>
        <w:jc w:val="both"/>
        <w:textAlignment w:val="auto"/>
        <w:rPr>
          <w:rFonts w:hint="eastAsia" w:ascii="仿宋_GB2312" w:hAnsi="仿宋_GB2312" w:eastAsia="仿宋_GB2312"/>
          <w:b w:val="0"/>
          <w:bCs/>
          <w:spacing w:val="6"/>
          <w:sz w:val="32"/>
          <w:szCs w:val="32"/>
          <w:lang w:val="en-US" w:eastAsia="zh-CN"/>
        </w:rPr>
      </w:pPr>
      <w:r>
        <w:rPr>
          <w:rFonts w:hint="eastAsia" w:ascii="仿宋_GB2312" w:hAnsi="仿宋_GB2312" w:eastAsia="仿宋_GB2312"/>
          <w:b w:val="0"/>
          <w:bCs/>
          <w:spacing w:val="6"/>
          <w:sz w:val="32"/>
          <w:szCs w:val="32"/>
          <w:lang w:val="en-US" w:eastAsia="zh-CN"/>
        </w:rPr>
        <w:t>基本支出581万元。其中人员经费支出536.74万元，机关运行经费44.26万元，其中：办公费14.33万元，印刷费2万元，电费3万元，邮电费0.8万元，取暖费1万元，差旅费12万元，维修维护费1.41万元，培训费1万元，工会经费2.31万元，公务接待费0.67，劳务费0.5万元，公务用车运行维护费5.24万元。</w:t>
      </w:r>
    </w:p>
    <w:p>
      <w:pPr>
        <w:keepNext w:val="0"/>
        <w:keepLines w:val="0"/>
        <w:pageBreakBefore w:val="0"/>
        <w:widowControl w:val="0"/>
        <w:numPr>
          <w:ilvl w:val="0"/>
          <w:numId w:val="0"/>
        </w:numPr>
        <w:kinsoku/>
        <w:wordWrap/>
        <w:overflowPunct/>
        <w:topLinePunct w:val="0"/>
        <w:autoSpaceDE/>
        <w:autoSpaceDN/>
        <w:bidi w:val="0"/>
        <w:spacing w:line="560" w:lineRule="exact"/>
        <w:ind w:leftChars="0" w:right="0" w:rightChars="0" w:firstLine="664" w:firstLineChars="200"/>
        <w:jc w:val="both"/>
        <w:textAlignment w:val="auto"/>
        <w:rPr>
          <w:rFonts w:hint="eastAsia" w:ascii="仿宋_GB2312" w:hAnsi="仿宋_GB2312" w:eastAsia="仿宋_GB2312"/>
          <w:b w:val="0"/>
          <w:bCs/>
          <w:spacing w:val="6"/>
          <w:sz w:val="32"/>
          <w:szCs w:val="32"/>
          <w:lang w:val="en-US" w:eastAsia="zh-CN"/>
        </w:rPr>
      </w:pPr>
      <w:r>
        <w:rPr>
          <w:rFonts w:hint="eastAsia" w:ascii="仿宋_GB2312" w:hAnsi="仿宋_GB2312" w:eastAsia="仿宋_GB2312"/>
          <w:b w:val="0"/>
          <w:bCs/>
          <w:spacing w:val="6"/>
          <w:sz w:val="32"/>
          <w:szCs w:val="32"/>
          <w:lang w:val="en-US" w:eastAsia="zh-CN"/>
        </w:rPr>
        <w:t>按支出功能分类主要用于以下方面:</w:t>
      </w:r>
    </w:p>
    <w:p>
      <w:pPr>
        <w:keepNext w:val="0"/>
        <w:keepLines w:val="0"/>
        <w:pageBreakBefore w:val="0"/>
        <w:widowControl w:val="0"/>
        <w:numPr>
          <w:ilvl w:val="0"/>
          <w:numId w:val="0"/>
        </w:numPr>
        <w:kinsoku/>
        <w:wordWrap/>
        <w:overflowPunct/>
        <w:topLinePunct w:val="0"/>
        <w:autoSpaceDE/>
        <w:autoSpaceDN/>
        <w:bidi w:val="0"/>
        <w:spacing w:line="560" w:lineRule="exact"/>
        <w:ind w:leftChars="0" w:right="0" w:rightChars="0" w:firstLine="664" w:firstLineChars="200"/>
        <w:jc w:val="both"/>
        <w:textAlignment w:val="auto"/>
        <w:rPr>
          <w:rFonts w:hint="eastAsia" w:ascii="仿宋_GB2312" w:hAnsi="仿宋_GB2312" w:eastAsia="仿宋_GB2312"/>
          <w:b w:val="0"/>
          <w:bCs/>
          <w:spacing w:val="6"/>
          <w:sz w:val="32"/>
          <w:szCs w:val="32"/>
          <w:lang w:val="en-US" w:eastAsia="zh-CN"/>
        </w:rPr>
      </w:pPr>
      <w:r>
        <w:rPr>
          <w:rFonts w:hint="eastAsia" w:ascii="仿宋_GB2312" w:hAnsi="仿宋_GB2312" w:eastAsia="仿宋_GB2312"/>
          <w:b w:val="0"/>
          <w:bCs/>
          <w:spacing w:val="6"/>
          <w:sz w:val="32"/>
          <w:szCs w:val="32"/>
          <w:lang w:val="en-US" w:eastAsia="zh-CN"/>
        </w:rPr>
        <w:t>（一）社会保障和就业</w:t>
      </w:r>
      <w:r>
        <w:rPr>
          <w:rFonts w:hint="eastAsia" w:ascii="仿宋_GB2312" w:hAnsi="仿宋_GB2312" w:eastAsia="仿宋_GB2312" w:cs="仿宋_GB2312"/>
          <w:sz w:val="32"/>
          <w:szCs w:val="32"/>
          <w:lang w:val="en-US" w:eastAsia="zh-CN"/>
        </w:rPr>
        <w:t>84.88</w:t>
      </w:r>
      <w:r>
        <w:rPr>
          <w:rFonts w:hint="eastAsia" w:ascii="仿宋_GB2312" w:hAnsi="仿宋_GB2312" w:eastAsia="仿宋_GB2312"/>
          <w:b w:val="0"/>
          <w:bCs/>
          <w:spacing w:val="6"/>
          <w:sz w:val="32"/>
          <w:szCs w:val="32"/>
          <w:lang w:val="en-US" w:eastAsia="zh-CN"/>
        </w:rPr>
        <w:t>万元，主要用于机关及下属事业单位养老保险及职业年金缴费。</w:t>
      </w:r>
    </w:p>
    <w:p>
      <w:pPr>
        <w:keepNext w:val="0"/>
        <w:keepLines w:val="0"/>
        <w:pageBreakBefore w:val="0"/>
        <w:widowControl w:val="0"/>
        <w:numPr>
          <w:ilvl w:val="0"/>
          <w:numId w:val="0"/>
        </w:numPr>
        <w:kinsoku/>
        <w:wordWrap/>
        <w:overflowPunct/>
        <w:topLinePunct w:val="0"/>
        <w:autoSpaceDE/>
        <w:autoSpaceDN/>
        <w:bidi w:val="0"/>
        <w:spacing w:line="560" w:lineRule="exact"/>
        <w:ind w:leftChars="0" w:right="0" w:rightChars="0" w:firstLine="664" w:firstLineChars="200"/>
        <w:jc w:val="both"/>
        <w:textAlignment w:val="auto"/>
        <w:rPr>
          <w:rFonts w:hint="eastAsia" w:ascii="仿宋_GB2312" w:hAnsi="仿宋_GB2312" w:eastAsia="仿宋_GB2312"/>
          <w:b w:val="0"/>
          <w:bCs/>
          <w:spacing w:val="6"/>
          <w:sz w:val="32"/>
          <w:szCs w:val="32"/>
          <w:lang w:val="en-US" w:eastAsia="zh-CN"/>
        </w:rPr>
      </w:pPr>
      <w:r>
        <w:rPr>
          <w:rFonts w:hint="eastAsia" w:ascii="仿宋_GB2312" w:hAnsi="仿宋_GB2312" w:eastAsia="仿宋_GB2312"/>
          <w:b w:val="0"/>
          <w:bCs/>
          <w:spacing w:val="6"/>
          <w:sz w:val="32"/>
          <w:szCs w:val="32"/>
          <w:lang w:val="en-US" w:eastAsia="zh-CN"/>
        </w:rPr>
        <w:t>（二）</w:t>
      </w:r>
      <w:r>
        <w:rPr>
          <w:rFonts w:hint="eastAsia" w:ascii="仿宋_GB2312" w:hAnsi="仿宋_GB2312" w:eastAsia="仿宋_GB2312" w:cs="仿宋_GB2312"/>
          <w:sz w:val="32"/>
          <w:szCs w:val="32"/>
          <w:lang w:val="en-US" w:eastAsia="zh-CN"/>
        </w:rPr>
        <w:t>卫生健康33.9</w:t>
      </w:r>
      <w:r>
        <w:rPr>
          <w:rFonts w:hint="eastAsia" w:ascii="仿宋_GB2312" w:hAnsi="仿宋_GB2312" w:eastAsia="仿宋_GB2312"/>
          <w:b w:val="0"/>
          <w:bCs/>
          <w:spacing w:val="6"/>
          <w:sz w:val="32"/>
          <w:szCs w:val="32"/>
          <w:lang w:val="en-US" w:eastAsia="zh-CN"/>
        </w:rPr>
        <w:t>万元，主要用于机关及下属事业单位养老保险及职业年金缴费。</w:t>
      </w:r>
    </w:p>
    <w:p>
      <w:pPr>
        <w:keepNext w:val="0"/>
        <w:keepLines w:val="0"/>
        <w:pageBreakBefore w:val="0"/>
        <w:widowControl w:val="0"/>
        <w:numPr>
          <w:ilvl w:val="0"/>
          <w:numId w:val="0"/>
        </w:numPr>
        <w:kinsoku/>
        <w:wordWrap/>
        <w:overflowPunct/>
        <w:topLinePunct w:val="0"/>
        <w:autoSpaceDE/>
        <w:autoSpaceDN/>
        <w:bidi w:val="0"/>
        <w:spacing w:line="560" w:lineRule="exact"/>
        <w:ind w:leftChars="0" w:right="0" w:rightChars="0" w:firstLine="664" w:firstLineChars="200"/>
        <w:jc w:val="both"/>
        <w:textAlignment w:val="auto"/>
        <w:rPr>
          <w:rFonts w:hint="eastAsia" w:ascii="仿宋_GB2312" w:hAnsi="仿宋_GB2312" w:eastAsia="仿宋_GB2312"/>
          <w:b w:val="0"/>
          <w:bCs/>
          <w:spacing w:val="6"/>
          <w:sz w:val="32"/>
          <w:szCs w:val="32"/>
          <w:lang w:val="en-US" w:eastAsia="zh-CN"/>
        </w:rPr>
      </w:pPr>
      <w:r>
        <w:rPr>
          <w:rFonts w:hint="eastAsia" w:ascii="仿宋_GB2312" w:hAnsi="仿宋_GB2312" w:eastAsia="仿宋_GB2312"/>
          <w:b w:val="0"/>
          <w:bCs/>
          <w:spacing w:val="6"/>
          <w:sz w:val="32"/>
          <w:szCs w:val="32"/>
          <w:lang w:val="en-US" w:eastAsia="zh-CN"/>
        </w:rPr>
        <w:t>（三）住房保障支出</w:t>
      </w:r>
      <w:r>
        <w:rPr>
          <w:rFonts w:hint="eastAsia" w:ascii="仿宋_GB2312" w:hAnsi="仿宋_GB2312" w:eastAsia="仿宋_GB2312" w:cs="仿宋_GB2312"/>
          <w:sz w:val="32"/>
          <w:szCs w:val="32"/>
          <w:lang w:val="en-US" w:eastAsia="zh-CN"/>
        </w:rPr>
        <w:t>51.38</w:t>
      </w:r>
      <w:r>
        <w:rPr>
          <w:rFonts w:hint="eastAsia" w:ascii="仿宋_GB2312" w:hAnsi="仿宋_GB2312" w:eastAsia="仿宋_GB2312"/>
          <w:b w:val="0"/>
          <w:bCs/>
          <w:spacing w:val="6"/>
          <w:sz w:val="32"/>
          <w:szCs w:val="32"/>
          <w:lang w:val="en-US" w:eastAsia="zh-CN"/>
        </w:rPr>
        <w:t>万元，用于机关及下属事业单位按照规定标准为职工缴纳住房公积金等支出。</w:t>
      </w:r>
    </w:p>
    <w:p>
      <w:pPr>
        <w:keepNext w:val="0"/>
        <w:keepLines w:val="0"/>
        <w:pageBreakBefore w:val="0"/>
        <w:widowControl w:val="0"/>
        <w:numPr>
          <w:ilvl w:val="0"/>
          <w:numId w:val="0"/>
        </w:numPr>
        <w:kinsoku/>
        <w:wordWrap/>
        <w:overflowPunct/>
        <w:topLinePunct w:val="0"/>
        <w:autoSpaceDE/>
        <w:autoSpaceDN/>
        <w:bidi w:val="0"/>
        <w:spacing w:line="560" w:lineRule="exact"/>
        <w:ind w:leftChars="0" w:right="0" w:rightChars="0" w:firstLine="664" w:firstLineChars="200"/>
        <w:jc w:val="both"/>
        <w:textAlignment w:val="auto"/>
        <w:rPr>
          <w:rFonts w:hint="eastAsia" w:ascii="仿宋_GB2312" w:hAnsi="仿宋_GB2312" w:eastAsia="仿宋_GB2312"/>
          <w:b w:val="0"/>
          <w:bCs/>
          <w:spacing w:val="6"/>
          <w:sz w:val="32"/>
          <w:szCs w:val="32"/>
          <w:lang w:val="en-US" w:eastAsia="zh-CN"/>
        </w:rPr>
      </w:pPr>
      <w:r>
        <w:rPr>
          <w:rFonts w:hint="eastAsia" w:ascii="仿宋_GB2312" w:hAnsi="仿宋_GB2312" w:eastAsia="仿宋_GB2312"/>
          <w:b w:val="0"/>
          <w:bCs/>
          <w:spacing w:val="6"/>
          <w:sz w:val="32"/>
          <w:szCs w:val="32"/>
          <w:lang w:val="en-US" w:eastAsia="zh-CN"/>
        </w:rPr>
        <w:t>（四）</w:t>
      </w:r>
      <w:r>
        <w:rPr>
          <w:rFonts w:hint="eastAsia" w:ascii="仿宋_GB2312" w:hAnsi="仿宋_GB2312" w:eastAsia="仿宋_GB2312" w:cs="仿宋_GB2312"/>
          <w:sz w:val="32"/>
          <w:szCs w:val="32"/>
          <w:lang w:val="en-US" w:eastAsia="zh-CN"/>
        </w:rPr>
        <w:t>城乡社区1898.21万元，用于支付协管人员工资、执法车油料费及维修维护费、城区路灯、彩灯、景观灯、小区路灯电费、城乡环境综合治理、红原县城市基础设施特许经营项目支出。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 xml:space="preserve"> 五、较上年度增减变化 </w:t>
      </w:r>
    </w:p>
    <w:p>
      <w:pPr>
        <w:keepNext w:val="0"/>
        <w:keepLines w:val="0"/>
        <w:pageBreakBefore w:val="0"/>
        <w:widowControl w:val="0"/>
        <w:numPr>
          <w:ilvl w:val="0"/>
          <w:numId w:val="0"/>
        </w:numPr>
        <w:kinsoku/>
        <w:wordWrap/>
        <w:overflowPunct/>
        <w:topLinePunct w:val="0"/>
        <w:autoSpaceDE/>
        <w:autoSpaceDN/>
        <w:bidi w:val="0"/>
        <w:spacing w:line="560" w:lineRule="exact"/>
        <w:ind w:leftChars="0" w:right="0" w:rightChars="0" w:firstLine="640" w:firstLineChars="200"/>
        <w:jc w:val="both"/>
        <w:textAlignment w:val="auto"/>
        <w:rPr>
          <w:rFonts w:hint="eastAsia" w:ascii="仿宋_GB2312" w:hAnsi="仿宋_GB2312" w:eastAsia="仿宋_GB2312"/>
          <w:b w:val="0"/>
          <w:bCs/>
          <w:spacing w:val="6"/>
          <w:sz w:val="32"/>
          <w:szCs w:val="32"/>
          <w:lang w:val="en-US" w:eastAsia="zh-CN"/>
        </w:rPr>
      </w:pPr>
      <w:r>
        <w:rPr>
          <w:rFonts w:hint="eastAsia" w:ascii="仿宋_GB2312" w:hAnsi="仿宋_GB2312" w:eastAsia="仿宋_GB2312" w:cs="仿宋_GB2312"/>
          <w:sz w:val="32"/>
          <w:szCs w:val="32"/>
          <w:lang w:val="en-US" w:eastAsia="zh-CN"/>
        </w:rPr>
        <w:t>本年度预算拨款收入2068.37万元较上年度预算608.27万元增长了41.6%，其中基本行政运行经费预算</w:t>
      </w:r>
      <w:r>
        <w:rPr>
          <w:rFonts w:hint="eastAsia" w:ascii="仿宋_GB2312" w:hAnsi="仿宋_GB2312" w:eastAsia="仿宋_GB2312"/>
          <w:b w:val="0"/>
          <w:bCs/>
          <w:spacing w:val="6"/>
          <w:sz w:val="32"/>
          <w:szCs w:val="32"/>
          <w:lang w:val="en-US" w:eastAsia="zh-CN"/>
        </w:rPr>
        <w:t>581</w:t>
      </w:r>
      <w:r>
        <w:rPr>
          <w:rFonts w:hint="eastAsia" w:ascii="仿宋_GB2312" w:hAnsi="仿宋_GB2312" w:eastAsia="仿宋_GB2312" w:cs="仿宋_GB2312"/>
          <w:sz w:val="32"/>
          <w:szCs w:val="32"/>
          <w:lang w:val="en-US" w:eastAsia="zh-CN"/>
        </w:rPr>
        <w:t>万元，占全部总预算的28%，较上年548.27万元增长了6%，原因为今年增加人头经费1000元；专项业务工作经费预算1487.38万元，占总预算的72%，较上年预算60万元增加了96%，主要原因为支付协管人员工资、执法车油料费及维修维护费、城乡环境综合治理、红原县城市基础设施特许经营项目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六、“三公”经费预算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年度三公经费预算安排支出为5.91万元，其中：出国费0万元，与上年持平，主要原因为未安排因公出国；公车购置费0元，与上年持平；公务用车维护费支出5.24万元，较上年度预算持平，主要原因严格执行“八项规定、六项禁令”；二是将有关股室的工作有机地结合起来，减少不必要的资源浪费。公务接待费0.67万元，较上年度预算持平，</w:t>
      </w:r>
      <w:bookmarkStart w:id="0" w:name="_GoBack"/>
      <w:bookmarkEnd w:id="0"/>
      <w:r>
        <w:rPr>
          <w:rFonts w:hint="eastAsia" w:ascii="仿宋_GB2312" w:hAnsi="仿宋_GB2312" w:eastAsia="仿宋_GB2312" w:cs="仿宋_GB2312"/>
          <w:sz w:val="32"/>
          <w:szCs w:val="32"/>
          <w:lang w:val="en-US" w:eastAsia="zh-CN"/>
        </w:rPr>
        <w:t xml:space="preserve">本年度我们将严格执行“八项规定、六项禁令”，结合本年度工作需要，减少不必要的开支。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七、政府性基金预算收支情况说明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2022年没有使用政府性基金预算拨款安排的支出。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八、国有资本经营预算收支情况说明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2022年没有使用国有资本经营预算拨款安排的支出。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2022年度安排政府采购预算0万元。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 xml:space="preserve"> （二）政府财政国有资产占用情况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2021年底，实际共有固定资产价值1120.4608万元：其中：公务用车53.56万元；业务用房165.3万元；其他办公设配222.8868万元；其它车型507.394万元；专项设配171.32万元。本年比上年增加0.455万元，今年购入笔记本电脑1台。</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（三）绩效目标设置情况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绩效目标是预算编制的前提和基础，按照“费随事定”的原则，2022年我单位项目支出按要求编制了绩效目标，从项目完成、项目效益、满意度。</w:t>
      </w:r>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 </w:t>
      </w:r>
      <w:r>
        <w:rPr>
          <w:rFonts w:hint="eastAsia" w:ascii="宋体" w:hAnsi="宋体" w:eastAsia="宋体" w:cs="宋体"/>
          <w:sz w:val="28"/>
          <w:szCs w:val="28"/>
          <w:lang w:val="en-US" w:eastAsia="zh-CN"/>
        </w:rPr>
        <w:br w:type="textWrapping"/>
      </w:r>
      <w:r>
        <w:rPr>
          <w:rFonts w:hint="eastAsia" w:ascii="宋体" w:hAnsi="宋体" w:eastAsia="宋体" w:cs="宋体"/>
          <w:sz w:val="28"/>
          <w:szCs w:val="28"/>
          <w:lang w:val="en-US" w:eastAsia="zh-CN"/>
        </w:rPr>
        <w:t>　</w:t>
      </w:r>
      <w:r>
        <w:rPr>
          <w:rFonts w:hint="eastAsia" w:ascii="仿宋_GB2312" w:eastAsia="仿宋_GB2312"/>
          <w:sz w:val="32"/>
          <w:szCs w:val="32"/>
          <w:lang w:val="en-US" w:eastAsia="zh-CN"/>
        </w:rPr>
        <w:t xml:space="preserve">　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3.基本支出：指为保障单位机关正常运转、完成日常工作任务而发生的人员支出和公用支出。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附件：表1.财政拨款收支总表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表2.一般公共预算支出表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表3.一般公共预算基本支出表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表4.一般公共预算“三公”经费支出表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表5.政府性基金预算支出表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表6.政府性基金预算“三公”经费支出表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表7.部门收支总表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表8.部门收入总表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表9.部门支出总表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表10.2022年红原县部门预算项目绩效目标（部门预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算）</w:t>
      </w:r>
    </w:p>
    <w:sectPr>
      <w:footerReference r:id="rId3" w:type="default"/>
      <w:footerReference r:id="rId4" w:type="even"/>
      <w:pgSz w:w="11906" w:h="16838"/>
      <w:pgMar w:top="2098" w:right="1418" w:bottom="1588"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fldChar w:fldCharType="begin"/>
    </w:r>
    <w:r>
      <w:rPr>
        <w:rStyle w:val="8"/>
      </w:rPr>
      <w:instrText xml:space="preserve">PAGE  </w:instrText>
    </w:r>
    <w:r>
      <w:fldChar w:fldCharType="separate"/>
    </w:r>
    <w:r>
      <w:rPr>
        <w:rStyle w:val="8"/>
      </w:rPr>
      <w:t>2</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fldChar w:fldCharType="begin"/>
    </w:r>
    <w:r>
      <w:rPr>
        <w:rStyle w:val="8"/>
      </w:rPr>
      <w:instrText xml:space="preserve">PAGE  </w:instrTex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B4A2AED"/>
    <w:rsid w:val="0FB57E1B"/>
    <w:rsid w:val="10B92046"/>
    <w:rsid w:val="18870CA9"/>
    <w:rsid w:val="261A696E"/>
    <w:rsid w:val="2D241839"/>
    <w:rsid w:val="356C092B"/>
    <w:rsid w:val="41C14C68"/>
    <w:rsid w:val="49995158"/>
    <w:rsid w:val="4D9C7B14"/>
    <w:rsid w:val="555E53B0"/>
    <w:rsid w:val="56F015BA"/>
    <w:rsid w:val="636966A0"/>
    <w:rsid w:val="670175BB"/>
    <w:rsid w:val="67DF49A3"/>
    <w:rsid w:val="6D7607E4"/>
    <w:rsid w:val="6FBF4B32"/>
    <w:rsid w:val="70DD285E"/>
    <w:rsid w:val="70F00356"/>
    <w:rsid w:val="722A3062"/>
    <w:rsid w:val="782F13D2"/>
    <w:rsid w:val="7B31234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Salutation"/>
    <w:basedOn w:val="1"/>
    <w:next w:val="1"/>
    <w:qFormat/>
    <w:uiPriority w:val="0"/>
    <w:pPr>
      <w:jc w:val="both"/>
      <w:textAlignment w:val="baseline"/>
    </w:pPr>
  </w:style>
  <w:style w:type="paragraph" w:styleId="3">
    <w:name w:val="Body Text"/>
    <w:basedOn w:val="1"/>
    <w:qFormat/>
    <w:uiPriority w:val="0"/>
    <w:pPr>
      <w:spacing w:before="93" w:beforeLines="30"/>
    </w:pPr>
    <w:rPr>
      <w:rFonts w:ascii="仿宋_GB2312" w:eastAsia="仿宋_GB2312"/>
      <w:sz w:val="30"/>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page number"/>
    <w:basedOn w:val="7"/>
    <w:qFormat/>
    <w:uiPriority w:val="0"/>
  </w:style>
  <w:style w:type="character" w:styleId="9">
    <w:name w:val="line number"/>
    <w:basedOn w:val="7"/>
    <w:qFormat/>
    <w:uiPriority w:val="0"/>
    <w:rPr>
      <w:rFonts w:hint="default"/>
      <w:sz w:val="22"/>
    </w:rPr>
  </w:style>
  <w:style w:type="character" w:styleId="10">
    <w:name w:val="Hyperlink"/>
    <w:qFormat/>
    <w:uiPriority w:val="0"/>
    <w:rPr>
      <w:rFonts w:hint="default"/>
      <w:sz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2018-01-31T07:35:00Z</dcterms:created>
  <dc:creator>Administrator</dc:creator>
  <cp:lastModifiedBy>WPS_1559532957</cp:lastModifiedBy>
  <dcterms:modified xsi:type="dcterms:W3CDTF">2022-01-24T03:57:15Z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3BC9959208564A15ABFD7214975D4ADD</vt:lpwstr>
  </property>
</Properties>
</file>