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193"/>
      <w:bookmarkStart w:id="3" w:name="_Toc8228"/>
      <w:bookmarkStart w:id="4" w:name="_Toc15377425"/>
      <w:bookmarkStart w:id="5" w:name="_Toc15396475"/>
      <w:bookmarkStart w:id="6" w:name="_Toc15378441"/>
      <w:r>
        <w:rPr>
          <w:rFonts w:hint="eastAsia" w:ascii="黑体" w:hAnsi="黑体" w:eastAsia="黑体"/>
          <w:color w:val="000000"/>
          <w:sz w:val="72"/>
          <w:szCs w:val="72"/>
          <w:lang w:val="en-US" w:eastAsia="zh-CN"/>
        </w:rPr>
        <w:t>2020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426"/>
      <w:bookmarkStart w:id="8" w:name="_Toc15378442"/>
      <w:bookmarkStart w:id="9" w:name="_Toc15377194"/>
      <w:bookmarkStart w:id="10" w:name="_Toc32655"/>
      <w:bookmarkStart w:id="11" w:name="_Toc15396598"/>
      <w:bookmarkStart w:id="12"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eastAsia="zh-CN"/>
        </w:rPr>
        <w:t>市场监督管理局</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tabs>
          <w:tab w:val="right" w:leader="dot" w:pos="8296"/>
        </w:tabs>
      </w:pPr>
      <w:r>
        <w:rPr>
          <w:rFonts w:hint="eastAsia"/>
        </w:rPr>
        <w:t>公开时间：</w:t>
      </w:r>
      <w:r>
        <w:rPr>
          <w:rFonts w:hint="eastAsia"/>
          <w:lang w:val="en-US" w:eastAsia="zh-CN"/>
        </w:rPr>
        <w:t>2021</w:t>
      </w:r>
      <w:r>
        <w:rPr>
          <w:rFonts w:hint="eastAsia"/>
        </w:rPr>
        <w:t>年</w:t>
      </w:r>
      <w:r>
        <w:rPr>
          <w:rFonts w:hint="eastAsia"/>
          <w:lang w:val="en-US" w:eastAsia="zh-CN"/>
        </w:rPr>
        <w:t>12</w:t>
      </w:r>
      <w:r>
        <w:rPr>
          <w:rFonts w:hint="eastAsia"/>
        </w:rPr>
        <w:t>月</w:t>
      </w:r>
      <w:r>
        <w:rPr>
          <w:rFonts w:hint="eastAsia"/>
          <w:lang w:val="en-US" w:eastAsia="zh-CN"/>
        </w:rPr>
        <w:t>3</w:t>
      </w:r>
      <w:r>
        <w:rPr>
          <w:rFonts w:hint="eastAsia"/>
        </w:rPr>
        <w:t>日</w:t>
      </w:r>
    </w:p>
    <w:sdt>
      <w:sdtPr>
        <w:rPr>
          <w:rFonts w:ascii="宋体" w:hAnsi="宋体" w:eastAsia="宋体" w:cs="Times New Roman"/>
          <w:kern w:val="2"/>
          <w:sz w:val="21"/>
          <w:szCs w:val="24"/>
          <w:lang w:val="en-US" w:eastAsia="zh-CN" w:bidi="ar-SA"/>
        </w:rPr>
        <w:id w:val="147451341"/>
        <w15:color w:val="DBDBDB"/>
      </w:sdtPr>
      <w:sdtEndPr>
        <w:rPr>
          <w:rFonts w:hint="eastAsia"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both"/>
          </w:pPr>
          <w:r>
            <w:rPr>
              <w:rFonts w:hint="eastAsia"/>
            </w:rPr>
            <w:fldChar w:fldCharType="begin"/>
          </w:r>
          <w:r>
            <w:rPr>
              <w:rFonts w:hint="eastAsia"/>
            </w:rPr>
            <w:instrText xml:space="preserve">TOC \o "1-3" \h \u </w:instrText>
          </w:r>
          <w:r>
            <w:rPr>
              <w:rFonts w:hint="eastAsia"/>
            </w:rPr>
            <w:fldChar w:fldCharType="separate"/>
          </w:r>
        </w:p>
        <w:p>
          <w:pPr>
            <w:pStyle w:val="10"/>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rPr>
            <w:fldChar w:fldCharType="begin"/>
          </w:r>
          <w:r>
            <w:rPr>
              <w:rFonts w:hint="eastAsia"/>
            </w:rPr>
            <w:instrText xml:space="preserve"> HYPERLINK \l _Toc21319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_Toc21319 </w:instrText>
          </w:r>
          <w:r>
            <w:fldChar w:fldCharType="separate"/>
          </w:r>
          <w:r>
            <w:t>4</w:t>
          </w:r>
          <w:r>
            <w:fldChar w:fldCharType="end"/>
          </w:r>
          <w:r>
            <w:rPr>
              <w:rFonts w:hint="eastAsia"/>
            </w:rPr>
            <w:fldChar w:fldCharType="end"/>
          </w:r>
        </w:p>
        <w:p>
          <w:pPr>
            <w:pStyle w:val="11"/>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_Toc8422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一、 基本职能及主要工作</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PAGEREF _Toc8422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4</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fldChar w:fldCharType="end"/>
          </w:r>
        </w:p>
        <w:p>
          <w:pPr>
            <w:pStyle w:val="11"/>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_Toc13424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二、机构设置</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8</w:t>
          </w:r>
        </w:p>
        <w:p>
          <w:pPr>
            <w:pStyle w:val="10"/>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_Toc31163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第二部分2020年度部门决算情况说明</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9</w:t>
          </w:r>
          <w:r>
            <w:rPr>
              <w:rFonts w:hint="eastAsia" w:ascii="等线" w:hAnsi="Times New Roman" w:eastAsia="等线" w:cs="Times New Roman"/>
              <w:b w:val="0"/>
              <w:bCs w:val="0"/>
              <w:i/>
              <w:iCs/>
              <w:caps w:val="0"/>
              <w:kern w:val="2"/>
              <w:sz w:val="20"/>
              <w:szCs w:val="20"/>
              <w:lang w:val="en-US" w:eastAsia="zh-CN" w:bidi="ar-SA"/>
            </w:rPr>
            <w:fldChar w:fldCharType="end"/>
          </w:r>
        </w:p>
        <w:p>
          <w:pPr>
            <w:pStyle w:val="11"/>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_Toc11895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default" w:ascii="等线" w:hAnsi="Times New Roman" w:eastAsia="等线" w:cs="Times New Roman"/>
              <w:b w:val="0"/>
              <w:bCs w:val="0"/>
              <w:i/>
              <w:iCs/>
              <w:caps w:val="0"/>
              <w:kern w:val="2"/>
              <w:sz w:val="20"/>
              <w:szCs w:val="20"/>
              <w:lang w:val="en-US" w:eastAsia="zh-CN" w:bidi="ar-SA"/>
            </w:rPr>
            <w:t xml:space="preserve">一、 </w:t>
          </w:r>
          <w:r>
            <w:rPr>
              <w:rFonts w:hint="eastAsia" w:ascii="等线" w:hAnsi="Times New Roman" w:eastAsia="等线" w:cs="Times New Roman"/>
              <w:b w:val="0"/>
              <w:bCs w:val="0"/>
              <w:i/>
              <w:iCs/>
              <w:caps w:val="0"/>
              <w:kern w:val="2"/>
              <w:sz w:val="20"/>
              <w:szCs w:val="20"/>
              <w:lang w:val="en-US" w:eastAsia="zh-CN" w:bidi="ar-SA"/>
            </w:rPr>
            <w:t>收入支出决算总体情况说明</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9</w:t>
          </w:r>
          <w:r>
            <w:rPr>
              <w:rFonts w:hint="eastAsia" w:ascii="等线" w:hAnsi="Times New Roman" w:eastAsia="等线" w:cs="Times New Roman"/>
              <w:b w:val="0"/>
              <w:bCs w:val="0"/>
              <w:i/>
              <w:iCs/>
              <w:caps w:val="0"/>
              <w:kern w:val="2"/>
              <w:sz w:val="20"/>
              <w:szCs w:val="20"/>
              <w:lang w:val="en-US" w:eastAsia="zh-CN" w:bidi="ar-SA"/>
            </w:rPr>
            <w:fldChar w:fldCharType="end"/>
          </w:r>
        </w:p>
        <w:p>
          <w:pPr>
            <w:pStyle w:val="11"/>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_Toc26006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default" w:ascii="等线" w:hAnsi="Times New Roman" w:eastAsia="等线" w:cs="Times New Roman"/>
              <w:b w:val="0"/>
              <w:bCs w:val="0"/>
              <w:i/>
              <w:iCs/>
              <w:caps w:val="0"/>
              <w:kern w:val="2"/>
              <w:sz w:val="20"/>
              <w:szCs w:val="20"/>
              <w:lang w:val="en-US" w:eastAsia="zh-CN" w:bidi="ar-SA"/>
            </w:rPr>
            <w:t xml:space="preserve">二、 </w:t>
          </w:r>
          <w:r>
            <w:rPr>
              <w:rFonts w:hint="eastAsia" w:ascii="等线" w:hAnsi="Times New Roman" w:eastAsia="等线" w:cs="Times New Roman"/>
              <w:b w:val="0"/>
              <w:bCs w:val="0"/>
              <w:i/>
              <w:iCs/>
              <w:caps w:val="0"/>
              <w:kern w:val="2"/>
              <w:sz w:val="20"/>
              <w:szCs w:val="20"/>
              <w:lang w:val="en-US" w:eastAsia="zh-CN" w:bidi="ar-SA"/>
            </w:rPr>
            <w:t>收入决算情况说明</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9</w:t>
          </w:r>
          <w:r>
            <w:rPr>
              <w:rFonts w:hint="eastAsia" w:ascii="等线" w:hAnsi="Times New Roman" w:eastAsia="等线" w:cs="Times New Roman"/>
              <w:b w:val="0"/>
              <w:bCs w:val="0"/>
              <w:i/>
              <w:iCs/>
              <w:caps w:val="0"/>
              <w:kern w:val="2"/>
              <w:sz w:val="20"/>
              <w:szCs w:val="20"/>
              <w:lang w:val="en-US" w:eastAsia="zh-CN" w:bidi="ar-SA"/>
            </w:rPr>
            <w:fldChar w:fldCharType="end"/>
          </w:r>
        </w:p>
        <w:p>
          <w:pPr>
            <w:pStyle w:val="11"/>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_Toc15528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default" w:ascii="等线" w:hAnsi="Times New Roman" w:eastAsia="等线" w:cs="Times New Roman"/>
              <w:b w:val="0"/>
              <w:bCs w:val="0"/>
              <w:i/>
              <w:iCs/>
              <w:caps w:val="0"/>
              <w:kern w:val="2"/>
              <w:sz w:val="20"/>
              <w:szCs w:val="20"/>
              <w:lang w:val="en-US" w:eastAsia="zh-CN" w:bidi="ar-SA"/>
            </w:rPr>
            <w:t xml:space="preserve">三、 </w:t>
          </w:r>
          <w:r>
            <w:rPr>
              <w:rFonts w:hint="eastAsia" w:ascii="等线" w:hAnsi="Times New Roman" w:eastAsia="等线" w:cs="Times New Roman"/>
              <w:b w:val="0"/>
              <w:bCs w:val="0"/>
              <w:i/>
              <w:iCs/>
              <w:caps w:val="0"/>
              <w:kern w:val="2"/>
              <w:sz w:val="20"/>
              <w:szCs w:val="20"/>
              <w:lang w:val="en-US" w:eastAsia="zh-CN" w:bidi="ar-SA"/>
            </w:rPr>
            <w:t>支出决算情况说明</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0</w:t>
          </w:r>
        </w:p>
        <w:p>
          <w:pPr>
            <w:pStyle w:val="11"/>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_Toc27709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四、财政拨款收入支出决算总体情况说明</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0</w:t>
          </w:r>
        </w:p>
        <w:p>
          <w:pPr>
            <w:pStyle w:val="11"/>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_Toc9113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五、一般公共预算财政拨款支出决算情况说明</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1</w:t>
          </w:r>
        </w:p>
        <w:p>
          <w:pPr>
            <w:pStyle w:val="7"/>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_Toc27803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（一）一般公共预算财政拨款支出决算总体情况</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1</w:t>
          </w:r>
        </w:p>
        <w:p>
          <w:pPr>
            <w:pStyle w:val="7"/>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_Toc10567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（二）一般公共预算财政拨款支出决算结构情况</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2</w:t>
          </w:r>
        </w:p>
        <w:p>
          <w:pPr>
            <w:pStyle w:val="7"/>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_Toc15708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（三）一般公共预算财政拨款支出决算具体情况</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2</w:t>
          </w:r>
        </w:p>
        <w:p>
          <w:pPr>
            <w:pStyle w:val="11"/>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_Toc27084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六、一般公共预算财政拨款基本支出决算情况说明</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3</w:t>
          </w:r>
        </w:p>
        <w:p>
          <w:pPr>
            <w:pStyle w:val="11"/>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_Toc31086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七、“三公”经费财政拨款支出决算情况说明</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4</w:t>
          </w:r>
        </w:p>
        <w:p>
          <w:pPr>
            <w:pStyle w:val="7"/>
            <w:tabs>
              <w:tab w:val="right" w:leader="dot" w:pos="8306"/>
            </w:tabs>
            <w:rPr>
              <w:rFonts w:hint="eastAsia" w:ascii="等线" w:hAnsi="Times New Roman" w:eastAsia="等线" w:cs="Times New Roman"/>
              <w:b w:val="0"/>
              <w:bCs w:val="0"/>
              <w:i/>
              <w:iCs/>
              <w:caps w:val="0"/>
              <w:kern w:val="2"/>
              <w:sz w:val="20"/>
              <w:szCs w:val="20"/>
              <w:lang w:val="en-US" w:eastAsia="zh-CN" w:bidi="ar-SA"/>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_Toc31996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（一）“三公”经费财政拨款支出决算总体情况说明</w:t>
          </w:r>
          <w:r>
            <w:rPr>
              <w:rFonts w:hint="eastAsia" w:ascii="等线" w:hAnsi="Times New Roman" w:eastAsia="等线" w:cs="Times New Roman"/>
              <w:b w:val="0"/>
              <w:bCs w:val="0"/>
              <w:i/>
              <w:iCs/>
              <w:caps w:val="0"/>
              <w:kern w:val="2"/>
              <w:sz w:val="20"/>
              <w:szCs w:val="20"/>
              <w:lang w:val="en-US" w:eastAsia="zh-CN" w:bidi="ar-SA"/>
            </w:rPr>
            <w:tab/>
          </w:r>
          <w:r>
            <w:rPr>
              <w:rFonts w:hint="eastAsia" w:ascii="等线" w:hAnsi="Times New Roman" w:eastAsia="等线"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ascii="等线" w:hAnsi="Times New Roman" w:eastAsia="等线" w:cs="Times New Roman"/>
              <w:b w:val="0"/>
              <w:bCs w:val="0"/>
              <w:i/>
              <w:iCs/>
              <w:caps w:val="0"/>
              <w:kern w:val="2"/>
              <w:sz w:val="20"/>
              <w:szCs w:val="20"/>
              <w:lang w:val="en-US" w:eastAsia="zh-CN" w:bidi="ar-SA"/>
            </w:rPr>
            <w:t>4</w:t>
          </w:r>
        </w:p>
        <w:p>
          <w:pPr>
            <w:pStyle w:val="7"/>
            <w:tabs>
              <w:tab w:val="right" w:leader="dot" w:pos="8306"/>
            </w:tabs>
            <w:rPr>
              <w:rFonts w:hint="default"/>
              <w:lang w:val="en-US"/>
            </w:rPr>
          </w:pPr>
          <w:r>
            <w:rPr>
              <w:rFonts w:hint="eastAsia" w:ascii="等线" w:hAnsi="Times New Roman" w:eastAsia="等线" w:cs="Times New Roman"/>
              <w:b w:val="0"/>
              <w:bCs w:val="0"/>
              <w:i/>
              <w:iCs/>
              <w:caps w:val="0"/>
              <w:kern w:val="2"/>
              <w:sz w:val="20"/>
              <w:szCs w:val="20"/>
              <w:lang w:val="en-US" w:eastAsia="zh-CN" w:bidi="ar-SA"/>
            </w:rPr>
            <w:fldChar w:fldCharType="begin"/>
          </w:r>
          <w:r>
            <w:rPr>
              <w:rFonts w:hint="eastAsia" w:ascii="等线" w:hAnsi="Times New Roman" w:eastAsia="等线" w:cs="Times New Roman"/>
              <w:b w:val="0"/>
              <w:bCs w:val="0"/>
              <w:i/>
              <w:iCs/>
              <w:caps w:val="0"/>
              <w:kern w:val="2"/>
              <w:sz w:val="20"/>
              <w:szCs w:val="20"/>
              <w:lang w:val="en-US" w:eastAsia="zh-CN" w:bidi="ar-SA"/>
            </w:rPr>
            <w:instrText xml:space="preserve"> HYPERLINK \l _Toc19044 </w:instrText>
          </w:r>
          <w:r>
            <w:rPr>
              <w:rFonts w:hint="eastAsia" w:ascii="等线" w:hAnsi="Times New Roman" w:eastAsia="等线" w:cs="Times New Roman"/>
              <w:b w:val="0"/>
              <w:bCs w:val="0"/>
              <w:i/>
              <w:iCs/>
              <w:caps w:val="0"/>
              <w:kern w:val="2"/>
              <w:sz w:val="20"/>
              <w:szCs w:val="20"/>
              <w:lang w:val="en-US" w:eastAsia="zh-CN" w:bidi="ar-SA"/>
            </w:rPr>
            <w:fldChar w:fldCharType="separate"/>
          </w:r>
          <w:r>
            <w:rPr>
              <w:rFonts w:hint="eastAsia" w:ascii="等线" w:hAnsi="Times New Roman" w:eastAsia="等线" w:cs="Times New Roman"/>
              <w:b w:val="0"/>
              <w:bCs w:val="0"/>
              <w:i/>
              <w:iCs/>
              <w:caps w:val="0"/>
              <w:kern w:val="2"/>
              <w:sz w:val="20"/>
              <w:szCs w:val="20"/>
              <w:lang w:val="en-US" w:eastAsia="zh-CN" w:bidi="ar-SA"/>
            </w:rPr>
            <w:t>（二）“三公”经费财政拨款支出决算具体情况说明</w:t>
          </w:r>
          <w:r>
            <w:rPr>
              <w:rFonts w:hint="eastAsia" w:ascii="等线" w:hAnsi="Times New Roman" w:eastAsia="等线" w:cs="Times New Roman"/>
              <w:b w:val="0"/>
              <w:bCs w:val="0"/>
              <w:i/>
              <w:iCs/>
              <w:caps w:val="0"/>
              <w:kern w:val="2"/>
              <w:sz w:val="20"/>
              <w:szCs w:val="20"/>
              <w:lang w:val="en-US" w:eastAsia="zh-CN" w:bidi="ar-SA"/>
            </w:rPr>
            <w:tab/>
          </w:r>
          <w:r>
            <w:rPr>
              <w:rFonts w:hint="eastAsia" w:cs="Times New Roman"/>
              <w:b w:val="0"/>
              <w:bCs w:val="0"/>
              <w:i/>
              <w:iCs/>
              <w:caps w:val="0"/>
              <w:kern w:val="2"/>
              <w:sz w:val="20"/>
              <w:szCs w:val="20"/>
              <w:lang w:val="en-US" w:eastAsia="zh-CN" w:bidi="ar-SA"/>
            </w:rPr>
            <w:t>1</w:t>
          </w:r>
          <w:r>
            <w:rPr>
              <w:rFonts w:hint="eastAsia" w:ascii="等线" w:hAnsi="Times New Roman" w:eastAsia="等线" w:cs="Times New Roman"/>
              <w:b w:val="0"/>
              <w:bCs w:val="0"/>
              <w:i/>
              <w:iCs/>
              <w:caps w:val="0"/>
              <w:kern w:val="2"/>
              <w:sz w:val="20"/>
              <w:szCs w:val="20"/>
              <w:lang w:val="en-US" w:eastAsia="zh-CN" w:bidi="ar-SA"/>
            </w:rPr>
            <w:fldChar w:fldCharType="end"/>
          </w:r>
          <w:r>
            <w:rPr>
              <w:rFonts w:hint="eastAsia" w:cs="Times New Roman"/>
              <w:b w:val="0"/>
              <w:bCs w:val="0"/>
              <w:i/>
              <w:iCs/>
              <w:caps w:val="0"/>
              <w:kern w:val="2"/>
              <w:sz w:val="20"/>
              <w:szCs w:val="20"/>
              <w:lang w:val="en-US" w:eastAsia="zh-CN" w:bidi="ar-SA"/>
            </w:rPr>
            <w:t>4</w:t>
          </w:r>
        </w:p>
        <w:p>
          <w:pPr>
            <w:pStyle w:val="11"/>
            <w:tabs>
              <w:tab w:val="right" w:leader="dot" w:pos="8306"/>
            </w:tabs>
            <w:rPr>
              <w:rFonts w:hint="eastAsia" w:eastAsia="等线"/>
              <w:lang w:val="en-US" w:eastAsia="zh-CN"/>
            </w:rPr>
          </w:pPr>
          <w:r>
            <w:rPr>
              <w:rFonts w:hint="eastAsia"/>
            </w:rPr>
            <w:fldChar w:fldCharType="begin"/>
          </w:r>
          <w:r>
            <w:rPr>
              <w:rFonts w:hint="eastAsia"/>
            </w:rPr>
            <w:instrText xml:space="preserve"> HYPERLINK \l _Toc19370 </w:instrText>
          </w:r>
          <w:r>
            <w:rPr>
              <w:rFonts w:hint="eastAsia"/>
            </w:rPr>
            <w:fldChar w:fldCharType="separate"/>
          </w:r>
          <w:r>
            <w:rPr>
              <w:rFonts w:hint="eastAsia" w:ascii="黑体" w:eastAsia="黑体"/>
              <w:szCs w:val="32"/>
            </w:rPr>
            <w:t>八、</w:t>
          </w:r>
          <w:r>
            <w:rPr>
              <w:rFonts w:hint="eastAsia" w:ascii="黑体" w:hAnsi="黑体" w:eastAsia="黑体"/>
            </w:rPr>
            <w:t>政府性基金预算支出决算情况说明</w:t>
          </w:r>
          <w:r>
            <w:tab/>
          </w:r>
          <w:r>
            <w:rPr>
              <w:rFonts w:hint="eastAsia"/>
              <w:lang w:val="en-US" w:eastAsia="zh-CN"/>
            </w:rPr>
            <w:t>1</w:t>
          </w:r>
          <w:r>
            <w:rPr>
              <w:rFonts w:hint="eastAsia"/>
            </w:rPr>
            <w:fldChar w:fldCharType="end"/>
          </w:r>
          <w:r>
            <w:rPr>
              <w:rFonts w:hint="eastAsia"/>
              <w:lang w:val="en-US" w:eastAsia="zh-CN"/>
            </w:rPr>
            <w:t>5</w:t>
          </w:r>
        </w:p>
        <w:p>
          <w:pPr>
            <w:pStyle w:val="11"/>
            <w:tabs>
              <w:tab w:val="right" w:leader="dot" w:pos="8306"/>
            </w:tabs>
            <w:rPr>
              <w:rFonts w:hint="eastAsia" w:eastAsia="等线"/>
              <w:lang w:val="en-US" w:eastAsia="zh-CN"/>
            </w:rPr>
          </w:pPr>
          <w:r>
            <w:rPr>
              <w:rFonts w:hint="eastAsia"/>
            </w:rPr>
            <w:fldChar w:fldCharType="begin"/>
          </w:r>
          <w:r>
            <w:rPr>
              <w:rFonts w:hint="eastAsia"/>
            </w:rPr>
            <w:instrText xml:space="preserve"> HYPERLINK \l _Toc30285 </w:instrText>
          </w:r>
          <w:r>
            <w:rPr>
              <w:rFonts w:hint="eastAsia"/>
            </w:rPr>
            <w:fldChar w:fldCharType="separate"/>
          </w:r>
          <w:r>
            <w:rPr>
              <w:rFonts w:hint="eastAsia" w:ascii="黑体" w:hAnsi="黑体" w:eastAsia="黑体"/>
              <w:lang w:val="en-US" w:eastAsia="zh-CN"/>
            </w:rPr>
            <w:t>九、</w:t>
          </w:r>
          <w:r>
            <w:rPr>
              <w:rFonts w:hint="eastAsia" w:ascii="黑体" w:hAnsi="黑体" w:eastAsia="黑体"/>
            </w:rPr>
            <w:t>国有资本经营预算支出决算情况说明</w:t>
          </w:r>
          <w:r>
            <w:tab/>
          </w:r>
          <w:r>
            <w:rPr>
              <w:rFonts w:hint="eastAsia"/>
              <w:lang w:val="en-US" w:eastAsia="zh-CN"/>
            </w:rPr>
            <w:t>1</w:t>
          </w:r>
          <w:r>
            <w:rPr>
              <w:rFonts w:hint="eastAsia"/>
            </w:rPr>
            <w:fldChar w:fldCharType="end"/>
          </w:r>
          <w:r>
            <w:rPr>
              <w:rFonts w:hint="eastAsia"/>
              <w:lang w:val="en-US" w:eastAsia="zh-CN"/>
            </w:rPr>
            <w:t>5</w:t>
          </w:r>
        </w:p>
        <w:p>
          <w:pPr>
            <w:pStyle w:val="11"/>
            <w:tabs>
              <w:tab w:val="right" w:leader="dot" w:pos="8306"/>
            </w:tabs>
            <w:rPr>
              <w:rFonts w:hint="eastAsia" w:eastAsia="等线"/>
              <w:lang w:val="en-US" w:eastAsia="zh-CN"/>
            </w:rPr>
          </w:pPr>
          <w:r>
            <w:rPr>
              <w:rFonts w:hint="eastAsia"/>
            </w:rPr>
            <w:fldChar w:fldCharType="begin"/>
          </w:r>
          <w:r>
            <w:rPr>
              <w:rFonts w:hint="eastAsia"/>
            </w:rPr>
            <w:instrText xml:space="preserve"> HYPERLINK \l _Toc27185 </w:instrText>
          </w:r>
          <w:r>
            <w:rPr>
              <w:rFonts w:hint="eastAsia"/>
            </w:rPr>
            <w:fldChar w:fldCharType="separate"/>
          </w:r>
          <w:r>
            <w:rPr>
              <w:rFonts w:hint="eastAsia" w:ascii="黑体" w:hAnsi="黑体" w:eastAsia="黑体"/>
              <w:szCs w:val="32"/>
            </w:rPr>
            <w:t>十</w:t>
          </w:r>
          <w:r>
            <w:rPr>
              <w:rFonts w:hint="eastAsia" w:ascii="黑体" w:hAnsi="黑体" w:eastAsia="黑体"/>
            </w:rPr>
            <w:t>、其他重要事项的情况说明</w:t>
          </w:r>
          <w:r>
            <w:tab/>
          </w:r>
          <w:r>
            <w:rPr>
              <w:rFonts w:hint="eastAsia"/>
              <w:lang w:val="en-US" w:eastAsia="zh-CN"/>
            </w:rPr>
            <w:t>1</w:t>
          </w:r>
          <w:r>
            <w:rPr>
              <w:rFonts w:hint="eastAsia"/>
            </w:rPr>
            <w:fldChar w:fldCharType="end"/>
          </w:r>
          <w:r>
            <w:rPr>
              <w:rFonts w:hint="eastAsia"/>
              <w:lang w:val="en-US" w:eastAsia="zh-CN"/>
            </w:rPr>
            <w:t>5</w:t>
          </w:r>
        </w:p>
        <w:p>
          <w:pPr>
            <w:pStyle w:val="7"/>
            <w:tabs>
              <w:tab w:val="right" w:leader="dot" w:pos="8306"/>
            </w:tabs>
            <w:rPr>
              <w:rFonts w:hint="eastAsia" w:eastAsia="等线"/>
              <w:lang w:val="en-US" w:eastAsia="zh-CN"/>
            </w:rPr>
          </w:pPr>
          <w:r>
            <w:rPr>
              <w:rFonts w:hint="eastAsia"/>
            </w:rPr>
            <w:fldChar w:fldCharType="begin"/>
          </w:r>
          <w:r>
            <w:rPr>
              <w:rFonts w:hint="eastAsia"/>
            </w:rPr>
            <w:instrText xml:space="preserve"> HYPERLINK \l _Toc30093 </w:instrText>
          </w:r>
          <w:r>
            <w:rPr>
              <w:rFonts w:hint="eastAsia"/>
            </w:rPr>
            <w:fldChar w:fldCharType="separate"/>
          </w:r>
          <w:r>
            <w:rPr>
              <w:rFonts w:hint="eastAsia" w:ascii="仿宋" w:hAnsi="仿宋" w:eastAsia="仿宋"/>
              <w:szCs w:val="32"/>
            </w:rPr>
            <w:t>（一）机关运行经费支出情况</w:t>
          </w:r>
          <w:r>
            <w:tab/>
          </w:r>
          <w:r>
            <w:rPr>
              <w:rFonts w:hint="eastAsia"/>
              <w:lang w:val="en-US" w:eastAsia="zh-CN"/>
            </w:rPr>
            <w:t>1</w:t>
          </w:r>
          <w:r>
            <w:rPr>
              <w:rFonts w:hint="eastAsia"/>
            </w:rPr>
            <w:fldChar w:fldCharType="end"/>
          </w:r>
          <w:r>
            <w:rPr>
              <w:rFonts w:hint="eastAsia"/>
              <w:lang w:val="en-US" w:eastAsia="zh-CN"/>
            </w:rPr>
            <w:t>5</w:t>
          </w:r>
        </w:p>
        <w:p>
          <w:pPr>
            <w:pStyle w:val="7"/>
            <w:tabs>
              <w:tab w:val="right" w:leader="dot" w:pos="8306"/>
            </w:tabs>
            <w:rPr>
              <w:rFonts w:hint="default" w:eastAsia="等线"/>
              <w:lang w:val="en-US" w:eastAsia="zh-CN"/>
            </w:rPr>
          </w:pPr>
          <w:r>
            <w:rPr>
              <w:rFonts w:hint="eastAsia"/>
            </w:rPr>
            <w:fldChar w:fldCharType="begin"/>
          </w:r>
          <w:r>
            <w:rPr>
              <w:rFonts w:hint="eastAsia"/>
            </w:rPr>
            <w:instrText xml:space="preserve"> HYPERLINK \l _Toc5908 </w:instrText>
          </w:r>
          <w:r>
            <w:rPr>
              <w:rFonts w:hint="eastAsia"/>
            </w:rPr>
            <w:fldChar w:fldCharType="separate"/>
          </w:r>
          <w:r>
            <w:rPr>
              <w:rFonts w:hint="eastAsia" w:ascii="仿宋" w:hAnsi="仿宋" w:eastAsia="仿宋"/>
              <w:szCs w:val="32"/>
            </w:rPr>
            <w:t>（二）政府采购支出情况</w:t>
          </w:r>
          <w:r>
            <w:tab/>
          </w:r>
          <w:r>
            <w:rPr>
              <w:rFonts w:hint="eastAsia"/>
              <w:lang w:val="en-US" w:eastAsia="zh-CN"/>
            </w:rPr>
            <w:t>1</w:t>
          </w:r>
          <w:r>
            <w:rPr>
              <w:rFonts w:hint="eastAsia"/>
            </w:rPr>
            <w:fldChar w:fldCharType="end"/>
          </w:r>
          <w:r>
            <w:rPr>
              <w:rFonts w:hint="eastAsia"/>
              <w:lang w:val="en-US" w:eastAsia="zh-CN"/>
            </w:rPr>
            <w:t>5</w:t>
          </w:r>
        </w:p>
        <w:p>
          <w:pPr>
            <w:pStyle w:val="7"/>
            <w:tabs>
              <w:tab w:val="right" w:leader="dot" w:pos="8306"/>
            </w:tabs>
            <w:rPr>
              <w:rFonts w:hint="eastAsia" w:eastAsia="等线"/>
              <w:lang w:val="en-US" w:eastAsia="zh-CN"/>
            </w:rPr>
          </w:pPr>
          <w:r>
            <w:rPr>
              <w:rFonts w:hint="eastAsia"/>
            </w:rPr>
            <w:fldChar w:fldCharType="begin"/>
          </w:r>
          <w:r>
            <w:rPr>
              <w:rFonts w:hint="eastAsia"/>
            </w:rPr>
            <w:instrText xml:space="preserve"> HYPERLINK \l _Toc15768 </w:instrText>
          </w:r>
          <w:r>
            <w:rPr>
              <w:rFonts w:hint="eastAsia"/>
            </w:rPr>
            <w:fldChar w:fldCharType="separate"/>
          </w:r>
          <w:r>
            <w:rPr>
              <w:rFonts w:hint="eastAsia" w:ascii="仿宋" w:hAnsi="仿宋" w:eastAsia="仿宋"/>
              <w:szCs w:val="32"/>
            </w:rPr>
            <w:t>（三）国有资产占有使用情况</w:t>
          </w:r>
          <w:r>
            <w:tab/>
          </w:r>
          <w:r>
            <w:rPr>
              <w:rFonts w:hint="eastAsia"/>
              <w:lang w:val="en-US" w:eastAsia="zh-CN"/>
            </w:rPr>
            <w:t>1</w:t>
          </w:r>
          <w:r>
            <w:rPr>
              <w:rFonts w:hint="eastAsia"/>
            </w:rPr>
            <w:fldChar w:fldCharType="end"/>
          </w:r>
          <w:r>
            <w:rPr>
              <w:rFonts w:hint="eastAsia"/>
              <w:lang w:val="en-US" w:eastAsia="zh-CN"/>
            </w:rPr>
            <w:t>6</w:t>
          </w:r>
        </w:p>
        <w:p>
          <w:pPr>
            <w:pStyle w:val="7"/>
            <w:tabs>
              <w:tab w:val="right" w:leader="dot" w:pos="8306"/>
            </w:tabs>
            <w:rPr>
              <w:rFonts w:hint="eastAsia" w:eastAsia="等线"/>
              <w:lang w:val="en-US" w:eastAsia="zh-CN"/>
            </w:rPr>
          </w:pPr>
          <w:r>
            <w:rPr>
              <w:rFonts w:hint="eastAsia"/>
            </w:rPr>
            <w:fldChar w:fldCharType="begin"/>
          </w:r>
          <w:r>
            <w:rPr>
              <w:rFonts w:hint="eastAsia"/>
            </w:rPr>
            <w:instrText xml:space="preserve"> HYPERLINK \l _Toc26353 </w:instrText>
          </w:r>
          <w:r>
            <w:rPr>
              <w:rFonts w:hint="eastAsia"/>
            </w:rPr>
            <w:fldChar w:fldCharType="separate"/>
          </w:r>
          <w:r>
            <w:rPr>
              <w:rFonts w:hint="eastAsia" w:ascii="仿宋" w:hAnsi="仿宋" w:eastAsia="仿宋"/>
              <w:szCs w:val="32"/>
            </w:rPr>
            <w:t>（四）预算绩效管理情况。</w:t>
          </w:r>
          <w:r>
            <w:tab/>
          </w:r>
          <w:r>
            <w:rPr>
              <w:rFonts w:hint="eastAsia"/>
              <w:lang w:val="en-US" w:eastAsia="zh-CN"/>
            </w:rPr>
            <w:t>1</w:t>
          </w:r>
          <w:r>
            <w:rPr>
              <w:rFonts w:hint="eastAsia"/>
            </w:rPr>
            <w:fldChar w:fldCharType="end"/>
          </w:r>
          <w:r>
            <w:rPr>
              <w:rFonts w:hint="eastAsia"/>
              <w:lang w:val="en-US" w:eastAsia="zh-CN"/>
            </w:rPr>
            <w:t>6</w:t>
          </w:r>
        </w:p>
        <w:p>
          <w:pPr>
            <w:pStyle w:val="10"/>
            <w:tabs>
              <w:tab w:val="right" w:leader="dot" w:pos="8306"/>
            </w:tabs>
          </w:pPr>
          <w:r>
            <w:rPr>
              <w:rFonts w:hint="eastAsia"/>
            </w:rPr>
            <w:fldChar w:fldCharType="begin"/>
          </w:r>
          <w:r>
            <w:rPr>
              <w:rFonts w:hint="eastAsia"/>
            </w:rPr>
            <w:instrText xml:space="preserve"> HYPERLINK \l _Toc6574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_Toc6574 </w:instrText>
          </w:r>
          <w:r>
            <w:fldChar w:fldCharType="separate"/>
          </w:r>
          <w:r>
            <w:t>2</w:t>
          </w:r>
          <w:r>
            <w:rPr>
              <w:rFonts w:hint="eastAsia"/>
              <w:lang w:val="en-US" w:eastAsia="zh-CN"/>
            </w:rPr>
            <w:t>0</w:t>
          </w:r>
          <w:r>
            <w:fldChar w:fldCharType="end"/>
          </w:r>
          <w:r>
            <w:rPr>
              <w:rFonts w:hint="eastAsia"/>
            </w:rPr>
            <w:fldChar w:fldCharType="end"/>
          </w:r>
        </w:p>
        <w:p>
          <w:pPr>
            <w:pStyle w:val="10"/>
            <w:tabs>
              <w:tab w:val="right" w:leader="dot" w:pos="8306"/>
            </w:tabs>
          </w:pPr>
          <w:r>
            <w:rPr>
              <w:rFonts w:hint="eastAsia"/>
            </w:rPr>
            <w:fldChar w:fldCharType="begin"/>
          </w:r>
          <w:r>
            <w:rPr>
              <w:rFonts w:hint="eastAsia"/>
            </w:rPr>
            <w:instrText xml:space="preserve"> HYPERLINK \l _Toc9421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rPr>
              <w:rFonts w:hint="eastAsia"/>
              <w:lang w:val="en-US" w:eastAsia="zh-CN"/>
            </w:rPr>
            <w:t>24</w:t>
          </w:r>
          <w:r>
            <w:rPr>
              <w:rFonts w:hint="eastAsia"/>
            </w:rPr>
            <w:fldChar w:fldCharType="end"/>
          </w:r>
        </w:p>
        <w:p>
          <w:pPr>
            <w:pStyle w:val="10"/>
            <w:tabs>
              <w:tab w:val="right" w:leader="dot" w:pos="8306"/>
            </w:tabs>
          </w:pPr>
          <w:r>
            <w:rPr>
              <w:rFonts w:hint="eastAsia"/>
            </w:rPr>
            <w:fldChar w:fldCharType="begin"/>
          </w:r>
          <w:r>
            <w:rPr>
              <w:rFonts w:hint="eastAsia"/>
            </w:rPr>
            <w:instrText xml:space="preserve"> HYPERLINK \l _Toc19034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_Toc19034 </w:instrText>
          </w:r>
          <w:r>
            <w:fldChar w:fldCharType="separate"/>
          </w:r>
          <w:r>
            <w:t>2</w:t>
          </w:r>
          <w:r>
            <w:rPr>
              <w:rFonts w:hint="eastAsia"/>
              <w:lang w:val="en-US" w:eastAsia="zh-CN"/>
            </w:rPr>
            <w:t>4</w:t>
          </w:r>
          <w:r>
            <w:fldChar w:fldCharType="end"/>
          </w:r>
          <w:r>
            <w:rPr>
              <w:rFonts w:hint="eastAsia"/>
            </w:rPr>
            <w:fldChar w:fldCharType="end"/>
          </w:r>
        </w:p>
        <w:p>
          <w:pPr>
            <w:pStyle w:val="10"/>
            <w:tabs>
              <w:tab w:val="right" w:leader="dot" w:pos="8306"/>
            </w:tabs>
          </w:pPr>
          <w:r>
            <w:rPr>
              <w:rFonts w:hint="eastAsia"/>
            </w:rPr>
            <w:fldChar w:fldCharType="begin"/>
          </w:r>
          <w:r>
            <w:rPr>
              <w:rFonts w:hint="eastAsia"/>
            </w:rPr>
            <w:instrText xml:space="preserve"> HYPERLINK \l _Toc12837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_Toc12837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_Toc10714 </w:instrText>
          </w:r>
          <w:r>
            <w:rPr>
              <w:rFonts w:hint="eastAsia"/>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_Toc10714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_Toc19498 </w:instrText>
          </w:r>
          <w:r>
            <w:rPr>
              <w:rFonts w:hint="eastAsia"/>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_Toc19498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_Toc17631 </w:instrText>
          </w:r>
          <w:r>
            <w:rPr>
              <w:rFonts w:hint="eastAsia"/>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_Toc17631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_Toc2049 </w:instrText>
          </w:r>
          <w:r>
            <w:rPr>
              <w:rFonts w:hint="eastAsia"/>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_Toc2049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_Toc4683 </w:instrText>
          </w:r>
          <w:r>
            <w:rPr>
              <w:rFonts w:hint="eastAsia"/>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bookmarkStart w:id="111" w:name="_GoBack"/>
          <w:bookmarkEnd w:id="111"/>
          <w:r>
            <w:tab/>
          </w:r>
          <w:r>
            <w:fldChar w:fldCharType="begin"/>
          </w:r>
          <w:r>
            <w:instrText xml:space="preserve"> PAGEREF _Toc4683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_Toc9742 </w:instrText>
          </w:r>
          <w:r>
            <w:rPr>
              <w:rFonts w:hint="eastAsia"/>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_Toc9742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_Toc2513 </w:instrText>
          </w:r>
          <w:r>
            <w:rPr>
              <w:rFonts w:hint="eastAsia"/>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_Toc2513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_Toc7313 </w:instrText>
          </w:r>
          <w:r>
            <w:rPr>
              <w:rFonts w:hint="eastAsia"/>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_Toc7313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_Toc6310 </w:instrText>
          </w:r>
          <w:r>
            <w:rPr>
              <w:rFonts w:hint="eastAsia"/>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_Toc6310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_Toc31768 </w:instrText>
          </w:r>
          <w:r>
            <w:rPr>
              <w:rFonts w:hint="eastAsia"/>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_Toc31768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_Toc11425 </w:instrText>
          </w:r>
          <w:r>
            <w:rPr>
              <w:rFonts w:hint="eastAsia"/>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_Toc11425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_Toc9365 </w:instrText>
          </w:r>
          <w:r>
            <w:rPr>
              <w:rFonts w:hint="eastAsia"/>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_Toc9365 </w:instrText>
          </w:r>
          <w:r>
            <w:fldChar w:fldCharType="separate"/>
          </w:r>
          <w:r>
            <w:t>3</w:t>
          </w:r>
          <w:r>
            <w:rPr>
              <w:rFonts w:hint="eastAsia"/>
              <w:lang w:val="en-US" w:eastAsia="zh-CN"/>
            </w:rPr>
            <w:t>2</w:t>
          </w:r>
          <w:r>
            <w:fldChar w:fldCharType="end"/>
          </w:r>
          <w:r>
            <w:rPr>
              <w:rFonts w:hint="eastAsia"/>
            </w:rPr>
            <w:fldChar w:fldCharType="end"/>
          </w:r>
        </w:p>
        <w:p>
          <w:pPr>
            <w:pStyle w:val="11"/>
            <w:tabs>
              <w:tab w:val="right" w:leader="dot" w:pos="8306"/>
            </w:tabs>
          </w:pPr>
          <w:r>
            <w:rPr>
              <w:rFonts w:hint="eastAsia"/>
            </w:rPr>
            <w:fldChar w:fldCharType="begin"/>
          </w:r>
          <w:r>
            <w:rPr>
              <w:rFonts w:hint="eastAsia"/>
            </w:rPr>
            <w:instrText xml:space="preserve"> HYPERLINK \l _Toc4479 </w:instrText>
          </w:r>
          <w:r>
            <w:rPr>
              <w:rFonts w:hint="eastAsia"/>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_Toc4479 </w:instrText>
          </w:r>
          <w:r>
            <w:fldChar w:fldCharType="separate"/>
          </w:r>
          <w:r>
            <w:t>3</w:t>
          </w:r>
          <w:r>
            <w:rPr>
              <w:rFonts w:hint="eastAsia"/>
              <w:lang w:val="en-US" w:eastAsia="zh-CN"/>
            </w:rPr>
            <w:t>2</w:t>
          </w:r>
          <w:r>
            <w:fldChar w:fldCharType="end"/>
          </w:r>
          <w:r>
            <w:rPr>
              <w:rFonts w:hint="eastAsia"/>
            </w:rPr>
            <w:fldChar w:fldCharType="end"/>
          </w:r>
        </w:p>
        <w:p>
          <w:pPr>
            <w:widowControl/>
            <w:jc w:val="center"/>
          </w:pPr>
          <w:r>
            <w:rPr>
              <w:rFonts w:hint="eastAsia"/>
            </w:rPr>
            <w:fldChar w:fldCharType="end"/>
          </w:r>
        </w:p>
      </w:sdtContent>
    </w:sdt>
    <w:p>
      <w:pPr>
        <w:rPr>
          <w:rFonts w:hint="eastAsia"/>
        </w:rPr>
      </w:pPr>
      <w:sdt>
        <w:sdtPr>
          <w:rPr>
            <w:rFonts w:ascii="宋体" w:hAnsi="宋体" w:eastAsia="宋体" w:cs="Times New Roman"/>
            <w:kern w:val="2"/>
            <w:sz w:val="21"/>
            <w:szCs w:val="24"/>
            <w:lang w:val="en-US" w:eastAsia="zh-CN" w:bidi="ar-SA"/>
          </w:rPr>
          <w:id w:val="147451341"/>
          <w:showingPlcHdr/>
          <w15:color w:val="DBDBDB"/>
        </w:sdtPr>
        <w:sdtEndPr>
          <w:rPr>
            <w:rFonts w:hint="eastAsia" w:ascii="Times New Roman" w:hAnsi="Times New Roman" w:eastAsia="宋体" w:cs="Times New Roman"/>
            <w:kern w:val="2"/>
            <w:sz w:val="21"/>
            <w:szCs w:val="24"/>
            <w:lang w:val="en-US" w:eastAsia="zh-CN" w:bidi="ar-SA"/>
          </w:rPr>
        </w:sdtEndPr>
        <w:sdtContent/>
      </w:sdt>
    </w:p>
    <w:p>
      <w:pPr>
        <w:widowControl/>
        <w:spacing w:line="440" w:lineRule="exact"/>
        <w:jc w:val="left"/>
        <w:rPr>
          <w:rFonts w:ascii="仿宋" w:hAnsi="仿宋" w:eastAsia="仿宋"/>
          <w:bCs/>
          <w:kern w:val="44"/>
          <w:sz w:val="24"/>
        </w:rPr>
      </w:pPr>
      <w:bookmarkStart w:id="14" w:name="_Toc15396599"/>
      <w:bookmarkStart w:id="15" w:name="_Toc15377196"/>
      <w:r>
        <w:rPr>
          <w:rFonts w:ascii="仿宋" w:hAnsi="仿宋" w:eastAsia="仿宋"/>
          <w:b/>
          <w:sz w:val="24"/>
        </w:rPr>
        <w:br w:type="page"/>
      </w:r>
    </w:p>
    <w:p>
      <w:pPr>
        <w:pStyle w:val="4"/>
        <w:jc w:val="center"/>
        <w:rPr>
          <w:rFonts w:ascii="黑体" w:eastAsia="黑体"/>
          <w:color w:val="000000"/>
          <w:sz w:val="32"/>
          <w:szCs w:val="32"/>
        </w:rPr>
      </w:pPr>
      <w:bookmarkStart w:id="16" w:name="_Toc21319"/>
      <w:r>
        <w:rPr>
          <w:rFonts w:hint="eastAsia" w:ascii="黑体" w:hAnsi="黑体" w:eastAsia="黑体"/>
          <w:b w:val="0"/>
        </w:rPr>
        <w:t xml:space="preserve">第一部分 </w:t>
      </w:r>
      <w:r>
        <w:rPr>
          <w:rStyle w:val="16"/>
          <w:rFonts w:hint="eastAsia" w:ascii="黑体" w:hAnsi="黑体" w:eastAsia="黑体"/>
          <w:b w:val="0"/>
          <w:bCs w:val="0"/>
        </w:rPr>
        <w:t>部门概况</w:t>
      </w:r>
      <w:bookmarkEnd w:id="14"/>
      <w:bookmarkEnd w:id="15"/>
      <w:bookmarkEnd w:id="16"/>
    </w:p>
    <w:p>
      <w:pPr>
        <w:pStyle w:val="5"/>
        <w:pageBreakBefore w:val="0"/>
        <w:widowControl w:val="0"/>
        <w:numPr>
          <w:ilvl w:val="0"/>
          <w:numId w:val="1"/>
        </w:numPr>
        <w:kinsoku/>
        <w:wordWrap/>
        <w:overflowPunct/>
        <w:topLinePunct w:val="0"/>
        <w:autoSpaceDE/>
        <w:autoSpaceDN/>
        <w:bidi w:val="0"/>
        <w:adjustRightInd/>
        <w:snapToGrid/>
        <w:spacing w:line="560" w:lineRule="exact"/>
        <w:textAlignment w:val="auto"/>
        <w:rPr>
          <w:rStyle w:val="17"/>
          <w:rFonts w:hint="eastAsia" w:ascii="黑体" w:hAnsi="黑体" w:eastAsia="黑体"/>
          <w:b w:val="0"/>
          <w:bCs w:val="0"/>
        </w:rPr>
      </w:pPr>
      <w:bookmarkStart w:id="17" w:name="_Toc8422"/>
      <w:bookmarkStart w:id="18" w:name="_Toc15396600"/>
      <w:bookmarkStart w:id="19" w:name="_Toc15377197"/>
      <w:r>
        <w:rPr>
          <w:rFonts w:hint="eastAsia" w:ascii="黑体" w:hAnsi="黑体" w:eastAsia="黑体"/>
          <w:b w:val="0"/>
          <w:color w:val="000000"/>
        </w:rPr>
        <w:t>基</w:t>
      </w:r>
      <w:r>
        <w:rPr>
          <w:rStyle w:val="17"/>
          <w:rFonts w:hint="eastAsia" w:ascii="黑体" w:hAnsi="黑体" w:eastAsia="黑体"/>
          <w:b w:val="0"/>
          <w:bCs w:val="0"/>
        </w:rPr>
        <w:t>本职能及主要工作</w:t>
      </w:r>
      <w:bookmarkEnd w:id="17"/>
      <w:bookmarkEnd w:id="18"/>
      <w:bookmarkEnd w:id="19"/>
      <w:bookmarkStart w:id="20" w:name="_Toc15378445"/>
      <w:bookmarkStart w:id="21" w:name="_Toc15377198"/>
    </w:p>
    <w:p>
      <w:pPr>
        <w:pStyle w:val="5"/>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val="0"/>
          <w:color w:val="000000"/>
          <w:sz w:val="32"/>
          <w:szCs w:val="32"/>
        </w:rPr>
      </w:pPr>
      <w:bookmarkStart w:id="22" w:name="_Toc16803"/>
      <w:r>
        <w:rPr>
          <w:rFonts w:hint="eastAsia" w:ascii="楷体_GB2312" w:hAnsi="楷体_GB2312" w:eastAsia="楷体_GB2312" w:cs="楷体_GB2312"/>
          <w:b/>
          <w:bCs w:val="0"/>
          <w:color w:val="000000"/>
          <w:sz w:val="32"/>
          <w:szCs w:val="32"/>
        </w:rPr>
        <w:t>（一）主要职能。</w:t>
      </w:r>
      <w:bookmarkEnd w:id="20"/>
      <w:bookmarkEnd w:id="21"/>
      <w:bookmarkEnd w:id="22"/>
    </w:p>
    <w:p>
      <w:pPr>
        <w:spacing w:line="600" w:lineRule="exact"/>
        <w:ind w:firstLine="640" w:firstLineChars="200"/>
        <w:rPr>
          <w:rFonts w:hint="eastAsia" w:ascii="仿宋_GB2312" w:hAnsi="仿宋_GB2312" w:eastAsia="仿宋_GB2312" w:cs="仿宋_GB2312"/>
          <w:color w:val="000000"/>
          <w:sz w:val="32"/>
          <w:szCs w:val="32"/>
          <w:lang w:val="en-US" w:eastAsia="zh-CN"/>
        </w:rPr>
      </w:pPr>
      <w:bookmarkStart w:id="23" w:name="_Toc31163"/>
      <w:bookmarkStart w:id="24" w:name="_Toc15396602"/>
      <w:bookmarkStart w:id="25" w:name="_Toc15377204"/>
      <w:r>
        <w:rPr>
          <w:rFonts w:hint="eastAsia" w:ascii="仿宋_GB2312" w:hAnsi="仿宋_GB2312" w:eastAsia="仿宋_GB2312" w:cs="仿宋_GB2312"/>
          <w:color w:val="000000"/>
          <w:sz w:val="32"/>
          <w:szCs w:val="32"/>
          <w:lang w:val="en-US" w:eastAsia="zh-CN"/>
        </w:rPr>
        <w:t>1.产权战略，拟订并组织实施全县食品安全等规划，规范和维护市场秩序，营造诚实守信、公平竞争的市场环境。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3.负责组织和指导全县市场监督管理综合执法工作。负责全县市场监管综合执法队伍整合和建设，推动实行统一的市场监管。组织查处和督办大案要案、疑难案件、跨区域案件。规范市场监督管理行政执法行为。</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7.负责全县产品质量安全监督管理。负责产品质量监督抽查和风险监控工作，组织实施质量分级制度、质量安全追溯制度。在权限和职责范围内负责工业产品生产许可管理。负责纤维质量监督工作。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8.负责全县特种设备安全监督管理。综合管理特种设备安全监察、监督工作，监督检查高耗能特种设备节能标准和锅炉产品环境保护标准的执行情况。</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9.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监测、核查处置和风险预警、风险交流工作。组织实施特殊食品生产、流通、使用的监督管理。</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12.负责全县药品、医疗器械和化妆品标准执行管理。监督实施全县药品、医疗器械、化妆品标准和分类管理制度。配合实施国家基本药物制度。</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13.负责全县药品、医疗器械和化妆品质量管理。依法依授权监督实施药品、医疗器械生产、经营、使用质量管理规范。</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负责全县药品、医疗器械和化妆品监督管理。负责药品、医疗器械、化妆品日常监督检查。依法依授权查处药品、医疗器械和化妆品生产、销售、使用的违法行为。依法承担药品、医疗器械和化妆品安全应急管理和投诉举报处置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15.负责全县药品、医疗器械和化妆品风险管理。组织开展药品不良反应、医疗器械不良事件和化妆品不良反应的监测、评价和处置工作。依法承担药品、医疗器械和化妆品安全应急管理和投诉举报处置工作。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16.依法依授权承担我县执业药师注册管理工作，贯彻执行执业药师其他相关管理制度。</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17.负责统一管理全县计量工作。推行法定计量单位，执行国家计量制度，管理计量器具及量值传递和比对工作。规范、监督商品量和计量行为。</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18.负责统一管理全县标准化工作。依法承担地方标准立项、编号和发布等工作，协调指导地方标准、团体标准制定工作，依法对标准制定和实施情况开展监督。</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19.负责统一管理全县检验检测工作。规范检验检测市场，完善检验检测体系，指导协调检验检测行业发展。</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20.负责统一管理全县认证认可工作。监督管理认证认可和合格评定工作。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21.负责市场监督管理科技和信息化建设、新闻宣传。</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22.负责全县知识产权监督管理。贯彻落实国家、省、州知识产权战略、法规，拟订全县知识产权规划，负责知识产权的保护，负责组织实施商标、专利执法工作。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23.负责促进全县民营经济发展。负责全县民营经济</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发展工作的任务制定、调查研究、统筹协调、督促落实及民营企</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业合法权益维护。在县委组织部指导下，指导全县市场监督管理</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部门配合党委组织部门开展小微企业、个体工商户、专业市场的</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党建工作。</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24.负责职责范围内的安全生产和职业健康、生态环</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境保护、应急联动、审批服务便民化等工作。</w:t>
      </w:r>
    </w:p>
    <w:p>
      <w:pPr>
        <w:numPr>
          <w:ilvl w:val="0"/>
          <w:numId w:val="2"/>
        </w:num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完成县委、县政府交办的其他任务。</w:t>
      </w:r>
    </w:p>
    <w:p>
      <w:pPr>
        <w:pStyle w:val="5"/>
        <w:pageBreakBefore w:val="0"/>
        <w:widowControl w:val="0"/>
        <w:kinsoku/>
        <w:wordWrap/>
        <w:overflowPunct/>
        <w:topLinePunct w:val="0"/>
        <w:autoSpaceDE/>
        <w:autoSpaceDN/>
        <w:bidi w:val="0"/>
        <w:spacing w:line="560" w:lineRule="exact"/>
        <w:ind w:firstLine="640" w:firstLineChars="200"/>
        <w:textAlignment w:val="auto"/>
        <w:rPr>
          <w:rStyle w:val="17"/>
          <w:b w:val="0"/>
          <w:bCs w:val="0"/>
        </w:rPr>
      </w:pPr>
      <w:r>
        <w:rPr>
          <w:rFonts w:hint="eastAsia" w:ascii="黑体" w:eastAsia="黑体"/>
          <w:b w:val="0"/>
          <w:color w:val="000000"/>
        </w:rPr>
        <w:t>二、</w:t>
      </w:r>
      <w:r>
        <w:rPr>
          <w:rFonts w:hint="eastAsia" w:ascii="黑体" w:hAnsi="黑体" w:eastAsia="黑体"/>
          <w:b w:val="0"/>
          <w:color w:val="000000"/>
        </w:rPr>
        <w:t>机</w:t>
      </w:r>
      <w:r>
        <w:rPr>
          <w:rStyle w:val="17"/>
          <w:rFonts w:hint="eastAsia" w:ascii="黑体" w:hAnsi="黑体" w:eastAsia="黑体"/>
          <w:b w:val="0"/>
          <w:bCs w:val="0"/>
        </w:rPr>
        <w:t>构设置</w:t>
      </w:r>
    </w:p>
    <w:p>
      <w:pPr>
        <w:numPr>
          <w:ilvl w:val="0"/>
          <w:numId w:val="0"/>
        </w:num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1.红原县市场监督管理局属于一级预算单位，其中内设机构5个，下属二级单位0个，其中行政单位0个，参照公务员法管理的事业单位0个，其他事业单位0个。</w:t>
      </w:r>
    </w:p>
    <w:p>
      <w:pPr>
        <w:numPr>
          <w:ilvl w:val="0"/>
          <w:numId w:val="0"/>
        </w:num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2.人员情况：截止2020年末,我单位共有编制人数人，其中：行政人员在职22个人，参照公务员法管理人员在职16人。</w:t>
      </w:r>
    </w:p>
    <w:p>
      <w:pPr>
        <w:pStyle w:val="2"/>
        <w:numPr>
          <w:ilvl w:val="0"/>
          <w:numId w:val="0"/>
        </w:numPr>
        <w:rPr>
          <w:rFonts w:hint="eastAsia"/>
          <w:lang w:val="en-US" w:eastAsia="zh-CN"/>
        </w:rPr>
      </w:pPr>
    </w:p>
    <w:p>
      <w:pPr>
        <w:pStyle w:val="4"/>
        <w:ind w:right="440"/>
        <w:jc w:val="right"/>
        <w:rPr>
          <w:rFonts w:hint="eastAsia" w:ascii="黑体" w:hAnsi="黑体" w:eastAsia="黑体"/>
          <w:b w:val="0"/>
          <w:color w:val="000000"/>
          <w:lang w:val="en-US" w:eastAsia="zh-CN"/>
        </w:rPr>
      </w:pPr>
    </w:p>
    <w:p>
      <w:pPr>
        <w:rPr>
          <w:rFonts w:hint="eastAsia" w:ascii="黑体" w:hAnsi="黑体" w:eastAsia="黑体"/>
          <w:b w:val="0"/>
          <w:color w:val="000000"/>
          <w:lang w:val="en-US" w:eastAsia="zh-CN"/>
        </w:rPr>
      </w:pPr>
    </w:p>
    <w:p>
      <w:pPr>
        <w:pStyle w:val="8"/>
        <w:rPr>
          <w:rFonts w:hint="eastAsia" w:ascii="黑体" w:hAnsi="黑体" w:eastAsia="黑体"/>
          <w:b w:val="0"/>
          <w:color w:val="000000"/>
          <w:lang w:val="en-US" w:eastAsia="zh-CN"/>
        </w:rPr>
      </w:pPr>
    </w:p>
    <w:p>
      <w:pPr>
        <w:pStyle w:val="8"/>
        <w:rPr>
          <w:rFonts w:hint="eastAsia" w:ascii="黑体" w:hAnsi="黑体" w:eastAsia="黑体"/>
          <w:b w:val="0"/>
          <w:color w:val="000000"/>
          <w:lang w:val="en-US" w:eastAsia="zh-CN"/>
        </w:rPr>
      </w:pPr>
    </w:p>
    <w:p>
      <w:pPr>
        <w:pStyle w:val="8"/>
        <w:rPr>
          <w:rFonts w:hint="eastAsia" w:ascii="黑体" w:hAnsi="黑体" w:eastAsia="黑体"/>
          <w:b w:val="0"/>
          <w:color w:val="000000"/>
          <w:lang w:val="en-US" w:eastAsia="zh-CN"/>
        </w:rPr>
      </w:pPr>
    </w:p>
    <w:p>
      <w:pPr>
        <w:pStyle w:val="8"/>
        <w:rPr>
          <w:rFonts w:hint="eastAsia" w:ascii="黑体" w:hAnsi="黑体" w:eastAsia="黑体"/>
          <w:b w:val="0"/>
          <w:color w:val="000000"/>
          <w:lang w:val="en-US" w:eastAsia="zh-CN"/>
        </w:rPr>
      </w:pPr>
    </w:p>
    <w:p>
      <w:pPr>
        <w:pStyle w:val="8"/>
        <w:rPr>
          <w:rFonts w:hint="eastAsia" w:ascii="黑体" w:hAnsi="黑体" w:eastAsia="黑体"/>
          <w:b w:val="0"/>
          <w:color w:val="000000"/>
          <w:lang w:val="en-US" w:eastAsia="zh-CN"/>
        </w:rPr>
      </w:pPr>
    </w:p>
    <w:p>
      <w:pPr>
        <w:pStyle w:val="8"/>
        <w:rPr>
          <w:rFonts w:hint="eastAsia" w:ascii="黑体" w:hAnsi="黑体" w:eastAsia="黑体"/>
          <w:b w:val="0"/>
          <w:color w:val="000000"/>
          <w:lang w:val="en-US" w:eastAsia="zh-CN"/>
        </w:rPr>
      </w:pPr>
    </w:p>
    <w:p>
      <w:pPr>
        <w:pStyle w:val="8"/>
        <w:rPr>
          <w:rFonts w:hint="default" w:ascii="黑体" w:hAnsi="黑体" w:eastAsia="黑体"/>
          <w:b w:val="0"/>
          <w:color w:val="000000"/>
          <w:lang w:val="en-US" w:eastAsia="zh-CN"/>
        </w:rPr>
      </w:pPr>
      <w:r>
        <w:rPr>
          <w:rFonts w:hint="eastAsia" w:ascii="黑体" w:hAnsi="黑体" w:eastAsia="黑体"/>
          <w:b w:val="0"/>
          <w:color w:val="000000"/>
          <w:lang w:val="en-US" w:eastAsia="zh-CN"/>
        </w:rPr>
        <w:t xml:space="preserve"> </w:t>
      </w:r>
    </w:p>
    <w:p>
      <w:pPr>
        <w:pStyle w:val="4"/>
        <w:ind w:right="440"/>
        <w:jc w:val="right"/>
        <w:rPr>
          <w:rStyle w:val="16"/>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16"/>
          <w:rFonts w:hint="eastAsia" w:ascii="黑体" w:hAnsi="黑体" w:eastAsia="黑体"/>
          <w:b w:val="0"/>
          <w:bCs w:val="0"/>
          <w:lang w:val="en-US" w:eastAsia="zh-CN"/>
        </w:rPr>
        <w:t>2020</w:t>
      </w:r>
      <w:r>
        <w:rPr>
          <w:rStyle w:val="16"/>
          <w:rFonts w:hint="eastAsia" w:ascii="黑体" w:hAnsi="黑体" w:eastAsia="黑体"/>
          <w:b w:val="0"/>
          <w:bCs w:val="0"/>
        </w:rPr>
        <w:t>年度部门决算情况说明</w:t>
      </w:r>
      <w:bookmarkEnd w:id="23"/>
      <w:bookmarkEnd w:id="24"/>
      <w:bookmarkEnd w:id="25"/>
    </w:p>
    <w:p/>
    <w:p>
      <w:pPr>
        <w:pStyle w:val="23"/>
        <w:numPr>
          <w:ilvl w:val="0"/>
          <w:numId w:val="3"/>
        </w:numPr>
        <w:spacing w:line="600" w:lineRule="exact"/>
        <w:ind w:firstLineChars="0"/>
        <w:outlineLvl w:val="1"/>
        <w:rPr>
          <w:rStyle w:val="17"/>
          <w:rFonts w:ascii="黑体" w:hAnsi="黑体" w:eastAsia="黑体"/>
          <w:b w:val="0"/>
        </w:rPr>
      </w:pPr>
      <w:bookmarkStart w:id="26" w:name="_Toc11895"/>
      <w:bookmarkStart w:id="27" w:name="_Toc15377205"/>
      <w:bookmarkStart w:id="28" w:name="_Toc15396603"/>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26"/>
      <w:bookmarkEnd w:id="27"/>
      <w:bookmarkEnd w:id="28"/>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年度收收入总计</w:t>
      </w:r>
      <w:r>
        <w:rPr>
          <w:rFonts w:hint="eastAsia" w:ascii="仿宋_GB2312" w:hAnsi="仿宋_GB2312" w:eastAsia="仿宋_GB2312" w:cs="仿宋_GB2312"/>
          <w:color w:val="000000"/>
          <w:sz w:val="32"/>
          <w:szCs w:val="32"/>
          <w:lang w:val="en-US" w:eastAsia="zh-CN"/>
        </w:rPr>
        <w:t>823.52</w:t>
      </w:r>
      <w:r>
        <w:rPr>
          <w:rFonts w:hint="eastAsia" w:ascii="仿宋_GB2312" w:hAnsi="仿宋_GB2312" w:eastAsia="仿宋_GB2312" w:cs="仿宋_GB2312"/>
          <w:color w:val="000000"/>
          <w:sz w:val="32"/>
          <w:szCs w:val="32"/>
        </w:rPr>
        <w:t>万元，其中：财政拨款收入</w:t>
      </w:r>
      <w:r>
        <w:rPr>
          <w:rFonts w:hint="eastAsia" w:ascii="仿宋_GB2312" w:hAnsi="仿宋_GB2312" w:eastAsia="仿宋_GB2312" w:cs="仿宋_GB2312"/>
          <w:color w:val="000000"/>
          <w:sz w:val="32"/>
          <w:szCs w:val="32"/>
          <w:lang w:val="en-US" w:eastAsia="zh-CN"/>
        </w:rPr>
        <w:t>823.52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%。上年结转和结余</w:t>
      </w:r>
      <w:r>
        <w:rPr>
          <w:rFonts w:hint="eastAsia" w:ascii="仿宋_GB2312" w:hAnsi="仿宋_GB2312" w:eastAsia="仿宋_GB2312" w:cs="仿宋_GB2312"/>
          <w:color w:val="000000"/>
          <w:sz w:val="32"/>
          <w:szCs w:val="32"/>
          <w:lang w:val="en-US" w:eastAsia="zh-CN"/>
        </w:rPr>
        <w:t>303.02</w:t>
      </w:r>
      <w:r>
        <w:rPr>
          <w:rFonts w:hint="eastAsia" w:ascii="仿宋_GB2312" w:hAnsi="仿宋_GB2312" w:eastAsia="仿宋_GB2312" w:cs="仿宋_GB2312"/>
          <w:color w:val="000000"/>
          <w:sz w:val="32"/>
          <w:szCs w:val="32"/>
        </w:rPr>
        <w:t>万元，其中：项目支出结转和结余</w:t>
      </w:r>
      <w:r>
        <w:rPr>
          <w:rFonts w:hint="eastAsia" w:ascii="仿宋_GB2312" w:hAnsi="仿宋_GB2312" w:eastAsia="仿宋_GB2312" w:cs="仿宋_GB2312"/>
          <w:color w:val="000000"/>
          <w:sz w:val="32"/>
          <w:szCs w:val="32"/>
          <w:lang w:val="en-US" w:eastAsia="zh-CN"/>
        </w:rPr>
        <w:t>303.02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年度支出总计</w:t>
      </w:r>
      <w:r>
        <w:rPr>
          <w:rFonts w:hint="eastAsia" w:ascii="仿宋_GB2312" w:hAnsi="仿宋_GB2312" w:eastAsia="仿宋_GB2312" w:cs="仿宋_GB2312"/>
          <w:color w:val="000000"/>
          <w:sz w:val="32"/>
          <w:szCs w:val="32"/>
          <w:lang w:val="en-US" w:eastAsia="zh-CN"/>
        </w:rPr>
        <w:t>1046.93</w:t>
      </w:r>
      <w:r>
        <w:rPr>
          <w:rFonts w:hint="eastAsia" w:ascii="仿宋_GB2312" w:hAnsi="仿宋_GB2312" w:eastAsia="仿宋_GB2312" w:cs="仿宋_GB2312"/>
          <w:color w:val="000000"/>
          <w:sz w:val="32"/>
          <w:szCs w:val="32"/>
        </w:rPr>
        <w:t>万元，其中，一般公共服务支出</w:t>
      </w:r>
      <w:r>
        <w:rPr>
          <w:rFonts w:hint="eastAsia" w:ascii="仿宋_GB2312" w:hAnsi="仿宋_GB2312" w:eastAsia="仿宋_GB2312" w:cs="仿宋_GB2312"/>
          <w:color w:val="000000"/>
          <w:sz w:val="32"/>
          <w:szCs w:val="32"/>
          <w:lang w:val="en-US" w:eastAsia="zh-CN"/>
        </w:rPr>
        <w:t>743.9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71.05</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303.02</w:t>
      </w:r>
      <w:r>
        <w:rPr>
          <w:rFonts w:hint="eastAsia" w:ascii="仿宋_GB2312" w:hAnsi="仿宋_GB2312" w:eastAsia="仿宋_GB2312" w:cs="仿宋_GB2312"/>
          <w:color w:val="000000"/>
          <w:sz w:val="32"/>
          <w:szCs w:val="32"/>
        </w:rPr>
        <w:t>万元。</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年年末结转和结余</w:t>
      </w:r>
      <w:r>
        <w:rPr>
          <w:rFonts w:hint="eastAsia" w:ascii="仿宋_GB2312" w:hAnsi="仿宋_GB2312" w:eastAsia="仿宋_GB2312" w:cs="仿宋_GB2312"/>
          <w:color w:val="000000"/>
          <w:sz w:val="32"/>
          <w:szCs w:val="32"/>
          <w:lang w:val="en-US" w:eastAsia="zh-CN"/>
        </w:rPr>
        <w:t>79.62</w:t>
      </w:r>
      <w:r>
        <w:rPr>
          <w:rFonts w:hint="eastAsia" w:ascii="仿宋_GB2312" w:hAnsi="仿宋_GB2312" w:eastAsia="仿宋_GB2312" w:cs="仿宋_GB2312"/>
          <w:color w:val="000000"/>
          <w:sz w:val="32"/>
          <w:szCs w:val="32"/>
        </w:rPr>
        <w:t>万元，其中：项目支出结转和结余</w:t>
      </w:r>
      <w:r>
        <w:rPr>
          <w:rFonts w:hint="eastAsia" w:ascii="仿宋_GB2312" w:hAnsi="仿宋_GB2312" w:eastAsia="仿宋_GB2312" w:cs="仿宋_GB2312"/>
          <w:color w:val="000000"/>
          <w:sz w:val="32"/>
          <w:szCs w:val="32"/>
          <w:lang w:val="en-US" w:eastAsia="zh-CN"/>
        </w:rPr>
        <w:t>79.62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rPr>
        <w:t>年相比，总收入</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29.79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2.77</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rPr>
        <w:t>主要变动原因是人员</w:t>
      </w:r>
      <w:r>
        <w:rPr>
          <w:rFonts w:hint="eastAsia" w:ascii="仿宋" w:hAnsi="仿宋" w:eastAsia="仿宋"/>
          <w:color w:val="000000"/>
          <w:sz w:val="32"/>
          <w:szCs w:val="32"/>
          <w:lang w:eastAsia="zh-CN"/>
        </w:rPr>
        <w:t>减少</w:t>
      </w:r>
      <w:r>
        <w:rPr>
          <w:rFonts w:hint="eastAsia" w:ascii="仿宋_GB2312" w:hAnsi="仿宋_GB2312" w:eastAsia="仿宋_GB2312" w:cs="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59264" behindDoc="1" locked="0" layoutInCell="1" allowOverlap="1">
            <wp:simplePos x="0" y="0"/>
            <wp:positionH relativeFrom="column">
              <wp:posOffset>-13970</wp:posOffset>
            </wp:positionH>
            <wp:positionV relativeFrom="paragraph">
              <wp:posOffset>7620</wp:posOffset>
            </wp:positionV>
            <wp:extent cx="5054600" cy="2159000"/>
            <wp:effectExtent l="4445" t="4445" r="15875" b="15875"/>
            <wp:wrapTight wrapText="bothSides">
              <wp:wrapPolygon>
                <wp:start x="-19" y="-44"/>
                <wp:lineTo x="-19" y="21454"/>
                <wp:lineTo x="21538" y="21454"/>
                <wp:lineTo x="21538" y="-44"/>
                <wp:lineTo x="-19" y="-4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3"/>
        <w:numPr>
          <w:ilvl w:val="0"/>
          <w:numId w:val="3"/>
        </w:numPr>
        <w:spacing w:line="600" w:lineRule="exact"/>
        <w:ind w:firstLineChars="0"/>
        <w:outlineLvl w:val="1"/>
        <w:rPr>
          <w:rStyle w:val="17"/>
          <w:rFonts w:ascii="黑体" w:hAnsi="黑体" w:eastAsia="黑体"/>
          <w:b w:val="0"/>
        </w:rPr>
      </w:pPr>
      <w:bookmarkStart w:id="29" w:name="_Toc15396604"/>
      <w:bookmarkStart w:id="30" w:name="_Toc15377206"/>
      <w:bookmarkStart w:id="31" w:name="_Toc26006"/>
      <w:r>
        <w:rPr>
          <w:rFonts w:hint="eastAsia" w:ascii="黑体" w:hAnsi="黑体" w:eastAsia="黑体"/>
          <w:color w:val="000000"/>
          <w:sz w:val="32"/>
          <w:szCs w:val="32"/>
        </w:rPr>
        <w:t>收</w:t>
      </w:r>
      <w:r>
        <w:rPr>
          <w:rStyle w:val="17"/>
          <w:rFonts w:hint="eastAsia" w:ascii="黑体" w:hAnsi="黑体" w:eastAsia="黑体"/>
          <w:b w:val="0"/>
        </w:rPr>
        <w:t>入决算情况说明</w:t>
      </w:r>
      <w:bookmarkEnd w:id="29"/>
      <w:bookmarkEnd w:id="30"/>
      <w:bookmarkEnd w:id="31"/>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bookmarkStart w:id="32" w:name="_Toc22194"/>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823.52</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823.52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上级补助收入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32"/>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5408" behindDoc="1" locked="0" layoutInCell="1" allowOverlap="1">
            <wp:simplePos x="0" y="0"/>
            <wp:positionH relativeFrom="column">
              <wp:posOffset>128270</wp:posOffset>
            </wp:positionH>
            <wp:positionV relativeFrom="paragraph">
              <wp:posOffset>108585</wp:posOffset>
            </wp:positionV>
            <wp:extent cx="4757420" cy="2003425"/>
            <wp:effectExtent l="4445" t="4445" r="8255" b="19050"/>
            <wp:wrapTight wrapText="bothSides">
              <wp:wrapPolygon>
                <wp:start x="-20" y="-48"/>
                <wp:lineTo x="-20" y="21477"/>
                <wp:lineTo x="21568" y="21477"/>
                <wp:lineTo x="21568" y="-48"/>
                <wp:lineTo x="-20" y="-48"/>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3"/>
        <w:numPr>
          <w:ilvl w:val="0"/>
          <w:numId w:val="3"/>
        </w:numPr>
        <w:spacing w:line="600" w:lineRule="exact"/>
        <w:ind w:firstLineChars="0"/>
        <w:outlineLvl w:val="1"/>
        <w:rPr>
          <w:rStyle w:val="17"/>
          <w:rFonts w:ascii="黑体" w:hAnsi="黑体" w:eastAsia="黑体"/>
          <w:b w:val="0"/>
        </w:rPr>
      </w:pPr>
      <w:bookmarkStart w:id="33" w:name="_Toc15377207"/>
      <w:bookmarkStart w:id="34" w:name="_Toc15396605"/>
      <w:bookmarkStart w:id="35" w:name="_Toc15528"/>
      <w:r>
        <w:rPr>
          <w:rFonts w:hint="eastAsia" w:ascii="黑体" w:hAnsi="黑体" w:eastAsia="黑体"/>
          <w:color w:val="000000"/>
          <w:sz w:val="32"/>
          <w:szCs w:val="32"/>
        </w:rPr>
        <w:t>支</w:t>
      </w:r>
      <w:r>
        <w:rPr>
          <w:rStyle w:val="17"/>
          <w:rFonts w:hint="eastAsia" w:ascii="黑体" w:hAnsi="黑体" w:eastAsia="黑体"/>
          <w:b w:val="0"/>
        </w:rPr>
        <w:t>出决算情况说明</w:t>
      </w:r>
      <w:bookmarkEnd w:id="33"/>
      <w:bookmarkEnd w:id="34"/>
      <w:bookmarkEnd w:id="35"/>
    </w:p>
    <w:p>
      <w:pPr>
        <w:spacing w:line="600" w:lineRule="exact"/>
        <w:ind w:firstLine="640" w:firstLineChars="200"/>
        <w:outlineLvl w:val="1"/>
        <w:rPr>
          <w:rFonts w:hint="eastAsia" w:ascii="仿宋_GB2312" w:hAnsi="仿宋_GB2312" w:eastAsia="仿宋_GB2312" w:cs="仿宋_GB2312"/>
          <w:color w:val="000000"/>
          <w:sz w:val="32"/>
          <w:szCs w:val="32"/>
        </w:rPr>
      </w:pPr>
      <w:bookmarkStart w:id="36" w:name="_Toc10457"/>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1046.93</w:t>
      </w:r>
      <w:r>
        <w:rPr>
          <w:rFonts w:hint="eastAsia" w:ascii="仿宋_GB2312" w:hAnsi="仿宋_GB2312" w:eastAsia="仿宋_GB2312" w:cs="仿宋_GB2312"/>
          <w:color w:val="000000"/>
          <w:sz w:val="32"/>
          <w:szCs w:val="32"/>
        </w:rPr>
        <w:t>万元，其中：一般公共服务支出</w:t>
      </w:r>
      <w:r>
        <w:rPr>
          <w:rFonts w:hint="eastAsia" w:ascii="仿宋_GB2312" w:hAnsi="仿宋_GB2312" w:eastAsia="仿宋_GB2312" w:cs="仿宋_GB2312"/>
          <w:color w:val="000000"/>
          <w:sz w:val="32"/>
          <w:szCs w:val="32"/>
          <w:lang w:val="en-US" w:eastAsia="zh-CN"/>
        </w:rPr>
        <w:t>743.9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71.05</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303.02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，占</w:t>
      </w:r>
      <w:r>
        <w:rPr>
          <w:rFonts w:hint="eastAsia" w:ascii="仿宋_GB2312" w:hAnsi="仿宋_GB2312" w:eastAsia="仿宋_GB2312" w:cs="仿宋_GB2312"/>
          <w:color w:val="000000"/>
          <w:sz w:val="32"/>
          <w:szCs w:val="32"/>
          <w:lang w:val="en-US" w:eastAsia="zh-CN"/>
        </w:rPr>
        <w:t>28.95</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w:t>
      </w:r>
      <w:r>
        <w:rPr>
          <w:rFonts w:hint="eastAsia" w:ascii="仿宋_GB2312" w:hAnsi="仿宋_GB2312" w:eastAsia="仿宋_GB2312" w:cs="仿宋_GB2312"/>
          <w:color w:val="000000"/>
          <w:sz w:val="32"/>
          <w:szCs w:val="32"/>
          <w:lang w:val="en-US" w:eastAsia="zh-CN"/>
        </w:rPr>
        <w:t>出0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36"/>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0288" behindDoc="1" locked="0" layoutInCell="1" allowOverlap="1">
            <wp:simplePos x="0" y="0"/>
            <wp:positionH relativeFrom="column">
              <wp:posOffset>233045</wp:posOffset>
            </wp:positionH>
            <wp:positionV relativeFrom="paragraph">
              <wp:posOffset>4445</wp:posOffset>
            </wp:positionV>
            <wp:extent cx="4815840" cy="1490345"/>
            <wp:effectExtent l="5080" t="5080" r="10160" b="13335"/>
            <wp:wrapTight wrapText="bothSides">
              <wp:wrapPolygon>
                <wp:start x="-23" y="-74"/>
                <wp:lineTo x="-23" y="21352"/>
                <wp:lineTo x="21577" y="21352"/>
                <wp:lineTo x="21577" y="-74"/>
                <wp:lineTo x="-23" y="-7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17"/>
          <w:rFonts w:ascii="黑体" w:hAnsi="黑体" w:eastAsia="黑体"/>
          <w:b w:val="0"/>
        </w:rPr>
      </w:pPr>
      <w:bookmarkStart w:id="37" w:name="_Toc15396606"/>
      <w:bookmarkStart w:id="38" w:name="_Toc15377208"/>
      <w:bookmarkStart w:id="39" w:name="_Toc27709"/>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37"/>
      <w:bookmarkEnd w:id="38"/>
      <w:bookmarkEnd w:id="39"/>
    </w:p>
    <w:p>
      <w:pPr>
        <w:spacing w:line="600" w:lineRule="exact"/>
        <w:ind w:firstLine="640"/>
        <w:rPr>
          <w:rFonts w:hint="eastAsia" w:ascii="仿宋" w:hAnsi="仿宋" w:eastAsia="仿宋_GB2312"/>
          <w:color w:val="000000"/>
          <w:sz w:val="32"/>
          <w:szCs w:val="32"/>
          <w:lang w:eastAsia="zh-CN"/>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_GB2312" w:hAnsi="仿宋_GB2312" w:eastAsia="仿宋_GB2312" w:cs="仿宋_GB2312"/>
          <w:color w:val="000000"/>
          <w:sz w:val="32"/>
          <w:szCs w:val="32"/>
          <w:lang w:val="en-US" w:eastAsia="zh-CN"/>
        </w:rPr>
        <w:t>823.52</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72.55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8.1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_GB2312" w:hAnsi="仿宋_GB2312" w:eastAsia="仿宋_GB2312" w:cs="仿宋_GB2312"/>
          <w:color w:val="000000"/>
          <w:sz w:val="32"/>
          <w:szCs w:val="32"/>
          <w:lang w:val="en-US" w:eastAsia="zh-CN"/>
        </w:rPr>
        <w:t>1046.93</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407.03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28</w:t>
      </w:r>
      <w:r>
        <w:rPr>
          <w:rFonts w:ascii="仿宋" w:hAnsi="仿宋" w:eastAsia="仿宋"/>
          <w:color w:val="000000"/>
          <w:sz w:val="32"/>
          <w:szCs w:val="32"/>
        </w:rPr>
        <w:t>%</w:t>
      </w:r>
      <w:r>
        <w:rPr>
          <w:rFonts w:hint="eastAsia" w:ascii="仿宋" w:hAnsi="仿宋" w:eastAsia="仿宋"/>
          <w:color w:val="000000"/>
          <w:sz w:val="32"/>
          <w:szCs w:val="32"/>
        </w:rPr>
        <w:t>。主要变动原因是人员</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和项目经费支出</w:t>
      </w:r>
      <w:r>
        <w:rPr>
          <w:rFonts w:hint="eastAsia" w:ascii="仿宋" w:hAnsi="仿宋" w:eastAsia="仿宋"/>
          <w:color w:val="000000"/>
          <w:sz w:val="32"/>
          <w:szCs w:val="32"/>
          <w:lang w:eastAsia="zh-CN"/>
        </w:rPr>
        <w:t>减少</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highlight w:val="none"/>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204470</wp:posOffset>
            </wp:positionH>
            <wp:positionV relativeFrom="paragraph">
              <wp:posOffset>76200</wp:posOffset>
            </wp:positionV>
            <wp:extent cx="4709160" cy="2547620"/>
            <wp:effectExtent l="4445" t="4445" r="10795" b="8255"/>
            <wp:wrapTight wrapText="bothSides">
              <wp:wrapPolygon>
                <wp:start x="-20" y="-38"/>
                <wp:lineTo x="-20" y="21541"/>
                <wp:lineTo x="21580" y="21541"/>
                <wp:lineTo x="21580" y="-38"/>
                <wp:lineTo x="-20" y="-38"/>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17"/>
          <w:rFonts w:ascii="黑体" w:hAnsi="黑体" w:eastAsia="黑体"/>
          <w:b w:val="0"/>
        </w:rPr>
      </w:pPr>
      <w:bookmarkStart w:id="40" w:name="_Toc15396607"/>
      <w:bookmarkStart w:id="41" w:name="_Toc15377209"/>
      <w:bookmarkStart w:id="42" w:name="_Toc9113"/>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40"/>
      <w:bookmarkEnd w:id="41"/>
      <w:bookmarkEnd w:id="42"/>
    </w:p>
    <w:p>
      <w:pPr>
        <w:spacing w:line="600" w:lineRule="exact"/>
        <w:ind w:firstLine="643" w:firstLineChars="200"/>
        <w:outlineLvl w:val="2"/>
        <w:rPr>
          <w:rFonts w:ascii="仿宋" w:hAnsi="仿宋" w:eastAsia="仿宋"/>
          <w:b/>
          <w:color w:val="000000"/>
          <w:sz w:val="32"/>
          <w:szCs w:val="32"/>
        </w:rPr>
      </w:pPr>
      <w:bookmarkStart w:id="43" w:name="_Toc27803"/>
      <w:bookmarkStart w:id="44" w:name="_Toc15377210"/>
      <w:r>
        <w:rPr>
          <w:rFonts w:hint="eastAsia" w:ascii="仿宋" w:hAnsi="仿宋" w:eastAsia="仿宋"/>
          <w:b/>
          <w:color w:val="000000"/>
          <w:sz w:val="32"/>
          <w:szCs w:val="32"/>
        </w:rPr>
        <w:t>（一）一般公共预算财政拨款支出决算总体情况</w:t>
      </w:r>
      <w:bookmarkEnd w:id="43"/>
      <w:bookmarkEnd w:id="44"/>
    </w:p>
    <w:p>
      <w:pPr>
        <w:spacing w:line="600" w:lineRule="exact"/>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 xml:space="preserve">    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1046.93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407.03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28</w:t>
      </w:r>
      <w:r>
        <w:rPr>
          <w:rFonts w:ascii="仿宋" w:hAnsi="仿宋" w:eastAsia="仿宋"/>
          <w:color w:val="000000"/>
          <w:sz w:val="32"/>
          <w:szCs w:val="32"/>
        </w:rPr>
        <w:t>%</w:t>
      </w:r>
      <w:r>
        <w:rPr>
          <w:rFonts w:hint="eastAsia" w:ascii="仿宋" w:hAnsi="仿宋" w:eastAsia="仿宋"/>
          <w:color w:val="000000"/>
          <w:sz w:val="32"/>
          <w:szCs w:val="32"/>
        </w:rPr>
        <w:t>。主要变动原因是人员</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和项目经费支出</w:t>
      </w:r>
      <w:r>
        <w:rPr>
          <w:rFonts w:hint="eastAsia" w:ascii="仿宋" w:hAnsi="仿宋" w:eastAsia="仿宋"/>
          <w:color w:val="000000"/>
          <w:sz w:val="32"/>
          <w:szCs w:val="32"/>
          <w:lang w:eastAsia="zh-CN"/>
        </w:rPr>
        <w:t>减少。</w:t>
      </w:r>
    </w:p>
    <w:p>
      <w:pPr>
        <w:pStyle w:val="8"/>
        <w:rPr>
          <w:rFonts w:hint="eastAsia"/>
          <w:lang w:val="en-US" w:eastAsia="zh-CN"/>
        </w:rPr>
      </w:pP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2336" behindDoc="1" locked="0" layoutInCell="1" allowOverlap="1">
            <wp:simplePos x="0" y="0"/>
            <wp:positionH relativeFrom="column">
              <wp:posOffset>60960</wp:posOffset>
            </wp:positionH>
            <wp:positionV relativeFrom="paragraph">
              <wp:posOffset>33655</wp:posOffset>
            </wp:positionV>
            <wp:extent cx="5059045" cy="3130550"/>
            <wp:effectExtent l="12700" t="12700" r="18415" b="26670"/>
            <wp:wrapTight wrapText="bothSides">
              <wp:wrapPolygon>
                <wp:start x="-54" y="-88"/>
                <wp:lineTo x="-54" y="21574"/>
                <wp:lineTo x="21614" y="21574"/>
                <wp:lineTo x="21614" y="-88"/>
                <wp:lineTo x="-54" y="-88"/>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45" w:name="_Toc10567"/>
      <w:bookmarkStart w:id="46" w:name="_Toc15377211"/>
      <w:r>
        <w:rPr>
          <w:rFonts w:hint="eastAsia" w:ascii="仿宋" w:hAnsi="仿宋" w:eastAsia="仿宋"/>
          <w:b/>
          <w:color w:val="000000"/>
          <w:sz w:val="32"/>
          <w:szCs w:val="32"/>
        </w:rPr>
        <w:t>（二）一般公共预算财政拨款支出决算结构情况</w:t>
      </w:r>
      <w:bookmarkEnd w:id="45"/>
      <w:bookmarkEnd w:id="46"/>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1046.93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867.61元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社会保障和就业支出（类）</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90.55</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32.81</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55.96</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3360" behindDoc="0" locked="0" layoutInCell="1" allowOverlap="1">
            <wp:simplePos x="0" y="0"/>
            <wp:positionH relativeFrom="column">
              <wp:posOffset>295275</wp:posOffset>
            </wp:positionH>
            <wp:positionV relativeFrom="paragraph">
              <wp:posOffset>-422275</wp:posOffset>
            </wp:positionV>
            <wp:extent cx="5236845" cy="1958975"/>
            <wp:effectExtent l="5080" t="4445" r="15875" b="177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hint="eastAsia" w:ascii="仿宋" w:hAnsi="仿宋" w:eastAsia="仿宋"/>
          <w:b/>
          <w:color w:val="000000"/>
          <w:sz w:val="32"/>
          <w:szCs w:val="32"/>
        </w:rPr>
      </w:pPr>
      <w:r>
        <w:rPr>
          <w:rFonts w:hint="eastAsia" w:ascii="仿宋" w:hAnsi="仿宋" w:eastAsia="仿宋"/>
          <w:color w:val="000000"/>
          <w:sz w:val="32"/>
          <w:szCs w:val="32"/>
        </w:rPr>
        <w:t>（图6：一般公共预算财政拨款支出决算结构）（饼状图）</w:t>
      </w:r>
      <w:bookmarkStart w:id="47" w:name="_Toc15377212"/>
    </w:p>
    <w:p>
      <w:pPr>
        <w:spacing w:line="600" w:lineRule="exact"/>
        <w:ind w:firstLine="643" w:firstLineChars="200"/>
        <w:outlineLvl w:val="2"/>
        <w:rPr>
          <w:rFonts w:ascii="仿宋" w:hAnsi="仿宋" w:eastAsia="仿宋"/>
          <w:b/>
          <w:color w:val="000000"/>
          <w:sz w:val="32"/>
          <w:szCs w:val="32"/>
        </w:rPr>
      </w:pPr>
      <w:bookmarkStart w:id="48" w:name="_Toc15708"/>
      <w:r>
        <w:rPr>
          <w:rFonts w:hint="eastAsia" w:ascii="仿宋" w:hAnsi="仿宋" w:eastAsia="仿宋"/>
          <w:b/>
          <w:color w:val="000000"/>
          <w:sz w:val="32"/>
          <w:szCs w:val="32"/>
        </w:rPr>
        <w:t>（三）一般公共预算财政拨款支出决算具体情况</w:t>
      </w:r>
      <w:bookmarkEnd w:id="47"/>
      <w:bookmarkEnd w:id="48"/>
    </w:p>
    <w:p>
      <w:pPr>
        <w:spacing w:line="600" w:lineRule="exact"/>
        <w:ind w:firstLine="643" w:firstLineChars="200"/>
        <w:outlineLvl w:val="2"/>
        <w:rPr>
          <w:rFonts w:ascii="仿宋" w:hAnsi="仿宋" w:eastAsia="仿宋"/>
          <w:color w:val="FF0000"/>
          <w:sz w:val="32"/>
          <w:szCs w:val="32"/>
        </w:rPr>
      </w:pPr>
      <w:bookmarkStart w:id="49" w:name="_Toc15377444"/>
      <w:bookmarkStart w:id="50" w:name="_Toc15378460"/>
      <w:bookmarkStart w:id="51" w:name="_Toc12098"/>
      <w:bookmarkStart w:id="52" w:name="_Toc15377213"/>
      <w:r>
        <w:rPr>
          <w:rFonts w:hint="eastAsia" w:ascii="仿宋" w:hAnsi="仿宋" w:eastAsia="仿宋"/>
          <w:b/>
          <w:color w:val="000000" w:themeColor="text1"/>
          <w:sz w:val="32"/>
          <w:szCs w:val="32"/>
          <w:lang w:val="en-US" w:eastAsia="zh-CN"/>
          <w14:textFill>
            <w14:solidFill>
              <w14:schemeClr w14:val="tx1"/>
            </w14:solidFill>
          </w14:textFill>
        </w:rPr>
        <w:t>2020</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color w:val="000000" w:themeColor="text1"/>
          <w:sz w:val="32"/>
          <w:szCs w:val="32"/>
          <w:lang w:val="en-US" w:eastAsia="zh-CN"/>
          <w14:textFill>
            <w14:solidFill>
              <w14:schemeClr w14:val="tx1"/>
            </w14:solidFill>
          </w14:textFill>
        </w:rPr>
        <w:t>1046.93</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49"/>
      <w:bookmarkEnd w:id="50"/>
      <w:bookmarkEnd w:id="51"/>
      <w:bookmarkEnd w:id="52"/>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867.61元，</w:t>
      </w:r>
      <w:r>
        <w:rPr>
          <w:rStyle w:val="15"/>
          <w:rFonts w:hint="eastAsia" w:ascii="仿宋" w:hAnsi="仿宋" w:eastAsia="仿宋"/>
          <w:b w:val="0"/>
          <w:bCs/>
          <w:color w:val="000000"/>
          <w:sz w:val="32"/>
          <w:szCs w:val="32"/>
          <w:lang w:val="en-US" w:eastAsia="zh-CN"/>
        </w:rPr>
        <w:t>完成预算100%。</w:t>
      </w:r>
    </w:p>
    <w:p>
      <w:pPr>
        <w:numPr>
          <w:ilvl w:val="0"/>
          <w:numId w:val="0"/>
        </w:numPr>
        <w:spacing w:line="600" w:lineRule="exact"/>
        <w:ind w:firstLine="640" w:firstLineChars="200"/>
        <w:rPr>
          <w:rStyle w:val="15"/>
          <w:rFonts w:hint="eastAsia" w:ascii="仿宋" w:hAnsi="仿宋" w:eastAsia="仿宋"/>
          <w:b w:val="0"/>
          <w:bCs w:val="0"/>
          <w:color w:val="000000"/>
          <w:sz w:val="32"/>
          <w:szCs w:val="32"/>
          <w:lang w:val="en-US" w:eastAsia="zh-CN"/>
        </w:rPr>
      </w:pP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社会保障和就业支出（类）</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90.55</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sz w:val="32"/>
          <w:szCs w:val="32"/>
          <w:lang w:val="en-US" w:eastAsia="zh-CN"/>
        </w:rPr>
        <w:t>完成预算100%。</w:t>
      </w: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32.81</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sz w:val="32"/>
          <w:szCs w:val="32"/>
          <w:lang w:val="en-US" w:eastAsia="zh-CN"/>
        </w:rPr>
        <w:t>完成预算100%。</w:t>
      </w:r>
    </w:p>
    <w:p>
      <w:pPr>
        <w:spacing w:line="600" w:lineRule="exact"/>
        <w:ind w:firstLine="640"/>
        <w:rPr>
          <w:rFonts w:hint="eastAsia" w:ascii="仿宋" w:hAnsi="仿宋" w:eastAsia="仿宋"/>
          <w:b/>
          <w:color w:val="000000" w:themeColor="text1"/>
          <w:sz w:val="32"/>
          <w:szCs w:val="32"/>
          <w:lang w:val="en-US" w:eastAsia="zh-CN"/>
          <w14:textFill>
            <w14:solidFill>
              <w14:schemeClr w14:val="tx1"/>
            </w14:solidFill>
          </w14:textFill>
        </w:rPr>
      </w:pP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55.96</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b w:val="0"/>
          <w:bCs w:val="0"/>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sz w:val="32"/>
          <w:szCs w:val="32"/>
          <w:lang w:val="en-US" w:eastAsia="zh-CN"/>
        </w:rPr>
        <w:t>完成预算100%。</w:t>
      </w:r>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p>
    <w:p>
      <w:pPr>
        <w:tabs>
          <w:tab w:val="right" w:pos="8306"/>
        </w:tabs>
        <w:spacing w:line="600" w:lineRule="exact"/>
        <w:ind w:firstLine="640"/>
        <w:outlineLvl w:val="1"/>
        <w:rPr>
          <w:rStyle w:val="17"/>
        </w:rPr>
      </w:pPr>
      <w:bookmarkStart w:id="53" w:name="_Toc27084"/>
      <w:bookmarkStart w:id="54" w:name="_Toc15377214"/>
      <w:bookmarkStart w:id="55"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53"/>
      <w:bookmarkEnd w:id="54"/>
      <w:bookmarkEnd w:id="55"/>
      <w:r>
        <w:rPr>
          <w:rStyle w:val="17"/>
          <w:rFonts w:ascii="黑体" w:hAns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743.9</w:t>
      </w:r>
      <w:r>
        <w:rPr>
          <w:rFonts w:hint="eastAsia" w:ascii="仿宋_GB2312" w:hAnsi="仿宋_GB2312" w:eastAsia="仿宋_GB2312" w:cs="仿宋_GB2312"/>
          <w:color w:val="000000"/>
          <w:sz w:val="32"/>
          <w:szCs w:val="32"/>
        </w:rPr>
        <w:t>万元，其中：</w:t>
      </w:r>
    </w:p>
    <w:p>
      <w:pPr>
        <w:spacing w:line="600" w:lineRule="exact"/>
        <w:ind w:firstLine="645"/>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687.95</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144.29万元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304.59万元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14.21万元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60.37万元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30.18万元</w:t>
      </w:r>
      <w:r>
        <w:rPr>
          <w:rFonts w:hint="eastAsia" w:ascii="仿宋_GB2312" w:hAnsi="仿宋_GB2312" w:eastAsia="仿宋_GB2312" w:cs="仿宋_GB2312"/>
          <w:color w:val="000000"/>
          <w:sz w:val="32"/>
          <w:szCs w:val="32"/>
        </w:rPr>
        <w:t>、职工基本医疗保险缴费</w:t>
      </w:r>
      <w:r>
        <w:rPr>
          <w:rFonts w:hint="eastAsia" w:ascii="仿宋_GB2312" w:hAnsi="仿宋_GB2312" w:eastAsia="仿宋_GB2312" w:cs="仿宋_GB2312"/>
          <w:color w:val="000000"/>
          <w:sz w:val="32"/>
          <w:szCs w:val="32"/>
          <w:lang w:val="en-US" w:eastAsia="zh-CN"/>
        </w:rPr>
        <w:t>27.23万元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公务员医疗补助缴费</w:t>
      </w:r>
      <w:r>
        <w:rPr>
          <w:rFonts w:hint="eastAsia" w:ascii="仿宋_GB2312" w:hAnsi="仿宋_GB2312" w:eastAsia="仿宋_GB2312" w:cs="仿宋_GB2312"/>
          <w:color w:val="000000"/>
          <w:sz w:val="32"/>
          <w:szCs w:val="32"/>
          <w:lang w:val="en-US" w:eastAsia="zh-CN"/>
        </w:rPr>
        <w:t>5.58万元、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17.55万元</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55.95万元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医疗费3.34万元、生活补助23.02</w:t>
      </w:r>
      <w:r>
        <w:rPr>
          <w:rFonts w:hint="eastAsia" w:ascii="仿宋_GB2312" w:hAnsi="仿宋_GB2312" w:eastAsia="仿宋_GB2312" w:cs="仿宋_GB2312"/>
          <w:color w:val="000000"/>
          <w:sz w:val="32"/>
          <w:szCs w:val="32"/>
          <w:highlight w:val="none"/>
          <w:lang w:val="en-US" w:eastAsia="zh-CN"/>
        </w:rPr>
        <w:t>万元、</w:t>
      </w:r>
      <w:r>
        <w:rPr>
          <w:rFonts w:hint="eastAsia" w:ascii="仿宋_GB2312" w:hAnsi="仿宋_GB2312" w:eastAsia="仿宋_GB2312" w:cs="仿宋_GB2312"/>
          <w:color w:val="000000"/>
          <w:sz w:val="32"/>
          <w:szCs w:val="32"/>
          <w:highlight w:val="none"/>
        </w:rPr>
        <w:t>医疗费补助</w:t>
      </w:r>
      <w:r>
        <w:rPr>
          <w:rFonts w:hint="eastAsia" w:ascii="仿宋_GB2312" w:hAnsi="仿宋_GB2312" w:eastAsia="仿宋_GB2312" w:cs="仿宋_GB2312"/>
          <w:color w:val="000000"/>
          <w:sz w:val="32"/>
          <w:szCs w:val="32"/>
          <w:lang w:val="en-US" w:eastAsia="zh-CN"/>
        </w:rPr>
        <w:t>1.64</w:t>
      </w:r>
      <w:r>
        <w:rPr>
          <w:rFonts w:hint="eastAsia" w:ascii="仿宋_GB2312" w:hAnsi="仿宋_GB2312" w:eastAsia="仿宋_GB2312" w:cs="仿宋_GB2312"/>
          <w:color w:val="000000"/>
          <w:sz w:val="32"/>
          <w:szCs w:val="32"/>
          <w:highlight w:val="none"/>
          <w:lang w:val="en-US" w:eastAsia="zh-CN"/>
        </w:rPr>
        <w:t>万元等</w:t>
      </w:r>
      <w:r>
        <w:rPr>
          <w:rFonts w:hint="eastAsia" w:ascii="仿宋_GB2312" w:hAnsi="仿宋_GB2312" w:eastAsia="仿宋_GB2312" w:cs="仿宋_GB2312"/>
          <w:color w:val="000000"/>
          <w:sz w:val="32"/>
          <w:szCs w:val="32"/>
          <w:highlight w:val="none"/>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55.95</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13.47万元</w:t>
      </w:r>
      <w:r>
        <w:rPr>
          <w:rFonts w:hint="eastAsia" w:ascii="仿宋_GB2312" w:hAnsi="仿宋_GB2312" w:eastAsia="仿宋_GB2312" w:cs="仿宋_GB2312"/>
          <w:color w:val="000000"/>
          <w:sz w:val="32"/>
          <w:szCs w:val="32"/>
        </w:rPr>
        <w:t>、印刷费</w:t>
      </w:r>
      <w:r>
        <w:rPr>
          <w:rFonts w:hint="eastAsia" w:ascii="仿宋_GB2312" w:hAnsi="仿宋_GB2312" w:eastAsia="仿宋_GB2312" w:cs="仿宋_GB2312"/>
          <w:color w:val="000000"/>
          <w:sz w:val="32"/>
          <w:szCs w:val="32"/>
          <w:lang w:val="en-US" w:eastAsia="zh-CN"/>
        </w:rPr>
        <w:t>2万元</w:t>
      </w:r>
      <w:r>
        <w:rPr>
          <w:rFonts w:hint="eastAsia" w:ascii="仿宋_GB2312" w:hAnsi="仿宋_GB2312" w:eastAsia="仿宋_GB2312" w:cs="仿宋_GB2312"/>
          <w:color w:val="000000"/>
          <w:sz w:val="32"/>
          <w:szCs w:val="32"/>
        </w:rPr>
        <w:t>、水费</w:t>
      </w:r>
      <w:r>
        <w:rPr>
          <w:rFonts w:hint="eastAsia" w:ascii="仿宋_GB2312" w:hAnsi="仿宋_GB2312" w:eastAsia="仿宋_GB2312" w:cs="仿宋_GB2312"/>
          <w:color w:val="000000"/>
          <w:sz w:val="32"/>
          <w:szCs w:val="32"/>
          <w:lang w:val="en-US" w:eastAsia="zh-CN"/>
        </w:rPr>
        <w:t>0.6万元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1.8万元</w:t>
      </w:r>
      <w:r>
        <w:rPr>
          <w:rFonts w:hint="eastAsia" w:ascii="仿宋_GB2312" w:hAnsi="仿宋_GB2312" w:eastAsia="仿宋_GB2312" w:cs="仿宋_GB2312"/>
          <w:color w:val="000000"/>
          <w:sz w:val="32"/>
          <w:szCs w:val="32"/>
        </w:rPr>
        <w:t>、邮电费</w:t>
      </w:r>
      <w:r>
        <w:rPr>
          <w:rFonts w:hint="eastAsia" w:ascii="仿宋_GB2312" w:hAnsi="仿宋_GB2312" w:eastAsia="仿宋_GB2312" w:cs="仿宋_GB2312"/>
          <w:color w:val="000000"/>
          <w:sz w:val="32"/>
          <w:szCs w:val="32"/>
          <w:lang w:val="en-US" w:eastAsia="zh-CN"/>
        </w:rPr>
        <w:t>2万元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取暖费</w:t>
      </w:r>
      <w:r>
        <w:rPr>
          <w:rFonts w:hint="eastAsia" w:ascii="仿宋_GB2312" w:hAnsi="仿宋_GB2312" w:eastAsia="仿宋_GB2312" w:cs="仿宋_GB2312"/>
          <w:color w:val="000000"/>
          <w:sz w:val="32"/>
          <w:szCs w:val="32"/>
          <w:lang w:val="en-US" w:eastAsia="zh-CN"/>
        </w:rPr>
        <w:t>3万元、</w:t>
      </w:r>
      <w:r>
        <w:rPr>
          <w:rFonts w:hint="eastAsia" w:ascii="仿宋_GB2312" w:hAnsi="仿宋_GB2312" w:eastAsia="仿宋_GB2312" w:cs="仿宋_GB2312"/>
          <w:color w:val="000000"/>
          <w:sz w:val="32"/>
          <w:szCs w:val="32"/>
        </w:rPr>
        <w:t>差旅费</w:t>
      </w:r>
      <w:r>
        <w:rPr>
          <w:rFonts w:hint="eastAsia" w:ascii="仿宋_GB2312" w:hAnsi="仿宋_GB2312" w:eastAsia="仿宋_GB2312" w:cs="仿宋_GB2312"/>
          <w:color w:val="000000"/>
          <w:sz w:val="32"/>
          <w:szCs w:val="32"/>
          <w:lang w:val="en-US" w:eastAsia="zh-CN"/>
        </w:rPr>
        <w:t>10万元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维修（护）费2万元、会议费0.5万元、</w:t>
      </w:r>
      <w:r>
        <w:rPr>
          <w:rFonts w:hint="eastAsia" w:ascii="仿宋_GB2312" w:hAnsi="仿宋_GB2312" w:eastAsia="仿宋_GB2312" w:cs="仿宋_GB2312"/>
          <w:color w:val="000000"/>
          <w:sz w:val="32"/>
          <w:szCs w:val="32"/>
        </w:rPr>
        <w:t>培训费</w:t>
      </w:r>
      <w:r>
        <w:rPr>
          <w:rFonts w:hint="eastAsia" w:ascii="仿宋_GB2312" w:hAnsi="仿宋_GB2312" w:eastAsia="仿宋_GB2312" w:cs="仿宋_GB2312"/>
          <w:color w:val="000000"/>
          <w:sz w:val="32"/>
          <w:szCs w:val="32"/>
          <w:lang w:val="en-US" w:eastAsia="zh-CN"/>
        </w:rPr>
        <w:t>1.5万元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公务接待费</w:t>
      </w:r>
      <w:r>
        <w:rPr>
          <w:rFonts w:hint="eastAsia" w:ascii="仿宋_GB2312" w:hAnsi="仿宋_GB2312" w:eastAsia="仿宋_GB2312" w:cs="仿宋_GB2312"/>
          <w:color w:val="000000"/>
          <w:sz w:val="32"/>
          <w:szCs w:val="32"/>
          <w:lang w:val="en-US" w:eastAsia="zh-CN"/>
        </w:rPr>
        <w:t>0.72万元、委托业务费2.04万元、</w:t>
      </w:r>
      <w:r>
        <w:rPr>
          <w:rFonts w:hint="eastAsia" w:ascii="仿宋_GB2312" w:hAnsi="仿宋_GB2312" w:eastAsia="仿宋_GB2312" w:cs="仿宋_GB2312"/>
          <w:color w:val="000000"/>
          <w:sz w:val="32"/>
          <w:szCs w:val="32"/>
        </w:rPr>
        <w:t>公务用车运行维护费</w:t>
      </w:r>
      <w:r>
        <w:rPr>
          <w:rFonts w:hint="eastAsia" w:ascii="仿宋_GB2312" w:hAnsi="仿宋_GB2312" w:eastAsia="仿宋_GB2312" w:cs="仿宋_GB2312"/>
          <w:color w:val="000000"/>
          <w:sz w:val="32"/>
          <w:szCs w:val="32"/>
          <w:lang w:val="en-US" w:eastAsia="zh-CN"/>
        </w:rPr>
        <w:t>16.32万元</w:t>
      </w:r>
      <w:r>
        <w:rPr>
          <w:rFonts w:hint="eastAsia" w:ascii="仿宋_GB2312" w:hAnsi="仿宋_GB2312" w:eastAsia="仿宋_GB2312" w:cs="仿宋_GB2312"/>
          <w:color w:val="000000"/>
          <w:sz w:val="32"/>
          <w:szCs w:val="32"/>
        </w:rPr>
        <w:t>等。</w:t>
      </w:r>
    </w:p>
    <w:p>
      <w:pPr>
        <w:spacing w:line="600" w:lineRule="exact"/>
        <w:ind w:firstLine="640"/>
        <w:outlineLvl w:val="1"/>
        <w:rPr>
          <w:rStyle w:val="17"/>
          <w:rFonts w:hint="eastAsia" w:ascii="黑体" w:hAnsi="黑体" w:eastAsia="黑体" w:cs="黑体"/>
          <w:b w:val="0"/>
          <w:bCs w:val="0"/>
        </w:rPr>
      </w:pPr>
      <w:bookmarkStart w:id="56" w:name="_Toc31086"/>
      <w:bookmarkStart w:id="57" w:name="_Toc15377215"/>
      <w:bookmarkStart w:id="58" w:name="_Toc15396609"/>
      <w:r>
        <w:rPr>
          <w:rFonts w:hint="eastAsia" w:ascii="黑体" w:hAnsi="黑体" w:eastAsia="黑体" w:cs="黑体"/>
          <w:b w:val="0"/>
          <w:bCs w:val="0"/>
          <w:color w:val="000000"/>
          <w:sz w:val="32"/>
          <w:szCs w:val="32"/>
        </w:rPr>
        <w:t>七、</w:t>
      </w:r>
      <w:r>
        <w:rPr>
          <w:rStyle w:val="17"/>
          <w:rFonts w:hint="eastAsia" w:ascii="黑体" w:hAnsi="黑体" w:eastAsia="黑体" w:cs="黑体"/>
          <w:b w:val="0"/>
          <w:bCs w:val="0"/>
        </w:rPr>
        <w:t>“三公”经费财政拨款支出决算情况说明</w:t>
      </w:r>
      <w:bookmarkEnd w:id="56"/>
      <w:bookmarkEnd w:id="57"/>
      <w:bookmarkEnd w:id="58"/>
    </w:p>
    <w:p>
      <w:pPr>
        <w:spacing w:line="600" w:lineRule="exact"/>
        <w:ind w:firstLine="640"/>
        <w:outlineLvl w:val="2"/>
        <w:rPr>
          <w:rFonts w:hint="eastAsia" w:ascii="仿宋_GB2312" w:hAnsi="仿宋_GB2312" w:eastAsia="仿宋_GB2312" w:cs="仿宋_GB2312"/>
          <w:b/>
          <w:color w:val="000000"/>
          <w:sz w:val="32"/>
          <w:szCs w:val="32"/>
        </w:rPr>
      </w:pPr>
      <w:bookmarkStart w:id="59" w:name="_Toc31996"/>
      <w:bookmarkStart w:id="60" w:name="_Toc15377216"/>
      <w:r>
        <w:rPr>
          <w:rFonts w:hint="eastAsia" w:ascii="仿宋_GB2312" w:hAnsi="仿宋_GB2312" w:eastAsia="仿宋_GB2312" w:cs="仿宋_GB2312"/>
          <w:b/>
          <w:color w:val="000000"/>
          <w:sz w:val="32"/>
          <w:szCs w:val="32"/>
        </w:rPr>
        <w:t>（一）“三公”经费财政拨款支出决算总体情况说明</w:t>
      </w:r>
      <w:bookmarkEnd w:id="59"/>
      <w:bookmarkEnd w:id="60"/>
    </w:p>
    <w:p>
      <w:pPr>
        <w:spacing w:line="600" w:lineRule="exact"/>
        <w:ind w:firstLine="640"/>
        <w:rPr>
          <w:rFonts w:ascii="仿宋" w:hAnsi="仿宋" w:eastAsia="仿宋"/>
          <w:b/>
          <w:color w:val="FF0000"/>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17.04</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1" w:name="_Toc19044"/>
      <w:bookmarkStart w:id="62" w:name="_Toc15377217"/>
      <w:r>
        <w:rPr>
          <w:rFonts w:hint="eastAsia" w:ascii="仿宋" w:hAnsi="仿宋" w:eastAsia="仿宋"/>
          <w:b/>
          <w:color w:val="000000"/>
          <w:sz w:val="32"/>
          <w:szCs w:val="32"/>
        </w:rPr>
        <w:t>（二）“三公”经费财政拨款支出决算具体情况说明</w:t>
      </w:r>
      <w:bookmarkEnd w:id="61"/>
      <w:bookmarkEnd w:id="6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16.32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0.72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4384" behindDoc="1" locked="0" layoutInCell="1" allowOverlap="1">
            <wp:simplePos x="0" y="0"/>
            <wp:positionH relativeFrom="column">
              <wp:posOffset>163195</wp:posOffset>
            </wp:positionH>
            <wp:positionV relativeFrom="paragraph">
              <wp:posOffset>13970</wp:posOffset>
            </wp:positionV>
            <wp:extent cx="4841240" cy="2237740"/>
            <wp:effectExtent l="4445" t="4445" r="15875" b="13335"/>
            <wp:wrapTight wrapText="bothSides">
              <wp:wrapPolygon>
                <wp:start x="-20" y="-43"/>
                <wp:lineTo x="-20" y="21435"/>
                <wp:lineTo x="21535" y="21435"/>
                <wp:lineTo x="21535" y="-43"/>
                <wp:lineTo x="-20"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0"/>
        </w:num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val="en-US" w:eastAsia="zh-CN"/>
        </w:rPr>
        <w:t>与2019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决算数一致</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未安排</w:t>
      </w:r>
      <w:r>
        <w:rPr>
          <w:rFonts w:hint="eastAsia" w:ascii="仿宋_GB2312" w:eastAsia="仿宋_GB2312"/>
          <w:b w:val="0"/>
          <w:bCs w:val="0"/>
          <w:color w:val="000000"/>
          <w:sz w:val="32"/>
          <w:szCs w:val="32"/>
        </w:rPr>
        <w:t>因公出国（境）</w:t>
      </w:r>
      <w:r>
        <w:rPr>
          <w:rFonts w:hint="eastAsia" w:ascii="仿宋_GB2312" w:eastAsia="仿宋_GB2312"/>
          <w:b w:val="0"/>
          <w:bCs w:val="0"/>
          <w:color w:val="000000"/>
          <w:sz w:val="32"/>
          <w:szCs w:val="32"/>
          <w:lang w:eastAsia="zh-CN"/>
        </w:rPr>
        <w:t>。</w:t>
      </w:r>
    </w:p>
    <w:p>
      <w:pPr>
        <w:spacing w:line="52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16.32</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0.15</w:t>
      </w:r>
      <w:r>
        <w:rPr>
          <w:rFonts w:hint="eastAsia" w:ascii="仿宋_GB2312" w:eastAsia="仿宋_GB2312"/>
          <w:color w:val="000000"/>
          <w:sz w:val="32"/>
          <w:szCs w:val="32"/>
        </w:rPr>
        <w:t>万元。主要原因是</w:t>
      </w:r>
      <w:r>
        <w:rPr>
          <w:rFonts w:hint="eastAsia" w:ascii="仿宋_GB2312" w:eastAsia="仿宋_GB2312"/>
          <w:color w:val="000000"/>
          <w:sz w:val="32"/>
          <w:szCs w:val="32"/>
          <w:lang w:val="en-US" w:eastAsia="zh-CN"/>
        </w:rPr>
        <w:t>经费调整</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特种设备用车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辆</w:t>
      </w:r>
      <w:r>
        <w:rPr>
          <w:rFonts w:hint="eastAsia" w:ascii="仿宋_GB2312" w:eastAsia="仿宋_GB2312"/>
          <w:color w:val="000000"/>
          <w:sz w:val="32"/>
          <w:szCs w:val="32"/>
        </w:rPr>
        <w:t>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14.32</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出差、下乡</w:t>
      </w:r>
      <w:r>
        <w:rPr>
          <w:rFonts w:hint="eastAsia" w:ascii="仿宋_GB2312" w:eastAsia="仿宋_GB2312"/>
          <w:color w:val="000000"/>
          <w:sz w:val="32"/>
          <w:szCs w:val="32"/>
        </w:rPr>
        <w:t>（具体工作）等所需的公务用车燃料费、维修费、过路过桥费、保险费等支出。</w:t>
      </w:r>
    </w:p>
    <w:p>
      <w:pPr>
        <w:spacing w:line="600" w:lineRule="exact"/>
        <w:ind w:firstLine="640"/>
        <w:outlineLvl w:val="1"/>
        <w:rPr>
          <w:rStyle w:val="17"/>
          <w:rFonts w:ascii="黑体" w:hAnsi="黑体" w:eastAsia="黑体"/>
        </w:rPr>
      </w:pPr>
      <w:bookmarkStart w:id="63" w:name="_Toc15377218"/>
      <w:bookmarkStart w:id="64" w:name="_Toc15396610"/>
      <w:bookmarkStart w:id="65" w:name="_Toc19370"/>
      <w:r>
        <w:rPr>
          <w:rFonts w:hint="eastAsia" w:ascii="黑体" w:eastAsia="黑体"/>
          <w:color w:val="000000"/>
          <w:sz w:val="32"/>
          <w:szCs w:val="32"/>
        </w:rPr>
        <w:t>八、</w:t>
      </w:r>
      <w:r>
        <w:rPr>
          <w:rStyle w:val="17"/>
          <w:rFonts w:hint="eastAsia" w:ascii="黑体" w:hAnsi="黑体" w:eastAsia="黑体"/>
          <w:b w:val="0"/>
        </w:rPr>
        <w:t>政府性基金预算支出决算情况说明</w:t>
      </w:r>
      <w:bookmarkEnd w:id="63"/>
      <w:bookmarkEnd w:id="64"/>
      <w:bookmarkEnd w:id="6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17"/>
          <w:rFonts w:ascii="黑体" w:hAnsi="黑体" w:eastAsia="黑体"/>
          <w:b w:val="0"/>
        </w:rPr>
      </w:pPr>
      <w:bookmarkStart w:id="66" w:name="_Toc15396611"/>
      <w:bookmarkStart w:id="67" w:name="_Toc15377219"/>
      <w:bookmarkStart w:id="68" w:name="_Toc30285"/>
      <w:r>
        <w:rPr>
          <w:rStyle w:val="17"/>
          <w:rFonts w:hint="eastAsia" w:ascii="黑体" w:hAnsi="黑体" w:eastAsia="黑体"/>
          <w:b w:val="0"/>
          <w:lang w:val="en-US" w:eastAsia="zh-CN"/>
        </w:rPr>
        <w:t>九、</w:t>
      </w:r>
      <w:r>
        <w:rPr>
          <w:rStyle w:val="17"/>
          <w:rFonts w:hint="eastAsia" w:ascii="黑体" w:hAnsi="黑体" w:eastAsia="黑体"/>
          <w:b w:val="0"/>
        </w:rPr>
        <w:t>国有资本经营预算支出决算情况说明</w:t>
      </w:r>
      <w:bookmarkEnd w:id="66"/>
      <w:bookmarkEnd w:id="67"/>
      <w:bookmarkEnd w:id="68"/>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17"/>
          <w:rFonts w:ascii="黑体" w:hAnsi="黑体" w:eastAsia="黑体"/>
        </w:rPr>
      </w:pPr>
      <w:bookmarkStart w:id="69" w:name="_Toc15396612"/>
      <w:bookmarkStart w:id="70" w:name="_Toc15377221"/>
      <w:bookmarkStart w:id="71" w:name="_Toc27185"/>
      <w:r>
        <w:rPr>
          <w:rFonts w:hint="eastAsia" w:ascii="黑体" w:hAnsi="黑体" w:eastAsia="黑体"/>
          <w:color w:val="000000"/>
          <w:sz w:val="32"/>
          <w:szCs w:val="32"/>
        </w:rPr>
        <w:t>十</w:t>
      </w:r>
      <w:r>
        <w:rPr>
          <w:rStyle w:val="17"/>
          <w:rFonts w:hint="eastAsia" w:ascii="黑体" w:hAnsi="黑体" w:eastAsia="黑体"/>
        </w:rPr>
        <w:t>、</w:t>
      </w:r>
      <w:r>
        <w:rPr>
          <w:rStyle w:val="17"/>
          <w:rFonts w:hint="eastAsia" w:ascii="黑体" w:hAnsi="黑体" w:eastAsia="黑体"/>
          <w:b w:val="0"/>
        </w:rPr>
        <w:t>其他重要事项的情况说明</w:t>
      </w:r>
      <w:bookmarkEnd w:id="69"/>
      <w:bookmarkEnd w:id="70"/>
      <w:bookmarkEnd w:id="71"/>
    </w:p>
    <w:p>
      <w:pPr>
        <w:spacing w:line="600" w:lineRule="exact"/>
        <w:ind w:firstLine="643" w:firstLineChars="200"/>
        <w:outlineLvl w:val="2"/>
        <w:rPr>
          <w:rFonts w:ascii="仿宋" w:hAnsi="仿宋" w:eastAsia="仿宋"/>
          <w:color w:val="000000"/>
          <w:sz w:val="32"/>
          <w:szCs w:val="32"/>
        </w:rPr>
      </w:pPr>
      <w:bookmarkStart w:id="72" w:name="_Toc15377222"/>
      <w:bookmarkStart w:id="73" w:name="_Toc30093"/>
      <w:r>
        <w:rPr>
          <w:rFonts w:hint="eastAsia" w:ascii="仿宋" w:hAnsi="仿宋" w:eastAsia="仿宋"/>
          <w:b/>
          <w:color w:val="000000"/>
          <w:sz w:val="32"/>
          <w:szCs w:val="32"/>
        </w:rPr>
        <w:t>（一）机关运行经费支出情况</w:t>
      </w:r>
      <w:bookmarkEnd w:id="72"/>
      <w:bookmarkEnd w:id="73"/>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年，机关运行经费支出</w:t>
      </w:r>
      <w:r>
        <w:rPr>
          <w:rFonts w:hint="eastAsia" w:ascii="仿宋_GB2312" w:hAnsi="仿宋_GB2312" w:eastAsia="仿宋_GB2312" w:cs="仿宋_GB2312"/>
          <w:color w:val="000000"/>
          <w:sz w:val="32"/>
          <w:szCs w:val="32"/>
          <w:lang w:val="en-US" w:eastAsia="zh-CN"/>
        </w:rPr>
        <w:t>1046.93</w:t>
      </w:r>
      <w:r>
        <w:rPr>
          <w:rFonts w:hint="eastAsia" w:ascii="仿宋_GB2312" w:eastAsia="仿宋_GB2312"/>
          <w:color w:val="000000"/>
          <w:sz w:val="32"/>
          <w:szCs w:val="32"/>
        </w:rPr>
        <w:t>万元，</w:t>
      </w:r>
      <w:r>
        <w:rPr>
          <w:rFonts w:hint="eastAsia" w:ascii="仿宋_GB2312" w:eastAsia="仿宋_GB2312"/>
          <w:color w:val="auto"/>
          <w:sz w:val="32"/>
          <w:szCs w:val="32"/>
          <w:highlight w:val="none"/>
        </w:rPr>
        <w:t>比</w:t>
      </w:r>
      <w:r>
        <w:rPr>
          <w:rFonts w:hint="eastAsia" w:ascii="仿宋_GB2312" w:eastAsia="仿宋_GB2312"/>
          <w:color w:val="auto"/>
          <w:sz w:val="32"/>
          <w:szCs w:val="32"/>
          <w:highlight w:val="none"/>
          <w:lang w:val="en-US" w:eastAsia="zh-CN"/>
        </w:rPr>
        <w:t>2019</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减少</w:t>
      </w:r>
      <w:r>
        <w:rPr>
          <w:rFonts w:hint="eastAsia" w:ascii="仿宋_GB2312" w:eastAsia="仿宋_GB2312"/>
          <w:color w:val="auto"/>
          <w:sz w:val="32"/>
          <w:szCs w:val="32"/>
          <w:highlight w:val="none"/>
          <w:lang w:val="en-US" w:eastAsia="zh-CN"/>
        </w:rPr>
        <w:t xml:space="preserve">407.03 </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减少</w:t>
      </w:r>
      <w:r>
        <w:rPr>
          <w:rFonts w:hint="eastAsia" w:ascii="仿宋_GB2312" w:eastAsia="仿宋_GB2312"/>
          <w:color w:val="auto"/>
          <w:sz w:val="32"/>
          <w:szCs w:val="32"/>
          <w:highlight w:val="none"/>
          <w:lang w:val="en-US" w:eastAsia="zh-CN"/>
        </w:rPr>
        <w:t>28</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w:t>
      </w:r>
      <w:r>
        <w:rPr>
          <w:rFonts w:hint="eastAsia" w:ascii="仿宋_GB2312" w:eastAsia="仿宋_GB2312"/>
          <w:color w:val="000000" w:themeColor="text1"/>
          <w:sz w:val="32"/>
          <w:szCs w:val="32"/>
          <w:lang w:val="en-US" w:eastAsia="zh-CN"/>
          <w14:textFill>
            <w14:solidFill>
              <w14:schemeClr w14:val="tx1"/>
            </w14:solidFill>
          </w14:textFill>
        </w:rPr>
        <w:t>经费</w:t>
      </w:r>
      <w:r>
        <w:rPr>
          <w:rFonts w:hint="eastAsia" w:ascii="仿宋_GB2312" w:eastAsia="仿宋_GB2312"/>
          <w:color w:val="000000" w:themeColor="text1"/>
          <w:sz w:val="32"/>
          <w:szCs w:val="32"/>
          <w:lang w:eastAsia="zh-CN"/>
          <w14:textFill>
            <w14:solidFill>
              <w14:schemeClr w14:val="tx1"/>
            </w14:solidFill>
          </w14:textFill>
        </w:rPr>
        <w:t>和业务工作经费支出</w:t>
      </w:r>
      <w:r>
        <w:rPr>
          <w:rFonts w:hint="eastAsia" w:ascii="仿宋_GB2312" w:eastAsia="仿宋_GB2312"/>
          <w:color w:val="auto"/>
          <w:sz w:val="32"/>
          <w:szCs w:val="32"/>
          <w:highlight w:val="none"/>
          <w:lang w:eastAsia="zh-CN"/>
        </w:rPr>
        <w:t>减少</w:t>
      </w:r>
      <w:r>
        <w:rPr>
          <w:rFonts w:hint="eastAsia" w:ascii="仿宋_GB2312" w:eastAsia="仿宋_GB2312"/>
          <w:color w:val="000000" w:themeColor="text1"/>
          <w:sz w:val="32"/>
          <w:szCs w:val="32"/>
          <w:lang w:eastAsia="zh-CN"/>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4" w:name="_Toc15377223"/>
      <w:bookmarkStart w:id="75" w:name="_Toc5908"/>
      <w:r>
        <w:rPr>
          <w:rFonts w:hint="eastAsia" w:ascii="仿宋" w:hAnsi="仿宋" w:eastAsia="仿宋"/>
          <w:b/>
          <w:color w:val="000000"/>
          <w:sz w:val="32"/>
          <w:szCs w:val="32"/>
        </w:rPr>
        <w:t>（二）政府采购支出情况</w:t>
      </w:r>
      <w:bookmarkEnd w:id="74"/>
      <w:bookmarkEnd w:id="75"/>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15768"/>
      <w:bookmarkStart w:id="77" w:name="_Toc15377224"/>
      <w:r>
        <w:rPr>
          <w:rFonts w:hint="eastAsia" w:ascii="仿宋" w:hAnsi="仿宋" w:eastAsia="仿宋"/>
          <w:b/>
          <w:color w:val="000000"/>
          <w:sz w:val="32"/>
          <w:szCs w:val="32"/>
        </w:rPr>
        <w:t>（三）国有资产占有使用情况</w:t>
      </w:r>
      <w:bookmarkEnd w:id="76"/>
      <w:bookmarkEnd w:id="77"/>
    </w:p>
    <w:p>
      <w:pPr>
        <w:pageBreakBefore w:val="0"/>
        <w:kinsoku/>
        <w:wordWrap/>
        <w:overflowPunct/>
        <w:topLinePunct w:val="0"/>
        <w:bidi w:val="0"/>
        <w:spacing w:line="56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w:t>
      </w:r>
      <w:r>
        <w:rPr>
          <w:rFonts w:hint="eastAsia" w:ascii="仿宋_GB2312" w:eastAsia="仿宋_GB2312"/>
          <w:color w:val="000000"/>
          <w:sz w:val="32"/>
          <w:szCs w:val="32"/>
          <w:lang w:eastAsia="zh-CN"/>
        </w:rPr>
        <w:t>市场监督管理局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 xml:space="preserve"> </w:t>
      </w:r>
      <w:r>
        <w:rPr>
          <w:rFonts w:hint="eastAsia" w:ascii="仿宋_GB2312" w:eastAsia="仿宋_GB2312"/>
          <w:color w:val="000000"/>
          <w:sz w:val="32"/>
          <w:szCs w:val="32"/>
        </w:rPr>
        <w:t>执法执勤用车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、公务用车</w:t>
      </w:r>
      <w:r>
        <w:rPr>
          <w:rFonts w:hint="eastAsia" w:ascii="仿宋_GB2312" w:eastAsia="仿宋_GB2312"/>
          <w:color w:val="000000"/>
          <w:sz w:val="32"/>
          <w:szCs w:val="32"/>
          <w:lang w:val="en-US" w:eastAsia="zh-CN"/>
        </w:rPr>
        <w:t>1辆、特种设备用车1辆。</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8" w:name="_Toc26353"/>
      <w:r>
        <w:rPr>
          <w:rFonts w:hint="eastAsia" w:ascii="仿宋" w:hAnsi="仿宋" w:eastAsia="仿宋"/>
          <w:b/>
          <w:color w:val="000000"/>
          <w:sz w:val="32"/>
          <w:szCs w:val="32"/>
        </w:rPr>
        <w:t>（四）预算绩效管理情况。</w:t>
      </w:r>
      <w:bookmarkEnd w:id="78"/>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人才发展专项资金</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完成效果较好。</w:t>
      </w:r>
    </w:p>
    <w:p>
      <w:pPr>
        <w:numPr>
          <w:ilvl w:val="0"/>
          <w:numId w:val="0"/>
        </w:numPr>
        <w:spacing w:line="58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项目绩效目标完成情况。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年度部门决算中反映“食品监管补助资金”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（1）食品监管补助资金项目绩效目标完成情况综述。项目全年预算数</w:t>
      </w:r>
      <w:r>
        <w:rPr>
          <w:rFonts w:hint="eastAsia" w:ascii="仿宋_GB2312" w:hAnsi="仿宋_GB2312" w:eastAsia="仿宋_GB2312" w:cs="仿宋_GB2312"/>
          <w:sz w:val="32"/>
          <w:szCs w:val="32"/>
          <w:lang w:val="en-US" w:eastAsia="zh-CN"/>
        </w:rPr>
        <w:t>303.02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303.02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不断完善“两品一械”安全抽样工作及监管力度</w:t>
      </w:r>
      <w:r>
        <w:rPr>
          <w:rFonts w:hint="eastAsia" w:ascii="仿宋_GB2312" w:hAnsi="仿宋_GB2312" w:eastAsia="仿宋_GB2312" w:cs="仿宋_GB2312"/>
          <w:sz w:val="32"/>
          <w:szCs w:val="32"/>
          <w:lang w:val="en-US" w:eastAsia="zh-CN"/>
        </w:rPr>
        <w:t>，提高监管人员专业水平保障监管水平持续提升。</w:t>
      </w:r>
    </w:p>
    <w:p>
      <w:pPr>
        <w:pStyle w:val="8"/>
        <w:rPr>
          <w:rFonts w:hint="eastAsia" w:ascii="仿宋_GB2312" w:hAnsi="仿宋_GB2312" w:eastAsia="仿宋_GB2312" w:cs="仿宋_GB2312"/>
          <w:sz w:val="32"/>
          <w:szCs w:val="32"/>
          <w:lang w:val="en-US" w:eastAsia="zh-CN"/>
        </w:rPr>
      </w:pPr>
    </w:p>
    <w:p>
      <w:pPr>
        <w:pStyle w:val="8"/>
        <w:rPr>
          <w:rFonts w:hint="eastAsia" w:ascii="仿宋_GB2312" w:hAnsi="仿宋_GB2312" w:eastAsia="仿宋_GB2312" w:cs="仿宋_GB2312"/>
          <w:sz w:val="32"/>
          <w:szCs w:val="32"/>
          <w:lang w:val="en-US" w:eastAsia="zh-CN"/>
        </w:rPr>
      </w:pPr>
    </w:p>
    <w:tbl>
      <w:tblPr>
        <w:tblStyle w:val="13"/>
        <w:tblW w:w="9369" w:type="dxa"/>
        <w:jc w:val="center"/>
        <w:tblLayout w:type="fixed"/>
        <w:tblCellMar>
          <w:top w:w="0" w:type="dxa"/>
          <w:left w:w="0" w:type="dxa"/>
          <w:bottom w:w="0" w:type="dxa"/>
          <w:right w:w="0" w:type="dxa"/>
        </w:tblCellMar>
      </w:tblPr>
      <w:tblGrid>
        <w:gridCol w:w="623"/>
        <w:gridCol w:w="1188"/>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9369" w:type="dxa"/>
            <w:gridSpan w:val="8"/>
            <w:tcBorders>
              <w:top w:val="nil"/>
              <w:left w:val="nil"/>
              <w:bottom w:val="nil"/>
              <w:right w:val="nil"/>
            </w:tcBorders>
            <w:shd w:val="clear" w:color="auto" w:fill="auto"/>
            <w:tcMar>
              <w:top w:w="15" w:type="dxa"/>
              <w:left w:w="15" w:type="dxa"/>
              <w:right w:w="15" w:type="dxa"/>
            </w:tcMar>
            <w:vAlign w:val="center"/>
          </w:tcPr>
          <w:p>
            <w:pPr>
              <w:widowControl/>
              <w:jc w:val="both"/>
              <w:textAlignment w:val="center"/>
              <w:rPr>
                <w:rFonts w:ascii="宋体" w:hAnsi="宋体" w:cs="宋体"/>
                <w:color w:val="000000" w:themeColor="text1"/>
                <w:kern w:val="0"/>
                <w:sz w:val="24"/>
                <w14:textFill>
                  <w14:solidFill>
                    <w14:schemeClr w14:val="tx1"/>
                  </w14:solidFill>
                </w14:textFill>
              </w:rPr>
            </w:pPr>
          </w:p>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食品药品及市场监管专项</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1440" w:firstLineChars="600"/>
              <w:jc w:val="both"/>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红原县市场监督管理局</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303.02</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303.02</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303.02</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303.02</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目标1：完成食品安全抽样检验工作，完成省、州局下达的目标任务；</w:t>
            </w:r>
          </w:p>
          <w:p>
            <w:pPr>
              <w:widowControl/>
              <w:jc w:val="center"/>
              <w:textAlignment w:val="center"/>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目标2：突出重点食品监管，开展专项整治；</w:t>
            </w:r>
          </w:p>
          <w:p>
            <w:pPr>
              <w:widowControl/>
              <w:jc w:val="center"/>
              <w:textAlignment w:val="center"/>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目标3：组织对食品企业的现场检查；</w:t>
            </w:r>
          </w:p>
          <w:p>
            <w:pPr>
              <w:widowControl/>
              <w:jc w:val="center"/>
              <w:textAlignment w:val="center"/>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目标4：提高食品生产、经营许可审查质量；</w:t>
            </w:r>
          </w:p>
          <w:p>
            <w:pPr>
              <w:widowControl/>
              <w:jc w:val="center"/>
              <w:textAlignment w:val="center"/>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目标5：开展全国食品安全宣传周活动；</w:t>
            </w:r>
          </w:p>
          <w:p>
            <w:pPr>
              <w:widowControl/>
              <w:jc w:val="center"/>
              <w:textAlignment w:val="center"/>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目标6：对执法人员进行专业知识培训，对食品从业人员进行食品安全培训；</w:t>
            </w:r>
          </w:p>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目标7：提高应急能力水平和基层装备配备水平。</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eastAsia="宋体" w:cs="宋体"/>
                <w:sz w:val="24"/>
                <w:szCs w:val="24"/>
              </w:rPr>
              <w:t>保障</w:t>
            </w:r>
            <w:r>
              <w:rPr>
                <w:rFonts w:hint="eastAsia" w:ascii="宋体" w:hAnsi="宋体" w:eastAsia="宋体" w:cs="宋体"/>
                <w:sz w:val="24"/>
                <w:szCs w:val="24"/>
                <w:lang w:val="en-US" w:eastAsia="zh-CN"/>
              </w:rPr>
              <w:t>全县人食品、药品安全等和监管工作正常运行</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3" name="直接连接符_8"/>
                  <wp:cNvGraphicFramePr/>
                  <a:graphic xmlns:a="http://schemas.openxmlformats.org/drawingml/2006/main">
                    <a:graphicData uri="http://schemas.openxmlformats.org/drawingml/2006/picture">
                      <pic:pic xmlns:pic="http://schemas.openxmlformats.org/drawingml/2006/picture">
                        <pic:nvPicPr>
                          <pic:cNvPr id="13"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7"/>
                  <wp:cNvGraphicFramePr/>
                  <a:graphic xmlns:a="http://schemas.openxmlformats.org/drawingml/2006/main">
                    <a:graphicData uri="http://schemas.openxmlformats.org/drawingml/2006/picture">
                      <pic:pic xmlns:pic="http://schemas.openxmlformats.org/drawingml/2006/picture">
                        <pic:nvPicPr>
                          <pic:cNvPr id="11"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食品药品监管及市场监管</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宋体" w:hAnsi="宋体" w:eastAsia="宋体" w:cs="宋体"/>
                <w:color w:val="000000" w:themeColor="text1"/>
                <w:kern w:val="0"/>
                <w:sz w:val="20"/>
                <w:szCs w:val="20"/>
                <w:lang w:eastAsia="zh-CN"/>
                <w14:textFill>
                  <w14:solidFill>
                    <w14:schemeClr w14:val="tx1"/>
                  </w14:solidFill>
                </w14:textFill>
              </w:rPr>
            </w:pPr>
            <w:r>
              <w:rPr>
                <w:rFonts w:hint="eastAsia" w:ascii="宋体" w:hAnsi="宋体" w:eastAsia="宋体" w:cs="宋体"/>
                <w:color w:val="000000" w:themeColor="text1"/>
                <w:kern w:val="0"/>
                <w:sz w:val="20"/>
                <w:szCs w:val="20"/>
                <w:lang w:val="en-US" w:eastAsia="zh-CN"/>
                <w14:textFill>
                  <w14:solidFill>
                    <w14:schemeClr w14:val="tx1"/>
                  </w14:solidFill>
                </w14:textFill>
              </w:rPr>
              <w:t>食品药品监管及市场监管</w:t>
            </w:r>
          </w:p>
        </w:tc>
      </w:tr>
      <w:tr>
        <w:tblPrEx>
          <w:tblCellMar>
            <w:top w:w="0" w:type="dxa"/>
            <w:left w:w="0" w:type="dxa"/>
            <w:bottom w:w="0" w:type="dxa"/>
            <w:right w:w="0" w:type="dxa"/>
          </w:tblCellMar>
        </w:tblPrEx>
        <w:trPr>
          <w:trHeight w:val="64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052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155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直接连接符_5"/>
                  <wp:cNvGraphicFramePr/>
                  <a:graphic xmlns:a="http://schemas.openxmlformats.org/drawingml/2006/main">
                    <a:graphicData uri="http://schemas.openxmlformats.org/drawingml/2006/picture">
                      <pic:pic xmlns:pic="http://schemas.openxmlformats.org/drawingml/2006/picture">
                        <pic:nvPicPr>
                          <pic:cNvPr id="14"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指标：案件查办挽回社会经济损失（以涉案货值金额计算）</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default" w:ascii="宋体" w:hAnsi="宋体" w:eastAsia="宋体" w:cs="宋体"/>
                <w:color w:val="000000" w:themeColor="text1"/>
                <w:kern w:val="0"/>
                <w:sz w:val="20"/>
                <w:szCs w:val="20"/>
                <w:lang w:val="en-US" w:eastAsia="zh-CN"/>
                <w14:textFill>
                  <w14:solidFill>
                    <w14:schemeClr w14:val="tx1"/>
                  </w14:solidFill>
                </w14:textFill>
              </w:rPr>
            </w:pPr>
            <w:r>
              <w:rPr>
                <w:rFonts w:hint="eastAsia"/>
              </w:rPr>
              <w:t>20万元</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20万元</w:t>
            </w:r>
          </w:p>
        </w:tc>
      </w:tr>
      <w:tr>
        <w:tblPrEx>
          <w:tblCellMar>
            <w:top w:w="0" w:type="dxa"/>
            <w:left w:w="0" w:type="dxa"/>
            <w:bottom w:w="0" w:type="dxa"/>
            <w:right w:w="0" w:type="dxa"/>
          </w:tblCellMar>
        </w:tblPrEx>
        <w:trPr>
          <w:trHeight w:val="1276"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pPr>
            <w:r>
              <w:rPr>
                <w:rFonts w:hint="eastAsia"/>
              </w:rPr>
              <w:t>食品安全监管</w:t>
            </w:r>
            <w:r>
              <w:rPr>
                <w:rFonts w:hint="eastAsia"/>
                <w:lang w:eastAsia="zh-CN"/>
              </w:rPr>
              <w:t>；</w:t>
            </w:r>
            <w:r>
              <w:rPr>
                <w:rFonts w:hint="eastAsia"/>
                <w:lang w:val="en-US" w:eastAsia="zh-CN"/>
              </w:rPr>
              <w:t>组织查处违法行为；</w:t>
            </w:r>
            <w:r>
              <w:rPr>
                <w:rFonts w:hint="eastAsia" w:ascii="Times New Roman" w:hAnsi="Times New Roman" w:eastAsia="宋体" w:cs="Times New Roman"/>
                <w:kern w:val="2"/>
                <w:sz w:val="21"/>
                <w:szCs w:val="24"/>
                <w:lang w:val="en-US" w:eastAsia="zh-CN" w:bidi="ar-SA"/>
              </w:rPr>
              <w:t>国家食品抽检不合格食品核查处置率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逐步提高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cs="宋体"/>
                <w:color w:val="000000" w:themeColor="text1"/>
                <w:sz w:val="20"/>
                <w:szCs w:val="20"/>
                <w:lang w:val="en-US"/>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逐步提高</w:t>
            </w:r>
          </w:p>
        </w:tc>
      </w:tr>
      <w:tr>
        <w:tblPrEx>
          <w:tblCellMar>
            <w:top w:w="0" w:type="dxa"/>
            <w:left w:w="0" w:type="dxa"/>
            <w:bottom w:w="0" w:type="dxa"/>
            <w:right w:w="0" w:type="dxa"/>
          </w:tblCellMar>
        </w:tblPrEx>
        <w:trPr>
          <w:trHeight w:val="76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宋体" w:hAnsi="宋体" w:eastAsia="宋体" w:cs="宋体"/>
                <w:color w:val="000000" w:themeColor="text1"/>
                <w:sz w:val="20"/>
                <w:szCs w:val="20"/>
                <w:lang w:eastAsia="zh-CN"/>
                <w14:textFill>
                  <w14:solidFill>
                    <w14:schemeClr w14:val="tx1"/>
                  </w14:solidFill>
                </w14:textFill>
              </w:rPr>
            </w:pPr>
            <w:r>
              <w:rPr>
                <w:rFonts w:hint="eastAsia"/>
              </w:rPr>
              <w:t>食品生产监管能力和水平</w:t>
            </w:r>
            <w:r>
              <w:rPr>
                <w:rFonts w:hint="eastAsia"/>
                <w:lang w:eastAsia="zh-CN"/>
              </w:rPr>
              <w:t>、基层监管队伍整体素质</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长期</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长期</w:t>
            </w:r>
          </w:p>
        </w:tc>
      </w:tr>
      <w:tr>
        <w:tblPrEx>
          <w:tblCellMar>
            <w:top w:w="0" w:type="dxa"/>
            <w:left w:w="0" w:type="dxa"/>
            <w:bottom w:w="0" w:type="dxa"/>
            <w:right w:w="0" w:type="dxa"/>
          </w:tblCellMar>
        </w:tblPrEx>
        <w:trPr>
          <w:trHeight w:val="108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食品安全的公众满意度</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80%</w:t>
            </w:r>
          </w:p>
        </w:tc>
      </w:tr>
    </w:tbl>
    <w:p>
      <w:pPr>
        <w:pStyle w:val="8"/>
        <w:rPr>
          <w:rFonts w:hint="default" w:ascii="仿宋_GB2312" w:hAnsi="仿宋_GB2312" w:eastAsia="仿宋_GB2312" w:cs="仿宋_GB2312"/>
          <w:sz w:val="32"/>
          <w:szCs w:val="32"/>
          <w:lang w:val="en-US" w:eastAsia="zh-CN"/>
        </w:rPr>
      </w:pPr>
    </w:p>
    <w:p>
      <w:pPr>
        <w:pStyle w:val="8"/>
        <w:rPr>
          <w:rFonts w:hint="default"/>
          <w:lang w:val="en-US" w:eastAsia="zh-CN"/>
        </w:rPr>
      </w:pPr>
    </w:p>
    <w:p>
      <w:pPr>
        <w:numPr>
          <w:ilvl w:val="0"/>
          <w:numId w:val="4"/>
        </w:numPr>
        <w:spacing w:line="600" w:lineRule="exact"/>
        <w:ind w:firstLine="660" w:firstLineChars="150"/>
        <w:jc w:val="center"/>
        <w:outlineLvl w:val="0"/>
        <w:rPr>
          <w:rStyle w:val="16"/>
          <w:rFonts w:ascii="黑体" w:hAnsi="黑体" w:eastAsia="黑体"/>
          <w:b w:val="0"/>
        </w:rPr>
      </w:pPr>
      <w:bookmarkStart w:id="79" w:name="_Toc15377225"/>
      <w:bookmarkStart w:id="80" w:name="_Toc6574"/>
      <w:bookmarkStart w:id="81" w:name="_Toc15396613"/>
      <w:r>
        <w:rPr>
          <w:rFonts w:hint="eastAsia" w:ascii="黑体" w:hAnsi="黑体" w:eastAsia="黑体"/>
          <w:color w:val="000000"/>
          <w:sz w:val="44"/>
          <w:szCs w:val="44"/>
        </w:rPr>
        <w:t>名</w:t>
      </w:r>
      <w:r>
        <w:rPr>
          <w:rStyle w:val="16"/>
          <w:rFonts w:hint="eastAsia" w:ascii="黑体" w:hAnsi="黑体" w:eastAsia="黑体"/>
          <w:b w:val="0"/>
        </w:rPr>
        <w:t>词解释</w:t>
      </w:r>
      <w:bookmarkEnd w:id="79"/>
      <w:bookmarkEnd w:id="80"/>
      <w:bookmarkEnd w:id="81"/>
    </w:p>
    <w:p>
      <w:pPr>
        <w:spacing w:line="600" w:lineRule="exact"/>
        <w:jc w:val="left"/>
        <w:rPr>
          <w:rFonts w:ascii="宋体"/>
          <w:b/>
          <w:color w:val="000000"/>
          <w:sz w:val="44"/>
          <w:szCs w:val="44"/>
        </w:rPr>
      </w:pP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4.其他收入：指单位取得的除上述收入以外的各项收入。主要是</w:t>
      </w:r>
      <w:r>
        <w:rPr>
          <w:rFonts w:hint="eastAsia" w:ascii="仿宋_GB2312" w:hAnsi="仿宋_GB2312" w:eastAsia="仿宋_GB2312" w:cs="仿宋_GB2312"/>
          <w:sz w:val="32"/>
          <w:szCs w:val="32"/>
          <w:lang w:eastAsia="zh-CN"/>
        </w:rPr>
        <w:t>利息收入</w:t>
      </w:r>
      <w:r>
        <w:rPr>
          <w:rFonts w:hint="eastAsia" w:ascii="仿宋_GB2312" w:hAnsi="仿宋_GB2312" w:eastAsia="仿宋_GB2312" w:cs="仿宋_GB2312"/>
          <w:sz w:val="32"/>
          <w:szCs w:val="32"/>
        </w:rPr>
        <w:t xml:space="preserve">等。 </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8、年末结转和结余：指单位按有关规定结转到下年或以后年度继续使用的资金。</w:t>
      </w:r>
    </w:p>
    <w:p>
      <w:pPr>
        <w:pStyle w:val="20"/>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9</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一般公共服务（类）：</w:t>
      </w:r>
      <w:r>
        <w:rPr>
          <w:rFonts w:hint="eastAsia" w:ascii="仿宋_GB2312" w:hAnsi="仿宋_GB2312" w:eastAsia="仿宋_GB2312" w:cs="仿宋_GB2312"/>
          <w:color w:val="000000"/>
          <w:sz w:val="32"/>
          <w:szCs w:val="32"/>
          <w:lang w:eastAsia="zh-CN"/>
        </w:rPr>
        <w:t>行政运行（项）：</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color w:val="000000"/>
          <w:sz w:val="32"/>
          <w:szCs w:val="32"/>
          <w:lang w:eastAsia="zh-CN"/>
        </w:rPr>
        <w:t>行政机关用于保障机构正常正常运转，开展日常工作的基本支出。</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一般公共服务（类）：</w:t>
      </w:r>
      <w:r>
        <w:rPr>
          <w:rFonts w:hint="eastAsia" w:ascii="仿宋_GB2312" w:hAnsi="仿宋_GB2312" w:eastAsia="仿宋_GB2312" w:cs="仿宋_GB2312"/>
          <w:color w:val="000000"/>
          <w:sz w:val="32"/>
          <w:szCs w:val="32"/>
          <w:lang w:eastAsia="zh-CN"/>
        </w:rPr>
        <w:t>一般行政管理</w:t>
      </w:r>
      <w:r>
        <w:rPr>
          <w:rFonts w:hint="eastAsia" w:ascii="仿宋_GB2312" w:hAnsi="仿宋_GB2312" w:eastAsia="仿宋_GB2312" w:cs="仿宋_GB2312"/>
          <w:color w:val="000000"/>
          <w:sz w:val="32"/>
          <w:szCs w:val="32"/>
          <w:lang w:val="en-US" w:eastAsia="zh-CN"/>
        </w:rPr>
        <w:t xml:space="preserve"> 事务（项）：指行政机关开展专项工作等未单独设置项级科目的专门性管理工作的项目支出。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社会保障和就业（类）</w:t>
      </w:r>
      <w:r>
        <w:rPr>
          <w:rFonts w:hint="eastAsia" w:ascii="仿宋_GB2312" w:hAnsi="仿宋_GB2312" w:eastAsia="仿宋_GB2312" w:cs="仿宋_GB2312"/>
          <w:color w:val="000000"/>
          <w:sz w:val="32"/>
          <w:szCs w:val="32"/>
          <w:lang w:eastAsia="zh-CN"/>
        </w:rPr>
        <w:t>行政事业单位</w:t>
      </w:r>
      <w:r>
        <w:rPr>
          <w:rFonts w:hint="eastAsia" w:ascii="仿宋_GB2312" w:hAnsi="仿宋_GB2312" w:eastAsia="仿宋_GB2312" w:cs="仿宋_GB2312"/>
          <w:color w:val="000000"/>
          <w:sz w:val="32"/>
          <w:szCs w:val="32"/>
          <w:lang w:val="en-US" w:eastAsia="zh-CN"/>
        </w:rPr>
        <w:t>退休</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机关事业单位</w:t>
      </w:r>
      <w:r>
        <w:rPr>
          <w:rFonts w:hint="eastAsia" w:ascii="仿宋_GB2312" w:hAnsi="仿宋_GB2312" w:eastAsia="仿宋_GB2312" w:cs="仿宋_GB2312"/>
          <w:color w:val="000000"/>
          <w:sz w:val="32"/>
          <w:szCs w:val="32"/>
          <w:lang w:val="en-US" w:eastAsia="zh-CN"/>
        </w:rPr>
        <w:t>基本养老保险缴费支出</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部门实施养老保险制度由单位缴纳的养老保险费的支出</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社会保障和就业（类）</w:t>
      </w:r>
      <w:r>
        <w:rPr>
          <w:rFonts w:hint="eastAsia" w:ascii="仿宋_GB2312" w:hAnsi="仿宋_GB2312" w:eastAsia="仿宋_GB2312" w:cs="仿宋_GB2312"/>
          <w:color w:val="000000"/>
          <w:sz w:val="32"/>
          <w:szCs w:val="32"/>
          <w:lang w:eastAsia="zh-CN"/>
        </w:rPr>
        <w:t>行政事业单位</w:t>
      </w:r>
      <w:r>
        <w:rPr>
          <w:rFonts w:hint="eastAsia" w:ascii="仿宋_GB2312" w:hAnsi="仿宋_GB2312" w:eastAsia="仿宋_GB2312" w:cs="仿宋_GB2312"/>
          <w:color w:val="000000"/>
          <w:sz w:val="32"/>
          <w:szCs w:val="32"/>
          <w:lang w:val="en-US" w:eastAsia="zh-CN"/>
        </w:rPr>
        <w:t>退休</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机关事业单位</w:t>
      </w:r>
      <w:r>
        <w:rPr>
          <w:rFonts w:hint="eastAsia" w:ascii="仿宋_GB2312" w:hAnsi="仿宋_GB2312" w:eastAsia="仿宋_GB2312" w:cs="仿宋_GB2312"/>
          <w:color w:val="000000"/>
          <w:sz w:val="32"/>
          <w:szCs w:val="32"/>
          <w:lang w:val="en-US" w:eastAsia="zh-CN"/>
        </w:rPr>
        <w:t>职业年金缴费支出</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部门实施养老保险制度由单位缴纳的职业年金的支出</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医疗卫生与计划生育（类）</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行政机关用于缴纳单位</w:t>
      </w:r>
      <w:r>
        <w:rPr>
          <w:rFonts w:hint="eastAsia" w:ascii="仿宋_GB2312" w:hAnsi="仿宋_GB2312" w:eastAsia="仿宋_GB2312" w:cs="仿宋_GB2312"/>
          <w:color w:val="000000"/>
          <w:sz w:val="32"/>
          <w:szCs w:val="32"/>
          <w:lang w:val="en-US" w:eastAsia="zh-CN"/>
        </w:rPr>
        <w:t>基本医疗保险的支出</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.医疗卫生与计划生育（类）</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公务员医疗补助</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指行政机关及参公管理事业单位</w:t>
      </w:r>
      <w:r>
        <w:rPr>
          <w:rFonts w:hint="eastAsia" w:ascii="仿宋_GB2312" w:hAnsi="仿宋_GB2312" w:eastAsia="仿宋_GB2312" w:cs="仿宋_GB2312"/>
          <w:color w:val="000000"/>
          <w:sz w:val="32"/>
          <w:szCs w:val="32"/>
          <w:lang w:val="en-US" w:eastAsia="zh-CN"/>
        </w:rPr>
        <w:t xml:space="preserve"> 用于集中缴纳公务员医疗补助的支出。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.住房保障（类）</w:t>
      </w:r>
      <w:r>
        <w:rPr>
          <w:rFonts w:hint="eastAsia" w:ascii="仿宋_GB2312" w:hAnsi="仿宋_GB2312" w:eastAsia="仿宋_GB2312" w:cs="仿宋_GB2312"/>
          <w:color w:val="000000"/>
          <w:sz w:val="32"/>
          <w:szCs w:val="32"/>
          <w:lang w:eastAsia="zh-CN"/>
        </w:rPr>
        <w:t>住房改革支出</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住房公积金</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按照《住房公积金管理条例》的规定，由单位</w:t>
      </w:r>
      <w:r>
        <w:rPr>
          <w:rFonts w:hint="eastAsia" w:ascii="仿宋_GB2312" w:hAnsi="仿宋_GB2312" w:eastAsia="仿宋_GB2312" w:cs="仿宋_GB2312"/>
          <w:color w:val="000000"/>
          <w:sz w:val="32"/>
          <w:szCs w:val="32"/>
          <w:lang w:val="en-US" w:eastAsia="zh-CN"/>
        </w:rPr>
        <w:t xml:space="preserve"> 及其在职职工缴存的住房公积金</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.“三公”经费：指部门用财政拨款安排的</w:t>
      </w:r>
      <w:r>
        <w:rPr>
          <w:rFonts w:hint="eastAsia" w:ascii="仿宋_GB2312" w:hAnsi="仿宋_GB2312" w:eastAsia="仿宋_GB2312" w:cs="仿宋_GB2312"/>
          <w:sz w:val="32"/>
          <w:szCs w:val="32"/>
          <w:lang w:eastAsia="zh-CN"/>
        </w:rPr>
        <w:t>公</w:t>
      </w:r>
      <w:r>
        <w:rPr>
          <w:rFonts w:hint="eastAsia" w:ascii="仿宋_GB2312" w:hAnsi="仿宋_GB2312" w:eastAsia="仿宋_GB2312" w:cs="仿宋_GB2312"/>
          <w:sz w:val="32"/>
          <w:szCs w:val="32"/>
        </w:rPr>
        <w:t>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.机关运行经费：为保障行政单位运行用于购买货物和服务的各项资金，包括办公</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rPr>
        <w:t>印刷费、邮电费、差旅费、日常维修费、办公用房水电费、办公用房取暖费、公务用车运行维护费以及其他费用。</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（解释本部门决算报表中全部功能分类科目至项级，请参照《</w:t>
      </w:r>
      <w:r>
        <w:rPr>
          <w:rFonts w:hint="eastAsia" w:ascii="仿宋_GB2312" w:hAnsi="仿宋_GB2312" w:eastAsia="仿宋_GB2312" w:cs="仿宋_GB2312"/>
          <w:b/>
          <w:color w:val="000000"/>
          <w:sz w:val="32"/>
          <w:szCs w:val="32"/>
          <w:lang w:val="en-US" w:eastAsia="zh-CN"/>
        </w:rPr>
        <w:t>2020</w:t>
      </w:r>
      <w:r>
        <w:rPr>
          <w:rFonts w:hint="eastAsia" w:ascii="仿宋_GB2312" w:hAnsi="仿宋_GB2312" w:eastAsia="仿宋_GB2312" w:cs="仿宋_GB2312"/>
          <w:b/>
          <w:color w:val="000000"/>
          <w:sz w:val="32"/>
          <w:szCs w:val="32"/>
        </w:rPr>
        <w:t>年政府收支分类科目》增减内容。）</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82" w:name="_Toc15377226"/>
      <w:r>
        <w:rPr>
          <w:rFonts w:hint="eastAsia" w:ascii="仿宋_GB2312" w:hAnsi="仿宋_GB2312" w:eastAsia="仿宋_GB2312" w:cs="仿宋_GB2312"/>
          <w:color w:val="000000"/>
          <w:sz w:val="32"/>
          <w:szCs w:val="32"/>
        </w:rPr>
        <w:t>27.基本支出：指为保障机构正常运转、完成日常工作任务而发生的人员支出和公用支出。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28.项目支出：指在基本支出之外为完成特定行政任务和事业发展目标所发生的支出。 </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29.经营支出：指事业单位在专业业务活动及其辅助活动之外开展非独立核算经营活动发生的支出。</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0"/>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w:t>
      </w:r>
    </w:p>
    <w:p>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（名词解释部分请根据各部门实际列支情况罗列，并根据本部门职责职能增减名词解释内容。）</w:t>
      </w:r>
    </w:p>
    <w:p>
      <w:pPr>
        <w:spacing w:line="580" w:lineRule="exact"/>
        <w:rPr>
          <w:rFonts w:hint="eastAsia" w:ascii="仿宋_GB2312" w:hAnsi="仿宋_GB2312" w:eastAsia="黑体" w:cs="仿宋_GB2312"/>
          <w:sz w:val="32"/>
          <w:szCs w:val="32"/>
          <w:lang w:val="en-US" w:eastAsia="zh-CN"/>
        </w:rPr>
      </w:pPr>
      <w:r>
        <w:rPr>
          <w:rFonts w:ascii="宋体"/>
          <w:b/>
          <w:color w:val="000000"/>
          <w:sz w:val="44"/>
          <w:szCs w:val="44"/>
        </w:rPr>
        <w:br w:type="page"/>
      </w:r>
      <w:bookmarkStart w:id="83" w:name="_Toc15396618"/>
      <w:bookmarkStart w:id="84" w:name="_Toc12837"/>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widowControl/>
        <w:spacing w:line="480" w:lineRule="exact"/>
        <w:jc w:val="center"/>
        <w:outlineLvl w:val="0"/>
        <w:rPr>
          <w:rFonts w:hint="eastAsia" w:ascii="方正小标宋简体" w:hAnsi="宋体" w:eastAsia="方正小标宋简体" w:cs="Times New Roman"/>
          <w:color w:val="000000"/>
          <w:kern w:val="0"/>
          <w:sz w:val="44"/>
          <w:szCs w:val="44"/>
          <w:lang w:val="zh-CN" w:eastAsia="zh-CN" w:bidi="ar-SA"/>
        </w:rPr>
      </w:pPr>
      <w:r>
        <w:rPr>
          <w:rFonts w:hint="eastAsia" w:ascii="方正小标宋简体" w:hAnsi="宋体" w:eastAsia="方正小标宋简体" w:cs="Times New Roman"/>
          <w:color w:val="000000"/>
          <w:kern w:val="0"/>
          <w:sz w:val="44"/>
          <w:szCs w:val="44"/>
          <w:lang w:val="zh-CN" w:eastAsia="zh-CN" w:bidi="ar-SA"/>
        </w:rPr>
        <w:t>202</w:t>
      </w:r>
      <w:r>
        <w:rPr>
          <w:rFonts w:hint="eastAsia" w:ascii="方正小标宋简体" w:hAnsi="宋体" w:eastAsia="方正小标宋简体" w:cs="Times New Roman"/>
          <w:color w:val="000000"/>
          <w:kern w:val="0"/>
          <w:sz w:val="44"/>
          <w:szCs w:val="44"/>
          <w:lang w:val="en-US" w:eastAsia="zh-CN" w:bidi="ar-SA"/>
        </w:rPr>
        <w:t>0</w:t>
      </w:r>
      <w:r>
        <w:rPr>
          <w:rFonts w:hint="eastAsia" w:ascii="方正小标宋简体" w:hAnsi="宋体" w:eastAsia="方正小标宋简体" w:cs="Times New Roman"/>
          <w:color w:val="000000"/>
          <w:kern w:val="0"/>
          <w:sz w:val="44"/>
          <w:szCs w:val="44"/>
          <w:lang w:val="zh-CN" w:eastAsia="zh-CN" w:bidi="ar-SA"/>
        </w:rPr>
        <w:t>年红原县市场监督管理局</w:t>
      </w:r>
    </w:p>
    <w:p>
      <w:pPr>
        <w:widowControl/>
        <w:spacing w:line="480" w:lineRule="exact"/>
        <w:jc w:val="center"/>
        <w:outlineLvl w:val="0"/>
        <w:rPr>
          <w:rFonts w:hint="eastAsia" w:ascii="方正小标宋简体" w:hAnsi="宋体" w:eastAsia="方正小标宋简体" w:cs="Times New Roman"/>
          <w:color w:val="000000"/>
          <w:kern w:val="0"/>
          <w:sz w:val="44"/>
          <w:szCs w:val="44"/>
          <w:lang w:val="zh-CN" w:eastAsia="zh-CN" w:bidi="ar-SA"/>
        </w:rPr>
      </w:pPr>
      <w:r>
        <w:rPr>
          <w:rFonts w:hint="eastAsia" w:ascii="方正小标宋简体" w:hAnsi="宋体" w:eastAsia="方正小标宋简体" w:cs="Times New Roman"/>
          <w:color w:val="000000"/>
          <w:kern w:val="0"/>
          <w:sz w:val="44"/>
          <w:szCs w:val="44"/>
          <w:lang w:val="zh-CN" w:eastAsia="zh-CN" w:bidi="ar-SA"/>
        </w:rPr>
        <w:t>整体支出绩效报告</w:t>
      </w:r>
    </w:p>
    <w:p>
      <w:pPr>
        <w:widowControl/>
        <w:adjustRightInd w:val="0"/>
        <w:snapToGrid w:val="0"/>
        <w:spacing w:line="480" w:lineRule="exact"/>
        <w:jc w:val="left"/>
        <w:outlineLvl w:val="0"/>
        <w:rPr>
          <w:rFonts w:hint="eastAsia" w:ascii="方正小标宋简体" w:hAnsi="宋体" w:eastAsia="方正小标宋简体" w:cs="Times New Roman"/>
          <w:color w:val="000000"/>
          <w:kern w:val="0"/>
          <w:sz w:val="44"/>
          <w:szCs w:val="44"/>
          <w:lang w:val="zh-CN" w:eastAsia="zh-CN" w:bidi="ar-SA"/>
        </w:rPr>
      </w:pPr>
    </w:p>
    <w:p>
      <w:pPr>
        <w:widowControl/>
        <w:adjustRightInd w:val="0"/>
        <w:snapToGrid w:val="0"/>
        <w:spacing w:line="480" w:lineRule="exact"/>
        <w:jc w:val="left"/>
        <w:outlineLvl w:val="0"/>
        <w:rPr>
          <w:rFonts w:hint="eastAsia" w:ascii="黑体" w:hAnsi="宋体" w:eastAsia="黑体" w:cs="宋体"/>
          <w:color w:val="000000"/>
          <w:kern w:val="0"/>
        </w:rPr>
      </w:pPr>
    </w:p>
    <w:p>
      <w:pPr>
        <w:widowControl/>
        <w:adjustRightInd w:val="0"/>
        <w:snapToGrid w:val="0"/>
        <w:spacing w:line="480" w:lineRule="exact"/>
        <w:jc w:val="left"/>
        <w:outlineLvl w:val="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rPr>
        <w:t>一、</w:t>
      </w:r>
      <w:r>
        <w:rPr>
          <w:rFonts w:hint="eastAsia" w:ascii="仿宋_GB2312" w:hAnsi="仿宋_GB2312" w:eastAsia="仿宋_GB2312" w:cs="仿宋_GB2312"/>
          <w:color w:val="000000"/>
          <w:kern w:val="0"/>
          <w:sz w:val="32"/>
          <w:szCs w:val="32"/>
          <w:lang w:val="zh-CN"/>
        </w:rPr>
        <w:t>部门概况</w:t>
      </w:r>
    </w:p>
    <w:p>
      <w:pPr>
        <w:widowControl/>
        <w:adjustRightInd w:val="0"/>
        <w:snapToGrid w:val="0"/>
        <w:spacing w:line="480" w:lineRule="exact"/>
        <w:ind w:firstLine="320" w:firstLineChars="100"/>
        <w:jc w:val="left"/>
        <w:rPr>
          <w:rFonts w:hint="eastAsia" w:ascii="仿宋_GB2312" w:hAnsi="仿宋_GB2312" w:eastAsia="仿宋_GB2312" w:cs="仿宋_GB2312"/>
          <w:color w:val="000000"/>
          <w:kern w:val="0"/>
          <w:sz w:val="32"/>
          <w:szCs w:val="32"/>
          <w:lang/>
        </w:rPr>
      </w:pPr>
      <w:r>
        <w:rPr>
          <w:rFonts w:hint="eastAsia" w:ascii="仿宋_GB2312" w:hAnsi="仿宋_GB2312" w:eastAsia="仿宋_GB2312" w:cs="仿宋_GB2312"/>
          <w:color w:val="000000"/>
          <w:kern w:val="0"/>
          <w:sz w:val="32"/>
          <w:szCs w:val="32"/>
          <w:lang w:val="zh-CN"/>
        </w:rPr>
        <w:t>（一）机构组成。</w:t>
      </w:r>
    </w:p>
    <w:p>
      <w:pPr>
        <w:widowControl/>
        <w:adjustRightInd w:val="0"/>
        <w:snapToGrid w:val="0"/>
        <w:spacing w:line="480" w:lineRule="exact"/>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rPr>
        <w:t xml:space="preserve"> </w:t>
      </w:r>
      <w:r>
        <w:rPr>
          <w:rFonts w:hint="eastAsia" w:ascii="仿宋_GB2312" w:hAnsi="仿宋_GB2312" w:eastAsia="仿宋_GB2312" w:cs="仿宋_GB2312"/>
          <w:color w:val="000000"/>
          <w:kern w:val="0"/>
          <w:sz w:val="32"/>
          <w:szCs w:val="32"/>
          <w:lang w:val="en-US" w:eastAsia="zh-CN"/>
        </w:rPr>
        <w:t>我单位独立编制单位机构1个，独立核算机构1个。</w:t>
      </w:r>
    </w:p>
    <w:p>
      <w:pPr>
        <w:widowControl/>
        <w:adjustRightInd w:val="0"/>
        <w:snapToGrid w:val="0"/>
        <w:spacing w:line="480" w:lineRule="exact"/>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（二）机构职能。</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rPr>
        <w:t xml:space="preserve">   </w:t>
      </w:r>
      <w:r>
        <w:rPr>
          <w:rFonts w:hint="eastAsia" w:ascii="仿宋_GB2312" w:hAnsi="仿宋_GB2312" w:eastAsia="仿宋_GB2312" w:cs="仿宋_GB2312"/>
          <w:color w:val="000000"/>
          <w:kern w:val="0"/>
          <w:sz w:val="32"/>
          <w:szCs w:val="32"/>
          <w:lang w:val="en-US" w:eastAsia="zh-CN"/>
        </w:rPr>
        <w:t xml:space="preserve"> 1、贯彻执行国家和上级有关工商行政管理、质量技术监督、食品（含食品添加剂、保健食品，下同）安全、药品（含中药、民族药，下同）、医疗器械、化妆品监督管理的法律、法规、规章和方针、政策、规划。</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2、推动建立落实食品药品安全企业责任主体、各级政府负总责的机制，着力防范区域性、系统性食品药品安全风险。推进市场监管领域社会共治机制，建立健全市场主体社会信用体系，完善质量检验检测技术支撑保障体系。</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3、负责辖区工商企业、农民专业合作社和从事经营活动的单位、个人以及上级授权办理的其他市场主体的登记注册工作，确认市场经营主体资格，核发营业执照，并对其登记注册事项及经营活动进行监督管理；依法依责查处取缔无照经营行为。负责辖区食品生产（除高风险、食品添加剂以外）、流通和餐饮服务环节的行政许可，负责药品零售企业、医疗器械经营企业的行政许可。办理机关、社团、企事业单位组织机构代码登记；负责计量器具制造、修理主体许可。</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4、负责辖区市场经济秩序监督管理。依法监督管理各类消费品市场、生产资料市场，参与监督管理生产要素市场；负责监督管理网络商品交易及有关服务的行为；监督管理经纪人、经纪机构、经纪活动以及有关中介服务机构；根据授权，负责垄断协议、滥用市场支配地位、滥用行政权力排除限制竞争方面的反垄断执法工作（价格垄断行为除外）；依法查处不正当竞争、商业贿赂以及走私贩私等经济违法行为。承担查处违法直销和传销案件的职责，依法监督管理直销企业和直销员及其直销活动。</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5、负责辖区商标和广告监督管理工作。依法查处商标侵权行为，保护注册商标专用权，监督管理商标的使用和印制；监管和指导商标代理机构；负责特殊标志、官方标志的管理和保护；依法对企业名称，知名商品特有的名称、包装、装潢，商业秘密，商标等实施监督管理和综合保护。指导广告业发展；监测辖区各类媒介广告发布情况；实施广告经营和发布行为的行政许可；依法开展广告监督管理工作。</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6、负责辖区合同监督管理工作。组织实施合同行政监督管理，推广合同示范文本；监督管理消费类合同格式条款；开展合同争议行政调解；依法查处利用合同进行违法活动的行为；实施动产抵押登记、监督管理拍卖行为。</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7、负责辖区保护消费者合法权益工作，开展产（商）品质量监督。接受消费者咨询、申诉、举报，建立并完善消费维权体系，保护经营者、消费者合法权益；组织查处侵犯消费者权益案件。依法查处生产、流通领域制售假冒伪劣产（商）品的违法行为；组织实施有关问题产品的召回和处置；负责产品质量安全管理工作。</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8、负责管理和指导辖区质量工作。结合国务院《质量发展纲要》制定并实施本地区提高质量发展水平的规划、政策和措施。组织推进名牌发展战略；对产品质量实施监督检查。管理产品质量仲裁的检验、鉴定，配合产品质量重大事故的调查分析，并提出整改处理意见。依法管理工业产品生产许可证工作。</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9、负责辖区计量监督管理工作。推行国家法定计量单位和计量制度，组织建立和管理社会公用计量标准，负责计量器具生产、使用的监督管理，规范监督商品计量和市场计量行为，开展能源计量和能源标识监督检查。负责认证认可的监督管理。实施工程设备监理活动的监督管理。依法对向社会出具公证数据的各类检验检测机构、实验室等进行监督管理。依法对实施强制性认证产品的监督管理。</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10、负责辖区标准化管理工作。组织推进标准化发展战略；开展企业产品标准备案管理工作；推动采用国际标准和国外先进标准；按要求推进开展各级各类标准化项目。组织推动和监管国家标准、行业标准和地方标准的贯彻实施；开展地理标志产品保护工作。</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11、负责辖区特种设备安全监察工作。负责特种设备作业人员监督管理；负责对特种设备生产、经营、使用单位和检验、检测机构实施监督检查；负责特种设备事故的上报和调查处理；负责特种设备登记、统计工作；负责特种设备节能监管；开展特种设备安全专项检查。</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12、负责辖区食品生产（除高风险、食品添加剂以外）、流通和餐饮服务环节的监督管理。根据州政府和上级部门食品安全监管年度计划，制定本辖区监管年度计划，组织开展辖区食品安全专项整治和综合治理。负责辖区重大活动的食品安全保障。</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13、负责辖区药品、医疗器械和化妆品的监督管理。组织实施药品、医疗器械生产、经营、使用质量管理规范，负责对辖区麻醉药品、精神药品、毒性药品、放射性药品生产、经营、使用的监管。</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14、负责辖区食品、药品、医疗器械和化妆品质量状况的抽样检验和监督性检验工作，组织开展辖区药品不良反应、医疗器械不良事件的监测和处置工作。负责实施辖区食品、药品、医疗器械和化妆品监督管理的稽查制度，实施问题产品召回和处置制度，完善行政执法与刑事司法衔接机制。</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15、承担红原县食品安全委员会办公室日常工作。负责食品安全监督管理综合协调，推动健全协调联动机制；承担食品安全监督考评和协调指导职责，协调本辖区重大食品安全事故处置工作，督促检查县食品安全委员会决策部署的贯彻执行。</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16、负责辖区相关市场监管领域安全事故应急体系建设，组织重大突发事件应对处置和调查处理工作，监督事故查处落实情况。</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17、承担红原县保护消费者权益委员会秘书日常工作，组织指导个体私营经济协会的相关工作。</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18、承办红原县委、县政府和上级业务部门交办的其他事项。</w:t>
      </w:r>
    </w:p>
    <w:p>
      <w:pPr>
        <w:widowControl/>
        <w:adjustRightInd w:val="0"/>
        <w:snapToGrid w:val="0"/>
        <w:spacing w:line="480" w:lineRule="exact"/>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1.红原县市场监督管理局属于一级预算单位，其中内设机构5个，下属二级单位0个，其中行政单位0个，参照公务员法管理的事业单位0个，其他事业单位0个。</w:t>
      </w:r>
    </w:p>
    <w:p>
      <w:pPr>
        <w:pStyle w:val="2"/>
        <w:rPr>
          <w:rFonts w:hint="eastAsia" w:ascii="仿宋_GB2312" w:hAnsi="仿宋_GB2312" w:eastAsia="仿宋_GB2312" w:cs="仿宋_GB2312"/>
          <w:color w:val="000000"/>
          <w:kern w:val="0"/>
          <w:sz w:val="32"/>
          <w:szCs w:val="32"/>
          <w:lang w:val="zh-CN"/>
        </w:rPr>
      </w:pPr>
    </w:p>
    <w:p>
      <w:pPr>
        <w:widowControl/>
        <w:adjustRightInd w:val="0"/>
        <w:snapToGrid w:val="0"/>
        <w:spacing w:line="480" w:lineRule="exact"/>
        <w:jc w:val="left"/>
        <w:outlineLvl w:val="0"/>
        <w:rPr>
          <w:rFonts w:hint="eastAsia" w:ascii="仿宋_GB2312" w:hAnsi="仿宋_GB2312" w:eastAsia="仿宋_GB2312" w:cs="仿宋_GB2312"/>
          <w:color w:val="000000"/>
          <w:kern w:val="0"/>
          <w:sz w:val="32"/>
          <w:szCs w:val="32"/>
          <w:lang/>
        </w:rPr>
      </w:pPr>
      <w:r>
        <w:rPr>
          <w:rFonts w:hint="eastAsia" w:ascii="仿宋_GB2312" w:hAnsi="仿宋_GB2312" w:eastAsia="仿宋_GB2312" w:cs="仿宋_GB2312"/>
          <w:color w:val="000000"/>
          <w:kern w:val="0"/>
          <w:sz w:val="32"/>
          <w:szCs w:val="32"/>
          <w:lang/>
        </w:rPr>
        <w:t>二、部门财政资金收支情况</w:t>
      </w:r>
    </w:p>
    <w:p>
      <w:pPr>
        <w:widowControl/>
        <w:adjustRightInd w:val="0"/>
        <w:snapToGrid w:val="0"/>
        <w:spacing w:line="480" w:lineRule="exact"/>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2020年收入823.25万元，其中：一般公共预算财政拨款收入823.25万元。</w:t>
      </w:r>
    </w:p>
    <w:p>
      <w:pPr>
        <w:widowControl/>
        <w:numPr>
          <w:ilvl w:val="0"/>
          <w:numId w:val="5"/>
        </w:numPr>
        <w:adjustRightInd w:val="0"/>
        <w:snapToGrid w:val="0"/>
        <w:spacing w:line="480" w:lineRule="exact"/>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部门财政资金支出情况。</w:t>
      </w:r>
    </w:p>
    <w:p>
      <w:pPr>
        <w:spacing w:line="56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rPr>
        <w:t xml:space="preserve"> </w:t>
      </w:r>
      <w:r>
        <w:rPr>
          <w:rFonts w:hint="eastAsia" w:ascii="仿宋_GB2312" w:hAnsi="仿宋_GB2312" w:eastAsia="仿宋_GB2312" w:cs="仿宋_GB2312"/>
          <w:color w:val="000000"/>
          <w:kern w:val="0"/>
          <w:sz w:val="32"/>
          <w:szCs w:val="32"/>
          <w:lang w:val="en-US" w:eastAsia="zh-CN"/>
        </w:rPr>
        <w:t>2020年一般公共预算财政拨款支出1046.92万元。主要用于以下方面: 其中基本工资144.29万元，津补贴304.59万元，奖金14.2万元，机关事业单位基本养老保险缴费60.37万元，职业年金缴费30.18万元，职工基本医疗缴费27.23万元，公务员医疗补助缴费5.58万元，其他社会保障缴费17.54万元，住房公积金55.96万元，医疗费3.34。办公费59.22万元，印刷费2万元，水费0.6万元，电费1.8万元，邮电费2万元，取暖费3万元，差旅费10万元，维修（护）费2万元，会议费0.5万元，培训费1.5万元，公务接待费0.72万元，委托业务费52.84万元，公务用车运行维护费16.32万元，抚恤金22.15万元，医疗费1.64万元，生活补助23.01万元，奖励金0.01万元，对企业的补助补贴184.33万元。</w:t>
      </w:r>
    </w:p>
    <w:p>
      <w:pPr>
        <w:pStyle w:val="2"/>
        <w:numPr>
          <w:ilvl w:val="0"/>
          <w:numId w:val="0"/>
        </w:numPr>
        <w:rPr>
          <w:rFonts w:hint="eastAsia" w:ascii="仿宋_GB2312" w:hAnsi="仿宋_GB2312" w:eastAsia="仿宋_GB2312" w:cs="仿宋_GB2312"/>
          <w:color w:val="000000"/>
          <w:kern w:val="0"/>
          <w:sz w:val="32"/>
          <w:szCs w:val="32"/>
          <w:lang w:val="zh-CN"/>
        </w:rPr>
      </w:pPr>
    </w:p>
    <w:p>
      <w:pPr>
        <w:widowControl/>
        <w:adjustRightInd w:val="0"/>
        <w:snapToGrid w:val="0"/>
        <w:spacing w:line="480" w:lineRule="exact"/>
        <w:jc w:val="left"/>
        <w:outlineLvl w:val="0"/>
        <w:rPr>
          <w:rFonts w:hint="eastAsia" w:ascii="仿宋_GB2312" w:hAnsi="仿宋_GB2312" w:eastAsia="仿宋_GB2312" w:cs="仿宋_GB2312"/>
          <w:color w:val="000000"/>
          <w:kern w:val="0"/>
          <w:sz w:val="32"/>
          <w:szCs w:val="32"/>
          <w:lang/>
        </w:rPr>
      </w:pPr>
      <w:r>
        <w:rPr>
          <w:rFonts w:hint="eastAsia" w:ascii="仿宋_GB2312" w:hAnsi="仿宋_GB2312" w:eastAsia="仿宋_GB2312" w:cs="仿宋_GB2312"/>
          <w:color w:val="000000"/>
          <w:kern w:val="0"/>
          <w:sz w:val="32"/>
          <w:szCs w:val="32"/>
          <w:lang/>
        </w:rPr>
        <w:t>三、部门财政支出管理情况</w:t>
      </w:r>
    </w:p>
    <w:p>
      <w:pPr>
        <w:widowControl/>
        <w:adjustRightInd w:val="0"/>
        <w:snapToGrid w:val="0"/>
        <w:spacing w:line="480" w:lineRule="exact"/>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（一）预算编制情况。</w:t>
      </w:r>
    </w:p>
    <w:p>
      <w:pPr>
        <w:pageBreakBefore w:val="0"/>
        <w:kinsoku/>
        <w:wordWrap/>
        <w:overflowPunct/>
        <w:topLinePunct w:val="0"/>
        <w:bidi w:val="0"/>
        <w:spacing w:line="560" w:lineRule="exact"/>
        <w:ind w:firstLine="640" w:firstLineChars="200"/>
        <w:outlineLvl w:val="2"/>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单位严格按照相关编制要求、编制程序及时组织财务人员进行部门预算编制。对本年度预算款项进行及时清理和处理，做到账账相符、账实相符、账证相符,按先有预算再有支出的原则，及时处理相关事务；对绩效目标进行季度梳理和年度分析，及时上报相关报表；对专项预算提前细化，分科目上报，做到收支平衡。2020年收入预算总额为823.25万元。</w:t>
      </w:r>
    </w:p>
    <w:p>
      <w:pPr>
        <w:widowControl/>
        <w:adjustRightInd w:val="0"/>
        <w:snapToGrid w:val="0"/>
        <w:spacing w:line="480" w:lineRule="exact"/>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pPr>
        <w:pageBreakBefore w:val="0"/>
        <w:kinsoku/>
        <w:wordWrap/>
        <w:overflowPunct/>
        <w:topLinePunct w:val="0"/>
        <w:bidi w:val="0"/>
        <w:spacing w:line="560" w:lineRule="exact"/>
        <w:ind w:firstLine="640" w:firstLineChars="200"/>
        <w:outlineLvl w:val="2"/>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单位按照县财政的要求，及时上报相应计划，待财政审核通过后，严格按计划执行，各季度执行情况良好。2020年支出总额控制在预算总额以内，除专项预算的追加和政策性工资绩效预算的追加外，未进行预算相关事项的调整。截止2020年底支出总额控制在预算总额以内，未进行相关事项的调整追加和调整。</w:t>
      </w:r>
    </w:p>
    <w:p>
      <w:pPr>
        <w:pageBreakBefore w:val="0"/>
        <w:kinsoku/>
        <w:wordWrap/>
        <w:overflowPunct/>
        <w:topLinePunct w:val="0"/>
        <w:bidi w:val="0"/>
        <w:spacing w:line="560" w:lineRule="exact"/>
        <w:ind w:firstLine="640" w:firstLineChars="200"/>
        <w:outlineLvl w:val="2"/>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eastAsia="zh-CN"/>
        </w:rPr>
        <w:tab/>
      </w:r>
      <w:r>
        <w:rPr>
          <w:rFonts w:hint="eastAsia" w:ascii="仿宋_GB2312" w:hAnsi="仿宋_GB2312" w:eastAsia="仿宋_GB2312" w:cs="仿宋_GB2312"/>
          <w:color w:val="000000"/>
          <w:kern w:val="0"/>
          <w:sz w:val="32"/>
          <w:szCs w:val="32"/>
          <w:lang w:val="en-US" w:eastAsia="zh-CN"/>
        </w:rPr>
        <w:t>2020年般公共预算支出决算数为1046.92万元，完成预算100%。其中：1.一般公共服务支出（201）决算为867.61万元，完成预算100%，决算数等于预算数。其中：2013801行政运行564.59万元，2013802一般行政管理事务22.15万元，2013804市场主体管理11.56，2013805市场秩序执法11万元，2013812药品事务15.38万元，2013816食品安全监管48.8万元，2013899其他市场监督管理事务194.13万元。</w:t>
      </w:r>
    </w:p>
    <w:p>
      <w:pPr>
        <w:spacing w:line="560" w:lineRule="exact"/>
        <w:rPr>
          <w:rFonts w:hint="eastAsia" w:ascii="仿宋_GB2312" w:hAnsi="仿宋_GB2312" w:eastAsia="仿宋_GB2312" w:cs="仿宋_GB2312"/>
          <w:color w:val="000000"/>
          <w:kern w:val="0"/>
          <w:sz w:val="32"/>
          <w:szCs w:val="32"/>
          <w:lang/>
        </w:rPr>
      </w:pPr>
    </w:p>
    <w:p>
      <w:pPr>
        <w:pageBreakBefore w:val="0"/>
        <w:kinsoku/>
        <w:wordWrap/>
        <w:overflowPunct/>
        <w:topLinePunct w:val="0"/>
        <w:bidi w:val="0"/>
        <w:spacing w:line="560" w:lineRule="exact"/>
        <w:ind w:firstLine="640" w:firstLineChars="200"/>
        <w:outlineLvl w:val="2"/>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我局认真执行中央八项规定，厉行节约，严格控制三公经费支出。2020年“三公”经费财政拨款支出决算为17.04万元，完成预算100%，决算数等于预算数。</w:t>
      </w:r>
    </w:p>
    <w:p>
      <w:pPr>
        <w:widowControl/>
        <w:numPr>
          <w:ilvl w:val="0"/>
          <w:numId w:val="5"/>
        </w:numPr>
        <w:adjustRightInd w:val="0"/>
        <w:snapToGrid w:val="0"/>
        <w:spacing w:line="480" w:lineRule="exact"/>
        <w:ind w:left="0" w:leftChars="0" w:firstLine="0" w:firstLineChars="0"/>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综合管理情况。</w:t>
      </w:r>
    </w:p>
    <w:p>
      <w:pPr>
        <w:widowControl/>
        <w:adjustRightInd w:val="0"/>
        <w:snapToGrid w:val="0"/>
        <w:spacing w:line="480" w:lineRule="exact"/>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rPr>
        <w:t>非税收入征缴情况：</w:t>
      </w:r>
      <w:r>
        <w:rPr>
          <w:rFonts w:hint="eastAsia" w:ascii="仿宋_GB2312" w:hAnsi="仿宋_GB2312" w:eastAsia="仿宋_GB2312" w:cs="仿宋_GB2312"/>
          <w:color w:val="000000"/>
          <w:kern w:val="0"/>
          <w:sz w:val="32"/>
          <w:szCs w:val="32"/>
          <w:lang w:eastAsia="zh-CN"/>
        </w:rPr>
        <w:t>已</w:t>
      </w:r>
      <w:r>
        <w:rPr>
          <w:rFonts w:hint="eastAsia" w:ascii="仿宋_GB2312" w:hAnsi="仿宋_GB2312" w:eastAsia="仿宋_GB2312" w:cs="仿宋_GB2312"/>
          <w:color w:val="000000"/>
          <w:kern w:val="0"/>
          <w:sz w:val="32"/>
          <w:szCs w:val="32"/>
          <w:lang/>
        </w:rPr>
        <w:t>全部上缴国库。</w:t>
      </w: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rPr>
      </w:pPr>
      <w:r>
        <w:rPr>
          <w:rFonts w:hint="eastAsia" w:ascii="仿宋_GB2312" w:hAnsi="仿宋_GB2312" w:eastAsia="仿宋_GB2312" w:cs="仿宋_GB2312"/>
          <w:color w:val="000000"/>
          <w:kern w:val="0"/>
          <w:sz w:val="32"/>
          <w:szCs w:val="32"/>
          <w:lang/>
        </w:rPr>
        <w:t>预决算公开：20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lang/>
        </w:rPr>
        <w:t>年我局按照上级的要求，在财政批复后20日内在指定网站公开预决算信息。</w:t>
      </w: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rPr>
      </w:pPr>
      <w:r>
        <w:rPr>
          <w:rFonts w:hint="eastAsia" w:ascii="仿宋_GB2312" w:hAnsi="仿宋_GB2312" w:eastAsia="仿宋_GB2312" w:cs="仿宋_GB2312"/>
          <w:color w:val="000000"/>
          <w:kern w:val="0"/>
          <w:sz w:val="32"/>
          <w:szCs w:val="32"/>
          <w:lang/>
        </w:rPr>
        <w:t>内部管理制度建设情况：20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lang/>
        </w:rPr>
        <w:t>年以来，我局制定了机关内部控制工作实施方案，并不断完善了“预算管理办法”、“合同管理制度”、“收支管理办法”、“资产管理制度”等一系列内部制度。</w:t>
      </w: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rPr>
      </w:pPr>
      <w:r>
        <w:rPr>
          <w:rFonts w:hint="eastAsia" w:ascii="仿宋_GB2312" w:hAnsi="仿宋_GB2312" w:eastAsia="仿宋_GB2312" w:cs="仿宋_GB2312"/>
          <w:color w:val="000000"/>
          <w:kern w:val="0"/>
          <w:sz w:val="32"/>
          <w:szCs w:val="32"/>
          <w:lang/>
        </w:rPr>
        <w:t>绩效评价：根据绩效评价的要求，我们成立了自评工作领导小组，对照自评方案进行研究和布署，按照自评方案的要求，对照各实施项目的内容逐条逐项自评。</w:t>
      </w:r>
    </w:p>
    <w:p>
      <w:pPr>
        <w:widowControl/>
        <w:adjustRightInd w:val="0"/>
        <w:snapToGrid w:val="0"/>
        <w:spacing w:line="480" w:lineRule="exact"/>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（四）整体绩效。</w:t>
      </w: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rPr>
      </w:pPr>
      <w:r>
        <w:rPr>
          <w:rFonts w:hint="eastAsia" w:ascii="仿宋_GB2312" w:hAnsi="仿宋_GB2312" w:eastAsia="仿宋_GB2312" w:cs="仿宋_GB2312"/>
          <w:color w:val="000000"/>
          <w:kern w:val="0"/>
          <w:sz w:val="32"/>
          <w:szCs w:val="32"/>
          <w:lang/>
        </w:rPr>
        <w:t>从整体情况来看，我局严格按照年初预算进行部门整体支出，在支出过程中，能严格遵守各项规章制度。“三公经费”明显下降。所有项目都详细制定了方案，严格按方案组织实施，并加强了监督。尤其是在专项经费支出上，我们能专款专用，严格审批程序，按项目实施计划的进度情况进行资金拨付，无截留、无挪用等现象，保障了资金安全。实行了先有预算、后有执行的新常态。</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p>
    <w:p>
      <w:pPr>
        <w:widowControl/>
        <w:adjustRightInd w:val="0"/>
        <w:snapToGrid w:val="0"/>
        <w:spacing w:line="480" w:lineRule="exact"/>
        <w:jc w:val="left"/>
        <w:outlineLvl w:val="0"/>
        <w:rPr>
          <w:rFonts w:hint="eastAsia" w:ascii="仿宋_GB2312" w:hAnsi="仿宋_GB2312" w:eastAsia="仿宋_GB2312" w:cs="仿宋_GB2312"/>
          <w:color w:val="000000"/>
          <w:kern w:val="0"/>
          <w:sz w:val="32"/>
          <w:szCs w:val="32"/>
          <w:lang/>
        </w:rPr>
      </w:pPr>
      <w:r>
        <w:rPr>
          <w:rFonts w:hint="eastAsia" w:ascii="仿宋_GB2312" w:hAnsi="仿宋_GB2312" w:eastAsia="仿宋_GB2312" w:cs="仿宋_GB2312"/>
          <w:color w:val="000000"/>
          <w:kern w:val="0"/>
          <w:sz w:val="32"/>
          <w:szCs w:val="32"/>
          <w:lang/>
        </w:rPr>
        <w:t>四、评价结论及建议</w:t>
      </w:r>
    </w:p>
    <w:p>
      <w:pPr>
        <w:widowControl/>
        <w:adjustRightInd w:val="0"/>
        <w:snapToGrid w:val="0"/>
        <w:spacing w:line="480" w:lineRule="exact"/>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（一）评价结论。</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rPr>
        <w:t>按照预算绩效管理要求，本部门对20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lang/>
        </w:rPr>
        <w:t>年整体支出情况开展绩效自评，自评得分</w:t>
      </w:r>
      <w:r>
        <w:rPr>
          <w:rFonts w:hint="eastAsia" w:ascii="仿宋_GB2312" w:hAnsi="仿宋_GB2312" w:eastAsia="仿宋_GB2312" w:cs="仿宋_GB2312"/>
          <w:color w:val="000000"/>
          <w:kern w:val="0"/>
          <w:sz w:val="32"/>
          <w:szCs w:val="32"/>
          <w:lang w:val="en-US" w:eastAsia="zh-CN"/>
        </w:rPr>
        <w:t>95</w:t>
      </w:r>
      <w:r>
        <w:rPr>
          <w:rFonts w:hint="eastAsia" w:ascii="仿宋_GB2312" w:hAnsi="仿宋_GB2312" w:eastAsia="仿宋_GB2312" w:cs="仿宋_GB2312"/>
          <w:color w:val="000000"/>
          <w:kern w:val="0"/>
          <w:sz w:val="32"/>
          <w:szCs w:val="32"/>
          <w:lang/>
        </w:rPr>
        <w:t>分。</w:t>
      </w:r>
    </w:p>
    <w:p>
      <w:pPr>
        <w:widowControl/>
        <w:numPr>
          <w:ilvl w:val="0"/>
          <w:numId w:val="6"/>
        </w:numPr>
        <w:adjustRightInd w:val="0"/>
        <w:snapToGrid w:val="0"/>
        <w:spacing w:line="480" w:lineRule="exact"/>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存在问题。</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rPr>
        <w:t>按照预算绩效管理要求，本部门对20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lang/>
        </w:rPr>
        <w:t>年整体支出情况开展绩效自评，自评得分</w:t>
      </w:r>
      <w:r>
        <w:rPr>
          <w:rFonts w:hint="eastAsia" w:ascii="仿宋_GB2312" w:hAnsi="仿宋_GB2312" w:eastAsia="仿宋_GB2312" w:cs="仿宋_GB2312"/>
          <w:color w:val="000000"/>
          <w:kern w:val="0"/>
          <w:sz w:val="32"/>
          <w:szCs w:val="32"/>
          <w:lang w:val="en-US" w:eastAsia="zh-CN"/>
        </w:rPr>
        <w:t>95</w:t>
      </w:r>
      <w:r>
        <w:rPr>
          <w:rFonts w:hint="eastAsia" w:ascii="仿宋_GB2312" w:hAnsi="仿宋_GB2312" w:eastAsia="仿宋_GB2312" w:cs="仿宋_GB2312"/>
          <w:color w:val="000000"/>
          <w:kern w:val="0"/>
          <w:sz w:val="32"/>
          <w:szCs w:val="32"/>
          <w:lang/>
        </w:rPr>
        <w:t>分。</w:t>
      </w:r>
    </w:p>
    <w:p>
      <w:pPr>
        <w:widowControl/>
        <w:numPr>
          <w:ilvl w:val="0"/>
          <w:numId w:val="6"/>
        </w:numPr>
        <w:adjustRightInd w:val="0"/>
        <w:snapToGrid w:val="0"/>
        <w:spacing w:line="480" w:lineRule="exact"/>
        <w:ind w:left="0" w:leftChars="0" w:firstLine="0" w:firstLineChars="0"/>
        <w:jc w:val="left"/>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改进建议。</w:t>
      </w: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rPr>
        <w:t>一是认真做好预算的编制，细化预算编制；二是加强</w:t>
      </w:r>
      <w:r>
        <w:rPr>
          <w:rFonts w:hint="eastAsia" w:ascii="仿宋_GB2312" w:hAnsi="仿宋_GB2312" w:eastAsia="仿宋_GB2312" w:cs="仿宋_GB2312"/>
          <w:color w:val="000000"/>
          <w:kern w:val="0"/>
          <w:sz w:val="32"/>
          <w:szCs w:val="32"/>
          <w:lang w:eastAsia="zh-CN"/>
        </w:rPr>
        <w:t>对固定资产的管理</w:t>
      </w:r>
      <w:r>
        <w:rPr>
          <w:rFonts w:hint="eastAsia" w:ascii="仿宋_GB2312" w:hAnsi="仿宋_GB2312" w:eastAsia="仿宋_GB2312" w:cs="仿宋_GB2312"/>
          <w:color w:val="000000"/>
          <w:kern w:val="0"/>
          <w:sz w:val="32"/>
          <w:szCs w:val="32"/>
          <w:lang/>
        </w:rPr>
        <w:t>，严格财务审核，</w:t>
      </w:r>
      <w:r>
        <w:rPr>
          <w:rFonts w:hint="eastAsia" w:ascii="仿宋_GB2312" w:hAnsi="仿宋_GB2312" w:eastAsia="仿宋_GB2312" w:cs="仿宋_GB2312"/>
          <w:color w:val="000000"/>
          <w:kern w:val="0"/>
          <w:sz w:val="32"/>
          <w:szCs w:val="32"/>
          <w:lang w:eastAsia="zh-CN"/>
        </w:rPr>
        <w:t>及时录入新增固定资产。还应</w:t>
      </w:r>
      <w:r>
        <w:rPr>
          <w:rFonts w:hint="eastAsia" w:ascii="仿宋_GB2312" w:hAnsi="仿宋_GB2312" w:eastAsia="仿宋_GB2312" w:cs="仿宋_GB2312"/>
          <w:color w:val="000000"/>
          <w:kern w:val="0"/>
          <w:sz w:val="32"/>
          <w:szCs w:val="32"/>
          <w:lang/>
        </w:rPr>
        <w:t>进一步细化“三公经费”四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r>
        <w:rPr>
          <w:rFonts w:hint="eastAsia" w:ascii="仿宋_GB2312" w:hAnsi="仿宋_GB2312" w:eastAsia="仿宋_GB2312" w:cs="仿宋_GB2312"/>
          <w:color w:val="000000"/>
          <w:kern w:val="0"/>
          <w:sz w:val="32"/>
          <w:szCs w:val="32"/>
          <w:lang w:val="en-US" w:eastAsia="zh-CN"/>
        </w:rPr>
        <w:t xml:space="preserve"> </w:t>
      </w: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val="en-US" w:eastAsia="zh-CN"/>
        </w:rPr>
      </w:pP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val="en-US" w:eastAsia="zh-CN"/>
        </w:rPr>
      </w:pP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val="en-US" w:eastAsia="zh-CN"/>
        </w:rPr>
      </w:pP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val="en-US" w:eastAsia="zh-CN"/>
        </w:rPr>
      </w:pPr>
    </w:p>
    <w:p>
      <w:pPr>
        <w:pStyle w:val="12"/>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kern w:val="0"/>
          <w:sz w:val="32"/>
          <w:szCs w:val="32"/>
          <w:lang w:val="en-US" w:eastAsia="zh-CN"/>
        </w:rPr>
      </w:pPr>
    </w:p>
    <w:p>
      <w:pPr>
        <w:pStyle w:val="12"/>
        <w:widowControl/>
        <w:shd w:val="clear" w:color="auto" w:fill="FFFFFF"/>
        <w:spacing w:beforeAutospacing="0" w:afterAutospacing="0" w:line="576" w:lineRule="exact"/>
        <w:rPr>
          <w:rFonts w:hint="eastAsia" w:ascii="仿宋_GB2312" w:hAnsi="仿宋_GB2312" w:eastAsia="仿宋_GB2312" w:cs="仿宋_GB2312"/>
          <w:color w:val="000000"/>
          <w:kern w:val="0"/>
          <w:sz w:val="32"/>
          <w:szCs w:val="32"/>
          <w:lang w:val="en-US" w:eastAsia="zh-CN"/>
        </w:rPr>
      </w:pPr>
    </w:p>
    <w:p>
      <w:pPr>
        <w:spacing w:line="600" w:lineRule="exact"/>
        <w:jc w:val="center"/>
        <w:outlineLvl w:val="0"/>
        <w:rPr>
          <w:rStyle w:val="16"/>
          <w:rFonts w:ascii="黑体" w:hAnsi="黑体" w:eastAsia="黑体"/>
          <w:b w:val="0"/>
        </w:rPr>
      </w:pPr>
      <w:r>
        <w:rPr>
          <w:rFonts w:hint="eastAsia" w:ascii="黑体" w:hAnsi="黑体" w:eastAsia="黑体"/>
          <w:color w:val="000000"/>
          <w:sz w:val="44"/>
          <w:szCs w:val="44"/>
        </w:rPr>
        <w:t>第</w:t>
      </w:r>
      <w:r>
        <w:rPr>
          <w:rStyle w:val="16"/>
          <w:rFonts w:hint="eastAsia" w:ascii="黑体" w:hAnsi="黑体" w:eastAsia="黑体"/>
          <w:b w:val="0"/>
        </w:rPr>
        <w:t>五部分 附表</w:t>
      </w:r>
      <w:bookmarkEnd w:id="82"/>
      <w:bookmarkEnd w:id="83"/>
      <w:bookmarkEnd w:id="84"/>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85" w:name="_Toc10714"/>
      <w:bookmarkStart w:id="86" w:name="_Toc15396619"/>
      <w:r>
        <w:rPr>
          <w:rFonts w:hint="eastAsia" w:ascii="仿宋" w:hAnsi="仿宋" w:eastAsia="仿宋"/>
          <w:b w:val="0"/>
          <w:color w:val="000000"/>
        </w:rPr>
        <w:t>一、收</w:t>
      </w:r>
      <w:r>
        <w:rPr>
          <w:rStyle w:val="17"/>
          <w:rFonts w:hint="eastAsia" w:ascii="仿宋" w:hAnsi="仿宋" w:eastAsia="仿宋"/>
          <w:b w:val="0"/>
          <w:bCs w:val="0"/>
        </w:rPr>
        <w:t>入支出决算总表</w:t>
      </w:r>
      <w:bookmarkEnd w:id="85"/>
      <w:bookmarkEnd w:id="86"/>
    </w:p>
    <w:p>
      <w:pPr>
        <w:pStyle w:val="5"/>
        <w:rPr>
          <w:rFonts w:ascii="仿宋" w:hAnsi="仿宋" w:eastAsia="仿宋"/>
          <w:color w:val="000000"/>
        </w:rPr>
      </w:pPr>
      <w:bookmarkStart w:id="87" w:name="_Toc19498"/>
      <w:bookmarkStart w:id="88" w:name="_Toc15396620"/>
      <w:r>
        <w:rPr>
          <w:rFonts w:hint="eastAsia" w:ascii="仿宋" w:hAnsi="仿宋" w:eastAsia="仿宋"/>
          <w:b w:val="0"/>
          <w:color w:val="000000"/>
        </w:rPr>
        <w:t>二、收</w:t>
      </w:r>
      <w:r>
        <w:rPr>
          <w:rStyle w:val="17"/>
          <w:rFonts w:hint="eastAsia" w:ascii="仿宋" w:hAnsi="仿宋" w:eastAsia="仿宋"/>
          <w:b w:val="0"/>
          <w:bCs w:val="0"/>
        </w:rPr>
        <w:t>入决算表</w:t>
      </w:r>
      <w:bookmarkEnd w:id="87"/>
      <w:bookmarkEnd w:id="88"/>
    </w:p>
    <w:p>
      <w:pPr>
        <w:pStyle w:val="5"/>
        <w:rPr>
          <w:rFonts w:ascii="仿宋" w:hAnsi="仿宋" w:eastAsia="仿宋"/>
          <w:color w:val="000000"/>
        </w:rPr>
      </w:pPr>
      <w:bookmarkStart w:id="89" w:name="_Toc17631"/>
      <w:bookmarkStart w:id="90" w:name="_Toc15396621"/>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出决算表</w:t>
      </w:r>
      <w:bookmarkEnd w:id="89"/>
      <w:bookmarkEnd w:id="90"/>
    </w:p>
    <w:p>
      <w:pPr>
        <w:pStyle w:val="5"/>
        <w:rPr>
          <w:rFonts w:ascii="仿宋" w:hAnsi="仿宋" w:eastAsia="仿宋"/>
          <w:b w:val="0"/>
          <w:color w:val="000000"/>
        </w:rPr>
      </w:pPr>
      <w:bookmarkStart w:id="91" w:name="_Toc15396622"/>
      <w:bookmarkStart w:id="92" w:name="_Toc2049"/>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91"/>
      <w:bookmarkEnd w:id="92"/>
    </w:p>
    <w:p>
      <w:pPr>
        <w:pStyle w:val="5"/>
        <w:rPr>
          <w:rStyle w:val="17"/>
          <w:rFonts w:ascii="仿宋" w:hAnsi="仿宋" w:eastAsia="仿宋"/>
          <w:b w:val="0"/>
          <w:bCs w:val="0"/>
        </w:rPr>
      </w:pPr>
      <w:bookmarkStart w:id="93" w:name="_Toc4683"/>
      <w:bookmarkStart w:id="94" w:name="_Toc15396623"/>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w:t>
      </w:r>
      <w:bookmarkEnd w:id="93"/>
      <w:bookmarkEnd w:id="94"/>
      <w:bookmarkStart w:id="95" w:name="_Toc15396624"/>
    </w:p>
    <w:p>
      <w:pPr>
        <w:pStyle w:val="5"/>
        <w:rPr>
          <w:rFonts w:ascii="仿宋" w:hAnsi="仿宋" w:eastAsia="仿宋"/>
          <w:color w:val="000000"/>
        </w:rPr>
      </w:pPr>
      <w:bookmarkStart w:id="96" w:name="_Toc9742"/>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95"/>
      <w:bookmarkEnd w:id="96"/>
    </w:p>
    <w:p>
      <w:pPr>
        <w:pStyle w:val="5"/>
        <w:rPr>
          <w:rFonts w:ascii="仿宋" w:hAnsi="仿宋" w:eastAsia="仿宋"/>
          <w:color w:val="000000"/>
        </w:rPr>
      </w:pPr>
      <w:bookmarkStart w:id="97" w:name="_Toc2513"/>
      <w:bookmarkStart w:id="98" w:name="_Toc15396625"/>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97"/>
      <w:bookmarkEnd w:id="98"/>
    </w:p>
    <w:p>
      <w:pPr>
        <w:pStyle w:val="5"/>
        <w:rPr>
          <w:rFonts w:ascii="仿宋" w:hAnsi="仿宋" w:eastAsia="仿宋"/>
          <w:color w:val="000000"/>
        </w:rPr>
      </w:pPr>
      <w:bookmarkStart w:id="99" w:name="_Toc7313"/>
      <w:bookmarkStart w:id="100" w:name="_Toc15396626"/>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99"/>
      <w:bookmarkEnd w:id="100"/>
    </w:p>
    <w:p>
      <w:pPr>
        <w:pStyle w:val="5"/>
        <w:rPr>
          <w:rFonts w:ascii="仿宋" w:hAnsi="仿宋" w:eastAsia="仿宋"/>
          <w:color w:val="000000"/>
        </w:rPr>
      </w:pPr>
      <w:bookmarkStart w:id="101" w:name="_Toc6310"/>
      <w:bookmarkStart w:id="102" w:name="_Toc15396627"/>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101"/>
      <w:bookmarkEnd w:id="102"/>
    </w:p>
    <w:p>
      <w:pPr>
        <w:pStyle w:val="5"/>
        <w:rPr>
          <w:rFonts w:ascii="仿宋" w:hAnsi="仿宋" w:eastAsia="仿宋"/>
          <w:color w:val="000000"/>
        </w:rPr>
      </w:pPr>
      <w:bookmarkStart w:id="103" w:name="_Toc31768"/>
      <w:bookmarkStart w:id="104" w:name="_Toc15396628"/>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103"/>
      <w:bookmarkEnd w:id="104"/>
    </w:p>
    <w:p>
      <w:pPr>
        <w:pStyle w:val="5"/>
        <w:rPr>
          <w:rFonts w:ascii="仿宋" w:hAnsi="仿宋" w:eastAsia="仿宋"/>
          <w:color w:val="000000"/>
        </w:rPr>
      </w:pPr>
      <w:bookmarkStart w:id="105" w:name="_Toc11425"/>
      <w:bookmarkStart w:id="106" w:name="_Toc15396629"/>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105"/>
      <w:bookmarkEnd w:id="106"/>
    </w:p>
    <w:p>
      <w:pPr>
        <w:pStyle w:val="5"/>
        <w:rPr>
          <w:rFonts w:ascii="仿宋" w:hAnsi="仿宋" w:eastAsia="仿宋"/>
          <w:color w:val="000000"/>
        </w:rPr>
      </w:pPr>
      <w:bookmarkStart w:id="107" w:name="_Toc9365"/>
      <w:bookmarkStart w:id="108" w:name="_Toc15396630"/>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107"/>
      <w:bookmarkEnd w:id="108"/>
    </w:p>
    <w:p>
      <w:pPr>
        <w:pStyle w:val="5"/>
        <w:rPr>
          <w:rFonts w:ascii="仿宋" w:hAnsi="仿宋" w:eastAsia="仿宋"/>
          <w:color w:val="000000" w:themeColor="text1"/>
          <w14:textFill>
            <w14:solidFill>
              <w14:schemeClr w14:val="tx1"/>
            </w14:solidFill>
          </w14:textFill>
        </w:rPr>
      </w:pPr>
      <w:bookmarkStart w:id="109" w:name="_Toc15396631"/>
      <w:bookmarkStart w:id="110" w:name="_Toc4479"/>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有资本经营预算支出决算表</w:t>
      </w:r>
      <w:bookmarkEnd w:id="109"/>
      <w:bookmarkEnd w:id="110"/>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roma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
    <w:altName w:val="宋体"/>
    <w:panose1 w:val="00000000000000000000"/>
    <w:charset w:val="81"/>
    <w:family w:val="roman"/>
    <w:pitch w:val="default"/>
    <w:sig w:usb0="00000000" w:usb1="00000000" w:usb2="00000010" w:usb3="00000000" w:csb0="00080000" w:csb1="00000000"/>
  </w:font>
  <w:font w:name="??">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ABDBDB"/>
    <w:multiLevelType w:val="singleLevel"/>
    <w:tmpl w:val="ACABDBDB"/>
    <w:lvl w:ilvl="0" w:tentative="0">
      <w:start w:val="2"/>
      <w:numFmt w:val="chineseCounting"/>
      <w:suff w:val="nothing"/>
      <w:lvlText w:val="（%1）"/>
      <w:lvlJc w:val="left"/>
      <w:rPr>
        <w:rFonts w:hint="eastAsia"/>
      </w:rPr>
    </w:lvl>
  </w:abstractNum>
  <w:abstractNum w:abstractNumId="1">
    <w:nsid w:val="C4E6F337"/>
    <w:multiLevelType w:val="singleLevel"/>
    <w:tmpl w:val="C4E6F337"/>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44B45DAE"/>
    <w:multiLevelType w:val="singleLevel"/>
    <w:tmpl w:val="44B45DAE"/>
    <w:lvl w:ilvl="0" w:tentative="0">
      <w:start w:val="25"/>
      <w:numFmt w:val="decimal"/>
      <w:lvlText w:val="%1."/>
      <w:lvlJc w:val="left"/>
      <w:pPr>
        <w:tabs>
          <w:tab w:val="left" w:pos="312"/>
        </w:tabs>
      </w:pPr>
    </w:lvl>
  </w:abstractNum>
  <w:abstractNum w:abstractNumId="5">
    <w:nsid w:val="628AEC3B"/>
    <w:multiLevelType w:val="singleLevel"/>
    <w:tmpl w:val="628AEC3B"/>
    <w:lvl w:ilvl="0" w:tentative="0">
      <w:start w:val="1"/>
      <w:numFmt w:val="chineseCounting"/>
      <w:suff w:val="nothing"/>
      <w:lvlText w:val="%1、"/>
      <w:lvlJc w:val="left"/>
      <w:rPr>
        <w:rFonts w:hint="eastAsia"/>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iMDZiMWQwMDkzYTU0NjBjM2RkZTA4ZjQyOTI3Y2MifQ=="/>
  </w:docVars>
  <w:rsids>
    <w:rsidRoot w:val="00000000"/>
    <w:rsid w:val="02895B83"/>
    <w:rsid w:val="0F3D59F8"/>
    <w:rsid w:val="1962588B"/>
    <w:rsid w:val="2C7A0167"/>
    <w:rsid w:val="3808156C"/>
    <w:rsid w:val="45196317"/>
    <w:rsid w:val="4F950C90"/>
    <w:rsid w:val="55D00D71"/>
    <w:rsid w:val="62C456BC"/>
    <w:rsid w:val="6B2C25E7"/>
    <w:rsid w:val="6B5E4BAE"/>
    <w:rsid w:val="6C0C1E82"/>
    <w:rsid w:val="72D5043D"/>
    <w:rsid w:val="7B871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6"/>
    <w:qFormat/>
    <w:uiPriority w:val="9"/>
    <w:pPr>
      <w:keepNext/>
      <w:keepLines/>
      <w:spacing w:before="340" w:beforeLines="0" w:after="330" w:afterLines="0" w:line="578" w:lineRule="auto"/>
      <w:outlineLvl w:val="0"/>
    </w:pPr>
    <w:rPr>
      <w:b/>
      <w:bCs/>
      <w:kern w:val="44"/>
      <w:sz w:val="44"/>
      <w:szCs w:val="44"/>
    </w:rPr>
  </w:style>
  <w:style w:type="paragraph" w:styleId="5">
    <w:name w:val="heading 2"/>
    <w:basedOn w:val="1"/>
    <w:next w:val="1"/>
    <w:link w:val="17"/>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next w:val="2"/>
    <w:qFormat/>
    <w:uiPriority w:val="0"/>
    <w:pPr>
      <w:spacing w:line="560" w:lineRule="atLeast"/>
      <w:ind w:firstLine="640" w:firstLineChars="200"/>
    </w:pPr>
    <w:rPr>
      <w:rFonts w:ascii="仿宋_GB2312" w:eastAsia="仿宋_GB2312"/>
      <w:sz w:val="32"/>
    </w:rPr>
  </w:style>
  <w:style w:type="paragraph" w:styleId="6">
    <w:name w:val="Body Text"/>
    <w:basedOn w:val="1"/>
    <w:qFormat/>
    <w:uiPriority w:val="99"/>
    <w:pPr>
      <w:spacing w:before="93" w:beforeLines="30"/>
    </w:pPr>
    <w:rPr>
      <w:rFonts w:ascii="仿宋_GB2312" w:eastAsia="仿宋_GB2312"/>
      <w:kern w:val="0"/>
      <w:sz w:val="24"/>
      <w:szCs w:val="20"/>
    </w:rPr>
  </w:style>
  <w:style w:type="paragraph" w:styleId="7">
    <w:name w:val="toc 3"/>
    <w:basedOn w:val="1"/>
    <w:next w:val="1"/>
    <w:unhideWhenUsed/>
    <w:qFormat/>
    <w:uiPriority w:val="39"/>
    <w:pPr>
      <w:ind w:left="420"/>
      <w:jc w:val="left"/>
    </w:pPr>
    <w:rPr>
      <w:rFonts w:ascii="等线" w:eastAsia="等线"/>
      <w:i/>
      <w:iCs/>
      <w:sz w:val="20"/>
      <w:szCs w:val="20"/>
    </w:rPr>
  </w:style>
  <w:style w:type="paragraph" w:styleId="8">
    <w:name w:val="footer"/>
    <w:basedOn w:val="1"/>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unhideWhenUsed/>
    <w:qFormat/>
    <w:uiPriority w:val="39"/>
    <w:pPr>
      <w:spacing w:before="120" w:beforeLines="0" w:after="120" w:afterLines="0"/>
      <w:jc w:val="left"/>
    </w:pPr>
    <w:rPr>
      <w:rFonts w:ascii="等线" w:eastAsia="等线"/>
      <w:b/>
      <w:bCs/>
      <w:caps/>
      <w:sz w:val="20"/>
      <w:szCs w:val="20"/>
    </w:rPr>
  </w:style>
  <w:style w:type="paragraph" w:styleId="11">
    <w:name w:val="toc 2"/>
    <w:basedOn w:val="1"/>
    <w:next w:val="1"/>
    <w:unhideWhenUsed/>
    <w:qFormat/>
    <w:uiPriority w:val="39"/>
    <w:pPr>
      <w:ind w:left="210"/>
      <w:jc w:val="left"/>
    </w:pPr>
    <w:rPr>
      <w:rFonts w:ascii="等线" w:eastAsia="等线"/>
      <w:smallCaps/>
      <w:sz w:val="20"/>
      <w:szCs w:val="20"/>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rFonts w:cs="Times New Roman"/>
      <w:b/>
    </w:rPr>
  </w:style>
  <w:style w:type="character" w:customStyle="1" w:styleId="16">
    <w:name w:val="标题 1 字符"/>
    <w:basedOn w:val="14"/>
    <w:link w:val="4"/>
    <w:qFormat/>
    <w:locked/>
    <w:uiPriority w:val="9"/>
    <w:rPr>
      <w:b/>
      <w:bCs/>
      <w:kern w:val="44"/>
      <w:sz w:val="44"/>
      <w:szCs w:val="44"/>
    </w:rPr>
  </w:style>
  <w:style w:type="character" w:customStyle="1" w:styleId="17">
    <w:name w:val="标题 2 字符"/>
    <w:basedOn w:val="14"/>
    <w:link w:val="5"/>
    <w:qFormat/>
    <w:locked/>
    <w:uiPriority w:val="9"/>
    <w:rPr>
      <w:rFonts w:ascii="Cambria" w:hAnsi="Cambria"/>
      <w:b/>
      <w:bCs/>
      <w:sz w:val="32"/>
      <w:szCs w:val="32"/>
    </w:rPr>
  </w:style>
  <w:style w:type="paragraph" w:customStyle="1" w:styleId="18">
    <w:name w:val="List Paragraph1"/>
    <w:basedOn w:val="1"/>
    <w:qFormat/>
    <w:uiPriority w:val="0"/>
    <w:pPr>
      <w:ind w:firstLine="420" w:firstLineChars="200"/>
    </w:pPr>
    <w:rPr>
      <w:rFonts w:ascii="Calibri" w:hAnsi="Calibri"/>
      <w:szCs w:val="22"/>
    </w:rPr>
  </w:style>
  <w:style w:type="paragraph" w:customStyle="1" w:styleId="19">
    <w:name w:val="列表段落1"/>
    <w:basedOn w:val="1"/>
    <w:qFormat/>
    <w:uiPriority w:val="34"/>
    <w:pPr>
      <w:ind w:firstLine="420" w:firstLineChars="200"/>
    </w:pPr>
  </w:style>
  <w:style w:type="paragraph" w:customStyle="1" w:styleId="20">
    <w:name w:val="Default"/>
    <w:qFormat/>
    <w:uiPriority w:val="99"/>
    <w:pPr>
      <w:widowControl w:val="0"/>
      <w:autoSpaceDE w:val="0"/>
      <w:autoSpaceDN w:val="0"/>
      <w:adjustRightInd w:val="0"/>
    </w:pPr>
    <w:rPr>
      <w:rFonts w:ascii="仿宋" w:hAnsi="Times New Roman" w:eastAsia="仿宋" w:cs="仿宋"/>
      <w:color w:val="000000"/>
      <w:sz w:val="24"/>
      <w:szCs w:val="24"/>
    </w:rPr>
  </w:style>
  <w:style w:type="character" w:customStyle="1" w:styleId="21">
    <w:name w:val="方正黑体GBK 字符"/>
    <w:basedOn w:val="14"/>
    <w:link w:val="22"/>
    <w:qFormat/>
    <w:uiPriority w:val="0"/>
    <w:rPr>
      <w:rFonts w:eastAsia="方正黑体_GBK"/>
    </w:rPr>
  </w:style>
  <w:style w:type="paragraph" w:customStyle="1" w:styleId="22">
    <w:name w:val="方正黑体GBK"/>
    <w:basedOn w:val="2"/>
    <w:next w:val="2"/>
    <w:link w:val="21"/>
    <w:qFormat/>
    <w:uiPriority w:val="0"/>
    <w:rPr>
      <w:rFonts w:eastAsia="方正黑体_GBK"/>
    </w:rPr>
  </w:style>
  <w:style w:type="paragraph" w:customStyle="1" w:styleId="23">
    <w:name w:val="List Paragraph"/>
    <w:basedOn w:val="1"/>
    <w:qFormat/>
    <w:uiPriority w:val="34"/>
    <w:pPr>
      <w:ind w:firstLine="420" w:firstLineChars="200"/>
    </w:pPr>
  </w:style>
  <w:style w:type="paragraph" w:customStyle="1" w:styleId="24">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03015075376884"/>
          <c:y val="0.221492156862745"/>
          <c:w val="0.927925"/>
          <c:h val="0.716566666666667"/>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823.52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Sheet1!$B$2</c:f>
              <c:numCache>
                <c:formatCode>General</c:formatCode>
                <c:ptCount val="1"/>
                <c:pt idx="0">
                  <c:v>823.52</c:v>
                </c:pt>
              </c:numCache>
            </c:numRef>
          </c:val>
        </c:ser>
        <c:ser>
          <c:idx val="1"/>
          <c:order val="1"/>
          <c:tx>
            <c:strRef>
              <c:f>Sheet1!$C$1</c:f>
              <c:strCache>
                <c:ptCount val="1"/>
                <c:pt idx="0">
                  <c:v>支出</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1046.93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Sheet1!$C$2</c:f>
              <c:numCache>
                <c:formatCode>General</c:formatCode>
                <c:ptCount val="1"/>
                <c:pt idx="0">
                  <c:v>1046.93</c:v>
                </c:pt>
              </c:numCache>
            </c:numRef>
          </c:val>
        </c:ser>
        <c:ser>
          <c:idx val="2"/>
          <c:order val="2"/>
          <c:tx>
            <c:strRef>
              <c:f>Sheet1!#REF!</c:f>
              <c:strCache>
                <c:ptCount val="1"/>
                <c:pt idx="0">
                  <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64"/>
        <c:overlap val="-22"/>
        <c:axId val="968769396"/>
        <c:axId val="842422400"/>
      </c:barChart>
      <c:catAx>
        <c:axId val="9687693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收入决算结构图</c:v>
                </c:pt>
              </c:strCache>
            </c:strRef>
          </c:tx>
          <c:spPr>
            <a:effectLst/>
          </c:spPr>
          <c:explosion val="0"/>
          <c:dPt>
            <c:idx val="0"/>
            <c:bubble3D val="0"/>
            <c:explosion val="0"/>
            <c:spPr>
              <a:solidFill>
                <a:schemeClr val="accent1"/>
              </a:solidFill>
              <a:ln w="2540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1078.42</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71.05%</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28.95</a:t>
                    </a:r>
                    <a:r>
                      <a:t>%</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一般公共服务支出</c:v>
                </c:pt>
                <c:pt idx="1">
                  <c:v>项目支出</c:v>
                </c:pt>
              </c:strCache>
            </c:strRef>
          </c:cat>
          <c:val>
            <c:numRef>
              <c:f>Sheet1!$B$2:$B$3</c:f>
              <c:numCache>
                <c:formatCode>General</c:formatCode>
                <c:ptCount val="2"/>
                <c:pt idx="0">
                  <c:v>743.9</c:v>
                </c:pt>
                <c:pt idx="1">
                  <c:v>303.02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900" b="1" i="0" u="none" strike="noStrike" kern="1200" cap="all" spc="150" baseline="0">
                <a:solidFill>
                  <a:schemeClr val="tx1">
                    <a:lumMod val="50000"/>
                    <a:lumOff val="50000"/>
                  </a:schemeClr>
                </a:solidFill>
                <a:latin typeface="+mn-lt"/>
                <a:ea typeface="+mn-ea"/>
                <a:cs typeface="+mn-cs"/>
              </a:defRPr>
            </a:pPr>
            <a:r>
              <a:rPr sz="900"/>
              <a:t>2018、2019年度财政拨款收、支决算总计变动情况图</a:t>
            </a:r>
            <a:endParaRPr sz="900"/>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2019年</c:v>
                </c:pt>
                <c:pt idx="1">
                  <c:v>2020年</c:v>
                </c:pt>
              </c:strCache>
            </c:strRef>
          </c:cat>
          <c:val>
            <c:numRef>
              <c:f>Sheet1!$B$2:$B$3</c:f>
              <c:numCache>
                <c:formatCode>General</c:formatCode>
                <c:ptCount val="2"/>
                <c:pt idx="0">
                  <c:v>896.07</c:v>
                </c:pt>
                <c:pt idx="1">
                  <c:v>823.52</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2019年</c:v>
                </c:pt>
                <c:pt idx="1">
                  <c:v>2020年</c:v>
                </c:pt>
              </c:strCache>
            </c:strRef>
          </c:cat>
          <c:val>
            <c:numRef>
              <c:f>Sheet1!$C$2:$C$3</c:f>
              <c:numCache>
                <c:formatCode>General</c:formatCode>
                <c:ptCount val="2"/>
                <c:pt idx="0">
                  <c:v>1453.96</c:v>
                </c:pt>
                <c:pt idx="1">
                  <c:v>1046.93</c:v>
                </c:pt>
              </c:numCache>
            </c:numRef>
          </c:val>
        </c:ser>
        <c:dLbls>
          <c:showLegendKey val="0"/>
          <c:showVal val="1"/>
          <c:showCatName val="0"/>
          <c:showSerName val="0"/>
          <c:showPercent val="0"/>
          <c:showBubbleSize val="0"/>
        </c:dLbls>
        <c:gapWidth val="164"/>
        <c:overlap val="-22"/>
        <c:axId val="812231112"/>
        <c:axId val="567768063"/>
      </c:barChart>
      <c:catAx>
        <c:axId val="8122311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0"/>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1"/>
        <c:delete val="1"/>
      </c:legendEntry>
      <c:legendEntry>
        <c:idx val="2"/>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horzOverflow="overflow"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7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40" b="1" i="0" u="none" strike="noStrike" kern="1200" cap="all" spc="150" baseline="0">
                <a:solidFill>
                  <a:schemeClr val="dk1"/>
                </a:solidFill>
                <a:latin typeface="+mn-lt"/>
                <a:ea typeface="+mn-ea"/>
                <a:cs typeface="+mn-cs"/>
              </a:defRPr>
            </a:pPr>
            <a:r>
              <a:rPr lang="en-US" altLang="zh-CN" sz="1440">
                <a:solidFill>
                  <a:schemeClr val="dk1"/>
                </a:solidFill>
                <a:latin typeface="+mn-lt"/>
                <a:ea typeface="+mn-ea"/>
                <a:cs typeface="+mn-cs"/>
              </a:rPr>
              <a:t>2019</a:t>
            </a:r>
            <a:r>
              <a:rPr sz="1440">
                <a:solidFill>
                  <a:schemeClr val="dk1"/>
                </a:solidFill>
                <a:latin typeface="+mn-lt"/>
                <a:ea typeface="+mn-ea"/>
                <a:cs typeface="+mn-cs"/>
              </a:rPr>
              <a:t>、</a:t>
            </a:r>
            <a:r>
              <a:rPr lang="en-US" altLang="zh-CN" sz="1440">
                <a:solidFill>
                  <a:schemeClr val="dk1"/>
                </a:solidFill>
                <a:latin typeface="+mn-lt"/>
                <a:ea typeface="+mn-ea"/>
                <a:cs typeface="+mn-cs"/>
              </a:rPr>
              <a:t>2020</a:t>
            </a:r>
            <a:r>
              <a:rPr sz="1440">
                <a:solidFill>
                  <a:schemeClr val="dk1"/>
                </a:solidFill>
                <a:latin typeface="+mn-lt"/>
                <a:ea typeface="+mn-ea"/>
                <a:cs typeface="+mn-cs"/>
              </a:rPr>
              <a:t>年度一般公共预算财政拨款支出决算变动情况图</a:t>
            </a:r>
            <a:endParaRPr sz="1440">
              <a:solidFill>
                <a:schemeClr val="dk1"/>
              </a:solidFill>
              <a:latin typeface="+mn-lt"/>
              <a:ea typeface="+mn-ea"/>
              <a:cs typeface="+mn-cs"/>
            </a:endParaRPr>
          </a:p>
        </c:rich>
      </c:tx>
      <c:layout>
        <c:manualLayout>
          <c:xMode val="edge"/>
          <c:yMode val="edge"/>
          <c:x val="0.117296347433162"/>
          <c:y val="0.0273833671399594"/>
        </c:manualLayout>
      </c:layout>
      <c:overlay val="0"/>
      <c:spPr>
        <a:noFill/>
        <a:ln>
          <a:noFill/>
        </a:ln>
        <a:effectLst/>
      </c:spPr>
    </c:title>
    <c:autoTitleDeleted val="0"/>
    <c:plotArea>
      <c:layout>
        <c:manualLayout>
          <c:layoutTarget val="inner"/>
          <c:xMode val="edge"/>
          <c:yMode val="edge"/>
          <c:x val="0.105284297728129"/>
          <c:y val="0.346754563894523"/>
          <c:w val="0.870867327726873"/>
          <c:h val="0.529148073022312"/>
        </c:manualLayout>
      </c:layout>
      <c:barChart>
        <c:barDir val="col"/>
        <c:grouping val="clustered"/>
        <c:varyColors val="0"/>
        <c:ser>
          <c:idx val="0"/>
          <c:order val="0"/>
          <c:tx>
            <c:strRef>
              <c:f>Sheet1!#REF!</c:f>
              <c:strCache>
                <c:ptCount val="1"/>
                <c:pt idx="0">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200" b="0" i="0" u="none" strike="noStrike" kern="1200" baseline="0">
                    <a:solidFill>
                      <a:schemeClr val="dk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2019年</c:v>
                </c:pt>
                <c:pt idx="1">
                  <c:v>2020年</c:v>
                </c:pt>
              </c:strCache>
            </c:strRef>
          </c:cat>
          <c:val>
            <c:numRef>
              <c:f>Sheet1!$B$2:$B$3</c:f>
              <c:numCache>
                <c:formatCode>General</c:formatCode>
                <c:ptCount val="2"/>
                <c:pt idx="0">
                  <c:v>1046.93</c:v>
                </c:pt>
                <c:pt idx="1">
                  <c:v>1453.96</c:v>
                </c:pt>
              </c:numCache>
            </c:numRef>
          </c:val>
        </c:ser>
        <c:dLbls>
          <c:showLegendKey val="0"/>
          <c:showVal val="1"/>
          <c:showCatName val="0"/>
          <c:showSerName val="0"/>
          <c:showPercent val="0"/>
          <c:showBubbleSize val="0"/>
        </c:dLbls>
        <c:gapWidth val="164"/>
        <c:overlap val="-22"/>
        <c:axId val="973666578"/>
        <c:axId val="135195795"/>
      </c:barChart>
      <c:catAx>
        <c:axId val="97366657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crossAx val="973666578"/>
        <c:crosses val="autoZero"/>
        <c:crossBetween val="between"/>
      </c:valAx>
      <c:spPr>
        <a:noFill/>
        <a:ln>
          <a:noFill/>
        </a:ln>
        <a:effectLst/>
      </c:spPr>
    </c:plotArea>
    <c:legend>
      <c:legendPos val="t"/>
      <c:legendEntry>
        <c:idx val="0"/>
        <c:delete val="1"/>
      </c:legendEntry>
      <c:legendEntry>
        <c:idx val="1"/>
        <c:delete val="1"/>
      </c:legendEntry>
      <c:legendEntry>
        <c:idx val="2"/>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Entry>
      <c:layout/>
      <c:overlay val="0"/>
      <c:spPr>
        <a:noFill/>
        <a:ln>
          <a:noFill/>
        </a:ln>
        <a:effectLst/>
      </c:spPr>
      <c:txPr>
        <a:bodyPr rot="0" spcFirstLastPara="0" vertOverflow="ellipsis" horzOverflow="overflow" vert="horz" wrap="square" anchor="ctr" anchorCtr="1"/>
        <a:lstStyle/>
        <a:p>
          <a:pPr>
            <a:defRPr lang="zh-CN" sz="1200" b="0" i="0" u="none" strike="noStrike" kern="1200" baseline="0">
              <a:solidFill>
                <a:schemeClr val="dk1"/>
              </a:solidFill>
              <a:latin typeface="+mn-lt"/>
              <a:ea typeface="+mn-ea"/>
              <a:cs typeface="+mn-cs"/>
            </a:defRPr>
          </a:pPr>
        </a:p>
      </c:txPr>
    </c:legend>
    <c:plotVisOnly val="1"/>
    <c:dispBlanksAs val="gap"/>
    <c:showDLblsOverMax val="0"/>
  </c:chart>
  <c:spPr>
    <a:solidFill>
      <a:schemeClr val="lt1"/>
    </a:solidFill>
    <a:ln w="25400" cap="flat" cmpd="sng" algn="ctr">
      <a:solidFill>
        <a:schemeClr val="dk1"/>
      </a:solidFill>
      <a:prstDash val="solid"/>
      <a:round/>
    </a:ln>
    <a:effectLst/>
    <a:sp3d>
      <a:extrusionClr>
        <a:srgbClr val="FFFFFF"/>
      </a:extrusionClr>
      <a:contourClr>
        <a:srgbClr val="FFFFFF"/>
      </a:contourClr>
    </a:sp3d>
  </c:spPr>
  <c:txPr>
    <a:bodyPr rot="0" spcFirstLastPara="0" vertOverflow="ellipsis" horzOverflow="overflow" vert="horz" wrap="square" anchor="ctr" anchorCtr="1"/>
    <a:lstStyle/>
    <a:p>
      <a:pPr>
        <a:defRPr lang="zh-CN" sz="1200">
          <a:solidFill>
            <a:schemeClr val="dk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cap="all"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ofPieChart>
        <c:ofPieType val="pie"/>
        <c:varyColors val="1"/>
        <c:ser>
          <c:idx val="0"/>
          <c:order val="0"/>
          <c:tx>
            <c:strRef>
              <c:f>Sheet1!$B$1</c:f>
              <c:strCache>
                <c:ptCount val="1"/>
                <c:pt idx="0">
                  <c:v>支出</c:v>
                </c:pt>
              </c:strCache>
            </c:strRef>
          </c:tx>
          <c:spPr/>
          <c:explosion val="0"/>
          <c:dPt>
            <c:idx val="0"/>
            <c:bubble3D val="0"/>
            <c:explosion val="0"/>
            <c:spPr>
              <a:solidFill>
                <a:schemeClr val="accent1"/>
              </a:solidFill>
              <a:ln>
                <a:noFill/>
              </a:ln>
              <a:effectLst>
                <a:outerShdw blurRad="63500" sx="102000" sy="102000" algn="ctr" rotWithShape="0">
                  <a:prstClr val="black">
                    <a:alpha val="20000"/>
                  </a:prstClr>
                </a:outerShdw>
              </a:effectLst>
            </c:spPr>
          </c:dPt>
          <c:dPt>
            <c:idx val="1"/>
            <c:bubble3D val="0"/>
            <c:explosion val="0"/>
            <c:spPr>
              <a:solidFill>
                <a:schemeClr val="accent2"/>
              </a:solidFill>
              <a:ln>
                <a:noFill/>
              </a:ln>
              <a:effectLst>
                <a:outerShdw blurRad="63500" sx="102000" sy="102000" algn="ctr" rotWithShape="0">
                  <a:prstClr val="black">
                    <a:alpha val="20000"/>
                  </a:prstClr>
                </a:outerShdw>
              </a:effectLst>
            </c:spPr>
          </c:dPt>
          <c:dPt>
            <c:idx val="2"/>
            <c:bubble3D val="0"/>
            <c:explosion val="0"/>
            <c:spPr>
              <a:solidFill>
                <a:schemeClr val="accent3"/>
              </a:solidFill>
              <a:ln>
                <a:noFill/>
              </a:ln>
              <a:effectLst>
                <a:outerShdw blurRad="63500" sx="102000" sy="102000" algn="ctr" rotWithShape="0">
                  <a:prstClr val="black">
                    <a:alpha val="20000"/>
                  </a:prstClr>
                </a:outerShdw>
              </a:effectLst>
            </c:spPr>
          </c:dPt>
          <c:dPt>
            <c:idx val="3"/>
            <c:bubble3D val="0"/>
            <c:explosion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7"/>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c:v>
                </c:pt>
                <c:pt idx="2">
                  <c:v>社会保障和就业</c:v>
                </c:pt>
                <c:pt idx="3">
                  <c:v>卫生健康</c:v>
                </c:pt>
                <c:pt idx="4">
                  <c:v>住房保障</c:v>
                </c:pt>
              </c:strCache>
            </c:strRef>
          </c:cat>
          <c:val>
            <c:numRef>
              <c:f>Sheet1!$B$2:$B$8</c:f>
              <c:numCache>
                <c:formatCode>General</c:formatCode>
                <c:ptCount val="7"/>
                <c:pt idx="0">
                  <c:v>867.61</c:v>
                </c:pt>
                <c:pt idx="2">
                  <c:v>90.55</c:v>
                </c:pt>
                <c:pt idx="3">
                  <c:v>32.81</c:v>
                </c:pt>
                <c:pt idx="4">
                  <c:v>55.96</c:v>
                </c:pt>
              </c:numCache>
            </c:numRef>
          </c:val>
        </c:ser>
        <c:dLbls>
          <c:showLegendKey val="0"/>
          <c:showVal val="0"/>
          <c:showCatName val="1"/>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t>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接待费</c:v>
                </c:pt>
              </c:strCache>
            </c:strRef>
          </c:cat>
          <c:val>
            <c:numRef>
              <c:f>Sheet1!$B$2:$B$3</c:f>
              <c:numCache>
                <c:formatCode>General</c:formatCode>
                <c:ptCount val="2"/>
                <c:pt idx="0">
                  <c:v>16.32</c:v>
                </c:pt>
                <c:pt idx="1">
                  <c:v>0.72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9875</Words>
  <Characters>10662</Characters>
  <Lines>0</Lines>
  <Paragraphs>0</Paragraphs>
  <TotalTime>0</TotalTime>
  <ScaleCrop>false</ScaleCrop>
  <LinksUpToDate>false</LinksUpToDate>
  <CharactersWithSpaces>10818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杰</cp:lastModifiedBy>
  <dcterms:modified xsi:type="dcterms:W3CDTF">2022-07-14T06:05:52Z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3C4F32E0EEC648D68EF4761862C3EB7A</vt:lpwstr>
  </property>
</Properties>
</file>