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9"/>
        <w:rPr>
          <w:rFonts w:ascii="黑体" w:hAnsi="黑体" w:eastAsia="黑体"/>
          <w:color w:val="000000"/>
          <w:sz w:val="72"/>
          <w:szCs w:val="72"/>
        </w:rPr>
      </w:pPr>
      <w:bookmarkStart w:id="0" w:name="_Toc15377425"/>
      <w:bookmarkStart w:id="1" w:name="_Toc16163"/>
      <w:bookmarkStart w:id="2" w:name="_Toc15396597"/>
      <w:bookmarkStart w:id="3" w:name="_Toc15396475"/>
      <w:bookmarkStart w:id="4" w:name="_Toc15377193"/>
      <w:bookmarkStart w:id="5" w:name="_Toc15378441"/>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3088"/>
      <w:r>
        <w:rPr>
          <w:rFonts w:ascii="黑体" w:hAnsi="黑体" w:eastAsia="黑体"/>
          <w:color w:val="000000"/>
          <w:sz w:val="72"/>
          <w:szCs w:val="72"/>
        </w:rPr>
        <w:t>20</w:t>
      </w:r>
      <w:r>
        <w:rPr>
          <w:rFonts w:hint="eastAsia" w:ascii="黑体" w:hAnsi="黑体" w:eastAsia="黑体"/>
          <w:color w:val="000000"/>
          <w:sz w:val="72"/>
          <w:szCs w:val="72"/>
          <w:lang w:val="en-US" w:eastAsia="zh-CN"/>
        </w:rPr>
        <w:t>22</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598"/>
      <w:bookmarkStart w:id="8" w:name="_Toc15377194"/>
      <w:bookmarkStart w:id="9" w:name="_Toc15377426"/>
      <w:bookmarkStart w:id="10" w:name="_Toc15378442"/>
      <w:bookmarkStart w:id="11" w:name="_Toc12643"/>
      <w:bookmarkStart w:id="12" w:name="_Toc15396476"/>
      <w:bookmarkStart w:id="13" w:name="_Toc18953"/>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Start w:id="14" w:name="_Toc15306268"/>
      <w:r>
        <w:rPr>
          <w:rFonts w:hint="eastAsia" w:ascii="方正小标宋简体" w:hAnsi="宋体" w:eastAsia="方正小标宋简体"/>
          <w:color w:val="000000"/>
          <w:sz w:val="72"/>
          <w:szCs w:val="72"/>
          <w:lang w:val="en-US" w:eastAsia="zh-CN"/>
        </w:rPr>
        <w:t>民族宗教局</w:t>
      </w:r>
      <w:r>
        <w:rPr>
          <w:rFonts w:hint="eastAsia" w:ascii="方正小标宋简体" w:hAnsi="宋体" w:eastAsia="方正小标宋简体"/>
          <w:color w:val="000000"/>
          <w:sz w:val="72"/>
          <w:szCs w:val="72"/>
        </w:rPr>
        <w:t>部门</w:t>
      </w:r>
      <w:r>
        <w:rPr>
          <w:rFonts w:hint="eastAsia" w:ascii="方正小标宋简体" w:hAnsi="宋体" w:eastAsia="方正小标宋简体"/>
          <w:color w:val="000000"/>
          <w:sz w:val="72"/>
          <w:szCs w:val="72"/>
          <w:lang w:val="en-US" w:eastAsia="zh-CN"/>
        </w:rPr>
        <w:t>预</w:t>
      </w:r>
      <w:r>
        <w:rPr>
          <w:rFonts w:hint="eastAsia" w:ascii="方正小标宋简体" w:hAnsi="宋体" w:eastAsia="方正小标宋简体"/>
          <w:color w:val="000000"/>
          <w:sz w:val="72"/>
          <w:szCs w:val="72"/>
        </w:rPr>
        <w:t>算</w:t>
      </w:r>
      <w:bookmarkEnd w:id="7"/>
      <w:bookmarkEnd w:id="8"/>
      <w:bookmarkEnd w:id="9"/>
      <w:bookmarkEnd w:id="10"/>
      <w:bookmarkEnd w:id="11"/>
      <w:bookmarkEnd w:id="12"/>
      <w:bookmarkEnd w:id="13"/>
      <w:bookmarkEnd w:id="14"/>
    </w:p>
    <w:p>
      <w:pPr>
        <w:widowControl/>
        <w:jc w:val="center"/>
        <w:rPr>
          <w:rFonts w:ascii="方正小标宋简体" w:hAnsi="宋体" w:eastAsia="方正小标宋简体"/>
          <w:color w:val="000000"/>
          <w:sz w:val="36"/>
          <w:szCs w:val="36"/>
        </w:rPr>
      </w:pPr>
    </w:p>
    <w:p>
      <w:pPr>
        <w:pStyle w:val="5"/>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sdt>
      <w:sdtPr>
        <w:rPr>
          <w:rFonts w:ascii="宋体" w:hAnsi="宋体" w:eastAsia="宋体" w:cstheme="minorBidi"/>
          <w:kern w:val="2"/>
          <w:sz w:val="52"/>
          <w:szCs w:val="52"/>
          <w:lang w:val="en-US" w:eastAsia="zh-CN" w:bidi="ar-SA"/>
        </w:rPr>
        <w:id w:val="147451147"/>
        <w15:color w:val="DBDBDB"/>
        <w:docPartObj>
          <w:docPartGallery w:val="Table of Contents"/>
          <w:docPartUnique/>
        </w:docPartObj>
      </w:sdtPr>
      <w:sdtEndPr>
        <w:rPr>
          <w:rFonts w:hint="eastAsia" w:ascii="仿宋_GB2312" w:hAnsi="Arial" w:eastAsia="仿宋_GB2312" w:cstheme="minorBidi"/>
          <w:b/>
          <w:kern w:val="2"/>
          <w:sz w:val="24"/>
          <w:szCs w:val="32"/>
          <w:lang w:val="en-US" w:eastAsia="zh-CN" w:bidi="ar-SA"/>
        </w:rPr>
      </w:sdtEndPr>
      <w:sdtContent>
        <w:p>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pPr>
            <w:pStyle w:val="7"/>
            <w:tabs>
              <w:tab w:val="right" w:leader="dot" w:pos="8844"/>
            </w:tabs>
            <w:rPr>
              <w:sz w:val="28"/>
              <w:szCs w:val="28"/>
            </w:rPr>
          </w:pPr>
          <w:r>
            <w:rPr>
              <w:rFonts w:hint="eastAsia" w:ascii="仿宋_GB2312" w:eastAsia="仿宋_GB2312"/>
              <w:sz w:val="32"/>
              <w:szCs w:val="32"/>
            </w:rPr>
            <w:fldChar w:fldCharType="begin"/>
          </w:r>
          <w:r>
            <w:rPr>
              <w:rFonts w:hint="eastAsia" w:ascii="仿宋_GB2312" w:eastAsia="仿宋_GB2312"/>
              <w:sz w:val="32"/>
              <w:szCs w:val="32"/>
            </w:rPr>
            <w:instrText xml:space="preserve">TOC \o "1-2" \h \u </w:instrText>
          </w:r>
          <w:r>
            <w:rPr>
              <w:rFonts w:hint="eastAsia" w:ascii="仿宋_GB2312" w:eastAsia="仿宋_GB2312"/>
              <w:sz w:val="32"/>
              <w:szCs w:val="32"/>
            </w:rPr>
            <w:fldChar w:fldCharType="separate"/>
          </w: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_Toc3088 </w:instrText>
          </w:r>
          <w:r>
            <w:rPr>
              <w:rFonts w:hint="eastAsia" w:ascii="仿宋_GB2312" w:eastAsia="仿宋_GB2312"/>
              <w:sz w:val="28"/>
              <w:szCs w:val="28"/>
            </w:rPr>
            <w:fldChar w:fldCharType="separate"/>
          </w:r>
          <w:r>
            <w:rPr>
              <w:rFonts w:ascii="黑体" w:hAnsi="黑体" w:eastAsia="黑体"/>
              <w:sz w:val="28"/>
              <w:szCs w:val="28"/>
            </w:rPr>
            <w:t>20</w:t>
          </w:r>
          <w:r>
            <w:rPr>
              <w:rFonts w:hint="eastAsia" w:ascii="黑体" w:hAnsi="黑体" w:eastAsia="黑体"/>
              <w:sz w:val="28"/>
              <w:szCs w:val="28"/>
              <w:lang w:val="en-US" w:eastAsia="zh-CN"/>
            </w:rPr>
            <w:t>22</w:t>
          </w:r>
          <w:r>
            <w:rPr>
              <w:rFonts w:hint="eastAsia" w:ascii="方正小标宋简体" w:hAnsi="宋体" w:eastAsia="方正小标宋简体"/>
              <w:sz w:val="28"/>
              <w:szCs w:val="28"/>
            </w:rPr>
            <w:t>年度</w:t>
          </w:r>
          <w:r>
            <w:rPr>
              <w:sz w:val="28"/>
              <w:szCs w:val="28"/>
            </w:rPr>
            <w:tab/>
          </w:r>
          <w:r>
            <w:rPr>
              <w:sz w:val="28"/>
              <w:szCs w:val="28"/>
            </w:rPr>
            <w:fldChar w:fldCharType="begin"/>
          </w:r>
          <w:r>
            <w:rPr>
              <w:sz w:val="28"/>
              <w:szCs w:val="28"/>
            </w:rPr>
            <w:instrText xml:space="preserve"> PAGEREF _Toc3088 \h </w:instrText>
          </w:r>
          <w:r>
            <w:rPr>
              <w:sz w:val="28"/>
              <w:szCs w:val="28"/>
            </w:rPr>
            <w:fldChar w:fldCharType="separate"/>
          </w:r>
          <w:r>
            <w:rPr>
              <w:sz w:val="28"/>
              <w:szCs w:val="28"/>
            </w:rPr>
            <w:t>1</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_Toc18953 </w:instrText>
          </w:r>
          <w:r>
            <w:rPr>
              <w:rFonts w:hint="eastAsia" w:ascii="仿宋_GB2312" w:eastAsia="仿宋_GB2312"/>
              <w:sz w:val="28"/>
              <w:szCs w:val="28"/>
            </w:rPr>
            <w:fldChar w:fldCharType="separate"/>
          </w:r>
          <w:r>
            <w:rPr>
              <w:rFonts w:hint="eastAsia" w:ascii="方正小标宋简体" w:hAnsi="宋体" w:eastAsia="方正小标宋简体"/>
              <w:sz w:val="28"/>
              <w:szCs w:val="28"/>
            </w:rPr>
            <w:t>四川省阿坝州</w:t>
          </w:r>
          <w:r>
            <w:rPr>
              <w:rFonts w:hint="eastAsia" w:ascii="方正小标宋简体" w:hAnsi="宋体" w:eastAsia="方正小标宋简体"/>
              <w:sz w:val="28"/>
              <w:szCs w:val="28"/>
              <w:lang w:eastAsia="zh-CN"/>
            </w:rPr>
            <w:t>红原县</w:t>
          </w:r>
          <w:r>
            <w:rPr>
              <w:rFonts w:hint="eastAsia" w:ascii="方正小标宋简体" w:hAnsi="宋体" w:eastAsia="方正小标宋简体"/>
              <w:sz w:val="28"/>
              <w:szCs w:val="28"/>
              <w:lang w:val="en-US" w:eastAsia="zh-CN"/>
            </w:rPr>
            <w:t>民族宗教局</w:t>
          </w:r>
          <w:r>
            <w:rPr>
              <w:rFonts w:hint="eastAsia" w:ascii="方正小标宋简体" w:hAnsi="宋体" w:eastAsia="方正小标宋简体"/>
              <w:sz w:val="28"/>
              <w:szCs w:val="28"/>
            </w:rPr>
            <w:t>部门</w:t>
          </w:r>
          <w:r>
            <w:rPr>
              <w:rFonts w:hint="eastAsia" w:ascii="方正小标宋简体" w:hAnsi="宋体" w:eastAsia="方正小标宋简体"/>
              <w:sz w:val="28"/>
              <w:szCs w:val="28"/>
              <w:lang w:val="en-US" w:eastAsia="zh-CN"/>
            </w:rPr>
            <w:t>预</w:t>
          </w:r>
          <w:r>
            <w:rPr>
              <w:rFonts w:hint="eastAsia" w:ascii="方正小标宋简体" w:hAnsi="宋体" w:eastAsia="方正小标宋简体"/>
              <w:sz w:val="28"/>
              <w:szCs w:val="28"/>
            </w:rPr>
            <w:t>算</w:t>
          </w:r>
          <w:r>
            <w:rPr>
              <w:sz w:val="28"/>
              <w:szCs w:val="28"/>
            </w:rPr>
            <w:tab/>
          </w:r>
          <w:r>
            <w:rPr>
              <w:sz w:val="28"/>
              <w:szCs w:val="28"/>
            </w:rPr>
            <w:fldChar w:fldCharType="begin"/>
          </w:r>
          <w:r>
            <w:rPr>
              <w:sz w:val="28"/>
              <w:szCs w:val="28"/>
            </w:rPr>
            <w:instrText xml:space="preserve"> PAGEREF _Toc18953 \h </w:instrText>
          </w:r>
          <w:r>
            <w:rPr>
              <w:sz w:val="28"/>
              <w:szCs w:val="28"/>
            </w:rPr>
            <w:fldChar w:fldCharType="separate"/>
          </w:r>
          <w:r>
            <w:rPr>
              <w:sz w:val="28"/>
              <w:szCs w:val="28"/>
            </w:rPr>
            <w:t>1</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_Toc3952 </w:instrText>
          </w:r>
          <w:r>
            <w:rPr>
              <w:rFonts w:hint="eastAsia" w:ascii="仿宋_GB2312" w:eastAsia="仿宋_GB2312"/>
              <w:sz w:val="28"/>
              <w:szCs w:val="28"/>
            </w:rPr>
            <w:fldChar w:fldCharType="separate"/>
          </w:r>
          <w:r>
            <w:rPr>
              <w:rFonts w:hint="eastAsia" w:ascii="黑体" w:eastAsia="黑体"/>
              <w:sz w:val="28"/>
              <w:szCs w:val="28"/>
            </w:rPr>
            <w:t>一、基本职能及主要工作</w:t>
          </w:r>
          <w:r>
            <w:rPr>
              <w:sz w:val="28"/>
              <w:szCs w:val="28"/>
            </w:rPr>
            <w:tab/>
          </w:r>
          <w:r>
            <w:rPr>
              <w:sz w:val="28"/>
              <w:szCs w:val="28"/>
            </w:rPr>
            <w:fldChar w:fldCharType="begin"/>
          </w:r>
          <w:r>
            <w:rPr>
              <w:sz w:val="28"/>
              <w:szCs w:val="28"/>
            </w:rPr>
            <w:instrText xml:space="preserve"> PAGEREF _Toc3952 \h </w:instrText>
          </w:r>
          <w:r>
            <w:rPr>
              <w:sz w:val="28"/>
              <w:szCs w:val="28"/>
            </w:rPr>
            <w:fldChar w:fldCharType="separate"/>
          </w:r>
          <w:r>
            <w:rPr>
              <w:sz w:val="28"/>
              <w:szCs w:val="28"/>
            </w:rPr>
            <w:t>2</w:t>
          </w:r>
          <w:r>
            <w:rPr>
              <w:sz w:val="28"/>
              <w:szCs w:val="28"/>
            </w:rPr>
            <w:fldChar w:fldCharType="end"/>
          </w:r>
          <w:r>
            <w:rPr>
              <w:rFonts w:hint="eastAsia" w:ascii="仿宋_GB2312" w:eastAsia="仿宋_GB2312"/>
              <w:sz w:val="28"/>
              <w:szCs w:val="28"/>
            </w:rPr>
            <w:fldChar w:fldCharType="end"/>
          </w:r>
        </w:p>
        <w:p>
          <w:pPr>
            <w:pStyle w:val="8"/>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_Toc1715 </w:instrText>
          </w:r>
          <w:r>
            <w:rPr>
              <w:rFonts w:hint="eastAsia" w:ascii="仿宋_GB2312" w:eastAsia="仿宋_GB2312"/>
              <w:sz w:val="28"/>
              <w:szCs w:val="28"/>
            </w:rPr>
            <w:fldChar w:fldCharType="separate"/>
          </w:r>
          <w:r>
            <w:rPr>
              <w:rFonts w:hint="eastAsia" w:ascii="楷体_GB2312" w:hAnsi="楷体_GB2312" w:eastAsia="楷体_GB2312" w:cs="楷体_GB2312"/>
              <w:bCs w:val="0"/>
              <w:sz w:val="28"/>
              <w:szCs w:val="28"/>
              <w:lang w:eastAsia="zh-CN"/>
            </w:rPr>
            <w:t>（一）基本职能</w:t>
          </w:r>
          <w:r>
            <w:rPr>
              <w:sz w:val="28"/>
              <w:szCs w:val="28"/>
            </w:rPr>
            <w:tab/>
          </w:r>
          <w:r>
            <w:rPr>
              <w:sz w:val="28"/>
              <w:szCs w:val="28"/>
            </w:rPr>
            <w:fldChar w:fldCharType="begin"/>
          </w:r>
          <w:r>
            <w:rPr>
              <w:sz w:val="28"/>
              <w:szCs w:val="28"/>
            </w:rPr>
            <w:instrText xml:space="preserve"> PAGEREF _Toc1715 \h </w:instrText>
          </w:r>
          <w:r>
            <w:rPr>
              <w:sz w:val="28"/>
              <w:szCs w:val="28"/>
            </w:rPr>
            <w:fldChar w:fldCharType="separate"/>
          </w:r>
          <w:r>
            <w:rPr>
              <w:sz w:val="28"/>
              <w:szCs w:val="28"/>
            </w:rPr>
            <w:t>2</w:t>
          </w:r>
          <w:r>
            <w:rPr>
              <w:sz w:val="28"/>
              <w:szCs w:val="28"/>
            </w:rPr>
            <w:fldChar w:fldCharType="end"/>
          </w:r>
          <w:r>
            <w:rPr>
              <w:rFonts w:hint="eastAsia" w:ascii="仿宋_GB2312" w:eastAsia="仿宋_GB2312"/>
              <w:sz w:val="28"/>
              <w:szCs w:val="28"/>
            </w:rPr>
            <w:fldChar w:fldCharType="end"/>
          </w:r>
        </w:p>
        <w:p>
          <w:pPr>
            <w:pStyle w:val="8"/>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_Toc14899 </w:instrText>
          </w:r>
          <w:r>
            <w:rPr>
              <w:rFonts w:hint="eastAsia" w:ascii="仿宋_GB2312" w:eastAsia="仿宋_GB2312"/>
              <w:sz w:val="28"/>
              <w:szCs w:val="28"/>
            </w:rPr>
            <w:fldChar w:fldCharType="separate"/>
          </w:r>
          <w:r>
            <w:rPr>
              <w:rFonts w:hint="eastAsia" w:ascii="楷体_GB2312" w:hAnsi="楷体_GB2312" w:eastAsia="楷体_GB2312" w:cs="楷体_GB2312"/>
              <w:bCs w:val="0"/>
              <w:sz w:val="28"/>
              <w:szCs w:val="28"/>
              <w:lang w:eastAsia="zh-CN"/>
            </w:rPr>
            <w:t>（二）2022年重点工作任务</w:t>
          </w:r>
          <w:r>
            <w:rPr>
              <w:sz w:val="28"/>
              <w:szCs w:val="28"/>
            </w:rPr>
            <w:tab/>
          </w:r>
          <w:r>
            <w:rPr>
              <w:sz w:val="28"/>
              <w:szCs w:val="28"/>
            </w:rPr>
            <w:fldChar w:fldCharType="begin"/>
          </w:r>
          <w:r>
            <w:rPr>
              <w:sz w:val="28"/>
              <w:szCs w:val="28"/>
            </w:rPr>
            <w:instrText xml:space="preserve"> PAGEREF _Toc14899 \h </w:instrText>
          </w:r>
          <w:r>
            <w:rPr>
              <w:sz w:val="28"/>
              <w:szCs w:val="28"/>
            </w:rPr>
            <w:fldChar w:fldCharType="separate"/>
          </w:r>
          <w:r>
            <w:rPr>
              <w:sz w:val="28"/>
              <w:szCs w:val="28"/>
            </w:rPr>
            <w:t>5</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_Toc17611 </w:instrText>
          </w:r>
          <w:r>
            <w:rPr>
              <w:rFonts w:hint="eastAsia" w:ascii="仿宋_GB2312" w:eastAsia="仿宋_GB2312"/>
              <w:sz w:val="28"/>
              <w:szCs w:val="28"/>
            </w:rPr>
            <w:fldChar w:fldCharType="separate"/>
          </w:r>
          <w:r>
            <w:rPr>
              <w:rFonts w:hint="eastAsia" w:ascii="黑体" w:eastAsia="黑体"/>
              <w:sz w:val="28"/>
              <w:szCs w:val="28"/>
            </w:rPr>
            <w:t>二、部门</w:t>
          </w:r>
          <w:r>
            <w:rPr>
              <w:rFonts w:hint="eastAsia" w:ascii="黑体" w:eastAsia="黑体"/>
              <w:sz w:val="28"/>
              <w:szCs w:val="28"/>
              <w:lang w:eastAsia="zh-CN"/>
            </w:rPr>
            <w:t>预算单位构成</w:t>
          </w:r>
          <w:r>
            <w:rPr>
              <w:sz w:val="28"/>
              <w:szCs w:val="28"/>
            </w:rPr>
            <w:tab/>
          </w:r>
          <w:r>
            <w:rPr>
              <w:sz w:val="28"/>
              <w:szCs w:val="28"/>
            </w:rPr>
            <w:fldChar w:fldCharType="begin"/>
          </w:r>
          <w:r>
            <w:rPr>
              <w:sz w:val="28"/>
              <w:szCs w:val="28"/>
            </w:rPr>
            <w:instrText xml:space="preserve"> PAGEREF _Toc17611 \h </w:instrText>
          </w:r>
          <w:r>
            <w:rPr>
              <w:sz w:val="28"/>
              <w:szCs w:val="28"/>
            </w:rPr>
            <w:fldChar w:fldCharType="separate"/>
          </w:r>
          <w:r>
            <w:rPr>
              <w:sz w:val="28"/>
              <w:szCs w:val="28"/>
            </w:rPr>
            <w:t>6</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_Toc8935 </w:instrText>
          </w:r>
          <w:r>
            <w:rPr>
              <w:rFonts w:hint="eastAsia" w:ascii="仿宋_GB2312" w:eastAsia="仿宋_GB2312"/>
              <w:sz w:val="28"/>
              <w:szCs w:val="28"/>
            </w:rPr>
            <w:fldChar w:fldCharType="separate"/>
          </w:r>
          <w:r>
            <w:rPr>
              <w:rFonts w:hint="eastAsia" w:ascii="黑体" w:eastAsia="黑体"/>
              <w:sz w:val="28"/>
              <w:szCs w:val="28"/>
            </w:rPr>
            <w:t>三、收支预算总体情况</w:t>
          </w:r>
          <w:r>
            <w:rPr>
              <w:sz w:val="28"/>
              <w:szCs w:val="28"/>
            </w:rPr>
            <w:tab/>
          </w:r>
          <w:r>
            <w:rPr>
              <w:sz w:val="28"/>
              <w:szCs w:val="28"/>
            </w:rPr>
            <w:fldChar w:fldCharType="begin"/>
          </w:r>
          <w:r>
            <w:rPr>
              <w:sz w:val="28"/>
              <w:szCs w:val="28"/>
            </w:rPr>
            <w:instrText xml:space="preserve"> PAGEREF _Toc8935 \h </w:instrText>
          </w:r>
          <w:r>
            <w:rPr>
              <w:sz w:val="28"/>
              <w:szCs w:val="28"/>
            </w:rPr>
            <w:fldChar w:fldCharType="separate"/>
          </w:r>
          <w:r>
            <w:rPr>
              <w:sz w:val="28"/>
              <w:szCs w:val="28"/>
            </w:rPr>
            <w:t>6</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_Toc1883 </w:instrText>
          </w:r>
          <w:r>
            <w:rPr>
              <w:rFonts w:hint="eastAsia" w:ascii="仿宋_GB2312" w:eastAsia="仿宋_GB2312"/>
              <w:sz w:val="28"/>
              <w:szCs w:val="28"/>
            </w:rPr>
            <w:fldChar w:fldCharType="separate"/>
          </w:r>
          <w:r>
            <w:rPr>
              <w:rFonts w:hint="eastAsia" w:ascii="黑体" w:eastAsia="黑体"/>
              <w:sz w:val="28"/>
              <w:szCs w:val="28"/>
            </w:rPr>
            <w:t>四、 支出预算安排情况</w:t>
          </w:r>
          <w:r>
            <w:rPr>
              <w:sz w:val="28"/>
              <w:szCs w:val="28"/>
            </w:rPr>
            <w:tab/>
          </w:r>
          <w:r>
            <w:rPr>
              <w:sz w:val="28"/>
              <w:szCs w:val="28"/>
            </w:rPr>
            <w:fldChar w:fldCharType="begin"/>
          </w:r>
          <w:r>
            <w:rPr>
              <w:sz w:val="28"/>
              <w:szCs w:val="28"/>
            </w:rPr>
            <w:instrText xml:space="preserve"> PAGEREF _Toc1883 \h </w:instrText>
          </w:r>
          <w:r>
            <w:rPr>
              <w:sz w:val="28"/>
              <w:szCs w:val="28"/>
            </w:rPr>
            <w:fldChar w:fldCharType="separate"/>
          </w:r>
          <w:r>
            <w:rPr>
              <w:sz w:val="28"/>
              <w:szCs w:val="28"/>
            </w:rPr>
            <w:t>7</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_Toc13404 </w:instrText>
          </w:r>
          <w:r>
            <w:rPr>
              <w:rFonts w:hint="eastAsia" w:ascii="仿宋_GB2312" w:eastAsia="仿宋_GB2312"/>
              <w:sz w:val="28"/>
              <w:szCs w:val="28"/>
            </w:rPr>
            <w:fldChar w:fldCharType="separate"/>
          </w:r>
          <w:r>
            <w:rPr>
              <w:rFonts w:hint="eastAsia" w:ascii="黑体" w:hAnsi="黑体" w:eastAsia="黑体" w:cs="黑体"/>
              <w:kern w:val="0"/>
              <w:sz w:val="28"/>
              <w:szCs w:val="28"/>
              <w:shd w:val="clear" w:color="auto" w:fill="FFFFFF"/>
              <w:lang w:val="en-US" w:eastAsia="zh-CN" w:bidi="ar"/>
            </w:rPr>
            <w:t>五、较上年度增减变化</w:t>
          </w:r>
          <w:r>
            <w:rPr>
              <w:sz w:val="28"/>
              <w:szCs w:val="28"/>
            </w:rPr>
            <w:tab/>
          </w:r>
          <w:r>
            <w:rPr>
              <w:sz w:val="28"/>
              <w:szCs w:val="28"/>
            </w:rPr>
            <w:fldChar w:fldCharType="begin"/>
          </w:r>
          <w:r>
            <w:rPr>
              <w:sz w:val="28"/>
              <w:szCs w:val="28"/>
            </w:rPr>
            <w:instrText xml:space="preserve"> PAGEREF _Toc13404 \h </w:instrText>
          </w:r>
          <w:r>
            <w:rPr>
              <w:sz w:val="28"/>
              <w:szCs w:val="28"/>
            </w:rPr>
            <w:fldChar w:fldCharType="separate"/>
          </w:r>
          <w:r>
            <w:rPr>
              <w:sz w:val="28"/>
              <w:szCs w:val="28"/>
            </w:rPr>
            <w:t>8</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_Toc23085 </w:instrText>
          </w:r>
          <w:r>
            <w:rPr>
              <w:rFonts w:hint="eastAsia" w:ascii="仿宋_GB2312" w:eastAsia="仿宋_GB2312"/>
              <w:sz w:val="28"/>
              <w:szCs w:val="28"/>
            </w:rPr>
            <w:fldChar w:fldCharType="separate"/>
          </w:r>
          <w:r>
            <w:rPr>
              <w:rFonts w:hint="eastAsia" w:ascii="黑体" w:hAnsi="黑体" w:eastAsia="黑体" w:cs="黑体"/>
              <w:kern w:val="0"/>
              <w:sz w:val="28"/>
              <w:szCs w:val="28"/>
              <w:shd w:val="clear" w:color="auto" w:fill="FFFFFF"/>
              <w:lang w:val="en-US" w:eastAsia="zh-CN" w:bidi="ar"/>
            </w:rPr>
            <w:t>六、“三公”经费预算</w:t>
          </w:r>
          <w:r>
            <w:rPr>
              <w:sz w:val="28"/>
              <w:szCs w:val="28"/>
            </w:rPr>
            <w:tab/>
          </w:r>
          <w:r>
            <w:rPr>
              <w:sz w:val="28"/>
              <w:szCs w:val="28"/>
            </w:rPr>
            <w:fldChar w:fldCharType="begin"/>
          </w:r>
          <w:r>
            <w:rPr>
              <w:sz w:val="28"/>
              <w:szCs w:val="28"/>
            </w:rPr>
            <w:instrText xml:space="preserve"> PAGEREF _Toc23085 \h </w:instrText>
          </w:r>
          <w:r>
            <w:rPr>
              <w:sz w:val="28"/>
              <w:szCs w:val="28"/>
            </w:rPr>
            <w:fldChar w:fldCharType="separate"/>
          </w:r>
          <w:r>
            <w:rPr>
              <w:sz w:val="28"/>
              <w:szCs w:val="28"/>
            </w:rPr>
            <w:t>8</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_Toc28268 </w:instrText>
          </w:r>
          <w:r>
            <w:rPr>
              <w:rFonts w:hint="eastAsia" w:ascii="仿宋_GB2312" w:eastAsia="仿宋_GB2312"/>
              <w:sz w:val="28"/>
              <w:szCs w:val="28"/>
            </w:rPr>
            <w:fldChar w:fldCharType="separate"/>
          </w:r>
          <w:r>
            <w:rPr>
              <w:rFonts w:hint="eastAsia" w:ascii="黑体" w:hAnsi="黑体" w:eastAsia="黑体" w:cs="黑体"/>
              <w:kern w:val="0"/>
              <w:sz w:val="28"/>
              <w:szCs w:val="28"/>
              <w:shd w:val="clear" w:color="auto" w:fill="FFFFFF"/>
              <w:lang w:val="en-US" w:eastAsia="zh-CN" w:bidi="ar"/>
            </w:rPr>
            <w:t>七、政府性基金预算收支情况说明</w:t>
          </w:r>
          <w:r>
            <w:rPr>
              <w:sz w:val="28"/>
              <w:szCs w:val="28"/>
            </w:rPr>
            <w:tab/>
          </w:r>
          <w:r>
            <w:rPr>
              <w:sz w:val="28"/>
              <w:szCs w:val="28"/>
            </w:rPr>
            <w:fldChar w:fldCharType="begin"/>
          </w:r>
          <w:r>
            <w:rPr>
              <w:sz w:val="28"/>
              <w:szCs w:val="28"/>
            </w:rPr>
            <w:instrText xml:space="preserve"> PAGEREF _Toc28268 \h </w:instrText>
          </w:r>
          <w:r>
            <w:rPr>
              <w:sz w:val="28"/>
              <w:szCs w:val="28"/>
            </w:rPr>
            <w:fldChar w:fldCharType="separate"/>
          </w:r>
          <w:r>
            <w:rPr>
              <w:sz w:val="28"/>
              <w:szCs w:val="28"/>
            </w:rPr>
            <w:t>8</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_Toc15372 </w:instrText>
          </w:r>
          <w:r>
            <w:rPr>
              <w:rFonts w:hint="eastAsia" w:ascii="仿宋_GB2312" w:eastAsia="仿宋_GB2312"/>
              <w:sz w:val="28"/>
              <w:szCs w:val="28"/>
            </w:rPr>
            <w:fldChar w:fldCharType="separate"/>
          </w:r>
          <w:r>
            <w:rPr>
              <w:rFonts w:hint="eastAsia" w:ascii="黑体" w:hAnsi="黑体" w:eastAsia="黑体" w:cs="黑体"/>
              <w:kern w:val="0"/>
              <w:sz w:val="28"/>
              <w:szCs w:val="28"/>
              <w:shd w:val="clear" w:color="auto" w:fill="FFFFFF"/>
              <w:lang w:val="en-US" w:eastAsia="zh-CN" w:bidi="ar"/>
            </w:rPr>
            <w:t>八、国有资本经营预算收支情况说明</w:t>
          </w:r>
          <w:r>
            <w:rPr>
              <w:sz w:val="28"/>
              <w:szCs w:val="28"/>
            </w:rPr>
            <w:tab/>
          </w:r>
          <w:r>
            <w:rPr>
              <w:sz w:val="28"/>
              <w:szCs w:val="28"/>
            </w:rPr>
            <w:fldChar w:fldCharType="begin"/>
          </w:r>
          <w:r>
            <w:rPr>
              <w:sz w:val="28"/>
              <w:szCs w:val="28"/>
            </w:rPr>
            <w:instrText xml:space="preserve"> PAGEREF _Toc15372 \h </w:instrText>
          </w:r>
          <w:r>
            <w:rPr>
              <w:sz w:val="28"/>
              <w:szCs w:val="28"/>
            </w:rPr>
            <w:fldChar w:fldCharType="separate"/>
          </w:r>
          <w:r>
            <w:rPr>
              <w:sz w:val="28"/>
              <w:szCs w:val="28"/>
            </w:rPr>
            <w:t>9</w:t>
          </w:r>
          <w:r>
            <w:rPr>
              <w:sz w:val="28"/>
              <w:szCs w:val="28"/>
            </w:rPr>
            <w:fldChar w:fldCharType="end"/>
          </w:r>
          <w:r>
            <w:rPr>
              <w:rFonts w:hint="eastAsia" w:ascii="仿宋_GB2312" w:eastAsia="仿宋_GB2312"/>
              <w:sz w:val="28"/>
              <w:szCs w:val="28"/>
            </w:rPr>
            <w:fldChar w:fldCharType="end"/>
          </w:r>
        </w:p>
        <w:p>
          <w:pPr>
            <w:pStyle w:val="7"/>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_Toc8637 </w:instrText>
          </w:r>
          <w:r>
            <w:rPr>
              <w:rFonts w:hint="eastAsia" w:ascii="仿宋_GB2312" w:eastAsia="仿宋_GB2312"/>
              <w:sz w:val="28"/>
              <w:szCs w:val="28"/>
            </w:rPr>
            <w:fldChar w:fldCharType="separate"/>
          </w:r>
          <w:r>
            <w:rPr>
              <w:rFonts w:hint="eastAsia" w:ascii="黑体" w:hAnsi="黑体" w:eastAsia="黑体" w:cs="黑体"/>
              <w:kern w:val="0"/>
              <w:sz w:val="28"/>
              <w:szCs w:val="28"/>
              <w:shd w:val="clear" w:color="auto" w:fill="FFFFFF"/>
              <w:lang w:val="en-US" w:eastAsia="zh-CN" w:bidi="ar"/>
            </w:rPr>
            <w:t>九、其他重要事项的情况说明</w:t>
          </w:r>
          <w:r>
            <w:rPr>
              <w:sz w:val="28"/>
              <w:szCs w:val="28"/>
            </w:rPr>
            <w:tab/>
          </w:r>
          <w:r>
            <w:rPr>
              <w:sz w:val="28"/>
              <w:szCs w:val="28"/>
            </w:rPr>
            <w:fldChar w:fldCharType="begin"/>
          </w:r>
          <w:r>
            <w:rPr>
              <w:sz w:val="28"/>
              <w:szCs w:val="28"/>
            </w:rPr>
            <w:instrText xml:space="preserve"> PAGEREF _Toc8637 \h </w:instrText>
          </w:r>
          <w:r>
            <w:rPr>
              <w:sz w:val="28"/>
              <w:szCs w:val="28"/>
            </w:rPr>
            <w:fldChar w:fldCharType="separate"/>
          </w:r>
          <w:r>
            <w:rPr>
              <w:sz w:val="28"/>
              <w:szCs w:val="28"/>
            </w:rPr>
            <w:t>9</w:t>
          </w:r>
          <w:r>
            <w:rPr>
              <w:sz w:val="28"/>
              <w:szCs w:val="28"/>
            </w:rPr>
            <w:fldChar w:fldCharType="end"/>
          </w:r>
          <w:r>
            <w:rPr>
              <w:rFonts w:hint="eastAsia" w:ascii="仿宋_GB2312" w:eastAsia="仿宋_GB2312"/>
              <w:sz w:val="28"/>
              <w:szCs w:val="28"/>
            </w:rPr>
            <w:fldChar w:fldCharType="end"/>
          </w:r>
        </w:p>
        <w:p>
          <w:pPr>
            <w:pStyle w:val="8"/>
            <w:tabs>
              <w:tab w:val="right" w:leader="dot" w:pos="8844"/>
            </w:tabs>
            <w:rPr>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_Toc31720 </w:instrText>
          </w:r>
          <w:r>
            <w:rPr>
              <w:rFonts w:hint="eastAsia" w:ascii="仿宋_GB2312" w:eastAsia="仿宋_GB2312"/>
              <w:sz w:val="28"/>
              <w:szCs w:val="28"/>
            </w:rPr>
            <w:fldChar w:fldCharType="separate"/>
          </w:r>
          <w:r>
            <w:rPr>
              <w:rFonts w:hint="eastAsia" w:ascii="楷体_GB2312" w:hAnsi="楷体_GB2312" w:eastAsia="楷体_GB2312" w:cs="楷体_GB2312"/>
              <w:bCs/>
              <w:kern w:val="0"/>
              <w:sz w:val="28"/>
              <w:szCs w:val="28"/>
              <w:shd w:val="clear" w:color="auto" w:fill="FFFFFF"/>
              <w:lang w:val="en-US" w:eastAsia="zh-CN" w:bidi="ar"/>
            </w:rPr>
            <w:t>（一）政府采购预算情况</w:t>
          </w:r>
          <w:r>
            <w:rPr>
              <w:sz w:val="28"/>
              <w:szCs w:val="28"/>
            </w:rPr>
            <w:tab/>
          </w:r>
          <w:r>
            <w:rPr>
              <w:sz w:val="28"/>
              <w:szCs w:val="28"/>
            </w:rPr>
            <w:fldChar w:fldCharType="begin"/>
          </w:r>
          <w:r>
            <w:rPr>
              <w:sz w:val="28"/>
              <w:szCs w:val="28"/>
            </w:rPr>
            <w:instrText xml:space="preserve"> PAGEREF _Toc31720 \h </w:instrText>
          </w:r>
          <w:r>
            <w:rPr>
              <w:sz w:val="28"/>
              <w:szCs w:val="28"/>
            </w:rPr>
            <w:fldChar w:fldCharType="separate"/>
          </w:r>
          <w:r>
            <w:rPr>
              <w:sz w:val="28"/>
              <w:szCs w:val="28"/>
            </w:rPr>
            <w:t>9</w:t>
          </w:r>
          <w:r>
            <w:rPr>
              <w:sz w:val="28"/>
              <w:szCs w:val="28"/>
            </w:rPr>
            <w:fldChar w:fldCharType="end"/>
          </w:r>
          <w:r>
            <w:rPr>
              <w:rFonts w:hint="eastAsia" w:ascii="仿宋_GB2312" w:eastAsia="仿宋_GB2312"/>
              <w:sz w:val="28"/>
              <w:szCs w:val="28"/>
            </w:rPr>
            <w:fldChar w:fldCharType="end"/>
          </w:r>
        </w:p>
        <w:p>
          <w:pPr>
            <w:pStyle w:val="8"/>
            <w:tabs>
              <w:tab w:val="right" w:leader="dot" w:pos="8844"/>
            </w:tabs>
          </w:pPr>
          <w:r>
            <w:rPr>
              <w:rFonts w:hint="eastAsia" w:ascii="仿宋_GB2312" w:eastAsia="仿宋_GB2312"/>
              <w:sz w:val="28"/>
              <w:szCs w:val="28"/>
            </w:rPr>
            <w:fldChar w:fldCharType="begin"/>
          </w:r>
          <w:r>
            <w:rPr>
              <w:rFonts w:hint="eastAsia" w:ascii="仿宋_GB2312" w:eastAsia="仿宋_GB2312"/>
              <w:sz w:val="28"/>
              <w:szCs w:val="28"/>
            </w:rPr>
            <w:instrText xml:space="preserve"> HYPERLINK \l _Toc9952 </w:instrText>
          </w:r>
          <w:r>
            <w:rPr>
              <w:rFonts w:hint="eastAsia" w:ascii="仿宋_GB2312" w:eastAsia="仿宋_GB2312"/>
              <w:sz w:val="28"/>
              <w:szCs w:val="28"/>
            </w:rPr>
            <w:fldChar w:fldCharType="separate"/>
          </w:r>
          <w:r>
            <w:rPr>
              <w:rFonts w:hint="eastAsia" w:ascii="楷体_GB2312" w:hAnsi="楷体_GB2312" w:eastAsia="楷体_GB2312" w:cs="楷体_GB2312"/>
              <w:bCs/>
              <w:kern w:val="0"/>
              <w:sz w:val="28"/>
              <w:szCs w:val="28"/>
              <w:shd w:val="clear" w:color="auto" w:fill="FFFFFF"/>
              <w:lang w:val="en-US" w:eastAsia="zh-CN" w:bidi="ar"/>
            </w:rPr>
            <w:t>（二）政府财政国有资产占用情况</w:t>
          </w:r>
          <w:r>
            <w:rPr>
              <w:sz w:val="28"/>
              <w:szCs w:val="28"/>
            </w:rPr>
            <w:tab/>
          </w:r>
          <w:r>
            <w:rPr>
              <w:sz w:val="28"/>
              <w:szCs w:val="28"/>
            </w:rPr>
            <w:fldChar w:fldCharType="begin"/>
          </w:r>
          <w:r>
            <w:rPr>
              <w:sz w:val="28"/>
              <w:szCs w:val="28"/>
            </w:rPr>
            <w:instrText xml:space="preserve"> PAGEREF _Toc9952 \h </w:instrText>
          </w:r>
          <w:r>
            <w:rPr>
              <w:sz w:val="28"/>
              <w:szCs w:val="28"/>
            </w:rPr>
            <w:fldChar w:fldCharType="separate"/>
          </w:r>
          <w:r>
            <w:rPr>
              <w:sz w:val="28"/>
              <w:szCs w:val="28"/>
            </w:rPr>
            <w:t>9</w:t>
          </w:r>
          <w:r>
            <w:rPr>
              <w:sz w:val="28"/>
              <w:szCs w:val="28"/>
            </w:rPr>
            <w:fldChar w:fldCharType="end"/>
          </w:r>
          <w:r>
            <w:rPr>
              <w:rFonts w:hint="eastAsia" w:ascii="仿宋_GB2312" w:eastAsia="仿宋_GB2312"/>
              <w:sz w:val="28"/>
              <w:szCs w:val="28"/>
            </w:rPr>
            <w:fldChar w:fldCharType="end"/>
          </w:r>
        </w:p>
        <w:p>
          <w:pPr>
            <w:pStyle w:val="8"/>
            <w:tabs>
              <w:tab w:val="right" w:leader="dot" w:pos="8844"/>
            </w:tabs>
          </w:pPr>
          <w:r>
            <w:rPr>
              <w:rFonts w:hint="eastAsia" w:ascii="仿宋_GB2312" w:eastAsia="仿宋_GB2312"/>
              <w:szCs w:val="32"/>
            </w:rPr>
            <w:fldChar w:fldCharType="begin"/>
          </w:r>
          <w:r>
            <w:rPr>
              <w:rFonts w:hint="eastAsia" w:ascii="仿宋_GB2312" w:eastAsia="仿宋_GB2312"/>
              <w:szCs w:val="32"/>
            </w:rPr>
            <w:instrText xml:space="preserve"> HYPERLINK \l _Toc10237 </w:instrText>
          </w:r>
          <w:r>
            <w:rPr>
              <w:rFonts w:hint="eastAsia" w:ascii="仿宋_GB2312" w:eastAsia="仿宋_GB2312"/>
              <w:szCs w:val="32"/>
            </w:rPr>
            <w:fldChar w:fldCharType="separate"/>
          </w:r>
          <w:r>
            <w:rPr>
              <w:rFonts w:hint="eastAsia" w:ascii="楷体_GB2312" w:hAnsi="楷体_GB2312" w:eastAsia="楷体_GB2312" w:cs="楷体_GB2312"/>
              <w:bCs/>
              <w:kern w:val="0"/>
              <w:szCs w:val="32"/>
              <w:shd w:val="clear" w:color="auto" w:fill="FFFFFF"/>
              <w:lang w:val="en-US" w:eastAsia="zh-CN" w:bidi="ar"/>
            </w:rPr>
            <w:t>（三）绩效目标设置情况</w:t>
          </w:r>
          <w:r>
            <w:tab/>
          </w:r>
          <w:r>
            <w:fldChar w:fldCharType="begin"/>
          </w:r>
          <w:r>
            <w:instrText xml:space="preserve"> PAGEREF _Toc10237 \h </w:instrText>
          </w:r>
          <w:r>
            <w:fldChar w:fldCharType="separate"/>
          </w:r>
          <w:r>
            <w:t>9</w:t>
          </w:r>
          <w:r>
            <w:fldChar w:fldCharType="end"/>
          </w:r>
          <w:r>
            <w:rPr>
              <w:rFonts w:hint="eastAsia" w:ascii="仿宋_GB2312" w:eastAsia="仿宋_GB2312"/>
              <w:szCs w:val="32"/>
            </w:rPr>
            <w:fldChar w:fldCharType="end"/>
          </w:r>
        </w:p>
        <w:p>
          <w:pPr>
            <w:pStyle w:val="2"/>
            <w:rPr>
              <w:rFonts w:hint="eastAsia" w:ascii="仿宋_GB2312" w:eastAsia="仿宋_GB2312"/>
              <w:sz w:val="32"/>
              <w:szCs w:val="32"/>
            </w:rPr>
          </w:pPr>
          <w:r>
            <w:rPr>
              <w:rFonts w:hint="eastAsia" w:ascii="仿宋_GB2312" w:eastAsia="仿宋_GB2312"/>
              <w:szCs w:val="32"/>
            </w:rPr>
            <w:fldChar w:fldCharType="end"/>
          </w:r>
        </w:p>
      </w:sdtContent>
    </w:sdt>
    <w:p>
      <w:pPr>
        <w:pStyle w:val="2"/>
        <w:rPr>
          <w:rFonts w:hint="eastAsia"/>
        </w:rPr>
      </w:pPr>
    </w:p>
    <w:p>
      <w:pPr>
        <w:rPr>
          <w:rFonts w:hint="eastAsia"/>
        </w:rPr>
      </w:pPr>
    </w:p>
    <w:p>
      <w:pPr>
        <w:pStyle w:val="2"/>
        <w:rPr>
          <w:rFonts w:hint="eastAsia"/>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15" w:name="_Toc3952"/>
      <w:r>
        <w:rPr>
          <w:rFonts w:hint="eastAsia" w:ascii="黑体" w:eastAsia="黑体"/>
          <w:sz w:val="32"/>
          <w:szCs w:val="32"/>
        </w:rPr>
        <w:t>一、基本职能及主要工作</w:t>
      </w:r>
      <w:bookmarkEnd w:id="15"/>
      <w:bookmarkStart w:id="29" w:name="_GoBack"/>
      <w:bookmarkEnd w:id="29"/>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16" w:name="_Toc1715"/>
      <w:r>
        <w:rPr>
          <w:rFonts w:hint="eastAsia" w:ascii="楷体_GB2312" w:hAnsi="楷体_GB2312" w:eastAsia="楷体_GB2312" w:cs="楷体_GB2312"/>
          <w:b/>
          <w:bCs w:val="0"/>
          <w:sz w:val="32"/>
          <w:szCs w:val="32"/>
          <w:lang w:eastAsia="zh-CN"/>
        </w:rPr>
        <w:t>（一）基本职能</w:t>
      </w:r>
      <w:bookmarkEnd w:id="16"/>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组织开展民族宗教政策、理论和民族宗教工作等重大课题的综合调研，掌握全县民族、宗教情况和动态，研究制定我县民族、宗教方面的规范性文件，并负责组织实施和监督检查，保障少数民族的合法权益，指导、督查、协调“一法两规定一条例”等民族法律法规的贯彻落实；</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3、负责协调推动有关部门履行民族工作相关职责，对全县民族工作实施管理、指导，促进民族政策在经济发展和社会事业等相关领域的实施、衔接。参与制定全县社会经济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4、依法加强对宗教事务的管理，保护公民宗教信仰自由，保护宗教教职人员履行正常的教务活动，保护宗教教团和宗教活动场所的合法权益，巩固和发展同宗教界人士进行爱国主义、社会主义、拥护祖国统一和民族团结的自我教育，引导宗教与社会主义社会相适应，团结和动员广大信教群众为改革开放和经济建设服务；</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5、承办县委、县政府民族团结进步表彰活动，组织开展民族团结进步创建活动，负责组织协调全县民族工作领域有关对位和对港澳台的交流与合作，参与涉及民族事务的对外宣传工作，做好民族上层人士、宗教界人士参观及学习等各项管理工作，组织少数民族开展健康有益的文化、体育、爱国卫生及民俗活动；</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6、参与拟订全县少数民族人才队伍建设规划；会同有关部门做好少数民族干部的培养、教育和使用工作；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7、积极争取少数民族发展专项资金项目，合理安排项目建设，做好项目资金的使用管理，加强监督检查；组织协调民族贸易、民族特需用品生产和民族地区对位写作；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8、引导宗教在法律、法规和政策范围内活动，预防和制止不法分子利用宗教进行的非法、违法活动；、抵制境内外敌对势力利用宗教对我进行的参透；</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9、指导宗教团体在宪法、法律和政策允许的范围内按照独立自主、自办教会的原则，搞好自身建设；帮助宗教团体培养、教育宗教教职人员，做好有关培训组织工作；办理宗教团体需政府协助或协调的事务；</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10、负责宣传贯彻国家关于少数民族语言文字方面的政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11、贯彻执行国家和省、州有关两项资金管理工作的政策和规定，依法管理两项资金投资的项目和资金，制定实施全县两项资金管理工作的具体办法和意见；对两项资金投资项目的审查、报批、实施、验收等全过程进行管理和监督；</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12、承办县委、县政府交办的其他事项。</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17" w:name="_Toc14899"/>
      <w:r>
        <w:rPr>
          <w:rFonts w:hint="eastAsia" w:ascii="楷体_GB2312" w:hAnsi="楷体_GB2312" w:eastAsia="楷体_GB2312" w:cs="楷体_GB2312"/>
          <w:b/>
          <w:bCs w:val="0"/>
          <w:sz w:val="32"/>
          <w:szCs w:val="32"/>
          <w:lang w:eastAsia="zh-CN"/>
        </w:rPr>
        <w:t>（二）2022年重点工作任务</w:t>
      </w:r>
      <w:bookmarkEnd w:id="17"/>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履行政治领导责任，做好理论武装和思想工作，负责学习、宣传、贯彻执行党的理论和路线方针政策，贯彻落实党中央、省委、州委、县委的决策部署，发挥好把方向、管大局、保落实的重要作用；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讨论和决定本单位下列重大问题，党的路线方针政策、国家法律法规和上级党组织重要会议、重要文件、重大决策部署的贯彻落实事项。需要向上级党组请示报告的重要事项。内部机构设置、职责、人员编制等事项。重大决策、重要人士任免、重大项目安排、大额资金使用等事项。基层党组织和党员队伍建设方面的重要事项。意识形态工作、思想政治工作和精神文明建设方面的重要事项。党风廉政建设和反腐工作方面的重要事项。其他应当由党组讨论和决定的重大问题。</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履行党要管党、从严治党责任，加强对本单位党的建设的领导，落实党建工作责任制。认真履行党风廉政建设主体责任，支持纪检监察机构履行监督责任。</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18" w:name="_Toc17611"/>
      <w:r>
        <w:rPr>
          <w:rFonts w:hint="eastAsia" w:ascii="黑体" w:eastAsia="黑体"/>
          <w:sz w:val="32"/>
          <w:szCs w:val="32"/>
        </w:rPr>
        <w:t>二、部门</w:t>
      </w:r>
      <w:r>
        <w:rPr>
          <w:rFonts w:hint="eastAsia" w:ascii="黑体" w:eastAsia="黑体"/>
          <w:sz w:val="32"/>
          <w:szCs w:val="32"/>
          <w:lang w:eastAsia="zh-CN"/>
        </w:rPr>
        <w:t>预算单位构成</w:t>
      </w:r>
      <w:bookmarkEnd w:id="18"/>
    </w:p>
    <w:p>
      <w:pPr>
        <w:spacing w:before="0" w:after="0" w:line="576" w:lineRule="auto"/>
        <w:ind w:left="0" w:right="0" w:firstLine="640"/>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民族宗教局下属二级预算单位1个，其中行政单位1个，参照公务员法管理的事业单位0个，其他事业单位0个。</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我单位共有编制</w:t>
      </w:r>
      <w:r>
        <w:rPr>
          <w:rFonts w:hint="eastAsia" w:ascii="仿宋_GB2312" w:hAnsi="仿宋_GB2312" w:eastAsia="仿宋_GB2312" w:cs="仿宋_GB2312"/>
          <w:color w:val="auto"/>
          <w:spacing w:val="0"/>
          <w:position w:val="0"/>
          <w:sz w:val="32"/>
          <w:shd w:val="clear" w:fill="auto"/>
          <w:lang w:val="en-US" w:eastAsia="zh-CN"/>
        </w:rPr>
        <w:t>13</w:t>
      </w:r>
      <w:r>
        <w:rPr>
          <w:rFonts w:ascii="仿宋_GB2312" w:hAnsi="仿宋_GB2312" w:eastAsia="仿宋_GB2312" w:cs="仿宋_GB2312"/>
          <w:color w:val="auto"/>
          <w:spacing w:val="0"/>
          <w:position w:val="0"/>
          <w:sz w:val="32"/>
          <w:shd w:val="clear" w:fill="auto"/>
        </w:rPr>
        <w:t>个，其中公务员编制</w:t>
      </w:r>
      <w:r>
        <w:rPr>
          <w:rFonts w:hint="eastAsia" w:ascii="仿宋_GB2312" w:hAnsi="仿宋_GB2312" w:eastAsia="仿宋_GB2312" w:cs="仿宋_GB2312"/>
          <w:color w:val="auto"/>
          <w:spacing w:val="0"/>
          <w:position w:val="0"/>
          <w:sz w:val="32"/>
          <w:shd w:val="clear" w:fill="auto"/>
          <w:lang w:val="en-US" w:eastAsia="zh-CN"/>
        </w:rPr>
        <w:t>8</w:t>
      </w:r>
      <w:r>
        <w:rPr>
          <w:rFonts w:ascii="仿宋_GB2312" w:hAnsi="仿宋_GB2312" w:eastAsia="仿宋_GB2312" w:cs="仿宋_GB2312"/>
          <w:color w:val="auto"/>
          <w:spacing w:val="0"/>
          <w:position w:val="0"/>
          <w:sz w:val="32"/>
          <w:shd w:val="clear" w:fill="auto"/>
        </w:rPr>
        <w:t>个，行政工勤编制1个，事业编制4个。在职13人，行政工勤1个，公务员8人，事业编制4人，退休4人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19" w:name="_Toc8935"/>
      <w:r>
        <w:rPr>
          <w:rFonts w:hint="eastAsia" w:ascii="黑体" w:eastAsia="黑体"/>
          <w:sz w:val="32"/>
          <w:szCs w:val="32"/>
        </w:rPr>
        <w:t>三、收支预算总体情况</w:t>
      </w:r>
      <w:bookmarkEnd w:id="19"/>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ascii="仿宋_GB2312" w:hAnsi="仿宋_GB2312" w:eastAsia="仿宋_GB2312" w:cs="仿宋_GB2312"/>
          <w:color w:val="auto"/>
          <w:spacing w:val="0"/>
          <w:position w:val="0"/>
          <w:sz w:val="32"/>
          <w:shd w:val="clear" w:fill="auto"/>
        </w:rPr>
        <w:t>红原县</w:t>
      </w:r>
      <w:r>
        <w:rPr>
          <w:rFonts w:hint="eastAsia" w:ascii="仿宋_GB2312" w:hAnsi="仿宋_GB2312" w:eastAsia="仿宋_GB2312" w:cs="仿宋_GB2312"/>
          <w:color w:val="auto"/>
          <w:spacing w:val="0"/>
          <w:position w:val="0"/>
          <w:sz w:val="32"/>
          <w:shd w:val="clear" w:fill="auto"/>
          <w:lang w:val="en-US" w:eastAsia="zh-CN"/>
        </w:rPr>
        <w:t>民族宗教局</w:t>
      </w:r>
      <w:r>
        <w:rPr>
          <w:rFonts w:hint="eastAsia" w:ascii="仿宋_GB2312" w:eastAsia="仿宋_GB2312"/>
          <w:sz w:val="32"/>
          <w:szCs w:val="32"/>
        </w:rPr>
        <w:t>部门（单位）收入预算总额为</w:t>
      </w:r>
      <w:r>
        <w:rPr>
          <w:rFonts w:hint="eastAsia" w:ascii="仿宋_GB2312" w:eastAsia="仿宋_GB2312"/>
          <w:sz w:val="32"/>
          <w:szCs w:val="32"/>
          <w:lang w:val="en-US" w:eastAsia="zh-CN"/>
        </w:rPr>
        <w:t>256.73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256.73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248.73</w:t>
      </w:r>
      <w:r>
        <w:rPr>
          <w:rFonts w:hint="eastAsia" w:ascii="仿宋_GB2312" w:eastAsia="仿宋_GB2312"/>
          <w:sz w:val="32"/>
          <w:szCs w:val="32"/>
        </w:rPr>
        <w:t>万元，其中：</w:t>
      </w:r>
      <w:r>
        <w:rPr>
          <w:rFonts w:hint="eastAsia" w:ascii="仿宋_GB2312" w:eastAsia="仿宋_GB2312"/>
          <w:sz w:val="32"/>
          <w:szCs w:val="32"/>
          <w:lang w:val="en-US" w:eastAsia="zh-CN"/>
        </w:rPr>
        <w:t>一般公共服务181.13</w:t>
      </w:r>
      <w:r>
        <w:rPr>
          <w:rFonts w:hint="eastAsia" w:ascii="仿宋_GB2312" w:eastAsia="仿宋_GB2312"/>
          <w:sz w:val="32"/>
          <w:szCs w:val="32"/>
        </w:rPr>
        <w:t>万元，社会保障和就业</w:t>
      </w:r>
      <w:r>
        <w:rPr>
          <w:rFonts w:hint="eastAsia" w:ascii="仿宋_GB2312" w:eastAsia="仿宋_GB2312"/>
          <w:sz w:val="32"/>
          <w:szCs w:val="32"/>
          <w:lang w:val="en-US" w:eastAsia="zh-CN"/>
        </w:rPr>
        <w:t>32.24</w:t>
      </w:r>
      <w:r>
        <w:rPr>
          <w:rFonts w:hint="eastAsia" w:ascii="仿宋_GB2312" w:eastAsia="仿宋_GB2312"/>
          <w:sz w:val="32"/>
          <w:szCs w:val="32"/>
        </w:rPr>
        <w:t>万元，医疗卫生</w:t>
      </w:r>
      <w:r>
        <w:rPr>
          <w:rFonts w:hint="eastAsia" w:ascii="仿宋_GB2312" w:eastAsia="仿宋_GB2312"/>
          <w:sz w:val="32"/>
          <w:szCs w:val="32"/>
          <w:lang w:val="en-US" w:eastAsia="zh-CN"/>
        </w:rPr>
        <w:t>12.69</w:t>
      </w:r>
      <w:r>
        <w:rPr>
          <w:rFonts w:hint="eastAsia" w:ascii="仿宋_GB2312" w:eastAsia="仿宋_GB2312"/>
          <w:sz w:val="32"/>
          <w:szCs w:val="32"/>
        </w:rPr>
        <w:t>万元，住房保障支出</w:t>
      </w:r>
      <w:r>
        <w:rPr>
          <w:rFonts w:hint="eastAsia" w:ascii="仿宋_GB2312" w:eastAsia="仿宋_GB2312"/>
          <w:sz w:val="32"/>
          <w:szCs w:val="32"/>
          <w:lang w:val="en-US" w:eastAsia="zh-CN"/>
        </w:rPr>
        <w:t>22.67</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20" w:name="_Toc1883"/>
      <w:r>
        <w:rPr>
          <w:rFonts w:hint="eastAsia" w:ascii="黑体" w:eastAsia="黑体"/>
          <w:sz w:val="32"/>
          <w:szCs w:val="32"/>
        </w:rPr>
        <w:t>支出预算安排情况</w:t>
      </w:r>
      <w:bookmarkEnd w:id="20"/>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ascii="仿宋_GB2312" w:hAnsi="仿宋_GB2312" w:eastAsia="仿宋_GB2312" w:cs="仿宋_GB2312"/>
          <w:color w:val="auto"/>
          <w:spacing w:val="0"/>
          <w:position w:val="0"/>
          <w:sz w:val="32"/>
          <w:shd w:val="clear" w:fill="auto"/>
        </w:rPr>
        <w:t xml:space="preserve"> 红原县</w:t>
      </w:r>
      <w:r>
        <w:rPr>
          <w:rFonts w:hint="eastAsia" w:ascii="仿宋_GB2312" w:hAnsi="仿宋_GB2312" w:eastAsia="仿宋_GB2312" w:cs="仿宋_GB2312"/>
          <w:color w:val="auto"/>
          <w:spacing w:val="0"/>
          <w:position w:val="0"/>
          <w:sz w:val="32"/>
          <w:shd w:val="clear" w:fill="auto"/>
          <w:lang w:val="en-US" w:eastAsia="zh-CN"/>
        </w:rPr>
        <w:t>民族宗教局</w:t>
      </w:r>
      <w:r>
        <w:rPr>
          <w:rFonts w:hint="eastAsia" w:ascii="仿宋_GB2312" w:eastAsia="仿宋_GB2312"/>
          <w:sz w:val="32"/>
          <w:szCs w:val="32"/>
        </w:rPr>
        <w:t>部门（单位）预算安排支出主要用于保障该部门机构正常运转、完成日常工作任务以及承担</w:t>
      </w:r>
      <w:r>
        <w:rPr>
          <w:rFonts w:ascii="仿宋_GB2312" w:hAnsi="仿宋_GB2312" w:eastAsia="仿宋_GB2312" w:cs="仿宋_GB2312"/>
          <w:color w:val="auto"/>
          <w:spacing w:val="0"/>
          <w:position w:val="0"/>
          <w:sz w:val="32"/>
          <w:shd w:val="clear" w:fill="auto"/>
        </w:rPr>
        <w:t>我乡</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240.33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206.5万元，机关运行经费33.83万元，其中：办公费6.64万元，差旅费5.18万元，工会经费1.61万元，公务用车运行维护费5.57万元，培训费1万元，邮电费3.5万元，电费1万元，水费0.5万元，劳务费1万元，取暖费1万元，公务接待费0.65万元，会议费1万元，印刷费5.18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val="en-US" w:eastAsia="zh-CN"/>
        </w:rPr>
        <w:t>一般公共服务181.13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32.24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12.69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pacing w:val="0"/>
          <w:position w:val="0"/>
          <w:sz w:val="32"/>
          <w:shd w:val="clear" w:fill="auto"/>
          <w:lang w:val="en-US" w:eastAsia="zh-CN"/>
        </w:rPr>
      </w:pPr>
      <w:r>
        <w:rPr>
          <w:rFonts w:hint="eastAsia" w:ascii="仿宋_GB2312" w:eastAsia="仿宋_GB2312"/>
          <w:sz w:val="32"/>
          <w:szCs w:val="32"/>
        </w:rPr>
        <w:t>（四）住房保障支出</w:t>
      </w:r>
      <w:r>
        <w:rPr>
          <w:rFonts w:hint="eastAsia" w:ascii="仿宋_GB2312" w:eastAsia="仿宋_GB2312"/>
          <w:sz w:val="32"/>
          <w:szCs w:val="32"/>
          <w:lang w:val="en-US" w:eastAsia="zh-CN"/>
        </w:rPr>
        <w:t>22.67</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w:t>
      </w:r>
      <w:bookmarkStart w:id="21" w:name="_Toc13404"/>
      <w:r>
        <w:rPr>
          <w:rFonts w:hint="eastAsia" w:ascii="黑体" w:hAnsi="黑体" w:eastAsia="黑体" w:cs="黑体"/>
          <w:color w:val="333333"/>
          <w:kern w:val="0"/>
          <w:sz w:val="32"/>
          <w:szCs w:val="32"/>
          <w:shd w:val="clear" w:color="auto" w:fill="FFFFFF"/>
          <w:lang w:val="en-US" w:eastAsia="zh-CN" w:bidi="ar"/>
        </w:rPr>
        <w:t>五、较上年度增减变化</w:t>
      </w:r>
      <w:bookmarkEnd w:id="21"/>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本年度预算拨款收入256.73万元较上年度预算</w:t>
      </w:r>
      <w:r>
        <w:rPr>
          <w:rFonts w:ascii="仿宋_GB2312" w:hAnsi="仿宋_GB2312" w:eastAsia="仿宋_GB2312" w:cs="仿宋_GB2312"/>
          <w:color w:val="auto"/>
          <w:spacing w:val="0"/>
          <w:position w:val="0"/>
          <w:sz w:val="32"/>
          <w:shd w:val="clear" w:fill="auto"/>
        </w:rPr>
        <w:t>241.73</w:t>
      </w:r>
      <w:r>
        <w:rPr>
          <w:rFonts w:hint="eastAsia" w:ascii="仿宋_GB2312" w:eastAsia="仿宋_GB2312"/>
          <w:sz w:val="32"/>
          <w:szCs w:val="32"/>
          <w:lang w:val="en-US" w:eastAsia="zh-CN"/>
        </w:rPr>
        <w:t>万元减少了6.20%，其中基本行政运行经费预算240.33万元，占全部总预算的93.61%，较上年</w:t>
      </w:r>
      <w:r>
        <w:rPr>
          <w:rFonts w:ascii="仿宋_GB2312" w:hAnsi="仿宋_GB2312" w:eastAsia="仿宋_GB2312" w:cs="仿宋_GB2312"/>
          <w:color w:val="auto"/>
          <w:spacing w:val="0"/>
          <w:position w:val="0"/>
          <w:sz w:val="32"/>
          <w:shd w:val="clear" w:fill="auto"/>
        </w:rPr>
        <w:t>178.36</w:t>
      </w:r>
      <w:r>
        <w:rPr>
          <w:rFonts w:hint="eastAsia" w:ascii="仿宋_GB2312" w:eastAsia="仿宋_GB2312"/>
          <w:sz w:val="32"/>
          <w:szCs w:val="32"/>
          <w:lang w:val="en-US" w:eastAsia="zh-CN"/>
        </w:rPr>
        <w:t>万元减少了34.74%，原因为压缩各项开支，减少基本支出；专项业务工作经费预算8.4万元，占总预算的3.27%，较上年预算</w:t>
      </w:r>
      <w:r>
        <w:rPr>
          <w:rFonts w:ascii="仿宋_GB2312" w:hAnsi="仿宋_GB2312" w:eastAsia="仿宋_GB2312" w:cs="仿宋_GB2312"/>
          <w:color w:val="auto"/>
          <w:spacing w:val="0"/>
          <w:position w:val="0"/>
          <w:sz w:val="32"/>
          <w:shd w:val="clear" w:fill="auto"/>
        </w:rPr>
        <w:t>3</w:t>
      </w:r>
      <w:r>
        <w:rPr>
          <w:rFonts w:hint="eastAsia" w:ascii="仿宋_GB2312" w:eastAsia="仿宋_GB2312"/>
          <w:sz w:val="32"/>
          <w:szCs w:val="32"/>
          <w:lang w:val="en-US" w:eastAsia="zh-CN"/>
        </w:rPr>
        <w:t xml:space="preserve">万元减少了-180%，主要原因为缩减了项目经费开支，减少相关支出。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2" w:name="_Toc23085"/>
      <w:r>
        <w:rPr>
          <w:rFonts w:hint="eastAsia" w:ascii="黑体" w:hAnsi="黑体" w:eastAsia="黑体" w:cs="黑体"/>
          <w:color w:val="333333"/>
          <w:kern w:val="0"/>
          <w:sz w:val="32"/>
          <w:szCs w:val="32"/>
          <w:shd w:val="clear" w:color="auto" w:fill="FFFFFF"/>
          <w:lang w:val="en-US" w:eastAsia="zh-CN" w:bidi="ar"/>
        </w:rPr>
        <w:t>六、“三公”经费预算</w:t>
      </w:r>
      <w:bookmarkEnd w:id="22"/>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本年度三公经费预算安排支出为6.22万元，其中：出国费0万元，与上年持平，主要原因为未安排因公出国；公车购置费0元，与上年减少/持平/增加；公务用车维护费支出5.57万元，较上年度预算</w:t>
      </w:r>
      <w:r>
        <w:rPr>
          <w:rFonts w:ascii="仿宋_GB2312" w:hAnsi="仿宋_GB2312" w:eastAsia="仿宋_GB2312" w:cs="仿宋_GB2312"/>
          <w:color w:val="auto"/>
          <w:spacing w:val="0"/>
          <w:position w:val="0"/>
          <w:sz w:val="32"/>
          <w:shd w:val="clear" w:fill="auto"/>
        </w:rPr>
        <w:t>7.87</w:t>
      </w:r>
      <w:r>
        <w:rPr>
          <w:rFonts w:hint="eastAsia" w:ascii="仿宋_GB2312" w:eastAsia="仿宋_GB2312"/>
          <w:sz w:val="32"/>
          <w:szCs w:val="32"/>
          <w:lang w:val="en-US" w:eastAsia="zh-CN"/>
        </w:rPr>
        <w:t>万元较上年减少2.3万元，主要原因严格执行“八项规定、六项禁令”；二是将有关股室的工作有机地结合起来，减少不必要的资源浪费。/较上年度预算增加0万元，</w:t>
      </w:r>
      <w:r>
        <w:rPr>
          <w:rFonts w:ascii="仿宋_GB2312" w:hAnsi="仿宋_GB2312" w:eastAsia="仿宋_GB2312" w:cs="仿宋_GB2312"/>
          <w:color w:val="auto"/>
          <w:spacing w:val="0"/>
          <w:position w:val="0"/>
          <w:sz w:val="32"/>
          <w:shd w:val="clear" w:fill="auto"/>
        </w:rPr>
        <w:t>主要是安排的专项工作用车较多</w:t>
      </w:r>
      <w:r>
        <w:rPr>
          <w:rFonts w:hint="eastAsia" w:ascii="仿宋_GB2312" w:eastAsia="仿宋_GB2312"/>
          <w:sz w:val="32"/>
          <w:szCs w:val="32"/>
          <w:lang w:val="en-US" w:eastAsia="zh-CN"/>
        </w:rPr>
        <w:t>；公务接待费0.65万元，较上年度预算减少/持平/增</w:t>
      </w:r>
      <w:r>
        <w:rPr>
          <w:rFonts w:ascii="仿宋_GB2312" w:hAnsi="仿宋_GB2312" w:eastAsia="仿宋_GB2312" w:cs="仿宋_GB2312"/>
          <w:color w:val="auto"/>
          <w:spacing w:val="0"/>
          <w:position w:val="0"/>
          <w:sz w:val="32"/>
          <w:shd w:val="clear" w:fill="auto"/>
        </w:rPr>
        <w:t>0.87</w:t>
      </w:r>
      <w:r>
        <w:rPr>
          <w:rFonts w:hint="eastAsia" w:ascii="仿宋_GB2312" w:eastAsia="仿宋_GB2312"/>
          <w:sz w:val="32"/>
          <w:szCs w:val="32"/>
          <w:lang w:val="en-US" w:eastAsia="zh-CN"/>
        </w:rPr>
        <w:t>万元较上年减少0.22万元，</w:t>
      </w:r>
      <w:r>
        <w:rPr>
          <w:rFonts w:ascii="仿宋_GB2312" w:hAnsi="仿宋_GB2312" w:eastAsia="仿宋_GB2312" w:cs="仿宋_GB2312"/>
          <w:color w:val="auto"/>
          <w:spacing w:val="0"/>
          <w:position w:val="0"/>
          <w:sz w:val="32"/>
          <w:shd w:val="clear" w:fill="auto"/>
        </w:rPr>
        <w:t>主要原因为本年度我们将严格执行“八项规定、六项禁令”</w:t>
      </w:r>
      <w:r>
        <w:rPr>
          <w:rFonts w:hint="eastAsia" w:ascii="仿宋_GB2312" w:eastAsia="仿宋_GB2312"/>
          <w:sz w:val="32"/>
          <w:szCs w:val="32"/>
          <w:lang w:val="en-US" w:eastAsia="zh-CN"/>
        </w:rPr>
        <w:t xml:space="preserve">，本年度我们将严格执行“八项规定、六项禁令”，结合本年度工作需要，减少不必要的开支。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3" w:name="_Toc28268"/>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2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4" w:name="_Toc15372"/>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24"/>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5" w:name="_Toc8637"/>
      <w:r>
        <w:rPr>
          <w:rFonts w:hint="eastAsia" w:ascii="黑体" w:hAnsi="黑体" w:eastAsia="黑体" w:cs="黑体"/>
          <w:color w:val="333333"/>
          <w:kern w:val="0"/>
          <w:sz w:val="32"/>
          <w:szCs w:val="32"/>
          <w:shd w:val="clear" w:color="auto" w:fill="FFFFFF"/>
          <w:lang w:val="en-US" w:eastAsia="zh-CN" w:bidi="ar"/>
        </w:rPr>
        <w:t>九、其他重要事项的情况说明</w:t>
      </w:r>
      <w:bookmarkEnd w:id="2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1"/>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26" w:name="_Toc31720"/>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26"/>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27" w:name="_Toc9952"/>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27"/>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截止2021年底，实际共有固定资产原值价值22</w:t>
      </w:r>
      <w:r>
        <w:rPr>
          <w:rFonts w:hint="eastAsia" w:ascii="仿宋_GB2312" w:eastAsia="仿宋_GB2312"/>
          <w:sz w:val="32"/>
          <w:szCs w:val="32"/>
          <w:lang w:eastAsia="zh-CN"/>
        </w:rPr>
        <w:t>万元：其中：通用设备</w:t>
      </w:r>
      <w:r>
        <w:rPr>
          <w:rFonts w:hint="eastAsia" w:ascii="仿宋_GB2312" w:eastAsia="仿宋_GB2312"/>
          <w:sz w:val="32"/>
          <w:szCs w:val="32"/>
          <w:lang w:val="en-US" w:eastAsia="zh-CN"/>
        </w:rPr>
        <w:t>16.06</w:t>
      </w:r>
      <w:r>
        <w:rPr>
          <w:rFonts w:hint="eastAsia" w:ascii="仿宋_GB2312" w:eastAsia="仿宋_GB2312"/>
          <w:sz w:val="32"/>
          <w:szCs w:val="32"/>
          <w:lang w:eastAsia="zh-CN"/>
        </w:rPr>
        <w:t>万元，家具、用具、装具及动植物</w:t>
      </w:r>
      <w:r>
        <w:rPr>
          <w:rFonts w:hint="eastAsia" w:ascii="仿宋_GB2312" w:eastAsia="仿宋_GB2312"/>
          <w:sz w:val="32"/>
          <w:szCs w:val="32"/>
          <w:lang w:val="en-US" w:eastAsia="zh-CN"/>
        </w:rPr>
        <w:t>5.94万元。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28" w:name="_Toc10237"/>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2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172A27"/>
    <w:rsid w:val="011D5503"/>
    <w:rsid w:val="01342F8B"/>
    <w:rsid w:val="01D76A2E"/>
    <w:rsid w:val="021A1DF9"/>
    <w:rsid w:val="06632AB0"/>
    <w:rsid w:val="06895A9A"/>
    <w:rsid w:val="08FC7724"/>
    <w:rsid w:val="099063BD"/>
    <w:rsid w:val="0D1627E2"/>
    <w:rsid w:val="0FEF7509"/>
    <w:rsid w:val="10B92046"/>
    <w:rsid w:val="112A102E"/>
    <w:rsid w:val="115359BA"/>
    <w:rsid w:val="12AC7E51"/>
    <w:rsid w:val="133E3CAE"/>
    <w:rsid w:val="148A3534"/>
    <w:rsid w:val="14B576AB"/>
    <w:rsid w:val="15D16A44"/>
    <w:rsid w:val="162D2B44"/>
    <w:rsid w:val="16EA5669"/>
    <w:rsid w:val="18870CA9"/>
    <w:rsid w:val="1BB26885"/>
    <w:rsid w:val="1E3C4283"/>
    <w:rsid w:val="1E9633A0"/>
    <w:rsid w:val="22D32F03"/>
    <w:rsid w:val="23601570"/>
    <w:rsid w:val="27421475"/>
    <w:rsid w:val="293F0359"/>
    <w:rsid w:val="2AE143F4"/>
    <w:rsid w:val="2D241839"/>
    <w:rsid w:val="31FB1843"/>
    <w:rsid w:val="34E73E2D"/>
    <w:rsid w:val="3566298D"/>
    <w:rsid w:val="35AE1B08"/>
    <w:rsid w:val="36594F2F"/>
    <w:rsid w:val="36B531BA"/>
    <w:rsid w:val="36D60061"/>
    <w:rsid w:val="39031AEA"/>
    <w:rsid w:val="3A674062"/>
    <w:rsid w:val="3BB14FA2"/>
    <w:rsid w:val="3C0A6B46"/>
    <w:rsid w:val="3C7A1435"/>
    <w:rsid w:val="3CAD258A"/>
    <w:rsid w:val="3CF17972"/>
    <w:rsid w:val="3E951153"/>
    <w:rsid w:val="3EF9183B"/>
    <w:rsid w:val="404305C3"/>
    <w:rsid w:val="40F13726"/>
    <w:rsid w:val="41C14C68"/>
    <w:rsid w:val="441F662D"/>
    <w:rsid w:val="442D7D7A"/>
    <w:rsid w:val="46751AB6"/>
    <w:rsid w:val="467D3C94"/>
    <w:rsid w:val="46ED5D81"/>
    <w:rsid w:val="495C7913"/>
    <w:rsid w:val="49934BEA"/>
    <w:rsid w:val="4A2B1E3B"/>
    <w:rsid w:val="4F13753B"/>
    <w:rsid w:val="4F511869"/>
    <w:rsid w:val="51601A98"/>
    <w:rsid w:val="555E53B0"/>
    <w:rsid w:val="564F1075"/>
    <w:rsid w:val="56F015BA"/>
    <w:rsid w:val="5A2D1B44"/>
    <w:rsid w:val="5FDC69A0"/>
    <w:rsid w:val="60D5150D"/>
    <w:rsid w:val="60EA3BB6"/>
    <w:rsid w:val="623F130D"/>
    <w:rsid w:val="626B5128"/>
    <w:rsid w:val="634D74DE"/>
    <w:rsid w:val="636966A0"/>
    <w:rsid w:val="63A04715"/>
    <w:rsid w:val="641F6497"/>
    <w:rsid w:val="647C553B"/>
    <w:rsid w:val="64FF4B43"/>
    <w:rsid w:val="670175BB"/>
    <w:rsid w:val="67112510"/>
    <w:rsid w:val="68CE2649"/>
    <w:rsid w:val="6ACA62A3"/>
    <w:rsid w:val="6B125EF8"/>
    <w:rsid w:val="6B1F0615"/>
    <w:rsid w:val="6C404F62"/>
    <w:rsid w:val="6CD94AB3"/>
    <w:rsid w:val="6D761D6D"/>
    <w:rsid w:val="6E624B8E"/>
    <w:rsid w:val="6EAF12CE"/>
    <w:rsid w:val="6FBF4B32"/>
    <w:rsid w:val="70F00356"/>
    <w:rsid w:val="715252A1"/>
    <w:rsid w:val="72057ADC"/>
    <w:rsid w:val="73651CC1"/>
    <w:rsid w:val="73EB2393"/>
    <w:rsid w:val="74EB73D3"/>
    <w:rsid w:val="7739090A"/>
    <w:rsid w:val="778B1293"/>
    <w:rsid w:val="77D71A19"/>
    <w:rsid w:val="78530440"/>
    <w:rsid w:val="79FC73F5"/>
    <w:rsid w:val="7B312348"/>
    <w:rsid w:val="7B5C58A3"/>
    <w:rsid w:val="7BB60A4E"/>
    <w:rsid w:val="7D9E186E"/>
    <w:rsid w:val="7F250A52"/>
    <w:rsid w:val="7FB74DC6"/>
    <w:rsid w:val="7FC524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Autospacing="0"/>
    </w:pPr>
    <w:rPr>
      <w:rFonts w:ascii="Arial" w:hAnsi="Arial"/>
      <w:sz w:val="24"/>
    </w:rPr>
  </w:style>
  <w:style w:type="paragraph" w:styleId="3">
    <w:name w:val="Body Text"/>
    <w:basedOn w:val="1"/>
    <w:qFormat/>
    <w:uiPriority w:val="0"/>
    <w:pPr>
      <w:spacing w:before="93" w:beforeLines="30"/>
    </w:pPr>
    <w:rPr>
      <w:rFonts w:ascii="仿宋_GB2312" w:eastAsia="仿宋_GB2312"/>
      <w:sz w:val="30"/>
    </w:rPr>
  </w:style>
  <w:style w:type="paragraph" w:styleId="4">
    <w:name w:val="Body Text Indent"/>
    <w:basedOn w:val="1"/>
    <w:next w:val="5"/>
    <w:qFormat/>
    <w:uiPriority w:val="99"/>
    <w:pPr>
      <w:spacing w:after="120"/>
      <w:ind w:left="420" w:leftChars="200"/>
    </w:pPr>
    <w:rPr>
      <w:szCs w:val="20"/>
    </w:rPr>
  </w:style>
  <w:style w:type="paragraph" w:styleId="5">
    <w:name w:val="Body Text First Indent 2"/>
    <w:basedOn w:val="4"/>
    <w:qFormat/>
    <w:uiPriority w:val="99"/>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uiPriority w:val="0"/>
  </w:style>
  <w:style w:type="paragraph" w:styleId="8">
    <w:name w:val="toc 2"/>
    <w:basedOn w:val="1"/>
    <w:next w:val="1"/>
    <w:uiPriority w:val="0"/>
    <w:pPr>
      <w:ind w:left="420" w:leftChars="200"/>
    </w:p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styleId="13">
    <w:name w:val="line number"/>
    <w:basedOn w:val="11"/>
    <w:qFormat/>
    <w:uiPriority w:val="0"/>
    <w:rPr>
      <w:rFonts w:hint="default"/>
      <w:sz w:val="22"/>
    </w:rPr>
  </w:style>
  <w:style w:type="character" w:styleId="14">
    <w:name w:val="Hyperlink"/>
    <w:qFormat/>
    <w:uiPriority w:val="0"/>
    <w:rPr>
      <w:rFonts w:hint="default"/>
      <w:sz w:val="22"/>
    </w:rPr>
  </w:style>
  <w:style w:type="paragraph" w:customStyle="1" w:styleId="15">
    <w:name w:val="WPSOffice手动目录 1"/>
    <w:uiPriority w:val="0"/>
    <w:pPr>
      <w:ind w:leftChars="0"/>
    </w:pPr>
    <w:rPr>
      <w:sz w:val="20"/>
      <w:szCs w:val="20"/>
    </w:rPr>
  </w:style>
  <w:style w:type="paragraph" w:customStyle="1" w:styleId="16">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万信会计服务田会计</cp:lastModifiedBy>
  <dcterms:modified xsi:type="dcterms:W3CDTF">2023-10-24T13:43:11Z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499B579CD6AF4520BD77514B1BAE8586</vt:lpwstr>
  </property>
</Properties>
</file>