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left="0" w:leftChars="0" w:firstLine="0" w:firstLineChars="0"/>
        <w:jc w:val="center"/>
        <w:rPr>
          <w:rFonts w:hint="default" w:eastAsia="方正小标宋简体"/>
          <w:lang w:val="en-US" w:eastAsia="zh-CN"/>
        </w:rPr>
      </w:pPr>
      <w:r>
        <w:rPr>
          <w:rFonts w:hint="eastAsia"/>
          <w:lang w:val="en-US" w:eastAsia="zh-CN"/>
        </w:rPr>
        <w:t>红原县发展和改革局</w:t>
      </w:r>
    </w:p>
    <w:p>
      <w:pPr>
        <w:spacing w:before="0" w:line="668" w:lineRule="exact"/>
        <w:ind w:right="1264"/>
        <w:jc w:val="center"/>
        <w:rPr>
          <w:rFonts w:hint="eastAsia" w:ascii="方正小标宋简体" w:eastAsia="方正小标宋简体"/>
          <w:sz w:val="44"/>
        </w:rPr>
      </w:pPr>
      <w:r>
        <w:rPr>
          <w:rFonts w:hint="eastAsia" w:ascii="方正小标宋简体" w:eastAsia="方正小标宋简体"/>
          <w:sz w:val="44"/>
        </w:rPr>
        <w:t>2022 年部门预算编制的说明</w:t>
      </w:r>
    </w:p>
    <w:p>
      <w:pPr>
        <w:pStyle w:val="2"/>
        <w:spacing w:before="7"/>
        <w:ind w:left="0"/>
        <w:jc w:val="center"/>
        <w:rPr>
          <w:rFonts w:ascii="方正小标宋简体"/>
          <w:sz w:val="36"/>
        </w:rPr>
      </w:pPr>
    </w:p>
    <w:p>
      <w:pPr>
        <w:pStyle w:val="2"/>
        <w:spacing w:line="326" w:lineRule="auto"/>
        <w:ind w:left="101" w:right="426" w:firstLine="643"/>
      </w:pPr>
      <w:r>
        <w:rPr>
          <w:spacing w:val="-13"/>
        </w:rPr>
        <w:t>按照预算管理有关规定，目前部门预算的编制实行综合预算</w:t>
      </w:r>
      <w:r>
        <w:rPr>
          <w:spacing w:val="-6"/>
        </w:rPr>
        <w:t>制度，即全部收入和支出都反映在预算中。</w:t>
      </w:r>
    </w:p>
    <w:p>
      <w:pPr>
        <w:pStyle w:val="2"/>
        <w:spacing w:before="4"/>
        <w:rPr>
          <w:rFonts w:hint="eastAsia" w:ascii="黑体" w:eastAsia="黑体"/>
        </w:rPr>
      </w:pPr>
      <w:r>
        <w:rPr>
          <w:rFonts w:hint="eastAsia" w:ascii="黑体" w:eastAsia="黑体"/>
        </w:rPr>
        <w:t>一、基本职能及主要工作</w:t>
      </w:r>
    </w:p>
    <w:p>
      <w:pPr>
        <w:pStyle w:val="5"/>
        <w:spacing w:before="242"/>
        <w:ind w:left="773"/>
      </w:pPr>
      <w:r>
        <w:t>（一）基本职能</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eastAsia="zh-CN"/>
        </w:rPr>
        <w:t>（一）基本职能</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1</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负责拟订并组织实施全省国民经济</w:t>
      </w:r>
      <w:bookmarkStart w:id="0" w:name="_GoBack"/>
      <w:bookmarkEnd w:id="0"/>
      <w:r>
        <w:rPr>
          <w:rFonts w:hint="eastAsia" w:ascii="仿宋_GB2312" w:eastAsia="仿宋_GB2312"/>
          <w:color w:val="auto"/>
          <w:sz w:val="32"/>
          <w:szCs w:val="32"/>
          <w:shd w:val="clear" w:color="auto" w:fill="FFFFFF"/>
        </w:rPr>
        <w:t>和社会发展战略、中长期规划和年度计划，统筹协调全县经济社会发展，研究分析宏观经济形势，提出全县经济社会发展、经济结构优化、价格总水平调控目标和政策建议。提出统筹解决人口问题的目标、任务建议和人口与经济、社会、资源、环境协调可持续发展的政策建议</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受县政府委托向县人大提交国民经济和社会发展计划报告。</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2</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负责监测宏观经济和社会发展态势，承担预测预警和信息引导的责任，研究宏观调控重大问题并提出政策建议，搞好总量平衡，综合协调经济社会发展中的重大问题。</w:t>
      </w:r>
    </w:p>
    <w:p>
      <w:pPr>
        <w:pStyle w:val="6"/>
        <w:spacing w:before="0" w:beforeAutospacing="0" w:after="0" w:afterAutospacing="0" w:line="560" w:lineRule="exact"/>
        <w:rPr>
          <w:rFonts w:ascii="仿宋_GB2312" w:eastAsia="仿宋_GB2312"/>
          <w:color w:val="auto"/>
          <w:sz w:val="32"/>
          <w:szCs w:val="32"/>
          <w:shd w:val="clear" w:color="auto" w:fill="FFFFFF"/>
        </w:rPr>
      </w:pPr>
      <w:r>
        <w:rPr>
          <w:rFonts w:eastAsia="仿宋_GB2312"/>
          <w:color w:val="auto"/>
          <w:sz w:val="32"/>
          <w:szCs w:val="32"/>
          <w:shd w:val="clear" w:color="auto" w:fill="FFFFFF"/>
        </w:rPr>
        <w:t>  </w:t>
      </w:r>
      <w:r>
        <w:rPr>
          <w:rFonts w:hint="eastAsia" w:ascii="仿宋_GB2312" w:eastAsia="仿宋_GB2312"/>
          <w:color w:val="auto"/>
          <w:sz w:val="32"/>
          <w:szCs w:val="32"/>
          <w:shd w:val="clear" w:color="auto" w:fill="FFFFFF"/>
          <w:lang w:val="en-US" w:eastAsia="zh-CN"/>
        </w:rPr>
        <w:t>3</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负责全县投资宏观管理和协调推进重大项目建设。拟订全社会固定资产投资总规模和投资结构，编制年度投资计划；按规定权限审批、核准、备案或转报固定资产投资项目（含企业技术改造项目）和资源开发利用、外资、境外投资项目。引导民间投资方向，组织开展重大建设项目稽察。</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4</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负责全县社会发展与国民经济发展的政策衔接，组织拟订社会发展战略、总体规划和年度计划，参与拟订人口和计划生育、科学技术、教育、文化、卫生、民政等发展政策，推进社会事业建设。</w:t>
      </w:r>
    </w:p>
    <w:p>
      <w:pPr>
        <w:snapToGrid w:val="0"/>
        <w:spacing w:line="560" w:lineRule="exact"/>
        <w:ind w:firstLine="640" w:firstLineChars="200"/>
        <w:rPr>
          <w:rFonts w:ascii="仿宋_GB2312" w:eastAsia="仿宋_GB2312"/>
          <w:color w:val="auto"/>
          <w:sz w:val="32"/>
          <w:szCs w:val="32"/>
          <w:shd w:val="clear" w:color="auto" w:fill="FFFFFF"/>
        </w:rPr>
      </w:pPr>
      <w:r>
        <w:rPr>
          <w:rFonts w:hint="eastAsia" w:ascii="仿宋_GB2312" w:hAnsi="宋体" w:eastAsia="仿宋_GB2312"/>
          <w:color w:val="auto"/>
          <w:sz w:val="32"/>
          <w:szCs w:val="32"/>
          <w:shd w:val="clear" w:color="auto" w:fill="FFFFFF"/>
          <w:lang w:val="en-US" w:eastAsia="zh-CN"/>
        </w:rPr>
        <w:t>5</w:t>
      </w:r>
      <w:r>
        <w:rPr>
          <w:rFonts w:ascii="仿宋_GB2312" w:hAnsi="宋体" w:eastAsia="仿宋_GB2312"/>
          <w:color w:val="auto"/>
          <w:sz w:val="32"/>
          <w:szCs w:val="32"/>
          <w:shd w:val="clear" w:color="auto" w:fill="FFFFFF"/>
        </w:rPr>
        <w:t>.</w:t>
      </w:r>
      <w:r>
        <w:rPr>
          <w:rFonts w:hint="eastAsia" w:ascii="仿宋_GB2312" w:hAnsi="宋体" w:eastAsia="仿宋_GB2312"/>
          <w:color w:val="auto"/>
          <w:sz w:val="32"/>
          <w:szCs w:val="32"/>
          <w:shd w:val="clear" w:color="auto" w:fill="FFFFFF"/>
        </w:rPr>
        <w:t>推进经济结构战略性调整。</w:t>
      </w:r>
      <w:r>
        <w:rPr>
          <w:rFonts w:hint="eastAsia" w:ascii="仿宋_GB2312" w:eastAsia="仿宋_GB2312"/>
          <w:color w:val="auto"/>
          <w:sz w:val="32"/>
          <w:szCs w:val="32"/>
          <w:shd w:val="clear" w:color="auto" w:fill="FFFFFF"/>
        </w:rPr>
        <w:t>组织拟订全县综合性产业政策，负责协调第一、二、三产业发展的重大问题，衔接平衡相关发展规划和重大政策，协调农业和农村经济社会发展的重大问题，衔接农村专项规划和政策。拟订重大产业发展规划，引导全县重大生产力合理布局，协调推进全州重大技术装备推广应用和重大产业基地建设，会同有关部门拟订服务业、现代物流业发展战略、规划和重大政策。组织拟订高技术产业发展、产业技术进步的战略、规划和重大政策，指导全州自主创新体系建设发展。</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6</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推进可持续发展，负责全县节能减排的综合协调工作，组织拟订并协调实施全县发展循环经济、能源资源节约和综合利用规划及政策措施，参与编制生态建设、环境保护规划，协调生态建设、能源资源节约和综合利用的重大问题。</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指导、协调并综合管理全县招标投标工作，对国家和省重大建设项目建设过程中的工程招标投标活动实施监督检查。</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8</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负责贯彻落实国家、省关于价格、收费改革的方针政策，拟订全县价格、收费改革方案并组织实施；负责研究草拟价格收费地方性法规、规章、政策；提出全县价格总水平调控目标和措施，研究提出保持价格总水平基本稳定的措施建议；负责监测、分析、预报全县市场价格动态和变化趋势，提出政策建议；负责监督指导全县价格法律、法规和规章制度的贯彻实施，开展反价格垄断行政执法和价格公共服务工作；负责贯彻实施国家、省各项价格规定和统一调价方案，拟订全县重要商品和服务项目的价格政策；制定并公布政府定价和政府指导价；负责贯彻执行国家、省行政事业性收费管理政策，会同有关部门审定行政事业性收费项目和标准，组织实施行政事业性收费、经营性收费许可证制度和年度审验制度；负责监督检查政府定价、政府指导价以及政策规定的收费标准的执行情况；负责受理价格、收费违法行为和不正当价格行为的举报、投诉；负责实施价格行政执法，依法查处价格违法行为和违法案件，实施行政处罚；承担涉案物品价格评估；承担组织对农产品、垄断行业、公用事业和公益性服务价格的成本调查和监审；承担商品和服务价格定价成本监审工作。</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9</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负责监测、分析工业经济运行态势和质量，协调解决工业经济运行中的重大问题。负责电力、成品油、天然气、煤炭等重要物资综合调控、紧急调度工作和交通运输协同配合工作，负责民爆物品销售环节的安全监督管理，承办年度工业经济目标责任考核。</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0</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负责制订并组织实施工业、信息化相关行业的发展规划、年度计划并组织实施。指导行业质量管理工作。负责企业技术改造、技术创新、生产运行等涉及财政、信贷、税收、保险等方面问题的协调；负责全县工业和信息化领域的节能降耗、清洁生产和资源节约与综合利用工作，协调推进工业化与生态环境协调发展中的重大问题，组织实施相关重大示范项目和新产品、新技术、新工艺、新设备、新材料的推广应用。推进企业信用制度建设，指导企业建立现代企业制度；负责全县企业治乱减负工作；指导企业经营管理人员、专业技术人员培训；参与全县整顿和规范市场经济秩序工作。推进产业园区发展，推进园区公共配套设施建设，组织实施产业园区公共服务平台项目计划，负责与各园区的衔接、协调并处理相关事务。</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1</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统筹推进全县信息化工作，指导和监督政府部门、重点行业的重要信息系统与信息网络的安全保障工作，指导信息安全防范工作，协调电信市场涉及社会公共利益的重大事项。参与处理网络与信息安全重大事件。统一配置和管理全县无线电频谱资源，依法监督管理无线电台</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站</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，负责无线电电磁环境保护工作，依法组织实施无线电管制。</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2</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承担全县服务业发展工作中组织实施的协调职责，推进流通产业结构调整，加快第三方物流发展，指导流通企业改革、商贸服务业和社区商业发展，提出促进商贸企业发展的政策建议，推动流通标准化和连锁经营、商业特许经营、物流配送、电子商务等现代流通方式的发展。</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3</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贯彻国家、省制定的引导国内外资金投向市场体系建设相关政策，编制大宗产品批发市场规划，指导城市商业网点规划和商业体系建设工作，推进农村市场体系建设，组织实施农村现代流通网络工程，促进城乡市场一体化发展。</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4</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承担牵头协调全县整顿和规范市场经济秩序工作的责任，贯彻国家、省规范市场运行和流通秩序的政策，推动商务领域信用建设，指导商业信用销售，建立市场诚信公共服务平台，对特殊流通行业进行监督管理。</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5</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承担组织实施重要消费品市场调控和重要生产资料流通管理的责任，负责建立健全生活必需品市场供应应急管理机制，监测分析市场运行、商品供求状况，调查分析商品价格信息，进行预测预警和信息引导，按分工负责重要消费品储备管理和市场调控工作。</w:t>
      </w:r>
      <w:r>
        <w:rPr>
          <w:rFonts w:eastAsia="仿宋_GB2312"/>
          <w:color w:val="auto"/>
          <w:sz w:val="32"/>
          <w:szCs w:val="32"/>
          <w:shd w:val="clear" w:color="auto" w:fill="FFFFFF"/>
        </w:rPr>
        <w:t> </w:t>
      </w:r>
    </w:p>
    <w:p>
      <w:pPr>
        <w:pStyle w:val="6"/>
        <w:spacing w:before="0" w:beforeAutospacing="0" w:after="0" w:afterAutospacing="0" w:line="560" w:lineRule="exact"/>
        <w:ind w:firstLine="640" w:firstLineChars="200"/>
        <w:rPr>
          <w:rFonts w:ascii="仿宋_GB2312" w:hAnsi="黑体" w:eastAsia="仿宋_GB2312"/>
          <w:b/>
          <w:color w:val="auto"/>
          <w:sz w:val="32"/>
          <w:szCs w:val="32"/>
          <w:shd w:val="clear" w:color="auto" w:fill="FFFFFF"/>
        </w:rPr>
      </w:pPr>
      <w:r>
        <w:rPr>
          <w:rFonts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6</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会同有关部门提出对外开放和利用外资的政策建议，参与区域经济合作和承接产业转移工作。</w:t>
      </w:r>
      <w:r>
        <w:rPr>
          <w:rFonts w:hint="eastAsia" w:ascii="仿宋_GB2312" w:hAnsi="???" w:eastAsia="仿宋_GB2312"/>
          <w:color w:val="auto"/>
          <w:sz w:val="32"/>
          <w:szCs w:val="32"/>
          <w:shd w:val="clear" w:color="auto" w:fill="FFFFFF"/>
        </w:rPr>
        <w:t>拟定全县商务发展规划，年度计划并组织实施。整顿和规范市场经济秩序工作</w:t>
      </w:r>
      <w:r>
        <w:rPr>
          <w:rFonts w:ascii="仿宋_GB2312" w:hAnsi="???" w:eastAsia="仿宋_GB2312"/>
          <w:color w:val="auto"/>
          <w:sz w:val="32"/>
          <w:szCs w:val="32"/>
          <w:shd w:val="clear" w:color="auto" w:fill="FFFFFF"/>
        </w:rPr>
        <w:t>;</w:t>
      </w:r>
      <w:r>
        <w:rPr>
          <w:rFonts w:hint="eastAsia" w:ascii="仿宋_GB2312" w:hAnsi="???" w:eastAsia="仿宋_GB2312"/>
          <w:color w:val="auto"/>
          <w:sz w:val="32"/>
          <w:szCs w:val="32"/>
          <w:shd w:val="clear" w:color="auto" w:fill="FFFFFF"/>
        </w:rPr>
        <w:t>指导、部署和协调各项专项整治行动；承担全县对外开放、招商引资、对外贸易、外经合作和国内贸易流通管理职责，</w:t>
      </w:r>
      <w:r>
        <w:rPr>
          <w:rFonts w:hint="eastAsia" w:ascii="仿宋_GB2312" w:eastAsia="仿宋_GB2312"/>
          <w:color w:val="auto"/>
          <w:sz w:val="32"/>
          <w:szCs w:val="32"/>
          <w:shd w:val="clear" w:color="auto" w:fill="FFFFFF"/>
        </w:rPr>
        <w:t>开展对外交流与合作、国际化经营、境外投资及兼并重组。</w:t>
      </w:r>
    </w:p>
    <w:p>
      <w:pPr>
        <w:snapToGrid w:val="0"/>
        <w:spacing w:line="560" w:lineRule="exact"/>
        <w:ind w:firstLine="640" w:firstLineChars="200"/>
        <w:rPr>
          <w:rFonts w:ascii="仿宋_GB2312" w:eastAsia="仿宋_GB2312"/>
          <w:color w:val="auto"/>
          <w:sz w:val="32"/>
          <w:szCs w:val="32"/>
          <w:shd w:val="clear" w:color="auto" w:fill="FFFFFF"/>
        </w:rPr>
      </w:pPr>
      <w:r>
        <w:rPr>
          <w:rFonts w:ascii="仿宋_GB2312" w:hAnsi="宋体" w:eastAsia="仿宋_GB2312"/>
          <w:color w:val="auto"/>
          <w:sz w:val="32"/>
          <w:szCs w:val="32"/>
          <w:shd w:val="clear" w:color="auto" w:fill="FFFFFF"/>
        </w:rPr>
        <w:t>1</w:t>
      </w:r>
      <w:r>
        <w:rPr>
          <w:rFonts w:hint="eastAsia" w:ascii="仿宋_GB2312" w:hAnsi="宋体" w:eastAsia="仿宋_GB2312"/>
          <w:color w:val="auto"/>
          <w:sz w:val="32"/>
          <w:szCs w:val="32"/>
          <w:shd w:val="clear" w:color="auto" w:fill="FFFFFF"/>
          <w:lang w:val="en-US" w:eastAsia="zh-CN"/>
        </w:rPr>
        <w:t>7</w:t>
      </w:r>
      <w:r>
        <w:rPr>
          <w:rFonts w:ascii="仿宋_GB2312" w:hAnsi="宋体" w:eastAsia="仿宋_GB2312"/>
          <w:color w:val="auto"/>
          <w:sz w:val="32"/>
          <w:szCs w:val="32"/>
          <w:shd w:val="clear" w:color="auto" w:fill="FFFFFF"/>
        </w:rPr>
        <w:t>.</w:t>
      </w:r>
      <w:r>
        <w:rPr>
          <w:rFonts w:hint="eastAsia" w:ascii="仿宋_GB2312" w:eastAsia="仿宋_GB2312"/>
          <w:color w:val="auto"/>
          <w:sz w:val="32"/>
          <w:szCs w:val="32"/>
          <w:shd w:val="clear" w:color="auto" w:fill="FFFFFF"/>
        </w:rPr>
        <w:t>根据国家和省以工代赈方针、政策，编制以工代赈规划，审核、转报和下达以工代赈计划，负责以工代赈部门协调、以工代赈项目检查监督、验收和总结等工作。</w:t>
      </w:r>
    </w:p>
    <w:p>
      <w:pPr>
        <w:pStyle w:val="6"/>
        <w:spacing w:before="0" w:beforeAutospacing="0" w:after="0" w:afterAutospacing="0" w:line="560" w:lineRule="exact"/>
        <w:ind w:firstLine="640" w:firstLineChars="200"/>
        <w:rPr>
          <w:rFonts w:ascii="仿宋_GB2312" w:eastAsia="仿宋_GB2312"/>
          <w:color w:val="auto"/>
          <w:sz w:val="32"/>
          <w:szCs w:val="32"/>
          <w:shd w:val="clear" w:color="auto" w:fill="FFFFFF"/>
        </w:rPr>
      </w:pPr>
      <w:r>
        <w:rPr>
          <w:rFonts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8</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承担县政府公布的有关行政审批事项。</w:t>
      </w:r>
    </w:p>
    <w:p>
      <w:pPr>
        <w:pStyle w:val="6"/>
        <w:spacing w:before="0" w:beforeAutospacing="0" w:after="0" w:afterAutospacing="0" w:line="560" w:lineRule="exact"/>
        <w:ind w:firstLine="640" w:firstLineChars="200"/>
      </w:pPr>
      <w:r>
        <w:rPr>
          <w:rFonts w:hint="eastAsia" w:ascii="仿宋_GB2312" w:eastAsia="仿宋_GB2312"/>
          <w:color w:val="auto"/>
          <w:sz w:val="32"/>
          <w:szCs w:val="32"/>
          <w:shd w:val="clear" w:color="auto" w:fill="FFFFFF"/>
          <w:lang w:val="en-US" w:eastAsia="zh-CN"/>
        </w:rPr>
        <w:t>19</w:t>
      </w:r>
      <w:r>
        <w:rPr>
          <w:rFonts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rPr>
        <w:t>承办县政府交办的其他事项。</w:t>
      </w:r>
    </w:p>
    <w:p>
      <w:pPr>
        <w:pStyle w:val="5"/>
        <w:spacing w:before="248"/>
        <w:ind w:left="773"/>
      </w:pPr>
      <w:r>
        <w:t>（二）2022 年重点工作任务</w:t>
      </w:r>
    </w:p>
    <w:p>
      <w:pPr>
        <w:keepNext w:val="0"/>
        <w:keepLines w:val="0"/>
        <w:pageBreakBefore w:val="0"/>
        <w:widowControl w:val="0"/>
        <w:numPr>
          <w:ilvl w:val="0"/>
          <w:numId w:val="0"/>
        </w:numPr>
        <w:pBdr>
          <w:bottom w:val="single" w:color="FFFFFF" w:sz="4" w:space="31"/>
        </w:pBdr>
        <w:tabs>
          <w:tab w:val="left" w:pos="1440"/>
        </w:tabs>
        <w:kinsoku/>
        <w:wordWrap/>
        <w:overflowPunct w:val="0"/>
        <w:topLinePunct w:val="0"/>
        <w:autoSpaceDE/>
        <w:autoSpaceDN/>
        <w:bidi w:val="0"/>
        <w:adjustRightInd w:val="0"/>
        <w:snapToGrid w:val="0"/>
        <w:spacing w:line="576" w:lineRule="exact"/>
        <w:ind w:left="0" w:leftChars="0" w:firstLine="640" w:firstLineChars="200"/>
        <w:textAlignment w:val="auto"/>
        <w:outlineLvl w:val="2"/>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紧扣职能职责，以项目为抓手，</w:t>
      </w:r>
      <w:r>
        <w:rPr>
          <w:rFonts w:hint="eastAsia" w:ascii="仿宋" w:hAnsi="仿宋" w:eastAsia="仿宋" w:cs="仿宋"/>
          <w:color w:val="auto"/>
          <w:sz w:val="32"/>
          <w:szCs w:val="32"/>
          <w:u w:val="none"/>
        </w:rPr>
        <w:t>围绕</w:t>
      </w:r>
      <w:r>
        <w:rPr>
          <w:rFonts w:hint="eastAsia" w:ascii="仿宋" w:hAnsi="仿宋" w:eastAsia="仿宋" w:cs="仿宋"/>
          <w:color w:val="auto"/>
          <w:sz w:val="32"/>
          <w:szCs w:val="32"/>
          <w:u w:val="none"/>
          <w:lang w:eastAsia="zh-CN"/>
        </w:rPr>
        <w:t>省、</w:t>
      </w:r>
      <w:r>
        <w:rPr>
          <w:rFonts w:hint="eastAsia" w:ascii="仿宋" w:hAnsi="仿宋" w:eastAsia="仿宋" w:cs="仿宋"/>
          <w:color w:val="auto"/>
          <w:sz w:val="32"/>
          <w:szCs w:val="32"/>
          <w:u w:val="none"/>
        </w:rPr>
        <w:t>州</w:t>
      </w:r>
      <w:r>
        <w:rPr>
          <w:rFonts w:hint="eastAsia" w:ascii="仿宋" w:hAnsi="仿宋" w:eastAsia="仿宋" w:cs="仿宋"/>
          <w:color w:val="auto"/>
          <w:sz w:val="32"/>
          <w:szCs w:val="32"/>
          <w:u w:val="none"/>
          <w:lang w:eastAsia="zh-CN"/>
        </w:rPr>
        <w:t>战略部署，县委、县政府中</w:t>
      </w:r>
      <w:r>
        <w:rPr>
          <w:rFonts w:hint="eastAsia" w:ascii="仿宋" w:hAnsi="仿宋" w:eastAsia="仿宋" w:cs="仿宋"/>
          <w:color w:val="auto"/>
          <w:sz w:val="32"/>
          <w:szCs w:val="32"/>
          <w:u w:val="none"/>
          <w:lang w:val="en-US" w:eastAsia="zh-CN"/>
        </w:rPr>
        <w:t>心工作，抓好以下几项工作。</w:t>
      </w:r>
    </w:p>
    <w:p>
      <w:pPr>
        <w:keepNext w:val="0"/>
        <w:keepLines w:val="0"/>
        <w:pageBreakBefore w:val="0"/>
        <w:widowControl w:val="0"/>
        <w:numPr>
          <w:ilvl w:val="0"/>
          <w:numId w:val="1"/>
        </w:numPr>
        <w:pBdr>
          <w:bottom w:val="single" w:color="FFFFFF" w:sz="4" w:space="31"/>
        </w:pBdr>
        <w:tabs>
          <w:tab w:val="left" w:pos="1440"/>
        </w:tabs>
        <w:kinsoku/>
        <w:wordWrap/>
        <w:overflowPunct w:val="0"/>
        <w:topLinePunct w:val="0"/>
        <w:autoSpaceDE/>
        <w:autoSpaceDN/>
        <w:bidi w:val="0"/>
        <w:adjustRightInd w:val="0"/>
        <w:snapToGrid w:val="0"/>
        <w:spacing w:line="576" w:lineRule="exact"/>
        <w:ind w:left="0" w:leftChars="0" w:firstLine="640" w:firstLineChars="200"/>
        <w:textAlignment w:val="auto"/>
        <w:outlineLvl w:val="2"/>
        <w:rPr>
          <w:rFonts w:hint="eastAsia" w:ascii="楷体" w:hAnsi="楷体" w:eastAsia="楷体" w:cs="楷体"/>
          <w:sz w:val="32"/>
          <w:szCs w:val="32"/>
          <w:u w:val="none"/>
          <w:lang w:val="en-US" w:eastAsia="zh-CN"/>
        </w:rPr>
      </w:pPr>
      <w:r>
        <w:rPr>
          <w:rFonts w:hint="eastAsia" w:ascii="楷体" w:hAnsi="楷体" w:eastAsia="楷体" w:cs="楷体"/>
          <w:sz w:val="32"/>
          <w:szCs w:val="32"/>
          <w:u w:val="none"/>
          <w:lang w:val="en-US" w:eastAsia="zh-CN"/>
        </w:rPr>
        <w:t>抓项目，促投资，在推动投资增长上下功夫</w:t>
      </w:r>
    </w:p>
    <w:p>
      <w:pPr>
        <w:keepNext w:val="0"/>
        <w:keepLines w:val="0"/>
        <w:pageBreakBefore w:val="0"/>
        <w:widowControl w:val="0"/>
        <w:numPr>
          <w:ilvl w:val="0"/>
          <w:numId w:val="0"/>
        </w:numPr>
        <w:pBdr>
          <w:bottom w:val="single" w:color="FFFFFF" w:sz="4" w:space="31"/>
        </w:pBdr>
        <w:tabs>
          <w:tab w:val="left" w:pos="1440"/>
        </w:tabs>
        <w:kinsoku/>
        <w:wordWrap/>
        <w:overflowPunct w:val="0"/>
        <w:topLinePunct w:val="0"/>
        <w:autoSpaceDE/>
        <w:autoSpaceDN/>
        <w:bidi w:val="0"/>
        <w:adjustRightInd w:val="0"/>
        <w:snapToGrid w:val="0"/>
        <w:spacing w:line="576" w:lineRule="exact"/>
        <w:ind w:left="0" w:leftChars="0" w:firstLine="421" w:firstLineChars="136"/>
        <w:textAlignment w:val="auto"/>
        <w:outlineLvl w:val="2"/>
        <w:rPr>
          <w:rFonts w:hint="eastAsia" w:ascii="仿宋" w:hAnsi="仿宋" w:eastAsia="仿宋" w:cs="仿宋"/>
          <w:b w:val="0"/>
          <w:bCs w:val="0"/>
          <w:color w:val="auto"/>
          <w:sz w:val="32"/>
          <w:szCs w:val="32"/>
          <w:highlight w:val="none"/>
          <w:u w:val="none"/>
          <w:lang w:val="en-US" w:eastAsia="zh-CN"/>
        </w:rPr>
      </w:pPr>
      <w:r>
        <w:rPr>
          <w:rFonts w:hint="eastAsia" w:ascii="仿宋_GB2312" w:hAnsi="仿宋_GB2312" w:eastAsia="仿宋_GB2312" w:cs="仿宋_GB2312"/>
          <w:b/>
          <w:bCs w:val="0"/>
          <w:spacing w:val="-6"/>
          <w:kern w:val="2"/>
          <w:sz w:val="32"/>
          <w:szCs w:val="32"/>
          <w:u w:val="none"/>
          <w:lang w:val="en-US" w:eastAsia="zh-CN" w:bidi="ar-SA"/>
        </w:rPr>
        <w:t>一是加强项目争取。</w:t>
      </w:r>
      <w:r>
        <w:rPr>
          <w:rFonts w:hint="eastAsia" w:ascii="仿宋_GB2312" w:hAnsi="仿宋_GB2312" w:eastAsia="仿宋_GB2312" w:cs="仿宋_GB2312"/>
          <w:bCs/>
          <w:spacing w:val="-6"/>
          <w:kern w:val="2"/>
          <w:sz w:val="32"/>
          <w:szCs w:val="32"/>
          <w:u w:val="none"/>
          <w:lang w:val="en-US" w:eastAsia="zh-CN" w:bidi="ar-SA"/>
        </w:rPr>
        <w:t>通过</w:t>
      </w:r>
      <w:r>
        <w:rPr>
          <w:rFonts w:hint="eastAsia" w:ascii="仿宋" w:hAnsi="仿宋" w:eastAsia="仿宋" w:cs="仿宋"/>
          <w:b w:val="0"/>
          <w:bCs w:val="0"/>
          <w:color w:val="auto"/>
          <w:sz w:val="32"/>
          <w:szCs w:val="32"/>
          <w:u w:val="none"/>
          <w:lang w:val="en-US" w:eastAsia="zh-CN"/>
        </w:rPr>
        <w:t>SZ争取资金9591万元，实施：红原县热坤村乡村振兴堤防建设项目、红原县城区高原供氧试点项目、红原县乡镇干部职工周转宿舍建设项目、红原县寺庙基础设施建设项目落实落地，进一步补齐民生短板；计划投资4980万元，通过黄河流域专项申报实施若尔盖湿地水源涵养能力提升工程（红原县部分）项目，助力生态保护；计划投资800万元，通过以工代赈项目申报实施刷经寺和江茸乡2022年两个以工代赈项目，优化乡村产业结构，助力乡村全面振兴。同时，拟通过既有专争取：红原县公安局应急联勤基地、医疗废物处置、乡村垃圾污水处理、州级救灾物资储备库、长征国家文化公园、红军过草地纪念馆等项目，涉及投资4亿余元。</w:t>
      </w:r>
      <w:r>
        <w:rPr>
          <w:rFonts w:hint="eastAsia" w:ascii="仿宋" w:hAnsi="仿宋" w:eastAsia="仿宋" w:cs="仿宋"/>
          <w:b/>
          <w:bCs/>
          <w:color w:val="auto"/>
          <w:sz w:val="32"/>
          <w:szCs w:val="32"/>
          <w:u w:val="none"/>
          <w:lang w:val="en-US" w:eastAsia="zh-CN"/>
        </w:rPr>
        <w:t>二是加强项目储备。</w:t>
      </w:r>
      <w:r>
        <w:rPr>
          <w:rFonts w:hint="eastAsia" w:ascii="Times New Roman" w:hAnsi="Times New Roman" w:eastAsia="仿宋_GB2312" w:cs="Times New Roman"/>
          <w:color w:val="auto"/>
          <w:sz w:val="32"/>
          <w:szCs w:val="32"/>
          <w:highlight w:val="none"/>
          <w:u w:val="none"/>
          <w:lang w:val="en-US" w:eastAsia="zh-CN"/>
        </w:rPr>
        <w:t>以</w:t>
      </w:r>
      <w:r>
        <w:rPr>
          <w:rFonts w:hint="default" w:ascii="Times New Roman" w:hAnsi="Times New Roman" w:eastAsia="仿宋_GB2312" w:cs="Times New Roman"/>
          <w:color w:val="auto"/>
          <w:sz w:val="32"/>
          <w:szCs w:val="32"/>
          <w:highlight w:val="none"/>
          <w:u w:val="none"/>
          <w:lang w:val="en-US" w:eastAsia="zh-CN"/>
        </w:rPr>
        <w:t>黄河</w:t>
      </w:r>
      <w:r>
        <w:rPr>
          <w:rFonts w:hint="eastAsia" w:ascii="Times New Roman" w:hAnsi="Times New Roman" w:eastAsia="仿宋_GB2312" w:cs="Times New Roman"/>
          <w:color w:val="auto"/>
          <w:sz w:val="32"/>
          <w:szCs w:val="32"/>
          <w:highlight w:val="none"/>
          <w:u w:val="none"/>
          <w:lang w:val="en-US" w:eastAsia="zh-CN"/>
        </w:rPr>
        <w:t>流域</w:t>
      </w:r>
      <w:r>
        <w:rPr>
          <w:rFonts w:hint="default" w:ascii="Times New Roman" w:hAnsi="Times New Roman" w:eastAsia="仿宋_GB2312" w:cs="Times New Roman"/>
          <w:color w:val="auto"/>
          <w:sz w:val="32"/>
          <w:szCs w:val="32"/>
          <w:highlight w:val="none"/>
          <w:u w:val="none"/>
          <w:lang w:val="en-US" w:eastAsia="zh-CN"/>
        </w:rPr>
        <w:t>生态保护治理和高质量发展、若尔盖国家公园建设、</w:t>
      </w:r>
      <w:r>
        <w:rPr>
          <w:rFonts w:hint="eastAsia" w:ascii="Times New Roman" w:hAnsi="Times New Roman" w:eastAsia="仿宋_GB2312" w:cs="Times New Roman"/>
          <w:color w:val="auto"/>
          <w:sz w:val="32"/>
          <w:szCs w:val="32"/>
          <w:highlight w:val="none"/>
          <w:u w:val="none"/>
          <w:lang w:val="en-US" w:eastAsia="zh-CN"/>
        </w:rPr>
        <w:t>新时期</w:t>
      </w:r>
      <w:r>
        <w:rPr>
          <w:rFonts w:hint="eastAsia" w:ascii="仿宋" w:hAnsi="仿宋" w:eastAsia="仿宋" w:cs="仿宋"/>
          <w:color w:val="auto"/>
          <w:sz w:val="32"/>
          <w:szCs w:val="32"/>
          <w:u w:val="none"/>
          <w:lang w:val="en-US" w:eastAsia="zh-CN"/>
        </w:rPr>
        <w:t>涉藏</w:t>
      </w:r>
      <w:r>
        <w:rPr>
          <w:rFonts w:hint="default" w:ascii="仿宋" w:hAnsi="仿宋" w:eastAsia="仿宋" w:cs="仿宋"/>
          <w:color w:val="auto"/>
          <w:sz w:val="32"/>
          <w:szCs w:val="32"/>
          <w:u w:val="none"/>
          <w:lang w:val="en-US" w:eastAsia="zh-CN"/>
        </w:rPr>
        <w:t>等重大国家战略</w:t>
      </w:r>
      <w:r>
        <w:rPr>
          <w:rFonts w:hint="eastAsia" w:ascii="仿宋" w:hAnsi="仿宋" w:eastAsia="仿宋" w:cs="仿宋"/>
          <w:color w:val="auto"/>
          <w:sz w:val="32"/>
          <w:szCs w:val="32"/>
          <w:u w:val="none"/>
          <w:lang w:val="en-US" w:eastAsia="zh-CN"/>
        </w:rPr>
        <w:t>为契机</w:t>
      </w:r>
      <w:r>
        <w:rPr>
          <w:rFonts w:hint="default"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val="en-US" w:eastAsia="zh-CN"/>
        </w:rPr>
        <w:t>聚焦基础设施、生态文明、民生事业和产业发展等重点领域，储备一批支撑性、带动性、引领性项目纳入国家和省规划盘子，</w:t>
      </w:r>
      <w:r>
        <w:rPr>
          <w:rFonts w:hint="default" w:ascii="Times New Roman" w:hAnsi="Times New Roman" w:eastAsia="仿宋_GB2312" w:cs="Times New Roman"/>
          <w:color w:val="auto"/>
          <w:sz w:val="32"/>
          <w:szCs w:val="32"/>
          <w:highlight w:val="none"/>
          <w:u w:val="none"/>
          <w:lang w:val="en-US" w:eastAsia="zh-CN"/>
        </w:rPr>
        <w:t>对储备项目进行再梳理</w:t>
      </w:r>
      <w:r>
        <w:rPr>
          <w:rFonts w:hint="eastAsia" w:ascii="Times New Roman" w:hAnsi="Times New Roman" w:eastAsia="仿宋_GB2312" w:cs="Times New Roman"/>
          <w:color w:val="auto"/>
          <w:sz w:val="32"/>
          <w:szCs w:val="32"/>
          <w:highlight w:val="none"/>
          <w:u w:val="none"/>
          <w:lang w:val="en-US" w:eastAsia="zh-CN"/>
        </w:rPr>
        <w:t>、再判断，分别形成黄河流域生态保护和高质量发展项目库、SZ项目中期调整建设计划项目库、污染治理和节能减碳中央预算内投资专项项目库、中央预算内既有专项项目库。</w:t>
      </w:r>
      <w:r>
        <w:rPr>
          <w:rFonts w:hint="eastAsia" w:ascii="仿宋" w:hAnsi="仿宋" w:eastAsia="仿宋" w:cs="仿宋"/>
          <w:b/>
          <w:bCs/>
          <w:color w:val="auto"/>
          <w:sz w:val="32"/>
          <w:szCs w:val="32"/>
          <w:highlight w:val="none"/>
          <w:u w:val="none"/>
          <w:lang w:val="en-US" w:eastAsia="zh-CN"/>
        </w:rPr>
        <w:t>三是</w:t>
      </w:r>
      <w:r>
        <w:rPr>
          <w:rFonts w:hint="eastAsia" w:ascii="仿宋" w:hAnsi="仿宋" w:eastAsia="仿宋" w:cs="仿宋"/>
          <w:b/>
          <w:bCs/>
          <w:sz w:val="32"/>
          <w:szCs w:val="32"/>
          <w:u w:val="none"/>
          <w:lang w:val="en-US" w:eastAsia="zh-CN"/>
        </w:rPr>
        <w:t>加快项目推进。</w:t>
      </w:r>
      <w:r>
        <w:rPr>
          <w:rFonts w:hint="eastAsia" w:ascii="Times New Roman" w:hAnsi="Times New Roman" w:eastAsia="仿宋_GB2312" w:cs="Times New Roman"/>
          <w:color w:val="auto"/>
          <w:sz w:val="32"/>
          <w:szCs w:val="32"/>
          <w:highlight w:val="none"/>
          <w:u w:val="none"/>
          <w:lang w:val="en-US" w:eastAsia="zh-CN"/>
        </w:rPr>
        <w:t>按照责任分工，采取任务倒逼、责任倒逼、时间倒逼、管理倒逼等措施，督促业主单位加快工程进度和工程款拨付。特别是以下达投资计划尚</w:t>
      </w:r>
      <w:r>
        <w:rPr>
          <w:rFonts w:hint="eastAsia" w:ascii="Times New Roman" w:hAnsi="Times New Roman" w:eastAsia="仿宋_GB2312" w:cs="Times New Roman"/>
          <w:b w:val="0"/>
          <w:bCs w:val="0"/>
          <w:color w:val="auto"/>
          <w:sz w:val="32"/>
          <w:szCs w:val="32"/>
          <w:highlight w:val="none"/>
          <w:u w:val="none"/>
          <w:lang w:val="en-US" w:eastAsia="zh-CN"/>
        </w:rPr>
        <w:t>未开工建设</w:t>
      </w:r>
      <w:r>
        <w:rPr>
          <w:rFonts w:hint="eastAsia" w:ascii="仿宋" w:hAnsi="仿宋" w:eastAsia="仿宋" w:cs="仿宋"/>
          <w:b w:val="0"/>
          <w:bCs w:val="0"/>
          <w:color w:val="auto"/>
          <w:sz w:val="32"/>
          <w:szCs w:val="32"/>
          <w:highlight w:val="none"/>
          <w:u w:val="none"/>
          <w:lang w:val="en-US" w:eastAsia="zh-CN"/>
        </w:rPr>
        <w:t>的供暖三期、红原县中学等项目。</w:t>
      </w:r>
    </w:p>
    <w:p>
      <w:pPr>
        <w:keepNext w:val="0"/>
        <w:keepLines w:val="0"/>
        <w:pageBreakBefore w:val="0"/>
        <w:widowControl w:val="0"/>
        <w:numPr>
          <w:ilvl w:val="0"/>
          <w:numId w:val="1"/>
        </w:numPr>
        <w:pBdr>
          <w:bottom w:val="single" w:color="FFFFFF" w:sz="4" w:space="31"/>
        </w:pBdr>
        <w:tabs>
          <w:tab w:val="left" w:pos="1440"/>
        </w:tabs>
        <w:kinsoku/>
        <w:wordWrap/>
        <w:overflowPunct w:val="0"/>
        <w:topLinePunct w:val="0"/>
        <w:autoSpaceDE/>
        <w:autoSpaceDN/>
        <w:bidi w:val="0"/>
        <w:adjustRightInd w:val="0"/>
        <w:snapToGrid w:val="0"/>
        <w:spacing w:line="576" w:lineRule="exact"/>
        <w:ind w:left="0" w:leftChars="0" w:firstLine="640" w:firstLineChars="200"/>
        <w:textAlignment w:val="auto"/>
        <w:outlineLvl w:val="2"/>
        <w:rPr>
          <w:rFonts w:hint="eastAsia" w:ascii="仿宋" w:hAnsi="仿宋" w:eastAsia="仿宋" w:cs="仿宋"/>
          <w:color w:val="auto"/>
          <w:sz w:val="32"/>
          <w:szCs w:val="32"/>
          <w:u w:val="none"/>
          <w:lang w:eastAsia="zh-CN"/>
        </w:rPr>
      </w:pPr>
      <w:r>
        <w:rPr>
          <w:rFonts w:hint="eastAsia" w:ascii="楷体" w:hAnsi="楷体" w:eastAsia="楷体" w:cs="楷体"/>
          <w:sz w:val="32"/>
          <w:szCs w:val="32"/>
          <w:u w:val="none"/>
          <w:lang w:val="en-US" w:eastAsia="zh-CN"/>
        </w:rPr>
        <w:t>优结构、促转型，在培殖新增动能上下功夫</w:t>
      </w:r>
    </w:p>
    <w:p>
      <w:pPr>
        <w:keepNext w:val="0"/>
        <w:keepLines w:val="0"/>
        <w:pageBreakBefore w:val="0"/>
        <w:widowControl w:val="0"/>
        <w:numPr>
          <w:ilvl w:val="0"/>
          <w:numId w:val="0"/>
        </w:numPr>
        <w:pBdr>
          <w:bottom w:val="single" w:color="FFFFFF" w:sz="4" w:space="31"/>
        </w:pBdr>
        <w:tabs>
          <w:tab w:val="left" w:pos="1440"/>
        </w:tabs>
        <w:kinsoku/>
        <w:wordWrap/>
        <w:overflowPunct w:val="0"/>
        <w:topLinePunct w:val="0"/>
        <w:autoSpaceDE/>
        <w:autoSpaceDN/>
        <w:bidi w:val="0"/>
        <w:adjustRightInd w:val="0"/>
        <w:snapToGrid w:val="0"/>
        <w:spacing w:line="576" w:lineRule="exact"/>
        <w:ind w:left="0" w:leftChars="0" w:firstLine="739" w:firstLineChars="230"/>
        <w:textAlignment w:val="auto"/>
        <w:outlineLvl w:val="2"/>
        <w:rPr>
          <w:rFonts w:hint="eastAsia" w:ascii="仿宋" w:hAnsi="仿宋" w:eastAsia="仿宋" w:cs="仿宋"/>
          <w:color w:val="auto"/>
          <w:sz w:val="32"/>
          <w:szCs w:val="32"/>
          <w:u w:val="none"/>
          <w:lang w:eastAsia="zh-CN"/>
        </w:rPr>
      </w:pPr>
      <w:r>
        <w:rPr>
          <w:rFonts w:hint="eastAsia" w:ascii="仿宋" w:hAnsi="仿宋" w:eastAsia="仿宋" w:cs="仿宋"/>
          <w:b/>
          <w:bCs/>
          <w:color w:val="000000"/>
          <w:sz w:val="32"/>
          <w:szCs w:val="32"/>
          <w:u w:val="none"/>
          <w:lang w:eastAsia="zh-CN"/>
        </w:rPr>
        <w:t>一是加快现代草原畜牧业建设。</w:t>
      </w:r>
      <w:r>
        <w:rPr>
          <w:rFonts w:hint="eastAsia" w:ascii="仿宋" w:hAnsi="仿宋" w:eastAsia="仿宋" w:cs="仿宋"/>
          <w:b w:val="0"/>
          <w:bCs w:val="0"/>
          <w:sz w:val="32"/>
          <w:szCs w:val="32"/>
          <w:u w:val="none"/>
        </w:rPr>
        <w:t>通</w:t>
      </w:r>
      <w:r>
        <w:rPr>
          <w:rFonts w:hint="eastAsia" w:ascii="仿宋" w:hAnsi="仿宋" w:eastAsia="仿宋" w:cs="仿宋"/>
          <w:sz w:val="32"/>
          <w:szCs w:val="32"/>
          <w:u w:val="none"/>
        </w:rPr>
        <w:t>过优化资源配置，延伸完善现代畜牧业基础设施，建设标准化规模化养殖场、冷链物流园等手段</w:t>
      </w:r>
      <w:r>
        <w:rPr>
          <w:rFonts w:hint="eastAsia" w:ascii="仿宋" w:hAnsi="仿宋" w:eastAsia="仿宋" w:cs="仿宋"/>
          <w:sz w:val="32"/>
          <w:szCs w:val="32"/>
          <w:u w:val="none"/>
          <w:lang w:eastAsia="zh-CN"/>
        </w:rPr>
        <w:t>，</w:t>
      </w:r>
      <w:r>
        <w:rPr>
          <w:rFonts w:hint="eastAsia" w:ascii="仿宋" w:hAnsi="仿宋" w:eastAsia="仿宋" w:cs="仿宋"/>
          <w:sz w:val="32"/>
          <w:szCs w:val="32"/>
          <w:u w:val="none"/>
        </w:rPr>
        <w:t>有效提升发展规模</w:t>
      </w:r>
      <w:r>
        <w:rPr>
          <w:rFonts w:hint="eastAsia" w:ascii="仿宋" w:hAnsi="仿宋" w:eastAsia="仿宋" w:cs="仿宋"/>
          <w:sz w:val="32"/>
          <w:szCs w:val="32"/>
          <w:u w:val="none"/>
          <w:lang w:eastAsia="zh-CN"/>
        </w:rPr>
        <w:t>。</w:t>
      </w:r>
      <w:r>
        <w:rPr>
          <w:rFonts w:hint="eastAsia" w:ascii="仿宋" w:hAnsi="仿宋" w:eastAsia="仿宋" w:cs="仿宋"/>
          <w:sz w:val="32"/>
          <w:szCs w:val="32"/>
          <w:u w:val="none"/>
        </w:rPr>
        <w:t>通过产业延伸、产业多元、产业升级，走出一条“三产深度融合”的现代畜牧业发展之路。</w:t>
      </w:r>
      <w:r>
        <w:rPr>
          <w:rFonts w:hint="eastAsia" w:ascii="仿宋" w:hAnsi="仿宋" w:eastAsia="仿宋" w:cs="仿宋"/>
          <w:b/>
          <w:bCs/>
          <w:color w:val="000000"/>
          <w:sz w:val="32"/>
          <w:szCs w:val="32"/>
          <w:u w:val="none"/>
          <w:lang w:eastAsia="zh-CN"/>
        </w:rPr>
        <w:t>二是</w:t>
      </w:r>
      <w:r>
        <w:rPr>
          <w:rFonts w:hint="eastAsia" w:ascii="仿宋" w:hAnsi="仿宋" w:eastAsia="仿宋" w:cs="仿宋"/>
          <w:b/>
          <w:bCs/>
          <w:color w:val="000000"/>
          <w:sz w:val="32"/>
          <w:szCs w:val="32"/>
          <w:u w:val="none"/>
        </w:rPr>
        <w:t>推进传统工业上档升级</w:t>
      </w:r>
      <w:r>
        <w:rPr>
          <w:rFonts w:hint="eastAsia" w:ascii="仿宋" w:hAnsi="仿宋" w:eastAsia="仿宋" w:cs="仿宋"/>
          <w:b/>
          <w:bCs/>
          <w:color w:val="000000"/>
          <w:sz w:val="32"/>
          <w:szCs w:val="32"/>
          <w:u w:val="none"/>
          <w:lang w:eastAsia="zh-CN"/>
        </w:rPr>
        <w:t>。</w:t>
      </w:r>
      <w:r>
        <w:rPr>
          <w:rFonts w:hint="eastAsia" w:ascii="仿宋" w:hAnsi="仿宋" w:eastAsia="仿宋" w:cs="仿宋"/>
          <w:color w:val="000000"/>
          <w:sz w:val="32"/>
          <w:szCs w:val="32"/>
          <w:u w:val="none"/>
        </w:rPr>
        <w:t>依托绿色产业园区，提升企业创新能力</w:t>
      </w:r>
      <w:r>
        <w:rPr>
          <w:rFonts w:hint="eastAsia" w:ascii="仿宋" w:hAnsi="仿宋" w:eastAsia="仿宋" w:cs="仿宋"/>
          <w:color w:val="000000"/>
          <w:sz w:val="32"/>
          <w:szCs w:val="32"/>
          <w:u w:val="none"/>
          <w:lang w:eastAsia="zh-CN"/>
        </w:rPr>
        <w:t>，</w:t>
      </w:r>
      <w:r>
        <w:rPr>
          <w:rFonts w:hint="eastAsia" w:ascii="仿宋_GB2312" w:hAnsi="仿宋_GB2312" w:eastAsia="仿宋_GB2312" w:cs="仿宋_GB2312"/>
          <w:color w:val="000000"/>
          <w:sz w:val="32"/>
          <w:szCs w:val="32"/>
          <w:u w:val="none"/>
        </w:rPr>
        <w:t>实施农畜产品精深加工、新型能源开发、商贸物流等项目，打造特色鲜明绿色产业集群，提升产业品牌和核心竞争力。</w:t>
      </w:r>
      <w:r>
        <w:rPr>
          <w:rFonts w:hint="eastAsia" w:ascii="仿宋_GB2312" w:hAnsi="仿宋_GB2312" w:eastAsia="仿宋_GB2312" w:cs="仿宋_GB2312"/>
          <w:color w:val="000000"/>
          <w:sz w:val="32"/>
          <w:szCs w:val="32"/>
          <w:u w:val="none"/>
          <w:lang w:eastAsia="zh-CN"/>
        </w:rPr>
        <w:t>加强园区水、电、路、污水处理等基础设施投入，加快环保产业园项目资金争取，力争早日投产达效。</w:t>
      </w:r>
      <w:r>
        <w:rPr>
          <w:rFonts w:hint="eastAsia" w:ascii="仿宋_GB2312" w:hAnsi="仿宋_GB2312" w:eastAsia="仿宋_GB2312" w:cs="仿宋_GB2312"/>
          <w:color w:val="000000"/>
          <w:sz w:val="32"/>
          <w:szCs w:val="32"/>
          <w:u w:val="none"/>
          <w:lang w:val="en-US" w:eastAsia="zh-CN"/>
        </w:rPr>
        <w:t>推动30万KW“</w:t>
      </w:r>
      <w:r>
        <w:rPr>
          <w:rFonts w:hint="eastAsia" w:ascii="仿宋_GB2312" w:hAnsi="仿宋_GB2312" w:eastAsia="仿宋_GB2312" w:cs="仿宋_GB2312"/>
          <w:color w:val="000000"/>
          <w:sz w:val="32"/>
          <w:szCs w:val="32"/>
          <w:u w:val="none"/>
          <w:lang w:val="en-US"/>
        </w:rPr>
        <w:t>红原县</w:t>
      </w:r>
      <w:r>
        <w:rPr>
          <w:rFonts w:hint="eastAsia" w:ascii="仿宋_GB2312" w:hAnsi="仿宋_GB2312" w:eastAsia="仿宋_GB2312" w:cs="仿宋_GB2312"/>
          <w:color w:val="000000"/>
          <w:sz w:val="32"/>
          <w:szCs w:val="32"/>
          <w:u w:val="none"/>
        </w:rPr>
        <w:t>光伏基地安曲场址“1+N”资源开发</w:t>
      </w:r>
      <w:r>
        <w:rPr>
          <w:rFonts w:hint="eastAsia" w:ascii="仿宋_GB2312" w:hAnsi="仿宋_GB2312" w:eastAsia="仿宋_GB2312" w:cs="仿宋_GB2312"/>
          <w:color w:val="000000"/>
          <w:sz w:val="32"/>
          <w:szCs w:val="32"/>
          <w:u w:val="none"/>
          <w:lang w:eastAsia="zh-CN"/>
        </w:rPr>
        <w:t>项目</w:t>
      </w:r>
      <w:r>
        <w:rPr>
          <w:rFonts w:hint="eastAsia" w:ascii="仿宋_GB2312" w:hAnsi="仿宋_GB2312" w:eastAsia="仿宋_GB2312" w:cs="仿宋_GB2312"/>
          <w:color w:val="000000"/>
          <w:sz w:val="32"/>
          <w:szCs w:val="32"/>
          <w:u w:val="none"/>
          <w:lang w:val="en-US" w:eastAsia="zh-CN"/>
        </w:rPr>
        <w:t>”。</w:t>
      </w:r>
      <w:r>
        <w:rPr>
          <w:rFonts w:hint="eastAsia" w:ascii="仿宋" w:hAnsi="仿宋" w:eastAsia="仿宋" w:cs="仿宋"/>
          <w:b/>
          <w:bCs/>
          <w:color w:val="000000"/>
          <w:sz w:val="32"/>
          <w:szCs w:val="32"/>
          <w:u w:val="none"/>
          <w:lang w:eastAsia="zh-CN"/>
        </w:rPr>
        <w:t>三是</w:t>
      </w:r>
      <w:r>
        <w:rPr>
          <w:rFonts w:hint="eastAsia" w:ascii="仿宋" w:hAnsi="仿宋" w:eastAsia="仿宋" w:cs="仿宋"/>
          <w:color w:val="000000"/>
          <w:sz w:val="32"/>
          <w:szCs w:val="32"/>
          <w:u w:val="none"/>
        </w:rPr>
        <w:t>加快全域旅游建设</w:t>
      </w:r>
      <w:r>
        <w:rPr>
          <w:rFonts w:hint="eastAsia" w:ascii="仿宋" w:hAnsi="仿宋" w:eastAsia="仿宋" w:cs="仿宋"/>
          <w:color w:val="000000"/>
          <w:sz w:val="32"/>
          <w:szCs w:val="32"/>
          <w:u w:val="none"/>
          <w:lang w:eastAsia="zh-CN"/>
        </w:rPr>
        <w:t>。</w:t>
      </w:r>
      <w:r>
        <w:rPr>
          <w:rStyle w:val="9"/>
          <w:rFonts w:hint="eastAsia" w:ascii="仿宋_GB2312" w:hAnsi="仿宋_GB2312" w:eastAsia="仿宋_GB2312" w:cs="仿宋_GB2312"/>
          <w:b w:val="0"/>
          <w:bCs/>
          <w:i w:val="0"/>
          <w:caps w:val="0"/>
          <w:color w:val="auto"/>
          <w:spacing w:val="0"/>
          <w:kern w:val="2"/>
          <w:sz w:val="32"/>
          <w:szCs w:val="32"/>
          <w:u w:val="none"/>
          <w:shd w:val="clear" w:color="auto" w:fill="FFFFFF"/>
          <w:lang w:val="en-US" w:eastAsia="zh-CN" w:bidi="ar-SA"/>
        </w:rPr>
        <w:t>帮助红原引入知名赛事IP，开展</w:t>
      </w:r>
      <w:r>
        <w:rPr>
          <w:rFonts w:hint="eastAsia" w:ascii="仿宋_GB2312" w:hAnsi="仿宋_GB2312" w:eastAsia="仿宋_GB2312" w:cs="仿宋_GB2312"/>
          <w:b w:val="0"/>
          <w:bCs/>
          <w:color w:val="auto"/>
          <w:sz w:val="32"/>
          <w:szCs w:val="32"/>
          <w:u w:val="none"/>
          <w:lang w:val="en-US" w:eastAsia="zh-CN"/>
        </w:rPr>
        <w:t>自驾越野赛事，将</w:t>
      </w:r>
      <w:r>
        <w:rPr>
          <w:rFonts w:hint="eastAsia" w:ascii="仿宋_GB2312" w:hAnsi="仿宋_GB2312" w:eastAsia="仿宋_GB2312" w:cs="仿宋_GB2312"/>
          <w:color w:val="auto"/>
          <w:sz w:val="32"/>
          <w:szCs w:val="32"/>
          <w:u w:val="none"/>
        </w:rPr>
        <w:t>俄么塘花海、月亮湾、日干乔等旅游景区</w:t>
      </w:r>
      <w:r>
        <w:rPr>
          <w:rFonts w:hint="eastAsia" w:ascii="仿宋_GB2312" w:hAnsi="仿宋_GB2312" w:eastAsia="仿宋_GB2312" w:cs="仿宋_GB2312"/>
          <w:color w:val="auto"/>
          <w:sz w:val="32"/>
          <w:szCs w:val="32"/>
          <w:u w:val="none"/>
          <w:lang w:eastAsia="zh-CN"/>
        </w:rPr>
        <w:t>串珠成线，发挥集群效应，推动红原</w:t>
      </w:r>
      <w:r>
        <w:rPr>
          <w:rFonts w:hint="eastAsia" w:ascii="仿宋_GB2312" w:hAnsi="仿宋_GB2312" w:eastAsia="仿宋_GB2312" w:cs="仿宋_GB2312"/>
          <w:color w:val="auto"/>
          <w:sz w:val="32"/>
          <w:szCs w:val="32"/>
          <w:u w:val="none"/>
        </w:rPr>
        <w:t>旅游</w:t>
      </w:r>
      <w:r>
        <w:rPr>
          <w:rFonts w:hint="eastAsia" w:ascii="仿宋_GB2312" w:hAnsi="仿宋_GB2312" w:eastAsia="仿宋_GB2312" w:cs="仿宋_GB2312"/>
          <w:color w:val="auto"/>
          <w:sz w:val="32"/>
          <w:szCs w:val="32"/>
          <w:u w:val="none"/>
          <w:lang w:eastAsia="zh-CN"/>
        </w:rPr>
        <w:t>经济上档升级</w:t>
      </w:r>
      <w:r>
        <w:rPr>
          <w:rFonts w:hint="eastAsia" w:ascii="仿宋" w:hAnsi="仿宋" w:eastAsia="仿宋" w:cs="仿宋"/>
          <w:color w:val="000000"/>
          <w:sz w:val="32"/>
          <w:szCs w:val="32"/>
          <w:u w:val="none"/>
          <w:lang w:val="en-US" w:eastAsia="zh-CN"/>
        </w:rPr>
        <w:t>。加快红原县</w:t>
      </w:r>
      <w:r>
        <w:rPr>
          <w:rFonts w:hint="eastAsia" w:ascii="仿宋" w:hAnsi="仿宋" w:eastAsia="仿宋" w:cs="仿宋"/>
          <w:b w:val="0"/>
          <w:bCs w:val="0"/>
          <w:sz w:val="32"/>
          <w:szCs w:val="32"/>
          <w:u w:val="none"/>
          <w:lang w:val="en-US" w:eastAsia="zh-CN"/>
        </w:rPr>
        <w:t>雅克文化基础设施建设邦锦梅朵舞台建，设完善音乐季现场的基础设施，推动</w:t>
      </w:r>
      <w:r>
        <w:rPr>
          <w:rFonts w:hint="eastAsia" w:ascii="仿宋" w:hAnsi="仿宋" w:eastAsia="仿宋" w:cs="仿宋"/>
          <w:b w:val="0"/>
          <w:bCs w:val="0"/>
          <w:kern w:val="0"/>
          <w:sz w:val="32"/>
          <w:szCs w:val="32"/>
          <w:u w:val="none"/>
          <w:lang w:val="en-US" w:eastAsia="zh-CN"/>
        </w:rPr>
        <w:t>“</w:t>
      </w:r>
      <w:r>
        <w:rPr>
          <w:rFonts w:hint="eastAsia" w:ascii="仿宋" w:hAnsi="仿宋" w:eastAsia="仿宋" w:cs="仿宋"/>
          <w:b w:val="0"/>
          <w:bCs w:val="0"/>
          <w:sz w:val="32"/>
          <w:szCs w:val="32"/>
          <w:u w:val="none"/>
          <w:lang w:val="en-US" w:eastAsia="zh-CN"/>
        </w:rPr>
        <w:t>雅克音乐季</w:t>
      </w:r>
      <w:r>
        <w:rPr>
          <w:rFonts w:hint="eastAsia" w:ascii="仿宋" w:hAnsi="仿宋" w:eastAsia="仿宋" w:cs="仿宋"/>
          <w:b w:val="0"/>
          <w:bCs w:val="0"/>
          <w:kern w:val="0"/>
          <w:sz w:val="32"/>
          <w:szCs w:val="32"/>
          <w:u w:val="none"/>
          <w:lang w:val="en-US" w:eastAsia="zh-CN"/>
        </w:rPr>
        <w:t>”多元化发展，延伸产业链条。</w:t>
      </w:r>
      <w:r>
        <w:rPr>
          <w:rFonts w:hint="eastAsia" w:ascii="仿宋" w:hAnsi="仿宋" w:eastAsia="仿宋" w:cs="仿宋"/>
          <w:b/>
          <w:bCs/>
          <w:color w:val="auto"/>
          <w:sz w:val="32"/>
          <w:szCs w:val="32"/>
          <w:u w:val="none"/>
          <w:lang w:eastAsia="zh-CN"/>
        </w:rPr>
        <w:t>四是</w:t>
      </w:r>
      <w:r>
        <w:rPr>
          <w:rFonts w:hint="eastAsia" w:ascii="仿宋" w:hAnsi="仿宋" w:eastAsia="仿宋" w:cs="仿宋"/>
          <w:color w:val="auto"/>
          <w:sz w:val="32"/>
          <w:szCs w:val="32"/>
          <w:u w:val="none"/>
          <w:lang w:eastAsia="zh-CN"/>
        </w:rPr>
        <w:t>加快发展电子商务等服务业发展。培育形成富有地方特色的商业街区，扶持发展连锁经营、仓储式超市和电子商务等新型商业业态。</w:t>
      </w:r>
    </w:p>
    <w:p>
      <w:pPr>
        <w:keepNext w:val="0"/>
        <w:keepLines w:val="0"/>
        <w:pageBreakBefore w:val="0"/>
        <w:widowControl w:val="0"/>
        <w:numPr>
          <w:ilvl w:val="0"/>
          <w:numId w:val="1"/>
        </w:numPr>
        <w:pBdr>
          <w:bottom w:val="single" w:color="FFFFFF" w:sz="4" w:space="31"/>
        </w:pBdr>
        <w:tabs>
          <w:tab w:val="left" w:pos="1440"/>
        </w:tabs>
        <w:kinsoku/>
        <w:wordWrap/>
        <w:overflowPunct w:val="0"/>
        <w:topLinePunct w:val="0"/>
        <w:autoSpaceDE/>
        <w:autoSpaceDN/>
        <w:bidi w:val="0"/>
        <w:adjustRightInd w:val="0"/>
        <w:snapToGrid w:val="0"/>
        <w:spacing w:line="576" w:lineRule="exact"/>
        <w:ind w:left="0" w:leftChars="0" w:firstLine="640" w:firstLineChars="200"/>
        <w:textAlignment w:val="auto"/>
        <w:outlineLvl w:val="2"/>
        <w:rPr>
          <w:rFonts w:hint="eastAsia" w:ascii="仿宋" w:hAnsi="仿宋" w:eastAsia="仿宋" w:cs="仿宋"/>
          <w:sz w:val="32"/>
          <w:szCs w:val="32"/>
          <w:u w:val="none"/>
          <w:lang w:val="en-US" w:eastAsia="zh-CN"/>
        </w:rPr>
      </w:pPr>
      <w:r>
        <w:rPr>
          <w:rFonts w:hint="eastAsia" w:ascii="楷体" w:hAnsi="楷体" w:eastAsia="楷体" w:cs="楷体"/>
          <w:sz w:val="32"/>
          <w:szCs w:val="32"/>
          <w:u w:val="none"/>
          <w:lang w:val="en-US" w:eastAsia="zh-CN"/>
        </w:rPr>
        <w:t>重规划、强统筹，在谋划好十四五上下功夫</w:t>
      </w:r>
    </w:p>
    <w:p>
      <w:pPr>
        <w:keepNext w:val="0"/>
        <w:keepLines w:val="0"/>
        <w:pageBreakBefore w:val="0"/>
        <w:widowControl w:val="0"/>
        <w:numPr>
          <w:ilvl w:val="0"/>
          <w:numId w:val="0"/>
        </w:numPr>
        <w:pBdr>
          <w:bottom w:val="single" w:color="FFFFFF" w:sz="4" w:space="31"/>
        </w:pBdr>
        <w:tabs>
          <w:tab w:val="left" w:pos="1440"/>
        </w:tabs>
        <w:kinsoku/>
        <w:wordWrap/>
        <w:overflowPunct w:val="0"/>
        <w:topLinePunct w:val="0"/>
        <w:autoSpaceDE/>
        <w:autoSpaceDN/>
        <w:bidi w:val="0"/>
        <w:adjustRightInd w:val="0"/>
        <w:snapToGrid w:val="0"/>
        <w:spacing w:line="576" w:lineRule="exact"/>
        <w:ind w:left="0" w:leftChars="0" w:firstLine="419" w:firstLineChars="131"/>
        <w:textAlignment w:val="auto"/>
        <w:outlineLvl w:val="2"/>
      </w:pPr>
      <w:r>
        <w:rPr>
          <w:rFonts w:hint="eastAsia" w:ascii="仿宋" w:hAnsi="仿宋" w:eastAsia="仿宋" w:cs="仿宋"/>
          <w:b w:val="0"/>
          <w:bCs w:val="0"/>
          <w:sz w:val="32"/>
          <w:szCs w:val="32"/>
          <w:u w:val="none"/>
          <w:lang w:val="en-US" w:eastAsia="zh-CN"/>
        </w:rPr>
        <w:t>将推动“十四五”规划的落实落地作为工作的重中之重。</w:t>
      </w:r>
      <w:r>
        <w:rPr>
          <w:rFonts w:hint="eastAsia" w:ascii="仿宋" w:hAnsi="仿宋" w:eastAsia="仿宋" w:cs="仿宋"/>
          <w:b/>
          <w:bCs/>
          <w:sz w:val="32"/>
          <w:szCs w:val="32"/>
          <w:u w:val="none"/>
          <w:lang w:val="en-US" w:eastAsia="zh-CN"/>
        </w:rPr>
        <w:t>一是</w:t>
      </w:r>
      <w:r>
        <w:rPr>
          <w:rFonts w:hint="eastAsia" w:ascii="仿宋" w:hAnsi="仿宋" w:eastAsia="仿宋" w:cs="仿宋"/>
          <w:b w:val="0"/>
          <w:bCs w:val="0"/>
          <w:sz w:val="32"/>
          <w:szCs w:val="32"/>
          <w:u w:val="none"/>
          <w:lang w:val="en-US" w:eastAsia="zh-CN"/>
        </w:rPr>
        <w:t>加快专项规划的推进，争取早日印发实施；</w:t>
      </w:r>
      <w:r>
        <w:rPr>
          <w:rFonts w:hint="eastAsia" w:ascii="仿宋" w:hAnsi="仿宋" w:eastAsia="仿宋" w:cs="仿宋"/>
          <w:b/>
          <w:bCs/>
          <w:sz w:val="32"/>
          <w:szCs w:val="32"/>
          <w:u w:val="none"/>
          <w:lang w:val="en-US" w:eastAsia="zh-CN"/>
        </w:rPr>
        <w:t>二是</w:t>
      </w:r>
      <w:r>
        <w:rPr>
          <w:rFonts w:hint="eastAsia" w:ascii="仿宋" w:hAnsi="仿宋" w:eastAsia="仿宋" w:cs="仿宋"/>
          <w:b w:val="0"/>
          <w:bCs w:val="0"/>
          <w:sz w:val="32"/>
          <w:szCs w:val="32"/>
          <w:u w:val="none"/>
          <w:lang w:val="en-US" w:eastAsia="zh-CN"/>
        </w:rPr>
        <w:t>充实完善项目。</w:t>
      </w:r>
      <w:r>
        <w:rPr>
          <w:rFonts w:hint="eastAsia" w:ascii="仿宋" w:hAnsi="仿宋" w:eastAsia="仿宋" w:cs="仿宋"/>
          <w:sz w:val="32"/>
          <w:szCs w:val="32"/>
          <w:u w:val="none"/>
          <w:lang w:val="en-US" w:eastAsia="zh-CN"/>
        </w:rPr>
        <w:t>将更多有</w:t>
      </w:r>
      <w:r>
        <w:rPr>
          <w:rStyle w:val="9"/>
          <w:rFonts w:hint="eastAsia" w:ascii="仿宋" w:hAnsi="仿宋" w:eastAsia="仿宋" w:cs="仿宋"/>
          <w:b w:val="0"/>
          <w:bCs/>
          <w:i w:val="0"/>
          <w:caps w:val="0"/>
          <w:color w:val="222222"/>
          <w:spacing w:val="0"/>
          <w:sz w:val="32"/>
          <w:szCs w:val="32"/>
          <w:u w:val="none"/>
          <w:shd w:val="clear" w:color="auto" w:fill="FFFFFF"/>
          <w:lang w:val="en-US" w:eastAsia="zh-CN"/>
        </w:rPr>
        <w:t>利于新增长动能培育，有利于后发区域独特优势培植，有利于乡村振兴、城乡协调发展</w:t>
      </w:r>
      <w:r>
        <w:rPr>
          <w:rFonts w:hint="eastAsia" w:ascii="仿宋" w:hAnsi="仿宋" w:eastAsia="仿宋" w:cs="仿宋"/>
          <w:sz w:val="32"/>
          <w:szCs w:val="32"/>
          <w:u w:val="none"/>
          <w:lang w:val="en-US" w:eastAsia="zh-CN"/>
        </w:rPr>
        <w:t>项目纳入规划，并分轻、重、缓、急，投资主体进行项目分类储备。</w:t>
      </w:r>
      <w:r>
        <w:rPr>
          <w:rFonts w:hint="eastAsia" w:ascii="仿宋" w:hAnsi="仿宋" w:eastAsia="仿宋" w:cs="仿宋"/>
          <w:b/>
          <w:bCs/>
          <w:sz w:val="32"/>
          <w:szCs w:val="32"/>
          <w:u w:val="none"/>
          <w:lang w:val="en-US" w:eastAsia="zh-CN"/>
        </w:rPr>
        <w:t>三是</w:t>
      </w:r>
      <w:r>
        <w:rPr>
          <w:rFonts w:hint="eastAsia" w:ascii="仿宋" w:hAnsi="仿宋" w:eastAsia="仿宋" w:cs="仿宋"/>
          <w:sz w:val="32"/>
          <w:szCs w:val="32"/>
          <w:u w:val="none"/>
          <w:lang w:val="en-US" w:eastAsia="zh-CN"/>
        </w:rPr>
        <w:t>加强区域协调，强化与其它兄弟县市的对接联系，发挥集群效应，注重比较优势的培育，避免同质化竞争深化合作，推动形成优势互补高质量发展的区域经济布局。</w:t>
      </w:r>
    </w:p>
    <w:p>
      <w:pPr>
        <w:pStyle w:val="2"/>
        <w:spacing w:before="151"/>
        <w:rPr>
          <w:rFonts w:hint="eastAsia" w:ascii="黑体" w:eastAsia="黑体"/>
        </w:rPr>
      </w:pPr>
      <w:r>
        <w:rPr>
          <w:rFonts w:hint="eastAsia" w:ascii="黑体" w:eastAsia="黑体"/>
        </w:rPr>
        <w:t>二、部门预算单位构成</w:t>
      </w:r>
    </w:p>
    <w:p>
      <w:pPr>
        <w:pStyle w:val="2"/>
        <w:tabs>
          <w:tab w:val="left" w:pos="8947"/>
        </w:tabs>
        <w:spacing w:before="243" w:line="328" w:lineRule="auto"/>
        <w:ind w:left="101" w:right="113" w:firstLine="689"/>
      </w:pPr>
      <w:r>
        <w:rPr>
          <w:rFonts w:hint="eastAsia"/>
          <w:color w:val="auto"/>
          <w:sz w:val="32"/>
          <w:szCs w:val="32"/>
        </w:rPr>
        <w:t>红原县发展和改革局</w:t>
      </w:r>
      <w:r>
        <w:t>下设股</w:t>
      </w:r>
      <w:r>
        <w:rPr>
          <w:spacing w:val="-6"/>
        </w:rPr>
        <w:t>室</w:t>
      </w:r>
      <w:r>
        <w:rPr>
          <w:rFonts w:hint="eastAsia"/>
          <w:spacing w:val="12"/>
          <w:lang w:val="en-US" w:eastAsia="zh-CN"/>
        </w:rPr>
        <w:t>7</w:t>
      </w:r>
      <w:r>
        <w:t>个，</w:t>
      </w:r>
      <w:r>
        <w:rPr>
          <w:spacing w:val="-6"/>
        </w:rPr>
        <w:t>其</w:t>
      </w:r>
      <w:r>
        <w:t>中行政</w:t>
      </w:r>
      <w:r>
        <w:rPr>
          <w:spacing w:val="-6"/>
        </w:rPr>
        <w:t>单</w:t>
      </w:r>
      <w:r>
        <w:rPr>
          <w:spacing w:val="16"/>
        </w:rPr>
        <w:t>位</w:t>
      </w:r>
      <w:r>
        <w:rPr>
          <w:rFonts w:hint="eastAsia"/>
          <w:spacing w:val="10"/>
          <w:lang w:val="en-US" w:eastAsia="zh-CN"/>
        </w:rPr>
        <w:t>1</w:t>
      </w:r>
      <w:r>
        <w:rPr>
          <w:spacing w:val="-141"/>
        </w:rPr>
        <w:t xml:space="preserve"> </w:t>
      </w:r>
      <w:r>
        <w:t>个，其</w:t>
      </w:r>
      <w:r>
        <w:rPr>
          <w:spacing w:val="-6"/>
        </w:rPr>
        <w:t>他</w:t>
      </w:r>
      <w:r>
        <w:t>事业</w:t>
      </w:r>
      <w:r>
        <w:rPr>
          <w:spacing w:val="-6"/>
        </w:rPr>
        <w:t>单</w:t>
      </w:r>
      <w:r>
        <w:rPr>
          <w:spacing w:val="16"/>
        </w:rPr>
        <w:t>位</w:t>
      </w:r>
      <w:r>
        <w:rPr>
          <w:rFonts w:hint="eastAsia"/>
          <w:spacing w:val="10"/>
          <w:lang w:val="en-US" w:eastAsia="zh-CN"/>
        </w:rPr>
        <w:t>1</w:t>
      </w:r>
      <w:r>
        <w:rPr>
          <w:spacing w:val="-138"/>
        </w:rPr>
        <w:t xml:space="preserve"> </w:t>
      </w:r>
      <w:r>
        <w:t>个</w:t>
      </w:r>
      <w:r>
        <w:rPr>
          <w:spacing w:val="-150"/>
        </w:rPr>
        <w:t>。</w:t>
      </w:r>
      <w:r>
        <w:t>分</w:t>
      </w:r>
      <w:r>
        <w:rPr>
          <w:spacing w:val="-6"/>
        </w:rPr>
        <w:t>别</w:t>
      </w:r>
      <w:r>
        <w:t>是：</w:t>
      </w:r>
      <w:r>
        <w:rPr>
          <w:rFonts w:hint="eastAsia"/>
          <w:color w:val="auto"/>
          <w:sz w:val="32"/>
          <w:szCs w:val="32"/>
          <w:lang w:eastAsia="zh-CN"/>
        </w:rPr>
        <w:t>价格认证中心、</w:t>
      </w:r>
      <w:r>
        <w:rPr>
          <w:rFonts w:hint="eastAsia"/>
          <w:color w:val="auto"/>
          <w:sz w:val="32"/>
          <w:szCs w:val="32"/>
          <w:lang w:val="en-US" w:eastAsia="zh-CN"/>
        </w:rPr>
        <w:t>项目推进中心。</w:t>
      </w:r>
      <w:r>
        <w:tab/>
      </w:r>
      <w:r>
        <w:rPr>
          <w:spacing w:val="-17"/>
        </w:rPr>
        <w:t>。</w:t>
      </w:r>
    </w:p>
    <w:p>
      <w:pPr>
        <w:pStyle w:val="2"/>
        <w:spacing w:line="405" w:lineRule="exact"/>
        <w:rPr>
          <w:rFonts w:hint="eastAsia" w:ascii="黑体" w:eastAsia="黑体"/>
        </w:rPr>
      </w:pPr>
      <w:r>
        <w:rPr>
          <w:rFonts w:hint="eastAsia" w:ascii="黑体" w:eastAsia="黑体"/>
        </w:rPr>
        <w:t>三、收支预算总体情况</w:t>
      </w:r>
    </w:p>
    <w:p>
      <w:pPr>
        <w:pStyle w:val="2"/>
        <w:spacing w:before="152" w:line="328" w:lineRule="auto"/>
        <w:ind w:left="101" w:right="434" w:firstLine="643"/>
        <w:jc w:val="both"/>
      </w:pPr>
      <w:r>
        <w:rPr>
          <w:w w:val="95"/>
        </w:rPr>
        <w:t>2022</w:t>
      </w:r>
      <w:r>
        <w:rPr>
          <w:spacing w:val="29"/>
          <w:w w:val="95"/>
        </w:rPr>
        <w:t xml:space="preserve"> 年</w:t>
      </w:r>
      <w:r>
        <w:rPr>
          <w:rFonts w:hint="eastAsia"/>
          <w:spacing w:val="11"/>
          <w:w w:val="95"/>
          <w:lang w:eastAsia="zh-CN"/>
        </w:rPr>
        <w:t>红原县发展和改革局</w:t>
      </w:r>
      <w:r>
        <w:rPr>
          <w:spacing w:val="-2"/>
          <w:w w:val="95"/>
        </w:rPr>
        <w:t>收入预算总额为</w:t>
      </w:r>
      <w:r>
        <w:rPr>
          <w:rFonts w:hint="eastAsia"/>
          <w:spacing w:val="10"/>
          <w:w w:val="95"/>
          <w:lang w:val="en-US" w:eastAsia="zh-CN"/>
        </w:rPr>
        <w:t>372.54</w:t>
      </w:r>
      <w:r>
        <w:rPr>
          <w:spacing w:val="-14"/>
          <w:w w:val="95"/>
        </w:rPr>
        <w:t>万元，其中：当</w:t>
      </w:r>
      <w:r>
        <w:rPr>
          <w:spacing w:val="-3"/>
          <w:w w:val="95"/>
        </w:rPr>
        <w:t>年财政拨款收入</w:t>
      </w:r>
      <w:r>
        <w:rPr>
          <w:rFonts w:hint="eastAsia"/>
          <w:spacing w:val="10"/>
          <w:w w:val="95"/>
          <w:lang w:val="en-US" w:eastAsia="zh-CN"/>
        </w:rPr>
        <w:t>372.54</w:t>
      </w:r>
      <w:r>
        <w:rPr>
          <w:spacing w:val="-4"/>
          <w:w w:val="95"/>
        </w:rPr>
        <w:t>万元。相应安排支出预算</w:t>
      </w:r>
      <w:r>
        <w:rPr>
          <w:rFonts w:hint="eastAsia"/>
          <w:spacing w:val="10"/>
          <w:w w:val="95"/>
          <w:lang w:val="en-US" w:eastAsia="zh-CN"/>
        </w:rPr>
        <w:t>372.54</w:t>
      </w:r>
      <w:r>
        <w:rPr>
          <w:spacing w:val="-10"/>
          <w:w w:val="95"/>
        </w:rPr>
        <w:t>万元，其中：一般</w:t>
      </w:r>
      <w:r>
        <w:rPr>
          <w:spacing w:val="-1"/>
          <w:w w:val="95"/>
        </w:rPr>
        <w:t>公共服务</w:t>
      </w:r>
      <w:r>
        <w:rPr>
          <w:rFonts w:hint="eastAsia"/>
          <w:spacing w:val="10"/>
          <w:w w:val="95"/>
          <w:lang w:val="en-US" w:eastAsia="zh-CN"/>
        </w:rPr>
        <w:t>363.97</w:t>
      </w:r>
      <w:r>
        <w:rPr>
          <w:spacing w:val="-11"/>
          <w:w w:val="95"/>
        </w:rPr>
        <w:t>万元，社会保障和就业</w:t>
      </w:r>
      <w:r>
        <w:rPr>
          <w:rFonts w:hint="eastAsia"/>
          <w:spacing w:val="10"/>
          <w:w w:val="95"/>
          <w:lang w:val="en-US" w:eastAsia="zh-CN"/>
        </w:rPr>
        <w:t>49.84</w:t>
      </w:r>
      <w:r>
        <w:rPr>
          <w:spacing w:val="-11"/>
          <w:w w:val="95"/>
        </w:rPr>
        <w:t>万元，医疗卫生</w:t>
      </w:r>
      <w:r>
        <w:rPr>
          <w:rFonts w:hint="eastAsia"/>
          <w:spacing w:val="7"/>
          <w:w w:val="95"/>
          <w:lang w:val="en-US" w:eastAsia="zh-CN"/>
        </w:rPr>
        <w:t>24.95</w:t>
      </w:r>
      <w:r>
        <w:rPr>
          <w:spacing w:val="-16"/>
          <w:w w:val="95"/>
        </w:rPr>
        <w:t xml:space="preserve"> 万元，住</w:t>
      </w:r>
      <w:r>
        <w:rPr>
          <w:spacing w:val="-2"/>
        </w:rPr>
        <w:t>房保障支出</w:t>
      </w:r>
      <w:r>
        <w:rPr>
          <w:rFonts w:hint="eastAsia"/>
          <w:spacing w:val="7"/>
          <w:lang w:val="en-US" w:eastAsia="zh-CN"/>
        </w:rPr>
        <w:t>33.77</w:t>
      </w:r>
      <w:r>
        <w:rPr>
          <w:spacing w:val="4"/>
        </w:rPr>
        <w:t>万元 。</w:t>
      </w:r>
    </w:p>
    <w:p>
      <w:pPr>
        <w:pStyle w:val="2"/>
        <w:spacing w:line="405" w:lineRule="exact"/>
        <w:rPr>
          <w:rFonts w:hint="eastAsia" w:ascii="黑体" w:eastAsia="黑体"/>
        </w:rPr>
      </w:pPr>
      <w:r>
        <w:rPr>
          <w:rFonts w:hint="eastAsia" w:ascii="黑体" w:eastAsia="黑体"/>
        </w:rPr>
        <w:t>四、支出预算安排情况</w:t>
      </w:r>
    </w:p>
    <w:p>
      <w:pPr>
        <w:pStyle w:val="2"/>
        <w:spacing w:before="146" w:line="328" w:lineRule="auto"/>
        <w:ind w:left="101" w:right="419" w:firstLine="661"/>
        <w:rPr>
          <w:sz w:val="23"/>
        </w:rPr>
      </w:pPr>
      <w:r>
        <w:rPr>
          <w:rFonts w:hint="eastAsia"/>
          <w:w w:val="95"/>
          <w:lang w:eastAsia="zh-CN"/>
        </w:rPr>
        <w:t>红原县发展和改革局</w:t>
      </w:r>
      <w:r>
        <w:rPr>
          <w:w w:val="95"/>
        </w:rPr>
        <w:t>预算安排支出主要用于保障该部门机构正</w:t>
      </w:r>
      <w:r>
        <w:t>常运转、完成日常工作任务以及承担</w:t>
      </w:r>
      <w:r>
        <w:rPr>
          <w:rFonts w:hint="eastAsia"/>
          <w:lang w:val="en-US" w:eastAsia="zh-CN"/>
        </w:rPr>
        <w:t>社会发展和改革</w:t>
      </w:r>
      <w:r>
        <w:t>事业发展相关工作</w:t>
      </w:r>
      <w:r>
        <w:rPr>
          <w:rFonts w:hint="eastAsia"/>
          <w:lang w:eastAsia="zh-CN"/>
        </w:rPr>
        <w:t>。</w:t>
      </w:r>
    </w:p>
    <w:p>
      <w:pPr>
        <w:pStyle w:val="2"/>
        <w:spacing w:before="71"/>
        <w:ind w:left="0" w:leftChars="0" w:firstLine="0" w:firstLineChars="0"/>
      </w:pPr>
      <w:r>
        <w:t>基本支出</w:t>
      </w:r>
      <w:r>
        <w:rPr>
          <w:rFonts w:hint="eastAsia"/>
          <w:lang w:val="en-US" w:eastAsia="zh-CN"/>
        </w:rPr>
        <w:t>362.54</w:t>
      </w:r>
      <w:r>
        <w:t>万元。其中人员经费支出</w:t>
      </w:r>
      <w:r>
        <w:rPr>
          <w:rFonts w:hint="eastAsia"/>
          <w:lang w:val="en-US" w:eastAsia="zh-CN"/>
        </w:rPr>
        <w:t>326.77</w:t>
      </w:r>
      <w:r>
        <w:t>万元，机关运行经费</w:t>
      </w:r>
      <w:r>
        <w:rPr>
          <w:rFonts w:hint="eastAsia"/>
          <w:spacing w:val="10"/>
          <w:w w:val="95"/>
          <w:lang w:val="en-US" w:eastAsia="zh-CN"/>
        </w:rPr>
        <w:t>35.77</w:t>
      </w:r>
      <w:r>
        <w:rPr>
          <w:w w:val="95"/>
        </w:rPr>
        <w:t>万</w:t>
      </w:r>
      <w:r>
        <w:rPr>
          <w:spacing w:val="-6"/>
          <w:w w:val="95"/>
        </w:rPr>
        <w:t>元</w:t>
      </w:r>
      <w:r>
        <w:rPr>
          <w:spacing w:val="-68"/>
          <w:w w:val="95"/>
        </w:rPr>
        <w:t>，</w:t>
      </w:r>
      <w:r>
        <w:rPr>
          <w:w w:val="95"/>
        </w:rPr>
        <w:t>其</w:t>
      </w:r>
      <w:r>
        <w:rPr>
          <w:spacing w:val="-6"/>
          <w:w w:val="95"/>
        </w:rPr>
        <w:t>中</w:t>
      </w:r>
      <w:r>
        <w:rPr>
          <w:spacing w:val="-73"/>
          <w:w w:val="95"/>
        </w:rPr>
        <w:t>：</w:t>
      </w:r>
      <w:r>
        <w:rPr>
          <w:w w:val="95"/>
        </w:rPr>
        <w:t>办</w:t>
      </w:r>
      <w:r>
        <w:rPr>
          <w:spacing w:val="-6"/>
          <w:w w:val="95"/>
        </w:rPr>
        <w:t>公</w:t>
      </w:r>
      <w:r>
        <w:rPr>
          <w:spacing w:val="17"/>
          <w:w w:val="95"/>
        </w:rPr>
        <w:t>费</w:t>
      </w:r>
      <w:r>
        <w:rPr>
          <w:rFonts w:hint="eastAsia"/>
          <w:spacing w:val="10"/>
          <w:w w:val="95"/>
          <w:lang w:val="en-US" w:eastAsia="zh-CN"/>
        </w:rPr>
        <w:t>7.32</w:t>
      </w:r>
      <w:r>
        <w:rPr>
          <w:w w:val="95"/>
        </w:rPr>
        <w:t>万</w:t>
      </w:r>
      <w:r>
        <w:rPr>
          <w:spacing w:val="-6"/>
          <w:w w:val="95"/>
        </w:rPr>
        <w:t>元</w:t>
      </w:r>
      <w:r>
        <w:rPr>
          <w:spacing w:val="-73"/>
          <w:w w:val="95"/>
        </w:rPr>
        <w:t>，</w:t>
      </w:r>
      <w:r>
        <w:rPr>
          <w:w w:val="95"/>
        </w:rPr>
        <w:t>差</w:t>
      </w:r>
      <w:r>
        <w:rPr>
          <w:spacing w:val="-6"/>
          <w:w w:val="95"/>
        </w:rPr>
        <w:t>旅</w:t>
      </w:r>
      <w:r>
        <w:rPr>
          <w:spacing w:val="17"/>
          <w:w w:val="95"/>
        </w:rPr>
        <w:t>费</w:t>
      </w:r>
      <w:r>
        <w:rPr>
          <w:rFonts w:hint="eastAsia"/>
          <w:spacing w:val="10"/>
          <w:w w:val="95"/>
          <w:lang w:val="en-US" w:eastAsia="zh-CN"/>
        </w:rPr>
        <w:t>10.02</w:t>
      </w:r>
      <w:r>
        <w:rPr>
          <w:spacing w:val="-66"/>
          <w:w w:val="95"/>
        </w:rPr>
        <w:t xml:space="preserve"> </w:t>
      </w:r>
      <w:r>
        <w:rPr>
          <w:w w:val="95"/>
        </w:rPr>
        <w:t>万</w:t>
      </w:r>
      <w:r>
        <w:rPr>
          <w:spacing w:val="-6"/>
          <w:w w:val="95"/>
        </w:rPr>
        <w:t>元</w:t>
      </w:r>
      <w:r>
        <w:rPr>
          <w:spacing w:val="-68"/>
          <w:w w:val="95"/>
        </w:rPr>
        <w:t>，</w:t>
      </w:r>
      <w:r>
        <w:rPr>
          <w:w w:val="95"/>
        </w:rPr>
        <w:t>工</w:t>
      </w:r>
      <w:r>
        <w:rPr>
          <w:spacing w:val="-6"/>
          <w:w w:val="95"/>
        </w:rPr>
        <w:t>会</w:t>
      </w:r>
      <w:r>
        <w:rPr>
          <w:w w:val="95"/>
        </w:rPr>
        <w:t>经</w:t>
      </w:r>
      <w:r>
        <w:rPr>
          <w:spacing w:val="11"/>
          <w:w w:val="95"/>
        </w:rPr>
        <w:t>费</w:t>
      </w:r>
      <w:r>
        <w:rPr>
          <w:rFonts w:hint="eastAsia"/>
          <w:spacing w:val="10"/>
          <w:w w:val="95"/>
          <w:lang w:val="en-US" w:eastAsia="zh-CN"/>
        </w:rPr>
        <w:t>2.49</w:t>
      </w:r>
      <w:r>
        <w:rPr>
          <w:w w:val="95"/>
        </w:rPr>
        <w:t>万</w:t>
      </w:r>
      <w:r>
        <w:rPr>
          <w:spacing w:val="-6"/>
          <w:w w:val="95"/>
        </w:rPr>
        <w:t>元</w:t>
      </w:r>
      <w:r>
        <w:rPr>
          <w:w w:val="95"/>
        </w:rPr>
        <w:t xml:space="preserve">， </w:t>
      </w:r>
      <w:r>
        <w:t>公</w:t>
      </w:r>
      <w:r>
        <w:rPr>
          <w:spacing w:val="-6"/>
        </w:rPr>
        <w:t>务</w:t>
      </w:r>
      <w:r>
        <w:t>用车</w:t>
      </w:r>
      <w:r>
        <w:rPr>
          <w:spacing w:val="-6"/>
        </w:rPr>
        <w:t>运</w:t>
      </w:r>
      <w:r>
        <w:rPr>
          <w:spacing w:val="4"/>
        </w:rPr>
        <w:t>行</w:t>
      </w:r>
      <w:r>
        <w:t>维</w:t>
      </w:r>
      <w:r>
        <w:rPr>
          <w:spacing w:val="-6"/>
        </w:rPr>
        <w:t>护</w:t>
      </w:r>
      <w:r>
        <w:rPr>
          <w:spacing w:val="10"/>
        </w:rPr>
        <w:t>费</w:t>
      </w:r>
      <w:r>
        <w:rPr>
          <w:rFonts w:hint="eastAsia"/>
          <w:spacing w:val="10"/>
          <w:lang w:val="en-US" w:eastAsia="zh-CN"/>
        </w:rPr>
        <w:t>9.2</w:t>
      </w:r>
      <w:r>
        <w:rPr>
          <w:spacing w:val="-134"/>
        </w:rPr>
        <w:t xml:space="preserve"> </w:t>
      </w:r>
      <w:r>
        <w:t>万元</w:t>
      </w:r>
      <w:r>
        <w:tab/>
      </w:r>
      <w:r>
        <w:t>。按支出功能分类主要用于以下方面</w:t>
      </w:r>
      <w:r>
        <w:rPr>
          <w:w w:val="85"/>
        </w:rPr>
        <w:t>:</w:t>
      </w:r>
    </w:p>
    <w:p>
      <w:pPr>
        <w:pStyle w:val="2"/>
        <w:spacing w:before="151" w:line="326" w:lineRule="auto"/>
        <w:ind w:left="101" w:right="421" w:firstLine="643"/>
        <w:jc w:val="both"/>
      </w:pPr>
      <w:r>
        <w:t>（一）</w:t>
      </w:r>
      <w:r>
        <w:rPr>
          <w:spacing w:val="12"/>
        </w:rPr>
        <w:t>一般公共服务</w:t>
      </w:r>
      <w:r>
        <w:rPr>
          <w:rFonts w:hint="eastAsia"/>
          <w:lang w:val="en-US" w:eastAsia="zh-CN"/>
        </w:rPr>
        <w:t>263.97</w:t>
      </w:r>
      <w:r>
        <w:rPr>
          <w:spacing w:val="-7"/>
        </w:rPr>
        <w:t xml:space="preserve"> 万元，主要用于机关及下属事业单</w:t>
      </w:r>
      <w:r>
        <w:rPr>
          <w:spacing w:val="-13"/>
        </w:rPr>
        <w:t>位人员工资、日常运转以及为完成特定行政工作任务和事业发展</w:t>
      </w:r>
      <w:r>
        <w:rPr>
          <w:spacing w:val="-7"/>
        </w:rPr>
        <w:t>目标而安排的年度项目支出。</w:t>
      </w:r>
    </w:p>
    <w:p>
      <w:pPr>
        <w:pStyle w:val="2"/>
        <w:spacing w:before="8" w:line="328" w:lineRule="auto"/>
        <w:ind w:left="101" w:right="427" w:firstLine="643"/>
        <w:jc w:val="both"/>
      </w:pPr>
      <w:r>
        <w:t>（二）社会保障和就业</w:t>
      </w:r>
      <w:r>
        <w:rPr>
          <w:rFonts w:hint="eastAsia"/>
          <w:lang w:val="en-US" w:eastAsia="zh-CN"/>
        </w:rPr>
        <w:t>49.84</w:t>
      </w:r>
      <w:r>
        <w:t xml:space="preserve"> 万元，主要用于机关及下属事业单位养老保险及职业年金缴费。</w:t>
      </w:r>
    </w:p>
    <w:p>
      <w:pPr>
        <w:pStyle w:val="2"/>
        <w:spacing w:line="328" w:lineRule="auto"/>
        <w:ind w:left="101" w:right="425" w:firstLine="643"/>
        <w:jc w:val="both"/>
      </w:pPr>
      <w:r>
        <w:t>（三）医疗卫生</w:t>
      </w:r>
      <w:r>
        <w:rPr>
          <w:rFonts w:hint="eastAsia"/>
          <w:lang w:val="en-US" w:eastAsia="zh-CN"/>
        </w:rPr>
        <w:t>24.95</w:t>
      </w:r>
      <w:r>
        <w:t>万元，主要用于机关及下属事业单位按照规定标准为职工缴纳的基本医疗保险及公务员医疗补助等支出。</w:t>
      </w:r>
    </w:p>
    <w:p>
      <w:pPr>
        <w:pStyle w:val="2"/>
        <w:spacing w:line="328" w:lineRule="auto"/>
        <w:ind w:left="101" w:right="421" w:firstLine="643"/>
        <w:jc w:val="both"/>
      </w:pPr>
      <w:r>
        <w:t>（四）住房保障支出</w:t>
      </w:r>
      <w:r>
        <w:rPr>
          <w:rFonts w:hint="eastAsia"/>
          <w:lang w:val="en-US" w:eastAsia="zh-CN"/>
        </w:rPr>
        <w:t>33.77</w:t>
      </w:r>
      <w:r>
        <w:t>万元，用于机关及下属事业单位按照规定标准为职工缴纳住房公积金等支出。</w:t>
      </w:r>
    </w:p>
    <w:p>
      <w:pPr>
        <w:pStyle w:val="2"/>
        <w:spacing w:before="136"/>
        <w:ind w:left="0" w:leftChars="0" w:firstLine="640" w:firstLineChars="200"/>
        <w:rPr>
          <w:rFonts w:hint="eastAsia" w:ascii="黑体" w:eastAsia="黑体"/>
        </w:rPr>
      </w:pPr>
      <w:r>
        <w:rPr>
          <w:rFonts w:hint="eastAsia" w:ascii="黑体" w:eastAsia="黑体"/>
          <w:color w:val="333333"/>
        </w:rPr>
        <w:t>五、较上年度增减变化</w:t>
      </w:r>
    </w:p>
    <w:p>
      <w:pPr>
        <w:pStyle w:val="2"/>
        <w:spacing w:before="152" w:line="328" w:lineRule="auto"/>
        <w:ind w:left="101" w:right="156" w:firstLine="643"/>
      </w:pPr>
      <w:r>
        <w:rPr>
          <w:spacing w:val="-2"/>
          <w:w w:val="95"/>
        </w:rPr>
        <w:t>本年度预算拨款收入</w:t>
      </w:r>
      <w:r>
        <w:rPr>
          <w:rFonts w:hint="eastAsia"/>
          <w:spacing w:val="7"/>
          <w:w w:val="95"/>
          <w:lang w:val="en-US" w:eastAsia="zh-CN"/>
        </w:rPr>
        <w:t>372.54</w:t>
      </w:r>
      <w:r>
        <w:rPr>
          <w:spacing w:val="-4"/>
          <w:w w:val="95"/>
        </w:rPr>
        <w:t xml:space="preserve"> 万元较上年度预算</w:t>
      </w:r>
      <w:r>
        <w:rPr>
          <w:rFonts w:hint="eastAsia"/>
          <w:spacing w:val="7"/>
          <w:w w:val="95"/>
          <w:lang w:val="en-US" w:eastAsia="zh-CN"/>
        </w:rPr>
        <w:t>302.93</w:t>
      </w:r>
      <w:r>
        <w:rPr>
          <w:spacing w:val="-2"/>
          <w:w w:val="95"/>
        </w:rPr>
        <w:t>万元</w:t>
      </w:r>
      <w:r>
        <w:rPr>
          <w:rFonts w:hint="eastAsia"/>
          <w:spacing w:val="-2"/>
          <w:w w:val="95"/>
          <w:lang w:val="en-US" w:eastAsia="zh-CN"/>
        </w:rPr>
        <w:t>增加</w:t>
      </w:r>
      <w:r>
        <w:rPr>
          <w:spacing w:val="-2"/>
          <w:w w:val="95"/>
        </w:rPr>
        <w:t>了</w:t>
      </w:r>
      <w:r>
        <w:rPr>
          <w:rFonts w:hint="eastAsia"/>
          <w:spacing w:val="12"/>
          <w:w w:val="95"/>
          <w:lang w:val="en-US" w:eastAsia="zh-CN"/>
        </w:rPr>
        <w:t>22.98</w:t>
      </w:r>
      <w:r>
        <w:rPr>
          <w:spacing w:val="12"/>
          <w:w w:val="95"/>
        </w:rPr>
        <w:t xml:space="preserve">%， </w:t>
      </w:r>
      <w:r>
        <w:t>其中基本行政运行经费预算</w:t>
      </w:r>
      <w:r>
        <w:rPr>
          <w:rFonts w:hint="eastAsia"/>
          <w:spacing w:val="10"/>
          <w:lang w:val="en-US" w:eastAsia="zh-CN"/>
        </w:rPr>
        <w:t>362.54</w:t>
      </w:r>
      <w:r>
        <w:rPr>
          <w:spacing w:val="-13"/>
        </w:rPr>
        <w:t>万元，占全部总预算的</w:t>
      </w:r>
      <w:r>
        <w:rPr>
          <w:rFonts w:hint="eastAsia"/>
          <w:spacing w:val="12"/>
          <w:lang w:val="en-US" w:eastAsia="zh-CN"/>
        </w:rPr>
        <w:t>97.32</w:t>
      </w:r>
      <w:r>
        <w:rPr>
          <w:spacing w:val="6"/>
        </w:rPr>
        <w:t>%，较上</w:t>
      </w:r>
      <w:r>
        <w:rPr>
          <w:spacing w:val="17"/>
        </w:rPr>
        <w:t>年</w:t>
      </w:r>
      <w:r>
        <w:rPr>
          <w:rFonts w:hint="eastAsia" w:ascii="仿宋_GB2312" w:eastAsia="仿宋_GB2312"/>
          <w:color w:val="auto"/>
          <w:sz w:val="32"/>
          <w:szCs w:val="32"/>
          <w:lang w:val="en-US" w:eastAsia="zh-CN"/>
        </w:rPr>
        <w:t>292.9</w:t>
      </w:r>
      <w:r>
        <w:rPr>
          <w:rFonts w:hint="eastAsia"/>
          <w:color w:val="auto"/>
          <w:sz w:val="32"/>
          <w:szCs w:val="32"/>
          <w:lang w:val="en-US" w:eastAsia="zh-CN"/>
        </w:rPr>
        <w:t>3</w:t>
      </w:r>
      <w:r>
        <w:rPr>
          <w:spacing w:val="-21"/>
        </w:rPr>
        <w:t>万元</w:t>
      </w:r>
      <w:r>
        <w:rPr>
          <w:rFonts w:hint="eastAsia"/>
          <w:spacing w:val="-21"/>
          <w:lang w:val="en-US" w:eastAsia="zh-CN"/>
        </w:rPr>
        <w:t>增加</w:t>
      </w:r>
      <w:r>
        <w:rPr>
          <w:spacing w:val="-21"/>
        </w:rPr>
        <w:t>了</w:t>
      </w:r>
      <w:r>
        <w:rPr>
          <w:rFonts w:hint="eastAsia"/>
          <w:spacing w:val="13"/>
          <w:lang w:val="en-US" w:eastAsia="zh-CN"/>
        </w:rPr>
        <w:t>23.76</w:t>
      </w:r>
      <w:r>
        <w:rPr>
          <w:spacing w:val="-2"/>
        </w:rPr>
        <w:t>%，原因为</w:t>
      </w:r>
      <w:r>
        <w:rPr>
          <w:rFonts w:hint="eastAsia"/>
          <w:spacing w:val="-2"/>
          <w:lang w:val="en-US" w:eastAsia="zh-CN"/>
        </w:rPr>
        <w:t>失业人员增加7人，人员经费增加</w:t>
      </w:r>
      <w:r>
        <w:rPr>
          <w:spacing w:val="-2"/>
        </w:rPr>
        <w:t>；专</w:t>
      </w:r>
      <w:r>
        <w:t>项业务工作经费预算</w:t>
      </w:r>
      <w:r>
        <w:rPr>
          <w:rFonts w:hint="eastAsia"/>
          <w:spacing w:val="10"/>
          <w:lang w:val="en-US" w:eastAsia="zh-CN"/>
        </w:rPr>
        <w:t>10</w:t>
      </w:r>
      <w:r>
        <w:rPr>
          <w:spacing w:val="-16"/>
        </w:rPr>
        <w:t xml:space="preserve"> 万元，占总预算的</w:t>
      </w:r>
      <w:r>
        <w:rPr>
          <w:rFonts w:hint="eastAsia"/>
          <w:spacing w:val="12"/>
          <w:lang w:val="en-US" w:eastAsia="zh-CN"/>
        </w:rPr>
        <w:t>2.68</w:t>
      </w:r>
      <w:r>
        <w:rPr>
          <w:spacing w:val="4"/>
        </w:rPr>
        <w:t>%，</w:t>
      </w:r>
      <w:r>
        <w:rPr>
          <w:rFonts w:hint="eastAsia" w:ascii="仿宋_GB2312" w:eastAsia="仿宋_GB2312"/>
          <w:color w:val="auto"/>
          <w:sz w:val="32"/>
          <w:szCs w:val="32"/>
        </w:rPr>
        <w:t>较上年预算相等</w:t>
      </w:r>
      <w:r>
        <w:rPr>
          <w:spacing w:val="-10"/>
        </w:rPr>
        <w:t>。</w:t>
      </w:r>
    </w:p>
    <w:p>
      <w:pPr>
        <w:pStyle w:val="2"/>
        <w:spacing w:line="400" w:lineRule="exact"/>
        <w:rPr>
          <w:rFonts w:hint="eastAsia" w:ascii="黑体" w:hAnsi="黑体" w:eastAsia="黑体"/>
        </w:rPr>
      </w:pPr>
      <w:r>
        <w:rPr>
          <w:rFonts w:hint="eastAsia" w:ascii="黑体" w:hAnsi="黑体" w:eastAsia="黑体"/>
          <w:color w:val="333333"/>
        </w:rPr>
        <w:t>六、“三公”经费预算</w:t>
      </w:r>
    </w:p>
    <w:p>
      <w:pPr>
        <w:pStyle w:val="2"/>
        <w:spacing w:before="151"/>
      </w:pPr>
      <w:r>
        <w:t>本年度三公经费预算安排支出为</w:t>
      </w:r>
      <w:r>
        <w:rPr>
          <w:rFonts w:hint="eastAsia"/>
          <w:lang w:val="en-US" w:eastAsia="zh-CN"/>
        </w:rPr>
        <w:t>11.91</w:t>
      </w:r>
      <w:r>
        <w:t>万元，其中：出国费 0 万</w:t>
      </w:r>
    </w:p>
    <w:p>
      <w:pPr>
        <w:spacing w:after="0"/>
        <w:sectPr>
          <w:footerReference r:id="rId5" w:type="default"/>
          <w:pgSz w:w="11910" w:h="16840"/>
          <w:pgMar w:top="1580" w:right="980" w:bottom="1200" w:left="1540" w:header="0" w:footer="1010" w:gutter="0"/>
          <w:cols w:space="720" w:num="1"/>
        </w:sectPr>
      </w:pPr>
    </w:p>
    <w:p>
      <w:pPr>
        <w:pStyle w:val="2"/>
        <w:ind w:left="0"/>
        <w:rPr>
          <w:sz w:val="20"/>
        </w:rPr>
      </w:pPr>
    </w:p>
    <w:p>
      <w:pPr>
        <w:pStyle w:val="2"/>
        <w:spacing w:before="4"/>
        <w:ind w:left="0"/>
        <w:rPr>
          <w:sz w:val="23"/>
        </w:rPr>
      </w:pPr>
    </w:p>
    <w:p>
      <w:pPr>
        <w:pStyle w:val="2"/>
        <w:spacing w:before="71" w:line="328" w:lineRule="auto"/>
        <w:ind w:left="101" w:right="428"/>
        <w:jc w:val="both"/>
      </w:pPr>
      <w:r>
        <w:rPr>
          <w:spacing w:val="3"/>
        </w:rPr>
        <w:t>元，与上年持平，主要原因为未安排因公出国；公车购置费</w:t>
      </w:r>
      <w:r>
        <w:rPr>
          <w:rFonts w:hint="eastAsia"/>
          <w:spacing w:val="10"/>
          <w:lang w:val="en-US" w:eastAsia="zh-CN"/>
        </w:rPr>
        <w:t>0</w:t>
      </w:r>
      <w:r>
        <w:rPr>
          <w:spacing w:val="10"/>
        </w:rPr>
        <w:t xml:space="preserve"> </w:t>
      </w:r>
      <w:r>
        <w:rPr>
          <w:spacing w:val="-4"/>
          <w:w w:val="95"/>
        </w:rPr>
        <w:t>元，与上年</w:t>
      </w:r>
      <w:r>
        <w:rPr>
          <w:spacing w:val="-5"/>
          <w:w w:val="95"/>
        </w:rPr>
        <w:t>持平</w:t>
      </w:r>
      <w:r>
        <w:rPr>
          <w:spacing w:val="-9"/>
          <w:w w:val="95"/>
        </w:rPr>
        <w:t>；公务用车维护费支出</w:t>
      </w:r>
      <w:r>
        <w:rPr>
          <w:rFonts w:hint="eastAsia"/>
          <w:spacing w:val="10"/>
          <w:w w:val="95"/>
          <w:lang w:val="en-US" w:eastAsia="zh-CN"/>
        </w:rPr>
        <w:t>9.2</w:t>
      </w:r>
      <w:r>
        <w:rPr>
          <w:spacing w:val="-16"/>
          <w:w w:val="95"/>
        </w:rPr>
        <w:t xml:space="preserve"> 万元，较上</w:t>
      </w:r>
      <w:r>
        <w:rPr>
          <w:spacing w:val="-2"/>
        </w:rPr>
        <w:t>年度预算</w:t>
      </w:r>
      <w:r>
        <w:rPr>
          <w:rFonts w:hint="eastAsia"/>
          <w:spacing w:val="10"/>
          <w:lang w:val="en-US" w:eastAsia="zh-CN"/>
        </w:rPr>
        <w:t>4.6</w:t>
      </w:r>
      <w:r>
        <w:rPr>
          <w:spacing w:val="-20"/>
        </w:rPr>
        <w:t>万元有</w:t>
      </w:r>
      <w:r>
        <w:rPr>
          <w:rFonts w:hint="eastAsia"/>
          <w:spacing w:val="-20"/>
          <w:lang w:val="en-US" w:eastAsia="zh-CN"/>
        </w:rPr>
        <w:t>增加</w:t>
      </w:r>
      <w:r>
        <w:rPr>
          <w:spacing w:val="-20"/>
        </w:rPr>
        <w:t>，主要原因</w:t>
      </w:r>
      <w:r>
        <w:rPr>
          <w:rFonts w:hint="eastAsia"/>
          <w:spacing w:val="-20"/>
          <w:lang w:val="en-US" w:eastAsia="zh-CN"/>
        </w:rPr>
        <w:t>车辆增加1量，</w:t>
      </w:r>
      <w:r>
        <w:rPr>
          <w:spacing w:val="-5"/>
          <w:w w:val="95"/>
        </w:rPr>
        <w:t>安排的</w:t>
      </w:r>
      <w:r>
        <w:rPr>
          <w:rFonts w:hint="eastAsia"/>
          <w:spacing w:val="10"/>
          <w:w w:val="95"/>
          <w:lang w:val="en-US" w:eastAsia="zh-CN"/>
        </w:rPr>
        <w:t>项目</w:t>
      </w:r>
      <w:r>
        <w:rPr>
          <w:spacing w:val="-12"/>
          <w:w w:val="95"/>
        </w:rPr>
        <w:t>专项工</w:t>
      </w:r>
      <w:r>
        <w:rPr>
          <w:spacing w:val="-8"/>
          <w:w w:val="95"/>
        </w:rPr>
        <w:t>作用车较多；公务接待费</w:t>
      </w:r>
      <w:r>
        <w:rPr>
          <w:rFonts w:hint="eastAsia"/>
          <w:spacing w:val="7"/>
          <w:w w:val="95"/>
          <w:lang w:val="en-US" w:eastAsia="zh-CN"/>
        </w:rPr>
        <w:t>0.71</w:t>
      </w:r>
      <w:r>
        <w:rPr>
          <w:spacing w:val="-14"/>
          <w:w w:val="95"/>
        </w:rPr>
        <w:t>万元，较上年度预算</w:t>
      </w:r>
      <w:r>
        <w:rPr>
          <w:spacing w:val="-29"/>
          <w:w w:val="95"/>
        </w:rPr>
        <w:t>增</w:t>
      </w:r>
      <w:r>
        <w:rPr>
          <w:rFonts w:hint="eastAsia"/>
          <w:spacing w:val="10"/>
          <w:w w:val="95"/>
          <w:lang w:val="en-US" w:eastAsia="zh-CN"/>
        </w:rPr>
        <w:t>0.71</w:t>
      </w:r>
      <w:r>
        <w:rPr>
          <w:spacing w:val="-5"/>
        </w:rPr>
        <w:t>万元，主要原因为</w:t>
      </w:r>
      <w:r>
        <w:rPr>
          <w:rFonts w:hint="eastAsia"/>
          <w:spacing w:val="7"/>
          <w:lang w:val="en-US" w:eastAsia="zh-CN"/>
        </w:rPr>
        <w:t>业务工作增加</w:t>
      </w:r>
      <w:r>
        <w:rPr>
          <w:spacing w:val="-17"/>
          <w:w w:val="100"/>
        </w:rPr>
        <w:t>。</w:t>
      </w:r>
    </w:p>
    <w:p>
      <w:pPr>
        <w:pStyle w:val="2"/>
        <w:spacing w:line="400" w:lineRule="exact"/>
        <w:rPr>
          <w:rFonts w:hint="eastAsia" w:ascii="黑体" w:eastAsia="黑体"/>
        </w:rPr>
      </w:pPr>
      <w:r>
        <w:rPr>
          <w:rFonts w:hint="eastAsia" w:ascii="黑体" w:eastAsia="黑体"/>
          <w:color w:val="333333"/>
        </w:rPr>
        <w:t>七、政府性基金预算收支情况说明</w:t>
      </w:r>
    </w:p>
    <w:p>
      <w:pPr>
        <w:pStyle w:val="2"/>
        <w:spacing w:before="147"/>
      </w:pPr>
      <w:r>
        <w:t>2022 年没有使用政府性基金预算拨款安排的支出。</w:t>
      </w:r>
    </w:p>
    <w:p>
      <w:pPr>
        <w:pStyle w:val="2"/>
        <w:spacing w:before="152"/>
        <w:rPr>
          <w:rFonts w:hint="eastAsia" w:ascii="黑体" w:eastAsia="黑体"/>
        </w:rPr>
      </w:pPr>
      <w:r>
        <w:rPr>
          <w:rFonts w:hint="eastAsia" w:ascii="黑体" w:eastAsia="黑体"/>
          <w:color w:val="333333"/>
        </w:rPr>
        <w:t>八、国有资本经营预算收支情况说明</w:t>
      </w:r>
    </w:p>
    <w:p>
      <w:pPr>
        <w:pStyle w:val="2"/>
        <w:spacing w:before="151"/>
      </w:pPr>
      <w:r>
        <w:t>2022 年没有使用国有资本经营预算拨款安排的支出。</w:t>
      </w:r>
    </w:p>
    <w:p>
      <w:pPr>
        <w:pStyle w:val="2"/>
        <w:spacing w:before="147"/>
        <w:rPr>
          <w:rFonts w:hint="eastAsia" w:ascii="黑体" w:eastAsia="黑体"/>
        </w:rPr>
      </w:pPr>
      <w:r>
        <w:rPr>
          <w:rFonts w:hint="eastAsia" w:ascii="黑体" w:eastAsia="黑体"/>
          <w:color w:val="333333"/>
        </w:rPr>
        <w:t>九、其他重要事项的情况说明</w:t>
      </w:r>
    </w:p>
    <w:p>
      <w:pPr>
        <w:pStyle w:val="5"/>
        <w:spacing w:before="152"/>
      </w:pPr>
      <w:r>
        <w:rPr>
          <w:color w:val="333333"/>
        </w:rPr>
        <w:t>（一）政府采购预算情况</w:t>
      </w:r>
    </w:p>
    <w:p>
      <w:pPr>
        <w:pStyle w:val="2"/>
        <w:spacing w:before="151"/>
      </w:pPr>
      <w:r>
        <w:t>2022 年度没有安排政府采购。</w:t>
      </w:r>
    </w:p>
    <w:p>
      <w:pPr>
        <w:pStyle w:val="5"/>
        <w:spacing w:before="147"/>
      </w:pPr>
      <w:r>
        <w:rPr>
          <w:color w:val="333333"/>
        </w:rPr>
        <w:t>（二）</w:t>
      </w:r>
      <w:r>
        <w:rPr>
          <w:color w:val="333333"/>
          <w:spacing w:val="-2"/>
        </w:rPr>
        <w:t>政府财政国有资产占用情况</w:t>
      </w:r>
    </w:p>
    <w:p>
      <w:pPr>
        <w:pStyle w:val="2"/>
        <w:tabs>
          <w:tab w:val="left" w:pos="5222"/>
        </w:tabs>
        <w:spacing w:before="152" w:line="328" w:lineRule="auto"/>
        <w:ind w:left="101" w:right="435" w:firstLine="643"/>
      </w:pPr>
      <w:r>
        <w:t>截止</w:t>
      </w:r>
      <w:r>
        <w:rPr>
          <w:spacing w:val="-96"/>
        </w:rPr>
        <w:t xml:space="preserve"> </w:t>
      </w:r>
      <w:r>
        <w:t>2021</w:t>
      </w:r>
      <w:r>
        <w:rPr>
          <w:spacing w:val="-89"/>
        </w:rPr>
        <w:t xml:space="preserve"> </w:t>
      </w:r>
      <w:r>
        <w:t>年底，实际共有</w:t>
      </w:r>
      <w:r>
        <w:rPr>
          <w:spacing w:val="4"/>
        </w:rPr>
        <w:t>固</w:t>
      </w:r>
      <w:r>
        <w:t>定</w:t>
      </w:r>
      <w:r>
        <w:rPr>
          <w:spacing w:val="4"/>
        </w:rPr>
        <w:t>资</w:t>
      </w:r>
      <w:r>
        <w:t>产价</w:t>
      </w:r>
      <w:r>
        <w:rPr>
          <w:spacing w:val="9"/>
        </w:rPr>
        <w:t>值</w:t>
      </w:r>
      <w:r>
        <w:rPr>
          <w:rFonts w:hint="eastAsia"/>
          <w:spacing w:val="7"/>
          <w:lang w:val="en-US" w:eastAsia="zh-CN"/>
        </w:rPr>
        <w:t>7668687.5</w:t>
      </w:r>
      <w:r>
        <w:t>万元：其中：公务</w:t>
      </w:r>
      <w:r>
        <w:rPr>
          <w:spacing w:val="-6"/>
        </w:rPr>
        <w:t>用</w:t>
      </w:r>
      <w:r>
        <w:rPr>
          <w:spacing w:val="17"/>
        </w:rPr>
        <w:t>车</w:t>
      </w:r>
      <w:r>
        <w:rPr>
          <w:rFonts w:hint="eastAsia"/>
          <w:spacing w:val="10"/>
          <w:lang w:val="en-US" w:eastAsia="zh-CN"/>
        </w:rPr>
        <w:t>92.932</w:t>
      </w:r>
      <w:r>
        <w:t>万</w:t>
      </w:r>
      <w:r>
        <w:rPr>
          <w:spacing w:val="-6"/>
        </w:rPr>
        <w:t>元</w:t>
      </w:r>
      <w:r>
        <w:t>；业</w:t>
      </w:r>
      <w:r>
        <w:rPr>
          <w:spacing w:val="-6"/>
        </w:rPr>
        <w:t>务</w:t>
      </w:r>
      <w:r>
        <w:t>用</w:t>
      </w:r>
      <w:r>
        <w:rPr>
          <w:spacing w:val="16"/>
        </w:rPr>
        <w:t>房</w:t>
      </w:r>
      <w:r>
        <w:rPr>
          <w:rFonts w:hint="eastAsia" w:ascii="仿宋_GB2312" w:eastAsia="仿宋_GB2312"/>
          <w:color w:val="auto"/>
          <w:sz w:val="32"/>
          <w:szCs w:val="32"/>
          <w:lang w:val="en-US" w:eastAsia="zh-CN"/>
        </w:rPr>
        <w:t>487.6796</w:t>
      </w:r>
      <w:r>
        <w:rPr>
          <w:spacing w:val="-141"/>
        </w:rPr>
        <w:t xml:space="preserve"> </w:t>
      </w:r>
      <w:r>
        <w:t>万元</w:t>
      </w:r>
      <w:r>
        <w:tab/>
      </w:r>
      <w:r>
        <w:t>。</w:t>
      </w:r>
    </w:p>
    <w:p>
      <w:pPr>
        <w:pStyle w:val="5"/>
        <w:spacing w:line="405" w:lineRule="exact"/>
      </w:pPr>
      <w:r>
        <w:rPr>
          <w:color w:val="333333"/>
        </w:rPr>
        <w:t>（三）绩效目标设置情况</w:t>
      </w:r>
    </w:p>
    <w:p>
      <w:pPr>
        <w:pStyle w:val="2"/>
        <w:spacing w:before="151" w:line="326" w:lineRule="auto"/>
        <w:ind w:left="101" w:right="276" w:firstLine="321"/>
      </w:pPr>
      <w:r>
        <w:rPr>
          <w:spacing w:val="-21"/>
        </w:rPr>
        <w:t>绩效目标是预算编制的前提和基础，按照“费随事定”的原则， 2022</w:t>
      </w:r>
      <w:r>
        <w:rPr>
          <w:spacing w:val="-6"/>
        </w:rPr>
        <w:t xml:space="preserve"> 年我单位项目支出按要求编制了绩效目标，从项目完成、</w:t>
      </w:r>
      <w:r>
        <w:rPr>
          <w:spacing w:val="-5"/>
        </w:rPr>
        <w:t>项目效益、满意度。</w:t>
      </w:r>
    </w:p>
    <w:p>
      <w:pPr>
        <w:pStyle w:val="2"/>
        <w:spacing w:before="7"/>
        <w:rPr>
          <w:rFonts w:hint="eastAsia" w:ascii="黑体" w:eastAsia="黑体"/>
        </w:rPr>
      </w:pPr>
      <w:r>
        <w:rPr>
          <w:rFonts w:hint="eastAsia" w:ascii="黑体" w:eastAsia="黑体"/>
          <w:color w:val="333333"/>
        </w:rPr>
        <w:t>十、名词解释</w:t>
      </w:r>
    </w:p>
    <w:p>
      <w:pPr>
        <w:spacing w:after="0"/>
        <w:rPr>
          <w:rFonts w:hint="eastAsia" w:ascii="黑体" w:eastAsia="黑体"/>
        </w:rPr>
        <w:sectPr>
          <w:pgSz w:w="11910" w:h="16840"/>
          <w:pgMar w:top="1580" w:right="980" w:bottom="1200" w:left="1540" w:header="0" w:footer="1010" w:gutter="0"/>
          <w:cols w:space="720" w:num="1"/>
        </w:sectPr>
      </w:pPr>
    </w:p>
    <w:p>
      <w:pPr>
        <w:pStyle w:val="2"/>
        <w:ind w:left="0"/>
        <w:rPr>
          <w:rFonts w:ascii="黑体"/>
          <w:sz w:val="20"/>
        </w:rPr>
      </w:pPr>
    </w:p>
    <w:p>
      <w:pPr>
        <w:pStyle w:val="2"/>
        <w:spacing w:before="4"/>
        <w:ind w:left="0"/>
        <w:rPr>
          <w:rFonts w:ascii="黑体"/>
          <w:sz w:val="23"/>
        </w:rPr>
      </w:pPr>
    </w:p>
    <w:p>
      <w:pPr>
        <w:pStyle w:val="11"/>
        <w:numPr>
          <w:ilvl w:val="0"/>
          <w:numId w:val="2"/>
        </w:numPr>
        <w:tabs>
          <w:tab w:val="left" w:pos="1024"/>
        </w:tabs>
        <w:spacing w:before="71" w:after="0" w:line="240" w:lineRule="auto"/>
        <w:ind w:left="1023" w:right="0" w:hanging="323"/>
        <w:jc w:val="left"/>
        <w:rPr>
          <w:sz w:val="32"/>
        </w:rPr>
      </w:pPr>
      <w:r>
        <w:rPr>
          <w:spacing w:val="-52"/>
          <w:w w:val="85"/>
          <w:sz w:val="32"/>
        </w:rPr>
        <w:t xml:space="preserve">. </w:t>
      </w:r>
      <w:r>
        <w:rPr>
          <w:spacing w:val="-7"/>
          <w:sz w:val="32"/>
        </w:rPr>
        <w:t>财政拨款收入：指财政部门核拨给单位的财政预算资金。</w:t>
      </w:r>
    </w:p>
    <w:p>
      <w:pPr>
        <w:pStyle w:val="11"/>
        <w:numPr>
          <w:ilvl w:val="0"/>
          <w:numId w:val="2"/>
        </w:numPr>
        <w:tabs>
          <w:tab w:val="left" w:pos="1062"/>
        </w:tabs>
        <w:spacing w:before="152" w:after="0" w:line="240" w:lineRule="auto"/>
        <w:ind w:left="1061" w:right="0" w:hanging="318"/>
        <w:jc w:val="left"/>
        <w:rPr>
          <w:sz w:val="32"/>
        </w:rPr>
      </w:pPr>
      <w:r>
        <w:rPr>
          <w:spacing w:val="-52"/>
          <w:w w:val="85"/>
          <w:sz w:val="32"/>
        </w:rPr>
        <w:t xml:space="preserve">. </w:t>
      </w:r>
      <w:r>
        <w:rPr>
          <w:spacing w:val="-7"/>
          <w:sz w:val="32"/>
        </w:rPr>
        <w:t>其他收入：指除上述财政部门拨付单位以外的收入。</w:t>
      </w:r>
    </w:p>
    <w:p>
      <w:pPr>
        <w:pStyle w:val="11"/>
        <w:numPr>
          <w:ilvl w:val="0"/>
          <w:numId w:val="2"/>
        </w:numPr>
        <w:tabs>
          <w:tab w:val="left" w:pos="1062"/>
        </w:tabs>
        <w:spacing w:before="151" w:after="0" w:line="326" w:lineRule="auto"/>
        <w:ind w:left="101" w:right="433" w:firstLine="643"/>
        <w:jc w:val="left"/>
        <w:rPr>
          <w:sz w:val="32"/>
        </w:rPr>
      </w:pPr>
      <w:r>
        <w:rPr>
          <w:spacing w:val="-52"/>
          <w:w w:val="85"/>
          <w:sz w:val="32"/>
        </w:rPr>
        <w:t xml:space="preserve">. </w:t>
      </w:r>
      <w:r>
        <w:rPr>
          <w:spacing w:val="-12"/>
          <w:sz w:val="32"/>
        </w:rPr>
        <w:t>基本支出：指为保障单位机关正常运转、完成日常工作</w:t>
      </w:r>
      <w:r>
        <w:rPr>
          <w:spacing w:val="-7"/>
          <w:sz w:val="32"/>
        </w:rPr>
        <w:t>任务而发生的人员支出和公用支出。</w:t>
      </w:r>
    </w:p>
    <w:p>
      <w:pPr>
        <w:pStyle w:val="11"/>
        <w:numPr>
          <w:ilvl w:val="0"/>
          <w:numId w:val="2"/>
        </w:numPr>
        <w:tabs>
          <w:tab w:val="left" w:pos="1062"/>
        </w:tabs>
        <w:spacing w:before="4" w:after="0" w:line="328" w:lineRule="auto"/>
        <w:ind w:left="101" w:right="425" w:firstLine="643"/>
        <w:jc w:val="left"/>
        <w:rPr>
          <w:sz w:val="32"/>
        </w:rPr>
      </w:pPr>
      <w:r>
        <w:rPr>
          <w:spacing w:val="-52"/>
          <w:w w:val="85"/>
          <w:sz w:val="32"/>
        </w:rPr>
        <w:t xml:space="preserve">. </w:t>
      </w:r>
      <w:r>
        <w:rPr>
          <w:spacing w:val="-13"/>
          <w:sz w:val="32"/>
        </w:rPr>
        <w:t>项目支出：指在基本支出之外为完成特定行政任务和事</w:t>
      </w:r>
      <w:r>
        <w:rPr>
          <w:spacing w:val="-8"/>
          <w:sz w:val="32"/>
        </w:rPr>
        <w:t>业发展目标所发生的支出。</w:t>
      </w:r>
    </w:p>
    <w:p>
      <w:pPr>
        <w:pStyle w:val="2"/>
        <w:spacing w:line="328" w:lineRule="auto"/>
        <w:ind w:left="101" w:right="320" w:firstLine="643"/>
      </w:pPr>
      <w:r>
        <w:t>5</w:t>
      </w:r>
      <w:r>
        <w:rPr>
          <w:spacing w:val="-1"/>
        </w:rPr>
        <w:t>、机关运行经费：为保障单位机关运行用于购买货物和服</w:t>
      </w:r>
      <w:r>
        <w:rPr>
          <w:spacing w:val="-6"/>
        </w:rPr>
        <w:t>务的各项资金，包括办公及印刷费、邮电费、差旅费、会议费、</w:t>
      </w:r>
      <w:r>
        <w:rPr>
          <w:spacing w:val="-13"/>
        </w:rPr>
        <w:t>福利费、日常维修费、专用材料及一般设备购置费、办公用房水</w:t>
      </w:r>
      <w:r>
        <w:rPr>
          <w:spacing w:val="-15"/>
        </w:rPr>
        <w:t>电费、办公用房取暖费、办公用房物业管理费、公务用车运行维</w:t>
      </w:r>
      <w:r>
        <w:rPr>
          <w:spacing w:val="-6"/>
        </w:rPr>
        <w:t>护费以及其他费用。</w:t>
      </w:r>
    </w:p>
    <w:p>
      <w:pPr>
        <w:pStyle w:val="2"/>
        <w:spacing w:before="8"/>
        <w:ind w:left="0"/>
        <w:rPr>
          <w:sz w:val="42"/>
        </w:rPr>
      </w:pPr>
    </w:p>
    <w:p>
      <w:pPr>
        <w:pStyle w:val="2"/>
      </w:pPr>
      <w:r>
        <w:rPr>
          <w:spacing w:val="-19"/>
        </w:rPr>
        <w:t xml:space="preserve">附件：表 </w:t>
      </w:r>
      <w:r>
        <w:t>1</w:t>
      </w:r>
      <w:r>
        <w:rPr>
          <w:spacing w:val="-122"/>
        </w:rPr>
        <w:t xml:space="preserve"> </w:t>
      </w:r>
      <w:r>
        <w:rPr>
          <w:spacing w:val="-52"/>
          <w:w w:val="85"/>
        </w:rPr>
        <w:t xml:space="preserve">. </w:t>
      </w:r>
      <w:r>
        <w:rPr>
          <w:spacing w:val="-2"/>
        </w:rPr>
        <w:t>财政拨款收支总表</w:t>
      </w:r>
    </w:p>
    <w:p>
      <w:pPr>
        <w:pStyle w:val="2"/>
        <w:spacing w:before="151"/>
        <w:ind w:left="1704"/>
      </w:pPr>
      <w:r>
        <w:rPr>
          <w:spacing w:val="-43"/>
        </w:rPr>
        <w:t xml:space="preserve">表 </w:t>
      </w:r>
      <w:r>
        <w:t>2</w:t>
      </w:r>
      <w:r>
        <w:rPr>
          <w:spacing w:val="-122"/>
        </w:rPr>
        <w:t xml:space="preserve"> </w:t>
      </w:r>
      <w:r>
        <w:rPr>
          <w:spacing w:val="-52"/>
          <w:w w:val="85"/>
        </w:rPr>
        <w:t xml:space="preserve">. </w:t>
      </w:r>
      <w:r>
        <w:rPr>
          <w:spacing w:val="-3"/>
        </w:rPr>
        <w:t>一般公共预算支出表</w:t>
      </w:r>
    </w:p>
    <w:p>
      <w:pPr>
        <w:pStyle w:val="2"/>
        <w:spacing w:before="152"/>
        <w:ind w:left="1704"/>
      </w:pPr>
      <w:r>
        <w:rPr>
          <w:spacing w:val="-43"/>
        </w:rPr>
        <w:t xml:space="preserve">表 </w:t>
      </w:r>
      <w:r>
        <w:t>3</w:t>
      </w:r>
      <w:r>
        <w:rPr>
          <w:spacing w:val="-122"/>
        </w:rPr>
        <w:t xml:space="preserve"> </w:t>
      </w:r>
      <w:r>
        <w:rPr>
          <w:spacing w:val="-52"/>
          <w:w w:val="85"/>
        </w:rPr>
        <w:t xml:space="preserve">. </w:t>
      </w:r>
      <w:r>
        <w:rPr>
          <w:spacing w:val="-3"/>
        </w:rPr>
        <w:t>一般公共预算基本支出表</w:t>
      </w:r>
    </w:p>
    <w:p>
      <w:pPr>
        <w:pStyle w:val="2"/>
        <w:spacing w:before="147"/>
        <w:ind w:left="1704"/>
      </w:pPr>
      <w:r>
        <w:rPr>
          <w:spacing w:val="-43"/>
        </w:rPr>
        <w:t xml:space="preserve">表 </w:t>
      </w:r>
      <w:r>
        <w:t>4</w:t>
      </w:r>
      <w:r>
        <w:rPr>
          <w:spacing w:val="-122"/>
        </w:rPr>
        <w:t xml:space="preserve"> </w:t>
      </w:r>
      <w:r>
        <w:rPr>
          <w:spacing w:val="-52"/>
          <w:w w:val="85"/>
        </w:rPr>
        <w:t xml:space="preserve">. </w:t>
      </w:r>
      <w:r>
        <w:rPr>
          <w:spacing w:val="-6"/>
        </w:rPr>
        <w:t>一般公共预算“三公”经费支出表</w:t>
      </w:r>
    </w:p>
    <w:p>
      <w:pPr>
        <w:pStyle w:val="2"/>
        <w:spacing w:before="151"/>
        <w:ind w:left="1704"/>
      </w:pPr>
      <w:r>
        <w:rPr>
          <w:spacing w:val="-43"/>
        </w:rPr>
        <w:t xml:space="preserve">表 </w:t>
      </w:r>
      <w:r>
        <w:t>5</w:t>
      </w:r>
      <w:r>
        <w:rPr>
          <w:spacing w:val="-122"/>
        </w:rPr>
        <w:t xml:space="preserve"> </w:t>
      </w:r>
      <w:r>
        <w:rPr>
          <w:spacing w:val="-52"/>
          <w:w w:val="85"/>
        </w:rPr>
        <w:t xml:space="preserve">. </w:t>
      </w:r>
      <w:r>
        <w:rPr>
          <w:spacing w:val="-3"/>
        </w:rPr>
        <w:t>政府性基金预算支出表</w:t>
      </w:r>
    </w:p>
    <w:p>
      <w:pPr>
        <w:pStyle w:val="2"/>
        <w:spacing w:before="152"/>
        <w:ind w:left="1704"/>
      </w:pPr>
      <w:r>
        <w:rPr>
          <w:spacing w:val="-43"/>
        </w:rPr>
        <w:t xml:space="preserve">表 </w:t>
      </w:r>
      <w:r>
        <w:t>6</w:t>
      </w:r>
      <w:r>
        <w:rPr>
          <w:spacing w:val="-122"/>
        </w:rPr>
        <w:t xml:space="preserve"> </w:t>
      </w:r>
      <w:r>
        <w:rPr>
          <w:spacing w:val="-52"/>
          <w:w w:val="85"/>
        </w:rPr>
        <w:t xml:space="preserve">. </w:t>
      </w:r>
      <w:r>
        <w:rPr>
          <w:spacing w:val="-6"/>
        </w:rPr>
        <w:t>政府性基金预算“三公”经费支出表</w:t>
      </w:r>
    </w:p>
    <w:p>
      <w:pPr>
        <w:pStyle w:val="2"/>
        <w:spacing w:before="147"/>
        <w:ind w:left="1704"/>
      </w:pPr>
      <w:r>
        <w:rPr>
          <w:spacing w:val="-51"/>
        </w:rPr>
        <w:t xml:space="preserve">表 </w:t>
      </w:r>
      <w:r>
        <w:t>7</w:t>
      </w:r>
      <w:r>
        <w:rPr>
          <w:spacing w:val="-130"/>
        </w:rPr>
        <w:t xml:space="preserve"> </w:t>
      </w:r>
      <w:r>
        <w:rPr>
          <w:spacing w:val="-55"/>
          <w:w w:val="85"/>
        </w:rPr>
        <w:t xml:space="preserve">. </w:t>
      </w:r>
      <w:r>
        <w:rPr>
          <w:spacing w:val="-3"/>
        </w:rPr>
        <w:t>部门收支总表</w:t>
      </w:r>
    </w:p>
    <w:p>
      <w:pPr>
        <w:pStyle w:val="2"/>
        <w:spacing w:before="151"/>
        <w:ind w:left="1704"/>
      </w:pPr>
      <w:r>
        <w:rPr>
          <w:spacing w:val="-51"/>
        </w:rPr>
        <w:t xml:space="preserve">表 </w:t>
      </w:r>
      <w:r>
        <w:t>8</w:t>
      </w:r>
      <w:r>
        <w:rPr>
          <w:spacing w:val="-130"/>
        </w:rPr>
        <w:t xml:space="preserve"> </w:t>
      </w:r>
      <w:r>
        <w:rPr>
          <w:spacing w:val="-55"/>
          <w:w w:val="85"/>
        </w:rPr>
        <w:t xml:space="preserve">. </w:t>
      </w:r>
      <w:r>
        <w:rPr>
          <w:spacing w:val="-3"/>
        </w:rPr>
        <w:t>部门收入总表</w:t>
      </w:r>
    </w:p>
    <w:p>
      <w:pPr>
        <w:pStyle w:val="2"/>
        <w:spacing w:before="152"/>
        <w:ind w:left="1704"/>
      </w:pPr>
      <w:r>
        <w:rPr>
          <w:spacing w:val="-51"/>
        </w:rPr>
        <w:t xml:space="preserve">表 </w:t>
      </w:r>
      <w:r>
        <w:t>9</w:t>
      </w:r>
      <w:r>
        <w:rPr>
          <w:spacing w:val="-130"/>
        </w:rPr>
        <w:t xml:space="preserve"> </w:t>
      </w:r>
      <w:r>
        <w:rPr>
          <w:spacing w:val="-55"/>
          <w:w w:val="85"/>
        </w:rPr>
        <w:t xml:space="preserve">. </w:t>
      </w:r>
      <w:r>
        <w:rPr>
          <w:spacing w:val="-3"/>
        </w:rPr>
        <w:t>部门支出总表</w:t>
      </w:r>
    </w:p>
    <w:p>
      <w:pPr>
        <w:pStyle w:val="2"/>
        <w:spacing w:before="147" w:line="328" w:lineRule="auto"/>
        <w:ind w:left="2501" w:right="434" w:hanging="797"/>
      </w:pPr>
      <w:r>
        <w:rPr>
          <w:spacing w:val="-48"/>
        </w:rPr>
        <w:t xml:space="preserve">表 </w:t>
      </w:r>
      <w:r>
        <w:t>10</w:t>
      </w:r>
      <w:r>
        <w:rPr>
          <w:spacing w:val="-66"/>
        </w:rPr>
        <w:t xml:space="preserve"> .</w:t>
      </w:r>
      <w:r>
        <w:t>2022</w:t>
      </w:r>
      <w:r>
        <w:rPr>
          <w:spacing w:val="-17"/>
        </w:rPr>
        <w:t xml:space="preserve"> 年红原县部门预算项目绩效目标</w:t>
      </w:r>
      <w:r>
        <w:t>（</w:t>
      </w:r>
      <w:r>
        <w:rPr>
          <w:spacing w:val="-2"/>
        </w:rPr>
        <w:t>部门预算）</w:t>
      </w:r>
    </w:p>
    <w:sectPr>
      <w:pgSz w:w="11910" w:h="16840"/>
      <w:pgMar w:top="1580" w:right="980" w:bottom="1200" w:left="1540" w:header="0" w:footer="101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3796665</wp:posOffset>
              </wp:positionH>
              <wp:positionV relativeFrom="page">
                <wp:posOffset>9910445</wp:posOffset>
              </wp:positionV>
              <wp:extent cx="108585" cy="1638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8585" cy="163830"/>
                      </a:xfrm>
                      <a:prstGeom prst="rect">
                        <a:avLst/>
                      </a:prstGeom>
                      <a:noFill/>
                      <a:ln>
                        <a:noFill/>
                      </a:ln>
                    </wps:spPr>
                    <wps:txbx>
                      <w:txbxContent>
                        <w:p>
                          <w:pPr>
                            <w:spacing w:before="27"/>
                            <w:ind w:left="40" w:right="0" w:firstLine="0"/>
                            <w:jc w:val="left"/>
                            <w:rPr>
                              <w:rFonts w:ascii="Calibri"/>
                              <w:sz w:val="17"/>
                            </w:rPr>
                          </w:pPr>
                          <w:r>
                            <w:fldChar w:fldCharType="begin"/>
                          </w:r>
                          <w:r>
                            <w:rPr>
                              <w:rFonts w:ascii="Calibri"/>
                              <w:w w:val="104"/>
                              <w:sz w:val="17"/>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8.95pt;margin-top:780.35pt;height:12.9pt;width:8.55pt;mso-position-horizontal-relative:page;mso-position-vertical-relative:page;z-index:-251657216;mso-width-relative:page;mso-height-relative:page;" filled="f" stroked="f" coordsize="21600,21600" o:gfxdata="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X57x9oAAAANAQAADwAAAAAAAAABACAAAAAiAAAAZHJzL2Rvd25yZXYueG1sUEsB&#10;AhQAFAAAAAgAh07iQMsx1kC6AQAAcQMAAA4AAAAAAAAAAQAgAAAAKQEAAGRycy9lMm9Eb2MueG1s&#10;UEsFBgAAAAAGAAYAWQEAAFUFAAAAAA==&#10;">
              <v:fill on="f" focussize="0,0"/>
              <v:stroke on="f"/>
              <v:imagedata o:title=""/>
              <o:lock v:ext="edit" aspectratio="f"/>
              <v:textbox inset="0mm,0mm,0mm,0mm">
                <w:txbxContent>
                  <w:p>
                    <w:pPr>
                      <w:spacing w:before="27"/>
                      <w:ind w:left="40" w:right="0" w:firstLine="0"/>
                      <w:jc w:val="left"/>
                      <w:rPr>
                        <w:rFonts w:ascii="Calibri"/>
                        <w:sz w:val="17"/>
                      </w:rPr>
                    </w:pPr>
                    <w:r>
                      <w:fldChar w:fldCharType="begin"/>
                    </w:r>
                    <w:r>
                      <w:rPr>
                        <w:rFonts w:ascii="Calibri"/>
                        <w:w w:val="104"/>
                        <w:sz w:val="17"/>
                      </w:rPr>
                      <w:instrText xml:space="preserve"> PAGE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1023" w:hanging="322"/>
        <w:jc w:val="left"/>
      </w:pPr>
      <w:rPr>
        <w:rFonts w:hint="default" w:ascii="仿宋_GB2312" w:hAnsi="仿宋_GB2312" w:eastAsia="仿宋_GB2312" w:cs="仿宋_GB2312"/>
        <w:spacing w:val="-127"/>
        <w:w w:val="55"/>
        <w:sz w:val="32"/>
        <w:szCs w:val="32"/>
        <w:lang w:val="zh-CN" w:eastAsia="zh-CN" w:bidi="zh-CN"/>
      </w:rPr>
    </w:lvl>
    <w:lvl w:ilvl="1" w:tentative="0">
      <w:start w:val="0"/>
      <w:numFmt w:val="bullet"/>
      <w:lvlText w:val="•"/>
      <w:lvlJc w:val="left"/>
      <w:pPr>
        <w:ind w:left="1856" w:hanging="322"/>
      </w:pPr>
      <w:rPr>
        <w:rFonts w:hint="default"/>
        <w:lang w:val="zh-CN" w:eastAsia="zh-CN" w:bidi="zh-CN"/>
      </w:rPr>
    </w:lvl>
    <w:lvl w:ilvl="2" w:tentative="0">
      <w:start w:val="0"/>
      <w:numFmt w:val="bullet"/>
      <w:lvlText w:val="•"/>
      <w:lvlJc w:val="left"/>
      <w:pPr>
        <w:ind w:left="2693" w:hanging="322"/>
      </w:pPr>
      <w:rPr>
        <w:rFonts w:hint="default"/>
        <w:lang w:val="zh-CN" w:eastAsia="zh-CN" w:bidi="zh-CN"/>
      </w:rPr>
    </w:lvl>
    <w:lvl w:ilvl="3" w:tentative="0">
      <w:start w:val="0"/>
      <w:numFmt w:val="bullet"/>
      <w:lvlText w:val="•"/>
      <w:lvlJc w:val="left"/>
      <w:pPr>
        <w:ind w:left="3529" w:hanging="322"/>
      </w:pPr>
      <w:rPr>
        <w:rFonts w:hint="default"/>
        <w:lang w:val="zh-CN" w:eastAsia="zh-CN" w:bidi="zh-CN"/>
      </w:rPr>
    </w:lvl>
    <w:lvl w:ilvl="4" w:tentative="0">
      <w:start w:val="0"/>
      <w:numFmt w:val="bullet"/>
      <w:lvlText w:val="•"/>
      <w:lvlJc w:val="left"/>
      <w:pPr>
        <w:ind w:left="4366" w:hanging="322"/>
      </w:pPr>
      <w:rPr>
        <w:rFonts w:hint="default"/>
        <w:lang w:val="zh-CN" w:eastAsia="zh-CN" w:bidi="zh-CN"/>
      </w:rPr>
    </w:lvl>
    <w:lvl w:ilvl="5" w:tentative="0">
      <w:start w:val="0"/>
      <w:numFmt w:val="bullet"/>
      <w:lvlText w:val="•"/>
      <w:lvlJc w:val="left"/>
      <w:pPr>
        <w:ind w:left="5202" w:hanging="322"/>
      </w:pPr>
      <w:rPr>
        <w:rFonts w:hint="default"/>
        <w:lang w:val="zh-CN" w:eastAsia="zh-CN" w:bidi="zh-CN"/>
      </w:rPr>
    </w:lvl>
    <w:lvl w:ilvl="6" w:tentative="0">
      <w:start w:val="0"/>
      <w:numFmt w:val="bullet"/>
      <w:lvlText w:val="•"/>
      <w:lvlJc w:val="left"/>
      <w:pPr>
        <w:ind w:left="6039" w:hanging="322"/>
      </w:pPr>
      <w:rPr>
        <w:rFonts w:hint="default"/>
        <w:lang w:val="zh-CN" w:eastAsia="zh-CN" w:bidi="zh-CN"/>
      </w:rPr>
    </w:lvl>
    <w:lvl w:ilvl="7" w:tentative="0">
      <w:start w:val="0"/>
      <w:numFmt w:val="bullet"/>
      <w:lvlText w:val="•"/>
      <w:lvlJc w:val="left"/>
      <w:pPr>
        <w:ind w:left="6875" w:hanging="322"/>
      </w:pPr>
      <w:rPr>
        <w:rFonts w:hint="default"/>
        <w:lang w:val="zh-CN" w:eastAsia="zh-CN" w:bidi="zh-CN"/>
      </w:rPr>
    </w:lvl>
    <w:lvl w:ilvl="8" w:tentative="0">
      <w:start w:val="0"/>
      <w:numFmt w:val="bullet"/>
      <w:lvlText w:val="•"/>
      <w:lvlJc w:val="left"/>
      <w:pPr>
        <w:ind w:left="7712" w:hanging="322"/>
      </w:pPr>
      <w:rPr>
        <w:rFonts w:hint="default"/>
        <w:lang w:val="zh-CN" w:eastAsia="zh-CN" w:bidi="zh-CN"/>
      </w:rPr>
    </w:lvl>
  </w:abstractNum>
  <w:abstractNum w:abstractNumId="1">
    <w:nsid w:val="70640DC8"/>
    <w:multiLevelType w:val="singleLevel"/>
    <w:tmpl w:val="70640DC8"/>
    <w:lvl w:ilvl="0" w:tentative="0">
      <w:start w:val="1"/>
      <w:numFmt w:val="chineseCounting"/>
      <w:suff w:val="nothing"/>
      <w:lvlText w:val="（%1）"/>
      <w:lvlJc w:val="left"/>
      <w:rPr>
        <w:rFonts w:hint="eastAsia" w:ascii="楷体" w:hAnsi="楷体" w:eastAsia="楷体" w:cs="楷体"/>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0E28D2"/>
    <w:rsid w:val="7B2F19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paragraph" w:styleId="4">
    <w:name w:val="heading 1"/>
    <w:basedOn w:val="1"/>
    <w:next w:val="1"/>
    <w:qFormat/>
    <w:uiPriority w:val="1"/>
    <w:pPr>
      <w:spacing w:line="644" w:lineRule="exact"/>
      <w:ind w:left="931" w:right="1264"/>
      <w:jc w:val="center"/>
      <w:outlineLvl w:val="1"/>
    </w:pPr>
    <w:rPr>
      <w:rFonts w:ascii="方正小标宋简体" w:hAnsi="方正小标宋简体" w:eastAsia="方正小标宋简体" w:cs="方正小标宋简体"/>
      <w:sz w:val="44"/>
      <w:szCs w:val="44"/>
      <w:lang w:val="zh-CN" w:eastAsia="zh-CN" w:bidi="zh-CN"/>
    </w:rPr>
  </w:style>
  <w:style w:type="paragraph" w:styleId="5">
    <w:name w:val="heading 2"/>
    <w:basedOn w:val="1"/>
    <w:next w:val="1"/>
    <w:qFormat/>
    <w:uiPriority w:val="1"/>
    <w:pPr>
      <w:ind w:left="744"/>
      <w:outlineLvl w:val="2"/>
    </w:pPr>
    <w:rPr>
      <w:rFonts w:ascii="楷体_GB2312" w:hAnsi="楷体_GB2312" w:eastAsia="楷体_GB2312" w:cs="楷体_GB2312"/>
      <w:b/>
      <w:bCs/>
      <w:sz w:val="32"/>
      <w:szCs w:val="32"/>
      <w:lang w:val="zh-CN" w:eastAsia="zh-CN" w:bidi="zh-CN"/>
    </w:rPr>
  </w:style>
  <w:style w:type="character" w:default="1" w:styleId="8">
    <w:name w:val="Default Paragraph Font"/>
    <w:semiHidden/>
    <w:unhideWhenUsed/>
    <w:uiPriority w:val="1"/>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1"/>
    <w:pPr>
      <w:ind w:left="744"/>
    </w:pPr>
    <w:rPr>
      <w:rFonts w:ascii="仿宋_GB2312" w:hAnsi="仿宋_GB2312" w:eastAsia="仿宋_GB2312" w:cs="仿宋_GB2312"/>
      <w:sz w:val="32"/>
      <w:szCs w:val="32"/>
      <w:lang w:val="zh-CN" w:eastAsia="zh-CN" w:bidi="zh-CN"/>
    </w:rPr>
  </w:style>
  <w:style w:type="paragraph" w:styleId="3">
    <w:name w:val="index 8"/>
    <w:basedOn w:val="1"/>
    <w:next w:val="1"/>
    <w:unhideWhenUsed/>
    <w:qFormat/>
    <w:uiPriority w:val="99"/>
    <w:pPr>
      <w:ind w:left="2940"/>
    </w:p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9">
    <w:name w:val="Strong"/>
    <w:basedOn w:val="8"/>
    <w:qFormat/>
    <w:uiPriority w:val="0"/>
    <w:rPr>
      <w:b/>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spacing w:before="4"/>
      <w:ind w:left="101" w:firstLine="643"/>
    </w:pPr>
    <w:rPr>
      <w:rFonts w:ascii="仿宋_GB2312" w:hAnsi="仿宋_GB2312" w:eastAsia="仿宋_GB2312" w:cs="仿宋_GB2312"/>
      <w:lang w:val="zh-CN" w:eastAsia="zh-CN" w:bidi="zh-CN"/>
    </w:rPr>
  </w:style>
  <w:style w:type="paragraph" w:customStyle="1" w:styleId="12">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ScaleCrop>false</ScaleCrop>
  <LinksUpToDate>false</LinksUpToDate>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2022-01-17T07:47:00Z</dcterms:created>
  <dc:creator>Dell</dc:creator>
  <cp:lastModifiedBy>、娅、</cp:lastModifiedBy>
  <dcterms:modified xsi:type="dcterms:W3CDTF">2022-01-17T08:54:45Z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2022-01-17T00:00:00Z</vt:filetime>
  </property>
  <property fmtid="{D5CDD505-2E9C-101B-9397-08002B2CF9AE}" pid="3" name="Creator">
    <vt:lpwstr>Foxit_OFD_PDF_OfficeSuite</vt:lpwstr>
  </property>
  <property fmtid="{D5CDD505-2E9C-101B-9397-08002B2CF9AE}" pid="4" name="LastSaved">
    <vt:filetime>2022-01-17T00:00:00Z</vt:filetime>
  </property>
  <property fmtid="{D5CDD505-2E9C-101B-9397-08002B2CF9AE}" pid="5" name="KSOProductBuildVer">
    <vt:lpwstr>2052-11.1.0.11294</vt:lpwstr>
  </property>
  <property fmtid="{D5CDD505-2E9C-101B-9397-08002B2CF9AE}" pid="6" name="ICV">
    <vt:lpwstr>B333927D83A24704BE1E5B5C8E00BDFF</vt:lpwstr>
  </property>
</Properties>
</file>