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34B4E6">
      <w:pPr>
        <w:keepNext w:val="0"/>
        <w:keepLines w:val="0"/>
        <w:pageBreakBefore w:val="0"/>
        <w:spacing w:line="560" w:lineRule="exact"/>
        <w:ind w:left="0" w:right="0"/>
        <w:rPr>
          <w:rFonts w:hint="eastAsia" w:ascii="仿宋_GB2312" w:eastAsia="仿宋_GB2312"/>
          <w:sz w:val="32"/>
          <w:szCs w:val="32"/>
        </w:rPr>
      </w:pPr>
    </w:p>
    <w:p w14:paraId="6680930F">
      <w:pPr>
        <w:keepNext w:val="0"/>
        <w:keepLines w:val="0"/>
        <w:pageBreakBefore w:val="0"/>
        <w:spacing w:line="560" w:lineRule="exact"/>
        <w:ind w:left="0" w:right="0"/>
        <w:jc w:val="center"/>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红原县人民医院</w:t>
      </w:r>
    </w:p>
    <w:p w14:paraId="66269933">
      <w:pPr>
        <w:keepNext w:val="0"/>
        <w:keepLines w:val="0"/>
        <w:pageBreakBefore w:val="0"/>
        <w:spacing w:line="560" w:lineRule="exact"/>
        <w:ind w:left="0" w:right="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p>
    <w:p w14:paraId="6CC91708">
      <w:pPr>
        <w:pStyle w:val="13"/>
        <w:keepNext w:val="0"/>
        <w:keepLines w:val="0"/>
        <w:pageBreakBefore w:val="0"/>
        <w:spacing w:before="0" w:line="560" w:lineRule="exact"/>
        <w:ind w:left="0" w:right="0"/>
        <w:rPr>
          <w:rFonts w:hint="eastAsia" w:ascii="宋体" w:hAnsi="宋体" w:eastAsia="宋体"/>
          <w:b/>
          <w:sz w:val="44"/>
          <w:szCs w:val="44"/>
        </w:rPr>
      </w:pPr>
      <w:r>
        <w:rPr>
          <w:rFonts w:hint="eastAsia" w:ascii="宋体" w:hAnsi="宋体" w:eastAsia="宋体"/>
          <w:b/>
          <w:sz w:val="44"/>
          <w:szCs w:val="44"/>
        </w:rPr>
        <w:t xml:space="preserve">    </w:t>
      </w:r>
    </w:p>
    <w:p w14:paraId="593A2895">
      <w:pPr>
        <w:pStyle w:val="13"/>
        <w:keepNext w:val="0"/>
        <w:keepLines w:val="0"/>
        <w:pageBreakBefore w:val="0"/>
        <w:spacing w:before="0" w:line="560" w:lineRule="exact"/>
        <w:ind w:left="0" w:right="0"/>
        <w:rPr>
          <w:rFonts w:hint="eastAsia" w:ascii="宋体" w:hAnsi="宋体" w:eastAsia="宋体"/>
          <w:b/>
          <w:sz w:val="44"/>
          <w:szCs w:val="44"/>
        </w:rPr>
      </w:pPr>
    </w:p>
    <w:p w14:paraId="13C4C262">
      <w:pPr>
        <w:pStyle w:val="13"/>
        <w:keepNext w:val="0"/>
        <w:keepLines w:val="0"/>
        <w:pageBreakBefore w:val="0"/>
        <w:spacing w:line="560" w:lineRule="exact"/>
        <w:ind w:left="0" w:right="0" w:firstLine="672"/>
        <w:rPr>
          <w:rFonts w:hint="eastAsia" w:ascii="仿宋_GB2312" w:eastAsia="仿宋_GB2312" w:hAnsiTheme="minorHAnsi" w:cstheme="minorBidi"/>
          <w:sz w:val="32"/>
          <w:szCs w:val="32"/>
          <w:lang w:val="en-US" w:eastAsia="zh-CN" w:bidi="ar-SA"/>
        </w:rPr>
      </w:pPr>
      <w:r>
        <w:rPr>
          <w:rFonts w:hint="eastAsia" w:ascii="仿宋_GB2312" w:eastAsia="仿宋_GB2312" w:hAnsiTheme="minorHAnsi" w:cstheme="minorBidi"/>
          <w:sz w:val="32"/>
          <w:szCs w:val="32"/>
          <w:lang w:val="en-US" w:eastAsia="zh-CN" w:bidi="ar-SA"/>
        </w:rPr>
        <w:t>按照预算管理有关规定，目前部门预算的编制实行综合预算制度，即全部收入和支出都反映在预算中。</w:t>
      </w:r>
    </w:p>
    <w:p w14:paraId="4F18ADAD">
      <w:pPr>
        <w:keepNext w:val="0"/>
        <w:keepLines w:val="0"/>
        <w:pageBreakBefore w:val="0"/>
        <w:spacing w:line="560" w:lineRule="exact"/>
        <w:ind w:left="0" w:right="0" w:firstLine="640"/>
        <w:rPr>
          <w:rFonts w:hint="eastAsia" w:ascii="黑体" w:eastAsia="黑体"/>
          <w:sz w:val="32"/>
          <w:szCs w:val="32"/>
        </w:rPr>
      </w:pPr>
      <w:r>
        <w:rPr>
          <w:rFonts w:hint="eastAsia" w:ascii="黑体" w:eastAsia="黑体"/>
          <w:sz w:val="32"/>
          <w:szCs w:val="32"/>
        </w:rPr>
        <w:t>一、基本职能及主要工作</w:t>
      </w:r>
      <w:bookmarkStart w:id="0" w:name="_GoBack"/>
      <w:bookmarkEnd w:id="0"/>
    </w:p>
    <w:p w14:paraId="3245BDCD">
      <w:pPr>
        <w:pStyle w:val="13"/>
        <w:keepNext w:val="0"/>
        <w:keepLines w:val="0"/>
        <w:pageBreakBefore w:val="0"/>
        <w:spacing w:line="560" w:lineRule="exact"/>
        <w:ind w:left="0" w:right="0" w:firstLine="675"/>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4BFEE242">
      <w:pPr>
        <w:pStyle w:val="13"/>
        <w:keepNext w:val="0"/>
        <w:keepLines w:val="0"/>
        <w:pageBreakBefore w:val="0"/>
        <w:spacing w:line="560" w:lineRule="exact"/>
        <w:ind w:right="0" w:firstLine="640"/>
        <w:rPr>
          <w:rFonts w:hint="eastAsia" w:ascii="仿宋_GB2312" w:eastAsia="仿宋_GB2312" w:hAnsiTheme="minorHAnsi" w:cstheme="minorBidi"/>
          <w:sz w:val="32"/>
          <w:szCs w:val="32"/>
          <w:lang w:val="en-US" w:eastAsia="zh-CN" w:bidi="ar-SA"/>
        </w:rPr>
      </w:pPr>
      <w:r>
        <w:rPr>
          <w:rFonts w:hint="eastAsia" w:ascii="仿宋_GB2312" w:eastAsia="仿宋_GB2312" w:hAnsiTheme="minorHAnsi" w:cstheme="minorBidi"/>
          <w:sz w:val="32"/>
          <w:szCs w:val="32"/>
          <w:lang w:val="en-US" w:eastAsia="zh-CN" w:bidi="ar-SA"/>
        </w:rPr>
        <w:t>1.作为全县医疗业务技术服务中心，承担县内常见病、多发病的诊治任务，开展二级专科服务，承担急危重症抢救和复杂疑难病症诊治任务；2.作为县人民医院承担120急救和突发事故的现场抢救及院内急救；3.接受下级医疗卫生机构的转诊，指导乡（镇）卫生院做好医疗、康复、预防保健等业务技术工作；4.贯彻执行传染病预防诊治和管理工作，开展健康教育进行防病指导；5.承担基层医疗卫生机构卫生技术人员的进修和培训，承担医院校临床教学、实习任务；6.做好城镇职工基本医疗保险、城镇居民基本医疗保险和新型农村合作医疗保险等定点医疗机构的各项工作。参与卫生扶贫、重要会议与重大活动的医疗卫生保障工作。承担</w:t>
      </w:r>
      <w:r>
        <w:rPr>
          <w:rFonts w:hint="eastAsia" w:cstheme="minorBidi"/>
          <w:sz w:val="32"/>
          <w:szCs w:val="32"/>
          <w:lang w:val="en-US" w:eastAsia="zh-CN" w:bidi="ar-SA"/>
        </w:rPr>
        <w:t>县委县政府</w:t>
      </w:r>
      <w:r>
        <w:rPr>
          <w:rFonts w:hint="eastAsia" w:ascii="仿宋_GB2312" w:eastAsia="仿宋_GB2312" w:hAnsiTheme="minorHAnsi" w:cstheme="minorBidi"/>
          <w:sz w:val="32"/>
          <w:szCs w:val="32"/>
          <w:lang w:val="en-US" w:eastAsia="zh-CN" w:bidi="ar-SA"/>
        </w:rPr>
        <w:t>及县卫健局交办的其他卫生工作。</w:t>
      </w:r>
    </w:p>
    <w:p w14:paraId="148AF933">
      <w:pPr>
        <w:pStyle w:val="13"/>
        <w:keepNext w:val="0"/>
        <w:keepLines w:val="0"/>
        <w:pageBreakBefore w:val="0"/>
        <w:spacing w:line="560" w:lineRule="exact"/>
        <w:ind w:left="0" w:right="0" w:firstLine="675"/>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（二）2022年重点工作任务</w:t>
      </w:r>
    </w:p>
    <w:p w14:paraId="0520904F">
      <w:pPr>
        <w:pStyle w:val="28"/>
        <w:widowControl/>
        <w:shd w:val="clear" w:color="auto" w:fill="FFFFFF"/>
        <w:spacing w:before="0" w:beforeAutospacing="0" w:after="0" w:afterAutospacing="0" w:line="560" w:lineRule="exact"/>
        <w:ind w:firstLine="964"/>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b/>
          <w:bCs/>
          <w:color w:val="auto"/>
          <w:sz w:val="32"/>
          <w:szCs w:val="32"/>
          <w:shd w:val="clear" w:color="auto" w:fill="FFFFFF"/>
          <w:lang w:val="en-US" w:eastAsia="zh-CN"/>
        </w:rPr>
        <w:t>1.</w:t>
      </w:r>
      <w:r>
        <w:rPr>
          <w:rFonts w:hint="eastAsia" w:ascii="仿宋_GB2312" w:hAnsi="仿宋_GB2312" w:eastAsia="仿宋_GB2312" w:cs="仿宋_GB2312"/>
          <w:b/>
          <w:bCs/>
          <w:color w:val="auto"/>
          <w:sz w:val="32"/>
          <w:szCs w:val="32"/>
          <w:shd w:val="clear" w:color="auto" w:fill="FFFFFF"/>
        </w:rPr>
        <w:t>确保重点，基础设施显著改善</w:t>
      </w:r>
    </w:p>
    <w:p w14:paraId="2F2144A8">
      <w:pPr>
        <w:pStyle w:val="28"/>
        <w:widowControl/>
        <w:shd w:val="clear" w:color="auto" w:fill="FFFFFF"/>
        <w:spacing w:before="0" w:beforeAutospacing="0" w:after="0" w:afterAutospacing="0" w:line="560" w:lineRule="exact"/>
        <w:ind w:firstLine="645"/>
        <w:rPr>
          <w:rFonts w:hint="eastAsia" w:ascii="仿宋_GB2312" w:eastAsia="仿宋_GB2312" w:hAnsiTheme="minorHAnsi" w:cstheme="minorBidi"/>
          <w:sz w:val="32"/>
          <w:szCs w:val="32"/>
          <w:lang w:val="en-US" w:eastAsia="zh-CN" w:bidi="ar-SA"/>
        </w:rPr>
      </w:pPr>
      <w:r>
        <w:rPr>
          <w:rFonts w:hint="eastAsia" w:ascii="仿宋_GB2312" w:eastAsia="仿宋_GB2312" w:hAnsiTheme="minorHAnsi" w:cstheme="minorBidi"/>
          <w:sz w:val="32"/>
          <w:szCs w:val="32"/>
          <w:lang w:val="en-US" w:eastAsia="zh-CN" w:bidi="ar-SA"/>
        </w:rPr>
        <w:t>积极推进传染病园区建设和阿坝州区域医疗副中心项目建设、高原病防治中心、健康体检中心等项目建设，病区附属配套设施健全，启用后将较大地改善病人住院环境条件，有效缓解人民群众住院难、住院条件差的问题。工作环境的改善，也将使广大干部职工以更加饱满的热情和坚定的信心投入到工作当中，业务量明显提升。</w:t>
      </w:r>
    </w:p>
    <w:p w14:paraId="573E1B72">
      <w:pPr>
        <w:pStyle w:val="28"/>
        <w:widowControl/>
        <w:numPr>
          <w:ilvl w:val="0"/>
          <w:numId w:val="0"/>
        </w:numPr>
        <w:shd w:val="clear" w:color="auto" w:fill="FFFFFF"/>
        <w:spacing w:before="0" w:beforeAutospacing="0" w:after="0" w:afterAutospacing="0" w:line="560" w:lineRule="exact"/>
        <w:ind w:right="0" w:firstLine="643"/>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b/>
          <w:bCs/>
          <w:color w:val="auto"/>
          <w:sz w:val="32"/>
          <w:szCs w:val="32"/>
          <w:shd w:val="clear" w:color="auto" w:fill="FFFFFF"/>
          <w:lang w:val="en-US" w:eastAsia="zh-CN"/>
        </w:rPr>
        <w:t>2.</w:t>
      </w:r>
      <w:r>
        <w:rPr>
          <w:rFonts w:hint="eastAsia" w:ascii="仿宋_GB2312" w:hAnsi="仿宋_GB2312" w:eastAsia="仿宋_GB2312" w:cs="仿宋_GB2312"/>
          <w:b/>
          <w:bCs/>
          <w:color w:val="auto"/>
          <w:sz w:val="32"/>
          <w:szCs w:val="32"/>
          <w:shd w:val="clear" w:color="auto" w:fill="FFFFFF"/>
        </w:rPr>
        <w:t>加强人才培养，提高人才队伍整体素质。</w:t>
      </w:r>
    </w:p>
    <w:p w14:paraId="3EF2AB95">
      <w:pPr>
        <w:pStyle w:val="28"/>
        <w:widowControl/>
        <w:shd w:val="clear" w:color="auto" w:fill="FFFFFF"/>
        <w:spacing w:before="0" w:beforeAutospacing="0" w:after="0" w:afterAutospacing="0" w:line="560" w:lineRule="exact"/>
        <w:ind w:firstLine="645"/>
        <w:rPr>
          <w:rFonts w:hint="eastAsia" w:ascii="仿宋_GB2312" w:eastAsia="仿宋_GB2312" w:hAnsiTheme="minorHAnsi" w:cstheme="minorBidi"/>
          <w:sz w:val="32"/>
          <w:szCs w:val="32"/>
          <w:lang w:val="en-US" w:eastAsia="zh-CN" w:bidi="ar-SA"/>
        </w:rPr>
      </w:pPr>
      <w:r>
        <w:rPr>
          <w:rFonts w:hint="eastAsia" w:ascii="仿宋_GB2312" w:eastAsia="仿宋_GB2312" w:hAnsiTheme="minorHAnsi" w:cstheme="minorBidi"/>
          <w:sz w:val="32"/>
          <w:szCs w:val="32"/>
          <w:lang w:val="en-US" w:eastAsia="zh-CN" w:bidi="ar-SA"/>
        </w:rPr>
        <w:t>通过送出去、引进来、远程教学等多种途径加强干部职工职业素质和业务技能培训，不断提高卫生技术人员的学历层次和专业水平。利用对口帮扶契机，下半年加强与对口帮扶单位的协作交流，促进医疗资源共享，增强学科的交流与合作，围绕建设川甘青结合部区域医疗中心的目标，积极探索建立更为精准、紧密、高效的“科对科”精准帮扶模式。力争加大选拔、派出青年骨干外出，计划选派更多的人去学习进修。注重学科带头人和管理人才引进、培养。利用远程教学学习培训专业技术人才的技能水平。</w:t>
      </w:r>
    </w:p>
    <w:p w14:paraId="070F3689">
      <w:pPr>
        <w:pStyle w:val="28"/>
        <w:widowControl/>
        <w:shd w:val="clear" w:color="auto" w:fill="FFFFFF"/>
        <w:spacing w:before="0" w:beforeAutospacing="0" w:after="0" w:afterAutospacing="0" w:line="560" w:lineRule="exact"/>
        <w:rPr>
          <w:rFonts w:hint="eastAsia" w:ascii="仿宋_GB2312" w:hAnsi="仿宋_GB2312" w:eastAsia="仿宋_GB2312" w:cs="仿宋_GB2312"/>
          <w:b/>
          <w:bCs/>
          <w:color w:val="auto"/>
          <w:sz w:val="32"/>
          <w:szCs w:val="32"/>
          <w:shd w:val="clear" w:color="auto" w:fill="FFFFFF"/>
        </w:rPr>
      </w:pPr>
      <w:r>
        <w:rPr>
          <w:rFonts w:hint="eastAsia" w:ascii="仿宋_GB2312" w:hAnsi="仿宋_GB2312" w:eastAsia="仿宋_GB2312" w:cs="仿宋_GB2312"/>
          <w:b/>
          <w:bCs/>
          <w:color w:val="FF0000"/>
          <w:sz w:val="32"/>
          <w:szCs w:val="32"/>
          <w:shd w:val="clear" w:color="auto" w:fill="FFFFFF"/>
        </w:rPr>
        <w:t xml:space="preserve">   </w:t>
      </w:r>
      <w:r>
        <w:rPr>
          <w:rFonts w:hint="eastAsia" w:ascii="仿宋_GB2312" w:hAnsi="仿宋_GB2312" w:eastAsia="仿宋_GB2312" w:cs="仿宋_GB2312"/>
          <w:b/>
          <w:bCs/>
          <w:color w:val="auto"/>
          <w:sz w:val="32"/>
          <w:szCs w:val="32"/>
          <w:shd w:val="clear" w:color="auto" w:fill="FFFFFF"/>
        </w:rPr>
        <w:t xml:space="preserve"> </w:t>
      </w:r>
      <w:r>
        <w:rPr>
          <w:rFonts w:hint="eastAsia" w:ascii="仿宋_GB2312" w:hAnsi="仿宋_GB2312" w:eastAsia="仿宋_GB2312" w:cs="仿宋_GB2312"/>
          <w:b/>
          <w:bCs/>
          <w:color w:val="auto"/>
          <w:sz w:val="32"/>
          <w:szCs w:val="32"/>
          <w:shd w:val="clear" w:color="auto" w:fill="FFFFFF"/>
          <w:lang w:val="en-US" w:eastAsia="zh-CN"/>
        </w:rPr>
        <w:t>3.</w:t>
      </w:r>
      <w:r>
        <w:rPr>
          <w:rFonts w:hint="eastAsia" w:ascii="仿宋_GB2312" w:hAnsi="仿宋_GB2312" w:eastAsia="仿宋_GB2312" w:cs="仿宋_GB2312"/>
          <w:b/>
          <w:bCs/>
          <w:color w:val="auto"/>
          <w:sz w:val="32"/>
          <w:szCs w:val="32"/>
          <w:shd w:val="clear" w:color="auto" w:fill="FFFFFF"/>
        </w:rPr>
        <w:t>推进医疗文化建设，促进科室建设。</w:t>
      </w:r>
    </w:p>
    <w:p w14:paraId="04895C54">
      <w:pPr>
        <w:keepNext w:val="0"/>
        <w:keepLines w:val="0"/>
        <w:pageBreakBefore w:val="0"/>
        <w:spacing w:line="560" w:lineRule="exact"/>
        <w:ind w:left="0" w:right="0" w:firstLine="640"/>
        <w:jc w:val="left"/>
        <w:outlineLvl w:val="9"/>
        <w:rPr>
          <w:rFonts w:hint="eastAsia" w:ascii="仿宋_GB2312" w:eastAsia="仿宋_GB2312"/>
          <w:sz w:val="32"/>
          <w:szCs w:val="32"/>
          <w:lang w:eastAsia="zh-CN"/>
        </w:rPr>
      </w:pPr>
      <w:r>
        <w:rPr>
          <w:rFonts w:hint="eastAsia" w:ascii="仿宋_GB2312" w:eastAsia="仿宋_GB2312"/>
          <w:sz w:val="32"/>
          <w:szCs w:val="32"/>
        </w:rPr>
        <w:t>在医院价值观念、行为规范、环境形象等方面进行设计和建设，增强医疗文化底蕴，彰显医疗文化氛围。营造浓厚的医疗文化元素，</w:t>
      </w:r>
      <w:r>
        <w:rPr>
          <w:rFonts w:hint="eastAsia" w:ascii="仿宋_GB2312" w:eastAsia="仿宋_GB2312"/>
          <w:sz w:val="32"/>
          <w:szCs w:val="32"/>
          <w:lang w:eastAsia="zh-CN"/>
        </w:rPr>
        <w:t>依托</w:t>
      </w:r>
      <w:r>
        <w:rPr>
          <w:rFonts w:hint="eastAsia" w:ascii="仿宋_GB2312" w:eastAsia="仿宋_GB2312"/>
          <w:sz w:val="32"/>
          <w:szCs w:val="32"/>
          <w:lang w:val="en-US" w:eastAsia="zh-CN"/>
        </w:rPr>
        <w:t>绵阳市第三人民医院与东西部扶贫协作平台</w:t>
      </w:r>
      <w:r>
        <w:rPr>
          <w:rFonts w:hint="eastAsia" w:ascii="仿宋_GB2312" w:eastAsia="仿宋_GB2312"/>
          <w:sz w:val="32"/>
          <w:szCs w:val="32"/>
          <w:lang w:eastAsia="zh-CN"/>
        </w:rPr>
        <w:t>建立</w:t>
      </w:r>
      <w:r>
        <w:rPr>
          <w:rFonts w:hint="eastAsia" w:ascii="仿宋_GB2312" w:eastAsia="仿宋_GB2312"/>
          <w:sz w:val="32"/>
          <w:szCs w:val="32"/>
          <w:lang w:val="en-US" w:eastAsia="zh-CN"/>
        </w:rPr>
        <w:t>外科、产科等</w:t>
      </w:r>
      <w:r>
        <w:rPr>
          <w:rFonts w:hint="eastAsia" w:ascii="仿宋_GB2312" w:eastAsia="仿宋_GB2312"/>
          <w:sz w:val="32"/>
          <w:szCs w:val="32"/>
          <w:lang w:eastAsia="zh-CN"/>
        </w:rPr>
        <w:t>专科联盟。</w:t>
      </w:r>
    </w:p>
    <w:p w14:paraId="424FDF6B">
      <w:pPr>
        <w:spacing w:line="560" w:lineRule="exact"/>
        <w:ind w:firstLine="643"/>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shd w:val="clear" w:color="auto" w:fill="FFFFFF"/>
          <w:lang w:val="en-US" w:eastAsia="zh-CN" w:bidi="ar"/>
        </w:rPr>
        <w:t>4.</w:t>
      </w:r>
      <w:r>
        <w:rPr>
          <w:rFonts w:hint="eastAsia" w:ascii="仿宋_GB2312" w:hAnsi="仿宋_GB2312" w:eastAsia="仿宋_GB2312" w:cs="仿宋_GB2312"/>
          <w:b/>
          <w:bCs/>
          <w:color w:val="auto"/>
          <w:sz w:val="32"/>
          <w:szCs w:val="32"/>
          <w:shd w:val="clear" w:color="auto" w:fill="FFFFFF"/>
          <w:lang w:bidi="ar"/>
        </w:rPr>
        <w:t>加强医院信息化建设，</w:t>
      </w:r>
      <w:r>
        <w:rPr>
          <w:rFonts w:hint="eastAsia" w:ascii="仿宋_GB2312" w:hAnsi="仿宋_GB2312" w:eastAsia="仿宋_GB2312" w:cs="仿宋_GB2312"/>
          <w:b/>
          <w:bCs/>
          <w:color w:val="auto"/>
          <w:sz w:val="32"/>
          <w:szCs w:val="32"/>
          <w:shd w:val="clear" w:color="auto" w:fill="FFFFFF"/>
          <w:lang w:eastAsia="zh-CN" w:bidi="ar"/>
        </w:rPr>
        <w:t>力争年底完成</w:t>
      </w:r>
      <w:r>
        <w:rPr>
          <w:rFonts w:hint="eastAsia" w:ascii="仿宋_GB2312" w:hAnsi="仿宋_GB2312" w:eastAsia="仿宋_GB2312" w:cs="仿宋_GB2312"/>
          <w:b/>
          <w:bCs/>
          <w:color w:val="auto"/>
          <w:sz w:val="32"/>
          <w:szCs w:val="32"/>
          <w:shd w:val="clear" w:color="auto" w:fill="FFFFFF"/>
          <w:lang w:val="en-US" w:eastAsia="zh-CN" w:bidi="ar"/>
        </w:rPr>
        <w:t>智慧</w:t>
      </w:r>
      <w:r>
        <w:rPr>
          <w:rFonts w:hint="eastAsia" w:ascii="仿宋_GB2312" w:hAnsi="仿宋_GB2312" w:eastAsia="仿宋_GB2312" w:cs="仿宋_GB2312"/>
          <w:b/>
          <w:bCs/>
          <w:color w:val="auto"/>
          <w:sz w:val="32"/>
          <w:szCs w:val="32"/>
          <w:shd w:val="clear" w:color="auto" w:fill="FFFFFF"/>
          <w:lang w:eastAsia="zh-CN" w:bidi="ar"/>
        </w:rPr>
        <w:t>医院</w:t>
      </w:r>
      <w:r>
        <w:rPr>
          <w:rFonts w:hint="eastAsia" w:ascii="仿宋_GB2312" w:hAnsi="仿宋_GB2312" w:eastAsia="仿宋_GB2312" w:cs="仿宋_GB2312"/>
          <w:b/>
          <w:bCs/>
          <w:color w:val="auto"/>
          <w:sz w:val="32"/>
          <w:szCs w:val="32"/>
          <w:shd w:val="clear" w:color="auto" w:fill="FFFFFF"/>
          <w:lang w:val="en-US" w:eastAsia="zh-CN" w:bidi="ar"/>
        </w:rPr>
        <w:t>建设</w:t>
      </w:r>
      <w:r>
        <w:rPr>
          <w:rFonts w:hint="eastAsia" w:ascii="仿宋_GB2312" w:hAnsi="仿宋_GB2312" w:eastAsia="仿宋_GB2312" w:cs="仿宋_GB2312"/>
          <w:b/>
          <w:bCs/>
          <w:color w:val="auto"/>
          <w:sz w:val="32"/>
          <w:szCs w:val="32"/>
          <w:shd w:val="clear" w:color="auto" w:fill="FFFFFF"/>
          <w:lang w:eastAsia="zh-CN" w:bidi="ar"/>
        </w:rPr>
        <w:t>工作，</w:t>
      </w:r>
      <w:r>
        <w:rPr>
          <w:rFonts w:hint="eastAsia" w:ascii="仿宋_GB2312" w:hAnsi="仿宋_GB2312" w:eastAsia="仿宋_GB2312" w:cs="仿宋_GB2312"/>
          <w:b/>
          <w:bCs/>
          <w:color w:val="auto"/>
          <w:sz w:val="32"/>
          <w:szCs w:val="32"/>
          <w:shd w:val="clear" w:color="auto" w:fill="FFFFFF"/>
          <w:lang w:bidi="ar"/>
        </w:rPr>
        <w:t>促进医院管理迈向科学化、现代化。</w:t>
      </w:r>
    </w:p>
    <w:p w14:paraId="36ED9DD9">
      <w:pPr>
        <w:keepNext w:val="0"/>
        <w:keepLines w:val="0"/>
        <w:pageBreakBefore w:val="0"/>
        <w:spacing w:line="560" w:lineRule="exact"/>
        <w:ind w:left="0" w:right="0" w:firstLine="640"/>
        <w:jc w:val="left"/>
        <w:outlineLvl w:val="9"/>
        <w:rPr>
          <w:rFonts w:hint="eastAsia" w:ascii="仿宋_GB2312" w:eastAsia="仿宋_GB2312"/>
          <w:sz w:val="32"/>
          <w:szCs w:val="32"/>
        </w:rPr>
      </w:pPr>
      <w:r>
        <w:rPr>
          <w:rFonts w:hint="eastAsia" w:ascii="仿宋_GB2312" w:eastAsia="仿宋_GB2312"/>
          <w:sz w:val="32"/>
          <w:szCs w:val="32"/>
        </w:rPr>
        <w:t>逐步建立完善医院信息化系统，</w:t>
      </w:r>
      <w:r>
        <w:rPr>
          <w:rFonts w:hint="eastAsia" w:ascii="仿宋_GB2312" w:eastAsia="仿宋_GB2312"/>
          <w:sz w:val="32"/>
          <w:szCs w:val="32"/>
          <w:lang w:eastAsia="zh-CN"/>
        </w:rPr>
        <w:t>创建智慧医院工作。</w:t>
      </w:r>
      <w:r>
        <w:rPr>
          <w:rFonts w:hint="eastAsia" w:ascii="仿宋_GB2312" w:eastAsia="仿宋_GB2312"/>
          <w:sz w:val="32"/>
          <w:szCs w:val="32"/>
        </w:rPr>
        <w:t>开展计算机网络映射</w:t>
      </w:r>
      <w:r>
        <w:rPr>
          <w:rFonts w:hint="eastAsia" w:ascii="仿宋_GB2312" w:eastAsia="仿宋_GB2312"/>
          <w:sz w:val="32"/>
          <w:szCs w:val="32"/>
          <w:lang w:eastAsia="zh-CN"/>
        </w:rPr>
        <w:t>乡镇卫生院</w:t>
      </w:r>
      <w:r>
        <w:rPr>
          <w:rFonts w:hint="eastAsia" w:ascii="仿宋_GB2312" w:eastAsia="仿宋_GB2312"/>
          <w:sz w:val="32"/>
          <w:szCs w:val="32"/>
        </w:rPr>
        <w:t>，达到资源共享，使医院办公</w:t>
      </w:r>
      <w:r>
        <w:rPr>
          <w:rFonts w:hint="eastAsia" w:ascii="仿宋_GB2312" w:eastAsia="仿宋_GB2312"/>
          <w:sz w:val="32"/>
          <w:szCs w:val="32"/>
          <w:lang w:eastAsia="zh-CN"/>
        </w:rPr>
        <w:t>效率化、无纸化</w:t>
      </w:r>
      <w:r>
        <w:rPr>
          <w:rFonts w:hint="eastAsia" w:ascii="仿宋_GB2312" w:eastAsia="仿宋_GB2312"/>
          <w:sz w:val="32"/>
          <w:szCs w:val="32"/>
        </w:rPr>
        <w:t>。</w:t>
      </w:r>
      <w:r>
        <w:rPr>
          <w:rFonts w:hint="eastAsia" w:ascii="仿宋_GB2312" w:eastAsia="仿宋_GB2312"/>
          <w:sz w:val="32"/>
          <w:szCs w:val="32"/>
          <w:lang w:val="en-US" w:eastAsia="zh-CN"/>
        </w:rPr>
        <w:t>2022</w:t>
      </w:r>
      <w:r>
        <w:rPr>
          <w:rFonts w:hint="eastAsia" w:ascii="仿宋_GB2312" w:eastAsia="仿宋_GB2312"/>
          <w:sz w:val="32"/>
          <w:szCs w:val="32"/>
          <w:lang w:eastAsia="zh-CN"/>
        </w:rPr>
        <w:t>年</w:t>
      </w:r>
      <w:r>
        <w:rPr>
          <w:rFonts w:hint="eastAsia" w:ascii="仿宋_GB2312" w:eastAsia="仿宋_GB2312"/>
          <w:sz w:val="32"/>
          <w:szCs w:val="32"/>
          <w:lang w:val="en-US" w:eastAsia="zh-CN"/>
        </w:rPr>
        <w:t>疑难重症患者实现网络会诊治疗的机会增加</w:t>
      </w:r>
      <w:r>
        <w:rPr>
          <w:rFonts w:hint="eastAsia" w:ascii="仿宋_GB2312" w:eastAsia="仿宋_GB2312"/>
          <w:sz w:val="32"/>
          <w:szCs w:val="32"/>
        </w:rPr>
        <w:t>，使县医院走向科学化、规模化和现代化发展。</w:t>
      </w:r>
    </w:p>
    <w:p w14:paraId="51E3D6E8">
      <w:pPr>
        <w:keepNext w:val="0"/>
        <w:keepLines w:val="0"/>
        <w:pageBreakBefore w:val="0"/>
        <w:spacing w:line="560" w:lineRule="exact"/>
        <w:ind w:left="0" w:right="0" w:firstLine="640"/>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1482111A">
      <w:pPr>
        <w:pStyle w:val="13"/>
        <w:keepNext w:val="0"/>
        <w:keepLines w:val="0"/>
        <w:pageBreakBefore w:val="0"/>
        <w:spacing w:line="560" w:lineRule="exact"/>
        <w:ind w:left="0" w:right="0" w:firstLine="672"/>
        <w:rPr>
          <w:rFonts w:hint="eastAsia" w:ascii="仿宋_GB2312" w:eastAsia="仿宋_GB2312" w:hAnsiTheme="minorHAnsi" w:cstheme="minorBidi"/>
          <w:sz w:val="32"/>
          <w:szCs w:val="32"/>
          <w:lang w:val="en-US" w:eastAsia="zh-CN" w:bidi="ar-SA"/>
        </w:rPr>
      </w:pPr>
      <w:r>
        <w:rPr>
          <w:rFonts w:hint="eastAsia" w:ascii="仿宋_GB2312" w:eastAsia="仿宋_GB2312" w:hAnsiTheme="minorHAnsi" w:cstheme="minorBidi"/>
          <w:sz w:val="32"/>
          <w:szCs w:val="32"/>
          <w:lang w:val="en-US" w:eastAsia="zh-CN" w:bidi="ar-SA"/>
        </w:rPr>
        <w:t>本单位为红原县卫生健康局所属二级预算单位，其中事业单位1个。</w:t>
      </w:r>
    </w:p>
    <w:p w14:paraId="13F1F3C5">
      <w:pPr>
        <w:keepNext w:val="0"/>
        <w:keepLines w:val="0"/>
        <w:pageBreakBefore w:val="0"/>
        <w:spacing w:line="560" w:lineRule="exact"/>
        <w:ind w:left="0" w:right="0" w:firstLine="640"/>
        <w:rPr>
          <w:rFonts w:hint="eastAsia" w:ascii="黑体" w:eastAsia="黑体"/>
          <w:sz w:val="32"/>
          <w:szCs w:val="32"/>
        </w:rPr>
      </w:pPr>
      <w:r>
        <w:rPr>
          <w:rFonts w:hint="eastAsia" w:ascii="黑体" w:eastAsia="黑体"/>
          <w:sz w:val="32"/>
          <w:szCs w:val="32"/>
        </w:rPr>
        <w:t>三、收支预算总体情况</w:t>
      </w:r>
    </w:p>
    <w:p w14:paraId="2FE2D787">
      <w:pPr>
        <w:keepNext w:val="0"/>
        <w:keepLines w:val="0"/>
        <w:pageBreakBefore w:val="0"/>
        <w:spacing w:line="560" w:lineRule="exact"/>
        <w:ind w:left="0" w:right="0" w:firstLine="640"/>
        <w:jc w:val="left"/>
        <w:outlineLvl w:val="9"/>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val="en-US" w:eastAsia="zh-CN"/>
        </w:rPr>
        <w:t>红原县人民医院</w:t>
      </w:r>
      <w:r>
        <w:rPr>
          <w:rFonts w:hint="eastAsia" w:ascii="仿宋_GB2312" w:eastAsia="仿宋_GB2312"/>
          <w:sz w:val="32"/>
          <w:szCs w:val="32"/>
        </w:rPr>
        <w:t>收入预算总额为1864.17万元，其中：当年财政拨款收入1864.17万元。相应安排支出预算1864.17万元，其中：社会保障和就业287.63万元，卫生健康支出1395.18万元，住房保障支出181.36万元。</w:t>
      </w:r>
    </w:p>
    <w:p w14:paraId="5F0E6BFC">
      <w:pPr>
        <w:keepNext w:val="0"/>
        <w:keepLines w:val="0"/>
        <w:pageBreakBefore w:val="0"/>
        <w:numPr>
          <w:ilvl w:val="0"/>
          <w:numId w:val="1"/>
        </w:numPr>
        <w:spacing w:line="560" w:lineRule="exact"/>
        <w:ind w:left="0" w:right="0" w:firstLine="640"/>
        <w:rPr>
          <w:rFonts w:hint="eastAsia" w:ascii="黑体" w:eastAsia="黑体"/>
          <w:sz w:val="32"/>
          <w:szCs w:val="32"/>
        </w:rPr>
      </w:pPr>
      <w:r>
        <w:rPr>
          <w:rFonts w:hint="eastAsia" w:ascii="黑体" w:eastAsia="黑体"/>
          <w:sz w:val="32"/>
          <w:szCs w:val="32"/>
        </w:rPr>
        <w:t>支出预算安排情况</w:t>
      </w:r>
    </w:p>
    <w:p w14:paraId="4AE62FEA">
      <w:pPr>
        <w:keepNext w:val="0"/>
        <w:keepLines w:val="0"/>
        <w:pageBreakBefore w:val="0"/>
        <w:numPr>
          <w:ilvl w:val="0"/>
          <w:numId w:val="0"/>
        </w:numPr>
        <w:spacing w:line="560" w:lineRule="exact"/>
        <w:ind w:left="0" w:right="0"/>
        <w:rPr>
          <w:rFonts w:hint="eastAsia" w:ascii="仿宋_GB2312" w:eastAsia="仿宋_GB2312"/>
          <w:sz w:val="32"/>
          <w:szCs w:val="32"/>
        </w:rPr>
      </w:pPr>
      <w:r>
        <w:rPr>
          <w:rFonts w:hint="eastAsia" w:ascii="仿宋_GB2312" w:eastAsia="仿宋_GB2312"/>
          <w:sz w:val="32"/>
          <w:szCs w:val="32"/>
          <w:lang w:val="en-US" w:eastAsia="zh-CN"/>
        </w:rPr>
        <w:t xml:space="preserve">   红原县人民医院</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医疗</w:t>
      </w:r>
      <w:r>
        <w:rPr>
          <w:rFonts w:hint="eastAsia" w:ascii="仿宋_GB2312" w:eastAsia="仿宋_GB2312"/>
          <w:sz w:val="32"/>
          <w:szCs w:val="32"/>
        </w:rPr>
        <w:t xml:space="preserve">事业发展相关工作。  </w:t>
      </w:r>
    </w:p>
    <w:p w14:paraId="2B477AF8">
      <w:pPr>
        <w:keepNext w:val="0"/>
        <w:keepLines w:val="0"/>
        <w:pageBreakBefore w:val="0"/>
        <w:spacing w:line="560" w:lineRule="exact"/>
        <w:ind w:left="0" w:right="0" w:firstLine="640"/>
        <w:jc w:val="left"/>
        <w:outlineLvl w:val="9"/>
        <w:rPr>
          <w:rFonts w:hint="eastAsia" w:ascii="仿宋_GB2312" w:eastAsia="仿宋_GB2312"/>
          <w:sz w:val="32"/>
          <w:szCs w:val="32"/>
        </w:rPr>
      </w:pPr>
      <w:r>
        <w:rPr>
          <w:rFonts w:hint="eastAsia" w:ascii="仿宋_GB2312" w:eastAsia="仿宋_GB2312"/>
          <w:sz w:val="32"/>
          <w:szCs w:val="32"/>
        </w:rPr>
        <w:t>基本支出1859.17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1832.81</w:t>
      </w:r>
      <w:r>
        <w:rPr>
          <w:rFonts w:hint="eastAsia" w:ascii="仿宋_GB2312" w:eastAsia="仿宋_GB2312"/>
          <w:sz w:val="32"/>
          <w:szCs w:val="32"/>
          <w:lang w:val="en-US" w:eastAsia="zh-CN"/>
        </w:rPr>
        <w:t>万元，机关运行经费</w:t>
      </w:r>
      <w:r>
        <w:rPr>
          <w:rFonts w:hint="eastAsia" w:ascii="仿宋_GB2312" w:eastAsia="仿宋_GB2312"/>
          <w:sz w:val="32"/>
          <w:szCs w:val="32"/>
        </w:rPr>
        <w:t>26.37</w:t>
      </w:r>
      <w:r>
        <w:rPr>
          <w:rFonts w:hint="eastAsia" w:ascii="仿宋_GB2312" w:eastAsia="仿宋_GB2312"/>
          <w:sz w:val="32"/>
          <w:szCs w:val="32"/>
          <w:lang w:val="en-US" w:eastAsia="zh-CN"/>
        </w:rPr>
        <w:t>万元，其中：办公费</w:t>
      </w:r>
      <w:r>
        <w:rPr>
          <w:rFonts w:hint="eastAsia" w:ascii="仿宋_GB2312" w:eastAsia="仿宋_GB2312"/>
          <w:sz w:val="32"/>
          <w:szCs w:val="32"/>
        </w:rPr>
        <w:t>11.98</w:t>
      </w:r>
      <w:r>
        <w:rPr>
          <w:rFonts w:hint="eastAsia" w:ascii="仿宋_GB2312" w:eastAsia="仿宋_GB2312"/>
          <w:sz w:val="32"/>
          <w:szCs w:val="32"/>
          <w:lang w:val="en-US" w:eastAsia="zh-CN"/>
        </w:rPr>
        <w:t>万元，差旅费0万元，工会经费</w:t>
      </w:r>
      <w:r>
        <w:rPr>
          <w:rFonts w:hint="eastAsia" w:ascii="仿宋_GB2312" w:eastAsia="仿宋_GB2312"/>
          <w:sz w:val="32"/>
          <w:szCs w:val="32"/>
        </w:rPr>
        <w:t>14.38</w:t>
      </w:r>
      <w:r>
        <w:rPr>
          <w:rFonts w:hint="eastAsia" w:ascii="仿宋_GB2312" w:eastAsia="仿宋_GB2312"/>
          <w:sz w:val="32"/>
          <w:szCs w:val="32"/>
          <w:lang w:val="en-US" w:eastAsia="zh-CN"/>
        </w:rPr>
        <w:t>万元，公务用车运行维护费0万元。</w:t>
      </w:r>
    </w:p>
    <w:p w14:paraId="1930B0C7">
      <w:pPr>
        <w:keepNext w:val="0"/>
        <w:keepLines w:val="0"/>
        <w:pageBreakBefore w:val="0"/>
        <w:spacing w:line="560" w:lineRule="exact"/>
        <w:ind w:left="0" w:right="0" w:firstLine="640"/>
        <w:rPr>
          <w:rFonts w:hint="eastAsia" w:ascii="仿宋_GB2312" w:eastAsia="仿宋_GB2312"/>
          <w:sz w:val="32"/>
          <w:szCs w:val="32"/>
        </w:rPr>
      </w:pPr>
      <w:r>
        <w:rPr>
          <w:rFonts w:hint="eastAsia" w:ascii="仿宋_GB2312" w:eastAsia="仿宋_GB2312"/>
          <w:sz w:val="32"/>
          <w:szCs w:val="32"/>
        </w:rPr>
        <w:t>按支出功能分类主要用于以下方面:</w:t>
      </w:r>
    </w:p>
    <w:p w14:paraId="42B7706B">
      <w:pPr>
        <w:keepNext w:val="0"/>
        <w:keepLines w:val="0"/>
        <w:pageBreakBefore w:val="0"/>
        <w:spacing w:line="560" w:lineRule="exact"/>
        <w:ind w:left="0" w:right="0" w:firstLine="64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一</w:t>
      </w:r>
      <w:r>
        <w:rPr>
          <w:rFonts w:hint="eastAsia" w:ascii="仿宋_GB2312" w:eastAsia="仿宋_GB2312"/>
          <w:sz w:val="32"/>
          <w:szCs w:val="32"/>
        </w:rPr>
        <w:t>）社会保障和就业287.63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075FB9E8">
      <w:pPr>
        <w:keepNext w:val="0"/>
        <w:keepLines w:val="0"/>
        <w:pageBreakBefore w:val="0"/>
        <w:spacing w:line="560" w:lineRule="exact"/>
        <w:ind w:left="0" w:right="0" w:firstLine="64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）卫生健康</w:t>
      </w:r>
      <w:r>
        <w:rPr>
          <w:rFonts w:hint="eastAsia" w:ascii="仿宋_GB2312" w:eastAsia="仿宋_GB2312"/>
          <w:sz w:val="32"/>
          <w:szCs w:val="32"/>
          <w:lang w:val="en-US" w:eastAsia="zh-CN"/>
        </w:rPr>
        <w:t>1390.18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val="en-US" w:eastAsia="zh-CN"/>
        </w:rPr>
        <w:t>人员工资、</w:t>
      </w:r>
      <w:r>
        <w:rPr>
          <w:rFonts w:hint="eastAsia" w:ascii="仿宋_GB2312" w:eastAsia="仿宋_GB2312"/>
          <w:sz w:val="32"/>
          <w:szCs w:val="32"/>
        </w:rPr>
        <w:t>按照规定标准为职工缴纳的基本医疗保险及公务员医疗补助</w:t>
      </w:r>
      <w:r>
        <w:rPr>
          <w:rFonts w:hint="eastAsia" w:ascii="仿宋_GB2312" w:eastAsia="仿宋_GB2312"/>
          <w:sz w:val="32"/>
          <w:szCs w:val="32"/>
          <w:lang w:eastAsia="zh-CN"/>
        </w:rPr>
        <w:t>、</w:t>
      </w:r>
      <w:r>
        <w:rPr>
          <w:rFonts w:hint="eastAsia" w:ascii="仿宋_GB2312" w:eastAsia="仿宋_GB2312"/>
          <w:sz w:val="32"/>
          <w:szCs w:val="32"/>
        </w:rPr>
        <w:t>日常运转以及为完成特定行政工作任务和事业发展目标而安排的年度项目等支出。</w:t>
      </w:r>
    </w:p>
    <w:p w14:paraId="331E3E70">
      <w:pPr>
        <w:keepNext w:val="0"/>
        <w:keepLines w:val="0"/>
        <w:pageBreakBefore w:val="0"/>
        <w:spacing w:line="560" w:lineRule="exact"/>
        <w:ind w:left="0" w:right="0" w:firstLine="64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181.36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721E115E">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0" w:right="0" w:firstLine="480"/>
        <w:jc w:val="left"/>
        <w:rPr>
          <w:rFonts w:hint="eastAsia" w:ascii="黑体" w:hAnsi="黑体" w:eastAsia="黑体" w:cs="黑体"/>
          <w:sz w:val="32"/>
          <w:szCs w:val="32"/>
        </w:rPr>
      </w:pPr>
      <w:r>
        <w:rPr>
          <w:rFonts w:hint="eastAsia" w:ascii="黑体" w:hAnsi="黑体" w:eastAsia="黑体" w:cs="黑体"/>
          <w:color w:val="333333"/>
          <w:sz w:val="32"/>
          <w:szCs w:val="32"/>
          <w:shd w:val="clear" w:color="auto" w:fill="FFFFFF"/>
          <w:lang w:val="en-US" w:eastAsia="zh-CN" w:bidi="ar"/>
        </w:rPr>
        <w:t xml:space="preserve"> 五、较上年度增减变化 </w:t>
      </w:r>
    </w:p>
    <w:p w14:paraId="57803846">
      <w:pPr>
        <w:keepNext w:val="0"/>
        <w:keepLines w:val="0"/>
        <w:pageBreakBefore w:val="0"/>
        <w:spacing w:line="560" w:lineRule="exact"/>
        <w:ind w:left="0" w:right="0"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1864.17</w:t>
      </w:r>
      <w:r>
        <w:rPr>
          <w:rFonts w:hint="eastAsia" w:ascii="仿宋_GB2312" w:eastAsia="仿宋_GB2312"/>
          <w:sz w:val="32"/>
          <w:szCs w:val="32"/>
          <w:lang w:val="en-US" w:eastAsia="zh-CN"/>
        </w:rPr>
        <w:t>万元较上年度预算1845.75万元增加了0.99%，其中基本行政运行经费预算</w:t>
      </w:r>
      <w:r>
        <w:rPr>
          <w:rFonts w:hint="eastAsia" w:ascii="仿宋_GB2312" w:eastAsia="仿宋_GB2312"/>
          <w:sz w:val="32"/>
          <w:szCs w:val="32"/>
        </w:rPr>
        <w:t>26.37</w:t>
      </w:r>
      <w:r>
        <w:rPr>
          <w:rFonts w:hint="eastAsia" w:ascii="仿宋_GB2312" w:eastAsia="仿宋_GB2312"/>
          <w:sz w:val="32"/>
          <w:szCs w:val="32"/>
          <w:lang w:val="en-US" w:eastAsia="zh-CN"/>
        </w:rPr>
        <w:t xml:space="preserve">万元，占全部总预算的1.41%，较上年25.88万元增加了1.89%，原因为增加各项开支，增加基本支出；专项业务工作经费预算5万元，占总预算的0.26%，较上年预算7.37万元减少了32.15%，主要原因为缩减了项目经费开支，减少相关支出。 </w:t>
      </w:r>
      <w:r>
        <w:rPr>
          <w:rFonts w:hint="eastAsia" w:ascii="黑体" w:hAnsi="黑体" w:eastAsia="黑体" w:cs="黑体"/>
          <w:color w:val="333333"/>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41951817">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0" w:right="0" w:firstLine="480"/>
        <w:jc w:val="left"/>
        <w:rPr>
          <w:rFonts w:hint="eastAsia" w:ascii="黑体" w:hAnsi="黑体" w:eastAsia="黑体" w:cs="黑体"/>
          <w:color w:val="333333"/>
          <w:sz w:val="32"/>
          <w:szCs w:val="32"/>
          <w:shd w:val="clear" w:color="auto" w:fill="FFFFFF"/>
          <w:lang w:val="en-US" w:eastAsia="zh-CN" w:bidi="ar"/>
        </w:rPr>
      </w:pPr>
      <w:r>
        <w:rPr>
          <w:rFonts w:hint="eastAsia" w:ascii="黑体" w:hAnsi="黑体" w:eastAsia="黑体" w:cs="黑体"/>
          <w:color w:val="333333"/>
          <w:sz w:val="32"/>
          <w:szCs w:val="32"/>
          <w:shd w:val="clear" w:color="auto" w:fill="FFFFFF"/>
          <w:lang w:val="en-US" w:eastAsia="zh-CN" w:bidi="ar"/>
        </w:rPr>
        <w:t xml:space="preserve"> 六、“三公”经费预算 </w:t>
      </w:r>
    </w:p>
    <w:p w14:paraId="1BE92F7A">
      <w:pPr>
        <w:pStyle w:val="28"/>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105" w:beforeAutospacing="0" w:after="105" w:afterAutospacing="0" w:line="30" w:lineRule="atLeast"/>
        <w:ind w:left="0" w:right="0" w:firstLine="420"/>
        <w:rPr>
          <w:rFonts w:hint="eastAsia" w:ascii="仿宋_GB2312" w:eastAsia="仿宋_GB2312"/>
          <w:sz w:val="32"/>
          <w:szCs w:val="32"/>
          <w:lang w:val="en-US" w:eastAsia="zh-CN"/>
        </w:rPr>
      </w:pPr>
      <w:r>
        <w:rPr>
          <w:rFonts w:hint="eastAsia" w:ascii="仿宋_GB2312" w:eastAsia="仿宋_GB2312" w:hAnsiTheme="minorHAnsi" w:cstheme="minorBidi"/>
          <w:sz w:val="32"/>
          <w:szCs w:val="32"/>
          <w:lang w:val="en-US" w:eastAsia="zh-CN" w:bidi="ar-SA"/>
        </w:rPr>
        <w:t>本年度三公经费预算安排支出为0万元，我院财政拨款“三公”经费无此项经费预算</w:t>
      </w:r>
      <w:r>
        <w:rPr>
          <w:rFonts w:hint="eastAsia" w:ascii="仿宋_GB2312" w:eastAsia="仿宋_GB2312" w:cstheme="minorBidi"/>
          <w:sz w:val="32"/>
          <w:szCs w:val="32"/>
          <w:lang w:val="en-US" w:eastAsia="zh-CN" w:bidi="ar-SA"/>
        </w:rPr>
        <w:t>，</w:t>
      </w:r>
      <w:r>
        <w:rPr>
          <w:rFonts w:hint="eastAsia" w:ascii="仿宋_GB2312" w:eastAsia="仿宋_GB2312" w:hAnsiTheme="minorHAnsi" w:cstheme="minorBidi"/>
          <w:sz w:val="32"/>
          <w:szCs w:val="32"/>
          <w:lang w:val="en-US" w:eastAsia="zh-CN" w:bidi="ar-SA"/>
        </w:rPr>
        <w:t>同上年一致。本年度我们将严格执行“八项规定、六项禁令”，结合本年度工作需要，减少不必要的开支。</w:t>
      </w:r>
      <w:r>
        <w:rPr>
          <w:rFonts w:hint="eastAsia" w:ascii="仿宋_GB2312" w:eastAsia="仿宋_GB2312"/>
          <w:sz w:val="32"/>
          <w:szCs w:val="32"/>
          <w:lang w:val="en-US" w:eastAsia="zh-CN"/>
        </w:rPr>
        <w:t xml:space="preserve"> </w:t>
      </w:r>
    </w:p>
    <w:p w14:paraId="20183D56">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0" w:right="0" w:firstLine="480"/>
        <w:jc w:val="left"/>
        <w:rPr>
          <w:rFonts w:hint="eastAsia" w:ascii="黑体" w:hAnsi="黑体" w:eastAsia="黑体" w:cs="黑体"/>
          <w:color w:val="333333"/>
          <w:sz w:val="32"/>
          <w:szCs w:val="32"/>
          <w:shd w:val="clear" w:color="auto" w:fill="FFFFFF"/>
          <w:lang w:val="en-US" w:eastAsia="zh-CN" w:bidi="ar"/>
        </w:rPr>
      </w:pPr>
      <w:r>
        <w:rPr>
          <w:rFonts w:hint="eastAsia" w:ascii="黑体" w:hAnsi="黑体" w:eastAsia="黑体" w:cs="黑体"/>
          <w:color w:val="333333"/>
          <w:sz w:val="32"/>
          <w:szCs w:val="32"/>
          <w:shd w:val="clear" w:color="auto" w:fill="FFFFFF"/>
          <w:lang w:val="en-US" w:eastAsia="zh-CN" w:bidi="ar"/>
        </w:rPr>
        <w:t xml:space="preserve"> 七、政府性基金预算收支情况说明</w:t>
      </w:r>
    </w:p>
    <w:p w14:paraId="7B5F0E64">
      <w:pPr>
        <w:keepNext w:val="0"/>
        <w:keepLines w:val="0"/>
        <w:pageBreakBefore w:val="0"/>
        <w:spacing w:line="560" w:lineRule="exact"/>
        <w:ind w:left="0" w:right="0"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14:paraId="3A5D2A7F">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480" w:right="0"/>
        <w:jc w:val="left"/>
        <w:rPr>
          <w:rFonts w:hint="eastAsia" w:ascii="黑体" w:hAnsi="黑体" w:eastAsia="黑体" w:cs="黑体"/>
          <w:color w:val="333333"/>
          <w:sz w:val="32"/>
          <w:szCs w:val="32"/>
          <w:shd w:val="clear" w:color="auto" w:fill="FFFFFF"/>
          <w:lang w:val="en-US" w:eastAsia="zh-CN" w:bidi="ar"/>
        </w:rPr>
      </w:pPr>
      <w:r>
        <w:rPr>
          <w:rFonts w:hint="eastAsia" w:ascii="黑体" w:hAnsi="黑体" w:eastAsia="黑体" w:cs="黑体"/>
          <w:color w:val="333333"/>
          <w:sz w:val="32"/>
          <w:szCs w:val="32"/>
          <w:shd w:val="clear" w:color="auto" w:fill="FFFFFF"/>
          <w:lang w:val="en-US" w:eastAsia="zh-CN" w:bidi="ar"/>
        </w:rPr>
        <w:t xml:space="preserve"> 八、国有资本经营预算收支情况说明</w:t>
      </w:r>
    </w:p>
    <w:p w14:paraId="59B953D1">
      <w:pPr>
        <w:keepNext w:val="0"/>
        <w:keepLines w:val="0"/>
        <w:pageBreakBefore w:val="0"/>
        <w:spacing w:line="560" w:lineRule="exact"/>
        <w:ind w:left="0" w:right="0"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14:paraId="05D2A7F1">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480" w:right="0"/>
        <w:jc w:val="left"/>
        <w:rPr>
          <w:rFonts w:hint="eastAsia" w:ascii="黑体" w:hAnsi="黑体" w:eastAsia="黑体" w:cs="黑体"/>
          <w:color w:val="333333"/>
          <w:sz w:val="32"/>
          <w:szCs w:val="32"/>
          <w:shd w:val="clear" w:color="auto" w:fill="FFFFFF"/>
          <w:lang w:val="en-US" w:eastAsia="zh-CN" w:bidi="ar"/>
        </w:rPr>
      </w:pPr>
      <w:r>
        <w:rPr>
          <w:rFonts w:hint="eastAsia" w:ascii="黑体" w:hAnsi="黑体" w:eastAsia="黑体" w:cs="黑体"/>
          <w:color w:val="333333"/>
          <w:sz w:val="32"/>
          <w:szCs w:val="32"/>
          <w:shd w:val="clear" w:color="auto" w:fill="FFFFFF"/>
          <w:lang w:val="en-US" w:eastAsia="zh-CN" w:bidi="ar"/>
        </w:rPr>
        <w:t xml:space="preserve"> 九、其他重要事项的情况说明</w:t>
      </w:r>
    </w:p>
    <w:p w14:paraId="2ECF52E5">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0" w:right="0" w:firstLine="480"/>
        <w:jc w:val="left"/>
        <w:rPr>
          <w:rFonts w:hint="eastAsia" w:ascii="黑体" w:hAnsi="黑体" w:eastAsia="黑体" w:cs="黑体"/>
          <w:color w:val="333333"/>
          <w:sz w:val="32"/>
          <w:szCs w:val="32"/>
          <w:shd w:val="clear" w:color="auto" w:fill="FFFFFF"/>
          <w:lang w:val="en-US" w:eastAsia="zh-CN" w:bidi="ar"/>
        </w:rPr>
      </w:pPr>
      <w:r>
        <w:rPr>
          <w:rFonts w:hint="eastAsia" w:ascii="楷体_GB2312" w:hAnsi="楷体_GB2312" w:eastAsia="楷体_GB2312" w:cs="楷体_GB2312"/>
          <w:b/>
          <w:bCs/>
          <w:color w:val="333333"/>
          <w:sz w:val="32"/>
          <w:szCs w:val="32"/>
          <w:shd w:val="clear" w:color="auto" w:fill="FFFFFF"/>
          <w:lang w:val="en-US" w:eastAsia="zh-CN" w:bidi="ar"/>
        </w:rPr>
        <w:t xml:space="preserve"> （一）政府采购预算情况</w:t>
      </w:r>
      <w:r>
        <w:rPr>
          <w:rFonts w:hint="eastAsia" w:ascii="黑体" w:hAnsi="黑体" w:eastAsia="黑体" w:cs="黑体"/>
          <w:color w:val="333333"/>
          <w:sz w:val="32"/>
          <w:szCs w:val="32"/>
          <w:shd w:val="clear" w:color="auto" w:fill="FFFFFF"/>
          <w:lang w:val="en-US" w:eastAsia="zh-CN" w:bidi="ar"/>
        </w:rPr>
        <w:t xml:space="preserve"> </w:t>
      </w:r>
    </w:p>
    <w:p w14:paraId="7B314109">
      <w:pPr>
        <w:keepNext w:val="0"/>
        <w:keepLines w:val="0"/>
        <w:pageBreakBefore w:val="0"/>
        <w:spacing w:line="560" w:lineRule="exact"/>
        <w:ind w:left="0" w:right="0"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2022年度安排政府采购预算无法明确预算，后期需要将追加预算。</w:t>
      </w:r>
    </w:p>
    <w:p w14:paraId="267D180F">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480" w:right="0"/>
        <w:jc w:val="left"/>
      </w:pPr>
      <w:r>
        <w:rPr>
          <w:rFonts w:hint="eastAsia" w:ascii="楷体_GB2312" w:hAnsi="楷体_GB2312" w:eastAsia="楷体_GB2312" w:cs="楷体_GB2312"/>
          <w:b/>
          <w:bCs/>
          <w:color w:val="333333"/>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sz w:val="24"/>
          <w:szCs w:val="24"/>
          <w:shd w:val="clear" w:color="auto" w:fill="FFFFFF"/>
          <w:lang w:val="en-US" w:eastAsia="zh-CN" w:bidi="ar"/>
        </w:rPr>
        <w:t xml:space="preserve"> </w:t>
      </w:r>
    </w:p>
    <w:p w14:paraId="5C280B58">
      <w:pPr>
        <w:keepNext w:val="0"/>
        <w:keepLines w:val="0"/>
        <w:pageBreakBefore w:val="0"/>
        <w:spacing w:line="560" w:lineRule="exact"/>
        <w:ind w:left="0" w:right="0"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w:t>
      </w:r>
      <w:r>
        <w:rPr>
          <w:rFonts w:hint="eastAsia" w:ascii="仿宋_GB2312" w:eastAsia="仿宋_GB2312"/>
          <w:sz w:val="32"/>
          <w:szCs w:val="32"/>
        </w:rPr>
        <w:t>9343</w:t>
      </w:r>
      <w:r>
        <w:rPr>
          <w:rFonts w:hint="eastAsia" w:ascii="仿宋_GB2312" w:eastAsia="仿宋_GB2312"/>
          <w:sz w:val="32"/>
          <w:szCs w:val="32"/>
          <w:lang w:val="en-US" w:eastAsia="zh-CN"/>
        </w:rPr>
        <w:t>.</w:t>
      </w:r>
      <w:r>
        <w:rPr>
          <w:rFonts w:hint="eastAsia" w:ascii="仿宋_GB2312" w:eastAsia="仿宋_GB2312"/>
          <w:sz w:val="32"/>
          <w:szCs w:val="32"/>
        </w:rPr>
        <w:t>71</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60.21</w:t>
      </w:r>
      <w:r>
        <w:rPr>
          <w:rFonts w:hint="eastAsia" w:ascii="仿宋_GB2312" w:eastAsia="仿宋_GB2312"/>
          <w:sz w:val="32"/>
          <w:szCs w:val="32"/>
          <w:lang w:eastAsia="zh-CN"/>
        </w:rPr>
        <w:t>万元；房</w:t>
      </w:r>
      <w:r>
        <w:rPr>
          <w:rFonts w:hint="eastAsia" w:ascii="仿宋_GB2312" w:eastAsia="仿宋_GB2312"/>
          <w:sz w:val="32"/>
          <w:szCs w:val="32"/>
          <w:lang w:val="en-US" w:eastAsia="zh-CN"/>
        </w:rPr>
        <w:t>屋4523.07</w:t>
      </w:r>
      <w:r>
        <w:rPr>
          <w:rFonts w:hint="eastAsia" w:ascii="仿宋_GB2312" w:eastAsia="仿宋_GB2312"/>
          <w:sz w:val="32"/>
          <w:szCs w:val="32"/>
          <w:lang w:eastAsia="zh-CN"/>
        </w:rPr>
        <w:t>万元；</w:t>
      </w:r>
      <w:r>
        <w:rPr>
          <w:rFonts w:hint="eastAsia" w:ascii="仿宋_GB2312" w:eastAsia="仿宋_GB2312"/>
          <w:sz w:val="32"/>
          <w:szCs w:val="32"/>
          <w:lang w:val="en-US" w:eastAsia="zh-CN"/>
        </w:rPr>
        <w:t>其他固定资产4760.43万元。</w:t>
      </w:r>
    </w:p>
    <w:p w14:paraId="714755F4">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Autospacing="0" w:line="560" w:lineRule="exact"/>
        <w:ind w:left="480" w:right="0"/>
        <w:jc w:val="left"/>
        <w:rPr>
          <w:rFonts w:hint="eastAsia" w:ascii="楷体_GB2312" w:hAnsi="楷体_GB2312" w:eastAsia="楷体_GB2312" w:cs="楷体_GB2312"/>
          <w:b/>
          <w:bCs/>
          <w:color w:val="333333"/>
          <w:sz w:val="32"/>
          <w:szCs w:val="32"/>
          <w:shd w:val="clear" w:color="auto" w:fill="FFFFFF"/>
          <w:lang w:val="en-US" w:eastAsia="zh-CN" w:bidi="ar"/>
        </w:rPr>
      </w:pPr>
      <w:r>
        <w:rPr>
          <w:rFonts w:hint="eastAsia" w:ascii="楷体_GB2312" w:hAnsi="楷体_GB2312" w:eastAsia="楷体_GB2312" w:cs="楷体_GB2312"/>
          <w:b/>
          <w:bCs/>
          <w:color w:val="333333"/>
          <w:sz w:val="32"/>
          <w:szCs w:val="32"/>
          <w:shd w:val="clear" w:color="auto" w:fill="FFFFFF"/>
          <w:lang w:val="en-US" w:eastAsia="zh-CN" w:bidi="ar"/>
        </w:rPr>
        <w:t xml:space="preserve"> （三）绩效目标设置情况</w:t>
      </w:r>
    </w:p>
    <w:p w14:paraId="68B2A43F">
      <w:pPr>
        <w:keepNext w:val="0"/>
        <w:keepLines w:val="0"/>
        <w:pageBreakBefore w:val="0"/>
        <w:widowControl w:val="0"/>
        <w:numPr>
          <w:ilvl w:val="0"/>
          <w:numId w:val="0"/>
        </w:numPr>
        <w:spacing w:line="560" w:lineRule="exact"/>
        <w:ind w:left="0" w:right="0" w:firstLine="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14:paraId="7B7142E9">
      <w:pPr>
        <w:keepNext w:val="0"/>
        <w:keepLines w:val="0"/>
        <w:pageBreakBefore w:val="0"/>
        <w:spacing w:line="560" w:lineRule="exact"/>
        <w:ind w:left="0" w:right="0"/>
        <w:rPr>
          <w:rFonts w:hint="eastAsia" w:ascii="仿宋_GB2312" w:eastAsia="仿宋_GB2312"/>
          <w:sz w:val="32"/>
          <w:szCs w:val="32"/>
          <w:lang w:val="en-US" w:eastAsia="zh-CN"/>
        </w:rPr>
      </w:pPr>
      <w:r>
        <w:rPr>
          <w:rFonts w:hint="eastAsia" w:ascii="黑体" w:hAnsi="黑体" w:eastAsia="黑体" w:cs="黑体"/>
          <w:color w:val="333333"/>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14:paraId="39825EF1">
      <w:pPr>
        <w:keepNext w:val="0"/>
        <w:keepLines w:val="0"/>
        <w:pageBreakBefore w:val="0"/>
        <w:spacing w:line="560" w:lineRule="exact"/>
        <w:ind w:left="0" w:right="0"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03166AF1">
      <w:pPr>
        <w:keepNext w:val="0"/>
        <w:keepLines w:val="0"/>
        <w:pageBreakBefore w:val="0"/>
        <w:spacing w:line="560" w:lineRule="exact"/>
        <w:ind w:left="0" w:right="0" w:firstLine="640"/>
        <w:rPr>
          <w:rFonts w:hint="eastAsia" w:ascii="仿宋_GB2312" w:eastAsia="仿宋_GB2312"/>
          <w:sz w:val="32"/>
          <w:szCs w:val="32"/>
          <w:lang w:val="en-US" w:eastAsia="zh-CN"/>
        </w:rPr>
      </w:pPr>
    </w:p>
    <w:p w14:paraId="57463BC1">
      <w:pPr>
        <w:keepNext w:val="0"/>
        <w:keepLines w:val="0"/>
        <w:pageBreakBefore w:val="0"/>
        <w:spacing w:line="560" w:lineRule="exact"/>
        <w:ind w:left="0" w:right="0"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14:paraId="382D8707">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14:paraId="2AD6F2CA">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14:paraId="3FC6BBC3">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14:paraId="54783BE0">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14:paraId="067BB563">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14:paraId="1FD84DB6">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14:paraId="2C8FD5A0">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14:paraId="0CD11853">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14:paraId="4D61F534">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14:paraId="2F119B33">
      <w:pPr>
        <w:keepNext w:val="0"/>
        <w:keepLines w:val="0"/>
        <w:pageBreakBefore w:val="0"/>
        <w:widowControl w:val="0"/>
        <w:spacing w:line="560" w:lineRule="exact"/>
        <w:ind w:left="0" w:right="0" w:firstLine="1600"/>
        <w:jc w:val="both"/>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orient="landscape"/>
      <w:pgMar w:top="2098" w:right="1418" w:bottom="1588" w:left="1644"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C5ADD">
    <w:pPr>
      <w:pStyle w:val="18"/>
      <w:framePr w:wrap="around" w:vAnchor="text" w:hAnchor="margin" w:xAlign="center" w:y="1"/>
      <w:rPr>
        <w:rStyle w:val="34"/>
      </w:rPr>
    </w:pPr>
    <w:r>
      <w:fldChar w:fldCharType="begin"/>
    </w:r>
    <w:r>
      <w:rPr>
        <w:rStyle w:val="34"/>
      </w:rPr>
      <w:instrText xml:space="preserve">PAGE  </w:instrText>
    </w:r>
    <w:r>
      <w:fldChar w:fldCharType="separate"/>
    </w:r>
    <w:r>
      <w:rPr>
        <w:rStyle w:val="34"/>
      </w:rPr>
      <w:t>2</w:t>
    </w:r>
    <w:r>
      <w:fldChar w:fldCharType="end"/>
    </w:r>
  </w:p>
  <w:p w14:paraId="317B76F2">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4F53F">
    <w:pPr>
      <w:pStyle w:val="18"/>
      <w:framePr w:wrap="around" w:vAnchor="text" w:hAnchor="margin" w:xAlign="center" w:y="1"/>
      <w:rPr>
        <w:rStyle w:val="34"/>
      </w:rPr>
    </w:pPr>
    <w:r>
      <w:fldChar w:fldCharType="begin"/>
    </w:r>
    <w:r>
      <w:rPr>
        <w:rStyle w:val="34"/>
      </w:rPr>
      <w:instrText xml:space="preserve">PAGE  </w:instrText>
    </w:r>
    <w:r>
      <w:fldChar w:fldCharType="end"/>
    </w:r>
  </w:p>
  <w:p w14:paraId="24A264F3">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4"/>
      <w:numFmt w:val="chineseCounting"/>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119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qFormat="1" w:unhideWhenUsed="0" w:uiPriority="0" w:semiHidden="0"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eastAsia="宋体" w:asciiTheme="minorHAnsi" w:hAnsiTheme="minorHAnsi" w:cstheme="minorBidi"/>
      <w:sz w:val="21"/>
      <w:szCs w:val="24"/>
      <w:lang w:val="en-US" w:eastAsia="zh-CN" w:bidi="ar-SA"/>
    </w:rPr>
  </w:style>
  <w:style w:type="paragraph" w:styleId="2">
    <w:name w:val="heading 1"/>
    <w:basedOn w:val="1"/>
    <w:next w:val="1"/>
    <w:link w:val="38"/>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9"/>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40"/>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41"/>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2"/>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3"/>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4"/>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5"/>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6"/>
    <w:unhideWhenUsed/>
    <w:qFormat/>
    <w:uiPriority w:val="9"/>
    <w:pPr>
      <w:keepNext/>
      <w:keepLines/>
      <w:spacing w:before="320" w:after="200"/>
      <w:outlineLvl w:val="8"/>
    </w:pPr>
    <w:rPr>
      <w:rFonts w:ascii="等线" w:hAnsi="等线" w:eastAsia="等线" w:cs="等线"/>
      <w:i/>
      <w:iCs/>
      <w:sz w:val="21"/>
      <w:szCs w:val="21"/>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Body Text"/>
    <w:basedOn w:val="1"/>
    <w:qFormat/>
    <w:uiPriority w:val="0"/>
    <w:pPr>
      <w:spacing w:before="93"/>
    </w:pPr>
    <w:rPr>
      <w:rFonts w:ascii="仿宋_GB2312" w:eastAsia="仿宋_GB2312"/>
      <w:sz w:val="30"/>
    </w:r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4"/>
    <w:semiHidden/>
    <w:unhideWhenUsed/>
    <w:qFormat/>
    <w:uiPriority w:val="99"/>
    <w:pPr>
      <w:spacing w:after="0" w:line="240" w:lineRule="auto"/>
    </w:pPr>
    <w:rPr>
      <w:sz w:val="20"/>
    </w:rPr>
  </w:style>
  <w:style w:type="paragraph" w:styleId="18">
    <w:name w:val="footer"/>
    <w:basedOn w:val="1"/>
    <w:qFormat/>
    <w:uiPriority w:val="0"/>
    <w:pPr>
      <w:tabs>
        <w:tab w:val="center" w:pos="4153"/>
        <w:tab w:val="right" w:pos="8306"/>
      </w:tabs>
      <w:jc w:val="left"/>
    </w:pPr>
    <w:rPr>
      <w:sz w:val="18"/>
      <w:szCs w:val="18"/>
    </w:rPr>
  </w:style>
  <w:style w:type="paragraph" w:styleId="19">
    <w:name w:val="header"/>
    <w:basedOn w:val="1"/>
    <w:link w:val="55"/>
    <w:unhideWhenUsed/>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50"/>
    <w:qFormat/>
    <w:uiPriority w:val="11"/>
    <w:pPr>
      <w:spacing w:before="200" w:after="200"/>
    </w:pPr>
    <w:rPr>
      <w:sz w:val="24"/>
      <w:szCs w:val="24"/>
    </w:rPr>
  </w:style>
  <w:style w:type="paragraph" w:styleId="23">
    <w:name w:val="footnote text"/>
    <w:basedOn w:val="1"/>
    <w:link w:val="183"/>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Normal (Web)"/>
    <w:basedOn w:val="1"/>
    <w:qFormat/>
    <w:uiPriority w:val="0"/>
    <w:pPr>
      <w:spacing w:before="100" w:beforeAutospacing="1" w:after="100" w:afterAutospacing="1"/>
      <w:ind w:left="0" w:right="0"/>
      <w:jc w:val="left"/>
    </w:pPr>
    <w:rPr>
      <w:sz w:val="24"/>
      <w:lang w:val="en-US" w:eastAsia="zh-CN" w:bidi="ar"/>
    </w:rPr>
  </w:style>
  <w:style w:type="paragraph" w:styleId="29">
    <w:name w:val="Title"/>
    <w:basedOn w:val="1"/>
    <w:next w:val="1"/>
    <w:link w:val="49"/>
    <w:qFormat/>
    <w:uiPriority w:val="10"/>
    <w:pPr>
      <w:spacing w:before="300" w:after="200"/>
      <w:contextualSpacing/>
    </w:pPr>
    <w:rPr>
      <w:sz w:val="48"/>
      <w:szCs w:val="48"/>
    </w:rPr>
  </w:style>
  <w:style w:type="table" w:styleId="31">
    <w:name w:val="Table Grid"/>
    <w:basedOn w:val="30"/>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3">
    <w:name w:val="endnote reference"/>
    <w:basedOn w:val="32"/>
    <w:semiHidden/>
    <w:unhideWhenUsed/>
    <w:qFormat/>
    <w:uiPriority w:val="99"/>
    <w:rPr>
      <w:vertAlign w:val="superscript"/>
    </w:rPr>
  </w:style>
  <w:style w:type="character" w:styleId="34">
    <w:name w:val="page number"/>
    <w:basedOn w:val="32"/>
    <w:qFormat/>
    <w:uiPriority w:val="0"/>
  </w:style>
  <w:style w:type="character" w:styleId="35">
    <w:name w:val="line number"/>
    <w:basedOn w:val="32"/>
    <w:qFormat/>
    <w:uiPriority w:val="0"/>
    <w:rPr>
      <w:rFonts w:hint="default"/>
      <w:sz w:val="22"/>
    </w:rPr>
  </w:style>
  <w:style w:type="character" w:styleId="36">
    <w:name w:val="Hyperlink"/>
    <w:qFormat/>
    <w:uiPriority w:val="0"/>
    <w:rPr>
      <w:rFonts w:hint="default"/>
      <w:sz w:val="22"/>
    </w:rPr>
  </w:style>
  <w:style w:type="character" w:styleId="37">
    <w:name w:val="footnote reference"/>
    <w:basedOn w:val="32"/>
    <w:unhideWhenUsed/>
    <w:qFormat/>
    <w:uiPriority w:val="99"/>
    <w:rPr>
      <w:vertAlign w:val="superscript"/>
    </w:rPr>
  </w:style>
  <w:style w:type="character" w:customStyle="1" w:styleId="38">
    <w:name w:val="Heading 1 Char"/>
    <w:basedOn w:val="32"/>
    <w:link w:val="2"/>
    <w:uiPriority w:val="9"/>
    <w:rPr>
      <w:rFonts w:ascii="等线" w:hAnsi="等线" w:eastAsia="等线" w:cs="等线"/>
      <w:sz w:val="40"/>
      <w:szCs w:val="40"/>
    </w:rPr>
  </w:style>
  <w:style w:type="character" w:customStyle="1" w:styleId="39">
    <w:name w:val="Heading 2 Char"/>
    <w:basedOn w:val="32"/>
    <w:link w:val="3"/>
    <w:uiPriority w:val="9"/>
    <w:rPr>
      <w:rFonts w:ascii="等线" w:hAnsi="等线" w:eastAsia="等线" w:cs="等线"/>
      <w:sz w:val="34"/>
    </w:rPr>
  </w:style>
  <w:style w:type="character" w:customStyle="1" w:styleId="40">
    <w:name w:val="Heading 3 Char"/>
    <w:basedOn w:val="32"/>
    <w:link w:val="4"/>
    <w:uiPriority w:val="9"/>
    <w:rPr>
      <w:rFonts w:ascii="等线" w:hAnsi="等线" w:eastAsia="等线" w:cs="等线"/>
      <w:sz w:val="30"/>
      <w:szCs w:val="30"/>
    </w:rPr>
  </w:style>
  <w:style w:type="character" w:customStyle="1" w:styleId="41">
    <w:name w:val="Heading 4 Char"/>
    <w:basedOn w:val="32"/>
    <w:link w:val="5"/>
    <w:uiPriority w:val="9"/>
    <w:rPr>
      <w:rFonts w:ascii="等线" w:hAnsi="等线" w:eastAsia="等线" w:cs="等线"/>
      <w:b/>
      <w:bCs/>
      <w:sz w:val="26"/>
      <w:szCs w:val="26"/>
    </w:rPr>
  </w:style>
  <w:style w:type="character" w:customStyle="1" w:styleId="42">
    <w:name w:val="Heading 5 Char"/>
    <w:basedOn w:val="32"/>
    <w:link w:val="6"/>
    <w:uiPriority w:val="9"/>
    <w:rPr>
      <w:rFonts w:ascii="等线" w:hAnsi="等线" w:eastAsia="等线" w:cs="等线"/>
      <w:b/>
      <w:bCs/>
      <w:sz w:val="24"/>
      <w:szCs w:val="24"/>
    </w:rPr>
  </w:style>
  <w:style w:type="character" w:customStyle="1" w:styleId="43">
    <w:name w:val="Heading 6 Char"/>
    <w:basedOn w:val="32"/>
    <w:link w:val="7"/>
    <w:uiPriority w:val="9"/>
    <w:rPr>
      <w:rFonts w:ascii="等线" w:hAnsi="等线" w:eastAsia="等线" w:cs="等线"/>
      <w:b/>
      <w:bCs/>
      <w:sz w:val="22"/>
      <w:szCs w:val="22"/>
    </w:rPr>
  </w:style>
  <w:style w:type="character" w:customStyle="1" w:styleId="44">
    <w:name w:val="Heading 7 Char"/>
    <w:basedOn w:val="32"/>
    <w:link w:val="8"/>
    <w:uiPriority w:val="9"/>
    <w:rPr>
      <w:rFonts w:ascii="等线" w:hAnsi="等线" w:eastAsia="等线" w:cs="等线"/>
      <w:b/>
      <w:bCs/>
      <w:i/>
      <w:iCs/>
      <w:sz w:val="22"/>
      <w:szCs w:val="22"/>
    </w:rPr>
  </w:style>
  <w:style w:type="character" w:customStyle="1" w:styleId="45">
    <w:name w:val="Heading 8 Char"/>
    <w:basedOn w:val="32"/>
    <w:link w:val="9"/>
    <w:uiPriority w:val="9"/>
    <w:rPr>
      <w:rFonts w:ascii="等线" w:hAnsi="等线" w:eastAsia="等线" w:cs="等线"/>
      <w:i/>
      <w:iCs/>
      <w:sz w:val="22"/>
      <w:szCs w:val="22"/>
    </w:rPr>
  </w:style>
  <w:style w:type="character" w:customStyle="1" w:styleId="46">
    <w:name w:val="Heading 9 Char"/>
    <w:basedOn w:val="32"/>
    <w:link w:val="10"/>
    <w:qFormat/>
    <w:uiPriority w:val="9"/>
    <w:rPr>
      <w:rFonts w:ascii="等线" w:hAnsi="等线" w:eastAsia="等线" w:cs="等线"/>
      <w:i/>
      <w:iCs/>
      <w:sz w:val="21"/>
      <w:szCs w:val="21"/>
    </w:rPr>
  </w:style>
  <w:style w:type="paragraph" w:styleId="47">
    <w:name w:val="List Paragraph"/>
    <w:basedOn w:val="1"/>
    <w:qFormat/>
    <w:uiPriority w:val="34"/>
    <w:pPr>
      <w:ind w:left="720"/>
      <w:contextualSpacing/>
    </w:pPr>
  </w:style>
  <w:style w:type="paragraph" w:styleId="48">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9">
    <w:name w:val="Title Char"/>
    <w:basedOn w:val="32"/>
    <w:link w:val="29"/>
    <w:qFormat/>
    <w:uiPriority w:val="10"/>
    <w:rPr>
      <w:sz w:val="48"/>
      <w:szCs w:val="48"/>
    </w:rPr>
  </w:style>
  <w:style w:type="character" w:customStyle="1" w:styleId="50">
    <w:name w:val="Subtitle Char"/>
    <w:basedOn w:val="32"/>
    <w:link w:val="22"/>
    <w:uiPriority w:val="11"/>
    <w:rPr>
      <w:sz w:val="24"/>
      <w:szCs w:val="24"/>
    </w:rPr>
  </w:style>
  <w:style w:type="paragraph" w:styleId="51">
    <w:name w:val="Quote"/>
    <w:basedOn w:val="1"/>
    <w:next w:val="1"/>
    <w:link w:val="52"/>
    <w:qFormat/>
    <w:uiPriority w:val="29"/>
    <w:pPr>
      <w:ind w:left="720" w:right="720"/>
    </w:pPr>
    <w:rPr>
      <w:i/>
    </w:rPr>
  </w:style>
  <w:style w:type="character" w:customStyle="1" w:styleId="52">
    <w:name w:val="Quote Char"/>
    <w:link w:val="51"/>
    <w:uiPriority w:val="29"/>
    <w:rPr>
      <w:i/>
    </w:rPr>
  </w:style>
  <w:style w:type="paragraph" w:styleId="53">
    <w:name w:val="Intense Quote"/>
    <w:basedOn w:val="1"/>
    <w:next w:val="1"/>
    <w:link w:val="5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4">
    <w:name w:val="Intense Quote Char"/>
    <w:link w:val="53"/>
    <w:uiPriority w:val="30"/>
    <w:rPr>
      <w:i/>
    </w:rPr>
  </w:style>
  <w:style w:type="character" w:customStyle="1" w:styleId="55">
    <w:name w:val="Header Char"/>
    <w:basedOn w:val="32"/>
    <w:link w:val="19"/>
    <w:uiPriority w:val="99"/>
  </w:style>
  <w:style w:type="character" w:customStyle="1" w:styleId="56">
    <w:name w:val="Footer Char"/>
    <w:basedOn w:val="32"/>
    <w:qFormat/>
    <w:uiPriority w:val="99"/>
  </w:style>
  <w:style w:type="character" w:customStyle="1" w:styleId="57">
    <w:name w:val="Caption Char"/>
    <w:qFormat/>
    <w:uiPriority w:val="99"/>
  </w:style>
  <w:style w:type="table" w:customStyle="1" w:styleId="58">
    <w:name w:val="Table Grid Light"/>
    <w:basedOn w:val="30"/>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1"/>
    <w:basedOn w:val="30"/>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2"/>
    <w:basedOn w:val="3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3"/>
    <w:basedOn w:val="30"/>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4"/>
    <w:basedOn w:val="30"/>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Plain Table 5"/>
    <w:basedOn w:val="30"/>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w:basedOn w:val="30"/>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1"/>
    <w:basedOn w:val="30"/>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9FC4E6"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2"/>
    <w:basedOn w:val="30"/>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38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3"/>
    <w:basedOn w:val="30"/>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4"/>
    <w:basedOn w:val="30"/>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blPr/>
      <w:tcPr>
        <w:tcBorders>
          <w:bottom w:val="single" w:color="FFDA69"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5"/>
    <w:basedOn w:val="30"/>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blPr/>
      <w:tcPr>
        <w:tcBorders>
          <w:bottom w:val="single" w:color="91ACDC"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1 Light - Accent 6"/>
    <w:basedOn w:val="30"/>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w:basedOn w:val="30"/>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1"/>
    <w:basedOn w:val="30"/>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blPr/>
      <w:tcPr>
        <w:tcBorders>
          <w:top w:val="nil"/>
          <w:left w:val="nil"/>
          <w:bottom w:val="single" w:color="68A3D8" w:themeColor="accent1" w:themeTint="EA" w:sz="12" w:space="0"/>
          <w:right w:val="nil"/>
        </w:tcBorders>
        <w:shd w:val="clear" w:color="FFFFFF" w:fill="auto"/>
      </w:tcPr>
    </w:tblStylePr>
    <w:tblStylePr w:type="lastRow">
      <w:rPr>
        <w:b/>
        <w:color w:val="404040"/>
      </w:rPr>
      <w:tblPr/>
      <w:tcPr>
        <w:tcBorders>
          <w:top w:val="single" w:color="68A3D8"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1" w:themeTint="34" w:fill="DDEAF6" w:themeFill="accent1" w:themeFillTint="34"/>
      </w:tcPr>
    </w:tblStylePr>
    <w:tblStylePr w:type="band2Vert">
      <w:tblPr/>
    </w:tblStylePr>
    <w:tblStylePr w:type="band1Horz">
      <w:rPr>
        <w:rFonts w:ascii="Arial" w:hAnsi="Arial"/>
        <w:color w:val="404040"/>
        <w:sz w:val="22"/>
      </w:rPr>
      <w:tblPr/>
      <w:tcPr>
        <w:shd w:val="clear" w:color="DDEAF6" w:themeColor="accent1" w:themeTint="34" w:fill="DDEAF6"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2"/>
    <w:basedOn w:val="30"/>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single" w:color="F4B285" w:themeColor="accent2" w:themeTint="97" w:sz="12" w:space="0"/>
          <w:right w:val="nil"/>
        </w:tcBorders>
        <w:shd w:val="clear" w:color="FFFFFF" w:fill="auto"/>
      </w:tcPr>
    </w:tblStylePr>
    <w:tblStylePr w:type="lastRow">
      <w:rPr>
        <w:b/>
        <w:color w:val="404040"/>
      </w:rPr>
      <w:tblPr/>
      <w:tcPr>
        <w:tcBorders>
          <w:top w:val="single" w:color="F4B28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3"/>
    <w:basedOn w:val="30"/>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single" w:color="A5A5A5" w:themeColor="accent3" w:themeTint="FE" w:sz="12" w:space="0"/>
          <w:right w:val="nil"/>
        </w:tcBorders>
        <w:shd w:val="clear" w:color="FFFFFF" w:fill="auto"/>
      </w:tcPr>
    </w:tblStylePr>
    <w:tblStylePr w:type="lastRow">
      <w:rPr>
        <w:b/>
        <w:color w:val="404040"/>
      </w:rPr>
      <w:tblPr/>
      <w:tcPr>
        <w:tcBorders>
          <w:top w:val="single" w:color="A5A5A5"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4"/>
    <w:basedOn w:val="30"/>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single" w:color="FFD864" w:themeColor="accent4" w:themeTint="9A" w:sz="12" w:space="0"/>
          <w:right w:val="nil"/>
        </w:tcBorders>
        <w:shd w:val="clear" w:color="FFFFFF" w:fill="auto"/>
      </w:tcPr>
    </w:tblStylePr>
    <w:tblStylePr w:type="lastRow">
      <w:rPr>
        <w:b/>
        <w:color w:val="404040"/>
      </w:rPr>
      <w:tblPr/>
      <w:tcPr>
        <w:tcBorders>
          <w:top w:val="single" w:color="FFD864"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5"/>
    <w:basedOn w:val="30"/>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il"/>
          <w:left w:val="nil"/>
          <w:bottom w:val="single" w:color="4472C4" w:themeColor="accent5" w:sz="12" w:space="0"/>
          <w:right w:val="nil"/>
        </w:tcBorders>
        <w:shd w:val="clear" w:color="FFFFFF" w:fill="auto"/>
      </w:tcPr>
    </w:tblStylePr>
    <w:tblStylePr w:type="lastRow">
      <w:rPr>
        <w:b/>
        <w:color w:val="404040"/>
      </w:rPr>
      <w:tblPr/>
      <w:tcPr>
        <w:tcBorders>
          <w:top w:val="single" w:color="4472C4"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5" w:themeTint="34" w:fill="D8E2F2" w:themeFill="accent5" w:themeFillTint="34"/>
      </w:tcPr>
    </w:tblStylePr>
    <w:tblStylePr w:type="band2Vert">
      <w:tblPr/>
    </w:tblStylePr>
    <w:tblStylePr w:type="band1Horz">
      <w:rPr>
        <w:rFonts w:ascii="Arial" w:hAnsi="Arial"/>
        <w:color w:val="404040"/>
        <w:sz w:val="22"/>
      </w:rPr>
      <w:tblPr/>
      <w:tcPr>
        <w:shd w:val="clear" w:color="D8E2F2" w:themeColor="accent5" w:themeTint="34" w:fill="D8E2F2"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2 - Accent 6"/>
    <w:basedOn w:val="30"/>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single" w:color="70AD47" w:themeColor="accent6" w:sz="12" w:space="0"/>
          <w:right w:val="nil"/>
        </w:tcBorders>
        <w:shd w:val="clear" w:color="FFFFFF" w:fill="auto"/>
      </w:tcPr>
    </w:tblStylePr>
    <w:tblStylePr w:type="lastRow">
      <w:rPr>
        <w:b/>
        <w:color w:val="404040"/>
      </w:rPr>
      <w:tblPr/>
      <w:tcPr>
        <w:tcBorders>
          <w:top w:val="single" w:color="70AD47"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w:basedOn w:val="30"/>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1"/>
    <w:basedOn w:val="30"/>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2Vert">
      <w:tblPr/>
    </w:tblStylePr>
    <w:tblStylePr w:type="band1Horz">
      <w:rPr>
        <w:rFonts w:ascii="Arial" w:hAnsi="Arial"/>
        <w:color w:val="404040"/>
        <w:sz w:val="22"/>
      </w:rPr>
      <w:tblPr/>
      <w:tcPr>
        <w:shd w:val="clear" w:color="DDEAF6" w:themeColor="accent1" w:themeTint="34" w:fill="DDEAF6"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2"/>
    <w:basedOn w:val="30"/>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3"/>
    <w:basedOn w:val="30"/>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4"/>
    <w:basedOn w:val="30"/>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5"/>
    <w:basedOn w:val="30"/>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themeColor="accent5" w:themeTint="34" w:fill="D8E2F2" w:themeFill="accent5" w:themeFillTint="34"/>
      </w:tcPr>
    </w:tblStylePr>
    <w:tblStylePr w:type="band2Vert">
      <w:tblPr/>
    </w:tblStylePr>
    <w:tblStylePr w:type="band1Horz">
      <w:rPr>
        <w:rFonts w:ascii="Arial" w:hAnsi="Arial"/>
        <w:color w:val="404040"/>
        <w:sz w:val="22"/>
      </w:rPr>
      <w:tblPr/>
      <w:tcPr>
        <w:shd w:val="clear" w:color="D8E2F2" w:themeColor="accent5" w:themeTint="34" w:fill="D8E2F2"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3 - Accent 6"/>
    <w:basedOn w:val="30"/>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w:basedOn w:val="30"/>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1"/>
    <w:basedOn w:val="30"/>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bl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blPr/>
      <w:tcPr>
        <w:tcBorders>
          <w:top w:val="single" w:color="68A3D8"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EEBF6" w:themeColor="accent1" w:themeTint="32" w:fill="DEEBF6" w:themeFill="accent1" w:themeFillTint="32"/>
      </w:tcPr>
    </w:tblStylePr>
    <w:tblStylePr w:type="band2Vert">
      <w:tblPr/>
    </w:tblStylePr>
    <w:tblStylePr w:type="band1Horz">
      <w:rPr>
        <w:rFonts w:ascii="Arial" w:hAnsi="Arial"/>
        <w:color w:val="404040"/>
        <w:sz w:val="22"/>
      </w:rPr>
      <w:tblPr/>
      <w:tcPr>
        <w:shd w:val="clear" w:color="DEEBF6" w:themeColor="accent1" w:themeTint="32" w:fill="DEEBF6"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2"/>
    <w:basedOn w:val="30"/>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cPr>
        <w:tcBorders>
          <w:top w:val="single" w:color="F4B28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3"/>
    <w:basedOn w:val="30"/>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cPr>
        <w:tcBorders>
          <w:top w:val="single" w:color="A5A5A5"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4"/>
    <w:basedOn w:val="30"/>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cPr>
        <w:tcBorders>
          <w:top w:val="single" w:color="FFD864"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5"/>
    <w:basedOn w:val="30"/>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5" w:themeTint="34" w:fill="D8E2F2" w:themeFill="accent5" w:themeFillTint="34"/>
      </w:tcPr>
    </w:tblStylePr>
    <w:tblStylePr w:type="band2Vert">
      <w:tblPr/>
    </w:tblStylePr>
    <w:tblStylePr w:type="band1Horz">
      <w:rPr>
        <w:rFonts w:ascii="Arial" w:hAnsi="Arial"/>
        <w:color w:val="404040"/>
        <w:sz w:val="22"/>
      </w:rPr>
      <w:tblPr/>
      <w:tcPr>
        <w:shd w:val="clear" w:color="D8E2F2" w:themeColor="accent5" w:themeTint="34" w:fill="D8E2F2"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4 - Accent 6"/>
    <w:basedOn w:val="30"/>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Accent 1"/>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1EB" w:themeColor="accent1" w:themeTint="75" w:fill="B3D1EB" w:themeFill="accent1" w:themeFillTint="75"/>
      </w:tcPr>
    </w:tblStylePr>
    <w:tblStylePr w:type="band2Vert">
      <w:tblPr/>
    </w:tblStylePr>
    <w:tblStylePr w:type="band1Horz">
      <w:tblPr/>
      <w:tcPr>
        <w:shd w:val="clear" w:color="B3D1EB" w:themeColor="accent1" w:themeTint="75" w:fill="B3D1EB"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2"/>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2Vert">
      <w:tblPr/>
    </w:tblStylePr>
    <w:tblStylePr w:type="band1Horz">
      <w:tblPr/>
      <w:tcPr>
        <w:shd w:val="clear" w:color="F6C3A0" w:themeColor="accent2" w:themeTint="75" w:fill="F6C3A0"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3"/>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2Vert">
      <w:tblPr/>
    </w:tblStylePr>
    <w:tblStylePr w:type="band1Horz">
      <w:tblPr/>
      <w:tcPr>
        <w:shd w:val="clear" w:color="D5D5D5" w:themeColor="accent3" w:themeTint="75" w:fill="D5D5D5"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Accent 4"/>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EE289" w:themeColor="accent4" w:themeTint="75" w:fill="FEE289" w:themeFill="accent4" w:themeFillTint="75"/>
      </w:tcPr>
    </w:tblStylePr>
    <w:tblStylePr w:type="band2Vert">
      <w:tblPr/>
    </w:tblStylePr>
    <w:tblStylePr w:type="band1Horz">
      <w:tblPr/>
      <w:tcPr>
        <w:shd w:val="clear" w:color="FEE289" w:themeColor="accent4" w:themeTint="75" w:fill="FEE289"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 Accent 5"/>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3" w:themeColor="accent5" w:themeTint="75" w:fill="A9BEE3" w:themeFill="accent5" w:themeFillTint="75"/>
      </w:tcPr>
    </w:tblStylePr>
    <w:tblStylePr w:type="band2Vert">
      <w:tblPr/>
    </w:tblStylePr>
    <w:tblStylePr w:type="band1Horz">
      <w:tblPr/>
      <w:tcPr>
        <w:shd w:val="clear" w:color="A9BEE3" w:themeColor="accent5" w:themeTint="75" w:fill="A9BEE3"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5 Dark - Accent 6"/>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2Vert">
      <w:tblPr/>
    </w:tblStylePr>
    <w:tblStylePr w:type="band1Horz">
      <w:tblPr/>
      <w:tcPr>
        <w:shd w:val="clear" w:color="BCDBA8" w:themeColor="accent6" w:themeTint="75" w:fill="BCDBA8"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6 Colorful"/>
    <w:basedOn w:val="30"/>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1"/>
    <w:basedOn w:val="30"/>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bl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Pr/>
    </w:tblStylePr>
    <w:tblStylePr w:type="firstCol">
      <w:rPr>
        <w:b/>
        <w:color w:val="ADCDEA" w:themeColor="accent1" w:themeTint="80"/>
        <w14:textFill>
          <w14:solidFill>
            <w14:schemeClr w14:val="accent1">
              <w14:lumMod w14:val="50000"/>
              <w14:lumOff w14:val="50000"/>
            </w14:schemeClr>
          </w14:solidFill>
        </w14:textFill>
      </w:rPr>
      <w:tblPr/>
    </w:tblStylePr>
    <w:tblStylePr w:type="lastCol">
      <w:rPr>
        <w:b/>
        <w:color w:val="ADCDEA" w:themeColor="accent1" w:themeTint="80"/>
        <w14:textFill>
          <w14:solidFill>
            <w14:schemeClr w14:val="accent1">
              <w14:lumMod w14:val="50000"/>
              <w14:lumOff w14:val="50000"/>
            </w14:schemeClr>
          </w14:solidFill>
        </w14:textFill>
      </w:rPr>
      <w:tblPr/>
    </w:tblStylePr>
    <w:tblStylePr w:type="band1Vert">
      <w:tblPr/>
      <w:tcPr>
        <w:shd w:val="clear" w:color="DDEAF6" w:themeColor="accent1" w:themeTint="34" w:fill="DDEAF6" w:themeFill="accent1" w:themeFillTint="34"/>
      </w:tcPr>
    </w:tblStylePr>
    <w:tblStylePr w:type="band2Vert">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2"/>
    <w:basedOn w:val="30"/>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3"/>
    <w:basedOn w:val="30"/>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bl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Pr/>
    </w:tblStylePr>
    <w:tblStylePr w:type="firstCol">
      <w:rPr>
        <w:b/>
        <w:color w:val="A5A5A5" w:themeColor="accent3" w:themeTint="FF"/>
        <w14:textFill>
          <w14:solidFill>
            <w14:schemeClr w14:val="accent3">
              <w14:lumMod w14:val="100000"/>
              <w14:lumOff w14:val="0"/>
            </w14:schemeClr>
          </w14:solidFill>
        </w14:textFill>
      </w:rPr>
      <w:tblPr/>
    </w:tblStylePr>
    <w:tblStylePr w:type="lastCol">
      <w:rPr>
        <w:b/>
        <w:color w:val="A5A5A5" w:themeColor="accent3" w:themeTint="FF"/>
        <w14:textFill>
          <w14:solidFill>
            <w14:schemeClr w14:val="accent3">
              <w14:lumMod w14:val="100000"/>
              <w14:lumOff w14:val="0"/>
            </w14:schemeClr>
          </w14:solidFill>
        </w14:textFill>
      </w:rPr>
      <w:tbl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4"/>
    <w:basedOn w:val="30"/>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5"/>
    <w:basedOn w:val="30"/>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blPr/>
      <w:tcPr>
        <w:tcBorders>
          <w:bottom w:val="single" w:color="4472C4" w:themeColor="accent5" w:sz="12" w:space="0"/>
        </w:tcBorders>
      </w:tcPr>
    </w:tblStylePr>
    <w:tblStylePr w:type="lastRow">
      <w:rPr>
        <w:b/>
        <w:color w:val="254174" w:themeColor="accent5" w:themeShade="94"/>
      </w:rPr>
      <w:tblPr/>
    </w:tblStylePr>
    <w:tblStylePr w:type="firstCol">
      <w:rPr>
        <w:b/>
        <w:color w:val="254174" w:themeColor="accent5" w:themeShade="94"/>
      </w:rPr>
      <w:tblPr/>
    </w:tblStylePr>
    <w:tblStylePr w:type="lastCol">
      <w:rPr>
        <w:b/>
        <w:color w:val="254174" w:themeColor="accent5" w:themeShade="94"/>
      </w:rPr>
      <w:tblPr/>
    </w:tblStylePr>
    <w:tblStylePr w:type="band1Vert">
      <w:tblPr/>
      <w:tcPr>
        <w:shd w:val="clear" w:color="D8E2F2" w:themeColor="accent5" w:themeTint="34" w:fill="D8E2F2" w:themeFill="accent5" w:themeFillTint="34"/>
      </w:tcPr>
    </w:tblStylePr>
    <w:tblStylePr w:type="band2Vert">
      <w:tblPr/>
    </w:tblStylePr>
    <w:tblStylePr w:type="band1Horz">
      <w:rPr>
        <w:rFonts w:ascii="Arial" w:hAnsi="Arial"/>
        <w:color w:val="254174" w:themeColor="accent5" w:themeShade="94"/>
        <w:sz w:val="22"/>
      </w:rPr>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6 Colorful - Accent 6"/>
    <w:basedOn w:val="30"/>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blPr/>
      <w:tcPr>
        <w:tcBorders>
          <w:bottom w:val="single" w:color="70AD47" w:themeColor="accent6" w:sz="12" w:space="0"/>
        </w:tcBorders>
      </w:tcPr>
    </w:tblStylePr>
    <w:tblStylePr w:type="lastRow">
      <w:rPr>
        <w:b/>
        <w:color w:val="254174" w:themeColor="accent5" w:themeShade="94"/>
      </w:rPr>
      <w:tblPr/>
    </w:tblStylePr>
    <w:tblStylePr w:type="firstCol">
      <w:rPr>
        <w:b/>
        <w:color w:val="254174" w:themeColor="accent5" w:themeShade="94"/>
      </w:rPr>
      <w:tblPr/>
    </w:tblStylePr>
    <w:tblStylePr w:type="lastCol">
      <w:rPr>
        <w:b/>
        <w:color w:val="254174" w:themeColor="accent5" w:themeShade="94"/>
      </w:rPr>
      <w:tbl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254174" w:themeColor="accent5" w:themeShade="94"/>
        <w:sz w:val="22"/>
      </w:rPr>
      <w:tblPr/>
      <w:tcPr>
        <w:shd w:val="clear" w:color="E1EFD8" w:themeColor="accent6" w:themeTint="34" w:fill="E1EFD8" w:themeFill="accent6" w:themeFillTint="34"/>
      </w:tcPr>
    </w:tblStylePr>
    <w:tblStylePr w:type="band2Horz">
      <w:rPr>
        <w:rFonts w:ascii="Arial" w:hAnsi="Arial"/>
        <w:color w:val="254174"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w:basedOn w:val="30"/>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1"/>
    <w:basedOn w:val="30"/>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bl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bl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bl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blPr/>
      <w:tcPr>
        <w:tcBorders>
          <w:top w:val="nil"/>
          <w:left w:val="single" w:color="ACCCE9" w:themeColor="accent1" w:themeTint="80" w:sz="4" w:space="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2Vert">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2"/>
    <w:basedOn w:val="30"/>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3"/>
    <w:basedOn w:val="30"/>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bl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bl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single" w:color="A5A5A5" w:themeColor="accent3" w:themeTint="FE" w:sz="4" w:space="0"/>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4"/>
    <w:basedOn w:val="30"/>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5"/>
    <w:basedOn w:val="30"/>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bl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bl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bl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blPr/>
      <w:tcPr>
        <w:tcBorders>
          <w:top w:val="nil"/>
          <w:left w:val="single" w:color="95AFDD" w:themeColor="accent5" w:themeTint="90" w:sz="4" w:space="0"/>
          <w:bottom w:val="nil"/>
          <w:right w:val="nil"/>
        </w:tcBorders>
        <w:shd w:val="clear" w:color="FFFFFF" w:fill="auto"/>
      </w:tcPr>
    </w:tblStylePr>
    <w:tblStylePr w:type="band1Vert">
      <w:tblPr/>
      <w:tcPr>
        <w:shd w:val="clear" w:color="D8E2F2" w:themeColor="accent5" w:themeTint="34" w:fill="D8E2F2" w:themeFill="accent5" w:themeFillTint="34"/>
      </w:tcPr>
    </w:tblStylePr>
    <w:tblStylePr w:type="band2Vert">
      <w:tblPr/>
    </w:tblStylePr>
    <w:tblStylePr w:type="band1Horz">
      <w:rPr>
        <w:rFonts w:ascii="Arial" w:hAnsi="Arial"/>
        <w:color w:val="254174" w:themeColor="accent5" w:themeShade="94"/>
        <w:sz w:val="22"/>
      </w:rPr>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2">
    <w:name w:val="Grid Table 7 Colorful - Accent 6"/>
    <w:basedOn w:val="30"/>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bl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bl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blPr/>
      <w:tcPr>
        <w:tcBorders>
          <w:top w:val="nil"/>
          <w:left w:val="single" w:color="ADD394" w:themeColor="accent6" w:themeTint="90" w:sz="4" w:space="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416429" w:themeColor="accent6" w:themeShade="94"/>
        <w:sz w:val="22"/>
      </w:rPr>
      <w:tblPr/>
      <w:tcPr>
        <w:shd w:val="clear" w:color="E1EFD8" w:themeColor="accent6" w:themeTint="34" w:fill="E1EFD8" w:themeFill="accent6" w:themeFillTint="34"/>
      </w:tcPr>
    </w:tblStylePr>
    <w:tblStylePr w:type="band2Horz">
      <w:rPr>
        <w:rFonts w:ascii="Arial" w:hAnsi="Arial"/>
        <w:color w:val="416429"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3">
    <w:name w:val="List Table 1 Light"/>
    <w:basedOn w:val="30"/>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1"/>
    <w:basedOn w:val="30"/>
    <w:uiPriority w:val="99"/>
    <w:pPr>
      <w:spacing w:after="0" w:line="240" w:lineRule="auto"/>
    </w:pPr>
    <w:tblPr/>
    <w:tblStylePr w:type="firstRow">
      <w:rPr>
        <w:b/>
        <w:color w:val="404040"/>
      </w:rPr>
      <w:tblPr/>
      <w:tcPr>
        <w:tcBorders>
          <w:top w:val="nil"/>
          <w:left w:val="nil"/>
          <w:bottom w:val="single" w:color="5B9BD5" w:themeColor="accent1" w:sz="4" w:space="0"/>
          <w:right w:val="nil"/>
        </w:tcBorders>
      </w:tcPr>
    </w:tblStylePr>
    <w:tblStylePr w:type="lastRow">
      <w:rPr>
        <w:b/>
        <w:color w:val="404040"/>
      </w:rPr>
      <w:tblPr/>
      <w:tcPr>
        <w:tcBorders>
          <w:top w:val="single" w:color="5B9BD5"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5E5F4" w:themeColor="accent1" w:themeTint="40" w:fill="D5E5F4" w:themeFill="accent1" w:themeFillTint="40"/>
      </w:tcPr>
    </w:tblStylePr>
    <w:tblStylePr w:type="band2Vert">
      <w:tblPr/>
    </w:tblStylePr>
    <w:tblStylePr w:type="band1Horz">
      <w:tblPr/>
      <w:tcPr>
        <w:shd w:val="clear" w:color="D5E5F4" w:themeColor="accent1" w:themeTint="40" w:fill="D5E5F4"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2"/>
    <w:basedOn w:val="30"/>
    <w:uiPriority w:val="99"/>
    <w:pPr>
      <w:spacing w:after="0" w:line="240" w:lineRule="auto"/>
    </w:pPr>
    <w:tblPr/>
    <w:tblStylePr w:type="firstRow">
      <w:rPr>
        <w:b/>
        <w:color w:val="404040"/>
      </w:rPr>
      <w:tblPr/>
      <w:tcPr>
        <w:tcBorders>
          <w:top w:val="nil"/>
          <w:left w:val="nil"/>
          <w:bottom w:val="single" w:color="ED7D31" w:themeColor="accent2" w:sz="4" w:space="0"/>
          <w:right w:val="nil"/>
        </w:tcBorders>
      </w:tcPr>
    </w:tblStylePr>
    <w:tblStylePr w:type="lastRow">
      <w:rPr>
        <w:b/>
        <w:color w:val="404040"/>
      </w:rPr>
      <w:tblPr/>
      <w:tcPr>
        <w:tcBorders>
          <w:top w:val="single" w:color="ED7D31"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ADECB" w:themeColor="accent2" w:themeTint="40" w:fill="FADECB" w:themeFill="accent2" w:themeFillTint="40"/>
      </w:tcPr>
    </w:tblStylePr>
    <w:tblStylePr w:type="band2Vert">
      <w:tblPr/>
    </w:tblStylePr>
    <w:tblStylePr w:type="band1Horz">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3"/>
    <w:basedOn w:val="30"/>
    <w:uiPriority w:val="99"/>
    <w:pPr>
      <w:spacing w:after="0" w:line="240" w:lineRule="auto"/>
    </w:pPr>
    <w:tblPr/>
    <w:tblStylePr w:type="firstRow">
      <w:rPr>
        <w:b/>
        <w:color w:val="404040"/>
      </w:rPr>
      <w:tblPr/>
      <w:tcPr>
        <w:tcBorders>
          <w:top w:val="nil"/>
          <w:left w:val="nil"/>
          <w:bottom w:val="single" w:color="A5A5A5" w:themeColor="accent3" w:sz="4" w:space="0"/>
          <w:right w:val="nil"/>
        </w:tcBorders>
      </w:tcPr>
    </w:tblStylePr>
    <w:tblStylePr w:type="lastRow">
      <w:rPr>
        <w:b/>
        <w:color w:val="404040"/>
      </w:rPr>
      <w:tblPr/>
      <w:tcPr>
        <w:tcBorders>
          <w:top w:val="single" w:color="A5A5A5"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8E8E8" w:themeColor="accent3" w:themeTint="40" w:fill="E8E8E8" w:themeFill="accent3" w:themeFillTint="40"/>
      </w:tcPr>
    </w:tblStylePr>
    <w:tblStylePr w:type="band2Vert">
      <w:tblPr/>
    </w:tblStylePr>
    <w:tblStylePr w:type="band1Horz">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4"/>
    <w:basedOn w:val="30"/>
    <w:uiPriority w:val="99"/>
    <w:pPr>
      <w:spacing w:after="0" w:line="240" w:lineRule="auto"/>
    </w:pPr>
    <w:tblPr/>
    <w:tblStylePr w:type="firstRow">
      <w:rPr>
        <w:b/>
        <w:color w:val="404040"/>
      </w:rPr>
      <w:tblPr/>
      <w:tcPr>
        <w:tcBorders>
          <w:top w:val="nil"/>
          <w:left w:val="nil"/>
          <w:bottom w:val="single" w:color="FFC000" w:themeColor="accent4" w:sz="4" w:space="0"/>
          <w:right w:val="nil"/>
        </w:tcBorders>
      </w:tcPr>
    </w:tblStylePr>
    <w:tblStylePr w:type="lastRow">
      <w:rPr>
        <w:b/>
        <w:color w:val="404040"/>
      </w:rPr>
      <w:tblPr/>
      <w:tcPr>
        <w:tcBorders>
          <w:top w:val="single" w:color="FFC000"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FEFBE" w:themeColor="accent4" w:themeTint="40" w:fill="FFEFBE" w:themeFill="accent4" w:themeFillTint="40"/>
      </w:tcPr>
    </w:tblStylePr>
    <w:tblStylePr w:type="band2Vert">
      <w:tblPr/>
    </w:tblStylePr>
    <w:tblStylePr w:type="band1Horz">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5"/>
    <w:basedOn w:val="30"/>
    <w:uiPriority w:val="99"/>
    <w:pPr>
      <w:spacing w:after="0" w:line="240" w:lineRule="auto"/>
    </w:pPr>
    <w:tblPr/>
    <w:tblStylePr w:type="firstRow">
      <w:rPr>
        <w:b/>
        <w:color w:val="404040"/>
      </w:rPr>
      <w:tblPr/>
      <w:tcPr>
        <w:tcBorders>
          <w:top w:val="nil"/>
          <w:left w:val="nil"/>
          <w:bottom w:val="single" w:color="4472C4" w:themeColor="accent5" w:sz="4" w:space="0"/>
          <w:right w:val="nil"/>
        </w:tcBorders>
      </w:tcPr>
    </w:tblStylePr>
    <w:tblStylePr w:type="lastRow">
      <w:rPr>
        <w:b/>
        <w:color w:val="404040"/>
      </w:rPr>
      <w:tblPr/>
      <w:tcPr>
        <w:tcBorders>
          <w:top w:val="single" w:color="4472C4"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0DBF0" w:themeColor="accent5" w:themeTint="40" w:fill="D0DBF0" w:themeFill="accent5" w:themeFillTint="40"/>
      </w:tcPr>
    </w:tblStylePr>
    <w:tblStylePr w:type="band2Vert">
      <w:tblPr/>
    </w:tblStylePr>
    <w:tblStylePr w:type="band1Horz">
      <w:tblPr/>
      <w:tcPr>
        <w:shd w:val="clear" w:color="D0DBF0" w:themeColor="accent5" w:themeTint="40" w:fill="D0DB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1 Light - Accent 6"/>
    <w:basedOn w:val="30"/>
    <w:qFormat/>
    <w:uiPriority w:val="99"/>
    <w:pPr>
      <w:spacing w:after="0" w:line="240" w:lineRule="auto"/>
    </w:pPr>
    <w:tblPr/>
    <w:tblStylePr w:type="firstRow">
      <w:rPr>
        <w:b/>
        <w:color w:val="404040"/>
      </w:rPr>
      <w:tblPr/>
      <w:tcPr>
        <w:tcBorders>
          <w:top w:val="nil"/>
          <w:left w:val="nil"/>
          <w:bottom w:val="single" w:color="70AD47" w:themeColor="accent6" w:sz="4" w:space="0"/>
          <w:right w:val="nil"/>
        </w:tcBorders>
      </w:tcPr>
    </w:tblStylePr>
    <w:tblStylePr w:type="lastRow">
      <w:rPr>
        <w:b/>
        <w:color w:val="404040"/>
      </w:rPr>
      <w:tblPr/>
      <w:tcPr>
        <w:tcBorders>
          <w:top w:val="single" w:color="70AD47"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AEBCF" w:themeColor="accent6" w:themeTint="40" w:fill="DAEBCF" w:themeFill="accent6" w:themeFillTint="40"/>
      </w:tcPr>
    </w:tblStylePr>
    <w:tblStylePr w:type="band2Vert">
      <w:tblPr/>
    </w:tblStylePr>
    <w:tblStylePr w:type="band1Horz">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w:basedOn w:val="30"/>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1"/>
    <w:basedOn w:val="30"/>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bl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bl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5E5F4" w:themeColor="accent1" w:themeTint="40" w:fill="D5E5F4" w:themeFill="accent1" w:themeFillTint="40"/>
      </w:tcPr>
    </w:tblStylePr>
    <w:tblStylePr w:type="band2Vert">
      <w:tblPr/>
    </w:tblStylePr>
    <w:tblStylePr w:type="band1Horz">
      <w:rPr>
        <w:rFonts w:ascii="Arial" w:hAnsi="Arial"/>
        <w:color w:val="404040"/>
        <w:sz w:val="22"/>
      </w:rPr>
      <w:tblPr/>
      <w:tcPr>
        <w:shd w:val="clear" w:color="D5E5F4" w:themeColor="accent1" w:themeTint="40" w:fill="D5E5F4"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2"/>
    <w:basedOn w:val="30"/>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3"/>
    <w:basedOn w:val="30"/>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4"/>
    <w:basedOn w:val="30"/>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5"/>
    <w:basedOn w:val="30"/>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bl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bl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0DBF0" w:themeColor="accent5" w:themeTint="40" w:fill="D0DBF0" w:themeFill="accent5" w:themeFillTint="40"/>
      </w:tcPr>
    </w:tblStylePr>
    <w:tblStylePr w:type="band2Vert">
      <w:tblPr/>
    </w:tblStylePr>
    <w:tblStylePr w:type="band1Horz">
      <w:rPr>
        <w:rFonts w:ascii="Arial" w:hAnsi="Arial"/>
        <w:color w:val="404040"/>
        <w:sz w:val="22"/>
      </w:rPr>
      <w:tblPr/>
      <w:tcPr>
        <w:shd w:val="clear" w:color="D0DBF0" w:themeColor="accent5" w:themeTint="40" w:fill="D0DB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2 - Accent 6"/>
    <w:basedOn w:val="30"/>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1"/>
    <w:basedOn w:val="30"/>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5B9BD5" w:themeColor="accent1" w:sz="4" w:space="0"/>
          <w:right w:val="single" w:color="5B9BD5" w:themeColor="accent1" w:sz="4" w:space="0"/>
        </w:tcBorders>
      </w:tcPr>
    </w:tblStylePr>
    <w:tblStylePr w:type="band2Vert">
      <w:tblPr/>
    </w:tblStylePr>
    <w:tblStylePr w:type="band1Horz">
      <w:rPr>
        <w:rFonts w:ascii="Arial" w:hAnsi="Arial"/>
        <w:color w:val="404040"/>
        <w:sz w:val="22"/>
      </w:rPr>
      <w:tblPr/>
      <w:tcPr>
        <w:tcBorders>
          <w:top w:val="single" w:color="5B9BD5" w:themeColor="accent1" w:sz="4" w:space="0"/>
          <w:bottom w:val="single" w:color="5B9BD5"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2"/>
    <w:basedOn w:val="30"/>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blPr/>
      <w:tcPr>
        <w:shd w:val="clear" w:color="F4B285" w:themeColor="accent2" w:themeTint="97" w:fill="F4B2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4B285" w:themeColor="accent2" w:themeTint="97" w:sz="4" w:space="0"/>
          <w:right w:val="single" w:color="F4B285" w:themeColor="accent2" w:themeTint="97" w:sz="4" w:space="0"/>
        </w:tcBorders>
      </w:tcPr>
    </w:tblStylePr>
    <w:tblStylePr w:type="band2Vert">
      <w:tblPr/>
    </w:tblStylePr>
    <w:tblStylePr w:type="band1Horz">
      <w:rPr>
        <w:rFonts w:ascii="Arial" w:hAnsi="Arial"/>
        <w:color w:val="404040"/>
        <w:sz w:val="22"/>
      </w:rPr>
      <w:tblPr/>
      <w:tcPr>
        <w:tcBorders>
          <w:top w:val="single" w:color="F4B285" w:themeColor="accent2" w:themeTint="97" w:sz="4" w:space="0"/>
          <w:bottom w:val="single" w:color="F4B28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3"/>
    <w:basedOn w:val="30"/>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9C9C9" w:themeColor="accent3" w:themeTint="98" w:sz="4" w:space="0"/>
          <w:right w:val="single" w:color="C9C9C9" w:themeColor="accent3" w:themeTint="98" w:sz="4" w:space="0"/>
        </w:tcBorders>
      </w:tcPr>
    </w:tblStylePr>
    <w:tblStylePr w:type="band2Vert">
      <w:tblPr/>
    </w:tblStylePr>
    <w:tblStylePr w:type="band1Horz">
      <w:rPr>
        <w:rFonts w:ascii="Arial" w:hAnsi="Arial"/>
        <w:color w:val="404040"/>
        <w:sz w:val="22"/>
      </w:rPr>
      <w:tblPr/>
      <w:tcPr>
        <w:tcBorders>
          <w:top w:val="single" w:color="C9C9C9" w:themeColor="accent3" w:themeTint="98" w:sz="4" w:space="0"/>
          <w:bottom w:val="single" w:color="C9C9C9"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4"/>
    <w:basedOn w:val="30"/>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blPr/>
      <w:tcPr>
        <w:shd w:val="clear" w:color="FFD864" w:themeColor="accent4" w:themeTint="9A" w:fill="FFD864"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FD864" w:themeColor="accent4" w:themeTint="9A" w:sz="4" w:space="0"/>
          <w:right w:val="single" w:color="FFD864" w:themeColor="accent4" w:themeTint="9A" w:sz="4" w:space="0"/>
        </w:tcBorders>
      </w:tcPr>
    </w:tblStylePr>
    <w:tblStylePr w:type="band2Vert">
      <w:tblPr/>
    </w:tblStylePr>
    <w:tblStylePr w:type="band1Horz">
      <w:rPr>
        <w:rFonts w:ascii="Arial" w:hAnsi="Arial"/>
        <w:color w:val="404040"/>
        <w:sz w:val="22"/>
      </w:rPr>
      <w:tblPr/>
      <w:tcPr>
        <w:tcBorders>
          <w:top w:val="single" w:color="FFD864" w:themeColor="accent4" w:themeTint="9A" w:sz="4" w:space="0"/>
          <w:bottom w:val="single" w:color="FFD864"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5"/>
    <w:basedOn w:val="30"/>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blPr/>
      <w:tcPr>
        <w:shd w:val="clear" w:color="8EA9DB" w:themeColor="accent5" w:themeTint="9A" w:fill="8E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8EA9DB" w:themeColor="accent5" w:themeTint="9A" w:sz="4" w:space="0"/>
          <w:right w:val="single" w:color="8EA9DB" w:themeColor="accent5" w:themeTint="9A" w:sz="4" w:space="0"/>
        </w:tcBorders>
      </w:tcPr>
    </w:tblStylePr>
    <w:tblStylePr w:type="band2Vert">
      <w:tblPr/>
    </w:tblStylePr>
    <w:tblStylePr w:type="band1Horz">
      <w:rPr>
        <w:rFonts w:ascii="Arial" w:hAnsi="Arial"/>
        <w:color w:val="404040"/>
        <w:sz w:val="22"/>
      </w:rPr>
      <w:tblPr/>
      <w:tcPr>
        <w:tcBorders>
          <w:top w:val="single" w:color="8EA9DB" w:themeColor="accent5" w:themeTint="9A" w:sz="4" w:space="0"/>
          <w:bottom w:val="single" w:color="8EA9DB"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3 - Accent 6"/>
    <w:basedOn w:val="30"/>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A9D08E" w:themeColor="accent6" w:themeTint="98" w:sz="4" w:space="0"/>
          <w:right w:val="single" w:color="A9D08E" w:themeColor="accent6" w:themeTint="98" w:sz="4" w:space="0"/>
        </w:tcBorders>
      </w:tcPr>
    </w:tblStylePr>
    <w:tblStylePr w:type="band2Vert">
      <w:tblPr/>
    </w:tblStylePr>
    <w:tblStylePr w:type="band1Horz">
      <w:rPr>
        <w:rFonts w:ascii="Arial" w:hAnsi="Arial"/>
        <w:color w:val="404040"/>
        <w:sz w:val="22"/>
      </w:rPr>
      <w:tblPr/>
      <w:tcPr>
        <w:tcBorders>
          <w:top w:val="single" w:color="A9D08E" w:themeColor="accent6" w:themeTint="98" w:sz="4" w:space="0"/>
          <w:bottom w:val="single" w:color="A9D08E"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1"/>
    <w:basedOn w:val="30"/>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5E5F4" w:themeColor="accent1" w:themeTint="40" w:fill="D5E5F4" w:themeFill="accent1" w:themeFillTint="40"/>
      </w:tcPr>
    </w:tblStylePr>
    <w:tblStylePr w:type="band2Vert">
      <w:tblPr/>
    </w:tblStylePr>
    <w:tblStylePr w:type="band1Horz">
      <w:rPr>
        <w:rFonts w:ascii="Arial" w:hAnsi="Arial"/>
        <w:color w:val="404040"/>
        <w:sz w:val="22"/>
      </w:rPr>
      <w:tblPr/>
      <w:tcPr>
        <w:shd w:val="clear" w:color="D5E5F4" w:themeColor="accent1" w:themeTint="40" w:fill="D5E5F4"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2"/>
    <w:basedOn w:val="30"/>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3"/>
    <w:basedOn w:val="30"/>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4"/>
    <w:basedOn w:val="30"/>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5"/>
    <w:basedOn w:val="30"/>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0DBF0" w:themeColor="accent5" w:themeTint="40" w:fill="D0DBF0" w:themeFill="accent5" w:themeFillTint="40"/>
      </w:tcPr>
    </w:tblStylePr>
    <w:tblStylePr w:type="band2Vert">
      <w:tblPr/>
    </w:tblStylePr>
    <w:tblStylePr w:type="band1Horz">
      <w:rPr>
        <w:rFonts w:ascii="Arial" w:hAnsi="Arial"/>
        <w:color w:val="404040"/>
        <w:sz w:val="22"/>
      </w:rPr>
      <w:tblPr/>
      <w:tcPr>
        <w:shd w:val="clear" w:color="D0DBF0" w:themeColor="accent5" w:themeTint="40" w:fill="D0DB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4 - Accent 6"/>
    <w:basedOn w:val="30"/>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5 Dark"/>
    <w:basedOn w:val="30"/>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2">
    <w:name w:val="List Table 5 Dark - Accent 1"/>
    <w:basedOn w:val="30"/>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themeColor="accent1"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themeColor="accent1" w:fill="5B9BD5" w:themeFill="accent1"/>
      </w:tcPr>
    </w:tblStylePr>
    <w:tblStylePr w:type="band2Horz">
      <w:tblPr/>
      <w:tcPr>
        <w:tcBorders>
          <w:top w:val="single" w:color="FFFFFF" w:themeColor="light1" w:sz="4" w:space="0"/>
          <w:bottom w:val="single" w:color="FFFFFF" w:themeColor="light1" w:sz="4" w:space="0"/>
        </w:tcBorders>
        <w:shd w:val="clear" w:color="5B9BD5" w:themeColor="accent1" w:fill="5B9BD5" w:themeFill="accent1"/>
      </w:tcPr>
    </w:tblStylePr>
    <w:tblStylePr w:type="neCell">
      <w:tblPr/>
    </w:tblStylePr>
    <w:tblStylePr w:type="nwCell">
      <w:tblPr/>
    </w:tblStylePr>
    <w:tblStylePr w:type="seCell">
      <w:tblPr/>
    </w:tblStylePr>
    <w:tblStylePr w:type="swCell">
      <w:tblPr/>
    </w:tblStylePr>
  </w:style>
  <w:style w:type="table" w:customStyle="1" w:styleId="143">
    <w:name w:val="List Table 5 Dark - Accent 2"/>
    <w:basedOn w:val="30"/>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4B285" w:themeColor="accent2" w:themeTint="97" w:sz="32" w:space="0"/>
          <w:right w:val="single" w:color="FFFFFF" w:themeColor="light1" w:sz="4" w:space="0"/>
        </w:tcBorders>
      </w:tcPr>
    </w:tblStylePr>
    <w:tblStylePr w:type="lastCol">
      <w:tblPr/>
      <w:tcPr>
        <w:tcBorders>
          <w:left w:val="single" w:color="FFFFFF" w:themeColor="light1" w:sz="4" w:space="0"/>
          <w:right w:val="single" w:color="F4B28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Pr/>
    </w:tblStylePr>
    <w:tblStylePr w:type="nwCell">
      <w:tblPr/>
    </w:tblStylePr>
    <w:tblStylePr w:type="seCell">
      <w:tblPr/>
    </w:tblStylePr>
    <w:tblStylePr w:type="swCell">
      <w:tblPr/>
    </w:tblStylePr>
  </w:style>
  <w:style w:type="table" w:customStyle="1" w:styleId="144">
    <w:name w:val="List Table 5 Dark - Accent 3"/>
    <w:basedOn w:val="30"/>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9C9C9" w:themeColor="accent3" w:themeTint="98" w:sz="32" w:space="0"/>
          <w:right w:val="single" w:color="FFFFFF" w:themeColor="light1" w:sz="4" w:space="0"/>
        </w:tcBorders>
      </w:tcPr>
    </w:tblStylePr>
    <w:tblStylePr w:type="lastCol">
      <w:tblPr/>
      <w:tcPr>
        <w:tcBorders>
          <w:left w:val="single" w:color="FFFFFF" w:themeColor="light1" w:sz="4" w:space="0"/>
          <w:right w:val="single" w:color="C9C9C9"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Pr/>
    </w:tblStylePr>
    <w:tblStylePr w:type="nwCell">
      <w:tblPr/>
    </w:tblStylePr>
    <w:tblStylePr w:type="seCell">
      <w:tblPr/>
    </w:tblStylePr>
    <w:tblStylePr w:type="swCell">
      <w:tblPr/>
    </w:tblStylePr>
  </w:style>
  <w:style w:type="table" w:customStyle="1" w:styleId="145">
    <w:name w:val="List Table 5 Dark - Accent 4"/>
    <w:basedOn w:val="30"/>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FD864" w:themeColor="accent4" w:themeTint="9A" w:sz="32" w:space="0"/>
          <w:right w:val="single" w:color="FFFFFF" w:themeColor="light1" w:sz="4" w:space="0"/>
        </w:tcBorders>
      </w:tcPr>
    </w:tblStylePr>
    <w:tblStylePr w:type="lastCol">
      <w:tblPr/>
      <w:tcPr>
        <w:tcBorders>
          <w:left w:val="single" w:color="FFFFFF" w:themeColor="light1" w:sz="4" w:space="0"/>
          <w:right w:val="single" w:color="FFD864"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Pr/>
    </w:tblStylePr>
    <w:tblStylePr w:type="nwCell">
      <w:tblPr/>
    </w:tblStylePr>
    <w:tblStylePr w:type="seCell">
      <w:tblPr/>
    </w:tblStylePr>
    <w:tblStylePr w:type="swCell">
      <w:tblPr/>
    </w:tblStylePr>
  </w:style>
  <w:style w:type="table" w:customStyle="1" w:styleId="146">
    <w:name w:val="List Table 5 Dark - Accent 5"/>
    <w:basedOn w:val="30"/>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8EA9DB" w:themeColor="accent5" w:themeTint="9A" w:sz="32" w:space="0"/>
          <w:right w:val="single" w:color="FFFFFF" w:themeColor="light1" w:sz="4" w:space="0"/>
        </w:tcBorders>
      </w:tcPr>
    </w:tblStylePr>
    <w:tblStylePr w:type="lastCol">
      <w:tblPr/>
      <w:tcPr>
        <w:tcBorders>
          <w:left w:val="single" w:color="FFFFFF" w:themeColor="light1" w:sz="4" w:space="0"/>
          <w:right w:val="single" w:color="8EA9DB"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Pr/>
    </w:tblStylePr>
    <w:tblStylePr w:type="nwCell">
      <w:tblPr/>
    </w:tblStylePr>
    <w:tblStylePr w:type="seCell">
      <w:tblPr/>
    </w:tblStylePr>
    <w:tblStylePr w:type="swCell">
      <w:tblPr/>
    </w:tblStylePr>
  </w:style>
  <w:style w:type="table" w:customStyle="1" w:styleId="147">
    <w:name w:val="List Table 5 Dark - Accent 6"/>
    <w:basedOn w:val="30"/>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A9D08E" w:themeColor="accent6" w:themeTint="98" w:sz="32" w:space="0"/>
          <w:right w:val="single" w:color="FFFFFF" w:themeColor="light1" w:sz="4" w:space="0"/>
        </w:tcBorders>
      </w:tcPr>
    </w:tblStylePr>
    <w:tblStylePr w:type="lastCol">
      <w:tblPr/>
      <w:tcPr>
        <w:tcBorders>
          <w:left w:val="single" w:color="FFFFFF" w:themeColor="light1" w:sz="4" w:space="0"/>
          <w:right w:val="single" w:color="A9D08E"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Pr/>
    </w:tblStylePr>
    <w:tblStylePr w:type="nwCell">
      <w:tblPr/>
    </w:tblStylePr>
    <w:tblStylePr w:type="seCell">
      <w:tblPr/>
    </w:tblStylePr>
    <w:tblStylePr w:type="swCell">
      <w:tblPr/>
    </w:tblStylePr>
  </w:style>
  <w:style w:type="table" w:customStyle="1" w:styleId="148">
    <w:name w:val="List Table 6 Colorful"/>
    <w:basedOn w:val="30"/>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1"/>
    <w:basedOn w:val="30"/>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blPr/>
      <w:tcPr>
        <w:tcBorders>
          <w:bottom w:val="single" w:color="5B9BD5" w:themeColor="accent1" w:sz="4" w:space="0"/>
        </w:tcBorders>
      </w:tcPr>
    </w:tblStylePr>
    <w:tblStylePr w:type="lastRow">
      <w:rPr>
        <w:b/>
        <w:color w:val="245B8C" w:themeColor="accent1" w:themeShade="94"/>
      </w:rPr>
      <w:tblPr/>
      <w:tcPr>
        <w:tcBorders>
          <w:top w:val="single" w:color="5B9BD5" w:themeColor="accent1" w:sz="4" w:space="0"/>
        </w:tcBorders>
      </w:tcPr>
    </w:tblStylePr>
    <w:tblStylePr w:type="firstCol">
      <w:rPr>
        <w:b/>
        <w:color w:val="245B8C" w:themeColor="accent1" w:themeShade="94"/>
      </w:rPr>
      <w:tblPr/>
    </w:tblStylePr>
    <w:tblStylePr w:type="lastCol">
      <w:rPr>
        <w:b/>
        <w:color w:val="245B8C" w:themeColor="accent1" w:themeShade="94"/>
      </w:rPr>
      <w:tblPr/>
    </w:tblStylePr>
    <w:tblStylePr w:type="band1Vert">
      <w:tblPr/>
      <w:tcPr>
        <w:shd w:val="clear" w:color="D5E5F4" w:themeColor="accent1" w:themeTint="40" w:fill="D5E5F4" w:themeFill="accent1" w:themeFillTint="40"/>
      </w:tcPr>
    </w:tblStylePr>
    <w:tblStylePr w:type="band2Vert">
      <w:tblPr/>
    </w:tblStylePr>
    <w:tblStylePr w:type="band1Horz">
      <w:rPr>
        <w:rFonts w:ascii="Arial" w:hAnsi="Arial"/>
        <w:color w:val="245B8C" w:themeColor="accent1" w:themeShade="94"/>
        <w:sz w:val="22"/>
      </w:rPr>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2"/>
    <w:basedOn w:val="30"/>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3"/>
    <w:basedOn w:val="30"/>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Pr/>
    </w:tblStylePr>
    <w:tblStylePr w:type="lastCol">
      <w:rPr>
        <w:b/>
        <w:color w:val="C9C9C9" w:themeColor="accent3" w:themeTint="99"/>
        <w14:textFill>
          <w14:solidFill>
            <w14:schemeClr w14:val="accent3">
              <w14:lumMod w14:val="60000"/>
              <w14:lumOff w14:val="40000"/>
            </w14:schemeClr>
          </w14:solidFill>
        </w14:textFill>
      </w:rPr>
      <w:tbl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4"/>
    <w:basedOn w:val="30"/>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5"/>
    <w:basedOn w:val="30"/>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bl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bl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Pr/>
    </w:tblStylePr>
    <w:tblStylePr w:type="lastCol">
      <w:rPr>
        <w:b/>
        <w:color w:val="8FAADC" w:themeColor="accent5" w:themeTint="99"/>
        <w14:textFill>
          <w14:solidFill>
            <w14:schemeClr w14:val="accent5">
              <w14:lumMod w14:val="60000"/>
              <w14:lumOff w14:val="40000"/>
            </w14:schemeClr>
          </w14:solidFill>
        </w14:textFill>
      </w:rPr>
      <w:tblPr/>
    </w:tblStylePr>
    <w:tblStylePr w:type="band1Vert">
      <w:tblPr/>
      <w:tcPr>
        <w:shd w:val="clear" w:color="D0DBF0" w:themeColor="accent5" w:themeTint="40" w:fill="D0DBF0" w:themeFill="accent5" w:themeFillTint="40"/>
      </w:tcPr>
    </w:tblStylePr>
    <w:tblStylePr w:type="band2Vert">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6 Colorful - Accent 6"/>
    <w:basedOn w:val="30"/>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Pr/>
    </w:tblStylePr>
    <w:tblStylePr w:type="lastCol">
      <w:rPr>
        <w:b/>
        <w:color w:val="A9D18E" w:themeColor="accent6" w:themeTint="99"/>
        <w14:textFill>
          <w14:solidFill>
            <w14:schemeClr w14:val="accent6">
              <w14:lumMod w14:val="60000"/>
              <w14:lumOff w14:val="40000"/>
            </w14:schemeClr>
          </w14:solidFill>
        </w14:textFill>
      </w:rPr>
      <w:tbl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w:basedOn w:val="30"/>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1"/>
    <w:basedOn w:val="30"/>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bl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bl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bl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blPr/>
      <w:tcPr>
        <w:tcBorders>
          <w:top w:val="nil"/>
          <w:left w:val="single" w:color="5B9BD5" w:themeColor="accent1" w:sz="4" w:space="0"/>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2Vert">
      <w:tblPr/>
    </w:tblStylePr>
    <w:tblStylePr w:type="band1Horz">
      <w:rPr>
        <w:rFonts w:ascii="Arial" w:hAnsi="Arial"/>
        <w:color w:val="245B8C" w:themeColor="accent1" w:themeShade="94"/>
        <w:sz w:val="22"/>
      </w:rPr>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2"/>
    <w:basedOn w:val="30"/>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3"/>
    <w:basedOn w:val="30"/>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color="C9C9C9" w:themeColor="accent3" w:themeTint="98" w:sz="4" w:space="0"/>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4"/>
    <w:basedOn w:val="30"/>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5"/>
    <w:basedOn w:val="30"/>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bl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single" w:color="8EA9DB" w:themeColor="accent5" w:themeTint="9A" w:sz="4" w:space="0"/>
          <w:bottom w:val="nil"/>
          <w:right w:val="nil"/>
        </w:tcBorders>
        <w:shd w:val="clear" w:color="FFFFFF" w:fill="auto"/>
      </w:tcPr>
    </w:tblStylePr>
    <w:tblStylePr w:type="band1Vert">
      <w:tblPr/>
      <w:tcPr>
        <w:shd w:val="clear" w:color="D0DBF0" w:themeColor="accent5" w:themeTint="40" w:fill="D0DBF0" w:themeFill="accent5" w:themeFillTint="40"/>
      </w:tcPr>
    </w:tblStylePr>
    <w:tblStylePr w:type="band2Vert">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1">
    <w:name w:val="List Table 7 Colorful - Accent 6"/>
    <w:basedOn w:val="30"/>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color="A9D08E" w:themeColor="accent6" w:themeTint="98" w:sz="4" w:space="0"/>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2">
    <w:name w:val="Lined - Accent"/>
    <w:basedOn w:val="30"/>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3">
    <w:name w:val="Lined - Accent 1"/>
    <w:basedOn w:val="30"/>
    <w:uiPriority w:val="99"/>
    <w:pPr>
      <w:spacing w:after="0" w:line="240" w:lineRule="auto"/>
    </w:pPr>
    <w:rPr>
      <w:color w:val="404040"/>
    </w:rPr>
    <w:tblPr/>
    <w:tblStylePr w:type="firstRow">
      <w:rPr>
        <w:rFonts w:ascii="Arial" w:hAnsi="Arial"/>
        <w:color w:val="F2F2F2"/>
        <w:sz w:val="22"/>
      </w:rPr>
      <w:tblPr/>
      <w:tcPr>
        <w:shd w:val="clear" w:color="68A3D8" w:themeColor="accent1" w:themeTint="EA" w:fill="68A3D8" w:themeFill="accent1" w:themeFillTint="EA"/>
      </w:tcPr>
    </w:tblStylePr>
    <w:tblStylePr w:type="lastRow">
      <w:rPr>
        <w:rFonts w:ascii="Arial" w:hAnsi="Arial"/>
        <w:color w:val="F2F2F2"/>
        <w:sz w:val="22"/>
      </w:rPr>
      <w:tblPr/>
      <w:tcPr>
        <w:shd w:val="clear" w:color="68A3D8" w:themeColor="accent1" w:themeTint="EA" w:fill="68A3D8" w:themeFill="accent1" w:themeFillTint="EA"/>
      </w:tcPr>
    </w:tblStylePr>
    <w:tblStylePr w:type="firstCol">
      <w:rPr>
        <w:rFonts w:ascii="Arial" w:hAnsi="Arial"/>
        <w:color w:val="F2F2F2"/>
        <w:sz w:val="22"/>
      </w:rPr>
      <w:tblPr/>
      <w:tcPr>
        <w:shd w:val="clear" w:color="68A3D8" w:themeColor="accent1" w:themeTint="EA" w:fill="68A3D8" w:themeFill="accent1" w:themeFillTint="EA"/>
      </w:tcPr>
    </w:tblStylePr>
    <w:tblStylePr w:type="lastCol">
      <w:rPr>
        <w:rFonts w:ascii="Arial" w:hAnsi="Arial"/>
        <w:color w:val="F2F2F2"/>
        <w:sz w:val="22"/>
      </w:rPr>
      <w:tblPr/>
      <w:tcPr>
        <w:shd w:val="clear" w:color="68A3D8" w:themeColor="accent1" w:themeTint="EA" w:fill="68A3D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BDFF1" w:themeColor="accent1" w:themeTint="50" w:fill="CBDFF1" w:themeFill="accent1" w:themeFillTint="50"/>
      </w:tcPr>
    </w:tblStylePr>
    <w:tblStylePr w:type="neCell">
      <w:tblPr/>
    </w:tblStylePr>
    <w:tblStylePr w:type="nwCell">
      <w:tblPr/>
    </w:tblStylePr>
    <w:tblStylePr w:type="seCell">
      <w:tblPr/>
    </w:tblStylePr>
    <w:tblStylePr w:type="swCell">
      <w:tblPr/>
    </w:tblStylePr>
  </w:style>
  <w:style w:type="table" w:customStyle="1" w:styleId="164">
    <w:name w:val="Lined - Accent 2"/>
    <w:basedOn w:val="30"/>
    <w:uiPriority w:val="99"/>
    <w:pPr>
      <w:spacing w:after="0" w:line="240" w:lineRule="auto"/>
    </w:pPr>
    <w:rPr>
      <w:color w:val="404040"/>
    </w:rPr>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65">
    <w:name w:val="Lined - Accent 3"/>
    <w:basedOn w:val="30"/>
    <w:uiPriority w:val="99"/>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4"/>
    <w:basedOn w:val="30"/>
    <w:uiPriority w:val="99"/>
    <w:pPr>
      <w:spacing w:after="0" w:line="240" w:lineRule="auto"/>
    </w:pPr>
    <w:rPr>
      <w:color w:val="404040"/>
    </w:rPr>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67">
    <w:name w:val="Lined - Accent 5"/>
    <w:basedOn w:val="30"/>
    <w:uiPriority w:val="99"/>
    <w:pPr>
      <w:spacing w:after="0" w:line="240" w:lineRule="auto"/>
    </w:pPr>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8E2F2" w:themeColor="accent5" w:themeTint="34" w:fill="D8E2F2"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8E2F2" w:themeColor="accent5" w:themeTint="34" w:fill="D8E2F2" w:themeFill="accent5" w:themeFillTint="34"/>
      </w:tcPr>
    </w:tblStylePr>
    <w:tblStylePr w:type="neCell">
      <w:tblPr/>
    </w:tblStylePr>
    <w:tblStylePr w:type="nwCell">
      <w:tblPr/>
    </w:tblStylePr>
    <w:tblStylePr w:type="seCell">
      <w:tblPr/>
    </w:tblStylePr>
    <w:tblStylePr w:type="swCell">
      <w:tblPr/>
    </w:tblStylePr>
  </w:style>
  <w:style w:type="table" w:customStyle="1" w:styleId="168">
    <w:name w:val="Lined - Accent 6"/>
    <w:basedOn w:val="30"/>
    <w:uiPriority w:val="99"/>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w:basedOn w:val="30"/>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0">
    <w:name w:val="Bordered &amp; Lined - Accent 1"/>
    <w:basedOn w:val="30"/>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blPr/>
      <w:tcPr>
        <w:shd w:val="clear" w:color="68A3D8" w:themeColor="accent1" w:themeTint="EA" w:fill="68A3D8" w:themeFill="accent1" w:themeFillTint="EA"/>
      </w:tcPr>
    </w:tblStylePr>
    <w:tblStylePr w:type="lastRow">
      <w:rPr>
        <w:rFonts w:ascii="Arial" w:hAnsi="Arial"/>
        <w:color w:val="F2F2F2"/>
        <w:sz w:val="22"/>
      </w:rPr>
      <w:tblPr/>
      <w:tcPr>
        <w:shd w:val="clear" w:color="68A3D8" w:themeColor="accent1" w:themeTint="EA" w:fill="68A3D8" w:themeFill="accent1" w:themeFillTint="EA"/>
      </w:tcPr>
    </w:tblStylePr>
    <w:tblStylePr w:type="firstCol">
      <w:rPr>
        <w:rFonts w:ascii="Arial" w:hAnsi="Arial"/>
        <w:color w:val="F2F2F2"/>
        <w:sz w:val="22"/>
      </w:rPr>
      <w:tblPr/>
      <w:tcPr>
        <w:shd w:val="clear" w:color="68A3D8" w:themeColor="accent1" w:themeTint="EA" w:fill="68A3D8" w:themeFill="accent1" w:themeFillTint="EA"/>
      </w:tcPr>
    </w:tblStylePr>
    <w:tblStylePr w:type="lastCol">
      <w:rPr>
        <w:rFonts w:ascii="Arial" w:hAnsi="Arial"/>
        <w:color w:val="F2F2F2"/>
        <w:sz w:val="22"/>
      </w:rPr>
      <w:tblPr/>
      <w:tcPr>
        <w:shd w:val="clear" w:color="68A3D8" w:themeColor="accent1" w:themeTint="EA" w:fill="68A3D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BDFF1" w:themeColor="accent1" w:themeTint="50" w:fill="CBDFF1" w:themeFill="accent1" w:themeFillTint="50"/>
      </w:tcPr>
    </w:tblStylePr>
    <w:tblStylePr w:type="neCell">
      <w:tblPr/>
    </w:tblStylePr>
    <w:tblStylePr w:type="nwCell">
      <w:tblPr/>
    </w:tblStylePr>
    <w:tblStylePr w:type="seCell">
      <w:tblPr/>
    </w:tblStylePr>
    <w:tblStylePr w:type="swCell">
      <w:tblPr/>
    </w:tblStylePr>
  </w:style>
  <w:style w:type="table" w:customStyle="1" w:styleId="171">
    <w:name w:val="Bordered &amp; Lined - Accent 2"/>
    <w:basedOn w:val="30"/>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72">
    <w:name w:val="Bordered &amp; Lined - Accent 3"/>
    <w:basedOn w:val="30"/>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4"/>
    <w:basedOn w:val="30"/>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74">
    <w:name w:val="Bordered &amp; Lined - Accent 5"/>
    <w:basedOn w:val="30"/>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8E2F2" w:themeColor="accent5" w:themeTint="34" w:fill="D8E2F2"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8E2F2" w:themeColor="accent5" w:themeTint="34" w:fill="D8E2F2" w:themeFill="accent5" w:themeFillTint="34"/>
      </w:tcPr>
    </w:tblStylePr>
    <w:tblStylePr w:type="neCell">
      <w:tblPr/>
    </w:tblStylePr>
    <w:tblStylePr w:type="nwCell">
      <w:tblPr/>
    </w:tblStylePr>
    <w:tblStylePr w:type="seCell">
      <w:tblPr/>
    </w:tblStylePr>
    <w:tblStylePr w:type="swCell">
      <w:tblPr/>
    </w:tblStylePr>
  </w:style>
  <w:style w:type="table" w:customStyle="1" w:styleId="175">
    <w:name w:val="Bordered &amp; Lined - Accent 6"/>
    <w:basedOn w:val="30"/>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76">
    <w:name w:val="Bordered"/>
    <w:basedOn w:val="30"/>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1"/>
    <w:basedOn w:val="30"/>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blPr/>
      <w:tcPr>
        <w:tcBorders>
          <w:bottom w:val="single" w:color="5B9BD5" w:themeColor="accent1" w:sz="12" w:space="0"/>
        </w:tcBorders>
      </w:tcPr>
    </w:tblStylePr>
    <w:tblStylePr w:type="lastRow">
      <w:rPr>
        <w:rFonts w:ascii="Arial" w:hAnsi="Arial"/>
        <w:color w:val="404040"/>
        <w:sz w:val="22"/>
      </w:rPr>
      <w:tblPr/>
      <w:tcPr>
        <w:tcBorders>
          <w:top w:val="single" w:color="5B9BD5"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5B9BD5"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2"/>
    <w:basedOn w:val="30"/>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blPr/>
      <w:tcPr>
        <w:tcBorders>
          <w:bottom w:val="single" w:color="F4B285" w:themeColor="accent2" w:themeTint="97" w:sz="12" w:space="0"/>
        </w:tcBorders>
      </w:tcPr>
    </w:tblStylePr>
    <w:tblStylePr w:type="lastRow">
      <w:rPr>
        <w:rFonts w:ascii="Arial" w:hAnsi="Arial"/>
        <w:color w:val="404040"/>
        <w:sz w:val="22"/>
      </w:rPr>
      <w:tblPr/>
      <w:tcPr>
        <w:tcBorders>
          <w:top w:val="single" w:color="F4B28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4B28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3"/>
    <w:basedOn w:val="30"/>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blPr/>
      <w:tcPr>
        <w:tcBorders>
          <w:bottom w:val="single" w:color="C9C9C9" w:themeColor="accent3" w:themeTint="98" w:sz="12" w:space="0"/>
        </w:tcBorders>
      </w:tcPr>
    </w:tblStylePr>
    <w:tblStylePr w:type="lastRow">
      <w:rPr>
        <w:rFonts w:ascii="Arial" w:hAnsi="Arial"/>
        <w:color w:val="404040"/>
        <w:sz w:val="22"/>
      </w:rPr>
      <w:tblPr/>
      <w:tcPr>
        <w:tcBorders>
          <w:top w:val="single" w:color="C9C9C9"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9C9C9"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4"/>
    <w:basedOn w:val="30"/>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blPr/>
      <w:tcPr>
        <w:tcBorders>
          <w:bottom w:val="single" w:color="FFD864" w:themeColor="accent4" w:themeTint="9A" w:sz="12" w:space="0"/>
        </w:tcBorders>
      </w:tcPr>
    </w:tblStylePr>
    <w:tblStylePr w:type="lastRow">
      <w:rPr>
        <w:rFonts w:ascii="Arial" w:hAnsi="Arial"/>
        <w:color w:val="404040"/>
        <w:sz w:val="22"/>
      </w:rPr>
      <w:tblPr/>
      <w:tcPr>
        <w:tcBorders>
          <w:top w:val="single" w:color="FFD864"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FD864"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5"/>
    <w:basedOn w:val="30"/>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blPr/>
      <w:tcPr>
        <w:tcBorders>
          <w:bottom w:val="single" w:color="8EA9DB" w:themeColor="accent5" w:themeTint="9A" w:sz="12" w:space="0"/>
        </w:tcBorders>
      </w:tcPr>
    </w:tblStylePr>
    <w:tblStylePr w:type="lastRow">
      <w:rPr>
        <w:rFonts w:ascii="Arial" w:hAnsi="Arial"/>
        <w:color w:val="404040"/>
        <w:sz w:val="22"/>
      </w:rPr>
      <w:tblPr/>
      <w:tcPr>
        <w:tcBorders>
          <w:top w:val="single" w:color="8EA9DB"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8EA9DB"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2">
    <w:name w:val="Bordered - Accent 6"/>
    <w:basedOn w:val="30"/>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blPr/>
      <w:tcPr>
        <w:tcBorders>
          <w:bottom w:val="single" w:color="A9D08E" w:themeColor="accent6" w:themeTint="98" w:sz="12" w:space="0"/>
        </w:tcBorders>
      </w:tcPr>
    </w:tblStylePr>
    <w:tblStylePr w:type="lastRow">
      <w:rPr>
        <w:rFonts w:ascii="Arial" w:hAnsi="Arial"/>
        <w:color w:val="404040"/>
        <w:sz w:val="22"/>
      </w:rPr>
      <w:tblPr/>
      <w:tcPr>
        <w:tcBorders>
          <w:top w:val="single" w:color="A9D08E"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A9D08E"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3">
    <w:name w:val="Footnote Text Char"/>
    <w:link w:val="23"/>
    <w:qFormat/>
    <w:uiPriority w:val="99"/>
    <w:rPr>
      <w:sz w:val="18"/>
    </w:rPr>
  </w:style>
  <w:style w:type="character" w:customStyle="1" w:styleId="184">
    <w:name w:val="Endnote Text Char"/>
    <w:link w:val="17"/>
    <w:qFormat/>
    <w:uiPriority w:val="99"/>
    <w:rPr>
      <w:sz w:val="20"/>
    </w:rPr>
  </w:style>
  <w:style w:type="paragraph" w:customStyle="1" w:styleId="185">
    <w:name w:val="TOC Heading"/>
    <w:unhideWhenUsed/>
    <w:qFormat/>
    <w:uiPriority w:val="39"/>
    <w:rPr>
      <w:rFonts w:hint="default" w:asciiTheme="minorHAnsi" w:hAnsiTheme="minorHAnsi" w:eastAsiaTheme="minorEastAsia" w:cstheme="minorBid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2381</Words>
  <Characters>2579</Characters>
  <TotalTime>0</TotalTime>
  <ScaleCrop>false</ScaleCrop>
  <LinksUpToDate>false</LinksUpToDate>
  <CharactersWithSpaces>2633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2025-04-11T04:37:19Z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9F5A7B7BFDA4467A8020E7B038CA29D8</vt:lpwstr>
  </property>
  <property fmtid="{D5CDD505-2E9C-101B-9397-08002B2CF9AE}" pid="4" name="KSOTemplateDocerSaveRecord">
    <vt:lpwstr>eyJoZGlkIjoiYTZlYTVjODcyNTU1MzBiMDcyYjhmOGIxMTczZjVhMTEifQ==</vt:lpwstr>
  </property>
</Properties>
</file>