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红原县卫生健康局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2</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贯彻落实《传染病防治法》，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负责全县医疗机构医疗服务的全行业监督管理，实施医疗机构医疗服务、技术、医疗质量和采供血机构管理的政策、规范、标准，实施医疗机构、从业人员执业许可制度以及医疗卫生职业道德规范，建立全县医疗机构医疗服务评价和监督体系，依法监督管理血站的采供血及临床用血质量。</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2</w:t>
      </w:r>
      <w:r>
        <w:rPr>
          <w:rFonts w:hint="eastAsia" w:ascii="楷体_GB2312" w:hAnsi="楷体_GB2312" w:eastAsia="楷体_GB2312" w:cs="楷体_GB2312"/>
          <w:b/>
          <w:bCs w:val="0"/>
          <w:sz w:val="32"/>
          <w:szCs w:val="32"/>
          <w:lang w:eastAsia="zh-CN"/>
        </w:rPr>
        <w:t>年重点工作任务</w:t>
      </w:r>
    </w:p>
    <w:p>
      <w:pPr>
        <w:keepNext w:val="0"/>
        <w:keepLines w:val="0"/>
        <w:pageBreakBefore w:val="0"/>
        <w:numPr>
          <w:ilvl w:val="0"/>
          <w:numId w:val="1"/>
        </w:numPr>
        <w:pBdr>
          <w:bottom w:val="single" w:color="FFFFFF" w:sz="4" w:space="29"/>
        </w:pBdr>
        <w:kinsoku/>
        <w:wordWrap/>
        <w:overflowPunct/>
        <w:topLinePunct w:val="0"/>
        <w:autoSpaceDE/>
        <w:autoSpaceDN/>
        <w:bidi w:val="0"/>
        <w:spacing w:after="0" w:line="560" w:lineRule="exact"/>
        <w:ind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继续做好新冠肺炎疫情防控工作。</w:t>
      </w:r>
    </w:p>
    <w:p>
      <w:pPr>
        <w:keepNext w:val="0"/>
        <w:keepLines w:val="0"/>
        <w:pageBreakBefore w:val="0"/>
        <w:numPr>
          <w:ilvl w:val="0"/>
          <w:numId w:val="0"/>
        </w:numPr>
        <w:pBdr>
          <w:bottom w:val="single" w:color="FFFFFF" w:sz="4" w:space="29"/>
        </w:pBdr>
        <w:kinsoku/>
        <w:wordWrap/>
        <w:overflowPunct/>
        <w:topLinePunct w:val="0"/>
        <w:autoSpaceDE/>
        <w:autoSpaceDN/>
        <w:bidi w:val="0"/>
        <w:spacing w:after="0" w:line="560" w:lineRule="exact"/>
        <w:ind w:firstLine="640" w:firstLineChars="200"/>
        <w:jc w:val="both"/>
        <w:textAlignment w:val="auto"/>
        <w:outlineLvl w:val="9"/>
        <w:rPr>
          <w:rFonts w:hint="eastAsia" w:ascii="仿宋_GB2312" w:hAnsi="仿宋_GB2312" w:eastAsia="仿宋_GB2312" w:cs="仿宋_GB2312"/>
          <w:color w:val="auto"/>
          <w:spacing w:val="0"/>
          <w:kern w:val="0"/>
          <w:sz w:val="32"/>
          <w:szCs w:val="32"/>
          <w:lang w:val="en-US" w:eastAsia="zh-CN" w:bidi="ar"/>
        </w:rPr>
      </w:pPr>
      <w:r>
        <w:rPr>
          <w:rFonts w:hint="eastAsia" w:ascii="仿宋_GB2312" w:eastAsia="仿宋_GB2312" w:hAnsiTheme="minorHAnsi" w:cstheme="minorBidi"/>
          <w:kern w:val="2"/>
          <w:sz w:val="32"/>
          <w:szCs w:val="32"/>
          <w:lang w:val="en-US" w:eastAsia="zh-CN" w:bidi="ar-SA"/>
        </w:rPr>
        <w:t>按照国家和省、州安排，做好秋冬季和常态化疫情防控工作，严防聚集性疫情，</w:t>
      </w:r>
      <w:r>
        <w:rPr>
          <w:rFonts w:hint="eastAsia" w:ascii="仿宋_GB2312" w:hAnsi="仿宋_GB2312" w:eastAsia="仿宋_GB2312" w:cs="仿宋_GB2312"/>
          <w:b w:val="0"/>
          <w:bCs/>
          <w:i w:val="0"/>
          <w:caps w:val="0"/>
          <w:color w:val="auto"/>
          <w:spacing w:val="0"/>
          <w:sz w:val="32"/>
          <w:szCs w:val="32"/>
          <w:lang w:val="en-US" w:eastAsia="zh-CN"/>
        </w:rPr>
        <w:t>完善三位一体的州、县、乡三级卫生防疫救治体系，加快医疗机构、疾控机构实验室建设，</w:t>
      </w:r>
      <w:r>
        <w:rPr>
          <w:rFonts w:hint="eastAsia" w:ascii="仿宋_GB2312" w:hAnsi="仿宋_GB2312" w:eastAsia="仿宋_GB2312" w:cs="仿宋_GB2312"/>
          <w:color w:val="auto"/>
          <w:spacing w:val="0"/>
          <w:kern w:val="0"/>
          <w:sz w:val="32"/>
          <w:szCs w:val="32"/>
          <w:lang w:val="en-US" w:eastAsia="zh-CN" w:bidi="ar"/>
        </w:rPr>
        <w:t>巩固前一阶段疫情防控取得的成效，坚持疫情防控与其他工作“两手抓、两不误”。</w:t>
      </w:r>
    </w:p>
    <w:p>
      <w:pPr>
        <w:keepNext w:val="0"/>
        <w:keepLines w:val="0"/>
        <w:pageBreakBefore w:val="0"/>
        <w:numPr>
          <w:ilvl w:val="0"/>
          <w:numId w:val="1"/>
        </w:numPr>
        <w:pBdr>
          <w:bottom w:val="single" w:color="FFFFFF" w:sz="4" w:space="29"/>
        </w:pBdr>
        <w:kinsoku/>
        <w:wordWrap/>
        <w:topLinePunct w:val="0"/>
        <w:autoSpaceDN/>
        <w:bidi w:val="0"/>
        <w:spacing w:after="0" w:line="560" w:lineRule="exact"/>
        <w:ind w:left="0" w:leftChars="0" w:firstLine="643" w:firstLineChars="200"/>
        <w:jc w:val="both"/>
        <w:textAlignment w:val="auto"/>
        <w:outlineLvl w:val="9"/>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深入推进健康红原建设。</w:t>
      </w:r>
    </w:p>
    <w:p>
      <w:pPr>
        <w:keepNext w:val="0"/>
        <w:keepLines w:val="0"/>
        <w:pageBreakBefore w:val="0"/>
        <w:numPr>
          <w:ilvl w:val="0"/>
          <w:numId w:val="0"/>
        </w:numPr>
        <w:pBdr>
          <w:bottom w:val="single" w:color="FFFFFF" w:sz="4" w:space="29"/>
        </w:pBdr>
        <w:kinsoku/>
        <w:wordWrap/>
        <w:topLinePunct w:val="0"/>
        <w:autoSpaceDN/>
        <w:bidi w:val="0"/>
        <w:spacing w:after="0" w:line="560" w:lineRule="exact"/>
        <w:ind w:firstLine="640" w:firstLineChars="200"/>
        <w:jc w:val="both"/>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健康红原2030行动纲要》，全力推进健康红原建设。从大健康、大卫生角度出发，积极谋划健康红原建设蓝图，通过创新健康服务模式、健全健康优先的公共政策体系、制定普及健康生活方式的激励措施等一系列举措，推动医疗卫生服务从以疾病为中心向以健康为中心转变，健全优质、高效、整合型的医疗卫生服务体系，实现健康与经济社会良性协调发展。</w:t>
      </w:r>
    </w:p>
    <w:p>
      <w:pPr>
        <w:keepNext w:val="0"/>
        <w:keepLines w:val="0"/>
        <w:pageBreakBefore w:val="0"/>
        <w:pBdr>
          <w:bottom w:val="single" w:color="FFFFFF" w:sz="4" w:space="29"/>
        </w:pBdr>
        <w:kinsoku/>
        <w:wordWrap/>
        <w:topLinePunct w:val="0"/>
        <w:autoSpaceDN/>
        <w:bidi w:val="0"/>
        <w:spacing w:after="0" w:line="560" w:lineRule="exact"/>
        <w:ind w:firstLine="643" w:firstLineChars="200"/>
        <w:jc w:val="both"/>
        <w:textAlignment w:val="auto"/>
        <w:outlineLvl w:val="9"/>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全面推进医疗共同体建设。</w:t>
      </w:r>
      <w:r>
        <w:rPr>
          <w:rFonts w:hint="eastAsia" w:ascii="仿宋_GB2312" w:hAnsi="仿宋_GB2312" w:eastAsia="仿宋_GB2312" w:cs="仿宋_GB2312"/>
          <w:color w:val="auto"/>
          <w:sz w:val="32"/>
          <w:szCs w:val="32"/>
        </w:rPr>
        <w:t>通过整合县、乡、村医疗卫生服务资源，探索建立红原县医疗健康集团，形成医共体内横向整合、纵向融合的高效运行机制，使医共体成员单位成为服务、责任、利益、管理、发展的共同体。</w:t>
      </w:r>
    </w:p>
    <w:p>
      <w:pPr>
        <w:keepNext w:val="0"/>
        <w:keepLines w:val="0"/>
        <w:pageBreakBefore w:val="0"/>
        <w:pBdr>
          <w:bottom w:val="single" w:color="FFFFFF" w:sz="4" w:space="29"/>
        </w:pBdr>
        <w:kinsoku/>
        <w:wordWrap/>
        <w:topLinePunct w:val="0"/>
        <w:autoSpaceDN/>
        <w:bidi w:val="0"/>
        <w:spacing w:after="0" w:line="560" w:lineRule="exact"/>
        <w:ind w:firstLine="643" w:firstLineChars="200"/>
        <w:jc w:val="both"/>
        <w:textAlignment w:val="auto"/>
        <w:outlineLvl w:val="9"/>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4、</w:t>
      </w:r>
      <w:r>
        <w:rPr>
          <w:rFonts w:hint="eastAsia" w:ascii="楷体_GB2312" w:hAnsi="楷体_GB2312" w:eastAsia="楷体_GB2312" w:cs="楷体_GB2312"/>
          <w:b/>
          <w:bCs/>
          <w:color w:val="auto"/>
          <w:sz w:val="32"/>
          <w:szCs w:val="32"/>
        </w:rPr>
        <w:t>继续完善人才队伍建设。</w:t>
      </w:r>
      <w:r>
        <w:rPr>
          <w:rFonts w:hint="eastAsia" w:ascii="仿宋_GB2312" w:hAnsi="仿宋_GB2312" w:eastAsia="仿宋_GB2312" w:cs="仿宋_GB2312"/>
          <w:color w:val="auto"/>
          <w:sz w:val="32"/>
          <w:szCs w:val="32"/>
        </w:rPr>
        <w:t xml:space="preserve">进一步完善卫健人才队伍建设的相关政策。加强高层次卫生人才队伍建设，加强名医名护士素质提升及宣传工作。加强基层人员的各类培训工作，全面提升卫健人员综合技术水平。 </w:t>
      </w:r>
    </w:p>
    <w:p>
      <w:pPr>
        <w:keepNext w:val="0"/>
        <w:keepLines w:val="0"/>
        <w:pageBreakBefore w:val="0"/>
        <w:pBdr>
          <w:bottom w:val="single" w:color="FFFFFF" w:sz="4" w:space="29"/>
        </w:pBdr>
        <w:kinsoku/>
        <w:wordWrap/>
        <w:topLinePunct w:val="0"/>
        <w:autoSpaceDN/>
        <w:bidi w:val="0"/>
        <w:spacing w:after="0" w:line="560" w:lineRule="exact"/>
        <w:ind w:firstLine="643" w:firstLineChars="200"/>
        <w:jc w:val="both"/>
        <w:textAlignment w:val="auto"/>
        <w:outlineLvl w:val="9"/>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5、</w:t>
      </w:r>
      <w:r>
        <w:rPr>
          <w:rFonts w:hint="eastAsia" w:ascii="楷体_GB2312" w:hAnsi="楷体_GB2312" w:eastAsia="楷体_GB2312" w:cs="楷体_GB2312"/>
          <w:b/>
          <w:bCs/>
          <w:color w:val="auto"/>
          <w:sz w:val="32"/>
          <w:szCs w:val="32"/>
        </w:rPr>
        <w:t>努力提升信息化建设水平。</w:t>
      </w:r>
      <w:r>
        <w:rPr>
          <w:rFonts w:hint="eastAsia" w:ascii="仿宋_GB2312" w:hAnsi="仿宋_GB2312" w:eastAsia="仿宋_GB2312" w:cs="仿宋_GB2312"/>
          <w:color w:val="auto"/>
          <w:sz w:val="32"/>
          <w:szCs w:val="32"/>
        </w:rPr>
        <w:t xml:space="preserve">积极开展智慧医院创建工作，加强远程会诊系统建设，提高远程会诊、远程教学率。以信息化建设为依托，优化服务流程，力争全县各医疗卫生健康单位“最多跑一次”。 </w:t>
      </w:r>
    </w:p>
    <w:p>
      <w:pPr>
        <w:keepNext w:val="0"/>
        <w:keepLines w:val="0"/>
        <w:pageBreakBefore w:val="0"/>
        <w:pBdr>
          <w:bottom w:val="single" w:color="FFFFFF" w:sz="4" w:space="29"/>
        </w:pBdr>
        <w:kinsoku/>
        <w:wordWrap/>
        <w:topLinePunct w:val="0"/>
        <w:autoSpaceDN/>
        <w:bidi w:val="0"/>
        <w:spacing w:after="0" w:line="560" w:lineRule="exact"/>
        <w:ind w:firstLine="643"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6、</w:t>
      </w:r>
      <w:r>
        <w:rPr>
          <w:rFonts w:hint="eastAsia" w:ascii="楷体_GB2312" w:hAnsi="楷体_GB2312" w:eastAsia="楷体_GB2312" w:cs="楷体_GB2312"/>
          <w:b/>
          <w:bCs/>
          <w:color w:val="auto"/>
          <w:sz w:val="32"/>
          <w:szCs w:val="32"/>
        </w:rPr>
        <w:t>继续完善卫生基础设施建设。</w:t>
      </w:r>
      <w:r>
        <w:rPr>
          <w:rFonts w:hint="eastAsia" w:ascii="仿宋_GB2312" w:hAnsi="仿宋_GB2312" w:eastAsia="仿宋_GB2312" w:cs="仿宋_GB2312"/>
          <w:color w:val="auto"/>
          <w:sz w:val="32"/>
          <w:szCs w:val="32"/>
          <w:lang w:eastAsia="zh-CN"/>
        </w:rPr>
        <w:t>根据实际认真编制《红原县医疗卫生发展“十四五”规划》，加快县医院、</w:t>
      </w:r>
      <w:r>
        <w:rPr>
          <w:rFonts w:hint="eastAsia" w:ascii="仿宋_GB2312" w:hAnsi="仿宋_GB2312" w:eastAsia="仿宋_GB2312" w:cs="仿宋_GB2312"/>
          <w:color w:val="auto"/>
          <w:sz w:val="32"/>
          <w:szCs w:val="32"/>
        </w:rPr>
        <w:t>藏医院</w:t>
      </w:r>
      <w:r>
        <w:rPr>
          <w:rFonts w:hint="eastAsia" w:ascii="仿宋_GB2312" w:hAnsi="仿宋_GB2312" w:eastAsia="仿宋_GB2312" w:cs="仿宋_GB2312"/>
          <w:color w:val="auto"/>
          <w:sz w:val="32"/>
          <w:szCs w:val="32"/>
          <w:lang w:eastAsia="zh-CN"/>
        </w:rPr>
        <w:t>现有项目建设进度，争取资金用于基础设施建设，积极争取红原县体检中心建设项目。</w:t>
      </w:r>
    </w:p>
    <w:p>
      <w:pPr>
        <w:keepNext w:val="0"/>
        <w:keepLines w:val="0"/>
        <w:pageBreakBefore w:val="0"/>
        <w:pBdr>
          <w:bottom w:val="single" w:color="FFFFFF" w:sz="4" w:space="29"/>
        </w:pBdr>
        <w:kinsoku/>
        <w:wordWrap/>
        <w:topLinePunct w:val="0"/>
        <w:autoSpaceDN/>
        <w:bidi w:val="0"/>
        <w:spacing w:after="0" w:line="560" w:lineRule="exact"/>
        <w:ind w:firstLine="643" w:firstLineChars="200"/>
        <w:jc w:val="both"/>
        <w:textAlignment w:val="auto"/>
        <w:outlineLvl w:val="9"/>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7、</w:t>
      </w:r>
      <w:r>
        <w:rPr>
          <w:rFonts w:hint="eastAsia" w:ascii="楷体_GB2312" w:hAnsi="楷体_GB2312" w:eastAsia="楷体_GB2312" w:cs="楷体_GB2312"/>
          <w:b/>
          <w:bCs/>
          <w:color w:val="auto"/>
          <w:sz w:val="32"/>
          <w:szCs w:val="32"/>
        </w:rPr>
        <w:t>积极打造清廉医院建设。</w:t>
      </w:r>
      <w:r>
        <w:rPr>
          <w:rFonts w:hint="eastAsia" w:ascii="仿宋_GB2312" w:hAnsi="仿宋_GB2312" w:eastAsia="仿宋_GB2312" w:cs="仿宋_GB2312"/>
          <w:color w:val="auto"/>
          <w:sz w:val="32"/>
          <w:szCs w:val="32"/>
        </w:rPr>
        <w:t xml:space="preserve">积极推进医疗卫生领域清廉建设，开展“下沉式监督”“辐射式宣传”“精准化教育”，强化权力制约，推动医德医风持续向好向善，着力打造风清气正廉洁从医、医患关系清朗和谐的“清廉医院”。构建和谐的医患关系，进一步提升群众满意度。 </w:t>
      </w:r>
    </w:p>
    <w:p>
      <w:pPr>
        <w:keepNext w:val="0"/>
        <w:keepLines w:val="0"/>
        <w:pageBreakBefore w:val="0"/>
        <w:widowControl/>
        <w:pBdr>
          <w:bottom w:val="single" w:color="FFFFFF" w:sz="4" w:space="29"/>
        </w:pBdr>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8、</w:t>
      </w:r>
      <w:r>
        <w:rPr>
          <w:rFonts w:hint="eastAsia" w:ascii="楷体_GB2312" w:hAnsi="楷体_GB2312" w:eastAsia="楷体_GB2312" w:cs="楷体_GB2312"/>
          <w:b/>
          <w:bCs/>
          <w:color w:val="auto"/>
          <w:sz w:val="32"/>
          <w:szCs w:val="32"/>
        </w:rPr>
        <w:t>有序实施全面两孩政策。</w:t>
      </w:r>
      <w:r>
        <w:rPr>
          <w:rFonts w:hint="eastAsia" w:ascii="仿宋_GB2312" w:hAnsi="仿宋_GB2312" w:eastAsia="仿宋_GB2312" w:cs="仿宋_GB2312"/>
          <w:color w:val="auto"/>
          <w:sz w:val="32"/>
          <w:szCs w:val="32"/>
        </w:rPr>
        <w:t>加强出生人口的动态监测、分析和政策实施情况效果评估工作，扎实推进全员人口信息系统的数据完善，全面落实计划生育家庭奖励和扶助工作，完善特殊家庭扶助政策措施。</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红原县卫生健康局</w:t>
      </w:r>
      <w:r>
        <w:rPr>
          <w:rFonts w:hint="eastAsia"/>
          <w:sz w:val="32"/>
          <w:szCs w:val="32"/>
          <w:lang w:eastAsia="zh-CN"/>
        </w:rPr>
        <w:t>下设单位</w:t>
      </w:r>
      <w:r>
        <w:rPr>
          <w:rFonts w:hint="eastAsia"/>
          <w:sz w:val="32"/>
          <w:szCs w:val="32"/>
          <w:lang w:val="en-US" w:eastAsia="zh-CN"/>
        </w:rPr>
        <w:t>3</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w:t>
      </w:r>
      <w:r>
        <w:rPr>
          <w:rFonts w:hint="eastAsia"/>
          <w:sz w:val="32"/>
          <w:szCs w:val="32"/>
          <w:lang w:val="en-US" w:eastAsia="zh-CN"/>
        </w:rPr>
        <w:t>红原县卫生健康局机关、红原县卫生执法监督所、红原县流动人口和计划生育管理办公室</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红原县卫生健康局</w:t>
      </w:r>
      <w:r>
        <w:rPr>
          <w:rFonts w:hint="eastAsia" w:ascii="仿宋_GB2312" w:eastAsia="仿宋_GB2312"/>
          <w:sz w:val="32"/>
          <w:szCs w:val="32"/>
        </w:rPr>
        <w:t>收入预算总额为</w:t>
      </w:r>
      <w:r>
        <w:rPr>
          <w:rFonts w:hint="eastAsia" w:ascii="仿宋_GB2312" w:eastAsia="仿宋_GB2312"/>
          <w:sz w:val="32"/>
          <w:szCs w:val="32"/>
          <w:lang w:val="en-US" w:eastAsia="zh-CN"/>
        </w:rPr>
        <w:t>610.02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610.02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610.02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76.21</w:t>
      </w:r>
      <w:r>
        <w:rPr>
          <w:rFonts w:hint="eastAsia" w:ascii="仿宋_GB2312" w:eastAsia="仿宋_GB2312"/>
          <w:sz w:val="32"/>
          <w:szCs w:val="32"/>
        </w:rPr>
        <w:t>万元，卫生</w:t>
      </w:r>
      <w:r>
        <w:rPr>
          <w:rFonts w:hint="eastAsia" w:ascii="仿宋_GB2312" w:eastAsia="仿宋_GB2312"/>
          <w:sz w:val="32"/>
          <w:szCs w:val="32"/>
          <w:lang w:val="en-US" w:eastAsia="zh-CN"/>
        </w:rPr>
        <w:t>健康494.12</w:t>
      </w:r>
      <w:r>
        <w:rPr>
          <w:rFonts w:hint="eastAsia" w:ascii="仿宋_GB2312" w:eastAsia="仿宋_GB2312"/>
          <w:sz w:val="32"/>
          <w:szCs w:val="32"/>
        </w:rPr>
        <w:t>万元，住房保障支出</w:t>
      </w:r>
      <w:r>
        <w:rPr>
          <w:rFonts w:hint="eastAsia" w:ascii="仿宋_GB2312" w:eastAsia="仿宋_GB2312"/>
          <w:sz w:val="32"/>
          <w:szCs w:val="32"/>
          <w:lang w:val="en-US" w:eastAsia="zh-CN"/>
        </w:rPr>
        <w:t>39.68</w:t>
      </w:r>
      <w:r>
        <w:rPr>
          <w:rFonts w:hint="eastAsia" w:ascii="仿宋_GB2312" w:eastAsia="仿宋_GB2312"/>
          <w:sz w:val="32"/>
          <w:szCs w:val="32"/>
        </w:rPr>
        <w:t>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红原县卫生健康局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rPr>
      </w:pPr>
      <w:r>
        <w:rPr>
          <w:rFonts w:hint="eastAsia" w:ascii="仿宋_GB2312" w:eastAsia="仿宋_GB2312"/>
          <w:sz w:val="32"/>
          <w:szCs w:val="32"/>
        </w:rPr>
        <w:t>基本支出</w:t>
      </w:r>
      <w:r>
        <w:rPr>
          <w:rFonts w:hint="eastAsia" w:ascii="仿宋_GB2312" w:eastAsia="仿宋_GB2312"/>
          <w:sz w:val="32"/>
          <w:szCs w:val="32"/>
          <w:lang w:val="en-US" w:eastAsia="zh-CN"/>
        </w:rPr>
        <w:t>486.4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310.27万元，机关运行经费35.2万元，其中：办公费16.48万元，公务接待费0.40万元，委托业务费0.9万元，维修费1.0万元，公务用车运行维护费16.42万元等。项目</w:t>
      </w:r>
      <w:r>
        <w:rPr>
          <w:rFonts w:hint="eastAsia" w:ascii="仿宋_GB2312" w:eastAsia="仿宋_GB2312"/>
          <w:sz w:val="32"/>
          <w:szCs w:val="32"/>
        </w:rPr>
        <w:t>支出</w:t>
      </w:r>
      <w:r>
        <w:rPr>
          <w:rFonts w:hint="eastAsia" w:ascii="仿宋_GB2312" w:eastAsia="仿宋_GB2312"/>
          <w:sz w:val="32"/>
          <w:szCs w:val="32"/>
          <w:lang w:val="en-US" w:eastAsia="zh-CN"/>
        </w:rPr>
        <w:t>123.62</w:t>
      </w:r>
      <w:r>
        <w:rPr>
          <w:rFonts w:hint="eastAsia" w:ascii="仿宋_GB2312" w:eastAsia="仿宋_GB2312"/>
          <w:sz w:val="32"/>
          <w:szCs w:val="32"/>
          <w:lang w:eastAsia="zh-CN"/>
        </w:rPr>
        <w:t xml:space="preserve">万元 </w:t>
      </w:r>
      <w:r>
        <w:rPr>
          <w:rFonts w:hint="eastAsia" w:ascii="仿宋_GB2312" w:eastAsia="仿宋_GB2312"/>
          <w:sz w:val="32"/>
          <w:szCs w:val="32"/>
          <w:lang w:val="en-US" w:eastAsia="zh-CN"/>
        </w:rPr>
        <w:t>其中：</w:t>
      </w:r>
      <w:r>
        <w:rPr>
          <w:rFonts w:hint="eastAsia" w:ascii="仿宋_GB2312" w:eastAsia="仿宋_GB2312"/>
          <w:sz w:val="32"/>
          <w:szCs w:val="32"/>
          <w:lang w:eastAsia="zh-CN"/>
        </w:rPr>
        <w:t>基本药物补助县级配套</w:t>
      </w:r>
      <w:r>
        <w:rPr>
          <w:rFonts w:hint="eastAsia" w:ascii="仿宋_GB2312" w:eastAsia="仿宋_GB2312"/>
          <w:sz w:val="32"/>
          <w:szCs w:val="32"/>
          <w:lang w:val="en-US" w:eastAsia="zh-CN"/>
        </w:rPr>
        <w:t>19.61万元</w:t>
      </w:r>
      <w:r>
        <w:rPr>
          <w:rFonts w:hint="eastAsia" w:ascii="仿宋_GB2312" w:eastAsia="仿宋_GB2312"/>
          <w:sz w:val="32"/>
          <w:szCs w:val="32"/>
          <w:lang w:eastAsia="zh-CN"/>
        </w:rPr>
        <w:t>、基本公共卫生服务工作县级配套</w:t>
      </w:r>
      <w:r>
        <w:rPr>
          <w:rFonts w:hint="eastAsia" w:ascii="仿宋_GB2312" w:eastAsia="仿宋_GB2312"/>
          <w:sz w:val="32"/>
          <w:szCs w:val="32"/>
          <w:lang w:val="en-US" w:eastAsia="zh-CN"/>
        </w:rPr>
        <w:t>28.83万元</w:t>
      </w:r>
      <w:r>
        <w:rPr>
          <w:rFonts w:hint="eastAsia" w:ascii="仿宋_GB2312" w:eastAsia="仿宋_GB2312"/>
          <w:sz w:val="32"/>
          <w:szCs w:val="32"/>
          <w:lang w:eastAsia="zh-CN"/>
        </w:rPr>
        <w:t>、计划生育事业经费</w:t>
      </w:r>
      <w:r>
        <w:rPr>
          <w:rFonts w:hint="eastAsia" w:ascii="仿宋_GB2312" w:eastAsia="仿宋_GB2312"/>
          <w:sz w:val="32"/>
          <w:szCs w:val="32"/>
          <w:lang w:val="en-US" w:eastAsia="zh-CN"/>
        </w:rPr>
        <w:t>74.52万元</w:t>
      </w:r>
      <w:r>
        <w:rPr>
          <w:rFonts w:hint="eastAsia" w:ascii="仿宋_GB2312" w:eastAsia="仿宋_GB2312"/>
          <w:sz w:val="32"/>
          <w:szCs w:val="32"/>
          <w:lang w:eastAsia="zh-CN"/>
        </w:rPr>
        <w:t>、农村独生子女父母奖励县级配套</w:t>
      </w:r>
      <w:r>
        <w:rPr>
          <w:rFonts w:hint="eastAsia" w:ascii="仿宋_GB2312" w:eastAsia="仿宋_GB2312"/>
          <w:sz w:val="32"/>
          <w:szCs w:val="32"/>
          <w:lang w:val="en-US" w:eastAsia="zh-CN"/>
        </w:rPr>
        <w:t>0.66万元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76.21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val="en-US" w:eastAsia="zh-CN"/>
        </w:rPr>
        <w:t>健康494.12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39.68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本年度预算拨款收入610.02万元较上年度预算658.11万元减少了7.30%，其中基本行政运行经费预算35.2万元，占全部总预算的6.17%，较上年</w:t>
      </w:r>
      <w:r>
        <w:rPr>
          <w:rFonts w:hint="eastAsia" w:ascii="宋体" w:hAnsi="宋体" w:cs="宋体"/>
          <w:i w:val="0"/>
          <w:iCs w:val="0"/>
          <w:caps w:val="0"/>
          <w:color w:val="333333"/>
          <w:spacing w:val="0"/>
          <w:sz w:val="24"/>
          <w:szCs w:val="24"/>
          <w:lang w:val="en-US" w:eastAsia="zh-CN"/>
        </w:rPr>
        <w:t>48.84</w:t>
      </w:r>
      <w:r>
        <w:rPr>
          <w:rFonts w:hint="eastAsia" w:ascii="仿宋_GB2312" w:eastAsia="仿宋_GB2312"/>
          <w:sz w:val="32"/>
          <w:szCs w:val="32"/>
          <w:lang w:val="en-US" w:eastAsia="zh-CN"/>
        </w:rPr>
        <w:t>万元减少了27.92%，原因是2022年正常运行费用减少；专项业务工作经费预算123.62万元，占总预算的20.17%，较上年预算减少</w:t>
      </w:r>
      <w:r>
        <w:rPr>
          <w:rFonts w:hint="eastAsia" w:ascii="宋体" w:hAnsi="宋体" w:cs="宋体"/>
          <w:i w:val="0"/>
          <w:iCs w:val="0"/>
          <w:caps w:val="0"/>
          <w:color w:val="333333"/>
          <w:spacing w:val="0"/>
          <w:sz w:val="24"/>
          <w:szCs w:val="24"/>
          <w:lang w:val="en-US" w:eastAsia="zh-CN"/>
        </w:rPr>
        <w:t>31.46</w:t>
      </w:r>
      <w:r>
        <w:rPr>
          <w:rFonts w:hint="eastAsia" w:ascii="仿宋_GB2312" w:eastAsia="仿宋_GB2312"/>
          <w:sz w:val="32"/>
          <w:szCs w:val="32"/>
          <w:lang w:val="en-US" w:eastAsia="zh-CN"/>
        </w:rPr>
        <w:t xml:space="preserve">万元。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26.76万元，其中：出国费0万元，与上年持平，主要原因为未安排因公出国；公车购置费0元，与上年持平，主要原因为未安排公车购置；公务用车维护费支出24.86万元，较上年度预算19.32万元略有增加，主要原因2022年正常运行费用增加，我们将有关机构的工作有机地结合起来，减少不必要的资源浪费。公务接待费1.90万元，较上年度2.09万元预算减少0.19万元，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截止2021年底，实际共有固定资产价值846.06万元：其中：公务用车63.89万元；办公用房402.38万元；其他房屋建筑物26.3万元；其他固定资产353.53万元。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420"/>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30" w:lineRule="atLeast"/>
        <w:ind w:left="0" w:right="0" w:firstLine="960" w:firstLineChars="300"/>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2022年我单位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表2-1.财政拨款支出预算表（政府经济分类科目）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4A51F"/>
    <w:multiLevelType w:val="singleLevel"/>
    <w:tmpl w:val="80B4A51F"/>
    <w:lvl w:ilvl="0" w:tentative="0">
      <w:start w:val="1"/>
      <w:numFmt w:val="decimal"/>
      <w:suff w:val="nothing"/>
      <w:lvlText w:val="%1、"/>
      <w:lvlJc w:val="left"/>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AF6DFD"/>
    <w:rsid w:val="0F6F2AAB"/>
    <w:rsid w:val="10B92046"/>
    <w:rsid w:val="12D22EF2"/>
    <w:rsid w:val="18870CA9"/>
    <w:rsid w:val="1C850F06"/>
    <w:rsid w:val="254B59E6"/>
    <w:rsid w:val="26917D0B"/>
    <w:rsid w:val="2A226AF7"/>
    <w:rsid w:val="2C932220"/>
    <w:rsid w:val="2D241839"/>
    <w:rsid w:val="2F7D365F"/>
    <w:rsid w:val="3DDC284F"/>
    <w:rsid w:val="40002AB8"/>
    <w:rsid w:val="41C14C68"/>
    <w:rsid w:val="421976A9"/>
    <w:rsid w:val="473E7200"/>
    <w:rsid w:val="48213E94"/>
    <w:rsid w:val="4EF3362F"/>
    <w:rsid w:val="54E6644B"/>
    <w:rsid w:val="555E53B0"/>
    <w:rsid w:val="56F015BA"/>
    <w:rsid w:val="59987AA9"/>
    <w:rsid w:val="5A850798"/>
    <w:rsid w:val="5B701A25"/>
    <w:rsid w:val="603B478F"/>
    <w:rsid w:val="636966A0"/>
    <w:rsid w:val="670175BB"/>
    <w:rsid w:val="6AFE240E"/>
    <w:rsid w:val="6C8003C9"/>
    <w:rsid w:val="6FBF4B32"/>
    <w:rsid w:val="6FC94C01"/>
    <w:rsid w:val="7D6D6302"/>
    <w:rsid w:val="7F05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Salutation"/>
    <w:basedOn w:val="1"/>
    <w:next w:val="1"/>
    <w:qFormat/>
    <w:uiPriority w:val="0"/>
    <w:pPr>
      <w:jc w:val="both"/>
      <w:textAlignment w:val="baseline"/>
    </w:p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2022-01-24T09:35:53Z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947FEA0841B14E96A7758A43E505C752</vt:lpwstr>
  </property>
</Properties>
</file>