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widowControl/>
        <w:suppressLineNumbers w:val="0"/>
        <w:snapToGrid w:val="0"/>
        <w:spacing w:before="0" w:beforeAutospacing="0" w:after="0" w:afterAutospacing="1"/>
        <w:ind w:left="0" w:right="0"/>
        <w:jc w:val="center"/>
        <w:rPr>
          <w:rFonts w:hint="eastAsia" w:ascii="宋体" w:hAnsi="宋体" w:eastAsia="宋体" w:cs="宋体"/>
          <w:b w:val="0"/>
          <w:kern w:val="0"/>
          <w:sz w:val="48"/>
          <w:szCs w:val="48"/>
        </w:rPr>
      </w:pPr>
      <w:r>
        <w:rPr>
          <w:rStyle w:val="19"/>
          <w:rFonts w:hint="default" w:ascii="Times New Roman" w:hAnsi="Times New Roman" w:eastAsia="宋体" w:cs="Times New Roman"/>
          <w:b w:val="0"/>
          <w:sz w:val="48"/>
          <w:szCs w:val="48"/>
          <w:shd w:val="clear" w:fill="FFFFFF"/>
          <w:lang w:val="en-US" w:eastAsia="zh-CN" w:bidi="ar"/>
        </w:rPr>
        <w:t>2020</w:t>
      </w:r>
      <w:r>
        <w:rPr>
          <w:rStyle w:val="19"/>
          <w:rFonts w:hint="eastAsia" w:ascii="宋体" w:hAnsi="宋体" w:eastAsia="宋体" w:cs="宋体"/>
          <w:b w:val="0"/>
          <w:sz w:val="48"/>
          <w:szCs w:val="48"/>
          <w:shd w:val="clear" w:fill="FFFFFF"/>
          <w:lang w:val="en-US" w:eastAsia="zh-CN" w:bidi="ar"/>
        </w:rPr>
        <w:t>年度</w:t>
      </w:r>
    </w:p>
    <w:p>
      <w:pPr>
        <w:pStyle w:val="12"/>
        <w:keepNext w:val="0"/>
        <w:keepLines w:val="0"/>
        <w:widowControl/>
        <w:suppressLineNumbers w:val="0"/>
        <w:snapToGrid w:val="0"/>
        <w:spacing w:before="0" w:beforeAutospacing="0" w:after="0" w:afterAutospacing="1"/>
        <w:ind w:left="0" w:right="0"/>
        <w:jc w:val="center"/>
        <w:rPr>
          <w:rFonts w:hint="eastAsia" w:ascii="宋体" w:hAnsi="宋体" w:eastAsia="宋体" w:cs="宋体"/>
          <w:b w:val="0"/>
          <w:kern w:val="0"/>
          <w:sz w:val="48"/>
          <w:szCs w:val="48"/>
        </w:rPr>
      </w:pPr>
      <w:r>
        <w:rPr>
          <w:rStyle w:val="19"/>
          <w:rFonts w:hint="eastAsia" w:ascii="宋体" w:hAnsi="宋体" w:eastAsia="宋体" w:cs="宋体"/>
          <w:b w:val="0"/>
          <w:sz w:val="48"/>
          <w:szCs w:val="48"/>
          <w:shd w:val="clear" w:fill="FFFFFF"/>
          <w:lang w:val="en-US" w:eastAsia="zh-CN" w:bidi="ar"/>
        </w:rPr>
        <w:t>阿坝州红原县自然资源局（汇总）部门决算</w:t>
      </w:r>
    </w:p>
    <w:p>
      <w:pPr>
        <w:pStyle w:val="12"/>
        <w:keepNext w:val="0"/>
        <w:keepLines w:val="0"/>
        <w:widowControl/>
        <w:suppressLineNumbers w:val="0"/>
        <w:snapToGrid w:val="0"/>
        <w:spacing w:before="0" w:beforeAutospacing="0" w:after="0" w:afterAutospacing="1"/>
        <w:ind w:left="0" w:right="0"/>
        <w:jc w:val="center"/>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widowControl/>
        <w:suppressLineNumbers w:val="0"/>
        <w:snapToGrid w:val="0"/>
        <w:spacing w:before="0" w:beforeAutospacing="0" w:after="0" w:afterAutospacing="1"/>
        <w:ind w:left="0" w:right="0"/>
        <w:jc w:val="center"/>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widowControl/>
        <w:suppressLineNumbers w:val="0"/>
        <w:snapToGrid w:val="0"/>
        <w:spacing w:before="0" w:beforeAutospacing="0" w:after="0" w:afterAutospacing="1"/>
        <w:ind w:left="0" w:right="0"/>
        <w:jc w:val="center"/>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widowControl/>
        <w:suppressLineNumbers w:val="0"/>
        <w:snapToGrid w:val="0"/>
        <w:spacing w:before="0" w:beforeAutospacing="0" w:after="0" w:afterAutospacing="1"/>
        <w:ind w:left="0" w:right="0"/>
        <w:jc w:val="center"/>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widowControl/>
        <w:suppressLineNumbers w:val="0"/>
        <w:snapToGrid w:val="0"/>
        <w:spacing w:before="0" w:beforeAutospacing="0" w:after="0" w:afterAutospacing="1"/>
        <w:ind w:left="0" w:right="0"/>
        <w:jc w:val="center"/>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widowControl/>
        <w:suppressLineNumbers w:val="0"/>
        <w:snapToGrid w:val="0"/>
        <w:spacing w:before="0" w:beforeAutospacing="0" w:after="0" w:afterAutospacing="1"/>
        <w:ind w:left="0" w:right="0"/>
        <w:jc w:val="center"/>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widowControl/>
        <w:suppressLineNumbers w:val="0"/>
        <w:snapToGrid w:val="0"/>
        <w:spacing w:before="0" w:beforeAutospacing="0" w:after="0" w:afterAutospacing="1"/>
        <w:ind w:left="0" w:right="0"/>
        <w:jc w:val="center"/>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widowControl/>
        <w:suppressLineNumbers w:val="0"/>
        <w:snapToGrid w:val="0"/>
        <w:spacing w:before="0" w:beforeAutospacing="0" w:after="0" w:afterAutospacing="1"/>
        <w:ind w:left="0" w:right="0"/>
        <w:jc w:val="center"/>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widowControl/>
        <w:suppressLineNumbers w:val="0"/>
        <w:snapToGrid w:val="0"/>
        <w:spacing w:before="0" w:beforeAutospacing="0" w:after="0" w:afterAutospacing="1"/>
        <w:ind w:left="0" w:right="0"/>
        <w:jc w:val="center"/>
        <w:rPr>
          <w:rFonts w:hint="eastAsia" w:ascii="宋体" w:hAnsi="宋体" w:eastAsia="宋体" w:cs="宋体"/>
          <w:b w:val="0"/>
          <w:kern w:val="0"/>
          <w:sz w:val="24"/>
          <w:szCs w:val="24"/>
          <w:shd w:val="clear" w:fill="FFFFFF"/>
          <w:lang w:val="en-US" w:eastAsia="zh-CN" w:bidi="ar"/>
        </w:rPr>
      </w:pPr>
    </w:p>
    <w:p>
      <w:pPr>
        <w:pStyle w:val="12"/>
        <w:keepNext w:val="0"/>
        <w:keepLines w:val="0"/>
        <w:widowControl/>
        <w:suppressLineNumbers w:val="0"/>
        <w:snapToGrid w:val="0"/>
        <w:spacing w:before="0" w:beforeAutospacing="0" w:after="0" w:afterAutospacing="1"/>
        <w:ind w:left="0" w:right="0"/>
        <w:jc w:val="center"/>
        <w:rPr>
          <w:rFonts w:hint="eastAsia" w:ascii="宋体" w:hAnsi="宋体" w:eastAsia="宋体" w:cs="宋体"/>
          <w:b w:val="0"/>
          <w:kern w:val="0"/>
          <w:sz w:val="24"/>
          <w:szCs w:val="24"/>
          <w:shd w:val="clear" w:fill="FFFFFF"/>
          <w:lang w:val="en-US" w:eastAsia="zh-CN" w:bidi="ar"/>
        </w:rPr>
      </w:pPr>
    </w:p>
    <w:p>
      <w:pPr>
        <w:pStyle w:val="12"/>
        <w:keepNext w:val="0"/>
        <w:keepLines w:val="0"/>
        <w:widowControl/>
        <w:suppressLineNumbers w:val="0"/>
        <w:snapToGrid w:val="0"/>
        <w:spacing w:before="0" w:beforeAutospacing="0" w:after="0" w:afterAutospacing="1"/>
        <w:ind w:left="0" w:right="0"/>
        <w:jc w:val="center"/>
        <w:rPr>
          <w:rFonts w:hint="eastAsia" w:ascii="宋体" w:hAnsi="宋体" w:eastAsia="宋体" w:cs="宋体"/>
          <w:b w:val="0"/>
          <w:kern w:val="0"/>
          <w:sz w:val="24"/>
          <w:szCs w:val="24"/>
          <w:shd w:val="clear" w:fill="FFFFFF"/>
          <w:lang w:val="en-US" w:eastAsia="zh-CN" w:bidi="ar"/>
        </w:rPr>
      </w:pPr>
    </w:p>
    <w:p>
      <w:pPr>
        <w:pStyle w:val="12"/>
        <w:keepNext w:val="0"/>
        <w:keepLines w:val="0"/>
        <w:widowControl/>
        <w:suppressLineNumbers w:val="0"/>
        <w:snapToGrid w:val="0"/>
        <w:spacing w:before="0" w:beforeAutospacing="0" w:after="0" w:afterAutospacing="1"/>
        <w:ind w:left="0" w:right="0"/>
        <w:jc w:val="center"/>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widowControl/>
        <w:suppressLineNumbers w:val="0"/>
        <w:snapToGrid w:val="0"/>
        <w:spacing w:before="0" w:beforeAutospacing="0" w:after="0" w:afterAutospacing="1"/>
        <w:ind w:left="0" w:right="0"/>
        <w:jc w:val="center"/>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widowControl/>
        <w:suppressLineNumbers w:val="0"/>
        <w:snapToGrid w:val="0"/>
        <w:spacing w:before="0" w:beforeAutospacing="0" w:after="0" w:afterAutospacing="1"/>
        <w:ind w:left="0" w:right="0"/>
        <w:jc w:val="left"/>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保密审查情况：已审查，内容审定</w:t>
      </w:r>
    </w:p>
    <w:p>
      <w:pPr>
        <w:pStyle w:val="12"/>
        <w:keepNext w:val="0"/>
        <w:keepLines w:val="0"/>
        <w:widowControl/>
        <w:suppressLineNumbers w:val="0"/>
        <w:snapToGrid w:val="0"/>
        <w:spacing w:before="0" w:beforeAutospacing="0" w:after="0" w:afterAutospacing="1"/>
        <w:ind w:left="0" w:right="0"/>
        <w:jc w:val="left"/>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部门主要负责人审签情况：已审签，同意对外公开</w:t>
      </w:r>
    </w:p>
    <w:p>
      <w:pPr>
        <w:pStyle w:val="12"/>
        <w:keepNext w:val="0"/>
        <w:keepLines w:val="0"/>
        <w:widowControl/>
        <w:suppressLineNumbers w:val="0"/>
        <w:snapToGrid w:val="0"/>
        <w:spacing w:before="0" w:beforeAutospacing="0" w:after="0" w:afterAutospacing="1"/>
        <w:ind w:left="0" w:right="0"/>
        <w:jc w:val="center"/>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widowControl/>
        <w:suppressLineNumbers w:val="0"/>
        <w:snapToGrid w:val="0"/>
        <w:spacing w:before="0" w:beforeAutospacing="0" w:after="0" w:afterAutospacing="1"/>
        <w:ind w:left="0" w:right="0"/>
        <w:jc w:val="left"/>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widowControl/>
        <w:suppressLineNumbers w:val="0"/>
        <w:snapToGrid w:val="0"/>
        <w:spacing w:before="0" w:beforeAutospacing="0" w:after="0" w:afterAutospacing="1"/>
        <w:ind w:left="0" w:right="0"/>
        <w:jc w:val="left"/>
        <w:rPr>
          <w:rFonts w:hint="eastAsia" w:ascii="宋体" w:hAnsi="宋体" w:eastAsia="宋体" w:cs="宋体"/>
          <w:b w:val="0"/>
          <w:kern w:val="0"/>
          <w:sz w:val="24"/>
          <w:szCs w:val="24"/>
          <w:shd w:val="clear" w:fill="FFFFFF"/>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widowControl/>
        <w:suppressLineNumbers w:val="0"/>
        <w:snapToGrid w:val="0"/>
        <w:spacing w:before="0" w:beforeAutospacing="0" w:after="0" w:afterAutospacing="1"/>
        <w:ind w:left="0" w:right="0"/>
        <w:jc w:val="left"/>
        <w:rPr>
          <w:rFonts w:hint="eastAsia" w:ascii="宋体" w:hAnsi="宋体" w:eastAsia="宋体" w:cs="宋体"/>
          <w:b w:val="0"/>
          <w:kern w:val="0"/>
          <w:sz w:val="24"/>
          <w:szCs w:val="24"/>
          <w:shd w:val="clear" w:fill="FFFFFF"/>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widowControl/>
        <w:suppressLineNumbers w:val="0"/>
        <w:snapToGrid w:val="0"/>
        <w:spacing w:before="0" w:beforeAutospacing="0" w:after="0" w:afterAutospacing="1"/>
        <w:ind w:left="0" w:right="0"/>
        <w:jc w:val="center"/>
        <w:rPr>
          <w:rFonts w:hint="eastAsia" w:ascii="宋体" w:hAnsi="宋体" w:eastAsia="宋体" w:cs="宋体"/>
          <w:b/>
          <w:bCs/>
          <w:kern w:val="0"/>
          <w:sz w:val="32"/>
          <w:szCs w:val="32"/>
        </w:rPr>
      </w:pPr>
      <w:r>
        <w:rPr>
          <w:rStyle w:val="19"/>
          <w:rFonts w:hint="eastAsia" w:ascii="宋体" w:hAnsi="宋体" w:eastAsia="宋体" w:cs="宋体"/>
          <w:b/>
          <w:bCs/>
          <w:sz w:val="36"/>
          <w:szCs w:val="36"/>
          <w:shd w:val="clear" w:fill="FFFFFF"/>
          <w:lang w:val="en-US" w:eastAsia="zh-CN" w:bidi="ar"/>
        </w:rPr>
        <w:t>目</w:t>
      </w:r>
      <w:r>
        <w:rPr>
          <w:rStyle w:val="19"/>
          <w:rFonts w:hint="default" w:ascii="Times New Roman" w:hAnsi="Times New Roman" w:eastAsia="宋体" w:cs="Times New Roman"/>
          <w:b/>
          <w:bCs/>
          <w:sz w:val="36"/>
          <w:szCs w:val="36"/>
          <w:shd w:val="clear" w:fill="FFFFFF"/>
          <w:lang w:val="en-US" w:eastAsia="zh-CN" w:bidi="ar"/>
        </w:rPr>
        <w:t xml:space="preserve">        </w:t>
      </w:r>
      <w:r>
        <w:rPr>
          <w:rStyle w:val="19"/>
          <w:rFonts w:hint="eastAsia" w:ascii="宋体" w:hAnsi="宋体" w:eastAsia="宋体" w:cs="宋体"/>
          <w:b/>
          <w:bCs/>
          <w:sz w:val="36"/>
          <w:szCs w:val="36"/>
          <w:shd w:val="clear" w:fill="FFFFFF"/>
          <w:lang w:val="en-US" w:eastAsia="zh-CN" w:bidi="ar"/>
        </w:rPr>
        <w:t>录</w:t>
      </w:r>
    </w:p>
    <w:p>
      <w:pPr>
        <w:keepNext w:val="0"/>
        <w:keepLines w:val="0"/>
        <w:widowControl/>
        <w:suppressLineNumbers w:val="0"/>
        <w:snapToGrid w:val="0"/>
        <w:spacing w:before="0" w:beforeAutospacing="0" w:after="0" w:afterAutospacing="0" w:line="576" w:lineRule="exact"/>
        <w:ind w:left="0" w:right="0" w:firstLine="640" w:firstLineChars="200"/>
        <w:jc w:val="center"/>
        <w:outlineLvl w:val="1"/>
        <w:rPr>
          <w:rFonts w:hint="default" w:ascii="仿宋_GB2312" w:hAnsi="仿宋" w:eastAsia="仿宋_GB2312" w:cs="仿宋_GB2312"/>
          <w:b w:val="0"/>
          <w:kern w:val="0"/>
          <w:sz w:val="32"/>
          <w:szCs w:val="32"/>
          <w:lang w:val="en-US" w:eastAsia="zh-CN" w:bidi="ar"/>
        </w:rPr>
      </w:pPr>
      <w:r>
        <w:rPr>
          <w:rFonts w:hint="default" w:ascii="仿宋_GB2312" w:hAnsi="仿宋" w:eastAsia="仿宋_GB2312" w:cs="仿宋_GB2312"/>
          <w:b w:val="0"/>
          <w:kern w:val="0"/>
          <w:sz w:val="32"/>
          <w:szCs w:val="32"/>
          <w:lang w:val="en-US" w:eastAsia="zh-CN" w:bidi="ar"/>
        </w:rPr>
        <w:t>公开时间：</w:t>
      </w:r>
      <w:r>
        <w:rPr>
          <w:rFonts w:hint="default" w:ascii="仿宋_GB2312" w:hAnsi="仿宋" w:eastAsia="仿宋_GB2312" w:cs="仿宋"/>
          <w:b w:val="0"/>
          <w:kern w:val="0"/>
          <w:sz w:val="32"/>
          <w:szCs w:val="32"/>
          <w:lang w:val="en-US" w:eastAsia="zh-CN" w:bidi="ar"/>
        </w:rPr>
        <w:t>2021年 11</w:t>
      </w:r>
      <w:r>
        <w:rPr>
          <w:rFonts w:hint="default" w:ascii="仿宋_GB2312" w:hAnsi="仿宋" w:eastAsia="仿宋_GB2312" w:cs="仿宋_GB2312"/>
          <w:b w:val="0"/>
          <w:kern w:val="0"/>
          <w:sz w:val="32"/>
          <w:szCs w:val="32"/>
          <w:lang w:val="en-US" w:eastAsia="zh-CN" w:bidi="ar"/>
        </w:rPr>
        <w:t>月</w:t>
      </w:r>
      <w:r>
        <w:rPr>
          <w:rFonts w:hint="default" w:ascii="仿宋_GB2312" w:hAnsi="仿宋" w:eastAsia="仿宋_GB2312" w:cs="仿宋"/>
          <w:b w:val="0"/>
          <w:kern w:val="0"/>
          <w:sz w:val="32"/>
          <w:szCs w:val="32"/>
          <w:lang w:val="en-US" w:eastAsia="zh-CN" w:bidi="ar"/>
        </w:rPr>
        <w:t xml:space="preserve">30 </w:t>
      </w:r>
      <w:r>
        <w:rPr>
          <w:rFonts w:hint="default" w:ascii="仿宋_GB2312" w:hAnsi="仿宋" w:eastAsia="仿宋_GB2312" w:cs="仿宋_GB2312"/>
          <w:b w:val="0"/>
          <w:kern w:val="0"/>
          <w:sz w:val="32"/>
          <w:szCs w:val="32"/>
          <w:lang w:val="en-US" w:eastAsia="zh-CN" w:bidi="ar"/>
        </w:rPr>
        <w:t>日</w:t>
      </w:r>
    </w:p>
    <w:sdt>
      <w:sdtPr>
        <w:rPr>
          <w:rFonts w:ascii="宋体" w:hAnsi="宋体" w:eastAsia="宋体" w:cstheme="minorBidi"/>
          <w:kern w:val="2"/>
          <w:sz w:val="21"/>
          <w:szCs w:val="24"/>
          <w:lang w:val="en-US" w:eastAsia="zh-CN" w:bidi="ar-SA"/>
        </w:rPr>
        <w:id w:val="147459207"/>
        <w15:color w:val="DBDBDB"/>
        <w:docPartObj>
          <w:docPartGallery w:val="Table of Contents"/>
          <w:docPartUnique/>
        </w:docPartObj>
      </w:sdtPr>
      <w:sdtEndPr>
        <w:rPr>
          <w:rFonts w:asciiTheme="minorHAnsi" w:hAnsiTheme="minorHAnsi" w:eastAsiaTheme="minorEastAsia" w:cstheme="minorBidi"/>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10"/>
            <w:tabs>
              <w:tab w:val="right" w:leader="dot" w:pos="8306"/>
              <w:tab w:val="clear" w:pos="8296"/>
            </w:tabs>
          </w:pPr>
          <w:r>
            <w:rPr>
              <w:b/>
              <w:bCs w:val="0"/>
            </w:rPr>
            <w:fldChar w:fldCharType="begin"/>
          </w:r>
          <w:r>
            <w:rPr>
              <w:b/>
              <w:bCs w:val="0"/>
            </w:rPr>
            <w:instrText xml:space="preserve">TOC \o "1-1" \h \u </w:instrText>
          </w:r>
          <w:r>
            <w:rPr>
              <w:b/>
              <w:bCs w:val="0"/>
            </w:rPr>
            <w:fldChar w:fldCharType="separate"/>
          </w:r>
          <w:r>
            <w:rPr>
              <w:bCs w:val="0"/>
            </w:rPr>
            <w:fldChar w:fldCharType="begin"/>
          </w:r>
          <w:r>
            <w:rPr>
              <w:bCs w:val="0"/>
            </w:rPr>
            <w:instrText xml:space="preserve"> HYPERLINK \l _Toc31622 </w:instrText>
          </w:r>
          <w:r>
            <w:rPr>
              <w:bCs w:val="0"/>
            </w:rPr>
            <w:fldChar w:fldCharType="separate"/>
          </w:r>
          <w:r>
            <w:rPr>
              <w:rFonts w:hint="default" w:ascii="仿宋_GB2312" w:hAnsi="仿宋" w:eastAsia="仿宋_GB2312" w:cs="仿宋_GB2312"/>
              <w:bCs/>
              <w:kern w:val="0"/>
              <w:szCs w:val="36"/>
              <w:lang w:val="en-US" w:eastAsia="zh-CN" w:bidi="ar"/>
            </w:rPr>
            <w:t>第一部分</w:t>
          </w:r>
          <w:r>
            <w:rPr>
              <w:rFonts w:hint="default" w:ascii="仿宋_GB2312" w:hAnsi="仿宋" w:eastAsia="仿宋_GB2312" w:cs="仿宋"/>
              <w:bCs/>
              <w:kern w:val="0"/>
              <w:szCs w:val="36"/>
              <w:lang w:val="en-US" w:eastAsia="zh-CN" w:bidi="ar"/>
            </w:rPr>
            <w:t xml:space="preserve"> </w:t>
          </w:r>
          <w:r>
            <w:rPr>
              <w:rFonts w:hint="default" w:ascii="仿宋_GB2312" w:hAnsi="仿宋" w:eastAsia="仿宋_GB2312" w:cs="仿宋_GB2312"/>
              <w:bCs/>
              <w:kern w:val="0"/>
              <w:szCs w:val="36"/>
              <w:lang w:val="en-US" w:eastAsia="zh-CN" w:bidi="ar"/>
            </w:rPr>
            <w:t>部门概况</w:t>
          </w:r>
          <w:r>
            <w:tab/>
          </w:r>
          <w:r>
            <w:fldChar w:fldCharType="begin"/>
          </w:r>
          <w:r>
            <w:instrText xml:space="preserve"> PAGEREF _Toc31622 \h </w:instrText>
          </w:r>
          <w:r>
            <w:fldChar w:fldCharType="separate"/>
          </w:r>
          <w:r>
            <w:t>2</w:t>
          </w:r>
          <w:r>
            <w:fldChar w:fldCharType="end"/>
          </w:r>
          <w:r>
            <w:rPr>
              <w:bCs w:val="0"/>
            </w:rPr>
            <w:fldChar w:fldCharType="end"/>
          </w:r>
        </w:p>
        <w:p>
          <w:pPr>
            <w:pStyle w:val="10"/>
            <w:tabs>
              <w:tab w:val="right" w:leader="dot" w:pos="8306"/>
              <w:tab w:val="clear" w:pos="8296"/>
            </w:tabs>
          </w:pPr>
          <w:r>
            <w:rPr>
              <w:bCs w:val="0"/>
            </w:rPr>
            <w:fldChar w:fldCharType="begin"/>
          </w:r>
          <w:r>
            <w:rPr>
              <w:bCs w:val="0"/>
            </w:rPr>
            <w:instrText xml:space="preserve"> HYPERLINK \l _Toc1476 </w:instrText>
          </w:r>
          <w:r>
            <w:rPr>
              <w:bCs w:val="0"/>
            </w:rPr>
            <w:fldChar w:fldCharType="separate"/>
          </w:r>
          <w:r>
            <w:rPr>
              <w:rFonts w:hint="eastAsia" w:ascii="宋体" w:hAnsi="宋体" w:eastAsia="宋体" w:cs="宋体"/>
              <w:kern w:val="0"/>
              <w:szCs w:val="32"/>
              <w:shd w:val="clear" w:fill="FFFFFF"/>
              <w:lang w:val="en-US" w:eastAsia="zh-CN" w:bidi="ar"/>
            </w:rPr>
            <w:t>第二部分 2020年度部门决算情况说明</w:t>
          </w:r>
          <w:r>
            <w:tab/>
          </w:r>
          <w:r>
            <w:fldChar w:fldCharType="begin"/>
          </w:r>
          <w:r>
            <w:instrText xml:space="preserve"> PAGEREF _Toc1476 \h </w:instrText>
          </w:r>
          <w:r>
            <w:fldChar w:fldCharType="separate"/>
          </w:r>
          <w:r>
            <w:t>9</w:t>
          </w:r>
          <w:r>
            <w:fldChar w:fldCharType="end"/>
          </w:r>
          <w:r>
            <w:rPr>
              <w:bCs w:val="0"/>
            </w:rPr>
            <w:fldChar w:fldCharType="end"/>
          </w:r>
        </w:p>
        <w:p>
          <w:pPr>
            <w:pStyle w:val="10"/>
            <w:tabs>
              <w:tab w:val="right" w:leader="dot" w:pos="8306"/>
              <w:tab w:val="clear" w:pos="8296"/>
            </w:tabs>
          </w:pPr>
          <w:r>
            <w:rPr>
              <w:bCs w:val="0"/>
            </w:rPr>
            <w:fldChar w:fldCharType="begin"/>
          </w:r>
          <w:r>
            <w:rPr>
              <w:bCs w:val="0"/>
            </w:rPr>
            <w:instrText xml:space="preserve"> HYPERLINK \l _Toc29845 </w:instrText>
          </w:r>
          <w:r>
            <w:rPr>
              <w:bCs w:val="0"/>
            </w:rPr>
            <w:fldChar w:fldCharType="separate"/>
          </w:r>
          <w:r>
            <w:rPr>
              <w:rFonts w:hint="eastAsia" w:ascii="宋体" w:hAnsi="宋体" w:eastAsia="宋体" w:cs="宋体"/>
              <w:kern w:val="44"/>
              <w:szCs w:val="48"/>
            </w:rPr>
            <w:t xml:space="preserve">第三部分 </w:t>
          </w:r>
          <w:r>
            <w:rPr>
              <w:rFonts w:hint="eastAsia" w:ascii="黑体" w:hAnsi="宋体" w:eastAsia="黑体" w:cs="黑体"/>
              <w:kern w:val="0"/>
              <w:szCs w:val="44"/>
              <w:lang w:val="en-US" w:eastAsia="zh-CN" w:bidi="ar"/>
            </w:rPr>
            <w:t>名</w:t>
          </w:r>
          <w:r>
            <w:rPr>
              <w:rFonts w:hint="eastAsia" w:ascii="黑体" w:hAnsi="宋体" w:eastAsia="黑体" w:cs="黑体"/>
              <w:kern w:val="44"/>
              <w:szCs w:val="48"/>
              <w:lang w:val="en-US" w:eastAsia="zh-CN" w:bidi="ar"/>
            </w:rPr>
            <w:t>词解释</w:t>
          </w:r>
          <w:r>
            <w:tab/>
          </w:r>
          <w:r>
            <w:fldChar w:fldCharType="begin"/>
          </w:r>
          <w:r>
            <w:instrText xml:space="preserve"> PAGEREF _Toc29845 \h </w:instrText>
          </w:r>
          <w:r>
            <w:fldChar w:fldCharType="separate"/>
          </w:r>
          <w:r>
            <w:t>19</w:t>
          </w:r>
          <w:r>
            <w:fldChar w:fldCharType="end"/>
          </w:r>
          <w:r>
            <w:rPr>
              <w:bCs w:val="0"/>
            </w:rPr>
            <w:fldChar w:fldCharType="end"/>
          </w:r>
        </w:p>
        <w:p>
          <w:pPr>
            <w:pStyle w:val="10"/>
            <w:tabs>
              <w:tab w:val="right" w:leader="dot" w:pos="8306"/>
              <w:tab w:val="clear" w:pos="8296"/>
            </w:tabs>
          </w:pPr>
          <w:r>
            <w:rPr>
              <w:bCs w:val="0"/>
            </w:rPr>
            <w:fldChar w:fldCharType="begin"/>
          </w:r>
          <w:r>
            <w:rPr>
              <w:bCs w:val="0"/>
            </w:rPr>
            <w:instrText xml:space="preserve"> HYPERLINK \l _Toc10803 </w:instrText>
          </w:r>
          <w:r>
            <w:rPr>
              <w:bCs w:val="0"/>
            </w:rPr>
            <w:fldChar w:fldCharType="separate"/>
          </w:r>
          <w:r>
            <w:rPr>
              <w:rFonts w:hint="eastAsia" w:ascii="黑体" w:hAnsi="宋体" w:eastAsia="黑体" w:cs="黑体"/>
              <w:kern w:val="0"/>
              <w:szCs w:val="48"/>
              <w:lang w:val="en-US" w:eastAsia="zh-CN" w:bidi="ar"/>
            </w:rPr>
            <w:t>第</w:t>
          </w:r>
          <w:r>
            <w:rPr>
              <w:rFonts w:hint="eastAsia" w:ascii="黑体" w:hAnsi="宋体" w:eastAsia="黑体" w:cs="黑体"/>
              <w:kern w:val="44"/>
              <w:szCs w:val="52"/>
              <w:lang w:val="en-US" w:eastAsia="zh-CN" w:bidi="ar"/>
            </w:rPr>
            <w:t>四部分</w:t>
          </w:r>
          <w:r>
            <w:rPr>
              <w:rFonts w:hint="eastAsia" w:ascii="黑体" w:hAnsi="宋体" w:eastAsia="黑体" w:cs="宋体"/>
              <w:kern w:val="44"/>
              <w:szCs w:val="52"/>
              <w:lang w:val="en-US" w:eastAsia="zh-CN" w:bidi="ar"/>
            </w:rPr>
            <w:t xml:space="preserve"> </w:t>
          </w:r>
          <w:r>
            <w:rPr>
              <w:rFonts w:hint="eastAsia" w:ascii="黑体" w:hAnsi="宋体" w:eastAsia="黑体" w:cs="黑体"/>
              <w:kern w:val="44"/>
              <w:szCs w:val="52"/>
              <w:lang w:val="en-US" w:eastAsia="zh-CN" w:bidi="ar"/>
            </w:rPr>
            <w:t>附件</w:t>
          </w:r>
          <w:r>
            <w:tab/>
          </w:r>
          <w:r>
            <w:fldChar w:fldCharType="begin"/>
          </w:r>
          <w:r>
            <w:instrText xml:space="preserve"> PAGEREF _Toc10803 \h </w:instrText>
          </w:r>
          <w:r>
            <w:fldChar w:fldCharType="separate"/>
          </w:r>
          <w:r>
            <w:t>22</w:t>
          </w:r>
          <w:r>
            <w:fldChar w:fldCharType="end"/>
          </w:r>
          <w:r>
            <w:rPr>
              <w:bCs w:val="0"/>
            </w:rPr>
            <w:fldChar w:fldCharType="end"/>
          </w:r>
        </w:p>
        <w:p>
          <w:pPr>
            <w:pStyle w:val="10"/>
            <w:tabs>
              <w:tab w:val="right" w:leader="dot" w:pos="8306"/>
              <w:tab w:val="clear" w:pos="8296"/>
            </w:tabs>
          </w:pPr>
          <w:r>
            <w:rPr>
              <w:bCs w:val="0"/>
            </w:rPr>
            <w:fldChar w:fldCharType="begin"/>
          </w:r>
          <w:r>
            <w:rPr>
              <w:bCs w:val="0"/>
            </w:rPr>
            <w:instrText xml:space="preserve"> HYPERLINK \l _Toc17179 </w:instrText>
          </w:r>
          <w:r>
            <w:rPr>
              <w:bCs w:val="0"/>
            </w:rPr>
            <w:fldChar w:fldCharType="separate"/>
          </w:r>
          <w:r>
            <w:rPr>
              <w:rFonts w:hint="eastAsia" w:ascii="黑体" w:hAnsi="宋体" w:eastAsia="黑体" w:cs="黑体"/>
              <w:kern w:val="0"/>
              <w:szCs w:val="32"/>
              <w:lang w:val="en-US" w:eastAsia="zh-CN" w:bidi="ar"/>
            </w:rPr>
            <w:t>附件1</w:t>
          </w:r>
          <w:r>
            <w:tab/>
          </w:r>
          <w:r>
            <w:fldChar w:fldCharType="begin"/>
          </w:r>
          <w:r>
            <w:instrText xml:space="preserve"> PAGEREF _Toc17179 \h </w:instrText>
          </w:r>
          <w:r>
            <w:fldChar w:fldCharType="separate"/>
          </w:r>
          <w:r>
            <w:t>22</w:t>
          </w:r>
          <w:r>
            <w:fldChar w:fldCharType="end"/>
          </w:r>
          <w:r>
            <w:rPr>
              <w:bCs w:val="0"/>
            </w:rPr>
            <w:fldChar w:fldCharType="end"/>
          </w:r>
        </w:p>
        <w:p>
          <w:pPr>
            <w:pStyle w:val="10"/>
            <w:tabs>
              <w:tab w:val="right" w:leader="dot" w:pos="8306"/>
              <w:tab w:val="clear" w:pos="8296"/>
            </w:tabs>
          </w:pPr>
          <w:r>
            <w:rPr>
              <w:bCs w:val="0"/>
            </w:rPr>
            <w:fldChar w:fldCharType="begin"/>
          </w:r>
          <w:r>
            <w:rPr>
              <w:bCs w:val="0"/>
            </w:rPr>
            <w:instrText xml:space="preserve"> HYPERLINK \l _Toc19276 </w:instrText>
          </w:r>
          <w:r>
            <w:rPr>
              <w:bCs w:val="0"/>
            </w:rPr>
            <w:fldChar w:fldCharType="separate"/>
          </w:r>
          <w:r>
            <w:rPr>
              <w:rFonts w:hint="eastAsia" w:ascii="黑体" w:hAnsi="宋体" w:eastAsia="黑体" w:cs="黑体"/>
              <w:kern w:val="0"/>
              <w:szCs w:val="44"/>
              <w:lang w:val="en-US" w:eastAsia="zh-CN" w:bidi="ar"/>
            </w:rPr>
            <w:t>第</w:t>
          </w:r>
          <w:r>
            <w:rPr>
              <w:rFonts w:hint="eastAsia" w:ascii="黑体" w:hAnsi="宋体" w:eastAsia="黑体" w:cs="黑体"/>
              <w:kern w:val="44"/>
              <w:szCs w:val="48"/>
              <w:lang w:val="en-US" w:eastAsia="zh-CN" w:bidi="ar"/>
            </w:rPr>
            <w:t>五部分</w:t>
          </w:r>
          <w:r>
            <w:rPr>
              <w:rFonts w:hint="eastAsia" w:ascii="黑体" w:hAnsi="宋体" w:eastAsia="黑体" w:cs="宋体"/>
              <w:kern w:val="44"/>
              <w:szCs w:val="48"/>
              <w:lang w:val="en-US" w:eastAsia="zh-CN" w:bidi="ar"/>
            </w:rPr>
            <w:t xml:space="preserve"> </w:t>
          </w:r>
          <w:r>
            <w:rPr>
              <w:rFonts w:hint="eastAsia" w:ascii="黑体" w:hAnsi="宋体" w:eastAsia="黑体" w:cs="黑体"/>
              <w:kern w:val="44"/>
              <w:szCs w:val="48"/>
              <w:lang w:val="en-US" w:eastAsia="zh-CN" w:bidi="ar"/>
            </w:rPr>
            <w:t>附表</w:t>
          </w:r>
          <w:r>
            <w:tab/>
          </w:r>
          <w:r>
            <w:fldChar w:fldCharType="begin"/>
          </w:r>
          <w:r>
            <w:instrText xml:space="preserve"> PAGEREF _Toc19276 \h </w:instrText>
          </w:r>
          <w:r>
            <w:fldChar w:fldCharType="separate"/>
          </w:r>
          <w:r>
            <w:t>31</w:t>
          </w:r>
          <w:r>
            <w:fldChar w:fldCharType="end"/>
          </w:r>
          <w:r>
            <w:rPr>
              <w:bCs w:val="0"/>
            </w:rPr>
            <w:fldChar w:fldCharType="end"/>
          </w:r>
        </w:p>
        <w:p>
          <w:r>
            <w:rPr>
              <w:bCs w:val="0"/>
            </w:rPr>
            <w:fldChar w:fldCharType="end"/>
          </w:r>
        </w:p>
      </w:sdtContent>
    </w:sdt>
    <w:p>
      <w:pPr>
        <w:keepNext w:val="0"/>
        <w:keepLines w:val="0"/>
        <w:widowControl/>
        <w:suppressLineNumbers w:val="0"/>
        <w:snapToGrid w:val="0"/>
        <w:spacing w:before="0" w:beforeAutospacing="0" w:after="0" w:afterAutospacing="0" w:line="576" w:lineRule="exact"/>
        <w:ind w:left="0" w:right="0" w:firstLine="640" w:firstLineChars="200"/>
        <w:jc w:val="center"/>
        <w:outlineLvl w:val="9"/>
        <w:rPr>
          <w:rFonts w:hint="default" w:ascii="仿宋_GB2312" w:hAnsi="仿宋" w:eastAsia="仿宋_GB2312" w:cs="仿宋_GB2312"/>
          <w:b w:val="0"/>
          <w:kern w:val="0"/>
          <w:sz w:val="32"/>
          <w:szCs w:val="32"/>
          <w:lang w:val="en-US" w:eastAsia="zh-CN" w:bidi="ar"/>
        </w:rPr>
      </w:pPr>
    </w:p>
    <w:p>
      <w:pPr>
        <w:keepNext w:val="0"/>
        <w:keepLines w:val="0"/>
        <w:widowControl/>
        <w:suppressLineNumbers w:val="0"/>
        <w:snapToGrid w:val="0"/>
        <w:spacing w:before="0" w:beforeAutospacing="0" w:after="0" w:afterAutospacing="0" w:line="576" w:lineRule="exact"/>
        <w:ind w:left="0" w:right="0" w:firstLine="723" w:firstLineChars="200"/>
        <w:jc w:val="center"/>
        <w:outlineLvl w:val="0"/>
        <w:rPr>
          <w:rFonts w:hint="default" w:ascii="仿宋_GB2312" w:hAnsi="仿宋" w:eastAsia="仿宋_GB2312" w:cs="仿宋_GB2312"/>
          <w:b/>
          <w:bCs/>
          <w:kern w:val="0"/>
          <w:sz w:val="36"/>
          <w:szCs w:val="36"/>
          <w:lang w:val="en-US" w:eastAsia="zh-CN" w:bidi="ar"/>
        </w:rPr>
      </w:pPr>
      <w:bookmarkStart w:id="0" w:name="_Toc31622"/>
    </w:p>
    <w:p>
      <w:pPr>
        <w:keepNext w:val="0"/>
        <w:keepLines w:val="0"/>
        <w:widowControl/>
        <w:suppressLineNumbers w:val="0"/>
        <w:snapToGrid w:val="0"/>
        <w:spacing w:before="0" w:beforeAutospacing="0" w:after="0" w:afterAutospacing="0" w:line="576" w:lineRule="exact"/>
        <w:ind w:left="0" w:right="0" w:firstLine="723" w:firstLineChars="200"/>
        <w:jc w:val="center"/>
        <w:outlineLvl w:val="0"/>
        <w:rPr>
          <w:rFonts w:hint="default" w:ascii="仿宋_GB2312" w:hAnsi="仿宋" w:eastAsia="仿宋_GB2312" w:cs="仿宋_GB2312"/>
          <w:b/>
          <w:bCs/>
          <w:kern w:val="0"/>
          <w:sz w:val="36"/>
          <w:szCs w:val="36"/>
          <w:lang w:val="en-US" w:eastAsia="zh-CN" w:bidi="ar"/>
        </w:rPr>
      </w:pPr>
    </w:p>
    <w:p>
      <w:pPr>
        <w:keepNext w:val="0"/>
        <w:keepLines w:val="0"/>
        <w:widowControl/>
        <w:suppressLineNumbers w:val="0"/>
        <w:snapToGrid w:val="0"/>
        <w:spacing w:before="0" w:beforeAutospacing="0" w:after="0" w:afterAutospacing="0" w:line="576" w:lineRule="exact"/>
        <w:ind w:left="0" w:right="0" w:firstLine="723" w:firstLineChars="200"/>
        <w:jc w:val="center"/>
        <w:outlineLvl w:val="0"/>
        <w:rPr>
          <w:rFonts w:hint="default" w:ascii="仿宋_GB2312" w:hAnsi="仿宋" w:eastAsia="仿宋_GB2312" w:cs="仿宋_GB2312"/>
          <w:b/>
          <w:bCs/>
          <w:kern w:val="0"/>
          <w:sz w:val="36"/>
          <w:szCs w:val="36"/>
          <w:lang w:val="en-US" w:eastAsia="zh-CN" w:bidi="ar"/>
        </w:rPr>
      </w:pPr>
    </w:p>
    <w:p>
      <w:pPr>
        <w:keepNext w:val="0"/>
        <w:keepLines w:val="0"/>
        <w:widowControl/>
        <w:suppressLineNumbers w:val="0"/>
        <w:snapToGrid w:val="0"/>
        <w:spacing w:before="0" w:beforeAutospacing="0" w:after="0" w:afterAutospacing="0" w:line="576" w:lineRule="exact"/>
        <w:ind w:left="0" w:right="0" w:firstLine="723" w:firstLineChars="200"/>
        <w:jc w:val="center"/>
        <w:outlineLvl w:val="0"/>
        <w:rPr>
          <w:rFonts w:hint="default" w:ascii="仿宋_GB2312" w:hAnsi="仿宋" w:eastAsia="仿宋_GB2312" w:cs="仿宋_GB2312"/>
          <w:b/>
          <w:bCs/>
          <w:kern w:val="0"/>
          <w:sz w:val="36"/>
          <w:szCs w:val="36"/>
          <w:lang w:val="en-US" w:eastAsia="zh-CN" w:bidi="ar"/>
        </w:rPr>
      </w:pPr>
    </w:p>
    <w:p>
      <w:pPr>
        <w:keepNext w:val="0"/>
        <w:keepLines w:val="0"/>
        <w:widowControl/>
        <w:suppressLineNumbers w:val="0"/>
        <w:snapToGrid w:val="0"/>
        <w:spacing w:before="0" w:beforeAutospacing="0" w:after="0" w:afterAutospacing="0" w:line="576" w:lineRule="exact"/>
        <w:ind w:left="0" w:right="0" w:firstLine="723" w:firstLineChars="200"/>
        <w:jc w:val="center"/>
        <w:outlineLvl w:val="0"/>
        <w:rPr>
          <w:rFonts w:hint="default" w:ascii="仿宋_GB2312" w:hAnsi="仿宋" w:eastAsia="仿宋_GB2312" w:cs="仿宋_GB2312"/>
          <w:b/>
          <w:bCs/>
          <w:kern w:val="0"/>
          <w:sz w:val="36"/>
          <w:szCs w:val="36"/>
          <w:lang w:val="en-US" w:eastAsia="zh-CN" w:bidi="ar"/>
        </w:rPr>
      </w:pPr>
    </w:p>
    <w:p>
      <w:pPr>
        <w:keepNext w:val="0"/>
        <w:keepLines w:val="0"/>
        <w:widowControl/>
        <w:suppressLineNumbers w:val="0"/>
        <w:snapToGrid w:val="0"/>
        <w:spacing w:before="0" w:beforeAutospacing="0" w:after="0" w:afterAutospacing="0" w:line="576" w:lineRule="exact"/>
        <w:ind w:left="0" w:right="0" w:firstLine="723" w:firstLineChars="200"/>
        <w:jc w:val="center"/>
        <w:outlineLvl w:val="0"/>
        <w:rPr>
          <w:rFonts w:hint="default" w:ascii="仿宋_GB2312" w:hAnsi="仿宋" w:eastAsia="仿宋_GB2312" w:cs="仿宋_GB2312"/>
          <w:b/>
          <w:bCs/>
          <w:kern w:val="0"/>
          <w:sz w:val="36"/>
          <w:szCs w:val="36"/>
          <w:lang w:val="en-US" w:eastAsia="zh-CN" w:bidi="ar"/>
        </w:rPr>
      </w:pPr>
    </w:p>
    <w:p>
      <w:pPr>
        <w:keepNext w:val="0"/>
        <w:keepLines w:val="0"/>
        <w:widowControl/>
        <w:suppressLineNumbers w:val="0"/>
        <w:snapToGrid w:val="0"/>
        <w:spacing w:before="0" w:beforeAutospacing="0" w:after="0" w:afterAutospacing="0" w:line="576" w:lineRule="exact"/>
        <w:ind w:left="0" w:right="0" w:firstLine="723" w:firstLineChars="200"/>
        <w:jc w:val="center"/>
        <w:outlineLvl w:val="0"/>
        <w:rPr>
          <w:rFonts w:hint="default" w:ascii="仿宋_GB2312" w:hAnsi="仿宋" w:eastAsia="仿宋_GB2312" w:cs="仿宋_GB2312"/>
          <w:b/>
          <w:bCs/>
          <w:kern w:val="0"/>
          <w:sz w:val="36"/>
          <w:szCs w:val="36"/>
          <w:lang w:val="en-US" w:eastAsia="zh-CN" w:bidi="ar"/>
        </w:rPr>
      </w:pPr>
    </w:p>
    <w:p>
      <w:pPr>
        <w:keepNext w:val="0"/>
        <w:keepLines w:val="0"/>
        <w:widowControl/>
        <w:suppressLineNumbers w:val="0"/>
        <w:snapToGrid w:val="0"/>
        <w:spacing w:before="0" w:beforeAutospacing="0" w:after="0" w:afterAutospacing="0" w:line="576" w:lineRule="exact"/>
        <w:ind w:left="0" w:right="0" w:firstLine="723" w:firstLineChars="200"/>
        <w:jc w:val="center"/>
        <w:outlineLvl w:val="0"/>
        <w:rPr>
          <w:rFonts w:hint="default" w:ascii="仿宋_GB2312" w:hAnsi="仿宋" w:eastAsia="仿宋_GB2312" w:cs="仿宋_GB2312"/>
          <w:b/>
          <w:bCs/>
          <w:kern w:val="0"/>
          <w:sz w:val="36"/>
          <w:szCs w:val="36"/>
          <w:lang w:val="en-US" w:eastAsia="zh-CN" w:bidi="ar"/>
        </w:rPr>
      </w:pPr>
    </w:p>
    <w:p>
      <w:pPr>
        <w:keepNext w:val="0"/>
        <w:keepLines w:val="0"/>
        <w:widowControl/>
        <w:suppressLineNumbers w:val="0"/>
        <w:snapToGrid w:val="0"/>
        <w:spacing w:before="0" w:beforeAutospacing="0" w:after="0" w:afterAutospacing="0" w:line="576" w:lineRule="exact"/>
        <w:ind w:left="0" w:right="0" w:firstLine="723" w:firstLineChars="200"/>
        <w:jc w:val="center"/>
        <w:outlineLvl w:val="0"/>
        <w:rPr>
          <w:rFonts w:hint="default" w:ascii="仿宋_GB2312" w:hAnsi="仿宋" w:eastAsia="仿宋_GB2312" w:cs="仿宋_GB2312"/>
          <w:b/>
          <w:bCs/>
          <w:kern w:val="0"/>
          <w:sz w:val="36"/>
          <w:szCs w:val="36"/>
          <w:lang w:val="en-US" w:eastAsia="zh-CN" w:bidi="ar"/>
        </w:rPr>
      </w:pPr>
    </w:p>
    <w:p>
      <w:pPr>
        <w:keepNext w:val="0"/>
        <w:keepLines w:val="0"/>
        <w:widowControl/>
        <w:suppressLineNumbers w:val="0"/>
        <w:snapToGrid w:val="0"/>
        <w:spacing w:before="0" w:beforeAutospacing="0" w:after="0" w:afterAutospacing="0" w:line="576" w:lineRule="exact"/>
        <w:ind w:left="0" w:right="0" w:firstLine="723" w:firstLineChars="200"/>
        <w:jc w:val="center"/>
        <w:outlineLvl w:val="0"/>
        <w:rPr>
          <w:rFonts w:hint="default" w:ascii="仿宋_GB2312" w:hAnsi="仿宋" w:eastAsia="仿宋_GB2312" w:cs="仿宋_GB2312"/>
          <w:b/>
          <w:bCs/>
          <w:kern w:val="0"/>
          <w:sz w:val="36"/>
          <w:szCs w:val="36"/>
          <w:lang w:val="en-US" w:eastAsia="zh-CN" w:bidi="ar"/>
        </w:rPr>
      </w:pPr>
    </w:p>
    <w:p>
      <w:pPr>
        <w:keepNext w:val="0"/>
        <w:keepLines w:val="0"/>
        <w:widowControl/>
        <w:suppressLineNumbers w:val="0"/>
        <w:snapToGrid w:val="0"/>
        <w:spacing w:before="0" w:beforeAutospacing="0" w:after="0" w:afterAutospacing="0" w:line="576" w:lineRule="exact"/>
        <w:ind w:left="0" w:right="0" w:firstLine="723" w:firstLineChars="200"/>
        <w:jc w:val="center"/>
        <w:outlineLvl w:val="0"/>
        <w:rPr>
          <w:rFonts w:hint="default" w:ascii="仿宋_GB2312" w:hAnsi="仿宋" w:eastAsia="仿宋_GB2312" w:cs="仿宋_GB2312"/>
          <w:b/>
          <w:bCs/>
          <w:kern w:val="0"/>
          <w:sz w:val="36"/>
          <w:szCs w:val="36"/>
          <w:lang w:val="en-US" w:eastAsia="zh-CN" w:bidi="ar"/>
        </w:rPr>
      </w:pPr>
    </w:p>
    <w:p>
      <w:pPr>
        <w:keepNext w:val="0"/>
        <w:keepLines w:val="0"/>
        <w:widowControl/>
        <w:suppressLineNumbers w:val="0"/>
        <w:snapToGrid w:val="0"/>
        <w:spacing w:before="0" w:beforeAutospacing="0" w:after="0" w:afterAutospacing="0" w:line="576" w:lineRule="exact"/>
        <w:ind w:left="0" w:right="0" w:firstLine="723" w:firstLineChars="200"/>
        <w:jc w:val="center"/>
        <w:outlineLvl w:val="0"/>
        <w:rPr>
          <w:rFonts w:hint="default" w:ascii="仿宋_GB2312" w:hAnsi="仿宋" w:eastAsia="仿宋_GB2312" w:cs="仿宋_GB2312"/>
          <w:b/>
          <w:bCs/>
          <w:kern w:val="0"/>
          <w:sz w:val="36"/>
          <w:szCs w:val="36"/>
          <w:lang w:val="en-US" w:eastAsia="zh-CN" w:bidi="ar"/>
        </w:rPr>
      </w:pPr>
    </w:p>
    <w:p>
      <w:pPr>
        <w:keepNext w:val="0"/>
        <w:keepLines w:val="0"/>
        <w:widowControl/>
        <w:suppressLineNumbers w:val="0"/>
        <w:snapToGrid w:val="0"/>
        <w:spacing w:before="0" w:beforeAutospacing="0" w:after="0" w:afterAutospacing="0" w:line="576" w:lineRule="exact"/>
        <w:ind w:left="0" w:right="0" w:firstLine="723" w:firstLineChars="200"/>
        <w:jc w:val="center"/>
        <w:outlineLvl w:val="0"/>
        <w:rPr>
          <w:rFonts w:hint="default" w:ascii="仿宋_GB2312" w:hAnsi="仿宋" w:eastAsia="仿宋_GB2312" w:cs="仿宋"/>
          <w:b w:val="0"/>
          <w:kern w:val="0"/>
          <w:sz w:val="32"/>
          <w:szCs w:val="32"/>
        </w:rPr>
      </w:pPr>
      <w:r>
        <w:rPr>
          <w:rFonts w:hint="default" w:ascii="仿宋_GB2312" w:hAnsi="仿宋" w:eastAsia="仿宋_GB2312" w:cs="仿宋_GB2312"/>
          <w:b/>
          <w:bCs/>
          <w:kern w:val="0"/>
          <w:sz w:val="36"/>
          <w:szCs w:val="36"/>
          <w:lang w:val="en-US" w:eastAsia="zh-CN" w:bidi="ar"/>
        </w:rPr>
        <w:t>第一部分</w:t>
      </w:r>
      <w:r>
        <w:rPr>
          <w:rFonts w:hint="default" w:ascii="仿宋_GB2312" w:hAnsi="仿宋" w:eastAsia="仿宋_GB2312" w:cs="仿宋"/>
          <w:b/>
          <w:bCs/>
          <w:kern w:val="0"/>
          <w:sz w:val="36"/>
          <w:szCs w:val="36"/>
          <w:lang w:val="en-US" w:eastAsia="zh-CN" w:bidi="ar"/>
        </w:rPr>
        <w:t xml:space="preserve"> </w:t>
      </w:r>
      <w:r>
        <w:rPr>
          <w:rFonts w:hint="default" w:ascii="仿宋_GB2312" w:hAnsi="仿宋" w:eastAsia="仿宋_GB2312" w:cs="仿宋_GB2312"/>
          <w:b/>
          <w:bCs/>
          <w:kern w:val="0"/>
          <w:sz w:val="36"/>
          <w:szCs w:val="36"/>
          <w:lang w:val="en-US" w:eastAsia="zh-CN" w:bidi="ar"/>
        </w:rPr>
        <w:t>部门概况</w:t>
      </w:r>
      <w:bookmarkEnd w:id="0"/>
    </w:p>
    <w:p>
      <w:pPr>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560" w:lineRule="exact"/>
        <w:ind w:left="0" w:right="0" w:firstLine="643" w:firstLineChars="200"/>
        <w:jc w:val="left"/>
        <w:textAlignment w:val="auto"/>
        <w:outlineLvl w:val="1"/>
        <w:rPr>
          <w:rFonts w:hint="default" w:ascii="仿宋_GB2312" w:hAnsi="仿宋" w:eastAsia="仿宋_GB2312" w:cs="仿宋"/>
          <w:b/>
          <w:bCs/>
          <w:kern w:val="0"/>
          <w:sz w:val="32"/>
          <w:szCs w:val="32"/>
        </w:rPr>
      </w:pPr>
      <w:r>
        <w:rPr>
          <w:rFonts w:hint="default" w:ascii="仿宋_GB2312" w:hAnsi="仿宋" w:eastAsia="仿宋_GB2312" w:cs="仿宋_GB2312"/>
          <w:b/>
          <w:bCs/>
          <w:kern w:val="0"/>
          <w:sz w:val="32"/>
          <w:szCs w:val="32"/>
          <w:lang w:val="en-US" w:eastAsia="zh-CN" w:bidi="ar"/>
        </w:rPr>
        <w:t>一、基本职能及主要工作</w:t>
      </w:r>
    </w:p>
    <w:p>
      <w:pPr>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560" w:lineRule="exact"/>
        <w:ind w:left="0" w:right="0" w:firstLine="640" w:firstLineChars="200"/>
        <w:jc w:val="left"/>
        <w:textAlignment w:val="auto"/>
        <w:outlineLvl w:val="1"/>
        <w:rPr>
          <w:rFonts w:hint="default" w:ascii="仿宋_GB2312" w:hAnsi="仿宋" w:eastAsia="仿宋_GB2312" w:cs="仿宋"/>
          <w:b w:val="0"/>
          <w:kern w:val="0"/>
          <w:sz w:val="32"/>
          <w:szCs w:val="32"/>
        </w:rPr>
      </w:pPr>
      <w:r>
        <w:rPr>
          <w:rFonts w:hint="default" w:ascii="仿宋_GB2312" w:hAnsi="仿宋" w:eastAsia="仿宋_GB2312" w:cs="仿宋_GB2312"/>
          <w:b w:val="0"/>
          <w:kern w:val="0"/>
          <w:sz w:val="32"/>
          <w:szCs w:val="32"/>
          <w:lang w:val="en-US" w:eastAsia="zh-CN" w:bidi="ar"/>
        </w:rPr>
        <w:t>（一）主要职能。（一）履行政治领导责任，做好理论武装和思想政治工作，负责学习、宣传、贯彻执行党的理论和路线方针政策，贯彻落实党中央、省委、州委、县委的决策部署，发挥好把方向、管大局、保落实的重要作用。</w:t>
      </w:r>
    </w:p>
    <w:p>
      <w:pPr>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560" w:lineRule="exact"/>
        <w:ind w:left="0" w:right="0" w:firstLine="640" w:firstLineChars="200"/>
        <w:jc w:val="left"/>
        <w:textAlignment w:val="auto"/>
        <w:outlineLvl w:val="1"/>
        <w:rPr>
          <w:rFonts w:hint="default" w:ascii="仿宋_GB2312" w:hAnsi="仿宋" w:eastAsia="仿宋_GB2312" w:cs="仿宋"/>
          <w:b w:val="0"/>
          <w:kern w:val="0"/>
          <w:sz w:val="32"/>
          <w:szCs w:val="32"/>
        </w:rPr>
      </w:pPr>
      <w:r>
        <w:rPr>
          <w:rFonts w:hint="default" w:ascii="仿宋_GB2312" w:hAnsi="仿宋" w:eastAsia="仿宋_GB2312" w:cs="仿宋_GB2312"/>
          <w:b w:val="0"/>
          <w:kern w:val="0"/>
          <w:sz w:val="32"/>
          <w:szCs w:val="32"/>
          <w:lang w:val="en-US" w:eastAsia="zh-CN" w:bidi="ar"/>
        </w:rPr>
        <w:t>（二）讨论和决定本单位下列重大问题。党的路线方针政策、国家法律法规和上级党组织重要会议、重要文件、重大决策部署的贯彻落实事项。需要向上级党组织请示报告的重要事项。内部机构设置、职责、人员编制等事项。重大决策、重要人事任免、重大项目安排、大额资金使用等事项。基层党组织和党员队伍建设方面的重要事项。意识形态工作、思想政治工作和精神文明建设方面的重要事项。党风廉政建设和反腐败工作方面的重要事项。其他应当由党组讨论和决定的重大问题。</w:t>
      </w:r>
    </w:p>
    <w:p>
      <w:pPr>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560" w:lineRule="exact"/>
        <w:ind w:left="0" w:right="0" w:firstLine="640" w:firstLineChars="200"/>
        <w:jc w:val="left"/>
        <w:textAlignment w:val="auto"/>
        <w:outlineLvl w:val="1"/>
        <w:rPr>
          <w:rFonts w:hint="default" w:ascii="仿宋_GB2312" w:hAnsi="仿宋" w:eastAsia="仿宋_GB2312" w:cs="仿宋"/>
          <w:b w:val="0"/>
          <w:kern w:val="0"/>
          <w:sz w:val="32"/>
          <w:szCs w:val="32"/>
        </w:rPr>
      </w:pPr>
      <w:r>
        <w:rPr>
          <w:rFonts w:hint="default" w:ascii="仿宋_GB2312" w:hAnsi="仿宋" w:eastAsia="仿宋_GB2312" w:cs="仿宋_GB2312"/>
          <w:b w:val="0"/>
          <w:kern w:val="0"/>
          <w:sz w:val="32"/>
          <w:szCs w:val="32"/>
          <w:lang w:val="en-US" w:eastAsia="zh-CN" w:bidi="ar"/>
        </w:rPr>
        <w:t>（三）贯彻党管干部原则，加强干部队伍建设，完善干部培养选拔机制，加强干部教育管理监督。贯彻党管人才原则，加强人才队伍建设。加强对本单位工会、共青团、妇联等群团工作的领导。</w:t>
      </w:r>
    </w:p>
    <w:p>
      <w:pPr>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560" w:lineRule="exact"/>
        <w:ind w:left="0" w:right="0" w:firstLine="640" w:firstLineChars="200"/>
        <w:jc w:val="left"/>
        <w:textAlignment w:val="auto"/>
        <w:rPr>
          <w:rFonts w:hint="default" w:ascii="仿宋_GB2312" w:hAnsi="仿宋" w:eastAsia="仿宋_GB2312" w:cs="仿宋"/>
          <w:b w:val="0"/>
          <w:kern w:val="0"/>
          <w:sz w:val="32"/>
          <w:szCs w:val="32"/>
        </w:rPr>
      </w:pPr>
      <w:r>
        <w:rPr>
          <w:rFonts w:hint="default" w:ascii="仿宋_GB2312" w:hAnsi="仿宋" w:eastAsia="仿宋_GB2312" w:cs="仿宋_GB2312"/>
          <w:b w:val="0"/>
          <w:kern w:val="0"/>
          <w:sz w:val="32"/>
          <w:szCs w:val="32"/>
          <w:lang w:val="en-US" w:eastAsia="zh-CN" w:bidi="ar"/>
        </w:rPr>
        <w:t>（四）履行党要管党、从严治党责任，加强对本单位党的建设的领导，落实党建工作责任制。认真履行党风廉政建设主体责任，支持纪检监察机构履行监督责任。</w:t>
      </w:r>
    </w:p>
    <w:p>
      <w:pPr>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560" w:lineRule="exact"/>
        <w:ind w:left="0" w:right="0" w:firstLine="640" w:firstLineChars="200"/>
        <w:jc w:val="left"/>
        <w:textAlignment w:val="auto"/>
        <w:rPr>
          <w:rFonts w:hint="default" w:ascii="仿宋_GB2312" w:hAnsi="仿宋" w:eastAsia="仿宋_GB2312" w:cs="仿宋"/>
          <w:b w:val="0"/>
          <w:kern w:val="0"/>
          <w:sz w:val="32"/>
          <w:szCs w:val="32"/>
        </w:rPr>
      </w:pPr>
      <w:r>
        <w:rPr>
          <w:rFonts w:hint="default" w:ascii="仿宋_GB2312" w:hAnsi="仿宋" w:eastAsia="仿宋_GB2312" w:cs="仿宋_GB2312"/>
          <w:b w:val="0"/>
          <w:kern w:val="0"/>
          <w:sz w:val="32"/>
          <w:szCs w:val="32"/>
          <w:lang w:val="en-US" w:eastAsia="zh-CN" w:bidi="ar"/>
        </w:rPr>
        <w:t>二、</w:t>
      </w:r>
      <w:r>
        <w:rPr>
          <w:rFonts w:hint="default" w:ascii="仿宋_GB2312" w:hAnsi="仿宋" w:eastAsia="仿宋_GB2312" w:cs="仿宋"/>
          <w:b w:val="0"/>
          <w:kern w:val="0"/>
          <w:sz w:val="32"/>
          <w:szCs w:val="32"/>
          <w:lang w:val="en-US" w:eastAsia="zh-CN" w:bidi="ar"/>
        </w:rPr>
        <w:t>2020年重点工作完成情况。</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leftChars="0" w:right="0" w:rightChars="0" w:firstLine="640" w:firstLineChars="200"/>
        <w:jc w:val="left"/>
        <w:textAlignment w:val="auto"/>
        <w:rPr>
          <w:rFonts w:hint="eastAsia" w:ascii="楷体" w:hAnsi="楷体" w:eastAsia="楷体" w:cs="楷体"/>
          <w:b w:val="0"/>
          <w:kern w:val="0"/>
          <w:sz w:val="32"/>
          <w:szCs w:val="32"/>
        </w:rPr>
      </w:pPr>
      <w:r>
        <w:rPr>
          <w:rFonts w:hint="eastAsia" w:ascii="楷体" w:hAnsi="楷体" w:eastAsia="楷体" w:cs="楷体"/>
          <w:b w:val="0"/>
          <w:kern w:val="0"/>
          <w:sz w:val="32"/>
          <w:szCs w:val="32"/>
          <w:lang w:val="en-US" w:eastAsia="zh-CN" w:bidi="ar"/>
        </w:rPr>
        <w:t>(一)围绕服务发展，着力提高用地保障</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eastAsia" w:ascii="宋体" w:hAnsi="宋体" w:eastAsia="宋体" w:cs="宋体"/>
          <w:b w:val="0"/>
          <w:kern w:val="0"/>
          <w:sz w:val="24"/>
          <w:szCs w:val="24"/>
          <w:shd w:val="clear" w:fill="FFFFFF"/>
        </w:rPr>
      </w:pPr>
      <w:r>
        <w:rPr>
          <w:rFonts w:hint="default" w:ascii="仿宋_GB2312" w:hAnsi="宋体" w:eastAsia="仿宋_GB2312" w:cs="仿宋_GB2312"/>
          <w:b w:val="0"/>
          <w:kern w:val="0"/>
          <w:sz w:val="32"/>
          <w:szCs w:val="32"/>
          <w:shd w:val="clear" w:fill="FFFFFF"/>
          <w:lang w:val="en-US" w:eastAsia="zh-CN" w:bidi="ar"/>
        </w:rPr>
        <w:t>2020年，我局共办理</w:t>
      </w:r>
      <w:r>
        <w:rPr>
          <w:rFonts w:hint="default" w:ascii="仿宋_GB2312" w:hAnsi="宋体" w:eastAsia="仿宋_GB2312" w:cs="宋体"/>
          <w:b w:val="0"/>
          <w:kern w:val="0"/>
          <w:sz w:val="32"/>
          <w:szCs w:val="32"/>
          <w:shd w:val="clear" w:fill="FFFFFF"/>
          <w:lang w:val="en-US" w:eastAsia="zh-CN" w:bidi="ar"/>
        </w:rPr>
        <w:t>24</w:t>
      </w:r>
      <w:r>
        <w:rPr>
          <w:rFonts w:hint="default" w:ascii="仿宋_GB2312" w:hAnsi="宋体" w:eastAsia="仿宋_GB2312" w:cs="仿宋_GB2312"/>
          <w:b w:val="0"/>
          <w:kern w:val="0"/>
          <w:sz w:val="32"/>
          <w:szCs w:val="32"/>
          <w:shd w:val="clear" w:fill="FFFFFF"/>
          <w:lang w:val="en-US" w:eastAsia="zh-CN" w:bidi="ar"/>
        </w:rPr>
        <w:t>宗土地预审</w:t>
      </w:r>
      <w:r>
        <w:rPr>
          <w:rFonts w:hint="default" w:ascii="仿宋_GB2312" w:hAnsi="宋体" w:eastAsia="仿宋_GB2312" w:cs="仿宋_GB2312"/>
          <w:b w:val="0"/>
          <w:i w:val="0"/>
          <w:caps w:val="0"/>
          <w:spacing w:val="0"/>
          <w:kern w:val="0"/>
          <w:sz w:val="32"/>
          <w:szCs w:val="32"/>
          <w:shd w:val="clear" w:fill="FFFFFF"/>
          <w:lang w:val="en-US" w:eastAsia="zh-CN" w:bidi="ar"/>
        </w:rPr>
        <w:t>。完成阿坝红原220kV变电站新建工程建设项目建设用地报征规划审查工作。完成</w:t>
      </w:r>
      <w:r>
        <w:rPr>
          <w:rFonts w:hint="default" w:ascii="仿宋_GB2312" w:hAnsi="宋体" w:eastAsia="仿宋_GB2312" w:cs="仿宋_GB2312"/>
          <w:b w:val="0"/>
          <w:kern w:val="0"/>
          <w:sz w:val="32"/>
          <w:szCs w:val="32"/>
          <w:shd w:val="clear" w:fill="FFFFFF"/>
          <w:lang w:val="en-US" w:eastAsia="zh-CN" w:bidi="ar"/>
        </w:rPr>
        <w:t>2019年第一批城市、第一批乡镇建设用地报批工作，已取得省政府用地批复。</w:t>
      </w:r>
    </w:p>
    <w:p>
      <w:pPr>
        <w:keepNext w:val="0"/>
        <w:keepLines w:val="0"/>
        <w:pageBreakBefore w:val="0"/>
        <w:widowControl w:val="0"/>
        <w:numPr>
          <w:ilvl w:val="0"/>
          <w:numId w:val="1"/>
        </w:numPr>
        <w:suppressLineNumbers w:val="0"/>
        <w:kinsoku/>
        <w:wordWrap/>
        <w:overflowPunct/>
        <w:topLinePunct w:val="0"/>
        <w:autoSpaceDE w:val="0"/>
        <w:autoSpaceDN/>
        <w:bidi w:val="0"/>
        <w:adjustRightInd/>
        <w:snapToGrid w:val="0"/>
        <w:spacing w:before="0" w:beforeAutospacing="0" w:after="0" w:afterAutospacing="0" w:line="560" w:lineRule="exact"/>
        <w:ind w:left="0" w:leftChars="0" w:right="0" w:rightChars="0" w:firstLine="640" w:firstLineChars="200"/>
        <w:jc w:val="both"/>
        <w:textAlignment w:val="auto"/>
        <w:rPr>
          <w:rFonts w:hint="eastAsia" w:ascii="楷体" w:hAnsi="楷体" w:eastAsia="楷体" w:cs="楷体"/>
          <w:b w:val="0"/>
          <w:kern w:val="0"/>
          <w:sz w:val="32"/>
          <w:szCs w:val="32"/>
        </w:rPr>
      </w:pPr>
      <w:r>
        <w:rPr>
          <w:rFonts w:hint="eastAsia" w:ascii="楷体" w:hAnsi="楷体" w:eastAsia="楷体" w:cs="楷体"/>
          <w:b w:val="0"/>
          <w:kern w:val="0"/>
          <w:sz w:val="32"/>
          <w:szCs w:val="32"/>
          <w:lang w:val="en-US" w:eastAsia="zh-CN" w:bidi="ar"/>
        </w:rPr>
        <w:t>强力推进国土空间规划工作</w:t>
      </w:r>
    </w:p>
    <w:p>
      <w:pPr>
        <w:pStyle w:val="2"/>
        <w:keepNext w:val="0"/>
        <w:keepLines w:val="0"/>
        <w:pageBreakBefore w:val="0"/>
        <w:widowControl w:val="0"/>
        <w:suppressLineNumbers w:val="0"/>
        <w:kinsoku/>
        <w:wordWrap/>
        <w:overflowPunct/>
        <w:topLinePunct w:val="0"/>
        <w:autoSpaceDE w:val="0"/>
        <w:autoSpaceDN/>
        <w:bidi w:val="0"/>
        <w:adjustRightInd/>
        <w:snapToGrid w:val="0"/>
        <w:spacing w:afterAutospacing="0" w:line="560" w:lineRule="exact"/>
        <w:ind w:firstLine="640" w:firstLineChars="200"/>
        <w:textAlignment w:val="auto"/>
        <w:rPr>
          <w:rFonts w:hint="default" w:ascii="仿宋_GB2312" w:hAnsi="宋体" w:eastAsia="仿宋_GB2312" w:cs="宋体"/>
          <w:b w:val="0"/>
          <w:color w:val="000000"/>
          <w:kern w:val="0"/>
          <w:sz w:val="32"/>
          <w:szCs w:val="32"/>
        </w:rPr>
      </w:pPr>
      <w:r>
        <w:rPr>
          <w:rFonts w:hint="eastAsia" w:ascii="楷体" w:hAnsi="楷体" w:eastAsia="楷体" w:cs="楷体"/>
          <w:b w:val="0"/>
          <w:color w:val="000000"/>
          <w:kern w:val="0"/>
          <w:sz w:val="32"/>
          <w:szCs w:val="32"/>
        </w:rPr>
        <w:t>1.</w:t>
      </w:r>
      <w:r>
        <w:rPr>
          <w:rFonts w:hint="default" w:ascii="仿宋_GB2312" w:hAnsi="宋体" w:eastAsia="仿宋_GB2312" w:cs="仿宋_GB2312"/>
          <w:b w:val="0"/>
          <w:color w:val="000000"/>
          <w:kern w:val="0"/>
          <w:sz w:val="32"/>
          <w:szCs w:val="32"/>
        </w:rPr>
        <w:t>国土空间规划编制情况。一是开展基础资料收集。二是开展双评价和双评估工作。三是扎实开展各项专题研究工作。</w:t>
      </w:r>
    </w:p>
    <w:p>
      <w:pPr>
        <w:pStyle w:val="2"/>
        <w:keepNext w:val="0"/>
        <w:keepLines w:val="0"/>
        <w:pageBreakBefore w:val="0"/>
        <w:widowControl w:val="0"/>
        <w:suppressLineNumbers w:val="0"/>
        <w:kinsoku/>
        <w:wordWrap/>
        <w:overflowPunct/>
        <w:topLinePunct w:val="0"/>
        <w:autoSpaceDE w:val="0"/>
        <w:autoSpaceDN/>
        <w:bidi w:val="0"/>
        <w:adjustRightInd/>
        <w:snapToGrid w:val="0"/>
        <w:spacing w:afterAutospacing="0" w:line="560" w:lineRule="exact"/>
        <w:ind w:firstLine="640" w:firstLineChars="200"/>
        <w:textAlignment w:val="auto"/>
        <w:rPr>
          <w:rFonts w:hint="default" w:ascii="仿宋_GB2312" w:hAnsi="宋体" w:eastAsia="仿宋_GB2312" w:cs="宋体"/>
          <w:b w:val="0"/>
          <w:color w:val="000000"/>
          <w:kern w:val="0"/>
          <w:sz w:val="32"/>
          <w:szCs w:val="32"/>
        </w:rPr>
      </w:pPr>
      <w:r>
        <w:rPr>
          <w:rFonts w:hint="default" w:ascii="仿宋_GB2312" w:hAnsi="宋体" w:eastAsia="仿宋_GB2312" w:cs="宋体"/>
          <w:b w:val="0"/>
          <w:color w:val="000000"/>
          <w:kern w:val="0"/>
          <w:sz w:val="32"/>
          <w:szCs w:val="32"/>
        </w:rPr>
        <w:t>2.</w:t>
      </w:r>
      <w:r>
        <w:rPr>
          <w:rFonts w:hint="default" w:ascii="仿宋_GB2312" w:hAnsi="宋体" w:eastAsia="仿宋_GB2312" w:cs="仿宋_GB2312"/>
          <w:b w:val="0"/>
          <w:color w:val="000000"/>
          <w:kern w:val="0"/>
          <w:sz w:val="32"/>
          <w:szCs w:val="32"/>
        </w:rPr>
        <w:t>规划审批执行情况。坚持规划先行制度，完善规划审批制度。</w:t>
      </w:r>
      <w:r>
        <w:rPr>
          <w:rFonts w:hint="default" w:ascii="仿宋_GB2312" w:hAnsi="宋体" w:eastAsia="仿宋_GB2312" w:cs="宋体"/>
          <w:b w:val="0"/>
          <w:color w:val="000000"/>
          <w:kern w:val="0"/>
          <w:sz w:val="32"/>
          <w:szCs w:val="32"/>
        </w:rPr>
        <w:t>2020年审批项目20项，办理选址意见书16份，办理用地规划许可证20份，工程规划许可证19份，下达规划条件函15份，2020</w:t>
      </w:r>
      <w:r>
        <w:rPr>
          <w:rFonts w:hint="default" w:ascii="仿宋_GB2312" w:hAnsi="宋体" w:eastAsia="仿宋_GB2312" w:cs="仿宋_GB2312"/>
          <w:b w:val="0"/>
          <w:color w:val="000000"/>
          <w:kern w:val="0"/>
          <w:sz w:val="32"/>
          <w:szCs w:val="32"/>
        </w:rPr>
        <w:t>年组织召开规委会</w:t>
      </w:r>
      <w:r>
        <w:rPr>
          <w:rFonts w:hint="default" w:ascii="仿宋_GB2312" w:hAnsi="宋体" w:eastAsia="仿宋_GB2312" w:cs="宋体"/>
          <w:b w:val="0"/>
          <w:color w:val="000000"/>
          <w:kern w:val="0"/>
          <w:sz w:val="32"/>
          <w:szCs w:val="32"/>
        </w:rPr>
        <w:t>2</w:t>
      </w:r>
      <w:r>
        <w:rPr>
          <w:rFonts w:hint="default" w:ascii="仿宋_GB2312" w:hAnsi="宋体" w:eastAsia="仿宋_GB2312" w:cs="仿宋_GB2312"/>
          <w:b w:val="0"/>
          <w:color w:val="000000"/>
          <w:kern w:val="0"/>
          <w:sz w:val="32"/>
          <w:szCs w:val="32"/>
        </w:rPr>
        <w:t>次，审批各项规划建设工程项目</w:t>
      </w:r>
      <w:r>
        <w:rPr>
          <w:rFonts w:hint="default" w:ascii="仿宋_GB2312" w:hAnsi="宋体" w:eastAsia="仿宋_GB2312" w:cs="宋体"/>
          <w:b w:val="0"/>
          <w:color w:val="000000"/>
          <w:kern w:val="0"/>
          <w:sz w:val="32"/>
          <w:szCs w:val="32"/>
        </w:rPr>
        <w:t>11</w:t>
      </w:r>
      <w:r>
        <w:rPr>
          <w:rFonts w:hint="default" w:ascii="仿宋_GB2312" w:hAnsi="宋体" w:eastAsia="仿宋_GB2312" w:cs="仿宋_GB2312"/>
          <w:b w:val="0"/>
          <w:color w:val="000000"/>
          <w:kern w:val="0"/>
          <w:sz w:val="32"/>
          <w:szCs w:val="32"/>
        </w:rPr>
        <w:t>项。</w:t>
      </w:r>
    </w:p>
    <w:p>
      <w:pPr>
        <w:keepNext w:val="0"/>
        <w:keepLines w:val="0"/>
        <w:pageBreakBefore w:val="0"/>
        <w:widowControl w:val="0"/>
        <w:numPr>
          <w:ilvl w:val="0"/>
          <w:numId w:val="1"/>
        </w:numPr>
        <w:suppressLineNumbers w:val="0"/>
        <w:kinsoku/>
        <w:wordWrap/>
        <w:overflowPunct/>
        <w:topLinePunct w:val="0"/>
        <w:autoSpaceDE w:val="0"/>
        <w:autoSpaceDN/>
        <w:bidi w:val="0"/>
        <w:adjustRightInd/>
        <w:snapToGrid w:val="0"/>
        <w:spacing w:before="0" w:beforeAutospacing="0" w:after="0" w:afterAutospacing="0" w:line="560" w:lineRule="exact"/>
        <w:ind w:left="0" w:leftChars="0" w:right="0" w:rightChars="0" w:firstLine="640" w:firstLineChars="200"/>
        <w:jc w:val="both"/>
        <w:textAlignment w:val="auto"/>
        <w:rPr>
          <w:rFonts w:hint="eastAsia" w:ascii="楷体" w:hAnsi="楷体" w:eastAsia="楷体" w:cs="楷体"/>
          <w:b w:val="0"/>
          <w:kern w:val="0"/>
          <w:sz w:val="32"/>
          <w:szCs w:val="32"/>
        </w:rPr>
      </w:pPr>
      <w:r>
        <w:rPr>
          <w:rFonts w:hint="eastAsia" w:ascii="楷体" w:hAnsi="楷体" w:eastAsia="楷体" w:cs="楷体"/>
          <w:b w:val="0"/>
          <w:kern w:val="0"/>
          <w:sz w:val="32"/>
          <w:szCs w:val="32"/>
          <w:lang w:val="en-US" w:eastAsia="zh-CN" w:bidi="ar"/>
        </w:rPr>
        <w:t>助推脱贫攻坚，高质量开展城乡建设用地增减挂钩复垦项目</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b w:val="0"/>
          <w:kern w:val="0"/>
          <w:sz w:val="32"/>
          <w:szCs w:val="32"/>
        </w:rPr>
      </w:pPr>
      <w:r>
        <w:rPr>
          <w:rFonts w:hint="default" w:ascii="仿宋_GB2312" w:hAnsi="宋体" w:eastAsia="仿宋_GB2312" w:cs="仿宋_GB2312"/>
          <w:b w:val="0"/>
          <w:kern w:val="0"/>
          <w:sz w:val="32"/>
          <w:szCs w:val="32"/>
          <w:lang w:val="en-US" w:eastAsia="zh-CN" w:bidi="ar"/>
        </w:rPr>
        <w:t>完成刷经寺镇北街村、安曲镇下哈拉玛村、查尔玛乡达尔龙村城乡建设用地增减挂钩试点项目。</w:t>
      </w:r>
    </w:p>
    <w:p>
      <w:pPr>
        <w:keepNext w:val="0"/>
        <w:keepLines w:val="0"/>
        <w:pageBreakBefore w:val="0"/>
        <w:widowControl w:val="0"/>
        <w:numPr>
          <w:ilvl w:val="0"/>
          <w:numId w:val="1"/>
        </w:numPr>
        <w:suppressLineNumbers w:val="0"/>
        <w:kinsoku/>
        <w:wordWrap/>
        <w:overflowPunct/>
        <w:topLinePunct w:val="0"/>
        <w:autoSpaceDE w:val="0"/>
        <w:autoSpaceDN/>
        <w:bidi w:val="0"/>
        <w:adjustRightInd/>
        <w:snapToGrid w:val="0"/>
        <w:spacing w:before="0" w:beforeAutospacing="0" w:after="0" w:afterAutospacing="0" w:line="560" w:lineRule="exact"/>
        <w:ind w:left="0" w:leftChars="0" w:right="0" w:firstLine="640" w:firstLineChars="200"/>
        <w:jc w:val="left"/>
        <w:textAlignment w:val="auto"/>
        <w:rPr>
          <w:rFonts w:hint="eastAsia" w:ascii="楷体" w:hAnsi="楷体" w:eastAsia="楷体" w:cs="楷体"/>
          <w:b w:val="0"/>
          <w:kern w:val="0"/>
          <w:sz w:val="32"/>
          <w:szCs w:val="32"/>
        </w:rPr>
      </w:pPr>
      <w:r>
        <w:rPr>
          <w:rFonts w:hint="eastAsia" w:ascii="楷体" w:hAnsi="楷体" w:eastAsia="楷体" w:cs="楷体"/>
          <w:b w:val="0"/>
          <w:kern w:val="0"/>
          <w:sz w:val="32"/>
          <w:szCs w:val="32"/>
          <w:lang w:val="en-US" w:eastAsia="zh-CN" w:bidi="ar"/>
        </w:rPr>
        <w:t>积极开展农村房地一体工作</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480" w:firstLineChars="200"/>
        <w:jc w:val="left"/>
        <w:textAlignment w:val="auto"/>
        <w:rPr>
          <w:rFonts w:hint="default" w:ascii="仿宋_GB2312" w:eastAsia="仿宋_GB2312" w:cs="仿宋_GB2312"/>
          <w:b w:val="0"/>
          <w:kern w:val="0"/>
          <w:sz w:val="32"/>
          <w:szCs w:val="32"/>
        </w:rPr>
      </w:pPr>
      <w:r>
        <w:rPr>
          <w:rFonts w:hint="eastAsia" w:ascii="宋体" w:hAnsi="宋体" w:eastAsia="宋体" w:cs="宋体"/>
          <w:b w:val="0"/>
          <w:kern w:val="0"/>
          <w:sz w:val="24"/>
          <w:szCs w:val="24"/>
          <w:lang w:val="en-US" w:eastAsia="zh-CN" w:bidi="ar"/>
        </w:rPr>
        <w:t xml:space="preserve">  </w:t>
      </w:r>
      <w:r>
        <w:rPr>
          <w:rFonts w:hint="default" w:ascii="仿宋_GB2312" w:hAnsi="宋体" w:eastAsia="仿宋_GB2312" w:cs="仿宋_GB2312"/>
          <w:b w:val="0"/>
          <w:kern w:val="0"/>
          <w:sz w:val="32"/>
          <w:szCs w:val="32"/>
          <w:lang w:val="en-US" w:eastAsia="zh-CN" w:bidi="ar"/>
        </w:rPr>
        <w:t>已完成全部外业测绘工作，测量户数约7700宗，完成率100%，完成权属调查约5300宗，完成率约70%。</w:t>
      </w:r>
    </w:p>
    <w:p>
      <w:pPr>
        <w:keepNext w:val="0"/>
        <w:keepLines w:val="0"/>
        <w:pageBreakBefore w:val="0"/>
        <w:widowControl w:val="0"/>
        <w:numPr>
          <w:ilvl w:val="0"/>
          <w:numId w:val="1"/>
        </w:numPr>
        <w:suppressLineNumbers w:val="0"/>
        <w:kinsoku/>
        <w:wordWrap/>
        <w:overflowPunct/>
        <w:topLinePunct w:val="0"/>
        <w:autoSpaceDE w:val="0"/>
        <w:autoSpaceDN/>
        <w:bidi w:val="0"/>
        <w:adjustRightInd/>
        <w:snapToGrid w:val="0"/>
        <w:spacing w:before="0" w:beforeAutospacing="0" w:after="0" w:afterAutospacing="0" w:line="560" w:lineRule="exact"/>
        <w:ind w:left="0" w:leftChars="0" w:right="0" w:firstLine="640" w:firstLineChars="200"/>
        <w:jc w:val="left"/>
        <w:textAlignment w:val="auto"/>
        <w:rPr>
          <w:rFonts w:hint="default" w:ascii="楷体_GB2312" w:eastAsia="楷体_GB2312" w:cs="楷体_GB2312"/>
          <w:b w:val="0"/>
          <w:kern w:val="0"/>
          <w:sz w:val="32"/>
          <w:szCs w:val="32"/>
        </w:rPr>
      </w:pPr>
      <w:r>
        <w:rPr>
          <w:rFonts w:hint="default" w:ascii="楷体_GB2312" w:hAnsi="宋体" w:eastAsia="楷体_GB2312" w:cs="楷体_GB2312"/>
          <w:b w:val="0"/>
          <w:kern w:val="0"/>
          <w:sz w:val="32"/>
          <w:szCs w:val="32"/>
          <w:lang w:val="en-US" w:eastAsia="zh-CN" w:bidi="ar"/>
        </w:rPr>
        <w:t>立足法律法规，开展土地执法监察、宣传、信访工作</w:t>
      </w:r>
    </w:p>
    <w:p>
      <w:pPr>
        <w:pStyle w:val="2"/>
        <w:keepNext w:val="0"/>
        <w:keepLines w:val="0"/>
        <w:pageBreakBefore w:val="0"/>
        <w:widowControl w:val="0"/>
        <w:suppressLineNumbers w:val="0"/>
        <w:kinsoku/>
        <w:wordWrap/>
        <w:overflowPunct/>
        <w:topLinePunct w:val="0"/>
        <w:autoSpaceDE w:val="0"/>
        <w:autoSpaceDN/>
        <w:bidi w:val="0"/>
        <w:adjustRightInd/>
        <w:snapToGrid w:val="0"/>
        <w:spacing w:afterAutospacing="0" w:line="560" w:lineRule="exact"/>
        <w:ind w:left="0" w:firstLine="640" w:firstLineChars="200"/>
        <w:jc w:val="both"/>
        <w:textAlignment w:val="auto"/>
        <w:rPr>
          <w:rFonts w:hint="default" w:ascii="仿宋_GB2312" w:eastAsia="仿宋_GB2312" w:cs="仿宋_GB2312"/>
          <w:b w:val="0"/>
          <w:color w:val="000000"/>
          <w:kern w:val="0"/>
          <w:sz w:val="32"/>
          <w:szCs w:val="32"/>
        </w:rPr>
      </w:pPr>
      <w:r>
        <w:rPr>
          <w:rFonts w:hint="default" w:ascii="仿宋_GB2312" w:eastAsia="仿宋_GB2312" w:cs="仿宋_GB2312"/>
          <w:b w:val="0"/>
          <w:color w:val="000000"/>
          <w:kern w:val="2"/>
          <w:sz w:val="32"/>
          <w:szCs w:val="32"/>
        </w:rPr>
        <w:t>1.积极推进全县治乱工作，严厉打击自然资源违法违规行为。</w:t>
      </w:r>
      <w:r>
        <w:rPr>
          <w:rFonts w:hint="default" w:ascii="仿宋_GB2312" w:eastAsia="仿宋_GB2312" w:cs="仿宋_GB2312"/>
          <w:b w:val="0"/>
          <w:color w:val="000000"/>
          <w:kern w:val="0"/>
          <w:sz w:val="32"/>
          <w:szCs w:val="32"/>
        </w:rPr>
        <w:t>一是共开展乱搭乱建动态巡查150余次，制止乱搭乱建、违反城乡规划等行为17起，下发责令拆除违法建筑通知书8份，立案查处违法用地1起，罚款4740.6万元，立案查处乱搭乱建彩钢棚案件1起，已完成拆除工作。配合省州自然资源主管部门查处违法用地1起。二是</w:t>
      </w:r>
      <w:r>
        <w:rPr>
          <w:rFonts w:hint="eastAsia" w:ascii="仿宋" w:hAnsi="仿宋" w:eastAsia="仿宋" w:cs="仿宋"/>
          <w:b w:val="0"/>
          <w:color w:val="000000"/>
          <w:kern w:val="0"/>
          <w:sz w:val="32"/>
          <w:szCs w:val="32"/>
        </w:rPr>
        <w:t>共制止违法采挖土石料</w:t>
      </w:r>
      <w:r>
        <w:rPr>
          <w:rFonts w:hint="eastAsia" w:ascii="仿宋" w:hAnsi="仿宋" w:eastAsia="仿宋" w:cs="宋体"/>
          <w:b w:val="0"/>
          <w:color w:val="000000"/>
          <w:kern w:val="0"/>
          <w:sz w:val="32"/>
          <w:szCs w:val="32"/>
        </w:rPr>
        <w:t>3起，执法检查土石料采挖点32处，查处非法盗采泥炭资源</w:t>
      </w:r>
      <w:r>
        <w:rPr>
          <w:rFonts w:hint="eastAsia" w:ascii="仿宋" w:hAnsi="仿宋" w:eastAsia="仿宋" w:cs="仿宋"/>
          <w:b w:val="0"/>
          <w:color w:val="000000"/>
          <w:kern w:val="0"/>
          <w:sz w:val="32"/>
          <w:szCs w:val="32"/>
        </w:rPr>
        <w:t>案</w:t>
      </w:r>
      <w:r>
        <w:rPr>
          <w:rFonts w:hint="eastAsia" w:ascii="仿宋" w:hAnsi="仿宋" w:eastAsia="仿宋" w:cs="宋体"/>
          <w:b w:val="0"/>
          <w:color w:val="000000"/>
          <w:kern w:val="0"/>
          <w:sz w:val="32"/>
          <w:szCs w:val="32"/>
        </w:rPr>
        <w:t>1</w:t>
      </w:r>
      <w:r>
        <w:rPr>
          <w:rFonts w:hint="eastAsia" w:ascii="仿宋" w:hAnsi="仿宋" w:eastAsia="仿宋" w:cs="仿宋"/>
          <w:b w:val="0"/>
          <w:color w:val="000000"/>
          <w:kern w:val="0"/>
          <w:sz w:val="32"/>
          <w:szCs w:val="32"/>
        </w:rPr>
        <w:t>起，责令当事人立即停止违法采挖行为，罚款</w:t>
      </w:r>
      <w:r>
        <w:rPr>
          <w:rFonts w:hint="eastAsia" w:ascii="仿宋" w:hAnsi="仿宋" w:eastAsia="仿宋" w:cs="宋体"/>
          <w:b w:val="0"/>
          <w:color w:val="000000"/>
          <w:kern w:val="0"/>
          <w:sz w:val="32"/>
          <w:szCs w:val="32"/>
        </w:rPr>
        <w:t>1万万元，并</w:t>
      </w:r>
      <w:r>
        <w:rPr>
          <w:rFonts w:hint="eastAsia" w:ascii="仿宋" w:hAnsi="仿宋" w:eastAsia="仿宋" w:cs="仿宋"/>
          <w:b w:val="0"/>
          <w:color w:val="000000"/>
          <w:kern w:val="0"/>
          <w:sz w:val="32"/>
          <w:szCs w:val="32"/>
        </w:rPr>
        <w:t>恢复泥炭采挖点草原生态植被。三是</w:t>
      </w:r>
      <w:r>
        <w:rPr>
          <w:rFonts w:hint="default" w:ascii="仿宋_GB2312" w:eastAsia="仿宋_GB2312" w:cs="仿宋_GB2312"/>
          <w:b w:val="0"/>
          <w:color w:val="000000"/>
          <w:kern w:val="0"/>
          <w:sz w:val="32"/>
          <w:szCs w:val="32"/>
        </w:rPr>
        <w:t>积极做好土地矿产卫片执法监督检查，开展2020年第一、二季度土地矿产卫片执法监督检查。完成核查季度遥感监测变化图斑2个、6.8亩。受理各类来信、来访案件2起，处结2起，处结率100%。</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left"/>
        <w:textAlignment w:val="auto"/>
        <w:rPr>
          <w:rFonts w:hint="default" w:ascii="宋体" w:hAnsi="宋体" w:eastAsia="仿宋_GB2312" w:cs="宋体"/>
          <w:b w:val="0"/>
          <w:kern w:val="0"/>
          <w:sz w:val="24"/>
          <w:szCs w:val="24"/>
        </w:rPr>
      </w:pPr>
      <w:r>
        <w:rPr>
          <w:rFonts w:hint="default" w:ascii="仿宋_GB2312" w:hAnsi="宋体" w:eastAsia="仿宋_GB2312" w:cs="仿宋_GB2312"/>
          <w:b w:val="0"/>
          <w:kern w:val="0"/>
          <w:sz w:val="32"/>
          <w:szCs w:val="32"/>
          <w:lang w:val="en-US" w:eastAsia="zh-CN" w:bidi="ar"/>
        </w:rPr>
        <w:t>2.周密部署，深入推进各类专项行动</w:t>
      </w:r>
      <w:r>
        <w:rPr>
          <w:rFonts w:hint="eastAsia" w:ascii="楷体" w:hAnsi="楷体" w:eastAsia="楷体" w:cs="楷体"/>
          <w:b w:val="0"/>
          <w:kern w:val="0"/>
          <w:sz w:val="32"/>
          <w:szCs w:val="32"/>
          <w:lang w:val="en-US" w:eastAsia="zh-CN" w:bidi="ar"/>
        </w:rPr>
        <w:t xml:space="preserve"> 。</w:t>
      </w:r>
      <w:r>
        <w:rPr>
          <w:rFonts w:hint="default" w:ascii="仿宋_GB2312" w:hAnsi="宋体" w:eastAsia="仿宋_GB2312" w:cs="仿宋_GB2312"/>
          <w:b w:val="0"/>
          <w:kern w:val="0"/>
          <w:sz w:val="32"/>
          <w:szCs w:val="32"/>
          <w:lang w:val="en-US" w:eastAsia="zh-CN" w:bidi="ar"/>
        </w:rPr>
        <w:t>一是深入开展扫黑除恶专项斗争。共排查扫黑除恶线索2件，已督促整改到位并销号。二是坚决完成“大棚房”问题整治。三是全面开展违建别墅问题清查整治。四是认真开展农村乱占耕地建房问题清查整治。在省下发“基础底图”上剔除合法、补充违法后，已完成“基础底图”制作，提取图斑58个，已完成外业核查工作。</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leftChars="0" w:right="0" w:rightChars="0" w:firstLine="640" w:firstLineChars="200"/>
        <w:jc w:val="both"/>
        <w:textAlignment w:val="auto"/>
        <w:rPr>
          <w:rFonts w:hint="eastAsia" w:ascii="楷体" w:hAnsi="楷体" w:eastAsia="楷体" w:cs="楷体"/>
          <w:b w:val="0"/>
          <w:kern w:val="0"/>
          <w:sz w:val="32"/>
          <w:szCs w:val="32"/>
        </w:rPr>
      </w:pPr>
      <w:r>
        <w:rPr>
          <w:rFonts w:hint="eastAsia" w:ascii="楷体" w:hAnsi="楷体" w:eastAsia="楷体" w:cs="楷体"/>
          <w:b w:val="0"/>
          <w:kern w:val="0"/>
          <w:sz w:val="32"/>
          <w:szCs w:val="32"/>
          <w:lang w:val="en-US" w:eastAsia="zh-CN" w:bidi="ar"/>
        </w:rPr>
        <w:t>（六）以民为本，加强地质灾害防治</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b w:val="0"/>
          <w:kern w:val="0"/>
          <w:sz w:val="32"/>
          <w:szCs w:val="32"/>
        </w:rPr>
      </w:pPr>
      <w:r>
        <w:rPr>
          <w:rFonts w:hint="default" w:ascii="仿宋_GB2312" w:hAnsi="宋体" w:eastAsia="仿宋_GB2312" w:cs="仿宋_GB2312"/>
          <w:b w:val="0"/>
          <w:kern w:val="0"/>
          <w:sz w:val="32"/>
          <w:szCs w:val="32"/>
          <w:lang w:val="en-US" w:eastAsia="zh-CN" w:bidi="ar"/>
        </w:rPr>
        <w:t>1.狠抓责任落实，强化工作制度。一是编制印发了</w:t>
      </w:r>
      <w:r>
        <w:rPr>
          <w:rFonts w:hint="default" w:ascii="仿宋_GB2312" w:hAnsi="宋体" w:eastAsia="仿宋_GB2312" w:cs="仿宋_GB2312"/>
          <w:b w:val="0"/>
          <w:i w:val="0"/>
          <w:caps w:val="0"/>
          <w:color w:val="000000"/>
          <w:spacing w:val="0"/>
          <w:kern w:val="0"/>
          <w:sz w:val="32"/>
          <w:szCs w:val="32"/>
          <w:shd w:val="clear" w:fill="F7FDFF"/>
          <w:lang w:val="en-US" w:eastAsia="zh-CN" w:bidi="ar"/>
        </w:rPr>
        <w:t>《</w:t>
      </w:r>
      <w:r>
        <w:rPr>
          <w:rFonts w:hint="default" w:ascii="仿宋_GB2312" w:hAnsi="宋体" w:eastAsia="仿宋_GB2312" w:cs="仿宋_GB2312"/>
          <w:b w:val="0"/>
          <w:kern w:val="0"/>
          <w:sz w:val="32"/>
          <w:szCs w:val="32"/>
          <w:lang w:val="en-US" w:eastAsia="zh-CN" w:bidi="ar"/>
        </w:rPr>
        <w:t>红原县地质灾害防御预案》(2020)和《红原县突发性地质灾害应急预案》(2020)；二是地质灾害防治工作实行县、乡（镇）、村、组四级负责制。</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leftChars="0" w:right="0" w:rightChars="0" w:firstLine="640" w:firstLineChars="200"/>
        <w:jc w:val="both"/>
        <w:textAlignment w:val="auto"/>
        <w:rPr>
          <w:rFonts w:hint="default" w:ascii="仿宋_GB2312" w:eastAsia="仿宋_GB2312" w:cs="仿宋_GB2312"/>
          <w:b w:val="0"/>
          <w:i w:val="0"/>
          <w:caps w:val="0"/>
          <w:spacing w:val="0"/>
          <w:kern w:val="0"/>
          <w:sz w:val="32"/>
          <w:szCs w:val="32"/>
          <w:shd w:val="clear" w:fill="FFFFFF"/>
        </w:rPr>
      </w:pPr>
      <w:r>
        <w:rPr>
          <w:rFonts w:hint="default" w:ascii="仿宋_GB2312" w:hAnsi="宋体" w:eastAsia="仿宋_GB2312" w:cs="仿宋_GB2312"/>
          <w:b w:val="0"/>
          <w:kern w:val="0"/>
          <w:sz w:val="32"/>
          <w:szCs w:val="32"/>
          <w:lang w:val="en-US" w:eastAsia="zh-CN" w:bidi="ar"/>
        </w:rPr>
        <w:t>2.强化制度，落实责任，加强群防群策体系建设。一是发放地质灾害防灾明白卡和避险明白卡，及时落实汛期值班制度和灾情速报制度，明确了汛期带班领导和值班人员及36个地质灾害隐患点的监测人员；二是</w:t>
      </w:r>
      <w:r>
        <w:rPr>
          <w:rFonts w:hint="default" w:ascii="仿宋_GB2312" w:hAnsi="宋体" w:eastAsia="仿宋_GB2312" w:cs="仿宋_GB2312"/>
          <w:b w:val="0"/>
          <w:i w:val="0"/>
          <w:caps w:val="0"/>
          <w:spacing w:val="0"/>
          <w:kern w:val="0"/>
          <w:sz w:val="32"/>
          <w:szCs w:val="32"/>
          <w:shd w:val="clear" w:fill="FFFFFF"/>
          <w:lang w:val="en-US" w:eastAsia="zh-CN" w:bidi="ar"/>
        </w:rPr>
        <w:t>严格执行</w:t>
      </w:r>
      <w:r>
        <w:rPr>
          <w:rFonts w:hint="default" w:ascii="仿宋_GB2312" w:hAnsi="宋体" w:eastAsia="仿宋_GB2312" w:cs="仿宋_GB2312"/>
          <w:b w:val="0"/>
          <w:kern w:val="0"/>
          <w:sz w:val="32"/>
          <w:szCs w:val="32"/>
          <w:lang w:val="en-US" w:eastAsia="zh-CN" w:bidi="ar"/>
        </w:rPr>
        <w:t>地质灾害</w:t>
      </w:r>
      <w:r>
        <w:rPr>
          <w:rFonts w:hint="default" w:ascii="仿宋_GB2312" w:hAnsi="宋体" w:eastAsia="仿宋_GB2312" w:cs="宋体"/>
          <w:b w:val="0"/>
          <w:kern w:val="0"/>
          <w:sz w:val="32"/>
          <w:szCs w:val="32"/>
          <w:lang w:val="en-US" w:eastAsia="zh-CN" w:bidi="ar"/>
        </w:rPr>
        <w:t xml:space="preserve"> 24 小时领导带班制度、AB岗值班制度，</w:t>
      </w:r>
      <w:r>
        <w:rPr>
          <w:rFonts w:hint="default" w:ascii="仿宋_GB2312" w:hAnsi="宋体" w:eastAsia="仿宋_GB2312" w:cs="仿宋_GB2312"/>
          <w:b w:val="0"/>
          <w:kern w:val="0"/>
          <w:sz w:val="32"/>
          <w:szCs w:val="32"/>
          <w:lang w:val="en-US" w:eastAsia="zh-CN" w:bidi="ar"/>
        </w:rPr>
        <w:t>确保24小时通讯畅通。</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b w:val="0"/>
          <w:kern w:val="0"/>
          <w:sz w:val="32"/>
          <w:szCs w:val="32"/>
        </w:rPr>
      </w:pPr>
      <w:r>
        <w:rPr>
          <w:rFonts w:hint="default" w:ascii="仿宋_GB2312" w:hAnsi="宋体" w:eastAsia="仿宋_GB2312" w:cs="仿宋_GB2312"/>
          <w:b w:val="0"/>
          <w:kern w:val="0"/>
          <w:sz w:val="32"/>
          <w:szCs w:val="32"/>
          <w:lang w:val="en-US" w:eastAsia="zh-CN" w:bidi="ar"/>
        </w:rPr>
        <w:t>3.加强协同配合，提高防灾合力。</w:t>
      </w:r>
      <w:r>
        <w:rPr>
          <w:rFonts w:hint="default" w:ascii="仿宋_GB2312" w:hAnsi="宋体" w:eastAsia="仿宋_GB2312" w:cs="仿宋_GB2312"/>
          <w:b w:val="0"/>
          <w:i w:val="0"/>
          <w:caps w:val="0"/>
          <w:color w:val="333333"/>
          <w:spacing w:val="0"/>
          <w:kern w:val="0"/>
          <w:sz w:val="32"/>
          <w:szCs w:val="32"/>
          <w:shd w:val="clear" w:fill="FFFFFF"/>
          <w:lang w:val="en-US" w:eastAsia="zh-CN" w:bidi="ar"/>
        </w:rPr>
        <w:t>一是</w:t>
      </w:r>
      <w:r>
        <w:rPr>
          <w:rFonts w:hint="default" w:ascii="仿宋_GB2312" w:hAnsi="宋体" w:eastAsia="仿宋_GB2312" w:cs="仿宋_GB2312"/>
          <w:b w:val="0"/>
          <w:kern w:val="0"/>
          <w:sz w:val="32"/>
          <w:szCs w:val="32"/>
          <w:lang w:val="en-US" w:eastAsia="zh-CN" w:bidi="ar"/>
        </w:rPr>
        <w:t>向各乡镇和相关部门下发了《关于全面加强地质灾害防范工作的紧急通知》，要求所有在建工程按照地质灾害“三避让”原则进行工棚选址和弃渣堆放，所有工程项目均要制定防灾措施，确定防灾责任人和值班人员；二是会同县久马高速（红原段）协调办、县应急管理局对久马高速（红原段）建设项目C2、C3标段施工区和住宿区开展了地质灾害隐患排查和安全措施督查工作；三是</w:t>
      </w:r>
      <w:r>
        <w:rPr>
          <w:rFonts w:hint="default" w:ascii="仿宋_GB2312" w:hAnsi="宋体" w:eastAsia="仿宋_GB2312" w:cs="仿宋_GB2312"/>
          <w:b w:val="0"/>
          <w:i w:val="0"/>
          <w:caps w:val="0"/>
          <w:spacing w:val="0"/>
          <w:kern w:val="0"/>
          <w:sz w:val="32"/>
          <w:szCs w:val="32"/>
          <w:shd w:val="clear" w:fill="FFFFFF"/>
          <w:lang w:val="en-US" w:eastAsia="zh-CN" w:bidi="ar"/>
        </w:rPr>
        <w:t>强化和坚持了地质灾害应急指挥部的统筹指挥作用，积极与相关部门强化联防联动和协助配合。</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rightChars="0" w:firstLine="640" w:firstLineChars="200"/>
        <w:jc w:val="both"/>
        <w:textAlignment w:val="auto"/>
        <w:rPr>
          <w:rFonts w:hint="eastAsia" w:ascii="宋体" w:hAnsi="宋体" w:eastAsia="宋体" w:cs="宋体"/>
          <w:b w:val="0"/>
          <w:kern w:val="0"/>
          <w:sz w:val="24"/>
          <w:szCs w:val="24"/>
        </w:rPr>
      </w:pPr>
      <w:r>
        <w:rPr>
          <w:rFonts w:hint="default" w:ascii="仿宋_GB2312" w:hAnsi="宋体" w:eastAsia="仿宋_GB2312" w:cs="仿宋_GB2312"/>
          <w:b w:val="0"/>
          <w:kern w:val="0"/>
          <w:sz w:val="32"/>
          <w:szCs w:val="32"/>
          <w:lang w:val="en-US" w:eastAsia="zh-CN" w:bidi="ar"/>
        </w:rPr>
        <w:t>4.强化管理，积极完成矿山生态修复项目。按照省自然资源厅和阿坝州自然资源局关于黄河流域废弃矿山生态保护修复项目实施计划，今年下达我县废弃矿山生态修复项目</w:t>
      </w:r>
      <w:r>
        <w:rPr>
          <w:rFonts w:hint="default" w:ascii="仿宋_GB2312" w:hAnsi="宋体" w:eastAsia="仿宋_GB2312" w:cs="宋体"/>
          <w:b w:val="0"/>
          <w:kern w:val="0"/>
          <w:sz w:val="32"/>
          <w:szCs w:val="32"/>
          <w:lang w:val="en-US" w:eastAsia="zh-CN" w:bidi="ar"/>
        </w:rPr>
        <w:t>2个，</w:t>
      </w:r>
      <w:r>
        <w:rPr>
          <w:rFonts w:hint="default" w:ascii="仿宋_GB2312" w:hAnsi="宋体" w:eastAsia="仿宋_GB2312" w:cs="仿宋_GB2312"/>
          <w:b w:val="0"/>
          <w:kern w:val="0"/>
          <w:sz w:val="32"/>
          <w:szCs w:val="32"/>
          <w:lang w:val="en-US" w:eastAsia="zh-CN" w:bidi="ar"/>
        </w:rPr>
        <w:t>项目资金共计</w:t>
      </w:r>
      <w:r>
        <w:rPr>
          <w:rFonts w:hint="default" w:ascii="仿宋_GB2312" w:hAnsi="宋体" w:eastAsia="仿宋_GB2312" w:cs="宋体"/>
          <w:b w:val="0"/>
          <w:kern w:val="0"/>
          <w:sz w:val="32"/>
          <w:szCs w:val="32"/>
          <w:lang w:val="en-US" w:eastAsia="zh-CN" w:bidi="ar"/>
        </w:rPr>
        <w:t>627.7万万元，用于修复图斑16个，修复面积28.24公顷，目前项目已全部完工。</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leftChars="0" w:right="0" w:rightChars="0" w:firstLine="640" w:firstLineChars="200"/>
        <w:jc w:val="both"/>
        <w:textAlignment w:val="auto"/>
        <w:rPr>
          <w:rFonts w:hint="eastAsia" w:ascii="楷体" w:hAnsi="楷体" w:eastAsia="楷体" w:cs="楷体"/>
          <w:b w:val="0"/>
          <w:kern w:val="0"/>
          <w:sz w:val="32"/>
          <w:szCs w:val="32"/>
        </w:rPr>
      </w:pPr>
      <w:r>
        <w:rPr>
          <w:rFonts w:hint="eastAsia" w:ascii="楷体" w:hAnsi="楷体" w:eastAsia="楷体" w:cs="楷体"/>
          <w:b w:val="0"/>
          <w:kern w:val="0"/>
          <w:sz w:val="32"/>
          <w:szCs w:val="32"/>
          <w:lang w:val="en-US" w:eastAsia="zh-CN" w:bidi="ar"/>
        </w:rPr>
        <w:t>（七）对标先进，扎实做好脱贫攻坚工作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val="0"/>
        <w:spacing w:before="0" w:beforeAutospacing="0" w:after="0" w:afterAutospacing="0" w:line="560" w:lineRule="exact"/>
        <w:ind w:left="0" w:right="0" w:rightChars="0" w:firstLine="640" w:firstLineChars="200"/>
        <w:jc w:val="both"/>
        <w:textAlignment w:val="auto"/>
        <w:rPr>
          <w:rFonts w:hint="eastAsia" w:ascii="仿宋" w:hAnsi="仿宋" w:eastAsia="仿宋" w:cs="Times New Roman"/>
          <w:b w:val="0"/>
          <w:kern w:val="0"/>
          <w:sz w:val="32"/>
          <w:szCs w:val="32"/>
        </w:rPr>
      </w:pPr>
      <w:r>
        <w:rPr>
          <w:rFonts w:hint="default" w:ascii="仿宋_GB2312" w:hAnsi="宋体" w:eastAsia="仿宋_GB2312" w:cs="仿宋_GB2312"/>
          <w:b w:val="0"/>
          <w:kern w:val="0"/>
          <w:sz w:val="32"/>
          <w:szCs w:val="32"/>
          <w:lang w:val="en-US" w:eastAsia="zh-CN" w:bidi="ar"/>
        </w:rPr>
        <w:t>1.做好用地工作助力脱贫攻坚。</w:t>
      </w:r>
      <w:r>
        <w:rPr>
          <w:rFonts w:hint="eastAsia" w:ascii="仿宋" w:hAnsi="仿宋" w:eastAsia="仿宋" w:cs="仿宋"/>
          <w:b w:val="0"/>
          <w:kern w:val="0"/>
          <w:sz w:val="32"/>
          <w:szCs w:val="32"/>
          <w:lang w:val="en-US" w:eastAsia="zh-CN" w:bidi="ar"/>
        </w:rPr>
        <w:t>在城乡建设用地增减挂钩项目推进中，统筹安排城乡建设用地增减挂钩项目与农村安置点建设项目。简化优化了用地审批程序，建立了绿色通道，缩短审批时限，提速办理用地审批手续。</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rightChars="0" w:firstLine="640" w:firstLineChars="200"/>
        <w:jc w:val="both"/>
        <w:textAlignment w:val="auto"/>
        <w:rPr>
          <w:rFonts w:hint="default" w:ascii="仿宋_GB2312" w:eastAsia="仿宋_GB2312" w:cs="仿宋_GB2312"/>
          <w:b w:val="0"/>
          <w:kern w:val="0"/>
          <w:sz w:val="32"/>
          <w:szCs w:val="32"/>
        </w:rPr>
      </w:pPr>
      <w:r>
        <w:rPr>
          <w:rFonts w:hint="default" w:ascii="仿宋_GB2312" w:hAnsi="宋体" w:eastAsia="仿宋_GB2312" w:cs="仿宋_GB2312"/>
          <w:b w:val="0"/>
          <w:kern w:val="0"/>
          <w:sz w:val="32"/>
          <w:szCs w:val="32"/>
          <w:lang w:val="en-US" w:eastAsia="zh-CN" w:bidi="ar"/>
        </w:rPr>
        <w:t>2.增强联系帮扶单位在脱贫工作中的重要作用。</w:t>
      </w:r>
      <w:r>
        <w:rPr>
          <w:rFonts w:hint="default" w:ascii="仿宋_GB2312" w:hAnsi="宋体" w:eastAsia="仿宋_GB2312" w:cs="仿宋_GB2312"/>
          <w:b w:val="0"/>
          <w:color w:val="333333"/>
          <w:kern w:val="0"/>
          <w:sz w:val="32"/>
          <w:szCs w:val="32"/>
          <w:shd w:val="clear" w:fill="FFFFFF"/>
          <w:lang w:val="en-US" w:eastAsia="zh-CN" w:bidi="ar"/>
        </w:rPr>
        <w:t>一</w:t>
      </w:r>
      <w:r>
        <w:rPr>
          <w:rFonts w:hint="default" w:ascii="仿宋_GB2312" w:hAnsi="仿宋" w:eastAsia="仿宋_GB2312" w:cs="仿宋_GB2312"/>
          <w:b w:val="0"/>
          <w:kern w:val="2"/>
          <w:sz w:val="32"/>
          <w:szCs w:val="32"/>
          <w:lang w:val="en-US" w:eastAsia="zh-CN" w:bidi="ar"/>
        </w:rPr>
        <w:t>是成立局脱贫攻坚领导小组，选派工作能力强的年轻干部组建工作队，深入脱贫攻坚主战场开展驻村帮扶，协调解决工作中存在的困难和问题；二是制定了《红原县自然资源局精准扶贫工作实施方案》，提出了扶贫对象识别工作的指导思想、基本原则、目标任务、主要内容、方法步骤及保障措施；三是将脱贫攻坚、</w:t>
      </w:r>
      <w:r>
        <w:rPr>
          <w:rFonts w:hint="default" w:ascii="仿宋_GB2312" w:hAnsi="仿宋" w:eastAsia="仿宋_GB2312" w:cs="宋体"/>
          <w:b w:val="0"/>
          <w:kern w:val="2"/>
          <w:sz w:val="32"/>
          <w:szCs w:val="32"/>
          <w:lang w:val="en-US" w:eastAsia="zh-CN" w:bidi="ar"/>
        </w:rPr>
        <w:t>“两联一进”、乡村振兴等中心工作密切结合起来。开展了全覆盖摸排、“回头看”、“回头帮”工作。</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420" w:leftChars="200" w:right="0" w:rightChars="0" w:firstLine="640" w:firstLineChars="200"/>
        <w:jc w:val="both"/>
        <w:textAlignment w:val="auto"/>
        <w:rPr>
          <w:rFonts w:hint="eastAsia" w:ascii="宋体" w:hAnsi="宋体" w:eastAsia="宋体" w:cs="宋体"/>
          <w:b w:val="0"/>
          <w:kern w:val="0"/>
          <w:sz w:val="24"/>
          <w:szCs w:val="24"/>
        </w:rPr>
      </w:pPr>
      <w:r>
        <w:rPr>
          <w:rFonts w:hint="eastAsia" w:ascii="楷体" w:hAnsi="楷体" w:eastAsia="楷体" w:cs="楷体"/>
          <w:b w:val="0"/>
          <w:kern w:val="0"/>
          <w:sz w:val="32"/>
          <w:szCs w:val="32"/>
          <w:lang w:val="en-US" w:eastAsia="zh-CN" w:bidi="ar"/>
        </w:rPr>
        <w:t>（八）狠抓队伍建设，加强党建工作</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rightChars="0" w:firstLine="640" w:firstLineChars="200"/>
        <w:jc w:val="both"/>
        <w:textAlignment w:val="auto"/>
        <w:rPr>
          <w:rFonts w:hint="default" w:ascii="仿宋_GB2312" w:hAnsi="仿宋" w:eastAsia="仿宋_GB2312" w:cs="宋体"/>
          <w:b w:val="0"/>
          <w:kern w:val="2"/>
          <w:sz w:val="32"/>
          <w:szCs w:val="32"/>
        </w:rPr>
      </w:pPr>
      <w:r>
        <w:rPr>
          <w:rFonts w:hint="default" w:ascii="仿宋_GB2312" w:hAnsi="仿宋" w:eastAsia="仿宋_GB2312" w:cs="宋体"/>
          <w:b w:val="0"/>
          <w:kern w:val="2"/>
          <w:sz w:val="32"/>
          <w:szCs w:val="32"/>
          <w:lang w:val="en-US" w:eastAsia="zh-CN" w:bidi="ar"/>
        </w:rPr>
        <w:t xml:space="preserve">1.加强领导，明确职责，确保了党建工作责任落实。   </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rightChars="0" w:firstLine="640" w:firstLineChars="200"/>
        <w:jc w:val="both"/>
        <w:textAlignment w:val="auto"/>
        <w:rPr>
          <w:rFonts w:hint="default" w:ascii="仿宋_GB2312" w:hAnsi="仿宋" w:eastAsia="仿宋_GB2312" w:cs="宋体"/>
          <w:b w:val="0"/>
          <w:kern w:val="2"/>
          <w:sz w:val="32"/>
          <w:szCs w:val="32"/>
        </w:rPr>
      </w:pPr>
      <w:r>
        <w:rPr>
          <w:rFonts w:hint="default" w:ascii="仿宋_GB2312" w:hAnsi="仿宋" w:eastAsia="仿宋_GB2312" w:cs="宋体"/>
          <w:b w:val="0"/>
          <w:kern w:val="2"/>
          <w:sz w:val="32"/>
          <w:szCs w:val="32"/>
          <w:lang w:val="en-US" w:eastAsia="zh-CN" w:bidi="ar"/>
        </w:rPr>
        <w:t xml:space="preserve">2.完善制度，强化学习，全面提高党员思想素质。 </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rightChars="0" w:firstLine="723" w:firstLineChars="200"/>
        <w:jc w:val="both"/>
        <w:textAlignment w:val="auto"/>
        <w:rPr>
          <w:rFonts w:hint="default" w:ascii="仿宋_GB2312" w:hAnsi="仿宋" w:eastAsia="仿宋_GB2312" w:cs="宋体"/>
          <w:b/>
          <w:bCs/>
          <w:kern w:val="2"/>
          <w:sz w:val="36"/>
          <w:szCs w:val="36"/>
        </w:rPr>
      </w:pPr>
      <w:r>
        <w:rPr>
          <w:rFonts w:hint="default" w:ascii="仿宋_GB2312" w:hAnsi="仿宋" w:eastAsia="仿宋_GB2312" w:cs="仿宋_GB2312"/>
          <w:b/>
          <w:bCs/>
          <w:kern w:val="2"/>
          <w:sz w:val="36"/>
          <w:szCs w:val="36"/>
          <w:lang w:val="en-US" w:eastAsia="zh-CN" w:bidi="ar"/>
        </w:rPr>
        <w:t>二、机构设置</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eastAsia" w:ascii="楷体" w:hAnsi="楷体" w:eastAsia="楷体" w:cs="楷体"/>
          <w:b w:val="0"/>
          <w:kern w:val="0"/>
          <w:sz w:val="32"/>
          <w:szCs w:val="32"/>
        </w:rPr>
      </w:pPr>
      <w:r>
        <w:rPr>
          <w:rFonts w:hint="eastAsia" w:ascii="楷体" w:hAnsi="楷体" w:eastAsia="楷体" w:cs="楷体"/>
          <w:b w:val="0"/>
          <w:kern w:val="0"/>
          <w:sz w:val="32"/>
          <w:szCs w:val="32"/>
          <w:lang w:val="en-US" w:eastAsia="zh-CN" w:bidi="ar"/>
        </w:rPr>
        <w:t>(一)办公室</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宋体" w:hAnsi="宋体" w:eastAsia="仿宋_GB2312" w:cs="宋体"/>
          <w:b w:val="0"/>
          <w:color w:val="000000"/>
          <w:kern w:val="0"/>
          <w:sz w:val="32"/>
          <w:szCs w:val="32"/>
        </w:rPr>
      </w:pPr>
      <w:r>
        <w:rPr>
          <w:rFonts w:hint="default" w:ascii="仿宋_GB2312" w:hAnsi="宋体" w:eastAsia="仿宋_GB2312" w:cs="仿宋_GB2312"/>
          <w:b w:val="0"/>
          <w:kern w:val="0"/>
          <w:sz w:val="32"/>
          <w:szCs w:val="32"/>
          <w:lang w:val="en-US" w:eastAsia="zh-CN" w:bidi="ar"/>
        </w:rPr>
        <w:t>负责文电、会务、档案、机要、后勤等机关日常运转工作；承担保密、安全、信息、信访、绩效管理、政务公开、新闻宣传工作；做好党建、党风廉政建设、意识形态、群团、信访等工作；承担有关文稿、报告、调研和史志年鉴编撰工作；组织办理人大代表建议、政协委员提案；承担机构编制、离退休人员、干部培训和人事等工作；指导本行业综合行政执法，承担有关行政应诉、行政复议、行政调解、规范性文件的合法性审核与报备等工作；</w:t>
      </w:r>
      <w:r>
        <w:rPr>
          <w:rFonts w:hint="default" w:ascii="仿宋_GB2312" w:hAnsi="宋体" w:eastAsia="仿宋_GB2312" w:cs="仿宋_GB2312"/>
          <w:b w:val="0"/>
          <w:color w:val="000000"/>
          <w:kern w:val="0"/>
          <w:sz w:val="32"/>
          <w:szCs w:val="32"/>
          <w:lang w:val="en-US" w:eastAsia="zh-CN" w:bidi="ar"/>
        </w:rPr>
        <w:t>牵头协调推进本系统</w:t>
      </w:r>
      <w:r>
        <w:rPr>
          <w:rFonts w:hint="eastAsia" w:ascii="宋体" w:hAnsi="宋体" w:eastAsia="仿宋_GB2312" w:cs="宋体"/>
          <w:b w:val="0"/>
          <w:color w:val="000000"/>
          <w:kern w:val="0"/>
          <w:sz w:val="32"/>
          <w:szCs w:val="32"/>
          <w:lang w:val="en-US" w:eastAsia="zh-CN" w:bidi="ar"/>
        </w:rPr>
        <w:t>“</w:t>
      </w:r>
      <w:r>
        <w:rPr>
          <w:rFonts w:hint="default" w:ascii="仿宋_GB2312" w:hAnsi="宋体" w:eastAsia="仿宋_GB2312" w:cs="仿宋_GB2312"/>
          <w:b w:val="0"/>
          <w:color w:val="000000"/>
          <w:kern w:val="0"/>
          <w:sz w:val="32"/>
          <w:szCs w:val="32"/>
          <w:lang w:val="en-US" w:eastAsia="zh-CN" w:bidi="ar"/>
        </w:rPr>
        <w:t>放管服</w:t>
      </w:r>
      <w:r>
        <w:rPr>
          <w:rFonts w:hint="eastAsia" w:ascii="宋体" w:hAnsi="宋体" w:eastAsia="宋体" w:cs="宋体"/>
          <w:b w:val="0"/>
          <w:color w:val="000000"/>
          <w:kern w:val="0"/>
          <w:sz w:val="32"/>
          <w:szCs w:val="32"/>
          <w:lang w:val="en-US" w:eastAsia="zh-CN" w:bidi="ar"/>
        </w:rPr>
        <w:t>’’</w:t>
      </w:r>
      <w:r>
        <w:rPr>
          <w:rFonts w:hint="default" w:ascii="仿宋_GB2312" w:hAnsi="宋体" w:eastAsia="仿宋_GB2312" w:cs="仿宋_GB2312"/>
          <w:b w:val="0"/>
          <w:color w:val="000000"/>
          <w:kern w:val="0"/>
          <w:sz w:val="32"/>
          <w:szCs w:val="32"/>
          <w:lang w:val="en-US" w:eastAsia="zh-CN" w:bidi="ar"/>
        </w:rPr>
        <w:t>改革，承担审批服务便民化有关工作；落实党中央、国务院、省委、省政府关于自然资源和国土空间规划的重大方针政策、决策部署及法律法规执行情况。</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楷体_GB2312" w:hAnsi="宋体" w:eastAsia="楷体_GB2312" w:cs="宋体"/>
          <w:b w:val="0"/>
          <w:kern w:val="0"/>
          <w:sz w:val="32"/>
          <w:szCs w:val="32"/>
        </w:rPr>
      </w:pPr>
      <w:r>
        <w:rPr>
          <w:rFonts w:hint="default" w:ascii="仿宋_GB2312" w:hAnsi="宋体" w:eastAsia="仿宋_GB2312" w:cs="仿宋_GB2312"/>
          <w:b w:val="0"/>
          <w:kern w:val="0"/>
          <w:sz w:val="32"/>
          <w:szCs w:val="32"/>
          <w:lang w:val="en-US" w:eastAsia="zh-CN" w:bidi="ar"/>
        </w:rPr>
        <w:t>承担自然资源专项收入征管和专项资金、基金的管理工作。拟订有关财务、资产管理的规章，负责机关和所属单位财务及国有资产监管，负责部门预决算、政府采购、国库集中支付工作。管理基本建设及重大专项投资、重大装备。承担财政和社会资金的结构优化和监测工作，拟订合理利用社会资金的政策措施，提出重大备选项目。</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eastAsia" w:ascii="楷体" w:hAnsi="楷体" w:eastAsia="楷体" w:cs="楷体"/>
          <w:b w:val="0"/>
          <w:color w:val="000000"/>
          <w:kern w:val="0"/>
          <w:sz w:val="32"/>
          <w:szCs w:val="32"/>
        </w:rPr>
      </w:pPr>
      <w:r>
        <w:rPr>
          <w:rFonts w:hint="eastAsia" w:ascii="楷体" w:hAnsi="楷体" w:eastAsia="楷体" w:cs="楷体"/>
          <w:b w:val="0"/>
          <w:color w:val="000000"/>
          <w:kern w:val="0"/>
          <w:sz w:val="32"/>
          <w:szCs w:val="32"/>
          <w:lang w:val="en-US" w:eastAsia="zh-CN" w:bidi="ar"/>
        </w:rPr>
        <w:t>(二)建设用地和规划股</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宋体" w:hAnsi="宋体" w:eastAsia="仿宋_GB2312" w:cs="宋体"/>
          <w:b w:val="0"/>
          <w:kern w:val="0"/>
          <w:sz w:val="32"/>
          <w:szCs w:val="32"/>
        </w:rPr>
      </w:pPr>
      <w:r>
        <w:rPr>
          <w:rFonts w:hint="default" w:ascii="仿宋_GB2312" w:hAnsi="宋体" w:eastAsia="仿宋_GB2312" w:cs="仿宋_GB2312"/>
          <w:b w:val="0"/>
          <w:kern w:val="0"/>
          <w:sz w:val="32"/>
          <w:szCs w:val="32"/>
          <w:lang w:val="en-US" w:eastAsia="zh-CN" w:bidi="ar"/>
        </w:rPr>
        <w:t>依法管理土地资产，组织实施土地利用使用权出让、转让、招标、拍卖、作价出资、入股、交易和政府收购、储备管理工作；组织实施土地资源调查，动态监测和统计。拟订并实施全县耕地保护政策，组织实施耕地保护责任目标考核和永久基本农田特殊保护，负责永久基本农田划定、占用和补划的监督管理。承担生态保护补偿相关工作。负责耕地保护政策与林地、草地、湿地等土地资源保护政策的衔接。负责全县自然资源市场监督管理和动态监测，建立自然资源市场信用体系。建立政府公示自然资源价格体系，组织开展全县自然资源分等定级价格评估。拟订自然资源开发利用地方标准，开展评价考核，指导节约集约利用。国有土地资产处置相关工作。</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b w:val="0"/>
          <w:kern w:val="0"/>
          <w:sz w:val="32"/>
          <w:szCs w:val="32"/>
        </w:rPr>
      </w:pPr>
      <w:r>
        <w:rPr>
          <w:rFonts w:hint="default" w:ascii="仿宋_GB2312" w:hAnsi="宋体" w:eastAsia="仿宋_GB2312" w:cs="仿宋_GB2312"/>
          <w:b w:val="0"/>
          <w:kern w:val="0"/>
          <w:sz w:val="32"/>
          <w:szCs w:val="32"/>
          <w:lang w:val="en-US" w:eastAsia="zh-CN" w:bidi="ar"/>
        </w:rPr>
        <w:t>承担组织实施编制自然资源发展战略、中长期规划。督促实施国土空间规划相关政策，承担建立空间规划体系工作并监督实施。组织编制全县国土空间规划和相关专项规划并监督实施。承担报省政府和州政府审批的国土空间规划的审核、报批工作，指导和审核涉及国土空间开发利用的全县重大专项规划。开展国土空间开发适宜性评价，建立国土空间规划实施监测、评估和预警体系。组织执行国土空间用途管制制度规范和技术标准。提出全县土地年度利用计划并组织实施。组织实施耕地、林地、草地、湿地等国土空间用途转用政策和管理规定，承担全县建设项目用地预审工作。拟订开展城乡规划管理和主体功能区规划编制等用途管制政策并监督实施。</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eastAsia" w:ascii="楷体" w:hAnsi="楷体" w:eastAsia="楷体" w:cs="楷体"/>
          <w:b w:val="0"/>
          <w:kern w:val="0"/>
          <w:sz w:val="32"/>
          <w:szCs w:val="32"/>
        </w:rPr>
      </w:pPr>
      <w:r>
        <w:rPr>
          <w:rFonts w:hint="eastAsia" w:ascii="楷体" w:hAnsi="楷体" w:eastAsia="楷体" w:cs="楷体"/>
          <w:b w:val="0"/>
          <w:kern w:val="0"/>
          <w:sz w:val="32"/>
          <w:szCs w:val="32"/>
          <w:lang w:val="en-US" w:eastAsia="zh-CN" w:bidi="ar"/>
        </w:rPr>
        <w:t>(三)资源环境和矿产管理股</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hAnsi="宋体" w:eastAsia="仿宋_GB2312" w:cs="宋体"/>
          <w:b w:val="0"/>
          <w:kern w:val="0"/>
          <w:sz w:val="32"/>
          <w:szCs w:val="32"/>
        </w:rPr>
      </w:pPr>
      <w:r>
        <w:rPr>
          <w:rFonts w:hint="default" w:ascii="仿宋_GB2312" w:hAnsi="宋体" w:eastAsia="仿宋_GB2312" w:cs="仿宋_GB2312"/>
          <w:b w:val="0"/>
          <w:kern w:val="0"/>
          <w:sz w:val="32"/>
          <w:szCs w:val="32"/>
          <w:lang w:val="en-US" w:eastAsia="zh-CN" w:bidi="ar"/>
        </w:rPr>
        <w:t>管理全县地质勘查行业和地质工作，拟订全县地质勘查规划并监督检查执行情况。管理县级地质勘查项目，组织实施重大地质矿产勘查专项。负责全县公益性地质调查和矿产资源调查评价。承担全县地质勘查行业统计和成果统计，监督管理矿产资源勘查行为。</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eastAsia" w:ascii="宋体" w:hAnsi="宋体" w:eastAsia="仿宋_GB2312" w:cs="宋体"/>
          <w:b w:val="0"/>
          <w:kern w:val="0"/>
          <w:sz w:val="32"/>
          <w:szCs w:val="32"/>
        </w:rPr>
      </w:pPr>
      <w:r>
        <w:rPr>
          <w:rFonts w:hint="default" w:ascii="仿宋_GB2312" w:hAnsi="宋体" w:eastAsia="仿宋_GB2312" w:cs="仿宋_GB2312"/>
          <w:b w:val="0"/>
          <w:kern w:val="0"/>
          <w:sz w:val="32"/>
          <w:szCs w:val="32"/>
          <w:lang w:val="en-US" w:eastAsia="zh-CN" w:bidi="ar"/>
        </w:rPr>
        <w:t>拟订全县矿业权管理政策并组织实施，负责县级发证的矿产资源矿业权出让及审批登记。统计分析并指导全县探矿权、采矿权审批登记，调处重大权属纠纷。承担保护性开采的特定矿种、优势矿产的开采总量控制及相关管理工作。负责职责范围内的安全生产和职业健康工作。</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hAnsi="宋体" w:eastAsia="仿宋_GB2312" w:cs="宋体"/>
          <w:b w:val="0"/>
          <w:kern w:val="0"/>
          <w:sz w:val="32"/>
          <w:szCs w:val="32"/>
        </w:rPr>
      </w:pPr>
      <w:r>
        <w:rPr>
          <w:rFonts w:hint="default" w:ascii="仿宋_GB2312" w:hAnsi="宋体" w:eastAsia="仿宋_GB2312" w:cs="仿宋_GB2312"/>
          <w:b w:val="0"/>
          <w:kern w:val="0"/>
          <w:sz w:val="32"/>
          <w:szCs w:val="32"/>
          <w:lang w:val="en-US" w:eastAsia="zh-CN" w:bidi="ar"/>
        </w:rPr>
        <w:t>拟订全县矿产资源战略、政策和规划并组织实施，监督指导矿产资源合理利用和保护。承担矿产资源储量评审、备案、登记、统计和信息发布及压覆矿产资源审批管理、矿产地战略储备工作。实施矿山储量动态管理，建立矿产资源安全监测预警体系。监督地质资料汇交、保管和利用，监督管理古生物化石。</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hAnsi="宋体" w:eastAsia="仿宋_GB2312" w:cs="宋体"/>
          <w:b w:val="0"/>
          <w:kern w:val="0"/>
          <w:sz w:val="32"/>
          <w:szCs w:val="32"/>
        </w:rPr>
      </w:pPr>
      <w:r>
        <w:rPr>
          <w:rFonts w:hint="default" w:ascii="仿宋_GB2312" w:hAnsi="宋体" w:eastAsia="仿宋_GB2312" w:cs="仿宋_GB2312"/>
          <w:b w:val="0"/>
          <w:kern w:val="0"/>
          <w:sz w:val="32"/>
          <w:szCs w:val="32"/>
          <w:lang w:val="en-US" w:eastAsia="zh-CN" w:bidi="ar"/>
        </w:rPr>
        <w:t>负责全县地质灾害防治、组织、协调、指导和监督工作。开展地质灾害防治知识的宣传教育；加强对地质灾害险情的动态监测和群测群防工作；确保广大群众的生命财产安全。承担国土空间综合整治，矿产地质环境恢复治理，承担生态保护补偿相关工作，生态环境保护工作。</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480" w:firstLineChars="200"/>
        <w:jc w:val="both"/>
        <w:textAlignment w:val="auto"/>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r>
        <w:rPr>
          <w:rFonts w:hint="eastAsia" w:ascii="宋体" w:hAnsi="宋体" w:eastAsia="黑体" w:cs="宋体"/>
          <w:b w:val="0"/>
          <w:kern w:val="0"/>
          <w:sz w:val="32"/>
          <w:szCs w:val="32"/>
          <w:lang w:val="en-US" w:eastAsia="zh-CN" w:bidi="ar"/>
        </w:rPr>
        <w:t xml:space="preserve"> </w:t>
      </w:r>
      <w:r>
        <w:rPr>
          <w:rFonts w:hint="default" w:ascii="仿宋_GB2312" w:hAnsi="宋体" w:eastAsia="仿宋_GB2312" w:cs="仿宋_GB2312"/>
          <w:b w:val="0"/>
          <w:kern w:val="0"/>
          <w:sz w:val="32"/>
          <w:szCs w:val="32"/>
          <w:lang w:val="en-US" w:eastAsia="zh-CN" w:bidi="ar"/>
        </w:rPr>
        <w:t>自然资源局设行政编制6名。其中：局长1名，副局长2名；股室级领导职数</w:t>
      </w:r>
      <w:r>
        <w:rPr>
          <w:rFonts w:hint="default" w:ascii="仿宋_GB2312" w:hAnsi="宋体" w:eastAsia="仿宋_GB2312" w:cs="宋体"/>
          <w:b w:val="0"/>
          <w:kern w:val="0"/>
          <w:sz w:val="32"/>
          <w:szCs w:val="32"/>
          <w:lang w:val="en-US" w:eastAsia="zh-CN" w:bidi="ar"/>
        </w:rPr>
        <w:t>3</w:t>
      </w:r>
      <w:r>
        <w:rPr>
          <w:rFonts w:hint="default" w:ascii="仿宋_GB2312" w:hAnsi="宋体" w:eastAsia="仿宋_GB2312" w:cs="仿宋_GB2312"/>
          <w:b w:val="0"/>
          <w:kern w:val="0"/>
          <w:sz w:val="32"/>
          <w:szCs w:val="32"/>
          <w:lang w:val="en-US" w:eastAsia="zh-CN" w:bidi="ar"/>
        </w:rPr>
        <w:t>名。机关工勤人员事业编制</w:t>
      </w:r>
      <w:r>
        <w:rPr>
          <w:rFonts w:hint="default" w:ascii="仿宋_GB2312" w:hAnsi="宋体" w:eastAsia="仿宋_GB2312" w:cs="宋体"/>
          <w:b w:val="0"/>
          <w:kern w:val="0"/>
          <w:sz w:val="32"/>
          <w:szCs w:val="32"/>
          <w:lang w:val="en-US" w:eastAsia="zh-CN" w:bidi="ar"/>
        </w:rPr>
        <w:t>1名。</w:t>
      </w:r>
    </w:p>
    <w:p>
      <w:pPr>
        <w:pStyle w:val="12"/>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560" w:lineRule="exact"/>
        <w:ind w:left="0" w:right="0" w:firstLine="643" w:firstLineChars="200"/>
        <w:jc w:val="center"/>
        <w:textAlignment w:val="auto"/>
        <w:outlineLvl w:val="0"/>
        <w:rPr>
          <w:rFonts w:hint="eastAsia" w:ascii="宋体" w:hAnsi="宋体" w:eastAsia="宋体" w:cs="宋体"/>
          <w:b/>
          <w:kern w:val="0"/>
          <w:sz w:val="32"/>
          <w:szCs w:val="32"/>
        </w:rPr>
      </w:pPr>
      <w:bookmarkStart w:id="1" w:name="_Toc1476"/>
      <w:r>
        <w:rPr>
          <w:rFonts w:hint="eastAsia" w:ascii="宋体" w:hAnsi="宋体" w:eastAsia="宋体" w:cs="宋体"/>
          <w:b/>
          <w:kern w:val="0"/>
          <w:sz w:val="32"/>
          <w:szCs w:val="32"/>
          <w:shd w:val="clear" w:fill="FFFFFF"/>
          <w:lang w:val="en-US" w:eastAsia="zh-CN" w:bidi="ar"/>
        </w:rPr>
        <w:t>第二部分 2020年度部门决算情况说明</w:t>
      </w:r>
      <w:bookmarkEnd w:id="1"/>
    </w:p>
    <w:p>
      <w:pPr>
        <w:pStyle w:val="12"/>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560" w:lineRule="exact"/>
        <w:ind w:left="0" w:right="0" w:firstLine="640" w:firstLineChars="200"/>
        <w:jc w:val="left"/>
        <w:textAlignment w:val="auto"/>
        <w:rPr>
          <w:rFonts w:hint="eastAsia" w:ascii="宋体" w:hAnsi="宋体" w:eastAsia="宋体" w:cs="宋体"/>
          <w:b w:val="0"/>
          <w:kern w:val="0"/>
          <w:sz w:val="32"/>
          <w:szCs w:val="32"/>
          <w:shd w:val="clear" w:fill="FFFFFF"/>
        </w:rPr>
      </w:pPr>
      <w:r>
        <w:rPr>
          <w:rFonts w:hint="eastAsia" w:ascii="宋体" w:hAnsi="宋体" w:eastAsia="宋体" w:cs="宋体"/>
          <w:b w:val="0"/>
          <w:kern w:val="0"/>
          <w:sz w:val="32"/>
          <w:szCs w:val="32"/>
          <w:shd w:val="clear" w:fill="FFFFFF"/>
          <w:lang w:val="en-US" w:eastAsia="zh-CN" w:bidi="ar"/>
        </w:rPr>
        <w:t>一、收入支出决算总体情况说明</w:t>
      </w:r>
    </w:p>
    <w:p>
      <w:pPr>
        <w:pStyle w:val="12"/>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560" w:lineRule="exact"/>
        <w:ind w:left="0" w:right="0" w:firstLine="640" w:firstLineChars="200"/>
        <w:jc w:val="left"/>
        <w:textAlignment w:val="auto"/>
        <w:rPr>
          <w:rFonts w:hint="eastAsia" w:ascii="宋体" w:hAnsi="宋体" w:eastAsia="宋体" w:cs="宋体"/>
          <w:kern w:val="0"/>
          <w:sz w:val="24"/>
          <w:szCs w:val="24"/>
        </w:rPr>
      </w:pPr>
      <w:r>
        <w:rPr>
          <w:rFonts w:hint="eastAsia" w:ascii="仿宋" w:hAnsi="仿宋" w:eastAsia="仿宋" w:cs="仿宋"/>
          <w:kern w:val="0"/>
          <w:sz w:val="32"/>
          <w:szCs w:val="32"/>
          <w:lang w:val="en-US" w:eastAsia="zh-CN" w:bidi="ar"/>
        </w:rPr>
        <w:t>本年度财政收入为</w:t>
      </w:r>
      <w:r>
        <w:rPr>
          <w:rFonts w:hint="eastAsia" w:ascii="仿宋" w:hAnsi="仿宋" w:eastAsia="仿宋" w:cs="宋体"/>
          <w:kern w:val="0"/>
          <w:sz w:val="32"/>
          <w:szCs w:val="32"/>
          <w:lang w:val="en-US" w:eastAsia="zh-CN" w:bidi="ar"/>
        </w:rPr>
        <w:t>1244.65</w:t>
      </w:r>
      <w:r>
        <w:rPr>
          <w:rFonts w:hint="eastAsia" w:ascii="仿宋" w:hAnsi="仿宋" w:eastAsia="仿宋" w:cs="仿宋"/>
          <w:kern w:val="0"/>
          <w:sz w:val="32"/>
          <w:szCs w:val="32"/>
          <w:lang w:val="en-US" w:eastAsia="zh-CN" w:bidi="ar"/>
        </w:rPr>
        <w:t>万元（其中财政拨款收入</w:t>
      </w:r>
      <w:r>
        <w:rPr>
          <w:rFonts w:hint="eastAsia" w:ascii="仿宋" w:hAnsi="仿宋" w:eastAsia="仿宋" w:cs="宋体"/>
          <w:kern w:val="0"/>
          <w:sz w:val="32"/>
          <w:szCs w:val="32"/>
          <w:lang w:val="en-US" w:eastAsia="zh-CN" w:bidi="ar"/>
        </w:rPr>
        <w:t>1244.65</w:t>
      </w:r>
      <w:r>
        <w:rPr>
          <w:rFonts w:hint="eastAsia" w:ascii="仿宋" w:hAnsi="仿宋" w:eastAsia="仿宋" w:cs="仿宋"/>
          <w:kern w:val="0"/>
          <w:sz w:val="32"/>
          <w:szCs w:val="32"/>
          <w:lang w:val="en-US" w:eastAsia="zh-CN" w:bidi="ar"/>
        </w:rPr>
        <w:t>万元、政府性基金预算财政拨款收入</w:t>
      </w:r>
      <w:r>
        <w:rPr>
          <w:rFonts w:hint="eastAsia" w:ascii="仿宋" w:hAnsi="仿宋" w:eastAsia="仿宋" w:cs="宋体"/>
          <w:kern w:val="0"/>
          <w:sz w:val="32"/>
          <w:szCs w:val="32"/>
          <w:lang w:val="en-US" w:eastAsia="zh-CN" w:bidi="ar"/>
        </w:rPr>
        <w:t>0</w:t>
      </w:r>
      <w:r>
        <w:rPr>
          <w:rFonts w:hint="eastAsia" w:ascii="仿宋" w:hAnsi="仿宋" w:eastAsia="仿宋" w:cs="仿宋"/>
          <w:kern w:val="0"/>
          <w:sz w:val="32"/>
          <w:szCs w:val="32"/>
          <w:lang w:val="en-US" w:eastAsia="zh-CN" w:bidi="ar"/>
        </w:rPr>
        <w:t>万元），比上年财政收入</w:t>
      </w:r>
      <w:r>
        <w:rPr>
          <w:rFonts w:hint="eastAsia" w:ascii="仿宋" w:hAnsi="仿宋" w:eastAsia="仿宋" w:cs="宋体"/>
          <w:kern w:val="0"/>
          <w:sz w:val="32"/>
          <w:szCs w:val="32"/>
          <w:lang w:val="en-US" w:eastAsia="zh-CN" w:bidi="ar"/>
        </w:rPr>
        <w:t>2992.32</w:t>
      </w:r>
      <w:r>
        <w:rPr>
          <w:rFonts w:hint="eastAsia" w:ascii="仿宋" w:hAnsi="仿宋" w:eastAsia="仿宋" w:cs="仿宋"/>
          <w:kern w:val="0"/>
          <w:sz w:val="32"/>
          <w:szCs w:val="32"/>
          <w:lang w:val="en-US" w:eastAsia="zh-CN" w:bidi="ar"/>
        </w:rPr>
        <w:t>万元减少了</w:t>
      </w:r>
      <w:r>
        <w:rPr>
          <w:rFonts w:hint="eastAsia" w:ascii="仿宋" w:hAnsi="仿宋" w:eastAsia="仿宋" w:cs="宋体"/>
          <w:kern w:val="0"/>
          <w:sz w:val="32"/>
          <w:szCs w:val="32"/>
          <w:lang w:val="en-US" w:eastAsia="zh-CN" w:bidi="ar"/>
        </w:rPr>
        <w:t>1747.67</w:t>
      </w:r>
      <w:r>
        <w:rPr>
          <w:rFonts w:hint="eastAsia" w:ascii="仿宋" w:hAnsi="仿宋" w:eastAsia="仿宋" w:cs="仿宋"/>
          <w:kern w:val="0"/>
          <w:sz w:val="32"/>
          <w:szCs w:val="32"/>
          <w:lang w:val="en-US" w:eastAsia="zh-CN" w:bidi="ar"/>
        </w:rPr>
        <w:t>万元，原因为本年减少基金收入；本年度支出</w:t>
      </w:r>
      <w:r>
        <w:rPr>
          <w:rFonts w:hint="eastAsia" w:ascii="仿宋" w:hAnsi="仿宋" w:eastAsia="仿宋" w:cs="宋体"/>
          <w:kern w:val="0"/>
          <w:sz w:val="32"/>
          <w:szCs w:val="32"/>
          <w:lang w:val="en-US" w:eastAsia="zh-CN" w:bidi="ar"/>
        </w:rPr>
        <w:t>3914.64</w:t>
      </w:r>
      <w:r>
        <w:rPr>
          <w:rFonts w:hint="eastAsia" w:ascii="仿宋" w:hAnsi="仿宋" w:eastAsia="仿宋" w:cs="仿宋"/>
          <w:kern w:val="0"/>
          <w:sz w:val="32"/>
          <w:szCs w:val="32"/>
          <w:lang w:val="en-US" w:eastAsia="zh-CN" w:bidi="ar"/>
        </w:rPr>
        <w:t>万元（其中基本支出</w:t>
      </w:r>
      <w:r>
        <w:rPr>
          <w:rFonts w:hint="eastAsia" w:ascii="仿宋" w:hAnsi="仿宋" w:eastAsia="仿宋" w:cs="宋体"/>
          <w:kern w:val="0"/>
          <w:sz w:val="32"/>
          <w:szCs w:val="32"/>
          <w:lang w:val="en-US" w:eastAsia="zh-CN" w:bidi="ar"/>
        </w:rPr>
        <w:t>483.72</w:t>
      </w:r>
      <w:r>
        <w:rPr>
          <w:rFonts w:hint="eastAsia" w:ascii="仿宋" w:hAnsi="仿宋" w:eastAsia="仿宋" w:cs="仿宋"/>
          <w:kern w:val="0"/>
          <w:sz w:val="32"/>
          <w:szCs w:val="32"/>
          <w:lang w:val="en-US" w:eastAsia="zh-CN" w:bidi="ar"/>
        </w:rPr>
        <w:t>万元、项目支出</w:t>
      </w:r>
      <w:r>
        <w:rPr>
          <w:rFonts w:hint="eastAsia" w:ascii="仿宋" w:hAnsi="仿宋" w:eastAsia="仿宋" w:cs="宋体"/>
          <w:kern w:val="0"/>
          <w:sz w:val="32"/>
          <w:szCs w:val="32"/>
          <w:lang w:val="en-US" w:eastAsia="zh-CN" w:bidi="ar"/>
        </w:rPr>
        <w:t>3430.92</w:t>
      </w:r>
      <w:r>
        <w:rPr>
          <w:rFonts w:hint="eastAsia" w:ascii="仿宋" w:hAnsi="仿宋" w:eastAsia="仿宋" w:cs="仿宋"/>
          <w:kern w:val="0"/>
          <w:sz w:val="32"/>
          <w:szCs w:val="32"/>
          <w:lang w:val="en-US" w:eastAsia="zh-CN" w:bidi="ar"/>
        </w:rPr>
        <w:t>万元），比上年支出</w:t>
      </w:r>
      <w:r>
        <w:rPr>
          <w:rFonts w:hint="eastAsia" w:ascii="仿宋" w:hAnsi="仿宋" w:eastAsia="仿宋" w:cs="宋体"/>
          <w:kern w:val="0"/>
          <w:sz w:val="32"/>
          <w:szCs w:val="32"/>
          <w:lang w:val="en-US" w:eastAsia="zh-CN" w:bidi="ar"/>
        </w:rPr>
        <w:t>2005.20</w:t>
      </w:r>
      <w:r>
        <w:rPr>
          <w:rFonts w:hint="eastAsia" w:ascii="仿宋" w:hAnsi="仿宋" w:eastAsia="仿宋" w:cs="仿宋"/>
          <w:kern w:val="0"/>
          <w:sz w:val="32"/>
          <w:szCs w:val="32"/>
          <w:lang w:val="en-US" w:eastAsia="zh-CN" w:bidi="ar"/>
        </w:rPr>
        <w:t>万元增加</w:t>
      </w:r>
      <w:r>
        <w:rPr>
          <w:rFonts w:hint="eastAsia" w:ascii="仿宋" w:hAnsi="仿宋" w:eastAsia="仿宋" w:cs="宋体"/>
          <w:kern w:val="0"/>
          <w:sz w:val="32"/>
          <w:szCs w:val="32"/>
          <w:lang w:val="en-US" w:eastAsia="zh-CN" w:bidi="ar"/>
        </w:rPr>
        <w:t>1909.44万元，原因</w:t>
      </w:r>
      <w:r>
        <w:rPr>
          <w:rFonts w:hint="eastAsia" w:ascii="仿宋" w:hAnsi="仿宋" w:eastAsia="仿宋" w:cs="仿宋"/>
          <w:kern w:val="0"/>
          <w:sz w:val="32"/>
          <w:szCs w:val="32"/>
          <w:lang w:val="en-US" w:eastAsia="zh-CN" w:bidi="ar"/>
        </w:rPr>
        <w:t>为本年支出去年收入结余资金，增加项目支出。</w:t>
      </w:r>
      <w:r>
        <w:rPr>
          <w:rFonts w:hint="eastAsia" w:ascii="宋体" w:hAnsi="宋体" w:eastAsia="宋体" w:cs="宋体"/>
          <w:kern w:val="0"/>
          <w:sz w:val="24"/>
          <w:szCs w:val="24"/>
        </w:rPr>
        <w:t xml:space="preserve"> </w:t>
      </w:r>
    </w:p>
    <w:p>
      <w:pPr>
        <w:pStyle w:val="12"/>
        <w:keepNext w:val="0"/>
        <w:keepLines w:val="0"/>
        <w:widowControl/>
        <w:numPr>
          <w:ilvl w:val="0"/>
          <w:numId w:val="2"/>
        </w:numPr>
        <w:suppressLineNumbers w:val="0"/>
        <w:snapToGrid w:val="0"/>
        <w:spacing w:before="0" w:beforeAutospacing="0" w:after="0" w:afterAutospacing="1"/>
        <w:ind w:left="0" w:right="0"/>
        <w:jc w:val="left"/>
        <w:rPr>
          <w:rFonts w:hint="eastAsia" w:ascii="宋体" w:hAnsi="宋体" w:eastAsia="宋体" w:cs="宋体"/>
          <w:kern w:val="0"/>
          <w:sz w:val="24"/>
          <w:szCs w:val="24"/>
        </w:rPr>
      </w:pPr>
      <w:r>
        <w:rPr>
          <w:rFonts w:hint="eastAsia" w:ascii="宋体" w:hAnsi="宋体" w:eastAsia="宋体" w:cs="宋体"/>
          <w:b w:val="0"/>
          <w:kern w:val="0"/>
          <w:sz w:val="32"/>
          <w:szCs w:val="32"/>
          <w:shd w:val="clear" w:fill="FFFFFF"/>
          <w:lang w:val="en-US" w:eastAsia="zh-CN" w:bidi="ar"/>
        </w:rPr>
        <w:t>收入决算情况说明</w:t>
      </w:r>
    </w:p>
    <w:p>
      <w:pPr>
        <w:pStyle w:val="12"/>
        <w:keepNext w:val="0"/>
        <w:keepLines w:val="0"/>
        <w:widowControl/>
        <w:suppressLineNumbers w:val="0"/>
        <w:snapToGrid w:val="0"/>
        <w:spacing w:before="0" w:beforeAutospacing="0" w:after="0" w:afterAutospacing="1"/>
        <w:ind w:left="0" w:right="0" w:rightChars="0" w:firstLine="640" w:firstLineChars="200"/>
        <w:jc w:val="left"/>
        <w:rPr>
          <w:rFonts w:hint="eastAsia" w:ascii="宋体" w:hAnsi="宋体" w:eastAsia="宋体" w:cs="宋体"/>
          <w:kern w:val="0"/>
          <w:sz w:val="24"/>
          <w:szCs w:val="24"/>
        </w:rPr>
      </w:pPr>
      <w:r>
        <w:rPr>
          <w:rFonts w:hint="eastAsia" w:ascii="仿宋" w:hAnsi="仿宋" w:eastAsia="仿宋" w:cs="仿宋"/>
          <w:kern w:val="0"/>
          <w:sz w:val="32"/>
          <w:szCs w:val="32"/>
          <w:lang w:val="en-US" w:eastAsia="zh-CN" w:bidi="ar"/>
        </w:rPr>
        <w:t>本年度收入合计</w:t>
      </w:r>
      <w:r>
        <w:rPr>
          <w:rFonts w:hint="eastAsia" w:ascii="仿宋" w:hAnsi="仿宋" w:eastAsia="仿宋" w:cs="宋体"/>
          <w:kern w:val="0"/>
          <w:sz w:val="32"/>
          <w:szCs w:val="32"/>
          <w:lang w:val="en-US" w:eastAsia="zh-CN" w:bidi="ar"/>
        </w:rPr>
        <w:t>1244.65万元（</w:t>
      </w:r>
      <w:r>
        <w:rPr>
          <w:rFonts w:hint="eastAsia" w:ascii="仿宋" w:hAnsi="仿宋" w:eastAsia="仿宋" w:cs="仿宋"/>
          <w:kern w:val="0"/>
          <w:sz w:val="32"/>
          <w:szCs w:val="32"/>
          <w:lang w:val="en-US" w:eastAsia="zh-CN" w:bidi="ar"/>
        </w:rPr>
        <w:t>其中：财政拨款收入</w:t>
      </w:r>
      <w:r>
        <w:rPr>
          <w:rFonts w:hint="eastAsia" w:ascii="仿宋" w:hAnsi="仿宋" w:eastAsia="仿宋" w:cs="宋体"/>
          <w:kern w:val="0"/>
          <w:sz w:val="32"/>
          <w:szCs w:val="32"/>
          <w:lang w:val="en-US" w:eastAsia="zh-CN" w:bidi="ar"/>
        </w:rPr>
        <w:t>1244.65</w:t>
      </w:r>
      <w:r>
        <w:rPr>
          <w:rFonts w:hint="eastAsia" w:ascii="仿宋" w:hAnsi="仿宋" w:eastAsia="仿宋" w:cs="仿宋"/>
          <w:kern w:val="0"/>
          <w:sz w:val="32"/>
          <w:szCs w:val="32"/>
          <w:lang w:val="en-US" w:eastAsia="zh-CN" w:bidi="ar"/>
        </w:rPr>
        <w:t>万元、政府性基金预算财政拨款收入</w:t>
      </w:r>
      <w:r>
        <w:rPr>
          <w:rFonts w:hint="eastAsia" w:ascii="仿宋" w:hAnsi="仿宋" w:eastAsia="仿宋" w:cs="宋体"/>
          <w:kern w:val="0"/>
          <w:sz w:val="32"/>
          <w:szCs w:val="32"/>
          <w:lang w:val="en-US" w:eastAsia="zh-CN" w:bidi="ar"/>
        </w:rPr>
        <w:t>0</w:t>
      </w:r>
      <w:r>
        <w:rPr>
          <w:rFonts w:hint="eastAsia" w:ascii="仿宋" w:hAnsi="仿宋" w:eastAsia="仿宋" w:cs="仿宋"/>
          <w:kern w:val="0"/>
          <w:sz w:val="32"/>
          <w:szCs w:val="32"/>
          <w:lang w:val="en-US" w:eastAsia="zh-CN" w:bidi="ar"/>
        </w:rPr>
        <w:t>万元）。行政事业单位养老支出</w:t>
      </w:r>
      <w:r>
        <w:rPr>
          <w:rFonts w:hint="eastAsia" w:ascii="仿宋" w:hAnsi="仿宋" w:eastAsia="仿宋" w:cs="宋体"/>
          <w:kern w:val="0"/>
          <w:sz w:val="32"/>
          <w:szCs w:val="32"/>
          <w:lang w:val="en-US" w:eastAsia="zh-CN" w:bidi="ar"/>
        </w:rPr>
        <w:t>62.35万元，行政事业单位医疗28.08万元，自然资源事务支出785.67万元，其他自然资源海洋气象等支出305.1万元，住房公积金38.37万元，地质灾</w:t>
      </w:r>
      <w:r>
        <w:rPr>
          <w:rFonts w:hint="eastAsia" w:ascii="仿宋" w:hAnsi="仿宋" w:eastAsia="仿宋" w:cs="仿宋"/>
          <w:kern w:val="0"/>
          <w:sz w:val="32"/>
          <w:szCs w:val="32"/>
          <w:lang w:val="en-US" w:eastAsia="zh-CN" w:bidi="ar"/>
        </w:rPr>
        <w:t>害防治</w:t>
      </w:r>
      <w:r>
        <w:rPr>
          <w:rFonts w:hint="eastAsia" w:ascii="仿宋" w:hAnsi="仿宋" w:eastAsia="仿宋" w:cs="宋体"/>
          <w:kern w:val="0"/>
          <w:sz w:val="32"/>
          <w:szCs w:val="32"/>
          <w:lang w:val="en-US" w:eastAsia="zh-CN" w:bidi="ar"/>
        </w:rPr>
        <w:t>25.08万元。</w:t>
      </w:r>
      <w:r>
        <w:rPr>
          <w:snapToGrid w:val="0"/>
        </w:rPr>
        <w:drawing>
          <wp:inline distT="0" distB="0" distL="114300" distR="114300">
            <wp:extent cx="5600700" cy="2419350"/>
            <wp:effectExtent l="0" t="0" r="0" b="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5"/>
                    <a:stretch>
                      <a:fillRect/>
                    </a:stretch>
                  </pic:blipFill>
                  <pic:spPr>
                    <a:xfrm>
                      <a:off x="0" y="0"/>
                      <a:ext cx="5600700" cy="2419350"/>
                    </a:xfrm>
                    <a:prstGeom prst="rect">
                      <a:avLst/>
                    </a:prstGeom>
                    <a:noFill/>
                    <a:ln w="9525">
                      <a:noFill/>
                    </a:ln>
                  </pic:spPr>
                </pic:pic>
              </a:graphicData>
            </a:graphic>
          </wp:inline>
        </w:drawing>
      </w:r>
      <w:r>
        <w:rPr>
          <w:rFonts w:hint="eastAsia" w:ascii="宋体" w:hAnsi="宋体" w:eastAsia="宋体" w:cs="宋体"/>
          <w:kern w:val="0"/>
          <w:sz w:val="24"/>
          <w:szCs w:val="24"/>
        </w:rPr>
        <w:t xml:space="preserve"> </w:t>
      </w:r>
    </w:p>
    <w:p>
      <w:pPr>
        <w:pStyle w:val="5"/>
        <w:keepNext w:val="0"/>
        <w:keepLines w:val="0"/>
        <w:widowControl/>
        <w:suppressLineNumbers w:val="0"/>
        <w:snapToGrid w:val="0"/>
        <w:spacing w:before="0" w:beforeAutospacing="1" w:after="0" w:afterAutospacing="1"/>
        <w:ind w:right="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pPr>
        <w:pStyle w:val="12"/>
        <w:keepNext w:val="0"/>
        <w:keepLines w:val="0"/>
        <w:widowControl/>
        <w:numPr>
          <w:ilvl w:val="0"/>
          <w:numId w:val="2"/>
        </w:numPr>
        <w:suppressLineNumbers w:val="0"/>
        <w:snapToGrid w:val="0"/>
        <w:spacing w:before="0" w:beforeAutospacing="0" w:after="0" w:afterAutospacing="1"/>
        <w:ind w:left="0" w:leftChars="0" w:right="0" w:rightChars="0" w:firstLine="0" w:firstLineChars="0"/>
        <w:jc w:val="left"/>
        <w:rPr>
          <w:rFonts w:hint="eastAsia" w:ascii="宋体" w:hAnsi="宋体" w:eastAsia="宋体" w:cs="宋体"/>
          <w:b w:val="0"/>
          <w:kern w:val="0"/>
          <w:sz w:val="32"/>
          <w:szCs w:val="32"/>
          <w:shd w:val="clear" w:fill="FFFFFF"/>
        </w:rPr>
      </w:pPr>
      <w:r>
        <w:rPr>
          <w:rFonts w:hint="eastAsia" w:ascii="宋体" w:hAnsi="宋体" w:eastAsia="宋体" w:cs="宋体"/>
          <w:b w:val="0"/>
          <w:kern w:val="0"/>
          <w:sz w:val="32"/>
          <w:szCs w:val="32"/>
          <w:shd w:val="clear" w:fill="FFFFFF"/>
          <w:lang w:val="en-US" w:eastAsia="zh-CN" w:bidi="ar"/>
        </w:rPr>
        <w:t>支出决算情况说明</w:t>
      </w:r>
    </w:p>
    <w:p>
      <w:pPr>
        <w:pStyle w:val="12"/>
        <w:keepNext w:val="0"/>
        <w:keepLines w:val="0"/>
        <w:widowControl/>
        <w:suppressLineNumbers w:val="0"/>
        <w:snapToGrid w:val="0"/>
        <w:spacing w:before="0" w:beforeAutospacing="0" w:after="0" w:afterAutospacing="1"/>
        <w:ind w:left="0" w:right="0" w:rightChars="0" w:firstLine="640" w:firstLineChars="200"/>
        <w:jc w:val="left"/>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本年度支出合计</w:t>
      </w:r>
      <w:r>
        <w:rPr>
          <w:rFonts w:hint="eastAsia" w:ascii="仿宋" w:hAnsi="仿宋" w:eastAsia="仿宋" w:cs="宋体"/>
          <w:kern w:val="0"/>
          <w:sz w:val="32"/>
          <w:szCs w:val="32"/>
          <w:lang w:val="en-US" w:eastAsia="zh-CN" w:bidi="ar"/>
        </w:rPr>
        <w:t>3914.64万元（</w:t>
      </w:r>
      <w:r>
        <w:rPr>
          <w:rFonts w:hint="eastAsia" w:ascii="仿宋" w:hAnsi="仿宋" w:eastAsia="仿宋" w:cs="仿宋"/>
          <w:kern w:val="0"/>
          <w:sz w:val="32"/>
          <w:szCs w:val="32"/>
          <w:lang w:val="en-US" w:eastAsia="zh-CN" w:bidi="ar"/>
        </w:rPr>
        <w:t>其中：基本支出</w:t>
      </w:r>
      <w:r>
        <w:rPr>
          <w:rFonts w:hint="eastAsia" w:ascii="仿宋" w:hAnsi="仿宋" w:eastAsia="仿宋" w:cs="宋体"/>
          <w:kern w:val="0"/>
          <w:sz w:val="32"/>
          <w:szCs w:val="32"/>
          <w:lang w:val="en-US" w:eastAsia="zh-CN" w:bidi="ar"/>
        </w:rPr>
        <w:t>483.72</w:t>
      </w:r>
      <w:r>
        <w:rPr>
          <w:rFonts w:hint="eastAsia" w:ascii="仿宋" w:hAnsi="仿宋" w:eastAsia="仿宋" w:cs="仿宋"/>
          <w:kern w:val="0"/>
          <w:sz w:val="32"/>
          <w:szCs w:val="32"/>
          <w:lang w:val="en-US" w:eastAsia="zh-CN" w:bidi="ar"/>
        </w:rPr>
        <w:t>万元、项目支出</w:t>
      </w:r>
      <w:r>
        <w:rPr>
          <w:rFonts w:hint="eastAsia" w:ascii="仿宋" w:hAnsi="仿宋" w:eastAsia="仿宋" w:cs="宋体"/>
          <w:kern w:val="0"/>
          <w:sz w:val="32"/>
          <w:szCs w:val="32"/>
          <w:lang w:val="en-US" w:eastAsia="zh-CN" w:bidi="ar"/>
        </w:rPr>
        <w:t>3430.92</w:t>
      </w:r>
      <w:r>
        <w:rPr>
          <w:rFonts w:hint="eastAsia" w:ascii="仿宋" w:hAnsi="仿宋" w:eastAsia="仿宋" w:cs="仿宋"/>
          <w:kern w:val="0"/>
          <w:sz w:val="32"/>
          <w:szCs w:val="32"/>
          <w:lang w:val="en-US" w:eastAsia="zh-CN" w:bidi="ar"/>
        </w:rPr>
        <w:t>万元）。行政事业单位养老支出</w:t>
      </w:r>
      <w:r>
        <w:rPr>
          <w:rFonts w:hint="eastAsia" w:ascii="仿宋" w:hAnsi="仿宋" w:eastAsia="仿宋" w:cs="宋体"/>
          <w:kern w:val="0"/>
          <w:sz w:val="32"/>
          <w:szCs w:val="32"/>
          <w:lang w:val="en-US" w:eastAsia="zh-CN" w:bidi="ar"/>
        </w:rPr>
        <w:t>62.35万元，行政事业单位医疗28.08万元，其他扶贫支出1184.17万元，自然资源事务支出2317.07万元，其他自然资源海洋气象等支出248.1万元，住房公积金38.37万元，地质灾害防治36.5万元。</w:t>
      </w:r>
    </w:p>
    <w:p>
      <w:pPr>
        <w:pStyle w:val="5"/>
        <w:keepNext w:val="0"/>
        <w:keepLines w:val="0"/>
        <w:widowControl/>
        <w:suppressLineNumbers w:val="0"/>
        <w:snapToGrid w:val="0"/>
        <w:spacing w:before="0" w:beforeAutospacing="1" w:after="0" w:afterAutospacing="1"/>
        <w:ind w:left="0" w:leftChars="0" w:right="0" w:firstLine="0" w:firstLineChars="0"/>
        <w:rPr>
          <w:rFonts w:hint="eastAsia" w:ascii="宋体" w:hAnsi="宋体" w:eastAsia="宋体" w:cs="宋体"/>
          <w:kern w:val="0"/>
          <w:sz w:val="24"/>
          <w:szCs w:val="24"/>
        </w:rPr>
      </w:pPr>
      <w:r>
        <w:rPr>
          <w:snapToGrid w:val="0"/>
        </w:rPr>
        <w:drawing>
          <wp:inline distT="0" distB="0" distL="114300" distR="114300">
            <wp:extent cx="5572125" cy="2152650"/>
            <wp:effectExtent l="0" t="0" r="9525"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6"/>
                    <a:stretch>
                      <a:fillRect/>
                    </a:stretch>
                  </pic:blipFill>
                  <pic:spPr>
                    <a:xfrm>
                      <a:off x="0" y="0"/>
                      <a:ext cx="5572125" cy="2152650"/>
                    </a:xfrm>
                    <a:prstGeom prst="rect">
                      <a:avLst/>
                    </a:prstGeom>
                    <a:noFill/>
                    <a:ln w="9525">
                      <a:noFill/>
                    </a:ln>
                  </pic:spPr>
                </pic:pic>
              </a:graphicData>
            </a:graphic>
          </wp:inline>
        </w:drawing>
      </w:r>
      <w:r>
        <w:rPr>
          <w:rFonts w:hint="eastAsia" w:ascii="宋体" w:hAnsi="宋体" w:eastAsia="宋体" w:cs="宋体"/>
          <w:kern w:val="0"/>
          <w:sz w:val="24"/>
          <w:szCs w:val="24"/>
        </w:rPr>
        <w:t xml:space="preserve"> </w:t>
      </w:r>
    </w:p>
    <w:p>
      <w:pPr>
        <w:pStyle w:val="12"/>
        <w:keepNext w:val="0"/>
        <w:keepLines w:val="0"/>
        <w:widowControl/>
        <w:numPr>
          <w:ilvl w:val="0"/>
          <w:numId w:val="2"/>
        </w:numPr>
        <w:suppressLineNumbers w:val="0"/>
        <w:snapToGrid w:val="0"/>
        <w:spacing w:before="0" w:beforeAutospacing="0" w:after="0" w:afterAutospacing="1"/>
        <w:ind w:left="0" w:leftChars="0" w:right="0" w:rightChars="0" w:firstLine="0" w:firstLineChars="0"/>
        <w:jc w:val="left"/>
        <w:rPr>
          <w:rFonts w:hint="eastAsia" w:ascii="宋体" w:hAnsi="宋体" w:eastAsia="宋体" w:cs="宋体"/>
          <w:b w:val="0"/>
          <w:kern w:val="0"/>
          <w:sz w:val="32"/>
          <w:szCs w:val="32"/>
          <w:shd w:val="clear" w:fill="FFFFFF"/>
        </w:rPr>
      </w:pPr>
      <w:r>
        <w:rPr>
          <w:rFonts w:hint="eastAsia" w:ascii="宋体" w:hAnsi="宋体" w:eastAsia="宋体" w:cs="宋体"/>
          <w:b w:val="0"/>
          <w:kern w:val="0"/>
          <w:sz w:val="32"/>
          <w:szCs w:val="32"/>
          <w:shd w:val="clear" w:fill="FFFFFF"/>
          <w:lang w:val="en-US" w:eastAsia="zh-CN" w:bidi="ar"/>
        </w:rPr>
        <w:t>财政拨款收入支出决算总体情况说明</w:t>
      </w:r>
    </w:p>
    <w:p>
      <w:pPr>
        <w:keepNext w:val="0"/>
        <w:keepLines w:val="0"/>
        <w:widowControl/>
        <w:suppressLineNumbers w:val="0"/>
        <w:snapToGrid w:val="0"/>
        <w:spacing w:before="0" w:beforeAutospacing="0" w:after="0" w:afterAutospacing="0" w:line="520" w:lineRule="exact"/>
        <w:ind w:left="0" w:right="0" w:firstLine="640" w:firstLineChars="200"/>
        <w:jc w:val="left"/>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本年度一般公共预算财政拨款收入为</w:t>
      </w:r>
      <w:r>
        <w:rPr>
          <w:rFonts w:hint="eastAsia" w:ascii="仿宋" w:hAnsi="仿宋" w:eastAsia="仿宋" w:cs="宋体"/>
          <w:kern w:val="0"/>
          <w:sz w:val="32"/>
          <w:szCs w:val="32"/>
          <w:lang w:val="en-US" w:eastAsia="zh-CN" w:bidi="ar"/>
        </w:rPr>
        <w:t>1244.65万元，年初财政拨款结转结余为3548.62万元，本年支出为3914.64万元，年末财政拨款结转和结余为878.63万元。其中：社会保障和就业支出为62.35万元、卫生健康支出28.08万元、农林水支出1184.17万元、自然资源海洋气象等支出2565.17万元、住房保障支出38.37万元、灾害防治及应急管理支出36.5万元。</w:t>
      </w:r>
    </w:p>
    <w:p>
      <w:pPr>
        <w:keepNext w:val="0"/>
        <w:keepLines w:val="0"/>
        <w:widowControl/>
        <w:suppressLineNumbers w:val="0"/>
        <w:snapToGrid w:val="0"/>
        <w:spacing w:before="0" w:beforeAutospacing="0" w:after="0" w:afterAutospacing="0" w:line="520" w:lineRule="exact"/>
        <w:ind w:left="0" w:right="0" w:firstLine="640" w:firstLineChars="200"/>
        <w:jc w:val="left"/>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本年度我局年末财政拨款结转资金为</w:t>
      </w:r>
      <w:r>
        <w:rPr>
          <w:rFonts w:hint="eastAsia" w:ascii="仿宋" w:hAnsi="仿宋" w:eastAsia="仿宋" w:cs="宋体"/>
          <w:kern w:val="0"/>
          <w:sz w:val="32"/>
          <w:szCs w:val="32"/>
          <w:lang w:val="en-US" w:eastAsia="zh-CN" w:bidi="ar"/>
        </w:rPr>
        <w:t>878.63万</w:t>
      </w:r>
      <w:r>
        <w:rPr>
          <w:rFonts w:hint="eastAsia" w:ascii="仿宋" w:hAnsi="仿宋" w:eastAsia="仿宋" w:cs="仿宋"/>
          <w:kern w:val="0"/>
          <w:sz w:val="32"/>
          <w:szCs w:val="32"/>
          <w:lang w:val="en-US" w:eastAsia="zh-CN" w:bidi="ar"/>
        </w:rPr>
        <w:t>元，（其中：项目结转</w:t>
      </w:r>
      <w:r>
        <w:rPr>
          <w:rFonts w:hint="eastAsia" w:ascii="仿宋" w:hAnsi="仿宋" w:eastAsia="仿宋" w:cs="宋体"/>
          <w:kern w:val="0"/>
          <w:sz w:val="32"/>
          <w:szCs w:val="32"/>
          <w:lang w:val="en-US" w:eastAsia="zh-CN" w:bidi="ar"/>
        </w:rPr>
        <w:t>878.63万元，</w:t>
      </w:r>
      <w:r>
        <w:rPr>
          <w:rFonts w:hint="default" w:ascii="仿宋_GB2312" w:hAnsi="仿宋" w:eastAsia="仿宋_GB2312" w:cs="仿宋_GB2312"/>
          <w:kern w:val="0"/>
          <w:sz w:val="32"/>
          <w:szCs w:val="32"/>
          <w:lang w:val="en-US" w:eastAsia="zh-CN" w:bidi="ar"/>
        </w:rPr>
        <w:t>其中：阿州财资环【</w:t>
      </w:r>
      <w:r>
        <w:rPr>
          <w:rFonts w:hint="default" w:ascii="仿宋_GB2312" w:hAnsi="仿宋" w:eastAsia="仿宋_GB2312" w:cs="宋体"/>
          <w:kern w:val="0"/>
          <w:sz w:val="32"/>
          <w:szCs w:val="32"/>
          <w:lang w:val="en-US" w:eastAsia="zh-CN" w:bidi="ar"/>
        </w:rPr>
        <w:t>2020】48号15万元、阿州财资环（2020）38号72.80万元、阿州财投【2019】56号733.83万元、阿州财资环【2020】8号57万元，均为未完工项目结余资金。</w:t>
      </w:r>
    </w:p>
    <w:p>
      <w:pPr>
        <w:pStyle w:val="5"/>
        <w:keepNext w:val="0"/>
        <w:keepLines w:val="0"/>
        <w:widowControl/>
        <w:suppressLineNumbers w:val="0"/>
        <w:snapToGrid w:val="0"/>
        <w:spacing w:before="0" w:beforeAutospacing="1" w:after="0" w:afterAutospacing="1"/>
        <w:ind w:left="0" w:leftChars="0" w:right="0" w:firstLine="0" w:firstLineChars="0"/>
        <w:rPr>
          <w:rFonts w:hint="eastAsia" w:ascii="宋体" w:hAnsi="宋体" w:eastAsia="宋体" w:cs="宋体"/>
          <w:kern w:val="0"/>
          <w:sz w:val="24"/>
          <w:szCs w:val="24"/>
        </w:rPr>
      </w:pPr>
      <w:r>
        <w:rPr>
          <w:snapToGrid w:val="0"/>
        </w:rPr>
        <w:drawing>
          <wp:inline distT="0" distB="0" distL="114300" distR="114300">
            <wp:extent cx="5200650" cy="2333625"/>
            <wp:effectExtent l="0" t="0" r="0" b="9525"/>
            <wp:docPr id="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8"/>
                    <pic:cNvPicPr>
                      <a:picLocks noChangeAspect="1"/>
                    </pic:cNvPicPr>
                  </pic:nvPicPr>
                  <pic:blipFill>
                    <a:blip r:embed="rId7"/>
                    <a:stretch>
                      <a:fillRect/>
                    </a:stretch>
                  </pic:blipFill>
                  <pic:spPr>
                    <a:xfrm>
                      <a:off x="0" y="0"/>
                      <a:ext cx="5200650" cy="2333625"/>
                    </a:xfrm>
                    <a:prstGeom prst="rect">
                      <a:avLst/>
                    </a:prstGeom>
                    <a:noFill/>
                    <a:ln w="9525">
                      <a:noFill/>
                    </a:ln>
                  </pic:spPr>
                </pic:pic>
              </a:graphicData>
            </a:graphic>
          </wp:inline>
        </w:drawing>
      </w:r>
      <w:r>
        <w:rPr>
          <w:rFonts w:hint="eastAsia" w:ascii="宋体" w:hAnsi="宋体" w:eastAsia="宋体" w:cs="宋体"/>
          <w:kern w:val="0"/>
          <w:sz w:val="24"/>
          <w:szCs w:val="24"/>
        </w:rPr>
        <w:t xml:space="preserve"> </w:t>
      </w:r>
    </w:p>
    <w:p>
      <w:pPr>
        <w:pStyle w:val="12"/>
        <w:keepNext w:val="0"/>
        <w:keepLines w:val="0"/>
        <w:widowControl/>
        <w:numPr>
          <w:ilvl w:val="0"/>
          <w:numId w:val="2"/>
        </w:numPr>
        <w:suppressLineNumbers w:val="0"/>
        <w:snapToGrid w:val="0"/>
        <w:spacing w:before="0" w:beforeAutospacing="0" w:after="0" w:afterAutospacing="1"/>
        <w:ind w:left="0" w:leftChars="0" w:right="0" w:rightChars="0" w:firstLine="0" w:firstLineChars="0"/>
        <w:jc w:val="left"/>
        <w:rPr>
          <w:rFonts w:hint="eastAsia" w:ascii="宋体" w:hAnsi="宋体" w:eastAsia="宋体" w:cs="宋体"/>
          <w:b w:val="0"/>
          <w:kern w:val="0"/>
          <w:sz w:val="32"/>
          <w:szCs w:val="32"/>
          <w:shd w:val="clear" w:fill="FFFFFF"/>
        </w:rPr>
      </w:pPr>
      <w:r>
        <w:rPr>
          <w:rFonts w:hint="eastAsia" w:ascii="宋体" w:hAnsi="宋体" w:eastAsia="宋体" w:cs="宋体"/>
          <w:b w:val="0"/>
          <w:kern w:val="0"/>
          <w:sz w:val="32"/>
          <w:szCs w:val="32"/>
          <w:shd w:val="clear" w:fill="FFFFFF"/>
          <w:lang w:val="en-US" w:eastAsia="zh-CN" w:bidi="ar"/>
        </w:rPr>
        <w:t>一般公共预算财政拨款支出决算情况说明</w:t>
      </w:r>
    </w:p>
    <w:p>
      <w:pPr>
        <w:keepNext w:val="0"/>
        <w:keepLines w:val="0"/>
        <w:widowControl/>
        <w:suppressLineNumbers w:val="0"/>
        <w:snapToGrid w:val="0"/>
        <w:spacing w:before="0" w:beforeAutospacing="0" w:after="0" w:afterAutospacing="0" w:line="520" w:lineRule="exact"/>
        <w:ind w:left="0" w:right="0" w:firstLine="640" w:firstLineChars="200"/>
        <w:jc w:val="left"/>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本年度一般公共预算财政拨款支出合计</w:t>
      </w:r>
      <w:r>
        <w:rPr>
          <w:rFonts w:hint="eastAsia" w:ascii="仿宋" w:hAnsi="仿宋" w:eastAsia="仿宋" w:cs="宋体"/>
          <w:kern w:val="0"/>
          <w:sz w:val="32"/>
          <w:szCs w:val="32"/>
          <w:lang w:val="en-US" w:eastAsia="zh-CN" w:bidi="ar"/>
        </w:rPr>
        <w:t>3914.64万元（其中：基本支出483.72万元、项目支出3430.92万元）。行政事业单位养老支出62.35万元，行政事业单位医疗28.08万元，</w:t>
      </w:r>
      <w:r>
        <w:rPr>
          <w:rFonts w:hint="eastAsia" w:ascii="仿宋" w:hAnsi="仿宋" w:eastAsia="仿宋" w:cs="仿宋"/>
          <w:kern w:val="0"/>
          <w:sz w:val="32"/>
          <w:szCs w:val="32"/>
          <w:lang w:val="en-US" w:eastAsia="zh-CN" w:bidi="ar"/>
        </w:rPr>
        <w:t>农林水支出</w:t>
      </w:r>
      <w:r>
        <w:rPr>
          <w:rFonts w:hint="eastAsia" w:ascii="仿宋" w:hAnsi="仿宋" w:eastAsia="仿宋" w:cs="宋体"/>
          <w:kern w:val="0"/>
          <w:sz w:val="32"/>
          <w:szCs w:val="32"/>
          <w:lang w:val="en-US" w:eastAsia="zh-CN" w:bidi="ar"/>
        </w:rPr>
        <w:t>1184.17万元，自然资源海洋气象等支出2565.17万元、住房保障支出38.37万元、灾害防治及应急管理支出36.5万元。</w:t>
      </w:r>
    </w:p>
    <w:p>
      <w:pPr>
        <w:pStyle w:val="12"/>
        <w:keepNext w:val="0"/>
        <w:keepLines w:val="0"/>
        <w:widowControl/>
        <w:suppressLineNumbers w:val="0"/>
        <w:snapToGrid w:val="0"/>
        <w:spacing w:before="0" w:beforeAutospacing="0" w:after="0" w:afterAutospacing="1"/>
        <w:ind w:left="0" w:right="0"/>
        <w:jc w:val="left"/>
        <w:rPr>
          <w:rFonts w:hint="eastAsia" w:ascii="宋体" w:hAnsi="宋体" w:eastAsia="宋体" w:cs="宋体"/>
          <w:b w:val="0"/>
          <w:kern w:val="0"/>
          <w:sz w:val="32"/>
          <w:szCs w:val="32"/>
          <w:shd w:val="clear" w:fill="FFFFFF"/>
        </w:rPr>
      </w:pPr>
      <w:r>
        <w:rPr>
          <w:rFonts w:hint="eastAsia" w:ascii="宋体" w:hAnsi="宋体" w:eastAsia="宋体" w:cs="宋体"/>
          <w:snapToGrid w:val="0"/>
          <w:kern w:val="0"/>
          <w:sz w:val="24"/>
          <w:szCs w:val="24"/>
          <w:lang w:val="en-US" w:eastAsia="zh-CN" w:bidi="ar"/>
        </w:rPr>
        <w:drawing>
          <wp:inline distT="0" distB="0" distL="114300" distR="114300">
            <wp:extent cx="4981575" cy="2752725"/>
            <wp:effectExtent l="0" t="0" r="9525" b="9525"/>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8"/>
                    <a:stretch>
                      <a:fillRect/>
                    </a:stretch>
                  </pic:blipFill>
                  <pic:spPr>
                    <a:xfrm>
                      <a:off x="0" y="0"/>
                      <a:ext cx="4981575" cy="2752725"/>
                    </a:xfrm>
                    <a:prstGeom prst="rect">
                      <a:avLst/>
                    </a:prstGeom>
                    <a:noFill/>
                    <a:ln w="9525">
                      <a:noFill/>
                    </a:ln>
                  </pic:spPr>
                </pic:pic>
              </a:graphicData>
            </a:graphic>
          </wp:inline>
        </w:drawing>
      </w:r>
      <w:r>
        <w:rPr>
          <w:rFonts w:hint="eastAsia" w:ascii="宋体" w:hAnsi="宋体" w:eastAsia="宋体" w:cs="宋体"/>
          <w:b w:val="0"/>
          <w:kern w:val="0"/>
          <w:sz w:val="32"/>
          <w:szCs w:val="32"/>
          <w:shd w:val="clear" w:fill="FFFFFF"/>
          <w:lang w:val="en-US" w:eastAsia="zh-CN" w:bidi="ar"/>
        </w:rPr>
        <w:t>六、一般公共预算财政拨款基本支出决算情况说明</w:t>
      </w:r>
    </w:p>
    <w:p>
      <w:pPr>
        <w:keepNext w:val="0"/>
        <w:keepLines w:val="0"/>
        <w:widowControl/>
        <w:suppressLineNumbers w:val="0"/>
        <w:snapToGrid w:val="0"/>
        <w:spacing w:before="0" w:beforeAutospacing="0" w:after="0" w:afterAutospacing="0" w:line="520" w:lineRule="exact"/>
        <w:ind w:left="0" w:right="0" w:firstLine="640" w:firstLineChars="200"/>
        <w:jc w:val="left"/>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本年度一般公共预算财政拨款基本支出为</w:t>
      </w:r>
      <w:r>
        <w:rPr>
          <w:rFonts w:hint="eastAsia" w:ascii="仿宋" w:hAnsi="仿宋" w:eastAsia="仿宋" w:cs="宋体"/>
          <w:kern w:val="0"/>
          <w:sz w:val="32"/>
          <w:szCs w:val="32"/>
          <w:lang w:val="en-US" w:eastAsia="zh-CN" w:bidi="ar"/>
        </w:rPr>
        <w:t>483.72万元（</w:t>
      </w:r>
      <w:r>
        <w:rPr>
          <w:rFonts w:hint="eastAsia" w:ascii="仿宋" w:hAnsi="仿宋" w:eastAsia="仿宋" w:cs="仿宋"/>
          <w:kern w:val="0"/>
          <w:sz w:val="32"/>
          <w:szCs w:val="32"/>
          <w:lang w:val="en-US" w:eastAsia="zh-CN" w:bidi="ar"/>
        </w:rPr>
        <w:t>人员经费</w:t>
      </w:r>
      <w:r>
        <w:rPr>
          <w:rFonts w:hint="eastAsia" w:ascii="仿宋" w:hAnsi="仿宋" w:eastAsia="仿宋" w:cs="宋体"/>
          <w:kern w:val="0"/>
          <w:sz w:val="32"/>
          <w:szCs w:val="32"/>
          <w:lang w:val="en-US" w:eastAsia="zh-CN" w:bidi="ar"/>
        </w:rPr>
        <w:t>451.89万元，公用经费31.83万元</w:t>
      </w:r>
      <w:r>
        <w:rPr>
          <w:rFonts w:hint="eastAsia" w:ascii="仿宋" w:hAnsi="仿宋" w:eastAsia="仿宋" w:cs="仿宋"/>
          <w:kern w:val="0"/>
          <w:sz w:val="32"/>
          <w:szCs w:val="32"/>
          <w:lang w:val="en-US" w:eastAsia="zh-CN" w:bidi="ar"/>
        </w:rPr>
        <w:t>）。</w:t>
      </w:r>
    </w:p>
    <w:p>
      <w:pPr>
        <w:keepNext w:val="0"/>
        <w:keepLines w:val="0"/>
        <w:widowControl/>
        <w:suppressLineNumbers w:val="0"/>
        <w:snapToGrid w:val="0"/>
        <w:spacing w:before="0" w:beforeAutospacing="0" w:after="0" w:afterAutospacing="0" w:line="520" w:lineRule="exact"/>
        <w:ind w:left="0" w:right="0" w:firstLine="640" w:firstLineChars="200"/>
        <w:jc w:val="left"/>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其中：人员经费</w:t>
      </w:r>
      <w:r>
        <w:rPr>
          <w:rFonts w:hint="eastAsia" w:ascii="仿宋" w:hAnsi="仿宋" w:eastAsia="仿宋" w:cs="宋体"/>
          <w:kern w:val="0"/>
          <w:sz w:val="32"/>
          <w:szCs w:val="32"/>
          <w:lang w:val="en-US" w:eastAsia="zh-CN" w:bidi="ar"/>
        </w:rPr>
        <w:t>451.89万元，占比93.42%，包含：基本工资95.63万元、津贴补贴142.15万元、奖金4.17万元、绩效工资45.32万元、机关事业单位基本养老保险费41.57万元、职业年金缴费20.78万元、职工基本医疗保险缴费22.05万元、公务员医疗补助缴费6.04万元、其他社会保障缴费4.13万元、住房公积金38.37万元、医疗费3.24万元、生活补助28.42万元、奖励金0.02万元；</w:t>
      </w:r>
    </w:p>
    <w:p>
      <w:pPr>
        <w:keepNext w:val="0"/>
        <w:keepLines w:val="0"/>
        <w:widowControl/>
        <w:suppressLineNumbers w:val="0"/>
        <w:snapToGrid w:val="0"/>
        <w:spacing w:before="0" w:beforeAutospacing="0" w:after="0" w:afterAutospacing="0" w:line="520" w:lineRule="exact"/>
        <w:ind w:left="0" w:right="0" w:firstLine="640" w:firstLineChars="200"/>
        <w:jc w:val="left"/>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公用经费</w:t>
      </w:r>
      <w:r>
        <w:rPr>
          <w:rFonts w:hint="eastAsia" w:ascii="仿宋" w:hAnsi="仿宋" w:eastAsia="仿宋" w:cs="宋体"/>
          <w:kern w:val="0"/>
          <w:sz w:val="32"/>
          <w:szCs w:val="32"/>
          <w:lang w:val="en-US" w:eastAsia="zh-CN" w:bidi="ar"/>
        </w:rPr>
        <w:t>31.83万元，占比6.58%，包含：办公费4.73万元、印刷费0.44万元、手续费0.01万元、水费0.18万元、电费2.33万元、邮电费5.81万元、取暖费0.55万元、差旅费12.74万元、维修（护）费0.16万元、培训费0.05万元、公务接待费0.43万元、公务用车运行维护费3.48万元、其他交通费用0.92万元。</w:t>
      </w:r>
    </w:p>
    <w:p>
      <w:pPr>
        <w:keepNext w:val="0"/>
        <w:keepLines w:val="0"/>
        <w:widowControl/>
        <w:suppressLineNumbers w:val="0"/>
        <w:snapToGrid w:val="0"/>
        <w:spacing w:before="0" w:beforeAutospacing="0" w:after="0" w:afterAutospacing="0" w:line="520" w:lineRule="exact"/>
        <w:ind w:left="0" w:right="0" w:firstLine="640" w:firstLineChars="200"/>
        <w:jc w:val="left"/>
        <w:rPr>
          <w:rFonts w:hint="eastAsia" w:ascii="仿宋" w:hAnsi="仿宋" w:eastAsia="仿宋" w:cs="宋体"/>
          <w:kern w:val="0"/>
          <w:sz w:val="32"/>
          <w:szCs w:val="32"/>
        </w:rPr>
      </w:pPr>
      <w:r>
        <w:rPr>
          <w:rFonts w:hint="eastAsia" w:ascii="仿宋" w:hAnsi="仿宋" w:eastAsia="仿宋" w:cs="宋体"/>
          <w:kern w:val="0"/>
          <w:sz w:val="32"/>
          <w:szCs w:val="32"/>
          <w:lang w:val="en-US" w:eastAsia="zh-CN" w:bidi="ar"/>
        </w:rPr>
        <w:t xml:space="preserve"> </w:t>
      </w:r>
    </w:p>
    <w:p>
      <w:pPr>
        <w:pStyle w:val="12"/>
        <w:keepNext w:val="0"/>
        <w:keepLines w:val="0"/>
        <w:widowControl/>
        <w:suppressLineNumbers w:val="0"/>
        <w:snapToGrid w:val="0"/>
        <w:spacing w:before="0" w:beforeAutospacing="0" w:after="0" w:afterAutospacing="1"/>
        <w:ind w:left="0" w:right="0"/>
        <w:jc w:val="left"/>
        <w:rPr>
          <w:rFonts w:hint="eastAsia" w:ascii="宋体" w:hAnsi="宋体" w:eastAsia="宋体" w:cs="宋体"/>
          <w:kern w:val="0"/>
          <w:sz w:val="24"/>
          <w:szCs w:val="24"/>
        </w:rPr>
      </w:pPr>
      <w:r>
        <w:rPr>
          <w:rFonts w:hint="eastAsia" w:ascii="宋体" w:hAnsi="宋体" w:eastAsia="宋体" w:cs="宋体"/>
          <w:snapToGrid w:val="0"/>
          <w:kern w:val="0"/>
          <w:sz w:val="24"/>
          <w:szCs w:val="24"/>
          <w:lang w:val="en-US" w:eastAsia="zh-CN" w:bidi="ar"/>
        </w:rPr>
        <w:drawing>
          <wp:inline distT="0" distB="0" distL="114300" distR="114300">
            <wp:extent cx="5029200" cy="2571750"/>
            <wp:effectExtent l="0" t="0" r="0" b="0"/>
            <wp:docPr id="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60"/>
                    <pic:cNvPicPr>
                      <a:picLocks noChangeAspect="1"/>
                    </pic:cNvPicPr>
                  </pic:nvPicPr>
                  <pic:blipFill>
                    <a:blip r:embed="rId9"/>
                    <a:stretch>
                      <a:fillRect/>
                    </a:stretch>
                  </pic:blipFill>
                  <pic:spPr>
                    <a:xfrm>
                      <a:off x="0" y="0"/>
                      <a:ext cx="5029200" cy="2571750"/>
                    </a:xfrm>
                    <a:prstGeom prst="rect">
                      <a:avLst/>
                    </a:prstGeom>
                    <a:noFill/>
                    <a:ln w="9525">
                      <a:noFill/>
                    </a:ln>
                  </pic:spPr>
                </pic:pic>
              </a:graphicData>
            </a:graphic>
          </wp:inline>
        </w:drawing>
      </w:r>
      <w:r>
        <w:rPr>
          <w:rFonts w:hint="eastAsia" w:ascii="宋体" w:hAnsi="宋体" w:eastAsia="宋体" w:cs="宋体"/>
          <w:kern w:val="0"/>
          <w:sz w:val="24"/>
          <w:szCs w:val="24"/>
          <w:lang w:val="en-US" w:eastAsia="zh-CN" w:bidi="ar"/>
        </w:rPr>
        <w:t xml:space="preserve"> </w:t>
      </w:r>
    </w:p>
    <w:p>
      <w:pPr>
        <w:pStyle w:val="5"/>
        <w:keepNext w:val="0"/>
        <w:keepLines w:val="0"/>
        <w:widowControl/>
        <w:suppressLineNumbers w:val="0"/>
        <w:snapToGrid w:val="0"/>
        <w:spacing w:before="0" w:beforeAutospacing="1" w:after="0" w:afterAutospacing="1"/>
        <w:ind w:right="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pPr>
        <w:pStyle w:val="12"/>
        <w:keepNext w:val="0"/>
        <w:keepLines w:val="0"/>
        <w:widowControl/>
        <w:suppressLineNumbers w:val="0"/>
        <w:snapToGrid w:val="0"/>
        <w:spacing w:before="0" w:beforeAutospacing="0" w:after="0" w:afterAutospacing="1"/>
        <w:ind w:left="0" w:leftChars="0" w:right="0" w:rightChars="0"/>
        <w:jc w:val="left"/>
        <w:rPr>
          <w:rFonts w:hint="eastAsia" w:ascii="宋体" w:hAnsi="宋体" w:eastAsia="宋体" w:cs="宋体"/>
          <w:b w:val="0"/>
          <w:kern w:val="0"/>
          <w:sz w:val="32"/>
          <w:szCs w:val="32"/>
          <w:shd w:val="clear" w:fill="FFFFFF"/>
        </w:rPr>
      </w:pPr>
      <w:r>
        <w:rPr>
          <w:rFonts w:hint="eastAsia" w:ascii="宋体" w:hAnsi="宋体" w:eastAsia="宋体" w:cs="宋体"/>
          <w:b w:val="0"/>
          <w:kern w:val="0"/>
          <w:sz w:val="32"/>
          <w:szCs w:val="32"/>
          <w:shd w:val="clear" w:fill="FFFFFF"/>
          <w:lang w:val="en-US" w:eastAsia="zh-CN" w:bidi="ar"/>
        </w:rPr>
        <w:t>七、“三公”经费财政拨款支出决算情况说明</w:t>
      </w:r>
    </w:p>
    <w:p>
      <w:pPr>
        <w:keepNext w:val="0"/>
        <w:keepLines w:val="0"/>
        <w:widowControl/>
        <w:suppressLineNumbers w:val="0"/>
        <w:snapToGrid w:val="0"/>
        <w:spacing w:before="0" w:beforeAutospacing="0" w:after="0" w:afterAutospacing="0" w:line="520" w:lineRule="exact"/>
        <w:ind w:left="0" w:right="0" w:firstLine="640" w:firstLineChars="200"/>
        <w:jc w:val="left"/>
        <w:rPr>
          <w:rFonts w:hint="eastAsia" w:ascii="仿宋" w:hAnsi="仿宋" w:eastAsia="仿宋" w:cs="宋体"/>
          <w:kern w:val="0"/>
          <w:sz w:val="32"/>
          <w:szCs w:val="32"/>
        </w:rPr>
      </w:pPr>
      <w:r>
        <w:rPr>
          <w:rFonts w:hint="eastAsia" w:ascii="仿宋" w:hAnsi="仿宋" w:eastAsia="仿宋" w:cs="仿宋"/>
          <w:kern w:val="0"/>
          <w:sz w:val="32"/>
          <w:szCs w:val="32"/>
          <w:lang w:val="en-US" w:eastAsia="zh-CN" w:bidi="ar"/>
        </w:rPr>
        <w:t>本年度</w:t>
      </w:r>
      <w:r>
        <w:rPr>
          <w:rFonts w:hint="eastAsia" w:ascii="仿宋" w:hAnsi="仿宋" w:eastAsia="仿宋" w:cs="宋体"/>
          <w:kern w:val="0"/>
          <w:sz w:val="32"/>
          <w:szCs w:val="32"/>
          <w:lang w:val="en-US" w:eastAsia="zh-CN" w:bidi="ar"/>
        </w:rPr>
        <w:t>“三公”经费财政拨款支出合计3.91万元，其中：公务用车运行维护费3.48万元，占</w:t>
      </w:r>
      <w:r>
        <w:rPr>
          <w:rFonts w:hint="eastAsia" w:ascii="仿宋" w:hAnsi="仿宋" w:eastAsia="仿宋" w:cs="仿宋"/>
          <w:kern w:val="0"/>
          <w:sz w:val="32"/>
          <w:szCs w:val="32"/>
          <w:lang w:val="en-US" w:eastAsia="zh-CN" w:bidi="ar"/>
        </w:rPr>
        <w:t>三公</w:t>
      </w:r>
      <w:r>
        <w:rPr>
          <w:rFonts w:hint="eastAsia" w:ascii="仿宋" w:hAnsi="仿宋" w:eastAsia="仿宋" w:cs="宋体"/>
          <w:kern w:val="0"/>
          <w:sz w:val="32"/>
          <w:szCs w:val="32"/>
          <w:lang w:val="en-US" w:eastAsia="zh-CN" w:bidi="ar"/>
        </w:rPr>
        <w:t>”经费财政拨款支出的89%；</w:t>
      </w:r>
      <w:r>
        <w:rPr>
          <w:rFonts w:hint="eastAsia" w:ascii="仿宋" w:hAnsi="仿宋" w:eastAsia="仿宋" w:cs="仿宋"/>
          <w:kern w:val="0"/>
          <w:sz w:val="32"/>
          <w:szCs w:val="32"/>
          <w:lang w:val="en-US" w:eastAsia="zh-CN" w:bidi="ar"/>
        </w:rPr>
        <w:t>公务接待费</w:t>
      </w:r>
      <w:r>
        <w:rPr>
          <w:rFonts w:hint="eastAsia" w:ascii="仿宋" w:hAnsi="仿宋" w:eastAsia="仿宋" w:cs="宋体"/>
          <w:kern w:val="0"/>
          <w:sz w:val="32"/>
          <w:szCs w:val="32"/>
          <w:lang w:val="en-US" w:eastAsia="zh-CN" w:bidi="ar"/>
        </w:rPr>
        <w:t>0.43万元，占11%。</w:t>
      </w:r>
      <w:r>
        <w:rPr>
          <w:rFonts w:hint="eastAsia" w:ascii="仿宋" w:hAnsi="仿宋" w:eastAsia="仿宋" w:cs="仿宋"/>
          <w:kern w:val="0"/>
          <w:sz w:val="32"/>
          <w:szCs w:val="32"/>
          <w:lang w:val="en-US" w:eastAsia="zh-CN" w:bidi="ar"/>
        </w:rPr>
        <w:t>我局公务用车保有量为</w:t>
      </w:r>
      <w:r>
        <w:rPr>
          <w:rFonts w:hint="eastAsia" w:ascii="仿宋" w:hAnsi="仿宋" w:eastAsia="仿宋" w:cs="宋体"/>
          <w:kern w:val="0"/>
          <w:sz w:val="32"/>
          <w:szCs w:val="32"/>
          <w:lang w:val="en-US" w:eastAsia="zh-CN" w:bidi="ar"/>
        </w:rPr>
        <w:t>1辆，国内公务接待共2批次，共接待12人。</w:t>
      </w:r>
    </w:p>
    <w:p>
      <w:pPr>
        <w:pStyle w:val="7"/>
        <w:keepNext w:val="0"/>
        <w:keepLines w:val="0"/>
        <w:widowControl/>
        <w:suppressLineNumbers w:val="0"/>
        <w:snapToGrid w:val="0"/>
        <w:rPr>
          <w:rFonts w:hint="eastAsia" w:ascii="宋体" w:hAnsi="宋体" w:eastAsia="宋体" w:cs="宋体"/>
          <w:kern w:val="0"/>
          <w:sz w:val="24"/>
          <w:szCs w:val="24"/>
        </w:rPr>
      </w:pPr>
      <w:r>
        <w:rPr>
          <w:rFonts w:hint="eastAsia" w:ascii="仿宋" w:hAnsi="仿宋" w:eastAsia="仿宋" w:cs="仿宋"/>
          <w:kern w:val="0"/>
          <w:sz w:val="32"/>
          <w:szCs w:val="32"/>
        </w:rPr>
        <w:t>公务用车购置及运行维护费支出</w:t>
      </w:r>
      <w:r>
        <w:rPr>
          <w:rFonts w:hint="eastAsia" w:ascii="仿宋" w:hAnsi="仿宋" w:eastAsia="仿宋" w:cs="宋体"/>
          <w:kern w:val="0"/>
          <w:sz w:val="32"/>
          <w:szCs w:val="32"/>
        </w:rPr>
        <w:t>3.48万元,完成预算100%。公务用车购置及运行维护费支出决算比2019年4.02</w:t>
      </w:r>
      <w:r>
        <w:rPr>
          <w:rFonts w:hint="default" w:ascii="仿宋_GB2312" w:hAnsi="宋体" w:eastAsia="仿宋_GB2312" w:cs="仿宋_GB2312"/>
          <w:kern w:val="0"/>
          <w:sz w:val="32"/>
          <w:szCs w:val="32"/>
        </w:rPr>
        <w:t>万元减少</w:t>
      </w:r>
      <w:r>
        <w:rPr>
          <w:rFonts w:hint="default" w:ascii="仿宋_GB2312" w:hAnsi="宋体" w:eastAsia="仿宋_GB2312" w:cs="Courier New"/>
          <w:kern w:val="0"/>
          <w:sz w:val="32"/>
          <w:szCs w:val="32"/>
        </w:rPr>
        <w:t>0.54</w:t>
      </w:r>
      <w:r>
        <w:rPr>
          <w:rFonts w:hint="default" w:ascii="仿宋_GB2312" w:hAnsi="宋体" w:eastAsia="仿宋_GB2312" w:cs="仿宋_GB2312"/>
          <w:kern w:val="0"/>
          <w:sz w:val="32"/>
          <w:szCs w:val="32"/>
        </w:rPr>
        <w:t>万元，减少</w:t>
      </w:r>
      <w:r>
        <w:rPr>
          <w:rFonts w:hint="default" w:ascii="仿宋_GB2312" w:hAnsi="宋体" w:eastAsia="仿宋_GB2312" w:cs="Courier New"/>
          <w:kern w:val="0"/>
          <w:sz w:val="32"/>
          <w:szCs w:val="32"/>
        </w:rPr>
        <w:t>13.43%</w:t>
      </w:r>
      <w:r>
        <w:rPr>
          <w:rFonts w:hint="default" w:ascii="仿宋_GB2312" w:hAnsi="宋体" w:eastAsia="仿宋_GB2312" w:cs="仿宋_GB2312"/>
          <w:kern w:val="0"/>
          <w:sz w:val="32"/>
          <w:szCs w:val="32"/>
        </w:rPr>
        <w:t>。主要原因是本年厉行节约，减少不必要的用车开支。</w:t>
      </w:r>
      <w:r>
        <w:rPr>
          <w:snapToGrid w:val="0"/>
        </w:rPr>
        <w:drawing>
          <wp:inline distT="0" distB="0" distL="114300" distR="114300">
            <wp:extent cx="5267325" cy="2971165"/>
            <wp:effectExtent l="0" t="0" r="9525" b="635"/>
            <wp:docPr id="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61"/>
                    <pic:cNvPicPr>
                      <a:picLocks noChangeAspect="1"/>
                    </pic:cNvPicPr>
                  </pic:nvPicPr>
                  <pic:blipFill>
                    <a:blip r:embed="rId10"/>
                    <a:stretch>
                      <a:fillRect/>
                    </a:stretch>
                  </pic:blipFill>
                  <pic:spPr>
                    <a:xfrm>
                      <a:off x="0" y="0"/>
                      <a:ext cx="5267325" cy="2971165"/>
                    </a:xfrm>
                    <a:prstGeom prst="rect">
                      <a:avLst/>
                    </a:prstGeom>
                    <a:noFill/>
                    <a:ln w="9525">
                      <a:noFill/>
                    </a:ln>
                  </pic:spPr>
                </pic:pic>
              </a:graphicData>
            </a:graphic>
          </wp:inline>
        </w:drawing>
      </w:r>
      <w:r>
        <w:rPr>
          <w:rFonts w:hint="eastAsia" w:ascii="宋体" w:hAnsi="宋体" w:eastAsia="宋体" w:cs="宋体"/>
          <w:kern w:val="0"/>
          <w:sz w:val="24"/>
          <w:szCs w:val="24"/>
        </w:rPr>
        <w:t xml:space="preserve"> </w:t>
      </w:r>
    </w:p>
    <w:p>
      <w:pPr>
        <w:pStyle w:val="5"/>
        <w:keepNext w:val="0"/>
        <w:keepLines w:val="0"/>
        <w:widowControl/>
        <w:suppressLineNumbers w:val="0"/>
        <w:snapToGrid w:val="0"/>
        <w:spacing w:before="0" w:beforeAutospacing="1" w:after="0" w:afterAutospacing="1"/>
        <w:ind w:leftChars="0" w:right="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pPr>
        <w:pStyle w:val="12"/>
        <w:keepNext w:val="0"/>
        <w:keepLines w:val="0"/>
        <w:pageBreakBefore w:val="0"/>
        <w:widowControl/>
        <w:numPr>
          <w:ilvl w:val="0"/>
          <w:numId w:val="3"/>
        </w:numPr>
        <w:suppressLineNumbers w:val="0"/>
        <w:kinsoku/>
        <w:wordWrap/>
        <w:overflowPunct/>
        <w:topLinePunct w:val="0"/>
        <w:autoSpaceDN/>
        <w:bidi w:val="0"/>
        <w:snapToGrid w:val="0"/>
        <w:spacing w:before="0" w:beforeAutospacing="0" w:after="0" w:afterAutospacing="0" w:line="560" w:lineRule="exact"/>
        <w:ind w:left="0" w:leftChars="0" w:right="0" w:rightChars="0" w:firstLine="640" w:firstLineChars="200"/>
        <w:jc w:val="left"/>
        <w:textAlignment w:val="auto"/>
        <w:rPr>
          <w:rFonts w:hint="eastAsia" w:ascii="宋体" w:hAnsi="宋体" w:eastAsia="宋体" w:cs="宋体"/>
          <w:b w:val="0"/>
          <w:kern w:val="0"/>
          <w:sz w:val="32"/>
          <w:szCs w:val="32"/>
          <w:shd w:val="clear" w:fill="FFFFFF"/>
        </w:rPr>
      </w:pPr>
      <w:r>
        <w:rPr>
          <w:rFonts w:hint="eastAsia" w:ascii="宋体" w:hAnsi="宋体" w:eastAsia="宋体" w:cs="宋体"/>
          <w:b w:val="0"/>
          <w:kern w:val="0"/>
          <w:sz w:val="32"/>
          <w:szCs w:val="32"/>
          <w:shd w:val="clear" w:fill="FFFFFF"/>
          <w:lang w:val="en-US" w:eastAsia="zh-CN" w:bidi="ar"/>
        </w:rPr>
        <w:t>政府性基金预算支出决算情况说明</w:t>
      </w:r>
    </w:p>
    <w:p>
      <w:pPr>
        <w:pStyle w:val="12"/>
        <w:keepNext w:val="0"/>
        <w:keepLines w:val="0"/>
        <w:pageBreakBefore w:val="0"/>
        <w:widowControl/>
        <w:suppressLineNumbers w:val="0"/>
        <w:kinsoku/>
        <w:wordWrap/>
        <w:overflowPunct/>
        <w:topLinePunct w:val="0"/>
        <w:autoSpaceDN/>
        <w:bidi w:val="0"/>
        <w:snapToGrid w:val="0"/>
        <w:spacing w:before="0" w:beforeAutospacing="0" w:after="0" w:afterAutospacing="0" w:line="560" w:lineRule="exact"/>
        <w:ind w:left="0" w:right="0" w:rightChars="0" w:firstLine="640" w:firstLineChars="200"/>
        <w:jc w:val="left"/>
        <w:textAlignment w:val="auto"/>
        <w:rPr>
          <w:rFonts w:hint="eastAsia" w:ascii="宋体" w:hAnsi="宋体" w:eastAsia="宋体" w:cs="宋体"/>
          <w:b w:val="0"/>
          <w:kern w:val="0"/>
          <w:sz w:val="32"/>
          <w:szCs w:val="32"/>
          <w:shd w:val="clear" w:fill="FFFFFF"/>
        </w:rPr>
      </w:pPr>
      <w:r>
        <w:rPr>
          <w:rFonts w:hint="default" w:ascii="仿宋_GB2312" w:hAnsi="宋体" w:eastAsia="仿宋_GB2312" w:cs="宋体"/>
          <w:kern w:val="0"/>
          <w:sz w:val="32"/>
          <w:szCs w:val="32"/>
          <w:lang w:val="en-US" w:eastAsia="zh-CN" w:bidi="ar"/>
        </w:rPr>
        <w:t>2020年政府性基金预算支出为0万元。</w:t>
      </w:r>
    </w:p>
    <w:p>
      <w:pPr>
        <w:pStyle w:val="12"/>
        <w:keepNext w:val="0"/>
        <w:keepLines w:val="0"/>
        <w:pageBreakBefore w:val="0"/>
        <w:widowControl/>
        <w:numPr>
          <w:ilvl w:val="0"/>
          <w:numId w:val="3"/>
        </w:numPr>
        <w:suppressLineNumbers w:val="0"/>
        <w:kinsoku/>
        <w:wordWrap/>
        <w:overflowPunct/>
        <w:topLinePunct w:val="0"/>
        <w:autoSpaceDN/>
        <w:bidi w:val="0"/>
        <w:snapToGrid w:val="0"/>
        <w:spacing w:before="0" w:beforeAutospacing="0" w:after="0" w:afterAutospacing="0" w:line="560" w:lineRule="exact"/>
        <w:ind w:left="0" w:leftChars="0" w:right="0" w:rightChars="0" w:firstLine="640" w:firstLineChars="200"/>
        <w:jc w:val="left"/>
        <w:textAlignment w:val="auto"/>
        <w:rPr>
          <w:rFonts w:hint="eastAsia" w:ascii="宋体" w:hAnsi="宋体" w:eastAsia="宋体" w:cs="宋体"/>
          <w:b w:val="0"/>
          <w:kern w:val="0"/>
          <w:sz w:val="32"/>
          <w:szCs w:val="32"/>
          <w:shd w:val="clear" w:fill="FFFFFF"/>
        </w:rPr>
      </w:pPr>
      <w:r>
        <w:rPr>
          <w:rFonts w:hint="eastAsia" w:ascii="宋体" w:hAnsi="宋体" w:eastAsia="宋体" w:cs="宋体"/>
          <w:b w:val="0"/>
          <w:kern w:val="0"/>
          <w:sz w:val="32"/>
          <w:szCs w:val="32"/>
          <w:shd w:val="clear" w:fill="FFFFFF"/>
          <w:lang w:val="en-US" w:eastAsia="zh-CN" w:bidi="ar"/>
        </w:rPr>
        <w:t xml:space="preserve"> 国有资本经营预算支出决算情况说明</w:t>
      </w:r>
    </w:p>
    <w:p>
      <w:pPr>
        <w:pStyle w:val="12"/>
        <w:keepNext w:val="0"/>
        <w:keepLines w:val="0"/>
        <w:pageBreakBefore w:val="0"/>
        <w:widowControl/>
        <w:suppressLineNumbers w:val="0"/>
        <w:kinsoku/>
        <w:wordWrap/>
        <w:overflowPunct/>
        <w:topLinePunct w:val="0"/>
        <w:autoSpaceDN/>
        <w:bidi w:val="0"/>
        <w:snapToGrid w:val="0"/>
        <w:spacing w:before="0" w:beforeAutospacing="0" w:after="0" w:afterAutospacing="0" w:line="560" w:lineRule="exact"/>
        <w:ind w:left="0" w:right="0" w:rightChars="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2020年国有资本经营预</w:t>
      </w:r>
      <w:r>
        <w:rPr>
          <w:rFonts w:hint="default" w:ascii="仿宋_GB2312" w:hAnsi="宋体" w:eastAsia="仿宋_GB2312" w:cs="仿宋_GB2312"/>
          <w:kern w:val="0"/>
          <w:sz w:val="32"/>
          <w:szCs w:val="32"/>
          <w:lang w:val="en-US" w:eastAsia="zh-CN" w:bidi="ar"/>
        </w:rPr>
        <w:t>算拨款支出</w:t>
      </w:r>
      <w:r>
        <w:rPr>
          <w:rFonts w:hint="default" w:ascii="仿宋_GB2312" w:hAnsi="宋体" w:eastAsia="仿宋_GB2312" w:cs="宋体"/>
          <w:kern w:val="0"/>
          <w:sz w:val="32"/>
          <w:szCs w:val="32"/>
          <w:lang w:val="en-US" w:eastAsia="zh-CN" w:bidi="ar"/>
        </w:rPr>
        <w:t>0万元。</w:t>
      </w:r>
    </w:p>
    <w:p>
      <w:pPr>
        <w:pStyle w:val="12"/>
        <w:keepNext w:val="0"/>
        <w:keepLines w:val="0"/>
        <w:pageBreakBefore w:val="0"/>
        <w:widowControl/>
        <w:suppressLineNumbers w:val="0"/>
        <w:kinsoku/>
        <w:wordWrap/>
        <w:overflowPunct/>
        <w:topLinePunct w:val="0"/>
        <w:autoSpaceDN/>
        <w:bidi w:val="0"/>
        <w:snapToGrid w:val="0"/>
        <w:spacing w:before="0" w:beforeAutospacing="0" w:after="0" w:afterAutospacing="0" w:line="560" w:lineRule="exact"/>
        <w:ind w:left="0" w:right="0" w:rightChars="0" w:firstLine="640" w:firstLineChars="200"/>
        <w:jc w:val="left"/>
        <w:textAlignment w:val="auto"/>
        <w:rPr>
          <w:rFonts w:hint="eastAsia" w:ascii="宋体" w:hAnsi="宋体" w:eastAsia="宋体" w:cs="宋体"/>
          <w:b w:val="0"/>
          <w:kern w:val="0"/>
          <w:sz w:val="32"/>
          <w:szCs w:val="32"/>
          <w:shd w:val="clear" w:fill="FFFFFF"/>
        </w:rPr>
      </w:pPr>
      <w:r>
        <w:rPr>
          <w:rFonts w:hint="eastAsia" w:ascii="宋体" w:hAnsi="宋体" w:eastAsia="宋体" w:cs="宋体"/>
          <w:b w:val="0"/>
          <w:kern w:val="0"/>
          <w:sz w:val="32"/>
          <w:szCs w:val="32"/>
          <w:shd w:val="clear" w:fill="FFFFFF"/>
          <w:lang w:val="en-US" w:eastAsia="zh-CN" w:bidi="ar"/>
        </w:rPr>
        <w:t>十、其他重要事项的情况说明</w:t>
      </w:r>
    </w:p>
    <w:p>
      <w:pPr>
        <w:pStyle w:val="12"/>
        <w:keepNext w:val="0"/>
        <w:keepLines w:val="0"/>
        <w:pageBreakBefore w:val="0"/>
        <w:widowControl/>
        <w:suppressLineNumbers w:val="0"/>
        <w:kinsoku/>
        <w:wordWrap/>
        <w:overflowPunct/>
        <w:topLinePunct w:val="0"/>
        <w:autoSpaceDN/>
        <w:bidi w:val="0"/>
        <w:snapToGrid w:val="0"/>
        <w:spacing w:before="0" w:beforeAutospacing="0" w:after="0" w:afterAutospacing="0" w:line="560" w:lineRule="exact"/>
        <w:ind w:left="0" w:right="0" w:rightChars="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仿宋_GB2312"/>
          <w:kern w:val="0"/>
          <w:sz w:val="32"/>
          <w:szCs w:val="32"/>
          <w:lang w:val="en-US" w:eastAsia="zh-CN" w:bidi="ar"/>
        </w:rPr>
        <w:t>（一）机关运行经费支出情况</w:t>
      </w:r>
    </w:p>
    <w:p>
      <w:pPr>
        <w:pStyle w:val="12"/>
        <w:keepNext w:val="0"/>
        <w:keepLines w:val="0"/>
        <w:pageBreakBefore w:val="0"/>
        <w:widowControl/>
        <w:suppressLineNumbers w:val="0"/>
        <w:kinsoku/>
        <w:wordWrap/>
        <w:overflowPunct/>
        <w:topLinePunct w:val="0"/>
        <w:autoSpaceDN/>
        <w:bidi w:val="0"/>
        <w:snapToGrid w:val="0"/>
        <w:spacing w:before="0" w:beforeAutospacing="0" w:after="0" w:afterAutospacing="0" w:line="560" w:lineRule="exact"/>
        <w:ind w:left="0" w:right="0" w:rightChars="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2020</w:t>
      </w:r>
      <w:r>
        <w:rPr>
          <w:rFonts w:hint="default" w:ascii="仿宋_GB2312" w:hAnsi="宋体" w:eastAsia="仿宋_GB2312" w:cs="仿宋_GB2312"/>
          <w:kern w:val="0"/>
          <w:sz w:val="32"/>
          <w:szCs w:val="32"/>
          <w:lang w:val="en-US" w:eastAsia="zh-CN" w:bidi="ar"/>
        </w:rPr>
        <w:t>年，红原县自然资源局机关运行经费支出</w:t>
      </w:r>
      <w:r>
        <w:rPr>
          <w:rFonts w:hint="default" w:ascii="仿宋_GB2312" w:hAnsi="宋体" w:eastAsia="仿宋_GB2312" w:cs="宋体"/>
          <w:kern w:val="0"/>
          <w:sz w:val="32"/>
          <w:szCs w:val="32"/>
          <w:lang w:val="en-US" w:eastAsia="zh-CN" w:bidi="ar"/>
        </w:rPr>
        <w:t>17.13</w:t>
      </w:r>
      <w:r>
        <w:rPr>
          <w:rFonts w:hint="default" w:ascii="仿宋_GB2312" w:hAnsi="宋体" w:eastAsia="仿宋_GB2312" w:cs="仿宋_GB2312"/>
          <w:kern w:val="0"/>
          <w:sz w:val="32"/>
          <w:szCs w:val="32"/>
          <w:lang w:val="en-US" w:eastAsia="zh-CN" w:bidi="ar"/>
        </w:rPr>
        <w:t>万元，比</w:t>
      </w:r>
      <w:r>
        <w:rPr>
          <w:rFonts w:hint="default" w:ascii="仿宋_GB2312" w:hAnsi="宋体" w:eastAsia="仿宋_GB2312" w:cs="宋体"/>
          <w:kern w:val="0"/>
          <w:sz w:val="32"/>
          <w:szCs w:val="32"/>
          <w:lang w:val="en-US" w:eastAsia="zh-CN" w:bidi="ar"/>
        </w:rPr>
        <w:t>2019</w:t>
      </w:r>
      <w:r>
        <w:rPr>
          <w:rFonts w:hint="default" w:ascii="仿宋_GB2312" w:hAnsi="宋体" w:eastAsia="仿宋_GB2312" w:cs="仿宋_GB2312"/>
          <w:kern w:val="0"/>
          <w:sz w:val="32"/>
          <w:szCs w:val="32"/>
          <w:lang w:val="en-US" w:eastAsia="zh-CN" w:bidi="ar"/>
        </w:rPr>
        <w:t>年</w:t>
      </w:r>
      <w:r>
        <w:rPr>
          <w:rFonts w:hint="default" w:ascii="仿宋_GB2312" w:hAnsi="宋体" w:eastAsia="仿宋_GB2312" w:cs="宋体"/>
          <w:kern w:val="0"/>
          <w:sz w:val="32"/>
          <w:szCs w:val="32"/>
          <w:lang w:val="en-US" w:eastAsia="zh-CN" w:bidi="ar"/>
        </w:rPr>
        <w:t>17.44</w:t>
      </w:r>
      <w:r>
        <w:rPr>
          <w:rFonts w:hint="default" w:ascii="仿宋_GB2312" w:hAnsi="宋体" w:eastAsia="仿宋_GB2312" w:cs="仿宋_GB2312"/>
          <w:kern w:val="0"/>
          <w:sz w:val="32"/>
          <w:szCs w:val="32"/>
          <w:lang w:val="en-US" w:eastAsia="zh-CN" w:bidi="ar"/>
        </w:rPr>
        <w:t>减少</w:t>
      </w:r>
      <w:r>
        <w:rPr>
          <w:rFonts w:hint="default" w:ascii="仿宋_GB2312" w:hAnsi="宋体" w:eastAsia="仿宋_GB2312" w:cs="宋体"/>
          <w:kern w:val="0"/>
          <w:sz w:val="32"/>
          <w:szCs w:val="32"/>
          <w:lang w:val="en-US" w:eastAsia="zh-CN" w:bidi="ar"/>
        </w:rPr>
        <w:t>0.31</w:t>
      </w:r>
      <w:r>
        <w:rPr>
          <w:rFonts w:hint="default" w:ascii="仿宋_GB2312" w:hAnsi="宋体" w:eastAsia="仿宋_GB2312" w:cs="仿宋_GB2312"/>
          <w:kern w:val="0"/>
          <w:sz w:val="32"/>
          <w:szCs w:val="32"/>
          <w:lang w:val="en-US" w:eastAsia="zh-CN" w:bidi="ar"/>
        </w:rPr>
        <w:t>万元，下降</w:t>
      </w:r>
      <w:r>
        <w:rPr>
          <w:rFonts w:hint="default" w:ascii="仿宋_GB2312" w:hAnsi="宋体" w:eastAsia="仿宋_GB2312" w:cs="宋体"/>
          <w:kern w:val="0"/>
          <w:sz w:val="32"/>
          <w:szCs w:val="32"/>
          <w:lang w:val="en-US" w:eastAsia="zh-CN" w:bidi="ar"/>
        </w:rPr>
        <w:t>1.78%，</w:t>
      </w:r>
      <w:r>
        <w:rPr>
          <w:rFonts w:hint="default" w:ascii="仿宋_GB2312" w:hAnsi="宋体" w:eastAsia="仿宋_GB2312" w:cs="仿宋_GB2312"/>
          <w:kern w:val="0"/>
          <w:sz w:val="32"/>
          <w:szCs w:val="32"/>
          <w:lang w:val="en-US" w:eastAsia="zh-CN" w:bidi="ar"/>
        </w:rPr>
        <w:t>主要原因是本年单位调出一人，减少工资支出。</w:t>
      </w:r>
    </w:p>
    <w:p>
      <w:pPr>
        <w:pStyle w:val="12"/>
        <w:keepNext w:val="0"/>
        <w:keepLines w:val="0"/>
        <w:pageBreakBefore w:val="0"/>
        <w:widowControl/>
        <w:numPr>
          <w:ilvl w:val="0"/>
          <w:numId w:val="4"/>
        </w:numPr>
        <w:suppressLineNumbers w:val="0"/>
        <w:kinsoku/>
        <w:wordWrap/>
        <w:overflowPunct/>
        <w:topLinePunct w:val="0"/>
        <w:autoSpaceDN/>
        <w:bidi w:val="0"/>
        <w:snapToGrid w:val="0"/>
        <w:spacing w:before="0" w:beforeAutospacing="0" w:after="0" w:afterAutospacing="0" w:line="560" w:lineRule="exact"/>
        <w:ind w:left="0" w:right="0" w:rightChars="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仿宋_GB2312"/>
          <w:kern w:val="0"/>
          <w:sz w:val="32"/>
          <w:szCs w:val="32"/>
          <w:lang w:val="en-US" w:eastAsia="zh-CN" w:bidi="ar"/>
        </w:rPr>
        <w:t>政府采购支出情况</w:t>
      </w:r>
    </w:p>
    <w:p>
      <w:pPr>
        <w:keepNext w:val="0"/>
        <w:keepLines w:val="0"/>
        <w:pageBreakBefore w:val="0"/>
        <w:widowControl/>
        <w:suppressLineNumbers w:val="0"/>
        <w:kinsoku/>
        <w:wordWrap/>
        <w:overflowPunct/>
        <w:topLinePunct w:val="0"/>
        <w:autoSpaceDN/>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2020</w:t>
      </w:r>
      <w:r>
        <w:rPr>
          <w:rFonts w:hint="default" w:ascii="仿宋_GB2312" w:hAnsi="宋体" w:eastAsia="仿宋_GB2312" w:cs="仿宋_GB2312"/>
          <w:kern w:val="0"/>
          <w:sz w:val="32"/>
          <w:szCs w:val="32"/>
          <w:lang w:val="en-US" w:eastAsia="zh-CN" w:bidi="ar"/>
        </w:rPr>
        <w:t>年，政府采购支出总额</w:t>
      </w:r>
      <w:r>
        <w:rPr>
          <w:rFonts w:hint="default" w:ascii="仿宋_GB2312" w:hAnsi="宋体" w:eastAsia="仿宋_GB2312" w:cs="宋体"/>
          <w:kern w:val="0"/>
          <w:sz w:val="32"/>
          <w:szCs w:val="32"/>
          <w:lang w:val="en-US" w:eastAsia="zh-CN" w:bidi="ar"/>
        </w:rPr>
        <w:t>3430.92</w:t>
      </w:r>
      <w:r>
        <w:rPr>
          <w:rFonts w:hint="default" w:ascii="仿宋_GB2312" w:hAnsi="宋体" w:eastAsia="仿宋_GB2312" w:cs="仿宋_GB2312"/>
          <w:kern w:val="0"/>
          <w:sz w:val="32"/>
          <w:szCs w:val="32"/>
          <w:lang w:val="en-US" w:eastAsia="zh-CN" w:bidi="ar"/>
        </w:rPr>
        <w:t>万元，较上年支出增加</w:t>
      </w:r>
      <w:r>
        <w:rPr>
          <w:rFonts w:hint="default" w:ascii="仿宋_GB2312" w:hAnsi="宋体" w:eastAsia="仿宋_GB2312" w:cs="宋体"/>
          <w:kern w:val="0"/>
          <w:sz w:val="32"/>
          <w:szCs w:val="32"/>
          <w:lang w:val="en-US" w:eastAsia="zh-CN" w:bidi="ar"/>
        </w:rPr>
        <w:t>2656.74万元，增加343.17%，</w:t>
      </w:r>
      <w:r>
        <w:rPr>
          <w:rFonts w:hint="default" w:ascii="仿宋_GB2312" w:hAnsi="宋体" w:eastAsia="仿宋_GB2312" w:cs="仿宋_GB2312"/>
          <w:kern w:val="0"/>
          <w:sz w:val="32"/>
          <w:szCs w:val="32"/>
          <w:lang w:val="en-US" w:eastAsia="zh-CN" w:bidi="ar"/>
        </w:rPr>
        <w:t>其中：政府采购货物支出</w:t>
      </w:r>
      <w:r>
        <w:rPr>
          <w:rFonts w:hint="default" w:ascii="仿宋_GB2312" w:hAnsi="宋体" w:eastAsia="仿宋_GB2312" w:cs="宋体"/>
          <w:kern w:val="0"/>
          <w:sz w:val="32"/>
          <w:szCs w:val="32"/>
          <w:lang w:val="en-US" w:eastAsia="zh-CN" w:bidi="ar"/>
        </w:rPr>
        <w:t>0</w:t>
      </w:r>
      <w:r>
        <w:rPr>
          <w:rFonts w:hint="default" w:ascii="仿宋_GB2312" w:hAnsi="宋体" w:eastAsia="仿宋_GB2312" w:cs="仿宋_GB2312"/>
          <w:kern w:val="0"/>
          <w:sz w:val="32"/>
          <w:szCs w:val="32"/>
          <w:lang w:val="en-US" w:eastAsia="zh-CN" w:bidi="ar"/>
        </w:rPr>
        <w:t>万元、政府采购工程支出</w:t>
      </w:r>
      <w:r>
        <w:rPr>
          <w:rFonts w:hint="default" w:ascii="仿宋_GB2312" w:hAnsi="宋体" w:eastAsia="仿宋_GB2312" w:cs="宋体"/>
          <w:kern w:val="0"/>
          <w:sz w:val="32"/>
          <w:szCs w:val="32"/>
          <w:lang w:val="en-US" w:eastAsia="zh-CN" w:bidi="ar"/>
        </w:rPr>
        <w:t>0</w:t>
      </w:r>
      <w:r>
        <w:rPr>
          <w:rFonts w:hint="default" w:ascii="仿宋_GB2312" w:hAnsi="宋体" w:eastAsia="仿宋_GB2312" w:cs="仿宋_GB2312"/>
          <w:kern w:val="0"/>
          <w:sz w:val="32"/>
          <w:szCs w:val="32"/>
          <w:lang w:val="en-US" w:eastAsia="zh-CN" w:bidi="ar"/>
        </w:rPr>
        <w:t>万元、政府采购服务支出</w:t>
      </w:r>
      <w:r>
        <w:rPr>
          <w:rFonts w:hint="default" w:ascii="仿宋_GB2312" w:hAnsi="宋体" w:eastAsia="仿宋_GB2312" w:cs="宋体"/>
          <w:kern w:val="0"/>
          <w:sz w:val="32"/>
          <w:szCs w:val="32"/>
          <w:lang w:val="en-US" w:eastAsia="zh-CN" w:bidi="ar"/>
        </w:rPr>
        <w:t>3430.92</w:t>
      </w:r>
      <w:r>
        <w:rPr>
          <w:rFonts w:hint="default" w:ascii="仿宋_GB2312" w:hAnsi="宋体" w:eastAsia="仿宋_GB2312" w:cs="仿宋_GB2312"/>
          <w:kern w:val="0"/>
          <w:sz w:val="32"/>
          <w:szCs w:val="32"/>
          <w:lang w:val="en-US" w:eastAsia="zh-CN" w:bidi="ar"/>
        </w:rPr>
        <w:t>万元。主要用于土地评估测绘委托业务费、地质灾害防治治理、土地增减挂钩项目服务等。授予中小企业合同金额</w:t>
      </w:r>
      <w:r>
        <w:rPr>
          <w:rFonts w:hint="default" w:ascii="仿宋_GB2312" w:hAnsi="宋体" w:eastAsia="仿宋_GB2312" w:cs="宋体"/>
          <w:kern w:val="0"/>
          <w:sz w:val="32"/>
          <w:szCs w:val="32"/>
          <w:lang w:val="en-US" w:eastAsia="zh-CN" w:bidi="ar"/>
        </w:rPr>
        <w:t>0</w:t>
      </w:r>
      <w:r>
        <w:rPr>
          <w:rFonts w:hint="default" w:ascii="仿宋_GB2312" w:hAnsi="宋体" w:eastAsia="仿宋_GB2312" w:cs="仿宋_GB2312"/>
          <w:kern w:val="0"/>
          <w:sz w:val="32"/>
          <w:szCs w:val="32"/>
          <w:lang w:val="en-US" w:eastAsia="zh-CN" w:bidi="ar"/>
        </w:rPr>
        <w:t>万元，占政府采购支出总额的</w:t>
      </w:r>
      <w:r>
        <w:rPr>
          <w:rFonts w:hint="default" w:ascii="仿宋_GB2312" w:hAnsi="宋体" w:eastAsia="仿宋_GB2312" w:cs="宋体"/>
          <w:kern w:val="0"/>
          <w:sz w:val="32"/>
          <w:szCs w:val="32"/>
          <w:lang w:val="en-US" w:eastAsia="zh-CN" w:bidi="ar"/>
        </w:rPr>
        <w:t>0%</w:t>
      </w:r>
      <w:r>
        <w:rPr>
          <w:rFonts w:hint="default" w:ascii="仿宋_GB2312" w:hAnsi="宋体" w:eastAsia="仿宋_GB2312" w:cs="仿宋_GB2312"/>
          <w:kern w:val="0"/>
          <w:sz w:val="32"/>
          <w:szCs w:val="32"/>
          <w:lang w:val="en-US" w:eastAsia="zh-CN" w:bidi="ar"/>
        </w:rPr>
        <w:t>，其中：授予小微企业合同金额</w:t>
      </w:r>
      <w:r>
        <w:rPr>
          <w:rFonts w:hint="default" w:ascii="仿宋_GB2312" w:hAnsi="宋体" w:eastAsia="仿宋_GB2312" w:cs="宋体"/>
          <w:kern w:val="0"/>
          <w:sz w:val="32"/>
          <w:szCs w:val="32"/>
          <w:lang w:val="en-US" w:eastAsia="zh-CN" w:bidi="ar"/>
        </w:rPr>
        <w:t>0</w:t>
      </w:r>
      <w:r>
        <w:rPr>
          <w:rFonts w:hint="default" w:ascii="仿宋_GB2312" w:hAnsi="宋体" w:eastAsia="仿宋_GB2312" w:cs="仿宋_GB2312"/>
          <w:kern w:val="0"/>
          <w:sz w:val="32"/>
          <w:szCs w:val="32"/>
          <w:lang w:val="en-US" w:eastAsia="zh-CN" w:bidi="ar"/>
        </w:rPr>
        <w:t>万元，占政府采购支出总额的</w:t>
      </w:r>
      <w:r>
        <w:rPr>
          <w:rFonts w:hint="default" w:ascii="仿宋_GB2312" w:hAnsi="宋体" w:eastAsia="仿宋_GB2312" w:cs="宋体"/>
          <w:kern w:val="0"/>
          <w:sz w:val="32"/>
          <w:szCs w:val="32"/>
          <w:lang w:val="en-US" w:eastAsia="zh-CN" w:bidi="ar"/>
        </w:rPr>
        <w:t>0%</w:t>
      </w:r>
      <w:r>
        <w:rPr>
          <w:rFonts w:hint="default" w:ascii="仿宋_GB2312" w:hAnsi="宋体" w:eastAsia="仿宋_GB2312" w:cs="仿宋_GB2312"/>
          <w:kern w:val="0"/>
          <w:sz w:val="32"/>
          <w:szCs w:val="32"/>
          <w:lang w:val="en-US" w:eastAsia="zh-CN" w:bidi="ar"/>
        </w:rPr>
        <w:t>。</w:t>
      </w:r>
    </w:p>
    <w:p>
      <w:pPr>
        <w:pStyle w:val="5"/>
        <w:keepNext w:val="0"/>
        <w:keepLines w:val="0"/>
        <w:pageBreakBefore w:val="0"/>
        <w:widowControl/>
        <w:suppressLineNumbers w:val="0"/>
        <w:kinsoku/>
        <w:wordWrap/>
        <w:overflowPunct/>
        <w:topLinePunct w:val="0"/>
        <w:autoSpaceDN/>
        <w:bidi w:val="0"/>
        <w:snapToGrid w:val="0"/>
        <w:spacing w:before="0" w:beforeAutospacing="0" w:after="0" w:afterAutospacing="0" w:line="560" w:lineRule="exact"/>
        <w:ind w:right="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pPr>
        <w:pStyle w:val="12"/>
        <w:keepNext w:val="0"/>
        <w:keepLines w:val="0"/>
        <w:pageBreakBefore w:val="0"/>
        <w:widowControl/>
        <w:numPr>
          <w:ilvl w:val="0"/>
          <w:numId w:val="4"/>
        </w:numPr>
        <w:suppressLineNumbers w:val="0"/>
        <w:kinsoku/>
        <w:wordWrap/>
        <w:overflowPunct/>
        <w:topLinePunct w:val="0"/>
        <w:autoSpaceDN/>
        <w:bidi w:val="0"/>
        <w:snapToGrid w:val="0"/>
        <w:spacing w:before="0" w:beforeAutospacing="0" w:after="0" w:afterAutospacing="0" w:line="560" w:lineRule="exact"/>
        <w:ind w:left="0" w:leftChars="0" w:right="0" w:rightChars="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仿宋_GB2312"/>
          <w:kern w:val="0"/>
          <w:sz w:val="32"/>
          <w:szCs w:val="32"/>
          <w:lang w:val="en-US" w:eastAsia="zh-CN" w:bidi="ar"/>
        </w:rPr>
        <w:t>国有资产占有使用情况</w:t>
      </w:r>
    </w:p>
    <w:p>
      <w:pPr>
        <w:pStyle w:val="12"/>
        <w:keepNext w:val="0"/>
        <w:keepLines w:val="0"/>
        <w:pageBreakBefore w:val="0"/>
        <w:widowControl/>
        <w:suppressLineNumbers w:val="0"/>
        <w:kinsoku/>
        <w:wordWrap/>
        <w:overflowPunct/>
        <w:topLinePunct w:val="0"/>
        <w:autoSpaceDN/>
        <w:bidi w:val="0"/>
        <w:snapToGrid w:val="0"/>
        <w:spacing w:before="0" w:beforeAutospacing="0" w:after="0" w:afterAutospacing="0" w:line="560" w:lineRule="exact"/>
        <w:ind w:left="210" w:leftChars="100" w:right="0" w:rightChars="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仿宋_GB2312"/>
          <w:kern w:val="0"/>
          <w:sz w:val="32"/>
          <w:szCs w:val="32"/>
          <w:lang w:val="en-US" w:eastAsia="zh-CN" w:bidi="ar"/>
        </w:rPr>
        <w:t>截至</w:t>
      </w:r>
      <w:r>
        <w:rPr>
          <w:rFonts w:hint="default" w:ascii="仿宋_GB2312" w:hAnsi="宋体" w:eastAsia="仿宋_GB2312" w:cs="宋体"/>
          <w:kern w:val="0"/>
          <w:sz w:val="32"/>
          <w:szCs w:val="32"/>
          <w:lang w:val="en-US" w:eastAsia="zh-CN" w:bidi="ar"/>
        </w:rPr>
        <w:t>2020年12月31日，红原县自然资源局共有车辆1辆，其中：主要领导干部用车0辆、机要通信用车0辆、应急保障用车1辆、其他用车0辆，单价50万元以上通用设备0台（套），单价100万元以上专用设备0台。</w:t>
      </w:r>
    </w:p>
    <w:p>
      <w:pPr>
        <w:pStyle w:val="12"/>
        <w:keepNext w:val="0"/>
        <w:keepLines w:val="0"/>
        <w:pageBreakBefore w:val="0"/>
        <w:widowControl/>
        <w:numPr>
          <w:ilvl w:val="0"/>
          <w:numId w:val="4"/>
        </w:numPr>
        <w:suppressLineNumbers w:val="0"/>
        <w:kinsoku/>
        <w:wordWrap/>
        <w:overflowPunct/>
        <w:topLinePunct w:val="0"/>
        <w:autoSpaceDN/>
        <w:bidi w:val="0"/>
        <w:snapToGrid w:val="0"/>
        <w:spacing w:before="0" w:beforeAutospacing="0" w:after="0" w:afterAutospacing="0" w:line="560" w:lineRule="exact"/>
        <w:ind w:left="0" w:leftChars="0" w:right="0" w:rightChars="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预算绩效管理情况。</w:t>
      </w:r>
    </w:p>
    <w:p>
      <w:pPr>
        <w:pStyle w:val="12"/>
        <w:keepNext w:val="0"/>
        <w:keepLines w:val="0"/>
        <w:pageBreakBefore w:val="0"/>
        <w:widowControl/>
        <w:suppressLineNumbers w:val="0"/>
        <w:kinsoku/>
        <w:wordWrap/>
        <w:overflowPunct/>
        <w:topLinePunct w:val="0"/>
        <w:autoSpaceDN/>
        <w:bidi w:val="0"/>
        <w:snapToGrid w:val="0"/>
        <w:spacing w:before="0" w:beforeAutospacing="0" w:after="0" w:afterAutospacing="0" w:line="560" w:lineRule="exact"/>
        <w:ind w:left="210" w:leftChars="100" w:right="0" w:rightChars="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根据预算绩效管理要求，本单位在年初预算编制阶段，组织对2020年地质灾害综合防治体系建设项目项目支出开展了预算事前绩效评估，对该项目编制了绩效目标，预算执行过程中，选取该项目开展绩效监控，年终执行完毕后，对该项目开展了绩效目标完成情况自评。</w:t>
      </w:r>
    </w:p>
    <w:p>
      <w:pPr>
        <w:keepNext w:val="0"/>
        <w:keepLines w:val="0"/>
        <w:pageBreakBefore w:val="0"/>
        <w:widowControl/>
        <w:numPr>
          <w:ilvl w:val="0"/>
          <w:numId w:val="5"/>
        </w:numPr>
        <w:suppressLineNumbers w:val="0"/>
        <w:kinsoku/>
        <w:wordWrap/>
        <w:overflowPunct/>
        <w:topLinePunct w:val="0"/>
        <w:autoSpaceDN/>
        <w:bidi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楷体_GB2312" w:hAnsi="宋体" w:eastAsia="楷体_GB2312" w:cs="楷体_GB2312"/>
          <w:kern w:val="0"/>
          <w:sz w:val="32"/>
          <w:szCs w:val="32"/>
          <w:lang w:val="en-US" w:eastAsia="zh-CN" w:bidi="ar"/>
        </w:rPr>
        <w:t>项目绩效目标完成情况。</w:t>
      </w:r>
    </w:p>
    <w:p>
      <w:pPr>
        <w:keepNext w:val="0"/>
        <w:keepLines w:val="0"/>
        <w:pageBreakBefore w:val="0"/>
        <w:widowControl/>
        <w:numPr>
          <w:ilvl w:val="0"/>
          <w:numId w:val="5"/>
        </w:numPr>
        <w:suppressLineNumbers w:val="0"/>
        <w:kinsoku/>
        <w:wordWrap/>
        <w:overflowPunct/>
        <w:topLinePunct w:val="0"/>
        <w:autoSpaceDN/>
        <w:bidi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 xml:space="preserve">    本部门在2019年度部门决算中反映“增减挂钩”、“土地定级与基准地价评估”、“第一批省级矿山地质环境治理资金支出”、“不动产统一登记数据整合建库项目”、“其他自然资源事务支出”“查尔玛小学后山滑坡工程”、“红原县重要生态系统重大生态保护修复工程实施方案”、“地质灾害防治”等项目，选取绩效目标实际完成情况。</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both"/>
        <w:textAlignment w:val="auto"/>
        <w:rPr>
          <w:rFonts w:hint="default" w:ascii="仿宋_GB2312" w:eastAsia="仿宋_GB2312" w:cs="仿宋_GB2312"/>
          <w:b w:val="0"/>
          <w:kern w:val="0"/>
          <w:sz w:val="32"/>
          <w:szCs w:val="32"/>
        </w:rPr>
      </w:pPr>
      <w:r>
        <w:rPr>
          <w:rFonts w:hint="default" w:ascii="仿宋_GB2312" w:hAnsi="宋体" w:eastAsia="仿宋_GB2312" w:cs="仿宋_GB2312"/>
          <w:kern w:val="0"/>
          <w:sz w:val="32"/>
          <w:szCs w:val="32"/>
          <w:lang w:val="en-US" w:eastAsia="zh-CN" w:bidi="ar"/>
        </w:rPr>
        <w:t>（1）增减挂钩项目绩效目标完成情况综述。项目全年预算数1918万元，支出数为1184.17万元，完成预算的61.74%，结余733.83万元。通过项目实施，保障了</w:t>
      </w:r>
      <w:r>
        <w:rPr>
          <w:rFonts w:hint="default" w:ascii="仿宋_GB2312" w:hAnsi="宋体" w:eastAsia="仿宋_GB2312" w:cs="仿宋_GB2312"/>
          <w:b w:val="0"/>
          <w:kern w:val="0"/>
          <w:sz w:val="32"/>
          <w:szCs w:val="32"/>
          <w:lang w:val="en-US" w:eastAsia="zh-CN" w:bidi="ar"/>
        </w:rPr>
        <w:t>结合我县实际情况，开展城乡建设用地增减挂钩项目共计3个，已取得省自然资源厅立项批复，累积节余指标是20.1913公顷（302.8695亩）。</w:t>
      </w:r>
    </w:p>
    <w:p>
      <w:pPr>
        <w:keepNext w:val="0"/>
        <w:keepLines w:val="0"/>
        <w:pageBreakBefore w:val="0"/>
        <w:widowControl/>
        <w:suppressLineNumbers w:val="0"/>
        <w:kinsoku/>
        <w:wordWrap/>
        <w:overflowPunct/>
        <w:topLinePunct w:val="0"/>
        <w:autoSpaceDN/>
        <w:bidi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b w:val="0"/>
          <w:kern w:val="0"/>
          <w:sz w:val="32"/>
          <w:szCs w:val="32"/>
        </w:rPr>
      </w:pPr>
      <w:r>
        <w:rPr>
          <w:rFonts w:hint="default" w:ascii="仿宋_GB2312" w:hAnsi="宋体" w:eastAsia="仿宋_GB2312" w:cs="仿宋_GB2312"/>
          <w:kern w:val="0"/>
          <w:sz w:val="32"/>
          <w:szCs w:val="32"/>
          <w:lang w:val="en-US" w:eastAsia="zh-CN" w:bidi="ar"/>
        </w:rPr>
        <w:t>（2）</w:t>
      </w:r>
      <w:r>
        <w:rPr>
          <w:rFonts w:hint="default" w:ascii="仿宋_GB2312" w:hAnsi="宋体" w:eastAsia="仿宋_GB2312" w:cs="仿宋_GB2312"/>
          <w:b w:val="0"/>
          <w:kern w:val="0"/>
          <w:sz w:val="32"/>
          <w:szCs w:val="32"/>
          <w:lang w:val="en-US" w:eastAsia="zh-CN" w:bidi="ar"/>
        </w:rPr>
        <w:t>第一批省级矿山地质环境治理项目完成情况综述。项目资金下达文号为阿州财资环（2020）38号，为省级补助，下达资金323万元，实施瓦切镇采石场10等6个废弃矿山生态修复项目，截止20年12月31日支付共计250.20万元。有效的保障了瓦切镇采石场10等6个废弃矿山生态修复项目的顺利实施。</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（3）不动产统一登记数据整合建库项目完成情况综述。项目资金由县级财政补助支出，总计67.91万元。</w:t>
      </w:r>
      <w:r>
        <w:rPr>
          <w:rFonts w:hint="eastAsia" w:ascii="仿宋" w:hAnsi="仿宋" w:eastAsia="仿宋" w:cs="仿宋"/>
          <w:kern w:val="2"/>
          <w:sz w:val="32"/>
          <w:szCs w:val="32"/>
          <w:lang w:val="en-US" w:eastAsia="zh-CN" w:bidi="ar"/>
        </w:rPr>
        <w:t>随着科技信息化的发展，政务部门建设信息化系统，是适应形势，转变职能，提高效率，加强业务规范化管理的重要方式，需要开展业务数据一体化建设工作，以提升工作效率，保障数据使用安全及时。</w:t>
      </w:r>
      <w:r>
        <w:rPr>
          <w:rFonts w:hint="default" w:ascii="仿宋_GB2312" w:hAnsi="宋体" w:eastAsia="仿宋_GB2312" w:cs="仿宋_GB2312"/>
          <w:kern w:val="0"/>
          <w:sz w:val="32"/>
          <w:szCs w:val="32"/>
          <w:lang w:val="en-US" w:eastAsia="zh-CN" w:bidi="ar"/>
        </w:rPr>
        <w:t>通过项目实施，实现了数字化、信息化办公，</w:t>
      </w:r>
      <w:r>
        <w:rPr>
          <w:rFonts w:hint="eastAsia" w:ascii="仿宋" w:hAnsi="仿宋" w:eastAsia="仿宋" w:cs="仿宋"/>
          <w:kern w:val="0"/>
          <w:sz w:val="32"/>
          <w:szCs w:val="32"/>
          <w:lang w:val="en-US" w:eastAsia="zh-CN" w:bidi="ar"/>
        </w:rPr>
        <w:t>通过高效采集、有效整合、深化应用政府数据和社会数据，提升政府决策和风险防范水平。</w:t>
      </w:r>
    </w:p>
    <w:p>
      <w:pPr>
        <w:keepNext w:val="0"/>
        <w:keepLines w:val="0"/>
        <w:pageBreakBefore w:val="0"/>
        <w:widowControl/>
        <w:suppressLineNumbers w:val="0"/>
        <w:kinsoku/>
        <w:wordWrap/>
        <w:overflowPunct/>
        <w:topLinePunct w:val="0"/>
        <w:autoSpaceDN/>
        <w:bidi w:val="0"/>
        <w:snapToGrid w:val="0"/>
        <w:spacing w:before="0" w:beforeAutospacing="0" w:after="0" w:afterAutospacing="0" w:line="560" w:lineRule="exact"/>
        <w:ind w:left="0" w:right="0" w:firstLine="640" w:firstLineChars="200"/>
        <w:jc w:val="left"/>
        <w:textAlignment w:val="auto"/>
        <w:rPr>
          <w:rFonts w:hint="eastAsia" w:ascii="仿宋_GB2312" w:eastAsia="仿宋_GB2312" w:cs="仿宋_GB2312"/>
          <w:b w:val="0"/>
          <w:kern w:val="0"/>
          <w:sz w:val="32"/>
          <w:szCs w:val="32"/>
          <w:lang w:val="en-US" w:eastAsia="zh-CN"/>
        </w:rPr>
      </w:pPr>
      <w:r>
        <w:rPr>
          <w:rFonts w:hint="default" w:ascii="仿宋_GB2312" w:hAnsi="宋体" w:eastAsia="仿宋_GB2312" w:cs="仿宋_GB2312"/>
          <w:b w:val="0"/>
          <w:kern w:val="0"/>
          <w:sz w:val="32"/>
          <w:szCs w:val="32"/>
          <w:lang w:val="en-US" w:eastAsia="zh-CN" w:bidi="ar"/>
        </w:rPr>
        <w:t>（4）地质灾害防治支出项目绩效目标完成情况综述。项目年初结转结余26.42万元，全年收入25.08万元，支出数36.5万元，结转结余15万元。通过项目实施保障了阿州财资环【2020】25号-2020年第一批地质灾害防治省级补助资金项目全年预算数10.08万元，执行数为10.08万元，完成预算的100%。通过项目实施保障了2020年度地质灾害综合防治体系建设；红财预追[2020]362号-解决查尔玛小学后山滑坡工程资金6.92万元；红财预追[2020]472号-解决《红原县重要生态系统重大生态保护修复工程实施方案》（2021至2023）编制经费19.5万元</w:t>
      </w:r>
      <w:r>
        <w:rPr>
          <w:rFonts w:hint="eastAsia" w:ascii="仿宋_GB2312" w:hAnsi="宋体" w:eastAsia="仿宋_GB2312" w:cs="仿宋_GB2312"/>
          <w:b w:val="0"/>
          <w:kern w:val="0"/>
          <w:sz w:val="32"/>
          <w:szCs w:val="32"/>
          <w:lang w:val="en-US" w:eastAsia="zh-CN" w:bidi="ar"/>
        </w:rPr>
        <w:t>。</w:t>
      </w:r>
    </w:p>
    <w:tbl>
      <w:tblPr>
        <w:tblStyle w:val="13"/>
        <w:tblW w:w="5000" w:type="pct"/>
        <w:jc w:val="center"/>
        <w:shd w:val="clear" w:color="auto" w:fill="auto"/>
        <w:tblLayout w:type="autofit"/>
        <w:tblCellMar>
          <w:top w:w="0" w:type="dxa"/>
          <w:left w:w="0" w:type="dxa"/>
          <w:bottom w:w="0" w:type="dxa"/>
          <w:right w:w="0" w:type="dxa"/>
        </w:tblCellMar>
      </w:tblPr>
      <w:tblGrid>
        <w:gridCol w:w="492"/>
        <w:gridCol w:w="90"/>
        <w:gridCol w:w="602"/>
        <w:gridCol w:w="754"/>
        <w:gridCol w:w="2597"/>
        <w:gridCol w:w="1849"/>
        <w:gridCol w:w="1952"/>
      </w:tblGrid>
      <w:tr>
        <w:tblPrEx>
          <w:shd w:val="clear" w:color="auto" w:fill="auto"/>
          <w:tblCellMar>
            <w:top w:w="0" w:type="dxa"/>
            <w:left w:w="0" w:type="dxa"/>
            <w:bottom w:w="0" w:type="dxa"/>
            <w:right w:w="0" w:type="dxa"/>
          </w:tblCellMar>
        </w:tblPrEx>
        <w:trPr>
          <w:trHeight w:val="839" w:hRule="atLeast"/>
          <w:jc w:val="center"/>
        </w:trPr>
        <w:tc>
          <w:tcPr>
            <w:tcW w:w="5000" w:type="pct"/>
            <w:gridSpan w:val="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kern w:val="0"/>
                <w:sz w:val="36"/>
                <w:szCs w:val="36"/>
                <w:lang w:val="en-US" w:eastAsia="zh-CN" w:bidi="ar"/>
              </w:rPr>
            </w:pPr>
            <w:r>
              <w:rPr>
                <w:rFonts w:hint="eastAsia" w:ascii="宋体" w:hAnsi="宋体" w:eastAsia="宋体" w:cs="宋体"/>
                <w:b/>
                <w:kern w:val="0"/>
                <w:sz w:val="36"/>
                <w:szCs w:val="36"/>
                <w:lang w:val="en-US" w:eastAsia="zh-CN" w:bidi="ar"/>
              </w:rPr>
              <w:t>项目绩效目标完成情况表</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36"/>
                <w:szCs w:val="36"/>
              </w:rPr>
            </w:pPr>
            <w:r>
              <w:rPr>
                <w:rFonts w:hint="eastAsia" w:ascii="宋体" w:hAnsi="宋体" w:eastAsia="宋体" w:cs="宋体"/>
                <w:kern w:val="0"/>
                <w:sz w:val="36"/>
                <w:szCs w:val="36"/>
                <w:lang w:val="en-US" w:eastAsia="zh-CN" w:bidi="ar"/>
              </w:rPr>
              <w:t>(2020 年度)</w:t>
            </w:r>
          </w:p>
        </w:tc>
      </w:tr>
      <w:tr>
        <w:tblPrEx>
          <w:shd w:val="clear" w:color="auto" w:fill="auto"/>
          <w:tblCellMar>
            <w:top w:w="0" w:type="dxa"/>
            <w:left w:w="0" w:type="dxa"/>
            <w:bottom w:w="0" w:type="dxa"/>
            <w:right w:w="0" w:type="dxa"/>
          </w:tblCellMar>
        </w:tblPrEx>
        <w:trPr>
          <w:trHeight w:val="367" w:hRule="atLeast"/>
          <w:jc w:val="center"/>
        </w:trPr>
        <w:tc>
          <w:tcPr>
            <w:tcW w:w="1162"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项目名称</w:t>
            </w:r>
          </w:p>
        </w:tc>
        <w:tc>
          <w:tcPr>
            <w:tcW w:w="3837"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2020年地质灾害综合防治体系建设项目绩效</w:t>
            </w:r>
          </w:p>
        </w:tc>
      </w:tr>
      <w:tr>
        <w:tblPrEx>
          <w:shd w:val="clear" w:color="auto" w:fill="auto"/>
          <w:tblCellMar>
            <w:top w:w="0" w:type="dxa"/>
            <w:left w:w="0" w:type="dxa"/>
            <w:bottom w:w="0" w:type="dxa"/>
            <w:right w:w="0" w:type="dxa"/>
          </w:tblCellMar>
        </w:tblPrEx>
        <w:trPr>
          <w:trHeight w:val="303" w:hRule="atLeast"/>
          <w:jc w:val="center"/>
        </w:trPr>
        <w:tc>
          <w:tcPr>
            <w:tcW w:w="1162"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预算单位</w:t>
            </w:r>
          </w:p>
        </w:tc>
        <w:tc>
          <w:tcPr>
            <w:tcW w:w="3837"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红原县自然资源局</w:t>
            </w:r>
          </w:p>
        </w:tc>
      </w:tr>
      <w:tr>
        <w:tblPrEx>
          <w:shd w:val="clear" w:color="auto" w:fill="auto"/>
          <w:tblCellMar>
            <w:top w:w="0" w:type="dxa"/>
            <w:left w:w="0" w:type="dxa"/>
            <w:bottom w:w="0" w:type="dxa"/>
            <w:right w:w="0" w:type="dxa"/>
          </w:tblCellMar>
        </w:tblPrEx>
        <w:trPr>
          <w:trHeight w:val="303" w:hRule="atLeast"/>
          <w:jc w:val="center"/>
        </w:trPr>
        <w:tc>
          <w:tcPr>
            <w:tcW w:w="349"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预算执行情况(万元)</w:t>
            </w:r>
          </w:p>
        </w:tc>
        <w:tc>
          <w:tcPr>
            <w:tcW w:w="813" w:type="pct"/>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预算数:</w:t>
            </w:r>
          </w:p>
        </w:tc>
        <w:tc>
          <w:tcPr>
            <w:tcW w:w="1558"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10.08万元</w:t>
            </w:r>
          </w:p>
        </w:tc>
        <w:tc>
          <w:tcPr>
            <w:tcW w:w="110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执行数:</w:t>
            </w:r>
          </w:p>
        </w:tc>
        <w:tc>
          <w:tcPr>
            <w:tcW w:w="116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10.08万元</w:t>
            </w:r>
          </w:p>
        </w:tc>
      </w:tr>
      <w:tr>
        <w:tblPrEx>
          <w:shd w:val="clear" w:color="auto" w:fill="auto"/>
          <w:tblCellMar>
            <w:top w:w="0" w:type="dxa"/>
            <w:left w:w="0" w:type="dxa"/>
            <w:bottom w:w="0" w:type="dxa"/>
            <w:right w:w="0" w:type="dxa"/>
          </w:tblCellMar>
        </w:tblPrEx>
        <w:trPr>
          <w:trHeight w:val="573" w:hRule="atLeast"/>
          <w:jc w:val="center"/>
        </w:trPr>
        <w:tc>
          <w:tcPr>
            <w:tcW w:w="349"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13" w:type="pct"/>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其中-财政拨款:</w:t>
            </w:r>
          </w:p>
        </w:tc>
        <w:tc>
          <w:tcPr>
            <w:tcW w:w="1558"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10.08</w:t>
            </w:r>
          </w:p>
        </w:tc>
        <w:tc>
          <w:tcPr>
            <w:tcW w:w="110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其中-财政拨款:</w:t>
            </w:r>
          </w:p>
        </w:tc>
        <w:tc>
          <w:tcPr>
            <w:tcW w:w="116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10.08</w:t>
            </w:r>
          </w:p>
        </w:tc>
      </w:tr>
      <w:tr>
        <w:tblPrEx>
          <w:shd w:val="clear" w:color="auto" w:fill="auto"/>
          <w:tblCellMar>
            <w:top w:w="0" w:type="dxa"/>
            <w:left w:w="0" w:type="dxa"/>
            <w:bottom w:w="0" w:type="dxa"/>
            <w:right w:w="0" w:type="dxa"/>
          </w:tblCellMar>
        </w:tblPrEx>
        <w:trPr>
          <w:trHeight w:val="523" w:hRule="atLeast"/>
          <w:jc w:val="center"/>
        </w:trPr>
        <w:tc>
          <w:tcPr>
            <w:tcW w:w="349"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813" w:type="pct"/>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其它资金:</w:t>
            </w:r>
          </w:p>
        </w:tc>
        <w:tc>
          <w:tcPr>
            <w:tcW w:w="1558"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0</w:t>
            </w:r>
          </w:p>
        </w:tc>
        <w:tc>
          <w:tcPr>
            <w:tcW w:w="110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其它资金:</w:t>
            </w:r>
          </w:p>
        </w:tc>
        <w:tc>
          <w:tcPr>
            <w:tcW w:w="116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0</w:t>
            </w:r>
          </w:p>
        </w:tc>
      </w:tr>
      <w:tr>
        <w:tblPrEx>
          <w:shd w:val="clear" w:color="auto" w:fill="auto"/>
          <w:tblCellMar>
            <w:top w:w="0" w:type="dxa"/>
            <w:left w:w="0" w:type="dxa"/>
            <w:bottom w:w="0" w:type="dxa"/>
            <w:right w:w="0" w:type="dxa"/>
          </w:tblCellMar>
        </w:tblPrEx>
        <w:trPr>
          <w:trHeight w:val="303" w:hRule="atLeast"/>
          <w:jc w:val="center"/>
        </w:trPr>
        <w:tc>
          <w:tcPr>
            <w:tcW w:w="349"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年度目标完成情况</w:t>
            </w:r>
          </w:p>
        </w:tc>
        <w:tc>
          <w:tcPr>
            <w:tcW w:w="2371"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预期目标</w:t>
            </w:r>
          </w:p>
        </w:tc>
        <w:tc>
          <w:tcPr>
            <w:tcW w:w="2278" w:type="pct"/>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实际完成目标</w:t>
            </w:r>
          </w:p>
        </w:tc>
      </w:tr>
      <w:tr>
        <w:tblPrEx>
          <w:shd w:val="clear" w:color="auto" w:fill="auto"/>
          <w:tblCellMar>
            <w:top w:w="0" w:type="dxa"/>
            <w:left w:w="0" w:type="dxa"/>
            <w:bottom w:w="0" w:type="dxa"/>
            <w:right w:w="0" w:type="dxa"/>
          </w:tblCellMar>
        </w:tblPrEx>
        <w:trPr>
          <w:trHeight w:val="2500" w:hRule="atLeast"/>
          <w:jc w:val="center"/>
        </w:trPr>
        <w:tc>
          <w:tcPr>
            <w:tcW w:w="349"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371"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b/>
                <w:kern w:val="0"/>
                <w:sz w:val="24"/>
                <w:szCs w:val="24"/>
                <w:lang w:val="en-US" w:eastAsia="zh-CN" w:bidi="ar"/>
              </w:rPr>
              <w:t>一是</w:t>
            </w:r>
            <w:r>
              <w:rPr>
                <w:rFonts w:hint="eastAsia" w:ascii="宋体" w:hAnsi="宋体" w:eastAsia="宋体" w:cs="宋体"/>
                <w:kern w:val="0"/>
                <w:sz w:val="24"/>
                <w:szCs w:val="24"/>
                <w:lang w:val="en-US" w:eastAsia="zh-CN" w:bidi="ar"/>
              </w:rPr>
              <w:t>完成28个地质灾害隐患点专职监测工作；</w:t>
            </w:r>
            <w:r>
              <w:rPr>
                <w:rFonts w:hint="eastAsia" w:ascii="宋体" w:hAnsi="宋体" w:eastAsia="宋体" w:cs="宋体"/>
                <w:b/>
                <w:kern w:val="0"/>
                <w:sz w:val="24"/>
                <w:szCs w:val="24"/>
                <w:lang w:val="en-US" w:eastAsia="zh-CN" w:bidi="ar"/>
              </w:rPr>
              <w:t>二是</w:t>
            </w:r>
            <w:r>
              <w:rPr>
                <w:rFonts w:hint="eastAsia" w:ascii="宋体" w:hAnsi="宋体" w:eastAsia="宋体" w:cs="宋体"/>
                <w:kern w:val="0"/>
                <w:sz w:val="24"/>
                <w:szCs w:val="24"/>
                <w:lang w:val="en-US" w:eastAsia="zh-CN" w:bidi="ar"/>
              </w:rPr>
              <w:t>完成地质灾害隐患点宣传培训和应急演练工作，覆盖率＞90%；</w:t>
            </w:r>
            <w:r>
              <w:rPr>
                <w:rFonts w:hint="eastAsia" w:ascii="宋体" w:hAnsi="宋体" w:eastAsia="宋体" w:cs="宋体"/>
                <w:b/>
                <w:kern w:val="0"/>
                <w:sz w:val="24"/>
                <w:szCs w:val="24"/>
                <w:lang w:val="en-US" w:eastAsia="zh-CN" w:bidi="ar"/>
              </w:rPr>
              <w:t>三是</w:t>
            </w:r>
            <w:r>
              <w:rPr>
                <w:rFonts w:hint="eastAsia" w:ascii="宋体" w:hAnsi="宋体" w:eastAsia="宋体" w:cs="宋体"/>
                <w:kern w:val="0"/>
                <w:sz w:val="24"/>
                <w:szCs w:val="24"/>
                <w:lang w:val="en-US" w:eastAsia="zh-CN" w:bidi="ar"/>
              </w:rPr>
              <w:t>填报四川省地质环境管理信息系统，填报率100%；</w:t>
            </w:r>
            <w:r>
              <w:rPr>
                <w:rFonts w:hint="eastAsia" w:ascii="宋体" w:hAnsi="宋体" w:eastAsia="宋体" w:cs="宋体"/>
                <w:b/>
                <w:kern w:val="0"/>
                <w:sz w:val="24"/>
                <w:szCs w:val="24"/>
                <w:lang w:val="en-US" w:eastAsia="zh-CN" w:bidi="ar"/>
              </w:rPr>
              <w:t>四是</w:t>
            </w:r>
            <w:r>
              <w:rPr>
                <w:rFonts w:hint="eastAsia" w:ascii="宋体" w:hAnsi="宋体" w:eastAsia="宋体" w:cs="宋体"/>
                <w:kern w:val="0"/>
                <w:sz w:val="24"/>
                <w:szCs w:val="24"/>
                <w:lang w:val="en-US" w:eastAsia="zh-CN" w:bidi="ar"/>
              </w:rPr>
              <w:t>编制并启动2020年度实施方案，目标完成率100%；</w:t>
            </w:r>
            <w:r>
              <w:rPr>
                <w:rFonts w:hint="eastAsia" w:ascii="宋体" w:hAnsi="宋体" w:eastAsia="宋体" w:cs="宋体"/>
                <w:b/>
                <w:kern w:val="0"/>
                <w:sz w:val="24"/>
                <w:szCs w:val="24"/>
                <w:lang w:val="en-US" w:eastAsia="zh-CN" w:bidi="ar"/>
              </w:rPr>
              <w:t>五是</w:t>
            </w:r>
            <w:r>
              <w:rPr>
                <w:rFonts w:hint="eastAsia" w:ascii="宋体" w:hAnsi="宋体" w:eastAsia="宋体" w:cs="宋体"/>
                <w:kern w:val="0"/>
                <w:sz w:val="24"/>
                <w:szCs w:val="24"/>
                <w:lang w:val="en-US" w:eastAsia="zh-CN" w:bidi="ar"/>
              </w:rPr>
              <w:t>完成2020年监测记录、值班记录，了解隐患点变化情况。</w:t>
            </w:r>
          </w:p>
        </w:tc>
        <w:tc>
          <w:tcPr>
            <w:tcW w:w="2278" w:type="pct"/>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b/>
                <w:kern w:val="0"/>
                <w:sz w:val="24"/>
                <w:szCs w:val="24"/>
                <w:lang w:val="en-US" w:eastAsia="zh-CN" w:bidi="ar"/>
              </w:rPr>
              <w:t>一是</w:t>
            </w:r>
            <w:r>
              <w:rPr>
                <w:rFonts w:hint="eastAsia" w:ascii="宋体" w:hAnsi="宋体" w:eastAsia="宋体" w:cs="宋体"/>
                <w:kern w:val="0"/>
                <w:sz w:val="24"/>
                <w:szCs w:val="24"/>
                <w:lang w:val="en-US" w:eastAsia="zh-CN" w:bidi="ar"/>
              </w:rPr>
              <w:t>完成28个地质灾害隐患点专职监测工作；</w:t>
            </w:r>
            <w:r>
              <w:rPr>
                <w:rFonts w:hint="eastAsia" w:ascii="宋体" w:hAnsi="宋体" w:eastAsia="宋体" w:cs="宋体"/>
                <w:b/>
                <w:kern w:val="0"/>
                <w:sz w:val="24"/>
                <w:szCs w:val="24"/>
                <w:lang w:val="en-US" w:eastAsia="zh-CN" w:bidi="ar"/>
              </w:rPr>
              <w:t>二是</w:t>
            </w:r>
            <w:r>
              <w:rPr>
                <w:rFonts w:hint="eastAsia" w:ascii="宋体" w:hAnsi="宋体" w:eastAsia="宋体" w:cs="宋体"/>
                <w:kern w:val="0"/>
                <w:sz w:val="24"/>
                <w:szCs w:val="24"/>
                <w:lang w:val="en-US" w:eastAsia="zh-CN" w:bidi="ar"/>
              </w:rPr>
              <w:t>完成地质灾害隐患点宣传培训和应急演练工作，覆盖率＞90%；</w:t>
            </w:r>
            <w:r>
              <w:rPr>
                <w:rFonts w:hint="eastAsia" w:ascii="宋体" w:hAnsi="宋体" w:eastAsia="宋体" w:cs="宋体"/>
                <w:b/>
                <w:kern w:val="0"/>
                <w:sz w:val="24"/>
                <w:szCs w:val="24"/>
                <w:lang w:val="en-US" w:eastAsia="zh-CN" w:bidi="ar"/>
              </w:rPr>
              <w:t>三是</w:t>
            </w:r>
            <w:r>
              <w:rPr>
                <w:rFonts w:hint="eastAsia" w:ascii="宋体" w:hAnsi="宋体" w:eastAsia="宋体" w:cs="宋体"/>
                <w:kern w:val="0"/>
                <w:sz w:val="24"/>
                <w:szCs w:val="24"/>
                <w:lang w:val="en-US" w:eastAsia="zh-CN" w:bidi="ar"/>
              </w:rPr>
              <w:t>填报四川省地质环境管理信息系统，填报率100%；</w:t>
            </w:r>
            <w:r>
              <w:rPr>
                <w:rFonts w:hint="eastAsia" w:ascii="宋体" w:hAnsi="宋体" w:eastAsia="宋体" w:cs="宋体"/>
                <w:b/>
                <w:kern w:val="0"/>
                <w:sz w:val="24"/>
                <w:szCs w:val="24"/>
                <w:lang w:val="en-US" w:eastAsia="zh-CN" w:bidi="ar"/>
              </w:rPr>
              <w:t>四是</w:t>
            </w:r>
            <w:r>
              <w:rPr>
                <w:rFonts w:hint="eastAsia" w:ascii="宋体" w:hAnsi="宋体" w:eastAsia="宋体" w:cs="宋体"/>
                <w:kern w:val="0"/>
                <w:sz w:val="24"/>
                <w:szCs w:val="24"/>
                <w:lang w:val="en-US" w:eastAsia="zh-CN" w:bidi="ar"/>
              </w:rPr>
              <w:t>编制并启动2020年度实施方案，目标完成率100%；</w:t>
            </w:r>
            <w:r>
              <w:rPr>
                <w:rFonts w:hint="eastAsia" w:ascii="宋体" w:hAnsi="宋体" w:eastAsia="宋体" w:cs="宋体"/>
                <w:b/>
                <w:kern w:val="0"/>
                <w:sz w:val="24"/>
                <w:szCs w:val="24"/>
                <w:lang w:val="en-US" w:eastAsia="zh-CN" w:bidi="ar"/>
              </w:rPr>
              <w:t>五是</w:t>
            </w:r>
            <w:r>
              <w:rPr>
                <w:rFonts w:hint="eastAsia" w:ascii="宋体" w:hAnsi="宋体" w:eastAsia="宋体" w:cs="宋体"/>
                <w:kern w:val="0"/>
                <w:sz w:val="24"/>
                <w:szCs w:val="24"/>
                <w:lang w:val="en-US" w:eastAsia="zh-CN" w:bidi="ar"/>
              </w:rPr>
              <w:t>完成2020年监测记录、值班记录，了解隐患点变化情况。</w:t>
            </w:r>
          </w:p>
        </w:tc>
      </w:tr>
      <w:tr>
        <w:tblPrEx>
          <w:shd w:val="clear" w:color="auto" w:fill="auto"/>
          <w:tblCellMar>
            <w:top w:w="0" w:type="dxa"/>
            <w:left w:w="0" w:type="dxa"/>
            <w:bottom w:w="0" w:type="dxa"/>
            <w:right w:w="0" w:type="dxa"/>
          </w:tblCellMar>
        </w:tblPrEx>
        <w:trPr>
          <w:trHeight w:val="848" w:hRule="atLeast"/>
          <w:jc w:val="center"/>
        </w:trPr>
        <w:tc>
          <w:tcPr>
            <w:tcW w:w="295" w:type="pct"/>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绩效指标完成情况</w:t>
            </w:r>
          </w:p>
        </w:tc>
        <w:tc>
          <w:tcPr>
            <w:tcW w:w="53" w:type="pct"/>
            <w:vMerge w:val="restart"/>
            <w:tcBorders>
              <w:top w:val="nil"/>
              <w:left w:val="nil"/>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p>
        </w:tc>
        <w:tc>
          <w:tcPr>
            <w:tcW w:w="361"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一级指标</w:t>
            </w:r>
          </w:p>
        </w:tc>
        <w:tc>
          <w:tcPr>
            <w:tcW w:w="451"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二级指标</w:t>
            </w:r>
          </w:p>
        </w:tc>
        <w:tc>
          <w:tcPr>
            <w:tcW w:w="1558"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三级指标</w:t>
            </w:r>
          </w:p>
        </w:tc>
        <w:tc>
          <w:tcPr>
            <w:tcW w:w="110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预期指标值(包含数字及文字描述)</w:t>
            </w:r>
          </w:p>
        </w:tc>
        <w:tc>
          <w:tcPr>
            <w:tcW w:w="116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实际完成指标值(包含数字及文字描述)</w:t>
            </w:r>
          </w:p>
        </w:tc>
      </w:tr>
      <w:tr>
        <w:tblPrEx>
          <w:shd w:val="clear" w:color="auto" w:fill="auto"/>
          <w:tblCellMar>
            <w:top w:w="0" w:type="dxa"/>
            <w:left w:w="0" w:type="dxa"/>
            <w:bottom w:w="0" w:type="dxa"/>
            <w:right w:w="0" w:type="dxa"/>
          </w:tblCellMar>
        </w:tblPrEx>
        <w:trPr>
          <w:trHeight w:val="1399" w:hRule="atLeast"/>
          <w:jc w:val="center"/>
        </w:trPr>
        <w:tc>
          <w:tcPr>
            <w:tcW w:w="295" w:type="pct"/>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3" w:type="pct"/>
            <w:vMerge w:val="continue"/>
            <w:tcBorders>
              <w:top w:val="nil"/>
              <w:left w:val="nil"/>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61"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项目完成指标</w:t>
            </w:r>
          </w:p>
        </w:tc>
        <w:tc>
          <w:tcPr>
            <w:tcW w:w="451"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i w:val="0"/>
                <w:kern w:val="0"/>
                <w:sz w:val="20"/>
                <w:szCs w:val="20"/>
                <w:lang w:val="en-US" w:eastAsia="zh-CN" w:bidi="ar"/>
              </w:rPr>
              <w:t>绩效目标</w:t>
            </w:r>
          </w:p>
        </w:tc>
        <w:tc>
          <w:tcPr>
            <w:tcW w:w="1558"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i w:val="0"/>
                <w:kern w:val="0"/>
                <w:sz w:val="20"/>
                <w:szCs w:val="20"/>
                <w:lang w:val="en-US" w:eastAsia="zh-CN" w:bidi="ar"/>
              </w:rPr>
              <w:t>目标内容</w:t>
            </w:r>
          </w:p>
        </w:tc>
        <w:tc>
          <w:tcPr>
            <w:tcW w:w="110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2020年项目为群测群防专职监测用于28个地质灾害隐患点专职监测经费</w:t>
            </w:r>
          </w:p>
        </w:tc>
        <w:tc>
          <w:tcPr>
            <w:tcW w:w="116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4"/>
                <w:szCs w:val="24"/>
              </w:rPr>
            </w:pPr>
            <w:r>
              <w:rPr>
                <w:rFonts w:hint="eastAsia" w:ascii="宋体" w:hAnsi="宋体" w:eastAsia="宋体" w:cs="宋体"/>
                <w:kern w:val="0"/>
                <w:sz w:val="24"/>
                <w:szCs w:val="24"/>
                <w:lang w:val="en-US" w:eastAsia="zh-CN" w:bidi="ar"/>
              </w:rPr>
              <w:t>2020年项目为群测群防专职监测用于28个地质灾害隐患点专职监测经费</w:t>
            </w:r>
          </w:p>
        </w:tc>
      </w:tr>
      <w:tr>
        <w:tblPrEx>
          <w:tblCellMar>
            <w:top w:w="0" w:type="dxa"/>
            <w:left w:w="0" w:type="dxa"/>
            <w:bottom w:w="0" w:type="dxa"/>
            <w:right w:w="0" w:type="dxa"/>
          </w:tblCellMar>
        </w:tblPrEx>
        <w:trPr>
          <w:trHeight w:val="848" w:hRule="atLeast"/>
          <w:jc w:val="center"/>
        </w:trPr>
        <w:tc>
          <w:tcPr>
            <w:tcW w:w="295" w:type="pct"/>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3" w:type="pct"/>
            <w:vMerge w:val="continue"/>
            <w:tcBorders>
              <w:top w:val="nil"/>
              <w:left w:val="nil"/>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61"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项目完成指标</w:t>
            </w:r>
          </w:p>
        </w:tc>
        <w:tc>
          <w:tcPr>
            <w:tcW w:w="451"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i w:val="0"/>
                <w:kern w:val="0"/>
                <w:sz w:val="20"/>
                <w:szCs w:val="20"/>
                <w:lang w:val="en-US" w:eastAsia="zh-CN" w:bidi="ar"/>
              </w:rPr>
              <w:t>进度计划</w:t>
            </w:r>
          </w:p>
        </w:tc>
        <w:tc>
          <w:tcPr>
            <w:tcW w:w="1558"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i w:val="0"/>
                <w:kern w:val="0"/>
                <w:sz w:val="20"/>
                <w:szCs w:val="20"/>
                <w:lang w:val="en-US" w:eastAsia="zh-CN" w:bidi="ar"/>
              </w:rPr>
              <w:t>项目计划实施进度明确</w:t>
            </w:r>
          </w:p>
        </w:tc>
        <w:tc>
          <w:tcPr>
            <w:tcW w:w="110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i w:val="0"/>
                <w:kern w:val="0"/>
                <w:sz w:val="20"/>
                <w:szCs w:val="20"/>
                <w:lang w:val="en-US" w:eastAsia="zh-CN" w:bidi="ar"/>
              </w:rPr>
              <w:t>明确</w:t>
            </w:r>
          </w:p>
        </w:tc>
        <w:tc>
          <w:tcPr>
            <w:tcW w:w="116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i w:val="0"/>
                <w:kern w:val="0"/>
                <w:sz w:val="20"/>
                <w:szCs w:val="20"/>
                <w:lang w:val="en-US" w:eastAsia="zh-CN" w:bidi="ar"/>
              </w:rPr>
              <w:t>明确</w:t>
            </w:r>
          </w:p>
        </w:tc>
      </w:tr>
      <w:tr>
        <w:tblPrEx>
          <w:tblCellMar>
            <w:top w:w="0" w:type="dxa"/>
            <w:left w:w="0" w:type="dxa"/>
            <w:bottom w:w="0" w:type="dxa"/>
            <w:right w:w="0" w:type="dxa"/>
          </w:tblCellMar>
        </w:tblPrEx>
        <w:trPr>
          <w:trHeight w:val="848" w:hRule="atLeast"/>
          <w:jc w:val="center"/>
        </w:trPr>
        <w:tc>
          <w:tcPr>
            <w:tcW w:w="295" w:type="pct"/>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3" w:type="pct"/>
            <w:vMerge w:val="continue"/>
            <w:tcBorders>
              <w:top w:val="nil"/>
              <w:left w:val="nil"/>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61"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项目完成指标</w:t>
            </w:r>
          </w:p>
        </w:tc>
        <w:tc>
          <w:tcPr>
            <w:tcW w:w="451"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i w:val="0"/>
                <w:kern w:val="0"/>
                <w:sz w:val="20"/>
                <w:szCs w:val="20"/>
                <w:lang w:val="en-US" w:eastAsia="zh-CN" w:bidi="ar"/>
              </w:rPr>
              <w:t>目标匹配</w:t>
            </w:r>
          </w:p>
        </w:tc>
        <w:tc>
          <w:tcPr>
            <w:tcW w:w="1558"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i w:val="0"/>
                <w:kern w:val="0"/>
                <w:sz w:val="20"/>
                <w:szCs w:val="20"/>
                <w:lang w:val="en-US" w:eastAsia="zh-CN" w:bidi="ar"/>
              </w:rPr>
              <w:t>绩效目标设定符合实际需求的抽样项目点个数/抽样项目点总数×100%</w:t>
            </w:r>
          </w:p>
        </w:tc>
        <w:tc>
          <w:tcPr>
            <w:tcW w:w="110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28个</w:t>
            </w:r>
          </w:p>
        </w:tc>
        <w:tc>
          <w:tcPr>
            <w:tcW w:w="116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28个</w:t>
            </w:r>
          </w:p>
        </w:tc>
      </w:tr>
      <w:tr>
        <w:tblPrEx>
          <w:shd w:val="clear" w:color="auto" w:fill="auto"/>
          <w:tblCellMar>
            <w:top w:w="0" w:type="dxa"/>
            <w:left w:w="0" w:type="dxa"/>
            <w:bottom w:w="0" w:type="dxa"/>
            <w:right w:w="0" w:type="dxa"/>
          </w:tblCellMar>
        </w:tblPrEx>
        <w:trPr>
          <w:trHeight w:val="848" w:hRule="atLeast"/>
          <w:jc w:val="center"/>
        </w:trPr>
        <w:tc>
          <w:tcPr>
            <w:tcW w:w="295" w:type="pct"/>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3" w:type="pct"/>
            <w:vMerge w:val="continue"/>
            <w:tcBorders>
              <w:top w:val="nil"/>
              <w:left w:val="nil"/>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61"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项目完成指标</w:t>
            </w:r>
          </w:p>
        </w:tc>
        <w:tc>
          <w:tcPr>
            <w:tcW w:w="451"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i w:val="0"/>
                <w:kern w:val="0"/>
                <w:sz w:val="20"/>
                <w:szCs w:val="20"/>
                <w:lang w:val="en-US" w:eastAsia="zh-CN" w:bidi="ar"/>
              </w:rPr>
              <w:t>政策依据</w:t>
            </w:r>
          </w:p>
        </w:tc>
        <w:tc>
          <w:tcPr>
            <w:tcW w:w="1558"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i w:val="0"/>
                <w:kern w:val="0"/>
                <w:sz w:val="20"/>
                <w:szCs w:val="20"/>
                <w:lang w:val="en-US" w:eastAsia="zh-CN" w:bidi="ar"/>
              </w:rPr>
              <w:t>项目符合党中央、国务院和省委、省政府决策部署；符合当前经济社会发展需要</w:t>
            </w:r>
          </w:p>
        </w:tc>
        <w:tc>
          <w:tcPr>
            <w:tcW w:w="110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i w:val="0"/>
                <w:kern w:val="0"/>
                <w:sz w:val="20"/>
                <w:szCs w:val="20"/>
                <w:lang w:val="en-US" w:eastAsia="zh-CN" w:bidi="ar"/>
              </w:rPr>
              <w:t>符合</w:t>
            </w:r>
          </w:p>
        </w:tc>
        <w:tc>
          <w:tcPr>
            <w:tcW w:w="116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i w:val="0"/>
                <w:kern w:val="0"/>
                <w:sz w:val="20"/>
                <w:szCs w:val="20"/>
                <w:lang w:val="en-US" w:eastAsia="zh-CN" w:bidi="ar"/>
              </w:rPr>
              <w:t>符合</w:t>
            </w:r>
          </w:p>
        </w:tc>
      </w:tr>
      <w:tr>
        <w:tblPrEx>
          <w:shd w:val="clear" w:color="auto" w:fill="auto"/>
          <w:tblCellMar>
            <w:top w:w="0" w:type="dxa"/>
            <w:left w:w="0" w:type="dxa"/>
            <w:bottom w:w="0" w:type="dxa"/>
            <w:right w:w="0" w:type="dxa"/>
          </w:tblCellMar>
        </w:tblPrEx>
        <w:trPr>
          <w:trHeight w:val="573" w:hRule="atLeast"/>
          <w:jc w:val="center"/>
        </w:trPr>
        <w:tc>
          <w:tcPr>
            <w:tcW w:w="295" w:type="pct"/>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3" w:type="pct"/>
            <w:vMerge w:val="continue"/>
            <w:tcBorders>
              <w:top w:val="nil"/>
              <w:left w:val="nil"/>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61"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决策依据</w:t>
            </w:r>
          </w:p>
        </w:tc>
        <w:tc>
          <w:tcPr>
            <w:tcW w:w="451"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i w:val="0"/>
                <w:kern w:val="0"/>
                <w:sz w:val="20"/>
                <w:szCs w:val="20"/>
                <w:lang w:val="en-US" w:eastAsia="zh-CN" w:bidi="ar"/>
              </w:rPr>
              <w:t>实施规划</w:t>
            </w:r>
          </w:p>
        </w:tc>
        <w:tc>
          <w:tcPr>
            <w:tcW w:w="1558"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i w:val="0"/>
                <w:kern w:val="0"/>
                <w:sz w:val="20"/>
                <w:szCs w:val="20"/>
                <w:lang w:val="en-US" w:eastAsia="zh-CN" w:bidi="ar"/>
              </w:rPr>
              <w:t>实施规划符合实际，并根据情况变化适时调整</w:t>
            </w:r>
          </w:p>
        </w:tc>
        <w:tc>
          <w:tcPr>
            <w:tcW w:w="110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spacing w:before="0" w:beforeAutospacing="0" w:after="0" w:afterAutospacing="0"/>
              <w:ind w:left="0" w:right="0"/>
              <w:jc w:val="center"/>
              <w:rPr>
                <w:rFonts w:hint="eastAsia" w:ascii="宋体" w:hAnsi="宋体" w:eastAsia="宋体" w:cs="宋体"/>
                <w:i w:val="0"/>
                <w:kern w:val="2"/>
                <w:sz w:val="20"/>
                <w:szCs w:val="20"/>
              </w:rPr>
            </w:pPr>
            <w:r>
              <w:rPr>
                <w:rFonts w:hint="eastAsia" w:ascii="宋体" w:hAnsi="宋体" w:eastAsia="宋体" w:cs="宋体"/>
                <w:i w:val="0"/>
                <w:kern w:val="0"/>
                <w:sz w:val="20"/>
                <w:szCs w:val="20"/>
                <w:lang w:val="en-US" w:eastAsia="zh-CN" w:bidi="ar"/>
              </w:rPr>
              <w:t>符合</w:t>
            </w:r>
          </w:p>
        </w:tc>
        <w:tc>
          <w:tcPr>
            <w:tcW w:w="116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spacing w:before="0" w:beforeAutospacing="0" w:after="0" w:afterAutospacing="0"/>
              <w:ind w:left="0" w:right="0"/>
              <w:jc w:val="center"/>
              <w:rPr>
                <w:rFonts w:hint="eastAsia" w:ascii="宋体" w:hAnsi="宋体" w:eastAsia="宋体" w:cs="宋体"/>
                <w:i w:val="0"/>
                <w:kern w:val="2"/>
                <w:sz w:val="20"/>
                <w:szCs w:val="20"/>
              </w:rPr>
            </w:pPr>
            <w:r>
              <w:rPr>
                <w:rFonts w:hint="eastAsia" w:ascii="宋体" w:hAnsi="宋体" w:eastAsia="宋体" w:cs="宋体"/>
                <w:i w:val="0"/>
                <w:kern w:val="0"/>
                <w:sz w:val="20"/>
                <w:szCs w:val="20"/>
                <w:lang w:val="en-US" w:eastAsia="zh-CN" w:bidi="ar"/>
              </w:rPr>
              <w:t>符合</w:t>
            </w:r>
          </w:p>
        </w:tc>
      </w:tr>
      <w:tr>
        <w:tblPrEx>
          <w:shd w:val="clear" w:color="auto" w:fill="auto"/>
          <w:tblCellMar>
            <w:top w:w="0" w:type="dxa"/>
            <w:left w:w="0" w:type="dxa"/>
            <w:bottom w:w="0" w:type="dxa"/>
            <w:right w:w="0" w:type="dxa"/>
          </w:tblCellMar>
        </w:tblPrEx>
        <w:trPr>
          <w:trHeight w:val="573" w:hRule="atLeast"/>
          <w:jc w:val="center"/>
        </w:trPr>
        <w:tc>
          <w:tcPr>
            <w:tcW w:w="295" w:type="pct"/>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3" w:type="pct"/>
            <w:vMerge w:val="continue"/>
            <w:tcBorders>
              <w:top w:val="nil"/>
              <w:left w:val="nil"/>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61"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决策依据</w:t>
            </w:r>
          </w:p>
        </w:tc>
        <w:tc>
          <w:tcPr>
            <w:tcW w:w="451"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i w:val="0"/>
                <w:kern w:val="0"/>
                <w:sz w:val="20"/>
                <w:szCs w:val="20"/>
                <w:lang w:val="en-US" w:eastAsia="zh-CN" w:bidi="ar"/>
              </w:rPr>
              <w:t>管理制度</w:t>
            </w:r>
          </w:p>
        </w:tc>
        <w:tc>
          <w:tcPr>
            <w:tcW w:w="1558"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i w:val="0"/>
                <w:kern w:val="0"/>
                <w:sz w:val="20"/>
                <w:szCs w:val="20"/>
                <w:lang w:val="en-US" w:eastAsia="zh-CN" w:bidi="ar"/>
              </w:rPr>
              <w:t>项目资金分配决策程序明确</w:t>
            </w:r>
          </w:p>
        </w:tc>
        <w:tc>
          <w:tcPr>
            <w:tcW w:w="110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spacing w:before="0" w:beforeAutospacing="0" w:after="0" w:afterAutospacing="0"/>
              <w:ind w:left="0" w:right="0"/>
              <w:jc w:val="center"/>
              <w:rPr>
                <w:rFonts w:hint="eastAsia" w:ascii="宋体" w:hAnsi="宋体" w:eastAsia="宋体" w:cs="宋体"/>
                <w:i w:val="0"/>
                <w:kern w:val="2"/>
                <w:sz w:val="20"/>
                <w:szCs w:val="20"/>
              </w:rPr>
            </w:pPr>
            <w:r>
              <w:rPr>
                <w:rFonts w:hint="eastAsia" w:ascii="宋体" w:hAnsi="宋体" w:eastAsia="宋体" w:cs="宋体"/>
                <w:i w:val="0"/>
                <w:kern w:val="0"/>
                <w:sz w:val="20"/>
                <w:szCs w:val="20"/>
                <w:lang w:val="en-US" w:eastAsia="zh-CN" w:bidi="ar"/>
              </w:rPr>
              <w:t>明确</w:t>
            </w:r>
          </w:p>
        </w:tc>
        <w:tc>
          <w:tcPr>
            <w:tcW w:w="116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spacing w:before="0" w:beforeAutospacing="0" w:after="0" w:afterAutospacing="0"/>
              <w:ind w:left="0" w:right="0"/>
              <w:jc w:val="center"/>
              <w:rPr>
                <w:rFonts w:hint="eastAsia" w:ascii="宋体" w:hAnsi="宋体" w:eastAsia="宋体" w:cs="宋体"/>
                <w:i w:val="0"/>
                <w:kern w:val="2"/>
                <w:sz w:val="20"/>
                <w:szCs w:val="20"/>
              </w:rPr>
            </w:pPr>
            <w:r>
              <w:rPr>
                <w:rFonts w:hint="eastAsia" w:ascii="宋体" w:hAnsi="宋体" w:eastAsia="宋体" w:cs="宋体"/>
                <w:i w:val="0"/>
                <w:kern w:val="0"/>
                <w:sz w:val="20"/>
                <w:szCs w:val="20"/>
                <w:lang w:val="en-US" w:eastAsia="zh-CN" w:bidi="ar"/>
              </w:rPr>
              <w:t>明确</w:t>
            </w:r>
          </w:p>
        </w:tc>
      </w:tr>
      <w:tr>
        <w:tblPrEx>
          <w:shd w:val="clear" w:color="auto" w:fill="auto"/>
          <w:tblCellMar>
            <w:top w:w="0" w:type="dxa"/>
            <w:left w:w="0" w:type="dxa"/>
            <w:bottom w:w="0" w:type="dxa"/>
            <w:right w:w="0" w:type="dxa"/>
          </w:tblCellMar>
        </w:tblPrEx>
        <w:trPr>
          <w:trHeight w:val="711" w:hRule="atLeast"/>
          <w:jc w:val="center"/>
        </w:trPr>
        <w:tc>
          <w:tcPr>
            <w:tcW w:w="295" w:type="pct"/>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3" w:type="pct"/>
            <w:vMerge w:val="continue"/>
            <w:tcBorders>
              <w:top w:val="nil"/>
              <w:left w:val="nil"/>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61"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i w:val="0"/>
                <w:kern w:val="0"/>
                <w:sz w:val="20"/>
                <w:szCs w:val="20"/>
                <w:lang w:val="en-US" w:eastAsia="zh-CN" w:bidi="ar"/>
              </w:rPr>
              <w:t>项目管理</w:t>
            </w:r>
          </w:p>
        </w:tc>
        <w:tc>
          <w:tcPr>
            <w:tcW w:w="451"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i w:val="0"/>
                <w:kern w:val="0"/>
                <w:sz w:val="20"/>
                <w:szCs w:val="20"/>
                <w:lang w:val="en-US" w:eastAsia="zh-CN" w:bidi="ar"/>
              </w:rPr>
              <w:t xml:space="preserve"> 资金到位、拨付</w:t>
            </w:r>
          </w:p>
        </w:tc>
        <w:tc>
          <w:tcPr>
            <w:tcW w:w="1558"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i w:val="0"/>
                <w:kern w:val="0"/>
                <w:sz w:val="20"/>
                <w:szCs w:val="20"/>
                <w:lang w:val="en-US" w:eastAsia="zh-CN" w:bidi="ar"/>
              </w:rPr>
              <w:t>按规定及时拨付资金</w:t>
            </w:r>
          </w:p>
        </w:tc>
        <w:tc>
          <w:tcPr>
            <w:tcW w:w="110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i w:val="0"/>
                <w:kern w:val="2"/>
                <w:sz w:val="20"/>
                <w:szCs w:val="20"/>
              </w:rPr>
            </w:pPr>
            <w:r>
              <w:rPr>
                <w:rFonts w:hint="eastAsia" w:ascii="宋体" w:hAnsi="宋体" w:eastAsia="宋体" w:cs="宋体"/>
                <w:i w:val="0"/>
                <w:kern w:val="2"/>
                <w:sz w:val="20"/>
                <w:szCs w:val="20"/>
                <w:lang w:val="en-US" w:eastAsia="zh-CN" w:bidi="ar"/>
              </w:rPr>
              <w:t>及时</w:t>
            </w:r>
          </w:p>
        </w:tc>
        <w:tc>
          <w:tcPr>
            <w:tcW w:w="116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i w:val="0"/>
                <w:kern w:val="2"/>
                <w:sz w:val="20"/>
                <w:szCs w:val="20"/>
              </w:rPr>
            </w:pPr>
            <w:r>
              <w:rPr>
                <w:rFonts w:hint="eastAsia" w:ascii="宋体" w:hAnsi="宋体" w:eastAsia="宋体" w:cs="宋体"/>
                <w:i w:val="0"/>
                <w:kern w:val="2"/>
                <w:sz w:val="20"/>
                <w:szCs w:val="20"/>
                <w:lang w:val="en-US" w:eastAsia="zh-CN" w:bidi="ar"/>
              </w:rPr>
              <w:t>及时</w:t>
            </w:r>
          </w:p>
        </w:tc>
      </w:tr>
      <w:tr>
        <w:tblPrEx>
          <w:shd w:val="clear" w:color="auto" w:fill="auto"/>
          <w:tblCellMar>
            <w:top w:w="0" w:type="dxa"/>
            <w:left w:w="0" w:type="dxa"/>
            <w:bottom w:w="0" w:type="dxa"/>
            <w:right w:w="0" w:type="dxa"/>
          </w:tblCellMar>
        </w:tblPrEx>
        <w:trPr>
          <w:trHeight w:val="573" w:hRule="atLeast"/>
          <w:jc w:val="center"/>
        </w:trPr>
        <w:tc>
          <w:tcPr>
            <w:tcW w:w="295" w:type="pct"/>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3" w:type="pct"/>
            <w:vMerge w:val="continue"/>
            <w:tcBorders>
              <w:top w:val="nil"/>
              <w:left w:val="nil"/>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61"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效益指标</w:t>
            </w:r>
          </w:p>
        </w:tc>
        <w:tc>
          <w:tcPr>
            <w:tcW w:w="451"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i w:val="0"/>
                <w:kern w:val="0"/>
                <w:sz w:val="20"/>
                <w:szCs w:val="20"/>
                <w:lang w:val="en-US" w:eastAsia="zh-CN" w:bidi="ar"/>
              </w:rPr>
              <w:t>完成数量</w:t>
            </w:r>
          </w:p>
        </w:tc>
        <w:tc>
          <w:tcPr>
            <w:tcW w:w="1558"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kern w:val="2"/>
                <w:sz w:val="20"/>
                <w:szCs w:val="20"/>
              </w:rPr>
            </w:pPr>
            <w:r>
              <w:rPr>
                <w:rFonts w:hint="eastAsia" w:ascii="宋体" w:hAnsi="宋体" w:eastAsia="宋体" w:cs="宋体"/>
                <w:i w:val="0"/>
                <w:kern w:val="0"/>
                <w:sz w:val="20"/>
                <w:szCs w:val="20"/>
                <w:lang w:val="en-US" w:eastAsia="zh-CN" w:bidi="ar"/>
              </w:rPr>
              <w:t>实际完成任务量/绩效目标设定任务量×100%</w:t>
            </w:r>
          </w:p>
        </w:tc>
        <w:tc>
          <w:tcPr>
            <w:tcW w:w="110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spacing w:before="0" w:beforeAutospacing="0" w:after="0" w:afterAutospacing="0"/>
              <w:ind w:left="0" w:right="0"/>
              <w:jc w:val="center"/>
              <w:rPr>
                <w:rFonts w:hint="eastAsia" w:ascii="宋体" w:hAnsi="宋体" w:eastAsia="宋体" w:cs="宋体"/>
                <w:i w:val="0"/>
                <w:kern w:val="2"/>
                <w:sz w:val="20"/>
                <w:szCs w:val="20"/>
              </w:rPr>
            </w:pPr>
            <w:r>
              <w:rPr>
                <w:rFonts w:hint="eastAsia" w:ascii="宋体" w:hAnsi="宋体" w:eastAsia="宋体" w:cs="宋体"/>
                <w:i w:val="0"/>
                <w:kern w:val="0"/>
                <w:sz w:val="20"/>
                <w:szCs w:val="20"/>
                <w:lang w:val="en-US" w:eastAsia="zh-CN" w:bidi="ar"/>
              </w:rPr>
              <w:t>100%</w:t>
            </w:r>
          </w:p>
        </w:tc>
        <w:tc>
          <w:tcPr>
            <w:tcW w:w="116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spacing w:before="0" w:beforeAutospacing="0" w:after="0" w:afterAutospacing="0"/>
              <w:ind w:left="0" w:right="0"/>
              <w:jc w:val="center"/>
              <w:rPr>
                <w:rFonts w:hint="eastAsia" w:ascii="宋体" w:hAnsi="宋体" w:eastAsia="宋体" w:cs="宋体"/>
                <w:i w:val="0"/>
                <w:kern w:val="2"/>
                <w:sz w:val="20"/>
                <w:szCs w:val="20"/>
              </w:rPr>
            </w:pPr>
            <w:r>
              <w:rPr>
                <w:rFonts w:hint="eastAsia" w:ascii="宋体" w:hAnsi="宋体" w:eastAsia="宋体" w:cs="宋体"/>
                <w:i w:val="0"/>
                <w:kern w:val="0"/>
                <w:sz w:val="20"/>
                <w:szCs w:val="20"/>
                <w:lang w:val="en-US" w:eastAsia="zh-CN" w:bidi="ar"/>
              </w:rPr>
              <w:t>100%</w:t>
            </w:r>
          </w:p>
        </w:tc>
      </w:tr>
      <w:tr>
        <w:tblPrEx>
          <w:shd w:val="clear" w:color="auto" w:fill="auto"/>
          <w:tblCellMar>
            <w:top w:w="0" w:type="dxa"/>
            <w:left w:w="0" w:type="dxa"/>
            <w:bottom w:w="0" w:type="dxa"/>
            <w:right w:w="0" w:type="dxa"/>
          </w:tblCellMar>
        </w:tblPrEx>
        <w:trPr>
          <w:trHeight w:val="573" w:hRule="atLeast"/>
          <w:jc w:val="center"/>
        </w:trPr>
        <w:tc>
          <w:tcPr>
            <w:tcW w:w="295" w:type="pct"/>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3" w:type="pct"/>
            <w:vMerge w:val="continue"/>
            <w:tcBorders>
              <w:top w:val="nil"/>
              <w:left w:val="nil"/>
              <w:bottom w:val="nil"/>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61" w:type="pct"/>
            <w:tcBorders>
              <w:top w:val="single" w:color="000000" w:sz="4" w:space="0"/>
              <w:left w:val="nil"/>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效益指标</w:t>
            </w:r>
          </w:p>
        </w:tc>
        <w:tc>
          <w:tcPr>
            <w:tcW w:w="451"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kern w:val="2"/>
                <w:sz w:val="20"/>
                <w:szCs w:val="20"/>
              </w:rPr>
            </w:pPr>
            <w:r>
              <w:rPr>
                <w:rFonts w:hint="eastAsia" w:ascii="宋体" w:hAnsi="宋体" w:eastAsia="宋体" w:cs="宋体"/>
                <w:i w:val="0"/>
                <w:kern w:val="0"/>
                <w:sz w:val="20"/>
                <w:szCs w:val="20"/>
                <w:lang w:val="en-US" w:eastAsia="zh-CN" w:bidi="ar"/>
              </w:rPr>
              <w:t>完成质量</w:t>
            </w:r>
          </w:p>
        </w:tc>
        <w:tc>
          <w:tcPr>
            <w:tcW w:w="1558"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kern w:val="2"/>
                <w:sz w:val="20"/>
                <w:szCs w:val="20"/>
              </w:rPr>
            </w:pPr>
            <w:r>
              <w:rPr>
                <w:rFonts w:hint="eastAsia" w:ascii="宋体" w:hAnsi="宋体" w:eastAsia="宋体" w:cs="宋体"/>
                <w:i w:val="0"/>
                <w:kern w:val="0"/>
                <w:sz w:val="20"/>
                <w:szCs w:val="20"/>
                <w:lang w:val="en-US" w:eastAsia="zh-CN" w:bidi="ar"/>
              </w:rPr>
              <w:t>符合绩效目标设定的验收标准，达到行业基准水平</w:t>
            </w:r>
          </w:p>
        </w:tc>
        <w:tc>
          <w:tcPr>
            <w:tcW w:w="110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spacing w:before="0" w:beforeAutospacing="0" w:after="0" w:afterAutospacing="0"/>
              <w:ind w:left="0" w:right="0"/>
              <w:jc w:val="center"/>
              <w:rPr>
                <w:rFonts w:hint="eastAsia" w:ascii="宋体" w:hAnsi="宋体" w:eastAsia="宋体" w:cs="宋体"/>
                <w:i w:val="0"/>
                <w:kern w:val="2"/>
                <w:sz w:val="20"/>
                <w:szCs w:val="20"/>
              </w:rPr>
            </w:pPr>
            <w:r>
              <w:rPr>
                <w:rFonts w:hint="eastAsia" w:ascii="宋体" w:hAnsi="宋体" w:eastAsia="宋体" w:cs="宋体"/>
                <w:i w:val="0"/>
                <w:kern w:val="0"/>
                <w:sz w:val="20"/>
                <w:szCs w:val="20"/>
                <w:lang w:val="en-US" w:eastAsia="zh-CN" w:bidi="ar"/>
              </w:rPr>
              <w:t>符合</w:t>
            </w:r>
          </w:p>
        </w:tc>
        <w:tc>
          <w:tcPr>
            <w:tcW w:w="116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spacing w:before="0" w:beforeAutospacing="0" w:after="0" w:afterAutospacing="0"/>
              <w:ind w:left="0" w:right="0"/>
              <w:jc w:val="center"/>
              <w:rPr>
                <w:rFonts w:hint="eastAsia" w:ascii="宋体" w:hAnsi="宋体" w:eastAsia="宋体" w:cs="宋体"/>
                <w:i w:val="0"/>
                <w:kern w:val="2"/>
                <w:sz w:val="20"/>
                <w:szCs w:val="20"/>
              </w:rPr>
            </w:pPr>
            <w:r>
              <w:rPr>
                <w:rFonts w:hint="eastAsia" w:ascii="宋体" w:hAnsi="宋体" w:eastAsia="宋体" w:cs="宋体"/>
                <w:i w:val="0"/>
                <w:kern w:val="0"/>
                <w:sz w:val="20"/>
                <w:szCs w:val="20"/>
                <w:lang w:val="en-US" w:eastAsia="zh-CN" w:bidi="ar"/>
              </w:rPr>
              <w:t>符合</w:t>
            </w:r>
          </w:p>
        </w:tc>
      </w:tr>
      <w:tr>
        <w:tblPrEx>
          <w:shd w:val="clear" w:color="auto" w:fill="auto"/>
          <w:tblCellMar>
            <w:top w:w="0" w:type="dxa"/>
            <w:left w:w="0" w:type="dxa"/>
            <w:bottom w:w="0" w:type="dxa"/>
            <w:right w:w="0" w:type="dxa"/>
          </w:tblCellMar>
        </w:tblPrEx>
        <w:trPr>
          <w:trHeight w:val="948" w:hRule="atLeast"/>
          <w:jc w:val="center"/>
        </w:trPr>
        <w:tc>
          <w:tcPr>
            <w:tcW w:w="349" w:type="pct"/>
            <w:gridSpan w:val="2"/>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p>
        </w:tc>
        <w:tc>
          <w:tcPr>
            <w:tcW w:w="361" w:type="pct"/>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满意度指标</w:t>
            </w:r>
          </w:p>
        </w:tc>
        <w:tc>
          <w:tcPr>
            <w:tcW w:w="451"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kern w:val="2"/>
                <w:sz w:val="20"/>
                <w:szCs w:val="20"/>
              </w:rPr>
            </w:pPr>
            <w:r>
              <w:rPr>
                <w:rFonts w:hint="eastAsia" w:ascii="宋体" w:hAnsi="宋体" w:eastAsia="宋体" w:cs="宋体"/>
                <w:i w:val="0"/>
                <w:kern w:val="0"/>
                <w:sz w:val="20"/>
                <w:szCs w:val="20"/>
                <w:lang w:val="en-US" w:eastAsia="zh-CN" w:bidi="ar"/>
              </w:rPr>
              <w:t>服务对象满意度</w:t>
            </w:r>
          </w:p>
        </w:tc>
        <w:tc>
          <w:tcPr>
            <w:tcW w:w="1558"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kern w:val="2"/>
                <w:sz w:val="20"/>
                <w:szCs w:val="20"/>
              </w:rPr>
            </w:pPr>
            <w:r>
              <w:rPr>
                <w:rFonts w:hint="eastAsia" w:ascii="宋体" w:hAnsi="宋体" w:eastAsia="宋体" w:cs="宋体"/>
                <w:i w:val="0"/>
                <w:kern w:val="0"/>
                <w:sz w:val="20"/>
                <w:szCs w:val="20"/>
                <w:lang w:val="en-US" w:eastAsia="zh-CN" w:bidi="ar"/>
              </w:rPr>
              <w:t>反映服务对象或项目受益人对相关产出及其影响的认可程度，根据项目实际细化具体指标。</w:t>
            </w:r>
          </w:p>
        </w:tc>
        <w:tc>
          <w:tcPr>
            <w:tcW w:w="110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spacing w:before="0" w:beforeAutospacing="0" w:after="0" w:afterAutospacing="0"/>
              <w:ind w:left="0" w:right="0"/>
              <w:jc w:val="center"/>
              <w:rPr>
                <w:rFonts w:hint="eastAsia" w:ascii="宋体" w:hAnsi="宋体" w:eastAsia="宋体" w:cs="宋体"/>
                <w:i w:val="0"/>
                <w:kern w:val="2"/>
                <w:sz w:val="20"/>
                <w:szCs w:val="20"/>
              </w:rPr>
            </w:pPr>
            <w:r>
              <w:rPr>
                <w:rFonts w:hint="eastAsia" w:ascii="宋体" w:hAnsi="宋体" w:eastAsia="宋体" w:cs="宋体"/>
                <w:i w:val="0"/>
                <w:kern w:val="0"/>
                <w:sz w:val="20"/>
                <w:szCs w:val="20"/>
                <w:lang w:val="en-US" w:eastAsia="zh-CN" w:bidi="ar"/>
              </w:rPr>
              <w:t>群众满意度高</w:t>
            </w:r>
          </w:p>
        </w:tc>
        <w:tc>
          <w:tcPr>
            <w:tcW w:w="1169"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4"/>
                <w:szCs w:val="24"/>
              </w:rPr>
            </w:pPr>
            <w:r>
              <w:rPr>
                <w:rFonts w:hint="eastAsia" w:ascii="宋体" w:hAnsi="宋体" w:eastAsia="宋体" w:cs="宋体"/>
                <w:i w:val="0"/>
                <w:kern w:val="0"/>
                <w:sz w:val="20"/>
                <w:szCs w:val="20"/>
                <w:lang w:val="en-US" w:eastAsia="zh-CN" w:bidi="ar"/>
              </w:rPr>
              <w:t>群众满意度高</w:t>
            </w:r>
          </w:p>
        </w:tc>
      </w:tr>
    </w:tbl>
    <w:p>
      <w:pPr>
        <w:keepNext w:val="0"/>
        <w:keepLines w:val="0"/>
        <w:widowControl/>
        <w:suppressLineNumbers w:val="0"/>
        <w:snapToGrid w:val="0"/>
        <w:spacing w:before="0" w:beforeAutospacing="0" w:after="0" w:afterAutospacing="0" w:line="580" w:lineRule="exact"/>
        <w:ind w:left="630" w:right="0"/>
        <w:jc w:val="left"/>
        <w:rPr>
          <w:rFonts w:hint="default" w:ascii="仿宋_GB2312" w:eastAsia="仿宋_GB2312" w:cs="仿宋_GB2312"/>
          <w:kern w:val="0"/>
          <w:sz w:val="32"/>
          <w:szCs w:val="32"/>
        </w:rPr>
      </w:pPr>
      <w:r>
        <w:rPr>
          <w:rFonts w:hint="default" w:ascii="楷体_GB2312" w:hAnsi="宋体" w:eastAsia="楷体_GB2312" w:cs="楷体_GB2312"/>
          <w:kern w:val="0"/>
          <w:sz w:val="32"/>
          <w:szCs w:val="32"/>
          <w:lang w:val="en-US" w:eastAsia="zh-CN" w:bidi="ar"/>
        </w:rPr>
        <w:t>2.部门绩效评价结果。</w:t>
      </w:r>
    </w:p>
    <w:p>
      <w:pPr>
        <w:keepNext w:val="0"/>
        <w:keepLines w:val="0"/>
        <w:pageBreakBefore w:val="0"/>
        <w:widowControl/>
        <w:suppressLineNumbers w:val="0"/>
        <w:kinsoku/>
        <w:wordWrap/>
        <w:overflowPunct/>
        <w:topLinePunct w:val="0"/>
        <w:bidi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本部门按要求对2020年部门整体支出绩效评价情况开展自评，《红原县自然资源局2020年部门整体支出绩效评价报告》见附件（附件1）。</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b/>
          <w:kern w:val="0"/>
          <w:sz w:val="32"/>
          <w:szCs w:val="32"/>
        </w:rPr>
      </w:pPr>
      <w:r>
        <w:rPr>
          <w:rFonts w:hint="default" w:ascii="仿宋_GB2312" w:hAnsi="宋体" w:eastAsia="仿宋_GB2312" w:cs="仿宋_GB2312"/>
          <w:kern w:val="0"/>
          <w:sz w:val="32"/>
          <w:szCs w:val="32"/>
          <w:lang w:val="en-US" w:eastAsia="zh-CN" w:bidi="ar"/>
        </w:rPr>
        <w:t>本部门自行组织对2020年地质灾害综合防治体系建设项目绩效项目开展了绩效评价，《红原县自然资源局关于2020年地质灾害综合防治体系建设项目绩效自评报告》见附件（附件2）。</w:t>
      </w:r>
    </w:p>
    <w:p>
      <w:pPr>
        <w:keepNext w:val="0"/>
        <w:keepLines w:val="0"/>
        <w:pageBreakBefore w:val="0"/>
        <w:widowControl/>
        <w:numPr>
          <w:ilvl w:val="0"/>
          <w:numId w:val="6"/>
        </w:numPr>
        <w:suppressLineNumbers w:val="0"/>
        <w:kinsoku/>
        <w:wordWrap/>
        <w:overflowPunct/>
        <w:topLinePunct w:val="0"/>
        <w:bidi w:val="0"/>
        <w:snapToGrid w:val="0"/>
        <w:spacing w:before="0" w:beforeAutospacing="0" w:after="0" w:afterAutospacing="0" w:line="560" w:lineRule="exact"/>
        <w:ind w:left="0" w:right="0" w:firstLine="880" w:firstLineChars="200"/>
        <w:jc w:val="center"/>
        <w:textAlignment w:val="auto"/>
        <w:outlineLvl w:val="0"/>
        <w:rPr>
          <w:rFonts w:hint="eastAsia" w:ascii="黑体" w:hAnsi="宋体" w:eastAsia="黑体" w:cs="宋体"/>
          <w:b w:val="0"/>
          <w:kern w:val="44"/>
          <w:sz w:val="48"/>
          <w:szCs w:val="48"/>
        </w:rPr>
      </w:pPr>
      <w:bookmarkStart w:id="2" w:name="_Toc29845"/>
      <w:r>
        <w:rPr>
          <w:rFonts w:hint="eastAsia" w:ascii="黑体" w:hAnsi="宋体" w:eastAsia="黑体" w:cs="黑体"/>
          <w:kern w:val="0"/>
          <w:sz w:val="44"/>
          <w:szCs w:val="44"/>
          <w:lang w:val="en-US" w:eastAsia="zh-CN" w:bidi="ar"/>
        </w:rPr>
        <w:t>名</w:t>
      </w:r>
      <w:r>
        <w:rPr>
          <w:rStyle w:val="17"/>
          <w:rFonts w:hint="eastAsia" w:ascii="黑体" w:hAnsi="宋体" w:eastAsia="黑体" w:cs="黑体"/>
          <w:b w:val="0"/>
          <w:kern w:val="44"/>
          <w:sz w:val="48"/>
          <w:szCs w:val="48"/>
          <w:lang w:val="en-US" w:eastAsia="zh-CN" w:bidi="ar"/>
        </w:rPr>
        <w:t>词解释</w:t>
      </w:r>
      <w:bookmarkEnd w:id="2"/>
    </w:p>
    <w:p>
      <w:pPr>
        <w:keepNext w:val="0"/>
        <w:keepLines w:val="0"/>
        <w:pageBreakBefore w:val="0"/>
        <w:widowControl/>
        <w:suppressLineNumbers w:val="0"/>
        <w:kinsoku/>
        <w:wordWrap/>
        <w:overflowPunct/>
        <w:topLinePunct w:val="0"/>
        <w:bidi w:val="0"/>
        <w:snapToGrid w:val="0"/>
        <w:spacing w:before="0" w:beforeAutospacing="0" w:after="0" w:afterAutospacing="0" w:line="560" w:lineRule="exact"/>
        <w:ind w:left="0" w:right="0" w:firstLine="883" w:firstLineChars="200"/>
        <w:jc w:val="left"/>
        <w:textAlignment w:val="auto"/>
        <w:rPr>
          <w:rFonts w:hint="eastAsia" w:ascii="宋体" w:hAnsi="宋体" w:eastAsia="宋体" w:cs="宋体"/>
          <w:b/>
          <w:kern w:val="0"/>
          <w:sz w:val="44"/>
          <w:szCs w:val="44"/>
        </w:rPr>
      </w:pPr>
      <w:r>
        <w:rPr>
          <w:rFonts w:hint="eastAsia" w:ascii="宋体" w:hAnsi="宋体" w:eastAsia="宋体" w:cs="宋体"/>
          <w:b/>
          <w:kern w:val="0"/>
          <w:sz w:val="44"/>
          <w:szCs w:val="44"/>
          <w:lang w:val="en-US" w:eastAsia="zh-CN" w:bidi="ar"/>
        </w:rPr>
        <w:t xml:space="preserve"> </w:t>
      </w:r>
    </w:p>
    <w:p>
      <w:pPr>
        <w:pStyle w:val="21"/>
        <w:keepNext w:val="0"/>
        <w:keepLines w:val="0"/>
        <w:pageBreakBefore w:val="0"/>
        <w:widowControl/>
        <w:kinsoku/>
        <w:wordWrap/>
        <w:overflowPunct/>
        <w:topLinePunct w:val="0"/>
        <w:bidi w:val="0"/>
        <w:snapToGrid w:val="0"/>
        <w:spacing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1.</w:t>
      </w:r>
      <w:r>
        <w:rPr>
          <w:rFonts w:hint="default" w:ascii="仿宋_GB2312" w:hAnsi="Calibri" w:eastAsia="仿宋_GB2312" w:cs="仿宋_GB2312"/>
          <w:sz w:val="32"/>
          <w:szCs w:val="32"/>
        </w:rPr>
        <w:t>财政拨款收入：指单位从同级财政部门取得的财政预算资金。</w:t>
      </w:r>
    </w:p>
    <w:p>
      <w:pPr>
        <w:pStyle w:val="21"/>
        <w:keepNext w:val="0"/>
        <w:keepLines w:val="0"/>
        <w:pageBreakBefore w:val="0"/>
        <w:widowControl/>
        <w:kinsoku/>
        <w:wordWrap/>
        <w:overflowPunct/>
        <w:topLinePunct w:val="0"/>
        <w:bidi w:val="0"/>
        <w:snapToGrid w:val="0"/>
        <w:spacing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2.</w:t>
      </w:r>
      <w:r>
        <w:rPr>
          <w:rFonts w:hint="default" w:ascii="仿宋_GB2312" w:hAnsi="Calibri" w:eastAsia="仿宋_GB2312" w:cs="仿宋_GB2312"/>
          <w:sz w:val="32"/>
          <w:szCs w:val="32"/>
        </w:rPr>
        <w:t>事业收入：指事业单位开展专业业务活动及辅助活动取得的收入。</w:t>
      </w:r>
    </w:p>
    <w:p>
      <w:pPr>
        <w:pStyle w:val="21"/>
        <w:keepNext w:val="0"/>
        <w:keepLines w:val="0"/>
        <w:pageBreakBefore w:val="0"/>
        <w:widowControl/>
        <w:kinsoku/>
        <w:wordWrap/>
        <w:overflowPunct/>
        <w:topLinePunct w:val="0"/>
        <w:bidi w:val="0"/>
        <w:snapToGrid w:val="0"/>
        <w:spacing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3.政府性基金收入：指各级政府及其所属部门根据法律、行政法规规定并经国务院或财政部批准，向公民、法人和其他组织征收的政府性基金，以及参照政府性基金管理或纳入基金预算、具有特定用途的财政资金。</w:t>
      </w:r>
    </w:p>
    <w:p>
      <w:pPr>
        <w:pStyle w:val="21"/>
        <w:keepNext w:val="0"/>
        <w:keepLines w:val="0"/>
        <w:pageBreakBefore w:val="0"/>
        <w:widowControl/>
        <w:kinsoku/>
        <w:wordWrap/>
        <w:overflowPunct/>
        <w:topLinePunct w:val="0"/>
        <w:bidi w:val="0"/>
        <w:snapToGrid w:val="0"/>
        <w:spacing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4.</w:t>
      </w:r>
      <w:r>
        <w:rPr>
          <w:rFonts w:hint="default" w:ascii="仿宋_GB2312" w:hAnsi="Calibri" w:eastAsia="仿宋_GB2312" w:cs="仿宋_GB2312"/>
          <w:sz w:val="32"/>
          <w:szCs w:val="32"/>
        </w:rPr>
        <w:t>经营收入：指事业单位在专业业务活动及其辅助活动之外开展非独立核算经营活动取得的收入。</w:t>
      </w:r>
    </w:p>
    <w:p>
      <w:pPr>
        <w:pStyle w:val="21"/>
        <w:keepNext w:val="0"/>
        <w:keepLines w:val="0"/>
        <w:pageBreakBefore w:val="0"/>
        <w:widowControl/>
        <w:kinsoku/>
        <w:wordWrap/>
        <w:overflowPunct/>
        <w:topLinePunct w:val="0"/>
        <w:bidi w:val="0"/>
        <w:snapToGrid w:val="0"/>
        <w:spacing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5.</w:t>
      </w:r>
      <w:r>
        <w:rPr>
          <w:rFonts w:hint="default" w:ascii="仿宋_GB2312" w:hAnsi="Calibri" w:eastAsia="仿宋_GB2312" w:cs="仿宋_GB2312"/>
          <w:sz w:val="32"/>
          <w:szCs w:val="32"/>
        </w:rPr>
        <w:t>其他收入：指单位取得的除上述收入以外的各项收入。主要是利息收入。</w:t>
      </w:r>
      <w:r>
        <w:rPr>
          <w:rFonts w:hint="default" w:ascii="仿宋_GB2312" w:hAnsi="Calibri" w:eastAsia="仿宋_GB2312" w:cs="仿宋"/>
          <w:sz w:val="32"/>
          <w:szCs w:val="32"/>
        </w:rPr>
        <w:t xml:space="preserve"> </w:t>
      </w:r>
    </w:p>
    <w:p>
      <w:pPr>
        <w:pStyle w:val="21"/>
        <w:keepNext w:val="0"/>
        <w:keepLines w:val="0"/>
        <w:pageBreakBefore w:val="0"/>
        <w:widowControl/>
        <w:kinsoku/>
        <w:wordWrap/>
        <w:overflowPunct/>
        <w:topLinePunct w:val="0"/>
        <w:bidi w:val="0"/>
        <w:snapToGrid w:val="0"/>
        <w:spacing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6.</w:t>
      </w:r>
      <w:r>
        <w:rPr>
          <w:rFonts w:hint="default" w:ascii="仿宋_GB2312" w:hAnsi="Calibri"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hint="default" w:ascii="仿宋_GB2312" w:hAnsi="Calibri" w:eastAsia="仿宋_GB2312" w:cs="仿宋"/>
          <w:sz w:val="32"/>
          <w:szCs w:val="32"/>
        </w:rPr>
        <w:t xml:space="preserve"> </w:t>
      </w:r>
    </w:p>
    <w:p>
      <w:pPr>
        <w:pStyle w:val="21"/>
        <w:keepNext w:val="0"/>
        <w:keepLines w:val="0"/>
        <w:pageBreakBefore w:val="0"/>
        <w:widowControl/>
        <w:kinsoku/>
        <w:wordWrap/>
        <w:overflowPunct/>
        <w:topLinePunct w:val="0"/>
        <w:bidi w:val="0"/>
        <w:snapToGrid w:val="0"/>
        <w:spacing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7.</w:t>
      </w:r>
      <w:r>
        <w:rPr>
          <w:rFonts w:hint="default" w:ascii="仿宋_GB2312" w:hAnsi="Calibri" w:eastAsia="仿宋_GB2312" w:cs="仿宋_GB2312"/>
          <w:sz w:val="32"/>
          <w:szCs w:val="32"/>
        </w:rPr>
        <w:t>年初结转和结余：指以前年度尚未完成、结转到本年按有关规定继续使用的资金。</w:t>
      </w:r>
      <w:r>
        <w:rPr>
          <w:rFonts w:hint="default" w:ascii="仿宋_GB2312" w:hAnsi="Calibri" w:eastAsia="仿宋_GB2312" w:cs="仿宋"/>
          <w:sz w:val="32"/>
          <w:szCs w:val="32"/>
        </w:rPr>
        <w:t xml:space="preserve"> </w:t>
      </w:r>
    </w:p>
    <w:p>
      <w:pPr>
        <w:pStyle w:val="21"/>
        <w:keepNext w:val="0"/>
        <w:keepLines w:val="0"/>
        <w:pageBreakBefore w:val="0"/>
        <w:widowControl/>
        <w:kinsoku/>
        <w:wordWrap/>
        <w:overflowPunct/>
        <w:topLinePunct w:val="0"/>
        <w:bidi w:val="0"/>
        <w:snapToGrid w:val="0"/>
        <w:spacing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8.</w:t>
      </w:r>
      <w:r>
        <w:rPr>
          <w:rFonts w:hint="default" w:ascii="仿宋_GB2312" w:hAnsi="Calibri" w:eastAsia="仿宋_GB2312" w:cs="仿宋_GB2312"/>
          <w:sz w:val="32"/>
          <w:szCs w:val="32"/>
        </w:rPr>
        <w:t>结余分配：指事业单位按照事业单位会计制度的规定从非财政补助结余中分配的事业基金和职工福利基金等。</w:t>
      </w:r>
    </w:p>
    <w:p>
      <w:pPr>
        <w:pStyle w:val="21"/>
        <w:keepNext w:val="0"/>
        <w:keepLines w:val="0"/>
        <w:pageBreakBefore w:val="0"/>
        <w:widowControl/>
        <w:kinsoku/>
        <w:wordWrap/>
        <w:overflowPunct/>
        <w:topLinePunct w:val="0"/>
        <w:bidi w:val="0"/>
        <w:snapToGrid w:val="0"/>
        <w:spacing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9</w:t>
      </w:r>
      <w:r>
        <w:rPr>
          <w:rFonts w:hint="default" w:ascii="仿宋_GB2312" w:hAnsi="Calibri" w:eastAsia="仿宋_GB2312" w:cs="仿宋_GB2312"/>
          <w:sz w:val="32"/>
          <w:szCs w:val="32"/>
        </w:rPr>
        <w:t>、年末结转和结余：指单位按有关规定结转到下年或以后年度继续使用的资金。</w:t>
      </w:r>
    </w:p>
    <w:p>
      <w:pPr>
        <w:keepNext w:val="0"/>
        <w:keepLines w:val="0"/>
        <w:pageBreakBefore w:val="0"/>
        <w:widowControl/>
        <w:suppressLineNumbers w:val="0"/>
        <w:kinsoku/>
        <w:wordWrap/>
        <w:overflowPunct/>
        <w:topLinePunct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10.</w:t>
      </w:r>
      <w:r>
        <w:rPr>
          <w:rFonts w:hint="default" w:ascii="仿宋_GB2312" w:hAnsi="宋体" w:eastAsia="仿宋_GB2312" w:cs="仿宋_GB2312"/>
          <w:kern w:val="0"/>
          <w:sz w:val="32"/>
          <w:szCs w:val="32"/>
          <w:lang w:val="en-US" w:eastAsia="zh-CN" w:bidi="ar"/>
        </w:rPr>
        <w:t>社会保障和就业：指政府在社会保障与就业方面的支出。</w:t>
      </w:r>
    </w:p>
    <w:p>
      <w:pPr>
        <w:pStyle w:val="2"/>
        <w:keepNext w:val="0"/>
        <w:keepLines w:val="0"/>
        <w:pageBreakBefore w:val="0"/>
        <w:widowControl/>
        <w:suppressLineNumbers w:val="0"/>
        <w:kinsoku/>
        <w:wordWrap/>
        <w:overflowPunct/>
        <w:topLinePunct w:val="0"/>
        <w:bidi w:val="0"/>
        <w:snapToGrid w:val="0"/>
        <w:spacing w:line="560" w:lineRule="exact"/>
        <w:ind w:left="0" w:leftChars="0" w:firstLine="640" w:firstLineChars="200"/>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rPr>
        <w:t>11.行政事业单位医疗：指行政事业单位医疗方面的支出。</w:t>
      </w:r>
    </w:p>
    <w:p>
      <w:pPr>
        <w:keepNext w:val="0"/>
        <w:keepLines w:val="0"/>
        <w:pageBreakBefore w:val="0"/>
        <w:widowControl/>
        <w:suppressLineNumbers w:val="0"/>
        <w:kinsoku/>
        <w:wordWrap/>
        <w:overflowPunct/>
        <w:topLinePunct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12.</w:t>
      </w:r>
      <w:r>
        <w:rPr>
          <w:rFonts w:hint="default" w:ascii="仿宋_GB2312" w:hAnsi="宋体" w:eastAsia="仿宋_GB2312" w:cs="仿宋_GB2312"/>
          <w:kern w:val="0"/>
          <w:sz w:val="32"/>
          <w:szCs w:val="32"/>
          <w:lang w:val="en-US" w:eastAsia="zh-CN" w:bidi="ar"/>
        </w:rPr>
        <w:t>国土资源事务：指国土资源管理等方面的支出。</w:t>
      </w:r>
    </w:p>
    <w:p>
      <w:pPr>
        <w:keepNext w:val="0"/>
        <w:keepLines w:val="0"/>
        <w:pageBreakBefore w:val="0"/>
        <w:widowControl/>
        <w:suppressLineNumbers w:val="0"/>
        <w:kinsoku/>
        <w:wordWrap/>
        <w:overflowPunct/>
        <w:topLinePunct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13.</w:t>
      </w:r>
      <w:r>
        <w:rPr>
          <w:rFonts w:hint="default" w:ascii="仿宋_GB2312" w:hAnsi="宋体" w:eastAsia="仿宋_GB2312" w:cs="仿宋_GB2312"/>
          <w:kern w:val="0"/>
          <w:sz w:val="32"/>
          <w:szCs w:val="32"/>
          <w:lang w:val="en-US" w:eastAsia="zh-CN" w:bidi="ar"/>
        </w:rPr>
        <w:t>行政运行：指行政单位（包括实行公务员管理的事业单位）的基本支出。</w:t>
      </w:r>
    </w:p>
    <w:p>
      <w:pPr>
        <w:keepNext w:val="0"/>
        <w:keepLines w:val="0"/>
        <w:pageBreakBefore w:val="0"/>
        <w:widowControl/>
        <w:suppressLineNumbers w:val="0"/>
        <w:kinsoku/>
        <w:wordWrap/>
        <w:overflowPunct/>
        <w:topLinePunct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14.事业运行：指事业单位的基本支出，不包括行政单位（包括实行公务员管理的事业单位）后勤服务中兴、医务室等附属事业单位。</w:t>
      </w:r>
    </w:p>
    <w:p>
      <w:pPr>
        <w:keepNext w:val="0"/>
        <w:keepLines w:val="0"/>
        <w:pageBreakBefore w:val="0"/>
        <w:widowControl/>
        <w:suppressLineNumbers w:val="0"/>
        <w:kinsoku/>
        <w:wordWrap/>
        <w:overflowPunct/>
        <w:topLinePunct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15.住房保障支出：指集中反映政府用于住房方面的支出。</w:t>
      </w:r>
    </w:p>
    <w:p>
      <w:pPr>
        <w:keepNext w:val="0"/>
        <w:keepLines w:val="0"/>
        <w:pageBreakBefore w:val="0"/>
        <w:widowControl/>
        <w:suppressLineNumbers w:val="0"/>
        <w:kinsoku/>
        <w:wordWrap/>
        <w:overflowPunct/>
        <w:topLinePunct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16.住房公积金：指反映行政事业单位按人力资源和社会保障部、财政部规定的基本工资和津贴补贴以及规定比例为职工缴纳的住房公积金。</w:t>
      </w:r>
    </w:p>
    <w:p>
      <w:pPr>
        <w:keepNext w:val="0"/>
        <w:keepLines w:val="0"/>
        <w:pageBreakBefore w:val="0"/>
        <w:widowControl/>
        <w:suppressLineNumbers w:val="0"/>
        <w:kinsoku/>
        <w:wordWrap/>
        <w:overflowPunct/>
        <w:topLinePunct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17.</w:t>
      </w:r>
      <w:r>
        <w:rPr>
          <w:rFonts w:hint="default" w:ascii="仿宋_GB2312" w:hAnsi="宋体" w:eastAsia="仿宋_GB2312" w:cs="仿宋_GB2312"/>
          <w:kern w:val="0"/>
          <w:sz w:val="32"/>
          <w:szCs w:val="32"/>
          <w:lang w:val="en-US" w:eastAsia="zh-CN" w:bidi="ar"/>
        </w:rPr>
        <w:t>城乡社区支出：指政府城乡社区事务支出。</w:t>
      </w:r>
    </w:p>
    <w:p>
      <w:pPr>
        <w:keepNext w:val="0"/>
        <w:keepLines w:val="0"/>
        <w:pageBreakBefore w:val="0"/>
        <w:widowControl/>
        <w:suppressLineNumbers w:val="0"/>
        <w:kinsoku/>
        <w:wordWrap/>
        <w:overflowPunct/>
        <w:topLinePunct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18.</w:t>
      </w:r>
      <w:r>
        <w:rPr>
          <w:rFonts w:hint="default" w:ascii="仿宋_GB2312" w:hAnsi="宋体" w:eastAsia="仿宋_GB2312" w:cs="仿宋_GB2312"/>
          <w:kern w:val="0"/>
          <w:sz w:val="32"/>
          <w:szCs w:val="32"/>
          <w:lang w:val="en-US" w:eastAsia="zh-CN" w:bidi="ar"/>
        </w:rPr>
        <w:t>国土海洋气象等支出：指政府用于国土资源、海洋、测绘、地震、气象等公益服务事业方面的支出。</w:t>
      </w:r>
    </w:p>
    <w:p>
      <w:pPr>
        <w:keepNext w:val="0"/>
        <w:keepLines w:val="0"/>
        <w:pageBreakBefore w:val="0"/>
        <w:widowControl/>
        <w:suppressLineNumbers w:val="0"/>
        <w:kinsoku/>
        <w:wordWrap/>
        <w:overflowPunct/>
        <w:topLinePunct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19.</w:t>
      </w:r>
      <w:r>
        <w:rPr>
          <w:rFonts w:hint="default" w:ascii="仿宋_GB2312" w:hAnsi="宋体" w:eastAsia="仿宋_GB2312" w:cs="仿宋_GB2312"/>
          <w:kern w:val="0"/>
          <w:sz w:val="32"/>
          <w:szCs w:val="32"/>
          <w:lang w:val="en-US" w:eastAsia="zh-CN" w:bidi="ar"/>
        </w:rPr>
        <w:t>一般行政管理事务：指行政单位（包括实行公务员管理的事业单位）未单独设置项级科目的其他项目支出。</w:t>
      </w:r>
    </w:p>
    <w:p>
      <w:pPr>
        <w:keepNext w:val="0"/>
        <w:keepLines w:val="0"/>
        <w:pageBreakBefore w:val="0"/>
        <w:widowControl/>
        <w:suppressLineNumbers w:val="0"/>
        <w:kinsoku/>
        <w:wordWrap/>
        <w:overflowPunct/>
        <w:topLinePunct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20.</w:t>
      </w:r>
      <w:r>
        <w:rPr>
          <w:rFonts w:hint="default" w:ascii="仿宋_GB2312" w:hAnsi="宋体" w:eastAsia="仿宋_GB2312" w:cs="仿宋_GB2312"/>
          <w:kern w:val="0"/>
          <w:sz w:val="32"/>
          <w:szCs w:val="32"/>
          <w:lang w:val="en-US" w:eastAsia="zh-CN" w:bidi="ar"/>
        </w:rPr>
        <w:t>地质灾害防治：指地质灾害防治项目支出。</w:t>
      </w:r>
    </w:p>
    <w:p>
      <w:pPr>
        <w:keepNext w:val="0"/>
        <w:keepLines w:val="0"/>
        <w:pageBreakBefore w:val="0"/>
        <w:widowControl/>
        <w:suppressLineNumbers w:val="0"/>
        <w:kinsoku/>
        <w:wordWrap/>
        <w:overflowPunct/>
        <w:topLinePunct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21.</w:t>
      </w:r>
      <w:r>
        <w:rPr>
          <w:rFonts w:hint="default" w:ascii="仿宋_GB2312" w:hAnsi="宋体" w:eastAsia="仿宋_GB2312" w:cs="仿宋_GB2312"/>
          <w:kern w:val="0"/>
          <w:sz w:val="32"/>
          <w:szCs w:val="32"/>
          <w:lang w:val="en-US" w:eastAsia="zh-CN" w:bidi="ar"/>
        </w:rPr>
        <w:t>地震监测：指地震和火山监测台站、台网等设施建设与运行维护，观测设备的购置、维护和技术升级，地震观测工作等方面的支出。</w:t>
      </w:r>
    </w:p>
    <w:p>
      <w:pPr>
        <w:keepNext w:val="0"/>
        <w:keepLines w:val="0"/>
        <w:pageBreakBefore w:val="0"/>
        <w:widowControl/>
        <w:suppressLineNumbers w:val="0"/>
        <w:kinsoku/>
        <w:wordWrap/>
        <w:overflowPunct/>
        <w:topLinePunct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22.</w:t>
      </w:r>
      <w:r>
        <w:rPr>
          <w:rFonts w:hint="default" w:ascii="仿宋_GB2312" w:hAnsi="宋体" w:eastAsia="仿宋_GB2312" w:cs="仿宋_GB2312"/>
          <w:kern w:val="0"/>
          <w:sz w:val="32"/>
          <w:szCs w:val="32"/>
          <w:lang w:val="en-US" w:eastAsia="zh-CN" w:bidi="ar"/>
        </w:rPr>
        <w:t>其他国土海洋气象等支出：指其他用于国土海洋气象等方面的支出。</w:t>
      </w:r>
    </w:p>
    <w:p>
      <w:pPr>
        <w:keepNext w:val="0"/>
        <w:keepLines w:val="0"/>
        <w:pageBreakBefore w:val="0"/>
        <w:widowControl/>
        <w:suppressLineNumbers w:val="0"/>
        <w:kinsoku/>
        <w:wordWrap/>
        <w:overflowPunct/>
        <w:topLinePunct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23.</w:t>
      </w:r>
      <w:r>
        <w:rPr>
          <w:rFonts w:hint="default" w:ascii="仿宋_GB2312" w:hAnsi="宋体" w:eastAsia="仿宋_GB2312" w:cs="仿宋_GB2312"/>
          <w:kern w:val="0"/>
          <w:sz w:val="32"/>
          <w:szCs w:val="32"/>
          <w:lang w:val="en-US" w:eastAsia="zh-CN" w:bidi="ar"/>
        </w:rPr>
        <w:t>基本支出：指为保障机构正常运转、完成日常工作任务而发生的人员支出和公用支出。</w:t>
      </w:r>
    </w:p>
    <w:p>
      <w:pPr>
        <w:keepNext w:val="0"/>
        <w:keepLines w:val="0"/>
        <w:pageBreakBefore w:val="0"/>
        <w:widowControl/>
        <w:suppressLineNumbers w:val="0"/>
        <w:kinsoku/>
        <w:wordWrap/>
        <w:overflowPunct/>
        <w:topLinePunct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24.</w:t>
      </w:r>
      <w:r>
        <w:rPr>
          <w:rFonts w:hint="default" w:ascii="仿宋_GB2312" w:hAnsi="宋体" w:eastAsia="仿宋_GB2312" w:cs="仿宋_GB2312"/>
          <w:kern w:val="0"/>
          <w:sz w:val="32"/>
          <w:szCs w:val="32"/>
          <w:lang w:val="en-US" w:eastAsia="zh-CN" w:bidi="ar"/>
        </w:rPr>
        <w:t>项目支出：指在基本支出之外为完成特定行政任务和事业发展目标所发生的支出。</w:t>
      </w:r>
      <w:r>
        <w:rPr>
          <w:rFonts w:hint="default" w:ascii="仿宋_GB2312" w:hAnsi="宋体" w:eastAsia="仿宋_GB2312" w:cs="宋体"/>
          <w:kern w:val="0"/>
          <w:sz w:val="32"/>
          <w:szCs w:val="32"/>
          <w:lang w:val="en-US" w:eastAsia="zh-CN" w:bidi="ar"/>
        </w:rPr>
        <w:t xml:space="preserve"> </w:t>
      </w:r>
    </w:p>
    <w:p>
      <w:pPr>
        <w:keepNext w:val="0"/>
        <w:keepLines w:val="0"/>
        <w:pageBreakBefore w:val="0"/>
        <w:widowControl/>
        <w:suppressLineNumbers w:val="0"/>
        <w:kinsoku/>
        <w:wordWrap/>
        <w:overflowPunct/>
        <w:topLinePunct w:val="0"/>
        <w:bidi w:val="0"/>
        <w:snapToGrid w:val="0"/>
        <w:spacing w:before="0" w:beforeAutospacing="0" w:after="0" w:afterAutospacing="0" w:line="560" w:lineRule="exact"/>
        <w:ind w:left="0" w:right="0" w:firstLine="640" w:firstLineChars="200"/>
        <w:jc w:val="left"/>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lang w:val="en-US" w:eastAsia="zh-CN" w:bidi="ar"/>
        </w:rPr>
        <w:t>25.</w:t>
      </w:r>
      <w:r>
        <w:rPr>
          <w:rFonts w:hint="default" w:ascii="仿宋_GB2312" w:hAnsi="宋体" w:eastAsia="仿宋_GB2312" w:cs="仿宋_GB2312"/>
          <w:kern w:val="0"/>
          <w:sz w:val="32"/>
          <w:szCs w:val="32"/>
          <w:lang w:val="en-US" w:eastAsia="zh-CN" w:bidi="ar"/>
        </w:rPr>
        <w:t>经营支出：指事业单位在专业业务活动及其辅助活动之外开展非独立核算经营活动发生的支出。</w:t>
      </w:r>
    </w:p>
    <w:p>
      <w:pPr>
        <w:pStyle w:val="2"/>
        <w:keepNext w:val="0"/>
        <w:keepLines w:val="0"/>
        <w:pageBreakBefore w:val="0"/>
        <w:widowControl/>
        <w:suppressLineNumbers w:val="0"/>
        <w:kinsoku/>
        <w:wordWrap/>
        <w:overflowPunct/>
        <w:topLinePunct w:val="0"/>
        <w:bidi w:val="0"/>
        <w:snapToGrid w:val="0"/>
        <w:spacing w:line="560" w:lineRule="exact"/>
        <w:ind w:left="0" w:leftChars="0" w:firstLine="640" w:firstLineChars="200"/>
        <w:textAlignment w:val="auto"/>
        <w:rPr>
          <w:rFonts w:hint="default" w:ascii="仿宋_GB2312" w:hAnsi="宋体" w:eastAsia="仿宋_GB2312" w:cs="宋体"/>
          <w:kern w:val="0"/>
          <w:sz w:val="32"/>
          <w:szCs w:val="32"/>
        </w:rPr>
      </w:pPr>
      <w:r>
        <w:rPr>
          <w:rFonts w:hint="default" w:ascii="仿宋_GB2312" w:hAnsi="宋体" w:eastAsia="仿宋_GB2312" w:cs="宋体"/>
          <w:kern w:val="0"/>
          <w:sz w:val="32"/>
          <w:szCs w:val="32"/>
        </w:rPr>
        <w:t>26.对个人和家庭的补助：指政府用于对个人和家庭的补助支出。</w:t>
      </w:r>
    </w:p>
    <w:p>
      <w:pPr>
        <w:pStyle w:val="21"/>
        <w:keepNext w:val="0"/>
        <w:keepLines w:val="0"/>
        <w:pageBreakBefore w:val="0"/>
        <w:widowControl/>
        <w:kinsoku/>
        <w:wordWrap/>
        <w:overflowPunct/>
        <w:topLinePunct w:val="0"/>
        <w:bidi w:val="0"/>
        <w:snapToGrid w:val="0"/>
        <w:spacing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27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keepNext w:val="0"/>
        <w:keepLines w:val="0"/>
        <w:pageBreakBefore w:val="0"/>
        <w:widowControl/>
        <w:kinsoku/>
        <w:wordWrap/>
        <w:overflowPunct/>
        <w:topLinePunct w:val="0"/>
        <w:bidi w:val="0"/>
        <w:snapToGrid w:val="0"/>
        <w:spacing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28.</w:t>
      </w:r>
      <w:r>
        <w:rPr>
          <w:rFonts w:hint="default" w:ascii="仿宋_GB2312" w:hAnsi="Calibri"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1"/>
        <w:keepNext w:val="0"/>
        <w:keepLines w:val="0"/>
        <w:pageBreakBefore w:val="0"/>
        <w:widowControl/>
        <w:kinsoku/>
        <w:wordWrap/>
        <w:overflowPunct/>
        <w:topLinePunct w:val="0"/>
        <w:bidi w:val="0"/>
        <w:snapToGrid w:val="0"/>
        <w:spacing w:line="560" w:lineRule="exact"/>
        <w:ind w:left="0" w:firstLine="640" w:firstLineChars="200"/>
        <w:textAlignment w:val="auto"/>
        <w:rPr>
          <w:rFonts w:hint="default" w:ascii="仿宋_GB2312" w:hAnsi="Calibri" w:eastAsia="仿宋_GB2312" w:cs="仿宋"/>
          <w:sz w:val="32"/>
          <w:szCs w:val="32"/>
        </w:rPr>
      </w:pPr>
      <w:r>
        <w:rPr>
          <w:rFonts w:hint="default" w:ascii="仿宋_GB2312" w:hAnsi="Calibri" w:eastAsia="仿宋_GB2312" w:cs="仿宋"/>
          <w:sz w:val="32"/>
          <w:szCs w:val="32"/>
        </w:rPr>
        <w:t>29.委托业务费：指因委托外单位办理业务而支付的委托业务费。</w:t>
      </w:r>
    </w:p>
    <w:p>
      <w:pPr>
        <w:keepNext w:val="0"/>
        <w:keepLines w:val="0"/>
        <w:widowControl/>
        <w:suppressLineNumbers w:val="0"/>
        <w:snapToGrid w:val="0"/>
        <w:spacing w:before="0" w:beforeAutospacing="0" w:after="0" w:afterAutospacing="0" w:line="600" w:lineRule="exact"/>
        <w:ind w:left="0" w:right="0"/>
        <w:jc w:val="center"/>
        <w:outlineLvl w:val="9"/>
        <w:rPr>
          <w:rFonts w:hint="eastAsia" w:ascii="黑体" w:hAnsi="宋体" w:eastAsia="黑体" w:cs="黑体"/>
          <w:kern w:val="0"/>
          <w:sz w:val="44"/>
          <w:szCs w:val="44"/>
          <w:lang w:val="en-US" w:eastAsia="zh-CN" w:bidi="ar"/>
        </w:rPr>
      </w:pPr>
    </w:p>
    <w:p>
      <w:pPr>
        <w:keepNext w:val="0"/>
        <w:keepLines w:val="0"/>
        <w:widowControl/>
        <w:suppressLineNumbers w:val="0"/>
        <w:snapToGrid w:val="0"/>
        <w:spacing w:before="0" w:beforeAutospacing="0" w:after="0" w:afterAutospacing="0" w:line="600" w:lineRule="exact"/>
        <w:ind w:left="0" w:right="0"/>
        <w:jc w:val="center"/>
        <w:outlineLvl w:val="0"/>
        <w:rPr>
          <w:rFonts w:hint="eastAsia" w:ascii="黑体" w:hAnsi="宋体" w:eastAsia="黑体" w:cs="黑体"/>
          <w:kern w:val="0"/>
          <w:sz w:val="44"/>
          <w:szCs w:val="44"/>
          <w:lang w:val="en-US" w:eastAsia="zh-CN" w:bidi="ar"/>
        </w:rPr>
      </w:pPr>
    </w:p>
    <w:p>
      <w:pPr>
        <w:keepNext w:val="0"/>
        <w:keepLines w:val="0"/>
        <w:widowControl/>
        <w:suppressLineNumbers w:val="0"/>
        <w:snapToGrid w:val="0"/>
        <w:spacing w:before="0" w:beforeAutospacing="0" w:after="0" w:afterAutospacing="0" w:line="600" w:lineRule="exact"/>
        <w:ind w:left="0" w:right="0"/>
        <w:jc w:val="center"/>
        <w:outlineLvl w:val="0"/>
        <w:rPr>
          <w:rStyle w:val="17"/>
          <w:rFonts w:hint="eastAsia" w:ascii="黑体" w:hAnsi="宋体" w:eastAsia="黑体" w:cs="黑体"/>
          <w:b w:val="0"/>
          <w:kern w:val="44"/>
          <w:sz w:val="52"/>
          <w:szCs w:val="52"/>
          <w:lang w:val="en-US" w:eastAsia="zh-CN" w:bidi="ar"/>
        </w:rPr>
      </w:pPr>
      <w:bookmarkStart w:id="3" w:name="_Toc10803"/>
      <w:r>
        <w:rPr>
          <w:rFonts w:hint="eastAsia" w:ascii="黑体" w:hAnsi="宋体" w:eastAsia="黑体" w:cs="黑体"/>
          <w:kern w:val="0"/>
          <w:sz w:val="48"/>
          <w:szCs w:val="48"/>
          <w:lang w:val="en-US" w:eastAsia="zh-CN" w:bidi="ar"/>
        </w:rPr>
        <w:t>第</w:t>
      </w:r>
      <w:r>
        <w:rPr>
          <w:rStyle w:val="17"/>
          <w:rFonts w:hint="eastAsia" w:ascii="黑体" w:hAnsi="宋体" w:eastAsia="黑体" w:cs="黑体"/>
          <w:b w:val="0"/>
          <w:kern w:val="44"/>
          <w:sz w:val="52"/>
          <w:szCs w:val="52"/>
          <w:lang w:val="en-US" w:eastAsia="zh-CN" w:bidi="ar"/>
        </w:rPr>
        <w:t>四部分</w:t>
      </w:r>
      <w:r>
        <w:rPr>
          <w:rStyle w:val="17"/>
          <w:rFonts w:hint="eastAsia" w:ascii="黑体" w:hAnsi="宋体" w:eastAsia="黑体" w:cs="宋体"/>
          <w:b w:val="0"/>
          <w:kern w:val="44"/>
          <w:sz w:val="52"/>
          <w:szCs w:val="52"/>
          <w:lang w:val="en-US" w:eastAsia="zh-CN" w:bidi="ar"/>
        </w:rPr>
        <w:t xml:space="preserve"> </w:t>
      </w:r>
      <w:r>
        <w:rPr>
          <w:rStyle w:val="17"/>
          <w:rFonts w:hint="eastAsia" w:ascii="黑体" w:hAnsi="宋体" w:eastAsia="黑体" w:cs="黑体"/>
          <w:b w:val="0"/>
          <w:kern w:val="44"/>
          <w:sz w:val="52"/>
          <w:szCs w:val="52"/>
          <w:lang w:val="en-US" w:eastAsia="zh-CN" w:bidi="ar"/>
        </w:rPr>
        <w:t>附件</w:t>
      </w:r>
      <w:bookmarkEnd w:id="3"/>
    </w:p>
    <w:p>
      <w:pPr>
        <w:pStyle w:val="2"/>
        <w:rPr>
          <w:rFonts w:hint="eastAsia"/>
          <w:lang w:val="en-US" w:eastAsia="zh-CN"/>
        </w:rPr>
      </w:pPr>
    </w:p>
    <w:p>
      <w:pPr>
        <w:keepNext w:val="0"/>
        <w:keepLines w:val="0"/>
        <w:widowControl/>
        <w:suppressLineNumbers w:val="0"/>
        <w:snapToGrid w:val="0"/>
        <w:spacing w:before="0" w:beforeAutospacing="0" w:after="0" w:afterAutospacing="0" w:line="600" w:lineRule="exact"/>
        <w:ind w:left="0" w:right="0"/>
        <w:jc w:val="left"/>
        <w:outlineLvl w:val="0"/>
        <w:rPr>
          <w:rFonts w:hint="default" w:ascii="方正小标宋简体" w:hAnsi="方正小标宋简体" w:eastAsia="方正小标宋简体" w:cs="方正小标宋简体"/>
          <w:kern w:val="0"/>
          <w:sz w:val="32"/>
          <w:szCs w:val="32"/>
        </w:rPr>
      </w:pPr>
      <w:bookmarkStart w:id="4" w:name="_Toc17179"/>
      <w:r>
        <w:rPr>
          <w:rFonts w:hint="eastAsia" w:ascii="黑体" w:hAnsi="宋体" w:eastAsia="黑体" w:cs="黑体"/>
          <w:kern w:val="0"/>
          <w:sz w:val="32"/>
          <w:szCs w:val="32"/>
          <w:lang w:val="en-US" w:eastAsia="zh-CN" w:bidi="ar"/>
        </w:rPr>
        <w:t>附件1</w:t>
      </w:r>
      <w:bookmarkEnd w:id="4"/>
    </w:p>
    <w:p>
      <w:pPr>
        <w:keepNext w:val="0"/>
        <w:keepLines w:val="0"/>
        <w:widowControl/>
        <w:suppressLineNumbers w:val="0"/>
        <w:snapToGrid w:val="0"/>
        <w:spacing w:before="0" w:beforeAutospacing="0" w:after="0" w:afterAutospacing="0" w:line="580" w:lineRule="exact"/>
        <w:ind w:left="0" w:right="0"/>
        <w:jc w:val="center"/>
        <w:rPr>
          <w:rFonts w:hint="default" w:ascii="方正小标宋简体" w:hAnsi="方正小标宋简体" w:eastAsia="方正小标宋简体" w:cs="方正小标宋简体"/>
          <w:kern w:val="0"/>
          <w:sz w:val="44"/>
          <w:szCs w:val="44"/>
        </w:rPr>
      </w:pPr>
      <w:r>
        <w:rPr>
          <w:rFonts w:hint="default" w:ascii="方正小标宋简体" w:hAnsi="方正小标宋简体" w:eastAsia="方正小标宋简体" w:cs="方正小标宋简体"/>
          <w:kern w:val="0"/>
          <w:sz w:val="44"/>
          <w:szCs w:val="44"/>
          <w:lang w:val="en-US" w:eastAsia="zh-CN" w:bidi="ar"/>
        </w:rPr>
        <w:t xml:space="preserve"> </w:t>
      </w:r>
    </w:p>
    <w:p>
      <w:pPr>
        <w:keepNext w:val="0"/>
        <w:keepLines w:val="0"/>
        <w:widowControl/>
        <w:suppressLineNumbers w:val="0"/>
        <w:snapToGrid w:val="0"/>
        <w:spacing w:before="0" w:beforeAutospacing="0" w:after="0" w:afterAutospacing="0" w:line="600" w:lineRule="exact"/>
        <w:ind w:left="0" w:right="0"/>
        <w:jc w:val="center"/>
        <w:rPr>
          <w:rFonts w:hint="default" w:ascii="方正小标宋简体" w:hAnsi="宋体" w:eastAsia="方正小标宋简体" w:cs="宋体"/>
          <w:kern w:val="0"/>
          <w:sz w:val="40"/>
          <w:szCs w:val="40"/>
        </w:rPr>
      </w:pPr>
      <w:r>
        <w:rPr>
          <w:rFonts w:hint="default" w:ascii="方正小标宋简体" w:hAnsi="方正小标宋简体" w:eastAsia="方正小标宋简体" w:cs="方正小标宋简体"/>
          <w:kern w:val="0"/>
          <w:sz w:val="40"/>
          <w:szCs w:val="40"/>
          <w:lang w:val="en-US" w:eastAsia="zh-CN" w:bidi="ar"/>
        </w:rPr>
        <w:t>红原县自然资源局</w:t>
      </w:r>
      <w:r>
        <w:rPr>
          <w:rFonts w:hint="default" w:ascii="方正小标宋简体" w:hAnsi="宋体" w:eastAsia="方正小标宋简体" w:cs="宋体"/>
          <w:kern w:val="0"/>
          <w:sz w:val="40"/>
          <w:szCs w:val="40"/>
          <w:lang w:val="en-US" w:eastAsia="zh-CN" w:bidi="ar"/>
        </w:rPr>
        <w:t>2020</w:t>
      </w:r>
      <w:r>
        <w:rPr>
          <w:rFonts w:hint="default" w:ascii="方正小标宋简体" w:hAnsi="方正小标宋简体" w:eastAsia="方正小标宋简体" w:cs="方正小标宋简体"/>
          <w:kern w:val="0"/>
          <w:sz w:val="40"/>
          <w:szCs w:val="40"/>
          <w:lang w:val="en-US" w:eastAsia="zh-CN" w:bidi="ar"/>
        </w:rPr>
        <w:t>年部门整体支出绩效评价报告</w:t>
      </w:r>
    </w:p>
    <w:p>
      <w:pPr>
        <w:keepNext w:val="0"/>
        <w:keepLines w:val="0"/>
        <w:widowControl/>
        <w:suppressLineNumbers w:val="0"/>
        <w:adjustRightInd w:val="0"/>
        <w:snapToGrid w:val="0"/>
        <w:spacing w:before="0" w:beforeAutospacing="0" w:after="0" w:afterAutospacing="0" w:line="580" w:lineRule="exact"/>
        <w:ind w:left="0" w:right="0" w:firstLine="480" w:firstLineChars="200"/>
        <w:contextualSpacing/>
        <w:jc w:val="left"/>
        <w:rPr>
          <w:rFonts w:hint="eastAsia" w:ascii="黑体" w:hAnsi="宋体" w:eastAsia="黑体" w:cs="宋体"/>
          <w:kern w:val="0"/>
          <w:sz w:val="24"/>
          <w:szCs w:val="24"/>
          <w:shd w:val="clear" w:fill="FFFFFF"/>
        </w:rPr>
      </w:pPr>
      <w:r>
        <w:rPr>
          <w:rFonts w:hint="eastAsia" w:ascii="黑体" w:hAnsi="宋体" w:eastAsia="黑体" w:cs="宋体"/>
          <w:kern w:val="0"/>
          <w:sz w:val="24"/>
          <w:szCs w:val="24"/>
          <w:shd w:val="clear" w:fill="FFFFFF"/>
          <w:lang w:val="en-US" w:eastAsia="zh-CN" w:bidi="ar"/>
        </w:rPr>
        <w:t xml:space="preserve"> </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contextualSpacing/>
        <w:jc w:val="left"/>
        <w:textAlignment w:val="auto"/>
        <w:rPr>
          <w:rFonts w:hint="eastAsia" w:ascii="黑体" w:hAnsi="宋体" w:eastAsia="黑体" w:cs="宋体"/>
          <w:kern w:val="0"/>
          <w:sz w:val="32"/>
          <w:szCs w:val="32"/>
          <w:shd w:val="clear" w:fill="FFFFFF"/>
        </w:rPr>
      </w:pPr>
      <w:r>
        <w:rPr>
          <w:rFonts w:hint="eastAsia" w:ascii="黑体" w:hAnsi="宋体" w:eastAsia="黑体" w:cs="黑体"/>
          <w:kern w:val="0"/>
          <w:sz w:val="32"/>
          <w:szCs w:val="32"/>
          <w:shd w:val="clear" w:fill="FFFFFF"/>
          <w:lang w:val="en-US" w:eastAsia="zh-CN" w:bidi="ar"/>
        </w:rPr>
        <w:t>一、部门（单位）概况</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contextualSpacing/>
        <w:jc w:val="left"/>
        <w:textAlignment w:val="auto"/>
        <w:rPr>
          <w:rFonts w:hint="default" w:ascii="仿宋_GB2312" w:hAnsi="宋体" w:eastAsia="仿宋_GB2312" w:cs="宋体"/>
          <w:kern w:val="0"/>
          <w:sz w:val="32"/>
          <w:szCs w:val="32"/>
          <w:shd w:val="clear" w:fill="FFFFFF"/>
        </w:rPr>
      </w:pPr>
      <w:r>
        <w:rPr>
          <w:rFonts w:hint="default" w:ascii="仿宋_GB2312" w:hAnsi="宋体" w:eastAsia="仿宋_GB2312" w:cs="仿宋_GB2312"/>
          <w:kern w:val="0"/>
          <w:sz w:val="32"/>
          <w:szCs w:val="32"/>
          <w:shd w:val="clear" w:fill="FFFFFF"/>
          <w:lang w:val="en-US" w:eastAsia="zh-CN" w:bidi="ar"/>
        </w:rPr>
        <w:t>（一）机构组成。</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eastAsia" w:ascii="宋体" w:hAnsi="宋体" w:eastAsia="宋体" w:cs="宋体"/>
          <w:kern w:val="0"/>
          <w:sz w:val="24"/>
          <w:szCs w:val="24"/>
        </w:rPr>
      </w:pPr>
      <w:r>
        <w:rPr>
          <w:rFonts w:hint="default" w:ascii="仿宋_GB2312" w:hAnsi="宋体" w:eastAsia="仿宋_GB2312" w:cs="仿宋_GB2312"/>
          <w:kern w:val="0"/>
          <w:sz w:val="32"/>
          <w:szCs w:val="32"/>
          <w:lang w:val="en-US" w:eastAsia="zh-CN" w:bidi="ar"/>
        </w:rPr>
        <w:t>红原县自然资源局现有行政办公室、土地管理股、矿产资源管理股、不动产登记中心、执法大队、土地储备交易中心、邛溪镇国土所、瓦切镇国土所、安曲镇国土所共9个机构组成。</w:t>
      </w:r>
    </w:p>
    <w:p>
      <w:pPr>
        <w:keepNext w:val="0"/>
        <w:keepLines w:val="0"/>
        <w:pageBreakBefore w:val="0"/>
        <w:widowControl/>
        <w:numPr>
          <w:ilvl w:val="0"/>
          <w:numId w:val="7"/>
        </w:numPr>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contextualSpacing/>
        <w:jc w:val="left"/>
        <w:textAlignment w:val="auto"/>
        <w:rPr>
          <w:rFonts w:hint="default" w:ascii="仿宋_GB2312" w:hAnsi="宋体" w:eastAsia="仿宋_GB2312" w:cs="宋体"/>
          <w:kern w:val="0"/>
          <w:sz w:val="32"/>
          <w:szCs w:val="32"/>
          <w:shd w:val="clear" w:fill="FFFFFF"/>
        </w:rPr>
      </w:pPr>
      <w:r>
        <w:rPr>
          <w:rFonts w:hint="default" w:ascii="仿宋_GB2312" w:hAnsi="宋体" w:eastAsia="仿宋_GB2312" w:cs="仿宋_GB2312"/>
          <w:kern w:val="0"/>
          <w:sz w:val="32"/>
          <w:szCs w:val="32"/>
          <w:shd w:val="clear" w:fill="FFFFFF"/>
          <w:lang w:val="en-US" w:eastAsia="zh-CN" w:bidi="ar"/>
        </w:rPr>
        <w:t>机构职能。</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3" w:firstLineChars="200"/>
        <w:jc w:val="left"/>
        <w:textAlignment w:val="auto"/>
        <w:rPr>
          <w:rFonts w:hint="default" w:ascii="仿宋_GB2312" w:eastAsia="仿宋_GB2312" w:cs="仿宋_GB2312"/>
          <w:b/>
          <w:kern w:val="0"/>
          <w:sz w:val="32"/>
          <w:szCs w:val="32"/>
        </w:rPr>
      </w:pPr>
      <w:r>
        <w:rPr>
          <w:rFonts w:hint="default" w:ascii="仿宋_GB2312" w:hAnsi="宋体" w:eastAsia="仿宋_GB2312" w:cs="仿宋_GB2312"/>
          <w:b/>
          <w:kern w:val="0"/>
          <w:sz w:val="32"/>
          <w:szCs w:val="32"/>
          <w:lang w:val="en-US" w:eastAsia="zh-CN" w:bidi="ar"/>
        </w:rPr>
        <w:t>1.负责贯彻全县国土资源管理、矿产资源管理。</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（1）彻执行国家和省州关于土地矿产等国土资源方面的方针、政策和法律、法规;依法负责拟定本县土地、矿产等自然资</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源管理的规章制度;研究拟定调查、规划、保护和合理利用我县土地和矿产等自然资源的政策;组织贯彻实施土地和矿产等自然资源管理的技术标准、规范和办法.</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2）研究制定全县国土资源管理事业发展战略;组织编制和实施全县国土规划、土地利用总体规划、其它国土资源专项规划和土地利用年度计划;组织实施矿产资源的调查、评价，编制全县矿产资源保护和合理利用规划、地质勘查规划、地灾灾害防治,和地质遗迹保护规划，对建设项目用地预审。</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3" w:firstLineChars="200"/>
        <w:jc w:val="left"/>
        <w:textAlignment w:val="auto"/>
        <w:rPr>
          <w:rFonts w:hint="default" w:ascii="仿宋_GB2312" w:eastAsia="仿宋_GB2312" w:cs="仿宋_GB2312"/>
          <w:b/>
          <w:kern w:val="0"/>
          <w:sz w:val="32"/>
          <w:szCs w:val="32"/>
        </w:rPr>
      </w:pPr>
      <w:r>
        <w:rPr>
          <w:rFonts w:hint="default" w:ascii="仿宋_GB2312" w:hAnsi="宋体" w:eastAsia="仿宋_GB2312" w:cs="仿宋_GB2312"/>
          <w:b/>
          <w:kern w:val="0"/>
          <w:sz w:val="32"/>
          <w:szCs w:val="32"/>
          <w:lang w:val="en-US" w:eastAsia="zh-CN" w:bidi="ar"/>
        </w:rPr>
        <w:t>2.行政审批事项。</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1）负责统一管理全县土地和城乡地籍、地政工作;制定并贯彻实施地籍管理办法;组织实施全县土地资源调查、评价分等定价，统计和动态监测工作;依法负责土地确权、登记、发证等工作，并组织土地权属证书的审理工作。</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2）进行基准地价、标定地价评测;确认地地使用权价格;审批国有土地资源处置方案并组织实施;拟定并按规定组织实施土地使用权出让、租赁、作价出资、转让交易和政府收购、储备办法;按规定组织实施农村“三项”建设管理和农村非农土地使，用权的流转管理。</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（3）管理全县土地测绘工作。负责全县测绘单位的资格审查，测绘工作证件，测绘任务登记管理，归口管理全县地籍测绘，指导测量标志的管理和保护。</w:t>
      </w:r>
    </w:p>
    <w:p>
      <w:pPr>
        <w:keepNext w:val="0"/>
        <w:keepLines w:val="0"/>
        <w:pageBreakBefore w:val="0"/>
        <w:widowControl/>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eastAsia" w:ascii="宋体" w:hAnsi="宋体" w:eastAsia="宋体" w:cs="宋体"/>
          <w:kern w:val="0"/>
          <w:sz w:val="24"/>
          <w:szCs w:val="24"/>
        </w:rPr>
      </w:pPr>
      <w:r>
        <w:rPr>
          <w:rFonts w:hint="default" w:ascii="仿宋_GB2312" w:hAnsi="宋体" w:eastAsia="仿宋_GB2312" w:cs="仿宋_GB2312"/>
          <w:kern w:val="0"/>
          <w:sz w:val="32"/>
          <w:szCs w:val="32"/>
          <w:lang w:val="en-US" w:eastAsia="zh-CN" w:bidi="ar"/>
        </w:rPr>
        <w:t>（4）承担矿产资源储备管理工作，依法管理江河地质、地勘成果资料，依法保护地质环境，依法管理矿产资源探矿权和采矿权的审批、登记、发证和转让。审核地质环境影响评估报告。</w:t>
      </w:r>
    </w:p>
    <w:p>
      <w:pPr>
        <w:keepNext w:val="0"/>
        <w:keepLines w:val="0"/>
        <w:pageBreakBefore w:val="0"/>
        <w:widowControl/>
        <w:numPr>
          <w:ilvl w:val="0"/>
          <w:numId w:val="7"/>
        </w:numPr>
        <w:suppressLineNumbers w:val="0"/>
        <w:kinsoku/>
        <w:wordWrap/>
        <w:overflowPunct/>
        <w:topLinePunct w:val="0"/>
        <w:autoSpaceDN/>
        <w:bidi w:val="0"/>
        <w:adjustRightInd w:val="0"/>
        <w:snapToGrid w:val="0"/>
        <w:spacing w:before="0" w:beforeAutospacing="0" w:after="0" w:afterAutospacing="0" w:line="560" w:lineRule="exact"/>
        <w:ind w:left="0" w:leftChars="0" w:right="0" w:firstLine="640" w:firstLineChars="200"/>
        <w:contextualSpacing/>
        <w:jc w:val="left"/>
        <w:textAlignment w:val="auto"/>
        <w:rPr>
          <w:rFonts w:hint="default" w:ascii="仿宋_GB2312" w:hAnsi="宋体" w:eastAsia="仿宋_GB2312" w:cs="宋体"/>
          <w:kern w:val="0"/>
          <w:sz w:val="32"/>
          <w:szCs w:val="32"/>
          <w:shd w:val="clear" w:fill="FFFFFF"/>
        </w:rPr>
      </w:pPr>
      <w:r>
        <w:rPr>
          <w:rFonts w:hint="default" w:ascii="仿宋_GB2312" w:hAnsi="宋体" w:eastAsia="仿宋_GB2312" w:cs="仿宋_GB2312"/>
          <w:kern w:val="0"/>
          <w:sz w:val="32"/>
          <w:szCs w:val="32"/>
          <w:shd w:val="clear" w:fill="FFFFFF"/>
          <w:lang w:val="en-US" w:eastAsia="zh-CN" w:bidi="ar"/>
        </w:rPr>
        <w:t>人员概况。</w:t>
      </w:r>
    </w:p>
    <w:p>
      <w:pPr>
        <w:pStyle w:val="6"/>
        <w:keepNext w:val="0"/>
        <w:keepLines w:val="0"/>
        <w:pageBreakBefore w:val="0"/>
        <w:widowControl/>
        <w:kinsoku/>
        <w:wordWrap/>
        <w:overflowPunct/>
        <w:topLinePunct w:val="0"/>
        <w:autoSpaceDN/>
        <w:bidi w:val="0"/>
        <w:adjustRightInd w:val="0"/>
        <w:snapToGrid w:val="0"/>
        <w:spacing w:before="72" w:beforeAutospacing="0" w:afterAutospacing="0" w:line="560" w:lineRule="exact"/>
        <w:ind w:left="0" w:right="0" w:firstLine="640" w:firstLineChars="200"/>
        <w:textAlignment w:val="auto"/>
        <w:rPr>
          <w:rFonts w:hint="eastAsia" w:ascii="宋体" w:hAnsi="宋体" w:eastAsia="宋体" w:cs="宋体"/>
          <w:kern w:val="0"/>
          <w:sz w:val="24"/>
          <w:szCs w:val="24"/>
        </w:rPr>
      </w:pPr>
      <w:r>
        <w:rPr>
          <w:rFonts w:hint="eastAsia" w:ascii="仿宋" w:hAnsi="仿宋" w:eastAsia="仿宋" w:cs="仿宋"/>
          <w:kern w:val="0"/>
          <w:sz w:val="32"/>
          <w:szCs w:val="32"/>
        </w:rPr>
        <w:t>红原县自然资源局下属二级单位</w:t>
      </w:r>
      <w:r>
        <w:rPr>
          <w:rFonts w:hint="eastAsia" w:ascii="仿宋" w:hAnsi="仿宋" w:eastAsia="仿宋" w:cs="宋体"/>
          <w:kern w:val="0"/>
          <w:sz w:val="32"/>
          <w:szCs w:val="32"/>
        </w:rPr>
        <w:t>2</w:t>
      </w:r>
      <w:r>
        <w:rPr>
          <w:rFonts w:hint="eastAsia" w:ascii="仿宋" w:hAnsi="仿宋" w:eastAsia="仿宋" w:cs="仿宋"/>
          <w:kern w:val="0"/>
          <w:sz w:val="32"/>
          <w:szCs w:val="32"/>
        </w:rPr>
        <w:t>个，其中行政单位</w:t>
      </w:r>
      <w:r>
        <w:rPr>
          <w:rFonts w:hint="eastAsia" w:ascii="仿宋" w:hAnsi="仿宋" w:eastAsia="仿宋" w:cs="宋体"/>
          <w:kern w:val="0"/>
          <w:sz w:val="32"/>
          <w:szCs w:val="32"/>
        </w:rPr>
        <w:t>1个，</w:t>
      </w:r>
      <w:r>
        <w:rPr>
          <w:rFonts w:hint="eastAsia" w:ascii="仿宋" w:hAnsi="仿宋" w:eastAsia="仿宋" w:cs="仿宋"/>
          <w:kern w:val="0"/>
          <w:sz w:val="32"/>
          <w:szCs w:val="32"/>
        </w:rPr>
        <w:t>事业单位</w:t>
      </w:r>
      <w:r>
        <w:rPr>
          <w:rFonts w:hint="eastAsia" w:ascii="仿宋" w:hAnsi="仿宋" w:eastAsia="仿宋" w:cs="宋体"/>
          <w:kern w:val="0"/>
          <w:sz w:val="32"/>
          <w:szCs w:val="32"/>
        </w:rPr>
        <w:t>1</w:t>
      </w:r>
      <w:r>
        <w:rPr>
          <w:rFonts w:hint="eastAsia" w:ascii="仿宋" w:hAnsi="仿宋" w:eastAsia="仿宋" w:cs="仿宋"/>
          <w:kern w:val="0"/>
          <w:sz w:val="32"/>
          <w:szCs w:val="32"/>
        </w:rPr>
        <w:t>个。我局是红原县政府属下的管理国土资源秩序的职能部门，在职</w:t>
      </w:r>
      <w:r>
        <w:rPr>
          <w:rFonts w:hint="eastAsia" w:ascii="仿宋" w:hAnsi="仿宋" w:eastAsia="仿宋" w:cs="宋体"/>
          <w:kern w:val="0"/>
          <w:sz w:val="32"/>
          <w:szCs w:val="32"/>
        </w:rPr>
        <w:t>29</w:t>
      </w:r>
      <w:r>
        <w:rPr>
          <w:rFonts w:hint="eastAsia" w:ascii="仿宋" w:hAnsi="仿宋" w:eastAsia="仿宋" w:cs="仿宋"/>
          <w:kern w:val="0"/>
          <w:sz w:val="32"/>
          <w:szCs w:val="32"/>
        </w:rPr>
        <w:t>人，其中行政</w:t>
      </w:r>
      <w:r>
        <w:rPr>
          <w:rFonts w:hint="eastAsia" w:ascii="仿宋" w:hAnsi="仿宋" w:eastAsia="仿宋" w:cs="宋体"/>
          <w:kern w:val="0"/>
          <w:sz w:val="32"/>
          <w:szCs w:val="32"/>
        </w:rPr>
        <w:t>7</w:t>
      </w:r>
      <w:r>
        <w:rPr>
          <w:rFonts w:hint="eastAsia" w:ascii="仿宋" w:hAnsi="仿宋" w:eastAsia="仿宋" w:cs="仿宋"/>
          <w:kern w:val="0"/>
          <w:sz w:val="32"/>
          <w:szCs w:val="32"/>
        </w:rPr>
        <w:t>人、行政工勤</w:t>
      </w:r>
      <w:r>
        <w:rPr>
          <w:rFonts w:hint="eastAsia" w:ascii="仿宋" w:hAnsi="仿宋" w:eastAsia="仿宋" w:cs="宋体"/>
          <w:kern w:val="0"/>
          <w:sz w:val="32"/>
          <w:szCs w:val="32"/>
        </w:rPr>
        <w:t>1人、参公2</w:t>
      </w:r>
      <w:r>
        <w:rPr>
          <w:rFonts w:hint="eastAsia" w:ascii="仿宋" w:hAnsi="仿宋" w:eastAsia="仿宋" w:cs="仿宋"/>
          <w:kern w:val="0"/>
          <w:sz w:val="32"/>
          <w:szCs w:val="32"/>
        </w:rPr>
        <w:t>人、事业</w:t>
      </w:r>
      <w:r>
        <w:rPr>
          <w:rFonts w:hint="eastAsia" w:ascii="仿宋" w:hAnsi="仿宋" w:eastAsia="仿宋" w:cs="宋体"/>
          <w:kern w:val="0"/>
          <w:sz w:val="32"/>
          <w:szCs w:val="32"/>
        </w:rPr>
        <w:t>19</w:t>
      </w:r>
      <w:r>
        <w:rPr>
          <w:rFonts w:hint="eastAsia" w:ascii="仿宋" w:hAnsi="仿宋" w:eastAsia="仿宋" w:cs="仿宋"/>
          <w:kern w:val="0"/>
          <w:sz w:val="32"/>
          <w:szCs w:val="32"/>
        </w:rPr>
        <w:t>人。纳入四川省阿坝州红原县自然资源局</w:t>
      </w:r>
      <w:r>
        <w:rPr>
          <w:rFonts w:hint="eastAsia" w:ascii="仿宋" w:hAnsi="仿宋" w:eastAsia="仿宋" w:cs="宋体"/>
          <w:kern w:val="0"/>
          <w:sz w:val="32"/>
          <w:szCs w:val="32"/>
        </w:rPr>
        <w:t>2020</w:t>
      </w:r>
      <w:r>
        <w:rPr>
          <w:rFonts w:hint="eastAsia" w:ascii="仿宋" w:hAnsi="仿宋" w:eastAsia="仿宋" w:cs="仿宋"/>
          <w:kern w:val="0"/>
          <w:sz w:val="32"/>
          <w:szCs w:val="32"/>
        </w:rPr>
        <w:t>年度部门决算编制范围的二级预算单位包括：</w:t>
      </w:r>
      <w:r>
        <w:rPr>
          <w:rFonts w:hint="eastAsia" w:ascii="仿宋" w:hAnsi="仿宋" w:eastAsia="仿宋" w:cs="宋体"/>
          <w:kern w:val="0"/>
          <w:sz w:val="32"/>
          <w:szCs w:val="32"/>
        </w:rPr>
        <w:t>1.四川省阿坝州红原县自然资源局（本级）2.四川省阿坝州</w:t>
      </w:r>
      <w:r>
        <w:rPr>
          <w:rFonts w:hint="eastAsia" w:ascii="仿宋" w:hAnsi="仿宋" w:eastAsia="仿宋" w:cs="仿宋"/>
          <w:kern w:val="0"/>
          <w:sz w:val="32"/>
          <w:szCs w:val="32"/>
        </w:rPr>
        <w:t>红原县不动产登记中心（本级）。</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contextualSpacing/>
        <w:jc w:val="left"/>
        <w:textAlignment w:val="auto"/>
        <w:rPr>
          <w:rFonts w:hint="eastAsia" w:ascii="黑体" w:hAnsi="宋体" w:eastAsia="黑体" w:cs="宋体"/>
          <w:kern w:val="0"/>
          <w:sz w:val="32"/>
          <w:szCs w:val="32"/>
          <w:shd w:val="clear" w:fill="FFFFFF"/>
        </w:rPr>
      </w:pPr>
      <w:r>
        <w:rPr>
          <w:rFonts w:hint="eastAsia" w:ascii="黑体" w:hAnsi="宋体" w:eastAsia="黑体" w:cs="黑体"/>
          <w:kern w:val="0"/>
          <w:sz w:val="32"/>
          <w:szCs w:val="32"/>
          <w:shd w:val="clear" w:fill="FFFFFF"/>
          <w:lang w:val="en-US" w:eastAsia="zh-CN" w:bidi="ar"/>
        </w:rPr>
        <w:t>二、部门财政资金收支情况</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contextualSpacing/>
        <w:jc w:val="left"/>
        <w:textAlignment w:val="auto"/>
        <w:rPr>
          <w:rFonts w:hint="default" w:ascii="仿宋_GB2312" w:hAnsi="宋体" w:eastAsia="仿宋_GB2312" w:cs="宋体"/>
          <w:kern w:val="0"/>
          <w:sz w:val="32"/>
          <w:szCs w:val="32"/>
          <w:shd w:val="clear" w:fill="FFFFFF"/>
        </w:rPr>
      </w:pPr>
      <w:r>
        <w:rPr>
          <w:rFonts w:hint="default" w:ascii="仿宋_GB2312" w:hAnsi="宋体" w:eastAsia="仿宋_GB2312" w:cs="仿宋_GB2312"/>
          <w:kern w:val="0"/>
          <w:sz w:val="32"/>
          <w:szCs w:val="32"/>
          <w:shd w:val="clear" w:fill="FFFFFF"/>
          <w:lang w:val="en-US" w:eastAsia="zh-CN" w:bidi="ar"/>
        </w:rPr>
        <w:t>（一）部门财政资金收入情况。</w:t>
      </w:r>
    </w:p>
    <w:p>
      <w:pPr>
        <w:pStyle w:val="2"/>
        <w:keepNext w:val="0"/>
        <w:keepLines w:val="0"/>
        <w:pageBreakBefore w:val="0"/>
        <w:widowControl/>
        <w:suppressLineNumbers w:val="0"/>
        <w:kinsoku/>
        <w:wordWrap/>
        <w:overflowPunct/>
        <w:topLinePunct w:val="0"/>
        <w:autoSpaceDN/>
        <w:bidi w:val="0"/>
        <w:snapToGrid w:val="0"/>
        <w:spacing w:afterAutospacing="0" w:line="560" w:lineRule="exact"/>
        <w:ind w:firstLine="640" w:firstLineChars="200"/>
        <w:textAlignment w:val="auto"/>
        <w:rPr>
          <w:rFonts w:hint="default" w:ascii="仿宋_GB2312" w:hAnsi="宋体" w:eastAsia="仿宋_GB2312" w:cs="宋体"/>
          <w:kern w:val="0"/>
          <w:sz w:val="32"/>
          <w:szCs w:val="32"/>
        </w:rPr>
      </w:pPr>
      <w:r>
        <w:rPr>
          <w:rFonts w:hint="eastAsia" w:ascii="仿宋" w:hAnsi="仿宋" w:eastAsia="仿宋" w:cs="宋体"/>
          <w:kern w:val="0"/>
          <w:sz w:val="32"/>
          <w:szCs w:val="32"/>
        </w:rPr>
        <w:t>2020</w:t>
      </w:r>
      <w:r>
        <w:rPr>
          <w:rFonts w:hint="eastAsia" w:ascii="仿宋" w:hAnsi="仿宋" w:eastAsia="仿宋" w:cs="仿宋"/>
          <w:kern w:val="0"/>
          <w:sz w:val="32"/>
          <w:szCs w:val="32"/>
        </w:rPr>
        <w:t>年本年收入合计</w:t>
      </w:r>
      <w:r>
        <w:rPr>
          <w:rFonts w:hint="eastAsia" w:ascii="仿宋" w:hAnsi="仿宋" w:eastAsia="仿宋" w:cs="宋体"/>
          <w:kern w:val="0"/>
          <w:sz w:val="32"/>
          <w:szCs w:val="32"/>
        </w:rPr>
        <w:t>1244.65</w:t>
      </w:r>
      <w:r>
        <w:rPr>
          <w:rFonts w:hint="eastAsia" w:ascii="仿宋" w:hAnsi="仿宋" w:eastAsia="仿宋" w:cs="仿宋"/>
          <w:kern w:val="0"/>
          <w:sz w:val="32"/>
          <w:szCs w:val="32"/>
        </w:rPr>
        <w:t>万元，其中：一般公共预算财政拨款收入</w:t>
      </w:r>
      <w:r>
        <w:rPr>
          <w:rFonts w:hint="eastAsia" w:ascii="仿宋" w:hAnsi="仿宋" w:eastAsia="仿宋" w:cs="宋体"/>
          <w:kern w:val="0"/>
          <w:sz w:val="32"/>
          <w:szCs w:val="32"/>
        </w:rPr>
        <w:t>1244.65</w:t>
      </w:r>
      <w:r>
        <w:rPr>
          <w:rFonts w:hint="eastAsia" w:ascii="仿宋" w:hAnsi="仿宋" w:eastAsia="仿宋" w:cs="仿宋"/>
          <w:kern w:val="0"/>
          <w:sz w:val="32"/>
          <w:szCs w:val="32"/>
        </w:rPr>
        <w:t>万元，占</w:t>
      </w:r>
      <w:r>
        <w:rPr>
          <w:rFonts w:hint="eastAsia" w:ascii="仿宋" w:hAnsi="仿宋" w:eastAsia="仿宋" w:cs="宋体"/>
          <w:kern w:val="0"/>
          <w:sz w:val="32"/>
          <w:szCs w:val="32"/>
        </w:rPr>
        <w:t>100%</w:t>
      </w:r>
      <w:r>
        <w:rPr>
          <w:rFonts w:hint="eastAsia" w:ascii="仿宋" w:hAnsi="仿宋" w:eastAsia="仿宋" w:cs="仿宋"/>
          <w:kern w:val="0"/>
          <w:sz w:val="32"/>
          <w:szCs w:val="32"/>
        </w:rPr>
        <w:t>；</w:t>
      </w:r>
    </w:p>
    <w:p>
      <w:pPr>
        <w:keepNext w:val="0"/>
        <w:keepLines w:val="0"/>
        <w:pageBreakBefore w:val="0"/>
        <w:widowControl/>
        <w:numPr>
          <w:ilvl w:val="0"/>
          <w:numId w:val="8"/>
        </w:numPr>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contextualSpacing/>
        <w:jc w:val="left"/>
        <w:textAlignment w:val="auto"/>
        <w:rPr>
          <w:rFonts w:hint="default" w:ascii="仿宋_GB2312" w:hAnsi="宋体" w:eastAsia="仿宋_GB2312" w:cs="宋体"/>
          <w:kern w:val="0"/>
          <w:sz w:val="32"/>
          <w:szCs w:val="32"/>
          <w:shd w:val="clear" w:fill="FFFFFF"/>
        </w:rPr>
      </w:pPr>
      <w:r>
        <w:rPr>
          <w:rFonts w:hint="default" w:ascii="仿宋_GB2312" w:hAnsi="宋体" w:eastAsia="仿宋_GB2312" w:cs="仿宋_GB2312"/>
          <w:kern w:val="0"/>
          <w:sz w:val="32"/>
          <w:szCs w:val="32"/>
          <w:shd w:val="clear" w:fill="FFFFFF"/>
          <w:lang w:val="en-US" w:eastAsia="zh-CN" w:bidi="ar"/>
        </w:rPr>
        <w:t>部门财政资金支出情况。</w:t>
      </w:r>
    </w:p>
    <w:p>
      <w:pPr>
        <w:pStyle w:val="2"/>
        <w:keepNext w:val="0"/>
        <w:keepLines w:val="0"/>
        <w:pageBreakBefore w:val="0"/>
        <w:widowControl/>
        <w:suppressLineNumbers w:val="0"/>
        <w:kinsoku/>
        <w:wordWrap/>
        <w:overflowPunct/>
        <w:topLinePunct w:val="0"/>
        <w:autoSpaceDN/>
        <w:bidi w:val="0"/>
        <w:snapToGrid w:val="0"/>
        <w:spacing w:afterAutospacing="0" w:line="560" w:lineRule="exact"/>
        <w:ind w:left="0" w:firstLine="640" w:firstLineChars="200"/>
        <w:textAlignment w:val="auto"/>
        <w:rPr>
          <w:rFonts w:hint="default" w:ascii="仿宋_GB2312" w:hAnsi="宋体" w:eastAsia="仿宋_GB2312" w:cs="宋体"/>
          <w:kern w:val="0"/>
          <w:sz w:val="32"/>
          <w:szCs w:val="32"/>
        </w:rPr>
      </w:pPr>
      <w:r>
        <w:rPr>
          <w:rFonts w:hint="eastAsia" w:ascii="仿宋" w:hAnsi="仿宋" w:eastAsia="仿宋" w:cs="宋体"/>
          <w:kern w:val="0"/>
          <w:sz w:val="32"/>
          <w:szCs w:val="32"/>
        </w:rPr>
        <w:t>2020</w:t>
      </w:r>
      <w:r>
        <w:rPr>
          <w:rFonts w:hint="eastAsia" w:ascii="仿宋" w:hAnsi="仿宋" w:eastAsia="仿宋" w:cs="仿宋"/>
          <w:kern w:val="0"/>
          <w:sz w:val="32"/>
          <w:szCs w:val="32"/>
        </w:rPr>
        <w:t>年本年支出合计</w:t>
      </w:r>
      <w:r>
        <w:rPr>
          <w:rFonts w:hint="eastAsia" w:ascii="仿宋" w:hAnsi="仿宋" w:eastAsia="仿宋" w:cs="宋体"/>
          <w:kern w:val="0"/>
          <w:sz w:val="32"/>
          <w:szCs w:val="32"/>
        </w:rPr>
        <w:t>3914.64</w:t>
      </w:r>
      <w:r>
        <w:rPr>
          <w:rFonts w:hint="eastAsia" w:ascii="仿宋" w:hAnsi="仿宋" w:eastAsia="仿宋" w:cs="仿宋"/>
          <w:kern w:val="0"/>
          <w:sz w:val="32"/>
          <w:szCs w:val="32"/>
        </w:rPr>
        <w:t>万元，其中：基本支出合计</w:t>
      </w:r>
      <w:r>
        <w:rPr>
          <w:rFonts w:hint="eastAsia" w:ascii="仿宋" w:hAnsi="仿宋" w:eastAsia="仿宋" w:cs="宋体"/>
          <w:kern w:val="0"/>
          <w:sz w:val="32"/>
          <w:szCs w:val="32"/>
        </w:rPr>
        <w:t>483.72</w:t>
      </w:r>
      <w:r>
        <w:rPr>
          <w:rFonts w:hint="eastAsia" w:ascii="仿宋" w:hAnsi="仿宋" w:eastAsia="仿宋" w:cs="仿宋"/>
          <w:kern w:val="0"/>
          <w:sz w:val="32"/>
          <w:szCs w:val="32"/>
        </w:rPr>
        <w:t>万元，占</w:t>
      </w:r>
      <w:r>
        <w:rPr>
          <w:rFonts w:hint="eastAsia" w:ascii="仿宋" w:hAnsi="仿宋" w:eastAsia="仿宋" w:cs="宋体"/>
          <w:kern w:val="0"/>
          <w:sz w:val="32"/>
          <w:szCs w:val="32"/>
        </w:rPr>
        <w:t>12.36%</w:t>
      </w:r>
      <w:r>
        <w:rPr>
          <w:rFonts w:hint="eastAsia" w:ascii="仿宋" w:hAnsi="仿宋" w:eastAsia="仿宋" w:cs="仿宋"/>
          <w:kern w:val="0"/>
          <w:sz w:val="32"/>
          <w:szCs w:val="32"/>
        </w:rPr>
        <w:t>；项目支出合计</w:t>
      </w:r>
      <w:r>
        <w:rPr>
          <w:rFonts w:hint="eastAsia" w:ascii="仿宋" w:hAnsi="仿宋" w:eastAsia="仿宋" w:cs="宋体"/>
          <w:kern w:val="0"/>
          <w:sz w:val="32"/>
          <w:szCs w:val="32"/>
        </w:rPr>
        <w:t>3430.92</w:t>
      </w:r>
      <w:r>
        <w:rPr>
          <w:rFonts w:hint="eastAsia" w:ascii="仿宋" w:hAnsi="仿宋" w:eastAsia="仿宋" w:cs="仿宋"/>
          <w:kern w:val="0"/>
          <w:sz w:val="32"/>
          <w:szCs w:val="32"/>
        </w:rPr>
        <w:t>万元，占</w:t>
      </w:r>
      <w:r>
        <w:rPr>
          <w:rFonts w:hint="eastAsia" w:ascii="仿宋" w:hAnsi="仿宋" w:eastAsia="仿宋" w:cs="宋体"/>
          <w:kern w:val="0"/>
          <w:sz w:val="32"/>
          <w:szCs w:val="32"/>
        </w:rPr>
        <w:t>87.64%</w:t>
      </w:r>
      <w:r>
        <w:rPr>
          <w:rFonts w:hint="eastAsia" w:ascii="仿宋" w:hAnsi="仿宋" w:eastAsia="仿宋" w:cs="仿宋"/>
          <w:kern w:val="0"/>
          <w:sz w:val="32"/>
          <w:szCs w:val="32"/>
        </w:rPr>
        <w:t>；</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contextualSpacing/>
        <w:jc w:val="left"/>
        <w:textAlignment w:val="auto"/>
        <w:rPr>
          <w:rFonts w:hint="eastAsia" w:ascii="黑体" w:hAnsi="宋体" w:eastAsia="黑体" w:cs="宋体"/>
          <w:kern w:val="0"/>
          <w:sz w:val="32"/>
          <w:szCs w:val="32"/>
          <w:shd w:val="clear" w:fill="FFFFFF"/>
        </w:rPr>
      </w:pPr>
      <w:r>
        <w:rPr>
          <w:rFonts w:hint="eastAsia" w:ascii="黑体" w:hAnsi="宋体" w:eastAsia="黑体" w:cs="黑体"/>
          <w:kern w:val="0"/>
          <w:sz w:val="32"/>
          <w:szCs w:val="32"/>
          <w:shd w:val="clear" w:fill="FFFFFF"/>
          <w:lang w:val="en-US" w:eastAsia="zh-CN" w:bidi="ar"/>
        </w:rPr>
        <w:t>三、部门整体预算绩效管理情况</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contextualSpacing/>
        <w:jc w:val="left"/>
        <w:textAlignment w:val="auto"/>
        <w:rPr>
          <w:rFonts w:hint="default" w:ascii="仿宋_GB2312" w:hAnsi="宋体" w:eastAsia="仿宋_GB2312" w:cs="宋体"/>
          <w:kern w:val="0"/>
          <w:sz w:val="32"/>
          <w:szCs w:val="32"/>
          <w:shd w:val="clear" w:fill="FFFFFF"/>
        </w:rPr>
      </w:pPr>
      <w:r>
        <w:rPr>
          <w:rFonts w:hint="default" w:ascii="仿宋_GB2312" w:hAnsi="宋体" w:eastAsia="仿宋_GB2312" w:cs="仿宋_GB2312"/>
          <w:kern w:val="0"/>
          <w:sz w:val="32"/>
          <w:szCs w:val="32"/>
          <w:shd w:val="clear" w:fill="FFFFFF"/>
          <w:lang w:val="en-US" w:eastAsia="zh-CN" w:bidi="ar"/>
        </w:rPr>
        <w:t>（一）部门预算管理。</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 xml:space="preserve">我局严格按照《预算法》及相关财经法规和政策编制本年度预算，严格控制编报质量，保证所有资金合法合规，严格按照相关规定进行预算编制，中央转移支付资金按照文件要求下达，专项转移支付严格根据分地区分项目进行编制。          </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 xml:space="preserve">  （二）执行管理情况。 </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我局预算执行到位，严格按照预算管理进行支付并做到节能降耗，“三公”经费严格按照年初预算执行。</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contextualSpacing/>
        <w:jc w:val="left"/>
        <w:textAlignment w:val="auto"/>
        <w:rPr>
          <w:rFonts w:hint="eastAsia" w:ascii="黑体" w:hAnsi="宋体" w:eastAsia="黑体" w:cs="宋体"/>
          <w:kern w:val="0"/>
          <w:sz w:val="32"/>
          <w:szCs w:val="32"/>
          <w:shd w:val="clear" w:fill="FFFFFF"/>
        </w:rPr>
      </w:pPr>
      <w:r>
        <w:rPr>
          <w:rFonts w:hint="eastAsia" w:ascii="黑体" w:hAnsi="宋体" w:eastAsia="黑体" w:cs="黑体"/>
          <w:kern w:val="0"/>
          <w:sz w:val="32"/>
          <w:szCs w:val="32"/>
          <w:shd w:val="clear" w:fill="FFFFFF"/>
          <w:lang w:val="en-US" w:eastAsia="zh-CN" w:bidi="ar"/>
        </w:rPr>
        <w:t>四、评价结论及建议</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contextualSpacing/>
        <w:jc w:val="left"/>
        <w:textAlignment w:val="auto"/>
        <w:rPr>
          <w:rFonts w:hint="default" w:ascii="仿宋_GB2312" w:hAnsi="宋体" w:eastAsia="仿宋_GB2312" w:cs="宋体"/>
          <w:kern w:val="0"/>
          <w:sz w:val="32"/>
          <w:szCs w:val="32"/>
          <w:shd w:val="clear" w:fill="FFFFFF"/>
        </w:rPr>
      </w:pPr>
      <w:r>
        <w:rPr>
          <w:rFonts w:hint="default" w:ascii="仿宋_GB2312" w:hAnsi="宋体" w:eastAsia="仿宋_GB2312" w:cs="仿宋_GB2312"/>
          <w:kern w:val="0"/>
          <w:sz w:val="32"/>
          <w:szCs w:val="32"/>
          <w:shd w:val="clear" w:fill="FFFFFF"/>
          <w:lang w:val="en-US" w:eastAsia="zh-CN" w:bidi="ar"/>
        </w:rPr>
        <w:t>（一）评价结论。</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根据《红原县部门支出绩效评价指标体系》评分得分96分，其中：预算调整扣2分，原因为年中存在追加资金；绩效评价扣2分，原因为绩效覆盖评价率较低。</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（二）存在的问题</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560" w:lineRule="exact"/>
        <w:ind w:left="0" w:leftChars="0" w:right="0" w:firstLine="640" w:firstLineChars="200"/>
        <w:jc w:val="left"/>
        <w:textAlignment w:val="auto"/>
        <w:rPr>
          <w:rFonts w:hint="eastAsia" w:ascii="宋体" w:hAnsi="宋体" w:eastAsia="宋体" w:cs="宋体"/>
          <w:kern w:val="0"/>
          <w:sz w:val="24"/>
          <w:szCs w:val="24"/>
        </w:rPr>
      </w:pPr>
      <w:r>
        <w:rPr>
          <w:rFonts w:hint="default" w:ascii="仿宋_GB2312" w:hAnsi="宋体" w:eastAsia="仿宋_GB2312" w:cs="仿宋_GB2312"/>
          <w:kern w:val="0"/>
          <w:sz w:val="32"/>
          <w:szCs w:val="32"/>
          <w:lang w:val="en-US" w:eastAsia="zh-CN" w:bidi="ar"/>
        </w:rPr>
        <w:t>1.未更好的将地质灾害防治项目资金做好预算，导致年中申请追加预算。2.由于实际工作需要，导致预算经济科目与实际支出存在差异。</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contextualSpacing/>
        <w:jc w:val="left"/>
        <w:textAlignment w:val="auto"/>
        <w:rPr>
          <w:rFonts w:hint="default" w:ascii="仿宋_GB2312" w:hAnsi="宋体" w:eastAsia="仿宋_GB2312" w:cs="宋体"/>
          <w:kern w:val="0"/>
          <w:sz w:val="32"/>
          <w:szCs w:val="32"/>
          <w:shd w:val="clear" w:fill="FFFFFF"/>
        </w:rPr>
      </w:pPr>
      <w:r>
        <w:rPr>
          <w:rFonts w:hint="default" w:ascii="仿宋_GB2312" w:hAnsi="宋体" w:eastAsia="仿宋_GB2312" w:cs="仿宋_GB2312"/>
          <w:kern w:val="0"/>
          <w:sz w:val="32"/>
          <w:szCs w:val="32"/>
          <w:shd w:val="clear" w:fill="FFFFFF"/>
          <w:lang w:val="en-US" w:eastAsia="zh-CN" w:bidi="ar"/>
        </w:rPr>
        <w:t>（三）改进建议。</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leftChars="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1.加强组织领导，增强预算编制的准确性，提高对预算编制与执行的认识，为绩效评价工作开展创造更好的条件；2.建立长效机制，加强管理提高部门支出的绩效成果，为更好的服务工作发挥最大效益。</w:t>
      </w:r>
    </w:p>
    <w:p>
      <w:pPr>
        <w:pStyle w:val="2"/>
        <w:keepNext w:val="0"/>
        <w:keepLines w:val="0"/>
        <w:widowControl/>
        <w:suppressLineNumbers w:val="0"/>
        <w:snapToGrid w:val="0"/>
        <w:rPr>
          <w:rFonts w:hint="default" w:ascii="仿宋_GB2312" w:hAnsi="宋体" w:eastAsia="仿宋_GB2312" w:cs="宋体"/>
          <w:kern w:val="0"/>
          <w:sz w:val="32"/>
          <w:szCs w:val="32"/>
        </w:rPr>
      </w:pPr>
      <w:r>
        <w:rPr>
          <w:rFonts w:hint="default" w:ascii="仿宋_GB2312" w:hAnsi="宋体" w:eastAsia="仿宋_GB2312" w:cs="宋体"/>
          <w:kern w:val="0"/>
          <w:sz w:val="32"/>
          <w:szCs w:val="32"/>
        </w:rPr>
        <w:t xml:space="preserve"> </w:t>
      </w:r>
    </w:p>
    <w:p>
      <w:pPr>
        <w:keepNext w:val="0"/>
        <w:keepLines w:val="0"/>
        <w:widowControl/>
        <w:suppressLineNumbers w:val="0"/>
        <w:snapToGrid w:val="0"/>
        <w:spacing w:before="0" w:beforeAutospacing="0" w:after="0" w:afterAutospacing="0" w:line="580" w:lineRule="exact"/>
        <w:ind w:left="0" w:right="0" w:firstLine="640" w:firstLineChars="200"/>
        <w:jc w:val="left"/>
        <w:rPr>
          <w:rFonts w:hint="default" w:ascii="仿宋_GB2312" w:hAnsi="宋体" w:eastAsia="仿宋_GB2312" w:cs="仿宋_GB2312"/>
          <w:kern w:val="0"/>
          <w:sz w:val="32"/>
          <w:szCs w:val="32"/>
          <w:lang w:val="en-US" w:eastAsia="zh-CN" w:bidi="ar"/>
        </w:rPr>
      </w:pPr>
      <w:r>
        <w:rPr>
          <w:rFonts w:hint="default" w:ascii="仿宋_GB2312" w:hAnsi="宋体" w:eastAsia="仿宋_GB2312" w:cs="仿宋_GB2312"/>
          <w:kern w:val="0"/>
          <w:sz w:val="32"/>
          <w:szCs w:val="32"/>
          <w:lang w:val="en-US" w:eastAsia="zh-CN" w:bidi="ar"/>
        </w:rPr>
        <w:t xml:space="preserve"> </w:t>
      </w:r>
    </w:p>
    <w:p>
      <w:pPr>
        <w:pStyle w:val="2"/>
        <w:rPr>
          <w:rFonts w:hint="default" w:ascii="仿宋_GB2312" w:hAnsi="宋体" w:eastAsia="仿宋_GB2312" w:cs="仿宋_GB2312"/>
          <w:kern w:val="0"/>
          <w:sz w:val="32"/>
          <w:szCs w:val="32"/>
          <w:lang w:val="en-US" w:eastAsia="zh-CN" w:bidi="ar"/>
        </w:rPr>
      </w:pPr>
    </w:p>
    <w:p>
      <w:pPr>
        <w:pStyle w:val="2"/>
        <w:rPr>
          <w:rFonts w:hint="default" w:ascii="仿宋_GB2312" w:hAnsi="宋体" w:eastAsia="仿宋_GB2312" w:cs="仿宋_GB2312"/>
          <w:kern w:val="0"/>
          <w:sz w:val="32"/>
          <w:szCs w:val="32"/>
          <w:lang w:val="en-US" w:eastAsia="zh-CN" w:bidi="ar"/>
        </w:rPr>
      </w:pPr>
    </w:p>
    <w:p>
      <w:pPr>
        <w:pStyle w:val="2"/>
        <w:rPr>
          <w:rFonts w:hint="default" w:ascii="仿宋_GB2312" w:hAnsi="宋体" w:eastAsia="仿宋_GB2312" w:cs="仿宋_GB2312"/>
          <w:kern w:val="0"/>
          <w:sz w:val="32"/>
          <w:szCs w:val="32"/>
          <w:lang w:val="en-US" w:eastAsia="zh-CN" w:bidi="ar"/>
        </w:rPr>
      </w:pPr>
    </w:p>
    <w:p>
      <w:pPr>
        <w:keepNext w:val="0"/>
        <w:keepLines w:val="0"/>
        <w:widowControl/>
        <w:suppressLineNumbers w:val="0"/>
        <w:snapToGrid w:val="0"/>
        <w:spacing w:before="0" w:beforeAutospacing="0" w:after="0" w:afterAutospacing="0" w:line="580" w:lineRule="exact"/>
        <w:ind w:left="0" w:right="0" w:firstLine="640" w:firstLineChars="200"/>
        <w:jc w:val="left"/>
        <w:rPr>
          <w:rFonts w:hint="default" w:ascii="仿宋_GB2312" w:hAnsi="宋体" w:eastAsia="仿宋_GB2312" w:cs="仿宋_GB2312"/>
          <w:kern w:val="0"/>
          <w:sz w:val="32"/>
          <w:szCs w:val="32"/>
          <w:lang w:val="en-US" w:eastAsia="zh-CN" w:bidi="ar"/>
        </w:rPr>
      </w:pPr>
    </w:p>
    <w:p>
      <w:pPr>
        <w:keepNext w:val="0"/>
        <w:keepLines w:val="0"/>
        <w:widowControl/>
        <w:suppressLineNumbers w:val="0"/>
        <w:snapToGrid w:val="0"/>
        <w:spacing w:before="0" w:beforeAutospacing="0" w:after="0" w:afterAutospacing="0" w:line="580" w:lineRule="exact"/>
        <w:ind w:left="0" w:right="0" w:firstLine="640" w:firstLineChars="200"/>
        <w:jc w:val="left"/>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 xml:space="preserve"> </w:t>
      </w:r>
    </w:p>
    <w:p>
      <w:pPr>
        <w:keepNext w:val="0"/>
        <w:keepLines w:val="0"/>
        <w:widowControl/>
        <w:suppressLineNumbers w:val="0"/>
        <w:snapToGrid w:val="0"/>
        <w:spacing w:before="0" w:beforeAutospacing="0" w:after="0" w:afterAutospacing="0" w:line="580" w:lineRule="exact"/>
        <w:ind w:left="0" w:right="0"/>
        <w:jc w:val="left"/>
        <w:rPr>
          <w:rFonts w:hint="default" w:ascii="仿宋_GB2312" w:eastAsia="仿宋_GB2312" w:cs="仿宋_GB2312"/>
          <w:kern w:val="0"/>
          <w:sz w:val="32"/>
          <w:szCs w:val="32"/>
        </w:rPr>
      </w:pPr>
      <w:r>
        <w:rPr>
          <w:rFonts w:hint="eastAsia" w:ascii="黑体" w:hAnsi="宋体" w:eastAsia="黑体" w:cs="黑体"/>
          <w:kern w:val="0"/>
          <w:sz w:val="32"/>
          <w:szCs w:val="32"/>
          <w:lang w:val="en-US" w:eastAsia="zh-CN" w:bidi="ar"/>
        </w:rPr>
        <w:t>附件2</w:t>
      </w:r>
    </w:p>
    <w:p>
      <w:pPr>
        <w:keepNext w:val="0"/>
        <w:keepLines w:val="0"/>
        <w:widowControl/>
        <w:suppressLineNumbers w:val="0"/>
        <w:snapToGrid w:val="0"/>
        <w:spacing w:before="0" w:beforeAutospacing="0" w:after="0" w:afterAutospacing="0" w:line="580" w:lineRule="exact"/>
        <w:ind w:left="0" w:right="0" w:firstLine="640" w:firstLineChars="200"/>
        <w:jc w:val="left"/>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 xml:space="preserve"> </w:t>
      </w:r>
    </w:p>
    <w:p>
      <w:pPr>
        <w:keepNext w:val="0"/>
        <w:keepLines w:val="0"/>
        <w:widowControl w:val="0"/>
        <w:suppressLineNumbers w:val="0"/>
        <w:autoSpaceDE w:val="0"/>
        <w:autoSpaceDN/>
        <w:snapToGrid w:val="0"/>
        <w:spacing w:before="0" w:beforeAutospacing="0" w:after="0" w:afterAutospacing="0" w:line="560" w:lineRule="exact"/>
        <w:ind w:left="0" w:right="0"/>
        <w:jc w:val="center"/>
        <w:rPr>
          <w:rFonts w:hint="default" w:ascii="方正小标宋简体" w:hAnsi="方正小标宋简体" w:eastAsia="方正小标宋简体" w:cs="方正小标宋简体"/>
          <w:kern w:val="0"/>
          <w:sz w:val="44"/>
          <w:szCs w:val="44"/>
        </w:rPr>
      </w:pPr>
      <w:r>
        <w:rPr>
          <w:rFonts w:hint="default" w:ascii="方正小标宋简体" w:hAnsi="方正小标宋简体" w:eastAsia="方正小标宋简体" w:cs="方正小标宋简体"/>
          <w:kern w:val="0"/>
          <w:sz w:val="44"/>
          <w:szCs w:val="44"/>
          <w:lang w:val="en-US" w:eastAsia="zh-CN" w:bidi="ar"/>
        </w:rPr>
        <w:t>红原县自然资源局</w:t>
      </w:r>
    </w:p>
    <w:p>
      <w:pPr>
        <w:pStyle w:val="20"/>
        <w:keepNext w:val="0"/>
        <w:keepLines w:val="0"/>
        <w:widowControl w:val="0"/>
        <w:suppressLineNumbers w:val="0"/>
        <w:autoSpaceDE w:val="0"/>
        <w:autoSpaceDN/>
        <w:snapToGrid w:val="0"/>
        <w:spacing w:line="560" w:lineRule="exact"/>
        <w:ind w:left="0" w:firstLine="883"/>
        <w:jc w:val="center"/>
        <w:rPr>
          <w:rFonts w:hint="default" w:ascii="仿宋_GB2312" w:hAnsi="宋体" w:eastAsia="仿宋_GB2312" w:cs="宋体"/>
          <w:kern w:val="2"/>
          <w:sz w:val="32"/>
          <w:szCs w:val="32"/>
        </w:rPr>
      </w:pPr>
      <w:r>
        <w:rPr>
          <w:rFonts w:hint="default" w:ascii="方正小标宋简体" w:hAnsi="方正小标宋简体" w:eastAsia="方正小标宋简体" w:cs="方正小标宋简体"/>
          <w:kern w:val="0"/>
          <w:sz w:val="44"/>
          <w:szCs w:val="44"/>
        </w:rPr>
        <w:t>关于</w:t>
      </w:r>
      <w:r>
        <w:rPr>
          <w:rFonts w:hint="default" w:ascii="方正小标宋简体" w:hAnsi="宋体" w:eastAsia="方正小标宋简体" w:cs="宋体"/>
          <w:kern w:val="0"/>
          <w:sz w:val="44"/>
          <w:szCs w:val="44"/>
        </w:rPr>
        <w:t>2020年地质灾害综合防治体系建设</w:t>
      </w:r>
      <w:r>
        <w:rPr>
          <w:rFonts w:hint="default" w:ascii="方正小标宋简体" w:hAnsi="方正小标宋简体" w:eastAsia="方正小标宋简体" w:cs="方正小标宋简体"/>
          <w:kern w:val="0"/>
          <w:sz w:val="44"/>
          <w:szCs w:val="44"/>
        </w:rPr>
        <w:t>项目绩效自评报告</w:t>
      </w:r>
    </w:p>
    <w:p>
      <w:pPr>
        <w:keepNext w:val="0"/>
        <w:keepLines w:val="0"/>
        <w:widowControl/>
        <w:suppressLineNumbers w:val="0"/>
        <w:snapToGrid w:val="0"/>
        <w:spacing w:before="0" w:beforeAutospacing="0" w:after="0" w:afterAutospacing="0" w:line="600" w:lineRule="exact"/>
        <w:ind w:left="0" w:right="0"/>
        <w:jc w:val="left"/>
        <w:rPr>
          <w:rFonts w:hint="eastAsia" w:ascii="宋体" w:hAnsi="宋体" w:eastAsia="宋体" w:cs="宋体"/>
          <w:kern w:val="0"/>
          <w:sz w:val="32"/>
          <w:szCs w:val="32"/>
        </w:rPr>
      </w:pPr>
      <w:r>
        <w:rPr>
          <w:rFonts w:hint="eastAsia" w:ascii="宋体" w:hAnsi="宋体" w:eastAsia="宋体" w:cs="宋体"/>
          <w:kern w:val="0"/>
          <w:sz w:val="32"/>
          <w:szCs w:val="32"/>
          <w:lang w:val="en-US" w:eastAsia="zh-CN" w:bidi="ar"/>
        </w:rPr>
        <w:t xml:space="preserve"> </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一、项目概况</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3" w:firstLineChars="200"/>
        <w:jc w:val="left"/>
        <w:textAlignment w:val="auto"/>
        <w:rPr>
          <w:rFonts w:hint="default" w:ascii="仿宋_GB2312" w:eastAsia="仿宋_GB2312" w:cs="仿宋_GB2312"/>
          <w:b/>
          <w:kern w:val="0"/>
          <w:sz w:val="32"/>
          <w:szCs w:val="32"/>
        </w:rPr>
      </w:pPr>
      <w:r>
        <w:rPr>
          <w:rFonts w:hint="default" w:ascii="仿宋_GB2312" w:hAnsi="宋体" w:eastAsia="仿宋_GB2312" w:cs="仿宋_GB2312"/>
          <w:b/>
          <w:kern w:val="0"/>
          <w:sz w:val="32"/>
          <w:szCs w:val="32"/>
          <w:lang w:val="en-US" w:eastAsia="zh-CN" w:bidi="ar"/>
        </w:rPr>
        <w:t>（一）项目基本情况。</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rightChars="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2019年项目为群测群防专职监测28个地质灾害隐患点。根据《阿坝州财政局关于下达2020年地质灾害综合防治体系建设省级补助资金的通知》（阿州财资环（2020）25号）文件，下达我县10.08万元，用于28个地质灾害隐患点专职监测经费。</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rightChars="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根据任务书要求我局立即与各乡镇签订了《地灾防治工作目标责任书》、《地质灾害监测协议书》，落实了汛期值班制度和灾情速报制度，明确了汛期带班领导和值班人员及28个地质灾害隐患点的监测人员。</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rightChars="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监测员已完成监测任务，遵照州自然资源局下达的任务书执行资金分配，按照3600元/人发放至每个人的银行卡，截止2020年末10.08万元已全部拨付完成。</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3" w:firstLineChars="200"/>
        <w:jc w:val="left"/>
        <w:textAlignment w:val="auto"/>
        <w:rPr>
          <w:rFonts w:hint="default" w:ascii="仿宋_GB2312" w:eastAsia="仿宋_GB2312" w:cs="仿宋_GB2312"/>
          <w:b/>
          <w:kern w:val="0"/>
          <w:sz w:val="32"/>
          <w:szCs w:val="32"/>
        </w:rPr>
      </w:pPr>
      <w:r>
        <w:rPr>
          <w:rFonts w:hint="default" w:ascii="仿宋_GB2312" w:hAnsi="宋体" w:eastAsia="仿宋_GB2312" w:cs="仿宋_GB2312"/>
          <w:b/>
          <w:kern w:val="0"/>
          <w:sz w:val="32"/>
          <w:szCs w:val="32"/>
          <w:lang w:val="en-US" w:eastAsia="zh-CN" w:bidi="ar"/>
        </w:rPr>
        <w:t>（二）项目绩效目标。</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rightChars="0" w:firstLine="643"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b/>
          <w:kern w:val="0"/>
          <w:sz w:val="32"/>
          <w:szCs w:val="32"/>
          <w:lang w:val="en-US" w:eastAsia="zh-CN" w:bidi="ar"/>
        </w:rPr>
        <w:t>一是</w:t>
      </w:r>
      <w:r>
        <w:rPr>
          <w:rFonts w:hint="default" w:ascii="仿宋_GB2312" w:hAnsi="宋体" w:eastAsia="仿宋_GB2312" w:cs="仿宋_GB2312"/>
          <w:kern w:val="0"/>
          <w:sz w:val="32"/>
          <w:szCs w:val="32"/>
          <w:lang w:val="en-US" w:eastAsia="zh-CN" w:bidi="ar"/>
        </w:rPr>
        <w:t>完成28个地质灾害隐患点专职监测工作；</w:t>
      </w:r>
      <w:r>
        <w:rPr>
          <w:rFonts w:hint="default" w:ascii="仿宋_GB2312" w:hAnsi="宋体" w:eastAsia="仿宋_GB2312" w:cs="仿宋_GB2312"/>
          <w:b/>
          <w:kern w:val="0"/>
          <w:sz w:val="32"/>
          <w:szCs w:val="32"/>
          <w:lang w:val="en-US" w:eastAsia="zh-CN" w:bidi="ar"/>
        </w:rPr>
        <w:t>二是</w:t>
      </w:r>
      <w:r>
        <w:rPr>
          <w:rFonts w:hint="default" w:ascii="仿宋_GB2312" w:hAnsi="宋体" w:eastAsia="仿宋_GB2312" w:cs="仿宋_GB2312"/>
          <w:kern w:val="0"/>
          <w:sz w:val="32"/>
          <w:szCs w:val="32"/>
          <w:lang w:val="en-US" w:eastAsia="zh-CN" w:bidi="ar"/>
        </w:rPr>
        <w:t>完成地质灾害隐患点宣传培训和应急演练工作，覆盖率＞90%；</w:t>
      </w:r>
      <w:r>
        <w:rPr>
          <w:rFonts w:hint="default" w:ascii="仿宋_GB2312" w:hAnsi="宋体" w:eastAsia="仿宋_GB2312" w:cs="仿宋_GB2312"/>
          <w:b/>
          <w:kern w:val="0"/>
          <w:sz w:val="32"/>
          <w:szCs w:val="32"/>
          <w:lang w:val="en-US" w:eastAsia="zh-CN" w:bidi="ar"/>
        </w:rPr>
        <w:t>三是</w:t>
      </w:r>
      <w:r>
        <w:rPr>
          <w:rFonts w:hint="default" w:ascii="仿宋_GB2312" w:hAnsi="宋体" w:eastAsia="仿宋_GB2312" w:cs="仿宋_GB2312"/>
          <w:kern w:val="0"/>
          <w:sz w:val="32"/>
          <w:szCs w:val="32"/>
          <w:lang w:val="en-US" w:eastAsia="zh-CN" w:bidi="ar"/>
        </w:rPr>
        <w:t>填报四川省地质环境管理信息系统，填报率100%；</w:t>
      </w:r>
      <w:r>
        <w:rPr>
          <w:rFonts w:hint="default" w:ascii="仿宋_GB2312" w:hAnsi="宋体" w:eastAsia="仿宋_GB2312" w:cs="仿宋_GB2312"/>
          <w:b/>
          <w:kern w:val="0"/>
          <w:sz w:val="32"/>
          <w:szCs w:val="32"/>
          <w:lang w:val="en-US" w:eastAsia="zh-CN" w:bidi="ar"/>
        </w:rPr>
        <w:t>四是</w:t>
      </w:r>
      <w:r>
        <w:rPr>
          <w:rFonts w:hint="default" w:ascii="仿宋_GB2312" w:hAnsi="宋体" w:eastAsia="仿宋_GB2312" w:cs="仿宋_GB2312"/>
          <w:kern w:val="0"/>
          <w:sz w:val="32"/>
          <w:szCs w:val="32"/>
          <w:lang w:val="en-US" w:eastAsia="zh-CN" w:bidi="ar"/>
        </w:rPr>
        <w:t>编制并启动2020年度实施方案，目标完成率100%；</w:t>
      </w:r>
      <w:r>
        <w:rPr>
          <w:rFonts w:hint="default" w:ascii="仿宋_GB2312" w:hAnsi="宋体" w:eastAsia="仿宋_GB2312" w:cs="仿宋_GB2312"/>
          <w:b/>
          <w:kern w:val="0"/>
          <w:sz w:val="32"/>
          <w:szCs w:val="32"/>
          <w:lang w:val="en-US" w:eastAsia="zh-CN" w:bidi="ar"/>
        </w:rPr>
        <w:t>五是</w:t>
      </w:r>
      <w:r>
        <w:rPr>
          <w:rFonts w:hint="default" w:ascii="仿宋_GB2312" w:hAnsi="宋体" w:eastAsia="仿宋_GB2312" w:cs="仿宋_GB2312"/>
          <w:kern w:val="0"/>
          <w:sz w:val="32"/>
          <w:szCs w:val="32"/>
          <w:lang w:val="en-US" w:eastAsia="zh-CN" w:bidi="ar"/>
        </w:rPr>
        <w:t>完成2020年监测记录、值班记录，了解隐患点变化情况。</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3" w:firstLineChars="200"/>
        <w:jc w:val="left"/>
        <w:textAlignment w:val="auto"/>
        <w:rPr>
          <w:rFonts w:hint="default" w:ascii="仿宋_GB2312" w:eastAsia="仿宋_GB2312" w:cs="仿宋_GB2312"/>
          <w:b/>
          <w:kern w:val="0"/>
          <w:sz w:val="32"/>
          <w:szCs w:val="32"/>
        </w:rPr>
      </w:pPr>
      <w:r>
        <w:rPr>
          <w:rFonts w:hint="default" w:ascii="仿宋_GB2312" w:hAnsi="宋体" w:eastAsia="仿宋_GB2312" w:cs="仿宋_GB2312"/>
          <w:b/>
          <w:kern w:val="0"/>
          <w:sz w:val="32"/>
          <w:szCs w:val="32"/>
          <w:lang w:val="en-US" w:eastAsia="zh-CN" w:bidi="ar"/>
        </w:rPr>
        <w:t>（三）项目自评步骤及方法。</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leftChars="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我局通过实地踏勘和地质灾害巡排查对全县地质灾害隐患点进行了逐一核查、销号，确定了28个地质灾害隐患点的专职监测员，并严格按照《四川省地质灾害防治专项资金管理办法》，征求各乡镇意见及我局定期抽查检查督导，对完成了年度监测任务的监测员，按照3600元/人的标准发放至每个监测员。</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二、项目资金申报及使用情况</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3" w:firstLineChars="200"/>
        <w:jc w:val="left"/>
        <w:textAlignment w:val="auto"/>
        <w:rPr>
          <w:rFonts w:hint="default" w:ascii="仿宋_GB2312" w:eastAsia="仿宋_GB2312" w:cs="仿宋_GB2312"/>
          <w:b/>
          <w:kern w:val="0"/>
          <w:sz w:val="32"/>
          <w:szCs w:val="32"/>
        </w:rPr>
      </w:pPr>
      <w:r>
        <w:rPr>
          <w:rFonts w:hint="default" w:ascii="仿宋_GB2312" w:hAnsi="宋体" w:eastAsia="仿宋_GB2312" w:cs="仿宋_GB2312"/>
          <w:b/>
          <w:kern w:val="0"/>
          <w:sz w:val="32"/>
          <w:szCs w:val="32"/>
          <w:lang w:val="en-US" w:eastAsia="zh-CN" w:bidi="ar"/>
        </w:rPr>
        <w:t>（一）项目资金申报及批复情况。</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我局按照每年专业单位技术人员排查成果进行地质灾害隐患点核查和销号，实时更新四川省地质环境管理信息系统，年底我局将隐患点数量上报至州自然资源局，州自然资源局经核实后次年年初下达工作任务。</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3"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b/>
          <w:kern w:val="0"/>
          <w:sz w:val="32"/>
          <w:szCs w:val="32"/>
          <w:lang w:val="en-US" w:eastAsia="zh-CN" w:bidi="ar"/>
        </w:rPr>
        <w:t>（二）资金计划、到位及使用情况。</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2"/>
          <w:sz w:val="32"/>
          <w:szCs w:val="32"/>
        </w:rPr>
      </w:pPr>
      <w:r>
        <w:rPr>
          <w:rFonts w:hint="default" w:ascii="仿宋_GB2312" w:hAnsi="宋体" w:eastAsia="仿宋_GB2312" w:cs="仿宋_GB2312"/>
          <w:kern w:val="0"/>
          <w:sz w:val="32"/>
          <w:szCs w:val="32"/>
          <w:lang w:val="en-US" w:eastAsia="zh-CN" w:bidi="ar"/>
        </w:rPr>
        <w:t>1．资金计划、到位。</w:t>
      </w:r>
      <w:r>
        <w:rPr>
          <w:rFonts w:hint="default" w:ascii="仿宋_GB2312" w:hAnsi="宋体" w:eastAsia="仿宋_GB2312" w:cs="仿宋_GB2312"/>
          <w:kern w:val="2"/>
          <w:sz w:val="32"/>
          <w:szCs w:val="32"/>
          <w:lang w:val="en-US" w:eastAsia="zh-CN" w:bidi="ar"/>
        </w:rPr>
        <w:t>该项目资金来源为2020年地质灾害综合防治体系建设补助资金，文件依据是</w:t>
      </w:r>
      <w:r>
        <w:rPr>
          <w:rFonts w:hint="default" w:ascii="仿宋_GB2312" w:hAnsi="宋体" w:eastAsia="仿宋_GB2312" w:cs="仿宋_GB2312"/>
          <w:kern w:val="0"/>
          <w:sz w:val="32"/>
          <w:szCs w:val="32"/>
          <w:lang w:val="en-US" w:eastAsia="zh-CN" w:bidi="ar"/>
        </w:rPr>
        <w:t>《阿坝州财政局关于下达2020年地质灾害综合防治体系建设省级补助资金的通知》（阿州财资环（2020）25号），</w:t>
      </w:r>
      <w:r>
        <w:rPr>
          <w:rFonts w:hint="default" w:ascii="仿宋_GB2312" w:hAnsi="宋体" w:eastAsia="仿宋_GB2312" w:cs="仿宋_GB2312"/>
          <w:kern w:val="2"/>
          <w:sz w:val="32"/>
          <w:szCs w:val="32"/>
          <w:lang w:val="en-US" w:eastAsia="zh-CN" w:bidi="ar"/>
        </w:rPr>
        <w:t>截止目前已100%全部到位。</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2．资金使用。截止2020年末，下达资金10.08万元，于2020年7月24日支付10.08万元（按照刷经寺镇、壤口乡、龙日乡、江茸乡、查尔玛乡、色地镇、瓦切镇、阿木乡、邛溪镇、安曲镇共计28名监测人员*3600元一户，共计10.08万元）。</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3" w:firstLineChars="200"/>
        <w:jc w:val="left"/>
        <w:textAlignment w:val="auto"/>
        <w:rPr>
          <w:rFonts w:hint="default" w:ascii="仿宋_GB2312" w:eastAsia="仿宋_GB2312" w:cs="仿宋_GB2312"/>
          <w:b/>
          <w:kern w:val="0"/>
          <w:sz w:val="32"/>
          <w:szCs w:val="32"/>
        </w:rPr>
      </w:pPr>
      <w:r>
        <w:rPr>
          <w:rFonts w:hint="default" w:ascii="仿宋_GB2312" w:hAnsi="宋体" w:eastAsia="仿宋_GB2312" w:cs="仿宋_GB2312"/>
          <w:b/>
          <w:kern w:val="0"/>
          <w:sz w:val="32"/>
          <w:szCs w:val="32"/>
          <w:lang w:val="en-US" w:eastAsia="zh-CN" w:bidi="ar"/>
        </w:rPr>
        <w:t>（三）项目财务管理情况。</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经自查，该项目我局完善了相关财务工作制度。一是细化了工作流程，明确了工作任务和责任人，使之有了更强的可操作性和针对性。二是进一步规范了财务工作运行机制。结合工作内容和需要对现有各类自制原始凭证进行统一设计，规范填写。加强</w:t>
      </w:r>
      <w:bookmarkStart w:id="6" w:name="_GoBack"/>
      <w:bookmarkEnd w:id="6"/>
      <w:r>
        <w:rPr>
          <w:rFonts w:hint="default" w:ascii="仿宋_GB2312" w:hAnsi="宋体" w:eastAsia="仿宋_GB2312" w:cs="仿宋_GB2312"/>
          <w:kern w:val="0"/>
          <w:sz w:val="32"/>
          <w:szCs w:val="32"/>
          <w:lang w:val="en-US" w:eastAsia="zh-CN" w:bidi="ar"/>
        </w:rPr>
        <w:t>了凭证审核力度，坚持出纳填制凭证、会计进行初审、财务主管进行最终审核，确保了会计核算和账务处理准确无误。通过进一步强化财务工作制度，使全局财务工作形成了一个相互衔接、相互制约的有机整体，同时财务制度得到进一步完善，财务基础工作得到进一步规范，财务人员自身工作能力得到进一步加强，确保了全局各项工作的顺利开展说明项目财务管理制度建设、机构设置、会计核算及账务处理等相关情况。对照项目资金管理办法，评价项目是否严格执行财务管理制度、财务处理是否及时、会计核算是否规范等。项目实施过程中严格按照项目财务管理制度进行财务管理，专款专用，专人负责，严格对照资金管理办法，不拆借资金，规范会计核算程序。</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三、项目实施及管理情况</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leftChars="0" w:right="0" w:rightChars="0" w:firstLine="643"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b/>
          <w:kern w:val="0"/>
          <w:sz w:val="32"/>
          <w:szCs w:val="32"/>
          <w:lang w:val="en-US" w:eastAsia="zh-CN" w:bidi="ar"/>
        </w:rPr>
        <w:t>一是</w:t>
      </w:r>
      <w:r>
        <w:rPr>
          <w:rFonts w:hint="default" w:ascii="仿宋_GB2312" w:hAnsi="宋体" w:eastAsia="仿宋_GB2312" w:cs="仿宋_GB2312"/>
          <w:kern w:val="0"/>
          <w:sz w:val="32"/>
          <w:szCs w:val="32"/>
          <w:lang w:val="en-US" w:eastAsia="zh-CN" w:bidi="ar"/>
        </w:rPr>
        <w:t>与各乡镇签订了《地灾防治工作目标责任书》，落实了防灾责任；</w:t>
      </w:r>
      <w:r>
        <w:rPr>
          <w:rFonts w:hint="default" w:ascii="仿宋_GB2312" w:hAnsi="宋体" w:eastAsia="仿宋_GB2312" w:cs="仿宋_GB2312"/>
          <w:b/>
          <w:kern w:val="0"/>
          <w:sz w:val="32"/>
          <w:szCs w:val="32"/>
          <w:lang w:val="en-US" w:eastAsia="zh-CN" w:bidi="ar"/>
        </w:rPr>
        <w:t>二是</w:t>
      </w:r>
      <w:r>
        <w:rPr>
          <w:rFonts w:hint="default" w:ascii="仿宋_GB2312" w:hAnsi="宋体" w:eastAsia="仿宋_GB2312" w:cs="仿宋_GB2312"/>
          <w:kern w:val="0"/>
          <w:sz w:val="32"/>
          <w:szCs w:val="32"/>
          <w:lang w:val="en-US" w:eastAsia="zh-CN" w:bidi="ar"/>
        </w:rPr>
        <w:t>与28个隐患点监测人员签订了《地质灾害监测协议书》，落实了工作要求；</w:t>
      </w:r>
      <w:r>
        <w:rPr>
          <w:rFonts w:hint="default" w:ascii="仿宋_GB2312" w:hAnsi="宋体" w:eastAsia="仿宋_GB2312" w:cs="仿宋_GB2312"/>
          <w:b/>
          <w:kern w:val="0"/>
          <w:sz w:val="32"/>
          <w:szCs w:val="32"/>
          <w:lang w:val="en-US" w:eastAsia="zh-CN" w:bidi="ar"/>
        </w:rPr>
        <w:t>三是</w:t>
      </w:r>
      <w:r>
        <w:rPr>
          <w:rFonts w:hint="default" w:ascii="仿宋_GB2312" w:hAnsi="宋体" w:eastAsia="仿宋_GB2312" w:cs="仿宋_GB2312"/>
          <w:b w:val="0"/>
          <w:kern w:val="0"/>
          <w:sz w:val="32"/>
          <w:szCs w:val="32"/>
          <w:lang w:val="en-US" w:eastAsia="zh-CN" w:bidi="ar"/>
        </w:rPr>
        <w:t>落实了汛期值班制度和灾情速报制度；</w:t>
      </w:r>
      <w:r>
        <w:rPr>
          <w:rFonts w:hint="default" w:ascii="仿宋_GB2312" w:hAnsi="宋体" w:eastAsia="仿宋_GB2312" w:cs="仿宋_GB2312"/>
          <w:b/>
          <w:kern w:val="0"/>
          <w:sz w:val="32"/>
          <w:szCs w:val="32"/>
          <w:lang w:val="en-US" w:eastAsia="zh-CN" w:bidi="ar"/>
        </w:rPr>
        <w:t>四是</w:t>
      </w:r>
      <w:r>
        <w:rPr>
          <w:rFonts w:hint="default" w:ascii="仿宋_GB2312" w:hAnsi="宋体" w:eastAsia="仿宋_GB2312" w:cs="仿宋_GB2312"/>
          <w:b w:val="0"/>
          <w:kern w:val="0"/>
          <w:sz w:val="32"/>
          <w:szCs w:val="32"/>
          <w:lang w:val="en-US" w:eastAsia="zh-CN" w:bidi="ar"/>
        </w:rPr>
        <w:t>与气象局签订协议，实时发布气象预警信息到各监测责任人、防灾责任人、监测人员等相关工作人员；</w:t>
      </w:r>
      <w:r>
        <w:rPr>
          <w:rFonts w:hint="default" w:ascii="仿宋_GB2312" w:hAnsi="宋体" w:eastAsia="仿宋_GB2312" w:cs="仿宋_GB2312"/>
          <w:b/>
          <w:kern w:val="0"/>
          <w:sz w:val="32"/>
          <w:szCs w:val="32"/>
          <w:lang w:val="en-US" w:eastAsia="zh-CN" w:bidi="ar"/>
        </w:rPr>
        <w:t>五是</w:t>
      </w:r>
      <w:r>
        <w:rPr>
          <w:rFonts w:hint="default" w:ascii="仿宋_GB2312" w:hAnsi="宋体" w:eastAsia="仿宋_GB2312" w:cs="仿宋_GB2312"/>
          <w:b w:val="0"/>
          <w:kern w:val="0"/>
          <w:sz w:val="32"/>
          <w:szCs w:val="32"/>
          <w:lang w:val="en-US" w:eastAsia="zh-CN" w:bidi="ar"/>
        </w:rPr>
        <w:t>建立微信群，形成信息闭合链，及时了解监测人员巡排查情况，值班值守情况；</w:t>
      </w:r>
      <w:r>
        <w:rPr>
          <w:rFonts w:hint="default" w:ascii="仿宋_GB2312" w:hAnsi="宋体" w:eastAsia="仿宋_GB2312" w:cs="仿宋_GB2312"/>
          <w:b/>
          <w:kern w:val="0"/>
          <w:sz w:val="32"/>
          <w:szCs w:val="32"/>
          <w:lang w:val="en-US" w:eastAsia="zh-CN" w:bidi="ar"/>
        </w:rPr>
        <w:t>六是</w:t>
      </w:r>
      <w:r>
        <w:rPr>
          <w:rFonts w:hint="default" w:ascii="仿宋_GB2312" w:hAnsi="宋体" w:eastAsia="仿宋_GB2312" w:cs="仿宋_GB2312"/>
          <w:kern w:val="0"/>
          <w:sz w:val="32"/>
          <w:szCs w:val="32"/>
          <w:lang w:val="en-US" w:eastAsia="zh-CN" w:bidi="ar"/>
        </w:rPr>
        <w:t>严格按照《四川省地质灾害防治专项资金管理办法》进行资金管理和分配，经考核监测员完成监测任务后，按照3600元/人标准发放。</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 xml:space="preserve">四、项目绩效情况 </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3" w:firstLineChars="200"/>
        <w:jc w:val="left"/>
        <w:textAlignment w:val="auto"/>
        <w:rPr>
          <w:rFonts w:hint="default" w:ascii="仿宋_GB2312" w:eastAsia="仿宋_GB2312" w:cs="仿宋_GB2312"/>
          <w:b/>
          <w:kern w:val="0"/>
          <w:sz w:val="32"/>
          <w:szCs w:val="32"/>
        </w:rPr>
      </w:pPr>
      <w:r>
        <w:rPr>
          <w:rFonts w:hint="default" w:ascii="仿宋_GB2312" w:hAnsi="宋体" w:eastAsia="仿宋_GB2312" w:cs="仿宋_GB2312"/>
          <w:b/>
          <w:kern w:val="0"/>
          <w:sz w:val="32"/>
          <w:szCs w:val="32"/>
          <w:lang w:val="en-US" w:eastAsia="zh-CN" w:bidi="ar"/>
        </w:rPr>
        <w:t>（一）项目完成情况。</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leftChars="0" w:right="0" w:firstLine="643"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b/>
          <w:kern w:val="0"/>
          <w:sz w:val="32"/>
          <w:szCs w:val="32"/>
          <w:lang w:val="en-US" w:eastAsia="zh-CN" w:bidi="ar"/>
        </w:rPr>
        <w:t>一是</w:t>
      </w:r>
      <w:r>
        <w:rPr>
          <w:rFonts w:hint="default" w:ascii="仿宋_GB2312" w:hAnsi="宋体" w:eastAsia="仿宋_GB2312" w:cs="仿宋_GB2312"/>
          <w:kern w:val="0"/>
          <w:sz w:val="32"/>
          <w:szCs w:val="32"/>
          <w:lang w:val="en-US" w:eastAsia="zh-CN" w:bidi="ar"/>
        </w:rPr>
        <w:t>成立了地质灾害防治工作领导小组和红原县地质灾害应急指挥部，健全了机制；</w:t>
      </w:r>
      <w:r>
        <w:rPr>
          <w:rFonts w:hint="default" w:ascii="仿宋_GB2312" w:hAnsi="宋体" w:eastAsia="仿宋_GB2312" w:cs="仿宋_GB2312"/>
          <w:b/>
          <w:kern w:val="0"/>
          <w:sz w:val="32"/>
          <w:szCs w:val="32"/>
          <w:lang w:val="en-US" w:eastAsia="zh-CN" w:bidi="ar"/>
        </w:rPr>
        <w:t>二是</w:t>
      </w:r>
      <w:r>
        <w:rPr>
          <w:rFonts w:hint="default" w:ascii="仿宋_GB2312" w:hAnsi="宋体" w:eastAsia="仿宋_GB2312" w:cs="仿宋_GB2312"/>
          <w:kern w:val="0"/>
          <w:sz w:val="32"/>
          <w:szCs w:val="32"/>
          <w:lang w:val="en-US" w:eastAsia="zh-CN" w:bidi="ar"/>
        </w:rPr>
        <w:t>落实了时落实汛期值班制度和灾情速报制度，明确了汛期带班领导和值班人员及28个地质灾害隐患点的监测人员；</w:t>
      </w:r>
      <w:r>
        <w:rPr>
          <w:rFonts w:hint="default" w:ascii="仿宋_GB2312" w:hAnsi="宋体" w:eastAsia="仿宋_GB2312" w:cs="仿宋_GB2312"/>
          <w:b/>
          <w:kern w:val="0"/>
          <w:sz w:val="32"/>
          <w:szCs w:val="32"/>
          <w:lang w:val="en-US" w:eastAsia="zh-CN" w:bidi="ar"/>
        </w:rPr>
        <w:t>三是</w:t>
      </w:r>
      <w:r>
        <w:rPr>
          <w:rFonts w:hint="default" w:ascii="仿宋_GB2312" w:hAnsi="宋体" w:eastAsia="仿宋_GB2312" w:cs="仿宋_GB2312"/>
          <w:kern w:val="0"/>
          <w:sz w:val="32"/>
          <w:szCs w:val="32"/>
          <w:lang w:val="en-US" w:eastAsia="zh-CN" w:bidi="ar"/>
        </w:rPr>
        <w:t>发放防灾预案表、地质灾害防灾明白卡和避险明白卡共594份，开展了地质灾害防治知识宣传培训20次和应急演练10次，参与人数1300人，发放宣传资料800份；</w:t>
      </w:r>
      <w:r>
        <w:rPr>
          <w:rFonts w:hint="default" w:ascii="仿宋_GB2312" w:hAnsi="宋体" w:eastAsia="仿宋_GB2312" w:cs="仿宋_GB2312"/>
          <w:b/>
          <w:kern w:val="0"/>
          <w:sz w:val="32"/>
          <w:szCs w:val="32"/>
          <w:lang w:val="en-US" w:eastAsia="zh-CN" w:bidi="ar"/>
        </w:rPr>
        <w:t>四是</w:t>
      </w:r>
      <w:r>
        <w:rPr>
          <w:rFonts w:hint="default" w:ascii="仿宋_GB2312" w:hAnsi="宋体" w:eastAsia="仿宋_GB2312" w:cs="仿宋_GB2312"/>
          <w:kern w:val="0"/>
          <w:sz w:val="32"/>
          <w:szCs w:val="32"/>
          <w:lang w:val="en-US" w:eastAsia="zh-CN" w:bidi="ar"/>
        </w:rPr>
        <w:t>我局对所有隐患点逐一进行了统一登记造册，共计开展巡、排查工作单位1个，专业技术人员3名，落实了责任单位、防灾责任人、监测责任人以及专职监测人员；五</w:t>
      </w:r>
      <w:r>
        <w:rPr>
          <w:rFonts w:hint="default" w:ascii="仿宋_GB2312" w:hAnsi="宋体" w:eastAsia="仿宋_GB2312" w:cs="仿宋_GB2312"/>
          <w:b/>
          <w:kern w:val="0"/>
          <w:sz w:val="32"/>
          <w:szCs w:val="32"/>
          <w:lang w:val="en-US" w:eastAsia="zh-CN" w:bidi="ar"/>
        </w:rPr>
        <w:t>是</w:t>
      </w:r>
      <w:r>
        <w:rPr>
          <w:rFonts w:hint="default" w:ascii="仿宋_GB2312" w:hAnsi="宋体" w:eastAsia="仿宋_GB2312" w:cs="仿宋_GB2312"/>
          <w:kern w:val="0"/>
          <w:sz w:val="32"/>
          <w:szCs w:val="32"/>
          <w:lang w:val="en-US" w:eastAsia="zh-CN" w:bidi="ar"/>
        </w:rPr>
        <w:t>对地质环境管理信息系统完成了核实和填报。最大限度保障了我县人民生命财产安全，截止目前我县未发生损害人民群众生命财产安全的地质灾害事故。</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3" w:firstLineChars="200"/>
        <w:jc w:val="left"/>
        <w:textAlignment w:val="auto"/>
        <w:rPr>
          <w:rFonts w:hint="default" w:ascii="仿宋_GB2312" w:eastAsia="仿宋_GB2312" w:cs="仿宋_GB2312"/>
          <w:b/>
          <w:kern w:val="0"/>
          <w:sz w:val="32"/>
          <w:szCs w:val="32"/>
        </w:rPr>
      </w:pPr>
      <w:r>
        <w:rPr>
          <w:rFonts w:hint="default" w:ascii="仿宋_GB2312" w:hAnsi="宋体" w:eastAsia="仿宋_GB2312" w:cs="仿宋_GB2312"/>
          <w:b/>
          <w:kern w:val="0"/>
          <w:sz w:val="32"/>
          <w:szCs w:val="32"/>
          <w:lang w:val="en-US" w:eastAsia="zh-CN" w:bidi="ar"/>
        </w:rPr>
        <w:t>（二）项目效益情况。</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leftChars="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较过去五年地质灾害预警预报能力有所提升，隐患识别能力、防范能力有所提高，四川省地质环境管理系统填报率100%，受益群众满意度95%，方案编制完成率100%，地质灾害隐患点培训/演练率91%,实施区群众参与度88%。</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0" w:firstLineChars="200"/>
        <w:jc w:val="left"/>
        <w:textAlignment w:val="auto"/>
        <w:rPr>
          <w:rFonts w:hint="eastAsia" w:ascii="黑体" w:hAnsi="宋体" w:eastAsia="黑体" w:cs="黑体"/>
          <w:kern w:val="0"/>
          <w:sz w:val="32"/>
          <w:szCs w:val="32"/>
        </w:rPr>
      </w:pPr>
      <w:r>
        <w:rPr>
          <w:rFonts w:hint="eastAsia" w:ascii="黑体" w:hAnsi="宋体" w:eastAsia="黑体" w:cs="黑体"/>
          <w:kern w:val="0"/>
          <w:sz w:val="32"/>
          <w:szCs w:val="32"/>
          <w:lang w:val="en-US" w:eastAsia="zh-CN" w:bidi="ar"/>
        </w:rPr>
        <w:t>五、评价结论及建议</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3" w:firstLineChars="200"/>
        <w:jc w:val="left"/>
        <w:textAlignment w:val="auto"/>
        <w:rPr>
          <w:rFonts w:hint="default" w:ascii="仿宋_GB2312" w:eastAsia="仿宋_GB2312" w:cs="仿宋_GB2312"/>
          <w:b/>
          <w:kern w:val="0"/>
          <w:sz w:val="32"/>
          <w:szCs w:val="32"/>
        </w:rPr>
      </w:pPr>
      <w:r>
        <w:rPr>
          <w:rFonts w:hint="default" w:ascii="仿宋_GB2312" w:hAnsi="宋体" w:eastAsia="仿宋_GB2312" w:cs="仿宋_GB2312"/>
          <w:b/>
          <w:kern w:val="0"/>
          <w:sz w:val="32"/>
          <w:szCs w:val="32"/>
          <w:lang w:val="en-US" w:eastAsia="zh-CN" w:bidi="ar"/>
        </w:rPr>
        <w:t>（一）评价结论。</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leftChars="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全面完成了2020年地质灾害隐患点专职监测工作任务，编制并启动了2020年度实施方案，24小时值班值守制度，灾情速报制度，发放了“两卡一表”，并进行了防灾宣传培训、应急演练和巡排查，做好了抽查记录、巡查记录和排查记录，充分发挥了群测群防专职监测防灾功能。</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3" w:firstLineChars="200"/>
        <w:jc w:val="left"/>
        <w:textAlignment w:val="auto"/>
        <w:rPr>
          <w:rFonts w:hint="default" w:ascii="仿宋_GB2312" w:eastAsia="仿宋_GB2312" w:cs="仿宋_GB2312"/>
          <w:b/>
          <w:kern w:val="0"/>
          <w:sz w:val="32"/>
          <w:szCs w:val="32"/>
        </w:rPr>
      </w:pPr>
      <w:r>
        <w:rPr>
          <w:rFonts w:hint="default" w:ascii="仿宋_GB2312" w:hAnsi="宋体" w:eastAsia="仿宋_GB2312" w:cs="仿宋_GB2312"/>
          <w:b/>
          <w:kern w:val="0"/>
          <w:sz w:val="32"/>
          <w:szCs w:val="32"/>
          <w:lang w:val="en-US" w:eastAsia="zh-CN" w:bidi="ar"/>
        </w:rPr>
        <w:t>（二）存在的问题。</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3" w:firstLineChars="200"/>
        <w:jc w:val="left"/>
        <w:textAlignment w:val="auto"/>
        <w:rPr>
          <w:rFonts w:hint="default" w:ascii="仿宋_GB2312" w:eastAsia="仿宋_GB2312" w:cs="仿宋_GB2312"/>
          <w:kern w:val="0"/>
          <w:sz w:val="32"/>
          <w:szCs w:val="32"/>
        </w:rPr>
      </w:pPr>
      <w:r>
        <w:rPr>
          <w:rFonts w:hint="default" w:ascii="仿宋_GB2312" w:hAnsi="宋体" w:eastAsia="仿宋_GB2312" w:cs="仿宋_GB2312"/>
          <w:b/>
          <w:kern w:val="0"/>
          <w:sz w:val="32"/>
          <w:szCs w:val="32"/>
          <w:lang w:val="en-US" w:eastAsia="zh-CN" w:bidi="ar"/>
        </w:rPr>
        <w:t>一是</w:t>
      </w:r>
      <w:r>
        <w:rPr>
          <w:rFonts w:hint="default" w:ascii="仿宋_GB2312" w:hAnsi="宋体" w:eastAsia="仿宋_GB2312" w:cs="仿宋_GB2312"/>
          <w:kern w:val="0"/>
          <w:sz w:val="32"/>
          <w:szCs w:val="32"/>
          <w:lang w:val="en-US" w:eastAsia="zh-CN" w:bidi="ar"/>
        </w:rPr>
        <w:t>由于红原县地质灾害隐患点较少，而辖区面积大，导致个别防灾责任人责任意识不强，监测员工作不到位，防灾避灾意识薄弱；</w:t>
      </w:r>
      <w:r>
        <w:rPr>
          <w:rFonts w:hint="default" w:ascii="仿宋_GB2312" w:hAnsi="宋体" w:eastAsia="仿宋_GB2312" w:cs="仿宋_GB2312"/>
          <w:b/>
          <w:kern w:val="0"/>
          <w:sz w:val="32"/>
          <w:szCs w:val="32"/>
          <w:lang w:val="en-US" w:eastAsia="zh-CN" w:bidi="ar"/>
        </w:rPr>
        <w:t>二是</w:t>
      </w:r>
      <w:r>
        <w:rPr>
          <w:rFonts w:hint="default" w:ascii="仿宋_GB2312" w:hAnsi="宋体" w:eastAsia="仿宋_GB2312" w:cs="仿宋_GB2312"/>
          <w:kern w:val="0"/>
          <w:sz w:val="32"/>
          <w:szCs w:val="32"/>
          <w:lang w:val="en-US" w:eastAsia="zh-CN" w:bidi="ar"/>
        </w:rPr>
        <w:t xml:space="preserve">地质灾害巡排查工作技术较高，工作任务重，经费少，巡排查工作体现不足。 </w:t>
      </w:r>
    </w:p>
    <w:p>
      <w:pPr>
        <w:keepNext w:val="0"/>
        <w:keepLines w:val="0"/>
        <w:pageBreakBefore w:val="0"/>
        <w:widowControl/>
        <w:suppressLineNumbers w:val="0"/>
        <w:kinsoku/>
        <w:wordWrap/>
        <w:overflowPunct/>
        <w:topLinePunct w:val="0"/>
        <w:autoSpaceDN/>
        <w:bidi w:val="0"/>
        <w:adjustRightInd w:val="0"/>
        <w:snapToGrid w:val="0"/>
        <w:spacing w:before="0" w:beforeAutospacing="0" w:after="0" w:afterAutospacing="0" w:line="560" w:lineRule="exact"/>
        <w:ind w:left="0" w:right="0" w:firstLine="643" w:firstLineChars="200"/>
        <w:jc w:val="left"/>
        <w:textAlignment w:val="auto"/>
        <w:rPr>
          <w:rFonts w:hint="default" w:ascii="仿宋_GB2312" w:eastAsia="仿宋_GB2312" w:cs="仿宋_GB2312"/>
          <w:b/>
          <w:kern w:val="0"/>
          <w:sz w:val="32"/>
          <w:szCs w:val="32"/>
        </w:rPr>
      </w:pPr>
      <w:r>
        <w:rPr>
          <w:rFonts w:hint="default" w:ascii="仿宋_GB2312" w:hAnsi="宋体" w:eastAsia="仿宋_GB2312" w:cs="仿宋_GB2312"/>
          <w:b/>
          <w:kern w:val="0"/>
          <w:sz w:val="32"/>
          <w:szCs w:val="32"/>
          <w:lang w:val="en-US" w:eastAsia="zh-CN" w:bidi="ar"/>
        </w:rPr>
        <w:t>（三）相关建议。</w:t>
      </w:r>
    </w:p>
    <w:p>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3"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b/>
          <w:kern w:val="0"/>
          <w:sz w:val="32"/>
          <w:szCs w:val="32"/>
          <w:lang w:val="en-US" w:eastAsia="zh-CN" w:bidi="ar"/>
        </w:rPr>
        <w:t>一是</w:t>
      </w:r>
      <w:r>
        <w:rPr>
          <w:rFonts w:hint="default" w:ascii="仿宋_GB2312" w:hAnsi="宋体" w:eastAsia="仿宋_GB2312" w:cs="仿宋_GB2312"/>
          <w:kern w:val="0"/>
          <w:sz w:val="32"/>
          <w:szCs w:val="32"/>
          <w:lang w:val="en-US" w:eastAsia="zh-CN" w:bidi="ar"/>
        </w:rPr>
        <w:t>加强宣传培训和应急演练，对各乡镇、学校等重点区域进行宣传培训和应急演练，增强防灾避灾知识，通过应急演练，及时做到各司其职、上下联动，一有险情立即有效有序撤离；</w:t>
      </w:r>
      <w:r>
        <w:rPr>
          <w:rFonts w:hint="default" w:ascii="仿宋_GB2312" w:hAnsi="宋体" w:eastAsia="仿宋_GB2312" w:cs="仿宋_GB2312"/>
          <w:b/>
          <w:kern w:val="0"/>
          <w:sz w:val="32"/>
          <w:szCs w:val="32"/>
          <w:lang w:val="en-US" w:eastAsia="zh-CN" w:bidi="ar"/>
        </w:rPr>
        <w:t>二是</w:t>
      </w:r>
      <w:r>
        <w:rPr>
          <w:rFonts w:hint="default" w:ascii="仿宋_GB2312" w:hAnsi="宋体" w:eastAsia="仿宋_GB2312" w:cs="仿宋_GB2312"/>
          <w:kern w:val="0"/>
          <w:sz w:val="32"/>
          <w:szCs w:val="32"/>
          <w:lang w:val="en-US" w:eastAsia="zh-CN" w:bidi="ar"/>
        </w:rPr>
        <w:t>针对地质灾害防治工作专业性高、技术性强的特征，邀请作业单位进行汛前、汛期、汛后全方位地质灾害巡、排查，做到了全覆盖不留死角，及时记录隐患点变化；</w:t>
      </w:r>
      <w:r>
        <w:rPr>
          <w:rFonts w:hint="default" w:ascii="仿宋_GB2312" w:hAnsi="宋体" w:eastAsia="仿宋_GB2312" w:cs="仿宋_GB2312"/>
          <w:b/>
          <w:kern w:val="0"/>
          <w:sz w:val="32"/>
          <w:szCs w:val="32"/>
          <w:lang w:val="en-US" w:eastAsia="zh-CN" w:bidi="ar"/>
        </w:rPr>
        <w:t>三是</w:t>
      </w:r>
      <w:r>
        <w:rPr>
          <w:rFonts w:hint="default" w:ascii="仿宋_GB2312" w:hAnsi="宋体" w:eastAsia="仿宋_GB2312" w:cs="仿宋_GB2312"/>
          <w:kern w:val="0"/>
          <w:sz w:val="32"/>
          <w:szCs w:val="32"/>
          <w:lang w:val="en-US" w:eastAsia="zh-CN" w:bidi="ar"/>
        </w:rPr>
        <w:t>积极申报资金，做好各类防灾避灾工作。</w:t>
      </w:r>
    </w:p>
    <w:p>
      <w:pPr>
        <w:keepNext w:val="0"/>
        <w:keepLines w:val="0"/>
        <w:pageBreakBefore w:val="0"/>
        <w:widowControl/>
        <w:suppressLineNumbers w:val="0"/>
        <w:kinsoku/>
        <w:wordWrap/>
        <w:overflowPunct/>
        <w:topLinePunct w:val="0"/>
        <w:autoSpaceDN/>
        <w:bidi w:val="0"/>
        <w:snapToGrid w:val="0"/>
        <w:spacing w:before="0" w:beforeAutospacing="0" w:after="0" w:afterAutospacing="0" w:line="560" w:lineRule="exact"/>
        <w:ind w:left="0" w:right="0" w:firstLine="960" w:firstLineChars="200"/>
        <w:jc w:val="center"/>
        <w:textAlignment w:val="auto"/>
        <w:outlineLvl w:val="9"/>
        <w:rPr>
          <w:rFonts w:hint="eastAsia" w:ascii="黑体" w:hAnsi="宋体" w:eastAsia="黑体" w:cs="宋体"/>
          <w:b w:val="0"/>
          <w:kern w:val="44"/>
          <w:sz w:val="48"/>
          <w:szCs w:val="48"/>
        </w:rPr>
      </w:pPr>
      <w:r>
        <w:rPr>
          <w:rStyle w:val="17"/>
          <w:rFonts w:hint="eastAsia" w:ascii="黑体" w:hAnsi="宋体" w:eastAsia="黑体" w:cs="宋体"/>
          <w:b w:val="0"/>
          <w:kern w:val="44"/>
          <w:sz w:val="48"/>
          <w:szCs w:val="48"/>
          <w:lang w:val="en-US" w:eastAsia="zh-CN" w:bidi="ar"/>
        </w:rPr>
        <w:t xml:space="preserve"> </w:t>
      </w:r>
    </w:p>
    <w:p>
      <w:pPr>
        <w:keepNext w:val="0"/>
        <w:keepLines w:val="0"/>
        <w:widowControl/>
        <w:suppressLineNumbers w:val="0"/>
        <w:snapToGrid w:val="0"/>
        <w:spacing w:before="0" w:beforeAutospacing="0" w:after="0" w:afterAutospacing="0" w:line="600" w:lineRule="exact"/>
        <w:ind w:left="0" w:right="0"/>
        <w:jc w:val="center"/>
        <w:outlineLvl w:val="0"/>
        <w:rPr>
          <w:rFonts w:hint="eastAsia" w:ascii="黑体" w:hAnsi="宋体" w:eastAsia="黑体" w:cs="宋体"/>
          <w:b w:val="0"/>
          <w:kern w:val="44"/>
          <w:sz w:val="48"/>
          <w:szCs w:val="48"/>
        </w:rPr>
      </w:pPr>
      <w:bookmarkStart w:id="5" w:name="_Toc19276"/>
      <w:r>
        <w:rPr>
          <w:rFonts w:hint="eastAsia" w:ascii="黑体" w:hAnsi="宋体" w:eastAsia="黑体" w:cs="黑体"/>
          <w:kern w:val="0"/>
          <w:sz w:val="44"/>
          <w:szCs w:val="44"/>
          <w:lang w:val="en-US" w:eastAsia="zh-CN" w:bidi="ar"/>
        </w:rPr>
        <w:t>第</w:t>
      </w:r>
      <w:r>
        <w:rPr>
          <w:rStyle w:val="17"/>
          <w:rFonts w:hint="eastAsia" w:ascii="黑体" w:hAnsi="宋体" w:eastAsia="黑体" w:cs="黑体"/>
          <w:b w:val="0"/>
          <w:kern w:val="44"/>
          <w:sz w:val="48"/>
          <w:szCs w:val="48"/>
          <w:lang w:val="en-US" w:eastAsia="zh-CN" w:bidi="ar"/>
        </w:rPr>
        <w:t>五部分</w:t>
      </w:r>
      <w:r>
        <w:rPr>
          <w:rStyle w:val="17"/>
          <w:rFonts w:hint="eastAsia" w:ascii="黑体" w:hAnsi="宋体" w:eastAsia="黑体" w:cs="宋体"/>
          <w:b w:val="0"/>
          <w:kern w:val="44"/>
          <w:sz w:val="48"/>
          <w:szCs w:val="48"/>
          <w:lang w:val="en-US" w:eastAsia="zh-CN" w:bidi="ar"/>
        </w:rPr>
        <w:t xml:space="preserve"> </w:t>
      </w:r>
      <w:r>
        <w:rPr>
          <w:rStyle w:val="17"/>
          <w:rFonts w:hint="eastAsia" w:ascii="黑体" w:hAnsi="宋体" w:eastAsia="黑体" w:cs="黑体"/>
          <w:b w:val="0"/>
          <w:kern w:val="44"/>
          <w:sz w:val="48"/>
          <w:szCs w:val="48"/>
          <w:lang w:val="en-US" w:eastAsia="zh-CN" w:bidi="ar"/>
        </w:rPr>
        <w:t>附表</w:t>
      </w:r>
      <w:bookmarkEnd w:id="5"/>
    </w:p>
    <w:p>
      <w:pPr>
        <w:keepNext w:val="0"/>
        <w:keepLines w:val="0"/>
        <w:widowControl w:val="0"/>
        <w:suppressLineNumbers w:val="0"/>
        <w:autoSpaceDE w:val="0"/>
        <w:autoSpaceDN/>
        <w:snapToGrid w:val="0"/>
        <w:spacing w:before="0" w:beforeAutospacing="0" w:after="0" w:afterAutospacing="0" w:line="560" w:lineRule="exact"/>
        <w:ind w:left="0" w:right="0" w:firstLine="640" w:firstLineChars="200"/>
        <w:jc w:val="both"/>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 xml:space="preserve"> </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一、收入支出决算总表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二、收入决算表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三、支出决算表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四、财政拨款收入支出决算总表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五、财政拨款支出决算明细表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六、一般公共预算财政拨款支出决算表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七、一般公共预算财政拨款支出决算明细表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八、一般公共预算财政拨款基本支出决算表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九、一般公共预算财政拨款项目支出决算表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十、一般公共预算财政拨款“三公”经费支出决算表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十一、政府性基金预算财政拨款收入支出决算表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十二、政府性基金预算财政拨款“三公”经费支出决算表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十三、国有资本经营预算财政拨款收入支出决算表</w:t>
      </w:r>
    </w:p>
    <w:p>
      <w:pPr>
        <w:keepNext w:val="0"/>
        <w:keepLines w:val="0"/>
        <w:pageBreakBefore w:val="0"/>
        <w:widowControl w:val="0"/>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both"/>
        <w:textAlignment w:val="auto"/>
        <w:rPr>
          <w:rFonts w:hint="default" w:ascii="仿宋_GB2312" w:eastAsia="仿宋_GB2312" w:cs="仿宋_GB2312"/>
          <w:kern w:val="0"/>
          <w:sz w:val="32"/>
          <w:szCs w:val="32"/>
        </w:rPr>
      </w:pPr>
      <w:r>
        <w:rPr>
          <w:rFonts w:hint="default" w:ascii="仿宋_GB2312" w:hAnsi="宋体" w:eastAsia="仿宋_GB2312" w:cs="仿宋_GB2312"/>
          <w:kern w:val="0"/>
          <w:sz w:val="32"/>
          <w:szCs w:val="32"/>
          <w:lang w:val="en-US" w:eastAsia="zh-CN" w:bidi="ar"/>
        </w:rPr>
        <w:t>十四、国有资本经营预算财政拨款支出决算表</w:t>
      </w:r>
    </w:p>
    <w:p>
      <w:pPr>
        <w:pStyle w:val="12"/>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560" w:lineRule="exact"/>
        <w:ind w:left="0" w:right="0" w:firstLine="480" w:firstLineChars="200"/>
        <w:jc w:val="left"/>
        <w:textAlignment w:val="auto"/>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560" w:lineRule="exact"/>
        <w:ind w:left="0" w:right="0" w:firstLine="480" w:firstLineChars="200"/>
        <w:jc w:val="left"/>
        <w:textAlignment w:val="auto"/>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560" w:lineRule="exact"/>
        <w:ind w:left="0" w:right="0" w:firstLine="480" w:firstLineChars="200"/>
        <w:jc w:val="left"/>
        <w:textAlignment w:val="auto"/>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560" w:lineRule="exact"/>
        <w:ind w:left="0" w:right="0" w:firstLine="480" w:firstLineChars="200"/>
        <w:jc w:val="left"/>
        <w:textAlignment w:val="auto"/>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560" w:lineRule="exact"/>
        <w:ind w:left="0" w:right="0" w:firstLine="480" w:firstLineChars="200"/>
        <w:jc w:val="left"/>
        <w:textAlignment w:val="auto"/>
        <w:rPr>
          <w:rFonts w:hint="eastAsia" w:ascii="宋体" w:hAnsi="宋体" w:eastAsia="宋体" w:cs="宋体"/>
          <w:b w:val="0"/>
          <w:kern w:val="0"/>
          <w:sz w:val="24"/>
          <w:szCs w:val="24"/>
        </w:rPr>
      </w:pPr>
      <w:r>
        <w:rPr>
          <w:rFonts w:hint="eastAsia" w:ascii="宋体" w:hAnsi="宋体" w:eastAsia="宋体" w:cs="宋体"/>
          <w:b w:val="0"/>
          <w:kern w:val="0"/>
          <w:sz w:val="24"/>
          <w:szCs w:val="24"/>
          <w:shd w:val="clear" w:fill="FFFFFF"/>
          <w:lang w:val="en-US" w:eastAsia="zh-CN" w:bidi="ar"/>
        </w:rPr>
        <w:t xml:space="preserve"> </w:t>
      </w:r>
    </w:p>
    <w:p>
      <w:pPr>
        <w:pStyle w:val="12"/>
        <w:keepNext w:val="0"/>
        <w:keepLines w:val="0"/>
        <w:widowControl/>
        <w:suppressLineNumbers w:val="0"/>
        <w:snapToGrid w:val="0"/>
        <w:spacing w:before="0" w:beforeAutospacing="0" w:after="0" w:afterAutospacing="1"/>
        <w:ind w:left="0" w:right="0"/>
        <w:jc w:val="left"/>
      </w:pPr>
      <w:r>
        <w:rPr>
          <w:rFonts w:hint="eastAsia" w:ascii="宋体" w:hAnsi="宋体" w:eastAsia="宋体" w:cs="宋体"/>
          <w:b w:val="0"/>
          <w:kern w:val="0"/>
          <w:sz w:val="24"/>
          <w:szCs w:val="24"/>
          <w:shd w:val="clear" w:fill="FFFFFF"/>
          <w:lang w:val="en-US" w:eastAsia="zh-CN" w:bidi="ar"/>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FangSong_GB2312">
    <w:altName w:val="仿宋_GB2312"/>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4F0E3A"/>
    <w:multiLevelType w:val="multilevel"/>
    <w:tmpl w:val="814F0E3A"/>
    <w:lvl w:ilvl="0" w:tentative="0">
      <w:start w:val="2"/>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A7CAC312"/>
    <w:multiLevelType w:val="multilevel"/>
    <w:tmpl w:val="A7CAC312"/>
    <w:lvl w:ilvl="0" w:tentative="0">
      <w:start w:val="2"/>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AD78FFB0"/>
    <w:multiLevelType w:val="multilevel"/>
    <w:tmpl w:val="AD78FFB0"/>
    <w:lvl w:ilvl="0" w:tentative="0">
      <w:start w:val="2"/>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
    <w:nsid w:val="C8C6923B"/>
    <w:multiLevelType w:val="multilevel"/>
    <w:tmpl w:val="C8C6923B"/>
    <w:lvl w:ilvl="0" w:tentative="0">
      <w:start w:val="8"/>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
    <w:nsid w:val="D961EC4E"/>
    <w:multiLevelType w:val="multilevel"/>
    <w:tmpl w:val="D961EC4E"/>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
    <w:nsid w:val="EA6CA107"/>
    <w:multiLevelType w:val="multilevel"/>
    <w:tmpl w:val="EA6CA107"/>
    <w:lvl w:ilvl="0" w:tentative="0">
      <w:start w:val="2"/>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6">
    <w:nsid w:val="2BFB7372"/>
    <w:multiLevelType w:val="multilevel"/>
    <w:tmpl w:val="2BFB7372"/>
    <w:lvl w:ilvl="0" w:tentative="0">
      <w:start w:val="2"/>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7">
    <w:nsid w:val="489BCD9D"/>
    <w:multiLevelType w:val="multilevel"/>
    <w:tmpl w:val="489BCD9D"/>
    <w:lvl w:ilvl="0" w:tentative="0">
      <w:start w:val="3"/>
      <w:numFmt w:val="chineseCounting"/>
      <w:suff w:val="space"/>
      <w:lvlText w:val="第%1部分"/>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5"/>
  </w:num>
  <w:num w:numId="2">
    <w:abstractNumId w:val="6"/>
  </w:num>
  <w:num w:numId="3">
    <w:abstractNumId w:val="3"/>
  </w:num>
  <w:num w:numId="4">
    <w:abstractNumId w:val="2"/>
  </w:num>
  <w:num w:numId="5">
    <w:abstractNumId w:val="4"/>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10351E"/>
    <w:rsid w:val="15156A91"/>
    <w:rsid w:val="174D3668"/>
    <w:rsid w:val="1DE22B5C"/>
    <w:rsid w:val="21100FC8"/>
    <w:rsid w:val="281B5468"/>
    <w:rsid w:val="2B421C88"/>
    <w:rsid w:val="2EDE4DD2"/>
    <w:rsid w:val="31024073"/>
    <w:rsid w:val="35640213"/>
    <w:rsid w:val="501B3ED6"/>
    <w:rsid w:val="51BB1E5A"/>
    <w:rsid w:val="5A9F0A4E"/>
    <w:rsid w:val="7D225155"/>
    <w:rsid w:val="7E9D52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4">
    <w:name w:val="Default Paragraph Font"/>
    <w:semiHidden/>
    <w:uiPriority w:val="0"/>
  </w:style>
  <w:style w:type="table" w:default="1" w:styleId="13">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qFormat/>
    <w:uiPriority w:val="0"/>
    <w:pPr>
      <w:spacing w:before="0" w:beforeAutospacing="0" w:after="0" w:afterAutospacing="0"/>
      <w:ind w:left="0" w:right="0" w:firstLine="420" w:firstLineChars="200"/>
      <w:jc w:val="left"/>
    </w:pPr>
    <w:rPr>
      <w:rFonts w:hint="default" w:ascii="仿宋_GB2312" w:hAnsi="宋体" w:eastAsia="仿宋_GB2312" w:cs="宋体"/>
      <w:color w:val="000000"/>
      <w:kern w:val="0"/>
      <w:sz w:val="32"/>
      <w:szCs w:val="32"/>
      <w:lang w:val="en-US" w:eastAsia="zh-CN" w:bidi="ar"/>
    </w:rPr>
  </w:style>
  <w:style w:type="paragraph" w:styleId="3">
    <w:name w:val="Body Text Indent"/>
    <w:basedOn w:val="1"/>
    <w:unhideWhenUsed/>
    <w:qFormat/>
    <w:uiPriority w:val="99"/>
    <w:pPr>
      <w:ind w:firstLine="496" w:firstLineChars="155"/>
    </w:pPr>
    <w:rPr>
      <w:rFonts w:ascii="FangSong_GB2312" w:hAnsi="宋体" w:eastAsia="FangSong_GB2312"/>
      <w:color w:val="000000"/>
      <w:sz w:val="32"/>
      <w:szCs w:val="20"/>
    </w:rPr>
  </w:style>
  <w:style w:type="paragraph" w:styleId="5">
    <w:name w:val="index 5"/>
    <w:basedOn w:val="1"/>
    <w:next w:val="1"/>
    <w:qFormat/>
    <w:uiPriority w:val="0"/>
    <w:pPr>
      <w:ind w:left="1680"/>
      <w:jc w:val="left"/>
    </w:pPr>
    <w:rPr>
      <w:rFonts w:hint="eastAsia" w:ascii="宋体" w:hAnsi="宋体" w:eastAsia="宋体" w:cs="宋体"/>
      <w:kern w:val="0"/>
      <w:sz w:val="24"/>
      <w:szCs w:val="24"/>
      <w:lang w:val="en-US" w:eastAsia="zh-CN" w:bidi="ar"/>
    </w:rPr>
  </w:style>
  <w:style w:type="paragraph" w:styleId="6">
    <w:name w:val="Body Text"/>
    <w:basedOn w:val="1"/>
    <w:qFormat/>
    <w:uiPriority w:val="0"/>
    <w:pPr>
      <w:keepNext w:val="0"/>
      <w:keepLines w:val="0"/>
      <w:widowControl/>
      <w:suppressLineNumbers w:val="0"/>
      <w:spacing w:before="0" w:beforeAutospacing="1" w:after="0" w:afterAutospacing="1"/>
      <w:jc w:val="left"/>
    </w:pPr>
    <w:rPr>
      <w:rFonts w:hint="eastAsia" w:ascii="宋体" w:hAnsi="宋体" w:eastAsia="宋体" w:cs="宋体"/>
      <w:kern w:val="0"/>
      <w:sz w:val="24"/>
      <w:szCs w:val="24"/>
      <w:lang w:val="en-US" w:eastAsia="zh-CN" w:bidi="ar"/>
    </w:rPr>
  </w:style>
  <w:style w:type="paragraph" w:styleId="7">
    <w:name w:val="Plain Text"/>
    <w:basedOn w:val="1"/>
    <w:uiPriority w:val="0"/>
    <w:pPr>
      <w:spacing w:before="0" w:beforeAutospacing="0" w:after="0" w:afterAutospacing="0"/>
      <w:ind w:left="0" w:right="0"/>
      <w:jc w:val="left"/>
    </w:pPr>
    <w:rPr>
      <w:rFonts w:hint="eastAsia" w:ascii="宋体" w:hAnsi="宋体" w:eastAsia="宋体" w:cs="Courier New"/>
      <w:kern w:val="0"/>
      <w:sz w:val="24"/>
      <w:szCs w:val="24"/>
      <w:lang w:val="en-US" w:eastAsia="zh-CN" w:bidi="ar"/>
    </w:rPr>
  </w:style>
  <w:style w:type="paragraph" w:styleId="8">
    <w:name w:val="footer"/>
    <w:basedOn w:val="1"/>
    <w:uiPriority w:val="0"/>
    <w:pPr>
      <w:tabs>
        <w:tab w:val="center" w:pos="4153"/>
        <w:tab w:val="right" w:pos="8306"/>
      </w:tabs>
      <w:snapToGrid w:val="0"/>
      <w:jc w:val="left"/>
    </w:pPr>
    <w:rPr>
      <w:sz w:val="18"/>
    </w:rPr>
  </w:style>
  <w:style w:type="paragraph" w:styleId="9">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0" w:beforeAutospacing="1" w:after="0" w:afterAutospacing="1"/>
      <w:ind w:left="0" w:right="0"/>
      <w:jc w:val="left"/>
    </w:pPr>
    <w:rPr>
      <w:rFonts w:hint="default" w:ascii="宋体" w:hAnsi="宋体" w:eastAsia="宋体" w:cs="宋体"/>
      <w:kern w:val="0"/>
      <w:sz w:val="24"/>
      <w:lang w:val="en-US" w:eastAsia="zh-CN" w:bidi="ar"/>
    </w:r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character" w:customStyle="1" w:styleId="16">
    <w:name w:val="15"/>
    <w:basedOn w:val="14"/>
    <w:qFormat/>
    <w:uiPriority w:val="0"/>
    <w:rPr>
      <w:rFonts w:hint="eastAsia" w:ascii="宋体" w:hAnsi="宋体" w:eastAsia="宋体" w:cs="宋体"/>
      <w:b/>
      <w:sz w:val="36"/>
      <w:szCs w:val="36"/>
    </w:rPr>
  </w:style>
  <w:style w:type="character" w:customStyle="1" w:styleId="17">
    <w:name w:val="17"/>
    <w:basedOn w:val="14"/>
    <w:qFormat/>
    <w:uiPriority w:val="0"/>
    <w:rPr>
      <w:rFonts w:hint="eastAsia" w:ascii="宋体" w:hAnsi="宋体" w:eastAsia="宋体" w:cs="宋体"/>
      <w:b/>
      <w:kern w:val="44"/>
      <w:sz w:val="48"/>
      <w:szCs w:val="48"/>
    </w:rPr>
  </w:style>
  <w:style w:type="character" w:customStyle="1" w:styleId="18">
    <w:name w:val="10"/>
    <w:basedOn w:val="14"/>
    <w:qFormat/>
    <w:uiPriority w:val="0"/>
    <w:rPr>
      <w:rFonts w:hint="default" w:ascii="Times New Roman" w:hAnsi="Times New Roman" w:cs="Times New Roman"/>
    </w:rPr>
  </w:style>
  <w:style w:type="character" w:customStyle="1" w:styleId="19">
    <w:name w:val="16"/>
    <w:basedOn w:val="14"/>
    <w:uiPriority w:val="0"/>
    <w:rPr>
      <w:rFonts w:hint="default" w:ascii="Times New Roman" w:hAnsi="Times New Roman" w:cs="Times New Roman"/>
      <w:b/>
    </w:rPr>
  </w:style>
  <w:style w:type="paragraph" w:customStyle="1" w:styleId="20">
    <w:name w:val="四号正文"/>
    <w:basedOn w:val="1"/>
    <w:qFormat/>
    <w:uiPriority w:val="0"/>
    <w:pPr>
      <w:spacing w:before="0" w:beforeAutospacing="0" w:after="0" w:afterAutospacing="0" w:line="360" w:lineRule="auto"/>
      <w:ind w:left="0" w:right="0"/>
      <w:jc w:val="left"/>
    </w:pPr>
    <w:rPr>
      <w:rFonts w:hint="default" w:ascii="??" w:hAnsi="??" w:eastAsia="宋体" w:cs="宋体"/>
      <w:color w:val="000000"/>
      <w:kern w:val="0"/>
      <w:sz w:val="28"/>
      <w:szCs w:val="28"/>
      <w:lang w:val="en-US" w:eastAsia="zh-CN" w:bidi="ar"/>
    </w:rPr>
  </w:style>
  <w:style w:type="paragraph" w:customStyle="1" w:styleId="21">
    <w:name w:val="Default"/>
    <w:basedOn w:val="1"/>
    <w:qFormat/>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eastAsia" w:ascii="仿宋" w:hAnsi="Calibri" w:eastAsia="仿宋" w:cs="仿宋"/>
      <w:color w:val="000000"/>
      <w:kern w:val="0"/>
      <w:sz w:val="24"/>
      <w:szCs w:val="24"/>
      <w:lang w:val="en-US" w:eastAsia="zh-CN" w:bidi="ar"/>
    </w:rPr>
  </w:style>
  <w:style w:type="paragraph" w:customStyle="1" w:styleId="22">
    <w:name w:val="WPSOffice手动目录 1"/>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bgs</cp:lastModifiedBy>
  <cp:lastPrinted>2021-12-01T03:27:00Z</cp:lastPrinted>
  <dcterms:modified xsi:type="dcterms:W3CDTF">2021-12-01T06:47:36Z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035464E06E3B4C6DAA4AD3F042230C02</vt:lpwstr>
  </property>
</Properties>
</file>