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5EB10">
      <w:pPr>
        <w:pStyle w:val="6"/>
        <w:bidi w:val="0"/>
        <w:rPr>
          <w:rFonts w:hint="eastAsia"/>
        </w:rPr>
      </w:pPr>
    </w:p>
    <w:p w14:paraId="39161D99">
      <w:pPr>
        <w:pStyle w:val="6"/>
        <w:bidi w:val="0"/>
        <w:rPr>
          <w:rFonts w:hint="eastAsia"/>
        </w:rPr>
      </w:pPr>
    </w:p>
    <w:p w14:paraId="66196D1E">
      <w:pPr>
        <w:widowControl w:val="0"/>
        <w:adjustRightInd w:val="0"/>
        <w:snapToGrid w:val="0"/>
        <w:spacing w:line="360" w:lineRule="auto"/>
        <w:jc w:val="center"/>
        <w:outlineLvl w:val="0"/>
        <w:rPr>
          <w:rFonts w:hint="eastAsia" w:ascii="黑体" w:hAnsi="黑体" w:eastAsia="黑体" w:cs="Times New Roman"/>
          <w:color w:val="000000"/>
          <w:kern w:val="2"/>
          <w:sz w:val="72"/>
          <w:szCs w:val="72"/>
        </w:rPr>
      </w:pPr>
      <w:bookmarkStart w:id="0" w:name="_Toc17074"/>
      <w:bookmarkStart w:id="1" w:name="_Toc0"/>
      <w:bookmarkStart w:id="2" w:name="_Toc11398"/>
      <w:r>
        <w:rPr>
          <w:rFonts w:hint="eastAsia" w:ascii="黑体" w:hAnsi="黑体" w:eastAsia="黑体" w:cs="Times New Roman"/>
          <w:color w:val="000000"/>
          <w:kern w:val="2"/>
          <w:sz w:val="72"/>
          <w:szCs w:val="72"/>
        </w:rPr>
        <w:t>2020年度</w:t>
      </w:r>
      <w:bookmarkEnd w:id="0"/>
      <w:bookmarkEnd w:id="1"/>
      <w:bookmarkEnd w:id="2"/>
    </w:p>
    <w:p w14:paraId="4699111E">
      <w:pPr>
        <w:widowControl w:val="0"/>
        <w:adjustRightInd w:val="0"/>
        <w:snapToGrid w:val="0"/>
        <w:spacing w:line="360" w:lineRule="auto"/>
        <w:jc w:val="center"/>
        <w:outlineLvl w:val="0"/>
        <w:rPr>
          <w:rFonts w:hint="eastAsia" w:ascii="黑体" w:hAnsi="黑体" w:eastAsia="黑体" w:cs="Times New Roman"/>
          <w:color w:val="000000"/>
          <w:kern w:val="2"/>
          <w:sz w:val="72"/>
          <w:szCs w:val="72"/>
        </w:rPr>
      </w:pPr>
      <w:bookmarkStart w:id="3" w:name="_Toc20391"/>
      <w:bookmarkStart w:id="4" w:name="_Toc9133"/>
      <w:bookmarkStart w:id="5" w:name="_Toc5978"/>
      <w:r>
        <w:rPr>
          <w:rFonts w:hint="eastAsia" w:ascii="黑体" w:hAnsi="黑体" w:eastAsia="黑体" w:cs="Times New Roman"/>
          <w:color w:val="000000"/>
          <w:kern w:val="2"/>
          <w:sz w:val="72"/>
          <w:szCs w:val="72"/>
        </w:rPr>
        <w:t>阿坝州红原县查尔玛乡</w:t>
      </w:r>
      <w:bookmarkEnd w:id="3"/>
      <w:bookmarkEnd w:id="4"/>
      <w:bookmarkEnd w:id="5"/>
    </w:p>
    <w:p w14:paraId="7EE71E5F">
      <w:pPr>
        <w:widowControl w:val="0"/>
        <w:adjustRightInd w:val="0"/>
        <w:snapToGrid w:val="0"/>
        <w:spacing w:line="360" w:lineRule="auto"/>
        <w:jc w:val="center"/>
        <w:outlineLvl w:val="0"/>
        <w:rPr>
          <w:rFonts w:hint="eastAsia" w:ascii="黑体" w:hAnsi="黑体" w:eastAsia="黑体" w:cs="Times New Roman"/>
          <w:color w:val="000000"/>
          <w:kern w:val="2"/>
          <w:sz w:val="72"/>
          <w:szCs w:val="72"/>
        </w:rPr>
      </w:pPr>
      <w:bookmarkStart w:id="6" w:name="_Toc30916"/>
      <w:bookmarkStart w:id="7" w:name="_Toc2765"/>
      <w:bookmarkStart w:id="8" w:name="_Toc26605"/>
      <w:r>
        <w:rPr>
          <w:rFonts w:hint="eastAsia" w:ascii="黑体" w:hAnsi="黑体" w:eastAsia="黑体" w:cs="Times New Roman"/>
          <w:color w:val="000000"/>
          <w:kern w:val="2"/>
          <w:sz w:val="72"/>
          <w:szCs w:val="72"/>
        </w:rPr>
        <w:t>人民政府部门决算</w:t>
      </w:r>
      <w:bookmarkEnd w:id="6"/>
      <w:bookmarkEnd w:id="7"/>
      <w:bookmarkEnd w:id="8"/>
    </w:p>
    <w:p w14:paraId="1F7E9DA9">
      <w:pPr>
        <w:pStyle w:val="6"/>
        <w:bidi w:val="0"/>
        <w:jc w:val="center"/>
        <w:rPr>
          <w:rFonts w:hint="eastAsia" w:ascii="方正小标宋简体" w:hAnsi="方正小标宋简体" w:eastAsia="方正小标宋简体" w:cs="方正小标宋简体"/>
          <w:sz w:val="72"/>
          <w:szCs w:val="72"/>
        </w:rPr>
      </w:pPr>
    </w:p>
    <w:p w14:paraId="51C9DB27">
      <w:pPr>
        <w:pStyle w:val="6"/>
        <w:bidi w:val="0"/>
      </w:pPr>
      <w:r>
        <w:t> </w:t>
      </w:r>
    </w:p>
    <w:p w14:paraId="40AD9A93">
      <w:pPr>
        <w:pStyle w:val="6"/>
        <w:bidi w:val="0"/>
      </w:pPr>
      <w:r>
        <w:t>  </w:t>
      </w:r>
    </w:p>
    <w:p w14:paraId="602AE367">
      <w:pPr>
        <w:pStyle w:val="6"/>
        <w:bidi w:val="0"/>
      </w:pPr>
    </w:p>
    <w:p w14:paraId="6896D3FB">
      <w:pPr>
        <w:pStyle w:val="6"/>
        <w:bidi w:val="0"/>
      </w:pPr>
    </w:p>
    <w:p w14:paraId="44777DD6">
      <w:pPr>
        <w:pStyle w:val="6"/>
        <w:bidi w:val="0"/>
      </w:pPr>
    </w:p>
    <w:p w14:paraId="64CE8D93">
      <w:pPr>
        <w:pStyle w:val="6"/>
        <w:bidi w:val="0"/>
      </w:pPr>
    </w:p>
    <w:p w14:paraId="6CD3539B">
      <w:pPr>
        <w:pStyle w:val="6"/>
        <w:bidi w:val="0"/>
      </w:pPr>
    </w:p>
    <w:p w14:paraId="4CE38184">
      <w:pPr>
        <w:pStyle w:val="6"/>
        <w:bidi w:val="0"/>
      </w:pPr>
      <w:r>
        <w:t> </w:t>
      </w:r>
    </w:p>
    <w:p w14:paraId="0598928B">
      <w:pPr>
        <w:pStyle w:val="6"/>
        <w:bidi w:val="0"/>
        <w:rPr>
          <w:rFonts w:hint="eastAsia"/>
        </w:rPr>
      </w:pPr>
      <w:r>
        <w:rPr>
          <w:rFonts w:hint="eastAsia"/>
        </w:rPr>
        <w:t>保密审查情况：已审查，内容审定</w:t>
      </w:r>
    </w:p>
    <w:p w14:paraId="1EC45F25">
      <w:pPr>
        <w:pStyle w:val="6"/>
        <w:bidi w:val="0"/>
        <w:rPr>
          <w:rFonts w:hint="eastAsia"/>
        </w:rPr>
      </w:pPr>
      <w:r>
        <w:rPr>
          <w:rFonts w:hint="eastAsia"/>
        </w:rPr>
        <w:t>部门主要负责人审签情况：已审签，同意对外公开</w:t>
      </w:r>
    </w:p>
    <w:p w14:paraId="238BA089">
      <w:pPr>
        <w:pStyle w:val="6"/>
        <w:bidi w:val="0"/>
      </w:pPr>
      <w:r>
        <w:t> </w:t>
      </w:r>
    </w:p>
    <w:p w14:paraId="753EB488">
      <w:pPr>
        <w:pStyle w:val="6"/>
        <w:bidi w:val="0"/>
      </w:pPr>
      <w:r>
        <w:t> </w:t>
      </w:r>
    </w:p>
    <w:p w14:paraId="0ED049B6">
      <w:pPr>
        <w:pStyle w:val="6"/>
        <w:bidi w:val="0"/>
      </w:pPr>
      <w:r>
        <w:t> </w:t>
      </w:r>
    </w:p>
    <w:p w14:paraId="2BE7D0DE">
      <w:pPr>
        <w:pStyle w:val="6"/>
        <w:bidi w:val="0"/>
        <w:jc w:val="center"/>
        <w:rPr>
          <w:rFonts w:hint="eastAsia" w:ascii="黑体" w:hAnsi="黑体" w:eastAsia="黑体" w:cs="黑体"/>
          <w:b/>
          <w:bCs/>
          <w:sz w:val="44"/>
          <w:szCs w:val="44"/>
        </w:rPr>
        <w:sectPr>
          <w:footerReference r:id="rId3" w:type="default"/>
          <w:pgSz w:w="11907" w:h="16840"/>
          <w:pgMar w:top="1440" w:right="1800" w:bottom="1440" w:left="1800" w:header="851" w:footer="992" w:gutter="0"/>
          <w:pgNumType w:fmt="numberInDash"/>
          <w:cols w:space="425" w:num="1"/>
          <w:docGrid w:type="lines" w:linePitch="312" w:charSpace="0"/>
        </w:sectPr>
      </w:pPr>
    </w:p>
    <w:p w14:paraId="4B852B31">
      <w:pPr>
        <w:pStyle w:val="6"/>
        <w:bidi w:val="0"/>
        <w:jc w:val="center"/>
        <w:rPr>
          <w:rFonts w:hint="eastAsia" w:ascii="黑体" w:hAnsi="黑体" w:eastAsia="黑体" w:cs="黑体"/>
          <w:b/>
          <w:bCs/>
          <w:sz w:val="44"/>
          <w:szCs w:val="44"/>
        </w:rPr>
      </w:pPr>
      <w:r>
        <w:rPr>
          <w:rFonts w:hint="eastAsia" w:ascii="黑体" w:hAnsi="黑体" w:eastAsia="黑体" w:cs="黑体"/>
          <w:b/>
          <w:bCs/>
          <w:sz w:val="44"/>
          <w:szCs w:val="44"/>
        </w:rPr>
        <w:t>目录</w:t>
      </w:r>
    </w:p>
    <w:p w14:paraId="174AD258">
      <w:pPr>
        <w:pStyle w:val="6"/>
        <w:bidi w:val="0"/>
        <w:jc w:val="center"/>
        <w:rPr>
          <w:rFonts w:hint="eastAsia"/>
          <w:lang w:eastAsia="zh-CN"/>
        </w:rPr>
      </w:pPr>
      <w:r>
        <w:rPr>
          <w:rFonts w:hint="eastAsia"/>
        </w:rPr>
        <w:t>公开时间：2021年</w:t>
      </w:r>
      <w:r>
        <w:rPr>
          <w:rFonts w:hint="eastAsia"/>
          <w:lang w:val="en-US" w:eastAsia="zh-CN"/>
        </w:rPr>
        <w:t>12</w:t>
      </w:r>
      <w:r>
        <w:rPr>
          <w:rFonts w:hint="eastAsia"/>
        </w:rPr>
        <w:t xml:space="preserve">月 5 </w:t>
      </w:r>
      <w:r>
        <w:rPr>
          <w:rFonts w:hint="eastAsia"/>
          <w:lang w:eastAsia="zh-CN"/>
        </w:rPr>
        <w:t>日</w:t>
      </w:r>
    </w:p>
    <w:p w14:paraId="22047908">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TOC \o "1-2" \h \u </w:instrText>
      </w:r>
      <w:r>
        <w:rPr>
          <w:rFonts w:hint="eastAsia" w:ascii="仿宋_GB2312" w:hAnsi="仿宋_GB2312" w:eastAsia="仿宋_GB2312" w:cs="仿宋_GB2312"/>
          <w:sz w:val="24"/>
          <w:szCs w:val="24"/>
          <w:lang w:eastAsia="zh-CN"/>
        </w:rPr>
        <w:fldChar w:fldCharType="separate"/>
      </w:r>
    </w:p>
    <w:p w14:paraId="184979FB">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_Toc16321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第一部分 部门概况</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_Toc16321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8DC53DC">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_Toc31756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一、基本职能及主要工作</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_Toc31756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75DDC1AC">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_Toc23173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二、机构设置</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_Toc23173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- 10 -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20060520">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_Toc10495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第二部分 2020年度部门决算情况说明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_Toc10495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135B2C29">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_Toc21516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一、 收入支出决算总体情况说明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_Toc21516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1D740D29">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_Toc21223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二、收入决算情况说明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_Toc21223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5B373181">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_Toc19457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三、支出决算情况说明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_Toc19457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- 12 -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2CCEA09A">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_Toc24227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四、财政拨款收入支出决算总体情况说明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_Toc24227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- 12 -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7155772D">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_Toc20512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五、一般公共预算财政拨款支出决算情况说明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_Toc20512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- 13 -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479A03CA">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_Toc22000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六、一般公共预算财政拨款基本支出决算情况说明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_Toc22000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- 19 -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698E6816">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_Toc29274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七、“三公”经费财政拨款支出决算情况说明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_Toc29274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- 19 -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0DA39D24">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_Toc7550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八、政府性基金预算支出决算情况说明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_Toc7550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- 21 -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CF43ED4">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_Toc15642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九、国有资本经营预算支出决算情况说明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_Toc15642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- 21 -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650538E7">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_Toc21664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十、其他重要事项的情况说明</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_Toc21664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- 21 -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0B4EE4E3">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_Toc24241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第三部分 名词解释</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_Toc24241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- 29 -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935941A">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_Toc29569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第四部分 附件</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_Toc29569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- 33 -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75B7ED32">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_Toc27962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附件1</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_Toc27962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- 33 -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4DD1C7DB">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_Toc9222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附件2 </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_Toc9222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- 36 -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1AE13967">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_Toc28268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第五部分 附表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_Toc28268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0C74DC2">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_Toc29384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一、收入支出决算总表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_Toc29384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76ED9A42">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_Toc27449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二、收入决算表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_Toc27449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605E494F">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_Toc8391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三、支出决算表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_Toc8391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9570A74">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_Toc21804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四、财政拨款收入支出决算总表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_Toc21804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FC73648">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_Toc25538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五、财政拨款支出决算明细表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_Toc25538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7035E10C">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_Toc29661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六、一般公共预算财政拨款支出决算表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_Toc29661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13720DB4">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_Toc4707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七、一般公共预算财政拨款支出决算明细表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_Toc4707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1C7BCF7D">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_Toc767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八、一般公共预算财政拨款基本支出决算表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_Toc767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77823E4C">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_Toc25235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九、一般公共预算财政拨款项目支出决算表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_Toc25235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634C7A7E">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_Toc11724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十、一般公共预算财政拨款“三公”经费支出决算表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_Toc11724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1D11AC7B">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_Toc21433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十一、政府性基金预算财政拨款收入支出决算表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_Toc21433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5E351FFF">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_Toc15064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十二、政府性基金预算财政拨款“三公”经费支出决算表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_Toc15064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5B2C505">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_Toc27574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十三、国有资本经营预算财政拨款收入支出决算表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_Toc27574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340DB012">
      <w:pPr>
        <w:pStyle w:val="12"/>
        <w:tabs>
          <w:tab w:val="right" w:leader="dot" w:pos="8307"/>
        </w:tabs>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HYPERLINK \l _Toc5022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十四、国有资本经营预算财政拨款支出决算表</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PAGEREF _Toc5022 \h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- 41 -</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fldChar w:fldCharType="end"/>
      </w:r>
    </w:p>
    <w:p w14:paraId="08137729">
      <w:pPr>
        <w:pStyle w:val="12"/>
        <w:tabs>
          <w:tab w:val="right" w:leader="dot" w:pos="8307"/>
        </w:tabs>
        <w:rPr>
          <w:rFonts w:hint="eastAsia" w:ascii="仿宋_GB2312" w:hAnsi="仿宋_GB2312" w:eastAsia="仿宋_GB2312" w:cs="仿宋_GB2312"/>
          <w:sz w:val="24"/>
          <w:szCs w:val="24"/>
          <w:lang w:eastAsia="zh-CN"/>
        </w:rPr>
        <w:sectPr>
          <w:footerReference r:id="rId4" w:type="default"/>
          <w:pgSz w:w="11907" w:h="16840"/>
          <w:pgMar w:top="1440" w:right="1800" w:bottom="1440" w:left="1800" w:header="851" w:footer="992" w:gutter="0"/>
          <w:pgNumType w:fmt="numberInDash" w:start="1"/>
          <w:cols w:space="425" w:num="1"/>
          <w:docGrid w:type="lines" w:linePitch="312" w:charSpace="0"/>
        </w:sectPr>
      </w:pPr>
      <w:r>
        <w:rPr>
          <w:rFonts w:hint="eastAsia" w:ascii="仿宋_GB2312" w:hAnsi="仿宋_GB2312" w:eastAsia="仿宋_GB2312" w:cs="仿宋_GB2312"/>
          <w:sz w:val="24"/>
          <w:szCs w:val="24"/>
          <w:lang w:eastAsia="zh-CN"/>
        </w:rPr>
        <w:fldChar w:fldCharType="end"/>
      </w:r>
    </w:p>
    <w:p w14:paraId="4B5F2FD3">
      <w:pPr>
        <w:rPr>
          <w:rFonts w:hint="eastAsia"/>
        </w:rPr>
      </w:pPr>
    </w:p>
    <w:p w14:paraId="25A8042D">
      <w:pPr>
        <w:pStyle w:val="3"/>
        <w:bidi w:val="0"/>
        <w:jc w:val="center"/>
        <w:rPr>
          <w:rStyle w:val="16"/>
          <w:rFonts w:hint="eastAsia" w:ascii="黑体" w:hAnsi="黑体" w:eastAsia="黑体" w:cs="黑体"/>
          <w:sz w:val="32"/>
          <w:szCs w:val="32"/>
        </w:rPr>
      </w:pPr>
      <w:bookmarkStart w:id="9" w:name="_Toc16321"/>
      <w:bookmarkStart w:id="10" w:name="_Toc9238"/>
      <w:r>
        <w:rPr>
          <w:rFonts w:hint="eastAsia"/>
        </w:rPr>
        <w:t>第一部分 部门概况</w:t>
      </w:r>
      <w:bookmarkEnd w:id="9"/>
      <w:bookmarkEnd w:id="10"/>
    </w:p>
    <w:p w14:paraId="78BE1BF4">
      <w:pPr>
        <w:pStyle w:val="4"/>
        <w:bidi w:val="0"/>
        <w:rPr>
          <w:rFonts w:hint="eastAsia"/>
          <w:lang w:eastAsia="zh-CN"/>
        </w:rPr>
      </w:pPr>
      <w:bookmarkStart w:id="11" w:name="_Toc31756"/>
      <w:bookmarkStart w:id="12" w:name="_Toc8590"/>
      <w:r>
        <w:rPr>
          <w:rFonts w:hint="eastAsia"/>
        </w:rPr>
        <w:t>一、基本职能及主要工作</w:t>
      </w:r>
      <w:bookmarkEnd w:id="11"/>
      <w:bookmarkEnd w:id="12"/>
    </w:p>
    <w:p w14:paraId="0FB14865">
      <w:pPr>
        <w:pStyle w:val="5"/>
        <w:bidi w:val="0"/>
      </w:pPr>
      <w:r>
        <w:rPr>
          <w:rFonts w:hint="eastAsia"/>
        </w:rPr>
        <w:t>（一）主要职能。</w:t>
      </w:r>
    </w:p>
    <w:p w14:paraId="5843D80C">
      <w:pPr>
        <w:pStyle w:val="6"/>
        <w:bidi w:val="0"/>
        <w:rPr>
          <w:rFonts w:hint="eastAsia"/>
        </w:rPr>
      </w:pPr>
      <w:r>
        <w:t> </w:t>
      </w:r>
      <w:r>
        <w:rPr>
          <w:rFonts w:hint="eastAsia"/>
        </w:rPr>
        <w:t>一是制定并组织实施乡村建设规划</w:t>
      </w:r>
      <w:r>
        <w:t>,</w:t>
      </w:r>
      <w:r>
        <w:rPr>
          <w:rFonts w:hint="eastAsia"/>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p>
    <w:p w14:paraId="2F62CD7A">
      <w:pPr>
        <w:pStyle w:val="5"/>
        <w:bidi w:val="0"/>
        <w:rPr>
          <w:rFonts w:hint="eastAsia"/>
        </w:rPr>
      </w:pPr>
      <w:r>
        <w:rPr>
          <w:rFonts w:hint="eastAsia"/>
        </w:rPr>
        <w:t>（二）2020年重点工作完成情况。</w:t>
      </w:r>
    </w:p>
    <w:p w14:paraId="3DC0085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1.基层党建方面。一是</w:t>
      </w:r>
      <w:r>
        <w:rPr>
          <w:rFonts w:hint="eastAsia" w:ascii="仿宋_GB2312" w:hAnsi="仿宋_GB2312" w:eastAsia="仿宋_GB2312" w:cs="仿宋_GB2312"/>
          <w:b w:val="0"/>
          <w:bCs w:val="0"/>
          <w:sz w:val="32"/>
          <w:szCs w:val="32"/>
          <w:lang w:val="en-US" w:eastAsia="zh-CN"/>
        </w:rPr>
        <w:t>强化政治建设。发挥乡村党组织政治功能，抓实党员干部和群众教育引导，切实提高党员干部政治站位，进一步增强“四个意识”、坚定“四个自信”、做到“两个维护”，确保党中央各项决策部署能全面贯彻落实，确保在反分维稳、扫黑除恶等重大问题上明辨是非、旗帜鲜明。今年来，全乡各支部共召开“三会一课”28次、开展主题党日12次、固定党日12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扎实推进“联户联情”。通过微信群、电话及入户走访等方式全面开展“联户联情”工作，为群众及时传达疫情防控、林草防火等各种国家政策。全覆盖走访群众了解基本情况、收集困难述求，截止目前共走访532户3800余人次，收集困难述求43条，有效解决困难问题43条，切实落实</w:t>
      </w:r>
      <w:bookmarkStart w:id="75" w:name="_GoBack"/>
      <w:bookmarkEnd w:id="75"/>
      <w:r>
        <w:rPr>
          <w:rFonts w:hint="eastAsia" w:ascii="仿宋_GB2312" w:hAnsi="仿宋_GB2312" w:eastAsia="仿宋_GB2312" w:cs="仿宋_GB2312"/>
          <w:b w:val="0"/>
          <w:bCs w:val="0"/>
          <w:sz w:val="32"/>
          <w:szCs w:val="32"/>
          <w:lang w:val="en-US" w:eastAsia="zh-CN"/>
        </w:rPr>
        <w:t>了解民忧、化民难、惠民生的工作要求。</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认真开展村“两委”换届工作前期调研摸排工作，认真落实好干部标准，坚持将政治标准放在首位，通过换届，将思想政治好、道德品行好、带富能力强、协调能力强、服务能力强的年轻干部选入“两委”班子。</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认真落实党员发展政治审查制度，重点做好党员发展教育管理，推行“双向培养”力度，落实无职党员设岗定责，落实党员“积分评星”分类管理，今年来，按程序发展年轻、有文化的党员7名。</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组织党员志愿服务队在疫情、林草防火、防汛工作期间，开展巡察、宣传、值守卡点等志愿活动活动48次，充分发挥了基层党员先锋模范作用。</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b w:val="0"/>
          <w:bCs w:val="0"/>
          <w:sz w:val="32"/>
          <w:szCs w:val="32"/>
          <w:lang w:val="en-US" w:eastAsia="zh-CN"/>
        </w:rPr>
        <w:t>落实党员积分超市和党内帮扶基金制度。今年来，党员积分超市为优秀农村共发放物资折合资金1900元，三村支部为贫困党员发放帮扶资金6000元。</w:t>
      </w:r>
    </w:p>
    <w:p w14:paraId="30A8A9A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2.脱贫攻坚方面。</w:t>
      </w:r>
      <w:r>
        <w:rPr>
          <w:rFonts w:hint="eastAsia" w:ascii="仿宋_GB2312" w:hAnsi="仿宋_GB2312" w:eastAsia="仿宋_GB2312" w:cs="仿宋_GB2312"/>
          <w:b w:val="0"/>
          <w:bCs w:val="0"/>
          <w:sz w:val="32"/>
          <w:szCs w:val="32"/>
          <w:lang w:val="en-US" w:eastAsia="zh-CN"/>
        </w:rPr>
        <w:t>今年以来，我乡脱贫攻坚工作以中央、省、州巡视反馈问题整改为工作主线，在县党委、政府的坚强领导下，我们提高政治站位，强化政治担当，把脱贫攻坚作为统领全乡经济社会发展的头等大事，坚持一切政策向脱贫攻坚倾斜，一切要素资源向脱贫攻坚集中，守好扶贫主业，落实扶贫主责，突出解决“两不愁三保障”及饮用水安全上存在问题，结合实际制定整改工作方案，细化目标任务，扎实开展各项工作，我乡脱贫攻坚工作顺利完成国家普查。</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广泛宣传发动。采取通俗易懂、接地气的宣传方式发放宣传单等，积极宣传脱贫攻坚的帮扶政策工作，凝聚脱贫攻坚正能量，全面增强党和政府脱贫攻坚政策感召力和影响力，提升群众满意度、认可度。</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扎实开展“两不愁、三保障”突出问题大排查工作。主要排查了义务教育阶段未入学学生，教育资助是否全部享受；建档立卡农户家中住“C级”“D级”危房；建档立卡贫困人口是否全部纳入城乡居民基本医保、大病保险、医疗救助制度;建档立卡贫困户参合参保费用是否由政府全额代缴；“安全饮水有保障”情况。并对于排查出的问题建立台帐，盘点销号，对于能够立即解决的问题立即解决，乡、村无力解决的逐级上报，确保所有问题最终全面得到解决。落实“雨露计划”5人，人均1500元，共计7500元。</w:t>
      </w:r>
      <w:r>
        <w:rPr>
          <w:rFonts w:hint="eastAsia" w:ascii="仿宋_GB2312" w:hAnsi="仿宋_GB2312" w:eastAsia="仿宋_GB2312" w:cs="仿宋_GB2312"/>
          <w:sz w:val="32"/>
          <w:szCs w:val="32"/>
        </w:rPr>
        <w:t>建档立卡贫困户涉及义务教育阶段的学生共</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人，教育资助统计到共</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人，保障没有一名贫困学生因经济原因辍学。</w:t>
      </w:r>
      <w:r>
        <w:rPr>
          <w:rFonts w:hint="eastAsia" w:ascii="仿宋_GB2312" w:hAnsi="仿宋_GB2312" w:eastAsia="仿宋_GB2312" w:cs="仿宋_GB2312"/>
          <w:b w:val="0"/>
          <w:bCs w:val="0"/>
          <w:sz w:val="32"/>
          <w:szCs w:val="32"/>
          <w:lang w:val="en-US" w:eastAsia="zh-CN"/>
        </w:rPr>
        <w:t>完成8户异地搬迁和3户村级保障性住房附属设施（柴火棚）项目建设及异地扶贫搬迁户维修改项目等工作。</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 xml:space="preserve">扎实巩固好脱贫成果。安置建档立卡贫困户生态公益性岗位26人，就业公益性岗位8人和光伏扶贫公益性岗位13人，完成1户1万元创业补贴申请；落实4户2019年产业到户项目，每户600元，共计24000元。  </w:t>
      </w:r>
    </w:p>
    <w:p w14:paraId="7055E86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3.项目建设方面。</w:t>
      </w:r>
      <w:r>
        <w:rPr>
          <w:rFonts w:hint="eastAsia" w:ascii="仿宋_GB2312" w:hAnsi="仿宋_GB2312" w:eastAsia="仿宋_GB2312" w:cs="仿宋_GB2312"/>
          <w:sz w:val="32"/>
          <w:szCs w:val="32"/>
          <w:lang w:val="en-US" w:eastAsia="zh-CN"/>
        </w:rPr>
        <w:t>2020年，查尔玛乡共计实施项目13个，总投资841.92万元。</w:t>
      </w:r>
    </w:p>
    <w:p w14:paraId="6228E7B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（1）东西协作平阳县农商行对口援建查尔玛乡牧道建设项目</w:t>
      </w:r>
    </w:p>
    <w:p w14:paraId="32413CD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eastAsia="仿宋_GB2312"/>
          <w:color w:val="000000"/>
          <w:sz w:val="32"/>
          <w:szCs w:val="32"/>
          <w:lang w:val="en-US" w:eastAsia="zh-CN"/>
        </w:rPr>
        <w:t>20</w:t>
      </w:r>
      <w:r>
        <w:rPr>
          <w:rFonts w:hint="eastAsia" w:ascii="仿宋_GB2312" w:eastAsia="仿宋_GB2312"/>
          <w:color w:val="000000"/>
          <w:sz w:val="32"/>
          <w:szCs w:val="32"/>
          <w:lang w:val="en-US" w:eastAsia="zh-CN"/>
        </w:rPr>
        <w:t>20</w:t>
      </w:r>
      <w:r>
        <w:rPr>
          <w:rFonts w:hint="default" w:ascii="仿宋_GB2312" w:eastAsia="仿宋_GB2312"/>
          <w:color w:val="000000"/>
          <w:sz w:val="32"/>
          <w:szCs w:val="32"/>
          <w:lang w:val="en-US" w:eastAsia="zh-CN"/>
        </w:rPr>
        <w:t>年援建项目建设资金</w:t>
      </w:r>
      <w:r>
        <w:rPr>
          <w:rFonts w:hint="eastAsia" w:ascii="仿宋_GB2312" w:eastAsia="仿宋_GB2312"/>
          <w:color w:val="000000"/>
          <w:sz w:val="32"/>
          <w:szCs w:val="32"/>
          <w:lang w:val="en-US" w:eastAsia="zh-CN"/>
        </w:rPr>
        <w:t>投入30万元，</w:t>
      </w:r>
      <w:r>
        <w:rPr>
          <w:rFonts w:hint="eastAsia" w:ascii="仿宋_GB2312" w:hAnsi="仿宋_GB2312" w:eastAsia="仿宋_GB2312" w:cs="仿宋_GB2312"/>
          <w:b w:val="0"/>
          <w:bCs w:val="0"/>
          <w:sz w:val="32"/>
          <w:szCs w:val="32"/>
          <w:lang w:val="en-US" w:eastAsia="zh-CN"/>
        </w:rPr>
        <w:t>维修三个村牧道15公里。</w:t>
      </w:r>
    </w:p>
    <w:p w14:paraId="143B4F0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（2）查尔玛乡查龙村村集体经济种草项目</w:t>
      </w:r>
    </w:p>
    <w:p w14:paraId="2B64AA9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项目总投入20万元，查龙村村集体经济种草项目采购草种，</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b w:val="0"/>
          <w:bCs w:val="0"/>
          <w:sz w:val="32"/>
          <w:szCs w:val="32"/>
          <w:lang w:val="en-US" w:eastAsia="zh-CN"/>
        </w:rPr>
        <w:t>。</w:t>
      </w:r>
    </w:p>
    <w:p w14:paraId="25F2527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（3）查尔玛乡2020年建档立卡动态调整到户产业项目</w:t>
      </w:r>
    </w:p>
    <w:p w14:paraId="433D16D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项目总投入2.4万元，对</w:t>
      </w:r>
      <w:r>
        <w:rPr>
          <w:rFonts w:hint="eastAsia" w:ascii="仿宋_GB2312" w:hAnsi="仿宋_GB2312" w:eastAsia="仿宋_GB2312" w:cs="仿宋_GB2312"/>
          <w:b w:val="0"/>
          <w:bCs w:val="0"/>
          <w:sz w:val="32"/>
          <w:szCs w:val="32"/>
          <w:lang w:val="en-US" w:eastAsia="zh-CN"/>
        </w:rPr>
        <w:t>新增的4人建档立卡贫困人员按照人均6000元标准实施产业帮扶</w:t>
      </w:r>
      <w:r>
        <w:rPr>
          <w:rFonts w:hint="eastAsia" w:ascii="仿宋_GB2312" w:hAnsi="仿宋_GB2312" w:eastAsia="仿宋_GB2312" w:cs="仿宋_GB2312"/>
          <w:sz w:val="32"/>
          <w:szCs w:val="32"/>
          <w:lang w:val="en-US" w:eastAsia="zh-CN"/>
        </w:rPr>
        <w:t>，</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6C89A2E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（4）查尔玛乡庭院整治暨新型庭院经济发展项目</w:t>
      </w:r>
    </w:p>
    <w:p w14:paraId="20DD718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项目总投入10万元，对</w:t>
      </w:r>
      <w:r>
        <w:rPr>
          <w:rFonts w:hint="eastAsia" w:ascii="仿宋_GB2312" w:hAnsi="仿宋_GB2312" w:eastAsia="仿宋_GB2312" w:cs="仿宋_GB2312"/>
          <w:b w:val="0"/>
          <w:bCs w:val="0"/>
          <w:sz w:val="32"/>
          <w:szCs w:val="32"/>
          <w:lang w:val="en-US" w:eastAsia="zh-CN"/>
        </w:rPr>
        <w:t>农户庭院环境卫生整治及支持庭院经济发展，</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3F193C8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（5）查尔玛乡革命老区牧业生产点板涵桥建设项目</w:t>
      </w:r>
    </w:p>
    <w:p w14:paraId="12CFA13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项目总投入100万元，新建板涵桥10座，</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b w:val="0"/>
          <w:bCs w:val="0"/>
          <w:sz w:val="32"/>
          <w:szCs w:val="32"/>
          <w:lang w:val="en-US" w:eastAsia="zh-CN"/>
        </w:rPr>
        <w:t>。</w:t>
      </w:r>
    </w:p>
    <w:p w14:paraId="7E55952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（6）2020年查尔玛乡基层政权建设（维修类）项目</w:t>
      </w:r>
    </w:p>
    <w:p w14:paraId="6B4CB72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项目总投入37万元，对查尔玛乡人民政府办公区和宿舍楼进行维修，</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14530BD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（7）2020年查尔玛乡基层政权集中供暖采购项目</w:t>
      </w:r>
    </w:p>
    <w:p w14:paraId="48532E9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项目总投入36万元，安装</w:t>
      </w:r>
      <w:r>
        <w:rPr>
          <w:rFonts w:hint="eastAsia" w:ascii="仿宋_GB2312" w:hAnsi="仿宋_GB2312" w:eastAsia="仿宋_GB2312" w:cs="仿宋_GB2312"/>
          <w:b w:val="0"/>
          <w:bCs w:val="0"/>
          <w:sz w:val="32"/>
          <w:szCs w:val="32"/>
          <w:lang w:val="en-US" w:eastAsia="zh-CN"/>
        </w:rPr>
        <w:t>查</w:t>
      </w:r>
      <w:r>
        <w:rPr>
          <w:rFonts w:hint="eastAsia" w:ascii="仿宋_GB2312" w:hAnsi="仿宋_GB2312" w:eastAsia="仿宋_GB2312" w:cs="仿宋_GB2312"/>
          <w:sz w:val="32"/>
          <w:szCs w:val="32"/>
          <w:lang w:val="en-US" w:eastAsia="zh-CN"/>
        </w:rPr>
        <w:t>尔玛乡办公楼、宿舍楼供暖设备，</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7132822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（8）查尔玛乡易地搬迁配套设施建设项目</w:t>
      </w:r>
    </w:p>
    <w:p w14:paraId="6436059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项目总投入11.52万元，对8户易地搬迁户、3户村级保障房进行柴火房建设，</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6E622D5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（9）查尔玛乡综治中心建设项目</w:t>
      </w:r>
    </w:p>
    <w:p w14:paraId="226A788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项目总投资3万元，查尔玛乡综治中心采购（办公用品）物资，</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0CF70A4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（10）查尔玛乡查龙村一、二号瞭望台森林草原防火消防通道建设项目</w:t>
      </w:r>
    </w:p>
    <w:p w14:paraId="3B30552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项目总投入112万元，新建了森林草原防火通道14公里，</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6E8F513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（11）红原县查尔玛乡当曲河小流域治理项目</w:t>
      </w:r>
    </w:p>
    <w:p w14:paraId="718FBAE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项目总投资280万元，对当曲河进行生态治理。当曲河水土保持400亩；当曲河沿岸四周裸露土体植被恢复面积300亩（护岸林面积170亩；护路林面积130亩）；当曲河沿岸过牧地面积130亩（营造水土保持林100亩）。</w:t>
      </w:r>
      <w:r>
        <w:rPr>
          <w:rFonts w:hint="eastAsia" w:ascii="仿宋_GB2312" w:eastAsia="仿宋_GB2312"/>
          <w:color w:val="000000"/>
          <w:sz w:val="32"/>
          <w:szCs w:val="32"/>
          <w:lang w:val="en-US" w:eastAsia="zh-CN"/>
        </w:rPr>
        <w:t>该项目业主为查尔玛乡人民政府。</w:t>
      </w:r>
    </w:p>
    <w:p w14:paraId="5E1B0EB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（12）查尔玛乡乡村振兴增减挂钩太阳能路灯采购项目</w:t>
      </w:r>
    </w:p>
    <w:p w14:paraId="4916A65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项目总投入96万元，采购安装太阳能路灯60盏，</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0879CD9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（13）查尔玛乡乡村振兴增减挂钩牧道建设项目</w:t>
      </w:r>
    </w:p>
    <w:p w14:paraId="3CD1105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项目总投资104万元，新建牧道13公里，</w:t>
      </w:r>
      <w:r>
        <w:rPr>
          <w:rFonts w:hint="eastAsia" w:ascii="仿宋_GB2312" w:eastAsia="仿宋_GB2312"/>
          <w:color w:val="000000"/>
          <w:sz w:val="32"/>
          <w:szCs w:val="32"/>
          <w:lang w:val="en-US" w:eastAsia="zh-CN"/>
        </w:rPr>
        <w:t>该项目业主为查尔玛乡人民政府</w:t>
      </w:r>
      <w:r>
        <w:rPr>
          <w:rFonts w:hint="eastAsia" w:ascii="仿宋_GB2312" w:hAnsi="仿宋_GB2312" w:eastAsia="仿宋_GB2312" w:cs="仿宋_GB2312"/>
          <w:sz w:val="32"/>
          <w:szCs w:val="32"/>
          <w:lang w:val="en-US" w:eastAsia="zh-CN"/>
        </w:rPr>
        <w:t>。</w:t>
      </w:r>
    </w:p>
    <w:p w14:paraId="5505DB8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4.综治维稳方面。一是</w:t>
      </w:r>
      <w:r>
        <w:rPr>
          <w:rFonts w:hint="eastAsia" w:ascii="仿宋_GB2312" w:hAnsi="仿宋_GB2312" w:eastAsia="仿宋_GB2312" w:cs="仿宋_GB2312"/>
          <w:b w:val="0"/>
          <w:bCs w:val="0"/>
          <w:sz w:val="32"/>
          <w:szCs w:val="32"/>
          <w:lang w:val="en-US" w:eastAsia="zh-CN"/>
        </w:rPr>
        <w:t>全面加强社会面管控。乡综治办组织，派出所、村干部和网格员定期巡逻排查流动人口、施工重地和防汛隐患点及森林草原防火重地，对重点人员和特殊人群分门别类制定相应管控方案，及时排查矛盾隐患，做到定人定方案，切实管控有效，对全乡164本护照做到有效管理(其中，乡级有效管理137本)；</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纵深推进法律政策宣讲工作，依托扫黑除恶、民族团结进步示范创建活动，结合依法治理、脱贫攻坚等工作的开展，组织群众大会，马背宣讲，调解员培训会，推送微查尔玛和组织网格员培训会等形式大力宣讲当的民族宗教政策，结合双语教学改革重点讲解阐述教育法，入寺入户讲依法治寺的相关法规制度和生态保护相关法规，针对小学生和牧区妇女等相对弱势群体讲权益保护法，将稳定团结是福、破坏动乱是祸的道理植入人心深入人心，在寺开展意识形态工作，国庆等重大节日开展升旗仪式和悬挂领袖画像等工作。</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进一步完善防控指挥体，形成以群众为主体，乡机关干部、民兵为骨干，派出所干警为尖兵，现任村部、“三老人员”离任村干为依靠的维稳力量，完善和及时调整三反两防工作预案和方案9套，硬件上投入5万元对乡村两级综治中心进行了改造提升。</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继续开展共创“和谐边界地”工作，主动对接周边乡镇负责人建立了多方联动参与、合作互利共赢的社会综合治理常态化机制。</w:t>
      </w:r>
    </w:p>
    <w:p w14:paraId="79DAB12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5.治寺管僧方面。</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加强沟通协作，</w:t>
      </w: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搭建查龙寺宗教领域共管共治平台，统筹协调深化寺庙管理机构党组织思想、政治、</w:t>
      </w:r>
      <w:r>
        <w:rPr>
          <w:rFonts w:hint="eastAsia" w:ascii="仿宋_GB2312" w:hAnsi="仿宋_GB2312" w:eastAsia="仿宋_GB2312" w:cs="仿宋_GB2312"/>
          <w:i w:val="0"/>
          <w:caps w:val="0"/>
          <w:color w:val="auto"/>
          <w:spacing w:val="0"/>
          <w:sz w:val="32"/>
          <w:szCs w:val="32"/>
          <w:shd w:val="clear" w:color="auto" w:fill="FFFFFF"/>
          <w:lang w:val="en-US" w:eastAsia="zh-CN"/>
        </w:rPr>
        <w:t>纪律、作风建设和寺庙事务内外联动管理工作。</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以寺庙“网格化”服务管理为基础，做好对查龙寺的监督、联络、服务工作，督促寺庙依法规范管理人员、财务、佛事活动、场所管理，确保无重大安全责任事故发生；</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狠抓工作落实。</w:t>
      </w:r>
      <w:r>
        <w:rPr>
          <w:rFonts w:hint="eastAsia" w:ascii="仿宋_GB2312" w:hAnsi="仿宋_GB2312" w:eastAsia="仿宋_GB2312" w:cs="仿宋_GB2312"/>
          <w:sz w:val="32"/>
          <w:szCs w:val="32"/>
          <w:lang w:eastAsia="zh-CN"/>
        </w:rPr>
        <w:t>按职责分工</w:t>
      </w:r>
      <w:r>
        <w:rPr>
          <w:rFonts w:hint="eastAsia" w:ascii="仿宋_GB2312" w:hAnsi="仿宋_GB2312" w:eastAsia="仿宋_GB2312" w:cs="仿宋_GB2312"/>
          <w:sz w:val="32"/>
          <w:szCs w:val="32"/>
        </w:rPr>
        <w:t>认真落实</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结合个具体责任人的职责再细化、具体化工作任务</w:t>
      </w:r>
      <w:r>
        <w:rPr>
          <w:rFonts w:hint="eastAsia" w:ascii="仿宋_GB2312" w:hAnsi="仿宋_GB2312" w:eastAsia="仿宋_GB2312" w:cs="仿宋_GB2312"/>
          <w:sz w:val="32"/>
          <w:szCs w:val="32"/>
        </w:rPr>
        <w:t>，深入寺庙开展各项工作，</w:t>
      </w:r>
      <w:r>
        <w:rPr>
          <w:rFonts w:hint="eastAsia" w:ascii="仿宋_GB2312" w:hAnsi="仿宋_GB2312" w:eastAsia="仿宋_GB2312" w:cs="仿宋_GB2312"/>
          <w:sz w:val="32"/>
          <w:szCs w:val="32"/>
          <w:lang w:eastAsia="zh-CN"/>
        </w:rPr>
        <w:t>对照清单一个问题一个问题地逐一解决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确保在</w:t>
      </w:r>
      <w:r>
        <w:rPr>
          <w:rFonts w:hint="eastAsia" w:ascii="仿宋_GB2312" w:hAnsi="仿宋_GB2312" w:eastAsia="仿宋_GB2312" w:cs="仿宋_GB2312"/>
          <w:sz w:val="32"/>
          <w:szCs w:val="32"/>
          <w:lang w:val="en-US" w:eastAsia="zh-CN"/>
        </w:rPr>
        <w:t>2021年6月底前全面完成整治，并持续巩固成果</w:t>
      </w:r>
      <w:r>
        <w:rPr>
          <w:rFonts w:hint="eastAsia" w:ascii="仿宋_GB2312" w:hAnsi="仿宋_GB2312" w:eastAsia="仿宋_GB2312" w:cs="仿宋_GB2312"/>
          <w:sz w:val="32"/>
          <w:szCs w:val="32"/>
        </w:rPr>
        <w:t>。</w:t>
      </w:r>
    </w:p>
    <w:p w14:paraId="1DAEA0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6.林草防火方面。</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val="0"/>
          <w:bCs w:val="0"/>
          <w:sz w:val="32"/>
          <w:szCs w:val="32"/>
          <w:lang w:eastAsia="zh-CN"/>
        </w:rPr>
        <w:t>组织干部、生态管护员及天保护林员集中学习习近平总书记、彭清华书记关于林草防火系列重要讲话和批示精神以及中央、省、州、县关于森林草原防火专项整治动员部署电视电话会议精神</w:t>
      </w:r>
      <w:r>
        <w:rPr>
          <w:rFonts w:hint="eastAsia" w:ascii="仿宋_GB2312" w:hAnsi="仿宋_GB2312" w:eastAsia="仿宋_GB2312" w:cs="仿宋_GB2312"/>
          <w:b w:val="0"/>
          <w:bCs w:val="0"/>
          <w:sz w:val="32"/>
          <w:szCs w:val="32"/>
          <w:lang w:val="en-US" w:eastAsia="zh-CN"/>
        </w:rPr>
        <w:t>12次，</w:t>
      </w:r>
      <w:r>
        <w:rPr>
          <w:rFonts w:hint="eastAsia" w:ascii="仿宋_GB2312" w:hAnsi="仿宋_GB2312" w:eastAsia="仿宋_GB2312" w:cs="仿宋_GB2312"/>
          <w:b w:val="0"/>
          <w:bCs w:val="0"/>
          <w:sz w:val="32"/>
          <w:szCs w:val="32"/>
          <w:lang w:eastAsia="zh-CN"/>
        </w:rPr>
        <w:t>切实达到“升认识，抓防火，保生态，稳脱贫，促发展”的目标。</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进行了广泛宣传。结合维稳及群众入户走访工作，制作印发林草防火警示及12119火警电话宣传卡片600张，</w:t>
      </w:r>
      <w:r>
        <w:rPr>
          <w:rFonts w:hint="eastAsia" w:ascii="仿宋_GB2312" w:hAnsi="仿宋_GB2312" w:eastAsia="仿宋_GB2312" w:cs="仿宋_GB2312"/>
          <w:sz w:val="32"/>
          <w:szCs w:val="32"/>
          <w:lang w:eastAsia="zh-CN"/>
        </w:rPr>
        <w:t>宣传单及宣传挂历</w:t>
      </w:r>
      <w:r>
        <w:rPr>
          <w:rFonts w:hint="eastAsia" w:ascii="仿宋_GB2312" w:hAnsi="仿宋_GB2312" w:eastAsia="仿宋_GB2312" w:cs="仿宋_GB2312"/>
          <w:sz w:val="32"/>
          <w:szCs w:val="32"/>
          <w:lang w:val="en-US" w:eastAsia="zh-CN"/>
        </w:rPr>
        <w:t>300余份</w:t>
      </w:r>
      <w:r>
        <w:rPr>
          <w:rFonts w:hint="eastAsia" w:ascii="仿宋_GB2312" w:hAnsi="仿宋_GB2312" w:eastAsia="仿宋_GB2312" w:cs="仿宋_GB2312"/>
          <w:sz w:val="32"/>
          <w:szCs w:val="32"/>
        </w:rPr>
        <w:t>逐户发放到牧民手中，悬挂横幅</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条，在进入林区显目位置</w:t>
      </w:r>
      <w:r>
        <w:rPr>
          <w:rFonts w:hint="eastAsia" w:ascii="仿宋_GB2312" w:hAnsi="仿宋_GB2312" w:eastAsia="仿宋_GB2312" w:cs="仿宋_GB2312"/>
          <w:sz w:val="32"/>
          <w:szCs w:val="32"/>
          <w:lang w:eastAsia="zh-CN"/>
        </w:rPr>
        <w:t>新增</w:t>
      </w:r>
      <w:r>
        <w:rPr>
          <w:rFonts w:hint="eastAsia" w:ascii="仿宋_GB2312" w:hAnsi="仿宋_GB2312" w:eastAsia="仿宋_GB2312" w:cs="仿宋_GB2312"/>
          <w:sz w:val="32"/>
          <w:szCs w:val="32"/>
        </w:rPr>
        <w:t>设立警示牌</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处，出动宣传车</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余台次在定居点进行巡回宣传，基本上做到了家喻户晓，人人皆知。</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b w:val="0"/>
          <w:bCs/>
          <w:sz w:val="32"/>
          <w:szCs w:val="32"/>
          <w:lang w:eastAsia="zh-CN"/>
        </w:rPr>
        <w:t>常态化</w:t>
      </w:r>
      <w:r>
        <w:rPr>
          <w:rFonts w:hint="eastAsia" w:ascii="仿宋_GB2312" w:hAnsi="仿宋_GB2312" w:eastAsia="仿宋_GB2312" w:cs="仿宋_GB2312"/>
          <w:sz w:val="32"/>
          <w:szCs w:val="32"/>
        </w:rPr>
        <w:t>出动护林防火工作人员</w:t>
      </w:r>
      <w:r>
        <w:rPr>
          <w:rFonts w:hint="eastAsia" w:ascii="仿宋_GB2312" w:hAnsi="仿宋_GB2312" w:eastAsia="仿宋_GB2312" w:cs="仿宋_GB2312"/>
          <w:sz w:val="32"/>
          <w:szCs w:val="32"/>
          <w:lang w:val="en-US" w:eastAsia="zh-CN"/>
        </w:rPr>
        <w:t>230</w:t>
      </w:r>
      <w:r>
        <w:rPr>
          <w:rFonts w:hint="eastAsia" w:ascii="仿宋_GB2312" w:hAnsi="仿宋_GB2312" w:eastAsia="仿宋_GB2312" w:cs="仿宋_GB2312"/>
          <w:sz w:val="32"/>
          <w:szCs w:val="32"/>
        </w:rPr>
        <w:t>余人次在全辖区开展火灾隐患排查工作，</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对各个体工商户贩售的易燃易爆物品进行了全面收缴清理。</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b w:val="0"/>
          <w:bCs w:val="0"/>
          <w:sz w:val="32"/>
          <w:szCs w:val="32"/>
          <w:lang w:eastAsia="zh-CN"/>
        </w:rPr>
        <w:t>充实微型消防室和林业站防火物资储备，对查龙林区巡山护林员全部配备了对讲机，保证了远牧点无信号区域一旦发生火情能及时处置。</w:t>
      </w:r>
      <w:r>
        <w:rPr>
          <w:rFonts w:hint="eastAsia" w:ascii="楷体_GB2312" w:hAnsi="楷体_GB2312" w:eastAsia="楷体_GB2312" w:cs="楷体_GB2312"/>
          <w:b/>
          <w:bCs/>
          <w:sz w:val="32"/>
          <w:szCs w:val="32"/>
          <w:lang w:eastAsia="zh-CN"/>
        </w:rPr>
        <w:t>五</w:t>
      </w:r>
      <w:r>
        <w:rPr>
          <w:rFonts w:hint="eastAsia" w:ascii="仿宋_GB2312" w:hAnsi="仿宋_GB2312" w:eastAsia="仿宋_GB2312" w:cs="仿宋_GB2312"/>
          <w:b/>
          <w:sz w:val="32"/>
          <w:szCs w:val="32"/>
        </w:rPr>
        <w:t>是</w:t>
      </w:r>
      <w:r>
        <w:rPr>
          <w:rFonts w:hint="eastAsia" w:ascii="仿宋_GB2312" w:hAnsi="仿宋_GB2312" w:eastAsia="仿宋_GB2312" w:cs="仿宋_GB2312"/>
          <w:sz w:val="32"/>
          <w:szCs w:val="32"/>
        </w:rPr>
        <w:t>全乡成立了由</w:t>
      </w:r>
      <w:r>
        <w:rPr>
          <w:rFonts w:hint="eastAsia" w:ascii="仿宋_GB2312" w:hAnsi="仿宋_GB2312" w:eastAsia="仿宋_GB2312" w:cs="仿宋_GB2312"/>
          <w:sz w:val="32"/>
          <w:szCs w:val="32"/>
          <w:lang w:val="en-US" w:eastAsia="zh-CN"/>
        </w:rPr>
        <w:t>149</w:t>
      </w:r>
      <w:r>
        <w:rPr>
          <w:rFonts w:hint="eastAsia" w:ascii="仿宋_GB2312" w:hAnsi="仿宋_GB2312" w:eastAsia="仿宋_GB2312" w:cs="仿宋_GB2312"/>
          <w:sz w:val="32"/>
          <w:szCs w:val="32"/>
        </w:rPr>
        <w:t>人组成的应急扑火队，</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b w:val="0"/>
          <w:bCs w:val="0"/>
          <w:sz w:val="32"/>
          <w:szCs w:val="32"/>
          <w:lang w:eastAsia="zh-CN"/>
        </w:rPr>
        <w:t>组织扑火队伍开展了知识培训</w:t>
      </w:r>
      <w:r>
        <w:rPr>
          <w:rFonts w:hint="eastAsia" w:ascii="仿宋_GB2312" w:hAnsi="仿宋_GB2312" w:cs="仿宋_GB2312"/>
          <w:b w:val="0"/>
          <w:bCs w:val="0"/>
          <w:sz w:val="32"/>
          <w:szCs w:val="32"/>
          <w:lang w:val="en-US" w:eastAsia="zh-CN"/>
        </w:rPr>
        <w:t>3次，</w:t>
      </w:r>
      <w:r>
        <w:rPr>
          <w:rFonts w:hint="eastAsia" w:ascii="仿宋_GB2312" w:hAnsi="仿宋_GB2312" w:eastAsia="仿宋_GB2312" w:cs="仿宋_GB2312"/>
          <w:sz w:val="32"/>
          <w:szCs w:val="32"/>
          <w:lang w:val="en-US" w:eastAsia="zh-CN"/>
        </w:rPr>
        <w:t>突发火情应急集结演练2次，确保</w:t>
      </w:r>
      <w:r>
        <w:rPr>
          <w:rFonts w:hint="eastAsia" w:ascii="仿宋_GB2312" w:hAnsi="仿宋_GB2312" w:eastAsia="仿宋_GB2312" w:cs="仿宋_GB2312"/>
          <w:sz w:val="32"/>
          <w:szCs w:val="32"/>
        </w:rPr>
        <w:t>一旦发生火情，能够做到积极组织扑救，做到“打早、打小、打了”。</w:t>
      </w:r>
      <w:r>
        <w:rPr>
          <w:rFonts w:hint="eastAsia" w:ascii="仿宋_GB2312" w:hAnsi="仿宋_GB2312" w:eastAsia="仿宋_GB2312" w:cs="仿宋_GB2312"/>
          <w:b/>
          <w:bCs/>
          <w:sz w:val="32"/>
          <w:szCs w:val="32"/>
          <w:lang w:eastAsia="zh-CN"/>
        </w:rPr>
        <w:t>六是</w:t>
      </w:r>
      <w:r>
        <w:rPr>
          <w:rFonts w:hint="eastAsia" w:ascii="仿宋_GB2312" w:hAnsi="仿宋_GB2312" w:eastAsia="仿宋_GB2312" w:cs="仿宋_GB2312"/>
          <w:b w:val="0"/>
          <w:bCs w:val="0"/>
          <w:sz w:val="32"/>
          <w:szCs w:val="32"/>
          <w:lang w:eastAsia="zh-CN"/>
        </w:rPr>
        <w:t>完成查龙林区</w:t>
      </w:r>
      <w:r>
        <w:rPr>
          <w:rFonts w:hint="eastAsia" w:ascii="仿宋_GB2312" w:hAnsi="仿宋_GB2312" w:eastAsia="仿宋_GB2312" w:cs="仿宋_GB2312"/>
          <w:b w:val="0"/>
          <w:bCs w:val="0"/>
          <w:sz w:val="32"/>
          <w:szCs w:val="32"/>
          <w:lang w:val="en-US" w:eastAsia="zh-CN"/>
        </w:rPr>
        <w:t>14公里</w:t>
      </w:r>
      <w:r>
        <w:rPr>
          <w:rFonts w:hint="eastAsia" w:ascii="仿宋_GB2312" w:hAnsi="仿宋_GB2312" w:eastAsia="仿宋_GB2312" w:cs="仿宋_GB2312"/>
          <w:b w:val="0"/>
          <w:bCs w:val="0"/>
          <w:sz w:val="32"/>
          <w:szCs w:val="32"/>
          <w:lang w:eastAsia="zh-CN"/>
        </w:rPr>
        <w:t>森林防火通道施工项目建设。</w:t>
      </w:r>
    </w:p>
    <w:p w14:paraId="7ED106D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7.疫情防控方面。一是</w:t>
      </w:r>
      <w:r>
        <w:rPr>
          <w:rFonts w:hint="eastAsia" w:ascii="仿宋_GB2312" w:hAnsi="仿宋_GB2312" w:eastAsia="仿宋_GB2312" w:cs="仿宋_GB2312"/>
          <w:sz w:val="32"/>
          <w:szCs w:val="32"/>
        </w:rPr>
        <w:t>充分发挥基层党支部先锋模范作用，</w:t>
      </w:r>
      <w:r>
        <w:rPr>
          <w:rFonts w:hint="eastAsia" w:ascii="仿宋_GB2312" w:hAnsi="仿宋_GB2312" w:eastAsia="仿宋_GB2312" w:cs="仿宋_GB2312"/>
          <w:sz w:val="32"/>
          <w:szCs w:val="32"/>
          <w:lang w:eastAsia="zh-CN"/>
        </w:rPr>
        <w:t>党员带头，群众参与，加强对高风险地区外来务工人员及从外返乡人员的排查工作。</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建立四本台账（包括人员外出台账、外来台账、常驻乡内人员台账、长期在外人员台账），成立三个工作小组，分三个村深入摸排，充分掌握全乡人员动态情况。</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加强群众防疫宣传。采取多种方式向群众大力宣传新冠肺炎预防知识，同时发动群众对重点区域返乡人员进行监督报告。今年来，累计发送防疫信息40余条，发放藏汉双语宣传单180余份、张贴宣传单20余处。</w:t>
      </w:r>
    </w:p>
    <w:p w14:paraId="7D3A5BF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8.意识形态方面。</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val="0"/>
          <w:bCs w:val="0"/>
          <w:sz w:val="32"/>
          <w:szCs w:val="32"/>
          <w:lang w:eastAsia="zh-CN"/>
        </w:rPr>
        <w:t>坚持理论武装头脑，突出学习重点，打造学习型党组织。</w:t>
      </w:r>
      <w:r>
        <w:rPr>
          <w:rFonts w:hint="eastAsia" w:ascii="仿宋_GB2312" w:hAnsi="仿宋_GB2312" w:eastAsia="仿宋_GB2312" w:cs="仿宋_GB2312"/>
          <w:b w:val="0"/>
          <w:bCs w:val="0"/>
          <w:sz w:val="32"/>
          <w:szCs w:val="32"/>
          <w:lang w:val="en-US" w:eastAsia="zh-CN"/>
        </w:rPr>
        <w:t>2020年上半年我乡共组织学习8次，</w:t>
      </w:r>
      <w:r>
        <w:rPr>
          <w:rFonts w:hint="eastAsia" w:ascii="仿宋_GB2312" w:hAnsi="仿宋_GB2312" w:eastAsia="仿宋_GB2312" w:cs="仿宋_GB2312"/>
          <w:sz w:val="32"/>
          <w:szCs w:val="32"/>
          <w:lang w:eastAsia="zh-CN"/>
        </w:rPr>
        <w:t>坚持中心组学习带动一般干部学习相结合，发挥中心组的示范引领作用，</w:t>
      </w:r>
      <w:r>
        <w:rPr>
          <w:rFonts w:hint="eastAsia" w:ascii="仿宋_GB2312" w:hAnsi="仿宋_GB2312" w:eastAsia="仿宋_GB2312" w:cs="仿宋_GB2312"/>
          <w:sz w:val="32"/>
          <w:szCs w:val="32"/>
          <w:lang w:val="en-US" w:eastAsia="zh-CN"/>
        </w:rPr>
        <w:t>开展党委</w:t>
      </w:r>
      <w:r>
        <w:rPr>
          <w:rFonts w:hint="eastAsia" w:ascii="仿宋_GB2312" w:hAnsi="仿宋_GB2312" w:eastAsia="仿宋_GB2312" w:cs="仿宋_GB2312"/>
          <w:sz w:val="32"/>
          <w:szCs w:val="32"/>
          <w:lang w:eastAsia="zh-CN"/>
        </w:rPr>
        <w:t>书记、支部书记讲党课活动</w:t>
      </w:r>
      <w:r>
        <w:rPr>
          <w:rFonts w:hint="eastAsia" w:ascii="仿宋_GB2312" w:hAnsi="仿宋_GB2312" w:eastAsia="仿宋_GB2312" w:cs="仿宋_GB2312"/>
          <w:sz w:val="32"/>
          <w:szCs w:val="32"/>
          <w:lang w:val="en-US" w:eastAsia="zh-CN"/>
        </w:rPr>
        <w:t>12次；开展党员干部大讨论活动3次；</w:t>
      </w:r>
      <w:r>
        <w:rPr>
          <w:rFonts w:hint="eastAsia" w:ascii="仿宋_GB2312" w:hAnsi="仿宋_GB2312" w:eastAsia="仿宋_GB2312" w:cs="仿宋_GB2312"/>
          <w:sz w:val="32"/>
          <w:szCs w:val="32"/>
        </w:rPr>
        <w:t>成立宣讲队深入村</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宣讲</w:t>
      </w:r>
      <w:r>
        <w:rPr>
          <w:rFonts w:hint="eastAsia" w:ascii="仿宋_GB2312" w:hAnsi="仿宋_GB2312" w:eastAsia="仿宋_GB2312" w:cs="仿宋_GB2312"/>
          <w:sz w:val="32"/>
          <w:szCs w:val="32"/>
          <w:lang w:val="en-US" w:eastAsia="zh-CN"/>
        </w:rPr>
        <w:t>6次；</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val="0"/>
          <w:bCs w:val="0"/>
          <w:sz w:val="32"/>
          <w:szCs w:val="32"/>
          <w:lang w:eastAsia="zh-CN"/>
        </w:rPr>
        <w:t>开展以“铸生态防线</w:t>
      </w:r>
      <w:r>
        <w:rPr>
          <w:rFonts w:hint="eastAsia" w:ascii="仿宋_GB2312" w:hAnsi="仿宋_GB2312" w:eastAsia="仿宋_GB2312" w:cs="仿宋_GB2312"/>
          <w:b w:val="0"/>
          <w:bCs w:val="0"/>
          <w:sz w:val="32"/>
          <w:szCs w:val="32"/>
          <w:lang w:val="en-US" w:eastAsia="zh-CN"/>
        </w:rPr>
        <w:t>，展党员风采</w:t>
      </w:r>
      <w:r>
        <w:rPr>
          <w:rFonts w:hint="eastAsia" w:ascii="仿宋_GB2312" w:hAnsi="仿宋_GB2312" w:eastAsia="仿宋_GB2312" w:cs="仿宋_GB2312"/>
          <w:b w:val="0"/>
          <w:bCs w:val="0"/>
          <w:sz w:val="32"/>
          <w:szCs w:val="32"/>
          <w:lang w:eastAsia="zh-CN"/>
        </w:rPr>
        <w:t>”为主题的义务植树、环卫整治及道路维修活动，党员志愿服务队自发筹资</w:t>
      </w:r>
      <w:r>
        <w:rPr>
          <w:rFonts w:hint="eastAsia" w:ascii="仿宋_GB2312" w:hAnsi="仿宋_GB2312" w:eastAsia="仿宋_GB2312" w:cs="仿宋_GB2312"/>
          <w:b w:val="0"/>
          <w:bCs w:val="0"/>
          <w:sz w:val="32"/>
          <w:szCs w:val="32"/>
          <w:lang w:val="en-US" w:eastAsia="zh-CN"/>
        </w:rPr>
        <w:t>7300余元购买、栽种树苗、清运定居点、远牧点垃圾14余吨，修补路面13公里。</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zh-CN" w:eastAsia="zh-CN"/>
        </w:rPr>
        <w:t>实施乡村联动抓创建的工作机制，巩固开展查龙村“文明村”和村级“星级评定”、庭院整治暨庭院经济创评活动。</w:t>
      </w:r>
      <w:r>
        <w:rPr>
          <w:rFonts w:hint="eastAsia" w:ascii="仿宋_GB2312" w:hAnsi="仿宋_GB2312" w:eastAsia="仿宋_GB2312" w:cs="仿宋_GB2312"/>
          <w:sz w:val="32"/>
          <w:szCs w:val="32"/>
          <w:lang w:val="en-US" w:eastAsia="zh-CN"/>
        </w:rPr>
        <w:t>深入开展“讲文明、树新风”活动，充分发挥道德模范的榜样作用，着力提升公民思想道德素质。</w:t>
      </w:r>
    </w:p>
    <w:p w14:paraId="37BB6D8C">
      <w:pPr>
        <w:numPr>
          <w:ilvl w:val="0"/>
          <w:numId w:val="0"/>
        </w:numPr>
        <w:ind w:firstLine="643"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9.人大工作方面。一是</w:t>
      </w:r>
      <w:r>
        <w:rPr>
          <w:rFonts w:hint="eastAsia" w:ascii="仿宋_GB2312" w:hAnsi="仿宋_GB2312" w:eastAsia="仿宋_GB2312" w:cs="仿宋_GB2312"/>
          <w:sz w:val="32"/>
          <w:szCs w:val="32"/>
          <w:lang w:val="en-US" w:eastAsia="zh-CN"/>
        </w:rPr>
        <w:t>积极组织代表开展活动。乡人大主席团进一步建立完善“代表联络站”，以“代表联络站”为阵地，主动为代表依法履行职权提供便利，帮助协调人民代表解决“涉代”的热点难点问题以及代表工作学习与生产生活中遇到的实际困难，使之成为闭会期间开展代表活动，研究代表工作，加强学习交流沟通的平台，确保代表小组活动内容更加丰富、主题更加明确、效果更加明显。</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依法履行工作职责，乡第</w:t>
      </w:r>
      <w:r>
        <w:rPr>
          <w:rFonts w:hint="eastAsia" w:ascii="仿宋_GB2312" w:hAnsi="仿宋_GB2312" w:eastAsia="仿宋_GB2312" w:cs="仿宋_GB2312"/>
          <w:b w:val="0"/>
          <w:bCs w:val="0"/>
          <w:color w:val="000000"/>
          <w:sz w:val="32"/>
          <w:szCs w:val="32"/>
          <w:lang w:val="en-US" w:eastAsia="zh-CN"/>
        </w:rPr>
        <w:t>四届</w:t>
      </w:r>
      <w:r>
        <w:rPr>
          <w:rFonts w:hint="eastAsia" w:ascii="仿宋_GB2312" w:hAnsi="仿宋_GB2312" w:eastAsia="仿宋_GB2312" w:cs="仿宋_GB2312"/>
          <w:b w:val="0"/>
          <w:bCs w:val="0"/>
          <w:sz w:val="32"/>
          <w:szCs w:val="32"/>
          <w:lang w:val="en-US" w:eastAsia="zh-CN"/>
        </w:rPr>
        <w:t>人民代表大会第四次会议期间，收到代表建议</w:t>
      </w:r>
      <w:r>
        <w:rPr>
          <w:rFonts w:hint="eastAsia" w:ascii="仿宋_GB2312" w:hAnsi="仿宋_GB2312" w:eastAsia="仿宋_GB2312" w:cs="仿宋_GB2312"/>
          <w:b w:val="0"/>
          <w:bCs w:val="0"/>
          <w:color w:val="000000"/>
          <w:sz w:val="32"/>
          <w:szCs w:val="32"/>
          <w:lang w:val="en-US" w:eastAsia="zh-CN"/>
        </w:rPr>
        <w:t>21</w:t>
      </w:r>
      <w:r>
        <w:rPr>
          <w:rFonts w:hint="eastAsia" w:ascii="仿宋_GB2312" w:hAnsi="仿宋_GB2312" w:eastAsia="仿宋_GB2312" w:cs="仿宋_GB2312"/>
          <w:b w:val="0"/>
          <w:bCs w:val="0"/>
          <w:sz w:val="32"/>
          <w:szCs w:val="32"/>
          <w:lang w:val="en-US" w:eastAsia="zh-CN"/>
        </w:rPr>
        <w:t>件，主要涉及道路交通、用电用水、基础设施建设等群众关心的热点、难点问题。乡人大主席团高度重视将这些建议进行了认真梳理、分类，及时转交乡人民政府落实办理，问题得到了及时有效的解决和办理。</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积极推动重点项目建设。乡人大围绕党委、政府确定的重点工程项目，充分发挥人大工作职能，主动参与重点工程推进、协调等工作。</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加大重大工程项目质量监督，组织县人大代表、乡人大代表深入各村，就今年的民生工程推进情况、工程建设质量进行了监督检查。对交通扶贫项目、暖棚建设、查尔玛乡基层政权建设等项目推进情况进行了实地查看，及时指出了部分项目实施中存在的问题，并要求施工方进行立即整改。从而使代表的监督作用得到了充分发挥。</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加大环境综合整治工作监督，乡人大代表积极参加乡党委、政府组织的环境卫生综合整治活动，对全乡辖区道路沿线的露天垃圾、河道水草、公厕保洁、吊脚楼等卫生死角问题进行大整治。</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b w:val="0"/>
          <w:bCs w:val="0"/>
          <w:sz w:val="32"/>
          <w:szCs w:val="32"/>
          <w:lang w:val="en-US" w:eastAsia="zh-CN"/>
        </w:rPr>
        <w:t>加强疫情防控。疫情期间，在乡人大的组织下，各级人大代第一时间迅速行动，配合查尔玛乡党委、政府及人大主席团，积极开展疫情防控工作，坚守岗位、履职尽责、捐款捐物，疫情期间，查尔玛乡各级人大代表向疫区共计捐赠资金3050元，用善心义举支援疫区人民及我乡防控一线工作人员，展现新时代人大代表的责任与担当。</w:t>
      </w:r>
    </w:p>
    <w:p w14:paraId="01BFFDC8">
      <w:pPr>
        <w:pStyle w:val="4"/>
        <w:bidi w:val="0"/>
        <w:rPr>
          <w:rFonts w:hint="eastAsia"/>
        </w:rPr>
      </w:pPr>
      <w:bookmarkStart w:id="13" w:name="_Toc27980"/>
      <w:bookmarkStart w:id="14" w:name="_Toc23173"/>
      <w:r>
        <w:rPr>
          <w:rFonts w:hint="eastAsia"/>
        </w:rPr>
        <w:t>二、机构设置</w:t>
      </w:r>
      <w:bookmarkEnd w:id="13"/>
      <w:bookmarkEnd w:id="14"/>
    </w:p>
    <w:p w14:paraId="0BEE965E">
      <w:pPr>
        <w:pStyle w:val="6"/>
        <w:bidi w:val="0"/>
        <w:rPr>
          <w:rFonts w:hint="eastAsia"/>
        </w:rPr>
      </w:pPr>
      <w:r>
        <w:rPr>
          <w:rFonts w:hint="eastAsia"/>
        </w:rPr>
        <w:t>阿坝州红原县查尔玛乡人民政府下属二级单位</w:t>
      </w:r>
      <w:r>
        <w:rPr>
          <w:rFonts w:hint="eastAsia"/>
          <w:lang w:val="en-US" w:eastAsia="zh-CN"/>
        </w:rPr>
        <w:t>2</w:t>
      </w:r>
      <w:r>
        <w:rPr>
          <w:rFonts w:hint="eastAsia"/>
        </w:rPr>
        <w:t>个，其中行政单位</w:t>
      </w:r>
      <w:r>
        <w:rPr>
          <w:rFonts w:hint="eastAsia"/>
          <w:lang w:val="en-US" w:eastAsia="zh-CN"/>
        </w:rPr>
        <w:t>1</w:t>
      </w:r>
      <w:r>
        <w:rPr>
          <w:rFonts w:hint="eastAsia"/>
        </w:rPr>
        <w:t>个，参照公务员法管理的事业单位</w:t>
      </w:r>
      <w:r>
        <w:rPr>
          <w:rFonts w:hint="eastAsia"/>
          <w:lang w:val="en-US" w:eastAsia="zh-CN"/>
        </w:rPr>
        <w:t>1</w:t>
      </w:r>
      <w:r>
        <w:rPr>
          <w:rFonts w:hint="eastAsia"/>
        </w:rPr>
        <w:t>个，其他事业单位</w:t>
      </w:r>
      <w:r>
        <w:rPr>
          <w:rFonts w:hint="eastAsia"/>
          <w:lang w:val="en-US" w:eastAsia="zh-CN"/>
        </w:rPr>
        <w:t>0</w:t>
      </w:r>
      <w:r>
        <w:rPr>
          <w:rFonts w:hint="eastAsia"/>
        </w:rPr>
        <w:t>个。</w:t>
      </w:r>
    </w:p>
    <w:p w14:paraId="4750D964">
      <w:pPr>
        <w:pStyle w:val="6"/>
        <w:bidi w:val="0"/>
        <w:rPr>
          <w:rFonts w:hint="eastAsia"/>
        </w:rPr>
      </w:pPr>
      <w:r>
        <w:rPr>
          <w:rFonts w:hint="eastAsia"/>
        </w:rPr>
        <w:t>纳入阿坝州红原县查尔玛乡人民政府2020年度部门决算编制范围的二级预算单位包括：</w:t>
      </w:r>
    </w:p>
    <w:p w14:paraId="48F6BCA6">
      <w:pPr>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sz w:val="32"/>
          <w:szCs w:val="32"/>
          <w:lang w:val="en-US" w:eastAsia="zh-CN"/>
        </w:rPr>
        <w:t>中共红原县查尔玛乡委员会</w:t>
      </w:r>
    </w:p>
    <w:p w14:paraId="496A7952">
      <w:pPr>
        <w:spacing w:line="640" w:lineRule="exact"/>
        <w:ind w:firstLine="640" w:firstLineChars="200"/>
        <w:rPr>
          <w:rStyle w:val="16"/>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lang w:val="en-US" w:eastAsia="zh-CN"/>
        </w:rPr>
        <w:t>红原县查尔玛乡人民政府</w:t>
      </w:r>
    </w:p>
    <w:p w14:paraId="38A8F0D4">
      <w:pPr>
        <w:pStyle w:val="3"/>
        <w:bidi w:val="0"/>
        <w:outlineLvl w:val="9"/>
        <w:rPr>
          <w:rFonts w:hint="eastAsia"/>
        </w:rPr>
      </w:pPr>
    </w:p>
    <w:p w14:paraId="57B19FE8">
      <w:pPr>
        <w:pStyle w:val="3"/>
        <w:bidi w:val="0"/>
        <w:outlineLvl w:val="9"/>
        <w:rPr>
          <w:rFonts w:hint="eastAsia"/>
        </w:rPr>
      </w:pPr>
    </w:p>
    <w:p w14:paraId="6C6599D7">
      <w:pPr>
        <w:pStyle w:val="3"/>
        <w:bidi w:val="0"/>
        <w:outlineLvl w:val="9"/>
        <w:rPr>
          <w:rFonts w:hint="eastAsia"/>
        </w:rPr>
      </w:pPr>
    </w:p>
    <w:p w14:paraId="129EA681">
      <w:pPr>
        <w:pStyle w:val="3"/>
        <w:bidi w:val="0"/>
        <w:jc w:val="both"/>
        <w:outlineLvl w:val="9"/>
        <w:rPr>
          <w:rFonts w:hint="eastAsia"/>
        </w:rPr>
      </w:pPr>
    </w:p>
    <w:p w14:paraId="02A18054">
      <w:pPr>
        <w:rPr>
          <w:rFonts w:hint="eastAsia"/>
        </w:rPr>
      </w:pPr>
    </w:p>
    <w:p w14:paraId="559FA119">
      <w:pPr>
        <w:pStyle w:val="8"/>
        <w:rPr>
          <w:rFonts w:hint="eastAsia"/>
        </w:rPr>
      </w:pPr>
    </w:p>
    <w:p w14:paraId="792C1495">
      <w:pPr>
        <w:rPr>
          <w:rFonts w:hint="eastAsia"/>
        </w:rPr>
      </w:pPr>
    </w:p>
    <w:p w14:paraId="7403CF0B">
      <w:pPr>
        <w:pStyle w:val="3"/>
        <w:bidi w:val="0"/>
      </w:pPr>
      <w:bookmarkStart w:id="15" w:name="_Toc13903"/>
      <w:bookmarkStart w:id="16" w:name="_Toc10495"/>
      <w:r>
        <w:rPr>
          <w:rFonts w:hint="eastAsia"/>
        </w:rPr>
        <w:t>第二部分 2020年度部门决算情况说明</w:t>
      </w:r>
      <w:bookmarkEnd w:id="15"/>
      <w:bookmarkEnd w:id="16"/>
    </w:p>
    <w:p w14:paraId="2B1B78DE">
      <w:pPr>
        <w:pStyle w:val="4"/>
        <w:bidi w:val="0"/>
        <w:rPr>
          <w:rFonts w:hint="eastAsia"/>
        </w:rPr>
      </w:pPr>
      <w:bookmarkStart w:id="17" w:name="_Toc21516"/>
      <w:bookmarkStart w:id="18" w:name="_Toc11393"/>
      <w:r>
        <w:rPr>
          <w:rFonts w:hint="eastAsia"/>
        </w:rPr>
        <w:t> 一、 收入支出决算总体情况说明</w:t>
      </w:r>
      <w:bookmarkEnd w:id="17"/>
      <w:bookmarkEnd w:id="18"/>
    </w:p>
    <w:p w14:paraId="72D87A70">
      <w:pPr>
        <w:pStyle w:val="6"/>
        <w:bidi w:val="0"/>
        <w:rPr>
          <w:rFonts w:hint="eastAsia"/>
        </w:rPr>
      </w:pPr>
      <w:r>
        <w:t xml:space="preserve">  </w:t>
      </w:r>
      <w:r>
        <w:rPr>
          <w:rFonts w:hint="eastAsia"/>
        </w:rPr>
        <w:t>2020年度收、支总计</w:t>
      </w:r>
      <w:r>
        <w:rPr>
          <w:rFonts w:hint="eastAsia"/>
          <w:lang w:val="en-US" w:eastAsia="zh-CN"/>
        </w:rPr>
        <w:t>2131.74</w:t>
      </w:r>
      <w:r>
        <w:rPr>
          <w:rFonts w:hint="eastAsia"/>
        </w:rPr>
        <w:t>万元。与2019年相比</w:t>
      </w:r>
      <w:r>
        <w:rPr>
          <w:rFonts w:hint="eastAsia"/>
          <w:lang w:val="en-US" w:eastAsia="zh-CN"/>
        </w:rPr>
        <w:t>，收总计减少369.41万元、增长54%。支总计增加90.54万元、增长10%。主要变动原因是项目增多。</w:t>
      </w:r>
    </w:p>
    <w:p w14:paraId="52188F0E">
      <w:pPr>
        <w:pStyle w:val="6"/>
        <w:bidi w:val="0"/>
        <w:jc w:val="center"/>
        <w:rPr>
          <w:rFonts w:hint="eastAsia"/>
        </w:rPr>
      </w:pPr>
      <w:r>
        <w:rPr>
          <w:rFonts w:hint="eastAsia"/>
        </w:rPr>
        <w:t>（图1：收、支决算总计变动情况图）（柱状图）</w:t>
      </w:r>
    </w:p>
    <w:p w14:paraId="202F954E">
      <w:pPr>
        <w:pStyle w:val="4"/>
        <w:bidi w:val="0"/>
        <w:rPr>
          <w:rFonts w:hint="eastAsia"/>
        </w:rPr>
      </w:pPr>
      <w:bookmarkStart w:id="19" w:name="_Toc21223"/>
      <w:bookmarkStart w:id="20" w:name="_Toc5229"/>
      <w:r>
        <w:drawing>
          <wp:anchor distT="0" distB="0" distL="114300" distR="114300" simplePos="0" relativeHeight="251659264" behindDoc="0" locked="0" layoutInCell="1" allowOverlap="1">
            <wp:simplePos x="0" y="0"/>
            <wp:positionH relativeFrom="column">
              <wp:posOffset>351155</wp:posOffset>
            </wp:positionH>
            <wp:positionV relativeFrom="paragraph">
              <wp:posOffset>22860</wp:posOffset>
            </wp:positionV>
            <wp:extent cx="4572000" cy="2743200"/>
            <wp:effectExtent l="4445" t="4445" r="1460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rPr>
        <w:t> 二、收入决算情况说明</w:t>
      </w:r>
      <w:bookmarkEnd w:id="19"/>
      <w:bookmarkEnd w:id="20"/>
    </w:p>
    <w:p w14:paraId="4342846A">
      <w:pPr>
        <w:pStyle w:val="6"/>
        <w:bidi w:val="0"/>
      </w:pPr>
      <w:r>
        <w:t xml:space="preserve">   </w:t>
      </w:r>
      <w:r>
        <w:rPr>
          <w:rFonts w:hint="eastAsia"/>
        </w:rPr>
        <w:t>2020年本年收入合计1,052.98万元，其中：一般公共预算财政拨款收入1,052.98万元，占 100.00%；政府性基金预算财政拨款收入0.00万元，占 0.00%；国有资本经营预算财政拨款收入0.00万元，占 0.00%;上级补助收入0.00万元，占 0.00%；事业收入0.00万元，占 0.00%；经营收入0.00万元，占 0.00%；附属单位上缴收入0.00万元，占 0.00%；其他收入0.00万元，占 0.00%。</w:t>
      </w:r>
    </w:p>
    <w:p w14:paraId="7F0E0DEC">
      <w:pPr>
        <w:pStyle w:val="6"/>
        <w:bidi w:val="0"/>
        <w:jc w:val="center"/>
        <w:rPr>
          <w:rFonts w:hint="eastAsia"/>
          <w:lang w:eastAsia="zh-CN"/>
        </w:rPr>
      </w:pPr>
      <w:r>
        <w:rPr>
          <w:rFonts w:hint="eastAsia"/>
        </w:rPr>
        <w:t>（图2：收入决算结构图）（饼状图）</w:t>
      </w:r>
    </w:p>
    <w:p w14:paraId="2DD5E9E6">
      <w:pPr>
        <w:pStyle w:val="4"/>
        <w:bidi w:val="0"/>
        <w:rPr>
          <w:rFonts w:hint="eastAsia"/>
        </w:rPr>
      </w:pPr>
      <w:bookmarkStart w:id="21" w:name="_Toc19457"/>
      <w:bookmarkStart w:id="22" w:name="_Toc657"/>
      <w:r>
        <w:rPr>
          <w:rFonts w:hint="eastAsia"/>
          <w:lang w:eastAsia="zh-CN"/>
        </w:rPr>
        <w:drawing>
          <wp:anchor distT="0" distB="0" distL="114300" distR="114300" simplePos="0" relativeHeight="251660288" behindDoc="0" locked="0" layoutInCell="1" allowOverlap="1">
            <wp:simplePos x="0" y="0"/>
            <wp:positionH relativeFrom="column">
              <wp:posOffset>527685</wp:posOffset>
            </wp:positionH>
            <wp:positionV relativeFrom="paragraph">
              <wp:posOffset>6985</wp:posOffset>
            </wp:positionV>
            <wp:extent cx="4218940" cy="2580005"/>
            <wp:effectExtent l="4445" t="5080" r="5715" b="571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rPr>
        <w:t>三、支出决算情况说明</w:t>
      </w:r>
      <w:bookmarkEnd w:id="21"/>
      <w:bookmarkEnd w:id="22"/>
    </w:p>
    <w:p w14:paraId="7676CC54">
      <w:pPr>
        <w:pStyle w:val="6"/>
        <w:bidi w:val="0"/>
      </w:pPr>
      <w:r>
        <w:t xml:space="preserve">   </w:t>
      </w:r>
      <w:r>
        <w:rPr>
          <w:rFonts w:hint="eastAsia"/>
        </w:rPr>
        <w:t>2020年本年支出合计1,078.7</w:t>
      </w:r>
      <w:r>
        <w:rPr>
          <w:rFonts w:hint="eastAsia"/>
          <w:lang w:val="en-US" w:eastAsia="zh-CN"/>
        </w:rPr>
        <w:t>6</w:t>
      </w:r>
      <w:r>
        <w:rPr>
          <w:rFonts w:hint="eastAsia"/>
        </w:rPr>
        <w:t>万元，其中：基本支出487.29万元，占 45.17%；项目支出591.48万元，占 54.83%；上缴上级支出0.00万元，占 0.00%；经营支出0.00万元，占 0.00%；对附属单位补助支出0.00万元，占 0.00%。</w:t>
      </w:r>
      <w:r>
        <w:t> </w:t>
      </w:r>
    </w:p>
    <w:p w14:paraId="73A3BDE3">
      <w:pPr>
        <w:pStyle w:val="6"/>
        <w:bidi w:val="0"/>
        <w:jc w:val="center"/>
      </w:pPr>
      <w:r>
        <w:rPr>
          <w:rFonts w:hint="eastAsia"/>
        </w:rPr>
        <w:t>（图3：支出决算结构图）（饼状图）</w:t>
      </w:r>
    </w:p>
    <w:p w14:paraId="1DDBDBC2">
      <w:pPr>
        <w:pStyle w:val="4"/>
        <w:bidi w:val="0"/>
        <w:rPr>
          <w:rFonts w:hint="eastAsia"/>
        </w:rPr>
      </w:pPr>
      <w:bookmarkStart w:id="23" w:name="_Toc30237"/>
      <w:bookmarkStart w:id="24" w:name="_Toc24227"/>
      <w:r>
        <w:drawing>
          <wp:anchor distT="0" distB="0" distL="114300" distR="114300" simplePos="0" relativeHeight="251661312" behindDoc="0" locked="0" layoutInCell="1" allowOverlap="1">
            <wp:simplePos x="0" y="0"/>
            <wp:positionH relativeFrom="column">
              <wp:posOffset>356235</wp:posOffset>
            </wp:positionH>
            <wp:positionV relativeFrom="paragraph">
              <wp:posOffset>12065</wp:posOffset>
            </wp:positionV>
            <wp:extent cx="4561840" cy="2743200"/>
            <wp:effectExtent l="4445" t="5080" r="5715" b="13970"/>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rPr>
        <w:t>四、财政拨款收入支出决算总体情况说明</w:t>
      </w:r>
      <w:bookmarkEnd w:id="23"/>
      <w:bookmarkEnd w:id="24"/>
    </w:p>
    <w:p w14:paraId="5BC2096D">
      <w:pPr>
        <w:pStyle w:val="6"/>
        <w:bidi w:val="0"/>
      </w:pPr>
      <w:r>
        <w:t xml:space="preserve">  </w:t>
      </w:r>
      <w:r>
        <w:rPr>
          <w:rFonts w:hint="eastAsia"/>
        </w:rPr>
        <w:t>2020年财政拨款收、支总计</w:t>
      </w:r>
      <w:r>
        <w:rPr>
          <w:rFonts w:hint="eastAsia"/>
          <w:lang w:val="en-US" w:eastAsia="zh-CN"/>
        </w:rPr>
        <w:t>2131.74</w:t>
      </w:r>
      <w:r>
        <w:rPr>
          <w:rFonts w:hint="eastAsia"/>
        </w:rPr>
        <w:t>万元。与2019年相比</w:t>
      </w:r>
      <w:r>
        <w:rPr>
          <w:rFonts w:hint="eastAsia"/>
          <w:lang w:val="en-US" w:eastAsia="zh-CN"/>
        </w:rPr>
        <w:t>，收总计减少369.41万元、增长54%。支总计增加90.54万元、增长10%。主要变动原因是项目增多。</w:t>
      </w:r>
      <w:r>
        <w:t> </w:t>
      </w:r>
    </w:p>
    <w:p w14:paraId="0CAB45D1">
      <w:pPr>
        <w:pStyle w:val="6"/>
        <w:bidi w:val="0"/>
        <w:jc w:val="center"/>
      </w:pPr>
      <w:r>
        <w:rPr>
          <w:rFonts w:hint="eastAsia"/>
        </w:rPr>
        <w:t>（图4：财政拨款收、支决算总计变动情况）（柱状图）</w:t>
      </w:r>
    </w:p>
    <w:p w14:paraId="673B2C15">
      <w:pPr>
        <w:pStyle w:val="4"/>
        <w:bidi w:val="0"/>
        <w:rPr>
          <w:rFonts w:hint="eastAsia"/>
        </w:rPr>
      </w:pPr>
      <w:bookmarkStart w:id="25" w:name="_Toc4738"/>
      <w:bookmarkStart w:id="26" w:name="_Toc20512"/>
      <w:r>
        <w:drawing>
          <wp:anchor distT="0" distB="0" distL="114300" distR="114300" simplePos="0" relativeHeight="251662336" behindDoc="0" locked="0" layoutInCell="1" allowOverlap="1">
            <wp:simplePos x="0" y="0"/>
            <wp:positionH relativeFrom="column">
              <wp:posOffset>351155</wp:posOffset>
            </wp:positionH>
            <wp:positionV relativeFrom="paragraph">
              <wp:posOffset>7620</wp:posOffset>
            </wp:positionV>
            <wp:extent cx="4572000" cy="2743200"/>
            <wp:effectExtent l="4445" t="4445" r="14605" b="14605"/>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rPr>
        <w:t>五、一般公共预算财政拨款支出决算情况说明</w:t>
      </w:r>
      <w:bookmarkEnd w:id="25"/>
      <w:bookmarkEnd w:id="26"/>
    </w:p>
    <w:p w14:paraId="3BDFE039">
      <w:pPr>
        <w:pStyle w:val="5"/>
        <w:bidi w:val="0"/>
        <w:rPr>
          <w:rFonts w:hint="eastAsia"/>
        </w:rPr>
      </w:pPr>
      <w:r>
        <w:rPr>
          <w:rFonts w:hint="eastAsia"/>
        </w:rPr>
        <w:t>（一）一般公共预算财政拨款支出决算总体情况</w:t>
      </w:r>
    </w:p>
    <w:p w14:paraId="4AD12B5C">
      <w:pPr>
        <w:pStyle w:val="6"/>
        <w:bidi w:val="0"/>
        <w:rPr>
          <w:rFonts w:hint="eastAsia"/>
        </w:rPr>
      </w:pPr>
      <w:r>
        <w:t xml:space="preserve">   </w:t>
      </w:r>
      <w:r>
        <w:rPr>
          <w:rFonts w:hint="eastAsia"/>
        </w:rPr>
        <w:t>2020年一般公共预算财政拨款支出1,078.76万元，占本年支出合计的 100.00%。与2019年相比，一般公共预算财政拨款增加 98.69万元，增长10.07%。主要变动原因是</w:t>
      </w:r>
      <w:r>
        <w:rPr>
          <w:rFonts w:hint="eastAsia"/>
          <w:lang w:eastAsia="zh-CN"/>
        </w:rPr>
        <w:t>项目增加。</w:t>
      </w:r>
    </w:p>
    <w:p w14:paraId="2BB15170">
      <w:pPr>
        <w:pStyle w:val="6"/>
        <w:bidi w:val="0"/>
        <w:jc w:val="center"/>
        <w:rPr>
          <w:rFonts w:hint="eastAsia"/>
        </w:rPr>
      </w:pPr>
      <w:r>
        <w:rPr>
          <w:rFonts w:hint="eastAsia"/>
        </w:rPr>
        <w:t>（图5：一般公共预算财政拨款支出决算变动情况）</w:t>
      </w:r>
    </w:p>
    <w:p w14:paraId="332DD6DF">
      <w:pPr>
        <w:pStyle w:val="6"/>
        <w:bidi w:val="0"/>
        <w:jc w:val="center"/>
      </w:pPr>
      <w:r>
        <w:drawing>
          <wp:anchor distT="0" distB="0" distL="114300" distR="114300" simplePos="0" relativeHeight="251663360" behindDoc="0" locked="0" layoutInCell="1" allowOverlap="1">
            <wp:simplePos x="0" y="0"/>
            <wp:positionH relativeFrom="column">
              <wp:posOffset>351155</wp:posOffset>
            </wp:positionH>
            <wp:positionV relativeFrom="paragraph">
              <wp:posOffset>372110</wp:posOffset>
            </wp:positionV>
            <wp:extent cx="4572000" cy="1545590"/>
            <wp:effectExtent l="4445" t="4445" r="14605" b="1206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rPr>
        <w:t>（柱状图）</w:t>
      </w:r>
    </w:p>
    <w:p w14:paraId="20D023F8">
      <w:pPr>
        <w:pStyle w:val="5"/>
        <w:bidi w:val="0"/>
        <w:rPr>
          <w:rFonts w:hint="eastAsia"/>
        </w:rPr>
      </w:pPr>
      <w:r>
        <w:rPr>
          <w:rFonts w:hint="eastAsia"/>
        </w:rPr>
        <w:t>（二）一般公共预算财政拨款支出决算结构情况</w:t>
      </w:r>
    </w:p>
    <w:p w14:paraId="05937001">
      <w:pPr>
        <w:pStyle w:val="6"/>
        <w:bidi w:val="0"/>
      </w:pPr>
      <w:r>
        <w:t>  </w:t>
      </w:r>
      <w:r>
        <w:rPr>
          <w:rFonts w:hint="eastAsia"/>
        </w:rPr>
        <w:t xml:space="preserve"> 2020年一般公共预算财政拨款支出1,078.76万元，主要用于以下方面:</w:t>
      </w:r>
      <w:r>
        <w:rPr>
          <w:rFonts w:hint="eastAsia"/>
          <w:b/>
          <w:bCs/>
        </w:rPr>
        <w:t>一般公共服务（类）支出</w:t>
      </w:r>
      <w:r>
        <w:rPr>
          <w:rFonts w:hint="eastAsia"/>
        </w:rPr>
        <w:t>427.13万元，占39.59%；</w:t>
      </w:r>
      <w:r>
        <w:rPr>
          <w:rFonts w:hint="eastAsia" w:cs="宋体"/>
          <w:b/>
          <w:bCs/>
        </w:rPr>
        <w:t>外交支出（类）</w:t>
      </w:r>
      <w:r>
        <w:rPr>
          <w:rFonts w:hint="eastAsia"/>
        </w:rPr>
        <w:t>0.00万元，占0.00%，</w:t>
      </w:r>
      <w:r>
        <w:rPr>
          <w:rFonts w:hint="eastAsia" w:cs="宋体"/>
          <w:b/>
          <w:bCs/>
        </w:rPr>
        <w:t>国防支出（类）</w:t>
      </w:r>
      <w:r>
        <w:rPr>
          <w:rFonts w:hint="eastAsia"/>
        </w:rPr>
        <w:t>0.00万元，占0.00%；</w:t>
      </w:r>
      <w:r>
        <w:rPr>
          <w:rFonts w:hint="eastAsia" w:cs="宋体"/>
          <w:b/>
          <w:bCs/>
        </w:rPr>
        <w:t>公共安全支出（类）</w:t>
      </w:r>
      <w:r>
        <w:rPr>
          <w:rFonts w:hint="eastAsia" w:cs="宋体"/>
          <w:b w:val="0"/>
          <w:bCs w:val="0"/>
        </w:rPr>
        <w:t>0.00万元</w:t>
      </w:r>
      <w:r>
        <w:rPr>
          <w:rFonts w:hint="eastAsia"/>
        </w:rPr>
        <w:t>，占0.00%；</w:t>
      </w:r>
      <w:r>
        <w:rPr>
          <w:rFonts w:hint="eastAsia" w:cs="宋体"/>
          <w:b/>
          <w:bCs/>
        </w:rPr>
        <w:t>教育支出（类）</w:t>
      </w:r>
      <w:r>
        <w:rPr>
          <w:rFonts w:hint="eastAsia"/>
        </w:rPr>
        <w:t>0.00万元，占0.00%；</w:t>
      </w:r>
      <w:r>
        <w:rPr>
          <w:rFonts w:hint="eastAsia" w:cs="宋体"/>
          <w:b/>
          <w:bCs/>
        </w:rPr>
        <w:t>科学技术（类）支出</w:t>
      </w:r>
      <w:r>
        <w:rPr>
          <w:rFonts w:hint="eastAsia"/>
        </w:rPr>
        <w:t>0.00万元，占0.00%；</w:t>
      </w:r>
      <w:r>
        <w:rPr>
          <w:rFonts w:hint="eastAsia" w:cs="宋体"/>
          <w:b/>
          <w:bCs/>
        </w:rPr>
        <w:t>文化旅游体育与传媒（类）支出</w:t>
      </w:r>
      <w:r>
        <w:rPr>
          <w:rFonts w:hint="eastAsia"/>
        </w:rPr>
        <w:t>0.00万元，占0.00%；</w:t>
      </w:r>
      <w:r>
        <w:rPr>
          <w:rFonts w:hint="eastAsia" w:cs="宋体"/>
          <w:b/>
          <w:bCs/>
        </w:rPr>
        <w:t>社会保障和就业（类）支出</w:t>
      </w:r>
      <w:r>
        <w:rPr>
          <w:rFonts w:hint="eastAsia"/>
        </w:rPr>
        <w:t>138.13万元，占12.80%；</w:t>
      </w:r>
      <w:r>
        <w:rPr>
          <w:rFonts w:hint="eastAsia" w:cs="宋体"/>
          <w:b/>
          <w:bCs/>
        </w:rPr>
        <w:t>卫生健康支出（类）</w:t>
      </w:r>
      <w:r>
        <w:rPr>
          <w:rFonts w:hint="eastAsia"/>
        </w:rPr>
        <w:t>31.58万元，占2.93%%；</w:t>
      </w:r>
      <w:r>
        <w:rPr>
          <w:rFonts w:hint="eastAsia" w:cs="宋体"/>
          <w:b/>
          <w:bCs/>
        </w:rPr>
        <w:t>节能环保支出（类）</w:t>
      </w:r>
      <w:r>
        <w:rPr>
          <w:rFonts w:hint="eastAsia"/>
        </w:rPr>
        <w:t>169.58万元，占15.72%；</w:t>
      </w:r>
      <w:r>
        <w:rPr>
          <w:rFonts w:hint="eastAsia" w:cs="宋体"/>
          <w:b/>
          <w:bCs/>
        </w:rPr>
        <w:t>城乡社区支出（类）</w:t>
      </w:r>
      <w:r>
        <w:rPr>
          <w:rFonts w:hint="eastAsia"/>
        </w:rPr>
        <w:t>5.96万元，占0.55%；</w:t>
      </w:r>
      <w:r>
        <w:rPr>
          <w:rFonts w:hint="eastAsia" w:cs="宋体"/>
          <w:b/>
          <w:bCs/>
        </w:rPr>
        <w:t>农林水支出（类）</w:t>
      </w:r>
      <w:r>
        <w:rPr>
          <w:rFonts w:hint="eastAsia"/>
        </w:rPr>
        <w:t>267.67万元，占24.81%；</w:t>
      </w:r>
      <w:r>
        <w:rPr>
          <w:rFonts w:hint="eastAsia" w:cs="宋体"/>
          <w:b/>
          <w:bCs/>
        </w:rPr>
        <w:t>交通运输支出（类）</w:t>
      </w:r>
      <w:r>
        <w:rPr>
          <w:rFonts w:hint="eastAsia"/>
        </w:rPr>
        <w:t>0.00万元，占0.00%；</w:t>
      </w:r>
      <w:r>
        <w:rPr>
          <w:rFonts w:hint="eastAsia" w:cs="宋体"/>
          <w:b/>
          <w:bCs/>
        </w:rPr>
        <w:t>资源勘探信息等支出（类）</w:t>
      </w:r>
      <w:r>
        <w:rPr>
          <w:rFonts w:hint="eastAsia"/>
        </w:rPr>
        <w:t>0.00万元，占0.00%；</w:t>
      </w:r>
      <w:r>
        <w:rPr>
          <w:rFonts w:hint="eastAsia" w:cs="宋体"/>
          <w:b/>
          <w:bCs/>
        </w:rPr>
        <w:t>商业服务业等支出（类）</w:t>
      </w:r>
      <w:r>
        <w:rPr>
          <w:rFonts w:hint="eastAsia"/>
        </w:rPr>
        <w:t>0.00万元，占0.00%；</w:t>
      </w:r>
      <w:r>
        <w:rPr>
          <w:rFonts w:hint="eastAsia" w:cs="宋体"/>
          <w:b/>
          <w:bCs/>
        </w:rPr>
        <w:t>金融支出（类）</w:t>
      </w:r>
      <w:r>
        <w:rPr>
          <w:rFonts w:hint="eastAsia"/>
        </w:rPr>
        <w:t>0.00万元，占0.00%；</w:t>
      </w:r>
      <w:r>
        <w:rPr>
          <w:rFonts w:hint="eastAsia" w:cs="宋体"/>
          <w:b/>
          <w:bCs/>
        </w:rPr>
        <w:t>援助其他地区支出（类）</w:t>
      </w:r>
      <w:r>
        <w:rPr>
          <w:rFonts w:hint="eastAsia"/>
        </w:rPr>
        <w:t>0.00万元，占0.00%；</w:t>
      </w:r>
      <w:r>
        <w:rPr>
          <w:rFonts w:hint="eastAsia" w:cs="宋体"/>
          <w:b/>
          <w:bCs/>
        </w:rPr>
        <w:t>自然资源海洋气象等支出（类）</w:t>
      </w:r>
      <w:r>
        <w:rPr>
          <w:rFonts w:hint="eastAsia"/>
        </w:rPr>
        <w:t>0.00万元，占0.00%；</w:t>
      </w:r>
      <w:r>
        <w:rPr>
          <w:rFonts w:hint="eastAsia" w:cs="宋体"/>
          <w:b/>
          <w:bCs/>
        </w:rPr>
        <w:t>住房保障支出（类）</w:t>
      </w:r>
      <w:r>
        <w:rPr>
          <w:rFonts w:hint="eastAsia"/>
        </w:rPr>
        <w:t>38.71万元，占3.59%；</w:t>
      </w:r>
      <w:r>
        <w:rPr>
          <w:rFonts w:hint="eastAsia" w:cs="宋体"/>
          <w:b/>
          <w:bCs/>
        </w:rPr>
        <w:t>粮油物资储备支出（类）</w:t>
      </w:r>
      <w:r>
        <w:rPr>
          <w:rFonts w:hint="eastAsia"/>
        </w:rPr>
        <w:t>0.00万元，占0.00%；</w:t>
      </w:r>
      <w:r>
        <w:rPr>
          <w:rFonts w:hint="eastAsia" w:cs="宋体"/>
          <w:b/>
          <w:bCs/>
        </w:rPr>
        <w:t>国有资本经营预算支出（类）</w:t>
      </w:r>
      <w:r>
        <w:rPr>
          <w:rFonts w:hint="eastAsia"/>
        </w:rPr>
        <w:t>0.00万元，占0.00%；</w:t>
      </w:r>
      <w:r>
        <w:rPr>
          <w:rFonts w:hint="eastAsia" w:cs="宋体"/>
          <w:b/>
          <w:bCs/>
        </w:rPr>
        <w:t>灾害防治及应急管理支出（类）</w:t>
      </w:r>
      <w:r>
        <w:rPr>
          <w:rFonts w:hint="eastAsia"/>
        </w:rPr>
        <w:t>0.00万元，占0.00%；</w:t>
      </w:r>
      <w:r>
        <w:rPr>
          <w:rFonts w:hint="eastAsia" w:cs="宋体"/>
          <w:b/>
          <w:bCs/>
        </w:rPr>
        <w:t>其他支出（类）</w:t>
      </w:r>
      <w:r>
        <w:rPr>
          <w:rFonts w:hint="eastAsia"/>
        </w:rPr>
        <w:t>0.00万元，占0.00%；</w:t>
      </w:r>
      <w:r>
        <w:rPr>
          <w:rFonts w:hint="eastAsia" w:cs="宋体"/>
          <w:b/>
          <w:bCs/>
        </w:rPr>
        <w:t>债务还本支出（类）</w:t>
      </w:r>
      <w:r>
        <w:rPr>
          <w:rFonts w:hint="eastAsia"/>
        </w:rPr>
        <w:t>0.00万元，占0.00%；</w:t>
      </w:r>
      <w:r>
        <w:rPr>
          <w:rFonts w:hint="eastAsia" w:cs="宋体"/>
          <w:b/>
          <w:bCs/>
        </w:rPr>
        <w:t>债务付息支出（类）</w:t>
      </w:r>
      <w:r>
        <w:rPr>
          <w:rFonts w:hint="eastAsia"/>
        </w:rPr>
        <w:t>0.00万元，占0.00%；</w:t>
      </w:r>
      <w:r>
        <w:rPr>
          <w:rFonts w:hint="eastAsia" w:cs="宋体"/>
          <w:b/>
          <w:bCs/>
        </w:rPr>
        <w:t>抗役特别国债安排的支出（类）</w:t>
      </w:r>
      <w:r>
        <w:rPr>
          <w:rFonts w:hint="eastAsia"/>
        </w:rPr>
        <w:t>0.00万元，占0.00%。</w:t>
      </w:r>
    </w:p>
    <w:p w14:paraId="5FEC80FD">
      <w:pPr>
        <w:pStyle w:val="7"/>
        <w:bidi w:val="0"/>
        <w:ind w:left="0" w:leftChars="0" w:firstLine="0" w:firstLineChars="0"/>
        <w:jc w:val="center"/>
      </w:pPr>
      <w:r>
        <w:drawing>
          <wp:anchor distT="0" distB="0" distL="114300" distR="114300" simplePos="0" relativeHeight="251664384" behindDoc="0" locked="0" layoutInCell="1" allowOverlap="1">
            <wp:simplePos x="0" y="0"/>
            <wp:positionH relativeFrom="column">
              <wp:posOffset>332105</wp:posOffset>
            </wp:positionH>
            <wp:positionV relativeFrom="paragraph">
              <wp:posOffset>415925</wp:posOffset>
            </wp:positionV>
            <wp:extent cx="4572000" cy="2743200"/>
            <wp:effectExtent l="4445" t="4445" r="14605" b="14605"/>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rPr>
        <w:t>（图6：一般公共预算财政拨款支出决算结构）（饼状图）</w:t>
      </w:r>
    </w:p>
    <w:p w14:paraId="1685DBFF">
      <w:pPr>
        <w:pStyle w:val="5"/>
        <w:bidi w:val="0"/>
        <w:rPr>
          <w:rFonts w:hint="eastAsia"/>
        </w:rPr>
      </w:pPr>
      <w:r>
        <w:rPr>
          <w:rFonts w:hint="eastAsia"/>
        </w:rPr>
        <w:t>（三）一般公共预算财政拨款支出决算具体情况</w:t>
      </w:r>
    </w:p>
    <w:p w14:paraId="51DC7791">
      <w:pPr>
        <w:pStyle w:val="6"/>
        <w:bidi w:val="0"/>
        <w:rPr>
          <w:rFonts w:hint="eastAsia"/>
        </w:rPr>
      </w:pPr>
      <w:r>
        <w:t> </w:t>
      </w:r>
      <w:r>
        <w:rPr>
          <w:rFonts w:hint="eastAsia"/>
        </w:rPr>
        <w:t xml:space="preserve"> 2020年一般公共预算支出决算数为1,078.76，完成预算89.64%。其中：</w:t>
      </w:r>
    </w:p>
    <w:p w14:paraId="38732A52">
      <w:pPr>
        <w:pStyle w:val="6"/>
        <w:bidi w:val="0"/>
        <w:rPr>
          <w:rFonts w:hint="eastAsia"/>
        </w:rPr>
      </w:pPr>
      <w:r>
        <w:rPr>
          <w:rFonts w:hint="eastAsia"/>
          <w:b/>
          <w:bCs/>
        </w:rPr>
        <w:t> 1.一般公共服务</w:t>
      </w:r>
      <w:r>
        <w:rPr>
          <w:rFonts w:hint="eastAsia"/>
          <w:b/>
          <w:bCs/>
          <w:lang w:val="en-US" w:eastAsia="zh-CN"/>
        </w:rPr>
        <w:t>201</w:t>
      </w:r>
      <w:r>
        <w:rPr>
          <w:rFonts w:hint="eastAsia"/>
          <w:b/>
          <w:bCs/>
        </w:rPr>
        <w:t>:</w:t>
      </w:r>
      <w:r>
        <w:rPr>
          <w:rFonts w:hint="eastAsia"/>
        </w:rPr>
        <w:t xml:space="preserve"> 支出决算为</w:t>
      </w:r>
      <w:r>
        <w:rPr>
          <w:rFonts w:hint="eastAsia"/>
          <w:lang w:val="en-US" w:eastAsia="zh-CN"/>
        </w:rPr>
        <w:t>427.11</w:t>
      </w:r>
      <w:r>
        <w:rPr>
          <w:rFonts w:hint="eastAsia"/>
        </w:rPr>
        <w:t>万元，完成预算</w:t>
      </w:r>
      <w:r>
        <w:rPr>
          <w:rFonts w:hint="eastAsia"/>
          <w:lang w:val="en-US" w:eastAsia="zh-CN"/>
        </w:rPr>
        <w:t>100</w:t>
      </w:r>
      <w:r>
        <w:rPr>
          <w:rFonts w:hint="eastAsia"/>
        </w:rPr>
        <w:t>%，决算数</w:t>
      </w:r>
      <w:r>
        <w:rPr>
          <w:rFonts w:hint="eastAsia"/>
          <w:lang w:eastAsia="zh-CN"/>
        </w:rPr>
        <w:t>大于</w:t>
      </w:r>
      <w:r>
        <w:rPr>
          <w:rFonts w:hint="eastAsia"/>
        </w:rPr>
        <w:t>预算数</w:t>
      </w:r>
      <w:r>
        <w:rPr>
          <w:rFonts w:hint="eastAsia"/>
          <w:lang w:eastAsia="zh-CN"/>
        </w:rPr>
        <w:t>的主要原因是项目增加</w:t>
      </w:r>
      <w:r>
        <w:rPr>
          <w:rFonts w:hint="eastAsia"/>
        </w:rPr>
        <w:t>。</w:t>
      </w:r>
    </w:p>
    <w:p w14:paraId="0F141CF8">
      <w:pPr>
        <w:pStyle w:val="6"/>
        <w:bidi w:val="0"/>
        <w:rPr>
          <w:rFonts w:hint="eastAsia"/>
        </w:rPr>
      </w:pPr>
      <w:r>
        <w:rPr>
          <w:rFonts w:hint="eastAsia" w:cs="宋体"/>
          <w:b/>
          <w:bCs/>
        </w:rPr>
        <w:t> 2.</w:t>
      </w:r>
      <w:r>
        <w:rPr>
          <w:rFonts w:hint="eastAsia" w:cs="宋体"/>
          <w:b/>
          <w:bCs/>
          <w:lang w:val="en-US" w:eastAsia="zh-CN"/>
        </w:rPr>
        <w:t>人大事务20101：</w:t>
      </w:r>
      <w:r>
        <w:rPr>
          <w:rFonts w:hint="eastAsia"/>
          <w:lang w:val="en-US" w:eastAsia="zh-CN"/>
        </w:rPr>
        <w:t>支出决算为18.10万元，完成预算100%。</w:t>
      </w:r>
    </w:p>
    <w:p w14:paraId="20203806">
      <w:pPr>
        <w:pStyle w:val="6"/>
        <w:bidi w:val="0"/>
        <w:rPr>
          <w:rFonts w:hint="eastAsia"/>
        </w:rPr>
      </w:pPr>
      <w:r>
        <w:rPr>
          <w:rFonts w:hint="eastAsia" w:cs="宋体"/>
          <w:b/>
          <w:bCs/>
        </w:rPr>
        <w:t> 3.</w:t>
      </w:r>
      <w:r>
        <w:rPr>
          <w:rFonts w:hint="eastAsia" w:cs="宋体"/>
          <w:b/>
          <w:bCs/>
          <w:lang w:val="en-US" w:eastAsia="zh-CN"/>
        </w:rPr>
        <w:t>行政运行2010101：</w:t>
      </w:r>
      <w:r>
        <w:rPr>
          <w:rFonts w:hint="eastAsia"/>
          <w:lang w:val="en-US" w:eastAsia="zh-CN"/>
        </w:rPr>
        <w:t>支出决算为16.02万元，完成预算100%。</w:t>
      </w:r>
    </w:p>
    <w:p w14:paraId="6ADA0F55">
      <w:pPr>
        <w:pStyle w:val="6"/>
        <w:bidi w:val="0"/>
        <w:rPr>
          <w:rFonts w:hint="eastAsia"/>
        </w:rPr>
      </w:pPr>
      <w:r>
        <w:rPr>
          <w:rFonts w:hint="eastAsia" w:cs="宋体"/>
          <w:b/>
          <w:bCs/>
        </w:rPr>
        <w:t> 4.</w:t>
      </w:r>
      <w:r>
        <w:rPr>
          <w:rFonts w:hint="eastAsia" w:cs="宋体"/>
          <w:b/>
          <w:bCs/>
          <w:lang w:eastAsia="zh-CN"/>
        </w:rPr>
        <w:t>一般行政管理事务</w:t>
      </w:r>
      <w:r>
        <w:rPr>
          <w:rFonts w:hint="eastAsia" w:cs="宋体"/>
          <w:b/>
          <w:bCs/>
          <w:lang w:val="en-US" w:eastAsia="zh-CN"/>
        </w:rPr>
        <w:t>2010102：</w:t>
      </w:r>
      <w:r>
        <w:rPr>
          <w:rFonts w:hint="eastAsia"/>
          <w:lang w:val="en-US" w:eastAsia="zh-CN"/>
        </w:rPr>
        <w:t>支出决算为2.08万元，完成预算100%</w:t>
      </w:r>
      <w:r>
        <w:rPr>
          <w:rFonts w:hint="eastAsia"/>
        </w:rPr>
        <w:t>。</w:t>
      </w:r>
    </w:p>
    <w:p w14:paraId="7360CE6B">
      <w:pPr>
        <w:pStyle w:val="6"/>
        <w:bidi w:val="0"/>
        <w:rPr>
          <w:rFonts w:hint="eastAsia"/>
        </w:rPr>
      </w:pPr>
      <w:r>
        <w:rPr>
          <w:rFonts w:hint="eastAsia" w:cs="宋体"/>
          <w:b/>
          <w:bCs/>
        </w:rPr>
        <w:t> 5.</w:t>
      </w:r>
      <w:r>
        <w:rPr>
          <w:rFonts w:hint="eastAsia" w:cs="宋体"/>
          <w:b/>
          <w:bCs/>
          <w:lang w:val="en-US" w:eastAsia="zh-CN"/>
        </w:rPr>
        <w:t>政府办公厅（室）及相关机构事务20103：</w:t>
      </w:r>
      <w:r>
        <w:rPr>
          <w:rFonts w:hint="eastAsia"/>
          <w:lang w:val="en-US" w:eastAsia="zh-CN"/>
        </w:rPr>
        <w:t>支出决算为341.60万元，完成预算100%。</w:t>
      </w:r>
    </w:p>
    <w:p w14:paraId="59AAFB8D">
      <w:pPr>
        <w:pStyle w:val="6"/>
        <w:bidi w:val="0"/>
        <w:rPr>
          <w:rFonts w:hint="eastAsia"/>
          <w:lang w:eastAsia="zh-CN"/>
        </w:rPr>
      </w:pPr>
      <w:r>
        <w:rPr>
          <w:rFonts w:hint="eastAsia" w:cs="宋体"/>
          <w:b/>
          <w:bCs/>
        </w:rPr>
        <w:t> 6.</w:t>
      </w:r>
      <w:r>
        <w:rPr>
          <w:rFonts w:hint="eastAsia" w:cs="宋体"/>
          <w:b/>
          <w:bCs/>
          <w:lang w:val="en-US" w:eastAsia="zh-CN"/>
        </w:rPr>
        <w:t>行政运行2010301：</w:t>
      </w:r>
      <w:r>
        <w:rPr>
          <w:rFonts w:hint="eastAsia"/>
          <w:lang w:val="en-US" w:eastAsia="zh-CN"/>
        </w:rPr>
        <w:t>支出决算为200.68万元，完成预算100%，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6EBFC872">
      <w:pPr>
        <w:pStyle w:val="6"/>
        <w:bidi w:val="0"/>
        <w:rPr>
          <w:rFonts w:hint="eastAsia"/>
          <w:lang w:eastAsia="zh-CN"/>
        </w:rPr>
      </w:pPr>
      <w:r>
        <w:rPr>
          <w:rFonts w:hint="eastAsia" w:cs="宋体"/>
          <w:b/>
          <w:bCs/>
        </w:rPr>
        <w:t> </w:t>
      </w:r>
      <w:r>
        <w:rPr>
          <w:rFonts w:hint="eastAsia" w:cs="宋体"/>
          <w:b/>
          <w:bCs/>
          <w:lang w:val="en-US" w:eastAsia="zh-CN"/>
        </w:rPr>
        <w:t>7</w:t>
      </w:r>
      <w:r>
        <w:rPr>
          <w:rFonts w:hint="eastAsia" w:cs="宋体"/>
          <w:b/>
          <w:bCs/>
        </w:rPr>
        <w:t>.</w:t>
      </w:r>
      <w:r>
        <w:rPr>
          <w:rFonts w:hint="eastAsia" w:cs="宋体"/>
          <w:b/>
          <w:bCs/>
          <w:lang w:val="en-US" w:eastAsia="zh-CN"/>
        </w:rPr>
        <w:t>一般行政管理事务2010302：</w:t>
      </w:r>
      <w:r>
        <w:rPr>
          <w:rFonts w:hint="eastAsia"/>
          <w:lang w:val="en-US" w:eastAsia="zh-CN"/>
        </w:rPr>
        <w:t>支出决算为58.87万元，完成预算100%，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728AC2F3">
      <w:pPr>
        <w:pStyle w:val="6"/>
        <w:bidi w:val="0"/>
        <w:rPr>
          <w:rFonts w:hint="eastAsia"/>
          <w:lang w:eastAsia="zh-CN"/>
        </w:rPr>
      </w:pPr>
      <w:r>
        <w:rPr>
          <w:rFonts w:hint="eastAsia" w:cs="宋体"/>
          <w:b/>
          <w:bCs/>
        </w:rPr>
        <w:t> </w:t>
      </w:r>
      <w:r>
        <w:rPr>
          <w:rFonts w:hint="eastAsia" w:cs="宋体"/>
          <w:b/>
          <w:bCs/>
          <w:lang w:val="en-US" w:eastAsia="zh-CN"/>
        </w:rPr>
        <w:t>8</w:t>
      </w:r>
      <w:r>
        <w:rPr>
          <w:rFonts w:hint="eastAsia" w:cs="宋体"/>
          <w:b/>
          <w:bCs/>
        </w:rPr>
        <w:t>.</w:t>
      </w:r>
      <w:r>
        <w:rPr>
          <w:rFonts w:hint="eastAsia" w:cs="宋体"/>
          <w:b/>
          <w:bCs/>
          <w:lang w:val="en-US" w:eastAsia="zh-CN"/>
        </w:rPr>
        <w:t>事业运行2010350：</w:t>
      </w:r>
      <w:r>
        <w:rPr>
          <w:rFonts w:hint="eastAsia"/>
          <w:lang w:val="en-US" w:eastAsia="zh-CN"/>
        </w:rPr>
        <w:t>支出决算为82.06万元，完成预算100%，完成预算100%</w:t>
      </w:r>
      <w:r>
        <w:rPr>
          <w:rFonts w:hint="eastAsia"/>
          <w:lang w:eastAsia="zh-CN"/>
        </w:rPr>
        <w:t>。</w:t>
      </w:r>
    </w:p>
    <w:p w14:paraId="4A3A653A">
      <w:pPr>
        <w:pStyle w:val="6"/>
        <w:bidi w:val="0"/>
        <w:rPr>
          <w:rFonts w:hint="eastAsia"/>
          <w:lang w:eastAsia="zh-CN"/>
        </w:rPr>
      </w:pPr>
      <w:r>
        <w:rPr>
          <w:rFonts w:hint="eastAsia" w:cs="宋体"/>
          <w:b/>
          <w:bCs/>
        </w:rPr>
        <w:t> </w:t>
      </w:r>
      <w:r>
        <w:rPr>
          <w:rFonts w:hint="eastAsia" w:cs="宋体"/>
          <w:b/>
          <w:bCs/>
          <w:lang w:val="en-US" w:eastAsia="zh-CN"/>
        </w:rPr>
        <w:t>9</w:t>
      </w:r>
      <w:r>
        <w:rPr>
          <w:rFonts w:hint="eastAsia" w:cs="宋体"/>
          <w:b/>
          <w:bCs/>
        </w:rPr>
        <w:t>.</w:t>
      </w:r>
      <w:r>
        <w:rPr>
          <w:rFonts w:hint="eastAsia" w:cs="宋体"/>
          <w:b/>
          <w:bCs/>
          <w:lang w:val="en-US" w:eastAsia="zh-CN"/>
        </w:rPr>
        <w:t>财政事务20106：</w:t>
      </w:r>
      <w:r>
        <w:rPr>
          <w:rFonts w:hint="eastAsia"/>
          <w:lang w:val="en-US" w:eastAsia="zh-CN"/>
        </w:rPr>
        <w:t>支出决算为24.38万元，完成预算100%。</w:t>
      </w:r>
    </w:p>
    <w:p w14:paraId="2E63DA15">
      <w:pPr>
        <w:pStyle w:val="6"/>
        <w:bidi w:val="0"/>
        <w:rPr>
          <w:rFonts w:hint="eastAsia"/>
          <w:lang w:eastAsia="zh-CN"/>
        </w:rPr>
      </w:pPr>
      <w:r>
        <w:rPr>
          <w:rFonts w:hint="eastAsia" w:cs="宋体"/>
          <w:b/>
          <w:bCs/>
        </w:rPr>
        <w:t> </w:t>
      </w:r>
      <w:r>
        <w:rPr>
          <w:rFonts w:hint="eastAsia" w:cs="宋体"/>
          <w:b/>
          <w:bCs/>
          <w:lang w:val="en-US" w:eastAsia="zh-CN"/>
        </w:rPr>
        <w:t>10</w:t>
      </w:r>
      <w:r>
        <w:rPr>
          <w:rFonts w:hint="eastAsia" w:cs="宋体"/>
          <w:b/>
          <w:bCs/>
        </w:rPr>
        <w:t>.</w:t>
      </w:r>
      <w:r>
        <w:rPr>
          <w:rFonts w:hint="eastAsia" w:cs="宋体"/>
          <w:b/>
          <w:bCs/>
          <w:lang w:val="en-US" w:eastAsia="zh-CN"/>
        </w:rPr>
        <w:t>行政运行2010601：</w:t>
      </w:r>
      <w:r>
        <w:rPr>
          <w:rFonts w:hint="eastAsia"/>
          <w:lang w:val="en-US" w:eastAsia="zh-CN"/>
        </w:rPr>
        <w:t>支出决算为24.38万元，完成预算100%</w:t>
      </w:r>
      <w:r>
        <w:rPr>
          <w:rFonts w:hint="eastAsia"/>
          <w:lang w:eastAsia="zh-CN"/>
        </w:rPr>
        <w:t>。</w:t>
      </w:r>
    </w:p>
    <w:p w14:paraId="03689F02">
      <w:pPr>
        <w:pStyle w:val="6"/>
        <w:bidi w:val="0"/>
        <w:rPr>
          <w:rFonts w:hint="eastAsia"/>
          <w:lang w:eastAsia="zh-CN"/>
        </w:rPr>
      </w:pPr>
      <w:r>
        <w:rPr>
          <w:rFonts w:hint="eastAsia" w:cs="宋体"/>
          <w:b/>
          <w:bCs/>
        </w:rPr>
        <w:t> </w:t>
      </w:r>
      <w:r>
        <w:rPr>
          <w:rFonts w:hint="eastAsia" w:cs="宋体"/>
          <w:b/>
          <w:bCs/>
          <w:lang w:val="en-US" w:eastAsia="zh-CN"/>
        </w:rPr>
        <w:t>11</w:t>
      </w:r>
      <w:r>
        <w:rPr>
          <w:rFonts w:hint="eastAsia" w:cs="宋体"/>
          <w:b/>
          <w:bCs/>
        </w:rPr>
        <w:t>.</w:t>
      </w:r>
      <w:r>
        <w:rPr>
          <w:rFonts w:hint="eastAsia" w:cs="宋体"/>
          <w:b/>
          <w:bCs/>
          <w:lang w:val="en-US" w:eastAsia="zh-CN"/>
        </w:rPr>
        <w:t>党委办公厅（室）及相关机构事务20131：</w:t>
      </w:r>
      <w:r>
        <w:rPr>
          <w:rFonts w:hint="eastAsia"/>
          <w:lang w:val="en-US" w:eastAsia="zh-CN"/>
        </w:rPr>
        <w:t>支出决算为43.03万元，完成预算100%</w:t>
      </w:r>
      <w:r>
        <w:rPr>
          <w:rFonts w:hint="eastAsia"/>
          <w:lang w:eastAsia="zh-CN"/>
        </w:rPr>
        <w:t>。</w:t>
      </w:r>
    </w:p>
    <w:p w14:paraId="2161C644">
      <w:pPr>
        <w:pStyle w:val="6"/>
        <w:bidi w:val="0"/>
        <w:rPr>
          <w:rFonts w:hint="eastAsia"/>
          <w:lang w:eastAsia="zh-CN"/>
        </w:rPr>
      </w:pPr>
      <w:r>
        <w:rPr>
          <w:rFonts w:hint="eastAsia" w:cs="宋体"/>
          <w:b/>
          <w:bCs/>
        </w:rPr>
        <w:t> </w:t>
      </w:r>
      <w:r>
        <w:rPr>
          <w:rFonts w:hint="eastAsia" w:cs="宋体"/>
          <w:b/>
          <w:bCs/>
          <w:lang w:val="en-US" w:eastAsia="zh-CN"/>
        </w:rPr>
        <w:t>12</w:t>
      </w:r>
      <w:r>
        <w:rPr>
          <w:rFonts w:hint="eastAsia" w:cs="宋体"/>
          <w:b/>
          <w:bCs/>
        </w:rPr>
        <w:t>.</w:t>
      </w:r>
      <w:r>
        <w:rPr>
          <w:rFonts w:hint="eastAsia" w:cs="宋体"/>
          <w:b/>
          <w:bCs/>
          <w:lang w:val="en-US" w:eastAsia="zh-CN"/>
        </w:rPr>
        <w:t>行政运行2013101：</w:t>
      </w:r>
      <w:r>
        <w:rPr>
          <w:rFonts w:hint="eastAsia"/>
          <w:lang w:val="en-US" w:eastAsia="zh-CN"/>
        </w:rPr>
        <w:t>支出决算为43.03万元，完成预算100%，完成预算100%</w:t>
      </w:r>
      <w:r>
        <w:rPr>
          <w:rFonts w:hint="eastAsia"/>
          <w:lang w:eastAsia="zh-CN"/>
        </w:rPr>
        <w:t>。</w:t>
      </w:r>
    </w:p>
    <w:p w14:paraId="2D4CE4E8">
      <w:pPr>
        <w:pStyle w:val="6"/>
        <w:bidi w:val="0"/>
        <w:rPr>
          <w:rFonts w:hint="eastAsia"/>
          <w:lang w:eastAsia="zh-CN"/>
        </w:rPr>
      </w:pPr>
      <w:r>
        <w:rPr>
          <w:rFonts w:hint="eastAsia" w:cs="宋体"/>
          <w:b/>
          <w:bCs/>
        </w:rPr>
        <w:t> </w:t>
      </w:r>
      <w:r>
        <w:rPr>
          <w:rFonts w:hint="eastAsia" w:cs="宋体"/>
          <w:b/>
          <w:bCs/>
          <w:lang w:val="en-US" w:eastAsia="zh-CN"/>
        </w:rPr>
        <w:t>13</w:t>
      </w:r>
      <w:r>
        <w:rPr>
          <w:rFonts w:hint="eastAsia" w:cs="宋体"/>
          <w:b/>
          <w:bCs/>
        </w:rPr>
        <w:t>.</w:t>
      </w:r>
      <w:r>
        <w:rPr>
          <w:rFonts w:hint="eastAsia" w:cs="宋体"/>
          <w:b/>
          <w:bCs/>
          <w:lang w:val="en-US" w:eastAsia="zh-CN"/>
        </w:rPr>
        <w:t xml:space="preserve">社会保障和就业支出208: </w:t>
      </w:r>
      <w:r>
        <w:rPr>
          <w:rFonts w:hint="eastAsia"/>
          <w:lang w:val="en-US" w:eastAsia="zh-CN"/>
        </w:rPr>
        <w:t>支出决算为138.14万元，完成预算100%，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r>
        <w:rPr>
          <w:rFonts w:hint="eastAsia"/>
          <w:lang w:val="en-US" w:eastAsia="zh-CN"/>
        </w:rPr>
        <w:t>。</w:t>
      </w:r>
    </w:p>
    <w:p w14:paraId="0E9F8D19">
      <w:pPr>
        <w:pStyle w:val="6"/>
        <w:bidi w:val="0"/>
        <w:rPr>
          <w:rFonts w:hint="eastAsia"/>
          <w:lang w:eastAsia="zh-CN"/>
        </w:rPr>
      </w:pPr>
      <w:r>
        <w:rPr>
          <w:rFonts w:hint="eastAsia" w:cs="宋体"/>
          <w:b/>
          <w:bCs/>
        </w:rPr>
        <w:t> </w:t>
      </w:r>
      <w:r>
        <w:rPr>
          <w:rFonts w:hint="eastAsia" w:cs="宋体"/>
          <w:b/>
          <w:bCs/>
          <w:lang w:val="en-US" w:eastAsia="zh-CN"/>
        </w:rPr>
        <w:t>14</w:t>
      </w:r>
      <w:r>
        <w:rPr>
          <w:rFonts w:hint="eastAsia" w:cs="宋体"/>
          <w:b/>
          <w:bCs/>
        </w:rPr>
        <w:t>.</w:t>
      </w:r>
      <w:r>
        <w:rPr>
          <w:rFonts w:hint="eastAsia" w:cs="宋体"/>
          <w:b/>
          <w:bCs/>
          <w:lang w:val="en-US" w:eastAsia="zh-CN"/>
        </w:rPr>
        <w:t>民政管理事务20802：</w:t>
      </w:r>
      <w:r>
        <w:rPr>
          <w:rFonts w:hint="eastAsia"/>
          <w:lang w:val="en-US" w:eastAsia="zh-CN"/>
        </w:rPr>
        <w:t>支出决算为85.58万元，完成预算100%，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5B160971">
      <w:pPr>
        <w:pStyle w:val="6"/>
        <w:bidi w:val="0"/>
        <w:rPr>
          <w:rFonts w:hint="eastAsia"/>
          <w:lang w:eastAsia="zh-CN"/>
        </w:rPr>
      </w:pPr>
      <w:r>
        <w:rPr>
          <w:rFonts w:hint="eastAsia" w:cs="宋体"/>
          <w:b/>
          <w:bCs/>
        </w:rPr>
        <w:t> </w:t>
      </w:r>
      <w:r>
        <w:rPr>
          <w:rFonts w:hint="eastAsia" w:cs="宋体"/>
          <w:b/>
          <w:bCs/>
          <w:lang w:val="en-US" w:eastAsia="zh-CN"/>
        </w:rPr>
        <w:t>15</w:t>
      </w:r>
      <w:r>
        <w:rPr>
          <w:rFonts w:hint="eastAsia" w:cs="宋体"/>
          <w:b/>
          <w:bCs/>
        </w:rPr>
        <w:t>.</w:t>
      </w:r>
      <w:r>
        <w:rPr>
          <w:rFonts w:hint="eastAsia" w:cs="宋体"/>
          <w:b/>
          <w:bCs/>
          <w:lang w:val="en-US" w:eastAsia="zh-CN"/>
        </w:rPr>
        <w:t>基层政权和社区建设2080208：</w:t>
      </w:r>
      <w:r>
        <w:rPr>
          <w:rFonts w:hint="eastAsia"/>
          <w:lang w:val="en-US" w:eastAsia="zh-CN"/>
        </w:rPr>
        <w:t>支出决算为85.58万元，完成预算100%，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53AC0654">
      <w:pPr>
        <w:pStyle w:val="6"/>
        <w:bidi w:val="0"/>
        <w:rPr>
          <w:rFonts w:hint="eastAsia"/>
          <w:lang w:eastAsia="zh-CN"/>
        </w:rPr>
      </w:pPr>
      <w:r>
        <w:rPr>
          <w:rFonts w:hint="eastAsia" w:cs="宋体"/>
          <w:b/>
          <w:bCs/>
        </w:rPr>
        <w:t> </w:t>
      </w:r>
      <w:r>
        <w:rPr>
          <w:rFonts w:hint="eastAsia" w:cs="宋体"/>
          <w:b/>
          <w:bCs/>
          <w:lang w:val="en-US" w:eastAsia="zh-CN"/>
        </w:rPr>
        <w:t>16</w:t>
      </w:r>
      <w:r>
        <w:rPr>
          <w:rFonts w:hint="eastAsia" w:cs="宋体"/>
          <w:b/>
          <w:bCs/>
        </w:rPr>
        <w:t>.</w:t>
      </w:r>
      <w:r>
        <w:rPr>
          <w:rFonts w:hint="eastAsia" w:cs="宋体"/>
          <w:b/>
          <w:bCs/>
          <w:lang w:val="en-US" w:eastAsia="zh-CN"/>
        </w:rPr>
        <w:t>行政事业单位养老支出20805：</w:t>
      </w:r>
      <w:r>
        <w:rPr>
          <w:rFonts w:hint="eastAsia"/>
          <w:lang w:val="en-US" w:eastAsia="zh-CN"/>
        </w:rPr>
        <w:t>支出决算为52.56万元，完成预算100%</w:t>
      </w:r>
      <w:r>
        <w:rPr>
          <w:rFonts w:hint="eastAsia"/>
          <w:lang w:eastAsia="zh-CN"/>
        </w:rPr>
        <w:t>。</w:t>
      </w:r>
    </w:p>
    <w:p w14:paraId="33C209B9">
      <w:pPr>
        <w:pStyle w:val="6"/>
        <w:bidi w:val="0"/>
        <w:rPr>
          <w:rFonts w:hint="eastAsia"/>
          <w:lang w:eastAsia="zh-CN"/>
        </w:rPr>
      </w:pPr>
      <w:r>
        <w:rPr>
          <w:rFonts w:hint="eastAsia" w:cs="宋体"/>
          <w:b/>
          <w:bCs/>
        </w:rPr>
        <w:t> </w:t>
      </w:r>
      <w:r>
        <w:rPr>
          <w:rFonts w:hint="eastAsia" w:cs="宋体"/>
          <w:b/>
          <w:bCs/>
          <w:lang w:val="en-US" w:eastAsia="zh-CN"/>
        </w:rPr>
        <w:t>17</w:t>
      </w:r>
      <w:r>
        <w:rPr>
          <w:rFonts w:hint="eastAsia" w:cs="宋体"/>
          <w:b/>
          <w:bCs/>
        </w:rPr>
        <w:t>.</w:t>
      </w:r>
      <w:r>
        <w:rPr>
          <w:rFonts w:hint="eastAsia" w:cs="宋体"/>
          <w:b/>
          <w:bCs/>
          <w:lang w:val="en-US" w:eastAsia="zh-CN"/>
        </w:rPr>
        <w:t>机关事业单位基本养老保险缴费支出2080505：</w:t>
      </w:r>
      <w:r>
        <w:rPr>
          <w:rFonts w:hint="eastAsia"/>
          <w:lang w:val="en-US" w:eastAsia="zh-CN"/>
        </w:rPr>
        <w:t>支出决算为35.04万元，完成预算100%。</w:t>
      </w:r>
    </w:p>
    <w:p w14:paraId="6423CEDD">
      <w:pPr>
        <w:pStyle w:val="6"/>
        <w:bidi w:val="0"/>
        <w:rPr>
          <w:rFonts w:hint="eastAsia"/>
          <w:lang w:eastAsia="zh-CN"/>
        </w:rPr>
      </w:pPr>
      <w:r>
        <w:rPr>
          <w:rFonts w:hint="eastAsia" w:cs="宋体"/>
          <w:b/>
          <w:bCs/>
        </w:rPr>
        <w:t> </w:t>
      </w:r>
      <w:r>
        <w:rPr>
          <w:rFonts w:hint="eastAsia" w:cs="宋体"/>
          <w:b/>
          <w:bCs/>
          <w:lang w:val="en-US" w:eastAsia="zh-CN"/>
        </w:rPr>
        <w:t>18</w:t>
      </w:r>
      <w:r>
        <w:rPr>
          <w:rFonts w:hint="eastAsia" w:cs="宋体"/>
          <w:b/>
          <w:bCs/>
        </w:rPr>
        <w:t>.</w:t>
      </w:r>
      <w:r>
        <w:rPr>
          <w:rFonts w:hint="eastAsia" w:cs="宋体"/>
          <w:b/>
          <w:bCs/>
          <w:lang w:val="en-US" w:eastAsia="zh-CN"/>
        </w:rPr>
        <w:t>机关事业单位职业年金缴费支出2080506：</w:t>
      </w:r>
      <w:r>
        <w:rPr>
          <w:rFonts w:hint="eastAsia"/>
          <w:lang w:val="en-US" w:eastAsia="zh-CN"/>
        </w:rPr>
        <w:t>支出决算为17.52万元，完成预算100%。</w:t>
      </w:r>
    </w:p>
    <w:p w14:paraId="393F7B0A">
      <w:pPr>
        <w:pStyle w:val="6"/>
        <w:bidi w:val="0"/>
        <w:rPr>
          <w:rFonts w:hint="eastAsia"/>
          <w:lang w:eastAsia="zh-CN"/>
        </w:rPr>
      </w:pPr>
      <w:r>
        <w:rPr>
          <w:rFonts w:hint="eastAsia" w:cs="宋体"/>
          <w:b/>
          <w:bCs/>
        </w:rPr>
        <w:t> </w:t>
      </w:r>
      <w:r>
        <w:rPr>
          <w:rFonts w:hint="eastAsia" w:cs="宋体"/>
          <w:b/>
          <w:bCs/>
          <w:lang w:val="en-US" w:eastAsia="zh-CN"/>
        </w:rPr>
        <w:t>19</w:t>
      </w:r>
      <w:r>
        <w:rPr>
          <w:rFonts w:hint="eastAsia" w:cs="宋体"/>
          <w:b/>
          <w:bCs/>
        </w:rPr>
        <w:t>.</w:t>
      </w:r>
      <w:r>
        <w:rPr>
          <w:rFonts w:hint="eastAsia" w:cs="宋体"/>
          <w:b/>
          <w:bCs/>
          <w:lang w:val="en-US" w:eastAsia="zh-CN"/>
        </w:rPr>
        <w:t>卫生健康支出210：</w:t>
      </w:r>
      <w:r>
        <w:rPr>
          <w:rFonts w:hint="eastAsia"/>
          <w:lang w:val="en-US" w:eastAsia="zh-CN"/>
        </w:rPr>
        <w:t>支出决算为31.59万元，完成预算100%，完成预算100%</w:t>
      </w:r>
      <w:r>
        <w:rPr>
          <w:rFonts w:hint="eastAsia"/>
          <w:lang w:eastAsia="zh-CN"/>
        </w:rPr>
        <w:t>。</w:t>
      </w:r>
    </w:p>
    <w:p w14:paraId="52383BC9">
      <w:pPr>
        <w:pStyle w:val="6"/>
        <w:bidi w:val="0"/>
        <w:rPr>
          <w:rFonts w:hint="eastAsia"/>
          <w:lang w:eastAsia="zh-CN"/>
        </w:rPr>
      </w:pPr>
      <w:r>
        <w:rPr>
          <w:rFonts w:hint="eastAsia" w:cs="宋体"/>
          <w:b/>
          <w:bCs/>
        </w:rPr>
        <w:t> </w:t>
      </w:r>
      <w:r>
        <w:rPr>
          <w:rFonts w:hint="eastAsia" w:cs="宋体"/>
          <w:b/>
          <w:bCs/>
          <w:lang w:val="en-US" w:eastAsia="zh-CN"/>
        </w:rPr>
        <w:t>20</w:t>
      </w:r>
      <w:r>
        <w:rPr>
          <w:rFonts w:hint="eastAsia" w:cs="宋体"/>
          <w:b/>
          <w:bCs/>
        </w:rPr>
        <w:t>.</w:t>
      </w:r>
      <w:r>
        <w:rPr>
          <w:rFonts w:hint="eastAsia" w:cs="宋体"/>
          <w:b/>
          <w:bCs/>
          <w:lang w:val="en-US" w:eastAsia="zh-CN"/>
        </w:rPr>
        <w:t>公共卫生21004：</w:t>
      </w:r>
      <w:r>
        <w:rPr>
          <w:rFonts w:hint="eastAsia"/>
          <w:lang w:val="en-US" w:eastAsia="zh-CN"/>
        </w:rPr>
        <w:t>支出决算为1.74万元，完成预算100%，完成预算100%</w:t>
      </w:r>
      <w:r>
        <w:rPr>
          <w:rFonts w:hint="eastAsia"/>
          <w:lang w:eastAsia="zh-CN"/>
        </w:rPr>
        <w:t>。</w:t>
      </w:r>
    </w:p>
    <w:p w14:paraId="0F7D004E">
      <w:pPr>
        <w:pStyle w:val="6"/>
        <w:bidi w:val="0"/>
        <w:rPr>
          <w:rFonts w:hint="eastAsia"/>
          <w:lang w:eastAsia="zh-CN"/>
        </w:rPr>
      </w:pPr>
      <w:r>
        <w:rPr>
          <w:rFonts w:hint="eastAsia" w:cs="宋体"/>
          <w:b/>
          <w:bCs/>
        </w:rPr>
        <w:t> </w:t>
      </w:r>
      <w:r>
        <w:rPr>
          <w:rFonts w:hint="eastAsia" w:cs="宋体"/>
          <w:b/>
          <w:bCs/>
          <w:lang w:val="en-US" w:eastAsia="zh-CN"/>
        </w:rPr>
        <w:t>21</w:t>
      </w:r>
      <w:r>
        <w:rPr>
          <w:rFonts w:hint="eastAsia" w:cs="宋体"/>
          <w:b/>
          <w:bCs/>
        </w:rPr>
        <w:t>.</w:t>
      </w:r>
      <w:r>
        <w:rPr>
          <w:rFonts w:hint="eastAsia" w:cs="宋体"/>
          <w:b/>
          <w:bCs/>
          <w:lang w:val="en-US" w:eastAsia="zh-CN"/>
        </w:rPr>
        <w:t>其他公共卫生支出2100499：</w:t>
      </w:r>
      <w:r>
        <w:rPr>
          <w:rFonts w:hint="eastAsia"/>
          <w:lang w:val="en-US" w:eastAsia="zh-CN"/>
        </w:rPr>
        <w:t>支出决算为1.74万元，完成预算100%</w:t>
      </w:r>
      <w:r>
        <w:rPr>
          <w:rFonts w:hint="eastAsia"/>
          <w:lang w:eastAsia="zh-CN"/>
        </w:rPr>
        <w:t>。</w:t>
      </w:r>
    </w:p>
    <w:p w14:paraId="777D6F02">
      <w:pPr>
        <w:pStyle w:val="6"/>
        <w:bidi w:val="0"/>
        <w:rPr>
          <w:rFonts w:hint="eastAsia"/>
          <w:lang w:eastAsia="zh-CN"/>
        </w:rPr>
      </w:pPr>
      <w:r>
        <w:rPr>
          <w:rFonts w:hint="eastAsia" w:cs="宋体"/>
          <w:b/>
          <w:bCs/>
        </w:rPr>
        <w:t> </w:t>
      </w:r>
      <w:r>
        <w:rPr>
          <w:rFonts w:hint="eastAsia" w:cs="宋体"/>
          <w:b/>
          <w:bCs/>
          <w:lang w:val="en-US" w:eastAsia="zh-CN"/>
        </w:rPr>
        <w:t>22</w:t>
      </w:r>
      <w:r>
        <w:rPr>
          <w:rFonts w:hint="eastAsia" w:cs="宋体"/>
          <w:b/>
          <w:bCs/>
        </w:rPr>
        <w:t>.</w:t>
      </w:r>
      <w:r>
        <w:rPr>
          <w:rFonts w:hint="eastAsia" w:cs="宋体"/>
          <w:b/>
          <w:bCs/>
          <w:lang w:val="en-US" w:eastAsia="zh-CN"/>
        </w:rPr>
        <w:t>行政事业单位医疗21011：</w:t>
      </w:r>
      <w:r>
        <w:rPr>
          <w:rFonts w:hint="eastAsia"/>
          <w:lang w:val="en-US" w:eastAsia="zh-CN"/>
        </w:rPr>
        <w:t>支出决算为29.85万元，完成预算100%</w:t>
      </w:r>
      <w:r>
        <w:rPr>
          <w:rFonts w:hint="eastAsia"/>
          <w:lang w:eastAsia="zh-CN"/>
        </w:rPr>
        <w:t>。</w:t>
      </w:r>
    </w:p>
    <w:p w14:paraId="52A38E42">
      <w:pPr>
        <w:pStyle w:val="6"/>
        <w:bidi w:val="0"/>
        <w:rPr>
          <w:rFonts w:hint="eastAsia"/>
          <w:lang w:eastAsia="zh-CN"/>
        </w:rPr>
      </w:pPr>
      <w:r>
        <w:rPr>
          <w:rFonts w:hint="eastAsia" w:cs="宋体"/>
          <w:b/>
          <w:bCs/>
        </w:rPr>
        <w:t> </w:t>
      </w:r>
      <w:r>
        <w:rPr>
          <w:rFonts w:hint="eastAsia" w:cs="宋体"/>
          <w:b/>
          <w:bCs/>
          <w:lang w:val="en-US" w:eastAsia="zh-CN"/>
        </w:rPr>
        <w:t>23</w:t>
      </w:r>
      <w:r>
        <w:rPr>
          <w:rFonts w:hint="eastAsia" w:cs="宋体"/>
          <w:b/>
          <w:bCs/>
        </w:rPr>
        <w:t>.</w:t>
      </w:r>
      <w:r>
        <w:rPr>
          <w:rFonts w:hint="eastAsia" w:cs="宋体"/>
          <w:b/>
          <w:bCs/>
          <w:lang w:val="en-US" w:eastAsia="zh-CN"/>
        </w:rPr>
        <w:t>行政单位医疗2101101：</w:t>
      </w:r>
      <w:r>
        <w:rPr>
          <w:rFonts w:hint="eastAsia"/>
          <w:lang w:val="en-US" w:eastAsia="zh-CN"/>
        </w:rPr>
        <w:t>支出决算为25.49元，完成预算100%</w:t>
      </w:r>
      <w:r>
        <w:rPr>
          <w:rFonts w:hint="eastAsia"/>
          <w:lang w:eastAsia="zh-CN"/>
        </w:rPr>
        <w:t>。</w:t>
      </w:r>
    </w:p>
    <w:p w14:paraId="249D6630">
      <w:pPr>
        <w:pStyle w:val="6"/>
        <w:bidi w:val="0"/>
        <w:rPr>
          <w:rFonts w:hint="eastAsia"/>
          <w:lang w:eastAsia="zh-CN"/>
        </w:rPr>
      </w:pPr>
      <w:r>
        <w:rPr>
          <w:rFonts w:hint="eastAsia"/>
        </w:rPr>
        <w:t> </w:t>
      </w:r>
      <w:r>
        <w:rPr>
          <w:rFonts w:hint="eastAsia" w:cs="宋体"/>
          <w:b/>
          <w:bCs/>
          <w:lang w:val="en-US" w:eastAsia="zh-CN"/>
        </w:rPr>
        <w:t>24</w:t>
      </w:r>
      <w:r>
        <w:rPr>
          <w:rFonts w:hint="eastAsia" w:cs="宋体"/>
          <w:b/>
          <w:bCs/>
        </w:rPr>
        <w:t>.</w:t>
      </w:r>
      <w:r>
        <w:rPr>
          <w:rFonts w:hint="eastAsia" w:cs="宋体"/>
          <w:b/>
          <w:bCs/>
          <w:lang w:val="en-US" w:eastAsia="zh-CN"/>
        </w:rPr>
        <w:t>公务员医疗补助2101103：</w:t>
      </w:r>
      <w:r>
        <w:rPr>
          <w:rFonts w:hint="eastAsia"/>
          <w:lang w:val="en-US" w:eastAsia="zh-CN"/>
        </w:rPr>
        <w:t>支出决算为4.36万元，完成预算100%</w:t>
      </w:r>
      <w:r>
        <w:rPr>
          <w:rFonts w:hint="eastAsia"/>
          <w:lang w:eastAsia="zh-CN"/>
        </w:rPr>
        <w:t>。</w:t>
      </w:r>
    </w:p>
    <w:p w14:paraId="1CC74820">
      <w:pPr>
        <w:pStyle w:val="6"/>
        <w:bidi w:val="0"/>
        <w:rPr>
          <w:rFonts w:hint="eastAsia"/>
          <w:lang w:eastAsia="zh-CN"/>
        </w:rPr>
      </w:pPr>
      <w:r>
        <w:rPr>
          <w:rFonts w:hint="eastAsia"/>
        </w:rPr>
        <w:t> </w:t>
      </w:r>
      <w:r>
        <w:rPr>
          <w:rFonts w:hint="eastAsia" w:cs="宋体"/>
          <w:b/>
          <w:bCs/>
          <w:lang w:val="en-US" w:eastAsia="zh-CN"/>
        </w:rPr>
        <w:t>25</w:t>
      </w:r>
      <w:r>
        <w:rPr>
          <w:rFonts w:hint="eastAsia" w:cs="宋体"/>
          <w:b/>
          <w:bCs/>
        </w:rPr>
        <w:t>.</w:t>
      </w:r>
      <w:r>
        <w:rPr>
          <w:rFonts w:hint="eastAsia" w:cs="宋体"/>
          <w:b/>
          <w:bCs/>
          <w:lang w:val="en-US" w:eastAsia="zh-CN"/>
        </w:rPr>
        <w:t>节能环保支出211：</w:t>
      </w:r>
      <w:r>
        <w:rPr>
          <w:rFonts w:hint="eastAsia"/>
          <w:lang w:val="en-US" w:eastAsia="zh-CN"/>
        </w:rPr>
        <w:t>支出决算为169.58万元，完成预算100%，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5AACBABA">
      <w:pPr>
        <w:pStyle w:val="6"/>
        <w:bidi w:val="0"/>
        <w:rPr>
          <w:rFonts w:hint="eastAsia"/>
          <w:lang w:eastAsia="zh-CN"/>
        </w:rPr>
      </w:pPr>
      <w:r>
        <w:rPr>
          <w:rFonts w:hint="eastAsia" w:cs="宋体"/>
          <w:b/>
          <w:bCs/>
        </w:rPr>
        <w:t> </w:t>
      </w:r>
      <w:r>
        <w:rPr>
          <w:rFonts w:hint="eastAsia" w:cs="宋体"/>
          <w:b/>
          <w:bCs/>
          <w:lang w:val="en-US" w:eastAsia="zh-CN"/>
        </w:rPr>
        <w:t>26</w:t>
      </w:r>
      <w:r>
        <w:rPr>
          <w:rFonts w:hint="eastAsia" w:cs="宋体"/>
          <w:b/>
          <w:bCs/>
        </w:rPr>
        <w:t>.</w:t>
      </w:r>
      <w:r>
        <w:rPr>
          <w:rFonts w:hint="eastAsia" w:cs="宋体"/>
          <w:b/>
          <w:bCs/>
          <w:lang w:val="en-US" w:eastAsia="zh-CN"/>
        </w:rPr>
        <w:t>自然生态保护21104：</w:t>
      </w:r>
      <w:r>
        <w:rPr>
          <w:rFonts w:hint="eastAsia"/>
          <w:lang w:val="en-US" w:eastAsia="zh-CN"/>
        </w:rPr>
        <w:t>支出决算为169.58万元，完成预算100%，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69E13E90">
      <w:pPr>
        <w:pStyle w:val="6"/>
        <w:bidi w:val="0"/>
        <w:rPr>
          <w:rFonts w:hint="eastAsia"/>
          <w:lang w:eastAsia="zh-CN"/>
        </w:rPr>
      </w:pPr>
      <w:r>
        <w:rPr>
          <w:rFonts w:hint="eastAsia" w:cs="宋体"/>
          <w:b/>
          <w:bCs/>
        </w:rPr>
        <w:t> </w:t>
      </w:r>
      <w:r>
        <w:rPr>
          <w:rFonts w:hint="eastAsia" w:cs="宋体"/>
          <w:b/>
          <w:bCs/>
          <w:lang w:val="en-US" w:eastAsia="zh-CN"/>
        </w:rPr>
        <w:t>27</w:t>
      </w:r>
      <w:r>
        <w:rPr>
          <w:rFonts w:hint="eastAsia" w:cs="宋体"/>
          <w:b/>
          <w:bCs/>
        </w:rPr>
        <w:t>.</w:t>
      </w:r>
      <w:r>
        <w:rPr>
          <w:rFonts w:hint="eastAsia" w:cs="宋体"/>
          <w:b/>
          <w:bCs/>
          <w:lang w:val="en-US" w:eastAsia="zh-CN"/>
        </w:rPr>
        <w:t>生态保护2110401：</w:t>
      </w:r>
      <w:r>
        <w:rPr>
          <w:rFonts w:hint="eastAsia"/>
          <w:lang w:val="en-US" w:eastAsia="zh-CN"/>
        </w:rPr>
        <w:t>支出决算为169.58万元，完成预算100%，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3CCD9FE3">
      <w:pPr>
        <w:pStyle w:val="6"/>
        <w:bidi w:val="0"/>
        <w:rPr>
          <w:rFonts w:hint="eastAsia"/>
          <w:lang w:eastAsia="zh-CN"/>
        </w:rPr>
      </w:pPr>
      <w:r>
        <w:rPr>
          <w:rFonts w:hint="eastAsia" w:cs="宋体"/>
          <w:b/>
          <w:bCs/>
        </w:rPr>
        <w:t> </w:t>
      </w:r>
      <w:r>
        <w:rPr>
          <w:rFonts w:hint="eastAsia" w:cs="宋体"/>
          <w:b/>
          <w:bCs/>
          <w:lang w:val="en-US" w:eastAsia="zh-CN"/>
        </w:rPr>
        <w:t>28</w:t>
      </w:r>
      <w:r>
        <w:rPr>
          <w:rFonts w:hint="eastAsia" w:cs="宋体"/>
          <w:b/>
          <w:bCs/>
        </w:rPr>
        <w:t>.</w:t>
      </w:r>
      <w:r>
        <w:rPr>
          <w:rFonts w:hint="eastAsia" w:cs="宋体"/>
          <w:b/>
          <w:bCs/>
          <w:lang w:eastAsia="zh-CN"/>
        </w:rPr>
        <w:t>城乡社区支出</w:t>
      </w:r>
      <w:r>
        <w:rPr>
          <w:rFonts w:hint="eastAsia" w:cs="宋体"/>
          <w:b/>
          <w:bCs/>
          <w:lang w:val="en-US" w:eastAsia="zh-CN"/>
        </w:rPr>
        <w:t>212：</w:t>
      </w:r>
      <w:r>
        <w:rPr>
          <w:rFonts w:hint="eastAsia"/>
          <w:lang w:val="en-US" w:eastAsia="zh-CN"/>
        </w:rPr>
        <w:t>支出决算为5.96万元，完成预算100%，</w:t>
      </w:r>
      <w:r>
        <w:rPr>
          <w:rFonts w:hint="eastAsia"/>
        </w:rPr>
        <w:t>决算数</w:t>
      </w:r>
      <w:r>
        <w:rPr>
          <w:rFonts w:hint="eastAsia"/>
          <w:lang w:eastAsia="zh-CN"/>
        </w:rPr>
        <w:t>大于</w:t>
      </w:r>
      <w:r>
        <w:rPr>
          <w:rFonts w:hint="eastAsia"/>
        </w:rPr>
        <w:t>预算数</w:t>
      </w:r>
      <w:r>
        <w:rPr>
          <w:rFonts w:hint="eastAsia"/>
          <w:lang w:eastAsia="zh-CN"/>
        </w:rPr>
        <w:t>的主要原因是劳务费增加。</w:t>
      </w:r>
    </w:p>
    <w:p w14:paraId="080DE59B">
      <w:pPr>
        <w:pStyle w:val="6"/>
        <w:bidi w:val="0"/>
        <w:rPr>
          <w:rFonts w:hint="eastAsia"/>
          <w:lang w:eastAsia="zh-CN"/>
        </w:rPr>
      </w:pPr>
      <w:r>
        <w:rPr>
          <w:rFonts w:hint="eastAsia" w:cs="宋体"/>
          <w:b/>
          <w:bCs/>
        </w:rPr>
        <w:t> </w:t>
      </w:r>
      <w:r>
        <w:rPr>
          <w:rFonts w:hint="eastAsia" w:cs="宋体"/>
          <w:b/>
          <w:bCs/>
          <w:lang w:val="en-US" w:eastAsia="zh-CN"/>
        </w:rPr>
        <w:t>29</w:t>
      </w:r>
      <w:r>
        <w:rPr>
          <w:rFonts w:hint="eastAsia" w:cs="宋体"/>
          <w:b/>
          <w:bCs/>
        </w:rPr>
        <w:t>.</w:t>
      </w:r>
      <w:r>
        <w:rPr>
          <w:rFonts w:hint="eastAsia" w:cs="宋体"/>
          <w:b/>
          <w:bCs/>
          <w:lang w:eastAsia="zh-CN"/>
        </w:rPr>
        <w:t>城乡社区环境卫生</w:t>
      </w:r>
      <w:r>
        <w:rPr>
          <w:rFonts w:hint="eastAsia" w:cs="宋体"/>
          <w:b/>
          <w:bCs/>
          <w:lang w:val="en-US" w:eastAsia="zh-CN"/>
        </w:rPr>
        <w:t>21205：</w:t>
      </w:r>
      <w:r>
        <w:rPr>
          <w:rFonts w:hint="eastAsia"/>
          <w:lang w:val="en-US" w:eastAsia="zh-CN"/>
        </w:rPr>
        <w:t>支出决算为5.96万元，完成预算100%，</w:t>
      </w:r>
      <w:r>
        <w:rPr>
          <w:rFonts w:hint="eastAsia"/>
        </w:rPr>
        <w:t>决算数</w:t>
      </w:r>
      <w:r>
        <w:rPr>
          <w:rFonts w:hint="eastAsia"/>
          <w:lang w:eastAsia="zh-CN"/>
        </w:rPr>
        <w:t>大于</w:t>
      </w:r>
      <w:r>
        <w:rPr>
          <w:rFonts w:hint="eastAsia"/>
        </w:rPr>
        <w:t>预算数</w:t>
      </w:r>
      <w:r>
        <w:rPr>
          <w:rFonts w:hint="eastAsia"/>
          <w:lang w:eastAsia="zh-CN"/>
        </w:rPr>
        <w:t>的主要原因是劳务费增加。</w:t>
      </w:r>
    </w:p>
    <w:p w14:paraId="54FD90C7">
      <w:pPr>
        <w:pStyle w:val="6"/>
        <w:bidi w:val="0"/>
        <w:rPr>
          <w:rFonts w:hint="eastAsia"/>
          <w:lang w:eastAsia="zh-CN"/>
        </w:rPr>
      </w:pPr>
      <w:r>
        <w:rPr>
          <w:rFonts w:hint="eastAsia" w:cs="宋体"/>
          <w:b/>
          <w:bCs/>
        </w:rPr>
        <w:t> </w:t>
      </w:r>
      <w:r>
        <w:rPr>
          <w:rFonts w:hint="eastAsia" w:cs="宋体"/>
          <w:b/>
          <w:bCs/>
          <w:lang w:val="en-US" w:eastAsia="zh-CN"/>
        </w:rPr>
        <w:t>30</w:t>
      </w:r>
      <w:r>
        <w:rPr>
          <w:rFonts w:hint="eastAsia" w:cs="宋体"/>
          <w:b/>
          <w:bCs/>
        </w:rPr>
        <w:t>.</w:t>
      </w:r>
      <w:r>
        <w:rPr>
          <w:rFonts w:hint="eastAsia" w:cs="宋体"/>
          <w:b/>
          <w:bCs/>
          <w:lang w:eastAsia="zh-CN"/>
        </w:rPr>
        <w:t>城乡社区环境卫生</w:t>
      </w:r>
      <w:r>
        <w:rPr>
          <w:rFonts w:hint="eastAsia" w:cs="宋体"/>
          <w:b/>
          <w:bCs/>
          <w:lang w:val="en-US" w:eastAsia="zh-CN"/>
        </w:rPr>
        <w:t>2120501：</w:t>
      </w:r>
      <w:r>
        <w:rPr>
          <w:rFonts w:hint="eastAsia"/>
          <w:lang w:val="en-US" w:eastAsia="zh-CN"/>
        </w:rPr>
        <w:t>支出决算为5.96万元，完成预算100%，</w:t>
      </w:r>
      <w:r>
        <w:rPr>
          <w:rFonts w:hint="eastAsia"/>
        </w:rPr>
        <w:t>决算数</w:t>
      </w:r>
      <w:r>
        <w:rPr>
          <w:rFonts w:hint="eastAsia"/>
          <w:lang w:eastAsia="zh-CN"/>
        </w:rPr>
        <w:t>大于</w:t>
      </w:r>
      <w:r>
        <w:rPr>
          <w:rFonts w:hint="eastAsia"/>
        </w:rPr>
        <w:t>预算数</w:t>
      </w:r>
      <w:r>
        <w:rPr>
          <w:rFonts w:hint="eastAsia"/>
          <w:lang w:eastAsia="zh-CN"/>
        </w:rPr>
        <w:t>的主要原因是劳务费增加。</w:t>
      </w:r>
    </w:p>
    <w:p w14:paraId="6825DB2D">
      <w:pPr>
        <w:pStyle w:val="6"/>
        <w:bidi w:val="0"/>
        <w:rPr>
          <w:rFonts w:hint="eastAsia"/>
          <w:lang w:val="en-US" w:eastAsia="zh-CN"/>
        </w:rPr>
      </w:pPr>
      <w:r>
        <w:rPr>
          <w:rFonts w:hint="eastAsia" w:cs="宋体"/>
          <w:b/>
          <w:bCs/>
        </w:rPr>
        <w:t> </w:t>
      </w:r>
      <w:r>
        <w:rPr>
          <w:rFonts w:hint="eastAsia" w:cs="宋体"/>
          <w:b/>
          <w:bCs/>
          <w:lang w:val="en-US" w:eastAsia="zh-CN"/>
        </w:rPr>
        <w:t>31</w:t>
      </w:r>
      <w:r>
        <w:rPr>
          <w:rFonts w:hint="eastAsia" w:cs="宋体"/>
          <w:b/>
          <w:bCs/>
        </w:rPr>
        <w:t>.</w:t>
      </w:r>
      <w:r>
        <w:rPr>
          <w:rFonts w:hint="eastAsia" w:cs="宋体"/>
          <w:b/>
          <w:bCs/>
          <w:lang w:val="en-US" w:eastAsia="zh-CN"/>
        </w:rPr>
        <w:t>农林水支出213：</w:t>
      </w:r>
      <w:r>
        <w:rPr>
          <w:rFonts w:hint="eastAsia"/>
          <w:lang w:val="en-US" w:eastAsia="zh-CN"/>
        </w:rPr>
        <w:t>支出决算为267.67万元，完成预算100%，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68411C34">
      <w:pPr>
        <w:pStyle w:val="6"/>
        <w:bidi w:val="0"/>
        <w:rPr>
          <w:rFonts w:hint="eastAsia"/>
          <w:lang w:val="en-US" w:eastAsia="zh-CN"/>
        </w:rPr>
      </w:pPr>
      <w:r>
        <w:rPr>
          <w:rFonts w:hint="eastAsia" w:cs="宋体"/>
          <w:b/>
          <w:bCs/>
        </w:rPr>
        <w:t> </w:t>
      </w:r>
      <w:r>
        <w:rPr>
          <w:rFonts w:hint="eastAsia" w:cs="宋体"/>
          <w:b/>
          <w:bCs/>
          <w:lang w:val="en-US" w:eastAsia="zh-CN"/>
        </w:rPr>
        <w:t>32</w:t>
      </w:r>
      <w:r>
        <w:rPr>
          <w:rFonts w:hint="eastAsia" w:cs="宋体"/>
          <w:b/>
          <w:bCs/>
        </w:rPr>
        <w:t>.</w:t>
      </w:r>
      <w:r>
        <w:rPr>
          <w:rFonts w:hint="eastAsia" w:cs="宋体"/>
          <w:b/>
          <w:bCs/>
          <w:lang w:val="en-US" w:eastAsia="zh-CN"/>
        </w:rPr>
        <w:t>扶贫21305：</w:t>
      </w:r>
      <w:r>
        <w:rPr>
          <w:rFonts w:hint="eastAsia"/>
          <w:lang w:val="en-US" w:eastAsia="zh-CN"/>
        </w:rPr>
        <w:t>支出决算为182.91万元，完成预算100%，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78F1141E">
      <w:pPr>
        <w:pStyle w:val="6"/>
        <w:bidi w:val="0"/>
        <w:rPr>
          <w:rFonts w:hint="eastAsia"/>
          <w:lang w:val="en-US" w:eastAsia="zh-CN"/>
        </w:rPr>
      </w:pPr>
      <w:r>
        <w:rPr>
          <w:rFonts w:hint="eastAsia" w:cs="宋体"/>
          <w:b/>
          <w:bCs/>
        </w:rPr>
        <w:t> </w:t>
      </w:r>
      <w:r>
        <w:rPr>
          <w:rFonts w:hint="eastAsia" w:cs="宋体"/>
          <w:b/>
          <w:bCs/>
          <w:lang w:val="en-US" w:eastAsia="zh-CN"/>
        </w:rPr>
        <w:t>33</w:t>
      </w:r>
      <w:r>
        <w:rPr>
          <w:rFonts w:hint="eastAsia" w:cs="宋体"/>
          <w:b/>
          <w:bCs/>
        </w:rPr>
        <w:t>.</w:t>
      </w:r>
      <w:r>
        <w:rPr>
          <w:rFonts w:hint="eastAsia" w:cs="宋体"/>
          <w:b/>
          <w:bCs/>
          <w:lang w:val="en-US" w:eastAsia="zh-CN"/>
        </w:rPr>
        <w:t>农村基础设施建设2130504：</w:t>
      </w:r>
      <w:r>
        <w:rPr>
          <w:rFonts w:hint="eastAsia"/>
          <w:lang w:val="en-US" w:eastAsia="zh-CN"/>
        </w:rPr>
        <w:t>支出决算为118.62万元，完成预算100%，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49B94700">
      <w:pPr>
        <w:pStyle w:val="6"/>
        <w:bidi w:val="0"/>
        <w:rPr>
          <w:rFonts w:hint="eastAsia"/>
          <w:lang w:val="en-US" w:eastAsia="zh-CN"/>
        </w:rPr>
      </w:pPr>
      <w:r>
        <w:rPr>
          <w:rFonts w:hint="eastAsia" w:cs="宋体"/>
          <w:b/>
          <w:bCs/>
        </w:rPr>
        <w:t> </w:t>
      </w:r>
      <w:r>
        <w:rPr>
          <w:rFonts w:hint="eastAsia" w:cs="宋体"/>
          <w:b/>
          <w:bCs/>
          <w:lang w:val="en-US" w:eastAsia="zh-CN"/>
        </w:rPr>
        <w:t>34</w:t>
      </w:r>
      <w:r>
        <w:rPr>
          <w:rFonts w:hint="eastAsia" w:cs="宋体"/>
          <w:b/>
          <w:bCs/>
        </w:rPr>
        <w:t>.</w:t>
      </w:r>
      <w:r>
        <w:rPr>
          <w:rFonts w:hint="eastAsia" w:cs="宋体"/>
          <w:b/>
          <w:bCs/>
          <w:lang w:val="en-US" w:eastAsia="zh-CN"/>
        </w:rPr>
        <w:t>其他扶贫支出2130599：</w:t>
      </w:r>
      <w:r>
        <w:rPr>
          <w:rFonts w:hint="eastAsia"/>
          <w:lang w:val="en-US" w:eastAsia="zh-CN"/>
        </w:rPr>
        <w:t>支出决算为64.29万元，完成预算100%，</w:t>
      </w:r>
      <w:r>
        <w:rPr>
          <w:rFonts w:hint="eastAsia"/>
        </w:rPr>
        <w:t>决算数</w:t>
      </w:r>
      <w:r>
        <w:rPr>
          <w:rFonts w:hint="eastAsia"/>
          <w:lang w:eastAsia="zh-CN"/>
        </w:rPr>
        <w:t>大于</w:t>
      </w:r>
      <w:r>
        <w:rPr>
          <w:rFonts w:hint="eastAsia"/>
        </w:rPr>
        <w:t>预算数</w:t>
      </w:r>
      <w:r>
        <w:rPr>
          <w:rFonts w:hint="eastAsia"/>
          <w:lang w:eastAsia="zh-CN"/>
        </w:rPr>
        <w:t>的主要原因是项目增加。</w:t>
      </w:r>
    </w:p>
    <w:p w14:paraId="7BE67F7C">
      <w:pPr>
        <w:pStyle w:val="6"/>
        <w:bidi w:val="0"/>
        <w:rPr>
          <w:rFonts w:hint="eastAsia"/>
          <w:lang w:val="en-US" w:eastAsia="zh-CN"/>
        </w:rPr>
      </w:pPr>
      <w:r>
        <w:rPr>
          <w:rFonts w:hint="eastAsia" w:cs="宋体"/>
          <w:b/>
          <w:bCs/>
        </w:rPr>
        <w:t> </w:t>
      </w:r>
      <w:r>
        <w:rPr>
          <w:rFonts w:hint="eastAsia" w:cs="宋体"/>
          <w:b/>
          <w:bCs/>
          <w:lang w:val="en-US" w:eastAsia="zh-CN"/>
        </w:rPr>
        <w:t>35</w:t>
      </w:r>
      <w:r>
        <w:rPr>
          <w:rFonts w:hint="eastAsia" w:cs="宋体"/>
          <w:b/>
          <w:bCs/>
        </w:rPr>
        <w:t>.</w:t>
      </w:r>
      <w:r>
        <w:rPr>
          <w:rFonts w:hint="eastAsia" w:cs="宋体"/>
          <w:b/>
          <w:bCs/>
          <w:lang w:val="en-US" w:eastAsia="zh-CN"/>
        </w:rPr>
        <w:t>农村综合改革21307：</w:t>
      </w:r>
      <w:r>
        <w:rPr>
          <w:rFonts w:hint="eastAsia"/>
          <w:lang w:val="en-US" w:eastAsia="zh-CN"/>
        </w:rPr>
        <w:t>支出决算为84.76万元，完成预算100%，</w:t>
      </w:r>
      <w:r>
        <w:rPr>
          <w:rFonts w:hint="eastAsia"/>
        </w:rPr>
        <w:t>决算数</w:t>
      </w:r>
      <w:r>
        <w:rPr>
          <w:rFonts w:hint="eastAsia"/>
          <w:lang w:eastAsia="zh-CN"/>
        </w:rPr>
        <w:t>大于</w:t>
      </w:r>
      <w:r>
        <w:rPr>
          <w:rFonts w:hint="eastAsia"/>
        </w:rPr>
        <w:t>预算数</w:t>
      </w:r>
      <w:r>
        <w:rPr>
          <w:rFonts w:hint="eastAsia"/>
          <w:lang w:eastAsia="zh-CN"/>
        </w:rPr>
        <w:t>的主要原因是维修费增加</w:t>
      </w:r>
      <w:r>
        <w:rPr>
          <w:rFonts w:hint="eastAsia"/>
          <w:lang w:val="en-US" w:eastAsia="zh-CN"/>
        </w:rPr>
        <w:t>。</w:t>
      </w:r>
    </w:p>
    <w:p w14:paraId="4ACAE4DA">
      <w:pPr>
        <w:pStyle w:val="6"/>
        <w:bidi w:val="0"/>
        <w:rPr>
          <w:rFonts w:hint="eastAsia"/>
          <w:lang w:val="en-US" w:eastAsia="zh-CN"/>
        </w:rPr>
      </w:pPr>
      <w:r>
        <w:rPr>
          <w:rFonts w:hint="eastAsia" w:cs="宋体"/>
          <w:b/>
          <w:bCs/>
        </w:rPr>
        <w:t> </w:t>
      </w:r>
      <w:r>
        <w:rPr>
          <w:rFonts w:hint="eastAsia" w:cs="宋体"/>
          <w:b/>
          <w:bCs/>
          <w:lang w:val="en-US" w:eastAsia="zh-CN"/>
        </w:rPr>
        <w:t>36</w:t>
      </w:r>
      <w:r>
        <w:rPr>
          <w:rFonts w:hint="eastAsia" w:cs="宋体"/>
          <w:b/>
          <w:bCs/>
        </w:rPr>
        <w:t>.</w:t>
      </w:r>
      <w:r>
        <w:rPr>
          <w:rFonts w:hint="eastAsia" w:cs="宋体"/>
          <w:b/>
          <w:bCs/>
          <w:lang w:val="en-US" w:eastAsia="zh-CN"/>
        </w:rPr>
        <w:t>对村民委员会和对村党支部的补助2130705：</w:t>
      </w:r>
      <w:r>
        <w:rPr>
          <w:rFonts w:hint="eastAsia"/>
          <w:lang w:val="en-US" w:eastAsia="zh-CN"/>
        </w:rPr>
        <w:t>支出决算为84.76万元，完成预算100%，</w:t>
      </w:r>
      <w:r>
        <w:rPr>
          <w:rFonts w:hint="eastAsia"/>
        </w:rPr>
        <w:t>决算数</w:t>
      </w:r>
      <w:r>
        <w:rPr>
          <w:rFonts w:hint="eastAsia"/>
          <w:lang w:eastAsia="zh-CN"/>
        </w:rPr>
        <w:t>大于</w:t>
      </w:r>
      <w:r>
        <w:rPr>
          <w:rFonts w:hint="eastAsia"/>
        </w:rPr>
        <w:t>预算数</w:t>
      </w:r>
      <w:r>
        <w:rPr>
          <w:rFonts w:hint="eastAsia"/>
          <w:lang w:eastAsia="zh-CN"/>
        </w:rPr>
        <w:t>的主要原因是维修费增加</w:t>
      </w:r>
      <w:r>
        <w:rPr>
          <w:rFonts w:hint="eastAsia"/>
          <w:lang w:val="en-US" w:eastAsia="zh-CN"/>
        </w:rPr>
        <w:t>。</w:t>
      </w:r>
    </w:p>
    <w:p w14:paraId="7A43042C">
      <w:pPr>
        <w:pStyle w:val="6"/>
        <w:bidi w:val="0"/>
        <w:rPr>
          <w:rFonts w:hint="eastAsia"/>
          <w:lang w:val="en-US" w:eastAsia="zh-CN"/>
        </w:rPr>
      </w:pPr>
      <w:r>
        <w:rPr>
          <w:rFonts w:hint="eastAsia"/>
        </w:rPr>
        <w:t> </w:t>
      </w:r>
      <w:r>
        <w:rPr>
          <w:rFonts w:hint="eastAsia" w:cs="宋体"/>
          <w:b/>
          <w:bCs/>
          <w:lang w:val="en-US" w:eastAsia="zh-CN"/>
        </w:rPr>
        <w:t>37</w:t>
      </w:r>
      <w:r>
        <w:rPr>
          <w:rFonts w:hint="eastAsia" w:cs="宋体"/>
          <w:b/>
          <w:bCs/>
        </w:rPr>
        <w:t>.</w:t>
      </w:r>
      <w:r>
        <w:rPr>
          <w:rFonts w:hint="eastAsia" w:cs="宋体"/>
          <w:b/>
          <w:bCs/>
          <w:lang w:val="en-US" w:eastAsia="zh-CN"/>
        </w:rPr>
        <w:t>住房保障221：</w:t>
      </w:r>
      <w:r>
        <w:rPr>
          <w:rFonts w:hint="eastAsia"/>
          <w:lang w:val="en-US" w:eastAsia="zh-CN"/>
        </w:rPr>
        <w:t>支出决算为38.71万元，完成预算100%。</w:t>
      </w:r>
    </w:p>
    <w:p w14:paraId="0CAD4D73">
      <w:pPr>
        <w:pStyle w:val="6"/>
        <w:bidi w:val="0"/>
        <w:rPr>
          <w:rFonts w:hint="eastAsia"/>
          <w:lang w:val="en-US" w:eastAsia="zh-CN"/>
        </w:rPr>
      </w:pPr>
      <w:r>
        <w:rPr>
          <w:rFonts w:hint="eastAsia" w:cs="宋体"/>
          <w:b/>
          <w:bCs/>
        </w:rPr>
        <w:t> </w:t>
      </w:r>
      <w:r>
        <w:rPr>
          <w:rFonts w:hint="eastAsia" w:cs="宋体"/>
          <w:b/>
          <w:bCs/>
          <w:lang w:val="en-US" w:eastAsia="zh-CN"/>
        </w:rPr>
        <w:t>38</w:t>
      </w:r>
      <w:r>
        <w:rPr>
          <w:rFonts w:hint="eastAsia" w:cs="宋体"/>
          <w:b/>
          <w:bCs/>
        </w:rPr>
        <w:t>.</w:t>
      </w:r>
      <w:r>
        <w:rPr>
          <w:rFonts w:hint="eastAsia" w:cs="宋体"/>
          <w:b/>
          <w:bCs/>
          <w:lang w:val="en-US" w:eastAsia="zh-CN"/>
        </w:rPr>
        <w:t>住房改革支出22102：</w:t>
      </w:r>
      <w:r>
        <w:rPr>
          <w:rFonts w:hint="eastAsia"/>
          <w:lang w:val="en-US" w:eastAsia="zh-CN"/>
        </w:rPr>
        <w:t>支出决算为38.71万元，完成预算100%</w:t>
      </w:r>
    </w:p>
    <w:p w14:paraId="485A2F8A">
      <w:pPr>
        <w:pStyle w:val="6"/>
        <w:bidi w:val="0"/>
        <w:rPr>
          <w:rFonts w:hint="eastAsia"/>
          <w:lang w:val="en-US" w:eastAsia="zh-CN"/>
        </w:rPr>
      </w:pPr>
      <w:r>
        <w:rPr>
          <w:rFonts w:hint="eastAsia" w:cs="宋体"/>
          <w:b/>
          <w:bCs/>
        </w:rPr>
        <w:t> </w:t>
      </w:r>
      <w:r>
        <w:rPr>
          <w:rFonts w:hint="eastAsia" w:cs="宋体"/>
          <w:b/>
          <w:bCs/>
          <w:lang w:val="en-US" w:eastAsia="zh-CN"/>
        </w:rPr>
        <w:t>39</w:t>
      </w:r>
      <w:r>
        <w:rPr>
          <w:rFonts w:hint="eastAsia" w:cs="宋体"/>
          <w:b/>
          <w:bCs/>
        </w:rPr>
        <w:t>.</w:t>
      </w:r>
      <w:r>
        <w:rPr>
          <w:rFonts w:hint="eastAsia" w:cs="宋体"/>
          <w:b/>
          <w:bCs/>
          <w:lang w:val="en-US" w:eastAsia="zh-CN"/>
        </w:rPr>
        <w:t>住房公积金2210201：</w:t>
      </w:r>
      <w:r>
        <w:rPr>
          <w:rFonts w:hint="eastAsia"/>
          <w:lang w:val="en-US" w:eastAsia="zh-CN"/>
        </w:rPr>
        <w:t>支出决算为38.71万元，完成预算100%。</w:t>
      </w:r>
    </w:p>
    <w:p w14:paraId="6ABF6045">
      <w:pPr>
        <w:pStyle w:val="4"/>
        <w:bidi w:val="0"/>
      </w:pPr>
      <w:bookmarkStart w:id="27" w:name="_Toc1383"/>
      <w:bookmarkStart w:id="28" w:name="_Toc22000"/>
      <w:r>
        <w:rPr>
          <w:rFonts w:hint="eastAsia"/>
        </w:rPr>
        <w:t>六、一般公共预算财政拨款基本支出决算情况说明</w:t>
      </w:r>
      <w:bookmarkEnd w:id="27"/>
      <w:bookmarkEnd w:id="28"/>
    </w:p>
    <w:p w14:paraId="2CF95D10">
      <w:pPr>
        <w:pStyle w:val="6"/>
        <w:bidi w:val="0"/>
        <w:spacing w:beforeAutospacing="0"/>
        <w:rPr>
          <w:rFonts w:hint="eastAsia"/>
        </w:rPr>
      </w:pPr>
      <w:r>
        <w:rPr>
          <w:rFonts w:hint="eastAsia"/>
        </w:rPr>
        <w:t>2020年一般公共预算财政拨款基本支出48</w:t>
      </w:r>
      <w:r>
        <w:rPr>
          <w:rFonts w:hint="eastAsia"/>
          <w:lang w:val="en-US" w:eastAsia="zh-CN"/>
        </w:rPr>
        <w:t>7.29</w:t>
      </w:r>
      <w:r>
        <w:rPr>
          <w:rFonts w:hint="eastAsia"/>
        </w:rPr>
        <w:t>万元，其中：</w:t>
      </w:r>
    </w:p>
    <w:p w14:paraId="604D2CA7">
      <w:pPr>
        <w:pStyle w:val="6"/>
        <w:bidi w:val="0"/>
        <w:rPr>
          <w:rFonts w:hint="eastAsia"/>
          <w:lang w:eastAsia="zh-CN"/>
        </w:rPr>
      </w:pPr>
      <w:r>
        <w:rPr>
          <w:rFonts w:hint="eastAsia"/>
        </w:rPr>
        <w:t>人员经费</w:t>
      </w:r>
      <w:r>
        <w:rPr>
          <w:rFonts w:hint="eastAsia"/>
          <w:lang w:val="en-US" w:eastAsia="zh-CN"/>
        </w:rPr>
        <w:t>451.74</w:t>
      </w:r>
      <w:r>
        <w:rPr>
          <w:rFonts w:hint="eastAsia"/>
        </w:rPr>
        <w:t>万元，主要包括：基本工资</w:t>
      </w:r>
      <w:r>
        <w:rPr>
          <w:rFonts w:hint="eastAsia"/>
          <w:lang w:val="en-US" w:eastAsia="zh-CN"/>
        </w:rPr>
        <w:t>76.57万元</w:t>
      </w:r>
      <w:r>
        <w:rPr>
          <w:rFonts w:hint="eastAsia"/>
        </w:rPr>
        <w:t>、津贴补贴</w:t>
      </w:r>
      <w:r>
        <w:rPr>
          <w:rFonts w:hint="eastAsia"/>
          <w:lang w:val="en-US" w:eastAsia="zh-CN"/>
        </w:rPr>
        <w:t>239.44万元</w:t>
      </w:r>
      <w:r>
        <w:rPr>
          <w:rFonts w:hint="eastAsia"/>
        </w:rPr>
        <w:t>、奖金</w:t>
      </w:r>
      <w:r>
        <w:rPr>
          <w:rFonts w:hint="eastAsia"/>
          <w:lang w:val="en-US" w:eastAsia="zh-CN"/>
        </w:rPr>
        <w:t>4.95万元</w:t>
      </w:r>
      <w:r>
        <w:rPr>
          <w:rFonts w:hint="eastAsia"/>
        </w:rPr>
        <w:t>、绩效工资</w:t>
      </w:r>
      <w:r>
        <w:rPr>
          <w:rFonts w:hint="eastAsia"/>
          <w:lang w:val="en-US" w:eastAsia="zh-CN"/>
        </w:rPr>
        <w:t>1.67万元</w:t>
      </w:r>
      <w:r>
        <w:rPr>
          <w:rFonts w:hint="eastAsia"/>
        </w:rPr>
        <w:t>、机关事业单位基本养老保险缴费</w:t>
      </w:r>
      <w:r>
        <w:rPr>
          <w:rFonts w:hint="eastAsia"/>
          <w:lang w:val="en-US" w:eastAsia="zh-CN"/>
        </w:rPr>
        <w:t>35.04万元、</w:t>
      </w:r>
      <w:r>
        <w:rPr>
          <w:rFonts w:hint="eastAsia"/>
        </w:rPr>
        <w:t>职业年金缴费</w:t>
      </w:r>
      <w:r>
        <w:rPr>
          <w:rFonts w:hint="eastAsia"/>
          <w:lang w:val="en-US" w:eastAsia="zh-CN"/>
        </w:rPr>
        <w:t>17.52万元</w:t>
      </w:r>
      <w:r>
        <w:rPr>
          <w:rFonts w:hint="eastAsia"/>
        </w:rPr>
        <w:t>、</w:t>
      </w:r>
      <w:r>
        <w:rPr>
          <w:rFonts w:hint="eastAsia"/>
          <w:lang w:val="en-US" w:eastAsia="zh-CN"/>
        </w:rPr>
        <w:t>职工基本医疗保险缴费25.49万元、公务员医疗补助缴费4.36万元、</w:t>
      </w:r>
      <w:r>
        <w:rPr>
          <w:rFonts w:hint="eastAsia"/>
        </w:rPr>
        <w:t>其他社会保障缴费</w:t>
      </w:r>
      <w:r>
        <w:rPr>
          <w:rFonts w:hint="eastAsia"/>
          <w:lang w:val="en-US" w:eastAsia="zh-CN"/>
        </w:rPr>
        <w:t>5.01万元</w:t>
      </w:r>
      <w:r>
        <w:rPr>
          <w:rFonts w:hint="eastAsia"/>
        </w:rPr>
        <w:t>、生活补助</w:t>
      </w:r>
      <w:r>
        <w:rPr>
          <w:rFonts w:hint="eastAsia"/>
          <w:lang w:val="en-US" w:eastAsia="zh-CN"/>
        </w:rPr>
        <w:t>0.3万元</w:t>
      </w:r>
      <w:r>
        <w:rPr>
          <w:rFonts w:hint="eastAsia"/>
        </w:rPr>
        <w:t>、医疗费补助</w:t>
      </w:r>
      <w:r>
        <w:rPr>
          <w:rFonts w:hint="eastAsia"/>
          <w:lang w:val="en-US" w:eastAsia="zh-CN"/>
        </w:rPr>
        <w:t>2.68万元</w:t>
      </w:r>
      <w:r>
        <w:rPr>
          <w:rFonts w:hint="eastAsia"/>
        </w:rPr>
        <w:t>、住房公积金</w:t>
      </w:r>
      <w:r>
        <w:rPr>
          <w:rFonts w:hint="eastAsia"/>
          <w:lang w:val="en-US" w:eastAsia="zh-CN"/>
        </w:rPr>
        <w:t>38.71万元</w:t>
      </w:r>
      <w:r>
        <w:rPr>
          <w:rFonts w:hint="eastAsia"/>
        </w:rPr>
        <w:t>等。</w:t>
      </w:r>
    </w:p>
    <w:p w14:paraId="5324E39F">
      <w:pPr>
        <w:pStyle w:val="6"/>
        <w:bidi w:val="0"/>
        <w:rPr>
          <w:rFonts w:hint="eastAsia"/>
        </w:rPr>
      </w:pPr>
      <w:r>
        <w:rPr>
          <w:rFonts w:hint="eastAsia"/>
        </w:rPr>
        <w:t>日常公用经费35.55万元，主要包括：办公费</w:t>
      </w:r>
      <w:r>
        <w:rPr>
          <w:rFonts w:hint="eastAsia"/>
          <w:lang w:val="en-US" w:eastAsia="zh-CN"/>
        </w:rPr>
        <w:t>10.87万元</w:t>
      </w:r>
      <w:r>
        <w:rPr>
          <w:rFonts w:hint="eastAsia"/>
        </w:rPr>
        <w:t>、印刷费</w:t>
      </w:r>
      <w:r>
        <w:rPr>
          <w:rFonts w:hint="eastAsia"/>
          <w:lang w:val="en-US" w:eastAsia="zh-CN"/>
        </w:rPr>
        <w:t>1万元</w:t>
      </w:r>
      <w:r>
        <w:rPr>
          <w:rFonts w:hint="eastAsia"/>
        </w:rPr>
        <w:t>、电费</w:t>
      </w:r>
      <w:r>
        <w:rPr>
          <w:rFonts w:hint="eastAsia"/>
          <w:lang w:val="en-US" w:eastAsia="zh-CN"/>
        </w:rPr>
        <w:t>6万元</w:t>
      </w:r>
      <w:r>
        <w:rPr>
          <w:rFonts w:hint="eastAsia"/>
        </w:rPr>
        <w:t>、取暖费</w:t>
      </w:r>
      <w:r>
        <w:rPr>
          <w:rFonts w:hint="eastAsia"/>
          <w:lang w:val="en-US" w:eastAsia="zh-CN"/>
        </w:rPr>
        <w:t>1万元</w:t>
      </w:r>
      <w:r>
        <w:rPr>
          <w:rFonts w:hint="eastAsia"/>
        </w:rPr>
        <w:t>、差旅费</w:t>
      </w:r>
      <w:r>
        <w:rPr>
          <w:rFonts w:hint="eastAsia"/>
          <w:lang w:val="en-US" w:eastAsia="zh-CN"/>
        </w:rPr>
        <w:t>2.69万元</w:t>
      </w:r>
      <w:r>
        <w:rPr>
          <w:rFonts w:hint="eastAsia"/>
        </w:rPr>
        <w:t>、会议费</w:t>
      </w:r>
      <w:r>
        <w:rPr>
          <w:rFonts w:hint="eastAsia"/>
          <w:lang w:val="en-US" w:eastAsia="zh-CN"/>
        </w:rPr>
        <w:t>1万元</w:t>
      </w:r>
      <w:r>
        <w:rPr>
          <w:rFonts w:hint="eastAsia"/>
        </w:rPr>
        <w:t>、培训费</w:t>
      </w:r>
      <w:r>
        <w:rPr>
          <w:rFonts w:hint="eastAsia"/>
          <w:lang w:val="en-US" w:eastAsia="zh-CN"/>
        </w:rPr>
        <w:t>1.99万元</w:t>
      </w:r>
      <w:r>
        <w:rPr>
          <w:rFonts w:hint="eastAsia"/>
        </w:rPr>
        <w:t>、</w:t>
      </w:r>
      <w:r>
        <w:rPr>
          <w:rFonts w:hint="eastAsia"/>
          <w:lang w:eastAsia="zh-CN"/>
        </w:rPr>
        <w:t>劳务</w:t>
      </w:r>
      <w:r>
        <w:rPr>
          <w:rFonts w:hint="eastAsia"/>
        </w:rPr>
        <w:t>费</w:t>
      </w:r>
      <w:r>
        <w:rPr>
          <w:rFonts w:hint="eastAsia"/>
          <w:lang w:val="en-US" w:eastAsia="zh-CN"/>
        </w:rPr>
        <w:t>2万元</w:t>
      </w:r>
      <w:r>
        <w:rPr>
          <w:rFonts w:hint="eastAsia"/>
        </w:rPr>
        <w:t>、公务用车运行维护费</w:t>
      </w:r>
      <w:r>
        <w:rPr>
          <w:rFonts w:hint="eastAsia"/>
          <w:lang w:val="en-US" w:eastAsia="zh-CN"/>
        </w:rPr>
        <w:t>9万元</w:t>
      </w:r>
      <w:r>
        <w:rPr>
          <w:rFonts w:hint="eastAsia"/>
        </w:rPr>
        <w:t>等。</w:t>
      </w:r>
    </w:p>
    <w:p w14:paraId="715236A3">
      <w:pPr>
        <w:pStyle w:val="4"/>
        <w:bidi w:val="0"/>
        <w:rPr>
          <w:rFonts w:hint="eastAsia"/>
        </w:rPr>
      </w:pPr>
      <w:bookmarkStart w:id="29" w:name="_Toc3310"/>
      <w:bookmarkStart w:id="30" w:name="_Toc29274"/>
      <w:r>
        <w:rPr>
          <w:rFonts w:hint="eastAsia"/>
        </w:rPr>
        <w:t>七、“三公”经费财政拨款支出决算情况说明</w:t>
      </w:r>
      <w:bookmarkEnd w:id="29"/>
      <w:bookmarkEnd w:id="30"/>
    </w:p>
    <w:p w14:paraId="71FE6B8E">
      <w:pPr>
        <w:pStyle w:val="5"/>
        <w:bidi w:val="0"/>
        <w:rPr>
          <w:rFonts w:hint="eastAsia" w:ascii="楷体_GB2312" w:hAnsi="楷体_GB2312" w:eastAsia="楷体_GB2312" w:cs="楷体_GB2312"/>
          <w:b/>
          <w:bCs/>
          <w:szCs w:val="32"/>
        </w:rPr>
      </w:pPr>
      <w:r>
        <w:rPr>
          <w:rFonts w:hint="eastAsia"/>
        </w:rPr>
        <w:t>（一）“三公”经费财政拨款支出决算总体情况说明</w:t>
      </w:r>
    </w:p>
    <w:p w14:paraId="7A74BC00">
      <w:pPr>
        <w:pStyle w:val="6"/>
        <w:bidi w:val="0"/>
        <w:rPr>
          <w:rFonts w:hint="eastAsia"/>
        </w:rPr>
      </w:pPr>
      <w:r>
        <w:rPr>
          <w:rFonts w:hint="eastAsia"/>
        </w:rPr>
        <w:t> 2020年“三公”经费财政拨款支出决算为9.00万元，完成预算100.00%，</w:t>
      </w:r>
      <w:r>
        <w:rPr>
          <w:rFonts w:hint="eastAsia"/>
          <w:lang w:val="en-US" w:eastAsia="zh-CN"/>
        </w:rPr>
        <w:t>决算数与预算数持平</w:t>
      </w:r>
      <w:r>
        <w:rPr>
          <w:rFonts w:hint="eastAsia"/>
        </w:rPr>
        <w:t>。</w:t>
      </w:r>
    </w:p>
    <w:p w14:paraId="2EC85C34">
      <w:pPr>
        <w:pStyle w:val="5"/>
        <w:bidi w:val="0"/>
        <w:rPr>
          <w:rFonts w:hint="eastAsia"/>
        </w:rPr>
      </w:pPr>
      <w:r>
        <w:rPr>
          <w:rFonts w:hint="eastAsia"/>
        </w:rPr>
        <w:t>（二）“三公”经费财政拨款支出决算具体情况说明</w:t>
      </w:r>
    </w:p>
    <w:p w14:paraId="73BFE50A">
      <w:pPr>
        <w:pStyle w:val="6"/>
        <w:bidi w:val="0"/>
      </w:pPr>
      <w:r>
        <w:rPr>
          <w:rFonts w:hint="eastAsia"/>
        </w:rPr>
        <w:t> 2020年“三公”经费财政拨款支出决算中，因公出国（境）费支出决算0.00万元，占 0.00%；公务用车购置及运行维护费支出决算9.00万元，占 1.00%；公务接待费支出决算0.00万元，占 0.00%。具体情况如下：</w:t>
      </w:r>
    </w:p>
    <w:p w14:paraId="4B72C66B">
      <w:pPr>
        <w:pStyle w:val="6"/>
        <w:bidi w:val="0"/>
        <w:jc w:val="center"/>
      </w:pPr>
      <w:r>
        <w:rPr>
          <w:rFonts w:hint="eastAsia"/>
        </w:rPr>
        <w:t>（图7：“三公”经费财政拨款支出结构）（饼状图）</w:t>
      </w:r>
    </w:p>
    <w:p w14:paraId="73A2A053">
      <w:pPr>
        <w:pStyle w:val="6"/>
        <w:bidi w:val="0"/>
        <w:rPr>
          <w:rFonts w:hint="eastAsia"/>
        </w:rPr>
      </w:pPr>
      <w:r>
        <w:rPr>
          <w:b/>
          <w:bCs/>
        </w:rPr>
        <w:drawing>
          <wp:anchor distT="0" distB="0" distL="114300" distR="114300" simplePos="0" relativeHeight="251665408" behindDoc="0" locked="0" layoutInCell="1" allowOverlap="1">
            <wp:simplePos x="0" y="0"/>
            <wp:positionH relativeFrom="column">
              <wp:posOffset>351155</wp:posOffset>
            </wp:positionH>
            <wp:positionV relativeFrom="paragraph">
              <wp:posOffset>10160</wp:posOffset>
            </wp:positionV>
            <wp:extent cx="4572000" cy="1905635"/>
            <wp:effectExtent l="5080" t="4445" r="13970" b="1397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b/>
          <w:bCs/>
        </w:rPr>
        <w:t>1.因公出国（境）经费支出</w:t>
      </w:r>
      <w:r>
        <w:rPr>
          <w:rFonts w:hint="eastAsia"/>
        </w:rPr>
        <w:t>0.00万元</w:t>
      </w:r>
      <w:r>
        <w:rPr>
          <w:rFonts w:hint="eastAsia"/>
          <w:lang w:eastAsia="zh-CN"/>
        </w:rPr>
        <w:t>，完成验收</w:t>
      </w:r>
      <w:r>
        <w:rPr>
          <w:rFonts w:hint="eastAsia"/>
          <w:lang w:val="en-US" w:eastAsia="zh-CN"/>
        </w:rPr>
        <w:t>100.00%</w:t>
      </w:r>
      <w:r>
        <w:rPr>
          <w:rFonts w:hint="eastAsia"/>
          <w:lang w:eastAsia="zh-CN"/>
        </w:rPr>
        <w:t>。</w:t>
      </w:r>
      <w:r>
        <w:rPr>
          <w:rFonts w:hint="eastAsia"/>
        </w:rPr>
        <w:t>全年安排因公出国（境）团组</w:t>
      </w:r>
      <w:r>
        <w:rPr>
          <w:rFonts w:hint="eastAsia"/>
          <w:lang w:val="en-US" w:eastAsia="zh-CN"/>
        </w:rPr>
        <w:t>0</w:t>
      </w:r>
      <w:r>
        <w:rPr>
          <w:rFonts w:hint="eastAsia"/>
        </w:rPr>
        <w:t>次，出国（境）</w:t>
      </w:r>
      <w:r>
        <w:rPr>
          <w:rFonts w:hint="eastAsia"/>
          <w:lang w:val="en-US" w:eastAsia="zh-CN"/>
        </w:rPr>
        <w:t>0</w:t>
      </w:r>
      <w:r>
        <w:rPr>
          <w:rFonts w:hint="eastAsia"/>
        </w:rPr>
        <w:t>人。因公出国（境）支出决算</w:t>
      </w:r>
      <w:r>
        <w:rPr>
          <w:rFonts w:hint="eastAsia"/>
          <w:lang w:eastAsia="zh-CN"/>
        </w:rPr>
        <w:t>与</w:t>
      </w:r>
      <w:r>
        <w:t>201</w:t>
      </w:r>
      <w:r>
        <w:rPr>
          <w:rFonts w:hint="eastAsia"/>
          <w:lang w:val="en-US" w:eastAsia="zh-CN"/>
        </w:rPr>
        <w:t>9</w:t>
      </w:r>
      <w:r>
        <w:rPr>
          <w:rFonts w:hint="eastAsia"/>
        </w:rPr>
        <w:t>年持平。</w:t>
      </w:r>
    </w:p>
    <w:p w14:paraId="78664E23">
      <w:pPr>
        <w:pStyle w:val="6"/>
        <w:bidi w:val="0"/>
        <w:rPr>
          <w:rFonts w:hint="eastAsia"/>
          <w:lang w:eastAsia="zh-CN"/>
        </w:rPr>
      </w:pPr>
      <w:r>
        <w:rPr>
          <w:rFonts w:hint="eastAsia"/>
          <w:b/>
          <w:bCs/>
        </w:rPr>
        <w:t>2.公务用车购置及运行维护费支出</w:t>
      </w:r>
      <w:r>
        <w:rPr>
          <w:rFonts w:hint="eastAsia"/>
        </w:rPr>
        <w:t>9.00万元,完成预算100.00%。公务用车购置及运行维护费支出决算</w:t>
      </w:r>
      <w:r>
        <w:rPr>
          <w:rFonts w:hint="eastAsia"/>
          <w:lang w:eastAsia="zh-CN"/>
        </w:rPr>
        <w:t>比</w:t>
      </w:r>
      <w:r>
        <w:rPr>
          <w:rFonts w:hint="eastAsia"/>
        </w:rPr>
        <w:t>2019年</w:t>
      </w:r>
      <w:r>
        <w:rPr>
          <w:rFonts w:hint="eastAsia"/>
          <w:lang w:eastAsia="zh-CN"/>
        </w:rPr>
        <w:t>减少</w:t>
      </w:r>
      <w:r>
        <w:rPr>
          <w:rFonts w:hint="eastAsia"/>
        </w:rPr>
        <w:t>0.10万元，</w:t>
      </w:r>
      <w:r>
        <w:rPr>
          <w:rFonts w:hint="eastAsia"/>
          <w:lang w:eastAsia="zh-CN"/>
        </w:rPr>
        <w:t>降低</w:t>
      </w:r>
      <w:r>
        <w:rPr>
          <w:rFonts w:hint="eastAsia"/>
        </w:rPr>
        <w:t>1.10%。主要原因是公务用车运行维护费支出</w:t>
      </w:r>
      <w:r>
        <w:rPr>
          <w:rFonts w:hint="eastAsia"/>
          <w:lang w:eastAsia="zh-CN"/>
        </w:rPr>
        <w:t>减少。</w:t>
      </w:r>
    </w:p>
    <w:p w14:paraId="40378B38">
      <w:pPr>
        <w:pStyle w:val="6"/>
        <w:bidi w:val="0"/>
        <w:rPr>
          <w:rFonts w:hint="eastAsia"/>
        </w:rPr>
      </w:pPr>
      <w:r>
        <w:rPr>
          <w:rFonts w:hint="eastAsia"/>
        </w:rPr>
        <w:t>其中：</w:t>
      </w:r>
      <w:r>
        <w:rPr>
          <w:rFonts w:hint="eastAsia"/>
          <w:b/>
          <w:bCs/>
        </w:rPr>
        <w:t>公务用车购置支出</w:t>
      </w:r>
      <w:r>
        <w:rPr>
          <w:rFonts w:hint="eastAsia"/>
        </w:rPr>
        <w:t>0.00万元。全年按规定更新购置公务用车0辆，金额0.00万元。截至2020年12月底，单位共有公务用车2辆，其中：主要领导干部用车0辆、机要通信用车0辆、应急保障用车2辆、执法执勤用车0辆、特种专业技术用车0 辆、离退休干部用车0辆、其他用车0辆。</w:t>
      </w:r>
    </w:p>
    <w:p w14:paraId="6BD808C2">
      <w:pPr>
        <w:pStyle w:val="6"/>
        <w:bidi w:val="0"/>
        <w:rPr>
          <w:rFonts w:hint="eastAsia"/>
        </w:rPr>
      </w:pPr>
      <w:r>
        <w:rPr>
          <w:rFonts w:hint="eastAsia"/>
          <w:b/>
          <w:bCs/>
        </w:rPr>
        <w:t>公务用车运行维护费支出</w:t>
      </w:r>
      <w:r>
        <w:rPr>
          <w:rFonts w:hint="eastAsia"/>
        </w:rPr>
        <w:t>9.00万元。主要用于到县城开会、办事等所需的公务用车燃料费、维修费、过路过桥费、保险费等支出。</w:t>
      </w:r>
    </w:p>
    <w:p w14:paraId="55AF9810">
      <w:pPr>
        <w:pStyle w:val="6"/>
        <w:bidi w:val="0"/>
        <w:rPr>
          <w:rFonts w:hint="eastAsia"/>
        </w:rPr>
      </w:pPr>
      <w:r>
        <w:rPr>
          <w:rFonts w:hint="eastAsia"/>
          <w:b/>
          <w:bCs/>
        </w:rPr>
        <w:t>3.公务接待费支出</w:t>
      </w:r>
      <w:r>
        <w:rPr>
          <w:rFonts w:hint="eastAsia"/>
        </w:rPr>
        <w:t>0.00万元，完成预算100%。公务接待费支出决算比2019年</w:t>
      </w:r>
      <w:r>
        <w:rPr>
          <w:rFonts w:hint="eastAsia"/>
          <w:lang w:eastAsia="zh-CN"/>
        </w:rPr>
        <w:t>减少</w:t>
      </w:r>
      <w:r>
        <w:rPr>
          <w:rFonts w:hint="eastAsia"/>
        </w:rPr>
        <w:t>0.30万元，</w:t>
      </w:r>
      <w:r>
        <w:rPr>
          <w:rFonts w:hint="eastAsia"/>
          <w:lang w:eastAsia="zh-CN"/>
        </w:rPr>
        <w:t>降低</w:t>
      </w:r>
      <w:r>
        <w:rPr>
          <w:rFonts w:hint="eastAsia"/>
        </w:rPr>
        <w:t>100.00%。主要原因是</w:t>
      </w:r>
      <w:r>
        <w:rPr>
          <w:rFonts w:hint="eastAsia"/>
          <w:lang w:eastAsia="zh-CN"/>
        </w:rPr>
        <w:t>没有接待支出。</w:t>
      </w:r>
    </w:p>
    <w:p w14:paraId="4AD5ACDB">
      <w:pPr>
        <w:pStyle w:val="6"/>
        <w:bidi w:val="0"/>
        <w:rPr>
          <w:rFonts w:hint="eastAsia"/>
          <w:lang w:eastAsia="zh-CN"/>
        </w:rPr>
      </w:pPr>
      <w:r>
        <w:rPr>
          <w:rFonts w:hint="eastAsia"/>
          <w:b/>
          <w:bCs/>
        </w:rPr>
        <w:t>国内公务接待支出</w:t>
      </w:r>
      <w:r>
        <w:rPr>
          <w:rFonts w:hint="eastAsia"/>
        </w:rPr>
        <w:t>0.00万元，国内公务接待0批次，0人次（不包括陪同人员），共计支出0.00万元</w:t>
      </w:r>
      <w:r>
        <w:rPr>
          <w:rFonts w:hint="eastAsia"/>
          <w:lang w:eastAsia="zh-CN"/>
        </w:rPr>
        <w:t>。</w:t>
      </w:r>
    </w:p>
    <w:p w14:paraId="0D52E03A">
      <w:pPr>
        <w:pStyle w:val="6"/>
        <w:bidi w:val="0"/>
      </w:pPr>
      <w:r>
        <w:rPr>
          <w:rFonts w:hint="eastAsia"/>
          <w:b/>
          <w:bCs/>
        </w:rPr>
        <w:t>外事接待支出</w:t>
      </w:r>
      <w:r>
        <w:rPr>
          <w:rFonts w:hint="eastAsia"/>
        </w:rPr>
        <w:t>0.00万元，外事接待0批次，0人，共计支出0.00 万元</w:t>
      </w:r>
      <w:r>
        <w:rPr>
          <w:rFonts w:hint="eastAsia"/>
          <w:lang w:eastAsia="zh-CN"/>
        </w:rPr>
        <w:t>。</w:t>
      </w:r>
    </w:p>
    <w:p w14:paraId="10FBF277">
      <w:pPr>
        <w:pStyle w:val="4"/>
        <w:bidi w:val="0"/>
        <w:rPr>
          <w:rFonts w:hint="eastAsia"/>
        </w:rPr>
      </w:pPr>
      <w:bookmarkStart w:id="31" w:name="_Toc7550"/>
      <w:bookmarkStart w:id="32" w:name="_Toc27750"/>
      <w:r>
        <w:rPr>
          <w:rFonts w:hint="eastAsia"/>
        </w:rPr>
        <w:t>八、政府性基金预算支出决算情况说明</w:t>
      </w:r>
      <w:bookmarkEnd w:id="31"/>
      <w:bookmarkEnd w:id="32"/>
    </w:p>
    <w:p w14:paraId="162FDEFA">
      <w:pPr>
        <w:pStyle w:val="6"/>
        <w:bidi w:val="0"/>
        <w:rPr>
          <w:rFonts w:hint="eastAsia"/>
        </w:rPr>
      </w:pPr>
      <w:r>
        <w:rPr>
          <w:rFonts w:hint="eastAsia"/>
        </w:rPr>
        <w:t> 2020年政府性基金预算拨款支出0.00万元。</w:t>
      </w:r>
    </w:p>
    <w:p w14:paraId="3F64C58E">
      <w:pPr>
        <w:pStyle w:val="4"/>
        <w:bidi w:val="0"/>
        <w:rPr>
          <w:rFonts w:hint="eastAsia"/>
        </w:rPr>
      </w:pPr>
      <w:bookmarkStart w:id="33" w:name="_Toc26563"/>
      <w:bookmarkStart w:id="34" w:name="_Toc15642"/>
      <w:r>
        <w:rPr>
          <w:rFonts w:hint="eastAsia"/>
        </w:rPr>
        <w:t>九、国有资本经营预算支出决算情况说明</w:t>
      </w:r>
      <w:bookmarkEnd w:id="33"/>
      <w:bookmarkEnd w:id="34"/>
    </w:p>
    <w:p w14:paraId="7CC718AB">
      <w:pPr>
        <w:pStyle w:val="6"/>
        <w:bidi w:val="0"/>
      </w:pPr>
      <w:r>
        <w:rPr>
          <w:rFonts w:hint="eastAsia"/>
        </w:rPr>
        <w:t> 2020年国有资本经营预算拨款支出0.00万元。</w:t>
      </w:r>
      <w:r>
        <w:t> </w:t>
      </w:r>
    </w:p>
    <w:p w14:paraId="7B7DF003">
      <w:pPr>
        <w:pStyle w:val="4"/>
        <w:bidi w:val="0"/>
        <w:rPr>
          <w:rFonts w:hint="eastAsia"/>
        </w:rPr>
      </w:pPr>
      <w:bookmarkStart w:id="35" w:name="_Toc21664"/>
      <w:bookmarkStart w:id="36" w:name="_Toc29837"/>
      <w:r>
        <w:rPr>
          <w:rFonts w:hint="eastAsia"/>
        </w:rPr>
        <w:t>十、其他重要事项的情况说明</w:t>
      </w:r>
      <w:bookmarkEnd w:id="35"/>
      <w:bookmarkEnd w:id="36"/>
    </w:p>
    <w:p w14:paraId="7FA838D9">
      <w:pPr>
        <w:pStyle w:val="5"/>
        <w:bidi w:val="0"/>
        <w:rPr>
          <w:rFonts w:hint="eastAsia"/>
        </w:rPr>
      </w:pPr>
      <w:r>
        <w:rPr>
          <w:rFonts w:hint="eastAsia"/>
        </w:rPr>
        <w:t>（一）机关运行经费支出情况</w:t>
      </w:r>
    </w:p>
    <w:p w14:paraId="3F2AC1AE">
      <w:pPr>
        <w:pStyle w:val="6"/>
        <w:bidi w:val="0"/>
      </w:pPr>
      <w:r>
        <w:rPr>
          <w:rFonts w:hint="eastAsia"/>
        </w:rPr>
        <w:t> 2020年，阿坝州红原县查尔玛乡人民政府机关运行经费支出</w:t>
      </w:r>
      <w:r>
        <w:rPr>
          <w:rFonts w:hint="eastAsia"/>
          <w:lang w:val="en-US" w:eastAsia="zh-CN"/>
        </w:rPr>
        <w:t>35.56</w:t>
      </w:r>
      <w:r>
        <w:rPr>
          <w:rFonts w:hint="eastAsia"/>
        </w:rPr>
        <w:t>万元，比2019年</w:t>
      </w:r>
      <w:r>
        <w:rPr>
          <w:rFonts w:hint="eastAsia"/>
          <w:lang w:eastAsia="zh-CN"/>
        </w:rPr>
        <w:t>减少</w:t>
      </w:r>
      <w:r>
        <w:rPr>
          <w:rFonts w:hint="eastAsia"/>
          <w:lang w:val="en-US" w:eastAsia="zh-CN"/>
        </w:rPr>
        <w:t>7.41</w:t>
      </w:r>
      <w:r>
        <w:rPr>
          <w:rFonts w:hint="eastAsia"/>
        </w:rPr>
        <w:t>万元，</w:t>
      </w:r>
      <w:r>
        <w:rPr>
          <w:rFonts w:hint="eastAsia"/>
          <w:lang w:eastAsia="zh-CN"/>
        </w:rPr>
        <w:t>降低</w:t>
      </w:r>
      <w:r>
        <w:rPr>
          <w:rFonts w:hint="eastAsia"/>
        </w:rPr>
        <w:t xml:space="preserve"> </w:t>
      </w:r>
      <w:r>
        <w:rPr>
          <w:rFonts w:hint="eastAsia"/>
          <w:lang w:val="en-US" w:eastAsia="zh-CN"/>
        </w:rPr>
        <w:t>21</w:t>
      </w:r>
      <w:r>
        <w:rPr>
          <w:rFonts w:hint="eastAsia"/>
        </w:rPr>
        <w:t>%。主要原因是</w:t>
      </w:r>
      <w:r>
        <w:rPr>
          <w:rFonts w:hint="eastAsia"/>
          <w:lang w:eastAsia="zh-CN"/>
        </w:rPr>
        <w:t>办公费用减少。</w:t>
      </w:r>
    </w:p>
    <w:p w14:paraId="397F91C8">
      <w:pPr>
        <w:pStyle w:val="5"/>
        <w:bidi w:val="0"/>
        <w:rPr>
          <w:rFonts w:hint="eastAsia"/>
        </w:rPr>
      </w:pPr>
      <w:r>
        <w:rPr>
          <w:rFonts w:hint="eastAsia"/>
        </w:rPr>
        <w:t>（二）政府采购支出情况</w:t>
      </w:r>
    </w:p>
    <w:p w14:paraId="2570402B">
      <w:pPr>
        <w:pStyle w:val="6"/>
        <w:bidi w:val="0"/>
        <w:rPr>
          <w:rFonts w:hint="eastAsia"/>
        </w:rPr>
      </w:pPr>
      <w:r>
        <w:rPr>
          <w:rFonts w:hint="eastAsia"/>
        </w:rPr>
        <w:t> 20</w:t>
      </w:r>
      <w:r>
        <w:rPr>
          <w:rFonts w:hint="eastAsia"/>
          <w:lang w:val="en-US" w:eastAsia="zh-CN"/>
        </w:rPr>
        <w:t>20</w:t>
      </w:r>
      <w:r>
        <w:rPr>
          <w:rFonts w:hint="eastAsia"/>
        </w:rPr>
        <w:t>年，</w:t>
      </w:r>
      <w:r>
        <w:rPr>
          <w:rFonts w:hint="eastAsia"/>
          <w:lang w:eastAsia="zh-CN"/>
        </w:rPr>
        <w:t>查尔玛乡</w:t>
      </w:r>
      <w:r>
        <w:rPr>
          <w:rFonts w:hint="eastAsia"/>
        </w:rPr>
        <w:t>政府采购支出总额</w:t>
      </w:r>
      <w:r>
        <w:rPr>
          <w:rFonts w:hint="eastAsia"/>
          <w:lang w:val="en-US" w:eastAsia="zh-CN"/>
        </w:rPr>
        <w:t>132</w:t>
      </w:r>
      <w:r>
        <w:rPr>
          <w:rFonts w:hint="eastAsia"/>
        </w:rPr>
        <w:t>万元，其中：政府采购货物支出0万元、政府采购工程支出</w:t>
      </w:r>
      <w:r>
        <w:rPr>
          <w:rFonts w:hint="eastAsia"/>
          <w:lang w:val="en-US" w:eastAsia="zh-CN"/>
        </w:rPr>
        <w:t>132</w:t>
      </w:r>
      <w:r>
        <w:rPr>
          <w:rFonts w:hint="eastAsia"/>
        </w:rPr>
        <w:t>万元、政府采购服务支出0万元。授予中小企业合同金额</w:t>
      </w:r>
      <w:r>
        <w:rPr>
          <w:rFonts w:hint="eastAsia"/>
          <w:lang w:val="en-US" w:eastAsia="zh-CN"/>
        </w:rPr>
        <w:t>132</w:t>
      </w:r>
      <w:r>
        <w:rPr>
          <w:rFonts w:hint="eastAsia"/>
        </w:rPr>
        <w:t>万元，占政府采购支出总额的</w:t>
      </w:r>
      <w:r>
        <w:rPr>
          <w:rFonts w:hint="eastAsia"/>
          <w:lang w:val="en-US" w:eastAsia="zh-CN"/>
        </w:rPr>
        <w:t>100</w:t>
      </w:r>
      <w:r>
        <w:rPr>
          <w:rFonts w:hint="eastAsia"/>
        </w:rPr>
        <w:t>%。</w:t>
      </w:r>
    </w:p>
    <w:p w14:paraId="06253B52">
      <w:pPr>
        <w:pStyle w:val="5"/>
        <w:bidi w:val="0"/>
        <w:rPr>
          <w:rFonts w:hint="eastAsia"/>
        </w:rPr>
      </w:pPr>
      <w:r>
        <w:rPr>
          <w:rFonts w:hint="eastAsia"/>
        </w:rPr>
        <w:t>（三）国有资产占有使用情况</w:t>
      </w:r>
    </w:p>
    <w:p w14:paraId="572EA2AA">
      <w:pPr>
        <w:pStyle w:val="6"/>
        <w:bidi w:val="0"/>
        <w:rPr>
          <w:rFonts w:hint="eastAsia"/>
        </w:rPr>
      </w:pPr>
      <w:r>
        <w:rPr>
          <w:rFonts w:hint="eastAsia"/>
        </w:rPr>
        <w:t>截至201</w:t>
      </w:r>
      <w:r>
        <w:rPr>
          <w:rFonts w:hint="eastAsia"/>
          <w:lang w:val="en-US" w:eastAsia="zh-CN"/>
        </w:rPr>
        <w:t>9</w:t>
      </w:r>
      <w:r>
        <w:rPr>
          <w:rFonts w:hint="eastAsia"/>
        </w:rPr>
        <w:t>年12月31日，</w:t>
      </w:r>
      <w:r>
        <w:rPr>
          <w:rFonts w:hint="eastAsia"/>
          <w:lang w:eastAsia="zh-CN"/>
        </w:rPr>
        <w:t>查尔玛乡</w:t>
      </w:r>
      <w:r>
        <w:rPr>
          <w:rFonts w:hint="eastAsia"/>
        </w:rPr>
        <w:t>共有车辆2辆，其中：</w:t>
      </w:r>
      <w:r>
        <w:rPr>
          <w:rFonts w:hint="eastAsia"/>
          <w:lang w:eastAsia="zh-CN"/>
        </w:rPr>
        <w:t>主要</w:t>
      </w:r>
      <w:r>
        <w:rPr>
          <w:rFonts w:hint="eastAsia"/>
        </w:rPr>
        <w:t>领导干部用车0辆、一般公务用车2辆、一般执法执勤用车0辆、特种专业技术用车0辆、其他用车0辆</w:t>
      </w:r>
      <w:r>
        <w:rPr>
          <w:rFonts w:hint="eastAsia"/>
          <w:lang w:eastAsia="zh-CN"/>
        </w:rPr>
        <w:t>，价值</w:t>
      </w:r>
      <w:r>
        <w:rPr>
          <w:rFonts w:hint="eastAsia"/>
          <w:lang w:val="en-US" w:eastAsia="zh-CN"/>
        </w:rPr>
        <w:t>27.26万元</w:t>
      </w:r>
      <w:r>
        <w:rPr>
          <w:rFonts w:hint="eastAsia"/>
        </w:rPr>
        <w:t>。</w:t>
      </w:r>
      <w:r>
        <w:rPr>
          <w:rFonts w:hint="eastAsia"/>
          <w:lang w:eastAsia="zh-CN"/>
        </w:rPr>
        <w:t>房屋</w:t>
      </w:r>
      <w:r>
        <w:rPr>
          <w:rFonts w:hint="eastAsia"/>
          <w:lang w:val="en-US" w:eastAsia="zh-CN"/>
        </w:rPr>
        <w:t>1182平方米，价值100.68万元；其他固定资产1.95万元</w:t>
      </w:r>
      <w:r>
        <w:rPr>
          <w:rFonts w:hint="eastAsia"/>
        </w:rPr>
        <w:t>。</w:t>
      </w:r>
    </w:p>
    <w:p w14:paraId="749D4F4D">
      <w:pPr>
        <w:pStyle w:val="5"/>
        <w:bidi w:val="0"/>
        <w:rPr>
          <w:rFonts w:hint="eastAsia"/>
        </w:rPr>
      </w:pPr>
      <w:r>
        <w:rPr>
          <w:rFonts w:hint="eastAsia"/>
        </w:rPr>
        <w:t>（四）预算绩效管理情况。</w:t>
      </w:r>
    </w:p>
    <w:p w14:paraId="15DE67CE">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根据预算绩效管理要求，本部门在年初预算编制阶段，组织对东西协作平阳县农商行对口援建查尔玛乡牧道建设项目</w:t>
      </w:r>
      <w:r>
        <w:rPr>
          <w:rFonts w:hint="eastAsia" w:ascii="仿宋_GB2312" w:hAnsi="仿宋_GB2312" w:eastAsia="仿宋_GB2312" w:cs="仿宋_GB2312"/>
          <w:sz w:val="32"/>
          <w:szCs w:val="32"/>
          <w:shd w:val="clear" w:color="auto" w:fill="FFFFFF"/>
          <w:lang w:eastAsia="zh-CN"/>
        </w:rPr>
        <w:t>、查尔玛乡查龙村村集体经济种草项目、查尔玛乡动态调整到户产业项目、查尔玛乡庭院整治暨新型庭院经济发展项目</w:t>
      </w:r>
      <w:r>
        <w:rPr>
          <w:rFonts w:hint="eastAsia" w:ascii="仿宋_GB2312" w:hAnsi="仿宋_GB2312" w:eastAsia="仿宋_GB2312" w:cs="仿宋_GB2312"/>
          <w:sz w:val="32"/>
          <w:szCs w:val="32"/>
          <w:shd w:val="clear" w:color="auto" w:fill="FFFFFF"/>
        </w:rPr>
        <w:t>，开展了预算事前绩效评估，</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个项目编制了绩效目标，预算执行过程中，选取</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个项目开展绩效监控，年终执行完毕后，对</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个项目开展了绩效目标完成情况自评。</w:t>
      </w:r>
    </w:p>
    <w:p w14:paraId="4301DCA6">
      <w:pPr>
        <w:spacing w:line="600" w:lineRule="exact"/>
        <w:ind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本部门按要求对20</w:t>
      </w:r>
      <w:r>
        <w:rPr>
          <w:rFonts w:hint="eastAsia" w:ascii="仿宋_GB2312" w:hAnsi="仿宋_GB2312" w:eastAsia="仿宋_GB2312" w:cs="仿宋_GB2312"/>
          <w:sz w:val="32"/>
          <w:szCs w:val="32"/>
          <w:shd w:val="clear" w:color="auto" w:fill="FFFFFF"/>
          <w:lang w:val="en-US" w:eastAsia="zh-CN"/>
        </w:rPr>
        <w:t>20</w:t>
      </w:r>
      <w:r>
        <w:rPr>
          <w:rFonts w:hint="eastAsia" w:ascii="仿宋_GB2312" w:hAnsi="仿宋_GB2312" w:eastAsia="仿宋_GB2312" w:cs="仿宋_GB2312"/>
          <w:sz w:val="32"/>
          <w:szCs w:val="32"/>
          <w:shd w:val="clear" w:color="auto" w:fill="FFFFFF"/>
        </w:rPr>
        <w:t>年部门整体支出开展绩效自评，从评价情况来看完成效果较好。本部门还自行组织了1个项目支出绩效评价，从评价情况来看完成情况较好。</w:t>
      </w:r>
    </w:p>
    <w:p w14:paraId="133659A4">
      <w:pPr>
        <w:pStyle w:val="6"/>
        <w:bidi w:val="0"/>
        <w:rPr>
          <w:rFonts w:hint="eastAsia"/>
          <w:b/>
          <w:bCs/>
          <w:lang w:eastAsia="zh-CN"/>
        </w:rPr>
      </w:pPr>
      <w:r>
        <w:rPr>
          <w:rFonts w:hint="eastAsia"/>
          <w:b/>
          <w:bCs/>
        </w:rPr>
        <w:t>1.项目绩效目标完成情况。</w:t>
      </w:r>
    </w:p>
    <w:p w14:paraId="7371804F">
      <w:pPr>
        <w:pStyle w:val="6"/>
        <w:bidi w:val="0"/>
        <w:rPr>
          <w:rFonts w:hint="eastAsia"/>
        </w:rPr>
      </w:pPr>
      <w:r>
        <w:rPr>
          <w:rFonts w:hint="eastAsia"/>
        </w:rPr>
        <w:t>本部门在20</w:t>
      </w:r>
      <w:r>
        <w:rPr>
          <w:rFonts w:hint="eastAsia"/>
          <w:lang w:val="en-US" w:eastAsia="zh-CN"/>
        </w:rPr>
        <w:t>20</w:t>
      </w:r>
      <w:r>
        <w:rPr>
          <w:rFonts w:hint="eastAsia"/>
        </w:rPr>
        <w:t>年度部门决算中反映“东西协作平阳县农商行对口援建查尔玛乡牧道建设项目”、 “</w:t>
      </w:r>
      <w:r>
        <w:rPr>
          <w:rFonts w:hint="eastAsia"/>
          <w:lang w:eastAsia="zh-CN"/>
        </w:rPr>
        <w:t>查尔玛乡查龙村村集体经济种草项目</w:t>
      </w:r>
      <w:r>
        <w:rPr>
          <w:rFonts w:hint="eastAsia"/>
        </w:rPr>
        <w:t>”、 “</w:t>
      </w:r>
      <w:r>
        <w:rPr>
          <w:rFonts w:hint="eastAsia"/>
          <w:lang w:eastAsia="zh-CN"/>
        </w:rPr>
        <w:t>查尔玛乡动态调整到户产业项目</w:t>
      </w:r>
      <w:r>
        <w:rPr>
          <w:rFonts w:hint="eastAsia"/>
        </w:rPr>
        <w:t>”、 “</w:t>
      </w:r>
      <w:r>
        <w:rPr>
          <w:rFonts w:hint="eastAsia"/>
          <w:lang w:eastAsia="zh-CN"/>
        </w:rPr>
        <w:t>查尔玛乡庭院整治暨新型庭院经济发展项目</w:t>
      </w:r>
      <w:r>
        <w:rPr>
          <w:rFonts w:hint="eastAsia"/>
        </w:rPr>
        <w:t>”等</w:t>
      </w:r>
      <w:r>
        <w:rPr>
          <w:rFonts w:hint="eastAsia"/>
          <w:lang w:val="en-US" w:eastAsia="zh-CN"/>
        </w:rPr>
        <w:t>4</w:t>
      </w:r>
      <w:r>
        <w:rPr>
          <w:rFonts w:hint="eastAsia"/>
        </w:rPr>
        <w:t>个项目绩效目标实际完成情况。</w:t>
      </w:r>
    </w:p>
    <w:p w14:paraId="6FD6F888">
      <w:pPr>
        <w:pStyle w:val="6"/>
        <w:bidi w:val="0"/>
      </w:pPr>
      <w:r>
        <w:rPr>
          <w:rFonts w:hint="eastAsia"/>
          <w:lang w:eastAsia="zh-CN"/>
        </w:rPr>
        <w:t>（</w:t>
      </w:r>
      <w:r>
        <w:rPr>
          <w:rFonts w:hint="eastAsia"/>
          <w:lang w:val="en-US" w:eastAsia="zh-CN"/>
        </w:rPr>
        <w:t>1</w:t>
      </w:r>
      <w:r>
        <w:rPr>
          <w:rFonts w:hint="eastAsia"/>
          <w:lang w:eastAsia="zh-CN"/>
        </w:rPr>
        <w:t>）</w:t>
      </w:r>
      <w:r>
        <w:rPr>
          <w:rFonts w:hint="eastAsia"/>
        </w:rPr>
        <w:t>东西协作平阳县农商行对口援建查尔玛乡牧道建设项目绩效目标完成情况综述。项目全年预算数</w:t>
      </w:r>
      <w:r>
        <w:rPr>
          <w:rFonts w:hint="eastAsia"/>
          <w:lang w:val="en-US" w:eastAsia="zh-CN"/>
        </w:rPr>
        <w:t>30</w:t>
      </w:r>
      <w:r>
        <w:rPr>
          <w:rFonts w:hint="eastAsia"/>
        </w:rPr>
        <w:t>万元，执行数为</w:t>
      </w:r>
      <w:r>
        <w:rPr>
          <w:rFonts w:hint="eastAsia"/>
          <w:lang w:val="en-US" w:eastAsia="zh-CN"/>
        </w:rPr>
        <w:t>30</w:t>
      </w:r>
      <w:r>
        <w:rPr>
          <w:rFonts w:hint="eastAsia"/>
        </w:rPr>
        <w:t>万元，完成预算的</w:t>
      </w:r>
      <w:r>
        <w:rPr>
          <w:rFonts w:hint="eastAsia"/>
          <w:lang w:val="en-US" w:eastAsia="zh-CN"/>
        </w:rPr>
        <w:t>100</w:t>
      </w:r>
      <w:r>
        <w:rPr>
          <w:rFonts w:hint="eastAsia"/>
        </w:rPr>
        <w:t>%。通过项目实施，维修牧道15公里，解决查尔玛乡三个村涉及牧户出行安全问题。</w:t>
      </w:r>
    </w:p>
    <w:tbl>
      <w:tblPr>
        <w:tblStyle w:val="14"/>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43"/>
        <w:gridCol w:w="1035"/>
        <w:gridCol w:w="1185"/>
        <w:gridCol w:w="1230"/>
        <w:gridCol w:w="1972"/>
        <w:gridCol w:w="1972"/>
      </w:tblGrid>
      <w:tr w14:paraId="52A745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337" w:type="dxa"/>
            <w:gridSpan w:val="6"/>
            <w:tcBorders>
              <w:top w:val="outset" w:color="auto" w:sz="6" w:space="0"/>
              <w:left w:val="outset" w:color="auto" w:sz="6" w:space="0"/>
              <w:bottom w:val="outset" w:color="auto" w:sz="6" w:space="0"/>
              <w:right w:val="outset" w:color="auto" w:sz="6" w:space="0"/>
            </w:tcBorders>
            <w:vAlign w:val="center"/>
          </w:tcPr>
          <w:p w14:paraId="6634458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Style w:val="16"/>
                <w:rFonts w:hint="eastAsia" w:ascii="仿宋_GB2312" w:hAnsi="仿宋_GB2312" w:eastAsia="仿宋_GB2312" w:cs="仿宋_GB2312"/>
                <w:sz w:val="32"/>
                <w:szCs w:val="32"/>
              </w:rPr>
              <w:t xml:space="preserve">项目绩效目标完成情况表 </w:t>
            </w:r>
            <w:r>
              <w:rPr>
                <w:rFonts w:hint="eastAsia" w:ascii="仿宋_GB2312" w:hAnsi="仿宋_GB2312" w:eastAsia="仿宋_GB2312" w:cs="仿宋_GB2312"/>
                <w:sz w:val="32"/>
                <w:szCs w:val="32"/>
              </w:rPr>
              <w:t>(2020年度)</w:t>
            </w:r>
          </w:p>
        </w:tc>
      </w:tr>
      <w:tr w14:paraId="07B406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163" w:type="dxa"/>
            <w:gridSpan w:val="3"/>
            <w:tcBorders>
              <w:top w:val="outset" w:color="auto" w:sz="6" w:space="0"/>
              <w:left w:val="outset" w:color="auto" w:sz="6" w:space="0"/>
              <w:bottom w:val="outset" w:color="auto" w:sz="6" w:space="0"/>
              <w:right w:val="outset" w:color="auto" w:sz="6" w:space="0"/>
            </w:tcBorders>
            <w:vAlign w:val="center"/>
          </w:tcPr>
          <w:p w14:paraId="7949AFB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项目名称</w:t>
            </w:r>
          </w:p>
        </w:tc>
        <w:tc>
          <w:tcPr>
            <w:tcW w:w="5174" w:type="dxa"/>
            <w:gridSpan w:val="3"/>
            <w:tcBorders>
              <w:top w:val="outset" w:color="auto" w:sz="6" w:space="0"/>
              <w:left w:val="outset" w:color="auto" w:sz="6" w:space="0"/>
              <w:bottom w:val="outset" w:color="auto" w:sz="6" w:space="0"/>
              <w:right w:val="outset" w:color="auto" w:sz="6" w:space="0"/>
            </w:tcBorders>
            <w:vAlign w:val="center"/>
          </w:tcPr>
          <w:p w14:paraId="7A0910B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东西协作平阳县农商行对口援建查尔玛乡牧道建设项目</w:t>
            </w:r>
          </w:p>
        </w:tc>
      </w:tr>
      <w:tr w14:paraId="11524D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163" w:type="dxa"/>
            <w:gridSpan w:val="3"/>
            <w:tcBorders>
              <w:top w:val="outset" w:color="auto" w:sz="6" w:space="0"/>
              <w:left w:val="outset" w:color="auto" w:sz="6" w:space="0"/>
              <w:bottom w:val="outset" w:color="auto" w:sz="6" w:space="0"/>
              <w:right w:val="outset" w:color="auto" w:sz="6" w:space="0"/>
            </w:tcBorders>
            <w:vAlign w:val="center"/>
          </w:tcPr>
          <w:p w14:paraId="4F23100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预算单位</w:t>
            </w:r>
          </w:p>
        </w:tc>
        <w:tc>
          <w:tcPr>
            <w:tcW w:w="5174" w:type="dxa"/>
            <w:gridSpan w:val="3"/>
            <w:tcBorders>
              <w:top w:val="outset" w:color="auto" w:sz="6" w:space="0"/>
              <w:left w:val="outset" w:color="auto" w:sz="6" w:space="0"/>
              <w:bottom w:val="outset" w:color="auto" w:sz="6" w:space="0"/>
              <w:right w:val="outset" w:color="auto" w:sz="6" w:space="0"/>
            </w:tcBorders>
            <w:vAlign w:val="center"/>
          </w:tcPr>
          <w:p w14:paraId="4568C61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红原县查尔玛乡人民政府</w:t>
            </w:r>
          </w:p>
        </w:tc>
      </w:tr>
      <w:tr w14:paraId="0043DF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73EFC73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预算执行情况(万元)</w:t>
            </w:r>
          </w:p>
          <w:p w14:paraId="59EB09A8">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50174A65">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0EE216A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预算数:</w:t>
            </w:r>
          </w:p>
        </w:tc>
        <w:tc>
          <w:tcPr>
            <w:tcW w:w="1230" w:type="dxa"/>
            <w:tcBorders>
              <w:top w:val="outset" w:color="auto" w:sz="6" w:space="0"/>
              <w:left w:val="outset" w:color="auto" w:sz="6" w:space="0"/>
              <w:bottom w:val="outset" w:color="auto" w:sz="6" w:space="0"/>
              <w:right w:val="outset" w:color="auto" w:sz="6" w:space="0"/>
            </w:tcBorders>
            <w:vAlign w:val="center"/>
          </w:tcPr>
          <w:p w14:paraId="6649788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30万元</w:t>
            </w:r>
          </w:p>
        </w:tc>
        <w:tc>
          <w:tcPr>
            <w:tcW w:w="1972" w:type="dxa"/>
            <w:tcBorders>
              <w:top w:val="outset" w:color="auto" w:sz="6" w:space="0"/>
              <w:left w:val="outset" w:color="auto" w:sz="6" w:space="0"/>
              <w:bottom w:val="outset" w:color="auto" w:sz="6" w:space="0"/>
              <w:right w:val="outset" w:color="auto" w:sz="6" w:space="0"/>
            </w:tcBorders>
            <w:vAlign w:val="center"/>
          </w:tcPr>
          <w:p w14:paraId="06A59BC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执行数:</w:t>
            </w:r>
          </w:p>
        </w:tc>
        <w:tc>
          <w:tcPr>
            <w:tcW w:w="1972" w:type="dxa"/>
            <w:tcBorders>
              <w:top w:val="outset" w:color="auto" w:sz="6" w:space="0"/>
              <w:left w:val="outset" w:color="auto" w:sz="6" w:space="0"/>
              <w:bottom w:val="outset" w:color="auto" w:sz="6" w:space="0"/>
              <w:right w:val="outset" w:color="auto" w:sz="6" w:space="0"/>
            </w:tcBorders>
            <w:vAlign w:val="center"/>
          </w:tcPr>
          <w:p w14:paraId="385EF49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30万元</w:t>
            </w:r>
          </w:p>
        </w:tc>
      </w:tr>
      <w:tr w14:paraId="69C350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6" w:hRule="atLeast"/>
          <w:tblCellSpacing w:w="0" w:type="dxa"/>
          <w:jc w:val="center"/>
        </w:trPr>
        <w:tc>
          <w:tcPr>
            <w:tcW w:w="943" w:type="dxa"/>
            <w:vMerge w:val="continue"/>
            <w:tcBorders>
              <w:left w:val="outset" w:color="auto" w:sz="6" w:space="0"/>
              <w:right w:val="outset" w:color="auto" w:sz="6" w:space="0"/>
            </w:tcBorders>
            <w:vAlign w:val="center"/>
          </w:tcPr>
          <w:p w14:paraId="5753438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25FFF5E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230" w:type="dxa"/>
            <w:tcBorders>
              <w:top w:val="outset" w:color="auto" w:sz="6" w:space="0"/>
              <w:left w:val="outset" w:color="auto" w:sz="6" w:space="0"/>
              <w:bottom w:val="outset" w:color="auto" w:sz="6" w:space="0"/>
              <w:right w:val="outset" w:color="auto" w:sz="6" w:space="0"/>
            </w:tcBorders>
            <w:vAlign w:val="center"/>
          </w:tcPr>
          <w:p w14:paraId="3D37934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30万元</w:t>
            </w:r>
          </w:p>
        </w:tc>
        <w:tc>
          <w:tcPr>
            <w:tcW w:w="1972" w:type="dxa"/>
            <w:tcBorders>
              <w:top w:val="outset" w:color="auto" w:sz="6" w:space="0"/>
              <w:left w:val="outset" w:color="auto" w:sz="6" w:space="0"/>
              <w:bottom w:val="outset" w:color="auto" w:sz="6" w:space="0"/>
              <w:right w:val="outset" w:color="auto" w:sz="6" w:space="0"/>
            </w:tcBorders>
            <w:vAlign w:val="center"/>
          </w:tcPr>
          <w:p w14:paraId="4EC2D1D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972" w:type="dxa"/>
            <w:tcBorders>
              <w:top w:val="outset" w:color="auto" w:sz="6" w:space="0"/>
              <w:left w:val="outset" w:color="auto" w:sz="6" w:space="0"/>
              <w:bottom w:val="outset" w:color="auto" w:sz="6" w:space="0"/>
              <w:right w:val="outset" w:color="auto" w:sz="6" w:space="0"/>
            </w:tcBorders>
            <w:vAlign w:val="center"/>
          </w:tcPr>
          <w:p w14:paraId="4B1AD87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30万元</w:t>
            </w:r>
          </w:p>
        </w:tc>
      </w:tr>
      <w:tr w14:paraId="475D20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6C755D9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6763FA8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230" w:type="dxa"/>
            <w:tcBorders>
              <w:top w:val="outset" w:color="auto" w:sz="6" w:space="0"/>
              <w:left w:val="outset" w:color="auto" w:sz="6" w:space="0"/>
              <w:bottom w:val="outset" w:color="auto" w:sz="6" w:space="0"/>
              <w:right w:val="outset" w:color="auto" w:sz="6" w:space="0"/>
            </w:tcBorders>
            <w:vAlign w:val="center"/>
          </w:tcPr>
          <w:p w14:paraId="5E1D958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val="en-US" w:eastAsia="zh-CN"/>
              </w:rPr>
            </w:pPr>
          </w:p>
        </w:tc>
        <w:tc>
          <w:tcPr>
            <w:tcW w:w="1972" w:type="dxa"/>
            <w:tcBorders>
              <w:top w:val="outset" w:color="auto" w:sz="6" w:space="0"/>
              <w:left w:val="outset" w:color="auto" w:sz="6" w:space="0"/>
              <w:bottom w:val="outset" w:color="auto" w:sz="6" w:space="0"/>
              <w:right w:val="outset" w:color="auto" w:sz="6" w:space="0"/>
            </w:tcBorders>
            <w:vAlign w:val="center"/>
          </w:tcPr>
          <w:p w14:paraId="49E8A59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972" w:type="dxa"/>
            <w:tcBorders>
              <w:top w:val="outset" w:color="auto" w:sz="6" w:space="0"/>
              <w:left w:val="outset" w:color="auto" w:sz="6" w:space="0"/>
              <w:bottom w:val="outset" w:color="auto" w:sz="6" w:space="0"/>
              <w:right w:val="outset" w:color="auto" w:sz="6" w:space="0"/>
            </w:tcBorders>
            <w:vAlign w:val="center"/>
          </w:tcPr>
          <w:p w14:paraId="4ADA011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val="en-US" w:eastAsia="zh-CN"/>
              </w:rPr>
            </w:pPr>
          </w:p>
        </w:tc>
      </w:tr>
      <w:tr w14:paraId="7550EC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8"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6491537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年度目标完成情况</w:t>
            </w:r>
          </w:p>
          <w:p w14:paraId="1BE49C4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3450" w:type="dxa"/>
            <w:gridSpan w:val="3"/>
            <w:tcBorders>
              <w:top w:val="outset" w:color="auto" w:sz="6" w:space="0"/>
              <w:left w:val="outset" w:color="auto" w:sz="6" w:space="0"/>
              <w:bottom w:val="outset" w:color="auto" w:sz="6" w:space="0"/>
              <w:right w:val="outset" w:color="auto" w:sz="6" w:space="0"/>
            </w:tcBorders>
            <w:vAlign w:val="center"/>
          </w:tcPr>
          <w:p w14:paraId="502D697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预期目标</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62B4898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实际完成目标</w:t>
            </w:r>
          </w:p>
        </w:tc>
      </w:tr>
      <w:tr w14:paraId="66A333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1" w:hRule="atLeast"/>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486C492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3450" w:type="dxa"/>
            <w:gridSpan w:val="3"/>
            <w:tcBorders>
              <w:top w:val="outset" w:color="auto" w:sz="6" w:space="0"/>
              <w:left w:val="outset" w:color="auto" w:sz="6" w:space="0"/>
              <w:bottom w:val="outset" w:color="auto" w:sz="6" w:space="0"/>
              <w:right w:val="outset" w:color="auto" w:sz="6" w:space="0"/>
            </w:tcBorders>
            <w:vAlign w:val="center"/>
          </w:tcPr>
          <w:p w14:paraId="2509381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维修牧道</w:t>
            </w:r>
            <w:r>
              <w:rPr>
                <w:rFonts w:hint="eastAsia" w:ascii="仿宋_GB2312" w:hAnsi="仿宋_GB2312" w:eastAsia="仿宋_GB2312" w:cs="仿宋_GB2312"/>
                <w:lang w:val="en-US" w:eastAsia="zh-CN"/>
              </w:rPr>
              <w:t>15公里。</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2C3CBA7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维修牧道</w:t>
            </w:r>
            <w:r>
              <w:rPr>
                <w:rFonts w:hint="eastAsia" w:ascii="仿宋_GB2312" w:hAnsi="仿宋_GB2312" w:eastAsia="仿宋_GB2312" w:cs="仿宋_GB2312"/>
                <w:lang w:val="en-US" w:eastAsia="zh-CN"/>
              </w:rPr>
              <w:t>15公里。</w:t>
            </w:r>
          </w:p>
        </w:tc>
      </w:tr>
      <w:tr w14:paraId="6433C7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8"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2493C80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绩</w:t>
            </w:r>
            <w:r>
              <w:rPr>
                <w:rFonts w:hint="eastAsia" w:ascii="仿宋_GB2312" w:hAnsi="仿宋_GB2312" w:eastAsia="仿宋_GB2312" w:cs="仿宋_GB2312"/>
                <w:lang w:eastAsia="zh-CN"/>
              </w:rPr>
              <w:t>效</w:t>
            </w:r>
            <w:r>
              <w:rPr>
                <w:rFonts w:hint="eastAsia" w:ascii="仿宋_GB2312" w:hAnsi="仿宋_GB2312" w:eastAsia="仿宋_GB2312" w:cs="仿宋_GB2312"/>
              </w:rPr>
              <w:t>指标完成情况</w:t>
            </w:r>
          </w:p>
          <w:p w14:paraId="4C499C50">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56507F25">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7428E8EA">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7A0F01C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76F3E922">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202C8D56">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263F093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2E2CF92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一级指标</w:t>
            </w:r>
          </w:p>
        </w:tc>
        <w:tc>
          <w:tcPr>
            <w:tcW w:w="1185" w:type="dxa"/>
            <w:tcBorders>
              <w:top w:val="outset" w:color="auto" w:sz="6" w:space="0"/>
              <w:left w:val="outset" w:color="auto" w:sz="6" w:space="0"/>
              <w:bottom w:val="outset" w:color="auto" w:sz="6" w:space="0"/>
              <w:right w:val="outset" w:color="auto" w:sz="6" w:space="0"/>
            </w:tcBorders>
            <w:vAlign w:val="center"/>
          </w:tcPr>
          <w:p w14:paraId="49DF4C2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二级指标</w:t>
            </w:r>
          </w:p>
        </w:tc>
        <w:tc>
          <w:tcPr>
            <w:tcW w:w="1230" w:type="dxa"/>
            <w:tcBorders>
              <w:top w:val="outset" w:color="auto" w:sz="6" w:space="0"/>
              <w:left w:val="outset" w:color="auto" w:sz="6" w:space="0"/>
              <w:bottom w:val="outset" w:color="auto" w:sz="6" w:space="0"/>
              <w:right w:val="outset" w:color="auto" w:sz="6" w:space="0"/>
            </w:tcBorders>
            <w:vAlign w:val="center"/>
          </w:tcPr>
          <w:p w14:paraId="5F8E551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三级指标</w:t>
            </w:r>
          </w:p>
        </w:tc>
        <w:tc>
          <w:tcPr>
            <w:tcW w:w="1972" w:type="dxa"/>
            <w:tcBorders>
              <w:top w:val="outset" w:color="auto" w:sz="6" w:space="0"/>
              <w:left w:val="outset" w:color="auto" w:sz="6" w:space="0"/>
              <w:bottom w:val="outset" w:color="auto" w:sz="6" w:space="0"/>
              <w:right w:val="outset" w:color="auto" w:sz="6" w:space="0"/>
            </w:tcBorders>
            <w:vAlign w:val="center"/>
          </w:tcPr>
          <w:p w14:paraId="511697A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预期指标值(包含数字及文字描述)</w:t>
            </w:r>
          </w:p>
        </w:tc>
        <w:tc>
          <w:tcPr>
            <w:tcW w:w="1972" w:type="dxa"/>
            <w:tcBorders>
              <w:top w:val="outset" w:color="auto" w:sz="6" w:space="0"/>
              <w:left w:val="outset" w:color="auto" w:sz="6" w:space="0"/>
              <w:bottom w:val="outset" w:color="auto" w:sz="6" w:space="0"/>
              <w:right w:val="outset" w:color="auto" w:sz="6" w:space="0"/>
            </w:tcBorders>
            <w:vAlign w:val="center"/>
          </w:tcPr>
          <w:p w14:paraId="20E139F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实际完成指标值(包含数字及文字描述)</w:t>
            </w:r>
          </w:p>
        </w:tc>
      </w:tr>
      <w:tr w14:paraId="7B78D3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jc w:val="center"/>
        </w:trPr>
        <w:tc>
          <w:tcPr>
            <w:tcW w:w="943" w:type="dxa"/>
            <w:vMerge w:val="continue"/>
            <w:tcBorders>
              <w:left w:val="outset" w:color="auto" w:sz="6" w:space="0"/>
              <w:right w:val="outset" w:color="auto" w:sz="6" w:space="0"/>
            </w:tcBorders>
            <w:vAlign w:val="center"/>
          </w:tcPr>
          <w:p w14:paraId="3B57B5E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03F4D7E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00D0568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数量指标</w:t>
            </w:r>
          </w:p>
        </w:tc>
        <w:tc>
          <w:tcPr>
            <w:tcW w:w="1230" w:type="dxa"/>
            <w:tcBorders>
              <w:top w:val="outset" w:color="auto" w:sz="6" w:space="0"/>
              <w:left w:val="outset" w:color="auto" w:sz="6" w:space="0"/>
              <w:bottom w:val="outset" w:color="auto" w:sz="6" w:space="0"/>
              <w:right w:val="outset" w:color="auto" w:sz="6" w:space="0"/>
            </w:tcBorders>
            <w:vAlign w:val="center"/>
          </w:tcPr>
          <w:p w14:paraId="12723AD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维修牧道</w:t>
            </w:r>
          </w:p>
        </w:tc>
        <w:tc>
          <w:tcPr>
            <w:tcW w:w="1972" w:type="dxa"/>
            <w:tcBorders>
              <w:top w:val="outset" w:color="auto" w:sz="6" w:space="0"/>
              <w:left w:val="outset" w:color="auto" w:sz="6" w:space="0"/>
              <w:bottom w:val="outset" w:color="auto" w:sz="6" w:space="0"/>
              <w:right w:val="outset" w:color="auto" w:sz="6" w:space="0"/>
            </w:tcBorders>
            <w:vAlign w:val="center"/>
          </w:tcPr>
          <w:p w14:paraId="5C4A238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15公里</w:t>
            </w:r>
          </w:p>
        </w:tc>
        <w:tc>
          <w:tcPr>
            <w:tcW w:w="1972" w:type="dxa"/>
            <w:tcBorders>
              <w:top w:val="outset" w:color="auto" w:sz="6" w:space="0"/>
              <w:left w:val="outset" w:color="auto" w:sz="6" w:space="0"/>
              <w:bottom w:val="outset" w:color="auto" w:sz="6" w:space="0"/>
              <w:right w:val="outset" w:color="auto" w:sz="6" w:space="0"/>
            </w:tcBorders>
            <w:vAlign w:val="center"/>
          </w:tcPr>
          <w:p w14:paraId="24124F1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15公里</w:t>
            </w:r>
          </w:p>
        </w:tc>
      </w:tr>
      <w:tr w14:paraId="36BF4F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4D01500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1404DB5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6FCAF95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时效指标</w:t>
            </w:r>
          </w:p>
        </w:tc>
        <w:tc>
          <w:tcPr>
            <w:tcW w:w="1230" w:type="dxa"/>
            <w:tcBorders>
              <w:top w:val="outset" w:color="auto" w:sz="6" w:space="0"/>
              <w:left w:val="outset" w:color="auto" w:sz="6" w:space="0"/>
              <w:bottom w:val="outset" w:color="auto" w:sz="6" w:space="0"/>
              <w:right w:val="outset" w:color="auto" w:sz="6" w:space="0"/>
            </w:tcBorders>
            <w:vAlign w:val="center"/>
          </w:tcPr>
          <w:p w14:paraId="6DEAFAB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6"/>
                <w:szCs w:val="16"/>
                <w:lang w:eastAsia="zh-CN"/>
              </w:rPr>
              <w:t>工程完成及时率</w:t>
            </w:r>
          </w:p>
        </w:tc>
        <w:tc>
          <w:tcPr>
            <w:tcW w:w="1972" w:type="dxa"/>
            <w:tcBorders>
              <w:top w:val="outset" w:color="auto" w:sz="6" w:space="0"/>
              <w:left w:val="outset" w:color="auto" w:sz="6" w:space="0"/>
              <w:bottom w:val="outset" w:color="auto" w:sz="6" w:space="0"/>
              <w:right w:val="outset" w:color="auto" w:sz="6" w:space="0"/>
            </w:tcBorders>
            <w:vAlign w:val="center"/>
          </w:tcPr>
          <w:p w14:paraId="2E3444F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4A68586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r w14:paraId="48886E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07BE9EC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691F421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5E4E6A6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时效指标</w:t>
            </w:r>
          </w:p>
        </w:tc>
        <w:tc>
          <w:tcPr>
            <w:tcW w:w="1230" w:type="dxa"/>
            <w:tcBorders>
              <w:top w:val="outset" w:color="auto" w:sz="6" w:space="0"/>
              <w:left w:val="outset" w:color="auto" w:sz="6" w:space="0"/>
              <w:bottom w:val="outset" w:color="auto" w:sz="6" w:space="0"/>
              <w:right w:val="outset" w:color="auto" w:sz="6" w:space="0"/>
            </w:tcBorders>
            <w:vAlign w:val="center"/>
          </w:tcPr>
          <w:p w14:paraId="72DC9D2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22"/>
                <w:szCs w:val="22"/>
                <w:lang w:eastAsia="zh-CN"/>
              </w:rPr>
              <w:t>今年开工率</w:t>
            </w:r>
          </w:p>
        </w:tc>
        <w:tc>
          <w:tcPr>
            <w:tcW w:w="1972" w:type="dxa"/>
            <w:tcBorders>
              <w:top w:val="outset" w:color="auto" w:sz="6" w:space="0"/>
              <w:left w:val="outset" w:color="auto" w:sz="6" w:space="0"/>
              <w:bottom w:val="outset" w:color="auto" w:sz="6" w:space="0"/>
              <w:right w:val="outset" w:color="auto" w:sz="6" w:space="0"/>
            </w:tcBorders>
            <w:vAlign w:val="center"/>
          </w:tcPr>
          <w:p w14:paraId="2EBBE2E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181178A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r w14:paraId="729E87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7C74B1D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4E9FC5B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637526E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社会效益</w:t>
            </w:r>
          </w:p>
        </w:tc>
        <w:tc>
          <w:tcPr>
            <w:tcW w:w="1230" w:type="dxa"/>
            <w:tcBorders>
              <w:top w:val="outset" w:color="auto" w:sz="6" w:space="0"/>
              <w:left w:val="outset" w:color="auto" w:sz="6" w:space="0"/>
              <w:bottom w:val="outset" w:color="auto" w:sz="6" w:space="0"/>
              <w:right w:val="outset" w:color="auto" w:sz="6" w:space="0"/>
            </w:tcBorders>
            <w:vAlign w:val="center"/>
          </w:tcPr>
          <w:p w14:paraId="6DAE24F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15"/>
                <w:szCs w:val="15"/>
              </w:rPr>
              <w:t> </w:t>
            </w:r>
            <w:r>
              <w:rPr>
                <w:rFonts w:hint="eastAsia" w:ascii="仿宋_GB2312" w:hAnsi="仿宋_GB2312" w:eastAsia="仿宋_GB2312" w:cs="仿宋_GB2312"/>
                <w:sz w:val="13"/>
                <w:szCs w:val="13"/>
                <w:lang w:eastAsia="zh-CN"/>
              </w:rPr>
              <w:t>受益建档立卡人数</w:t>
            </w:r>
          </w:p>
        </w:tc>
        <w:tc>
          <w:tcPr>
            <w:tcW w:w="1972" w:type="dxa"/>
            <w:tcBorders>
              <w:top w:val="outset" w:color="auto" w:sz="6" w:space="0"/>
              <w:left w:val="outset" w:color="auto" w:sz="6" w:space="0"/>
              <w:bottom w:val="outset" w:color="auto" w:sz="6" w:space="0"/>
              <w:right w:val="outset" w:color="auto" w:sz="6" w:space="0"/>
            </w:tcBorders>
            <w:vAlign w:val="center"/>
          </w:tcPr>
          <w:p w14:paraId="77E7B14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132人</w:t>
            </w:r>
          </w:p>
        </w:tc>
        <w:tc>
          <w:tcPr>
            <w:tcW w:w="1972" w:type="dxa"/>
            <w:tcBorders>
              <w:top w:val="outset" w:color="auto" w:sz="6" w:space="0"/>
              <w:left w:val="outset" w:color="auto" w:sz="6" w:space="0"/>
              <w:bottom w:val="outset" w:color="auto" w:sz="6" w:space="0"/>
              <w:right w:val="outset" w:color="auto" w:sz="6" w:space="0"/>
            </w:tcBorders>
            <w:vAlign w:val="center"/>
          </w:tcPr>
          <w:p w14:paraId="7BD8CF4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132人</w:t>
            </w:r>
          </w:p>
        </w:tc>
      </w:tr>
      <w:tr w14:paraId="4256D5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12286EF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2118598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3B9AB13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社会效益</w:t>
            </w:r>
          </w:p>
        </w:tc>
        <w:tc>
          <w:tcPr>
            <w:tcW w:w="1230" w:type="dxa"/>
            <w:tcBorders>
              <w:top w:val="outset" w:color="auto" w:sz="6" w:space="0"/>
              <w:left w:val="outset" w:color="auto" w:sz="6" w:space="0"/>
              <w:bottom w:val="outset" w:color="auto" w:sz="6" w:space="0"/>
              <w:right w:val="outset" w:color="auto" w:sz="6" w:space="0"/>
            </w:tcBorders>
            <w:vAlign w:val="center"/>
          </w:tcPr>
          <w:p w14:paraId="2016FC2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22"/>
                <w:szCs w:val="22"/>
                <w:lang w:eastAsia="zh-CN"/>
              </w:rPr>
              <w:t>受益行政村</w:t>
            </w:r>
          </w:p>
        </w:tc>
        <w:tc>
          <w:tcPr>
            <w:tcW w:w="1972" w:type="dxa"/>
            <w:tcBorders>
              <w:top w:val="outset" w:color="auto" w:sz="6" w:space="0"/>
              <w:left w:val="outset" w:color="auto" w:sz="6" w:space="0"/>
              <w:bottom w:val="outset" w:color="auto" w:sz="6" w:space="0"/>
              <w:right w:val="outset" w:color="auto" w:sz="6" w:space="0"/>
            </w:tcBorders>
            <w:vAlign w:val="center"/>
          </w:tcPr>
          <w:p w14:paraId="5B11BB5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3个</w:t>
            </w:r>
          </w:p>
        </w:tc>
        <w:tc>
          <w:tcPr>
            <w:tcW w:w="1972" w:type="dxa"/>
            <w:tcBorders>
              <w:top w:val="outset" w:color="auto" w:sz="6" w:space="0"/>
              <w:left w:val="outset" w:color="auto" w:sz="6" w:space="0"/>
              <w:bottom w:val="outset" w:color="auto" w:sz="6" w:space="0"/>
              <w:right w:val="outset" w:color="auto" w:sz="6" w:space="0"/>
            </w:tcBorders>
            <w:vAlign w:val="center"/>
          </w:tcPr>
          <w:p w14:paraId="171ADBC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3个</w:t>
            </w:r>
          </w:p>
        </w:tc>
      </w:tr>
      <w:tr w14:paraId="03200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64E09F5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011F15A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6C51F2C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6"/>
                <w:szCs w:val="16"/>
                <w:lang w:eastAsia="zh-CN"/>
              </w:rPr>
              <w:t>可持续影响指标</w:t>
            </w:r>
          </w:p>
        </w:tc>
        <w:tc>
          <w:tcPr>
            <w:tcW w:w="1230" w:type="dxa"/>
            <w:tcBorders>
              <w:top w:val="outset" w:color="auto" w:sz="6" w:space="0"/>
              <w:left w:val="outset" w:color="auto" w:sz="6" w:space="0"/>
              <w:bottom w:val="outset" w:color="auto" w:sz="6" w:space="0"/>
              <w:right w:val="outset" w:color="auto" w:sz="6" w:space="0"/>
            </w:tcBorders>
            <w:vAlign w:val="center"/>
          </w:tcPr>
          <w:p w14:paraId="473FA1A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3"/>
                <w:szCs w:val="13"/>
              </w:rPr>
              <w:t> </w:t>
            </w:r>
            <w:r>
              <w:rPr>
                <w:rFonts w:hint="eastAsia" w:ascii="仿宋_GB2312" w:hAnsi="仿宋_GB2312" w:eastAsia="仿宋_GB2312" w:cs="仿宋_GB2312"/>
                <w:sz w:val="13"/>
                <w:szCs w:val="13"/>
                <w:lang w:eastAsia="zh-CN"/>
              </w:rPr>
              <w:t>牧道维修使用年限</w:t>
            </w:r>
          </w:p>
        </w:tc>
        <w:tc>
          <w:tcPr>
            <w:tcW w:w="1972" w:type="dxa"/>
            <w:tcBorders>
              <w:top w:val="outset" w:color="auto" w:sz="6" w:space="0"/>
              <w:left w:val="outset" w:color="auto" w:sz="6" w:space="0"/>
              <w:bottom w:val="outset" w:color="auto" w:sz="6" w:space="0"/>
              <w:right w:val="outset" w:color="auto" w:sz="6" w:space="0"/>
            </w:tcBorders>
            <w:vAlign w:val="center"/>
          </w:tcPr>
          <w:p w14:paraId="7B05E57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5年</w:t>
            </w:r>
          </w:p>
        </w:tc>
        <w:tc>
          <w:tcPr>
            <w:tcW w:w="1972" w:type="dxa"/>
            <w:tcBorders>
              <w:top w:val="outset" w:color="auto" w:sz="6" w:space="0"/>
              <w:left w:val="outset" w:color="auto" w:sz="6" w:space="0"/>
              <w:bottom w:val="outset" w:color="auto" w:sz="6" w:space="0"/>
              <w:right w:val="outset" w:color="auto" w:sz="6" w:space="0"/>
            </w:tcBorders>
            <w:vAlign w:val="center"/>
          </w:tcPr>
          <w:p w14:paraId="37A55D7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5年</w:t>
            </w:r>
          </w:p>
        </w:tc>
      </w:tr>
      <w:tr w14:paraId="7C706C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7F38B6E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68333AC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20"/>
                <w:szCs w:val="20"/>
                <w:lang w:eastAsia="zh-CN"/>
              </w:rPr>
              <w:t>满意度指标</w:t>
            </w:r>
          </w:p>
        </w:tc>
        <w:tc>
          <w:tcPr>
            <w:tcW w:w="1185" w:type="dxa"/>
            <w:tcBorders>
              <w:top w:val="outset" w:color="auto" w:sz="6" w:space="0"/>
              <w:left w:val="outset" w:color="auto" w:sz="6" w:space="0"/>
              <w:bottom w:val="outset" w:color="auto" w:sz="6" w:space="0"/>
              <w:right w:val="outset" w:color="auto" w:sz="6" w:space="0"/>
            </w:tcBorders>
            <w:vAlign w:val="center"/>
          </w:tcPr>
          <w:p w14:paraId="7461604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3"/>
                <w:szCs w:val="13"/>
                <w:lang w:eastAsia="zh-CN"/>
              </w:rPr>
              <w:t>贫困户满意度指标</w:t>
            </w:r>
          </w:p>
        </w:tc>
        <w:tc>
          <w:tcPr>
            <w:tcW w:w="1230" w:type="dxa"/>
            <w:tcBorders>
              <w:top w:val="outset" w:color="auto" w:sz="6" w:space="0"/>
              <w:left w:val="outset" w:color="auto" w:sz="6" w:space="0"/>
              <w:bottom w:val="outset" w:color="auto" w:sz="6" w:space="0"/>
              <w:right w:val="outset" w:color="auto" w:sz="6" w:space="0"/>
            </w:tcBorders>
            <w:vAlign w:val="center"/>
          </w:tcPr>
          <w:p w14:paraId="33B7D34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1"/>
                <w:szCs w:val="11"/>
                <w:lang w:eastAsia="zh-CN"/>
              </w:rPr>
              <w:t>受益贫困人口满意度</w:t>
            </w:r>
          </w:p>
        </w:tc>
        <w:tc>
          <w:tcPr>
            <w:tcW w:w="1972" w:type="dxa"/>
            <w:tcBorders>
              <w:top w:val="outset" w:color="auto" w:sz="6" w:space="0"/>
              <w:left w:val="outset" w:color="auto" w:sz="6" w:space="0"/>
              <w:bottom w:val="outset" w:color="auto" w:sz="6" w:space="0"/>
              <w:right w:val="outset" w:color="auto" w:sz="6" w:space="0"/>
            </w:tcBorders>
            <w:vAlign w:val="center"/>
          </w:tcPr>
          <w:p w14:paraId="5DE7444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4C6A4A0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bl>
    <w:p w14:paraId="662615CA">
      <w:pPr>
        <w:pStyle w:val="6"/>
        <w:bidi w:val="0"/>
      </w:pPr>
      <w:r>
        <w:rPr>
          <w:rFonts w:hint="eastAsia"/>
          <w:lang w:eastAsia="zh-CN"/>
        </w:rPr>
        <w:t>（</w:t>
      </w:r>
      <w:r>
        <w:rPr>
          <w:rFonts w:hint="eastAsia"/>
          <w:lang w:val="en-US" w:eastAsia="zh-CN"/>
        </w:rPr>
        <w:t>2</w:t>
      </w:r>
      <w:r>
        <w:rPr>
          <w:rFonts w:hint="eastAsia"/>
          <w:lang w:eastAsia="zh-CN"/>
        </w:rPr>
        <w:t>）查尔玛乡查龙村村集体经济种草项目</w:t>
      </w:r>
      <w:r>
        <w:rPr>
          <w:rFonts w:hint="eastAsia"/>
        </w:rPr>
        <w:t>绩效目标完成情况综述。项目全年预算数</w:t>
      </w:r>
      <w:r>
        <w:rPr>
          <w:rFonts w:hint="eastAsia"/>
          <w:lang w:val="en-US" w:eastAsia="zh-CN"/>
        </w:rPr>
        <w:t>20</w:t>
      </w:r>
      <w:r>
        <w:rPr>
          <w:rFonts w:hint="eastAsia"/>
        </w:rPr>
        <w:t>万元，执行数为</w:t>
      </w:r>
      <w:r>
        <w:rPr>
          <w:rFonts w:hint="eastAsia"/>
          <w:lang w:val="en-US" w:eastAsia="zh-CN"/>
        </w:rPr>
        <w:t>14.89</w:t>
      </w:r>
      <w:r>
        <w:rPr>
          <w:rFonts w:hint="eastAsia"/>
        </w:rPr>
        <w:t>万元，完成预算的</w:t>
      </w:r>
      <w:r>
        <w:rPr>
          <w:rFonts w:hint="eastAsia"/>
          <w:lang w:val="en-US" w:eastAsia="zh-CN"/>
        </w:rPr>
        <w:t>97</w:t>
      </w:r>
      <w:r>
        <w:rPr>
          <w:rFonts w:hint="eastAsia"/>
        </w:rPr>
        <w:t>%</w:t>
      </w:r>
      <w:r>
        <w:rPr>
          <w:rFonts w:hint="eastAsia"/>
          <w:lang w:eastAsia="zh-CN"/>
        </w:rPr>
        <w:t>，待待草种长成验收</w:t>
      </w:r>
      <w:r>
        <w:rPr>
          <w:rFonts w:hint="eastAsia"/>
        </w:rPr>
        <w:t>。通过项目实施，购买多年生黑麦生草种，壮大村集体经济材料储备，完成草种采购9996kg。</w:t>
      </w:r>
    </w:p>
    <w:tbl>
      <w:tblPr>
        <w:tblStyle w:val="14"/>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43"/>
        <w:gridCol w:w="1035"/>
        <w:gridCol w:w="1185"/>
        <w:gridCol w:w="1230"/>
        <w:gridCol w:w="1972"/>
        <w:gridCol w:w="1972"/>
      </w:tblGrid>
      <w:tr w14:paraId="7F30C4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337" w:type="dxa"/>
            <w:gridSpan w:val="6"/>
            <w:tcBorders>
              <w:top w:val="outset" w:color="auto" w:sz="6" w:space="0"/>
              <w:left w:val="outset" w:color="auto" w:sz="6" w:space="0"/>
              <w:bottom w:val="outset" w:color="auto" w:sz="6" w:space="0"/>
              <w:right w:val="outset" w:color="auto" w:sz="6" w:space="0"/>
            </w:tcBorders>
            <w:vAlign w:val="center"/>
          </w:tcPr>
          <w:p w14:paraId="37D4220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Style w:val="16"/>
                <w:rFonts w:hint="eastAsia" w:ascii="仿宋_GB2312" w:hAnsi="仿宋_GB2312" w:eastAsia="仿宋_GB2312" w:cs="仿宋_GB2312"/>
                <w:sz w:val="32"/>
                <w:szCs w:val="32"/>
              </w:rPr>
              <w:t xml:space="preserve">项目绩效目标完成情况表 </w:t>
            </w:r>
            <w:r>
              <w:rPr>
                <w:rFonts w:hint="eastAsia" w:ascii="仿宋_GB2312" w:hAnsi="仿宋_GB2312" w:eastAsia="仿宋_GB2312" w:cs="仿宋_GB2312"/>
                <w:sz w:val="32"/>
                <w:szCs w:val="32"/>
              </w:rPr>
              <w:t>(2020年度)</w:t>
            </w:r>
          </w:p>
        </w:tc>
      </w:tr>
      <w:tr w14:paraId="69C92C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163" w:type="dxa"/>
            <w:gridSpan w:val="3"/>
            <w:tcBorders>
              <w:top w:val="outset" w:color="auto" w:sz="6" w:space="0"/>
              <w:left w:val="outset" w:color="auto" w:sz="6" w:space="0"/>
              <w:bottom w:val="outset" w:color="auto" w:sz="6" w:space="0"/>
              <w:right w:val="outset" w:color="auto" w:sz="6" w:space="0"/>
            </w:tcBorders>
            <w:vAlign w:val="center"/>
          </w:tcPr>
          <w:p w14:paraId="07EABB2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项目名称</w:t>
            </w:r>
          </w:p>
        </w:tc>
        <w:tc>
          <w:tcPr>
            <w:tcW w:w="5174" w:type="dxa"/>
            <w:gridSpan w:val="3"/>
            <w:tcBorders>
              <w:top w:val="outset" w:color="auto" w:sz="6" w:space="0"/>
              <w:left w:val="outset" w:color="auto" w:sz="6" w:space="0"/>
              <w:bottom w:val="outset" w:color="auto" w:sz="6" w:space="0"/>
              <w:right w:val="outset" w:color="auto" w:sz="6" w:space="0"/>
            </w:tcBorders>
            <w:vAlign w:val="center"/>
          </w:tcPr>
          <w:p w14:paraId="35C931B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查尔玛乡查龙村村集体经济种草项目</w:t>
            </w:r>
          </w:p>
        </w:tc>
      </w:tr>
      <w:tr w14:paraId="0C1BFF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163" w:type="dxa"/>
            <w:gridSpan w:val="3"/>
            <w:tcBorders>
              <w:top w:val="outset" w:color="auto" w:sz="6" w:space="0"/>
              <w:left w:val="outset" w:color="auto" w:sz="6" w:space="0"/>
              <w:bottom w:val="outset" w:color="auto" w:sz="6" w:space="0"/>
              <w:right w:val="outset" w:color="auto" w:sz="6" w:space="0"/>
            </w:tcBorders>
            <w:vAlign w:val="center"/>
          </w:tcPr>
          <w:p w14:paraId="7BA412D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预算单位</w:t>
            </w:r>
          </w:p>
        </w:tc>
        <w:tc>
          <w:tcPr>
            <w:tcW w:w="5174" w:type="dxa"/>
            <w:gridSpan w:val="3"/>
            <w:tcBorders>
              <w:top w:val="outset" w:color="auto" w:sz="6" w:space="0"/>
              <w:left w:val="outset" w:color="auto" w:sz="6" w:space="0"/>
              <w:bottom w:val="outset" w:color="auto" w:sz="6" w:space="0"/>
              <w:right w:val="outset" w:color="auto" w:sz="6" w:space="0"/>
            </w:tcBorders>
            <w:vAlign w:val="center"/>
          </w:tcPr>
          <w:p w14:paraId="44D2C9E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红原县查尔玛乡人民政府</w:t>
            </w:r>
          </w:p>
        </w:tc>
      </w:tr>
      <w:tr w14:paraId="4463A4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50625F0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预算执行情况(万元)</w:t>
            </w:r>
          </w:p>
          <w:p w14:paraId="112DBFEF">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1351626A">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5493469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预算数:</w:t>
            </w:r>
          </w:p>
        </w:tc>
        <w:tc>
          <w:tcPr>
            <w:tcW w:w="1230" w:type="dxa"/>
            <w:tcBorders>
              <w:top w:val="outset" w:color="auto" w:sz="6" w:space="0"/>
              <w:left w:val="outset" w:color="auto" w:sz="6" w:space="0"/>
              <w:bottom w:val="outset" w:color="auto" w:sz="6" w:space="0"/>
              <w:right w:val="outset" w:color="auto" w:sz="6" w:space="0"/>
            </w:tcBorders>
            <w:vAlign w:val="center"/>
          </w:tcPr>
          <w:p w14:paraId="40C695A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20万元</w:t>
            </w:r>
          </w:p>
        </w:tc>
        <w:tc>
          <w:tcPr>
            <w:tcW w:w="1972" w:type="dxa"/>
            <w:tcBorders>
              <w:top w:val="outset" w:color="auto" w:sz="6" w:space="0"/>
              <w:left w:val="outset" w:color="auto" w:sz="6" w:space="0"/>
              <w:bottom w:val="outset" w:color="auto" w:sz="6" w:space="0"/>
              <w:right w:val="outset" w:color="auto" w:sz="6" w:space="0"/>
            </w:tcBorders>
            <w:vAlign w:val="center"/>
          </w:tcPr>
          <w:p w14:paraId="20D0951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执行数:</w:t>
            </w:r>
          </w:p>
        </w:tc>
        <w:tc>
          <w:tcPr>
            <w:tcW w:w="1972" w:type="dxa"/>
            <w:tcBorders>
              <w:top w:val="outset" w:color="auto" w:sz="6" w:space="0"/>
              <w:left w:val="outset" w:color="auto" w:sz="6" w:space="0"/>
              <w:bottom w:val="outset" w:color="auto" w:sz="6" w:space="0"/>
              <w:right w:val="outset" w:color="auto" w:sz="6" w:space="0"/>
            </w:tcBorders>
            <w:vAlign w:val="center"/>
          </w:tcPr>
          <w:p w14:paraId="13A32A2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14.89元万元</w:t>
            </w:r>
          </w:p>
        </w:tc>
      </w:tr>
      <w:tr w14:paraId="3EC56D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6" w:hRule="atLeast"/>
          <w:tblCellSpacing w:w="0" w:type="dxa"/>
          <w:jc w:val="center"/>
        </w:trPr>
        <w:tc>
          <w:tcPr>
            <w:tcW w:w="943" w:type="dxa"/>
            <w:vMerge w:val="continue"/>
            <w:tcBorders>
              <w:left w:val="outset" w:color="auto" w:sz="6" w:space="0"/>
              <w:right w:val="outset" w:color="auto" w:sz="6" w:space="0"/>
            </w:tcBorders>
            <w:vAlign w:val="center"/>
          </w:tcPr>
          <w:p w14:paraId="4B41D01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069B890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230" w:type="dxa"/>
            <w:tcBorders>
              <w:top w:val="outset" w:color="auto" w:sz="6" w:space="0"/>
              <w:left w:val="outset" w:color="auto" w:sz="6" w:space="0"/>
              <w:bottom w:val="outset" w:color="auto" w:sz="6" w:space="0"/>
              <w:right w:val="outset" w:color="auto" w:sz="6" w:space="0"/>
            </w:tcBorders>
            <w:vAlign w:val="center"/>
          </w:tcPr>
          <w:p w14:paraId="31C29D3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20万元</w:t>
            </w:r>
          </w:p>
        </w:tc>
        <w:tc>
          <w:tcPr>
            <w:tcW w:w="1972" w:type="dxa"/>
            <w:tcBorders>
              <w:top w:val="outset" w:color="auto" w:sz="6" w:space="0"/>
              <w:left w:val="outset" w:color="auto" w:sz="6" w:space="0"/>
              <w:bottom w:val="outset" w:color="auto" w:sz="6" w:space="0"/>
              <w:right w:val="outset" w:color="auto" w:sz="6" w:space="0"/>
            </w:tcBorders>
            <w:vAlign w:val="center"/>
          </w:tcPr>
          <w:p w14:paraId="4B5E8F8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972" w:type="dxa"/>
            <w:tcBorders>
              <w:top w:val="outset" w:color="auto" w:sz="6" w:space="0"/>
              <w:left w:val="outset" w:color="auto" w:sz="6" w:space="0"/>
              <w:bottom w:val="outset" w:color="auto" w:sz="6" w:space="0"/>
              <w:right w:val="outset" w:color="auto" w:sz="6" w:space="0"/>
            </w:tcBorders>
            <w:vAlign w:val="center"/>
          </w:tcPr>
          <w:p w14:paraId="56BA2A3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14.89万元</w:t>
            </w:r>
          </w:p>
        </w:tc>
      </w:tr>
      <w:tr w14:paraId="51BEE2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5CE00EE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73DAFB0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230" w:type="dxa"/>
            <w:tcBorders>
              <w:top w:val="outset" w:color="auto" w:sz="6" w:space="0"/>
              <w:left w:val="outset" w:color="auto" w:sz="6" w:space="0"/>
              <w:bottom w:val="outset" w:color="auto" w:sz="6" w:space="0"/>
              <w:right w:val="outset" w:color="auto" w:sz="6" w:space="0"/>
            </w:tcBorders>
            <w:vAlign w:val="center"/>
          </w:tcPr>
          <w:p w14:paraId="50F7B67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val="en-US" w:eastAsia="zh-CN"/>
              </w:rPr>
            </w:pPr>
          </w:p>
        </w:tc>
        <w:tc>
          <w:tcPr>
            <w:tcW w:w="1972" w:type="dxa"/>
            <w:tcBorders>
              <w:top w:val="outset" w:color="auto" w:sz="6" w:space="0"/>
              <w:left w:val="outset" w:color="auto" w:sz="6" w:space="0"/>
              <w:bottom w:val="outset" w:color="auto" w:sz="6" w:space="0"/>
              <w:right w:val="outset" w:color="auto" w:sz="6" w:space="0"/>
            </w:tcBorders>
            <w:vAlign w:val="center"/>
          </w:tcPr>
          <w:p w14:paraId="029CE67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972" w:type="dxa"/>
            <w:tcBorders>
              <w:top w:val="outset" w:color="auto" w:sz="6" w:space="0"/>
              <w:left w:val="outset" w:color="auto" w:sz="6" w:space="0"/>
              <w:bottom w:val="outset" w:color="auto" w:sz="6" w:space="0"/>
              <w:right w:val="outset" w:color="auto" w:sz="6" w:space="0"/>
            </w:tcBorders>
            <w:vAlign w:val="center"/>
          </w:tcPr>
          <w:p w14:paraId="6C8AF00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p>
        </w:tc>
      </w:tr>
      <w:tr w14:paraId="7D86BF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8"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477447D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年度目标完成情况</w:t>
            </w:r>
          </w:p>
          <w:p w14:paraId="3965FCD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3450" w:type="dxa"/>
            <w:gridSpan w:val="3"/>
            <w:tcBorders>
              <w:top w:val="outset" w:color="auto" w:sz="6" w:space="0"/>
              <w:left w:val="outset" w:color="auto" w:sz="6" w:space="0"/>
              <w:bottom w:val="outset" w:color="auto" w:sz="6" w:space="0"/>
              <w:right w:val="outset" w:color="auto" w:sz="6" w:space="0"/>
            </w:tcBorders>
            <w:vAlign w:val="center"/>
          </w:tcPr>
          <w:p w14:paraId="5BB92BB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预期目标</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5F9AACF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实际完成目标</w:t>
            </w:r>
          </w:p>
        </w:tc>
      </w:tr>
      <w:tr w14:paraId="780CB2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1" w:hRule="atLeast"/>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0DFB452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3450" w:type="dxa"/>
            <w:gridSpan w:val="3"/>
            <w:tcBorders>
              <w:top w:val="outset" w:color="auto" w:sz="6" w:space="0"/>
              <w:left w:val="outset" w:color="auto" w:sz="6" w:space="0"/>
              <w:bottom w:val="outset" w:color="auto" w:sz="6" w:space="0"/>
              <w:right w:val="outset" w:color="auto" w:sz="6" w:space="0"/>
            </w:tcBorders>
            <w:vAlign w:val="center"/>
          </w:tcPr>
          <w:p w14:paraId="267351A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完成草种采购9996kg。</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264CF53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完成草种采购9996kg</w:t>
            </w:r>
            <w:r>
              <w:rPr>
                <w:rFonts w:hint="eastAsia" w:ascii="仿宋_GB2312" w:hAnsi="仿宋_GB2312" w:eastAsia="仿宋_GB2312" w:cs="仿宋_GB2312"/>
                <w:lang w:val="en-US" w:eastAsia="zh-CN"/>
              </w:rPr>
              <w:t>。</w:t>
            </w:r>
          </w:p>
        </w:tc>
      </w:tr>
      <w:tr w14:paraId="595304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8"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0302806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绩</w:t>
            </w:r>
            <w:r>
              <w:rPr>
                <w:rFonts w:hint="eastAsia" w:ascii="仿宋_GB2312" w:hAnsi="仿宋_GB2312" w:eastAsia="仿宋_GB2312" w:cs="仿宋_GB2312"/>
                <w:lang w:eastAsia="zh-CN"/>
              </w:rPr>
              <w:t>效</w:t>
            </w:r>
            <w:r>
              <w:rPr>
                <w:rFonts w:hint="eastAsia" w:ascii="仿宋_GB2312" w:hAnsi="仿宋_GB2312" w:eastAsia="仿宋_GB2312" w:cs="仿宋_GB2312"/>
              </w:rPr>
              <w:t>指标完成情况</w:t>
            </w:r>
          </w:p>
          <w:p w14:paraId="6710FE61">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4B02F624">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5B440641">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42BC3CF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125B55ED">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77BA6F65">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771B1DC7">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1ED3E7B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一级指标</w:t>
            </w:r>
          </w:p>
        </w:tc>
        <w:tc>
          <w:tcPr>
            <w:tcW w:w="1185" w:type="dxa"/>
            <w:tcBorders>
              <w:top w:val="outset" w:color="auto" w:sz="6" w:space="0"/>
              <w:left w:val="outset" w:color="auto" w:sz="6" w:space="0"/>
              <w:bottom w:val="outset" w:color="auto" w:sz="6" w:space="0"/>
              <w:right w:val="outset" w:color="auto" w:sz="6" w:space="0"/>
            </w:tcBorders>
            <w:vAlign w:val="center"/>
          </w:tcPr>
          <w:p w14:paraId="18E1601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二级指标</w:t>
            </w:r>
          </w:p>
        </w:tc>
        <w:tc>
          <w:tcPr>
            <w:tcW w:w="1230" w:type="dxa"/>
            <w:tcBorders>
              <w:top w:val="outset" w:color="auto" w:sz="6" w:space="0"/>
              <w:left w:val="outset" w:color="auto" w:sz="6" w:space="0"/>
              <w:bottom w:val="outset" w:color="auto" w:sz="6" w:space="0"/>
              <w:right w:val="outset" w:color="auto" w:sz="6" w:space="0"/>
            </w:tcBorders>
            <w:vAlign w:val="center"/>
          </w:tcPr>
          <w:p w14:paraId="067726A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三级指标</w:t>
            </w:r>
          </w:p>
        </w:tc>
        <w:tc>
          <w:tcPr>
            <w:tcW w:w="1972" w:type="dxa"/>
            <w:tcBorders>
              <w:top w:val="outset" w:color="auto" w:sz="6" w:space="0"/>
              <w:left w:val="outset" w:color="auto" w:sz="6" w:space="0"/>
              <w:bottom w:val="outset" w:color="auto" w:sz="6" w:space="0"/>
              <w:right w:val="outset" w:color="auto" w:sz="6" w:space="0"/>
            </w:tcBorders>
            <w:vAlign w:val="center"/>
          </w:tcPr>
          <w:p w14:paraId="76DA226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预期指标值(包含数字及文字描述)</w:t>
            </w:r>
          </w:p>
        </w:tc>
        <w:tc>
          <w:tcPr>
            <w:tcW w:w="1972" w:type="dxa"/>
            <w:tcBorders>
              <w:top w:val="outset" w:color="auto" w:sz="6" w:space="0"/>
              <w:left w:val="outset" w:color="auto" w:sz="6" w:space="0"/>
              <w:bottom w:val="outset" w:color="auto" w:sz="6" w:space="0"/>
              <w:right w:val="outset" w:color="auto" w:sz="6" w:space="0"/>
            </w:tcBorders>
            <w:vAlign w:val="center"/>
          </w:tcPr>
          <w:p w14:paraId="46C4B95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实际完成指标值(包含数字及文字描述)</w:t>
            </w:r>
          </w:p>
        </w:tc>
      </w:tr>
      <w:tr w14:paraId="232AE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41A4707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5F35AE8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3092F42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数量指标</w:t>
            </w:r>
          </w:p>
        </w:tc>
        <w:tc>
          <w:tcPr>
            <w:tcW w:w="1230" w:type="dxa"/>
            <w:tcBorders>
              <w:top w:val="outset" w:color="auto" w:sz="6" w:space="0"/>
              <w:left w:val="outset" w:color="auto" w:sz="6" w:space="0"/>
              <w:bottom w:val="outset" w:color="auto" w:sz="6" w:space="0"/>
              <w:right w:val="outset" w:color="auto" w:sz="6" w:space="0"/>
            </w:tcBorders>
            <w:vAlign w:val="center"/>
          </w:tcPr>
          <w:p w14:paraId="1CF861E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15"/>
                <w:szCs w:val="15"/>
                <w:lang w:eastAsia="zh-CN"/>
              </w:rPr>
              <w:t>购买多年生黑麦草</w:t>
            </w:r>
          </w:p>
        </w:tc>
        <w:tc>
          <w:tcPr>
            <w:tcW w:w="1972" w:type="dxa"/>
            <w:tcBorders>
              <w:top w:val="outset" w:color="auto" w:sz="6" w:space="0"/>
              <w:left w:val="outset" w:color="auto" w:sz="6" w:space="0"/>
              <w:bottom w:val="outset" w:color="auto" w:sz="6" w:space="0"/>
              <w:right w:val="outset" w:color="auto" w:sz="6" w:space="0"/>
            </w:tcBorders>
            <w:vAlign w:val="center"/>
          </w:tcPr>
          <w:p w14:paraId="649C1A9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9996kg</w:t>
            </w:r>
          </w:p>
        </w:tc>
        <w:tc>
          <w:tcPr>
            <w:tcW w:w="1972" w:type="dxa"/>
            <w:tcBorders>
              <w:top w:val="outset" w:color="auto" w:sz="6" w:space="0"/>
              <w:left w:val="outset" w:color="auto" w:sz="6" w:space="0"/>
              <w:bottom w:val="outset" w:color="auto" w:sz="6" w:space="0"/>
              <w:right w:val="outset" w:color="auto" w:sz="6" w:space="0"/>
            </w:tcBorders>
            <w:vAlign w:val="center"/>
          </w:tcPr>
          <w:p w14:paraId="2DFAB78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9996kg</w:t>
            </w:r>
          </w:p>
        </w:tc>
      </w:tr>
      <w:tr w14:paraId="73A3C8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1" w:hRule="atLeast"/>
          <w:tblCellSpacing w:w="0" w:type="dxa"/>
          <w:jc w:val="center"/>
        </w:trPr>
        <w:tc>
          <w:tcPr>
            <w:tcW w:w="943" w:type="dxa"/>
            <w:vMerge w:val="continue"/>
            <w:tcBorders>
              <w:left w:val="outset" w:color="auto" w:sz="6" w:space="0"/>
              <w:right w:val="outset" w:color="auto" w:sz="6" w:space="0"/>
            </w:tcBorders>
            <w:vAlign w:val="center"/>
          </w:tcPr>
          <w:p w14:paraId="092E87E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11BF9F4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4062C03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质量指标</w:t>
            </w:r>
          </w:p>
        </w:tc>
        <w:tc>
          <w:tcPr>
            <w:tcW w:w="1230" w:type="dxa"/>
            <w:tcBorders>
              <w:top w:val="outset" w:color="auto" w:sz="6" w:space="0"/>
              <w:left w:val="outset" w:color="auto" w:sz="6" w:space="0"/>
              <w:bottom w:val="outset" w:color="auto" w:sz="6" w:space="0"/>
              <w:right w:val="outset" w:color="auto" w:sz="6" w:space="0"/>
            </w:tcBorders>
            <w:vAlign w:val="center"/>
          </w:tcPr>
          <w:p w14:paraId="496C00B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22"/>
                <w:szCs w:val="22"/>
                <w:lang w:eastAsia="zh-CN"/>
              </w:rPr>
              <w:t>验收合格率</w:t>
            </w:r>
          </w:p>
        </w:tc>
        <w:tc>
          <w:tcPr>
            <w:tcW w:w="1972" w:type="dxa"/>
            <w:tcBorders>
              <w:top w:val="outset" w:color="auto" w:sz="6" w:space="0"/>
              <w:left w:val="outset" w:color="auto" w:sz="6" w:space="0"/>
              <w:bottom w:val="outset" w:color="auto" w:sz="6" w:space="0"/>
              <w:right w:val="outset" w:color="auto" w:sz="6" w:space="0"/>
            </w:tcBorders>
            <w:vAlign w:val="center"/>
          </w:tcPr>
          <w:p w14:paraId="3CCEE03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2073D5E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100%</w:t>
            </w:r>
          </w:p>
        </w:tc>
      </w:tr>
      <w:tr w14:paraId="07EECA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4AC8DD7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12E22D6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0CDC5CD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质量指标</w:t>
            </w:r>
          </w:p>
        </w:tc>
        <w:tc>
          <w:tcPr>
            <w:tcW w:w="1230" w:type="dxa"/>
            <w:tcBorders>
              <w:top w:val="outset" w:color="auto" w:sz="6" w:space="0"/>
              <w:left w:val="outset" w:color="auto" w:sz="6" w:space="0"/>
              <w:bottom w:val="outset" w:color="auto" w:sz="6" w:space="0"/>
              <w:right w:val="outset" w:color="auto" w:sz="6" w:space="0"/>
            </w:tcBorders>
            <w:vAlign w:val="center"/>
          </w:tcPr>
          <w:p w14:paraId="2E96E9C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20"/>
                <w:szCs w:val="20"/>
                <w:lang w:eastAsia="zh-CN"/>
              </w:rPr>
              <w:t>种子质量净度</w:t>
            </w:r>
          </w:p>
        </w:tc>
        <w:tc>
          <w:tcPr>
            <w:tcW w:w="1972" w:type="dxa"/>
            <w:tcBorders>
              <w:top w:val="outset" w:color="auto" w:sz="6" w:space="0"/>
              <w:left w:val="outset" w:color="auto" w:sz="6" w:space="0"/>
              <w:bottom w:val="outset" w:color="auto" w:sz="6" w:space="0"/>
              <w:right w:val="outset" w:color="auto" w:sz="6" w:space="0"/>
            </w:tcBorders>
            <w:vAlign w:val="center"/>
          </w:tcPr>
          <w:p w14:paraId="713D8AE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95%</w:t>
            </w:r>
          </w:p>
        </w:tc>
        <w:tc>
          <w:tcPr>
            <w:tcW w:w="1972" w:type="dxa"/>
            <w:tcBorders>
              <w:top w:val="outset" w:color="auto" w:sz="6" w:space="0"/>
              <w:left w:val="outset" w:color="auto" w:sz="6" w:space="0"/>
              <w:bottom w:val="outset" w:color="auto" w:sz="6" w:space="0"/>
              <w:right w:val="outset" w:color="auto" w:sz="6" w:space="0"/>
            </w:tcBorders>
            <w:vAlign w:val="center"/>
          </w:tcPr>
          <w:p w14:paraId="564C3FF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95%</w:t>
            </w:r>
          </w:p>
        </w:tc>
      </w:tr>
      <w:tr w14:paraId="0D3358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28A93C8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1ABE724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211942C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质量指标</w:t>
            </w:r>
          </w:p>
        </w:tc>
        <w:tc>
          <w:tcPr>
            <w:tcW w:w="1230" w:type="dxa"/>
            <w:tcBorders>
              <w:top w:val="outset" w:color="auto" w:sz="6" w:space="0"/>
              <w:left w:val="outset" w:color="auto" w:sz="6" w:space="0"/>
              <w:bottom w:val="outset" w:color="auto" w:sz="6" w:space="0"/>
              <w:right w:val="outset" w:color="auto" w:sz="6" w:space="0"/>
            </w:tcBorders>
            <w:vAlign w:val="center"/>
          </w:tcPr>
          <w:p w14:paraId="14B4F06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eastAsia="zh-CN"/>
              </w:rPr>
              <w:t>种子发芽率</w:t>
            </w:r>
          </w:p>
        </w:tc>
        <w:tc>
          <w:tcPr>
            <w:tcW w:w="1972" w:type="dxa"/>
            <w:tcBorders>
              <w:top w:val="outset" w:color="auto" w:sz="6" w:space="0"/>
              <w:left w:val="outset" w:color="auto" w:sz="6" w:space="0"/>
              <w:bottom w:val="outset" w:color="auto" w:sz="6" w:space="0"/>
              <w:right w:val="outset" w:color="auto" w:sz="6" w:space="0"/>
            </w:tcBorders>
            <w:vAlign w:val="center"/>
          </w:tcPr>
          <w:p w14:paraId="5093058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85%</w:t>
            </w:r>
          </w:p>
        </w:tc>
        <w:tc>
          <w:tcPr>
            <w:tcW w:w="1972" w:type="dxa"/>
            <w:tcBorders>
              <w:top w:val="outset" w:color="auto" w:sz="6" w:space="0"/>
              <w:left w:val="outset" w:color="auto" w:sz="6" w:space="0"/>
              <w:bottom w:val="outset" w:color="auto" w:sz="6" w:space="0"/>
              <w:right w:val="outset" w:color="auto" w:sz="6" w:space="0"/>
            </w:tcBorders>
            <w:vAlign w:val="center"/>
          </w:tcPr>
          <w:p w14:paraId="63E23FD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85%</w:t>
            </w:r>
          </w:p>
        </w:tc>
      </w:tr>
      <w:tr w14:paraId="1117BC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401019A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47BF627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0A374A5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社会效益</w:t>
            </w:r>
          </w:p>
        </w:tc>
        <w:tc>
          <w:tcPr>
            <w:tcW w:w="1230" w:type="dxa"/>
            <w:tcBorders>
              <w:top w:val="outset" w:color="auto" w:sz="6" w:space="0"/>
              <w:left w:val="outset" w:color="auto" w:sz="6" w:space="0"/>
              <w:bottom w:val="outset" w:color="auto" w:sz="6" w:space="0"/>
              <w:right w:val="outset" w:color="auto" w:sz="6" w:space="0"/>
            </w:tcBorders>
            <w:vAlign w:val="center"/>
          </w:tcPr>
          <w:p w14:paraId="6DB4E7A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13"/>
                <w:szCs w:val="13"/>
              </w:rPr>
              <w:t> </w:t>
            </w:r>
            <w:r>
              <w:rPr>
                <w:rFonts w:hint="eastAsia" w:ascii="仿宋_GB2312" w:hAnsi="仿宋_GB2312" w:eastAsia="仿宋_GB2312" w:cs="仿宋_GB2312"/>
                <w:sz w:val="24"/>
                <w:szCs w:val="24"/>
                <w:lang w:eastAsia="zh-CN"/>
              </w:rPr>
              <w:t>受益人数</w:t>
            </w:r>
          </w:p>
        </w:tc>
        <w:tc>
          <w:tcPr>
            <w:tcW w:w="1972" w:type="dxa"/>
            <w:tcBorders>
              <w:top w:val="outset" w:color="auto" w:sz="6" w:space="0"/>
              <w:left w:val="outset" w:color="auto" w:sz="6" w:space="0"/>
              <w:bottom w:val="outset" w:color="auto" w:sz="6" w:space="0"/>
              <w:right w:val="outset" w:color="auto" w:sz="6" w:space="0"/>
            </w:tcBorders>
            <w:vAlign w:val="center"/>
          </w:tcPr>
          <w:p w14:paraId="29105674">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331人</w:t>
            </w:r>
          </w:p>
        </w:tc>
        <w:tc>
          <w:tcPr>
            <w:tcW w:w="1972" w:type="dxa"/>
            <w:tcBorders>
              <w:top w:val="outset" w:color="auto" w:sz="6" w:space="0"/>
              <w:left w:val="outset" w:color="auto" w:sz="6" w:space="0"/>
              <w:bottom w:val="outset" w:color="auto" w:sz="6" w:space="0"/>
              <w:right w:val="outset" w:color="auto" w:sz="6" w:space="0"/>
            </w:tcBorders>
            <w:vAlign w:val="center"/>
          </w:tcPr>
          <w:p w14:paraId="23CEBC8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331人</w:t>
            </w:r>
          </w:p>
        </w:tc>
      </w:tr>
      <w:tr w14:paraId="439478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4AFF5AE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673EA25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64516B5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社会效益</w:t>
            </w:r>
          </w:p>
        </w:tc>
        <w:tc>
          <w:tcPr>
            <w:tcW w:w="1230" w:type="dxa"/>
            <w:tcBorders>
              <w:top w:val="outset" w:color="auto" w:sz="6" w:space="0"/>
              <w:left w:val="outset" w:color="auto" w:sz="6" w:space="0"/>
              <w:bottom w:val="outset" w:color="auto" w:sz="6" w:space="0"/>
              <w:right w:val="outset" w:color="auto" w:sz="6" w:space="0"/>
            </w:tcBorders>
            <w:vAlign w:val="center"/>
          </w:tcPr>
          <w:p w14:paraId="0D58081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0"/>
                <w:szCs w:val="10"/>
                <w:lang w:eastAsia="zh-CN"/>
              </w:rPr>
              <w:t>受益建档立卡贫困人口数</w:t>
            </w:r>
          </w:p>
        </w:tc>
        <w:tc>
          <w:tcPr>
            <w:tcW w:w="1972" w:type="dxa"/>
            <w:tcBorders>
              <w:top w:val="outset" w:color="auto" w:sz="6" w:space="0"/>
              <w:left w:val="outset" w:color="auto" w:sz="6" w:space="0"/>
              <w:bottom w:val="outset" w:color="auto" w:sz="6" w:space="0"/>
              <w:right w:val="outset" w:color="auto" w:sz="6" w:space="0"/>
            </w:tcBorders>
            <w:vAlign w:val="center"/>
          </w:tcPr>
          <w:p w14:paraId="65FF68C4">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26人</w:t>
            </w:r>
          </w:p>
        </w:tc>
        <w:tc>
          <w:tcPr>
            <w:tcW w:w="1972" w:type="dxa"/>
            <w:tcBorders>
              <w:top w:val="outset" w:color="auto" w:sz="6" w:space="0"/>
              <w:left w:val="outset" w:color="auto" w:sz="6" w:space="0"/>
              <w:bottom w:val="outset" w:color="auto" w:sz="6" w:space="0"/>
              <w:right w:val="outset" w:color="auto" w:sz="6" w:space="0"/>
            </w:tcBorders>
            <w:vAlign w:val="center"/>
          </w:tcPr>
          <w:p w14:paraId="03ECE9E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26人</w:t>
            </w:r>
          </w:p>
        </w:tc>
      </w:tr>
      <w:tr w14:paraId="0426BB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7E4777B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621AE25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58AEC08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6"/>
                <w:szCs w:val="16"/>
                <w:lang w:eastAsia="zh-CN"/>
              </w:rPr>
              <w:t>可持续影响指标</w:t>
            </w:r>
          </w:p>
        </w:tc>
        <w:tc>
          <w:tcPr>
            <w:tcW w:w="1230" w:type="dxa"/>
            <w:tcBorders>
              <w:top w:val="outset" w:color="auto" w:sz="6" w:space="0"/>
              <w:left w:val="outset" w:color="auto" w:sz="6" w:space="0"/>
              <w:bottom w:val="outset" w:color="auto" w:sz="6" w:space="0"/>
              <w:right w:val="outset" w:color="auto" w:sz="6" w:space="0"/>
            </w:tcBorders>
            <w:vAlign w:val="center"/>
          </w:tcPr>
          <w:p w14:paraId="1F7B2CE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3"/>
                <w:szCs w:val="13"/>
              </w:rPr>
              <w:t> </w:t>
            </w:r>
            <w:r>
              <w:rPr>
                <w:rFonts w:hint="eastAsia" w:ascii="仿宋_GB2312" w:hAnsi="仿宋_GB2312" w:eastAsia="仿宋_GB2312" w:cs="仿宋_GB2312"/>
                <w:sz w:val="13"/>
                <w:szCs w:val="13"/>
                <w:lang w:eastAsia="zh-CN"/>
              </w:rPr>
              <w:t>工程设计使用年限</w:t>
            </w:r>
          </w:p>
        </w:tc>
        <w:tc>
          <w:tcPr>
            <w:tcW w:w="1972" w:type="dxa"/>
            <w:tcBorders>
              <w:top w:val="outset" w:color="auto" w:sz="6" w:space="0"/>
              <w:left w:val="outset" w:color="auto" w:sz="6" w:space="0"/>
              <w:bottom w:val="outset" w:color="auto" w:sz="6" w:space="0"/>
              <w:right w:val="outset" w:color="auto" w:sz="6" w:space="0"/>
            </w:tcBorders>
            <w:vAlign w:val="center"/>
          </w:tcPr>
          <w:p w14:paraId="0EDBBB3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5年</w:t>
            </w:r>
          </w:p>
        </w:tc>
        <w:tc>
          <w:tcPr>
            <w:tcW w:w="1972" w:type="dxa"/>
            <w:tcBorders>
              <w:top w:val="outset" w:color="auto" w:sz="6" w:space="0"/>
              <w:left w:val="outset" w:color="auto" w:sz="6" w:space="0"/>
              <w:bottom w:val="outset" w:color="auto" w:sz="6" w:space="0"/>
              <w:right w:val="outset" w:color="auto" w:sz="6" w:space="0"/>
            </w:tcBorders>
            <w:vAlign w:val="center"/>
          </w:tcPr>
          <w:p w14:paraId="5018DA5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5年</w:t>
            </w:r>
          </w:p>
        </w:tc>
      </w:tr>
      <w:tr w14:paraId="3422A4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287F113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5CFD8BA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20"/>
                <w:szCs w:val="20"/>
                <w:lang w:eastAsia="zh-CN"/>
              </w:rPr>
              <w:t>满意度指标</w:t>
            </w:r>
          </w:p>
        </w:tc>
        <w:tc>
          <w:tcPr>
            <w:tcW w:w="1185" w:type="dxa"/>
            <w:tcBorders>
              <w:top w:val="outset" w:color="auto" w:sz="6" w:space="0"/>
              <w:left w:val="outset" w:color="auto" w:sz="6" w:space="0"/>
              <w:bottom w:val="outset" w:color="auto" w:sz="6" w:space="0"/>
              <w:right w:val="outset" w:color="auto" w:sz="6" w:space="0"/>
            </w:tcBorders>
            <w:vAlign w:val="center"/>
          </w:tcPr>
          <w:p w14:paraId="587A040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3"/>
                <w:szCs w:val="13"/>
                <w:lang w:eastAsia="zh-CN"/>
              </w:rPr>
              <w:t>贫困户满意度指标</w:t>
            </w:r>
          </w:p>
        </w:tc>
        <w:tc>
          <w:tcPr>
            <w:tcW w:w="1230" w:type="dxa"/>
            <w:tcBorders>
              <w:top w:val="outset" w:color="auto" w:sz="6" w:space="0"/>
              <w:left w:val="outset" w:color="auto" w:sz="6" w:space="0"/>
              <w:bottom w:val="outset" w:color="auto" w:sz="6" w:space="0"/>
              <w:right w:val="outset" w:color="auto" w:sz="6" w:space="0"/>
            </w:tcBorders>
            <w:vAlign w:val="center"/>
          </w:tcPr>
          <w:p w14:paraId="73E9514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1"/>
                <w:szCs w:val="11"/>
                <w:lang w:eastAsia="zh-CN"/>
              </w:rPr>
              <w:t>受益贫困人口满意度</w:t>
            </w:r>
          </w:p>
        </w:tc>
        <w:tc>
          <w:tcPr>
            <w:tcW w:w="1972" w:type="dxa"/>
            <w:tcBorders>
              <w:top w:val="outset" w:color="auto" w:sz="6" w:space="0"/>
              <w:left w:val="outset" w:color="auto" w:sz="6" w:space="0"/>
              <w:bottom w:val="outset" w:color="auto" w:sz="6" w:space="0"/>
              <w:right w:val="outset" w:color="auto" w:sz="6" w:space="0"/>
            </w:tcBorders>
            <w:vAlign w:val="center"/>
          </w:tcPr>
          <w:p w14:paraId="1B27A47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502E995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bl>
    <w:p w14:paraId="43711495">
      <w:pPr>
        <w:pStyle w:val="6"/>
        <w:bidi w:val="0"/>
      </w:pPr>
      <w:r>
        <w:rPr>
          <w:rFonts w:hint="eastAsia"/>
          <w:lang w:eastAsia="zh-CN"/>
        </w:rPr>
        <w:t>（</w:t>
      </w:r>
      <w:r>
        <w:rPr>
          <w:rFonts w:hint="eastAsia"/>
          <w:lang w:val="en-US" w:eastAsia="zh-CN"/>
        </w:rPr>
        <w:t>3</w:t>
      </w:r>
      <w:r>
        <w:rPr>
          <w:rFonts w:hint="eastAsia"/>
          <w:lang w:eastAsia="zh-CN"/>
        </w:rPr>
        <w:t>）查尔玛乡动态调整到户产业项目</w:t>
      </w:r>
      <w:r>
        <w:rPr>
          <w:rFonts w:hint="eastAsia"/>
        </w:rPr>
        <w:t>绩效目标完成情况综述。项目全年预算数</w:t>
      </w:r>
      <w:r>
        <w:rPr>
          <w:rFonts w:hint="eastAsia"/>
          <w:lang w:val="en-US" w:eastAsia="zh-CN"/>
        </w:rPr>
        <w:t>2.4</w:t>
      </w:r>
      <w:r>
        <w:rPr>
          <w:rFonts w:hint="eastAsia"/>
        </w:rPr>
        <w:t>万元，执行数为</w:t>
      </w:r>
      <w:r>
        <w:rPr>
          <w:rFonts w:hint="eastAsia"/>
          <w:lang w:val="en-US" w:eastAsia="zh-CN"/>
        </w:rPr>
        <w:t>2.4</w:t>
      </w:r>
      <w:r>
        <w:rPr>
          <w:rFonts w:hint="eastAsia"/>
        </w:rPr>
        <w:t>万元，完成预算的</w:t>
      </w:r>
      <w:r>
        <w:rPr>
          <w:rFonts w:hint="eastAsia"/>
          <w:lang w:val="en-US" w:eastAsia="zh-CN"/>
        </w:rPr>
        <w:t>100</w:t>
      </w:r>
      <w:r>
        <w:rPr>
          <w:rFonts w:hint="eastAsia"/>
        </w:rPr>
        <w:t>%。通过项目实施，保障（支持、促进、提高</w:t>
      </w:r>
      <w:r>
        <w:rPr>
          <w:rFonts w:hint="eastAsia"/>
          <w:lang w:eastAsia="zh-CN"/>
        </w:rPr>
        <w:t>经济发展</w:t>
      </w:r>
      <w:r>
        <w:rPr>
          <w:rFonts w:hint="eastAsia"/>
        </w:rPr>
        <w:t>）了</w:t>
      </w:r>
      <w:r>
        <w:rPr>
          <w:rFonts w:hint="eastAsia"/>
          <w:lang w:eastAsia="zh-CN"/>
        </w:rPr>
        <w:t>贫困人员生活质量</w:t>
      </w:r>
      <w:r>
        <w:rPr>
          <w:rFonts w:hint="eastAsia"/>
        </w:rPr>
        <w:t>(</w:t>
      </w:r>
      <w:r>
        <w:rPr>
          <w:rFonts w:hint="eastAsia"/>
          <w:lang w:eastAsia="zh-CN"/>
        </w:rPr>
        <w:t>为我乡贫困人员提高了一定的生活质量</w:t>
      </w:r>
      <w:r>
        <w:rPr>
          <w:rFonts w:hint="eastAsia"/>
        </w:rPr>
        <w:t>）。</w:t>
      </w:r>
    </w:p>
    <w:tbl>
      <w:tblPr>
        <w:tblStyle w:val="14"/>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43"/>
        <w:gridCol w:w="1035"/>
        <w:gridCol w:w="1185"/>
        <w:gridCol w:w="1230"/>
        <w:gridCol w:w="1972"/>
        <w:gridCol w:w="1972"/>
      </w:tblGrid>
      <w:tr w14:paraId="149B29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337" w:type="dxa"/>
            <w:gridSpan w:val="6"/>
            <w:tcBorders>
              <w:top w:val="outset" w:color="auto" w:sz="6" w:space="0"/>
              <w:left w:val="outset" w:color="auto" w:sz="6" w:space="0"/>
              <w:bottom w:val="outset" w:color="auto" w:sz="6" w:space="0"/>
              <w:right w:val="outset" w:color="auto" w:sz="6" w:space="0"/>
            </w:tcBorders>
            <w:vAlign w:val="center"/>
          </w:tcPr>
          <w:p w14:paraId="3C1847C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Style w:val="16"/>
                <w:rFonts w:hint="eastAsia" w:ascii="仿宋_GB2312" w:hAnsi="仿宋_GB2312" w:eastAsia="仿宋_GB2312" w:cs="仿宋_GB2312"/>
                <w:sz w:val="32"/>
                <w:szCs w:val="32"/>
              </w:rPr>
              <w:t xml:space="preserve">项目绩效目标完成情况表 </w:t>
            </w:r>
            <w:r>
              <w:rPr>
                <w:rFonts w:hint="eastAsia" w:ascii="仿宋_GB2312" w:hAnsi="仿宋_GB2312" w:eastAsia="仿宋_GB2312" w:cs="仿宋_GB2312"/>
                <w:sz w:val="32"/>
                <w:szCs w:val="32"/>
              </w:rPr>
              <w:t>(2020年度)</w:t>
            </w:r>
          </w:p>
        </w:tc>
      </w:tr>
      <w:tr w14:paraId="3A1B0A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163" w:type="dxa"/>
            <w:gridSpan w:val="3"/>
            <w:tcBorders>
              <w:top w:val="outset" w:color="auto" w:sz="6" w:space="0"/>
              <w:left w:val="outset" w:color="auto" w:sz="6" w:space="0"/>
              <w:bottom w:val="outset" w:color="auto" w:sz="6" w:space="0"/>
              <w:right w:val="outset" w:color="auto" w:sz="6" w:space="0"/>
            </w:tcBorders>
            <w:vAlign w:val="center"/>
          </w:tcPr>
          <w:p w14:paraId="597353C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项目名称</w:t>
            </w:r>
          </w:p>
        </w:tc>
        <w:tc>
          <w:tcPr>
            <w:tcW w:w="5174" w:type="dxa"/>
            <w:gridSpan w:val="3"/>
            <w:tcBorders>
              <w:top w:val="outset" w:color="auto" w:sz="6" w:space="0"/>
              <w:left w:val="outset" w:color="auto" w:sz="6" w:space="0"/>
              <w:bottom w:val="outset" w:color="auto" w:sz="6" w:space="0"/>
              <w:right w:val="outset" w:color="auto" w:sz="6" w:space="0"/>
            </w:tcBorders>
            <w:vAlign w:val="center"/>
          </w:tcPr>
          <w:p w14:paraId="47BCA21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 查尔玛乡动态调整到户产业项目</w:t>
            </w:r>
          </w:p>
        </w:tc>
      </w:tr>
      <w:tr w14:paraId="23297B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163" w:type="dxa"/>
            <w:gridSpan w:val="3"/>
            <w:tcBorders>
              <w:top w:val="outset" w:color="auto" w:sz="6" w:space="0"/>
              <w:left w:val="outset" w:color="auto" w:sz="6" w:space="0"/>
              <w:bottom w:val="outset" w:color="auto" w:sz="6" w:space="0"/>
              <w:right w:val="outset" w:color="auto" w:sz="6" w:space="0"/>
            </w:tcBorders>
            <w:vAlign w:val="center"/>
          </w:tcPr>
          <w:p w14:paraId="549971A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预算单位</w:t>
            </w:r>
          </w:p>
        </w:tc>
        <w:tc>
          <w:tcPr>
            <w:tcW w:w="5174" w:type="dxa"/>
            <w:gridSpan w:val="3"/>
            <w:tcBorders>
              <w:top w:val="outset" w:color="auto" w:sz="6" w:space="0"/>
              <w:left w:val="outset" w:color="auto" w:sz="6" w:space="0"/>
              <w:bottom w:val="outset" w:color="auto" w:sz="6" w:space="0"/>
              <w:right w:val="outset" w:color="auto" w:sz="6" w:space="0"/>
            </w:tcBorders>
            <w:vAlign w:val="center"/>
          </w:tcPr>
          <w:p w14:paraId="58BF53C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红原县查尔玛乡人民政府</w:t>
            </w:r>
          </w:p>
        </w:tc>
      </w:tr>
      <w:tr w14:paraId="7EA9CC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68E2D13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预算执行情况(万元)</w:t>
            </w:r>
          </w:p>
          <w:p w14:paraId="63C546C8">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7E81AB7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173D190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预算数:</w:t>
            </w:r>
          </w:p>
        </w:tc>
        <w:tc>
          <w:tcPr>
            <w:tcW w:w="1230" w:type="dxa"/>
            <w:tcBorders>
              <w:top w:val="outset" w:color="auto" w:sz="6" w:space="0"/>
              <w:left w:val="outset" w:color="auto" w:sz="6" w:space="0"/>
              <w:bottom w:val="outset" w:color="auto" w:sz="6" w:space="0"/>
              <w:right w:val="outset" w:color="auto" w:sz="6" w:space="0"/>
            </w:tcBorders>
            <w:vAlign w:val="center"/>
          </w:tcPr>
          <w:p w14:paraId="54785E6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2.4万元</w:t>
            </w:r>
          </w:p>
        </w:tc>
        <w:tc>
          <w:tcPr>
            <w:tcW w:w="1972" w:type="dxa"/>
            <w:tcBorders>
              <w:top w:val="outset" w:color="auto" w:sz="6" w:space="0"/>
              <w:left w:val="outset" w:color="auto" w:sz="6" w:space="0"/>
              <w:bottom w:val="outset" w:color="auto" w:sz="6" w:space="0"/>
              <w:right w:val="outset" w:color="auto" w:sz="6" w:space="0"/>
            </w:tcBorders>
            <w:vAlign w:val="center"/>
          </w:tcPr>
          <w:p w14:paraId="4A15C0C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执行数:</w:t>
            </w:r>
          </w:p>
        </w:tc>
        <w:tc>
          <w:tcPr>
            <w:tcW w:w="1972" w:type="dxa"/>
            <w:tcBorders>
              <w:top w:val="outset" w:color="auto" w:sz="6" w:space="0"/>
              <w:left w:val="outset" w:color="auto" w:sz="6" w:space="0"/>
              <w:bottom w:val="outset" w:color="auto" w:sz="6" w:space="0"/>
              <w:right w:val="outset" w:color="auto" w:sz="6" w:space="0"/>
            </w:tcBorders>
            <w:vAlign w:val="center"/>
          </w:tcPr>
          <w:p w14:paraId="7235573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2.4万元万元</w:t>
            </w:r>
          </w:p>
        </w:tc>
      </w:tr>
      <w:tr w14:paraId="60FC53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6" w:hRule="atLeast"/>
          <w:tblCellSpacing w:w="0" w:type="dxa"/>
          <w:jc w:val="center"/>
        </w:trPr>
        <w:tc>
          <w:tcPr>
            <w:tcW w:w="943" w:type="dxa"/>
            <w:vMerge w:val="continue"/>
            <w:tcBorders>
              <w:left w:val="outset" w:color="auto" w:sz="6" w:space="0"/>
              <w:right w:val="outset" w:color="auto" w:sz="6" w:space="0"/>
            </w:tcBorders>
            <w:vAlign w:val="center"/>
          </w:tcPr>
          <w:p w14:paraId="3ED5DC7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4C7E329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230" w:type="dxa"/>
            <w:tcBorders>
              <w:top w:val="outset" w:color="auto" w:sz="6" w:space="0"/>
              <w:left w:val="outset" w:color="auto" w:sz="6" w:space="0"/>
              <w:bottom w:val="outset" w:color="auto" w:sz="6" w:space="0"/>
              <w:right w:val="outset" w:color="auto" w:sz="6" w:space="0"/>
            </w:tcBorders>
            <w:vAlign w:val="center"/>
          </w:tcPr>
          <w:p w14:paraId="55C458C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2.4万元</w:t>
            </w:r>
          </w:p>
        </w:tc>
        <w:tc>
          <w:tcPr>
            <w:tcW w:w="1972" w:type="dxa"/>
            <w:tcBorders>
              <w:top w:val="outset" w:color="auto" w:sz="6" w:space="0"/>
              <w:left w:val="outset" w:color="auto" w:sz="6" w:space="0"/>
              <w:bottom w:val="outset" w:color="auto" w:sz="6" w:space="0"/>
              <w:right w:val="outset" w:color="auto" w:sz="6" w:space="0"/>
            </w:tcBorders>
            <w:vAlign w:val="center"/>
          </w:tcPr>
          <w:p w14:paraId="0EAF491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972" w:type="dxa"/>
            <w:tcBorders>
              <w:top w:val="outset" w:color="auto" w:sz="6" w:space="0"/>
              <w:left w:val="outset" w:color="auto" w:sz="6" w:space="0"/>
              <w:bottom w:val="outset" w:color="auto" w:sz="6" w:space="0"/>
              <w:right w:val="outset" w:color="auto" w:sz="6" w:space="0"/>
            </w:tcBorders>
            <w:vAlign w:val="center"/>
          </w:tcPr>
          <w:p w14:paraId="27D913D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2.4万元</w:t>
            </w:r>
          </w:p>
        </w:tc>
      </w:tr>
      <w:tr w14:paraId="28948B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5552C40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220" w:type="dxa"/>
            <w:gridSpan w:val="2"/>
            <w:tcBorders>
              <w:top w:val="outset" w:color="auto" w:sz="6" w:space="0"/>
              <w:left w:val="outset" w:color="auto" w:sz="6" w:space="0"/>
              <w:bottom w:val="outset" w:color="auto" w:sz="6" w:space="0"/>
              <w:right w:val="outset" w:color="auto" w:sz="6" w:space="0"/>
            </w:tcBorders>
            <w:vAlign w:val="center"/>
          </w:tcPr>
          <w:p w14:paraId="19063FA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230" w:type="dxa"/>
            <w:tcBorders>
              <w:top w:val="outset" w:color="auto" w:sz="6" w:space="0"/>
              <w:left w:val="outset" w:color="auto" w:sz="6" w:space="0"/>
              <w:bottom w:val="outset" w:color="auto" w:sz="6" w:space="0"/>
              <w:right w:val="outset" w:color="auto" w:sz="6" w:space="0"/>
            </w:tcBorders>
            <w:vAlign w:val="center"/>
          </w:tcPr>
          <w:p w14:paraId="13EBB54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val="en-US" w:eastAsia="zh-CN"/>
              </w:rPr>
            </w:pPr>
          </w:p>
        </w:tc>
        <w:tc>
          <w:tcPr>
            <w:tcW w:w="1972" w:type="dxa"/>
            <w:tcBorders>
              <w:top w:val="outset" w:color="auto" w:sz="6" w:space="0"/>
              <w:left w:val="outset" w:color="auto" w:sz="6" w:space="0"/>
              <w:bottom w:val="outset" w:color="auto" w:sz="6" w:space="0"/>
              <w:right w:val="outset" w:color="auto" w:sz="6" w:space="0"/>
            </w:tcBorders>
            <w:vAlign w:val="center"/>
          </w:tcPr>
          <w:p w14:paraId="411A2BB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972" w:type="dxa"/>
            <w:tcBorders>
              <w:top w:val="outset" w:color="auto" w:sz="6" w:space="0"/>
              <w:left w:val="outset" w:color="auto" w:sz="6" w:space="0"/>
              <w:bottom w:val="outset" w:color="auto" w:sz="6" w:space="0"/>
              <w:right w:val="outset" w:color="auto" w:sz="6" w:space="0"/>
            </w:tcBorders>
            <w:vAlign w:val="center"/>
          </w:tcPr>
          <w:p w14:paraId="4FA2498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p>
        </w:tc>
      </w:tr>
      <w:tr w14:paraId="78DFA4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8"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02024A3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年度目标完成情况</w:t>
            </w:r>
          </w:p>
          <w:p w14:paraId="1BB4F937">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3450" w:type="dxa"/>
            <w:gridSpan w:val="3"/>
            <w:tcBorders>
              <w:top w:val="outset" w:color="auto" w:sz="6" w:space="0"/>
              <w:left w:val="outset" w:color="auto" w:sz="6" w:space="0"/>
              <w:bottom w:val="outset" w:color="auto" w:sz="6" w:space="0"/>
              <w:right w:val="outset" w:color="auto" w:sz="6" w:space="0"/>
            </w:tcBorders>
            <w:vAlign w:val="center"/>
          </w:tcPr>
          <w:p w14:paraId="28A3B49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预期目标</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6F426B4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实际完成目标</w:t>
            </w:r>
          </w:p>
        </w:tc>
      </w:tr>
      <w:tr w14:paraId="57E0BE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1" w:hRule="atLeast"/>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2BCAC3B4">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3450" w:type="dxa"/>
            <w:gridSpan w:val="3"/>
            <w:tcBorders>
              <w:top w:val="outset" w:color="auto" w:sz="6" w:space="0"/>
              <w:left w:val="outset" w:color="auto" w:sz="6" w:space="0"/>
              <w:bottom w:val="outset" w:color="auto" w:sz="6" w:space="0"/>
              <w:right w:val="outset" w:color="auto" w:sz="6" w:space="0"/>
            </w:tcBorders>
            <w:vAlign w:val="center"/>
          </w:tcPr>
          <w:p w14:paraId="7BA01C4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3人到户购买养殖牦牛。</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17E88C7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提升贫困人员的内生动力。</w:t>
            </w:r>
          </w:p>
        </w:tc>
      </w:tr>
      <w:tr w14:paraId="30A1E7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8" w:hRule="atLeast"/>
          <w:tblCellSpacing w:w="0" w:type="dxa"/>
          <w:jc w:val="center"/>
        </w:trPr>
        <w:tc>
          <w:tcPr>
            <w:tcW w:w="943" w:type="dxa"/>
            <w:vMerge w:val="restart"/>
            <w:tcBorders>
              <w:top w:val="outset" w:color="auto" w:sz="6" w:space="0"/>
              <w:left w:val="outset" w:color="auto" w:sz="6" w:space="0"/>
              <w:right w:val="outset" w:color="auto" w:sz="6" w:space="0"/>
            </w:tcBorders>
            <w:vAlign w:val="center"/>
          </w:tcPr>
          <w:p w14:paraId="000AA15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绩</w:t>
            </w:r>
            <w:r>
              <w:rPr>
                <w:rFonts w:hint="eastAsia" w:ascii="仿宋_GB2312" w:hAnsi="仿宋_GB2312" w:eastAsia="仿宋_GB2312" w:cs="仿宋_GB2312"/>
                <w:lang w:eastAsia="zh-CN"/>
              </w:rPr>
              <w:t>效</w:t>
            </w:r>
            <w:r>
              <w:rPr>
                <w:rFonts w:hint="eastAsia" w:ascii="仿宋_GB2312" w:hAnsi="仿宋_GB2312" w:eastAsia="仿宋_GB2312" w:cs="仿宋_GB2312"/>
              </w:rPr>
              <w:t>指标完成情况</w:t>
            </w:r>
          </w:p>
          <w:p w14:paraId="73B90E8E">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33F87DF3">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62E5D209">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212B316A">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2B919BA0">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4AD45443">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1139EDAC">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696A038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一级指标</w:t>
            </w:r>
          </w:p>
        </w:tc>
        <w:tc>
          <w:tcPr>
            <w:tcW w:w="1185" w:type="dxa"/>
            <w:tcBorders>
              <w:top w:val="outset" w:color="auto" w:sz="6" w:space="0"/>
              <w:left w:val="outset" w:color="auto" w:sz="6" w:space="0"/>
              <w:bottom w:val="outset" w:color="auto" w:sz="6" w:space="0"/>
              <w:right w:val="outset" w:color="auto" w:sz="6" w:space="0"/>
            </w:tcBorders>
            <w:vAlign w:val="center"/>
          </w:tcPr>
          <w:p w14:paraId="1076E8F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二级指标</w:t>
            </w:r>
          </w:p>
        </w:tc>
        <w:tc>
          <w:tcPr>
            <w:tcW w:w="1230" w:type="dxa"/>
            <w:tcBorders>
              <w:top w:val="outset" w:color="auto" w:sz="6" w:space="0"/>
              <w:left w:val="outset" w:color="auto" w:sz="6" w:space="0"/>
              <w:bottom w:val="outset" w:color="auto" w:sz="6" w:space="0"/>
              <w:right w:val="outset" w:color="auto" w:sz="6" w:space="0"/>
            </w:tcBorders>
            <w:vAlign w:val="center"/>
          </w:tcPr>
          <w:p w14:paraId="153CD61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三级指标</w:t>
            </w:r>
          </w:p>
        </w:tc>
        <w:tc>
          <w:tcPr>
            <w:tcW w:w="1972" w:type="dxa"/>
            <w:tcBorders>
              <w:top w:val="outset" w:color="auto" w:sz="6" w:space="0"/>
              <w:left w:val="outset" w:color="auto" w:sz="6" w:space="0"/>
              <w:bottom w:val="outset" w:color="auto" w:sz="6" w:space="0"/>
              <w:right w:val="outset" w:color="auto" w:sz="6" w:space="0"/>
            </w:tcBorders>
            <w:vAlign w:val="center"/>
          </w:tcPr>
          <w:p w14:paraId="4A42A80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预期指标值(包含数字及文字描述)</w:t>
            </w:r>
          </w:p>
        </w:tc>
        <w:tc>
          <w:tcPr>
            <w:tcW w:w="1972" w:type="dxa"/>
            <w:tcBorders>
              <w:top w:val="outset" w:color="auto" w:sz="6" w:space="0"/>
              <w:left w:val="outset" w:color="auto" w:sz="6" w:space="0"/>
              <w:bottom w:val="outset" w:color="auto" w:sz="6" w:space="0"/>
              <w:right w:val="outset" w:color="auto" w:sz="6" w:space="0"/>
            </w:tcBorders>
            <w:vAlign w:val="center"/>
          </w:tcPr>
          <w:p w14:paraId="1C3D023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实际完成指标值(包含数字及文字描述)</w:t>
            </w:r>
          </w:p>
        </w:tc>
      </w:tr>
      <w:tr w14:paraId="2A16E4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48383F3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00FBC84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39393B0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数量指标</w:t>
            </w:r>
          </w:p>
        </w:tc>
        <w:tc>
          <w:tcPr>
            <w:tcW w:w="1230" w:type="dxa"/>
            <w:tcBorders>
              <w:top w:val="outset" w:color="auto" w:sz="6" w:space="0"/>
              <w:left w:val="outset" w:color="auto" w:sz="6" w:space="0"/>
              <w:bottom w:val="outset" w:color="auto" w:sz="6" w:space="0"/>
              <w:right w:val="outset" w:color="auto" w:sz="6" w:space="0"/>
            </w:tcBorders>
            <w:vAlign w:val="center"/>
          </w:tcPr>
          <w:p w14:paraId="5087AC6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21"/>
                <w:szCs w:val="21"/>
                <w:lang w:eastAsia="zh-CN"/>
              </w:rPr>
              <w:t>购买牦牛</w:t>
            </w:r>
          </w:p>
        </w:tc>
        <w:tc>
          <w:tcPr>
            <w:tcW w:w="1972" w:type="dxa"/>
            <w:tcBorders>
              <w:top w:val="outset" w:color="auto" w:sz="6" w:space="0"/>
              <w:left w:val="outset" w:color="auto" w:sz="6" w:space="0"/>
              <w:bottom w:val="outset" w:color="auto" w:sz="6" w:space="0"/>
              <w:right w:val="outset" w:color="auto" w:sz="6" w:space="0"/>
            </w:tcBorders>
            <w:vAlign w:val="center"/>
          </w:tcPr>
          <w:p w14:paraId="3F6F65E4">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3头</w:t>
            </w:r>
          </w:p>
        </w:tc>
        <w:tc>
          <w:tcPr>
            <w:tcW w:w="1972" w:type="dxa"/>
            <w:tcBorders>
              <w:top w:val="outset" w:color="auto" w:sz="6" w:space="0"/>
              <w:left w:val="outset" w:color="auto" w:sz="6" w:space="0"/>
              <w:bottom w:val="outset" w:color="auto" w:sz="6" w:space="0"/>
              <w:right w:val="outset" w:color="auto" w:sz="6" w:space="0"/>
            </w:tcBorders>
            <w:vAlign w:val="center"/>
          </w:tcPr>
          <w:p w14:paraId="3E0883A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3头</w:t>
            </w:r>
          </w:p>
        </w:tc>
      </w:tr>
      <w:tr w14:paraId="403932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1" w:hRule="atLeast"/>
          <w:tblCellSpacing w:w="0" w:type="dxa"/>
          <w:jc w:val="center"/>
        </w:trPr>
        <w:tc>
          <w:tcPr>
            <w:tcW w:w="943" w:type="dxa"/>
            <w:vMerge w:val="continue"/>
            <w:tcBorders>
              <w:left w:val="outset" w:color="auto" w:sz="6" w:space="0"/>
              <w:right w:val="outset" w:color="auto" w:sz="6" w:space="0"/>
            </w:tcBorders>
            <w:vAlign w:val="center"/>
          </w:tcPr>
          <w:p w14:paraId="1EEE328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0690EA0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65FDFFF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成本指标</w:t>
            </w:r>
          </w:p>
        </w:tc>
        <w:tc>
          <w:tcPr>
            <w:tcW w:w="1230" w:type="dxa"/>
            <w:tcBorders>
              <w:top w:val="outset" w:color="auto" w:sz="6" w:space="0"/>
              <w:left w:val="outset" w:color="auto" w:sz="6" w:space="0"/>
              <w:bottom w:val="outset" w:color="auto" w:sz="6" w:space="0"/>
              <w:right w:val="outset" w:color="auto" w:sz="6" w:space="0"/>
            </w:tcBorders>
            <w:vAlign w:val="center"/>
          </w:tcPr>
          <w:p w14:paraId="43BF277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22"/>
                <w:szCs w:val="22"/>
                <w:lang w:eastAsia="zh-CN"/>
              </w:rPr>
              <w:t>成本控制</w:t>
            </w:r>
          </w:p>
        </w:tc>
        <w:tc>
          <w:tcPr>
            <w:tcW w:w="1972" w:type="dxa"/>
            <w:tcBorders>
              <w:top w:val="outset" w:color="auto" w:sz="6" w:space="0"/>
              <w:left w:val="outset" w:color="auto" w:sz="6" w:space="0"/>
              <w:bottom w:val="outset" w:color="auto" w:sz="6" w:space="0"/>
              <w:right w:val="outset" w:color="auto" w:sz="6" w:space="0"/>
            </w:tcBorders>
            <w:vAlign w:val="center"/>
          </w:tcPr>
          <w:p w14:paraId="68EB868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≤2.4万元</w:t>
            </w:r>
          </w:p>
        </w:tc>
        <w:tc>
          <w:tcPr>
            <w:tcW w:w="1972" w:type="dxa"/>
            <w:tcBorders>
              <w:top w:val="outset" w:color="auto" w:sz="6" w:space="0"/>
              <w:left w:val="outset" w:color="auto" w:sz="6" w:space="0"/>
              <w:bottom w:val="outset" w:color="auto" w:sz="6" w:space="0"/>
              <w:right w:val="outset" w:color="auto" w:sz="6" w:space="0"/>
            </w:tcBorders>
            <w:vAlign w:val="center"/>
          </w:tcPr>
          <w:p w14:paraId="4B6B455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≤2.4万元</w:t>
            </w:r>
          </w:p>
        </w:tc>
      </w:tr>
      <w:tr w14:paraId="2AA272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57853BC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7784047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85" w:type="dxa"/>
            <w:tcBorders>
              <w:top w:val="outset" w:color="auto" w:sz="6" w:space="0"/>
              <w:left w:val="outset" w:color="auto" w:sz="6" w:space="0"/>
              <w:bottom w:val="outset" w:color="auto" w:sz="6" w:space="0"/>
              <w:right w:val="outset" w:color="auto" w:sz="6" w:space="0"/>
            </w:tcBorders>
            <w:vAlign w:val="center"/>
          </w:tcPr>
          <w:p w14:paraId="4B96CDE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经济指标</w:t>
            </w:r>
          </w:p>
        </w:tc>
        <w:tc>
          <w:tcPr>
            <w:tcW w:w="1230" w:type="dxa"/>
            <w:tcBorders>
              <w:top w:val="outset" w:color="auto" w:sz="6" w:space="0"/>
              <w:left w:val="outset" w:color="auto" w:sz="6" w:space="0"/>
              <w:bottom w:val="outset" w:color="auto" w:sz="6" w:space="0"/>
              <w:right w:val="outset" w:color="auto" w:sz="6" w:space="0"/>
            </w:tcBorders>
            <w:vAlign w:val="center"/>
          </w:tcPr>
          <w:p w14:paraId="20BD3A4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20"/>
                <w:szCs w:val="20"/>
                <w:lang w:eastAsia="zh-CN"/>
              </w:rPr>
              <w:t>收入增加</w:t>
            </w:r>
          </w:p>
        </w:tc>
        <w:tc>
          <w:tcPr>
            <w:tcW w:w="1972" w:type="dxa"/>
            <w:tcBorders>
              <w:top w:val="outset" w:color="auto" w:sz="6" w:space="0"/>
              <w:left w:val="outset" w:color="auto" w:sz="6" w:space="0"/>
              <w:bottom w:val="outset" w:color="auto" w:sz="6" w:space="0"/>
              <w:right w:val="outset" w:color="auto" w:sz="6" w:space="0"/>
            </w:tcBorders>
            <w:vAlign w:val="center"/>
          </w:tcPr>
          <w:p w14:paraId="6A66BE81">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0.66万元</w:t>
            </w:r>
          </w:p>
        </w:tc>
        <w:tc>
          <w:tcPr>
            <w:tcW w:w="1972" w:type="dxa"/>
            <w:tcBorders>
              <w:top w:val="outset" w:color="auto" w:sz="6" w:space="0"/>
              <w:left w:val="outset" w:color="auto" w:sz="6" w:space="0"/>
              <w:bottom w:val="outset" w:color="auto" w:sz="6" w:space="0"/>
              <w:right w:val="outset" w:color="auto" w:sz="6" w:space="0"/>
            </w:tcBorders>
            <w:vAlign w:val="center"/>
          </w:tcPr>
          <w:p w14:paraId="1E600C5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0.66万元</w:t>
            </w:r>
          </w:p>
        </w:tc>
      </w:tr>
      <w:tr w14:paraId="12B340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1001D89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4A08301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7C37951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社会效益</w:t>
            </w:r>
          </w:p>
        </w:tc>
        <w:tc>
          <w:tcPr>
            <w:tcW w:w="1230" w:type="dxa"/>
            <w:tcBorders>
              <w:top w:val="outset" w:color="auto" w:sz="6" w:space="0"/>
              <w:left w:val="outset" w:color="auto" w:sz="6" w:space="0"/>
              <w:bottom w:val="outset" w:color="auto" w:sz="6" w:space="0"/>
              <w:right w:val="outset" w:color="auto" w:sz="6" w:space="0"/>
            </w:tcBorders>
            <w:vAlign w:val="center"/>
          </w:tcPr>
          <w:p w14:paraId="3B1BB71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13"/>
                <w:szCs w:val="13"/>
              </w:rPr>
              <w:t> </w:t>
            </w:r>
            <w:r>
              <w:rPr>
                <w:rFonts w:hint="eastAsia" w:ascii="仿宋_GB2312" w:hAnsi="仿宋_GB2312" w:eastAsia="仿宋_GB2312" w:cs="仿宋_GB2312"/>
                <w:sz w:val="24"/>
                <w:szCs w:val="24"/>
                <w:lang w:eastAsia="zh-CN"/>
              </w:rPr>
              <w:t>受益人数</w:t>
            </w:r>
          </w:p>
        </w:tc>
        <w:tc>
          <w:tcPr>
            <w:tcW w:w="1972" w:type="dxa"/>
            <w:tcBorders>
              <w:top w:val="outset" w:color="auto" w:sz="6" w:space="0"/>
              <w:left w:val="outset" w:color="auto" w:sz="6" w:space="0"/>
              <w:bottom w:val="outset" w:color="auto" w:sz="6" w:space="0"/>
              <w:right w:val="outset" w:color="auto" w:sz="6" w:space="0"/>
            </w:tcBorders>
            <w:vAlign w:val="center"/>
          </w:tcPr>
          <w:p w14:paraId="21FD120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12人</w:t>
            </w:r>
          </w:p>
        </w:tc>
        <w:tc>
          <w:tcPr>
            <w:tcW w:w="1972" w:type="dxa"/>
            <w:tcBorders>
              <w:top w:val="outset" w:color="auto" w:sz="6" w:space="0"/>
              <w:left w:val="outset" w:color="auto" w:sz="6" w:space="0"/>
              <w:bottom w:val="outset" w:color="auto" w:sz="6" w:space="0"/>
              <w:right w:val="outset" w:color="auto" w:sz="6" w:space="0"/>
            </w:tcBorders>
            <w:vAlign w:val="center"/>
          </w:tcPr>
          <w:p w14:paraId="3452182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12人</w:t>
            </w:r>
          </w:p>
        </w:tc>
      </w:tr>
      <w:tr w14:paraId="408454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57F89F6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60F97BF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56A4E65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社会效益</w:t>
            </w:r>
          </w:p>
        </w:tc>
        <w:tc>
          <w:tcPr>
            <w:tcW w:w="1230" w:type="dxa"/>
            <w:tcBorders>
              <w:top w:val="outset" w:color="auto" w:sz="6" w:space="0"/>
              <w:left w:val="outset" w:color="auto" w:sz="6" w:space="0"/>
              <w:bottom w:val="outset" w:color="auto" w:sz="6" w:space="0"/>
              <w:right w:val="outset" w:color="auto" w:sz="6" w:space="0"/>
            </w:tcBorders>
            <w:vAlign w:val="center"/>
          </w:tcPr>
          <w:p w14:paraId="42159FC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0"/>
                <w:szCs w:val="10"/>
                <w:lang w:eastAsia="zh-CN"/>
              </w:rPr>
              <w:t>受益建档立卡贫困人口数</w:t>
            </w:r>
          </w:p>
        </w:tc>
        <w:tc>
          <w:tcPr>
            <w:tcW w:w="1972" w:type="dxa"/>
            <w:tcBorders>
              <w:top w:val="outset" w:color="auto" w:sz="6" w:space="0"/>
              <w:left w:val="outset" w:color="auto" w:sz="6" w:space="0"/>
              <w:bottom w:val="outset" w:color="auto" w:sz="6" w:space="0"/>
              <w:right w:val="outset" w:color="auto" w:sz="6" w:space="0"/>
            </w:tcBorders>
            <w:vAlign w:val="center"/>
          </w:tcPr>
          <w:p w14:paraId="144240A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12人</w:t>
            </w:r>
          </w:p>
        </w:tc>
        <w:tc>
          <w:tcPr>
            <w:tcW w:w="1972" w:type="dxa"/>
            <w:tcBorders>
              <w:top w:val="outset" w:color="auto" w:sz="6" w:space="0"/>
              <w:left w:val="outset" w:color="auto" w:sz="6" w:space="0"/>
              <w:bottom w:val="outset" w:color="auto" w:sz="6" w:space="0"/>
              <w:right w:val="outset" w:color="auto" w:sz="6" w:space="0"/>
            </w:tcBorders>
            <w:vAlign w:val="center"/>
          </w:tcPr>
          <w:p w14:paraId="4FB77C2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12人</w:t>
            </w:r>
          </w:p>
        </w:tc>
      </w:tr>
      <w:tr w14:paraId="1DE50E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right w:val="outset" w:color="auto" w:sz="6" w:space="0"/>
            </w:tcBorders>
            <w:vAlign w:val="center"/>
          </w:tcPr>
          <w:p w14:paraId="5356F10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0733915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85" w:type="dxa"/>
            <w:tcBorders>
              <w:top w:val="outset" w:color="auto" w:sz="6" w:space="0"/>
              <w:left w:val="outset" w:color="auto" w:sz="6" w:space="0"/>
              <w:bottom w:val="outset" w:color="auto" w:sz="6" w:space="0"/>
              <w:right w:val="outset" w:color="auto" w:sz="6" w:space="0"/>
            </w:tcBorders>
            <w:vAlign w:val="center"/>
          </w:tcPr>
          <w:p w14:paraId="6CF3D8A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6"/>
                <w:szCs w:val="16"/>
                <w:lang w:eastAsia="zh-CN"/>
              </w:rPr>
              <w:t>可持续影响指标</w:t>
            </w:r>
          </w:p>
        </w:tc>
        <w:tc>
          <w:tcPr>
            <w:tcW w:w="1230" w:type="dxa"/>
            <w:tcBorders>
              <w:top w:val="outset" w:color="auto" w:sz="6" w:space="0"/>
              <w:left w:val="outset" w:color="auto" w:sz="6" w:space="0"/>
              <w:bottom w:val="outset" w:color="auto" w:sz="6" w:space="0"/>
              <w:right w:val="outset" w:color="auto" w:sz="6" w:space="0"/>
            </w:tcBorders>
            <w:vAlign w:val="center"/>
          </w:tcPr>
          <w:p w14:paraId="21C7827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3"/>
                <w:szCs w:val="13"/>
              </w:rPr>
              <w:t> </w:t>
            </w:r>
            <w:r>
              <w:rPr>
                <w:rFonts w:hint="eastAsia" w:ascii="仿宋_GB2312" w:hAnsi="仿宋_GB2312" w:eastAsia="仿宋_GB2312" w:cs="仿宋_GB2312"/>
                <w:sz w:val="22"/>
                <w:szCs w:val="22"/>
                <w:lang w:eastAsia="zh-CN"/>
              </w:rPr>
              <w:t>稳定脱贫</w:t>
            </w:r>
          </w:p>
        </w:tc>
        <w:tc>
          <w:tcPr>
            <w:tcW w:w="1972" w:type="dxa"/>
            <w:tcBorders>
              <w:top w:val="outset" w:color="auto" w:sz="6" w:space="0"/>
              <w:left w:val="outset" w:color="auto" w:sz="6" w:space="0"/>
              <w:bottom w:val="outset" w:color="auto" w:sz="6" w:space="0"/>
              <w:right w:val="outset" w:color="auto" w:sz="6" w:space="0"/>
            </w:tcBorders>
            <w:vAlign w:val="center"/>
          </w:tcPr>
          <w:p w14:paraId="31EC74C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0.66万元</w:t>
            </w:r>
          </w:p>
        </w:tc>
        <w:tc>
          <w:tcPr>
            <w:tcW w:w="1972" w:type="dxa"/>
            <w:tcBorders>
              <w:top w:val="outset" w:color="auto" w:sz="6" w:space="0"/>
              <w:left w:val="outset" w:color="auto" w:sz="6" w:space="0"/>
              <w:bottom w:val="outset" w:color="auto" w:sz="6" w:space="0"/>
              <w:right w:val="outset" w:color="auto" w:sz="6" w:space="0"/>
            </w:tcBorders>
            <w:vAlign w:val="center"/>
          </w:tcPr>
          <w:p w14:paraId="3F8E7E6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0.66万元</w:t>
            </w:r>
          </w:p>
        </w:tc>
      </w:tr>
      <w:tr w14:paraId="4E8C73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943" w:type="dxa"/>
            <w:vMerge w:val="continue"/>
            <w:tcBorders>
              <w:left w:val="outset" w:color="auto" w:sz="6" w:space="0"/>
              <w:bottom w:val="outset" w:color="auto" w:sz="6" w:space="0"/>
              <w:right w:val="outset" w:color="auto" w:sz="6" w:space="0"/>
            </w:tcBorders>
            <w:vAlign w:val="center"/>
          </w:tcPr>
          <w:p w14:paraId="3487587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35" w:type="dxa"/>
            <w:tcBorders>
              <w:top w:val="outset" w:color="auto" w:sz="6" w:space="0"/>
              <w:left w:val="outset" w:color="auto" w:sz="6" w:space="0"/>
              <w:bottom w:val="outset" w:color="auto" w:sz="6" w:space="0"/>
              <w:right w:val="outset" w:color="auto" w:sz="6" w:space="0"/>
            </w:tcBorders>
            <w:vAlign w:val="center"/>
          </w:tcPr>
          <w:p w14:paraId="26E9F8A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20"/>
                <w:szCs w:val="20"/>
                <w:lang w:eastAsia="zh-CN"/>
              </w:rPr>
              <w:t>满意度指标</w:t>
            </w:r>
          </w:p>
        </w:tc>
        <w:tc>
          <w:tcPr>
            <w:tcW w:w="1185" w:type="dxa"/>
            <w:tcBorders>
              <w:top w:val="outset" w:color="auto" w:sz="6" w:space="0"/>
              <w:left w:val="outset" w:color="auto" w:sz="6" w:space="0"/>
              <w:bottom w:val="outset" w:color="auto" w:sz="6" w:space="0"/>
              <w:right w:val="outset" w:color="auto" w:sz="6" w:space="0"/>
            </w:tcBorders>
            <w:vAlign w:val="center"/>
          </w:tcPr>
          <w:p w14:paraId="24FCD85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3"/>
                <w:szCs w:val="13"/>
                <w:lang w:eastAsia="zh-CN"/>
              </w:rPr>
              <w:t>贫困户满意度指标</w:t>
            </w:r>
          </w:p>
        </w:tc>
        <w:tc>
          <w:tcPr>
            <w:tcW w:w="1230" w:type="dxa"/>
            <w:tcBorders>
              <w:top w:val="outset" w:color="auto" w:sz="6" w:space="0"/>
              <w:left w:val="outset" w:color="auto" w:sz="6" w:space="0"/>
              <w:bottom w:val="outset" w:color="auto" w:sz="6" w:space="0"/>
              <w:right w:val="outset" w:color="auto" w:sz="6" w:space="0"/>
            </w:tcBorders>
            <w:vAlign w:val="center"/>
          </w:tcPr>
          <w:p w14:paraId="23B481C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1"/>
                <w:szCs w:val="11"/>
                <w:lang w:eastAsia="zh-CN"/>
              </w:rPr>
              <w:t>受益贫困人口满意度</w:t>
            </w:r>
          </w:p>
        </w:tc>
        <w:tc>
          <w:tcPr>
            <w:tcW w:w="1972" w:type="dxa"/>
            <w:tcBorders>
              <w:top w:val="outset" w:color="auto" w:sz="6" w:space="0"/>
              <w:left w:val="outset" w:color="auto" w:sz="6" w:space="0"/>
              <w:bottom w:val="outset" w:color="auto" w:sz="6" w:space="0"/>
              <w:right w:val="outset" w:color="auto" w:sz="6" w:space="0"/>
            </w:tcBorders>
            <w:vAlign w:val="center"/>
          </w:tcPr>
          <w:p w14:paraId="02FD91D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5C79A4B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bl>
    <w:p w14:paraId="4B7331F8">
      <w:pPr>
        <w:pStyle w:val="6"/>
        <w:bidi w:val="0"/>
      </w:pPr>
      <w:r>
        <w:rPr>
          <w:rFonts w:hint="eastAsia"/>
          <w:lang w:eastAsia="zh-CN"/>
        </w:rPr>
        <w:t>（</w:t>
      </w:r>
      <w:r>
        <w:rPr>
          <w:rFonts w:hint="eastAsia"/>
          <w:lang w:val="en-US" w:eastAsia="zh-CN"/>
        </w:rPr>
        <w:t>4</w:t>
      </w:r>
      <w:r>
        <w:rPr>
          <w:rFonts w:hint="eastAsia"/>
          <w:lang w:eastAsia="zh-CN"/>
        </w:rPr>
        <w:t>）查尔玛乡庭院整治暨新型庭院经济发展项目</w:t>
      </w:r>
      <w:r>
        <w:rPr>
          <w:rFonts w:hint="eastAsia"/>
        </w:rPr>
        <w:t>绩效目标完成情况综述。项目全年预算数</w:t>
      </w:r>
      <w:r>
        <w:rPr>
          <w:rFonts w:hint="eastAsia"/>
          <w:lang w:val="en-US" w:eastAsia="zh-CN"/>
        </w:rPr>
        <w:t>10</w:t>
      </w:r>
      <w:r>
        <w:rPr>
          <w:rFonts w:hint="eastAsia"/>
        </w:rPr>
        <w:t>万元，执行数为</w:t>
      </w:r>
      <w:r>
        <w:rPr>
          <w:rFonts w:hint="eastAsia"/>
          <w:lang w:val="en-US" w:eastAsia="zh-CN"/>
        </w:rPr>
        <w:t>9.98</w:t>
      </w:r>
      <w:r>
        <w:rPr>
          <w:rFonts w:hint="eastAsia"/>
        </w:rPr>
        <w:t>万元，完成预算的</w:t>
      </w:r>
      <w:r>
        <w:rPr>
          <w:rFonts w:hint="eastAsia"/>
          <w:lang w:val="en-US" w:eastAsia="zh-CN"/>
        </w:rPr>
        <w:t>100</w:t>
      </w:r>
      <w:r>
        <w:rPr>
          <w:rFonts w:hint="eastAsia"/>
        </w:rPr>
        <w:t>%。通过项目实施，</w:t>
      </w:r>
      <w:r>
        <w:rPr>
          <w:rFonts w:hint="eastAsia"/>
          <w:lang w:eastAsia="zh-CN"/>
        </w:rPr>
        <w:t>示范户庭院环境干净整洁，并长期保持，院内绿化规范，庭院经济发展规范，满足自产自销基本条件</w:t>
      </w:r>
      <w:r>
        <w:rPr>
          <w:rFonts w:hint="eastAsia"/>
        </w:rPr>
        <w:t>。</w:t>
      </w:r>
    </w:p>
    <w:tbl>
      <w:tblPr>
        <w:tblStyle w:val="14"/>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08"/>
        <w:gridCol w:w="1020"/>
        <w:gridCol w:w="1170"/>
        <w:gridCol w:w="1395"/>
        <w:gridCol w:w="1972"/>
        <w:gridCol w:w="1972"/>
      </w:tblGrid>
      <w:tr w14:paraId="14E731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337" w:type="dxa"/>
            <w:gridSpan w:val="6"/>
            <w:tcBorders>
              <w:top w:val="outset" w:color="auto" w:sz="6" w:space="0"/>
              <w:left w:val="outset" w:color="auto" w:sz="6" w:space="0"/>
              <w:bottom w:val="outset" w:color="auto" w:sz="6" w:space="0"/>
              <w:right w:val="outset" w:color="auto" w:sz="6" w:space="0"/>
            </w:tcBorders>
            <w:vAlign w:val="center"/>
          </w:tcPr>
          <w:p w14:paraId="633E1DC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Style w:val="16"/>
                <w:rFonts w:hint="eastAsia" w:ascii="仿宋_GB2312" w:hAnsi="仿宋_GB2312" w:eastAsia="仿宋_GB2312" w:cs="仿宋_GB2312"/>
                <w:sz w:val="32"/>
                <w:szCs w:val="32"/>
              </w:rPr>
              <w:t xml:space="preserve">项目绩效目标完成情况表 </w:t>
            </w:r>
            <w:r>
              <w:rPr>
                <w:rFonts w:hint="eastAsia" w:ascii="仿宋_GB2312" w:hAnsi="仿宋_GB2312" w:eastAsia="仿宋_GB2312" w:cs="仿宋_GB2312"/>
                <w:sz w:val="32"/>
                <w:szCs w:val="32"/>
              </w:rPr>
              <w:t>(2020年度)</w:t>
            </w:r>
          </w:p>
        </w:tc>
      </w:tr>
      <w:tr w14:paraId="3B27F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998" w:type="dxa"/>
            <w:gridSpan w:val="3"/>
            <w:tcBorders>
              <w:top w:val="outset" w:color="auto" w:sz="6" w:space="0"/>
              <w:left w:val="outset" w:color="auto" w:sz="6" w:space="0"/>
              <w:bottom w:val="outset" w:color="auto" w:sz="6" w:space="0"/>
              <w:right w:val="outset" w:color="auto" w:sz="6" w:space="0"/>
            </w:tcBorders>
            <w:vAlign w:val="center"/>
          </w:tcPr>
          <w:p w14:paraId="1453D42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项目名称</w:t>
            </w:r>
          </w:p>
        </w:tc>
        <w:tc>
          <w:tcPr>
            <w:tcW w:w="5339" w:type="dxa"/>
            <w:gridSpan w:val="3"/>
            <w:tcBorders>
              <w:top w:val="outset" w:color="auto" w:sz="6" w:space="0"/>
              <w:left w:val="outset" w:color="auto" w:sz="6" w:space="0"/>
              <w:bottom w:val="outset" w:color="auto" w:sz="6" w:space="0"/>
              <w:right w:val="outset" w:color="auto" w:sz="6" w:space="0"/>
            </w:tcBorders>
            <w:vAlign w:val="center"/>
          </w:tcPr>
          <w:p w14:paraId="11C0101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 查尔玛乡庭院整治暨新型庭院经济发展项目</w:t>
            </w:r>
          </w:p>
        </w:tc>
      </w:tr>
      <w:tr w14:paraId="3EAB15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998" w:type="dxa"/>
            <w:gridSpan w:val="3"/>
            <w:tcBorders>
              <w:top w:val="outset" w:color="auto" w:sz="6" w:space="0"/>
              <w:left w:val="outset" w:color="auto" w:sz="6" w:space="0"/>
              <w:bottom w:val="outset" w:color="auto" w:sz="6" w:space="0"/>
              <w:right w:val="outset" w:color="auto" w:sz="6" w:space="0"/>
            </w:tcBorders>
            <w:vAlign w:val="center"/>
          </w:tcPr>
          <w:p w14:paraId="79402B3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预算单位</w:t>
            </w:r>
          </w:p>
        </w:tc>
        <w:tc>
          <w:tcPr>
            <w:tcW w:w="5339" w:type="dxa"/>
            <w:gridSpan w:val="3"/>
            <w:tcBorders>
              <w:top w:val="outset" w:color="auto" w:sz="6" w:space="0"/>
              <w:left w:val="outset" w:color="auto" w:sz="6" w:space="0"/>
              <w:bottom w:val="outset" w:color="auto" w:sz="6" w:space="0"/>
              <w:right w:val="outset" w:color="auto" w:sz="6" w:space="0"/>
            </w:tcBorders>
            <w:vAlign w:val="center"/>
          </w:tcPr>
          <w:p w14:paraId="54A92B9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红原县查尔玛乡人民政府</w:t>
            </w:r>
          </w:p>
        </w:tc>
      </w:tr>
      <w:tr w14:paraId="06BE22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jc w:val="center"/>
        </w:trPr>
        <w:tc>
          <w:tcPr>
            <w:tcW w:w="808" w:type="dxa"/>
            <w:vMerge w:val="restart"/>
            <w:tcBorders>
              <w:top w:val="outset" w:color="auto" w:sz="6" w:space="0"/>
              <w:left w:val="outset" w:color="auto" w:sz="6" w:space="0"/>
              <w:right w:val="outset" w:color="auto" w:sz="6" w:space="0"/>
            </w:tcBorders>
            <w:vAlign w:val="center"/>
          </w:tcPr>
          <w:p w14:paraId="1DD7CE3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预算执行情况(万元)</w:t>
            </w:r>
          </w:p>
          <w:p w14:paraId="08342FA1">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30785683">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2190" w:type="dxa"/>
            <w:gridSpan w:val="2"/>
            <w:tcBorders>
              <w:top w:val="outset" w:color="auto" w:sz="6" w:space="0"/>
              <w:left w:val="outset" w:color="auto" w:sz="6" w:space="0"/>
              <w:bottom w:val="outset" w:color="auto" w:sz="6" w:space="0"/>
              <w:right w:val="outset" w:color="auto" w:sz="6" w:space="0"/>
            </w:tcBorders>
            <w:vAlign w:val="center"/>
          </w:tcPr>
          <w:p w14:paraId="6933530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预算数:</w:t>
            </w:r>
          </w:p>
        </w:tc>
        <w:tc>
          <w:tcPr>
            <w:tcW w:w="1395" w:type="dxa"/>
            <w:tcBorders>
              <w:top w:val="outset" w:color="auto" w:sz="6" w:space="0"/>
              <w:left w:val="outset" w:color="auto" w:sz="6" w:space="0"/>
              <w:bottom w:val="outset" w:color="auto" w:sz="6" w:space="0"/>
              <w:right w:val="outset" w:color="auto" w:sz="6" w:space="0"/>
            </w:tcBorders>
            <w:vAlign w:val="center"/>
          </w:tcPr>
          <w:p w14:paraId="3D23E81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10万元</w:t>
            </w:r>
          </w:p>
        </w:tc>
        <w:tc>
          <w:tcPr>
            <w:tcW w:w="1972" w:type="dxa"/>
            <w:tcBorders>
              <w:top w:val="outset" w:color="auto" w:sz="6" w:space="0"/>
              <w:left w:val="outset" w:color="auto" w:sz="6" w:space="0"/>
              <w:bottom w:val="outset" w:color="auto" w:sz="6" w:space="0"/>
              <w:right w:val="outset" w:color="auto" w:sz="6" w:space="0"/>
            </w:tcBorders>
            <w:vAlign w:val="center"/>
          </w:tcPr>
          <w:p w14:paraId="0E3BFA7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执行数:</w:t>
            </w:r>
          </w:p>
        </w:tc>
        <w:tc>
          <w:tcPr>
            <w:tcW w:w="1972" w:type="dxa"/>
            <w:tcBorders>
              <w:top w:val="outset" w:color="auto" w:sz="6" w:space="0"/>
              <w:left w:val="outset" w:color="auto" w:sz="6" w:space="0"/>
              <w:bottom w:val="outset" w:color="auto" w:sz="6" w:space="0"/>
              <w:right w:val="outset" w:color="auto" w:sz="6" w:space="0"/>
            </w:tcBorders>
            <w:vAlign w:val="center"/>
          </w:tcPr>
          <w:p w14:paraId="49AF56C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 </w:t>
            </w:r>
            <w:r>
              <w:rPr>
                <w:rFonts w:hint="eastAsia" w:ascii="仿宋_GB2312" w:hAnsi="仿宋_GB2312" w:eastAsia="仿宋_GB2312" w:cs="仿宋_GB2312"/>
                <w:lang w:val="en-US" w:eastAsia="zh-CN"/>
              </w:rPr>
              <w:t>9.98万元万元</w:t>
            </w:r>
          </w:p>
        </w:tc>
      </w:tr>
      <w:tr w14:paraId="53FBC8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6" w:hRule="atLeast"/>
          <w:tblCellSpacing w:w="0" w:type="dxa"/>
          <w:jc w:val="center"/>
        </w:trPr>
        <w:tc>
          <w:tcPr>
            <w:tcW w:w="808" w:type="dxa"/>
            <w:vMerge w:val="continue"/>
            <w:tcBorders>
              <w:left w:val="outset" w:color="auto" w:sz="6" w:space="0"/>
              <w:right w:val="outset" w:color="auto" w:sz="6" w:space="0"/>
            </w:tcBorders>
            <w:vAlign w:val="center"/>
          </w:tcPr>
          <w:p w14:paraId="07E33F5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190" w:type="dxa"/>
            <w:gridSpan w:val="2"/>
            <w:tcBorders>
              <w:top w:val="outset" w:color="auto" w:sz="6" w:space="0"/>
              <w:left w:val="outset" w:color="auto" w:sz="6" w:space="0"/>
              <w:bottom w:val="outset" w:color="auto" w:sz="6" w:space="0"/>
              <w:right w:val="outset" w:color="auto" w:sz="6" w:space="0"/>
            </w:tcBorders>
            <w:vAlign w:val="center"/>
          </w:tcPr>
          <w:p w14:paraId="632D06E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395" w:type="dxa"/>
            <w:tcBorders>
              <w:top w:val="outset" w:color="auto" w:sz="6" w:space="0"/>
              <w:left w:val="outset" w:color="auto" w:sz="6" w:space="0"/>
              <w:bottom w:val="outset" w:color="auto" w:sz="6" w:space="0"/>
              <w:right w:val="outset" w:color="auto" w:sz="6" w:space="0"/>
            </w:tcBorders>
            <w:vAlign w:val="center"/>
          </w:tcPr>
          <w:p w14:paraId="16F0C08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10万元</w:t>
            </w:r>
          </w:p>
        </w:tc>
        <w:tc>
          <w:tcPr>
            <w:tcW w:w="1972" w:type="dxa"/>
            <w:tcBorders>
              <w:top w:val="outset" w:color="auto" w:sz="6" w:space="0"/>
              <w:left w:val="outset" w:color="auto" w:sz="6" w:space="0"/>
              <w:bottom w:val="outset" w:color="auto" w:sz="6" w:space="0"/>
              <w:right w:val="outset" w:color="auto" w:sz="6" w:space="0"/>
            </w:tcBorders>
            <w:vAlign w:val="center"/>
          </w:tcPr>
          <w:p w14:paraId="7F8C4C32">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其中-财政拨款:</w:t>
            </w:r>
          </w:p>
        </w:tc>
        <w:tc>
          <w:tcPr>
            <w:tcW w:w="1972" w:type="dxa"/>
            <w:tcBorders>
              <w:top w:val="outset" w:color="auto" w:sz="6" w:space="0"/>
              <w:left w:val="outset" w:color="auto" w:sz="6" w:space="0"/>
              <w:bottom w:val="outset" w:color="auto" w:sz="6" w:space="0"/>
              <w:right w:val="outset" w:color="auto" w:sz="6" w:space="0"/>
            </w:tcBorders>
            <w:vAlign w:val="center"/>
          </w:tcPr>
          <w:p w14:paraId="432E377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9.98万元</w:t>
            </w:r>
          </w:p>
        </w:tc>
      </w:tr>
      <w:tr w14:paraId="48DE73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bottom w:val="outset" w:color="auto" w:sz="6" w:space="0"/>
              <w:right w:val="outset" w:color="auto" w:sz="6" w:space="0"/>
            </w:tcBorders>
            <w:vAlign w:val="center"/>
          </w:tcPr>
          <w:p w14:paraId="272179D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2190" w:type="dxa"/>
            <w:gridSpan w:val="2"/>
            <w:tcBorders>
              <w:top w:val="outset" w:color="auto" w:sz="6" w:space="0"/>
              <w:left w:val="outset" w:color="auto" w:sz="6" w:space="0"/>
              <w:bottom w:val="outset" w:color="auto" w:sz="6" w:space="0"/>
              <w:right w:val="outset" w:color="auto" w:sz="6" w:space="0"/>
            </w:tcBorders>
            <w:vAlign w:val="center"/>
          </w:tcPr>
          <w:p w14:paraId="3187C35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395" w:type="dxa"/>
            <w:tcBorders>
              <w:top w:val="outset" w:color="auto" w:sz="6" w:space="0"/>
              <w:left w:val="outset" w:color="auto" w:sz="6" w:space="0"/>
              <w:bottom w:val="outset" w:color="auto" w:sz="6" w:space="0"/>
              <w:right w:val="outset" w:color="auto" w:sz="6" w:space="0"/>
            </w:tcBorders>
            <w:vAlign w:val="center"/>
          </w:tcPr>
          <w:p w14:paraId="7583412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val="en-US" w:eastAsia="zh-CN"/>
              </w:rPr>
            </w:pPr>
          </w:p>
        </w:tc>
        <w:tc>
          <w:tcPr>
            <w:tcW w:w="1972" w:type="dxa"/>
            <w:tcBorders>
              <w:top w:val="outset" w:color="auto" w:sz="6" w:space="0"/>
              <w:left w:val="outset" w:color="auto" w:sz="6" w:space="0"/>
              <w:bottom w:val="outset" w:color="auto" w:sz="6" w:space="0"/>
              <w:right w:val="outset" w:color="auto" w:sz="6" w:space="0"/>
            </w:tcBorders>
            <w:vAlign w:val="center"/>
          </w:tcPr>
          <w:p w14:paraId="1EEB263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其它资金:</w:t>
            </w:r>
          </w:p>
        </w:tc>
        <w:tc>
          <w:tcPr>
            <w:tcW w:w="1972" w:type="dxa"/>
            <w:tcBorders>
              <w:top w:val="outset" w:color="auto" w:sz="6" w:space="0"/>
              <w:left w:val="outset" w:color="auto" w:sz="6" w:space="0"/>
              <w:bottom w:val="outset" w:color="auto" w:sz="6" w:space="0"/>
              <w:right w:val="outset" w:color="auto" w:sz="6" w:space="0"/>
            </w:tcBorders>
            <w:vAlign w:val="center"/>
          </w:tcPr>
          <w:p w14:paraId="6BE16374">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p>
        </w:tc>
      </w:tr>
      <w:tr w14:paraId="44FEEF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8" w:hRule="atLeast"/>
          <w:tblCellSpacing w:w="0" w:type="dxa"/>
          <w:jc w:val="center"/>
        </w:trPr>
        <w:tc>
          <w:tcPr>
            <w:tcW w:w="808" w:type="dxa"/>
            <w:vMerge w:val="restart"/>
            <w:tcBorders>
              <w:top w:val="outset" w:color="auto" w:sz="6" w:space="0"/>
              <w:left w:val="outset" w:color="auto" w:sz="6" w:space="0"/>
              <w:right w:val="outset" w:color="auto" w:sz="6" w:space="0"/>
            </w:tcBorders>
            <w:vAlign w:val="center"/>
          </w:tcPr>
          <w:p w14:paraId="56AA1C7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年度目标完成情况</w:t>
            </w:r>
          </w:p>
          <w:p w14:paraId="53FB7D20">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3585" w:type="dxa"/>
            <w:gridSpan w:val="3"/>
            <w:tcBorders>
              <w:top w:val="outset" w:color="auto" w:sz="6" w:space="0"/>
              <w:left w:val="outset" w:color="auto" w:sz="6" w:space="0"/>
              <w:bottom w:val="outset" w:color="auto" w:sz="6" w:space="0"/>
              <w:right w:val="outset" w:color="auto" w:sz="6" w:space="0"/>
            </w:tcBorders>
            <w:vAlign w:val="center"/>
          </w:tcPr>
          <w:p w14:paraId="22884BFB">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预期目标</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348AF26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实际完成目标</w:t>
            </w:r>
          </w:p>
        </w:tc>
      </w:tr>
      <w:tr w14:paraId="558568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50" w:hRule="atLeast"/>
          <w:tblCellSpacing w:w="0" w:type="dxa"/>
          <w:jc w:val="center"/>
        </w:trPr>
        <w:tc>
          <w:tcPr>
            <w:tcW w:w="808" w:type="dxa"/>
            <w:vMerge w:val="continue"/>
            <w:tcBorders>
              <w:left w:val="outset" w:color="auto" w:sz="6" w:space="0"/>
              <w:bottom w:val="outset" w:color="auto" w:sz="6" w:space="0"/>
              <w:right w:val="outset" w:color="auto" w:sz="6" w:space="0"/>
            </w:tcBorders>
            <w:vAlign w:val="center"/>
          </w:tcPr>
          <w:p w14:paraId="70BBD99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3585" w:type="dxa"/>
            <w:gridSpan w:val="3"/>
            <w:tcBorders>
              <w:top w:val="outset" w:color="auto" w:sz="6" w:space="0"/>
              <w:left w:val="outset" w:color="auto" w:sz="6" w:space="0"/>
              <w:bottom w:val="outset" w:color="auto" w:sz="6" w:space="0"/>
              <w:right w:val="outset" w:color="auto" w:sz="6" w:space="0"/>
            </w:tcBorders>
            <w:vAlign w:val="center"/>
          </w:tcPr>
          <w:p w14:paraId="20E2013F">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示范户庭院环境干净整洁，并长期保持，院内绿化规范，庭院经济发展规范，满足自产自销基本条件</w:t>
            </w:r>
            <w:r>
              <w:rPr>
                <w:rFonts w:hint="eastAsia" w:ascii="仿宋_GB2312" w:hAnsi="仿宋_GB2312" w:eastAsia="仿宋_GB2312" w:cs="仿宋_GB2312"/>
                <w:lang w:val="en-US" w:eastAsia="zh-CN"/>
              </w:rPr>
              <w:t>。</w:t>
            </w:r>
          </w:p>
        </w:tc>
        <w:tc>
          <w:tcPr>
            <w:tcW w:w="3944" w:type="dxa"/>
            <w:gridSpan w:val="2"/>
            <w:tcBorders>
              <w:top w:val="outset" w:color="auto" w:sz="6" w:space="0"/>
              <w:left w:val="outset" w:color="auto" w:sz="6" w:space="0"/>
              <w:bottom w:val="outset" w:color="auto" w:sz="6" w:space="0"/>
              <w:right w:val="outset" w:color="auto" w:sz="6" w:space="0"/>
            </w:tcBorders>
            <w:vAlign w:val="center"/>
          </w:tcPr>
          <w:p w14:paraId="29B8D10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总体上全乡示范户环境干净整洁，庭院布局规范，花草植被夏季覆盖成效显著，庭院经济产出能够满足自产自销，部分户通过给乡政府、乡小学、乡蔬菜销售点售卖，增加收入。</w:t>
            </w:r>
            <w:r>
              <w:rPr>
                <w:rFonts w:hint="eastAsia" w:ascii="仿宋_GB2312" w:hAnsi="仿宋_GB2312" w:eastAsia="仿宋_GB2312" w:cs="仿宋_GB2312"/>
              </w:rPr>
              <w:t>　</w:t>
            </w:r>
          </w:p>
        </w:tc>
      </w:tr>
      <w:tr w14:paraId="472931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8" w:hRule="atLeast"/>
          <w:tblCellSpacing w:w="0" w:type="dxa"/>
          <w:jc w:val="center"/>
        </w:trPr>
        <w:tc>
          <w:tcPr>
            <w:tcW w:w="808" w:type="dxa"/>
            <w:vMerge w:val="restart"/>
            <w:tcBorders>
              <w:top w:val="outset" w:color="auto" w:sz="6" w:space="0"/>
              <w:left w:val="outset" w:color="auto" w:sz="6" w:space="0"/>
              <w:right w:val="outset" w:color="auto" w:sz="6" w:space="0"/>
            </w:tcBorders>
            <w:vAlign w:val="center"/>
          </w:tcPr>
          <w:p w14:paraId="52A0CF9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绩</w:t>
            </w:r>
            <w:r>
              <w:rPr>
                <w:rFonts w:hint="eastAsia" w:ascii="仿宋_GB2312" w:hAnsi="仿宋_GB2312" w:eastAsia="仿宋_GB2312" w:cs="仿宋_GB2312"/>
                <w:lang w:eastAsia="zh-CN"/>
              </w:rPr>
              <w:t>效</w:t>
            </w:r>
            <w:r>
              <w:rPr>
                <w:rFonts w:hint="eastAsia" w:ascii="仿宋_GB2312" w:hAnsi="仿宋_GB2312" w:eastAsia="仿宋_GB2312" w:cs="仿宋_GB2312"/>
              </w:rPr>
              <w:t>指标完成情况</w:t>
            </w:r>
          </w:p>
          <w:p w14:paraId="4EE81F11">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6FD0A5BA">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2609DF08">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20B3C4F7">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5EB212B0">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18C5ABA4">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p w14:paraId="479CC99A">
            <w:pPr>
              <w:keepNext w:val="0"/>
              <w:keepLines w:val="0"/>
              <w:pageBreakBefore w:val="0"/>
              <w:widowControl/>
              <w:kinsoku/>
              <w:wordWrap/>
              <w:overflowPunct/>
              <w:topLinePunct w:val="0"/>
              <w:autoSpaceDE/>
              <w:autoSpaceDN/>
              <w:bidi w:val="0"/>
              <w:adjustRightInd/>
              <w:snapToGrid/>
              <w:spacing w:beforeAutospacing="0" w:afterAutospacing="0" w:line="576" w:lineRule="exact"/>
              <w:jc w:val="center"/>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7347175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一级指标</w:t>
            </w:r>
          </w:p>
        </w:tc>
        <w:tc>
          <w:tcPr>
            <w:tcW w:w="1170" w:type="dxa"/>
            <w:tcBorders>
              <w:top w:val="outset" w:color="auto" w:sz="6" w:space="0"/>
              <w:left w:val="outset" w:color="auto" w:sz="6" w:space="0"/>
              <w:bottom w:val="outset" w:color="auto" w:sz="6" w:space="0"/>
              <w:right w:val="outset" w:color="auto" w:sz="6" w:space="0"/>
            </w:tcBorders>
            <w:vAlign w:val="center"/>
          </w:tcPr>
          <w:p w14:paraId="75D8D5E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二级指标</w:t>
            </w:r>
          </w:p>
        </w:tc>
        <w:tc>
          <w:tcPr>
            <w:tcW w:w="1395" w:type="dxa"/>
            <w:tcBorders>
              <w:top w:val="outset" w:color="auto" w:sz="6" w:space="0"/>
              <w:left w:val="outset" w:color="auto" w:sz="6" w:space="0"/>
              <w:bottom w:val="outset" w:color="auto" w:sz="6" w:space="0"/>
              <w:right w:val="outset" w:color="auto" w:sz="6" w:space="0"/>
            </w:tcBorders>
            <w:vAlign w:val="center"/>
          </w:tcPr>
          <w:p w14:paraId="12A844D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三级指标</w:t>
            </w:r>
          </w:p>
        </w:tc>
        <w:tc>
          <w:tcPr>
            <w:tcW w:w="1972" w:type="dxa"/>
            <w:tcBorders>
              <w:top w:val="outset" w:color="auto" w:sz="6" w:space="0"/>
              <w:left w:val="outset" w:color="auto" w:sz="6" w:space="0"/>
              <w:bottom w:val="outset" w:color="auto" w:sz="6" w:space="0"/>
              <w:right w:val="outset" w:color="auto" w:sz="6" w:space="0"/>
            </w:tcBorders>
            <w:vAlign w:val="center"/>
          </w:tcPr>
          <w:p w14:paraId="0FFBE2C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预期指标值(包含数字及文字描述)</w:t>
            </w:r>
          </w:p>
        </w:tc>
        <w:tc>
          <w:tcPr>
            <w:tcW w:w="1972" w:type="dxa"/>
            <w:tcBorders>
              <w:top w:val="outset" w:color="auto" w:sz="6" w:space="0"/>
              <w:left w:val="outset" w:color="auto" w:sz="6" w:space="0"/>
              <w:bottom w:val="outset" w:color="auto" w:sz="6" w:space="0"/>
              <w:right w:val="outset" w:color="auto" w:sz="6" w:space="0"/>
            </w:tcBorders>
            <w:vAlign w:val="center"/>
          </w:tcPr>
          <w:p w14:paraId="742E3377">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实际完成指标值(包含数字及文字描述)</w:t>
            </w:r>
          </w:p>
        </w:tc>
      </w:tr>
      <w:tr w14:paraId="7DF410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45CA318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07CB21BC">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67A014F9">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lang w:eastAsia="zh-CN"/>
              </w:rPr>
              <w:t>数量指标</w:t>
            </w:r>
          </w:p>
        </w:tc>
        <w:tc>
          <w:tcPr>
            <w:tcW w:w="1395" w:type="dxa"/>
            <w:tcBorders>
              <w:top w:val="outset" w:color="auto" w:sz="6" w:space="0"/>
              <w:left w:val="outset" w:color="auto" w:sz="6" w:space="0"/>
              <w:bottom w:val="outset" w:color="auto" w:sz="6" w:space="0"/>
              <w:right w:val="outset" w:color="auto" w:sz="6" w:space="0"/>
            </w:tcBorders>
            <w:vAlign w:val="center"/>
          </w:tcPr>
          <w:p w14:paraId="24419A8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cs="宋体" w:asciiTheme="minorEastAsia" w:hAnsiTheme="minorEastAsia"/>
                <w:color w:val="000000"/>
                <w:kern w:val="0"/>
                <w:sz w:val="16"/>
                <w:szCs w:val="16"/>
              </w:rPr>
              <w:t>发放花种子20KG</w:t>
            </w:r>
          </w:p>
        </w:tc>
        <w:tc>
          <w:tcPr>
            <w:tcW w:w="1972" w:type="dxa"/>
            <w:tcBorders>
              <w:top w:val="outset" w:color="auto" w:sz="6" w:space="0"/>
              <w:left w:val="outset" w:color="auto" w:sz="6" w:space="0"/>
              <w:bottom w:val="outset" w:color="auto" w:sz="6" w:space="0"/>
              <w:right w:val="outset" w:color="auto" w:sz="6" w:space="0"/>
            </w:tcBorders>
            <w:vAlign w:val="center"/>
          </w:tcPr>
          <w:p w14:paraId="3C64858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32户</w:t>
            </w:r>
          </w:p>
        </w:tc>
        <w:tc>
          <w:tcPr>
            <w:tcW w:w="1972" w:type="dxa"/>
            <w:tcBorders>
              <w:top w:val="outset" w:color="auto" w:sz="6" w:space="0"/>
              <w:left w:val="outset" w:color="auto" w:sz="6" w:space="0"/>
              <w:bottom w:val="outset" w:color="auto" w:sz="6" w:space="0"/>
              <w:right w:val="outset" w:color="auto" w:sz="6" w:space="0"/>
            </w:tcBorders>
            <w:vAlign w:val="center"/>
          </w:tcPr>
          <w:p w14:paraId="6CC66CF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32户</w:t>
            </w:r>
          </w:p>
        </w:tc>
      </w:tr>
      <w:tr w14:paraId="3C6126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1" w:hRule="atLeast"/>
          <w:tblCellSpacing w:w="0" w:type="dxa"/>
          <w:jc w:val="center"/>
        </w:trPr>
        <w:tc>
          <w:tcPr>
            <w:tcW w:w="808" w:type="dxa"/>
            <w:vMerge w:val="continue"/>
            <w:tcBorders>
              <w:left w:val="outset" w:color="auto" w:sz="6" w:space="0"/>
              <w:right w:val="outset" w:color="auto" w:sz="6" w:space="0"/>
            </w:tcBorders>
            <w:vAlign w:val="center"/>
          </w:tcPr>
          <w:p w14:paraId="4374D84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2264F1C6">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104CB108">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数量指标</w:t>
            </w:r>
          </w:p>
        </w:tc>
        <w:tc>
          <w:tcPr>
            <w:tcW w:w="1395" w:type="dxa"/>
            <w:tcBorders>
              <w:top w:val="outset" w:color="auto" w:sz="6" w:space="0"/>
              <w:left w:val="outset" w:color="auto" w:sz="6" w:space="0"/>
              <w:bottom w:val="outset" w:color="auto" w:sz="6" w:space="0"/>
              <w:right w:val="outset" w:color="auto" w:sz="6" w:space="0"/>
            </w:tcBorders>
            <w:vAlign w:val="center"/>
          </w:tcPr>
          <w:p w14:paraId="40ADEF0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15"/>
                <w:szCs w:val="15"/>
              </w:rPr>
              <w:t> 发放晾衣架64套</w:t>
            </w:r>
          </w:p>
        </w:tc>
        <w:tc>
          <w:tcPr>
            <w:tcW w:w="1972" w:type="dxa"/>
            <w:tcBorders>
              <w:top w:val="outset" w:color="auto" w:sz="6" w:space="0"/>
              <w:left w:val="outset" w:color="auto" w:sz="6" w:space="0"/>
              <w:bottom w:val="outset" w:color="auto" w:sz="6" w:space="0"/>
              <w:right w:val="outset" w:color="auto" w:sz="6" w:space="0"/>
            </w:tcBorders>
            <w:vAlign w:val="center"/>
          </w:tcPr>
          <w:p w14:paraId="336AF6B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32户</w:t>
            </w:r>
          </w:p>
        </w:tc>
        <w:tc>
          <w:tcPr>
            <w:tcW w:w="1972" w:type="dxa"/>
            <w:tcBorders>
              <w:top w:val="outset" w:color="auto" w:sz="6" w:space="0"/>
              <w:left w:val="outset" w:color="auto" w:sz="6" w:space="0"/>
              <w:bottom w:val="outset" w:color="auto" w:sz="6" w:space="0"/>
              <w:right w:val="outset" w:color="auto" w:sz="6" w:space="0"/>
            </w:tcBorders>
            <w:vAlign w:val="center"/>
          </w:tcPr>
          <w:p w14:paraId="4A8DABD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32户</w:t>
            </w:r>
          </w:p>
        </w:tc>
      </w:tr>
      <w:tr w14:paraId="561A7C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411A172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1ADEC72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40F07395">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数量指标</w:t>
            </w:r>
          </w:p>
        </w:tc>
        <w:tc>
          <w:tcPr>
            <w:tcW w:w="1395" w:type="dxa"/>
            <w:tcBorders>
              <w:top w:val="outset" w:color="auto" w:sz="6" w:space="0"/>
              <w:left w:val="outset" w:color="auto" w:sz="6" w:space="0"/>
              <w:bottom w:val="outset" w:color="auto" w:sz="6" w:space="0"/>
              <w:right w:val="outset" w:color="auto" w:sz="6" w:space="0"/>
            </w:tcBorders>
            <w:vAlign w:val="center"/>
          </w:tcPr>
          <w:p w14:paraId="7CDED04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8"/>
                <w:szCs w:val="8"/>
              </w:rPr>
              <w:t> </w:t>
            </w:r>
            <w:r>
              <w:rPr>
                <w:rFonts w:hint="eastAsia" w:cs="宋体" w:asciiTheme="minorEastAsia" w:hAnsiTheme="minorEastAsia"/>
                <w:color w:val="000000"/>
                <w:kern w:val="0"/>
                <w:sz w:val="10"/>
                <w:szCs w:val="10"/>
              </w:rPr>
              <w:t>发放环境卫生整治补助金</w:t>
            </w:r>
          </w:p>
        </w:tc>
        <w:tc>
          <w:tcPr>
            <w:tcW w:w="1972" w:type="dxa"/>
            <w:tcBorders>
              <w:top w:val="outset" w:color="auto" w:sz="6" w:space="0"/>
              <w:left w:val="outset" w:color="auto" w:sz="6" w:space="0"/>
              <w:bottom w:val="outset" w:color="auto" w:sz="6" w:space="0"/>
              <w:right w:val="outset" w:color="auto" w:sz="6" w:space="0"/>
            </w:tcBorders>
            <w:vAlign w:val="center"/>
          </w:tcPr>
          <w:p w14:paraId="70F9BB0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32户</w:t>
            </w:r>
          </w:p>
        </w:tc>
        <w:tc>
          <w:tcPr>
            <w:tcW w:w="1972" w:type="dxa"/>
            <w:tcBorders>
              <w:top w:val="outset" w:color="auto" w:sz="6" w:space="0"/>
              <w:left w:val="outset" w:color="auto" w:sz="6" w:space="0"/>
              <w:bottom w:val="outset" w:color="auto" w:sz="6" w:space="0"/>
              <w:right w:val="outset" w:color="auto" w:sz="6" w:space="0"/>
            </w:tcBorders>
            <w:vAlign w:val="center"/>
          </w:tcPr>
          <w:p w14:paraId="31DF81A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32户</w:t>
            </w:r>
          </w:p>
        </w:tc>
      </w:tr>
      <w:tr w14:paraId="061319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2C401EC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19C4951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1009FA8F">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数量指标</w:t>
            </w:r>
          </w:p>
        </w:tc>
        <w:tc>
          <w:tcPr>
            <w:tcW w:w="1395" w:type="dxa"/>
            <w:tcBorders>
              <w:top w:val="outset" w:color="auto" w:sz="6" w:space="0"/>
              <w:left w:val="outset" w:color="auto" w:sz="6" w:space="0"/>
              <w:bottom w:val="outset" w:color="auto" w:sz="6" w:space="0"/>
              <w:right w:val="outset" w:color="auto" w:sz="6" w:space="0"/>
            </w:tcBorders>
            <w:vAlign w:val="center"/>
          </w:tcPr>
          <w:p w14:paraId="106D722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15"/>
                <w:szCs w:val="15"/>
              </w:rPr>
              <w:t> </w:t>
            </w:r>
            <w:r>
              <w:rPr>
                <w:rFonts w:hint="eastAsia" w:cs="宋体" w:asciiTheme="minorEastAsia" w:hAnsiTheme="minorEastAsia"/>
                <w:color w:val="000000"/>
                <w:kern w:val="0"/>
                <w:sz w:val="10"/>
                <w:szCs w:val="10"/>
              </w:rPr>
              <w:t>“以奖代补”发放冰箱51台</w:t>
            </w:r>
          </w:p>
        </w:tc>
        <w:tc>
          <w:tcPr>
            <w:tcW w:w="1972" w:type="dxa"/>
            <w:tcBorders>
              <w:top w:val="outset" w:color="auto" w:sz="6" w:space="0"/>
              <w:left w:val="outset" w:color="auto" w:sz="6" w:space="0"/>
              <w:bottom w:val="outset" w:color="auto" w:sz="6" w:space="0"/>
              <w:right w:val="outset" w:color="auto" w:sz="6" w:space="0"/>
            </w:tcBorders>
            <w:vAlign w:val="center"/>
          </w:tcPr>
          <w:p w14:paraId="6D1C47C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51户</w:t>
            </w:r>
          </w:p>
        </w:tc>
        <w:tc>
          <w:tcPr>
            <w:tcW w:w="1972" w:type="dxa"/>
            <w:tcBorders>
              <w:top w:val="outset" w:color="auto" w:sz="6" w:space="0"/>
              <w:left w:val="outset" w:color="auto" w:sz="6" w:space="0"/>
              <w:bottom w:val="outset" w:color="auto" w:sz="6" w:space="0"/>
              <w:right w:val="outset" w:color="auto" w:sz="6" w:space="0"/>
            </w:tcBorders>
            <w:vAlign w:val="center"/>
          </w:tcPr>
          <w:p w14:paraId="5C64F60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51户</w:t>
            </w:r>
          </w:p>
        </w:tc>
      </w:tr>
      <w:tr w14:paraId="46FCE1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2421006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5FBB2AB9">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69203201">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质量指标</w:t>
            </w:r>
          </w:p>
        </w:tc>
        <w:tc>
          <w:tcPr>
            <w:tcW w:w="1395" w:type="dxa"/>
            <w:tcBorders>
              <w:top w:val="outset" w:color="auto" w:sz="6" w:space="0"/>
              <w:left w:val="outset" w:color="auto" w:sz="6" w:space="0"/>
              <w:bottom w:val="outset" w:color="auto" w:sz="6" w:space="0"/>
              <w:right w:val="outset" w:color="auto" w:sz="6" w:space="0"/>
            </w:tcBorders>
            <w:vAlign w:val="center"/>
          </w:tcPr>
          <w:p w14:paraId="5D6FB16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cs="宋体" w:asciiTheme="minorEastAsia" w:hAnsiTheme="minorEastAsia"/>
                <w:color w:val="000000"/>
                <w:kern w:val="0"/>
                <w:sz w:val="15"/>
                <w:szCs w:val="15"/>
              </w:rPr>
              <w:t>家庭环境卫生整治</w:t>
            </w:r>
          </w:p>
        </w:tc>
        <w:tc>
          <w:tcPr>
            <w:tcW w:w="1972" w:type="dxa"/>
            <w:tcBorders>
              <w:top w:val="outset" w:color="auto" w:sz="6" w:space="0"/>
              <w:left w:val="outset" w:color="auto" w:sz="6" w:space="0"/>
              <w:bottom w:val="outset" w:color="auto" w:sz="6" w:space="0"/>
              <w:right w:val="outset" w:color="auto" w:sz="6" w:space="0"/>
            </w:tcBorders>
            <w:vAlign w:val="center"/>
          </w:tcPr>
          <w:p w14:paraId="45D7E3E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82户</w:t>
            </w:r>
          </w:p>
        </w:tc>
        <w:tc>
          <w:tcPr>
            <w:tcW w:w="1972" w:type="dxa"/>
            <w:tcBorders>
              <w:top w:val="outset" w:color="auto" w:sz="6" w:space="0"/>
              <w:left w:val="outset" w:color="auto" w:sz="6" w:space="0"/>
              <w:bottom w:val="outset" w:color="auto" w:sz="6" w:space="0"/>
              <w:right w:val="outset" w:color="auto" w:sz="6" w:space="0"/>
            </w:tcBorders>
            <w:vAlign w:val="center"/>
          </w:tcPr>
          <w:p w14:paraId="4990FFD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82户</w:t>
            </w:r>
          </w:p>
        </w:tc>
      </w:tr>
      <w:tr w14:paraId="15A9CB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2F9A0DB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63A642C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2BE126CE">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质量指标</w:t>
            </w:r>
          </w:p>
        </w:tc>
        <w:tc>
          <w:tcPr>
            <w:tcW w:w="1395" w:type="dxa"/>
            <w:tcBorders>
              <w:top w:val="outset" w:color="auto" w:sz="6" w:space="0"/>
              <w:left w:val="outset" w:color="auto" w:sz="6" w:space="0"/>
              <w:bottom w:val="outset" w:color="auto" w:sz="6" w:space="0"/>
              <w:right w:val="outset" w:color="auto" w:sz="6" w:space="0"/>
            </w:tcBorders>
            <w:vAlign w:val="center"/>
          </w:tcPr>
          <w:p w14:paraId="36D21EA4">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cs="宋体" w:asciiTheme="minorEastAsia" w:hAnsiTheme="minorEastAsia"/>
                <w:color w:val="000000"/>
                <w:kern w:val="0"/>
                <w:sz w:val="21"/>
                <w:szCs w:val="21"/>
              </w:rPr>
              <w:t>庭院经济发展</w:t>
            </w:r>
          </w:p>
        </w:tc>
        <w:tc>
          <w:tcPr>
            <w:tcW w:w="1972" w:type="dxa"/>
            <w:tcBorders>
              <w:top w:val="outset" w:color="auto" w:sz="6" w:space="0"/>
              <w:left w:val="outset" w:color="auto" w:sz="6" w:space="0"/>
              <w:bottom w:val="outset" w:color="auto" w:sz="6" w:space="0"/>
              <w:right w:val="outset" w:color="auto" w:sz="6" w:space="0"/>
            </w:tcBorders>
            <w:vAlign w:val="center"/>
          </w:tcPr>
          <w:p w14:paraId="7E939F0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82户</w:t>
            </w:r>
          </w:p>
        </w:tc>
        <w:tc>
          <w:tcPr>
            <w:tcW w:w="1972" w:type="dxa"/>
            <w:tcBorders>
              <w:top w:val="outset" w:color="auto" w:sz="6" w:space="0"/>
              <w:left w:val="outset" w:color="auto" w:sz="6" w:space="0"/>
              <w:bottom w:val="outset" w:color="auto" w:sz="6" w:space="0"/>
              <w:right w:val="outset" w:color="auto" w:sz="6" w:space="0"/>
            </w:tcBorders>
            <w:vAlign w:val="center"/>
          </w:tcPr>
          <w:p w14:paraId="638DE3D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val="en-US" w:eastAsia="zh-CN"/>
              </w:rPr>
              <w:t>82户</w:t>
            </w:r>
          </w:p>
        </w:tc>
      </w:tr>
      <w:tr w14:paraId="06B369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2A7CC07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0486449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187C74A3">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时效指标</w:t>
            </w:r>
          </w:p>
        </w:tc>
        <w:tc>
          <w:tcPr>
            <w:tcW w:w="1395" w:type="dxa"/>
            <w:tcBorders>
              <w:top w:val="outset" w:color="auto" w:sz="6" w:space="0"/>
              <w:left w:val="outset" w:color="auto" w:sz="6" w:space="0"/>
              <w:bottom w:val="outset" w:color="auto" w:sz="6" w:space="0"/>
              <w:right w:val="outset" w:color="auto" w:sz="6" w:space="0"/>
            </w:tcBorders>
            <w:vAlign w:val="center"/>
          </w:tcPr>
          <w:p w14:paraId="7A8523F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eastAsia="仿宋_GB2312" w:cs="宋体" w:asciiTheme="minorEastAsia" w:hAnsiTheme="minorEastAsia"/>
                <w:color w:val="000000"/>
                <w:kern w:val="0"/>
                <w:sz w:val="21"/>
                <w:szCs w:val="21"/>
                <w:lang w:eastAsia="zh-CN"/>
              </w:rPr>
              <w:t>当年开工率</w:t>
            </w:r>
          </w:p>
        </w:tc>
        <w:tc>
          <w:tcPr>
            <w:tcW w:w="1972" w:type="dxa"/>
            <w:tcBorders>
              <w:top w:val="outset" w:color="auto" w:sz="6" w:space="0"/>
              <w:left w:val="outset" w:color="auto" w:sz="6" w:space="0"/>
              <w:bottom w:val="outset" w:color="auto" w:sz="6" w:space="0"/>
              <w:right w:val="outset" w:color="auto" w:sz="6" w:space="0"/>
            </w:tcBorders>
            <w:vAlign w:val="center"/>
          </w:tcPr>
          <w:p w14:paraId="01C6259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lang w:val="en-US"/>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68559A3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r w14:paraId="6DA2C3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7776E6C3">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799B0DEA">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1C83AE87">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时效指标</w:t>
            </w:r>
          </w:p>
        </w:tc>
        <w:tc>
          <w:tcPr>
            <w:tcW w:w="1395" w:type="dxa"/>
            <w:tcBorders>
              <w:top w:val="outset" w:color="auto" w:sz="6" w:space="0"/>
              <w:left w:val="outset" w:color="auto" w:sz="6" w:space="0"/>
              <w:bottom w:val="outset" w:color="auto" w:sz="6" w:space="0"/>
              <w:right w:val="outset" w:color="auto" w:sz="6" w:space="0"/>
            </w:tcBorders>
            <w:vAlign w:val="center"/>
          </w:tcPr>
          <w:p w14:paraId="4066D9D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eastAsia="仿宋_GB2312" w:cs="宋体" w:asciiTheme="minorEastAsia" w:hAnsiTheme="minorEastAsia"/>
                <w:color w:val="000000"/>
                <w:kern w:val="0"/>
                <w:sz w:val="21"/>
                <w:szCs w:val="21"/>
                <w:lang w:eastAsia="zh-CN"/>
              </w:rPr>
              <w:t>当年完工率</w:t>
            </w:r>
          </w:p>
        </w:tc>
        <w:tc>
          <w:tcPr>
            <w:tcW w:w="1972" w:type="dxa"/>
            <w:tcBorders>
              <w:top w:val="outset" w:color="auto" w:sz="6" w:space="0"/>
              <w:left w:val="outset" w:color="auto" w:sz="6" w:space="0"/>
              <w:bottom w:val="outset" w:color="auto" w:sz="6" w:space="0"/>
              <w:right w:val="outset" w:color="auto" w:sz="6" w:space="0"/>
            </w:tcBorders>
            <w:vAlign w:val="center"/>
          </w:tcPr>
          <w:p w14:paraId="6A77E278">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28EB654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r w14:paraId="22F56D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5703DC8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1CA4E05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产出指标</w:t>
            </w:r>
          </w:p>
        </w:tc>
        <w:tc>
          <w:tcPr>
            <w:tcW w:w="1170" w:type="dxa"/>
            <w:tcBorders>
              <w:top w:val="outset" w:color="auto" w:sz="6" w:space="0"/>
              <w:left w:val="outset" w:color="auto" w:sz="6" w:space="0"/>
              <w:bottom w:val="outset" w:color="auto" w:sz="6" w:space="0"/>
              <w:right w:val="outset" w:color="auto" w:sz="6" w:space="0"/>
            </w:tcBorders>
            <w:vAlign w:val="center"/>
          </w:tcPr>
          <w:p w14:paraId="5C1A21D5">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成本指标</w:t>
            </w:r>
          </w:p>
        </w:tc>
        <w:tc>
          <w:tcPr>
            <w:tcW w:w="1395" w:type="dxa"/>
            <w:tcBorders>
              <w:top w:val="outset" w:color="auto" w:sz="6" w:space="0"/>
              <w:left w:val="outset" w:color="auto" w:sz="6" w:space="0"/>
              <w:bottom w:val="outset" w:color="auto" w:sz="6" w:space="0"/>
              <w:right w:val="outset" w:color="auto" w:sz="6" w:space="0"/>
            </w:tcBorders>
            <w:vAlign w:val="center"/>
          </w:tcPr>
          <w:p w14:paraId="51A4E7F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cs="宋体" w:asciiTheme="minorEastAsia" w:hAnsiTheme="minorEastAsia"/>
                <w:color w:val="000000"/>
                <w:kern w:val="0"/>
                <w:sz w:val="13"/>
                <w:szCs w:val="13"/>
                <w:lang w:val="en-US" w:eastAsia="zh-CN"/>
              </w:rPr>
              <w:t>32户贫困户</w:t>
            </w:r>
            <w:r>
              <w:rPr>
                <w:rFonts w:hint="eastAsia" w:cs="宋体" w:asciiTheme="minorEastAsia" w:hAnsiTheme="minorEastAsia"/>
                <w:color w:val="000000"/>
                <w:kern w:val="0"/>
                <w:sz w:val="13"/>
                <w:szCs w:val="13"/>
              </w:rPr>
              <w:t>补助标准</w:t>
            </w:r>
          </w:p>
        </w:tc>
        <w:tc>
          <w:tcPr>
            <w:tcW w:w="1972" w:type="dxa"/>
            <w:tcBorders>
              <w:top w:val="outset" w:color="auto" w:sz="6" w:space="0"/>
              <w:left w:val="outset" w:color="auto" w:sz="6" w:space="0"/>
              <w:bottom w:val="outset" w:color="auto" w:sz="6" w:space="0"/>
              <w:right w:val="outset" w:color="auto" w:sz="6" w:space="0"/>
            </w:tcBorders>
            <w:vAlign w:val="center"/>
          </w:tcPr>
          <w:p w14:paraId="5350756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rPr>
              <w:t> </w:t>
            </w:r>
            <w:r>
              <w:rPr>
                <w:rFonts w:hint="eastAsia" w:ascii="仿宋_GB2312" w:hAnsi="仿宋_GB2312" w:eastAsia="仿宋_GB2312" w:cs="仿宋_GB2312"/>
                <w:color w:val="000000"/>
                <w:kern w:val="0"/>
                <w:sz w:val="24"/>
                <w:szCs w:val="24"/>
                <w:lang w:val="en-US" w:eastAsia="zh-CN"/>
              </w:rPr>
              <w:t>515.4元/户</w:t>
            </w:r>
          </w:p>
        </w:tc>
        <w:tc>
          <w:tcPr>
            <w:tcW w:w="1972" w:type="dxa"/>
            <w:tcBorders>
              <w:top w:val="outset" w:color="auto" w:sz="6" w:space="0"/>
              <w:left w:val="outset" w:color="auto" w:sz="6" w:space="0"/>
              <w:bottom w:val="outset" w:color="auto" w:sz="6" w:space="0"/>
              <w:right w:val="outset" w:color="auto" w:sz="6" w:space="0"/>
            </w:tcBorders>
            <w:vAlign w:val="center"/>
          </w:tcPr>
          <w:p w14:paraId="4F04CDC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rPr>
              <w:t>  </w:t>
            </w:r>
            <w:r>
              <w:rPr>
                <w:rFonts w:hint="eastAsia" w:ascii="仿宋_GB2312" w:hAnsi="仿宋_GB2312" w:eastAsia="仿宋_GB2312" w:cs="仿宋_GB2312"/>
                <w:color w:val="000000"/>
                <w:kern w:val="0"/>
                <w:sz w:val="24"/>
                <w:szCs w:val="24"/>
                <w:lang w:val="en-US" w:eastAsia="zh-CN"/>
              </w:rPr>
              <w:t>515.4元/户</w:t>
            </w:r>
          </w:p>
        </w:tc>
      </w:tr>
      <w:tr w14:paraId="6B9515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62FFDBD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4CA690E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效益指标</w:t>
            </w:r>
          </w:p>
        </w:tc>
        <w:tc>
          <w:tcPr>
            <w:tcW w:w="1170" w:type="dxa"/>
            <w:tcBorders>
              <w:top w:val="outset" w:color="auto" w:sz="6" w:space="0"/>
              <w:left w:val="outset" w:color="auto" w:sz="6" w:space="0"/>
              <w:bottom w:val="outset" w:color="auto" w:sz="6" w:space="0"/>
              <w:right w:val="outset" w:color="auto" w:sz="6" w:space="0"/>
            </w:tcBorders>
            <w:vAlign w:val="center"/>
          </w:tcPr>
          <w:p w14:paraId="31D06D13">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社会效益</w:t>
            </w:r>
          </w:p>
        </w:tc>
        <w:tc>
          <w:tcPr>
            <w:tcW w:w="1395" w:type="dxa"/>
            <w:tcBorders>
              <w:top w:val="outset" w:color="auto" w:sz="6" w:space="0"/>
              <w:left w:val="outset" w:color="auto" w:sz="6" w:space="0"/>
              <w:bottom w:val="outset" w:color="auto" w:sz="6" w:space="0"/>
              <w:right w:val="outset" w:color="auto" w:sz="6" w:space="0"/>
            </w:tcBorders>
            <w:vAlign w:val="center"/>
          </w:tcPr>
          <w:p w14:paraId="289F2659">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sz w:val="10"/>
                <w:szCs w:val="10"/>
                <w:lang w:eastAsia="zh-CN"/>
              </w:rPr>
              <w:t>受益建档立卡贫困人口数</w:t>
            </w:r>
          </w:p>
        </w:tc>
        <w:tc>
          <w:tcPr>
            <w:tcW w:w="1972" w:type="dxa"/>
            <w:tcBorders>
              <w:top w:val="outset" w:color="auto" w:sz="6" w:space="0"/>
              <w:left w:val="outset" w:color="auto" w:sz="6" w:space="0"/>
              <w:bottom w:val="outset" w:color="auto" w:sz="6" w:space="0"/>
              <w:right w:val="outset" w:color="auto" w:sz="6" w:space="0"/>
            </w:tcBorders>
            <w:vAlign w:val="center"/>
          </w:tcPr>
          <w:p w14:paraId="6C49C780">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132人</w:t>
            </w:r>
          </w:p>
        </w:tc>
        <w:tc>
          <w:tcPr>
            <w:tcW w:w="1972" w:type="dxa"/>
            <w:tcBorders>
              <w:top w:val="outset" w:color="auto" w:sz="6" w:space="0"/>
              <w:left w:val="outset" w:color="auto" w:sz="6" w:space="0"/>
              <w:bottom w:val="outset" w:color="auto" w:sz="6" w:space="0"/>
              <w:right w:val="outset" w:color="auto" w:sz="6" w:space="0"/>
            </w:tcBorders>
            <w:vAlign w:val="center"/>
          </w:tcPr>
          <w:p w14:paraId="55BEB8D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132人</w:t>
            </w:r>
          </w:p>
        </w:tc>
      </w:tr>
      <w:tr w14:paraId="12B559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5115981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48A87EC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效益指标</w:t>
            </w:r>
          </w:p>
        </w:tc>
        <w:tc>
          <w:tcPr>
            <w:tcW w:w="1170" w:type="dxa"/>
            <w:tcBorders>
              <w:top w:val="outset" w:color="auto" w:sz="6" w:space="0"/>
              <w:left w:val="outset" w:color="auto" w:sz="6" w:space="0"/>
              <w:bottom w:val="outset" w:color="auto" w:sz="6" w:space="0"/>
              <w:right w:val="outset" w:color="auto" w:sz="6" w:space="0"/>
            </w:tcBorders>
            <w:vAlign w:val="center"/>
          </w:tcPr>
          <w:p w14:paraId="1D700920">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lang w:eastAsia="zh-CN"/>
              </w:rPr>
              <w:t>生态效益</w:t>
            </w:r>
          </w:p>
        </w:tc>
        <w:tc>
          <w:tcPr>
            <w:tcW w:w="1395" w:type="dxa"/>
            <w:tcBorders>
              <w:top w:val="outset" w:color="auto" w:sz="6" w:space="0"/>
              <w:left w:val="outset" w:color="auto" w:sz="6" w:space="0"/>
              <w:bottom w:val="outset" w:color="auto" w:sz="6" w:space="0"/>
              <w:right w:val="outset" w:color="auto" w:sz="6" w:space="0"/>
            </w:tcBorders>
            <w:vAlign w:val="center"/>
          </w:tcPr>
          <w:p w14:paraId="7D7D036C">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cs="宋体" w:asciiTheme="minorEastAsia" w:hAnsiTheme="minorEastAsia"/>
                <w:color w:val="000000"/>
                <w:kern w:val="0"/>
                <w:sz w:val="16"/>
                <w:szCs w:val="16"/>
              </w:rPr>
              <w:t>家庭环境卫生整治</w:t>
            </w:r>
          </w:p>
        </w:tc>
        <w:tc>
          <w:tcPr>
            <w:tcW w:w="1972" w:type="dxa"/>
            <w:tcBorders>
              <w:top w:val="outset" w:color="auto" w:sz="6" w:space="0"/>
              <w:left w:val="outset" w:color="auto" w:sz="6" w:space="0"/>
              <w:bottom w:val="outset" w:color="auto" w:sz="6" w:space="0"/>
              <w:right w:val="outset" w:color="auto" w:sz="6" w:space="0"/>
            </w:tcBorders>
            <w:vAlign w:val="center"/>
          </w:tcPr>
          <w:p w14:paraId="594B0E47">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1年</w:t>
            </w:r>
          </w:p>
        </w:tc>
        <w:tc>
          <w:tcPr>
            <w:tcW w:w="1972" w:type="dxa"/>
            <w:tcBorders>
              <w:top w:val="outset" w:color="auto" w:sz="6" w:space="0"/>
              <w:left w:val="outset" w:color="auto" w:sz="6" w:space="0"/>
              <w:bottom w:val="outset" w:color="auto" w:sz="6" w:space="0"/>
              <w:right w:val="outset" w:color="auto" w:sz="6" w:space="0"/>
            </w:tcBorders>
            <w:vAlign w:val="center"/>
          </w:tcPr>
          <w:p w14:paraId="247759C2">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1年</w:t>
            </w:r>
          </w:p>
        </w:tc>
      </w:tr>
      <w:tr w14:paraId="508A89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right w:val="outset" w:color="auto" w:sz="6" w:space="0"/>
            </w:tcBorders>
            <w:vAlign w:val="center"/>
          </w:tcPr>
          <w:p w14:paraId="6F12CE4B">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5D5FA25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效益指标</w:t>
            </w:r>
          </w:p>
        </w:tc>
        <w:tc>
          <w:tcPr>
            <w:tcW w:w="1170" w:type="dxa"/>
            <w:tcBorders>
              <w:top w:val="outset" w:color="auto" w:sz="6" w:space="0"/>
              <w:left w:val="outset" w:color="auto" w:sz="6" w:space="0"/>
              <w:bottom w:val="outset" w:color="auto" w:sz="6" w:space="0"/>
              <w:right w:val="outset" w:color="auto" w:sz="6" w:space="0"/>
            </w:tcBorders>
            <w:vAlign w:val="center"/>
          </w:tcPr>
          <w:p w14:paraId="60A6735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lef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lang w:eastAsia="zh-CN"/>
              </w:rPr>
              <w:t>生态效益</w:t>
            </w:r>
          </w:p>
        </w:tc>
        <w:tc>
          <w:tcPr>
            <w:tcW w:w="1395" w:type="dxa"/>
            <w:tcBorders>
              <w:top w:val="outset" w:color="auto" w:sz="6" w:space="0"/>
              <w:left w:val="outset" w:color="auto" w:sz="6" w:space="0"/>
              <w:bottom w:val="outset" w:color="auto" w:sz="6" w:space="0"/>
              <w:right w:val="outset" w:color="auto" w:sz="6" w:space="0"/>
            </w:tcBorders>
            <w:vAlign w:val="center"/>
          </w:tcPr>
          <w:p w14:paraId="25A2196D">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16"/>
                <w:szCs w:val="16"/>
                <w:lang w:val="en-US" w:eastAsia="zh-CN" w:bidi="ar-SA"/>
              </w:rPr>
            </w:pPr>
            <w:r>
              <w:rPr>
                <w:rFonts w:hint="eastAsia" w:ascii="仿宋_GB2312" w:hAnsi="仿宋_GB2312" w:eastAsia="仿宋_GB2312" w:cs="仿宋_GB2312"/>
                <w:sz w:val="13"/>
                <w:szCs w:val="13"/>
              </w:rPr>
              <w:t> </w:t>
            </w:r>
            <w:r>
              <w:rPr>
                <w:rFonts w:hint="eastAsia" w:cs="宋体" w:asciiTheme="minorEastAsia" w:hAnsiTheme="minorEastAsia"/>
                <w:color w:val="000000"/>
                <w:kern w:val="0"/>
                <w:sz w:val="21"/>
                <w:szCs w:val="21"/>
              </w:rPr>
              <w:t>庭院经济发展</w:t>
            </w:r>
          </w:p>
        </w:tc>
        <w:tc>
          <w:tcPr>
            <w:tcW w:w="1972" w:type="dxa"/>
            <w:tcBorders>
              <w:top w:val="outset" w:color="auto" w:sz="6" w:space="0"/>
              <w:left w:val="outset" w:color="auto" w:sz="6" w:space="0"/>
              <w:bottom w:val="outset" w:color="auto" w:sz="6" w:space="0"/>
              <w:right w:val="outset" w:color="auto" w:sz="6" w:space="0"/>
            </w:tcBorders>
            <w:vAlign w:val="center"/>
          </w:tcPr>
          <w:p w14:paraId="435FC65A">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1年</w:t>
            </w:r>
          </w:p>
        </w:tc>
        <w:tc>
          <w:tcPr>
            <w:tcW w:w="1972" w:type="dxa"/>
            <w:tcBorders>
              <w:top w:val="outset" w:color="auto" w:sz="6" w:space="0"/>
              <w:left w:val="outset" w:color="auto" w:sz="6" w:space="0"/>
              <w:bottom w:val="outset" w:color="auto" w:sz="6" w:space="0"/>
              <w:right w:val="outset" w:color="auto" w:sz="6" w:space="0"/>
            </w:tcBorders>
            <w:vAlign w:val="center"/>
          </w:tcPr>
          <w:p w14:paraId="6517033E">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1年</w:t>
            </w:r>
          </w:p>
        </w:tc>
      </w:tr>
      <w:tr w14:paraId="0BB548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08" w:type="dxa"/>
            <w:vMerge w:val="continue"/>
            <w:tcBorders>
              <w:left w:val="outset" w:color="auto" w:sz="6" w:space="0"/>
              <w:bottom w:val="outset" w:color="auto" w:sz="6" w:space="0"/>
              <w:right w:val="outset" w:color="auto" w:sz="6" w:space="0"/>
            </w:tcBorders>
            <w:vAlign w:val="center"/>
          </w:tcPr>
          <w:p w14:paraId="1EDA7F4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rPr>
            </w:pPr>
          </w:p>
        </w:tc>
        <w:tc>
          <w:tcPr>
            <w:tcW w:w="1020" w:type="dxa"/>
            <w:tcBorders>
              <w:top w:val="outset" w:color="auto" w:sz="6" w:space="0"/>
              <w:left w:val="outset" w:color="auto" w:sz="6" w:space="0"/>
              <w:bottom w:val="outset" w:color="auto" w:sz="6" w:space="0"/>
              <w:right w:val="outset" w:color="auto" w:sz="6" w:space="0"/>
            </w:tcBorders>
            <w:vAlign w:val="center"/>
          </w:tcPr>
          <w:p w14:paraId="7BCFAF0D">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18"/>
                <w:szCs w:val="18"/>
                <w:lang w:eastAsia="zh-CN"/>
              </w:rPr>
              <w:t>满意度指标</w:t>
            </w:r>
          </w:p>
        </w:tc>
        <w:tc>
          <w:tcPr>
            <w:tcW w:w="1170" w:type="dxa"/>
            <w:tcBorders>
              <w:top w:val="outset" w:color="auto" w:sz="6" w:space="0"/>
              <w:left w:val="outset" w:color="auto" w:sz="6" w:space="0"/>
              <w:bottom w:val="outset" w:color="auto" w:sz="6" w:space="0"/>
              <w:right w:val="outset" w:color="auto" w:sz="6" w:space="0"/>
            </w:tcBorders>
            <w:vAlign w:val="center"/>
          </w:tcPr>
          <w:p w14:paraId="3E08ADA1">
            <w:pPr>
              <w:keepNext w:val="0"/>
              <w:keepLines w:val="0"/>
              <w:pageBreakBefore w:val="0"/>
              <w:widowControl/>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3"/>
                <w:szCs w:val="13"/>
                <w:lang w:eastAsia="zh-CN"/>
              </w:rPr>
              <w:t>贫困户满意度指标</w:t>
            </w:r>
          </w:p>
        </w:tc>
        <w:tc>
          <w:tcPr>
            <w:tcW w:w="1395" w:type="dxa"/>
            <w:tcBorders>
              <w:top w:val="outset" w:color="auto" w:sz="6" w:space="0"/>
              <w:left w:val="outset" w:color="auto" w:sz="6" w:space="0"/>
              <w:bottom w:val="outset" w:color="auto" w:sz="6" w:space="0"/>
              <w:right w:val="outset" w:color="auto" w:sz="6" w:space="0"/>
            </w:tcBorders>
            <w:vAlign w:val="center"/>
          </w:tcPr>
          <w:p w14:paraId="7A8A3EA5">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 </w:t>
            </w:r>
            <w:r>
              <w:rPr>
                <w:rFonts w:hint="eastAsia" w:ascii="仿宋_GB2312" w:hAnsi="仿宋_GB2312" w:eastAsia="仿宋_GB2312" w:cs="仿宋_GB2312"/>
                <w:sz w:val="11"/>
                <w:szCs w:val="11"/>
                <w:lang w:eastAsia="zh-CN"/>
              </w:rPr>
              <w:t>受益贫困人口满意度</w:t>
            </w:r>
          </w:p>
        </w:tc>
        <w:tc>
          <w:tcPr>
            <w:tcW w:w="1972" w:type="dxa"/>
            <w:tcBorders>
              <w:top w:val="outset" w:color="auto" w:sz="6" w:space="0"/>
              <w:left w:val="outset" w:color="auto" w:sz="6" w:space="0"/>
              <w:bottom w:val="outset" w:color="auto" w:sz="6" w:space="0"/>
              <w:right w:val="outset" w:color="auto" w:sz="6" w:space="0"/>
            </w:tcBorders>
            <w:vAlign w:val="center"/>
          </w:tcPr>
          <w:p w14:paraId="44B6F12F">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c>
          <w:tcPr>
            <w:tcW w:w="1972" w:type="dxa"/>
            <w:tcBorders>
              <w:top w:val="outset" w:color="auto" w:sz="6" w:space="0"/>
              <w:left w:val="outset" w:color="auto" w:sz="6" w:space="0"/>
              <w:bottom w:val="outset" w:color="auto" w:sz="6" w:space="0"/>
              <w:right w:val="outset" w:color="auto" w:sz="6" w:space="0"/>
            </w:tcBorders>
            <w:vAlign w:val="center"/>
          </w:tcPr>
          <w:p w14:paraId="0D974756">
            <w:pPr>
              <w:keepNext w:val="0"/>
              <w:keepLines w:val="0"/>
              <w:pageBreakBefore w:val="0"/>
              <w:widowControl/>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100%</w:t>
            </w:r>
          </w:p>
        </w:tc>
      </w:tr>
    </w:tbl>
    <w:p w14:paraId="7CFD658C">
      <w:pPr>
        <w:pStyle w:val="6"/>
        <w:bidi w:val="0"/>
        <w:rPr>
          <w:rFonts w:hint="eastAsia"/>
          <w:b/>
          <w:bCs/>
        </w:rPr>
      </w:pPr>
      <w:r>
        <w:rPr>
          <w:rFonts w:hint="eastAsia"/>
          <w:b/>
          <w:bCs/>
        </w:rPr>
        <w:t>2.部门绩效评价结果。</w:t>
      </w:r>
    </w:p>
    <w:p w14:paraId="7A314C56">
      <w:pPr>
        <w:pStyle w:val="6"/>
        <w:bidi w:val="0"/>
      </w:pPr>
      <w:r>
        <w:rPr>
          <w:rFonts w:hint="eastAsia"/>
        </w:rPr>
        <w:t> 本部门按要求对20</w:t>
      </w:r>
      <w:r>
        <w:rPr>
          <w:rFonts w:hint="eastAsia"/>
          <w:lang w:val="en-US" w:eastAsia="zh-CN"/>
        </w:rPr>
        <w:t>20</w:t>
      </w:r>
      <w:r>
        <w:rPr>
          <w:rFonts w:hint="eastAsia"/>
        </w:rPr>
        <w:t>年部门整体支出绩效评价情况开展自评，《</w:t>
      </w:r>
      <w:r>
        <w:rPr>
          <w:rFonts w:hint="eastAsia"/>
          <w:lang w:eastAsia="zh-CN"/>
        </w:rPr>
        <w:t>查尔玛乡</w:t>
      </w:r>
      <w:r>
        <w:rPr>
          <w:rFonts w:hint="eastAsia"/>
        </w:rPr>
        <w:t>人民政府20</w:t>
      </w:r>
      <w:r>
        <w:rPr>
          <w:rFonts w:hint="eastAsia"/>
          <w:lang w:val="en-US" w:eastAsia="zh-CN"/>
        </w:rPr>
        <w:t>20</w:t>
      </w:r>
      <w:r>
        <w:rPr>
          <w:rFonts w:hint="eastAsia"/>
        </w:rPr>
        <w:t>年部门整体支出绩效评价报告》见附件（附件</w:t>
      </w:r>
      <w:r>
        <w:rPr>
          <w:rFonts w:hint="eastAsia"/>
          <w:lang w:val="en-US" w:eastAsia="zh-CN"/>
        </w:rPr>
        <w:t>1</w:t>
      </w:r>
      <w:r>
        <w:rPr>
          <w:rFonts w:hint="eastAsia"/>
        </w:rPr>
        <w:t>）。</w:t>
      </w:r>
    </w:p>
    <w:p w14:paraId="65CBACF1">
      <w:pPr>
        <w:pStyle w:val="6"/>
        <w:bidi w:val="0"/>
      </w:pPr>
      <w:r>
        <w:rPr>
          <w:rFonts w:hint="eastAsia"/>
        </w:rPr>
        <w:t>本部门自行组织对</w:t>
      </w:r>
      <w:r>
        <w:rPr>
          <w:rFonts w:hint="eastAsia"/>
          <w:lang w:eastAsia="zh-CN"/>
        </w:rPr>
        <w:t>庭院整治暨新型庭院经济发展项目</w:t>
      </w:r>
      <w:r>
        <w:rPr>
          <w:rFonts w:hint="eastAsia"/>
        </w:rPr>
        <w:t>项目开展了绩效评价，《</w:t>
      </w:r>
      <w:r>
        <w:rPr>
          <w:rFonts w:hint="eastAsia"/>
          <w:lang w:eastAsia="zh-CN"/>
        </w:rPr>
        <w:t>查尔玛乡</w:t>
      </w:r>
      <w:r>
        <w:rPr>
          <w:rFonts w:hint="eastAsia"/>
        </w:rPr>
        <w:t>人民政府20</w:t>
      </w:r>
      <w:r>
        <w:rPr>
          <w:rFonts w:hint="eastAsia"/>
          <w:lang w:val="en-US" w:eastAsia="zh-CN"/>
        </w:rPr>
        <w:t>20</w:t>
      </w:r>
      <w:r>
        <w:rPr>
          <w:rFonts w:hint="eastAsia"/>
        </w:rPr>
        <w:t>年</w:t>
      </w:r>
      <w:r>
        <w:rPr>
          <w:rFonts w:hint="eastAsia"/>
          <w:lang w:eastAsia="zh-CN"/>
        </w:rPr>
        <w:t>庭院整治暨新型庭院经济发展项目</w:t>
      </w:r>
      <w:r>
        <w:rPr>
          <w:rFonts w:hint="eastAsia"/>
        </w:rPr>
        <w:t>绩效评价报告》见附件（附件2）。</w:t>
      </w:r>
      <w:r>
        <w:t> </w:t>
      </w:r>
    </w:p>
    <w:p w14:paraId="45DD0FCB">
      <w:pPr>
        <w:pStyle w:val="6"/>
        <w:bidi w:val="0"/>
      </w:pPr>
      <w:r>
        <w:t> </w:t>
      </w:r>
    </w:p>
    <w:p w14:paraId="738A4E2F">
      <w:pPr>
        <w:pStyle w:val="6"/>
        <w:bidi w:val="0"/>
      </w:pPr>
      <w:r>
        <w:t> </w:t>
      </w:r>
    </w:p>
    <w:p w14:paraId="5DE21015">
      <w:pPr>
        <w:pStyle w:val="6"/>
        <w:bidi w:val="0"/>
        <w:rPr>
          <w:rFonts w:hint="eastAsia"/>
        </w:rPr>
      </w:pPr>
    </w:p>
    <w:p w14:paraId="639D0FA1">
      <w:pPr>
        <w:pStyle w:val="6"/>
        <w:bidi w:val="0"/>
        <w:rPr>
          <w:rFonts w:hint="eastAsia"/>
        </w:rPr>
      </w:pPr>
    </w:p>
    <w:p w14:paraId="23622CA9">
      <w:pPr>
        <w:pStyle w:val="6"/>
        <w:bidi w:val="0"/>
        <w:rPr>
          <w:rFonts w:hint="eastAsia"/>
        </w:rPr>
      </w:pPr>
    </w:p>
    <w:p w14:paraId="34249FE9">
      <w:pPr>
        <w:pStyle w:val="6"/>
        <w:bidi w:val="0"/>
        <w:rPr>
          <w:rFonts w:hint="eastAsia"/>
        </w:rPr>
      </w:pPr>
    </w:p>
    <w:p w14:paraId="47F8450D">
      <w:pPr>
        <w:pStyle w:val="6"/>
        <w:bidi w:val="0"/>
        <w:rPr>
          <w:rFonts w:hint="eastAsia"/>
        </w:rPr>
      </w:pPr>
    </w:p>
    <w:p w14:paraId="0636C72D">
      <w:pPr>
        <w:pStyle w:val="6"/>
        <w:bidi w:val="0"/>
        <w:rPr>
          <w:rFonts w:hint="eastAsia"/>
        </w:rPr>
      </w:pPr>
    </w:p>
    <w:p w14:paraId="7EE3EDE6">
      <w:pPr>
        <w:pStyle w:val="6"/>
        <w:bidi w:val="0"/>
        <w:rPr>
          <w:rFonts w:hint="eastAsia"/>
        </w:rPr>
      </w:pPr>
    </w:p>
    <w:p w14:paraId="3463D035">
      <w:pPr>
        <w:pStyle w:val="6"/>
        <w:bidi w:val="0"/>
        <w:rPr>
          <w:rFonts w:hint="eastAsia"/>
        </w:rPr>
      </w:pPr>
    </w:p>
    <w:p w14:paraId="11F8C090">
      <w:pPr>
        <w:pStyle w:val="6"/>
        <w:bidi w:val="0"/>
        <w:rPr>
          <w:rFonts w:hint="eastAsia"/>
        </w:rPr>
      </w:pPr>
    </w:p>
    <w:p w14:paraId="7D69AB72">
      <w:pPr>
        <w:pStyle w:val="6"/>
        <w:bidi w:val="0"/>
        <w:rPr>
          <w:rFonts w:hint="eastAsia"/>
        </w:rPr>
      </w:pPr>
    </w:p>
    <w:p w14:paraId="3AE9A063">
      <w:pPr>
        <w:pStyle w:val="6"/>
        <w:bidi w:val="0"/>
        <w:rPr>
          <w:rFonts w:hint="eastAsia"/>
        </w:rPr>
      </w:pPr>
    </w:p>
    <w:p w14:paraId="39493F37">
      <w:pPr>
        <w:pStyle w:val="3"/>
        <w:bidi w:val="0"/>
        <w:rPr>
          <w:rFonts w:hint="eastAsia"/>
        </w:rPr>
      </w:pPr>
      <w:bookmarkStart w:id="37" w:name="_Toc11518"/>
      <w:bookmarkStart w:id="38" w:name="_Toc24241"/>
      <w:r>
        <w:rPr>
          <w:rFonts w:hint="eastAsia"/>
        </w:rPr>
        <w:t>第三部分 名词解释</w:t>
      </w:r>
      <w:bookmarkEnd w:id="37"/>
      <w:bookmarkEnd w:id="38"/>
    </w:p>
    <w:p w14:paraId="27CE945C">
      <w:pPr>
        <w:pStyle w:val="6"/>
        <w:bidi w:val="0"/>
      </w:pPr>
      <w:r>
        <w:rPr>
          <w:rFonts w:hint="eastAsia"/>
          <w:b/>
          <w:bCs/>
        </w:rPr>
        <w:t>1.财政拨款收入：</w:t>
      </w:r>
      <w:r>
        <w:rPr>
          <w:rFonts w:hint="eastAsia"/>
        </w:rPr>
        <w:t>指单位从同级财政部门取得的财政预算资金。</w:t>
      </w:r>
    </w:p>
    <w:p w14:paraId="0146A3DC">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2.其他收入：</w:t>
      </w:r>
      <w:r>
        <w:rPr>
          <w:rFonts w:hint="eastAsia" w:ascii="仿宋_GB2312" w:eastAsia="仿宋_GB2312"/>
          <w:color w:val="000000"/>
          <w:sz w:val="32"/>
          <w:szCs w:val="32"/>
        </w:rPr>
        <w:t>指单位取得财政拨款收入以外的各项收入。主要是眉山援建项目收入等。</w:t>
      </w:r>
    </w:p>
    <w:p w14:paraId="1A4C10C1">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3.年初结转和结余：</w:t>
      </w:r>
      <w:r>
        <w:rPr>
          <w:rFonts w:hint="eastAsia" w:ascii="仿宋_GB2312" w:eastAsia="仿宋_GB2312"/>
          <w:color w:val="000000"/>
          <w:sz w:val="32"/>
          <w:szCs w:val="32"/>
        </w:rPr>
        <w:t>指以前年度尚未完成、结转到本年按有关规定继续使用的资金。</w:t>
      </w:r>
    </w:p>
    <w:p w14:paraId="338BCC67">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4</w:t>
      </w:r>
      <w:r>
        <w:rPr>
          <w:rFonts w:hint="eastAsia" w:ascii="仿宋_GB2312" w:hAnsi="宋体" w:eastAsia="仿宋_GB2312" w:cs="宋体"/>
          <w:b/>
          <w:bCs/>
          <w:color w:val="000000"/>
          <w:sz w:val="32"/>
          <w:szCs w:val="32"/>
          <w:lang w:val="en-US" w:eastAsia="zh-CN"/>
        </w:rPr>
        <w:t>.</w:t>
      </w:r>
      <w:r>
        <w:rPr>
          <w:rFonts w:hint="eastAsia" w:ascii="仿宋_GB2312" w:hAnsi="宋体" w:eastAsia="仿宋_GB2312" w:cs="宋体"/>
          <w:b/>
          <w:bCs/>
          <w:color w:val="000000"/>
          <w:sz w:val="32"/>
          <w:szCs w:val="32"/>
        </w:rPr>
        <w:t>年末结转和结余：</w:t>
      </w:r>
      <w:r>
        <w:rPr>
          <w:rFonts w:hint="eastAsia" w:ascii="仿宋_GB2312" w:eastAsia="仿宋_GB2312"/>
          <w:color w:val="000000"/>
          <w:sz w:val="32"/>
          <w:szCs w:val="32"/>
        </w:rPr>
        <w:t>指单位按有关规定结转到下年或以后年度继续使用的资金。</w:t>
      </w:r>
    </w:p>
    <w:p w14:paraId="37854CAC">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eastAsia="仿宋_GB2312"/>
          <w:b/>
          <w:bCs/>
          <w:color w:val="000000"/>
          <w:sz w:val="32"/>
          <w:szCs w:val="32"/>
        </w:rPr>
        <w:t>5. 一般公共服务（类）201（款）01（项）01——行政运行：</w:t>
      </w:r>
      <w:r>
        <w:rPr>
          <w:rFonts w:hint="eastAsia" w:ascii="仿宋_GB2312" w:eastAsia="仿宋_GB2312"/>
          <w:color w:val="000000"/>
          <w:sz w:val="32"/>
          <w:szCs w:val="32"/>
        </w:rPr>
        <w:t>反映行政单位（包括实行公务员管理的事业单位）的基本支出反映行政单位（包括实行公务员管理的事业单位）的基本支出。</w:t>
      </w:r>
    </w:p>
    <w:p w14:paraId="3BE09AB6">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6. 一般公共服务（类）201（款）01（项）04——人大会议费：</w:t>
      </w:r>
      <w:r>
        <w:rPr>
          <w:rFonts w:hint="eastAsia" w:ascii="仿宋_GB2312" w:eastAsia="仿宋_GB2312"/>
          <w:color w:val="000000"/>
          <w:sz w:val="32"/>
          <w:szCs w:val="32"/>
        </w:rPr>
        <w:t>反映各级人大召开"人代会"等专门会议的支出</w:t>
      </w:r>
    </w:p>
    <w:p w14:paraId="3BFC9BAB">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7. 一般公共服务（类）201（款03（项）01——行政运行：</w:t>
      </w:r>
      <w:r>
        <w:rPr>
          <w:rFonts w:hint="eastAsia" w:ascii="仿宋_GB2312" w:eastAsia="仿宋_GB2312"/>
          <w:color w:val="000000"/>
          <w:sz w:val="32"/>
          <w:szCs w:val="32"/>
        </w:rPr>
        <w:t>反映各级政府办公厅（室）及相关机构的支出</w:t>
      </w:r>
    </w:p>
    <w:p w14:paraId="164F0CF4">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8. 一般公共服务（类）201（款）03（项）99——其他政府办公厅（室）及相关机构事务支出：</w:t>
      </w:r>
      <w:r>
        <w:rPr>
          <w:rFonts w:hint="eastAsia" w:ascii="仿宋_GB2312" w:eastAsia="仿宋_GB2312"/>
          <w:color w:val="000000"/>
          <w:sz w:val="32"/>
          <w:szCs w:val="32"/>
        </w:rPr>
        <w:t>反映除上述项目以外的其他政府办公厅（室）及相关机构事务支出。</w:t>
      </w:r>
    </w:p>
    <w:p w14:paraId="4209764A">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 xml:space="preserve">9. 一般公共服务（类）201（款）06（项）01—行政运行: </w:t>
      </w:r>
      <w:r>
        <w:rPr>
          <w:rFonts w:hint="eastAsia" w:ascii="仿宋_GB2312" w:eastAsia="仿宋_GB2312"/>
          <w:color w:val="000000"/>
          <w:sz w:val="32"/>
          <w:szCs w:val="32"/>
        </w:rPr>
        <w:t>反映财政事务方面的支出。</w:t>
      </w:r>
    </w:p>
    <w:p w14:paraId="31B71B39">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10. 一般公共服务（类）201（款）31（项）01—其它政府办公厅及相关事务支出:</w:t>
      </w:r>
      <w:r>
        <w:rPr>
          <w:rFonts w:hint="eastAsia" w:ascii="仿宋_GB2312" w:eastAsia="仿宋_GB2312"/>
          <w:color w:val="000000"/>
          <w:sz w:val="32"/>
          <w:szCs w:val="32"/>
        </w:rPr>
        <w:t xml:space="preserve">反映行政单位（包括实行公务员管理的事业单位）的基本支出 </w:t>
      </w:r>
    </w:p>
    <w:p w14:paraId="396B2DF7">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11.社会保障和就业支出（类）208（款）05（项）05——机关事业单位基本养老保险缴费支出：</w:t>
      </w:r>
      <w:r>
        <w:rPr>
          <w:rFonts w:hint="eastAsia" w:ascii="仿宋_GB2312" w:eastAsia="仿宋_GB2312"/>
          <w:color w:val="000000"/>
          <w:sz w:val="32"/>
          <w:szCs w:val="32"/>
        </w:rPr>
        <w:t>反映机关事业单位实施养老保险制度的单位缴纳的基本养老保险费支出。</w:t>
      </w:r>
    </w:p>
    <w:p w14:paraId="5C6E80C7">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12. 社会保障和就业支出（类）208（款）05（项）06——机关事业单位职业年金缴费支出：</w:t>
      </w:r>
      <w:r>
        <w:rPr>
          <w:rFonts w:hint="eastAsia" w:ascii="仿宋_GB2312" w:eastAsia="仿宋_GB2312"/>
          <w:color w:val="000000"/>
          <w:sz w:val="32"/>
          <w:szCs w:val="32"/>
        </w:rPr>
        <w:t>反映机关事业单位实施养老保险制度匝单位缴纳的职业年金支出。</w:t>
      </w:r>
    </w:p>
    <w:p w14:paraId="7F6A4F23">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13.</w:t>
      </w:r>
      <w:r>
        <w:rPr>
          <w:rFonts w:hint="eastAsia" w:ascii="仿宋_GB2312" w:hAnsi="宋体" w:eastAsia="仿宋_GB2312" w:cs="宋体"/>
          <w:b/>
          <w:bCs/>
          <w:color w:val="000000"/>
          <w:sz w:val="32"/>
          <w:szCs w:val="32"/>
          <w:lang w:eastAsia="zh-CN"/>
        </w:rPr>
        <w:t>卫生健康支出</w:t>
      </w:r>
      <w:r>
        <w:rPr>
          <w:rFonts w:hint="eastAsia" w:ascii="仿宋_GB2312" w:hAnsi="宋体" w:eastAsia="仿宋_GB2312" w:cs="宋体"/>
          <w:b/>
          <w:bCs/>
          <w:color w:val="000000"/>
          <w:sz w:val="32"/>
          <w:szCs w:val="32"/>
        </w:rPr>
        <w:t>(类）210（款）11（项）01——行政单位医疗：</w:t>
      </w:r>
      <w:r>
        <w:rPr>
          <w:rFonts w:hint="eastAsia" w:ascii="仿宋_GB2312" w:eastAsia="仿宋_GB2312"/>
          <w:color w:val="000000"/>
          <w:sz w:val="32"/>
          <w:szCs w:val="32"/>
        </w:rPr>
        <w:t>反映财政部门集中安排的</w:t>
      </w:r>
      <w:r>
        <w:rPr>
          <w:rFonts w:hint="eastAsia" w:ascii="仿宋_GB2312" w:eastAsia="仿宋_GB2312"/>
          <w:color w:val="000000"/>
          <w:sz w:val="32"/>
          <w:szCs w:val="32"/>
          <w:lang w:eastAsia="zh-CN"/>
        </w:rPr>
        <w:t>行政单位基本医疗保险缴费</w:t>
      </w:r>
      <w:r>
        <w:rPr>
          <w:rFonts w:hint="eastAsia" w:ascii="仿宋_GB2312" w:eastAsia="仿宋_GB2312"/>
          <w:color w:val="000000"/>
          <w:sz w:val="32"/>
          <w:szCs w:val="32"/>
        </w:rPr>
        <w:t>经费。</w:t>
      </w:r>
    </w:p>
    <w:p w14:paraId="0107F0D6">
      <w:pPr>
        <w:autoSpaceDE w:val="0"/>
        <w:autoSpaceDN w:val="0"/>
        <w:adjustRightInd w:val="0"/>
        <w:spacing w:line="600" w:lineRule="exact"/>
        <w:ind w:firstLine="643" w:firstLineChars="200"/>
        <w:jc w:val="left"/>
        <w:rPr>
          <w:rFonts w:hint="eastAsia" w:ascii="仿宋_GB2312" w:eastAsia="仿宋_GB2312"/>
          <w:color w:val="000000"/>
          <w:sz w:val="32"/>
          <w:szCs w:val="32"/>
          <w:lang w:eastAsia="zh-CN"/>
        </w:rPr>
      </w:pPr>
      <w:r>
        <w:rPr>
          <w:rFonts w:hint="eastAsia" w:ascii="仿宋_GB2312" w:hAnsi="宋体" w:eastAsia="仿宋_GB2312" w:cs="宋体"/>
          <w:b/>
          <w:bCs/>
          <w:color w:val="000000"/>
          <w:sz w:val="32"/>
          <w:szCs w:val="32"/>
        </w:rPr>
        <w:t>14.</w:t>
      </w:r>
      <w:r>
        <w:rPr>
          <w:rFonts w:hint="eastAsia" w:ascii="仿宋_GB2312" w:hAnsi="宋体" w:eastAsia="仿宋_GB2312" w:cs="宋体"/>
          <w:b/>
          <w:bCs/>
          <w:color w:val="000000"/>
          <w:sz w:val="32"/>
          <w:szCs w:val="32"/>
          <w:lang w:eastAsia="zh-CN"/>
        </w:rPr>
        <w:t>卫生健康支出</w:t>
      </w:r>
      <w:r>
        <w:rPr>
          <w:rFonts w:hint="eastAsia" w:ascii="仿宋_GB2312" w:hAnsi="宋体" w:eastAsia="仿宋_GB2312" w:cs="宋体"/>
          <w:b/>
          <w:bCs/>
          <w:color w:val="000000"/>
          <w:sz w:val="32"/>
          <w:szCs w:val="32"/>
        </w:rPr>
        <w:t>(类）210（款）11（项）0</w:t>
      </w:r>
      <w:r>
        <w:rPr>
          <w:rFonts w:hint="eastAsia" w:ascii="仿宋_GB2312" w:hAnsi="宋体" w:eastAsia="仿宋_GB2312" w:cs="宋体"/>
          <w:b/>
          <w:bCs/>
          <w:color w:val="000000"/>
          <w:sz w:val="32"/>
          <w:szCs w:val="32"/>
          <w:lang w:val="en-US" w:eastAsia="zh-CN"/>
        </w:rPr>
        <w:t>3</w:t>
      </w:r>
      <w:r>
        <w:rPr>
          <w:rFonts w:hint="eastAsia" w:ascii="仿宋_GB2312" w:hAnsi="宋体" w:eastAsia="仿宋_GB2312" w:cs="宋体"/>
          <w:b/>
          <w:bCs/>
          <w:color w:val="000000"/>
          <w:sz w:val="32"/>
          <w:szCs w:val="32"/>
        </w:rPr>
        <w:t>——</w:t>
      </w:r>
      <w:r>
        <w:rPr>
          <w:rFonts w:hint="eastAsia" w:ascii="仿宋_GB2312" w:hAnsi="宋体" w:eastAsia="仿宋_GB2312" w:cs="宋体"/>
          <w:b/>
          <w:bCs/>
          <w:color w:val="000000"/>
          <w:sz w:val="32"/>
          <w:szCs w:val="32"/>
          <w:lang w:eastAsia="zh-CN"/>
        </w:rPr>
        <w:t>公务员医疗补助</w:t>
      </w:r>
      <w:r>
        <w:rPr>
          <w:rFonts w:hint="eastAsia" w:ascii="仿宋_GB2312" w:hAnsi="宋体" w:eastAsia="仿宋_GB2312" w:cs="宋体"/>
          <w:b/>
          <w:bCs/>
          <w:color w:val="000000"/>
          <w:sz w:val="32"/>
          <w:szCs w:val="32"/>
        </w:rPr>
        <w:t>：</w:t>
      </w:r>
      <w:r>
        <w:rPr>
          <w:rFonts w:hint="eastAsia" w:ascii="仿宋_GB2312" w:eastAsia="仿宋_GB2312"/>
          <w:color w:val="000000"/>
          <w:sz w:val="32"/>
          <w:szCs w:val="32"/>
        </w:rPr>
        <w:t>反映财政部门集中安排的</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经费。</w:t>
      </w:r>
    </w:p>
    <w:p w14:paraId="1AB0DE83">
      <w:pPr>
        <w:autoSpaceDE w:val="0"/>
        <w:autoSpaceDN w:val="0"/>
        <w:adjustRightInd w:val="0"/>
        <w:spacing w:line="600" w:lineRule="exact"/>
        <w:ind w:firstLine="643" w:firstLineChars="200"/>
        <w:jc w:val="left"/>
        <w:rPr>
          <w:rFonts w:hint="eastAsia" w:ascii="仿宋_GB2312" w:eastAsia="仿宋_GB2312"/>
          <w:color w:val="000000"/>
          <w:sz w:val="32"/>
          <w:szCs w:val="32"/>
          <w:lang w:eastAsia="zh-CN"/>
        </w:rPr>
      </w:pPr>
      <w:r>
        <w:rPr>
          <w:rFonts w:hint="eastAsia" w:ascii="仿宋_GB2312" w:hAnsi="宋体" w:eastAsia="仿宋_GB2312" w:cs="宋体"/>
          <w:b/>
          <w:bCs/>
          <w:color w:val="000000"/>
          <w:sz w:val="32"/>
          <w:szCs w:val="32"/>
        </w:rPr>
        <w:t>1</w:t>
      </w:r>
      <w:r>
        <w:rPr>
          <w:rFonts w:hint="eastAsia" w:ascii="仿宋_GB2312" w:hAnsi="宋体" w:eastAsia="仿宋_GB2312" w:cs="宋体"/>
          <w:b/>
          <w:bCs/>
          <w:color w:val="000000"/>
          <w:sz w:val="32"/>
          <w:szCs w:val="32"/>
          <w:lang w:val="en-US" w:eastAsia="zh-CN"/>
        </w:rPr>
        <w:t>5</w:t>
      </w:r>
      <w:r>
        <w:rPr>
          <w:rFonts w:hint="eastAsia" w:ascii="仿宋_GB2312" w:hAnsi="宋体" w:eastAsia="仿宋_GB2312" w:cs="宋体"/>
          <w:b/>
          <w:bCs/>
          <w:color w:val="000000"/>
          <w:sz w:val="32"/>
          <w:szCs w:val="32"/>
        </w:rPr>
        <w:t>.</w:t>
      </w:r>
      <w:r>
        <w:rPr>
          <w:rFonts w:hint="eastAsia" w:ascii="仿宋_GB2312" w:hAnsi="宋体" w:eastAsia="仿宋_GB2312" w:cs="宋体"/>
          <w:b/>
          <w:bCs/>
          <w:color w:val="000000"/>
          <w:sz w:val="32"/>
          <w:szCs w:val="32"/>
          <w:lang w:eastAsia="zh-CN"/>
        </w:rPr>
        <w:t>节能环保支出</w:t>
      </w:r>
      <w:r>
        <w:rPr>
          <w:rFonts w:hint="eastAsia" w:ascii="仿宋_GB2312" w:hAnsi="宋体" w:eastAsia="仿宋_GB2312" w:cs="宋体"/>
          <w:b/>
          <w:bCs/>
          <w:color w:val="000000"/>
          <w:sz w:val="32"/>
          <w:szCs w:val="32"/>
        </w:rPr>
        <w:t>（类）21</w:t>
      </w:r>
      <w:r>
        <w:rPr>
          <w:rFonts w:hint="eastAsia" w:ascii="仿宋_GB2312" w:hAnsi="宋体" w:eastAsia="仿宋_GB2312" w:cs="宋体"/>
          <w:b/>
          <w:bCs/>
          <w:color w:val="000000"/>
          <w:sz w:val="32"/>
          <w:szCs w:val="32"/>
          <w:lang w:val="en-US" w:eastAsia="zh-CN"/>
        </w:rPr>
        <w:t>1</w:t>
      </w:r>
      <w:r>
        <w:rPr>
          <w:rFonts w:hint="eastAsia" w:ascii="仿宋_GB2312" w:hAnsi="宋体" w:eastAsia="仿宋_GB2312" w:cs="宋体"/>
          <w:b/>
          <w:bCs/>
          <w:color w:val="000000"/>
          <w:sz w:val="32"/>
          <w:szCs w:val="32"/>
        </w:rPr>
        <w:t>（款）0</w:t>
      </w:r>
      <w:r>
        <w:rPr>
          <w:rFonts w:hint="eastAsia" w:ascii="仿宋_GB2312" w:hAnsi="宋体" w:eastAsia="仿宋_GB2312" w:cs="宋体"/>
          <w:b/>
          <w:bCs/>
          <w:color w:val="000000"/>
          <w:sz w:val="32"/>
          <w:szCs w:val="32"/>
          <w:lang w:val="en-US" w:eastAsia="zh-CN"/>
        </w:rPr>
        <w:t>4</w:t>
      </w:r>
      <w:r>
        <w:rPr>
          <w:rFonts w:hint="eastAsia" w:ascii="仿宋_GB2312" w:hAnsi="宋体" w:eastAsia="仿宋_GB2312" w:cs="宋体"/>
          <w:b/>
          <w:bCs/>
          <w:color w:val="000000"/>
          <w:sz w:val="32"/>
          <w:szCs w:val="32"/>
        </w:rPr>
        <w:t>（项）</w:t>
      </w:r>
      <w:r>
        <w:rPr>
          <w:rFonts w:hint="eastAsia" w:ascii="仿宋_GB2312" w:hAnsi="宋体" w:eastAsia="仿宋_GB2312" w:cs="宋体"/>
          <w:b/>
          <w:bCs/>
          <w:color w:val="000000"/>
          <w:sz w:val="32"/>
          <w:szCs w:val="32"/>
          <w:lang w:val="en-US" w:eastAsia="zh-CN"/>
        </w:rPr>
        <w:t>01</w:t>
      </w:r>
      <w:r>
        <w:rPr>
          <w:rFonts w:hint="eastAsia" w:ascii="仿宋_GB2312" w:hAnsi="宋体" w:eastAsia="仿宋_GB2312" w:cs="宋体"/>
          <w:b/>
          <w:bCs/>
          <w:color w:val="000000"/>
          <w:sz w:val="32"/>
          <w:szCs w:val="32"/>
        </w:rPr>
        <w:t>—</w:t>
      </w:r>
      <w:r>
        <w:rPr>
          <w:rFonts w:hint="eastAsia" w:ascii="仿宋_GB2312" w:hAnsi="宋体" w:eastAsia="仿宋_GB2312" w:cs="宋体"/>
          <w:b/>
          <w:bCs/>
          <w:color w:val="000000"/>
          <w:sz w:val="32"/>
          <w:szCs w:val="32"/>
          <w:lang w:eastAsia="zh-CN"/>
        </w:rPr>
        <w:t>生态保护</w:t>
      </w:r>
      <w:r>
        <w:rPr>
          <w:rFonts w:hint="eastAsia" w:ascii="仿宋_GB2312" w:hAnsi="宋体" w:eastAsia="仿宋_GB2312" w:cs="宋体"/>
          <w:b/>
          <w:bCs/>
          <w:color w:val="000000"/>
          <w:sz w:val="32"/>
          <w:szCs w:val="32"/>
        </w:rPr>
        <w:t>：</w:t>
      </w:r>
      <w:r>
        <w:rPr>
          <w:rFonts w:hint="eastAsia" w:ascii="仿宋_GB2312" w:eastAsia="仿宋_GB2312"/>
          <w:color w:val="000000"/>
          <w:sz w:val="32"/>
          <w:szCs w:val="32"/>
        </w:rPr>
        <w:t>反映</w:t>
      </w:r>
      <w:r>
        <w:rPr>
          <w:rFonts w:hint="eastAsia" w:ascii="仿宋_GB2312" w:eastAsia="仿宋_GB2312"/>
          <w:color w:val="000000"/>
          <w:sz w:val="32"/>
          <w:szCs w:val="32"/>
          <w:lang w:eastAsia="zh-CN"/>
        </w:rPr>
        <w:t>用于生态保护、生态治理等方面的</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w:t>
      </w:r>
    </w:p>
    <w:p w14:paraId="2B8E8942">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1</w:t>
      </w:r>
      <w:r>
        <w:rPr>
          <w:rFonts w:hint="eastAsia" w:ascii="仿宋_GB2312" w:hAnsi="宋体" w:eastAsia="仿宋_GB2312" w:cs="宋体"/>
          <w:b/>
          <w:bCs/>
          <w:color w:val="000000"/>
          <w:sz w:val="32"/>
          <w:szCs w:val="32"/>
          <w:lang w:val="en-US" w:eastAsia="zh-CN"/>
        </w:rPr>
        <w:t>6</w:t>
      </w:r>
      <w:r>
        <w:rPr>
          <w:rFonts w:hint="eastAsia" w:ascii="仿宋_GB2312" w:hAnsi="宋体" w:eastAsia="仿宋_GB2312" w:cs="宋体"/>
          <w:b/>
          <w:bCs/>
          <w:color w:val="000000"/>
          <w:sz w:val="32"/>
          <w:szCs w:val="32"/>
        </w:rPr>
        <w:t>.农林水支出（类）213（款）0</w:t>
      </w:r>
      <w:r>
        <w:rPr>
          <w:rFonts w:hint="eastAsia" w:ascii="仿宋_GB2312" w:hAnsi="宋体" w:eastAsia="仿宋_GB2312" w:cs="宋体"/>
          <w:b/>
          <w:bCs/>
          <w:color w:val="000000"/>
          <w:sz w:val="32"/>
          <w:szCs w:val="32"/>
          <w:lang w:val="en-US" w:eastAsia="zh-CN"/>
        </w:rPr>
        <w:t>5</w:t>
      </w:r>
      <w:r>
        <w:rPr>
          <w:rFonts w:hint="eastAsia" w:ascii="仿宋_GB2312" w:hAnsi="宋体" w:eastAsia="仿宋_GB2312" w:cs="宋体"/>
          <w:b/>
          <w:bCs/>
          <w:color w:val="000000"/>
          <w:sz w:val="32"/>
          <w:szCs w:val="32"/>
        </w:rPr>
        <w:t>（项）</w:t>
      </w:r>
      <w:r>
        <w:rPr>
          <w:rFonts w:hint="eastAsia" w:ascii="仿宋_GB2312" w:hAnsi="宋体" w:eastAsia="仿宋_GB2312" w:cs="宋体"/>
          <w:b/>
          <w:bCs/>
          <w:color w:val="000000"/>
          <w:sz w:val="32"/>
          <w:szCs w:val="32"/>
          <w:lang w:val="en-US" w:eastAsia="zh-CN"/>
        </w:rPr>
        <w:t>04</w:t>
      </w:r>
      <w:r>
        <w:rPr>
          <w:rFonts w:hint="eastAsia" w:ascii="仿宋_GB2312" w:hAnsi="宋体" w:eastAsia="仿宋_GB2312" w:cs="宋体"/>
          <w:b/>
          <w:bCs/>
          <w:color w:val="000000"/>
          <w:sz w:val="32"/>
          <w:szCs w:val="32"/>
        </w:rPr>
        <w:t>—农村</w:t>
      </w:r>
      <w:r>
        <w:rPr>
          <w:rFonts w:hint="eastAsia" w:ascii="仿宋_GB2312" w:hAnsi="宋体" w:eastAsia="仿宋_GB2312" w:cs="宋体"/>
          <w:b/>
          <w:bCs/>
          <w:color w:val="000000"/>
          <w:sz w:val="32"/>
          <w:szCs w:val="32"/>
          <w:lang w:eastAsia="zh-CN"/>
        </w:rPr>
        <w:t>基础设施</w:t>
      </w:r>
      <w:r>
        <w:rPr>
          <w:rFonts w:hint="eastAsia" w:ascii="仿宋_GB2312" w:hAnsi="宋体" w:eastAsia="仿宋_GB2312" w:cs="宋体"/>
          <w:b/>
          <w:bCs/>
          <w:color w:val="000000"/>
          <w:sz w:val="32"/>
          <w:szCs w:val="32"/>
        </w:rPr>
        <w:t>建设：</w:t>
      </w:r>
      <w:r>
        <w:rPr>
          <w:rFonts w:hint="eastAsia" w:ascii="仿宋_GB2312" w:eastAsia="仿宋_GB2312"/>
          <w:color w:val="000000"/>
          <w:sz w:val="32"/>
          <w:szCs w:val="32"/>
        </w:rPr>
        <w:t>反映用于农村公路、乡村</w:t>
      </w:r>
      <w:r>
        <w:rPr>
          <w:rFonts w:hint="eastAsia" w:ascii="仿宋_GB2312" w:eastAsia="仿宋_GB2312"/>
          <w:color w:val="000000"/>
          <w:sz w:val="32"/>
          <w:szCs w:val="32"/>
          <w:lang w:eastAsia="zh-CN"/>
        </w:rPr>
        <w:t>牧道</w:t>
      </w:r>
      <w:r>
        <w:rPr>
          <w:rFonts w:hint="eastAsia" w:ascii="仿宋_GB2312" w:eastAsia="仿宋_GB2312"/>
          <w:color w:val="000000"/>
          <w:sz w:val="32"/>
          <w:szCs w:val="32"/>
        </w:rPr>
        <w:t>建设</w:t>
      </w:r>
      <w:r>
        <w:rPr>
          <w:rFonts w:hint="eastAsia" w:ascii="仿宋_GB2312" w:eastAsia="仿宋_GB2312"/>
          <w:color w:val="000000"/>
          <w:sz w:val="32"/>
          <w:szCs w:val="32"/>
          <w:lang w:eastAsia="zh-CN"/>
        </w:rPr>
        <w:t>等</w:t>
      </w:r>
      <w:r>
        <w:rPr>
          <w:rFonts w:hint="eastAsia" w:ascii="仿宋_GB2312" w:eastAsia="仿宋_GB2312"/>
          <w:color w:val="000000"/>
          <w:sz w:val="32"/>
          <w:szCs w:val="32"/>
        </w:rPr>
        <w:t>方面的支出。</w:t>
      </w:r>
    </w:p>
    <w:p w14:paraId="7E5A60BF">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17.农林水支出（类）213（款）0</w:t>
      </w:r>
      <w:r>
        <w:rPr>
          <w:rFonts w:hint="eastAsia" w:ascii="仿宋_GB2312" w:hAnsi="宋体" w:eastAsia="仿宋_GB2312" w:cs="宋体"/>
          <w:b/>
          <w:bCs/>
          <w:color w:val="000000"/>
          <w:sz w:val="32"/>
          <w:szCs w:val="32"/>
          <w:lang w:val="en-US" w:eastAsia="zh-CN"/>
        </w:rPr>
        <w:t>5</w:t>
      </w:r>
      <w:r>
        <w:rPr>
          <w:rFonts w:hint="eastAsia" w:ascii="仿宋_GB2312" w:hAnsi="宋体" w:eastAsia="仿宋_GB2312" w:cs="宋体"/>
          <w:b/>
          <w:bCs/>
          <w:color w:val="000000"/>
          <w:sz w:val="32"/>
          <w:szCs w:val="32"/>
        </w:rPr>
        <w:t>（项）</w:t>
      </w:r>
      <w:r>
        <w:rPr>
          <w:rFonts w:hint="eastAsia" w:ascii="仿宋_GB2312" w:hAnsi="宋体" w:eastAsia="仿宋_GB2312" w:cs="宋体"/>
          <w:b/>
          <w:bCs/>
          <w:color w:val="000000"/>
          <w:sz w:val="32"/>
          <w:szCs w:val="32"/>
          <w:lang w:val="en-US" w:eastAsia="zh-CN"/>
        </w:rPr>
        <w:t>99</w:t>
      </w:r>
      <w:r>
        <w:rPr>
          <w:rFonts w:hint="eastAsia" w:ascii="仿宋_GB2312" w:hAnsi="宋体" w:eastAsia="仿宋_GB2312" w:cs="宋体"/>
          <w:b/>
          <w:bCs/>
          <w:color w:val="000000"/>
          <w:sz w:val="32"/>
          <w:szCs w:val="32"/>
        </w:rPr>
        <w:t>—</w:t>
      </w:r>
      <w:r>
        <w:rPr>
          <w:rFonts w:hint="eastAsia" w:ascii="仿宋_GB2312" w:hAnsi="宋体" w:eastAsia="仿宋_GB2312" w:cs="宋体"/>
          <w:b/>
          <w:bCs/>
          <w:color w:val="000000"/>
          <w:sz w:val="32"/>
          <w:szCs w:val="32"/>
          <w:lang w:eastAsia="zh-CN"/>
        </w:rPr>
        <w:t>其他扶贫支出</w:t>
      </w:r>
      <w:r>
        <w:rPr>
          <w:rFonts w:hint="eastAsia" w:ascii="仿宋_GB2312" w:hAnsi="宋体" w:eastAsia="仿宋_GB2312" w:cs="宋体"/>
          <w:b/>
          <w:bCs/>
          <w:color w:val="000000"/>
          <w:sz w:val="32"/>
          <w:szCs w:val="32"/>
        </w:rPr>
        <w:t>：</w:t>
      </w:r>
      <w:r>
        <w:rPr>
          <w:rFonts w:hint="eastAsia" w:ascii="仿宋_GB2312" w:eastAsia="仿宋_GB2312"/>
          <w:color w:val="000000"/>
          <w:sz w:val="32"/>
          <w:szCs w:val="32"/>
        </w:rPr>
        <w:t>反映用于</w:t>
      </w:r>
      <w:r>
        <w:rPr>
          <w:rFonts w:hint="eastAsia" w:ascii="仿宋_GB2312" w:eastAsia="仿宋_GB2312"/>
          <w:color w:val="000000"/>
          <w:sz w:val="32"/>
          <w:szCs w:val="32"/>
          <w:lang w:eastAsia="zh-CN"/>
        </w:rPr>
        <w:t>扶贫产业等方面</w:t>
      </w:r>
      <w:r>
        <w:rPr>
          <w:rFonts w:hint="eastAsia" w:ascii="仿宋_GB2312" w:eastAsia="仿宋_GB2312"/>
          <w:color w:val="000000"/>
          <w:sz w:val="32"/>
          <w:szCs w:val="32"/>
        </w:rPr>
        <w:t>的支出</w:t>
      </w:r>
      <w:r>
        <w:rPr>
          <w:rFonts w:hint="eastAsia" w:ascii="仿宋_GB2312" w:eastAsia="仿宋_GB2312"/>
          <w:color w:val="000000"/>
          <w:sz w:val="32"/>
          <w:szCs w:val="32"/>
          <w:lang w:eastAsia="zh-CN"/>
        </w:rPr>
        <w:t>。</w:t>
      </w:r>
    </w:p>
    <w:p w14:paraId="48141253">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lang w:val="en-US" w:eastAsia="zh-CN"/>
        </w:rPr>
        <w:t>18</w:t>
      </w:r>
      <w:r>
        <w:rPr>
          <w:rFonts w:hint="eastAsia" w:ascii="仿宋_GB2312" w:hAnsi="宋体" w:eastAsia="仿宋_GB2312" w:cs="宋体"/>
          <w:b/>
          <w:bCs/>
          <w:color w:val="000000"/>
          <w:sz w:val="32"/>
          <w:szCs w:val="32"/>
        </w:rPr>
        <w:t>.农林水支出（类）213（款）07（项）05—对村民委员会和党支部补助：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14:paraId="1CC65C29">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lang w:val="en-US" w:eastAsia="zh-CN"/>
        </w:rPr>
        <w:t>19</w:t>
      </w:r>
      <w:r>
        <w:rPr>
          <w:rFonts w:hint="eastAsia" w:ascii="仿宋_GB2312" w:hAnsi="宋体" w:eastAsia="仿宋_GB2312" w:cs="宋体"/>
          <w:b/>
          <w:bCs/>
          <w:color w:val="000000"/>
          <w:sz w:val="32"/>
          <w:szCs w:val="32"/>
        </w:rPr>
        <w:t>.住房保障支出(类）221（款）02（项）01—住房公积金：</w:t>
      </w:r>
      <w:r>
        <w:rPr>
          <w:rFonts w:hint="eastAsia" w:ascii="仿宋_GB2312" w:eastAsia="仿宋_GB2312"/>
          <w:color w:val="000000"/>
          <w:sz w:val="32"/>
          <w:szCs w:val="32"/>
        </w:rPr>
        <w:t>反映行政事业单位按人力资源和社会保障部、财政部规定的基本工资和津贴补贴以及规定比例为职工缴纳的住房公积金。</w:t>
      </w:r>
    </w:p>
    <w:p w14:paraId="43A5D10F">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lang w:val="en-US" w:eastAsia="zh-CN"/>
        </w:rPr>
        <w:t>20</w:t>
      </w:r>
      <w:r>
        <w:rPr>
          <w:rFonts w:hint="eastAsia" w:ascii="仿宋_GB2312" w:hAnsi="宋体" w:eastAsia="仿宋_GB2312" w:cs="宋体"/>
          <w:b/>
          <w:bCs/>
          <w:color w:val="000000"/>
          <w:sz w:val="32"/>
          <w:szCs w:val="32"/>
        </w:rPr>
        <w:t>.其他支出(类）229（款）99（项）01—其他支出：</w:t>
      </w:r>
      <w:r>
        <w:rPr>
          <w:rFonts w:hint="eastAsia" w:ascii="仿宋_GB2312" w:eastAsia="仿宋_GB2312"/>
          <w:color w:val="000000"/>
          <w:sz w:val="32"/>
          <w:szCs w:val="32"/>
        </w:rPr>
        <w:t>反映除上述项目以外其他不能划分到具体功能科目中的支出项目</w:t>
      </w:r>
    </w:p>
    <w:p w14:paraId="36F3EC3C">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lang w:val="en-US" w:eastAsia="zh-CN"/>
        </w:rPr>
        <w:t>21</w:t>
      </w:r>
      <w:r>
        <w:rPr>
          <w:rFonts w:hint="eastAsia" w:ascii="仿宋_GB2312" w:hAnsi="宋体" w:eastAsia="仿宋_GB2312" w:cs="宋体"/>
          <w:b/>
          <w:bCs/>
          <w:color w:val="000000"/>
          <w:sz w:val="32"/>
          <w:szCs w:val="32"/>
        </w:rPr>
        <w:t>.年末结转和结余：</w:t>
      </w:r>
      <w:r>
        <w:rPr>
          <w:rFonts w:hint="eastAsia" w:ascii="仿宋_GB2312" w:eastAsia="仿宋_GB2312"/>
          <w:color w:val="000000"/>
          <w:sz w:val="32"/>
          <w:szCs w:val="32"/>
        </w:rPr>
        <w:t>指本年度或以前年度预算安排、因客观条件发生变化无法按原计划实施，需延迟到以后年度按有关规定继续使用的资金。</w:t>
      </w:r>
    </w:p>
    <w:p w14:paraId="39FAB180">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lang w:val="en-US" w:eastAsia="zh-CN"/>
        </w:rPr>
        <w:t>22</w:t>
      </w:r>
      <w:r>
        <w:rPr>
          <w:rFonts w:hint="eastAsia" w:ascii="仿宋_GB2312" w:hAnsi="宋体" w:eastAsia="仿宋_GB2312" w:cs="宋体"/>
          <w:b/>
          <w:bCs/>
          <w:color w:val="000000"/>
          <w:sz w:val="32"/>
          <w:szCs w:val="32"/>
        </w:rPr>
        <w:t>.基本支出：</w:t>
      </w:r>
      <w:r>
        <w:rPr>
          <w:rFonts w:hint="eastAsia" w:ascii="仿宋_GB2312" w:eastAsia="仿宋_GB2312"/>
          <w:color w:val="000000"/>
          <w:sz w:val="32"/>
          <w:szCs w:val="32"/>
        </w:rPr>
        <w:t>指为保障机构正常运转、完成日常工作任务而发生的人员支出和公用支出。</w:t>
      </w:r>
    </w:p>
    <w:p w14:paraId="430F70D0">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lang w:val="en-US" w:eastAsia="zh-CN"/>
        </w:rPr>
        <w:t>23</w:t>
      </w:r>
      <w:r>
        <w:rPr>
          <w:rFonts w:hint="eastAsia" w:ascii="仿宋_GB2312" w:hAnsi="宋体" w:eastAsia="仿宋_GB2312" w:cs="宋体"/>
          <w:b/>
          <w:bCs/>
          <w:color w:val="000000"/>
          <w:sz w:val="32"/>
          <w:szCs w:val="32"/>
        </w:rPr>
        <w:t>.项目支出：</w:t>
      </w:r>
      <w:r>
        <w:rPr>
          <w:rFonts w:hint="eastAsia" w:ascii="仿宋_GB2312" w:eastAsia="仿宋_GB2312"/>
          <w:color w:val="000000"/>
          <w:sz w:val="32"/>
          <w:szCs w:val="32"/>
        </w:rPr>
        <w:t>指在基本支出之外为完成特定行政任务和事业发展目标所发生的支出。</w:t>
      </w:r>
    </w:p>
    <w:p w14:paraId="5DF66BD9">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2</w:t>
      </w:r>
      <w:r>
        <w:rPr>
          <w:rFonts w:hint="eastAsia" w:ascii="仿宋_GB2312" w:hAnsi="宋体" w:eastAsia="仿宋_GB2312" w:cs="宋体"/>
          <w:b/>
          <w:bCs/>
          <w:color w:val="000000"/>
          <w:sz w:val="32"/>
          <w:szCs w:val="32"/>
          <w:lang w:val="en-US" w:eastAsia="zh-CN"/>
        </w:rPr>
        <w:t>4</w:t>
      </w:r>
      <w:r>
        <w:rPr>
          <w:rFonts w:hint="eastAsia" w:ascii="仿宋_GB2312" w:hAnsi="宋体" w:eastAsia="仿宋_GB2312" w:cs="宋体"/>
          <w:b/>
          <w:bCs/>
          <w:color w:val="000000"/>
          <w:sz w:val="32"/>
          <w:szCs w:val="32"/>
        </w:rPr>
        <w:t>.“三公”经费：</w:t>
      </w:r>
      <w:r>
        <w:rPr>
          <w:rFonts w:hint="eastAsia" w:ascii="仿宋_GB2312" w:eastAsia="仿宋_GB2312"/>
          <w:color w:val="000000"/>
          <w:sz w:val="32"/>
          <w:szCs w:val="32"/>
        </w:rPr>
        <w:t>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0312436">
      <w:pPr>
        <w:autoSpaceDE w:val="0"/>
        <w:autoSpaceDN w:val="0"/>
        <w:adjustRightInd w:val="0"/>
        <w:spacing w:line="600" w:lineRule="exact"/>
        <w:ind w:firstLine="643" w:firstLineChars="200"/>
        <w:jc w:val="left"/>
        <w:rPr>
          <w:rFonts w:ascii="仿宋_GB2312" w:eastAsia="仿宋_GB2312"/>
          <w:color w:val="000000"/>
          <w:sz w:val="32"/>
          <w:szCs w:val="32"/>
        </w:rPr>
      </w:pPr>
      <w:r>
        <w:rPr>
          <w:rFonts w:hint="eastAsia" w:ascii="仿宋_GB2312" w:hAnsi="宋体" w:eastAsia="仿宋_GB2312" w:cs="宋体"/>
          <w:b/>
          <w:bCs/>
          <w:color w:val="000000"/>
          <w:sz w:val="32"/>
          <w:szCs w:val="32"/>
        </w:rPr>
        <w:t>2</w:t>
      </w:r>
      <w:r>
        <w:rPr>
          <w:rFonts w:hint="eastAsia" w:ascii="仿宋_GB2312" w:hAnsi="宋体" w:eastAsia="仿宋_GB2312" w:cs="宋体"/>
          <w:b/>
          <w:bCs/>
          <w:color w:val="000000"/>
          <w:sz w:val="32"/>
          <w:szCs w:val="32"/>
          <w:lang w:val="en-US" w:eastAsia="zh-CN"/>
        </w:rPr>
        <w:t>5</w:t>
      </w:r>
      <w:r>
        <w:rPr>
          <w:rFonts w:hint="eastAsia" w:ascii="仿宋_GB2312" w:hAnsi="宋体" w:eastAsia="仿宋_GB2312" w:cs="宋体"/>
          <w:b/>
          <w:bCs/>
          <w:color w:val="000000"/>
          <w:sz w:val="32"/>
          <w:szCs w:val="32"/>
        </w:rPr>
        <w:t>.机关运行经费：</w:t>
      </w:r>
      <w:r>
        <w:rPr>
          <w:rFonts w:hint="eastAsia" w:ascii="仿宋_GB2312" w:eastAsia="仿宋_GB2312"/>
          <w:color w:val="00000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14:paraId="6E07FBB9">
      <w:pPr>
        <w:pStyle w:val="6"/>
        <w:bidi w:val="0"/>
        <w:ind w:left="0" w:leftChars="0" w:firstLine="0" w:firstLineChars="0"/>
      </w:pPr>
    </w:p>
    <w:p w14:paraId="24BCFCE3">
      <w:pPr>
        <w:pStyle w:val="6"/>
        <w:bidi w:val="0"/>
        <w:ind w:left="0" w:leftChars="0" w:firstLine="0" w:firstLineChars="0"/>
      </w:pPr>
    </w:p>
    <w:p w14:paraId="72D30C21">
      <w:pPr>
        <w:pStyle w:val="6"/>
        <w:bidi w:val="0"/>
        <w:ind w:left="0" w:leftChars="0" w:firstLine="0" w:firstLineChars="0"/>
      </w:pPr>
    </w:p>
    <w:p w14:paraId="0DCA998A">
      <w:pPr>
        <w:pStyle w:val="6"/>
        <w:bidi w:val="0"/>
        <w:ind w:left="0" w:leftChars="0" w:firstLine="0" w:firstLineChars="0"/>
      </w:pPr>
    </w:p>
    <w:p w14:paraId="7FC7F64F">
      <w:pPr>
        <w:pStyle w:val="6"/>
        <w:bidi w:val="0"/>
        <w:ind w:left="0" w:leftChars="0" w:firstLine="0" w:firstLineChars="0"/>
      </w:pPr>
    </w:p>
    <w:p w14:paraId="495E1C28">
      <w:pPr>
        <w:pStyle w:val="6"/>
        <w:bidi w:val="0"/>
        <w:ind w:left="0" w:leftChars="0" w:firstLine="0" w:firstLineChars="0"/>
      </w:pPr>
    </w:p>
    <w:p w14:paraId="76F3440C">
      <w:pPr>
        <w:pStyle w:val="6"/>
        <w:bidi w:val="0"/>
      </w:pPr>
    </w:p>
    <w:p w14:paraId="0B321418">
      <w:pPr>
        <w:pStyle w:val="6"/>
        <w:bidi w:val="0"/>
      </w:pPr>
    </w:p>
    <w:p w14:paraId="19EA6746">
      <w:pPr>
        <w:pStyle w:val="6"/>
        <w:bidi w:val="0"/>
      </w:pPr>
    </w:p>
    <w:p w14:paraId="0DB16B4D">
      <w:pPr>
        <w:pStyle w:val="6"/>
        <w:bidi w:val="0"/>
      </w:pPr>
    </w:p>
    <w:p w14:paraId="6A36AD72">
      <w:pPr>
        <w:pStyle w:val="6"/>
        <w:bidi w:val="0"/>
      </w:pPr>
    </w:p>
    <w:p w14:paraId="3894D1FE">
      <w:pPr>
        <w:pStyle w:val="6"/>
        <w:bidi w:val="0"/>
      </w:pPr>
    </w:p>
    <w:p w14:paraId="133E35C7">
      <w:pPr>
        <w:pStyle w:val="6"/>
        <w:bidi w:val="0"/>
      </w:pPr>
    </w:p>
    <w:p w14:paraId="02907B03">
      <w:pPr>
        <w:pStyle w:val="6"/>
        <w:bidi w:val="0"/>
      </w:pPr>
    </w:p>
    <w:p w14:paraId="302156C7">
      <w:pPr>
        <w:pStyle w:val="3"/>
        <w:bidi w:val="0"/>
      </w:pPr>
      <w:bookmarkStart w:id="39" w:name="_Toc29569"/>
      <w:bookmarkStart w:id="40" w:name="_Toc5356"/>
      <w:r>
        <w:rPr>
          <w:rFonts w:hint="eastAsia"/>
        </w:rPr>
        <w:t>第四部分 附件</w:t>
      </w:r>
      <w:bookmarkEnd w:id="39"/>
      <w:bookmarkEnd w:id="40"/>
    </w:p>
    <w:p w14:paraId="235D81B8">
      <w:pPr>
        <w:pStyle w:val="3"/>
        <w:bidi w:val="0"/>
        <w:jc w:val="left"/>
        <w:rPr>
          <w:rFonts w:hint="eastAsia"/>
        </w:rPr>
      </w:pPr>
      <w:bookmarkStart w:id="41" w:name="_Toc27962"/>
      <w:bookmarkStart w:id="42" w:name="_Toc24655"/>
      <w:r>
        <w:rPr>
          <w:rFonts w:hint="eastAsia"/>
        </w:rPr>
        <w:t>附件1</w:t>
      </w:r>
      <w:bookmarkEnd w:id="41"/>
      <w:bookmarkEnd w:id="42"/>
    </w:p>
    <w:p w14:paraId="1169F81A">
      <w:pPr>
        <w:rPr>
          <w:rFonts w:hint="eastAsia"/>
        </w:rPr>
      </w:pPr>
    </w:p>
    <w:p w14:paraId="0B38DE57">
      <w:pPr>
        <w:pStyle w:val="6"/>
        <w:keepNext w:val="0"/>
        <w:keepLines w:val="0"/>
        <w:pageBreakBefore w:val="0"/>
        <w:widowControl/>
        <w:kinsoku/>
        <w:wordWrap/>
        <w:overflowPunct/>
        <w:topLinePunct w:val="0"/>
        <w:autoSpaceDE/>
        <w:autoSpaceDN/>
        <w:bidi w:val="0"/>
        <w:adjustRightInd/>
        <w:snapToGrid/>
        <w:spacing w:line="660" w:lineRule="exact"/>
        <w:ind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lang w:eastAsia="zh-CN"/>
        </w:rPr>
        <w:t>查尔玛乡人民政府</w:t>
      </w:r>
      <w:r>
        <w:rPr>
          <w:rFonts w:hint="eastAsia" w:ascii="黑体" w:hAnsi="黑体" w:eastAsia="黑体" w:cs="黑体"/>
          <w:sz w:val="44"/>
          <w:szCs w:val="44"/>
        </w:rPr>
        <w:t>2020年部门整体</w:t>
      </w:r>
    </w:p>
    <w:p w14:paraId="3CA7F10F">
      <w:pPr>
        <w:pStyle w:val="6"/>
        <w:keepNext w:val="0"/>
        <w:keepLines w:val="0"/>
        <w:pageBreakBefore w:val="0"/>
        <w:widowControl/>
        <w:kinsoku/>
        <w:wordWrap/>
        <w:overflowPunct/>
        <w:topLinePunct w:val="0"/>
        <w:autoSpaceDE/>
        <w:autoSpaceDN/>
        <w:bidi w:val="0"/>
        <w:adjustRightInd/>
        <w:snapToGrid/>
        <w:spacing w:line="660" w:lineRule="exact"/>
        <w:ind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rPr>
        <w:t>支出绩效评价报告</w:t>
      </w:r>
    </w:p>
    <w:p w14:paraId="350E9AAC">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一、部门（单位）概况</w:t>
      </w:r>
    </w:p>
    <w:p w14:paraId="2BC6A450">
      <w:pPr>
        <w:pStyle w:val="5"/>
        <w:bidi w:val="0"/>
        <w:rPr>
          <w:rFonts w:hint="eastAsia"/>
        </w:rPr>
      </w:pPr>
      <w:r>
        <w:rPr>
          <w:rFonts w:hint="eastAsia"/>
        </w:rPr>
        <w:t>（一）机构组成。</w:t>
      </w:r>
    </w:p>
    <w:p w14:paraId="5459C587">
      <w:pPr>
        <w:pStyle w:val="6"/>
        <w:bidi w:val="0"/>
        <w:rPr>
          <w:rFonts w:hint="eastAsia"/>
        </w:rPr>
      </w:pPr>
      <w:r>
        <w:rPr>
          <w:rFonts w:hint="eastAsia"/>
          <w:lang w:val="zh-CN"/>
        </w:rPr>
        <w:t>查尔玛乡为独立核算编制的</w:t>
      </w:r>
      <w:r>
        <w:rPr>
          <w:rFonts w:hint="eastAsia"/>
        </w:rPr>
        <w:t>行政</w:t>
      </w:r>
      <w:r>
        <w:rPr>
          <w:rFonts w:hint="eastAsia"/>
          <w:lang w:eastAsia="zh-CN"/>
        </w:rPr>
        <w:t>单位。</w:t>
      </w:r>
    </w:p>
    <w:p w14:paraId="08CC7DC2">
      <w:pPr>
        <w:pStyle w:val="5"/>
        <w:bidi w:val="0"/>
        <w:rPr>
          <w:rFonts w:hint="eastAsia"/>
        </w:rPr>
      </w:pPr>
      <w:r>
        <w:rPr>
          <w:rFonts w:hint="eastAsia"/>
        </w:rPr>
        <w:t>（二）机构职能。</w:t>
      </w:r>
    </w:p>
    <w:p w14:paraId="5F64A371">
      <w:pPr>
        <w:pStyle w:val="6"/>
        <w:bidi w:val="0"/>
        <w:rPr>
          <w:rFonts w:hint="eastAsia"/>
        </w:rPr>
      </w:pPr>
      <w:r>
        <w:rPr>
          <w:rFonts w:hint="eastAsia"/>
          <w:lang w:val="zh-CN"/>
        </w:rPr>
        <w:t>根据查尔玛乡三定方案（红委办【</w:t>
      </w:r>
      <w:r>
        <w:rPr>
          <w:rFonts w:hint="eastAsia"/>
          <w:lang w:val="en-US" w:eastAsia="zh-CN"/>
        </w:rPr>
        <w:t>2020</w:t>
      </w:r>
      <w:r>
        <w:rPr>
          <w:rFonts w:hint="eastAsia"/>
          <w:lang w:val="zh-CN"/>
        </w:rPr>
        <w:t>】</w:t>
      </w:r>
      <w:r>
        <w:rPr>
          <w:rFonts w:hint="eastAsia"/>
          <w:lang w:val="en-US" w:eastAsia="zh-CN"/>
        </w:rPr>
        <w:t>126号</w:t>
      </w:r>
      <w:r>
        <w:rPr>
          <w:rFonts w:hint="eastAsia"/>
          <w:lang w:val="zh-CN"/>
        </w:rPr>
        <w:t>）</w:t>
      </w:r>
    </w:p>
    <w:p w14:paraId="2DA57898">
      <w:pPr>
        <w:pStyle w:val="5"/>
        <w:bidi w:val="0"/>
        <w:rPr>
          <w:rFonts w:hint="eastAsia"/>
        </w:rPr>
      </w:pPr>
      <w:r>
        <w:rPr>
          <w:rFonts w:hint="eastAsia"/>
        </w:rPr>
        <w:t>（三）人员概况。</w:t>
      </w:r>
    </w:p>
    <w:p w14:paraId="385AB20D">
      <w:pPr>
        <w:pStyle w:val="6"/>
        <w:bidi w:val="0"/>
        <w:rPr>
          <w:rFonts w:hint="eastAsia"/>
        </w:rPr>
      </w:pPr>
      <w:r>
        <w:rPr>
          <w:rFonts w:hint="eastAsia"/>
          <w:lang w:val="zh-CN"/>
        </w:rPr>
        <w:t>20</w:t>
      </w:r>
      <w:r>
        <w:rPr>
          <w:rFonts w:hint="eastAsia"/>
          <w:lang w:val="en-US" w:eastAsia="zh-CN"/>
        </w:rPr>
        <w:t>20</w:t>
      </w:r>
      <w:r>
        <w:rPr>
          <w:rFonts w:hint="eastAsia"/>
          <w:lang w:val="zh-CN"/>
        </w:rPr>
        <w:t>年财政供养人员编制为</w:t>
      </w:r>
      <w:r>
        <w:rPr>
          <w:rFonts w:hint="eastAsia"/>
          <w:lang w:val="en-US" w:eastAsia="zh-CN"/>
        </w:rPr>
        <w:t>27</w:t>
      </w:r>
      <w:r>
        <w:rPr>
          <w:rFonts w:hint="eastAsia"/>
          <w:lang w:val="zh-CN"/>
        </w:rPr>
        <w:t>名，其中行政编制</w:t>
      </w:r>
      <w:r>
        <w:rPr>
          <w:rFonts w:hint="eastAsia"/>
          <w:lang w:val="en-US" w:eastAsia="zh-CN"/>
        </w:rPr>
        <w:t>17</w:t>
      </w:r>
      <w:r>
        <w:rPr>
          <w:rFonts w:hint="eastAsia"/>
          <w:lang w:val="zh-CN"/>
        </w:rPr>
        <w:t>名，行政工勤编制2名，事业编制</w:t>
      </w:r>
      <w:r>
        <w:rPr>
          <w:rFonts w:hint="eastAsia"/>
          <w:lang w:val="en-US" w:eastAsia="zh-CN"/>
        </w:rPr>
        <w:t>10</w:t>
      </w:r>
      <w:r>
        <w:rPr>
          <w:rFonts w:hint="eastAsia"/>
          <w:lang w:val="zh-CN"/>
        </w:rPr>
        <w:t>名（其中参照公务员法管理人员编制 0人）。20</w:t>
      </w:r>
      <w:r>
        <w:rPr>
          <w:rFonts w:hint="eastAsia"/>
          <w:lang w:val="en-US" w:eastAsia="zh-CN"/>
        </w:rPr>
        <w:t>20</w:t>
      </w:r>
      <w:r>
        <w:rPr>
          <w:rFonts w:hint="eastAsia"/>
          <w:lang w:val="zh-CN"/>
        </w:rPr>
        <w:t>年实际财政供养人员</w:t>
      </w:r>
      <w:r>
        <w:rPr>
          <w:rFonts w:hint="eastAsia"/>
          <w:lang w:val="en-US" w:eastAsia="zh-CN"/>
        </w:rPr>
        <w:t>24</w:t>
      </w:r>
      <w:r>
        <w:rPr>
          <w:rFonts w:hint="eastAsia"/>
          <w:lang w:val="zh-CN"/>
        </w:rPr>
        <w:t>人。</w:t>
      </w:r>
    </w:p>
    <w:p w14:paraId="78EDBD80">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二、部门财政资金收支情况</w:t>
      </w:r>
    </w:p>
    <w:p w14:paraId="28775A0B">
      <w:pPr>
        <w:pStyle w:val="5"/>
        <w:bidi w:val="0"/>
        <w:rPr>
          <w:rFonts w:hint="eastAsia"/>
        </w:rPr>
      </w:pPr>
      <w:r>
        <w:rPr>
          <w:rFonts w:hint="eastAsia"/>
        </w:rPr>
        <w:t>（一）部门财政资金收入情况。</w:t>
      </w:r>
    </w:p>
    <w:p w14:paraId="7D6CC959">
      <w:pPr>
        <w:pStyle w:val="6"/>
        <w:bidi w:val="0"/>
        <w:rPr>
          <w:rFonts w:hint="eastAsia"/>
        </w:rPr>
      </w:pPr>
      <w:r>
        <w:rPr>
          <w:rFonts w:hint="eastAsia"/>
          <w:lang w:val="zh-CN"/>
        </w:rPr>
        <w:t>20</w:t>
      </w:r>
      <w:r>
        <w:rPr>
          <w:rFonts w:hint="eastAsia"/>
          <w:lang w:val="en-US" w:eastAsia="zh-CN"/>
        </w:rPr>
        <w:t>20</w:t>
      </w:r>
      <w:r>
        <w:rPr>
          <w:rFonts w:hint="eastAsia"/>
          <w:lang w:val="zh-CN"/>
        </w:rPr>
        <w:t>年</w:t>
      </w:r>
      <w:r>
        <w:rPr>
          <w:rFonts w:hint="eastAsia"/>
          <w:lang w:val="zh-CN" w:eastAsia="zh-CN"/>
        </w:rPr>
        <w:t>查尔玛乡</w:t>
      </w:r>
      <w:r>
        <w:rPr>
          <w:rFonts w:hint="eastAsia"/>
          <w:lang w:val="zh-CN"/>
        </w:rPr>
        <w:t>财政拨款收</w:t>
      </w:r>
      <w:r>
        <w:rPr>
          <w:rFonts w:hint="eastAsia"/>
          <w:lang w:val="zh-CN" w:eastAsia="zh-CN"/>
        </w:rPr>
        <w:t>入</w:t>
      </w:r>
      <w:r>
        <w:rPr>
          <w:rFonts w:hint="eastAsia"/>
          <w:lang w:val="zh-CN"/>
        </w:rPr>
        <w:t>总计</w:t>
      </w:r>
      <w:r>
        <w:rPr>
          <w:rFonts w:hint="eastAsia"/>
          <w:lang w:val="en-US" w:eastAsia="zh-CN"/>
        </w:rPr>
        <w:t>1052.98万</w:t>
      </w:r>
      <w:r>
        <w:rPr>
          <w:rFonts w:hint="eastAsia"/>
          <w:lang w:val="zh-CN" w:eastAsia="zh-CN"/>
        </w:rPr>
        <w:t>元</w:t>
      </w:r>
      <w:r>
        <w:rPr>
          <w:rFonts w:hint="eastAsia"/>
          <w:lang w:val="en-US" w:eastAsia="zh-CN"/>
        </w:rPr>
        <w:t>,</w:t>
      </w:r>
      <w:r>
        <w:rPr>
          <w:rFonts w:hint="eastAsia"/>
          <w:lang w:val="zh-CN"/>
        </w:rPr>
        <w:t>其中：一般公共预算财政拨款收入</w:t>
      </w:r>
      <w:r>
        <w:rPr>
          <w:rFonts w:hint="eastAsia"/>
          <w:lang w:val="en-US" w:eastAsia="zh-CN"/>
        </w:rPr>
        <w:t>1052.98</w:t>
      </w:r>
      <w:r>
        <w:rPr>
          <w:rFonts w:hint="eastAsia"/>
          <w:lang w:val="zh-CN"/>
        </w:rPr>
        <w:t>万元。</w:t>
      </w:r>
    </w:p>
    <w:p w14:paraId="0AF5503E">
      <w:pPr>
        <w:pStyle w:val="5"/>
        <w:bidi w:val="0"/>
        <w:rPr>
          <w:rFonts w:hint="eastAsia"/>
        </w:rPr>
      </w:pPr>
      <w:r>
        <w:rPr>
          <w:rFonts w:hint="eastAsia"/>
        </w:rPr>
        <w:t>（二）部门财政资金支出情况。</w:t>
      </w:r>
    </w:p>
    <w:p w14:paraId="044EDA22">
      <w:pPr>
        <w:pStyle w:val="6"/>
        <w:bidi w:val="0"/>
        <w:rPr>
          <w:rFonts w:hint="eastAsia"/>
        </w:rPr>
      </w:pPr>
      <w:r>
        <w:rPr>
          <w:rFonts w:hint="eastAsia"/>
          <w:lang w:val="en-US" w:eastAsia="zh-CN"/>
        </w:rPr>
        <w:t>2</w:t>
      </w:r>
      <w:r>
        <w:rPr>
          <w:rFonts w:hint="eastAsia"/>
        </w:rPr>
        <w:t>0</w:t>
      </w:r>
      <w:r>
        <w:rPr>
          <w:rFonts w:hint="eastAsia"/>
          <w:lang w:val="en-US" w:eastAsia="zh-CN"/>
        </w:rPr>
        <w:t>20</w:t>
      </w:r>
      <w:r>
        <w:rPr>
          <w:rFonts w:hint="eastAsia"/>
        </w:rPr>
        <w:t>年</w:t>
      </w:r>
      <w:r>
        <w:rPr>
          <w:rFonts w:hint="eastAsia"/>
          <w:lang w:eastAsia="zh-CN"/>
        </w:rPr>
        <w:t>查尔玛乡</w:t>
      </w:r>
      <w:r>
        <w:rPr>
          <w:rFonts w:hint="eastAsia"/>
        </w:rPr>
        <w:t>本年支出合计</w:t>
      </w:r>
      <w:r>
        <w:rPr>
          <w:rFonts w:hint="eastAsia"/>
          <w:lang w:val="en-US" w:eastAsia="zh-CN"/>
        </w:rPr>
        <w:t>1078.76万</w:t>
      </w:r>
      <w:r>
        <w:rPr>
          <w:rFonts w:hint="eastAsia"/>
          <w:lang w:eastAsia="zh-CN"/>
        </w:rPr>
        <w:t>元</w:t>
      </w:r>
      <w:r>
        <w:rPr>
          <w:rFonts w:hint="eastAsia"/>
        </w:rPr>
        <w:t>，其中：</w:t>
      </w:r>
      <w:r>
        <w:rPr>
          <w:rFonts w:hint="eastAsia"/>
          <w:lang w:eastAsia="zh-CN"/>
        </w:rPr>
        <w:t>基本支出</w:t>
      </w:r>
      <w:r>
        <w:rPr>
          <w:rFonts w:hint="eastAsia"/>
          <w:lang w:val="en-US" w:eastAsia="zh-CN"/>
        </w:rPr>
        <w:t>487.29</w:t>
      </w:r>
      <w:r>
        <w:rPr>
          <w:rFonts w:hint="eastAsia"/>
          <w:lang w:eastAsia="zh-CN"/>
        </w:rPr>
        <w:t>万元，占</w:t>
      </w:r>
      <w:r>
        <w:rPr>
          <w:rFonts w:hint="eastAsia"/>
          <w:lang w:val="en-US" w:eastAsia="zh-CN"/>
        </w:rPr>
        <w:t>45</w:t>
      </w:r>
      <w:r>
        <w:rPr>
          <w:rFonts w:hint="eastAsia"/>
          <w:lang w:eastAsia="zh-CN"/>
        </w:rPr>
        <w:t>%；项目支出</w:t>
      </w:r>
      <w:r>
        <w:rPr>
          <w:rFonts w:hint="eastAsia"/>
          <w:lang w:val="en-US" w:eastAsia="zh-CN"/>
        </w:rPr>
        <w:t>591.48</w:t>
      </w:r>
      <w:r>
        <w:rPr>
          <w:rFonts w:hint="eastAsia"/>
          <w:lang w:eastAsia="zh-CN"/>
        </w:rPr>
        <w:t>万元，占</w:t>
      </w:r>
      <w:r>
        <w:rPr>
          <w:rFonts w:hint="eastAsia"/>
          <w:lang w:val="en-US" w:eastAsia="zh-CN"/>
        </w:rPr>
        <w:t>55</w:t>
      </w:r>
      <w:r>
        <w:rPr>
          <w:rFonts w:hint="eastAsia"/>
          <w:lang w:eastAsia="zh-CN"/>
        </w:rPr>
        <w:t>%。</w:t>
      </w:r>
    </w:p>
    <w:p w14:paraId="78B0B73B">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三、部门整体预算绩效管理情况</w:t>
      </w:r>
    </w:p>
    <w:p w14:paraId="16BBFA7E">
      <w:pPr>
        <w:pStyle w:val="5"/>
        <w:bidi w:val="0"/>
        <w:rPr>
          <w:rFonts w:hint="eastAsia"/>
        </w:rPr>
      </w:pPr>
      <w:r>
        <w:rPr>
          <w:rFonts w:hint="eastAsia"/>
        </w:rPr>
        <w:t>（一）部门预算管理。</w:t>
      </w:r>
    </w:p>
    <w:p w14:paraId="488679A1">
      <w:pPr>
        <w:pStyle w:val="6"/>
        <w:bidi w:val="0"/>
        <w:rPr>
          <w:rFonts w:hint="eastAsia"/>
          <w:lang w:eastAsia="zh-CN"/>
        </w:rPr>
      </w:pPr>
      <w:r>
        <w:rPr>
          <w:rFonts w:hint="eastAsia"/>
          <w:lang w:eastAsia="zh-CN"/>
        </w:rPr>
        <w:t>按照县财政预算编制工作要求，我乡组织财务人员积极参与预算编制培训会，及时掌握预算编制口径等相关知识，结合单位工作实际，按照“两上两下”编制方式，全面、及时、完整地编制了单位预算，并经财政部门审核下达。</w:t>
      </w:r>
    </w:p>
    <w:p w14:paraId="5C74B36A">
      <w:pPr>
        <w:pStyle w:val="5"/>
        <w:bidi w:val="0"/>
        <w:rPr>
          <w:rFonts w:hint="eastAsia"/>
        </w:rPr>
      </w:pPr>
      <w:r>
        <w:rPr>
          <w:rFonts w:hint="eastAsia"/>
        </w:rPr>
        <w:t>（二）结果应用情况。</w:t>
      </w:r>
    </w:p>
    <w:p w14:paraId="00E88018">
      <w:pPr>
        <w:pStyle w:val="6"/>
        <w:bidi w:val="0"/>
        <w:rPr>
          <w:rFonts w:hint="eastAsia"/>
          <w:lang w:eastAsia="zh-CN"/>
        </w:rPr>
      </w:pPr>
      <w:r>
        <w:rPr>
          <w:rFonts w:hint="eastAsia"/>
          <w:lang w:eastAsia="zh-CN"/>
        </w:rPr>
        <w:t>在预算执行中，我乡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14:paraId="3550E368">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四、评价结论及建议</w:t>
      </w:r>
    </w:p>
    <w:p w14:paraId="251659D7">
      <w:pPr>
        <w:pStyle w:val="5"/>
        <w:bidi w:val="0"/>
        <w:rPr>
          <w:rFonts w:hint="eastAsia"/>
        </w:rPr>
      </w:pPr>
      <w:r>
        <w:rPr>
          <w:rFonts w:hint="eastAsia"/>
        </w:rPr>
        <w:t>（一）评价结论。</w:t>
      </w:r>
    </w:p>
    <w:p w14:paraId="38FDF66A">
      <w:pPr>
        <w:pStyle w:val="6"/>
        <w:bidi w:val="0"/>
        <w:rPr>
          <w:rFonts w:hint="eastAsia"/>
        </w:rPr>
      </w:pPr>
      <w:r>
        <w:rPr>
          <w:rFonts w:hint="eastAsia"/>
          <w:lang w:val="zh-CN" w:eastAsia="zh-CN"/>
        </w:rPr>
        <w:t>本年预算控制较好，人员经费和日常公用经费控制在年初预算以内，并在控制过程及时发现问题，快速查找原因，立即纠正偏差，整体评价良好，预算收入和支出较为相符。</w:t>
      </w:r>
    </w:p>
    <w:p w14:paraId="2BC6F84A">
      <w:pPr>
        <w:pStyle w:val="5"/>
        <w:bidi w:val="0"/>
        <w:rPr>
          <w:rFonts w:hint="eastAsia"/>
        </w:rPr>
      </w:pPr>
      <w:r>
        <w:rPr>
          <w:rFonts w:hint="eastAsia"/>
        </w:rPr>
        <w:t>（二）存在问题。</w:t>
      </w:r>
    </w:p>
    <w:p w14:paraId="5D69A944">
      <w:pPr>
        <w:pStyle w:val="6"/>
        <w:bidi w:val="0"/>
        <w:rPr>
          <w:rFonts w:hint="eastAsia"/>
        </w:rPr>
      </w:pPr>
      <w:r>
        <w:rPr>
          <w:rFonts w:hint="eastAsia"/>
          <w:lang w:val="zh-CN" w:eastAsia="zh-CN"/>
        </w:rPr>
        <w:t>一是资金使用效益有待进一步提高；二是预算编制先见性不足，与实际支出存在偏差；三是绩效目标设立不够明确、细化和量化。</w:t>
      </w:r>
    </w:p>
    <w:p w14:paraId="75DF8ED7">
      <w:pPr>
        <w:pStyle w:val="5"/>
        <w:bidi w:val="0"/>
        <w:rPr>
          <w:rFonts w:hint="eastAsia"/>
        </w:rPr>
      </w:pPr>
      <w:r>
        <w:rPr>
          <w:rFonts w:hint="eastAsia"/>
        </w:rPr>
        <w:t>（三）改进建议。</w:t>
      </w:r>
    </w:p>
    <w:p w14:paraId="29887045">
      <w:pPr>
        <w:pStyle w:val="6"/>
        <w:bidi w:val="0"/>
        <w:rPr>
          <w:rFonts w:hint="default"/>
          <w:lang w:val="en-US" w:eastAsia="zh-CN"/>
        </w:rPr>
      </w:pPr>
      <w:r>
        <w:t> </w:t>
      </w:r>
      <w:r>
        <w:rPr>
          <w:rFonts w:hint="eastAsia"/>
        </w:rPr>
        <w:t>一是</w:t>
      </w:r>
      <w:r>
        <w:rPr>
          <w:rFonts w:hint="eastAsia"/>
          <w:lang w:eastAsia="zh-CN"/>
        </w:rPr>
        <w:t>提高资金使用效益</w:t>
      </w:r>
      <w:r>
        <w:rPr>
          <w:rFonts w:hint="eastAsia"/>
        </w:rPr>
        <w:t>，</w:t>
      </w:r>
      <w:r>
        <w:rPr>
          <w:rFonts w:hint="eastAsia"/>
          <w:lang w:eastAsia="zh-CN"/>
        </w:rPr>
        <w:t>依据乡镇编制的明年计划表把每一分预算用在刀刃上；</w:t>
      </w:r>
      <w:r>
        <w:rPr>
          <w:rFonts w:hint="eastAsia"/>
        </w:rPr>
        <w:t>二是</w:t>
      </w:r>
      <w:r>
        <w:rPr>
          <w:rFonts w:hint="eastAsia"/>
          <w:lang w:eastAsia="zh-CN"/>
        </w:rPr>
        <w:t>岗位人员</w:t>
      </w:r>
      <w:r>
        <w:rPr>
          <w:rFonts w:hint="eastAsia"/>
        </w:rPr>
        <w:t>不断加强</w:t>
      </w:r>
      <w:r>
        <w:rPr>
          <w:rFonts w:hint="eastAsia"/>
          <w:lang w:eastAsia="zh-CN"/>
        </w:rPr>
        <w:t>专业能力素养，多依据往年实际情况</w:t>
      </w:r>
      <w:r>
        <w:rPr>
          <w:rFonts w:hint="eastAsia"/>
        </w:rPr>
        <w:t>做好预算的编制，</w:t>
      </w:r>
      <w:r>
        <w:rPr>
          <w:rFonts w:hint="eastAsia"/>
          <w:lang w:eastAsia="zh-CN"/>
        </w:rPr>
        <w:t>确保与实际支出尽量相符；三是不断完善内控制度，多多细化和量化绩效目标，从而</w:t>
      </w:r>
      <w:r>
        <w:rPr>
          <w:rFonts w:hint="eastAsia"/>
        </w:rPr>
        <w:t>增强预算的约束力和严肃性。</w:t>
      </w:r>
    </w:p>
    <w:p w14:paraId="152C84B8">
      <w:pPr>
        <w:pStyle w:val="6"/>
        <w:bidi w:val="0"/>
      </w:pPr>
    </w:p>
    <w:p w14:paraId="483114B0">
      <w:pPr>
        <w:pStyle w:val="6"/>
        <w:bidi w:val="0"/>
      </w:pPr>
      <w:r>
        <w:t> </w:t>
      </w:r>
    </w:p>
    <w:p w14:paraId="1BBCA387">
      <w:pPr>
        <w:pStyle w:val="6"/>
        <w:bidi w:val="0"/>
      </w:pPr>
    </w:p>
    <w:p w14:paraId="261296B8">
      <w:pPr>
        <w:pStyle w:val="6"/>
        <w:bidi w:val="0"/>
      </w:pPr>
    </w:p>
    <w:p w14:paraId="7424660A">
      <w:pPr>
        <w:pStyle w:val="6"/>
        <w:bidi w:val="0"/>
      </w:pPr>
    </w:p>
    <w:p w14:paraId="6589AF6D">
      <w:pPr>
        <w:pStyle w:val="6"/>
        <w:bidi w:val="0"/>
      </w:pPr>
    </w:p>
    <w:p w14:paraId="68667D85">
      <w:pPr>
        <w:pStyle w:val="6"/>
        <w:bidi w:val="0"/>
      </w:pPr>
    </w:p>
    <w:p w14:paraId="282914C3">
      <w:pPr>
        <w:pStyle w:val="6"/>
        <w:bidi w:val="0"/>
      </w:pPr>
    </w:p>
    <w:p w14:paraId="076BBCDE">
      <w:pPr>
        <w:pStyle w:val="6"/>
        <w:bidi w:val="0"/>
      </w:pPr>
    </w:p>
    <w:p w14:paraId="4C49AE2E">
      <w:pPr>
        <w:pStyle w:val="6"/>
        <w:bidi w:val="0"/>
      </w:pPr>
    </w:p>
    <w:p w14:paraId="2028BF7B">
      <w:pPr>
        <w:pStyle w:val="6"/>
        <w:bidi w:val="0"/>
      </w:pPr>
    </w:p>
    <w:p w14:paraId="374595AA">
      <w:pPr>
        <w:pStyle w:val="6"/>
        <w:bidi w:val="0"/>
      </w:pPr>
    </w:p>
    <w:p w14:paraId="3610C0D9">
      <w:pPr>
        <w:pStyle w:val="6"/>
        <w:bidi w:val="0"/>
      </w:pPr>
    </w:p>
    <w:p w14:paraId="2E6713D4">
      <w:pPr>
        <w:pStyle w:val="6"/>
        <w:bidi w:val="0"/>
      </w:pPr>
    </w:p>
    <w:p w14:paraId="1CEE38AD">
      <w:pPr>
        <w:pStyle w:val="6"/>
        <w:bidi w:val="0"/>
      </w:pPr>
    </w:p>
    <w:p w14:paraId="4695A721">
      <w:pPr>
        <w:pStyle w:val="6"/>
        <w:bidi w:val="0"/>
      </w:pPr>
    </w:p>
    <w:p w14:paraId="0EAEF136">
      <w:pPr>
        <w:pStyle w:val="6"/>
        <w:bidi w:val="0"/>
      </w:pPr>
    </w:p>
    <w:p w14:paraId="62ACD33C">
      <w:pPr>
        <w:pStyle w:val="6"/>
        <w:bidi w:val="0"/>
      </w:pPr>
    </w:p>
    <w:p w14:paraId="2DECD394">
      <w:pPr>
        <w:pStyle w:val="3"/>
        <w:bidi w:val="0"/>
        <w:jc w:val="left"/>
        <w:rPr>
          <w:rFonts w:hint="eastAsia"/>
        </w:rPr>
      </w:pPr>
      <w:bookmarkStart w:id="43" w:name="_Toc9222"/>
      <w:bookmarkStart w:id="44" w:name="_Toc4046"/>
      <w:r>
        <w:rPr>
          <w:rFonts w:hint="eastAsia"/>
        </w:rPr>
        <w:t>附件2 </w:t>
      </w:r>
      <w:bookmarkEnd w:id="43"/>
      <w:bookmarkEnd w:id="44"/>
    </w:p>
    <w:p w14:paraId="50EE2CB9">
      <w:pPr>
        <w:pStyle w:val="6"/>
        <w:bidi w:val="0"/>
      </w:pPr>
    </w:p>
    <w:p w14:paraId="62CCBC57">
      <w:pPr>
        <w:pStyle w:val="6"/>
        <w:keepNext w:val="0"/>
        <w:keepLines w:val="0"/>
        <w:pageBreakBefore w:val="0"/>
        <w:widowControl/>
        <w:kinsoku/>
        <w:wordWrap/>
        <w:overflowPunct/>
        <w:topLinePunct w:val="0"/>
        <w:autoSpaceDE/>
        <w:autoSpaceDN/>
        <w:bidi w:val="0"/>
        <w:adjustRightInd/>
        <w:snapToGrid/>
        <w:spacing w:line="660" w:lineRule="exact"/>
        <w:ind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lang w:eastAsia="zh-CN"/>
        </w:rPr>
        <w:t>庭院整治暨新型庭院经济发展</w:t>
      </w:r>
      <w:r>
        <w:rPr>
          <w:rFonts w:hint="eastAsia" w:ascii="黑体" w:hAnsi="黑体" w:eastAsia="黑体" w:cs="黑体"/>
          <w:sz w:val="44"/>
          <w:szCs w:val="44"/>
        </w:rPr>
        <w:t>项目</w:t>
      </w:r>
    </w:p>
    <w:p w14:paraId="708DDA4B">
      <w:pPr>
        <w:pStyle w:val="6"/>
        <w:keepNext w:val="0"/>
        <w:keepLines w:val="0"/>
        <w:pageBreakBefore w:val="0"/>
        <w:widowControl/>
        <w:kinsoku/>
        <w:wordWrap/>
        <w:overflowPunct/>
        <w:topLinePunct w:val="0"/>
        <w:autoSpaceDE/>
        <w:autoSpaceDN/>
        <w:bidi w:val="0"/>
        <w:adjustRightInd/>
        <w:snapToGrid/>
        <w:spacing w:line="660" w:lineRule="exact"/>
        <w:ind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rPr>
        <w:t>2020年绩效评价报告</w:t>
      </w:r>
    </w:p>
    <w:p w14:paraId="6CA038E7">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一、项目概况</w:t>
      </w:r>
    </w:p>
    <w:p w14:paraId="1EE6D6F0">
      <w:pPr>
        <w:pStyle w:val="5"/>
        <w:bidi w:val="0"/>
        <w:rPr>
          <w:rFonts w:hint="eastAsia"/>
        </w:rPr>
      </w:pPr>
      <w:r>
        <w:rPr>
          <w:rFonts w:hint="eastAsia"/>
        </w:rPr>
        <w:t>（一）项目基本情况。</w:t>
      </w:r>
    </w:p>
    <w:p w14:paraId="6BA7A9B3">
      <w:pPr>
        <w:pStyle w:val="6"/>
        <w:bidi w:val="0"/>
        <w:rPr>
          <w:lang w:val="zh-CN"/>
        </w:rPr>
      </w:pPr>
      <w:r>
        <w:rPr>
          <w:rFonts w:hint="eastAsia"/>
          <w:b/>
          <w:bCs/>
          <w:lang w:val="zh-CN"/>
        </w:rPr>
        <w:t>1</w:t>
      </w:r>
      <w:r>
        <w:rPr>
          <w:rFonts w:hint="eastAsia"/>
          <w:b/>
          <w:bCs/>
          <w:lang w:val="en-US" w:eastAsia="zh-CN"/>
        </w:rPr>
        <w:t>.</w:t>
      </w:r>
      <w:r>
        <w:rPr>
          <w:rFonts w:hint="eastAsia"/>
          <w:lang w:eastAsia="zh-CN"/>
        </w:rPr>
        <w:t>红原县查尔玛乡庭院整治暨新型庭院经济发展项目</w:t>
      </w:r>
      <w:r>
        <w:rPr>
          <w:rFonts w:hint="eastAsia"/>
          <w:lang w:val="zh-CN" w:eastAsia="zh-CN"/>
        </w:rPr>
        <w:t>实施单位</w:t>
      </w:r>
      <w:r>
        <w:rPr>
          <w:rFonts w:hint="eastAsia"/>
          <w:lang w:val="en-US" w:eastAsia="zh-CN"/>
        </w:rPr>
        <w:t>红原县查尔玛乡人民政府</w:t>
      </w:r>
      <w:r>
        <w:rPr>
          <w:rFonts w:hint="eastAsia"/>
        </w:rPr>
        <w:t>严格执行</w:t>
      </w:r>
      <w:r>
        <w:rPr>
          <w:rFonts w:hint="eastAsia"/>
          <w:lang w:eastAsia="zh-CN"/>
        </w:rPr>
        <w:t>脱贫攻坚</w:t>
      </w:r>
      <w:r>
        <w:rPr>
          <w:rFonts w:hint="eastAsia"/>
        </w:rPr>
        <w:t>项目建设管理相关要求</w:t>
      </w:r>
      <w:r>
        <w:rPr>
          <w:rFonts w:hint="eastAsia"/>
          <w:lang w:eastAsia="zh-CN"/>
        </w:rPr>
        <w:t>，</w:t>
      </w:r>
      <w:r>
        <w:rPr>
          <w:rFonts w:hint="eastAsia"/>
          <w:lang w:val="en-US" w:eastAsia="zh-CN"/>
        </w:rPr>
        <w:t>成立了由乡党委书记、乡长任组长的领导小组，</w:t>
      </w:r>
      <w:r>
        <w:rPr>
          <w:rFonts w:hint="eastAsia"/>
          <w:lang w:val="zh-CN" w:eastAsia="zh-CN"/>
        </w:rPr>
        <w:t>严格项目管理及实施。</w:t>
      </w:r>
    </w:p>
    <w:p w14:paraId="2544D12B">
      <w:pPr>
        <w:pStyle w:val="6"/>
        <w:bidi w:val="0"/>
        <w:rPr>
          <w:lang w:val="zh-CN"/>
        </w:rPr>
      </w:pPr>
      <w:r>
        <w:rPr>
          <w:rFonts w:hint="eastAsia"/>
          <w:b/>
          <w:bCs/>
          <w:lang w:val="en-US" w:eastAsia="zh-CN"/>
        </w:rPr>
        <w:t>2.</w:t>
      </w:r>
      <w:r>
        <w:rPr>
          <w:rFonts w:hint="eastAsia"/>
          <w:lang w:val="zh-CN" w:eastAsia="zh-CN"/>
        </w:rPr>
        <w:t>项目申报内容实施内容相符、合理可行。</w:t>
      </w:r>
    </w:p>
    <w:p w14:paraId="2EAE49B3">
      <w:pPr>
        <w:pStyle w:val="6"/>
        <w:bidi w:val="0"/>
        <w:rPr>
          <w:lang w:val="zh-CN"/>
        </w:rPr>
      </w:pPr>
      <w:r>
        <w:rPr>
          <w:rFonts w:hint="eastAsia" w:cs="宋体"/>
          <w:b/>
          <w:bCs/>
          <w:lang w:val="en-US" w:eastAsia="zh-CN"/>
        </w:rPr>
        <w:t>3.</w:t>
      </w:r>
      <w:r>
        <w:rPr>
          <w:rFonts w:hint="eastAsia"/>
          <w:lang w:val="zh-CN" w:eastAsia="zh-CN"/>
        </w:rPr>
        <w:t>该项目资金申报、批复等符合资金管理办法等相关规定。</w:t>
      </w:r>
    </w:p>
    <w:p w14:paraId="08E3DF67">
      <w:pPr>
        <w:pStyle w:val="6"/>
        <w:bidi w:val="0"/>
        <w:rPr>
          <w:lang w:val="zh-CN"/>
        </w:rPr>
      </w:pPr>
      <w:r>
        <w:rPr>
          <w:rFonts w:hint="eastAsia" w:cs="宋体"/>
          <w:b/>
          <w:bCs/>
          <w:lang w:val="en-US" w:eastAsia="zh-CN"/>
        </w:rPr>
        <w:t>4.</w:t>
      </w:r>
      <w:r>
        <w:rPr>
          <w:rFonts w:hint="eastAsia"/>
          <w:lang w:val="zh-CN"/>
        </w:rPr>
        <w:t>资金分配的原则及考虑因素。</w:t>
      </w:r>
    </w:p>
    <w:p w14:paraId="09759DDB">
      <w:pPr>
        <w:pStyle w:val="5"/>
        <w:bidi w:val="0"/>
        <w:rPr>
          <w:rFonts w:hint="eastAsia"/>
        </w:rPr>
      </w:pPr>
      <w:r>
        <w:rPr>
          <w:rFonts w:hint="eastAsia"/>
        </w:rPr>
        <w:t>（二）项目绩效目标。</w:t>
      </w:r>
    </w:p>
    <w:p w14:paraId="6D0F3175">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zh-CN"/>
        </w:rPr>
        <w:t>1．项目主要内容。</w:t>
      </w:r>
    </w:p>
    <w:p w14:paraId="002B8A58">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bCs/>
          <w:sz w:val="32"/>
          <w:lang w:eastAsia="zh-CN"/>
        </w:rPr>
        <w:t>红原县查尔玛乡改造示范户庭院环境干净整洁，并长期保持，院内绿化规范，庭院经济发展规范，满足自产自销基本条件</w:t>
      </w:r>
      <w:r>
        <w:rPr>
          <w:rFonts w:hint="eastAsia" w:ascii="仿宋_GB2312" w:hAnsi="仿宋_GB2312" w:eastAsia="仿宋_GB2312" w:cs="仿宋_GB2312"/>
          <w:bCs/>
          <w:sz w:val="32"/>
          <w:lang w:val="en-US" w:eastAsia="zh-CN"/>
        </w:rPr>
        <w:t>。该项目于2020年4月签订合同，于2020年7月完成项目建设内</w:t>
      </w:r>
      <w:r>
        <w:rPr>
          <w:rFonts w:hint="eastAsia" w:ascii="仿宋_GB2312" w:hAnsi="宋体" w:eastAsia="仿宋_GB2312" w:cs="仿宋_GB2312"/>
          <w:kern w:val="2"/>
          <w:sz w:val="32"/>
          <w:szCs w:val="24"/>
          <w:lang w:val="en-US" w:eastAsia="zh-CN" w:bidi="ar"/>
        </w:rPr>
        <w:t>容并完成99%的资金拨付。该项目良好完成计划目标，截止评价时已完成任务量100%，符合相关质量标准，符合成本控制目标。</w:t>
      </w:r>
    </w:p>
    <w:p w14:paraId="63A59379">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zh-CN"/>
        </w:rPr>
        <w:t>2．项目应实现的具体绩效目标，包括目标的量化、细化情况以及项目实施进度计划等。</w:t>
      </w:r>
    </w:p>
    <w:p w14:paraId="7C6AC284">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kern w:val="2"/>
          <w:sz w:val="32"/>
          <w:szCs w:val="24"/>
          <w:lang w:val="en-US" w:eastAsia="zh-CN" w:bidi="ar"/>
        </w:rPr>
        <w:t>该项目于2020年4月签订合同，于2020年7月完成项目建设内容并完成99%的资金拨付。该项目良好完成计划目标，截止评价时已完成任务量100%，符合相关质量标准，符合成本控制目标。</w:t>
      </w:r>
    </w:p>
    <w:p w14:paraId="05083DC4">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zh-CN"/>
        </w:rPr>
        <w:t>3．分析评价申报内容是否与实际相符，申报目标是否合理可行。</w:t>
      </w:r>
    </w:p>
    <w:p w14:paraId="765803E3">
      <w:pPr>
        <w:pStyle w:val="6"/>
        <w:bidi w:val="0"/>
        <w:rPr>
          <w:rFonts w:hint="eastAsia"/>
          <w:lang w:val="zh-CN" w:eastAsia="zh-CN"/>
        </w:rPr>
      </w:pPr>
      <w:r>
        <w:rPr>
          <w:rFonts w:hint="eastAsia"/>
          <w:lang w:val="zh-CN" w:eastAsia="zh-CN"/>
        </w:rPr>
        <w:t>项目申报内容与实施内容相符、合理可行。</w:t>
      </w:r>
    </w:p>
    <w:p w14:paraId="3062CEA5">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二、项目资金申报及使用情况</w:t>
      </w:r>
    </w:p>
    <w:p w14:paraId="773F8117">
      <w:pPr>
        <w:pStyle w:val="5"/>
        <w:bidi w:val="0"/>
        <w:rPr>
          <w:rFonts w:hint="eastAsia"/>
        </w:rPr>
      </w:pPr>
      <w:r>
        <w:rPr>
          <w:rFonts w:hint="eastAsia"/>
        </w:rPr>
        <w:t>（一）项目资金申报及批复情况。</w:t>
      </w:r>
    </w:p>
    <w:p w14:paraId="65CBBC61">
      <w:pPr>
        <w:adjustRightInd w:val="0"/>
        <w:snapToGrid w:val="0"/>
        <w:spacing w:line="600" w:lineRule="exact"/>
        <w:ind w:firstLine="720"/>
        <w:rPr>
          <w:rFonts w:hint="eastAsia" w:ascii="楷体_GB2312" w:hAnsi="楷体_GB2312" w:eastAsia="楷体_GB2312" w:cs="楷体_GB2312"/>
          <w:b/>
          <w:bCs/>
          <w:sz w:val="32"/>
          <w:szCs w:val="32"/>
        </w:rPr>
      </w:pPr>
      <w:r>
        <w:rPr>
          <w:rFonts w:hint="eastAsia" w:ascii="仿宋_GB2312" w:hAnsi="宋体" w:eastAsia="仿宋_GB2312" w:cs="仿宋_GB2312"/>
          <w:kern w:val="2"/>
          <w:sz w:val="32"/>
          <w:szCs w:val="24"/>
          <w:lang w:val="zh-CN" w:eastAsia="zh-CN" w:bidi="ar"/>
        </w:rPr>
        <w:t>该项目资金申报、批复等符合资金管理办法等相关规定。</w:t>
      </w:r>
    </w:p>
    <w:p w14:paraId="75A4FE58">
      <w:pPr>
        <w:pStyle w:val="5"/>
        <w:bidi w:val="0"/>
        <w:rPr>
          <w:rFonts w:hint="eastAsia" w:eastAsia="楷体_GB2312"/>
          <w:lang w:eastAsia="zh-CN"/>
        </w:rPr>
      </w:pPr>
      <w:r>
        <w:rPr>
          <w:rFonts w:hint="eastAsia"/>
        </w:rPr>
        <w:t>（二）资金计划、到位及使用情况</w:t>
      </w:r>
      <w:r>
        <w:rPr>
          <w:rFonts w:hint="eastAsia"/>
          <w:lang w:eastAsia="zh-CN"/>
        </w:rPr>
        <w:t>。</w:t>
      </w:r>
    </w:p>
    <w:p w14:paraId="54B1115E">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宋体"/>
          <w:b/>
          <w:bCs/>
          <w:sz w:val="32"/>
          <w:szCs w:val="32"/>
          <w:lang w:val="zh-CN"/>
        </w:rPr>
        <w:t>1．资金计划。</w:t>
      </w:r>
      <w:r>
        <w:rPr>
          <w:rFonts w:hint="eastAsia" w:ascii="仿宋_GB2312" w:hAnsi="宋体" w:eastAsia="仿宋_GB2312" w:cs="仿宋_GB2312"/>
          <w:kern w:val="2"/>
          <w:sz w:val="32"/>
          <w:szCs w:val="24"/>
          <w:lang w:val="zh-CN" w:eastAsia="zh-CN" w:bidi="ar"/>
        </w:rPr>
        <w:t>该项目资金来源于</w:t>
      </w:r>
      <w:r>
        <w:rPr>
          <w:rFonts w:hint="eastAsia" w:ascii="仿宋_GB2312" w:hAnsi="宋体" w:eastAsia="仿宋_GB2312" w:cs="仿宋_GB2312"/>
          <w:kern w:val="2"/>
          <w:sz w:val="32"/>
          <w:szCs w:val="24"/>
          <w:lang w:val="en-US" w:eastAsia="zh-CN" w:bidi="ar"/>
        </w:rPr>
        <w:t>2020年</w:t>
      </w:r>
      <w:r>
        <w:rPr>
          <w:rFonts w:hint="eastAsia" w:ascii="仿宋_GB2312" w:hAnsi="宋体" w:eastAsia="仿宋_GB2312" w:cs="仿宋_GB2312"/>
          <w:kern w:val="2"/>
          <w:sz w:val="32"/>
          <w:szCs w:val="24"/>
          <w:lang w:val="zh-CN" w:eastAsia="zh-CN" w:bidi="ar"/>
        </w:rPr>
        <w:t>年脱贫攻坚资金计划第一批</w:t>
      </w:r>
      <w:r>
        <w:rPr>
          <w:rFonts w:hint="eastAsia" w:ascii="仿宋_GB2312" w:hAnsi="仿宋" w:eastAsia="仿宋_GB2312"/>
          <w:sz w:val="32"/>
          <w:szCs w:val="32"/>
          <w:lang w:eastAsia="zh-CN"/>
        </w:rPr>
        <w:t>，</w:t>
      </w:r>
      <w:r>
        <w:rPr>
          <w:rFonts w:hint="eastAsia" w:ascii="仿宋_GB2312" w:hAnsi="宋体" w:eastAsia="仿宋_GB2312" w:cs="仿宋_GB2312"/>
          <w:kern w:val="2"/>
          <w:sz w:val="32"/>
          <w:szCs w:val="24"/>
          <w:lang w:val="en-US" w:eastAsia="zh-CN" w:bidi="ar"/>
        </w:rPr>
        <w:t xml:space="preserve"> 资金下达10万元</w:t>
      </w:r>
      <w:r>
        <w:rPr>
          <w:rFonts w:hint="eastAsia" w:ascii="仿宋_GB2312" w:hAnsi="宋体" w:eastAsia="仿宋_GB2312"/>
          <w:sz w:val="32"/>
          <w:szCs w:val="32"/>
          <w:lang w:val="zh-CN"/>
        </w:rPr>
        <w:t>。</w:t>
      </w:r>
    </w:p>
    <w:p w14:paraId="239CFD0D">
      <w:pPr>
        <w:adjustRightInd w:val="0"/>
        <w:snapToGrid w:val="0"/>
        <w:spacing w:line="600" w:lineRule="exact"/>
        <w:ind w:firstLine="720"/>
        <w:rPr>
          <w:rFonts w:hint="eastAsia" w:ascii="仿宋_GB2312" w:hAnsi="宋体" w:eastAsia="仿宋_GB2312" w:cs="仿宋_GB2312"/>
          <w:kern w:val="2"/>
          <w:sz w:val="32"/>
          <w:szCs w:val="24"/>
          <w:lang w:val="zh-CN" w:eastAsia="zh-CN" w:bidi="ar"/>
        </w:rPr>
      </w:pPr>
      <w:r>
        <w:rPr>
          <w:rFonts w:hint="eastAsia" w:ascii="仿宋_GB2312" w:hAnsi="宋体" w:eastAsia="仿宋_GB2312" w:cs="宋体"/>
          <w:b/>
          <w:bCs/>
          <w:sz w:val="32"/>
          <w:szCs w:val="32"/>
          <w:lang w:val="zh-CN" w:eastAsia="zh-CN"/>
        </w:rPr>
        <w:t>2．资金到位。</w:t>
      </w:r>
      <w:r>
        <w:rPr>
          <w:rFonts w:hint="eastAsia" w:ascii="仿宋_GB2312" w:hAnsi="宋体" w:eastAsia="仿宋_GB2312" w:cs="仿宋_GB2312"/>
          <w:kern w:val="2"/>
          <w:sz w:val="32"/>
          <w:szCs w:val="24"/>
          <w:lang w:val="zh-CN" w:eastAsia="zh-CN" w:bidi="ar"/>
        </w:rPr>
        <w:t>该项目资金来源于</w:t>
      </w:r>
      <w:r>
        <w:rPr>
          <w:rFonts w:hint="eastAsia" w:ascii="仿宋_GB2312" w:hAnsi="宋体" w:eastAsia="仿宋_GB2312" w:cs="仿宋_GB2312"/>
          <w:kern w:val="2"/>
          <w:sz w:val="32"/>
          <w:szCs w:val="24"/>
          <w:lang w:val="en-US" w:eastAsia="zh-CN" w:bidi="ar"/>
        </w:rPr>
        <w:t>2020年</w:t>
      </w:r>
      <w:r>
        <w:rPr>
          <w:rFonts w:hint="eastAsia" w:ascii="仿宋_GB2312" w:hAnsi="宋体" w:eastAsia="仿宋_GB2312" w:cs="仿宋_GB2312"/>
          <w:kern w:val="2"/>
          <w:sz w:val="32"/>
          <w:szCs w:val="24"/>
          <w:lang w:val="zh-CN" w:eastAsia="zh-CN" w:bidi="ar"/>
        </w:rPr>
        <w:t>年脱贫攻坚资金计划第一批，</w:t>
      </w:r>
      <w:r>
        <w:rPr>
          <w:rFonts w:hint="eastAsia" w:ascii="仿宋_GB2312" w:hAnsi="宋体" w:eastAsia="仿宋_GB2312" w:cs="仿宋_GB2312"/>
          <w:kern w:val="2"/>
          <w:sz w:val="32"/>
          <w:szCs w:val="24"/>
          <w:lang w:val="en-US" w:eastAsia="zh-CN" w:bidi="ar"/>
        </w:rPr>
        <w:t xml:space="preserve"> 资金下达10万元，</w:t>
      </w:r>
      <w:r>
        <w:rPr>
          <w:rFonts w:hint="eastAsia" w:ascii="仿宋_GB2312" w:hAnsi="宋体" w:eastAsia="仿宋_GB2312" w:cs="仿宋_GB2312"/>
          <w:kern w:val="2"/>
          <w:sz w:val="32"/>
          <w:szCs w:val="24"/>
          <w:lang w:val="zh-CN" w:eastAsia="zh-CN" w:bidi="ar"/>
        </w:rPr>
        <w:t>资金到位资金到位率</w:t>
      </w:r>
      <w:r>
        <w:rPr>
          <w:rFonts w:hint="eastAsia" w:ascii="仿宋_GB2312" w:hAnsi="宋体" w:eastAsia="仿宋_GB2312" w:cs="仿宋_GB2312"/>
          <w:kern w:val="2"/>
          <w:sz w:val="32"/>
          <w:szCs w:val="24"/>
          <w:lang w:val="en-US" w:eastAsia="zh-CN" w:bidi="ar"/>
        </w:rPr>
        <w:t>100%</w:t>
      </w:r>
      <w:r>
        <w:rPr>
          <w:rFonts w:hint="eastAsia" w:ascii="仿宋_GB2312" w:hAnsi="宋体" w:eastAsia="仿宋_GB2312" w:cs="仿宋_GB2312"/>
          <w:kern w:val="2"/>
          <w:sz w:val="32"/>
          <w:szCs w:val="24"/>
          <w:lang w:val="zh-CN" w:eastAsia="zh-CN" w:bidi="ar"/>
        </w:rPr>
        <w:t>，下达及时。</w:t>
      </w:r>
    </w:p>
    <w:p w14:paraId="28F92A27">
      <w:pPr>
        <w:adjustRightInd w:val="0"/>
        <w:snapToGrid w:val="0"/>
        <w:spacing w:line="600" w:lineRule="exact"/>
        <w:ind w:firstLine="720"/>
        <w:rPr>
          <w:rFonts w:hint="eastAsia" w:ascii="仿宋_GB2312" w:hAnsi="宋体" w:eastAsia="仿宋_GB2312" w:cs="仿宋_GB2312"/>
          <w:kern w:val="2"/>
          <w:sz w:val="32"/>
          <w:szCs w:val="24"/>
          <w:lang w:val="zh-CN" w:eastAsia="zh-CN" w:bidi="ar"/>
        </w:rPr>
      </w:pPr>
      <w:r>
        <w:rPr>
          <w:rFonts w:hint="eastAsia" w:ascii="仿宋_GB2312" w:hAnsi="宋体" w:eastAsia="仿宋_GB2312" w:cs="宋体"/>
          <w:b/>
          <w:bCs/>
          <w:sz w:val="32"/>
          <w:szCs w:val="32"/>
          <w:lang w:val="zh-CN" w:eastAsia="zh-CN"/>
        </w:rPr>
        <w:t>3．资金使用。</w:t>
      </w:r>
      <w:r>
        <w:rPr>
          <w:rFonts w:hint="eastAsia" w:ascii="仿宋_GB2312" w:hAnsi="宋体" w:eastAsia="仿宋_GB2312" w:cs="仿宋_GB2312"/>
          <w:kern w:val="2"/>
          <w:sz w:val="32"/>
          <w:szCs w:val="24"/>
          <w:lang w:val="zh-CN" w:eastAsia="zh-CN" w:bidi="ar"/>
        </w:rPr>
        <w:t>截止目前，项目使用</w:t>
      </w:r>
      <w:r>
        <w:rPr>
          <w:rFonts w:hint="eastAsia" w:ascii="仿宋_GB2312" w:hAnsi="宋体" w:eastAsia="仿宋_GB2312" w:cs="仿宋_GB2312"/>
          <w:kern w:val="2"/>
          <w:sz w:val="32"/>
          <w:szCs w:val="24"/>
          <w:lang w:val="en-US" w:eastAsia="zh-CN" w:bidi="ar"/>
        </w:rPr>
        <w:t>10万元，其中</w:t>
      </w:r>
      <w:r>
        <w:rPr>
          <w:rFonts w:hint="eastAsia" w:ascii="仿宋_GB2312" w:hAnsi="宋体" w:eastAsia="仿宋_GB2312" w:cs="仿宋_GB2312"/>
          <w:kern w:val="2"/>
          <w:sz w:val="32"/>
          <w:szCs w:val="24"/>
          <w:lang w:val="zh-CN" w:eastAsia="zh-CN" w:bidi="ar"/>
        </w:rPr>
        <w:t>已拨付项目资金</w:t>
      </w:r>
      <w:r>
        <w:rPr>
          <w:rFonts w:hint="eastAsia" w:ascii="仿宋_GB2312" w:hAnsi="宋体" w:eastAsia="仿宋_GB2312" w:cs="仿宋_GB2312"/>
          <w:kern w:val="2"/>
          <w:sz w:val="32"/>
          <w:szCs w:val="24"/>
          <w:lang w:val="en-US" w:eastAsia="zh-CN" w:bidi="ar"/>
        </w:rPr>
        <w:t>9.98万元占100%，</w:t>
      </w:r>
      <w:r>
        <w:rPr>
          <w:rFonts w:hint="eastAsia" w:ascii="仿宋_GB2312" w:hAnsi="宋体" w:eastAsia="仿宋_GB2312" w:cs="仿宋_GB2312"/>
          <w:kern w:val="2"/>
          <w:sz w:val="32"/>
          <w:szCs w:val="24"/>
          <w:lang w:val="zh-CN" w:eastAsia="zh-CN" w:bidi="ar"/>
        </w:rPr>
        <w:t>支付依据合规合法，资金支付与预算相符。</w:t>
      </w:r>
    </w:p>
    <w:p w14:paraId="510C89BD">
      <w:pPr>
        <w:pStyle w:val="5"/>
        <w:bidi w:val="0"/>
        <w:rPr>
          <w:rFonts w:hint="eastAsia"/>
        </w:rPr>
      </w:pPr>
      <w:r>
        <w:rPr>
          <w:rFonts w:hint="eastAsia"/>
        </w:rPr>
        <w:t>（三）项目财务管理情况。</w:t>
      </w:r>
    </w:p>
    <w:p w14:paraId="2BA9CE2A">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仿宋_GB2312" w:hAnsi="仿宋_GB2312" w:eastAsia="仿宋_GB2312" w:cs="仿宋_GB2312"/>
          <w:bCs/>
          <w:sz w:val="32"/>
          <w:lang w:eastAsia="zh-CN"/>
        </w:rPr>
        <w:t>红原县查尔玛乡庭院整治暨新型庭院经济发展项目</w:t>
      </w:r>
      <w:r>
        <w:rPr>
          <w:rFonts w:hint="eastAsia" w:ascii="仿宋_GB2312" w:hAnsi="宋体" w:eastAsia="仿宋_GB2312" w:cs="仿宋_GB2312"/>
          <w:kern w:val="2"/>
          <w:sz w:val="32"/>
          <w:szCs w:val="24"/>
          <w:lang w:val="zh-CN" w:eastAsia="zh-CN" w:bidi="ar"/>
        </w:rPr>
        <w:t>实施单位</w:t>
      </w:r>
      <w:r>
        <w:rPr>
          <w:rFonts w:hint="eastAsia" w:ascii="仿宋_GB2312" w:hAnsi="宋体" w:eastAsia="仿宋_GB2312" w:cs="仿宋_GB2312"/>
          <w:kern w:val="2"/>
          <w:sz w:val="32"/>
          <w:szCs w:val="24"/>
          <w:lang w:val="en-US" w:eastAsia="zh-CN" w:bidi="ar"/>
        </w:rPr>
        <w:t>红原县查尔玛乡人民政府</w:t>
      </w:r>
      <w:r>
        <w:rPr>
          <w:rFonts w:hint="eastAsia" w:ascii="仿宋_GB2312" w:hAnsi="仿宋_GB2312" w:eastAsia="仿宋_GB2312" w:cs="仿宋_GB2312"/>
          <w:spacing w:val="6"/>
          <w:sz w:val="32"/>
          <w:szCs w:val="32"/>
        </w:rPr>
        <w:t>严格执行</w:t>
      </w:r>
      <w:r>
        <w:rPr>
          <w:rFonts w:hint="eastAsia" w:ascii="仿宋_GB2312" w:hAnsi="仿宋_GB2312" w:eastAsia="仿宋_GB2312" w:cs="仿宋_GB2312"/>
          <w:spacing w:val="6"/>
          <w:sz w:val="32"/>
          <w:szCs w:val="32"/>
          <w:lang w:eastAsia="zh-CN"/>
        </w:rPr>
        <w:t>脱贫攻坚</w:t>
      </w:r>
      <w:r>
        <w:rPr>
          <w:rFonts w:hint="eastAsia" w:ascii="仿宋_GB2312" w:hAnsi="仿宋_GB2312" w:eastAsia="仿宋_GB2312" w:cs="仿宋_GB2312"/>
          <w:spacing w:val="6"/>
          <w:sz w:val="32"/>
          <w:szCs w:val="32"/>
        </w:rPr>
        <w:t>项目建设管理相关要求</w:t>
      </w:r>
      <w:r>
        <w:rPr>
          <w:rFonts w:hint="eastAsia" w:ascii="仿宋_GB2312" w:hAnsi="仿宋_GB2312" w:eastAsia="仿宋_GB2312" w:cs="仿宋_GB2312"/>
          <w:spacing w:val="6"/>
          <w:sz w:val="32"/>
          <w:szCs w:val="32"/>
          <w:lang w:eastAsia="zh-CN"/>
        </w:rPr>
        <w:t>，</w:t>
      </w:r>
      <w:r>
        <w:rPr>
          <w:rFonts w:hint="eastAsia" w:ascii="仿宋_GB2312" w:hAnsi="宋体" w:eastAsia="仿宋_GB2312" w:cs="仿宋_GB2312"/>
          <w:kern w:val="2"/>
          <w:sz w:val="32"/>
          <w:szCs w:val="24"/>
          <w:lang w:val="zh-CN" w:eastAsia="zh-CN" w:bidi="ar"/>
        </w:rPr>
        <w:t>建立健全了财务管理制度</w:t>
      </w:r>
      <w:r>
        <w:rPr>
          <w:rFonts w:hint="eastAsia" w:ascii="仿宋_GB2312" w:hAnsi="宋体" w:eastAsia="仿宋_GB2312" w:cs="仿宋_GB2312"/>
          <w:kern w:val="2"/>
          <w:sz w:val="32"/>
          <w:szCs w:val="24"/>
          <w:lang w:val="en-US" w:eastAsia="zh-CN" w:bidi="ar"/>
        </w:rPr>
        <w:t xml:space="preserve"> ，并成立了由乡党委书记、乡长任组长的领导小组，</w:t>
      </w:r>
      <w:r>
        <w:rPr>
          <w:rFonts w:hint="eastAsia" w:ascii="仿宋_GB2312" w:hAnsi="宋体" w:eastAsia="仿宋_GB2312" w:cs="仿宋_GB2312"/>
          <w:kern w:val="2"/>
          <w:sz w:val="32"/>
          <w:szCs w:val="24"/>
          <w:lang w:val="zh-CN" w:eastAsia="zh-CN" w:bidi="ar"/>
        </w:rPr>
        <w:t>严格执行财务管理制度，督促项目管理及实施，财务处理及时、会计核算规范。</w:t>
      </w:r>
    </w:p>
    <w:p w14:paraId="22932A79">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lang w:eastAsia="zh-CN"/>
        </w:rPr>
      </w:pPr>
      <w:r>
        <w:rPr>
          <w:rFonts w:hint="eastAsia" w:ascii="黑体" w:hAnsi="黑体" w:eastAsia="黑体" w:cs="黑体"/>
          <w:b/>
          <w:bCs/>
        </w:rPr>
        <w:t>三、项目实施及管理情况</w:t>
      </w:r>
    </w:p>
    <w:p w14:paraId="7F7D2015">
      <w:pPr>
        <w:pStyle w:val="6"/>
        <w:bidi w:val="0"/>
        <w:rPr>
          <w:rFonts w:hint="eastAsia"/>
        </w:rPr>
      </w:pPr>
      <w:r>
        <w:rPr>
          <w:rStyle w:val="21"/>
          <w:rFonts w:hint="eastAsia"/>
          <w:lang w:eastAsia="zh-CN"/>
        </w:rPr>
        <w:t>（一）</w:t>
      </w:r>
      <w:r>
        <w:rPr>
          <w:rStyle w:val="21"/>
          <w:rFonts w:hint="eastAsia"/>
        </w:rPr>
        <w:t>项目组织架构及实施流程。</w:t>
      </w:r>
      <w:r>
        <w:rPr>
          <w:rFonts w:hint="eastAsia"/>
          <w:lang w:eastAsia="zh-CN"/>
        </w:rPr>
        <w:t>红原县查尔玛乡庭院整治暨新型庭院经济发展项目</w:t>
      </w:r>
      <w:r>
        <w:rPr>
          <w:rFonts w:hint="eastAsia"/>
          <w:lang w:val="zh-CN" w:eastAsia="zh-CN"/>
        </w:rPr>
        <w:t>实施单位</w:t>
      </w:r>
      <w:r>
        <w:rPr>
          <w:rFonts w:hint="eastAsia"/>
          <w:lang w:val="en-US" w:eastAsia="zh-CN"/>
        </w:rPr>
        <w:t>红原县查尔玛乡人民政府</w:t>
      </w:r>
      <w:r>
        <w:rPr>
          <w:rFonts w:hint="eastAsia"/>
        </w:rPr>
        <w:t>严格执行</w:t>
      </w:r>
      <w:r>
        <w:rPr>
          <w:rFonts w:hint="eastAsia"/>
          <w:lang w:eastAsia="zh-CN"/>
        </w:rPr>
        <w:t>脱贫攻坚</w:t>
      </w:r>
      <w:r>
        <w:rPr>
          <w:rFonts w:hint="eastAsia"/>
        </w:rPr>
        <w:t>项目建设管理相关要求</w:t>
      </w:r>
      <w:r>
        <w:rPr>
          <w:rFonts w:hint="eastAsia"/>
          <w:lang w:eastAsia="zh-CN"/>
        </w:rPr>
        <w:t>，</w:t>
      </w:r>
      <w:r>
        <w:rPr>
          <w:rFonts w:hint="eastAsia"/>
          <w:lang w:val="zh-CN" w:eastAsia="zh-CN"/>
        </w:rPr>
        <w:t>建立健全了财务管理制度</w:t>
      </w:r>
      <w:r>
        <w:rPr>
          <w:rFonts w:hint="eastAsia"/>
          <w:lang w:val="en-US" w:eastAsia="zh-CN"/>
        </w:rPr>
        <w:t xml:space="preserve"> ，并成立了由乡党委书记、乡长任组长的领导小组，</w:t>
      </w:r>
      <w:r>
        <w:rPr>
          <w:rFonts w:hint="eastAsia"/>
          <w:lang w:val="zh-CN" w:eastAsia="zh-CN"/>
        </w:rPr>
        <w:t>严格执行财务管理制度，督促项目管理及实施，财务处理及时、会计核算规范。</w:t>
      </w:r>
    </w:p>
    <w:p w14:paraId="031CD9F0">
      <w:pPr>
        <w:keepNext w:val="0"/>
        <w:keepLines w:val="0"/>
        <w:widowControl w:val="0"/>
        <w:suppressLineNumbers w:val="0"/>
        <w:adjustRightInd w:val="0"/>
        <w:snapToGrid w:val="0"/>
        <w:spacing w:before="0" w:beforeAutospacing="0" w:after="0" w:afterAutospacing="0" w:line="580" w:lineRule="exact"/>
        <w:ind w:right="0" w:firstLine="643" w:firstLineChars="200"/>
        <w:jc w:val="both"/>
      </w:pPr>
      <w:r>
        <w:rPr>
          <w:rStyle w:val="21"/>
          <w:rFonts w:hint="eastAsia"/>
        </w:rPr>
        <w:t>（二）项目管理情况。</w:t>
      </w:r>
      <w:r>
        <w:rPr>
          <w:rFonts w:hint="eastAsia" w:ascii="仿宋_GB2312" w:hAnsi="仿宋_GB2312" w:eastAsia="仿宋_GB2312" w:cs="仿宋_GB2312"/>
          <w:bCs/>
          <w:sz w:val="32"/>
          <w:lang w:eastAsia="zh-CN"/>
        </w:rPr>
        <w:t>红原县查尔玛乡庭院整治暨新型庭院经济发展项目</w:t>
      </w:r>
      <w:r>
        <w:rPr>
          <w:rFonts w:hint="eastAsia" w:ascii="仿宋_GB2312" w:hAnsi="宋体" w:eastAsia="仿宋_GB2312" w:cs="仿宋_GB2312"/>
          <w:kern w:val="2"/>
          <w:sz w:val="32"/>
          <w:szCs w:val="24"/>
          <w:lang w:val="zh-CN" w:eastAsia="zh-CN" w:bidi="ar"/>
        </w:rPr>
        <w:t>实施单位</w:t>
      </w:r>
      <w:r>
        <w:rPr>
          <w:rFonts w:hint="eastAsia" w:ascii="仿宋_GB2312" w:hAnsi="宋体" w:eastAsia="仿宋_GB2312" w:cs="仿宋_GB2312"/>
          <w:kern w:val="2"/>
          <w:sz w:val="32"/>
          <w:szCs w:val="24"/>
          <w:lang w:val="en-US" w:eastAsia="zh-CN" w:bidi="ar"/>
        </w:rPr>
        <w:t>红原县查尔玛乡人民政府</w:t>
      </w:r>
      <w:r>
        <w:rPr>
          <w:rFonts w:hint="eastAsia" w:ascii="仿宋_GB2312" w:hAnsi="仿宋_GB2312" w:eastAsia="仿宋_GB2312" w:cs="仿宋_GB2312"/>
          <w:spacing w:val="6"/>
          <w:sz w:val="32"/>
          <w:szCs w:val="32"/>
        </w:rPr>
        <w:t>严格执行</w:t>
      </w:r>
      <w:r>
        <w:rPr>
          <w:rFonts w:hint="eastAsia" w:ascii="仿宋_GB2312" w:hAnsi="仿宋_GB2312" w:eastAsia="仿宋_GB2312" w:cs="仿宋_GB2312"/>
          <w:spacing w:val="6"/>
          <w:sz w:val="32"/>
          <w:szCs w:val="32"/>
          <w:lang w:eastAsia="zh-CN"/>
        </w:rPr>
        <w:t>脱贫攻坚</w:t>
      </w:r>
      <w:r>
        <w:rPr>
          <w:rFonts w:hint="eastAsia" w:ascii="仿宋_GB2312" w:hAnsi="仿宋_GB2312" w:eastAsia="仿宋_GB2312" w:cs="仿宋_GB2312"/>
          <w:spacing w:val="6"/>
          <w:sz w:val="32"/>
          <w:szCs w:val="32"/>
        </w:rPr>
        <w:t>项目建设管理相关要求</w:t>
      </w:r>
      <w:r>
        <w:rPr>
          <w:rFonts w:hint="eastAsia" w:ascii="仿宋_GB2312" w:hAnsi="仿宋_GB2312" w:eastAsia="仿宋_GB2312" w:cs="仿宋_GB2312"/>
          <w:spacing w:val="6"/>
          <w:sz w:val="32"/>
          <w:szCs w:val="32"/>
          <w:lang w:eastAsia="zh-CN"/>
        </w:rPr>
        <w:t>，</w:t>
      </w:r>
      <w:r>
        <w:rPr>
          <w:rFonts w:hint="eastAsia" w:ascii="仿宋_GB2312" w:hAnsi="宋体" w:eastAsia="仿宋_GB2312" w:cs="仿宋_GB2312"/>
          <w:kern w:val="2"/>
          <w:sz w:val="32"/>
          <w:szCs w:val="24"/>
          <w:lang w:val="zh-CN" w:eastAsia="zh-CN" w:bidi="ar"/>
        </w:rPr>
        <w:t>建立健全了财务管理制度</w:t>
      </w:r>
      <w:r>
        <w:rPr>
          <w:rFonts w:hint="eastAsia" w:ascii="仿宋_GB2312" w:hAnsi="宋体" w:eastAsia="仿宋_GB2312" w:cs="仿宋_GB2312"/>
          <w:kern w:val="2"/>
          <w:sz w:val="32"/>
          <w:szCs w:val="24"/>
          <w:lang w:val="en-US" w:eastAsia="zh-CN" w:bidi="ar"/>
        </w:rPr>
        <w:t xml:space="preserve"> ，并成立了由乡党委书记、乡长任组长的领导小组，</w:t>
      </w:r>
      <w:r>
        <w:rPr>
          <w:rFonts w:hint="eastAsia" w:ascii="仿宋_GB2312" w:hAnsi="宋体" w:eastAsia="仿宋_GB2312" w:cs="仿宋_GB2312"/>
          <w:kern w:val="2"/>
          <w:sz w:val="32"/>
          <w:szCs w:val="24"/>
          <w:lang w:val="zh-CN" w:eastAsia="zh-CN" w:bidi="ar"/>
        </w:rPr>
        <w:t>严格督促项目管理及实施，财务等的规范。</w:t>
      </w:r>
    </w:p>
    <w:p w14:paraId="6A567FC7">
      <w:pPr>
        <w:keepNext w:val="0"/>
        <w:keepLines w:val="0"/>
        <w:widowControl w:val="0"/>
        <w:suppressLineNumbers w:val="0"/>
        <w:adjustRightInd w:val="0"/>
        <w:snapToGrid w:val="0"/>
        <w:spacing w:before="0" w:beforeAutospacing="0" w:after="0" w:afterAutospacing="0" w:line="580" w:lineRule="exact"/>
        <w:ind w:right="0" w:firstLine="643" w:firstLineChars="200"/>
        <w:jc w:val="both"/>
        <w:rPr>
          <w:rFonts w:hint="eastAsia" w:eastAsia="宋体"/>
          <w:lang w:eastAsia="zh-CN"/>
        </w:rPr>
      </w:pPr>
      <w:r>
        <w:rPr>
          <w:rStyle w:val="21"/>
          <w:rFonts w:hint="eastAsia"/>
        </w:rPr>
        <w:t>（三）项目监管情况。</w:t>
      </w:r>
      <w:r>
        <w:rPr>
          <w:rFonts w:hint="eastAsia" w:ascii="仿宋_GB2312" w:hAnsi="宋体" w:eastAsia="仿宋_GB2312" w:cs="仿宋_GB2312"/>
          <w:kern w:val="2"/>
          <w:sz w:val="32"/>
          <w:szCs w:val="24"/>
          <w:lang w:val="en-US" w:eastAsia="zh-CN" w:bidi="ar"/>
        </w:rPr>
        <w:t>根据该项目开展的实际情况和</w:t>
      </w:r>
      <w:r>
        <w:rPr>
          <w:rFonts w:hint="eastAsia" w:ascii="仿宋_GB2312" w:hAnsi="宋体" w:eastAsia="仿宋_GB2312" w:cs="仿宋_GB2312"/>
          <w:kern w:val="2"/>
          <w:sz w:val="32"/>
          <w:szCs w:val="24"/>
          <w:lang w:val="zh-CN" w:eastAsia="zh-CN" w:bidi="ar"/>
        </w:rPr>
        <w:t>项目特点，</w:t>
      </w:r>
      <w:r>
        <w:rPr>
          <w:rFonts w:hint="eastAsia" w:ascii="仿宋_GB2312" w:hAnsi="宋体" w:eastAsia="仿宋_GB2312" w:cs="仿宋_GB2312"/>
          <w:kern w:val="2"/>
          <w:sz w:val="32"/>
          <w:szCs w:val="24"/>
          <w:lang w:val="en-US" w:eastAsia="zh-CN" w:bidi="ar"/>
        </w:rPr>
        <w:t>在项目实施过程中县扶贫移民局、县财政局、县发改局、查尔玛人民政府的管理是到位的，是严格执行相关流程和符合法律规范的。该</w:t>
      </w:r>
      <w:r>
        <w:rPr>
          <w:rFonts w:hint="eastAsia" w:ascii="仿宋_GB2312" w:hAnsi="宋体" w:eastAsia="仿宋_GB2312" w:cs="仿宋_GB2312"/>
          <w:kern w:val="2"/>
          <w:sz w:val="32"/>
          <w:szCs w:val="24"/>
          <w:lang w:val="zh-CN" w:eastAsia="zh-CN" w:bidi="ar"/>
        </w:rPr>
        <w:t>项目主管部门为加强项目管理</w:t>
      </w:r>
      <w:r>
        <w:rPr>
          <w:rFonts w:hint="eastAsia" w:ascii="仿宋_GB2312" w:hAnsi="宋体" w:eastAsia="仿宋_GB2312" w:cs="仿宋_GB2312"/>
          <w:kern w:val="2"/>
          <w:sz w:val="32"/>
          <w:szCs w:val="24"/>
          <w:lang w:val="en-US" w:eastAsia="zh-CN" w:bidi="ar"/>
        </w:rPr>
        <w:t>高度重视开展项目监督工作</w:t>
      </w:r>
      <w:r>
        <w:rPr>
          <w:rFonts w:hint="eastAsia" w:ascii="仿宋_GB2312" w:hAnsi="宋体" w:eastAsia="仿宋_GB2312" w:cs="仿宋_GB2312"/>
          <w:kern w:val="2"/>
          <w:sz w:val="32"/>
          <w:szCs w:val="24"/>
          <w:lang w:val="zh-CN" w:eastAsia="zh-CN" w:bidi="ar"/>
        </w:rPr>
        <w:t>、</w:t>
      </w:r>
      <w:r>
        <w:rPr>
          <w:rFonts w:hint="eastAsia" w:ascii="仿宋_GB2312" w:hAnsi="宋体" w:eastAsia="仿宋_GB2312" w:cs="仿宋_GB2312"/>
          <w:kern w:val="2"/>
          <w:sz w:val="32"/>
          <w:szCs w:val="24"/>
          <w:lang w:val="en-US" w:eastAsia="zh-CN" w:bidi="ar"/>
        </w:rPr>
        <w:t>严把</w:t>
      </w:r>
      <w:r>
        <w:rPr>
          <w:rFonts w:hint="eastAsia" w:ascii="仿宋_GB2312" w:hAnsi="宋体" w:eastAsia="仿宋_GB2312" w:cs="仿宋_GB2312"/>
          <w:kern w:val="2"/>
          <w:sz w:val="32"/>
          <w:szCs w:val="24"/>
          <w:lang w:val="zh-CN" w:eastAsia="zh-CN" w:bidi="ar"/>
        </w:rPr>
        <w:t>监管程序，</w:t>
      </w:r>
      <w:r>
        <w:rPr>
          <w:rFonts w:hint="eastAsia" w:ascii="仿宋_GB2312" w:hAnsi="宋体" w:eastAsia="仿宋_GB2312" w:cs="仿宋_GB2312"/>
          <w:kern w:val="2"/>
          <w:sz w:val="32"/>
          <w:szCs w:val="24"/>
          <w:lang w:val="en-US" w:eastAsia="zh-CN" w:bidi="ar"/>
        </w:rPr>
        <w:t>对项目实施过程中达到了良好的监管效果。</w:t>
      </w:r>
    </w:p>
    <w:p w14:paraId="4819B1E4">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四、项目绩效情况</w:t>
      </w:r>
    </w:p>
    <w:p w14:paraId="7DF4D83E">
      <w:pPr>
        <w:pStyle w:val="5"/>
        <w:bidi w:val="0"/>
        <w:rPr>
          <w:rFonts w:hint="eastAsia"/>
        </w:rPr>
      </w:pPr>
      <w:r>
        <w:rPr>
          <w:rFonts w:hint="eastAsia"/>
        </w:rPr>
        <w:t>（一）项目完成情况。</w:t>
      </w:r>
    </w:p>
    <w:p w14:paraId="28EE1D03">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bCs/>
          <w:sz w:val="32"/>
          <w:lang w:eastAsia="zh-CN"/>
        </w:rPr>
        <w:t>红原县查尔玛乡改造示范户庭院环境干净整洁，并长期保持，院内绿化规范，庭院经济发展规范，满足自产自销基本条件</w:t>
      </w:r>
      <w:r>
        <w:rPr>
          <w:rFonts w:hint="eastAsia" w:ascii="仿宋_GB2312" w:hAnsi="仿宋_GB2312" w:eastAsia="仿宋_GB2312" w:cs="仿宋_GB2312"/>
          <w:bCs/>
          <w:sz w:val="32"/>
          <w:lang w:val="en-US" w:eastAsia="zh-CN"/>
        </w:rPr>
        <w:t>。该项目于2020年4月签订合同，于2020年7月完成项目建设内</w:t>
      </w:r>
      <w:r>
        <w:rPr>
          <w:rFonts w:hint="eastAsia" w:ascii="仿宋_GB2312" w:hAnsi="宋体" w:eastAsia="仿宋_GB2312" w:cs="仿宋_GB2312"/>
          <w:kern w:val="2"/>
          <w:sz w:val="32"/>
          <w:szCs w:val="24"/>
          <w:lang w:val="en-US" w:eastAsia="zh-CN" w:bidi="ar"/>
        </w:rPr>
        <w:t>容并完成99%的资金拨付。该项目良好完成计划目标，截止评价时已完成任务量100%，符合相关质量标准，符合成本控制目标。</w:t>
      </w:r>
    </w:p>
    <w:p w14:paraId="53B8AB3D">
      <w:pPr>
        <w:pStyle w:val="5"/>
        <w:bidi w:val="0"/>
        <w:rPr>
          <w:rFonts w:hint="eastAsia"/>
        </w:rPr>
      </w:pPr>
      <w:r>
        <w:rPr>
          <w:rFonts w:hint="eastAsia"/>
        </w:rPr>
        <w:t>（二）项目效益情况。</w:t>
      </w:r>
    </w:p>
    <w:p w14:paraId="4A7E36C5">
      <w:pPr>
        <w:pStyle w:val="6"/>
        <w:bidi w:val="0"/>
        <w:rPr>
          <w:rFonts w:hint="eastAsia"/>
        </w:rPr>
      </w:pPr>
      <w:r>
        <w:rPr>
          <w:rFonts w:hint="eastAsia"/>
          <w:lang w:eastAsia="zh-CN"/>
        </w:rPr>
        <w:t>查尔玛乡庭院整治暨新型庭院经济发展项目</w:t>
      </w:r>
      <w:r>
        <w:rPr>
          <w:rFonts w:hint="eastAsia"/>
        </w:rPr>
        <w:t>全年预算数</w:t>
      </w:r>
      <w:r>
        <w:rPr>
          <w:rFonts w:hint="eastAsia"/>
          <w:lang w:val="en-US" w:eastAsia="zh-CN"/>
        </w:rPr>
        <w:t>10</w:t>
      </w:r>
      <w:r>
        <w:rPr>
          <w:rFonts w:hint="eastAsia"/>
        </w:rPr>
        <w:t>万元，执行数为</w:t>
      </w:r>
      <w:r>
        <w:rPr>
          <w:rFonts w:hint="eastAsia"/>
          <w:lang w:val="en-US" w:eastAsia="zh-CN"/>
        </w:rPr>
        <w:t>9.98</w:t>
      </w:r>
      <w:r>
        <w:rPr>
          <w:rFonts w:hint="eastAsia"/>
        </w:rPr>
        <w:t>万元，完成预算的</w:t>
      </w:r>
      <w:r>
        <w:rPr>
          <w:rFonts w:hint="eastAsia"/>
          <w:lang w:val="en-US" w:eastAsia="zh-CN"/>
        </w:rPr>
        <w:t>100</w:t>
      </w:r>
      <w:r>
        <w:rPr>
          <w:rFonts w:hint="eastAsia"/>
        </w:rPr>
        <w:t>%。通过项目实施，</w:t>
      </w:r>
      <w:r>
        <w:rPr>
          <w:rFonts w:hint="eastAsia"/>
          <w:lang w:eastAsia="zh-CN"/>
        </w:rPr>
        <w:t>示范户庭院环境干净整洁，并长期保持，院内绿化规范，庭院经济发展规范，满足自产自销基本条件</w:t>
      </w:r>
      <w:r>
        <w:rPr>
          <w:rFonts w:hint="eastAsia"/>
        </w:rPr>
        <w:t>。总体上全乡示范户环境干净整洁，庭院布局规范，花草植被夏季覆盖成效显著，庭院经济产出能够满足自产自销，部分户通过给乡政府、乡小学、乡蔬菜销售点售卖，增加收入。　</w:t>
      </w:r>
    </w:p>
    <w:p w14:paraId="6033CC28">
      <w:pPr>
        <w:pStyle w:val="6"/>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cs="黑体"/>
          <w:b/>
          <w:bCs/>
        </w:rPr>
      </w:pPr>
      <w:r>
        <w:rPr>
          <w:rFonts w:hint="eastAsia" w:ascii="黑体" w:hAnsi="黑体" w:eastAsia="黑体" w:cs="黑体"/>
          <w:b/>
          <w:bCs/>
        </w:rPr>
        <w:t>五、评价结论及建议</w:t>
      </w:r>
    </w:p>
    <w:p w14:paraId="5DD6A6AD">
      <w:pPr>
        <w:pStyle w:val="5"/>
        <w:bidi w:val="0"/>
        <w:rPr>
          <w:rFonts w:hint="eastAsia"/>
        </w:rPr>
      </w:pPr>
      <w:r>
        <w:rPr>
          <w:rFonts w:hint="eastAsia"/>
        </w:rPr>
        <w:t>（一）评价结论。</w:t>
      </w:r>
    </w:p>
    <w:p w14:paraId="48ED14A0">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通过项目的实施，</w:t>
      </w:r>
      <w:r>
        <w:rPr>
          <w:rFonts w:hint="eastAsia" w:ascii="仿宋_GB2312" w:eastAsia="仿宋_GB2312"/>
          <w:sz w:val="32"/>
          <w:szCs w:val="32"/>
        </w:rPr>
        <w:t>提升了</w:t>
      </w:r>
      <w:r>
        <w:rPr>
          <w:rFonts w:hint="eastAsia" w:ascii="仿宋_GB2312" w:eastAsia="仿宋_GB2312"/>
          <w:sz w:val="32"/>
          <w:szCs w:val="32"/>
          <w:lang w:eastAsia="zh-CN"/>
        </w:rPr>
        <w:t>查尔玛乡</w:t>
      </w:r>
      <w:r>
        <w:rPr>
          <w:rFonts w:hint="eastAsia" w:ascii="仿宋_GB2312" w:eastAsia="仿宋_GB2312"/>
          <w:sz w:val="32"/>
          <w:szCs w:val="32"/>
        </w:rPr>
        <w:t>的形象</w:t>
      </w:r>
      <w:r>
        <w:rPr>
          <w:rFonts w:hint="eastAsia" w:ascii="仿宋_GB2312" w:eastAsia="仿宋_GB2312"/>
          <w:sz w:val="32"/>
          <w:szCs w:val="32"/>
          <w:lang w:eastAsia="zh-CN"/>
        </w:rPr>
        <w:t>，不仅给贫困户增加了收入渠道，更加衔接了乡村振兴的应有之义，逐步实现社会效益、经济效益、生态效益协同发展。</w:t>
      </w:r>
    </w:p>
    <w:p w14:paraId="567F0D42">
      <w:pPr>
        <w:pStyle w:val="5"/>
        <w:bidi w:val="0"/>
        <w:rPr>
          <w:rFonts w:hint="eastAsia"/>
        </w:rPr>
      </w:pPr>
      <w:r>
        <w:rPr>
          <w:rFonts w:hint="eastAsia"/>
        </w:rPr>
        <w:t>（二）存在的问题。</w:t>
      </w:r>
    </w:p>
    <w:p w14:paraId="2E296A7C">
      <w:pPr>
        <w:pStyle w:val="6"/>
        <w:bidi w:val="0"/>
        <w:rPr>
          <w:lang w:val="zh-CN"/>
        </w:rPr>
      </w:pPr>
      <w:r>
        <w:rPr>
          <w:rFonts w:hint="eastAsia"/>
          <w:lang w:val="zh-CN"/>
        </w:rPr>
        <w:t>无。</w:t>
      </w:r>
    </w:p>
    <w:p w14:paraId="21CEEE68">
      <w:pPr>
        <w:pStyle w:val="5"/>
        <w:bidi w:val="0"/>
        <w:rPr>
          <w:rFonts w:hint="eastAsia"/>
        </w:rPr>
      </w:pPr>
      <w:r>
        <w:rPr>
          <w:rFonts w:hint="eastAsia"/>
        </w:rPr>
        <w:t>（三）相关建议。</w:t>
      </w:r>
    </w:p>
    <w:p w14:paraId="6684C6F7">
      <w:pPr>
        <w:pStyle w:val="6"/>
        <w:bidi w:val="0"/>
        <w:rPr>
          <w:rFonts w:hint="eastAsia"/>
          <w:lang w:val="en-US" w:eastAsia="zh-CN"/>
        </w:rPr>
      </w:pPr>
      <w:r>
        <w:rPr>
          <w:rFonts w:hint="eastAsia"/>
          <w:lang w:val="en-US" w:eastAsia="zh-CN"/>
        </w:rPr>
        <w:t>“庭院经济”美了村庄富了口袋，但这是在扶贫资金的注入下，要扩大还需要专业的规划和效益的增加，因而项目建设还要持续加大。</w:t>
      </w:r>
    </w:p>
    <w:p w14:paraId="7BF6E7D8">
      <w:pPr>
        <w:pStyle w:val="6"/>
        <w:bidi w:val="0"/>
      </w:pPr>
      <w:r>
        <w:t> </w:t>
      </w:r>
    </w:p>
    <w:p w14:paraId="6D02328E">
      <w:pPr>
        <w:pStyle w:val="6"/>
        <w:bidi w:val="0"/>
      </w:pPr>
      <w:r>
        <w:t> </w:t>
      </w:r>
    </w:p>
    <w:p w14:paraId="550DDAE4">
      <w:pPr>
        <w:pStyle w:val="6"/>
        <w:bidi w:val="0"/>
      </w:pPr>
      <w:r>
        <w:t> </w:t>
      </w:r>
    </w:p>
    <w:p w14:paraId="7F4A013D">
      <w:pPr>
        <w:pStyle w:val="6"/>
        <w:bidi w:val="0"/>
      </w:pPr>
      <w:r>
        <w:t> </w:t>
      </w:r>
    </w:p>
    <w:p w14:paraId="0DF9831F">
      <w:pPr>
        <w:pStyle w:val="6"/>
        <w:bidi w:val="0"/>
      </w:pPr>
      <w:r>
        <w:t> </w:t>
      </w:r>
    </w:p>
    <w:p w14:paraId="118743B3">
      <w:pPr>
        <w:pStyle w:val="6"/>
        <w:bidi w:val="0"/>
        <w:rPr>
          <w:rFonts w:hint="eastAsia"/>
        </w:rPr>
      </w:pPr>
    </w:p>
    <w:p w14:paraId="577896AC">
      <w:pPr>
        <w:pStyle w:val="6"/>
        <w:bidi w:val="0"/>
        <w:rPr>
          <w:rFonts w:hint="eastAsia"/>
        </w:rPr>
      </w:pPr>
    </w:p>
    <w:p w14:paraId="4D3C0A13">
      <w:pPr>
        <w:pStyle w:val="6"/>
        <w:bidi w:val="0"/>
        <w:rPr>
          <w:rFonts w:hint="eastAsia"/>
        </w:rPr>
      </w:pPr>
    </w:p>
    <w:p w14:paraId="1C9505D6">
      <w:pPr>
        <w:pStyle w:val="6"/>
        <w:bidi w:val="0"/>
        <w:rPr>
          <w:rFonts w:hint="eastAsia"/>
        </w:rPr>
      </w:pPr>
    </w:p>
    <w:p w14:paraId="5EB003E0">
      <w:pPr>
        <w:pStyle w:val="6"/>
        <w:bidi w:val="0"/>
        <w:rPr>
          <w:rFonts w:hint="eastAsia"/>
        </w:rPr>
      </w:pPr>
    </w:p>
    <w:p w14:paraId="60A2F33E">
      <w:pPr>
        <w:pStyle w:val="6"/>
        <w:bidi w:val="0"/>
        <w:rPr>
          <w:rFonts w:hint="eastAsia"/>
        </w:rPr>
      </w:pPr>
    </w:p>
    <w:p w14:paraId="5BD9E139">
      <w:pPr>
        <w:pStyle w:val="6"/>
        <w:bidi w:val="0"/>
        <w:rPr>
          <w:rFonts w:hint="eastAsia"/>
        </w:rPr>
      </w:pPr>
    </w:p>
    <w:p w14:paraId="3975124D">
      <w:pPr>
        <w:pStyle w:val="6"/>
        <w:bidi w:val="0"/>
        <w:rPr>
          <w:rFonts w:hint="eastAsia"/>
        </w:rPr>
      </w:pPr>
    </w:p>
    <w:p w14:paraId="166F8D46">
      <w:pPr>
        <w:pStyle w:val="6"/>
        <w:bidi w:val="0"/>
        <w:rPr>
          <w:rFonts w:hint="eastAsia"/>
        </w:rPr>
      </w:pPr>
    </w:p>
    <w:p w14:paraId="74A32772">
      <w:pPr>
        <w:pStyle w:val="6"/>
        <w:bidi w:val="0"/>
        <w:rPr>
          <w:rFonts w:hint="eastAsia"/>
        </w:rPr>
      </w:pPr>
    </w:p>
    <w:p w14:paraId="7CF8D012">
      <w:pPr>
        <w:pStyle w:val="6"/>
        <w:bidi w:val="0"/>
        <w:rPr>
          <w:rFonts w:hint="eastAsia"/>
        </w:rPr>
      </w:pPr>
    </w:p>
    <w:p w14:paraId="34C69B2C">
      <w:pPr>
        <w:pStyle w:val="3"/>
        <w:bidi w:val="0"/>
        <w:jc w:val="both"/>
        <w:rPr>
          <w:rFonts w:hint="eastAsia"/>
        </w:rPr>
      </w:pPr>
    </w:p>
    <w:p w14:paraId="5CFAB39F">
      <w:pPr>
        <w:rPr>
          <w:rFonts w:hint="eastAsia"/>
        </w:rPr>
      </w:pPr>
    </w:p>
    <w:p w14:paraId="1AD34689">
      <w:pPr>
        <w:pStyle w:val="2"/>
        <w:rPr>
          <w:rFonts w:hint="eastAsia"/>
        </w:rPr>
      </w:pPr>
    </w:p>
    <w:p w14:paraId="72176C8E">
      <w:pPr>
        <w:pStyle w:val="3"/>
        <w:bidi w:val="0"/>
        <w:rPr>
          <w:rFonts w:hint="eastAsia"/>
        </w:rPr>
      </w:pPr>
      <w:bookmarkStart w:id="45" w:name="_Toc15046"/>
      <w:bookmarkStart w:id="46" w:name="_Toc28268"/>
      <w:r>
        <w:rPr>
          <w:rFonts w:hint="eastAsia"/>
        </w:rPr>
        <w:t>第五部分 附表</w:t>
      </w:r>
      <w:bookmarkEnd w:id="45"/>
      <w:bookmarkEnd w:id="46"/>
    </w:p>
    <w:p w14:paraId="6177BB9E">
      <w:pPr>
        <w:pStyle w:val="4"/>
        <w:bidi w:val="0"/>
        <w:rPr>
          <w:rFonts w:hint="eastAsia"/>
        </w:rPr>
      </w:pPr>
      <w:bookmarkStart w:id="47" w:name="_Toc558"/>
      <w:bookmarkStart w:id="48" w:name="_Toc29384"/>
      <w:r>
        <w:rPr>
          <w:rFonts w:hint="eastAsia"/>
        </w:rPr>
        <w:t>一、收入支出决算总表</w:t>
      </w:r>
      <w:bookmarkEnd w:id="47"/>
      <w:bookmarkEnd w:id="48"/>
    </w:p>
    <w:p w14:paraId="676AB07C">
      <w:pPr>
        <w:pStyle w:val="4"/>
        <w:bidi w:val="0"/>
        <w:rPr>
          <w:rFonts w:hint="eastAsia"/>
        </w:rPr>
      </w:pPr>
      <w:bookmarkStart w:id="49" w:name="_Toc27449"/>
      <w:bookmarkStart w:id="50" w:name="_Toc13560"/>
      <w:r>
        <w:rPr>
          <w:rFonts w:hint="eastAsia"/>
        </w:rPr>
        <w:t>二、收入决算表</w:t>
      </w:r>
      <w:bookmarkEnd w:id="49"/>
      <w:bookmarkEnd w:id="50"/>
    </w:p>
    <w:p w14:paraId="6CF9B5FF">
      <w:pPr>
        <w:pStyle w:val="4"/>
        <w:bidi w:val="0"/>
        <w:rPr>
          <w:rFonts w:hint="eastAsia"/>
        </w:rPr>
      </w:pPr>
      <w:bookmarkStart w:id="51" w:name="_Toc8391"/>
      <w:bookmarkStart w:id="52" w:name="_Toc7113"/>
      <w:r>
        <w:rPr>
          <w:rFonts w:hint="eastAsia"/>
        </w:rPr>
        <w:t>三、支出决算表</w:t>
      </w:r>
      <w:bookmarkEnd w:id="51"/>
      <w:bookmarkEnd w:id="52"/>
    </w:p>
    <w:p w14:paraId="7A52683A">
      <w:pPr>
        <w:pStyle w:val="4"/>
        <w:bidi w:val="0"/>
        <w:rPr>
          <w:rFonts w:hint="eastAsia"/>
        </w:rPr>
      </w:pPr>
      <w:bookmarkStart w:id="53" w:name="_Toc21804"/>
      <w:bookmarkStart w:id="54" w:name="_Toc23356"/>
      <w:r>
        <w:rPr>
          <w:rFonts w:hint="eastAsia"/>
        </w:rPr>
        <w:t>四、财政拨款收入支出决算总表</w:t>
      </w:r>
      <w:bookmarkEnd w:id="53"/>
      <w:bookmarkEnd w:id="54"/>
    </w:p>
    <w:p w14:paraId="12FC4EAD">
      <w:pPr>
        <w:pStyle w:val="4"/>
        <w:bidi w:val="0"/>
        <w:rPr>
          <w:rFonts w:hint="eastAsia"/>
        </w:rPr>
      </w:pPr>
      <w:bookmarkStart w:id="55" w:name="_Toc11487"/>
      <w:bookmarkStart w:id="56" w:name="_Toc25538"/>
      <w:r>
        <w:rPr>
          <w:rFonts w:hint="eastAsia"/>
        </w:rPr>
        <w:t>五、财政拨款支出决算明细表</w:t>
      </w:r>
      <w:bookmarkEnd w:id="55"/>
      <w:bookmarkEnd w:id="56"/>
    </w:p>
    <w:p w14:paraId="573B93E0">
      <w:pPr>
        <w:pStyle w:val="4"/>
        <w:bidi w:val="0"/>
        <w:rPr>
          <w:rFonts w:hint="eastAsia"/>
        </w:rPr>
      </w:pPr>
      <w:bookmarkStart w:id="57" w:name="_Toc29661"/>
      <w:bookmarkStart w:id="58" w:name="_Toc1270"/>
      <w:r>
        <w:rPr>
          <w:rFonts w:hint="eastAsia"/>
        </w:rPr>
        <w:t>六、一般公共预算财政拨款支出决算表</w:t>
      </w:r>
      <w:bookmarkEnd w:id="57"/>
      <w:bookmarkEnd w:id="58"/>
    </w:p>
    <w:p w14:paraId="1077B045">
      <w:pPr>
        <w:pStyle w:val="4"/>
        <w:bidi w:val="0"/>
        <w:rPr>
          <w:rFonts w:hint="eastAsia"/>
        </w:rPr>
      </w:pPr>
      <w:bookmarkStart w:id="59" w:name="_Toc4707"/>
      <w:bookmarkStart w:id="60" w:name="_Toc24288"/>
      <w:r>
        <w:rPr>
          <w:rFonts w:hint="eastAsia"/>
        </w:rPr>
        <w:t>七、一般公共预算财政拨款支出决算明细表</w:t>
      </w:r>
      <w:bookmarkEnd w:id="59"/>
      <w:bookmarkEnd w:id="60"/>
    </w:p>
    <w:p w14:paraId="78FC212B">
      <w:pPr>
        <w:pStyle w:val="4"/>
        <w:bidi w:val="0"/>
        <w:rPr>
          <w:rFonts w:hint="eastAsia"/>
        </w:rPr>
      </w:pPr>
      <w:bookmarkStart w:id="61" w:name="_Toc3845"/>
      <w:bookmarkStart w:id="62" w:name="_Toc767"/>
      <w:r>
        <w:rPr>
          <w:rFonts w:hint="eastAsia"/>
        </w:rPr>
        <w:t>八、一般公共预算财政拨款基本支出决算表</w:t>
      </w:r>
      <w:bookmarkEnd w:id="61"/>
      <w:bookmarkEnd w:id="62"/>
    </w:p>
    <w:p w14:paraId="41F98AE9">
      <w:pPr>
        <w:pStyle w:val="4"/>
        <w:bidi w:val="0"/>
        <w:rPr>
          <w:rFonts w:hint="eastAsia"/>
        </w:rPr>
      </w:pPr>
      <w:bookmarkStart w:id="63" w:name="_Toc22422"/>
      <w:bookmarkStart w:id="64" w:name="_Toc25235"/>
      <w:r>
        <w:rPr>
          <w:rFonts w:hint="eastAsia"/>
        </w:rPr>
        <w:t>九、一般公共预算财政拨款项目支出决算表</w:t>
      </w:r>
      <w:bookmarkEnd w:id="63"/>
      <w:bookmarkEnd w:id="64"/>
    </w:p>
    <w:p w14:paraId="1BEB4429">
      <w:pPr>
        <w:pStyle w:val="4"/>
        <w:bidi w:val="0"/>
        <w:rPr>
          <w:rFonts w:hint="eastAsia"/>
        </w:rPr>
      </w:pPr>
      <w:bookmarkStart w:id="65" w:name="_Toc31440"/>
      <w:bookmarkStart w:id="66" w:name="_Toc11724"/>
      <w:r>
        <w:rPr>
          <w:rFonts w:hint="eastAsia"/>
        </w:rPr>
        <w:t>十、一般公共预算财政拨款“三公”经费支出决算表</w:t>
      </w:r>
      <w:bookmarkEnd w:id="65"/>
      <w:bookmarkEnd w:id="66"/>
    </w:p>
    <w:p w14:paraId="17BCB991">
      <w:pPr>
        <w:pStyle w:val="4"/>
        <w:bidi w:val="0"/>
        <w:rPr>
          <w:rFonts w:hint="eastAsia"/>
        </w:rPr>
      </w:pPr>
      <w:bookmarkStart w:id="67" w:name="_Toc21433"/>
      <w:bookmarkStart w:id="68" w:name="_Toc17038"/>
      <w:r>
        <w:rPr>
          <w:rFonts w:hint="eastAsia"/>
        </w:rPr>
        <w:t>十一、政府性基金预算财政拨款收入支出决算表</w:t>
      </w:r>
      <w:bookmarkEnd w:id="67"/>
      <w:bookmarkEnd w:id="68"/>
    </w:p>
    <w:p w14:paraId="5D4D6EAD">
      <w:pPr>
        <w:pStyle w:val="4"/>
        <w:bidi w:val="0"/>
        <w:rPr>
          <w:rFonts w:hint="eastAsia"/>
        </w:rPr>
      </w:pPr>
      <w:bookmarkStart w:id="69" w:name="_Toc15064"/>
      <w:bookmarkStart w:id="70" w:name="_Toc7811"/>
      <w:r>
        <w:rPr>
          <w:rFonts w:hint="eastAsia"/>
        </w:rPr>
        <w:t>十二、政府性基金预算财政拨款“三公”经费支出决算表</w:t>
      </w:r>
      <w:bookmarkEnd w:id="69"/>
      <w:bookmarkEnd w:id="70"/>
    </w:p>
    <w:p w14:paraId="572A4204">
      <w:pPr>
        <w:pStyle w:val="4"/>
        <w:bidi w:val="0"/>
        <w:rPr>
          <w:rFonts w:hint="eastAsia"/>
        </w:rPr>
      </w:pPr>
      <w:bookmarkStart w:id="71" w:name="_Toc27574"/>
      <w:bookmarkStart w:id="72" w:name="_Toc23239"/>
      <w:r>
        <w:rPr>
          <w:rFonts w:hint="eastAsia"/>
        </w:rPr>
        <w:t>十三、国有资本经营预算财政拨款收入支出决算表</w:t>
      </w:r>
      <w:bookmarkEnd w:id="71"/>
      <w:bookmarkEnd w:id="72"/>
    </w:p>
    <w:p w14:paraId="3B27C7CA">
      <w:pPr>
        <w:pStyle w:val="4"/>
        <w:bidi w:val="0"/>
        <w:rPr>
          <w:rStyle w:val="16"/>
          <w:rFonts w:hint="eastAsia" w:ascii="黑体" w:hAnsi="黑体" w:eastAsia="黑体" w:cs="黑体"/>
          <w:b/>
          <w:bCs/>
          <w:szCs w:val="32"/>
        </w:rPr>
      </w:pPr>
      <w:bookmarkStart w:id="73" w:name="_Toc5022"/>
      <w:bookmarkStart w:id="74" w:name="_Toc14464"/>
      <w:r>
        <w:rPr>
          <w:rFonts w:hint="eastAsia"/>
        </w:rPr>
        <w:t>十四、国有资本经营预算财政拨款支出决算表</w:t>
      </w:r>
      <w:bookmarkEnd w:id="73"/>
      <w:bookmarkEnd w:id="74"/>
    </w:p>
    <w:sectPr>
      <w:footerReference r:id="rId5" w:type="default"/>
      <w:pgSz w:w="11907" w:h="16840"/>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2789E">
    <w:pPr>
      <w:pStyle w:val="2"/>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AE4EC">
    <w:pPr>
      <w:pStyle w:val="2"/>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B350D">
    <w:pPr>
      <w:pStyle w:val="2"/>
      <w:tabs>
        <w:tab w:val="clear" w:pos="4153"/>
      </w:tabs>
      <w:jc w:val="center"/>
    </w:pPr>
    <w:r>
      <w:rPr>
        <w:sz w:val="18"/>
      </w:rPr>
      <w:pict>
        <v:shape id="_x0000_s3075" o:spid="_x0000_s307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13EBAC7">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isplayHorizontalDrawingGridEvery w:val="1"/>
  <w:displayVerticalDrawingGridEvery w:val="1"/>
  <w:noPunctuationKerning w:val="1"/>
  <w:characterSpacingControl w:val="doNotCompress"/>
  <w:hdrShapeDefaults>
    <o:shapelayout v:ext="edit">
      <o:idmap v:ext="edit" data="3"/>
    </o:shapelayout>
  </w:hdrShapeDefaults>
  <w:compat>
    <w:doNotExpandShiftReturn/>
    <w:doNotWrapTextWithPunct/>
    <w:doNotUseEastAsianBreakRules/>
    <w:useFELayout/>
    <w:doNotUseIndentAsNumberingTabStop/>
    <w:compatSetting w:name="compatibilityMode" w:uri="http://schemas.microsoft.com/office/word" w:val="12"/>
  </w:compat>
  <w:docVars>
    <w:docVar w:name="commondata" w:val="eyJoZGlkIjoiNzdkNGFlNGNjMWFlNDYyYzQzMDllYWZhNmI3MzY2MDgifQ=="/>
  </w:docVars>
  <w:rsids>
    <w:rsidRoot w:val="004F0CDE"/>
    <w:rsid w:val="004F0CDE"/>
    <w:rsid w:val="019F5E89"/>
    <w:rsid w:val="19D53407"/>
    <w:rsid w:val="1AAD41C4"/>
    <w:rsid w:val="238900C6"/>
    <w:rsid w:val="27AF33DF"/>
    <w:rsid w:val="3B9C2A3F"/>
    <w:rsid w:val="45160F8E"/>
    <w:rsid w:val="6BFB76B9"/>
    <w:rsid w:val="6DBF02F4"/>
    <w:rsid w:val="6E2F48FD"/>
    <w:rsid w:val="6EEE0A40"/>
    <w:rsid w:val="72CF6C02"/>
    <w:rsid w:val="7725353F"/>
    <w:rsid w:val="79A37CCB"/>
    <w:rsid w:val="7DE01D35"/>
    <w:rsid w:val="7ECD4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qFormat/>
    <w:uiPriority w:val="9"/>
    <w:pPr>
      <w:keepNext/>
      <w:keepLines/>
      <w:spacing w:beforeLines="0" w:beforeAutospacing="0" w:afterLines="0" w:afterAutospacing="0" w:line="660" w:lineRule="exact"/>
      <w:jc w:val="center"/>
      <w:outlineLvl w:val="0"/>
    </w:pPr>
    <w:rPr>
      <w:rFonts w:ascii="宋体" w:hAnsi="宋体" w:eastAsia="黑体"/>
      <w:kern w:val="44"/>
      <w:sz w:val="44"/>
    </w:rPr>
  </w:style>
  <w:style w:type="paragraph" w:styleId="4">
    <w:name w:val="heading 2"/>
    <w:basedOn w:val="1"/>
    <w:next w:val="1"/>
    <w:link w:val="17"/>
    <w:qFormat/>
    <w:uiPriority w:val="9"/>
    <w:pPr>
      <w:spacing w:beforeAutospacing="0" w:afterAutospacing="0" w:line="576" w:lineRule="exact"/>
      <w:outlineLvl w:val="1"/>
    </w:pPr>
    <w:rPr>
      <w:rFonts w:ascii="宋体" w:hAnsi="宋体" w:eastAsia="黑体"/>
      <w:b/>
      <w:bCs/>
      <w:sz w:val="32"/>
      <w:szCs w:val="36"/>
    </w:rPr>
  </w:style>
  <w:style w:type="paragraph" w:styleId="5">
    <w:name w:val="heading 3"/>
    <w:basedOn w:val="1"/>
    <w:next w:val="1"/>
    <w:link w:val="21"/>
    <w:unhideWhenUsed/>
    <w:qFormat/>
    <w:uiPriority w:val="9"/>
    <w:pPr>
      <w:keepNext/>
      <w:keepLines/>
      <w:spacing w:beforeLines="0" w:beforeAutospacing="0" w:afterLines="0" w:afterAutospacing="0" w:line="576" w:lineRule="exact"/>
      <w:ind w:firstLine="1446" w:firstLineChars="200"/>
      <w:outlineLvl w:val="2"/>
    </w:pPr>
    <w:rPr>
      <w:rFonts w:ascii="宋体" w:hAnsi="宋体" w:eastAsia="楷体_GB2312"/>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semiHidden/>
    <w:unhideWhenUsed/>
    <w:uiPriority w:val="99"/>
    <w:pPr>
      <w:tabs>
        <w:tab w:val="center" w:pos="4153"/>
        <w:tab w:val="right" w:pos="8306"/>
      </w:tabs>
      <w:snapToGrid w:val="0"/>
    </w:pPr>
    <w:rPr>
      <w:sz w:val="18"/>
      <w:szCs w:val="18"/>
    </w:rPr>
  </w:style>
  <w:style w:type="paragraph" w:styleId="6">
    <w:name w:val="Body Text"/>
    <w:basedOn w:val="1"/>
    <w:link w:val="20"/>
    <w:qFormat/>
    <w:uiPriority w:val="99"/>
    <w:pPr>
      <w:spacing w:line="576" w:lineRule="exact"/>
      <w:ind w:firstLine="1446" w:firstLineChars="200"/>
    </w:pPr>
    <w:rPr>
      <w:rFonts w:ascii="仿宋_GB2312" w:hAnsi="仿宋_GB2312" w:eastAsia="仿宋_GB2312"/>
      <w:sz w:val="32"/>
    </w:rPr>
  </w:style>
  <w:style w:type="paragraph" w:styleId="7">
    <w:name w:val="Body Text Indent"/>
    <w:basedOn w:val="1"/>
    <w:next w:val="8"/>
    <w:qFormat/>
    <w:uiPriority w:val="99"/>
    <w:pPr>
      <w:spacing w:line="576" w:lineRule="exact"/>
      <w:ind w:left="0" w:leftChars="0" w:firstLine="1446" w:firstLineChars="200"/>
    </w:pPr>
    <w:rPr>
      <w:rFonts w:eastAsia="仿宋_GB2312"/>
      <w:sz w:val="32"/>
      <w:szCs w:val="20"/>
    </w:rPr>
  </w:style>
  <w:style w:type="paragraph" w:styleId="8">
    <w:name w:val="Body Text First Indent 2"/>
    <w:basedOn w:val="7"/>
    <w:qFormat/>
    <w:uiPriority w:val="99"/>
    <w:pPr>
      <w:ind w:firstLine="420" w:firstLineChars="200"/>
    </w:pPr>
  </w:style>
  <w:style w:type="paragraph" w:styleId="9">
    <w:name w:val="toc 3"/>
    <w:basedOn w:val="1"/>
    <w:next w:val="1"/>
    <w:semiHidden/>
    <w:unhideWhenUsed/>
    <w:uiPriority w:val="39"/>
    <w:pPr>
      <w:ind w:left="840" w:leftChars="400"/>
    </w:pPr>
  </w:style>
  <w:style w:type="paragraph" w:styleId="10">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semiHidden/>
    <w:unhideWhenUsed/>
    <w:qFormat/>
    <w:uiPriority w:val="39"/>
    <w:pPr>
      <w:ind w:left="420" w:leftChars="200"/>
    </w:pPr>
  </w:style>
  <w:style w:type="paragraph" w:styleId="13">
    <w:name w:val="Normal (Web)"/>
    <w:basedOn w:val="1"/>
    <w:unhideWhenUsed/>
    <w:uiPriority w:val="99"/>
    <w:pPr>
      <w:spacing w:before="100" w:beforeAutospacing="1" w:after="100" w:afterAutospacing="1"/>
    </w:pPr>
  </w:style>
  <w:style w:type="character" w:styleId="16">
    <w:name w:val="Strong"/>
    <w:basedOn w:val="15"/>
    <w:qFormat/>
    <w:uiPriority w:val="22"/>
    <w:rPr>
      <w:b/>
      <w:bCs/>
    </w:rPr>
  </w:style>
  <w:style w:type="character" w:customStyle="1" w:styleId="17">
    <w:name w:val="标题 2 Char"/>
    <w:basedOn w:val="15"/>
    <w:link w:val="4"/>
    <w:semiHidden/>
    <w:qFormat/>
    <w:uiPriority w:val="9"/>
    <w:rPr>
      <w:rFonts w:ascii="宋体" w:hAnsi="宋体" w:eastAsia="黑体" w:cstheme="majorBidi"/>
      <w:b/>
      <w:bCs/>
      <w:sz w:val="32"/>
      <w:szCs w:val="32"/>
    </w:rPr>
  </w:style>
  <w:style w:type="character" w:customStyle="1" w:styleId="18">
    <w:name w:val="页眉 Char"/>
    <w:basedOn w:val="15"/>
    <w:link w:val="10"/>
    <w:semiHidden/>
    <w:uiPriority w:val="99"/>
    <w:rPr>
      <w:rFonts w:ascii="宋体" w:hAnsi="宋体" w:eastAsia="宋体" w:cs="宋体"/>
      <w:sz w:val="18"/>
      <w:szCs w:val="18"/>
    </w:rPr>
  </w:style>
  <w:style w:type="character" w:customStyle="1" w:styleId="19">
    <w:name w:val="页脚 Char"/>
    <w:basedOn w:val="15"/>
    <w:link w:val="2"/>
    <w:semiHidden/>
    <w:uiPriority w:val="99"/>
    <w:rPr>
      <w:rFonts w:ascii="宋体" w:hAnsi="宋体" w:eastAsia="宋体" w:cs="宋体"/>
      <w:sz w:val="18"/>
      <w:szCs w:val="18"/>
    </w:rPr>
  </w:style>
  <w:style w:type="character" w:customStyle="1" w:styleId="20">
    <w:name w:val="正文文本 Char"/>
    <w:link w:val="6"/>
    <w:qFormat/>
    <w:uiPriority w:val="0"/>
    <w:rPr>
      <w:rFonts w:ascii="仿宋_GB2312" w:hAnsi="仿宋_GB2312" w:eastAsia="仿宋_GB2312"/>
      <w:kern w:val="0"/>
      <w:sz w:val="32"/>
    </w:rPr>
  </w:style>
  <w:style w:type="character" w:customStyle="1" w:styleId="21">
    <w:name w:val="标题 3 Char"/>
    <w:link w:val="5"/>
    <w:qFormat/>
    <w:uiPriority w:val="0"/>
    <w:rPr>
      <w:rFonts w:ascii="宋体" w:hAnsi="宋体" w:eastAsia="楷体_GB2312"/>
      <w:b/>
      <w:sz w:val="32"/>
    </w:rPr>
  </w:style>
  <w:style w:type="paragraph" w:customStyle="1" w:styleId="22">
    <w:name w:val="WPSOffice手动目录 1"/>
    <w:uiPriority w:val="0"/>
    <w:pPr>
      <w:ind w:leftChars="0"/>
    </w:pPr>
    <w:rPr>
      <w:rFonts w:ascii="Times New Roman" w:hAnsi="Times New Roman" w:eastAsia="宋体" w:cs="Times New Roman"/>
      <w:sz w:val="20"/>
      <w:szCs w:val="20"/>
    </w:rPr>
  </w:style>
  <w:style w:type="paragraph" w:customStyle="1" w:styleId="23">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H:\&#20250;&#35745;\2020&#24180;&#20915;&#31639;&#20844;&#24320;&#25968;&#25454;&#34920;\&#38463;&#22365;&#24030;&#32418;&#21407;&#21439;&#26597;&#23572;&#29595;&#20065;&#20154;&#27665;&#25919;&#242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r>
              <a:rPr>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rPr>
              <a:t>收、支决算总计变动情况图（万元）</a:t>
            </a:r>
            <a:endParaRPr>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endParaRPr>
          </a:p>
        </c:rich>
      </c:tx>
      <c:layout/>
      <c:overlay val="0"/>
      <c:spPr>
        <a:noFill/>
        <a:ln>
          <a:noFill/>
        </a:ln>
        <a:effectLst/>
      </c:spPr>
    </c:title>
    <c:autoTitleDeleted val="0"/>
    <c:plotArea>
      <c:layout/>
      <c:barChart>
        <c:barDir val="col"/>
        <c:grouping val="clustered"/>
        <c:varyColors val="0"/>
        <c:ser>
          <c:idx val="0"/>
          <c:order val="0"/>
          <c:tx>
            <c:strRef>
              <c:f>[工作簿1]Sheet1!$M$6</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[工作簿1]Sheet1!$L$7:$L$8</c:f>
              <c:strCache>
                <c:ptCount val="2"/>
                <c:pt idx="0">
                  <c:v>收入</c:v>
                </c:pt>
                <c:pt idx="1">
                  <c:v>支出</c:v>
                </c:pt>
              </c:strCache>
            </c:strRef>
          </c:cat>
          <c:val>
            <c:numRef>
              <c:f>[工作簿1]Sheet1!$M$7:$M$8</c:f>
              <c:numCache>
                <c:formatCode>General</c:formatCode>
                <c:ptCount val="2"/>
                <c:pt idx="0">
                  <c:v>683.57</c:v>
                </c:pt>
                <c:pt idx="1">
                  <c:v>980.07</c:v>
                </c:pt>
              </c:numCache>
            </c:numRef>
          </c:val>
        </c:ser>
        <c:ser>
          <c:idx val="1"/>
          <c:order val="1"/>
          <c:tx>
            <c:strRef>
              <c:f>[工作簿1]Sheet1!$N$6</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[工作簿1]Sheet1!$L$7:$L$8</c:f>
              <c:strCache>
                <c:ptCount val="2"/>
                <c:pt idx="0">
                  <c:v>收入</c:v>
                </c:pt>
                <c:pt idx="1">
                  <c:v>支出</c:v>
                </c:pt>
              </c:strCache>
            </c:strRef>
          </c:cat>
          <c:val>
            <c:numRef>
              <c:f>[工作簿1]Sheet1!$N$7:$N$8</c:f>
              <c:numCache>
                <c:formatCode>#,##0.00</c:formatCode>
                <c:ptCount val="2"/>
                <c:pt idx="0">
                  <c:v>1052.98</c:v>
                </c:pt>
                <c:pt idx="1">
                  <c:v>1078.76</c:v>
                </c:pt>
              </c:numCache>
            </c:numRef>
          </c:val>
        </c:ser>
        <c:dLbls>
          <c:showLegendKey val="0"/>
          <c:showVal val="1"/>
          <c:showCatName val="0"/>
          <c:showSerName val="0"/>
          <c:showPercent val="0"/>
          <c:showBubbleSize val="0"/>
        </c:dLbls>
        <c:gapWidth val="219"/>
        <c:overlap val="-27"/>
        <c:axId val="429118580"/>
        <c:axId val="606230378"/>
      </c:barChart>
      <c:catAx>
        <c:axId val="4291185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crossAx val="606230378"/>
        <c:crosses val="autoZero"/>
        <c:auto val="1"/>
        <c:lblAlgn val="ctr"/>
        <c:lblOffset val="100"/>
        <c:noMultiLvlLbl val="0"/>
      </c:catAx>
      <c:valAx>
        <c:axId val="6062303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crossAx val="42911858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
    <c:plotVisOnly val="1"/>
    <c:dispBlanksAs val="gap"/>
    <c:showDLblsOverMax val="0"/>
    <c:extLst>
      <c:ext uri="{0b15fc19-7d7d-44ad-8c2d-2c3a37ce22c3}">
        <chartProps xmlns="https://web.wps.cn/et/2018/main" chartId="{c0e38ea1-0ef0-49de-96c8-62b5f0005530}"/>
      </c:ext>
    </c:extLst>
  </c:chart>
  <c:spPr>
    <a:solidFill>
      <a:schemeClr val="bg1"/>
    </a:solidFill>
    <a:ln w="9525" cap="flat" cmpd="sng" algn="ctr">
      <a:solidFill>
        <a:schemeClr val="tx1">
          <a:lumMod val="15000"/>
          <a:lumOff val="85000"/>
        </a:schemeClr>
      </a:solidFill>
      <a:round/>
    </a:ln>
    <a:effectLst/>
  </c:spPr>
  <c:txPr>
    <a:bodyPr/>
    <a:lstStyle/>
    <a:p>
      <a:pPr>
        <a:defRPr lang="zh-CN">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0%</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一般公共预算财政拨款收入</c:v>
                </c:pt>
                <c:pt idx="1">
                  <c:v>其他收入</c:v>
                </c:pt>
                <c:pt idx="2">
                  <c:v>第三季度</c:v>
                </c:pt>
                <c:pt idx="3">
                  <c:v>第四季度</c:v>
                </c:pt>
              </c:strCache>
            </c:strRef>
          </c:cat>
          <c:val>
            <c:numRef>
              <c:f>Sheet1!$B$2:$B$5</c:f>
              <c:numCache>
                <c:formatCode>General</c:formatCode>
                <c:ptCount val="4"/>
                <c:pt idx="0">
                  <c:v>683.57</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9b633321-c19d-4715-91cc-771640140f6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atin typeface="仿宋_GB2312" panose="02010609030101010101" pitchFamily="1" charset="-122"/>
                <a:ea typeface="仿宋_GB2312" panose="02010609030101010101" pitchFamily="1" charset="-122"/>
              </a:rPr>
              <a:t>支出决算结构图</a:t>
            </a:r>
            <a:endParaRPr>
              <a:latin typeface="仿宋_GB2312" panose="02010609030101010101" pitchFamily="1" charset="-122"/>
              <a:ea typeface="仿宋_GB2312" panose="02010609030101010101" pitchFamily="1"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'[阿坝州红原县查尔玛乡人民政府.xls]Z03 支出决算表'!$M$16:$N$16</c:f>
              <c:strCache>
                <c:ptCount val="2"/>
                <c:pt idx="0">
                  <c:v>基本支出</c:v>
                </c:pt>
                <c:pt idx="1">
                  <c:v>项目支出</c:v>
                </c:pt>
              </c:strCache>
            </c:strRef>
          </c:cat>
          <c:val>
            <c:numRef>
              <c:f>'[阿坝州红原县查尔玛乡人民政府.xls]Z03 支出决算表'!$M$17:$N$17</c:f>
              <c:numCache>
                <c:formatCode>#,##0.00</c:formatCode>
                <c:ptCount val="2"/>
                <c:pt idx="0">
                  <c:v>487.29</c:v>
                </c:pt>
                <c:pt idx="1">
                  <c:v>591.48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
    <c:plotVisOnly val="1"/>
    <c:dispBlanksAs val="gap"/>
    <c:showDLblsOverMax val="0"/>
    <c:extLst>
      <c:ext uri="{0b15fc19-7d7d-44ad-8c2d-2c3a37ce22c3}">
        <chartProps xmlns="https://web.wps.cn/et/2018/main" chartId="{123a3b80-7a4b-41e3-83ef-eca65dd367a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r>
              <a:rPr>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rPr>
              <a:t>财政拨款收、支决算总计变动情况（万元）</a:t>
            </a:r>
            <a:endParaRPr>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endParaRPr>
          </a:p>
        </c:rich>
      </c:tx>
      <c:layout/>
      <c:overlay val="0"/>
      <c:spPr>
        <a:noFill/>
        <a:ln>
          <a:noFill/>
        </a:ln>
        <a:effectLst/>
      </c:spPr>
    </c:title>
    <c:autoTitleDeleted val="0"/>
    <c:plotArea>
      <c:layout/>
      <c:barChart>
        <c:barDir val="col"/>
        <c:grouping val="clustered"/>
        <c:varyColors val="0"/>
        <c:ser>
          <c:idx val="0"/>
          <c:order val="0"/>
          <c:tx>
            <c:strRef>
              <c:f>[工作簿1]Sheet1!$M$6</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[工作簿1]Sheet1!$L$7:$L$8</c:f>
              <c:strCache>
                <c:ptCount val="2"/>
                <c:pt idx="0">
                  <c:v>收入</c:v>
                </c:pt>
                <c:pt idx="1">
                  <c:v>支出</c:v>
                </c:pt>
              </c:strCache>
            </c:strRef>
          </c:cat>
          <c:val>
            <c:numRef>
              <c:f>[工作簿1]Sheet1!$M$7:$M$8</c:f>
              <c:numCache>
                <c:formatCode>General</c:formatCode>
                <c:ptCount val="2"/>
                <c:pt idx="0">
                  <c:v>683.57</c:v>
                </c:pt>
                <c:pt idx="1">
                  <c:v>980.07</c:v>
                </c:pt>
              </c:numCache>
            </c:numRef>
          </c:val>
        </c:ser>
        <c:ser>
          <c:idx val="1"/>
          <c:order val="1"/>
          <c:tx>
            <c:strRef>
              <c:f>[工作簿1]Sheet1!$N$6</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[工作簿1]Sheet1!$L$7:$L$8</c:f>
              <c:strCache>
                <c:ptCount val="2"/>
                <c:pt idx="0">
                  <c:v>收入</c:v>
                </c:pt>
                <c:pt idx="1">
                  <c:v>支出</c:v>
                </c:pt>
              </c:strCache>
            </c:strRef>
          </c:cat>
          <c:val>
            <c:numRef>
              <c:f>[工作簿1]Sheet1!$N$7:$N$8</c:f>
              <c:numCache>
                <c:formatCode>#,##0.00</c:formatCode>
                <c:ptCount val="2"/>
                <c:pt idx="0">
                  <c:v>1052.98</c:v>
                </c:pt>
                <c:pt idx="1">
                  <c:v>1078.76</c:v>
                </c:pt>
              </c:numCache>
            </c:numRef>
          </c:val>
        </c:ser>
        <c:dLbls>
          <c:showLegendKey val="0"/>
          <c:showVal val="1"/>
          <c:showCatName val="0"/>
          <c:showSerName val="0"/>
          <c:showPercent val="0"/>
          <c:showBubbleSize val="0"/>
        </c:dLbls>
        <c:gapWidth val="219"/>
        <c:overlap val="-27"/>
        <c:axId val="429118580"/>
        <c:axId val="606230378"/>
      </c:barChart>
      <c:catAx>
        <c:axId val="4291185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crossAx val="606230378"/>
        <c:crosses val="autoZero"/>
        <c:auto val="1"/>
        <c:lblAlgn val="ctr"/>
        <c:lblOffset val="100"/>
        <c:noMultiLvlLbl val="0"/>
      </c:catAx>
      <c:valAx>
        <c:axId val="6062303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crossAx val="42911858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legend>
    <c:plotVisOnly val="1"/>
    <c:dispBlanksAs val="gap"/>
    <c:showDLblsOverMax val="0"/>
    <c:extLst>
      <c:ext uri="{0b15fc19-7d7d-44ad-8c2d-2c3a37ce22c3}">
        <chartProps xmlns="https://web.wps.cn/et/2018/main" chartId="{09422671-21e0-4eb5-bbd4-9b3f14317754}"/>
      </c:ext>
    </c:extLst>
  </c:chart>
  <c:spPr>
    <a:solidFill>
      <a:schemeClr val="bg1"/>
    </a:solidFill>
    <a:ln w="9525" cap="flat" cmpd="sng" algn="ctr">
      <a:solidFill>
        <a:schemeClr val="tx1">
          <a:lumMod val="15000"/>
          <a:lumOff val="85000"/>
        </a:schemeClr>
      </a:solidFill>
      <a:round/>
    </a:ln>
    <a:effectLst/>
  </c:spPr>
  <c:txPr>
    <a:bodyPr/>
    <a:lstStyle/>
    <a:p>
      <a:pPr>
        <a:defRPr lang="zh-CN">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defRPr>
            </a:pPr>
            <a:r>
              <a:rPr>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rPr>
              <a:t>一般公共预算财政拨款支出变动表</a:t>
            </a:r>
            <a:r>
              <a:rPr lang="en-US" altLang="zh-CN">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rPr>
              <a:t>(</a:t>
            </a:r>
            <a:r>
              <a:rPr altLang="zh-CN">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rPr>
              <a:t>万元）</a:t>
            </a:r>
            <a:endParaRPr altLang="zh-CN">
              <a:latin typeface="仿宋_GB2312" panose="02010609030101010101" pitchFamily="1" charset="-122"/>
              <a:ea typeface="仿宋_GB2312" panose="02010609030101010101" pitchFamily="1" charset="-122"/>
              <a:cs typeface="仿宋_GB2312" panose="02010609030101010101" pitchFamily="1" charset="-122"/>
              <a:sym typeface="仿宋_GB2312" panose="02010609030101010101" pitchFamily="1" charset="-122"/>
            </a:endParaRPr>
          </a:p>
        </c:rich>
      </c:tx>
      <c:layout/>
      <c:overlay val="0"/>
      <c:spPr>
        <a:noFill/>
        <a:ln>
          <a:noFill/>
        </a:ln>
        <a:effectLst/>
      </c:spPr>
    </c:title>
    <c:autoTitleDeleted val="0"/>
    <c:plotArea>
      <c:layout/>
      <c:barChart>
        <c:barDir val="col"/>
        <c:grouping val="clustered"/>
        <c:varyColors val="0"/>
        <c:ser>
          <c:idx val="0"/>
          <c:order val="0"/>
          <c:tx>
            <c:strRef>
              <c:f>[工作簿1]Sheet1!$L$16</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[工作簿1]Sheet1!$M$15:$N$15</c:f>
              <c:strCache>
                <c:ptCount val="2"/>
                <c:pt idx="0">
                  <c:v>2019年</c:v>
                </c:pt>
                <c:pt idx="1">
                  <c:v>2020年</c:v>
                </c:pt>
              </c:strCache>
            </c:strRef>
          </c:cat>
          <c:val>
            <c:numRef>
              <c:f>[工作簿1]Sheet1!$M$16:$N$16</c:f>
              <c:numCache>
                <c:formatCode>General</c:formatCode>
                <c:ptCount val="2"/>
                <c:pt idx="0">
                  <c:v>980.07</c:v>
                </c:pt>
                <c:pt idx="1" c:formatCode="#,##0.00">
                  <c:v>1078.76</c:v>
                </c:pt>
              </c:numCache>
            </c:numRef>
          </c:val>
        </c:ser>
        <c:dLbls>
          <c:showLegendKey val="0"/>
          <c:showVal val="1"/>
          <c:showCatName val="0"/>
          <c:showSerName val="0"/>
          <c:showPercent val="0"/>
          <c:showBubbleSize val="0"/>
        </c:dLbls>
        <c:gapWidth val="150"/>
        <c:overlap val="0"/>
        <c:axId val="175447294"/>
        <c:axId val="122478108"/>
      </c:barChart>
      <c:catAx>
        <c:axId val="1754472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478108"/>
        <c:crosses val="autoZero"/>
        <c:auto val="1"/>
        <c:lblAlgn val="ctr"/>
        <c:lblOffset val="100"/>
        <c:noMultiLvlLbl val="0"/>
      </c:catAx>
      <c:valAx>
        <c:axId val="1224781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5447294"/>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faf0e04-2198-485e-9408-20c1b5e0780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atin typeface="仿宋_GB2312" panose="02010609030101010101" pitchFamily="1" charset="-122"/>
                <a:ea typeface="仿宋_GB2312" panose="02010609030101010101" pitchFamily="1" charset="-122"/>
              </a:rPr>
              <a:t>一般公共预算财政拨款支出结构图</a:t>
            </a:r>
            <a:endParaRPr>
              <a:latin typeface="仿宋_GB2312" panose="02010609030101010101" pitchFamily="1" charset="-122"/>
              <a:ea typeface="仿宋_GB2312" panose="02010609030101010101" pitchFamily="1"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[工作簿1]Sheet2!$C$6:$I$6</c:f>
              <c:strCache>
                <c:ptCount val="7"/>
                <c:pt idx="0">
                  <c:v>一般公共服务（类）支出</c:v>
                </c:pt>
                <c:pt idx="1">
                  <c:v>社会保障和就业（类）支出</c:v>
                </c:pt>
                <c:pt idx="2">
                  <c:v>卫生健康支出（类）</c:v>
                </c:pt>
                <c:pt idx="3">
                  <c:v>节能环保支出（类）</c:v>
                </c:pt>
                <c:pt idx="4">
                  <c:v>城乡社区支出（类）</c:v>
                </c:pt>
                <c:pt idx="5">
                  <c:v>农林水支出（类）</c:v>
                </c:pt>
                <c:pt idx="6">
                  <c:v>住房保障支出（类）</c:v>
                </c:pt>
              </c:strCache>
            </c:strRef>
          </c:cat>
          <c:val>
            <c:numRef>
              <c:f>[工作簿1]Sheet2!$C$7:$I$7</c:f>
              <c:numCache>
                <c:formatCode>General</c:formatCode>
                <c:ptCount val="7"/>
                <c:pt idx="0">
                  <c:v>427.13</c:v>
                </c:pt>
                <c:pt idx="1">
                  <c:v>138.13</c:v>
                </c:pt>
                <c:pt idx="2">
                  <c:v>31.58</c:v>
                </c:pt>
                <c:pt idx="3">
                  <c:v>169.58</c:v>
                </c:pt>
                <c:pt idx="4">
                  <c:v>5.96</c:v>
                </c:pt>
                <c:pt idx="5">
                  <c:v>267.67</c:v>
                </c:pt>
                <c:pt idx="6">
                  <c:v>38.71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fdc07cd-9ce1-41d3-a0b8-7ad16873ada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仿宋_GB2312" panose="02010609030101010101" pitchFamily="1" charset="-122"/>
                <a:ea typeface="仿宋_GB2312" panose="02010609030101010101" pitchFamily="1" charset="-122"/>
                <a:cs typeface="仿宋_GB2312" panose="02010609030101010101" pitchFamily="1" charset="-122"/>
              </a:rPr>
              <a:t>“</a:t>
            </a:r>
            <a:r>
              <a:rPr altLang="en-US">
                <a:latin typeface="仿宋_GB2312" panose="02010609030101010101" pitchFamily="1" charset="-122"/>
                <a:ea typeface="仿宋_GB2312" panose="02010609030101010101" pitchFamily="1" charset="-122"/>
                <a:cs typeface="仿宋_GB2312" panose="02010609030101010101" pitchFamily="1" charset="-122"/>
              </a:rPr>
              <a:t>三公</a:t>
            </a:r>
            <a:r>
              <a:rPr lang="en-US" altLang="zh-CN">
                <a:latin typeface="仿宋_GB2312" panose="02010609030101010101" pitchFamily="1" charset="-122"/>
                <a:ea typeface="仿宋_GB2312" panose="02010609030101010101" pitchFamily="1" charset="-122"/>
                <a:cs typeface="仿宋_GB2312" panose="02010609030101010101" pitchFamily="1" charset="-122"/>
              </a:rPr>
              <a:t>”</a:t>
            </a:r>
            <a:r>
              <a:rPr altLang="en-US">
                <a:latin typeface="仿宋_GB2312" panose="02010609030101010101" pitchFamily="1" charset="-122"/>
                <a:ea typeface="仿宋_GB2312" panose="02010609030101010101" pitchFamily="1" charset="-122"/>
                <a:cs typeface="仿宋_GB2312" panose="02010609030101010101" pitchFamily="1" charset="-122"/>
              </a:rPr>
              <a:t>经费财政拨款支出结构图</a:t>
            </a:r>
            <a:endParaRPr altLang="en-US">
              <a:latin typeface="仿宋_GB2312" panose="02010609030101010101" pitchFamily="1" charset="-122"/>
              <a:ea typeface="仿宋_GB2312" panose="02010609030101010101" pitchFamily="1" charset="-122"/>
              <a:cs typeface="仿宋_GB2312" panose="02010609030101010101" pitchFamily="1" charset="-122"/>
            </a:endParaRPr>
          </a:p>
        </c:rich>
      </c:tx>
      <c:layout>
        <c:manualLayout>
          <c:xMode val="edge"/>
          <c:yMode val="edge"/>
          <c:x val="0.199861111111111"/>
          <c:y val="0.064978340553149"/>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[工作簿1]Sheet2!$L$6:$N$6</c:f>
              <c:strCache>
                <c:ptCount val="3"/>
                <c:pt idx="0">
                  <c:v>因公出国（境）费支出</c:v>
                </c:pt>
                <c:pt idx="1">
                  <c:v>公务用车购置及运行维护费支出</c:v>
                </c:pt>
                <c:pt idx="2">
                  <c:v>公务接待费支出</c:v>
                </c:pt>
              </c:strCache>
            </c:strRef>
          </c:cat>
          <c:val>
            <c:numRef>
              <c:f>[工作簿1]Sheet2!$L$7:$N$7</c:f>
              <c:numCache>
                <c:formatCode>General</c:formatCode>
                <c:ptCount val="3"/>
                <c:pt idx="0">
                  <c:v>0</c:v>
                </c:pt>
                <c:pt idx="1">
                  <c:v>9</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3bb66f4-9f42-4499-b963-b212ba3a706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5864</Words>
  <Characters>6090</Characters>
  <Lines>14</Lines>
  <Paragraphs>19</Paragraphs>
  <TotalTime>3</TotalTime>
  <ScaleCrop>false</ScaleCrop>
  <LinksUpToDate>false</LinksUpToDate>
  <CharactersWithSpaces>6216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2021-12-04T12:42:00Z</dcterms:created>
  <dc:creator>lenovo</dc:creator>
  <cp:lastModifiedBy>花红易衰</cp:lastModifiedBy>
  <dcterms:modified xsi:type="dcterms:W3CDTF">2026-05-15T07:50:47Z</dcterms:modified>
  <dc:title>2020年度部门决算公开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AA9B3B47CB664097A58B88AE5E009506</vt:lpwstr>
  </property>
  <property fmtid="{D5CDD505-2E9C-101B-9397-08002B2CF9AE}" pid="4" name="KSOTemplateDocerSaveRecord">
    <vt:lpwstr>eyJoZGlkIjoiOGUxMjc5MjYzMDQzZjQ3YjY1MjJkZmYwMWJhNDdkY2EiLCJ1c2VySWQiOiI0MzMxNDkwMDYifQ==</vt:lpwstr>
  </property>
</Properties>
</file>