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10.xml" ContentType="application/vnd.ms-office.chartcolorstyle+xml"/>
  <Override PartName="/word/charts/colors11.xml" ContentType="application/vnd.ms-office.chartcolorstyle+xml"/>
  <Override PartName="/word/charts/colors12.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colors9.xml" ContentType="application/vnd.ms-office.chartcolorstyle+xml"/>
  <Override PartName="/word/charts/style1.xml" ContentType="application/vnd.ms-office.chartstyle+xml"/>
  <Override PartName="/word/charts/style10.xml" ContentType="application/vnd.ms-office.chartstyle+xml"/>
  <Override PartName="/word/charts/style11.xml" ContentType="application/vnd.ms-office.chartstyle+xml"/>
  <Override PartName="/word/charts/style12.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charts/style9.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0"/>
        <w:rPr>
          <w:rFonts w:ascii="方正小标宋简体" w:hAnsi="宋体" w:eastAsia="方正小标宋简体"/>
          <w:color w:val="000000"/>
          <w:sz w:val="72"/>
          <w:szCs w:val="72"/>
        </w:rPr>
      </w:pPr>
      <w:bookmarkStart w:id="0" w:name="_Toc21169"/>
      <w:bookmarkStart w:id="1" w:name="_Toc2877"/>
      <w:bookmarkStart w:id="2" w:name="_Toc15396475"/>
      <w:bookmarkStart w:id="3" w:name="_Toc15378441"/>
      <w:bookmarkStart w:id="4" w:name="_Toc15377193"/>
      <w:bookmarkStart w:id="5" w:name="_Toc780"/>
      <w:bookmarkStart w:id="6" w:name="_Toc15377425"/>
      <w:bookmarkStart w:id="7" w:name="_Toc24857"/>
      <w:bookmarkStart w:id="8" w:name="_Toc23149"/>
      <w:bookmarkStart w:id="9" w:name="_Toc20977"/>
      <w:bookmarkStart w:id="10" w:name="_Toc12031"/>
      <w:bookmarkStart w:id="11" w:name="_Toc15396597"/>
      <w:bookmarkStart w:id="159" w:name="_GoBack"/>
      <w:bookmarkEnd w:id="159"/>
      <w:r>
        <w:rPr>
          <w:rFonts w:hint="eastAsia" w:ascii="黑体" w:hAnsi="黑体" w:eastAsia="黑体"/>
          <w:color w:val="000000"/>
          <w:sz w:val="72"/>
          <w:szCs w:val="72"/>
          <w:lang w:val="en-US" w:eastAsia="zh-CN"/>
        </w:rPr>
        <w:t>2020</w:t>
      </w:r>
      <w:r>
        <w:rPr>
          <w:rFonts w:hint="eastAsia" w:ascii="方正小标宋简体" w:hAnsi="宋体" w:eastAsia="方正小标宋简体"/>
          <w:color w:val="000000"/>
          <w:sz w:val="72"/>
          <w:szCs w:val="72"/>
        </w:rPr>
        <w:t>年度</w:t>
      </w:r>
      <w:bookmarkEnd w:id="0"/>
      <w:bookmarkEnd w:id="1"/>
      <w:bookmarkEnd w:id="2"/>
      <w:bookmarkEnd w:id="3"/>
      <w:bookmarkEnd w:id="4"/>
      <w:bookmarkEnd w:id="5"/>
      <w:bookmarkEnd w:id="6"/>
      <w:bookmarkEnd w:id="7"/>
      <w:bookmarkEnd w:id="8"/>
      <w:bookmarkEnd w:id="9"/>
      <w:bookmarkEnd w:id="10"/>
      <w:bookmarkEnd w:id="11"/>
    </w:p>
    <w:p>
      <w:pPr>
        <w:adjustRightInd w:val="0"/>
        <w:snapToGrid w:val="0"/>
        <w:spacing w:line="360" w:lineRule="auto"/>
        <w:jc w:val="center"/>
        <w:outlineLvl w:val="0"/>
        <w:rPr>
          <w:rFonts w:ascii="方正小标宋简体" w:hAnsi="宋体" w:eastAsia="方正小标宋简体"/>
          <w:color w:val="000000"/>
          <w:sz w:val="72"/>
          <w:szCs w:val="72"/>
        </w:rPr>
      </w:pPr>
      <w:bookmarkStart w:id="12" w:name="_Toc5373"/>
      <w:bookmarkStart w:id="13" w:name="_Toc2389"/>
      <w:bookmarkStart w:id="14" w:name="_Toc8586"/>
      <w:bookmarkStart w:id="15" w:name="_Toc23237"/>
      <w:bookmarkStart w:id="16" w:name="_Toc28993"/>
      <w:bookmarkStart w:id="17" w:name="_Toc15377194"/>
      <w:bookmarkStart w:id="18" w:name="_Toc15396476"/>
      <w:bookmarkStart w:id="19" w:name="_Toc8754"/>
      <w:bookmarkStart w:id="20" w:name="_Toc6822"/>
      <w:bookmarkStart w:id="21" w:name="_Toc15396598"/>
      <w:bookmarkStart w:id="22" w:name="_Toc15377426"/>
      <w:bookmarkStart w:id="23" w:name="_Toc15378442"/>
      <w:r>
        <w:rPr>
          <w:rFonts w:hint="eastAsia" w:ascii="方正小标宋简体" w:hAnsi="宋体" w:eastAsia="方正小标宋简体"/>
          <w:color w:val="000000"/>
          <w:sz w:val="72"/>
          <w:szCs w:val="72"/>
        </w:rPr>
        <w:t>四川省阿坝州红原县</w:t>
      </w:r>
      <w:bookmarkStart w:id="24" w:name="_Toc15306268"/>
      <w:r>
        <w:rPr>
          <w:rFonts w:hint="eastAsia" w:ascii="方正小标宋简体" w:hAnsi="宋体" w:eastAsia="方正小标宋简体"/>
          <w:color w:val="000000"/>
          <w:sz w:val="72"/>
          <w:szCs w:val="72"/>
        </w:rPr>
        <w:t>退役军人事务局部门决算</w:t>
      </w:r>
      <w:bookmarkEnd w:id="12"/>
      <w:bookmarkEnd w:id="13"/>
      <w:bookmarkEnd w:id="14"/>
      <w:bookmarkEnd w:id="15"/>
      <w:bookmarkEnd w:id="16"/>
      <w:bookmarkEnd w:id="17"/>
      <w:bookmarkEnd w:id="18"/>
      <w:bookmarkEnd w:id="19"/>
      <w:bookmarkEnd w:id="20"/>
      <w:bookmarkEnd w:id="21"/>
      <w:bookmarkEnd w:id="22"/>
      <w:bookmarkEnd w:id="23"/>
      <w:bookmarkEnd w:id="24"/>
    </w:p>
    <w:p>
      <w:pPr>
        <w:widowControl/>
        <w:jc w:val="center"/>
        <w:rPr>
          <w:rFonts w:ascii="方正小标宋简体" w:hAnsi="宋体" w:eastAsia="方正小标宋简体"/>
          <w:color w:val="000000"/>
          <w:sz w:val="36"/>
          <w:szCs w:val="36"/>
        </w:rPr>
      </w:pPr>
    </w:p>
    <w:p>
      <w:pPr>
        <w:rPr>
          <w:rFonts w:ascii="方正小标宋简体" w:hAnsi="宋体" w:eastAsia="方正小标宋简体"/>
          <w:sz w:val="36"/>
          <w:szCs w:val="36"/>
        </w:rPr>
      </w:pPr>
    </w:p>
    <w:p>
      <w:pPr>
        <w:rPr>
          <w:rFonts w:ascii="方正小标宋简体" w:hAnsi="宋体" w:eastAsia="方正小标宋简体"/>
          <w:sz w:val="36"/>
          <w:szCs w:val="36"/>
        </w:rPr>
      </w:pPr>
    </w:p>
    <w:p>
      <w:pPr>
        <w:rPr>
          <w:rFonts w:ascii="方正小标宋简体" w:hAnsi="宋体" w:eastAsia="方正小标宋简体"/>
          <w:sz w:val="36"/>
          <w:szCs w:val="36"/>
        </w:rPr>
      </w:pPr>
    </w:p>
    <w:p>
      <w:pPr>
        <w:rPr>
          <w:rFonts w:ascii="方正小标宋简体" w:hAnsi="宋体" w:eastAsia="方正小标宋简体"/>
          <w:sz w:val="36"/>
          <w:szCs w:val="36"/>
        </w:rPr>
      </w:pPr>
    </w:p>
    <w:p>
      <w:pPr>
        <w:autoSpaceDE w:val="0"/>
        <w:autoSpaceDN w:val="0"/>
        <w:adjustRightInd w:val="0"/>
        <w:ind w:firstLine="1276"/>
        <w:jc w:val="left"/>
        <w:rPr>
          <w:rFonts w:eastAsia="仿宋_GB2312"/>
          <w:sz w:val="32"/>
          <w:szCs w:val="32"/>
        </w:rPr>
      </w:pPr>
      <w:r>
        <w:rPr>
          <w:rFonts w:hint="eastAsia" w:ascii="仿宋_GB2312" w:hAnsi="Calibri" w:eastAsia="仿宋_GB2312" w:cs="仿宋_GB2312"/>
          <w:sz w:val="32"/>
          <w:szCs w:val="32"/>
        </w:rPr>
        <w:t>保密审查情况：已审查，内容审定</w:t>
      </w:r>
    </w:p>
    <w:p>
      <w:pPr>
        <w:autoSpaceDE w:val="0"/>
        <w:autoSpaceDN w:val="0"/>
        <w:adjustRightInd w:val="0"/>
        <w:ind w:firstLine="1276"/>
        <w:jc w:val="left"/>
        <w:rPr>
          <w:rFonts w:hint="eastAsia" w:ascii="方正小标宋简体" w:hAnsi="方正小标宋简体" w:eastAsia="方正小标宋简体" w:cs="方正小标宋简体"/>
          <w:b w:val="0"/>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仿宋_GB2312" w:eastAsia="仿宋_GB2312" w:cs="仿宋_GB2312"/>
          <w:sz w:val="32"/>
          <w:szCs w:val="32"/>
        </w:rPr>
        <w:t>部门主要负责人审签情况：已审签</w:t>
      </w:r>
      <w:r>
        <w:rPr>
          <w:rFonts w:hint="eastAsia" w:ascii="仿宋_GB2312" w:hAnsi="Calibri" w:eastAsia="仿宋_GB2312" w:cs="仿宋_GB2312"/>
          <w:sz w:val="32"/>
          <w:szCs w:val="32"/>
        </w:rPr>
        <w:t>，同意对外公开</w:t>
      </w:r>
    </w:p>
    <w:sdt>
      <w:sdtPr>
        <w:rPr>
          <w:rFonts w:ascii="宋体" w:hAnsi="宋体" w:eastAsia="宋体" w:cs="Times New Roman"/>
          <w:kern w:val="2"/>
          <w:sz w:val="21"/>
          <w:szCs w:val="24"/>
          <w:lang w:val="en-US" w:eastAsia="zh-CN" w:bidi="ar-SA"/>
        </w:rPr>
        <w:id w:val="147483256"/>
        <w15:color w:val="DBDBDB"/>
        <w:docPartObj>
          <w:docPartGallery w:val="Table of Contents"/>
          <w:docPartUnique/>
        </w:docPartObj>
      </w:sdtPr>
      <w:sdtEndPr>
        <w:rPr>
          <w:rFonts w:hint="eastAsia" w:ascii="方正小标宋简体" w:hAnsi="方正小标宋简体" w:eastAsia="方正小标宋简体" w:cs="方正小标宋简体"/>
          <w:b/>
          <w:bCs/>
          <w:color w:val="000000"/>
          <w:kern w:val="0"/>
          <w:sz w:val="32"/>
          <w:szCs w:val="48"/>
          <w:lang w:val="en-US" w:eastAsia="zh-CN" w:bidi="ar-SA"/>
        </w:rPr>
      </w:sdtEndPr>
      <w:sdtContent>
        <w:p>
          <w:pPr>
            <w:spacing w:before="0" w:beforeLines="0" w:after="0" w:afterLines="0" w:line="240" w:lineRule="auto"/>
            <w:ind w:left="0" w:leftChars="0" w:right="0" w:rightChars="0" w:firstLine="0" w:firstLineChars="0"/>
            <w:jc w:val="center"/>
            <w:rPr>
              <w:sz w:val="28"/>
              <w:szCs w:val="28"/>
            </w:rPr>
          </w:pPr>
          <w:r>
            <w:rPr>
              <w:rFonts w:ascii="宋体" w:hAnsi="宋体" w:eastAsia="宋体"/>
              <w:sz w:val="28"/>
              <w:szCs w:val="28"/>
            </w:rPr>
            <w:t>目录</w:t>
          </w:r>
        </w:p>
        <w:p>
          <w:pPr>
            <w:pStyle w:val="10"/>
            <w:tabs>
              <w:tab w:val="right" w:leader="dot" w:pos="8306"/>
              <w:tab w:val="clear" w:pos="8296"/>
            </w:tabs>
            <w:rPr>
              <w:sz w:val="28"/>
              <w:szCs w:val="28"/>
            </w:rPr>
          </w:pPr>
          <w:r>
            <w:rPr>
              <w:rFonts w:hint="eastAsia" w:ascii="方正小标宋简体" w:hAnsi="方正小标宋简体" w:eastAsia="方正小标宋简体" w:cs="方正小标宋简体"/>
              <w:b w:val="0"/>
              <w:color w:val="000000"/>
              <w:kern w:val="0"/>
              <w:sz w:val="28"/>
              <w:szCs w:val="28"/>
              <w:lang w:eastAsia="zh-CN"/>
            </w:rPr>
            <w:fldChar w:fldCharType="begin"/>
          </w:r>
          <w:r>
            <w:rPr>
              <w:rFonts w:hint="eastAsia" w:ascii="方正小标宋简体" w:hAnsi="方正小标宋简体" w:eastAsia="方正小标宋简体" w:cs="方正小标宋简体"/>
              <w:b w:val="0"/>
              <w:color w:val="000000"/>
              <w:kern w:val="0"/>
              <w:sz w:val="28"/>
              <w:szCs w:val="28"/>
              <w:lang w:eastAsia="zh-CN"/>
            </w:rPr>
            <w:instrText xml:space="preserve">TOC \o "1-2" \h \u </w:instrText>
          </w:r>
          <w:r>
            <w:rPr>
              <w:rFonts w:hint="eastAsia" w:ascii="方正小标宋简体" w:hAnsi="方正小标宋简体" w:eastAsia="方正小标宋简体" w:cs="方正小标宋简体"/>
              <w:b w:val="0"/>
              <w:color w:val="000000"/>
              <w:kern w:val="0"/>
              <w:sz w:val="28"/>
              <w:szCs w:val="28"/>
              <w:lang w:eastAsia="zh-CN"/>
            </w:rPr>
            <w:fldChar w:fldCharType="separate"/>
          </w: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_Toc23149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黑体" w:hAnsi="黑体" w:eastAsia="黑体"/>
              <w:sz w:val="28"/>
              <w:szCs w:val="28"/>
              <w:lang w:val="en-US" w:eastAsia="zh-CN"/>
            </w:rPr>
            <w:t>2020</w:t>
          </w:r>
          <w:r>
            <w:rPr>
              <w:rFonts w:hint="eastAsia" w:ascii="方正小标宋简体" w:hAnsi="宋体" w:eastAsia="方正小标宋简体"/>
              <w:sz w:val="28"/>
              <w:szCs w:val="28"/>
            </w:rPr>
            <w:t>年度</w:t>
          </w:r>
          <w:r>
            <w:rPr>
              <w:sz w:val="28"/>
              <w:szCs w:val="28"/>
            </w:rPr>
            <w:tab/>
          </w:r>
          <w:r>
            <w:rPr>
              <w:sz w:val="28"/>
              <w:szCs w:val="28"/>
            </w:rPr>
            <w:fldChar w:fldCharType="begin"/>
          </w:r>
          <w:r>
            <w:rPr>
              <w:sz w:val="28"/>
              <w:szCs w:val="28"/>
            </w:rPr>
            <w:instrText xml:space="preserve"> PAGEREF _Toc23149 \h </w:instrText>
          </w:r>
          <w:r>
            <w:rPr>
              <w:sz w:val="28"/>
              <w:szCs w:val="28"/>
            </w:rPr>
            <w:fldChar w:fldCharType="separate"/>
          </w:r>
          <w:r>
            <w:rPr>
              <w:sz w:val="28"/>
              <w:szCs w:val="28"/>
            </w:rPr>
            <w:t>1</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0"/>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_Toc28993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方正小标宋简体" w:hAnsi="宋体" w:eastAsia="方正小标宋简体"/>
              <w:sz w:val="28"/>
              <w:szCs w:val="28"/>
            </w:rPr>
            <w:t>四川省阿坝州红原县退役军人事务局部门决算</w:t>
          </w:r>
          <w:r>
            <w:rPr>
              <w:sz w:val="28"/>
              <w:szCs w:val="28"/>
            </w:rPr>
            <w:tab/>
          </w:r>
          <w:r>
            <w:rPr>
              <w:sz w:val="28"/>
              <w:szCs w:val="28"/>
            </w:rPr>
            <w:fldChar w:fldCharType="begin"/>
          </w:r>
          <w:r>
            <w:rPr>
              <w:sz w:val="28"/>
              <w:szCs w:val="28"/>
            </w:rPr>
            <w:instrText xml:space="preserve"> PAGEREF _Toc28993 \h </w:instrText>
          </w:r>
          <w:r>
            <w:rPr>
              <w:sz w:val="28"/>
              <w:szCs w:val="28"/>
            </w:rPr>
            <w:fldChar w:fldCharType="separate"/>
          </w:r>
          <w:r>
            <w:rPr>
              <w:sz w:val="28"/>
              <w:szCs w:val="28"/>
            </w:rPr>
            <w:t>1</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_Toc4918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方正小标宋简体" w:hAnsi="方正小标宋简体" w:eastAsia="方正小标宋简体" w:cs="方正小标宋简体"/>
              <w:kern w:val="0"/>
              <w:sz w:val="28"/>
              <w:szCs w:val="28"/>
              <w:lang w:eastAsia="zh-CN"/>
            </w:rPr>
            <w:t>四川省阿坝州红原县退役军人事务局</w:t>
          </w:r>
          <w:r>
            <w:rPr>
              <w:sz w:val="28"/>
              <w:szCs w:val="28"/>
            </w:rPr>
            <w:tab/>
          </w:r>
          <w:r>
            <w:rPr>
              <w:sz w:val="28"/>
              <w:szCs w:val="28"/>
            </w:rPr>
            <w:fldChar w:fldCharType="begin"/>
          </w:r>
          <w:r>
            <w:rPr>
              <w:sz w:val="28"/>
              <w:szCs w:val="28"/>
            </w:rPr>
            <w:instrText xml:space="preserve"> PAGEREF _Toc4918 \h </w:instrText>
          </w:r>
          <w:r>
            <w:rPr>
              <w:sz w:val="28"/>
              <w:szCs w:val="28"/>
            </w:rPr>
            <w:fldChar w:fldCharType="separate"/>
          </w:r>
          <w:r>
            <w:rPr>
              <w:sz w:val="28"/>
              <w:szCs w:val="28"/>
            </w:rPr>
            <w:t>3</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_Toc32248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方正小标宋简体" w:hAnsi="方正小标宋简体" w:eastAsia="方正小标宋简体" w:cs="方正小标宋简体"/>
              <w:kern w:val="0"/>
              <w:sz w:val="28"/>
              <w:szCs w:val="28"/>
              <w:lang w:eastAsia="zh-CN"/>
            </w:rPr>
            <w:t>2020年度部门决算分析报</w:t>
          </w:r>
          <w:r>
            <w:rPr>
              <w:sz w:val="28"/>
              <w:szCs w:val="28"/>
            </w:rPr>
            <w:tab/>
          </w:r>
          <w:r>
            <w:rPr>
              <w:sz w:val="28"/>
              <w:szCs w:val="28"/>
            </w:rPr>
            <w:fldChar w:fldCharType="begin"/>
          </w:r>
          <w:r>
            <w:rPr>
              <w:sz w:val="28"/>
              <w:szCs w:val="28"/>
            </w:rPr>
            <w:instrText xml:space="preserve"> PAGEREF _Toc32248 \h </w:instrText>
          </w:r>
          <w:r>
            <w:rPr>
              <w:sz w:val="28"/>
              <w:szCs w:val="28"/>
            </w:rPr>
            <w:fldChar w:fldCharType="separate"/>
          </w:r>
          <w:r>
            <w:rPr>
              <w:sz w:val="28"/>
              <w:szCs w:val="28"/>
            </w:rPr>
            <w:t>3</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黑体" w:hAnsi="宋体" w:eastAsia="黑体" w:cs="黑体"/>
              <w:kern w:val="0"/>
              <w:sz w:val="28"/>
              <w:szCs w:val="28"/>
              <w:lang w:eastAsia="zh-CN"/>
            </w:rPr>
            <w:t>一、单位情况</w:t>
          </w:r>
          <w:r>
            <w:rPr>
              <w:sz w:val="28"/>
              <w:szCs w:val="28"/>
            </w:rPr>
            <w:tab/>
          </w:r>
          <w:r>
            <w:rPr>
              <w:sz w:val="28"/>
              <w:szCs w:val="28"/>
            </w:rPr>
            <w:fldChar w:fldCharType="begin"/>
          </w:r>
          <w:r>
            <w:rPr>
              <w:sz w:val="28"/>
              <w:szCs w:val="28"/>
            </w:rPr>
            <w:instrText xml:space="preserve"> PAGEREF _Toc2 \h </w:instrText>
          </w:r>
          <w:r>
            <w:rPr>
              <w:sz w:val="28"/>
              <w:szCs w:val="28"/>
            </w:rPr>
            <w:fldChar w:fldCharType="separate"/>
          </w:r>
          <w:r>
            <w:rPr>
              <w:sz w:val="28"/>
              <w:szCs w:val="28"/>
            </w:rPr>
            <w:t>3</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_Toc22111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黑体" w:hAnsi="宋体" w:eastAsia="黑体" w:cs="黑体"/>
              <w:kern w:val="0"/>
              <w:sz w:val="28"/>
              <w:szCs w:val="28"/>
              <w:lang w:val="en-US" w:eastAsia="zh-CN"/>
            </w:rPr>
            <w:t>1、</w:t>
          </w:r>
          <w:r>
            <w:rPr>
              <w:rFonts w:hint="eastAsia" w:ascii="黑体" w:hAnsi="宋体" w:eastAsia="黑体" w:cs="黑体"/>
              <w:kern w:val="0"/>
              <w:sz w:val="28"/>
              <w:szCs w:val="28"/>
            </w:rPr>
            <w:t>基本职能</w:t>
          </w:r>
          <w:r>
            <w:rPr>
              <w:sz w:val="28"/>
              <w:szCs w:val="28"/>
            </w:rPr>
            <w:tab/>
          </w:r>
          <w:r>
            <w:rPr>
              <w:sz w:val="28"/>
              <w:szCs w:val="28"/>
            </w:rPr>
            <w:fldChar w:fldCharType="begin"/>
          </w:r>
          <w:r>
            <w:rPr>
              <w:sz w:val="28"/>
              <w:szCs w:val="28"/>
            </w:rPr>
            <w:instrText xml:space="preserve"> PAGEREF _Toc22111 \h </w:instrText>
          </w:r>
          <w:r>
            <w:rPr>
              <w:sz w:val="28"/>
              <w:szCs w:val="28"/>
            </w:rPr>
            <w:fldChar w:fldCharType="separate"/>
          </w:r>
          <w:r>
            <w:rPr>
              <w:sz w:val="28"/>
              <w:szCs w:val="28"/>
            </w:rPr>
            <w:t>3</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_Toc5003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_GB2312" w:hAnsi="仿宋" w:eastAsia="仿宋_GB2312" w:cs="仿宋_GB2312"/>
              <w:kern w:val="0"/>
              <w:sz w:val="28"/>
              <w:szCs w:val="28"/>
            </w:rPr>
            <w:t>县退役军人局贯彻落实党中央关于退役军人工作的方针政策和省委、州委、县委的决策部署，在履行职责过程中坚持和加强党对退役军人工作的集中统一领导。主要职责是：</w:t>
          </w:r>
          <w:r>
            <w:rPr>
              <w:sz w:val="28"/>
              <w:szCs w:val="28"/>
            </w:rPr>
            <w:tab/>
          </w:r>
          <w:r>
            <w:rPr>
              <w:sz w:val="28"/>
              <w:szCs w:val="28"/>
            </w:rPr>
            <w:fldChar w:fldCharType="begin"/>
          </w:r>
          <w:r>
            <w:rPr>
              <w:sz w:val="28"/>
              <w:szCs w:val="28"/>
            </w:rPr>
            <w:instrText xml:space="preserve"> PAGEREF _Toc5003 \h </w:instrText>
          </w:r>
          <w:r>
            <w:rPr>
              <w:sz w:val="28"/>
              <w:szCs w:val="28"/>
            </w:rPr>
            <w:fldChar w:fldCharType="separate"/>
          </w:r>
          <w:r>
            <w:rPr>
              <w:sz w:val="28"/>
              <w:szCs w:val="28"/>
            </w:rPr>
            <w:t>3</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_Toc23085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_GB2312" w:hAnsi="仿宋" w:eastAsia="仿宋_GB2312" w:cs="仿宋_GB2312"/>
              <w:kern w:val="0"/>
              <w:sz w:val="28"/>
              <w:szCs w:val="28"/>
            </w:rPr>
            <w:t>（一）贯彻执行有关退役军人思想政治、管理保障和安置优抚等法律法规，拟订退役军人工作政策并组织实施，褒扬彰显退役军人为党、国家和人民牺牲奉献的精神风范和价值导向。</w:t>
          </w:r>
          <w:r>
            <w:rPr>
              <w:sz w:val="28"/>
              <w:szCs w:val="28"/>
            </w:rPr>
            <w:tab/>
          </w:r>
          <w:r>
            <w:rPr>
              <w:sz w:val="28"/>
              <w:szCs w:val="28"/>
            </w:rPr>
            <w:fldChar w:fldCharType="begin"/>
          </w:r>
          <w:r>
            <w:rPr>
              <w:sz w:val="28"/>
              <w:szCs w:val="28"/>
            </w:rPr>
            <w:instrText xml:space="preserve"> PAGEREF _Toc23085 \h </w:instrText>
          </w:r>
          <w:r>
            <w:rPr>
              <w:sz w:val="28"/>
              <w:szCs w:val="28"/>
            </w:rPr>
            <w:fldChar w:fldCharType="separate"/>
          </w:r>
          <w:r>
            <w:rPr>
              <w:sz w:val="28"/>
              <w:szCs w:val="28"/>
            </w:rPr>
            <w:t>3</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_Toc3842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_GB2312" w:hAnsi="仿宋" w:eastAsia="仿宋_GB2312" w:cs="仿宋_GB2312"/>
              <w:kern w:val="0"/>
              <w:sz w:val="28"/>
              <w:szCs w:val="28"/>
            </w:rPr>
            <w:t>（二）负责军队转业干部、复员干部、离休退休干部、退役士兵和无军籍退休退职职工的移交安置和自主择业、就业退役军人服务管理工作。</w:t>
          </w:r>
          <w:r>
            <w:rPr>
              <w:sz w:val="28"/>
              <w:szCs w:val="28"/>
            </w:rPr>
            <w:tab/>
          </w:r>
          <w:r>
            <w:rPr>
              <w:sz w:val="28"/>
              <w:szCs w:val="28"/>
            </w:rPr>
            <w:fldChar w:fldCharType="begin"/>
          </w:r>
          <w:r>
            <w:rPr>
              <w:sz w:val="28"/>
              <w:szCs w:val="28"/>
            </w:rPr>
            <w:instrText xml:space="preserve"> PAGEREF _Toc3842 \h </w:instrText>
          </w:r>
          <w:r>
            <w:rPr>
              <w:sz w:val="28"/>
              <w:szCs w:val="28"/>
            </w:rPr>
            <w:fldChar w:fldCharType="separate"/>
          </w:r>
          <w:r>
            <w:rPr>
              <w:sz w:val="28"/>
              <w:szCs w:val="28"/>
            </w:rPr>
            <w:t>3</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0"/>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_Toc3266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黑体" w:hAnsi="黑体" w:eastAsia="黑体" w:cs="黑体"/>
              <w:kern w:val="0"/>
              <w:sz w:val="28"/>
              <w:szCs w:val="28"/>
              <w:shd w:val="clear" w:fill="FFFFFF"/>
              <w:lang w:val="en-US" w:eastAsia="zh-CN" w:bidi="ar"/>
            </w:rPr>
            <w:t>二、收入支出预算执行情况分析。</w:t>
          </w:r>
          <w:r>
            <w:rPr>
              <w:sz w:val="28"/>
              <w:szCs w:val="28"/>
            </w:rPr>
            <w:tab/>
          </w:r>
          <w:r>
            <w:rPr>
              <w:sz w:val="28"/>
              <w:szCs w:val="28"/>
            </w:rPr>
            <w:fldChar w:fldCharType="begin"/>
          </w:r>
          <w:r>
            <w:rPr>
              <w:sz w:val="28"/>
              <w:szCs w:val="28"/>
            </w:rPr>
            <w:instrText xml:space="preserve"> PAGEREF _Toc3266 \h </w:instrText>
          </w:r>
          <w:r>
            <w:rPr>
              <w:sz w:val="28"/>
              <w:szCs w:val="28"/>
            </w:rPr>
            <w:fldChar w:fldCharType="separate"/>
          </w:r>
          <w:r>
            <w:rPr>
              <w:sz w:val="28"/>
              <w:szCs w:val="28"/>
            </w:rPr>
            <w:t>7</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_Toc23413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_GB2312" w:hAnsi="宋体" w:eastAsia="仿宋_GB2312" w:cs="仿宋_GB2312"/>
              <w:kern w:val="0"/>
              <w:sz w:val="28"/>
              <w:szCs w:val="28"/>
              <w:lang w:val="en-US" w:eastAsia="zh-CN" w:bidi="ar"/>
            </w:rPr>
            <w:t>2020年本年收入合计1107万元，其中：一般公共预算财政拨款收入1107万元，占100%；政府性基金预算财政拨款收入0万元，占0%。</w:t>
          </w:r>
          <w:r>
            <w:rPr>
              <w:sz w:val="28"/>
              <w:szCs w:val="28"/>
            </w:rPr>
            <w:tab/>
          </w:r>
          <w:r>
            <w:rPr>
              <w:sz w:val="28"/>
              <w:szCs w:val="28"/>
            </w:rPr>
            <w:fldChar w:fldCharType="begin"/>
          </w:r>
          <w:r>
            <w:rPr>
              <w:sz w:val="28"/>
              <w:szCs w:val="28"/>
            </w:rPr>
            <w:instrText xml:space="preserve"> PAGEREF _Toc23413 \h </w:instrText>
          </w:r>
          <w:r>
            <w:rPr>
              <w:sz w:val="28"/>
              <w:szCs w:val="28"/>
            </w:rPr>
            <w:fldChar w:fldCharType="separate"/>
          </w:r>
          <w:r>
            <w:rPr>
              <w:sz w:val="28"/>
              <w:szCs w:val="28"/>
            </w:rPr>
            <w:t>8</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_Toc374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黑体" w:hAnsi="宋体" w:eastAsia="黑体" w:cs="黑体"/>
              <w:kern w:val="0"/>
              <w:sz w:val="28"/>
              <w:szCs w:val="28"/>
              <w:lang w:val="en-US" w:eastAsia="zh-CN" w:bidi="ar"/>
            </w:rPr>
            <w:t>四、财政拨款收入支出决算总体情况说明</w:t>
          </w:r>
          <w:r>
            <w:rPr>
              <w:sz w:val="28"/>
              <w:szCs w:val="28"/>
            </w:rPr>
            <w:tab/>
          </w:r>
          <w:r>
            <w:rPr>
              <w:sz w:val="28"/>
              <w:szCs w:val="28"/>
            </w:rPr>
            <w:fldChar w:fldCharType="begin"/>
          </w:r>
          <w:r>
            <w:rPr>
              <w:sz w:val="28"/>
              <w:szCs w:val="28"/>
            </w:rPr>
            <w:instrText xml:space="preserve"> PAGEREF _Toc374 \h </w:instrText>
          </w:r>
          <w:r>
            <w:rPr>
              <w:sz w:val="28"/>
              <w:szCs w:val="28"/>
            </w:rPr>
            <w:fldChar w:fldCharType="separate"/>
          </w:r>
          <w:r>
            <w:rPr>
              <w:sz w:val="28"/>
              <w:szCs w:val="28"/>
            </w:rPr>
            <w:t>16</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0"/>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_Toc23379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宋体" w:hAnsi="宋体" w:eastAsia="宋体" w:cs="Times New Roman"/>
              <w:kern w:val="0"/>
              <w:sz w:val="28"/>
              <w:szCs w:val="28"/>
            </w:rPr>
            <w:t xml:space="preserve">第三部分 </w:t>
          </w:r>
          <w:r>
            <w:rPr>
              <w:rFonts w:hint="eastAsia" w:ascii="仿宋_GB2312" w:hAnsi="Calibri" w:eastAsia="仿宋_GB2312" w:cs="仿宋_GB2312"/>
              <w:kern w:val="0"/>
              <w:sz w:val="28"/>
              <w:szCs w:val="28"/>
              <w:lang w:val="en-US" w:eastAsia="zh-CN" w:bidi="ar"/>
            </w:rPr>
            <w:t>名词解释</w:t>
          </w:r>
          <w:r>
            <w:rPr>
              <w:sz w:val="28"/>
              <w:szCs w:val="28"/>
            </w:rPr>
            <w:tab/>
          </w:r>
          <w:r>
            <w:rPr>
              <w:sz w:val="28"/>
              <w:szCs w:val="28"/>
            </w:rPr>
            <w:fldChar w:fldCharType="begin"/>
          </w:r>
          <w:r>
            <w:rPr>
              <w:sz w:val="28"/>
              <w:szCs w:val="28"/>
            </w:rPr>
            <w:instrText xml:space="preserve"> PAGEREF _Toc23379 \h </w:instrText>
          </w:r>
          <w:r>
            <w:rPr>
              <w:sz w:val="28"/>
              <w:szCs w:val="28"/>
            </w:rPr>
            <w:fldChar w:fldCharType="separate"/>
          </w:r>
          <w:r>
            <w:rPr>
              <w:sz w:val="28"/>
              <w:szCs w:val="28"/>
            </w:rPr>
            <w:t>31</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_Toc9101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cs="仿宋"/>
              <w:kern w:val="44"/>
              <w:sz w:val="28"/>
              <w:szCs w:val="28"/>
            </w:rPr>
            <w:t>附件</w:t>
          </w:r>
          <w:r>
            <w:rPr>
              <w:rFonts w:hint="eastAsia" w:ascii="仿宋" w:hAnsi="仿宋" w:eastAsia="仿宋" w:cs="Times New Roman"/>
              <w:kern w:val="44"/>
              <w:sz w:val="28"/>
              <w:szCs w:val="28"/>
            </w:rPr>
            <w:t>1</w:t>
          </w:r>
          <w:r>
            <w:rPr>
              <w:sz w:val="28"/>
              <w:szCs w:val="28"/>
            </w:rPr>
            <w:tab/>
          </w:r>
          <w:r>
            <w:rPr>
              <w:sz w:val="28"/>
              <w:szCs w:val="28"/>
            </w:rPr>
            <w:fldChar w:fldCharType="begin"/>
          </w:r>
          <w:r>
            <w:rPr>
              <w:sz w:val="28"/>
              <w:szCs w:val="28"/>
            </w:rPr>
            <w:instrText xml:space="preserve"> PAGEREF _Toc9101 \h </w:instrText>
          </w:r>
          <w:r>
            <w:rPr>
              <w:sz w:val="28"/>
              <w:szCs w:val="28"/>
            </w:rPr>
            <w:fldChar w:fldCharType="separate"/>
          </w:r>
          <w:r>
            <w:rPr>
              <w:sz w:val="28"/>
              <w:szCs w:val="28"/>
            </w:rPr>
            <w:t>34</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0"/>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_Toc23836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hAnsi="宋体" w:eastAsia="仿宋_GB2312" w:cs="仿宋_GB2312" w:asciiTheme="minorAscii"/>
              <w:kern w:val="0"/>
              <w:sz w:val="28"/>
              <w:szCs w:val="28"/>
              <w:shd w:val="clear" w:fill="FFFFFF"/>
              <w:lang w:val="en-US" w:eastAsia="zh-CN" w:bidi="ar"/>
            </w:rPr>
            <w:t>三、本年度部门决算等财务工作开展情况</w:t>
          </w:r>
          <w:r>
            <w:rPr>
              <w:sz w:val="28"/>
              <w:szCs w:val="28"/>
            </w:rPr>
            <w:tab/>
          </w:r>
          <w:r>
            <w:rPr>
              <w:sz w:val="28"/>
              <w:szCs w:val="28"/>
            </w:rPr>
            <w:fldChar w:fldCharType="begin"/>
          </w:r>
          <w:r>
            <w:rPr>
              <w:sz w:val="28"/>
              <w:szCs w:val="28"/>
            </w:rPr>
            <w:instrText xml:space="preserve"> PAGEREF _Toc23836 \h </w:instrText>
          </w:r>
          <w:r>
            <w:rPr>
              <w:sz w:val="28"/>
              <w:szCs w:val="28"/>
            </w:rPr>
            <w:fldChar w:fldCharType="separate"/>
          </w:r>
          <w:r>
            <w:rPr>
              <w:sz w:val="28"/>
              <w:szCs w:val="28"/>
            </w:rPr>
            <w:t>56</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0"/>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_Toc26961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hAnsi="宋体" w:eastAsia="仿宋_GB2312" w:cs="仿宋_GB2312" w:asciiTheme="minorAscii"/>
              <w:kern w:val="0"/>
              <w:sz w:val="28"/>
              <w:szCs w:val="28"/>
              <w:shd w:val="clear" w:fill="FFFFFF"/>
              <w:lang w:val="en-US" w:eastAsia="zh-CN" w:bidi="ar"/>
            </w:rPr>
            <w:t>一、行政单位财务分析指标</w:t>
          </w:r>
          <w:r>
            <w:rPr>
              <w:sz w:val="28"/>
              <w:szCs w:val="28"/>
            </w:rPr>
            <w:tab/>
          </w:r>
          <w:r>
            <w:rPr>
              <w:sz w:val="28"/>
              <w:szCs w:val="28"/>
            </w:rPr>
            <w:fldChar w:fldCharType="begin"/>
          </w:r>
          <w:r>
            <w:rPr>
              <w:sz w:val="28"/>
              <w:szCs w:val="28"/>
            </w:rPr>
            <w:instrText xml:space="preserve"> PAGEREF _Toc26961 \h </w:instrText>
          </w:r>
          <w:r>
            <w:rPr>
              <w:sz w:val="28"/>
              <w:szCs w:val="28"/>
            </w:rPr>
            <w:fldChar w:fldCharType="separate"/>
          </w:r>
          <w:r>
            <w:rPr>
              <w:sz w:val="28"/>
              <w:szCs w:val="28"/>
            </w:rPr>
            <w:t>57</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0"/>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_Toc14592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hAnsi="宋体" w:eastAsia="仿宋_GB2312" w:cs="仿宋_GB2312" w:asciiTheme="minorAscii"/>
              <w:kern w:val="0"/>
              <w:sz w:val="28"/>
              <w:szCs w:val="28"/>
              <w:shd w:val="clear" w:fill="FFFFFF"/>
              <w:lang w:val="en-US" w:eastAsia="zh-CN" w:bidi="ar"/>
            </w:rPr>
            <w:t>二、事业单位财务分析指标</w:t>
          </w:r>
          <w:r>
            <w:rPr>
              <w:sz w:val="28"/>
              <w:szCs w:val="28"/>
            </w:rPr>
            <w:tab/>
          </w:r>
          <w:r>
            <w:rPr>
              <w:sz w:val="28"/>
              <w:szCs w:val="28"/>
            </w:rPr>
            <w:fldChar w:fldCharType="begin"/>
          </w:r>
          <w:r>
            <w:rPr>
              <w:sz w:val="28"/>
              <w:szCs w:val="28"/>
            </w:rPr>
            <w:instrText xml:space="preserve"> PAGEREF _Toc14592 \h </w:instrText>
          </w:r>
          <w:r>
            <w:rPr>
              <w:sz w:val="28"/>
              <w:szCs w:val="28"/>
            </w:rPr>
            <w:fldChar w:fldCharType="separate"/>
          </w:r>
          <w:r>
            <w:rPr>
              <w:sz w:val="28"/>
              <w:szCs w:val="28"/>
            </w:rPr>
            <w:t>58</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0"/>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_Toc11083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黑体" w:hAnsi="黑体" w:eastAsia="黑体"/>
              <w:sz w:val="28"/>
              <w:szCs w:val="28"/>
            </w:rPr>
            <w:t>第五部分</w:t>
          </w:r>
          <w:r>
            <w:rPr>
              <w:rFonts w:ascii="黑体" w:hAnsi="黑体" w:eastAsia="黑体"/>
              <w:sz w:val="28"/>
              <w:szCs w:val="28"/>
            </w:rPr>
            <w:t xml:space="preserve"> </w:t>
          </w:r>
          <w:r>
            <w:rPr>
              <w:rFonts w:hint="eastAsia" w:ascii="黑体" w:hAnsi="黑体" w:eastAsia="黑体"/>
              <w:sz w:val="28"/>
              <w:szCs w:val="28"/>
            </w:rPr>
            <w:t>附表</w:t>
          </w:r>
          <w:r>
            <w:rPr>
              <w:sz w:val="28"/>
              <w:szCs w:val="28"/>
            </w:rPr>
            <w:tab/>
          </w:r>
          <w:r>
            <w:rPr>
              <w:sz w:val="28"/>
              <w:szCs w:val="28"/>
            </w:rPr>
            <w:fldChar w:fldCharType="begin"/>
          </w:r>
          <w:r>
            <w:rPr>
              <w:sz w:val="28"/>
              <w:szCs w:val="28"/>
            </w:rPr>
            <w:instrText xml:space="preserve"> PAGEREF _Toc11083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_Toc16913 </w:instrText>
          </w:r>
          <w:r>
            <w:rPr>
              <w:rFonts w:hint="eastAsia" w:ascii="方正小标宋简体" w:hAnsi="方正小标宋简体" w:eastAsia="方正小标宋简体" w:cs="方正小标宋简体"/>
              <w:kern w:val="0"/>
              <w:sz w:val="28"/>
              <w:szCs w:val="28"/>
              <w:lang w:eastAsia="zh-CN"/>
            </w:rPr>
            <w:fldChar w:fldCharType="separate"/>
          </w:r>
          <w:r>
            <w:rPr>
              <w:rFonts w:ascii="仿宋" w:hAnsi="仿宋" w:eastAsia="仿宋" w:cs="Times New Roman"/>
              <w:sz w:val="28"/>
              <w:szCs w:val="28"/>
            </w:rPr>
            <w:t xml:space="preserve">一、 </w:t>
          </w:r>
          <w:r>
            <w:rPr>
              <w:rFonts w:hint="eastAsia" w:ascii="仿宋" w:hAnsi="仿宋" w:eastAsia="仿宋"/>
              <w:sz w:val="28"/>
              <w:szCs w:val="28"/>
            </w:rPr>
            <w:t>收入支出决算总表</w:t>
          </w:r>
          <w:r>
            <w:rPr>
              <w:sz w:val="28"/>
              <w:szCs w:val="28"/>
            </w:rPr>
            <w:tab/>
          </w:r>
          <w:r>
            <w:rPr>
              <w:sz w:val="28"/>
              <w:szCs w:val="28"/>
            </w:rPr>
            <w:fldChar w:fldCharType="begin"/>
          </w:r>
          <w:r>
            <w:rPr>
              <w:sz w:val="28"/>
              <w:szCs w:val="28"/>
            </w:rPr>
            <w:instrText xml:space="preserve"> PAGEREF _Toc16913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_Toc16318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sz w:val="28"/>
              <w:szCs w:val="28"/>
            </w:rPr>
            <w:t>二、收</w:t>
          </w:r>
          <w:r>
            <w:rPr>
              <w:rFonts w:hint="eastAsia" w:ascii="仿宋" w:hAnsi="仿宋" w:eastAsia="仿宋"/>
              <w:bCs w:val="0"/>
              <w:sz w:val="28"/>
              <w:szCs w:val="28"/>
            </w:rPr>
            <w:t>入总表</w:t>
          </w:r>
          <w:r>
            <w:rPr>
              <w:sz w:val="28"/>
              <w:szCs w:val="28"/>
            </w:rPr>
            <w:tab/>
          </w:r>
          <w:r>
            <w:rPr>
              <w:sz w:val="28"/>
              <w:szCs w:val="28"/>
            </w:rPr>
            <w:fldChar w:fldCharType="begin"/>
          </w:r>
          <w:r>
            <w:rPr>
              <w:sz w:val="28"/>
              <w:szCs w:val="28"/>
            </w:rPr>
            <w:instrText xml:space="preserve"> PAGEREF _Toc16318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_Toc8171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三、</w:t>
          </w:r>
          <w:r>
            <w:rPr>
              <w:rFonts w:hint="eastAsia" w:ascii="仿宋" w:hAnsi="仿宋" w:eastAsia="仿宋"/>
              <w:sz w:val="28"/>
              <w:szCs w:val="28"/>
            </w:rPr>
            <w:t>支</w:t>
          </w:r>
          <w:r>
            <w:rPr>
              <w:rFonts w:hint="eastAsia" w:ascii="仿宋" w:hAnsi="仿宋" w:eastAsia="仿宋"/>
              <w:bCs w:val="0"/>
              <w:sz w:val="28"/>
              <w:szCs w:val="28"/>
            </w:rPr>
            <w:t>出总表</w:t>
          </w:r>
          <w:r>
            <w:rPr>
              <w:sz w:val="28"/>
              <w:szCs w:val="28"/>
            </w:rPr>
            <w:tab/>
          </w:r>
          <w:r>
            <w:rPr>
              <w:sz w:val="28"/>
              <w:szCs w:val="28"/>
            </w:rPr>
            <w:fldChar w:fldCharType="begin"/>
          </w:r>
          <w:r>
            <w:rPr>
              <w:sz w:val="28"/>
              <w:szCs w:val="28"/>
            </w:rPr>
            <w:instrText xml:space="preserve"> PAGEREF _Toc8171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_Toc22067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四、</w:t>
          </w:r>
          <w:r>
            <w:rPr>
              <w:rFonts w:hint="eastAsia" w:ascii="仿宋" w:hAnsi="仿宋" w:eastAsia="仿宋"/>
              <w:sz w:val="28"/>
              <w:szCs w:val="28"/>
            </w:rPr>
            <w:t>财</w:t>
          </w:r>
          <w:r>
            <w:rPr>
              <w:rFonts w:hint="eastAsia" w:ascii="仿宋" w:hAnsi="仿宋" w:eastAsia="仿宋"/>
              <w:bCs w:val="0"/>
              <w:sz w:val="28"/>
              <w:szCs w:val="28"/>
            </w:rPr>
            <w:t>政拨款收入支出决算总表</w:t>
          </w:r>
          <w:r>
            <w:rPr>
              <w:sz w:val="28"/>
              <w:szCs w:val="28"/>
            </w:rPr>
            <w:tab/>
          </w:r>
          <w:r>
            <w:rPr>
              <w:sz w:val="28"/>
              <w:szCs w:val="28"/>
            </w:rPr>
            <w:fldChar w:fldCharType="begin"/>
          </w:r>
          <w:r>
            <w:rPr>
              <w:sz w:val="28"/>
              <w:szCs w:val="28"/>
            </w:rPr>
            <w:instrText xml:space="preserve"> PAGEREF _Toc22067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_Toc18335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五、</w:t>
          </w:r>
          <w:r>
            <w:rPr>
              <w:rFonts w:hint="eastAsia" w:ascii="仿宋" w:hAnsi="仿宋" w:eastAsia="仿宋"/>
              <w:sz w:val="28"/>
              <w:szCs w:val="28"/>
            </w:rPr>
            <w:t>财</w:t>
          </w:r>
          <w:r>
            <w:rPr>
              <w:rFonts w:hint="eastAsia" w:ascii="仿宋" w:hAnsi="仿宋" w:eastAsia="仿宋"/>
              <w:bCs w:val="0"/>
              <w:sz w:val="28"/>
              <w:szCs w:val="28"/>
            </w:rPr>
            <w:t>政拨款支出决算明细表（政府经济分类科目）</w:t>
          </w:r>
          <w:r>
            <w:rPr>
              <w:sz w:val="28"/>
              <w:szCs w:val="28"/>
            </w:rPr>
            <w:tab/>
          </w:r>
          <w:r>
            <w:rPr>
              <w:sz w:val="28"/>
              <w:szCs w:val="28"/>
            </w:rPr>
            <w:fldChar w:fldCharType="begin"/>
          </w:r>
          <w:r>
            <w:rPr>
              <w:sz w:val="28"/>
              <w:szCs w:val="28"/>
            </w:rPr>
            <w:instrText xml:space="preserve"> PAGEREF _Toc18335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_Toc11390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六、</w:t>
          </w:r>
          <w:r>
            <w:rPr>
              <w:rFonts w:hint="eastAsia" w:ascii="仿宋" w:hAnsi="仿宋" w:eastAsia="仿宋"/>
              <w:sz w:val="28"/>
              <w:szCs w:val="28"/>
            </w:rPr>
            <w:t>一</w:t>
          </w:r>
          <w:r>
            <w:rPr>
              <w:rFonts w:hint="eastAsia" w:ascii="仿宋" w:hAnsi="仿宋" w:eastAsia="仿宋"/>
              <w:bCs w:val="0"/>
              <w:sz w:val="28"/>
              <w:szCs w:val="28"/>
            </w:rPr>
            <w:t>般公共预算财政拨款支出决算表</w:t>
          </w:r>
          <w:r>
            <w:rPr>
              <w:sz w:val="28"/>
              <w:szCs w:val="28"/>
            </w:rPr>
            <w:tab/>
          </w:r>
          <w:r>
            <w:rPr>
              <w:sz w:val="28"/>
              <w:szCs w:val="28"/>
            </w:rPr>
            <w:fldChar w:fldCharType="begin"/>
          </w:r>
          <w:r>
            <w:rPr>
              <w:sz w:val="28"/>
              <w:szCs w:val="28"/>
            </w:rPr>
            <w:instrText xml:space="preserve"> PAGEREF _Toc11390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_Toc12458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七、</w:t>
          </w:r>
          <w:r>
            <w:rPr>
              <w:rFonts w:hint="eastAsia" w:ascii="仿宋" w:hAnsi="仿宋" w:eastAsia="仿宋"/>
              <w:sz w:val="28"/>
              <w:szCs w:val="28"/>
            </w:rPr>
            <w:t>一</w:t>
          </w:r>
          <w:r>
            <w:rPr>
              <w:rFonts w:hint="eastAsia" w:ascii="仿宋" w:hAnsi="仿宋" w:eastAsia="仿宋"/>
              <w:bCs w:val="0"/>
              <w:sz w:val="28"/>
              <w:szCs w:val="28"/>
            </w:rPr>
            <w:t>般公共预算财政拨款支出决算明细表</w:t>
          </w:r>
          <w:r>
            <w:rPr>
              <w:sz w:val="28"/>
              <w:szCs w:val="28"/>
            </w:rPr>
            <w:tab/>
          </w:r>
          <w:r>
            <w:rPr>
              <w:sz w:val="28"/>
              <w:szCs w:val="28"/>
            </w:rPr>
            <w:fldChar w:fldCharType="begin"/>
          </w:r>
          <w:r>
            <w:rPr>
              <w:sz w:val="28"/>
              <w:szCs w:val="28"/>
            </w:rPr>
            <w:instrText xml:space="preserve"> PAGEREF _Toc12458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_Toc12599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八、</w:t>
          </w:r>
          <w:r>
            <w:rPr>
              <w:rFonts w:hint="eastAsia" w:ascii="仿宋" w:hAnsi="仿宋" w:eastAsia="仿宋"/>
              <w:sz w:val="28"/>
              <w:szCs w:val="28"/>
            </w:rPr>
            <w:t>一</w:t>
          </w:r>
          <w:r>
            <w:rPr>
              <w:rFonts w:hint="eastAsia" w:ascii="仿宋" w:hAnsi="仿宋" w:eastAsia="仿宋"/>
              <w:bCs w:val="0"/>
              <w:sz w:val="28"/>
              <w:szCs w:val="28"/>
            </w:rPr>
            <w:t>般公共预算财政拨款基本支出决算表</w:t>
          </w:r>
          <w:r>
            <w:rPr>
              <w:sz w:val="28"/>
              <w:szCs w:val="28"/>
            </w:rPr>
            <w:tab/>
          </w:r>
          <w:r>
            <w:rPr>
              <w:sz w:val="28"/>
              <w:szCs w:val="28"/>
            </w:rPr>
            <w:fldChar w:fldCharType="begin"/>
          </w:r>
          <w:r>
            <w:rPr>
              <w:sz w:val="28"/>
              <w:szCs w:val="28"/>
            </w:rPr>
            <w:instrText xml:space="preserve"> PAGEREF _Toc12599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_Toc22544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九、</w:t>
          </w:r>
          <w:r>
            <w:rPr>
              <w:rFonts w:hint="eastAsia" w:ascii="仿宋" w:hAnsi="仿宋" w:eastAsia="仿宋"/>
              <w:sz w:val="28"/>
              <w:szCs w:val="28"/>
            </w:rPr>
            <w:t>一</w:t>
          </w:r>
          <w:r>
            <w:rPr>
              <w:rFonts w:hint="eastAsia" w:ascii="仿宋" w:hAnsi="仿宋" w:eastAsia="仿宋"/>
              <w:bCs w:val="0"/>
              <w:sz w:val="28"/>
              <w:szCs w:val="28"/>
            </w:rPr>
            <w:t>般公共预算财政拨款项目支出决算表</w:t>
          </w:r>
          <w:r>
            <w:rPr>
              <w:sz w:val="28"/>
              <w:szCs w:val="28"/>
            </w:rPr>
            <w:tab/>
          </w:r>
          <w:r>
            <w:rPr>
              <w:sz w:val="28"/>
              <w:szCs w:val="28"/>
            </w:rPr>
            <w:fldChar w:fldCharType="begin"/>
          </w:r>
          <w:r>
            <w:rPr>
              <w:sz w:val="28"/>
              <w:szCs w:val="28"/>
            </w:rPr>
            <w:instrText xml:space="preserve"> PAGEREF _Toc22544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_Toc15094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十、</w:t>
          </w:r>
          <w:r>
            <w:rPr>
              <w:rFonts w:hint="eastAsia" w:ascii="仿宋" w:hAnsi="仿宋" w:eastAsia="仿宋"/>
              <w:sz w:val="28"/>
              <w:szCs w:val="28"/>
            </w:rPr>
            <w:t>一</w:t>
          </w:r>
          <w:r>
            <w:rPr>
              <w:rFonts w:hint="eastAsia" w:ascii="仿宋" w:hAnsi="仿宋" w:eastAsia="仿宋"/>
              <w:bCs w:val="0"/>
              <w:sz w:val="28"/>
              <w:szCs w:val="28"/>
            </w:rPr>
            <w:t>般公共预算财政拨款“三公”经费支出决算表</w:t>
          </w:r>
          <w:r>
            <w:rPr>
              <w:sz w:val="28"/>
              <w:szCs w:val="28"/>
            </w:rPr>
            <w:tab/>
          </w:r>
          <w:r>
            <w:rPr>
              <w:sz w:val="28"/>
              <w:szCs w:val="28"/>
            </w:rPr>
            <w:fldChar w:fldCharType="begin"/>
          </w:r>
          <w:r>
            <w:rPr>
              <w:sz w:val="28"/>
              <w:szCs w:val="28"/>
            </w:rPr>
            <w:instrText xml:space="preserve"> PAGEREF _Toc15094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_Toc22816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十一、</w:t>
          </w:r>
          <w:r>
            <w:rPr>
              <w:rFonts w:hint="eastAsia" w:ascii="仿宋" w:hAnsi="仿宋" w:eastAsia="仿宋"/>
              <w:sz w:val="28"/>
              <w:szCs w:val="28"/>
            </w:rPr>
            <w:t>政</w:t>
          </w:r>
          <w:r>
            <w:rPr>
              <w:rFonts w:hint="eastAsia" w:ascii="仿宋" w:hAnsi="仿宋" w:eastAsia="仿宋"/>
              <w:bCs w:val="0"/>
              <w:sz w:val="28"/>
              <w:szCs w:val="28"/>
            </w:rPr>
            <w:t>府性基金预算财政拨款收入支出决算表</w:t>
          </w:r>
          <w:r>
            <w:rPr>
              <w:sz w:val="28"/>
              <w:szCs w:val="28"/>
            </w:rPr>
            <w:tab/>
          </w:r>
          <w:r>
            <w:rPr>
              <w:sz w:val="28"/>
              <w:szCs w:val="28"/>
            </w:rPr>
            <w:fldChar w:fldCharType="begin"/>
          </w:r>
          <w:r>
            <w:rPr>
              <w:sz w:val="28"/>
              <w:szCs w:val="28"/>
            </w:rPr>
            <w:instrText xml:space="preserve"> PAGEREF _Toc22816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_Toc641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十二、</w:t>
          </w:r>
          <w:r>
            <w:rPr>
              <w:rFonts w:hint="eastAsia" w:ascii="仿宋" w:hAnsi="仿宋" w:eastAsia="仿宋"/>
              <w:sz w:val="28"/>
              <w:szCs w:val="28"/>
            </w:rPr>
            <w:t>政</w:t>
          </w:r>
          <w:r>
            <w:rPr>
              <w:rFonts w:hint="eastAsia" w:ascii="仿宋" w:hAnsi="仿宋" w:eastAsia="仿宋"/>
              <w:bCs w:val="0"/>
              <w:sz w:val="28"/>
              <w:szCs w:val="28"/>
            </w:rPr>
            <w:t>府性基金预算财政拨款“三公”经费支出决算表</w:t>
          </w:r>
          <w:r>
            <w:rPr>
              <w:sz w:val="28"/>
              <w:szCs w:val="28"/>
            </w:rPr>
            <w:tab/>
          </w:r>
          <w:r>
            <w:rPr>
              <w:sz w:val="28"/>
              <w:szCs w:val="28"/>
            </w:rPr>
            <w:fldChar w:fldCharType="begin"/>
          </w:r>
          <w:r>
            <w:rPr>
              <w:sz w:val="28"/>
              <w:szCs w:val="28"/>
            </w:rPr>
            <w:instrText xml:space="preserve"> PAGEREF _Toc641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11"/>
            <w:tabs>
              <w:tab w:val="right" w:leader="dot" w:pos="8306"/>
              <w:tab w:val="clear" w:pos="8296"/>
            </w:tabs>
            <w:rPr>
              <w:sz w:val="28"/>
              <w:szCs w:val="28"/>
            </w:rPr>
          </w:pPr>
          <w:r>
            <w:rPr>
              <w:rFonts w:hint="eastAsia" w:ascii="方正小标宋简体" w:hAnsi="方正小标宋简体" w:eastAsia="方正小标宋简体" w:cs="方正小标宋简体"/>
              <w:color w:val="000000"/>
              <w:kern w:val="0"/>
              <w:sz w:val="28"/>
              <w:szCs w:val="28"/>
              <w:lang w:eastAsia="zh-CN"/>
            </w:rPr>
            <w:fldChar w:fldCharType="begin"/>
          </w:r>
          <w:r>
            <w:rPr>
              <w:rFonts w:hint="eastAsia" w:ascii="方正小标宋简体" w:hAnsi="方正小标宋简体" w:eastAsia="方正小标宋简体" w:cs="方正小标宋简体"/>
              <w:kern w:val="0"/>
              <w:sz w:val="28"/>
              <w:szCs w:val="28"/>
              <w:lang w:eastAsia="zh-CN"/>
            </w:rPr>
            <w:instrText xml:space="preserve"> HYPERLINK \l _Toc12660 </w:instrText>
          </w:r>
          <w:r>
            <w:rPr>
              <w:rFonts w:hint="eastAsia" w:ascii="方正小标宋简体" w:hAnsi="方正小标宋简体" w:eastAsia="方正小标宋简体" w:cs="方正小标宋简体"/>
              <w:kern w:val="0"/>
              <w:sz w:val="28"/>
              <w:szCs w:val="28"/>
              <w:lang w:eastAsia="zh-CN"/>
            </w:rPr>
            <w:fldChar w:fldCharType="separate"/>
          </w:r>
          <w:r>
            <w:rPr>
              <w:rFonts w:hint="eastAsia" w:ascii="仿宋" w:hAnsi="仿宋" w:eastAsia="仿宋"/>
              <w:bCs w:val="0"/>
              <w:sz w:val="28"/>
              <w:szCs w:val="28"/>
            </w:rPr>
            <w:t>十三、</w:t>
          </w:r>
          <w:r>
            <w:rPr>
              <w:rFonts w:hint="eastAsia" w:ascii="仿宋" w:hAnsi="仿宋" w:eastAsia="仿宋"/>
              <w:sz w:val="28"/>
              <w:szCs w:val="28"/>
            </w:rPr>
            <w:t>国</w:t>
          </w:r>
          <w:r>
            <w:rPr>
              <w:rFonts w:hint="eastAsia" w:ascii="仿宋" w:hAnsi="仿宋" w:eastAsia="仿宋"/>
              <w:bCs w:val="0"/>
              <w:sz w:val="28"/>
              <w:szCs w:val="28"/>
            </w:rPr>
            <w:t>有资本经营预算支出决算表</w:t>
          </w:r>
          <w:r>
            <w:rPr>
              <w:sz w:val="28"/>
              <w:szCs w:val="28"/>
            </w:rPr>
            <w:tab/>
          </w:r>
          <w:r>
            <w:rPr>
              <w:sz w:val="28"/>
              <w:szCs w:val="28"/>
            </w:rPr>
            <w:fldChar w:fldCharType="begin"/>
          </w:r>
          <w:r>
            <w:rPr>
              <w:sz w:val="28"/>
              <w:szCs w:val="28"/>
            </w:rPr>
            <w:instrText xml:space="preserve"> PAGEREF _Toc12660 \h </w:instrText>
          </w:r>
          <w:r>
            <w:rPr>
              <w:sz w:val="28"/>
              <w:szCs w:val="28"/>
            </w:rPr>
            <w:fldChar w:fldCharType="separate"/>
          </w:r>
          <w:r>
            <w:rPr>
              <w:sz w:val="28"/>
              <w:szCs w:val="28"/>
            </w:rPr>
            <w:t>59</w:t>
          </w:r>
          <w:r>
            <w:rPr>
              <w:sz w:val="28"/>
              <w:szCs w:val="28"/>
            </w:rPr>
            <w:fldChar w:fldCharType="end"/>
          </w:r>
          <w:r>
            <w:rPr>
              <w:rFonts w:hint="eastAsia" w:ascii="方正小标宋简体" w:hAnsi="方正小标宋简体" w:eastAsia="方正小标宋简体" w:cs="方正小标宋简体"/>
              <w:color w:val="000000"/>
              <w:kern w:val="0"/>
              <w:sz w:val="28"/>
              <w:szCs w:val="28"/>
              <w:lang w:eastAsia="zh-CN"/>
            </w:rPr>
            <w:fldChar w:fldCharType="end"/>
          </w:r>
        </w:p>
        <w:p>
          <w:pPr>
            <w:pStyle w:val="4"/>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60" w:lineRule="exact"/>
            <w:jc w:val="center"/>
            <w:textAlignment w:val="auto"/>
            <w:outlineLvl w:val="9"/>
            <w:rPr>
              <w:rFonts w:hint="eastAsia" w:ascii="方正小标宋简体" w:hAnsi="方正小标宋简体" w:eastAsia="方正小标宋简体" w:cs="方正小标宋简体"/>
              <w:b w:val="0"/>
              <w:color w:val="000000"/>
              <w:kern w:val="0"/>
              <w:sz w:val="48"/>
              <w:szCs w:val="48"/>
              <w:lang w:eastAsia="zh-CN"/>
            </w:rPr>
          </w:pPr>
          <w:r>
            <w:rPr>
              <w:rFonts w:hint="eastAsia" w:ascii="方正小标宋简体" w:hAnsi="方正小标宋简体" w:eastAsia="方正小标宋简体" w:cs="方正小标宋简体"/>
              <w:color w:val="000000"/>
              <w:kern w:val="0"/>
              <w:sz w:val="28"/>
              <w:szCs w:val="28"/>
              <w:lang w:eastAsia="zh-CN"/>
            </w:rPr>
            <w:fldChar w:fldCharType="end"/>
          </w:r>
        </w:p>
      </w:sdtContent>
    </w:sdt>
    <w:p>
      <w:pPr>
        <w:pStyle w:val="4"/>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60" w:lineRule="exact"/>
        <w:jc w:val="center"/>
        <w:textAlignment w:val="auto"/>
        <w:outlineLvl w:val="9"/>
        <w:rPr>
          <w:rFonts w:hint="eastAsia" w:ascii="方正小标宋简体" w:hAnsi="方正小标宋简体" w:eastAsia="方正小标宋简体" w:cs="方正小标宋简体"/>
          <w:b w:val="0"/>
          <w:color w:val="000000"/>
          <w:kern w:val="0"/>
          <w:sz w:val="48"/>
          <w:szCs w:val="48"/>
          <w:lang w:eastAsia="zh-CN"/>
        </w:rPr>
      </w:pPr>
    </w:p>
    <w:p>
      <w:pPr>
        <w:pStyle w:val="4"/>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60" w:lineRule="exact"/>
        <w:jc w:val="both"/>
        <w:textAlignment w:val="auto"/>
        <w:outlineLvl w:val="9"/>
        <w:rPr>
          <w:rFonts w:hint="eastAsia" w:ascii="方正小标宋简体" w:hAnsi="方正小标宋简体" w:eastAsia="方正小标宋简体" w:cs="方正小标宋简体"/>
          <w:b w:val="0"/>
          <w:color w:val="000000"/>
          <w:kern w:val="0"/>
          <w:sz w:val="48"/>
          <w:szCs w:val="48"/>
          <w:lang w:eastAsia="zh-CN"/>
        </w:rPr>
      </w:pPr>
    </w:p>
    <w:p>
      <w:pPr>
        <w:pStyle w:val="4"/>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60" w:lineRule="exact"/>
        <w:jc w:val="center"/>
        <w:textAlignment w:val="auto"/>
        <w:rPr>
          <w:rFonts w:hint="eastAsia" w:ascii="方正小标宋简体" w:hAnsi="方正小标宋简体" w:eastAsia="方正小标宋简体" w:cs="方正小标宋简体"/>
          <w:b w:val="0"/>
          <w:color w:val="000000"/>
          <w:kern w:val="0"/>
          <w:sz w:val="48"/>
          <w:szCs w:val="48"/>
          <w:lang w:eastAsia="zh-CN"/>
        </w:rPr>
      </w:pPr>
      <w:bookmarkStart w:id="25" w:name="_Toc4918"/>
      <w:r>
        <w:rPr>
          <w:rFonts w:hint="eastAsia" w:ascii="方正小标宋简体" w:hAnsi="方正小标宋简体" w:eastAsia="方正小标宋简体" w:cs="方正小标宋简体"/>
          <w:b w:val="0"/>
          <w:color w:val="000000"/>
          <w:kern w:val="0"/>
          <w:sz w:val="48"/>
          <w:szCs w:val="48"/>
          <w:lang w:eastAsia="zh-CN"/>
        </w:rPr>
        <w:t>四川省阿坝州红原县退役军人事务局</w:t>
      </w:r>
      <w:bookmarkEnd w:id="25"/>
    </w:p>
    <w:p>
      <w:pPr>
        <w:pStyle w:val="4"/>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60" w:lineRule="exact"/>
        <w:jc w:val="center"/>
        <w:textAlignment w:val="auto"/>
        <w:rPr>
          <w:rFonts w:hint="eastAsia" w:ascii="方正小标宋简体" w:hAnsi="方正小标宋简体" w:eastAsia="方正小标宋简体" w:cs="方正小标宋简体"/>
          <w:b w:val="0"/>
          <w:color w:val="000000"/>
          <w:kern w:val="0"/>
          <w:sz w:val="48"/>
          <w:szCs w:val="48"/>
          <w:lang w:eastAsia="zh-CN"/>
        </w:rPr>
      </w:pPr>
      <w:bookmarkStart w:id="26" w:name="_Toc32248"/>
      <w:r>
        <w:rPr>
          <w:rFonts w:hint="eastAsia" w:ascii="方正小标宋简体" w:hAnsi="方正小标宋简体" w:eastAsia="方正小标宋简体" w:cs="方正小标宋简体"/>
          <w:b w:val="0"/>
          <w:color w:val="000000"/>
          <w:kern w:val="0"/>
          <w:sz w:val="48"/>
          <w:szCs w:val="48"/>
          <w:lang w:eastAsia="zh-CN"/>
        </w:rPr>
        <w:t>2020年度部门决算分析报</w:t>
      </w:r>
      <w:bookmarkEnd w:id="26"/>
    </w:p>
    <w:p>
      <w:pPr>
        <w:pStyle w:val="4"/>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60" w:lineRule="exact"/>
        <w:textAlignment w:val="auto"/>
        <w:outlineLvl w:val="0"/>
        <w:rPr>
          <w:rFonts w:hint="eastAsia" w:ascii="黑体" w:hAnsi="宋体" w:eastAsia="黑体" w:cs="黑体"/>
          <w:b w:val="0"/>
          <w:color w:val="000000"/>
          <w:kern w:val="0"/>
          <w:sz w:val="32"/>
          <w:szCs w:val="32"/>
          <w:lang w:eastAsia="zh-CN"/>
        </w:rPr>
      </w:pPr>
      <w:bookmarkStart w:id="27" w:name="_Toc2"/>
      <w:r>
        <w:rPr>
          <w:rFonts w:hint="eastAsia" w:ascii="黑体" w:hAnsi="宋体" w:eastAsia="黑体" w:cs="黑体"/>
          <w:b w:val="0"/>
          <w:color w:val="000000"/>
          <w:kern w:val="0"/>
          <w:sz w:val="32"/>
          <w:szCs w:val="32"/>
          <w:lang w:eastAsia="zh-CN"/>
        </w:rPr>
        <w:t>一、单位情况</w:t>
      </w:r>
      <w:bookmarkEnd w:id="27"/>
    </w:p>
    <w:p>
      <w:pPr>
        <w:pStyle w:val="4"/>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60" w:lineRule="exact"/>
        <w:textAlignment w:val="auto"/>
        <w:rPr>
          <w:rFonts w:hint="eastAsia" w:ascii="黑体" w:hAnsi="宋体" w:eastAsia="黑体" w:cs="宋体"/>
          <w:b w:val="0"/>
          <w:kern w:val="0"/>
          <w:sz w:val="32"/>
          <w:szCs w:val="32"/>
        </w:rPr>
      </w:pPr>
      <w:bookmarkStart w:id="28" w:name="_Toc11341"/>
      <w:bookmarkStart w:id="29" w:name="_Toc22111"/>
      <w:r>
        <w:rPr>
          <w:rFonts w:hint="eastAsia" w:ascii="黑体" w:hAnsi="宋体" w:eastAsia="黑体" w:cs="黑体"/>
          <w:b w:val="0"/>
          <w:color w:val="000000"/>
          <w:kern w:val="0"/>
          <w:sz w:val="32"/>
          <w:szCs w:val="32"/>
          <w:lang w:val="en-US" w:eastAsia="zh-CN"/>
        </w:rPr>
        <w:t>1、</w:t>
      </w:r>
      <w:r>
        <w:rPr>
          <w:rFonts w:hint="eastAsia" w:ascii="黑体" w:hAnsi="宋体" w:eastAsia="黑体" w:cs="黑体"/>
          <w:b w:val="0"/>
          <w:color w:val="000000"/>
          <w:kern w:val="0"/>
          <w:sz w:val="32"/>
          <w:szCs w:val="32"/>
        </w:rPr>
        <w:t>基</w:t>
      </w:r>
      <w:r>
        <w:rPr>
          <w:rStyle w:val="45"/>
          <w:rFonts w:hint="eastAsia" w:ascii="黑体" w:hAnsi="宋体" w:eastAsia="黑体" w:cs="黑体"/>
          <w:b w:val="0"/>
          <w:kern w:val="0"/>
          <w:sz w:val="32"/>
          <w:szCs w:val="32"/>
        </w:rPr>
        <w:t>本职能</w:t>
      </w:r>
      <w:bookmarkEnd w:id="28"/>
      <w:bookmarkEnd w:id="29"/>
    </w:p>
    <w:p>
      <w:pPr>
        <w:pStyle w:val="4"/>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textAlignment w:val="auto"/>
        <w:rPr>
          <w:rFonts w:hint="eastAsia" w:ascii="仿宋_GB2312" w:hAnsi="仿宋" w:eastAsia="仿宋_GB2312" w:cs="宋体"/>
          <w:b w:val="0"/>
          <w:kern w:val="0"/>
          <w:sz w:val="32"/>
          <w:szCs w:val="32"/>
        </w:rPr>
      </w:pPr>
      <w:bookmarkStart w:id="30" w:name="_Toc1550"/>
      <w:bookmarkStart w:id="31" w:name="_Toc2573"/>
      <w:bookmarkStart w:id="32" w:name="_Toc26120"/>
      <w:bookmarkStart w:id="33" w:name="_Toc2062"/>
      <w:bookmarkStart w:id="34" w:name="_Toc5003"/>
      <w:bookmarkStart w:id="35" w:name="_Toc4740"/>
      <w:r>
        <w:rPr>
          <w:rFonts w:hint="eastAsia" w:ascii="仿宋_GB2312" w:hAnsi="仿宋" w:eastAsia="仿宋_GB2312" w:cs="仿宋_GB2312"/>
          <w:b w:val="0"/>
          <w:kern w:val="0"/>
          <w:sz w:val="32"/>
          <w:szCs w:val="32"/>
        </w:rPr>
        <w:t>县退役军人局贯彻落实党中央关于退役军人工作的方针政策和省委、州委、县委的决策部署，在履行职责过程中坚持和加强党对退役军人工作的集中统一领导。主要职责是：</w:t>
      </w:r>
      <w:bookmarkEnd w:id="30"/>
      <w:bookmarkEnd w:id="31"/>
      <w:bookmarkEnd w:id="32"/>
      <w:bookmarkEnd w:id="33"/>
      <w:bookmarkEnd w:id="34"/>
      <w:bookmarkEnd w:id="35"/>
    </w:p>
    <w:p>
      <w:pPr>
        <w:pStyle w:val="4"/>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textAlignment w:val="auto"/>
        <w:rPr>
          <w:rFonts w:hint="eastAsia" w:ascii="仿宋_GB2312" w:hAnsi="仿宋" w:eastAsia="仿宋_GB2312" w:cs="宋体"/>
          <w:b w:val="0"/>
          <w:color w:val="000000"/>
          <w:kern w:val="0"/>
          <w:sz w:val="32"/>
          <w:szCs w:val="32"/>
        </w:rPr>
      </w:pPr>
      <w:bookmarkStart w:id="36" w:name="_Toc30265"/>
      <w:bookmarkStart w:id="37" w:name="_Toc31188"/>
      <w:bookmarkStart w:id="38" w:name="_Toc3961"/>
      <w:bookmarkStart w:id="39" w:name="_Toc17166"/>
      <w:bookmarkStart w:id="40" w:name="_Toc23085"/>
      <w:bookmarkStart w:id="41" w:name="_Toc29115"/>
      <w:r>
        <w:rPr>
          <w:rFonts w:hint="eastAsia" w:ascii="仿宋_GB2312" w:hAnsi="仿宋" w:eastAsia="仿宋_GB2312" w:cs="仿宋_GB2312"/>
          <w:b w:val="0"/>
          <w:kern w:val="0"/>
          <w:sz w:val="32"/>
          <w:szCs w:val="32"/>
        </w:rPr>
        <w:t>（一）</w:t>
      </w:r>
      <w:r>
        <w:rPr>
          <w:rFonts w:hint="eastAsia" w:ascii="仿宋_GB2312" w:hAnsi="仿宋" w:eastAsia="仿宋_GB2312" w:cs="仿宋_GB2312"/>
          <w:b w:val="0"/>
          <w:color w:val="000000"/>
          <w:kern w:val="0"/>
          <w:sz w:val="32"/>
          <w:szCs w:val="32"/>
        </w:rPr>
        <w:t>贯彻执行有关退役军人思想政治、管理保障和安置优抚等法律法规，拟订退役军人工作政策并组织实施，褒扬彰显退役军人为党、国家和人民牺牲奉献的精神风范和价值导向。</w:t>
      </w:r>
      <w:bookmarkEnd w:id="36"/>
      <w:bookmarkEnd w:id="37"/>
      <w:bookmarkEnd w:id="38"/>
      <w:bookmarkEnd w:id="39"/>
      <w:bookmarkEnd w:id="40"/>
      <w:bookmarkEnd w:id="41"/>
    </w:p>
    <w:p>
      <w:pPr>
        <w:pStyle w:val="4"/>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textAlignment w:val="auto"/>
        <w:rPr>
          <w:rFonts w:hint="eastAsia" w:ascii="仿宋_GB2312" w:hAnsi="仿宋" w:eastAsia="仿宋_GB2312" w:cs="宋体"/>
          <w:b w:val="0"/>
          <w:kern w:val="0"/>
          <w:sz w:val="32"/>
          <w:szCs w:val="32"/>
        </w:rPr>
      </w:pPr>
      <w:bookmarkStart w:id="42" w:name="_Toc1208"/>
      <w:bookmarkStart w:id="43" w:name="_Toc15099"/>
      <w:bookmarkStart w:id="44" w:name="_Toc12743"/>
      <w:bookmarkStart w:id="45" w:name="_Toc366"/>
      <w:bookmarkStart w:id="46" w:name="_Toc3842"/>
      <w:bookmarkStart w:id="47" w:name="_Toc13615"/>
      <w:r>
        <w:rPr>
          <w:rFonts w:hint="eastAsia" w:ascii="仿宋_GB2312" w:hAnsi="仿宋" w:eastAsia="仿宋_GB2312" w:cs="仿宋_GB2312"/>
          <w:b w:val="0"/>
          <w:kern w:val="0"/>
          <w:sz w:val="32"/>
          <w:szCs w:val="32"/>
        </w:rPr>
        <w:t>（二）负责军队转业干部、复员干部、离休退休干部、退役士兵和无军籍退休退职职工的移交安置和自主择业、就业退役军人服务管理工作。</w:t>
      </w:r>
      <w:bookmarkEnd w:id="42"/>
      <w:bookmarkEnd w:id="43"/>
      <w:bookmarkEnd w:id="44"/>
      <w:bookmarkEnd w:id="45"/>
      <w:bookmarkEnd w:id="46"/>
      <w:bookmarkEnd w:id="47"/>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仿宋_GB2312"/>
          <w:kern w:val="0"/>
          <w:sz w:val="32"/>
          <w:szCs w:val="32"/>
          <w:lang w:val="en-US" w:eastAsia="zh-CN" w:bidi="ar"/>
        </w:rPr>
        <w:t>（三）组织、指导退役军人教育培训工作，承担退役军人和随军随调家属就业创业扶持工作。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仿宋_GB2312"/>
          <w:kern w:val="0"/>
          <w:sz w:val="32"/>
          <w:szCs w:val="32"/>
          <w:lang w:val="en-US" w:eastAsia="zh-CN" w:bidi="ar"/>
        </w:rPr>
        <w:t>（四）贯彻执行国家有关退役军人特殊保障政策。</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仿宋_GB2312"/>
          <w:kern w:val="0"/>
          <w:sz w:val="32"/>
          <w:szCs w:val="32"/>
          <w:lang w:val="en-US" w:eastAsia="zh-CN" w:bidi="ar"/>
        </w:rPr>
        <w:t>（五）组织、协调落实移交地方的离休退休军人、符合条件的其他退役军人和无军籍退休退职职工的住房保障工作，以及退役军人医疗保障、社会保险等待遇保障工作。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仿宋_GB2312"/>
          <w:kern w:val="0"/>
          <w:sz w:val="32"/>
          <w:szCs w:val="32"/>
          <w:lang w:val="en-US" w:eastAsia="zh-CN" w:bidi="ar"/>
        </w:rPr>
      </w:pPr>
      <w:r>
        <w:rPr>
          <w:rFonts w:hint="eastAsia" w:ascii="仿宋_GB2312" w:hAnsi="仿宋" w:eastAsia="仿宋_GB2312" w:cs="仿宋_GB2312"/>
          <w:kern w:val="0"/>
          <w:sz w:val="32"/>
          <w:szCs w:val="32"/>
          <w:lang w:val="en-US" w:eastAsia="zh-CN" w:bidi="ar"/>
        </w:rPr>
        <w:t>（六）负责伤病残退役军人服务管理和抚恤工作，贯彻执行有关退役军人医疗、疗养、养老等机构的规划政策。承担不适宜继续服役的伤病残军人移交安置、退休安置、供养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right="0"/>
        <w:jc w:val="left"/>
        <w:textAlignment w:val="auto"/>
        <w:rPr>
          <w:rFonts w:hint="eastAsia" w:ascii="仿宋_GB2312" w:hAnsi="仿宋" w:eastAsia="仿宋_GB2312" w:cs="仿宋_GB2312"/>
          <w:kern w:val="0"/>
          <w:sz w:val="32"/>
          <w:szCs w:val="32"/>
          <w:lang w:val="en-US" w:eastAsia="zh-CN" w:bidi="ar"/>
        </w:rPr>
      </w:pPr>
      <w:r>
        <w:rPr>
          <w:rFonts w:hint="eastAsia" w:ascii="仿宋_GB2312" w:hAnsi="仿宋" w:eastAsia="仿宋_GB2312" w:cs="仿宋_GB2312"/>
          <w:kern w:val="0"/>
          <w:sz w:val="32"/>
          <w:szCs w:val="32"/>
          <w:lang w:val="en-US" w:eastAsia="zh-CN" w:bidi="ar"/>
        </w:rPr>
        <w:t>等工作。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仿宋_GB2312"/>
          <w:kern w:val="0"/>
          <w:sz w:val="32"/>
          <w:szCs w:val="32"/>
          <w:lang w:val="en-US" w:eastAsia="zh-CN" w:bidi="ar"/>
        </w:rPr>
        <w:t>（七）组织、指导拥军优属工作，承担现役军人、退役军人、军队文职人员和军属的优待、抚恤等工作。贯彻执行国家有关国民党抗战老兵等有关人员优待政策。</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宋体"/>
          <w:color w:val="000000"/>
          <w:kern w:val="0"/>
          <w:sz w:val="32"/>
          <w:szCs w:val="32"/>
        </w:rPr>
      </w:pPr>
      <w:r>
        <w:rPr>
          <w:rFonts w:hint="eastAsia" w:ascii="仿宋_GB2312" w:hAnsi="仿宋" w:eastAsia="仿宋_GB2312" w:cs="仿宋_GB2312"/>
          <w:kern w:val="0"/>
          <w:sz w:val="32"/>
          <w:szCs w:val="32"/>
          <w:lang w:val="en-US" w:eastAsia="zh-CN" w:bidi="ar"/>
        </w:rPr>
        <w:t>（八）</w:t>
      </w:r>
      <w:r>
        <w:rPr>
          <w:rFonts w:hint="eastAsia" w:ascii="仿宋_GB2312" w:hAnsi="仿宋" w:eastAsia="仿宋_GB2312" w:cs="仿宋_GB2312"/>
          <w:color w:val="000000"/>
          <w:kern w:val="0"/>
          <w:sz w:val="32"/>
          <w:szCs w:val="32"/>
          <w:lang w:val="en-US" w:eastAsia="zh-CN" w:bidi="ar"/>
        </w:rPr>
        <w:t>负责烈士及退役军人荣誉奖励、军人公墓和烈士纪念设施的建设管理、纪念活动等工作，依法承担英雄烈士保护相关工作，总结表彰和宣扬退役军人、退役军人工作单位和个人先进典型事迹。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仿宋_GB2312"/>
          <w:kern w:val="0"/>
          <w:sz w:val="32"/>
          <w:szCs w:val="32"/>
          <w:lang w:val="en-US" w:eastAsia="zh-CN" w:bidi="ar"/>
        </w:rPr>
        <w:t>（九）指导并监督检查退役军人相关法律法规和政策措施的落实，组织开展退役军人权益维护和有关人员的帮扶援助工作。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仿宋_GB2312"/>
          <w:kern w:val="0"/>
          <w:sz w:val="32"/>
          <w:szCs w:val="32"/>
          <w:lang w:val="en-US" w:eastAsia="zh-CN" w:bidi="ar"/>
        </w:rPr>
        <w:t>（十）推动建立退役军人事务分级负责和突发事件应急联动机制，组织、指导退役军人综合服务体系建设。配合指导退役军人党建工作。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仿宋_GB2312"/>
          <w:kern w:val="0"/>
          <w:sz w:val="32"/>
          <w:szCs w:val="32"/>
          <w:lang w:val="en-US" w:eastAsia="zh-CN" w:bidi="ar"/>
        </w:rPr>
        <w:t>（十一）负责职责范围内的安全生产和职业健康、生态环境保护、审批服务便民化工作。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宋体"/>
          <w:color w:val="000000"/>
          <w:kern w:val="0"/>
          <w:sz w:val="32"/>
          <w:szCs w:val="32"/>
        </w:rPr>
      </w:pPr>
      <w:r>
        <w:rPr>
          <w:rFonts w:hint="eastAsia" w:ascii="仿宋_GB2312" w:hAnsi="仿宋" w:eastAsia="仿宋_GB2312" w:cs="仿宋_GB2312"/>
          <w:color w:val="000000"/>
          <w:kern w:val="0"/>
          <w:sz w:val="32"/>
          <w:szCs w:val="32"/>
          <w:lang w:val="en-US" w:eastAsia="zh-CN" w:bidi="ar"/>
        </w:rPr>
        <w:t>（十二）完成县委、县政府和军方交办的其他任务。</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 w:eastAsia="仿宋_GB2312" w:cs="宋体"/>
          <w:color w:val="000000"/>
          <w:kern w:val="0"/>
          <w:sz w:val="32"/>
          <w:szCs w:val="32"/>
        </w:rPr>
      </w:pPr>
      <w:r>
        <w:rPr>
          <w:rFonts w:hint="eastAsia" w:ascii="仿宋_GB2312" w:hAnsi="仿宋" w:eastAsia="仿宋_GB2312" w:cs="仿宋_GB2312"/>
          <w:kern w:val="0"/>
          <w:sz w:val="32"/>
          <w:szCs w:val="32"/>
          <w:lang w:val="en-US" w:eastAsia="zh-CN" w:bidi="ar"/>
        </w:rPr>
        <w:t>（十三）职能转变。</w:t>
      </w:r>
      <w:r>
        <w:rPr>
          <w:rFonts w:hint="eastAsia" w:ascii="仿宋_GB2312" w:hAnsi="仿宋" w:eastAsia="仿宋_GB2312" w:cs="仿宋_GB2312"/>
          <w:color w:val="000000"/>
          <w:kern w:val="0"/>
          <w:sz w:val="32"/>
          <w:szCs w:val="32"/>
          <w:lang w:val="en-US" w:eastAsia="zh-CN" w:bidi="ar"/>
        </w:rPr>
        <w:t>加强全县退役军人思想政治工作以及服务保障体系建设，建立健全集中统一、职责清晰的退役军人管理保障机制，协调各方力量更好为军人军属服务，维护军人军属合法权益，让军人成为全社会尊崇的职业，褒扬彰显退役人为党、国家和人民牺牲奉献的精神风范和价值导向，更好地为增强部队战斗力和凝聚力做好组织保障。</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000000"/>
          <w:spacing w:val="0"/>
          <w:sz w:val="30"/>
          <w:szCs w:val="30"/>
          <w:shd w:val="clear" w:fill="FFFFFF"/>
          <w:lang w:eastAsia="zh-CN"/>
        </w:rPr>
      </w:pPr>
      <w:r>
        <w:rPr>
          <w:rFonts w:hint="eastAsia" w:ascii="仿宋" w:hAnsi="仿宋" w:eastAsia="仿宋" w:cs="仿宋"/>
          <w:kern w:val="0"/>
          <w:sz w:val="30"/>
          <w:szCs w:val="30"/>
          <w:lang w:val="en-US" w:eastAsia="zh-CN" w:bidi="ar"/>
        </w:rPr>
        <w:t>2、</w:t>
      </w:r>
      <w:r>
        <w:rPr>
          <w:rFonts w:hint="eastAsia" w:ascii="仿宋" w:hAnsi="仿宋" w:eastAsia="仿宋" w:cs="仿宋"/>
          <w:i w:val="0"/>
          <w:caps w:val="0"/>
          <w:color w:val="000000"/>
          <w:spacing w:val="0"/>
          <w:sz w:val="30"/>
          <w:szCs w:val="30"/>
          <w:shd w:val="clear" w:fill="FFFFFF"/>
        </w:rPr>
        <w:t>本单位本年度纳入本套决算编制范围的独立编制机构数共1个，比上年增加0个，独立核算机构数共1个，比上年增加0个</w:t>
      </w:r>
      <w:r>
        <w:rPr>
          <w:rFonts w:hint="eastAsia" w:ascii="仿宋" w:hAnsi="仿宋" w:eastAsia="仿宋" w:cs="仿宋"/>
          <w:i w:val="0"/>
          <w:caps w:val="0"/>
          <w:color w:val="000000"/>
          <w:spacing w:val="0"/>
          <w:sz w:val="30"/>
          <w:szCs w:val="30"/>
          <w:shd w:val="clear" w:fill="FFFFFF"/>
          <w:lang w:eastAsia="zh-CN"/>
        </w:rPr>
        <w:t>。</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000000"/>
          <w:spacing w:val="0"/>
          <w:sz w:val="30"/>
          <w:szCs w:val="30"/>
        </w:rPr>
      </w:pPr>
      <w:r>
        <w:rPr>
          <w:rFonts w:hint="eastAsia" w:ascii="仿宋" w:hAnsi="仿宋" w:eastAsia="仿宋" w:cs="仿宋"/>
          <w:i w:val="0"/>
          <w:caps w:val="0"/>
          <w:color w:val="000000"/>
          <w:spacing w:val="0"/>
          <w:sz w:val="30"/>
          <w:szCs w:val="30"/>
          <w:shd w:val="clear" w:fill="FFFFFF"/>
        </w:rPr>
        <w:t> 3．本单位本年度年末实有人数为8人，比上年增加0人；年末实有离退休人数为0人，比上年增加0人年末实有其他人数为0人，比上年增加-2人</w:t>
      </w:r>
      <w:r>
        <w:rPr>
          <w:rStyle w:val="16"/>
          <w:rFonts w:hint="eastAsia" w:ascii="仿宋" w:hAnsi="仿宋" w:eastAsia="仿宋" w:cs="仿宋"/>
          <w:i w:val="0"/>
          <w:caps w:val="0"/>
          <w:color w:val="000000"/>
          <w:spacing w:val="0"/>
          <w:sz w:val="30"/>
          <w:szCs w:val="30"/>
          <w:shd w:val="clear" w:fill="FFFFFF"/>
        </w:rPr>
        <w:t>。</w:t>
      </w:r>
    </w:p>
    <w:p>
      <w:pPr>
        <w:pStyle w:val="12"/>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kern w:val="0"/>
          <w:sz w:val="30"/>
          <w:szCs w:val="30"/>
        </w:rPr>
      </w:pPr>
      <w:r>
        <w:rPr>
          <w:rStyle w:val="43"/>
          <w:rFonts w:hint="eastAsia" w:ascii="仿宋" w:hAnsi="仿宋" w:eastAsia="仿宋" w:cs="仿宋"/>
          <w:b/>
          <w:sz w:val="30"/>
          <w:szCs w:val="30"/>
          <w:shd w:val="clear" w:fill="FFFFFF"/>
          <w:lang w:val="en-US" w:eastAsia="zh-CN" w:bidi="ar"/>
        </w:rPr>
        <w:t>（二）当年取得的主要事业成效。</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590" w:firstLineChars="196"/>
        <w:jc w:val="left"/>
        <w:textAlignment w:val="auto"/>
        <w:rPr>
          <w:rFonts w:hint="eastAsia" w:ascii="仿宋" w:hAnsi="仿宋" w:eastAsia="仿宋" w:cs="仿宋"/>
          <w:kern w:val="0"/>
          <w:sz w:val="30"/>
          <w:szCs w:val="30"/>
        </w:rPr>
      </w:pPr>
      <w:r>
        <w:rPr>
          <w:rFonts w:hint="eastAsia" w:ascii="仿宋" w:hAnsi="仿宋" w:eastAsia="仿宋" w:cs="仿宋"/>
          <w:b/>
          <w:kern w:val="0"/>
          <w:sz w:val="30"/>
          <w:szCs w:val="30"/>
          <w:lang w:val="en-US" w:eastAsia="zh-CN" w:bidi="ar"/>
        </w:rPr>
        <w:t>（一）切实做好荣誉褒奖。一是</w:t>
      </w:r>
      <w:r>
        <w:rPr>
          <w:rFonts w:hint="eastAsia" w:ascii="仿宋" w:hAnsi="仿宋" w:eastAsia="仿宋" w:cs="仿宋"/>
          <w:kern w:val="0"/>
          <w:sz w:val="30"/>
          <w:szCs w:val="30"/>
          <w:lang w:val="en-US" w:eastAsia="zh-CN" w:bidi="ar"/>
        </w:rPr>
        <w:t>常态化开展悬挂《光荣之家》荣誉牌和送立功受奖喜报等活动，全年累计发放悬挂《光荣之家》荣誉牌657块，为优秀士兵家庭送立功受奖喜报2次；</w:t>
      </w:r>
      <w:r>
        <w:rPr>
          <w:rFonts w:hint="eastAsia" w:ascii="仿宋" w:hAnsi="仿宋" w:eastAsia="仿宋" w:cs="仿宋"/>
          <w:b/>
          <w:kern w:val="0"/>
          <w:sz w:val="30"/>
          <w:szCs w:val="30"/>
          <w:lang w:val="en-US" w:eastAsia="zh-CN" w:bidi="ar"/>
        </w:rPr>
        <w:t>二是</w:t>
      </w:r>
      <w:r>
        <w:rPr>
          <w:rFonts w:hint="eastAsia" w:ascii="仿宋" w:hAnsi="仿宋" w:eastAsia="仿宋" w:cs="仿宋"/>
          <w:kern w:val="0"/>
          <w:sz w:val="30"/>
          <w:szCs w:val="30"/>
          <w:lang w:val="en-US" w:eastAsia="zh-CN" w:bidi="ar"/>
        </w:rPr>
        <w:t>认真做好烈士纪念，组织全县机关事业单位职工、驻县部队官兵及社会各界代表2500人次在“清明”、9.30烈士纪念日参加祭扫活动，缅怀先烈。全面完成对红原县邛溪镇烈士陵园进行维修改造工作，启动刷经寺烈士陵园维修改造项目前期准备工作。</w:t>
      </w:r>
      <w:r>
        <w:rPr>
          <w:rFonts w:hint="eastAsia" w:ascii="仿宋" w:hAnsi="仿宋" w:eastAsia="仿宋" w:cs="仿宋"/>
          <w:b/>
          <w:kern w:val="0"/>
          <w:sz w:val="30"/>
          <w:szCs w:val="30"/>
          <w:lang w:val="en-US" w:eastAsia="zh-CN" w:bidi="ar"/>
        </w:rPr>
        <w:t>三是</w:t>
      </w:r>
      <w:r>
        <w:rPr>
          <w:rFonts w:hint="eastAsia" w:ascii="仿宋" w:hAnsi="仿宋" w:eastAsia="仿宋" w:cs="仿宋"/>
          <w:kern w:val="0"/>
          <w:sz w:val="30"/>
          <w:szCs w:val="30"/>
          <w:lang w:val="en-US" w:eastAsia="zh-CN" w:bidi="ar"/>
        </w:rPr>
        <w:t>大力开展拥军优属，组织召开“纪念对越自卫反击战四十周年座谈会”、“庆祝建军九十二周年座谈会”等各类慰问活动7场次，走访慰问驻县部队单位4个，发放慰问物资2.5万元；慰问参战老兵、烈属、军属和退役军人429人（户）次，累计发放价值12.04万元的慰问金和慰问物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02" w:firstLineChars="200"/>
        <w:jc w:val="left"/>
        <w:textAlignment w:val="auto"/>
        <w:rPr>
          <w:rFonts w:hint="eastAsia" w:ascii="仿宋" w:hAnsi="仿宋" w:eastAsia="仿宋" w:cs="仿宋"/>
          <w:kern w:val="0"/>
          <w:sz w:val="32"/>
          <w:szCs w:val="32"/>
        </w:rPr>
      </w:pPr>
      <w:r>
        <w:rPr>
          <w:rFonts w:hint="eastAsia" w:ascii="仿宋" w:hAnsi="仿宋" w:eastAsia="仿宋" w:cs="仿宋"/>
          <w:b/>
          <w:kern w:val="0"/>
          <w:sz w:val="30"/>
          <w:szCs w:val="30"/>
          <w:lang w:val="en-US" w:eastAsia="zh-CN" w:bidi="ar"/>
        </w:rPr>
        <w:t>（二）严格落实国家政策。</w:t>
      </w:r>
      <w:r>
        <w:rPr>
          <w:rFonts w:hint="eastAsia" w:ascii="仿宋" w:hAnsi="仿宋" w:eastAsia="仿宋" w:cs="仿宋"/>
          <w:b/>
          <w:color w:val="333333"/>
          <w:kern w:val="0"/>
          <w:sz w:val="30"/>
          <w:szCs w:val="30"/>
          <w:shd w:val="clear" w:fill="FFFFFF"/>
          <w:lang w:val="en-US" w:eastAsia="zh-CN" w:bidi="ar"/>
        </w:rPr>
        <w:t>一是</w:t>
      </w:r>
      <w:r>
        <w:rPr>
          <w:rFonts w:hint="eastAsia" w:ascii="仿宋" w:hAnsi="仿宋" w:eastAsia="仿宋" w:cs="仿宋"/>
          <w:color w:val="333333"/>
          <w:kern w:val="0"/>
          <w:sz w:val="30"/>
          <w:szCs w:val="30"/>
          <w:shd w:val="clear" w:fill="FFFFFF"/>
          <w:lang w:val="en-US" w:eastAsia="zh-CN" w:bidi="ar"/>
        </w:rPr>
        <w:t>优抚政策全部落实到位。</w:t>
      </w:r>
      <w:r>
        <w:rPr>
          <w:rFonts w:hint="eastAsia" w:ascii="仿宋" w:hAnsi="仿宋" w:eastAsia="仿宋" w:cs="仿宋"/>
          <w:kern w:val="0"/>
          <w:sz w:val="30"/>
          <w:szCs w:val="30"/>
          <w:lang w:val="en-US" w:eastAsia="zh-CN" w:bidi="ar"/>
        </w:rPr>
        <w:t>我县现有优抚对象73人，按照“普惠”加“优待”的原则，我局认真做好各项优抚优待工作，按时足额兑现优抚经费，全年发放优抚优待抚恤金75.5万元。</w:t>
      </w:r>
      <w:r>
        <w:rPr>
          <w:rFonts w:hint="eastAsia" w:ascii="仿宋" w:hAnsi="仿宋" w:eastAsia="仿宋" w:cs="仿宋"/>
          <w:b/>
          <w:kern w:val="0"/>
          <w:sz w:val="30"/>
          <w:szCs w:val="30"/>
          <w:lang w:val="en-US" w:eastAsia="zh-CN" w:bidi="ar"/>
        </w:rPr>
        <w:t>二是</w:t>
      </w:r>
      <w:r>
        <w:rPr>
          <w:rFonts w:hint="eastAsia" w:ascii="仿宋" w:hAnsi="仿宋" w:eastAsia="仿宋" w:cs="仿宋"/>
          <w:color w:val="333333"/>
          <w:kern w:val="0"/>
          <w:sz w:val="30"/>
          <w:szCs w:val="30"/>
          <w:shd w:val="clear" w:fill="FFFFFF"/>
          <w:lang w:val="en-US" w:eastAsia="zh-CN" w:bidi="ar"/>
        </w:rPr>
        <w:t>医疗待遇全面得到保障。对</w:t>
      </w:r>
      <w:r>
        <w:rPr>
          <w:rFonts w:hint="eastAsia" w:ascii="仿宋" w:hAnsi="仿宋" w:eastAsia="仿宋" w:cs="仿宋"/>
          <w:kern w:val="0"/>
          <w:sz w:val="30"/>
          <w:szCs w:val="30"/>
          <w:lang w:val="en-US" w:eastAsia="zh-CN" w:bidi="ar"/>
        </w:rPr>
        <w:t>县28名重点优抚对象诊治实行减免医疗费用的政策，全年减免0.62万元；争取县级财政资金275万元，用于我县军转干部医疗保险统筹金和公务员补助金，确保军转干部医疗保险待遇不受影响；积极开展部分退役士兵社保接续工作。</w:t>
      </w:r>
      <w:r>
        <w:rPr>
          <w:rFonts w:hint="eastAsia" w:ascii="仿宋" w:hAnsi="仿宋" w:eastAsia="仿宋" w:cs="仿宋"/>
          <w:b/>
          <w:color w:val="333333"/>
          <w:kern w:val="0"/>
          <w:sz w:val="30"/>
          <w:szCs w:val="30"/>
          <w:shd w:val="clear" w:fill="FFFFFF"/>
          <w:lang w:val="en-US" w:eastAsia="zh-CN" w:bidi="ar"/>
        </w:rPr>
        <w:t>三是</w:t>
      </w:r>
      <w:r>
        <w:rPr>
          <w:rFonts w:hint="eastAsia" w:ascii="仿宋" w:hAnsi="仿宋" w:eastAsia="仿宋" w:cs="仿宋"/>
          <w:kern w:val="0"/>
          <w:sz w:val="30"/>
          <w:szCs w:val="30"/>
          <w:lang w:val="en-US" w:eastAsia="zh-CN" w:bidi="ar"/>
        </w:rPr>
        <w:t>涉军安置工作全力解决。今年以来，接收转业士官1人，安置到县级事</w:t>
      </w:r>
      <w:r>
        <w:rPr>
          <w:rFonts w:hint="eastAsia" w:ascii="仿宋_GB2312" w:hAnsi="宋体" w:eastAsia="仿宋_GB2312" w:cs="仿宋_GB2312"/>
          <w:kern w:val="0"/>
          <w:sz w:val="32"/>
          <w:szCs w:val="32"/>
          <w:lang w:val="en-US" w:eastAsia="zh-CN" w:bidi="ar"/>
        </w:rPr>
        <w:t>业单位。接收退役士兵2人，累计发放退役士兵自主就业地方补助金11.9万元。接收、安置率达均100%</w:t>
      </w:r>
      <w:r>
        <w:rPr>
          <w:rFonts w:hint="eastAsia" w:ascii="仿宋" w:hAnsi="仿宋" w:eastAsia="仿宋" w:cs="仿宋"/>
          <w:kern w:val="0"/>
          <w:sz w:val="32"/>
          <w:szCs w:val="32"/>
          <w:lang w:val="en-US" w:eastAsia="zh-CN" w:bidi="ar"/>
        </w:rPr>
        <w:t>。</w:t>
      </w:r>
    </w:p>
    <w:p>
      <w:pPr>
        <w:keepNext w:val="0"/>
        <w:keepLines w:val="0"/>
        <w:widowControl w:val="0"/>
        <w:suppressLineNumbers w:val="0"/>
        <w:autoSpaceDE w:val="0"/>
        <w:autoSpaceDN/>
        <w:snapToGrid w:val="0"/>
        <w:spacing w:before="0" w:beforeAutospacing="0" w:after="0" w:afterAutospacing="0" w:line="540" w:lineRule="exact"/>
        <w:ind w:left="0" w:right="0" w:firstLine="643" w:firstLineChars="200"/>
        <w:jc w:val="left"/>
        <w:rPr>
          <w:rFonts w:hint="eastAsia" w:ascii="仿宋_GB2312" w:eastAsia="仿宋_GB2312" w:cs="仿宋_GB2312"/>
          <w:kern w:val="0"/>
          <w:sz w:val="32"/>
          <w:szCs w:val="32"/>
        </w:rPr>
      </w:pPr>
      <w:r>
        <w:rPr>
          <w:rFonts w:hint="eastAsia" w:ascii="楷体" w:hAnsi="楷体" w:eastAsia="楷体" w:cs="楷体"/>
          <w:b/>
          <w:kern w:val="0"/>
          <w:sz w:val="32"/>
          <w:szCs w:val="32"/>
          <w:lang w:val="en-US" w:eastAsia="zh-CN" w:bidi="ar"/>
        </w:rPr>
        <w:t>（三）不断加强管理服务</w:t>
      </w:r>
      <w:r>
        <w:rPr>
          <w:rFonts w:hint="eastAsia" w:ascii="仿宋" w:hAnsi="仿宋" w:eastAsia="仿宋" w:cs="仿宋"/>
          <w:kern w:val="0"/>
          <w:sz w:val="32"/>
          <w:szCs w:val="32"/>
          <w:lang w:val="en-US" w:eastAsia="zh-CN" w:bidi="ar"/>
        </w:rPr>
        <w:t>。</w:t>
      </w:r>
      <w:r>
        <w:rPr>
          <w:rFonts w:hint="eastAsia" w:ascii="仿宋_GB2312" w:hAnsi="宋体" w:eastAsia="仿宋_GB2312" w:cs="仿宋_GB2312"/>
          <w:b/>
          <w:kern w:val="0"/>
          <w:sz w:val="32"/>
          <w:szCs w:val="32"/>
          <w:lang w:val="en-US" w:eastAsia="zh-CN" w:bidi="ar"/>
        </w:rPr>
        <w:t>一是</w:t>
      </w:r>
      <w:r>
        <w:rPr>
          <w:rFonts w:hint="eastAsia" w:ascii="仿宋_GB2312" w:hAnsi="宋体" w:eastAsia="仿宋_GB2312" w:cs="仿宋_GB2312"/>
          <w:kern w:val="0"/>
          <w:sz w:val="32"/>
          <w:szCs w:val="32"/>
          <w:lang w:val="en-US" w:eastAsia="zh-CN" w:bidi="ar"/>
        </w:rPr>
        <w:t>深入开展大走访活动。按照省、州和县相关</w:t>
      </w:r>
      <w:r>
        <w:rPr>
          <w:rFonts w:hint="eastAsia" w:ascii="仿宋_GB2312" w:hAnsi="宋体" w:eastAsia="仿宋_GB2312" w:cs="仿宋_GB2312"/>
          <w:spacing w:val="-2"/>
          <w:kern w:val="0"/>
          <w:sz w:val="32"/>
          <w:szCs w:val="32"/>
          <w:lang w:val="en-US" w:eastAsia="zh-CN" w:bidi="ar"/>
        </w:rPr>
        <w:t>要求</w:t>
      </w:r>
      <w:r>
        <w:rPr>
          <w:rFonts w:hint="eastAsia" w:ascii="仿宋_GB2312" w:hAnsi="宋体" w:eastAsia="仿宋_GB2312" w:cs="仿宋_GB2312"/>
          <w:kern w:val="0"/>
          <w:sz w:val="32"/>
          <w:szCs w:val="32"/>
          <w:lang w:val="en-US" w:eastAsia="zh-CN" w:bidi="ar"/>
        </w:rPr>
        <w:t>，变被动接访为主动下访，通过现场接访、重点约访、带案下访等方式，持续深入开展大接访活动，面对面回应退役军人群体关切问题，充分发挥领导干部接访在处理信访突出问题中的重要作用，确保“事事有回音，件件有着落”。自我局成立以来，已接待来信来访53人次，经过耐心细致的解答，未出现越级上访。</w:t>
      </w:r>
      <w:r>
        <w:rPr>
          <w:rFonts w:hint="eastAsia" w:ascii="仿宋_GB2312" w:hAnsi="宋体" w:eastAsia="仿宋_GB2312" w:cs="仿宋_GB2312"/>
          <w:b/>
          <w:kern w:val="0"/>
          <w:sz w:val="32"/>
          <w:szCs w:val="32"/>
          <w:lang w:val="en-US" w:eastAsia="zh-CN" w:bidi="ar"/>
        </w:rPr>
        <w:t>二是</w:t>
      </w:r>
      <w:r>
        <w:rPr>
          <w:rFonts w:hint="eastAsia" w:ascii="仿宋_GB2312" w:hAnsi="宋体" w:eastAsia="仿宋_GB2312" w:cs="仿宋_GB2312"/>
          <w:kern w:val="0"/>
          <w:sz w:val="32"/>
          <w:szCs w:val="32"/>
          <w:lang w:val="en-US" w:eastAsia="zh-CN" w:bidi="ar"/>
        </w:rPr>
        <w:t>切实加强教育管理。积极引导广大退役军人通过正常渠道、正常程序反映述求，防止参加非法集访和越级上访。特别是信访敏感时期，通过多次电话交流、面对面约谈等方式，做好部分退役军人思想工作，有效的维护了社会的稳定和我县退役军人整体形象。</w:t>
      </w:r>
      <w:r>
        <w:rPr>
          <w:rFonts w:hint="eastAsia" w:ascii="仿宋_GB2312" w:hAnsi="宋体" w:eastAsia="仿宋_GB2312" w:cs="仿宋_GB2312"/>
          <w:b/>
          <w:kern w:val="0"/>
          <w:sz w:val="32"/>
          <w:szCs w:val="32"/>
          <w:lang w:val="en-US" w:eastAsia="zh-CN" w:bidi="ar"/>
        </w:rPr>
        <w:t>三是</w:t>
      </w:r>
      <w:r>
        <w:rPr>
          <w:rFonts w:hint="eastAsia" w:ascii="仿宋_GB2312" w:hAnsi="宋体" w:eastAsia="仿宋_GB2312" w:cs="仿宋_GB2312"/>
          <w:kern w:val="0"/>
          <w:sz w:val="32"/>
          <w:szCs w:val="32"/>
          <w:lang w:val="en-US" w:eastAsia="zh-CN" w:bidi="ar"/>
        </w:rPr>
        <w:t>服务工作稳步推进。不断强化服务意识，积极落实各项政策措施，努力提升服务质量，较好的完成了自主择业军转干部管理服务工作。截止目前，帮助各类退役军人报销医疗费19人次，合计金额54267元；办理银行卡变更7次，组织关系转移4人。</w:t>
      </w:r>
    </w:p>
    <w:p>
      <w:pPr>
        <w:keepNext w:val="0"/>
        <w:keepLines w:val="0"/>
        <w:widowControl w:val="0"/>
        <w:suppressLineNumbers w:val="0"/>
        <w:shd w:val="clear" w:fill="FFFFFF"/>
        <w:autoSpaceDE w:val="0"/>
        <w:autoSpaceDN/>
        <w:snapToGrid w:val="0"/>
        <w:spacing w:before="0" w:beforeAutospacing="0" w:after="0" w:afterAutospacing="0" w:line="540" w:lineRule="exact"/>
        <w:ind w:left="0" w:right="0" w:firstLine="482" w:firstLineChars="150"/>
        <w:jc w:val="left"/>
        <w:rPr>
          <w:rFonts w:hint="eastAsia" w:ascii="仿宋_GB2312" w:eastAsia="仿宋_GB2312" w:cs="仿宋_GB2312"/>
          <w:kern w:val="0"/>
          <w:sz w:val="32"/>
          <w:szCs w:val="32"/>
          <w:shd w:val="clear" w:fill="FFFFFF"/>
        </w:rPr>
      </w:pPr>
      <w:r>
        <w:rPr>
          <w:rFonts w:hint="eastAsia" w:ascii="楷体" w:hAnsi="楷体" w:eastAsia="楷体" w:cs="楷体"/>
          <w:b/>
          <w:kern w:val="0"/>
          <w:sz w:val="32"/>
          <w:szCs w:val="32"/>
          <w:shd w:val="clear" w:fill="FFFFFF"/>
          <w:lang w:val="en-US" w:eastAsia="zh-CN" w:bidi="ar"/>
        </w:rPr>
        <w:t>（四）</w:t>
      </w:r>
      <w:r>
        <w:rPr>
          <w:rFonts w:hint="eastAsia" w:ascii="楷体" w:hAnsi="楷体" w:eastAsia="楷体" w:cs="楷体"/>
          <w:b/>
          <w:color w:val="333333"/>
          <w:kern w:val="0"/>
          <w:sz w:val="32"/>
          <w:szCs w:val="32"/>
          <w:shd w:val="clear" w:fill="FFFFFF"/>
          <w:lang w:val="en-US" w:eastAsia="zh-CN" w:bidi="ar"/>
        </w:rPr>
        <w:t>扶贫帮困卓有成效。</w:t>
      </w:r>
      <w:r>
        <w:rPr>
          <w:rFonts w:hint="eastAsia" w:ascii="仿宋_GB2312" w:hAnsi="宋体" w:eastAsia="仿宋_GB2312" w:cs="仿宋_GB2312"/>
          <w:b/>
          <w:color w:val="333333"/>
          <w:kern w:val="0"/>
          <w:sz w:val="32"/>
          <w:szCs w:val="32"/>
          <w:shd w:val="clear" w:fill="FFFFFF"/>
          <w:lang w:val="en-US" w:eastAsia="zh-CN" w:bidi="ar"/>
        </w:rPr>
        <w:t>一是</w:t>
      </w:r>
      <w:r>
        <w:rPr>
          <w:rFonts w:hint="eastAsia" w:ascii="仿宋_GB2312" w:hAnsi="宋体" w:eastAsia="仿宋_GB2312" w:cs="仿宋_GB2312"/>
          <w:kern w:val="0"/>
          <w:sz w:val="32"/>
          <w:szCs w:val="32"/>
          <w:shd w:val="clear" w:fill="FFFFFF"/>
          <w:lang w:val="en-US" w:eastAsia="zh-CN" w:bidi="ar"/>
        </w:rPr>
        <w:t>积极组织人员参与联系村各项建设，重点帮助解决群众关心的热点、难点问题；</w:t>
      </w:r>
      <w:r>
        <w:rPr>
          <w:rFonts w:hint="eastAsia" w:ascii="仿宋_GB2312" w:hAnsi="宋体" w:eastAsia="仿宋_GB2312" w:cs="仿宋_GB2312"/>
          <w:b/>
          <w:color w:val="333333"/>
          <w:kern w:val="0"/>
          <w:sz w:val="32"/>
          <w:szCs w:val="32"/>
          <w:shd w:val="clear" w:fill="FFFFFF"/>
          <w:lang w:val="en-US" w:eastAsia="zh-CN" w:bidi="ar"/>
        </w:rPr>
        <w:t>二是</w:t>
      </w:r>
      <w:r>
        <w:rPr>
          <w:rFonts w:hint="eastAsia" w:ascii="仿宋_GB2312" w:hAnsi="宋体" w:eastAsia="仿宋_GB2312" w:cs="仿宋_GB2312"/>
          <w:kern w:val="0"/>
          <w:sz w:val="32"/>
          <w:szCs w:val="32"/>
          <w:shd w:val="clear" w:fill="FFFFFF"/>
          <w:lang w:val="en-US" w:eastAsia="zh-CN" w:bidi="ar"/>
        </w:rPr>
        <w:t>开展医疗保险救助，做好政策宣传，积极引导建挡立卡户正确参保，做到应保尽保。</w:t>
      </w:r>
      <w:r>
        <w:rPr>
          <w:rFonts w:hint="eastAsia" w:ascii="仿宋_GB2312" w:hAnsi="宋体" w:eastAsia="仿宋_GB2312" w:cs="仿宋_GB2312"/>
          <w:b/>
          <w:kern w:val="0"/>
          <w:sz w:val="32"/>
          <w:szCs w:val="32"/>
          <w:shd w:val="clear" w:fill="FFFFFF"/>
          <w:lang w:val="en-US" w:eastAsia="zh-CN" w:bidi="ar"/>
        </w:rPr>
        <w:t>三是</w:t>
      </w:r>
      <w:r>
        <w:rPr>
          <w:rFonts w:hint="eastAsia" w:ascii="仿宋_GB2312" w:hAnsi="宋体" w:eastAsia="仿宋_GB2312" w:cs="仿宋_GB2312"/>
          <w:kern w:val="0"/>
          <w:sz w:val="32"/>
          <w:szCs w:val="32"/>
          <w:shd w:val="clear" w:fill="FFFFFF"/>
          <w:lang w:val="en-US" w:eastAsia="zh-CN" w:bidi="ar"/>
        </w:rPr>
        <w:t>发动全局干部职工“献爱心”，累计为联系村建档立卡贫困户捐款捐物价值3000余元。认真落实“三结合工作”、帮助协调联系村—邛溪镇热多村阿木柯河大桥建设、中药材种植基地建设和沼气池清洁能源建设等；</w:t>
      </w:r>
      <w:r>
        <w:rPr>
          <w:rFonts w:hint="eastAsia" w:ascii="仿宋_GB2312" w:hAnsi="宋体" w:eastAsia="仿宋_GB2312" w:cs="仿宋_GB2312"/>
          <w:b/>
          <w:color w:val="333333"/>
          <w:kern w:val="0"/>
          <w:sz w:val="32"/>
          <w:szCs w:val="32"/>
          <w:shd w:val="clear" w:fill="FFFFFF"/>
          <w:lang w:val="en-US" w:eastAsia="zh-CN" w:bidi="ar"/>
        </w:rPr>
        <w:t>四是</w:t>
      </w:r>
      <w:r>
        <w:rPr>
          <w:rFonts w:hint="eastAsia" w:ascii="仿宋_GB2312" w:hAnsi="宋体" w:eastAsia="仿宋_GB2312" w:cs="仿宋_GB2312"/>
          <w:kern w:val="0"/>
          <w:sz w:val="32"/>
          <w:szCs w:val="32"/>
          <w:shd w:val="clear" w:fill="FFFFFF"/>
          <w:lang w:val="en-US" w:eastAsia="zh-CN" w:bidi="ar"/>
        </w:rPr>
        <w:t>帮助联系村建设文化宣传阵地，指导开展精神文明创建活动，及时排查调处村内发生的各类纠纷矛盾，防止发生集体越级上访和群体性事件。</w:t>
      </w:r>
    </w:p>
    <w:p>
      <w:pPr>
        <w:keepNext w:val="0"/>
        <w:keepLines w:val="0"/>
        <w:widowControl w:val="0"/>
        <w:suppressLineNumbers w:val="0"/>
        <w:autoSpaceDE w:val="0"/>
        <w:autoSpaceDN/>
        <w:snapToGrid w:val="0"/>
        <w:spacing w:before="0" w:beforeAutospacing="0" w:after="0" w:afterAutospacing="0" w:line="540" w:lineRule="exact"/>
        <w:ind w:left="0" w:right="0" w:firstLine="643" w:firstLineChars="200"/>
        <w:jc w:val="left"/>
        <w:rPr>
          <w:rFonts w:hint="eastAsia" w:ascii="仿宋_GB2312" w:eastAsia="仿宋_GB2312" w:cs="仿宋_GB2312"/>
          <w:kern w:val="0"/>
          <w:sz w:val="32"/>
          <w:szCs w:val="32"/>
        </w:rPr>
      </w:pPr>
      <w:r>
        <w:rPr>
          <w:rFonts w:hint="eastAsia" w:ascii="楷体" w:hAnsi="楷体" w:eastAsia="楷体" w:cs="楷体"/>
          <w:b/>
          <w:kern w:val="0"/>
          <w:sz w:val="32"/>
          <w:szCs w:val="32"/>
          <w:lang w:val="en-US" w:eastAsia="zh-CN" w:bidi="ar"/>
        </w:rPr>
        <w:t>（五）切实加强党风廉政建设。</w:t>
      </w:r>
      <w:r>
        <w:rPr>
          <w:rFonts w:hint="eastAsia" w:ascii="仿宋_GB2312" w:hAnsi="宋体" w:eastAsia="仿宋_GB2312" w:cs="仿宋_GB2312"/>
          <w:kern w:val="0"/>
          <w:sz w:val="32"/>
          <w:szCs w:val="32"/>
          <w:lang w:val="en-US" w:eastAsia="zh-CN" w:bidi="ar"/>
        </w:rPr>
        <w:t>按照建设“廉洁、勤政、务实、高效”的政府职能部门的要求。我局认真组织干部职工学习了《党章》、《中国共产党党内监督条例》、《中国共产党纪律处分条例》、《中国共产党党员领导干部廉洁自律若干准则》等相关规定。通过在6月15日与州退役军人事务局共同在瓦切镇开展“重走长征路、雪山草地行”主题党日活动和县“不忘初心、牢记使命”主题教育活动，使全体干部职工严格遵守廉洁自律有关规定，狠抓廉政建设坚持从严治政、依法行政，党风廉政建设得到进一步加强。坚持公开、公平、公正的原则，自觉树立“权为民所用、情为民所系、利为民所谋”的宗旨意识，保持了退役军人事务的良好形象。</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right="0"/>
        <w:jc w:val="left"/>
        <w:textAlignment w:val="auto"/>
        <w:outlineLvl w:val="0"/>
        <w:rPr>
          <w:rFonts w:hint="eastAsia" w:ascii="宋体" w:hAnsi="宋体" w:eastAsia="宋体" w:cs="宋体"/>
          <w:kern w:val="0"/>
          <w:sz w:val="32"/>
          <w:szCs w:val="32"/>
        </w:rPr>
      </w:pPr>
      <w:bookmarkStart w:id="48" w:name="_Toc3266"/>
      <w:r>
        <w:rPr>
          <w:rFonts w:hint="eastAsia" w:ascii="黑体" w:hAnsi="黑体" w:eastAsia="黑体" w:cs="黑体"/>
          <w:kern w:val="0"/>
          <w:sz w:val="32"/>
          <w:szCs w:val="32"/>
          <w:shd w:val="clear" w:fill="FFFFFF"/>
          <w:lang w:val="en-US" w:eastAsia="zh-CN" w:bidi="ar"/>
        </w:rPr>
        <w:t>二、收入支出预算执行情况分析。</w:t>
      </w:r>
      <w:bookmarkEnd w:id="48"/>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420" w:firstLineChars="200"/>
        <w:jc w:val="left"/>
        <w:textAlignment w:val="auto"/>
        <w:rPr>
          <w:rFonts w:hint="eastAsia" w:ascii="仿宋_GB2312" w:eastAsia="仿宋_GB2312" w:cs="仿宋_GB2312"/>
          <w:color w:val="000000"/>
          <w:kern w:val="0"/>
          <w:sz w:val="32"/>
          <w:szCs w:val="32"/>
        </w:rPr>
      </w:pPr>
      <w:r>
        <w:drawing>
          <wp:anchor distT="0" distB="0" distL="114300" distR="114300" simplePos="0" relativeHeight="251659264" behindDoc="1" locked="0" layoutInCell="1" allowOverlap="1">
            <wp:simplePos x="0" y="0"/>
            <wp:positionH relativeFrom="column">
              <wp:posOffset>391795</wp:posOffset>
            </wp:positionH>
            <wp:positionV relativeFrom="page">
              <wp:posOffset>8138795</wp:posOffset>
            </wp:positionV>
            <wp:extent cx="4105275" cy="2343150"/>
            <wp:effectExtent l="5080" t="4445" r="4445" b="14605"/>
            <wp:wrapNone/>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_GB2312" w:hAnsi="宋体" w:eastAsia="仿宋_GB2312" w:cs="仿宋_GB2312"/>
          <w:color w:val="000000"/>
          <w:kern w:val="0"/>
          <w:sz w:val="32"/>
          <w:szCs w:val="32"/>
          <w:lang w:val="en-US" w:eastAsia="zh-CN" w:bidi="ar"/>
        </w:rPr>
        <w:t>2020年度收、支总计2083万元。收入1107万元，支出975.3万元。</w:t>
      </w:r>
    </w:p>
    <w:p>
      <w:pPr>
        <w:keepNext w:val="0"/>
        <w:keepLines w:val="0"/>
        <w:widowControl/>
        <w:suppressLineNumbers w:val="0"/>
        <w:snapToGrid w:val="0"/>
        <w:spacing w:before="0" w:beforeAutospacing="0" w:after="0" w:afterAutospacing="0"/>
        <w:ind w:left="0" w:right="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val="en-US" w:eastAsia="zh-CN" w:bidi="ar"/>
        </w:rPr>
        <w:t xml:space="preserve"> </w:t>
      </w:r>
    </w:p>
    <w:p>
      <w:pPr>
        <w:keepNext w:val="0"/>
        <w:keepLines w:val="0"/>
        <w:widowControl/>
        <w:suppressLineNumbers w:val="0"/>
        <w:snapToGrid w:val="0"/>
        <w:spacing w:before="0" w:beforeAutospacing="0" w:after="0" w:afterAutospacing="0"/>
        <w:ind w:left="0" w:right="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val="en-US" w:eastAsia="zh-CN" w:bidi="ar"/>
        </w:rPr>
        <w:t xml:space="preserve"> </w:t>
      </w:r>
    </w:p>
    <w:p>
      <w:pPr>
        <w:keepNext w:val="0"/>
        <w:keepLines w:val="0"/>
        <w:widowControl/>
        <w:suppressLineNumbers w:val="0"/>
        <w:snapToGrid w:val="0"/>
        <w:spacing w:before="0" w:beforeAutospacing="0" w:after="0" w:afterAutospacing="0"/>
        <w:ind w:left="0" w:right="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val="en-US" w:eastAsia="zh-CN" w:bidi="ar"/>
        </w:rPr>
        <w:t xml:space="preserve"> </w:t>
      </w:r>
    </w:p>
    <w:p>
      <w:pPr>
        <w:keepNext w:val="0"/>
        <w:keepLines w:val="0"/>
        <w:widowControl/>
        <w:suppressLineNumbers w:val="0"/>
        <w:snapToGrid w:val="0"/>
        <w:spacing w:before="0" w:beforeAutospacing="0" w:after="0" w:afterAutospacing="0"/>
        <w:ind w:left="0" w:right="0"/>
        <w:jc w:val="left"/>
        <w:rPr>
          <w:rFonts w:hint="eastAsia" w:ascii="仿宋" w:hAnsi="仿宋" w:eastAsia="仿宋" w:cs="宋体"/>
          <w:color w:val="000000"/>
          <w:kern w:val="0"/>
          <w:sz w:val="32"/>
          <w:szCs w:val="32"/>
          <w:lang w:val="en-US" w:eastAsia="zh-CN" w:bidi="ar"/>
        </w:rPr>
      </w:pPr>
    </w:p>
    <w:p>
      <w:pPr>
        <w:keepNext w:val="0"/>
        <w:keepLines w:val="0"/>
        <w:widowControl/>
        <w:suppressLineNumbers w:val="0"/>
        <w:snapToGrid w:val="0"/>
        <w:spacing w:before="0" w:beforeAutospacing="0" w:after="0" w:afterAutospacing="0"/>
        <w:ind w:left="0" w:right="0"/>
        <w:jc w:val="left"/>
        <w:rPr>
          <w:rFonts w:hint="eastAsia" w:ascii="仿宋" w:hAnsi="仿宋" w:eastAsia="仿宋" w:cs="宋体"/>
          <w:color w:val="000000"/>
          <w:kern w:val="0"/>
          <w:sz w:val="32"/>
          <w:szCs w:val="32"/>
          <w:lang w:val="en-US" w:eastAsia="zh-CN" w:bidi="ar"/>
        </w:rPr>
      </w:pPr>
    </w:p>
    <w:p>
      <w:pPr>
        <w:pStyle w:val="12"/>
        <w:keepNext w:val="0"/>
        <w:keepLines w:val="0"/>
        <w:pageBreakBefore w:val="0"/>
        <w:widowControl/>
        <w:suppressLineNumbers w:val="0"/>
        <w:kinsoku/>
        <w:wordWrap/>
        <w:overflowPunct/>
        <w:topLinePunct w:val="0"/>
        <w:autoSpaceDN/>
        <w:bidi w:val="0"/>
        <w:adjustRightInd/>
        <w:snapToGrid w:val="0"/>
        <w:spacing w:before="0" w:beforeAutospacing="0" w:after="0" w:afterAutospacing="0" w:line="560" w:lineRule="exact"/>
        <w:ind w:left="0" w:leftChars="0" w:right="0" w:firstLine="960" w:firstLineChars="300"/>
        <w:jc w:val="both"/>
        <w:textAlignment w:val="auto"/>
        <w:rPr>
          <w:rFonts w:hint="eastAsia" w:ascii="黑体" w:hAnsi="宋体" w:eastAsia="黑体" w:cs="宋体"/>
          <w:color w:val="000000"/>
          <w:kern w:val="0"/>
          <w:sz w:val="32"/>
          <w:szCs w:val="32"/>
        </w:rPr>
      </w:pPr>
      <w:r>
        <w:rPr>
          <w:rFonts w:hint="eastAsia" w:ascii="仿宋" w:hAnsi="仿宋" w:eastAsia="仿宋" w:cs="仿宋"/>
          <w:color w:val="000000"/>
          <w:kern w:val="0"/>
          <w:sz w:val="32"/>
          <w:szCs w:val="32"/>
          <w:lang w:val="en-US" w:eastAsia="zh-CN" w:bidi="ar"/>
        </w:rPr>
        <w:t>（图</w:t>
      </w:r>
      <w:r>
        <w:rPr>
          <w:rFonts w:hint="eastAsia" w:ascii="仿宋" w:hAnsi="仿宋" w:eastAsia="仿宋" w:cs="宋体"/>
          <w:color w:val="000000"/>
          <w:kern w:val="0"/>
          <w:sz w:val="32"/>
          <w:szCs w:val="32"/>
          <w:lang w:val="en-US" w:eastAsia="zh-CN" w:bidi="ar"/>
        </w:rPr>
        <w:t>1</w:t>
      </w:r>
      <w:r>
        <w:rPr>
          <w:rFonts w:hint="eastAsia" w:ascii="仿宋" w:hAnsi="仿宋" w:eastAsia="仿宋" w:cs="仿宋"/>
          <w:color w:val="000000"/>
          <w:kern w:val="0"/>
          <w:sz w:val="32"/>
          <w:szCs w:val="32"/>
          <w:lang w:val="en-US" w:eastAsia="zh-CN" w:bidi="ar"/>
        </w:rPr>
        <w:t>：收、支决算总计变动情况图）（柱状图）</w:t>
      </w:r>
    </w:p>
    <w:p>
      <w:pPr>
        <w:pStyle w:val="12"/>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leftChars="0" w:right="0" w:firstLine="640" w:firstLineChars="200"/>
        <w:jc w:val="left"/>
        <w:textAlignment w:val="auto"/>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val="en-US" w:eastAsia="zh-CN" w:bidi="ar"/>
        </w:rPr>
        <w:t>2020年度与2019年度对比：</w:t>
      </w:r>
      <w:r>
        <w:rPr>
          <w:rFonts w:hint="eastAsia" w:ascii="仿宋_GB2312" w:hAnsi="宋体" w:eastAsia="仿宋_GB2312" w:cs="仿宋_GB2312"/>
          <w:color w:val="000000"/>
          <w:kern w:val="0"/>
          <w:sz w:val="32"/>
          <w:szCs w:val="32"/>
          <w:lang w:val="en-US" w:eastAsia="zh-CN" w:bidi="ar"/>
        </w:rPr>
        <w:t>与2019年度收、支总计1545万元。收入761.13万元，支出783.87万元</w:t>
      </w:r>
    </w:p>
    <w:p>
      <w:pPr>
        <w:pStyle w:val="12"/>
        <w:keepNext w:val="0"/>
        <w:keepLines w:val="0"/>
        <w:pageBreakBefore w:val="0"/>
        <w:widowControl/>
        <w:suppressLineNumbers w:val="0"/>
        <w:kinsoku/>
        <w:wordWrap/>
        <w:overflowPunct/>
        <w:topLinePunct w:val="0"/>
        <w:autoSpaceDN/>
        <w:bidi w:val="0"/>
        <w:adjustRightInd/>
        <w:snapToGrid w:val="0"/>
        <w:spacing w:before="0" w:beforeAutospacing="0" w:after="0" w:afterAutospacing="0" w:line="560" w:lineRule="exact"/>
        <w:ind w:left="0" w:leftChars="0" w:right="0"/>
        <w:jc w:val="both"/>
        <w:textAlignment w:val="auto"/>
        <w:rPr>
          <w:rFonts w:hint="eastAsia" w:ascii="黑体" w:hAnsi="宋体" w:eastAsia="黑体" w:cs="宋体"/>
          <w:b w:val="0"/>
          <w:kern w:val="0"/>
          <w:sz w:val="36"/>
          <w:szCs w:val="36"/>
        </w:rPr>
      </w:pPr>
      <w:r>
        <w:rPr>
          <w:rFonts w:hint="eastAsia" w:ascii="黑体" w:hAnsi="宋体" w:eastAsia="黑体" w:cs="宋体"/>
          <w:color w:val="000000"/>
          <w:kern w:val="0"/>
          <w:sz w:val="32"/>
          <w:szCs w:val="32"/>
          <w:lang w:val="en-US" w:eastAsia="zh-CN" w:bidi="ar"/>
        </w:rPr>
        <w:t xml:space="preserve">   </w:t>
      </w:r>
      <w:r>
        <w:rPr>
          <w:rFonts w:hint="eastAsia" w:ascii="黑体" w:hAnsi="宋体" w:eastAsia="黑体" w:cs="黑体"/>
          <w:color w:val="000000"/>
          <w:kern w:val="0"/>
          <w:sz w:val="32"/>
          <w:szCs w:val="32"/>
          <w:lang w:val="en-US" w:eastAsia="zh-CN" w:bidi="ar"/>
        </w:rPr>
        <w:t>收</w:t>
      </w:r>
      <w:r>
        <w:rPr>
          <w:rStyle w:val="45"/>
          <w:rFonts w:hint="eastAsia" w:ascii="黑体" w:hAnsi="宋体" w:eastAsia="黑体" w:cs="黑体"/>
          <w:b w:val="0"/>
          <w:kern w:val="0"/>
          <w:sz w:val="36"/>
          <w:szCs w:val="36"/>
          <w:lang w:val="en-US" w:eastAsia="zh-CN" w:bidi="ar"/>
        </w:rPr>
        <w:t>入决算情况说明</w:t>
      </w:r>
    </w:p>
    <w:p>
      <w:pPr>
        <w:keepNext w:val="0"/>
        <w:keepLines w:val="0"/>
        <w:pageBreakBefore w:val="0"/>
        <w:widowControl/>
        <w:suppressLineNumbers w:val="0"/>
        <w:kinsoku/>
        <w:wordWrap/>
        <w:overflowPunct/>
        <w:topLinePunct w:val="0"/>
        <w:autoSpaceDN/>
        <w:bidi w:val="0"/>
        <w:adjustRightInd/>
        <w:snapToGrid w:val="0"/>
        <w:spacing w:before="0" w:beforeAutospacing="0" w:after="0" w:afterAutospacing="0" w:line="560" w:lineRule="exact"/>
        <w:ind w:left="0" w:right="0" w:firstLine="640" w:firstLineChars="200"/>
        <w:jc w:val="left"/>
        <w:textAlignment w:val="auto"/>
        <w:outlineLvl w:val="1"/>
        <w:rPr>
          <w:rFonts w:hint="eastAsia" w:ascii="仿宋_GB2312" w:eastAsia="仿宋_GB2312" w:cs="仿宋_GB2312"/>
          <w:color w:val="000000"/>
          <w:kern w:val="0"/>
          <w:sz w:val="32"/>
          <w:szCs w:val="32"/>
        </w:rPr>
      </w:pPr>
      <w:bookmarkStart w:id="49" w:name="_Toc23413"/>
      <w:bookmarkStart w:id="50" w:name="_Toc8232"/>
      <w:r>
        <w:rPr>
          <w:rFonts w:hint="eastAsia" w:ascii="仿宋_GB2312" w:hAnsi="宋体" w:eastAsia="仿宋_GB2312" w:cs="仿宋_GB2312"/>
          <w:color w:val="000000"/>
          <w:kern w:val="0"/>
          <w:sz w:val="32"/>
          <w:szCs w:val="32"/>
          <w:lang w:val="en-US" w:eastAsia="zh-CN" w:bidi="ar"/>
        </w:rPr>
        <w:t>2020年本年收入合计1107万元，其中：一般公共预算财政拨款收入1107万元，占100%；政府性基金预算财政拨款收入0万元，占0%。</w:t>
      </w:r>
      <w:bookmarkEnd w:id="49"/>
      <w:bookmarkEnd w:id="50"/>
    </w:p>
    <w:p>
      <w:pPr>
        <w:keepNext w:val="0"/>
        <w:keepLines w:val="0"/>
        <w:widowControl/>
        <w:suppressLineNumbers w:val="0"/>
        <w:snapToGrid w:val="0"/>
        <w:spacing w:before="0" w:beforeAutospacing="0" w:after="0" w:afterAutospacing="0" w:line="600" w:lineRule="exact"/>
        <w:ind w:left="0" w:right="0" w:firstLine="420" w:firstLineChars="200"/>
        <w:jc w:val="left"/>
        <w:rPr>
          <w:rFonts w:hint="eastAsia" w:ascii="仿宋" w:hAnsi="仿宋" w:eastAsia="仿宋" w:cs="宋体"/>
          <w:color w:val="000000"/>
          <w:kern w:val="0"/>
          <w:sz w:val="32"/>
          <w:szCs w:val="32"/>
        </w:rPr>
      </w:pPr>
      <w:r>
        <w:drawing>
          <wp:anchor distT="0" distB="0" distL="114300" distR="114300" simplePos="0" relativeHeight="251660288" behindDoc="1" locked="0" layoutInCell="1" allowOverlap="1">
            <wp:simplePos x="0" y="0"/>
            <wp:positionH relativeFrom="column">
              <wp:posOffset>226695</wp:posOffset>
            </wp:positionH>
            <wp:positionV relativeFrom="page">
              <wp:posOffset>3590290</wp:posOffset>
            </wp:positionV>
            <wp:extent cx="4743450" cy="2200275"/>
            <wp:effectExtent l="4445" t="4445" r="14605" b="5080"/>
            <wp:wrapNone/>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cs="宋体"/>
          <w:color w:val="000000"/>
          <w:kern w:val="0"/>
          <w:sz w:val="32"/>
          <w:szCs w:val="32"/>
          <w:lang w:val="en-US" w:eastAsia="zh-CN" w:bidi="ar"/>
        </w:rPr>
        <w:t xml:space="preserve"> </w:t>
      </w:r>
    </w:p>
    <w:p>
      <w:pPr>
        <w:keepNext w:val="0"/>
        <w:keepLines w:val="0"/>
        <w:widowControl/>
        <w:suppressLineNumbers w:val="0"/>
        <w:snapToGrid w:val="0"/>
        <w:spacing w:before="0" w:beforeAutospacing="0" w:after="0" w:afterAutospacing="0" w:line="600" w:lineRule="exact"/>
        <w:ind w:left="0" w:right="0"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val="en-US" w:eastAsia="zh-CN" w:bidi="ar"/>
        </w:rPr>
        <w:t xml:space="preserve"> </w:t>
      </w:r>
    </w:p>
    <w:p>
      <w:pPr>
        <w:keepNext w:val="0"/>
        <w:keepLines w:val="0"/>
        <w:widowControl/>
        <w:suppressLineNumbers w:val="0"/>
        <w:snapToGrid w:val="0"/>
        <w:spacing w:before="0" w:beforeAutospacing="0" w:after="0" w:afterAutospacing="0" w:line="600" w:lineRule="exact"/>
        <w:ind w:left="0" w:right="0"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val="en-US" w:eastAsia="zh-CN" w:bidi="ar"/>
        </w:rPr>
        <w:t xml:space="preserve"> </w:t>
      </w:r>
    </w:p>
    <w:p>
      <w:pPr>
        <w:pStyle w:val="12"/>
        <w:keepNext w:val="0"/>
        <w:keepLines w:val="0"/>
        <w:widowControl/>
        <w:suppressLineNumbers w:val="0"/>
        <w:snapToGrid w:val="0"/>
        <w:spacing w:before="0" w:beforeAutospacing="0" w:after="0" w:afterAutospacing="0"/>
        <w:ind w:left="0" w:right="0"/>
        <w:jc w:val="left"/>
        <w:rPr>
          <w:rFonts w:hint="eastAsia" w:ascii="仿宋" w:hAnsi="仿宋" w:eastAsia="仿宋" w:cs="Arial Unicode MS"/>
          <w:color w:val="000000"/>
          <w:kern w:val="0"/>
          <w:sz w:val="32"/>
          <w:szCs w:val="32"/>
        </w:rPr>
      </w:pPr>
      <w:r>
        <w:rPr>
          <w:rFonts w:hint="eastAsia" w:ascii="仿宋" w:hAnsi="仿宋" w:eastAsia="仿宋" w:cs="Arial Unicode MS"/>
          <w:color w:val="000000"/>
          <w:kern w:val="0"/>
          <w:sz w:val="32"/>
          <w:szCs w:val="32"/>
          <w:lang w:val="en-US" w:eastAsia="zh-CN" w:bidi="ar"/>
        </w:rPr>
        <w:t xml:space="preserve"> </w:t>
      </w:r>
    </w:p>
    <w:p>
      <w:pPr>
        <w:pStyle w:val="12"/>
        <w:keepNext w:val="0"/>
        <w:keepLines w:val="0"/>
        <w:widowControl/>
        <w:suppressLineNumbers w:val="0"/>
        <w:snapToGrid w:val="0"/>
        <w:spacing w:before="0" w:beforeAutospacing="0" w:after="0" w:afterAutospacing="0"/>
        <w:ind w:left="0" w:right="0"/>
        <w:jc w:val="left"/>
        <w:rPr>
          <w:rFonts w:hint="eastAsia" w:ascii="仿宋" w:hAnsi="仿宋" w:eastAsia="仿宋" w:cs="Arial Unicode MS"/>
          <w:color w:val="000000"/>
          <w:kern w:val="0"/>
          <w:sz w:val="32"/>
          <w:szCs w:val="32"/>
        </w:rPr>
      </w:pPr>
      <w:r>
        <w:rPr>
          <w:rFonts w:hint="eastAsia" w:ascii="仿宋" w:hAnsi="仿宋" w:eastAsia="仿宋" w:cs="Arial Unicode MS"/>
          <w:color w:val="000000"/>
          <w:kern w:val="0"/>
          <w:sz w:val="32"/>
          <w:szCs w:val="32"/>
          <w:lang w:val="en-US" w:eastAsia="zh-CN" w:bidi="ar"/>
        </w:rPr>
        <w:t xml:space="preserve"> </w:t>
      </w:r>
    </w:p>
    <w:p>
      <w:pPr>
        <w:keepNext w:val="0"/>
        <w:keepLines w:val="0"/>
        <w:widowControl/>
        <w:suppressLineNumbers w:val="0"/>
        <w:snapToGrid w:val="0"/>
        <w:spacing w:before="0" w:beforeAutospacing="0" w:after="0" w:afterAutospacing="0" w:line="600" w:lineRule="exact"/>
        <w:ind w:left="0" w:right="0"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val="en-US" w:eastAsia="zh-CN" w:bidi="ar"/>
        </w:rPr>
        <w:t xml:space="preserve"> </w:t>
      </w:r>
    </w:p>
    <w:p>
      <w:pPr>
        <w:keepNext w:val="0"/>
        <w:keepLines w:val="0"/>
        <w:widowControl/>
        <w:suppressLineNumbers w:val="0"/>
        <w:snapToGrid w:val="0"/>
        <w:spacing w:before="0" w:beforeAutospacing="0" w:after="0" w:afterAutospacing="0" w:line="600" w:lineRule="exact"/>
        <w:ind w:left="0" w:right="0"/>
        <w:jc w:val="both"/>
        <w:rPr>
          <w:rFonts w:hint="eastAsia" w:ascii="仿宋" w:hAnsi="仿宋" w:eastAsia="仿宋" w:cs="仿宋"/>
          <w:color w:val="000000"/>
          <w:kern w:val="0"/>
          <w:sz w:val="32"/>
          <w:szCs w:val="32"/>
          <w:lang w:val="en-US" w:eastAsia="zh-CN" w:bidi="ar"/>
        </w:rPr>
      </w:pPr>
      <w:r>
        <w:rPr>
          <w:rFonts w:hint="eastAsia" w:ascii="仿宋" w:hAnsi="仿宋" w:eastAsia="仿宋" w:cs="宋体"/>
          <w:color w:val="000000"/>
          <w:kern w:val="0"/>
          <w:sz w:val="32"/>
          <w:szCs w:val="32"/>
          <w:lang w:val="en-US" w:eastAsia="zh-CN" w:bidi="ar"/>
        </w:rPr>
        <w:t xml:space="preserve"> </w:t>
      </w:r>
    </w:p>
    <w:p>
      <w:pPr>
        <w:keepNext w:val="0"/>
        <w:keepLines w:val="0"/>
        <w:widowControl/>
        <w:suppressLineNumbers w:val="0"/>
        <w:snapToGrid w:val="0"/>
        <w:spacing w:before="0" w:beforeAutospacing="0" w:after="0" w:afterAutospacing="0" w:line="600" w:lineRule="exact"/>
        <w:ind w:left="0" w:right="0"/>
        <w:jc w:val="center"/>
        <w:rPr>
          <w:rFonts w:hint="eastAsia" w:ascii="仿宋" w:hAnsi="仿宋" w:eastAsia="仿宋" w:cs="宋体"/>
          <w:color w:val="000000"/>
          <w:kern w:val="0"/>
          <w:sz w:val="32"/>
          <w:szCs w:val="32"/>
        </w:rPr>
      </w:pPr>
      <w:r>
        <w:rPr>
          <w:rFonts w:hint="eastAsia" w:ascii="仿宋" w:hAnsi="仿宋" w:eastAsia="仿宋" w:cs="仿宋"/>
          <w:color w:val="000000"/>
          <w:kern w:val="0"/>
          <w:sz w:val="32"/>
          <w:szCs w:val="32"/>
          <w:lang w:val="en-US" w:eastAsia="zh-CN" w:bidi="ar"/>
        </w:rPr>
        <w:t>（图</w:t>
      </w:r>
      <w:r>
        <w:rPr>
          <w:rFonts w:hint="eastAsia" w:ascii="仿宋" w:hAnsi="仿宋" w:eastAsia="仿宋" w:cs="宋体"/>
          <w:color w:val="000000"/>
          <w:kern w:val="0"/>
          <w:sz w:val="32"/>
          <w:szCs w:val="32"/>
          <w:lang w:val="en-US" w:eastAsia="zh-CN" w:bidi="ar"/>
        </w:rPr>
        <w:t>2</w:t>
      </w:r>
      <w:r>
        <w:rPr>
          <w:rFonts w:hint="eastAsia" w:ascii="仿宋" w:hAnsi="仿宋" w:eastAsia="仿宋" w:cs="仿宋"/>
          <w:color w:val="000000"/>
          <w:kern w:val="0"/>
          <w:sz w:val="32"/>
          <w:szCs w:val="32"/>
          <w:lang w:val="en-US" w:eastAsia="zh-CN" w:bidi="ar"/>
        </w:rPr>
        <w:t>：收入决算结构图）（饼状图）</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宋体" w:hAnsi="宋体" w:eastAsia="宋体" w:cs="宋体"/>
          <w:kern w:val="0"/>
          <w:sz w:val="32"/>
          <w:szCs w:val="32"/>
        </w:rPr>
      </w:pPr>
      <w:r>
        <w:rPr>
          <w:rStyle w:val="43"/>
          <w:rFonts w:hint="eastAsia" w:ascii="仿宋_GB2312" w:eastAsia="仿宋_GB2312" w:cs="仿宋_GB2312"/>
          <w:b/>
          <w:sz w:val="32"/>
          <w:szCs w:val="32"/>
          <w:shd w:val="clear" w:fill="FFFFFF"/>
          <w:lang w:val="en-US" w:eastAsia="zh-CN" w:bidi="ar"/>
        </w:rPr>
        <w:t xml:space="preserve"> （一）收入支出预算安排情况。</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left"/>
        <w:textAlignment w:val="auto"/>
        <w:rPr>
          <w:rFonts w:hint="eastAsia" w:ascii="仿宋_GB2312" w:eastAsia="仿宋_GB2312" w:cs="仿宋_GB2312"/>
          <w:b/>
          <w:sz w:val="32"/>
          <w:szCs w:val="32"/>
          <w:shd w:val="clear" w:fill="FFFFFF"/>
        </w:rPr>
      </w:pPr>
      <w:r>
        <w:rPr>
          <w:rFonts w:hint="eastAsia" w:ascii="仿宋_GB2312" w:hAnsi="宋体" w:eastAsia="仿宋_GB2312" w:cs="仿宋_GB2312"/>
          <w:kern w:val="0"/>
          <w:sz w:val="32"/>
          <w:szCs w:val="32"/>
          <w:shd w:val="clear" w:fill="FFFFFF"/>
          <w:lang w:val="en-US" w:eastAsia="zh-CN" w:bidi="ar"/>
        </w:rPr>
        <w:t>本单位本年度收入的年初预算数为407.91万元，上年度收入的年初预算数为0.00万元，差异为407.91万元；</w:t>
      </w:r>
      <w:r>
        <w:rPr>
          <w:rStyle w:val="43"/>
          <w:rFonts w:hint="eastAsia" w:ascii="仿宋_GB2312" w:eastAsia="仿宋_GB2312" w:cs="仿宋_GB2312"/>
          <w:b/>
          <w:sz w:val="32"/>
          <w:szCs w:val="32"/>
          <w:shd w:val="clear" w:fill="FFFFFF"/>
          <w:lang w:val="en-US" w:eastAsia="zh-CN" w:bidi="ar"/>
        </w:rPr>
        <w:t>主要原因为新成立单位未能及时预算上报，</w:t>
      </w:r>
      <w:r>
        <w:rPr>
          <w:rFonts w:hint="eastAsia" w:ascii="仿宋_GB2312" w:hAnsi="宋体" w:eastAsia="仿宋_GB2312" w:cs="仿宋_GB2312"/>
          <w:kern w:val="0"/>
          <w:sz w:val="32"/>
          <w:szCs w:val="32"/>
          <w:shd w:val="clear" w:fill="FFFFFF"/>
          <w:lang w:val="en-US" w:eastAsia="zh-CN" w:bidi="ar"/>
        </w:rPr>
        <w:t>本年度支出的年初预算数为407.91万元，上年度支出的年初预算数为0.00万元，差异为407.91万元；</w:t>
      </w:r>
      <w:r>
        <w:rPr>
          <w:rStyle w:val="43"/>
          <w:rFonts w:hint="eastAsia" w:ascii="仿宋_GB2312" w:eastAsia="仿宋_GB2312" w:cs="仿宋_GB2312"/>
          <w:b/>
          <w:sz w:val="32"/>
          <w:szCs w:val="32"/>
          <w:shd w:val="clear" w:fill="FFFFFF"/>
          <w:lang w:val="en-US" w:eastAsia="zh-CN" w:bidi="ar"/>
        </w:rPr>
        <w:t>主要原因为原因新成立单位未能及时上报预算数。(可用柱形图或折线图)</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drawing>
          <wp:anchor distT="0" distB="0" distL="114300" distR="114300" simplePos="0" relativeHeight="251661312" behindDoc="1" locked="0" layoutInCell="1" allowOverlap="1">
            <wp:simplePos x="0" y="0"/>
            <wp:positionH relativeFrom="column">
              <wp:posOffset>-59690</wp:posOffset>
            </wp:positionH>
            <wp:positionV relativeFrom="paragraph">
              <wp:posOffset>50800</wp:posOffset>
            </wp:positionV>
            <wp:extent cx="4572000" cy="2743200"/>
            <wp:effectExtent l="4445" t="4445" r="10795" b="10795"/>
            <wp:wrapNone/>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3" w:firstLineChars="20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right="0"/>
        <w:jc w:val="left"/>
        <w:textAlignment w:val="auto"/>
        <w:rPr>
          <w:rFonts w:hint="eastAsia" w:ascii="宋体" w:hAnsi="宋体" w:eastAsia="宋体" w:cs="宋体"/>
          <w:kern w:val="0"/>
          <w:sz w:val="32"/>
          <w:szCs w:val="32"/>
        </w:rPr>
      </w:pPr>
      <w:r>
        <w:rPr>
          <w:rStyle w:val="43"/>
          <w:rFonts w:hint="eastAsia" w:ascii="仿宋_GB2312" w:eastAsia="仿宋_GB2312" w:cs="仿宋_GB2312"/>
          <w:b/>
          <w:sz w:val="32"/>
          <w:szCs w:val="32"/>
          <w:shd w:val="clear" w:fill="FFFFFF"/>
          <w:lang w:val="en-US" w:eastAsia="zh-CN" w:bidi="ar"/>
        </w:rPr>
        <w:t>（二）收入支出预算执行情况。</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left"/>
        <w:textAlignment w:val="auto"/>
        <w:rPr>
          <w:rFonts w:hint="eastAsia" w:ascii="仿宋_GB2312" w:eastAsia="仿宋_GB2312" w:cs="仿宋_GB2312"/>
          <w:b/>
          <w:sz w:val="32"/>
          <w:szCs w:val="32"/>
          <w:shd w:val="clear" w:fill="FFFFFF"/>
        </w:rPr>
      </w:pPr>
      <w:r>
        <w:rPr>
          <w:rFonts w:hint="eastAsia" w:ascii="仿宋_GB2312" w:hAnsi="宋体" w:eastAsia="仿宋_GB2312" w:cs="仿宋_GB2312"/>
          <w:kern w:val="0"/>
          <w:sz w:val="32"/>
          <w:szCs w:val="32"/>
          <w:shd w:val="clear" w:fill="FFFFFF"/>
          <w:lang w:val="en-US" w:eastAsia="zh-CN" w:bidi="ar"/>
        </w:rPr>
        <w:t xml:space="preserve">本单位本年度收入调整预算数为1,107.20万元，收入决算数为1,107.20万元，预算完成度为100.00%，上年度预算完成度为100.00%，本年度支出调整预算数为1,232.31万元，支出决算数为999.70万元，预算完成度为81.12%，上年度预算完成度为78.41% </w:t>
      </w:r>
      <w:r>
        <w:rPr>
          <w:rStyle w:val="43"/>
          <w:rFonts w:hint="eastAsia" w:ascii="仿宋_GB2312" w:eastAsia="仿宋_GB2312" w:cs="仿宋_GB2312"/>
          <w:b/>
          <w:sz w:val="32"/>
          <w:szCs w:val="32"/>
          <w:shd w:val="clear" w:fill="FFFFFF"/>
          <w:lang w:val="en-US" w:eastAsia="zh-CN" w:bidi="ar"/>
        </w:rPr>
        <w:t>存在差异的主要原因为新增项目多导致预算完成程度有差异(可用柱形图或折线图)</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r>
        <w:drawing>
          <wp:anchor distT="0" distB="0" distL="114300" distR="114300" simplePos="0" relativeHeight="251662336" behindDoc="1" locked="0" layoutInCell="1" allowOverlap="1">
            <wp:simplePos x="0" y="0"/>
            <wp:positionH relativeFrom="column">
              <wp:posOffset>171450</wp:posOffset>
            </wp:positionH>
            <wp:positionV relativeFrom="page">
              <wp:posOffset>6505575</wp:posOffset>
            </wp:positionV>
            <wp:extent cx="4572000" cy="2743200"/>
            <wp:effectExtent l="4445" t="4445" r="10795" b="10795"/>
            <wp:wrapNone/>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right="0"/>
        <w:jc w:val="left"/>
        <w:textAlignment w:val="auto"/>
        <w:rPr>
          <w:rFonts w:hint="eastAsia" w:ascii="宋体" w:hAnsi="宋体" w:eastAsia="宋体" w:cs="宋体"/>
          <w:kern w:val="0"/>
          <w:sz w:val="32"/>
          <w:szCs w:val="32"/>
        </w:rPr>
      </w:pPr>
      <w:r>
        <w:rPr>
          <w:rStyle w:val="43"/>
          <w:rFonts w:hint="eastAsia" w:ascii="仿宋_GB2312" w:eastAsia="仿宋_GB2312" w:cs="仿宋_GB2312"/>
          <w:b/>
          <w:sz w:val="32"/>
          <w:szCs w:val="32"/>
          <w:shd w:val="clear" w:fill="FFFFFF"/>
          <w:lang w:val="en-US" w:eastAsia="zh-CN" w:bidi="ar"/>
        </w:rPr>
        <w:t>1．收入支出与预算对比分析。</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right="0"/>
        <w:jc w:val="left"/>
        <w:textAlignment w:val="auto"/>
        <w:rPr>
          <w:rFonts w:hint="eastAsia" w:ascii="宋体" w:hAnsi="宋体" w:eastAsia="宋体" w:cs="宋体"/>
          <w:kern w:val="0"/>
          <w:sz w:val="32"/>
          <w:szCs w:val="32"/>
        </w:rPr>
      </w:pPr>
      <w:r>
        <w:rPr>
          <w:rFonts w:hint="eastAsia" w:ascii="仿宋_GB2312" w:hAnsi="宋体" w:eastAsia="仿宋_GB2312" w:cs="仿宋_GB2312"/>
          <w:kern w:val="0"/>
          <w:sz w:val="32"/>
          <w:szCs w:val="32"/>
          <w:shd w:val="clear" w:fill="FFFFFF"/>
          <w:lang w:val="en-US" w:eastAsia="zh-CN" w:bidi="ar"/>
        </w:rPr>
        <w:t>（1）预、决算差异情况，可分收入支出功能科目、分单位、分收入支出具体项目逐项对比</w:t>
      </w:r>
      <w:r>
        <w:rPr>
          <w:rStyle w:val="43"/>
          <w:rFonts w:hint="eastAsia" w:ascii="仿宋_GB2312" w:eastAsia="仿宋_GB2312" w:cs="仿宋_GB2312"/>
          <w:b/>
          <w:sz w:val="32"/>
          <w:szCs w:val="32"/>
          <w:shd w:val="clear" w:fill="FFFFFF"/>
          <w:lang w:val="en-US" w:eastAsia="zh-CN" w:bidi="ar"/>
        </w:rPr>
        <w:t>（可列表）</w:t>
      </w:r>
      <w:r>
        <w:rPr>
          <w:rFonts w:hint="eastAsia" w:ascii="仿宋_GB2312" w:hAnsi="宋体" w:eastAsia="仿宋_GB2312" w:cs="仿宋_GB2312"/>
          <w:kern w:val="0"/>
          <w:sz w:val="32"/>
          <w:szCs w:val="32"/>
          <w:shd w:val="clear" w:fill="FFFFFF"/>
          <w:lang w:val="en-US" w:eastAsia="zh-CN" w:bidi="ar"/>
        </w:rPr>
        <w:t>。</w:t>
      </w:r>
    </w:p>
    <w:tbl>
      <w:tblPr>
        <w:tblStyle w:val="14"/>
        <w:tblpPr w:leftFromText="180" w:rightFromText="180" w:vertAnchor="text" w:horzAnchor="page" w:tblpX="2074" w:tblpY="18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4"/>
        <w:gridCol w:w="3550"/>
        <w:gridCol w:w="3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44" w:type="dxa"/>
          </w:tcPr>
          <w:p>
            <w:pPr>
              <w:pStyle w:val="12"/>
              <w:keepNext w:val="0"/>
              <w:keepLines w:val="0"/>
              <w:widowControl/>
              <w:suppressLineNumbers w:val="0"/>
              <w:snapToGrid w:val="0"/>
              <w:spacing w:before="0" w:beforeAutospacing="0" w:after="0" w:afterAutospacing="1"/>
              <w:ind w:left="0" w:right="0"/>
              <w:jc w:val="center"/>
              <w:rPr>
                <w:rFonts w:hint="eastAsia" w:ascii="仿宋_GB2312" w:eastAsia="仿宋_GB2312" w:cs="仿宋_GB2312"/>
                <w:b/>
                <w:sz w:val="32"/>
                <w:szCs w:val="32"/>
                <w:shd w:val="clear" w:fill="FFFFFF"/>
                <w:vertAlign w:val="baseline"/>
                <w:lang w:val="en-US" w:eastAsia="zh-CN"/>
              </w:rPr>
            </w:pPr>
          </w:p>
        </w:tc>
        <w:tc>
          <w:tcPr>
            <w:tcW w:w="3550" w:type="dxa"/>
          </w:tcPr>
          <w:p>
            <w:pPr>
              <w:pStyle w:val="12"/>
              <w:keepNext w:val="0"/>
              <w:keepLines w:val="0"/>
              <w:widowControl/>
              <w:suppressLineNumbers w:val="0"/>
              <w:snapToGrid w:val="0"/>
              <w:spacing w:before="0" w:beforeAutospacing="0" w:after="0" w:afterAutospacing="1"/>
              <w:ind w:left="0" w:right="0"/>
              <w:jc w:val="center"/>
              <w:rPr>
                <w:rFonts w:hint="eastAsia" w:ascii="仿宋_GB2312" w:eastAsia="仿宋_GB2312" w:cs="仿宋_GB2312"/>
                <w:b/>
                <w:sz w:val="32"/>
                <w:szCs w:val="32"/>
                <w:shd w:val="clear" w:fill="FFFFFF"/>
                <w:vertAlign w:val="baseline"/>
                <w:lang w:eastAsia="zh-CN"/>
              </w:rPr>
            </w:pPr>
            <w:r>
              <w:rPr>
                <w:rFonts w:hint="eastAsia" w:ascii="仿宋_GB2312" w:eastAsia="仿宋_GB2312" w:cs="仿宋_GB2312"/>
                <w:b/>
                <w:sz w:val="32"/>
                <w:szCs w:val="32"/>
                <w:shd w:val="clear" w:fill="FFFFFF"/>
                <w:vertAlign w:val="baseline"/>
                <w:lang w:eastAsia="zh-CN"/>
              </w:rPr>
              <w:t>收入</w:t>
            </w:r>
          </w:p>
        </w:tc>
        <w:tc>
          <w:tcPr>
            <w:tcW w:w="3505" w:type="dxa"/>
          </w:tcPr>
          <w:p>
            <w:pPr>
              <w:pStyle w:val="12"/>
              <w:keepNext w:val="0"/>
              <w:keepLines w:val="0"/>
              <w:widowControl/>
              <w:suppressLineNumbers w:val="0"/>
              <w:snapToGrid w:val="0"/>
              <w:spacing w:before="0" w:beforeAutospacing="0" w:after="0" w:afterAutospacing="1"/>
              <w:ind w:left="0" w:right="0"/>
              <w:jc w:val="center"/>
              <w:rPr>
                <w:rFonts w:hint="eastAsia" w:ascii="仿宋_GB2312" w:eastAsia="仿宋_GB2312" w:cs="仿宋_GB2312"/>
                <w:b/>
                <w:sz w:val="32"/>
                <w:szCs w:val="32"/>
                <w:shd w:val="clear" w:fill="FFFFFF"/>
                <w:vertAlign w:val="baseline"/>
              </w:rPr>
            </w:pPr>
            <w:r>
              <w:rPr>
                <w:rFonts w:hint="eastAsia" w:ascii="仿宋_GB2312" w:eastAsia="仿宋_GB2312" w:cs="仿宋_GB2312"/>
                <w:b/>
                <w:sz w:val="32"/>
                <w:szCs w:val="32"/>
                <w:shd w:val="clear" w:fill="FFFFFF"/>
                <w:vertAlign w:val="baseline"/>
                <w:lang w:eastAsia="zh-CN"/>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44" w:type="dxa"/>
          </w:tcPr>
          <w:p>
            <w:pPr>
              <w:pStyle w:val="12"/>
              <w:keepNext w:val="0"/>
              <w:keepLines w:val="0"/>
              <w:widowControl/>
              <w:suppressLineNumbers w:val="0"/>
              <w:snapToGrid w:val="0"/>
              <w:spacing w:before="0" w:beforeAutospacing="0" w:after="0" w:afterAutospacing="1"/>
              <w:ind w:left="0" w:right="0"/>
              <w:jc w:val="center"/>
              <w:rPr>
                <w:rFonts w:hint="eastAsia" w:ascii="仿宋_GB2312" w:eastAsia="仿宋_GB2312" w:cs="仿宋_GB2312"/>
                <w:b/>
                <w:sz w:val="32"/>
                <w:szCs w:val="32"/>
                <w:shd w:val="clear" w:fill="FFFFFF"/>
                <w:vertAlign w:val="baseline"/>
                <w:lang w:eastAsia="zh-CN"/>
              </w:rPr>
            </w:pPr>
            <w:r>
              <w:rPr>
                <w:rFonts w:hint="eastAsia" w:ascii="仿宋_GB2312" w:eastAsia="仿宋_GB2312" w:cs="仿宋_GB2312"/>
                <w:b/>
                <w:sz w:val="32"/>
                <w:szCs w:val="32"/>
                <w:shd w:val="clear" w:fill="FFFFFF"/>
                <w:vertAlign w:val="baseline"/>
                <w:lang w:eastAsia="zh-CN"/>
              </w:rPr>
              <w:t>预算</w:t>
            </w:r>
          </w:p>
        </w:tc>
        <w:tc>
          <w:tcPr>
            <w:tcW w:w="3550" w:type="dxa"/>
          </w:tcPr>
          <w:p>
            <w:pPr>
              <w:pStyle w:val="12"/>
              <w:keepNext w:val="0"/>
              <w:keepLines w:val="0"/>
              <w:widowControl/>
              <w:suppressLineNumbers w:val="0"/>
              <w:snapToGrid w:val="0"/>
              <w:spacing w:before="0" w:beforeAutospacing="0" w:after="0" w:afterAutospacing="1"/>
              <w:ind w:left="0" w:right="0"/>
              <w:jc w:val="center"/>
              <w:rPr>
                <w:rFonts w:hint="default" w:ascii="仿宋_GB2312" w:eastAsia="仿宋_GB2312" w:cs="仿宋_GB2312"/>
                <w:b/>
                <w:sz w:val="32"/>
                <w:szCs w:val="32"/>
                <w:shd w:val="clear" w:fill="FFFFFF"/>
                <w:vertAlign w:val="baseline"/>
                <w:lang w:val="en-US" w:eastAsia="zh-CN"/>
              </w:rPr>
            </w:pPr>
            <w:r>
              <w:rPr>
                <w:rFonts w:hint="eastAsia" w:ascii="仿宋_GB2312" w:eastAsia="仿宋_GB2312" w:cs="仿宋_GB2312"/>
                <w:b/>
                <w:sz w:val="32"/>
                <w:szCs w:val="32"/>
                <w:shd w:val="clear" w:fill="FFFFFF"/>
                <w:vertAlign w:val="baseline"/>
                <w:lang w:val="en-US" w:eastAsia="zh-CN"/>
              </w:rPr>
              <w:t>4079107.75</w:t>
            </w:r>
          </w:p>
        </w:tc>
        <w:tc>
          <w:tcPr>
            <w:tcW w:w="3505" w:type="dxa"/>
          </w:tcPr>
          <w:p>
            <w:pPr>
              <w:pStyle w:val="12"/>
              <w:keepNext w:val="0"/>
              <w:keepLines w:val="0"/>
              <w:widowControl/>
              <w:suppressLineNumbers w:val="0"/>
              <w:snapToGrid w:val="0"/>
              <w:spacing w:before="0" w:beforeAutospacing="0" w:after="0" w:afterAutospacing="1"/>
              <w:ind w:left="0" w:right="0"/>
              <w:jc w:val="center"/>
              <w:rPr>
                <w:rFonts w:hint="eastAsia" w:ascii="仿宋_GB2312" w:eastAsia="仿宋_GB2312" w:cs="仿宋_GB2312"/>
                <w:b/>
                <w:sz w:val="32"/>
                <w:szCs w:val="32"/>
                <w:shd w:val="clear" w:fill="FFFFFF"/>
                <w:vertAlign w:val="baseline"/>
              </w:rPr>
            </w:pPr>
            <w:r>
              <w:rPr>
                <w:rFonts w:hint="eastAsia" w:ascii="仿宋_GB2312" w:eastAsia="仿宋_GB2312" w:cs="仿宋_GB2312"/>
                <w:b/>
                <w:sz w:val="32"/>
                <w:szCs w:val="32"/>
                <w:shd w:val="clear" w:fill="FFFFFF"/>
                <w:vertAlign w:val="baseline"/>
                <w:lang w:val="en-US" w:eastAsia="zh-CN"/>
              </w:rPr>
              <w:t>4079107.75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44" w:type="dxa"/>
          </w:tcPr>
          <w:p>
            <w:pPr>
              <w:pStyle w:val="12"/>
              <w:keepNext w:val="0"/>
              <w:keepLines w:val="0"/>
              <w:widowControl/>
              <w:suppressLineNumbers w:val="0"/>
              <w:snapToGrid w:val="0"/>
              <w:spacing w:before="0" w:beforeAutospacing="0" w:after="0" w:afterAutospacing="1"/>
              <w:ind w:left="0" w:right="0"/>
              <w:jc w:val="center"/>
              <w:rPr>
                <w:rFonts w:hint="eastAsia" w:ascii="仿宋_GB2312" w:eastAsia="仿宋_GB2312" w:cs="仿宋_GB2312"/>
                <w:b/>
                <w:sz w:val="32"/>
                <w:szCs w:val="32"/>
                <w:shd w:val="clear" w:fill="FFFFFF"/>
                <w:vertAlign w:val="baseline"/>
                <w:lang w:eastAsia="zh-CN"/>
              </w:rPr>
            </w:pPr>
            <w:r>
              <w:rPr>
                <w:rFonts w:hint="eastAsia" w:ascii="仿宋_GB2312" w:eastAsia="仿宋_GB2312" w:cs="仿宋_GB2312"/>
                <w:b/>
                <w:sz w:val="32"/>
                <w:szCs w:val="32"/>
                <w:shd w:val="clear" w:fill="FFFFFF"/>
                <w:vertAlign w:val="baseline"/>
                <w:lang w:eastAsia="zh-CN"/>
              </w:rPr>
              <w:t>决算</w:t>
            </w:r>
          </w:p>
        </w:tc>
        <w:tc>
          <w:tcPr>
            <w:tcW w:w="3550" w:type="dxa"/>
          </w:tcPr>
          <w:p>
            <w:pPr>
              <w:pStyle w:val="12"/>
              <w:keepNext w:val="0"/>
              <w:keepLines w:val="0"/>
              <w:widowControl/>
              <w:suppressLineNumbers w:val="0"/>
              <w:snapToGrid w:val="0"/>
              <w:spacing w:before="0" w:beforeAutospacing="0" w:after="0" w:afterAutospacing="1"/>
              <w:ind w:left="0" w:right="0"/>
              <w:jc w:val="center"/>
              <w:rPr>
                <w:rFonts w:hint="eastAsia" w:ascii="仿宋_GB2312" w:eastAsia="仿宋_GB2312" w:cs="仿宋_GB2312"/>
                <w:b/>
                <w:sz w:val="32"/>
                <w:szCs w:val="32"/>
                <w:shd w:val="clear" w:fill="FFFFFF"/>
                <w:vertAlign w:val="baseline"/>
              </w:rPr>
            </w:pPr>
            <w:r>
              <w:rPr>
                <w:rFonts w:hint="eastAsia" w:ascii="仿宋_GB2312" w:eastAsia="仿宋_GB2312" w:cs="仿宋_GB2312"/>
                <w:b/>
                <w:sz w:val="32"/>
                <w:szCs w:val="32"/>
                <w:shd w:val="clear" w:fill="FFFFFF"/>
                <w:vertAlign w:val="baseline"/>
                <w:lang w:val="en-US" w:eastAsia="zh-CN"/>
              </w:rPr>
              <w:t>11071991.02</w:t>
            </w:r>
          </w:p>
        </w:tc>
        <w:tc>
          <w:tcPr>
            <w:tcW w:w="3505" w:type="dxa"/>
          </w:tcPr>
          <w:p>
            <w:pPr>
              <w:pStyle w:val="12"/>
              <w:keepNext w:val="0"/>
              <w:keepLines w:val="0"/>
              <w:widowControl/>
              <w:suppressLineNumbers w:val="0"/>
              <w:snapToGrid w:val="0"/>
              <w:spacing w:before="0" w:beforeAutospacing="0" w:after="0" w:afterAutospacing="1"/>
              <w:ind w:left="0" w:right="0"/>
              <w:jc w:val="center"/>
              <w:rPr>
                <w:rFonts w:hint="eastAsia" w:ascii="仿宋_GB2312" w:eastAsia="仿宋_GB2312" w:cs="仿宋_GB2312"/>
                <w:b/>
                <w:sz w:val="32"/>
                <w:szCs w:val="32"/>
                <w:shd w:val="clear" w:fill="FFFFFF"/>
                <w:vertAlign w:val="baseline"/>
              </w:rPr>
            </w:pPr>
            <w:r>
              <w:rPr>
                <w:rFonts w:hint="eastAsia" w:ascii="仿宋_GB2312" w:eastAsia="仿宋_GB2312" w:cs="仿宋_GB2312"/>
                <w:b/>
                <w:sz w:val="32"/>
                <w:szCs w:val="32"/>
                <w:shd w:val="clear" w:fill="FFFFFF"/>
                <w:vertAlign w:val="baseline"/>
                <w:lang w:val="en-US" w:eastAsia="zh-CN"/>
              </w:rPr>
              <w:t>9996951.17</w:t>
            </w:r>
          </w:p>
        </w:tc>
      </w:tr>
    </w:tbl>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right="0"/>
        <w:jc w:val="left"/>
        <w:textAlignment w:val="auto"/>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（2）差异原因分析。差异较大的应分析到具体收入支出功能科目和具体单位。</w:t>
      </w: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800" w:leftChars="0" w:right="0" w:rightChars="0"/>
        <w:jc w:val="left"/>
        <w:textAlignment w:val="auto"/>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2093"/>
        <w:gridCol w:w="2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名称</w:t>
            </w:r>
          </w:p>
        </w:tc>
        <w:tc>
          <w:tcPr>
            <w:tcW w:w="2093"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预算</w:t>
            </w:r>
          </w:p>
        </w:tc>
        <w:tc>
          <w:tcPr>
            <w:tcW w:w="2168"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决算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一般公共预算财政拨款收入</w:t>
            </w:r>
          </w:p>
        </w:tc>
        <w:tc>
          <w:tcPr>
            <w:tcW w:w="2093"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4079107.75</w:t>
            </w:r>
          </w:p>
        </w:tc>
        <w:tc>
          <w:tcPr>
            <w:tcW w:w="2168"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11071991.02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社会保障和就业支出</w:t>
            </w:r>
          </w:p>
        </w:tc>
        <w:tc>
          <w:tcPr>
            <w:tcW w:w="2093"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3919165.04</w:t>
            </w:r>
          </w:p>
        </w:tc>
        <w:tc>
          <w:tcPr>
            <w:tcW w:w="2168"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9753262.75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住房保障支出</w:t>
            </w:r>
          </w:p>
        </w:tc>
        <w:tc>
          <w:tcPr>
            <w:tcW w:w="2093"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96822.84</w:t>
            </w:r>
          </w:p>
        </w:tc>
        <w:tc>
          <w:tcPr>
            <w:tcW w:w="2168"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118422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基本支出</w:t>
            </w:r>
          </w:p>
        </w:tc>
        <w:tc>
          <w:tcPr>
            <w:tcW w:w="2093" w:type="dxa"/>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1081437.75</w:t>
            </w:r>
          </w:p>
        </w:tc>
        <w:tc>
          <w:tcPr>
            <w:tcW w:w="2168"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1577904.56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项目支出</w:t>
            </w:r>
          </w:p>
        </w:tc>
        <w:tc>
          <w:tcPr>
            <w:tcW w:w="2093"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2997670</w:t>
            </w:r>
          </w:p>
        </w:tc>
        <w:tc>
          <w:tcPr>
            <w:tcW w:w="2168"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8419046.61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本年收入合计</w:t>
            </w:r>
          </w:p>
        </w:tc>
        <w:tc>
          <w:tcPr>
            <w:tcW w:w="2093"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4079107.75</w:t>
            </w:r>
          </w:p>
        </w:tc>
        <w:tc>
          <w:tcPr>
            <w:tcW w:w="2168"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11071991.02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本年支出合计</w:t>
            </w:r>
          </w:p>
        </w:tc>
        <w:tc>
          <w:tcPr>
            <w:tcW w:w="2093"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4079107.75</w:t>
            </w:r>
          </w:p>
        </w:tc>
        <w:tc>
          <w:tcPr>
            <w:tcW w:w="2168" w:type="dxa"/>
          </w:tcPr>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center"/>
              <w:textAlignment w:val="auto"/>
              <w:rPr>
                <w:rFonts w:hint="eastAsia" w:ascii="仿宋_GB2312" w:hAnsi="宋体" w:eastAsia="仿宋_GB2312" w:cs="仿宋_GB2312"/>
                <w:kern w:val="0"/>
                <w:sz w:val="32"/>
                <w:szCs w:val="32"/>
                <w:shd w:val="clear" w:fill="FFFFFF"/>
                <w:vertAlign w:val="baseline"/>
                <w:lang w:val="en-US" w:eastAsia="zh-CN" w:bidi="ar"/>
              </w:rPr>
            </w:pPr>
            <w:r>
              <w:rPr>
                <w:rFonts w:hint="eastAsia" w:ascii="仿宋_GB2312" w:hAnsi="宋体" w:eastAsia="仿宋_GB2312" w:cs="仿宋_GB2312"/>
                <w:kern w:val="0"/>
                <w:sz w:val="32"/>
                <w:szCs w:val="32"/>
                <w:shd w:val="clear" w:fill="FFFFFF"/>
                <w:vertAlign w:val="baseline"/>
                <w:lang w:val="en-US" w:eastAsia="zh-CN" w:bidi="ar"/>
              </w:rPr>
              <w:t>9996951.17</w:t>
            </w:r>
          </w:p>
        </w:tc>
      </w:tr>
    </w:tbl>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宋体" w:hAnsi="宋体" w:eastAsia="宋体" w:cs="宋体"/>
          <w:kern w:val="0"/>
          <w:sz w:val="32"/>
          <w:szCs w:val="32"/>
        </w:rPr>
      </w:pPr>
      <w:r>
        <w:rPr>
          <w:rFonts w:hint="eastAsia" w:ascii="宋体" w:hAnsi="宋体" w:eastAsia="宋体" w:cs="宋体"/>
          <w:kern w:val="0"/>
          <w:sz w:val="32"/>
          <w:szCs w:val="32"/>
          <w:shd w:val="clear" w:fill="FFFFFF"/>
          <w:lang w:val="en-US" w:eastAsia="zh-CN" w:bidi="ar"/>
        </w:rPr>
        <w:t xml:space="preserve"> </w:t>
      </w:r>
      <w:r>
        <w:rPr>
          <w:rFonts w:hint="eastAsia" w:ascii="宋体" w:hAnsi="宋体" w:cs="宋体"/>
          <w:kern w:val="0"/>
          <w:sz w:val="32"/>
          <w:szCs w:val="32"/>
          <w:shd w:val="clear" w:fill="FFFFFF"/>
          <w:lang w:val="en-US" w:eastAsia="zh-CN" w:bidi="ar"/>
        </w:rPr>
        <w:t xml:space="preserve">  </w:t>
      </w:r>
      <w:r>
        <w:rPr>
          <w:rStyle w:val="43"/>
          <w:rFonts w:hint="eastAsia" w:ascii="仿宋_GB2312" w:eastAsia="仿宋_GB2312" w:cs="仿宋_GB2312"/>
          <w:b/>
          <w:sz w:val="32"/>
          <w:szCs w:val="32"/>
          <w:shd w:val="clear" w:fill="FFFFFF"/>
          <w:lang w:val="en-US" w:eastAsia="zh-CN" w:bidi="ar"/>
        </w:rPr>
        <w:t>2．收入支出结构分析。</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960" w:firstLineChars="300"/>
        <w:jc w:val="left"/>
        <w:textAlignment w:val="auto"/>
        <w:rPr>
          <w:rFonts w:hint="eastAsia" w:ascii="仿宋_GB2312" w:eastAsia="仿宋_GB2312" w:cs="仿宋_GB2312"/>
          <w:b/>
          <w:sz w:val="32"/>
          <w:szCs w:val="32"/>
          <w:shd w:val="clear" w:fill="FFFFFF"/>
        </w:rPr>
      </w:pPr>
      <w:r>
        <w:rPr>
          <w:rFonts w:hint="eastAsia" w:ascii="仿宋_GB2312" w:hAnsi="宋体" w:eastAsia="仿宋_GB2312" w:cs="仿宋_GB2312"/>
          <w:kern w:val="0"/>
          <w:sz w:val="32"/>
          <w:szCs w:val="32"/>
          <w:shd w:val="clear" w:fill="FFFFFF"/>
          <w:lang w:val="en-US" w:eastAsia="zh-CN" w:bidi="ar"/>
        </w:rPr>
        <w:t>（1） 本单位本年度总收入为1,107.20万元。其中：一般公共预算财政拨款收入为1,107.20万元，占比100.00%；政府性基金预算财政拨款收入为0.00万元，占比0.00%；国有资本经营预算财政拨款收入为0.00)万元，占比0.00%；上级补助收入为0.00万元，占比0.00%；事业收入为0.00万元，占比0.00%；经营收入为0.00万元，占比0.00%；附属单位上缴收入为0.00万元，占比0.00%；其他收入为0.00万元，占比0.00%。本年度总支出为999.70万元。其中：一般公共服务支出为0.00万元，占比0.00%；外交支出为0.00万元，占比0.00%；国防支出为0.00万元，占比0.00%；公共安全支出为0.00万元，占比0.00%；教育支出为0.00万元，占比0.00%；科学技术支出为0.00万元，占比0.00%；文化旅游体育与传媒支出为0.00万元，占比0.00%；社会保障和就业支出为975.33万元，占比97.56%；卫生健康支出为12.53万元，占比1.25%；节能环保支出为0.00万元，占比0.00%；城乡社区支出为0.00万元，占比0.00%；农林水支出为0.00万元，占比0.00%；交通运输支出为0.00万元，占比0.00%；资源勘探工业信息等支出为0.00万元，占比0.00%；商业服务业等支出为0.00万元，占比0.00%；金融支出为0.00万元，占比0.00%；援助其他地区支出为0.00万元，占比0.00%；自然资源海洋气象等支出为0.00万元，占比0.00%；住房保障支出为11.84万元，占比1.18%；粮油物资储备支出为0.00万元，占比0.00%；国有资本经营预算支出为0.00万元，占比0.00%；灾害防治及应急管理支出为0.00万元，占比0.00%；其他支出为0.00万元，占比0.00%；债务还本支出为0.00万元，占比0.00%；债务付息支出为0.00万元，占比0.00%；抗疫特别国债安排的支出为0.00万元，占比0.00%。</w:t>
      </w:r>
      <w:r>
        <w:rPr>
          <w:rStyle w:val="43"/>
          <w:rFonts w:hint="eastAsia" w:ascii="仿宋_GB2312" w:eastAsia="仿宋_GB2312" w:cs="仿宋_GB2312"/>
          <w:b/>
          <w:sz w:val="32"/>
          <w:szCs w:val="32"/>
          <w:shd w:val="clear" w:fill="FFFFFF"/>
          <w:lang w:val="en-US" w:eastAsia="zh-CN" w:bidi="ar"/>
        </w:rPr>
        <w:t>（可分别制作饼状图）</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r>
        <w:drawing>
          <wp:anchor distT="0" distB="0" distL="114300" distR="114300" simplePos="0" relativeHeight="251663360" behindDoc="1" locked="0" layoutInCell="1" allowOverlap="1">
            <wp:simplePos x="0" y="0"/>
            <wp:positionH relativeFrom="column">
              <wp:posOffset>228600</wp:posOffset>
            </wp:positionH>
            <wp:positionV relativeFrom="page">
              <wp:posOffset>1062990</wp:posOffset>
            </wp:positionV>
            <wp:extent cx="4581525" cy="2752725"/>
            <wp:effectExtent l="4445" t="4445" r="5080" b="5080"/>
            <wp:wrapNone/>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r>
        <w:drawing>
          <wp:anchor distT="0" distB="0" distL="114300" distR="114300" simplePos="0" relativeHeight="251664384" behindDoc="1" locked="0" layoutInCell="1" allowOverlap="1">
            <wp:simplePos x="0" y="0"/>
            <wp:positionH relativeFrom="column">
              <wp:posOffset>223520</wp:posOffset>
            </wp:positionH>
            <wp:positionV relativeFrom="page">
              <wp:posOffset>3984625</wp:posOffset>
            </wp:positionV>
            <wp:extent cx="4572000" cy="2743200"/>
            <wp:effectExtent l="4445" t="4445" r="10795" b="10795"/>
            <wp:wrapNone/>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（2）本年度一般公共预算财政拨款收入相比上年度减少1,107.20万元，</w:t>
      </w:r>
      <w:r>
        <w:rPr>
          <w:rStyle w:val="43"/>
          <w:rFonts w:hint="eastAsia" w:ascii="仿宋_GB2312" w:eastAsia="仿宋_GB2312" w:cs="仿宋_GB2312"/>
          <w:b/>
          <w:sz w:val="32"/>
          <w:szCs w:val="32"/>
          <w:shd w:val="clear" w:fill="FFFFFF"/>
          <w:lang w:val="en-US" w:eastAsia="zh-CN" w:bidi="ar"/>
        </w:rPr>
        <w:t>厉行节约减少不必要的开支</w:t>
      </w:r>
      <w:r>
        <w:rPr>
          <w:rFonts w:hint="eastAsia" w:ascii="仿宋_GB2312" w:hAnsi="宋体" w:eastAsia="仿宋_GB2312" w:cs="仿宋_GB2312"/>
          <w:kern w:val="0"/>
          <w:sz w:val="32"/>
          <w:szCs w:val="32"/>
          <w:shd w:val="clear" w:fill="FFFFFF"/>
          <w:lang w:val="en-US" w:eastAsia="zh-CN" w:bidi="ar"/>
        </w:rPr>
        <w:t>；政府性基金预算财政拨款收入相比上年度减少0.00万元，</w:t>
      </w:r>
      <w:r>
        <w:rPr>
          <w:rStyle w:val="43"/>
          <w:rFonts w:hint="eastAsia" w:ascii="仿宋_GB2312" w:eastAsia="仿宋_GB2312" w:cs="仿宋_GB2312"/>
          <w:b/>
          <w:sz w:val="32"/>
          <w:szCs w:val="32"/>
          <w:shd w:val="clear" w:fill="FFFFFF"/>
          <w:lang w:val="en-US" w:eastAsia="zh-CN" w:bidi="ar"/>
        </w:rPr>
        <w:t>主要</w:t>
      </w:r>
      <w:r>
        <w:rPr>
          <w:rFonts w:hint="eastAsia" w:ascii="仿宋_GB2312" w:hAnsi="宋体" w:eastAsia="仿宋_GB2312" w:cs="仿宋_GB2312"/>
          <w:kern w:val="0"/>
          <w:sz w:val="32"/>
          <w:szCs w:val="32"/>
          <w:shd w:val="clear" w:fill="FFFFFF"/>
          <w:lang w:val="en-US" w:eastAsia="zh-CN" w:bidi="ar"/>
        </w:rPr>
        <w:t>国有资本经营预算财政拨款收入相比上年度减少0.00万元，上级补助收入相比上年度减少0.00万元，事业收入相比上年度减少0.00万元，经营收入相比上年度减少0.00万元，附属单位上缴收入相比上年度减少0.00万元，其他收入相比上年</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度减少0.00万元，本年度一般公共服务支出相比上年度减少0.00万元，外交支出相比上年度减少0.00万元，国防支出相比上年度减少0.00万元，公共安全支出相比上年度减少0.00万元，教育支出相比上年度减少0.00万元，科学技术支出相比上年度减少0.00万元，文化旅游体育与传媒支出相比上年度减少0.00万元，社会保障和就业支出相比上年度减少975.33万元，</w:t>
      </w:r>
      <w:r>
        <w:rPr>
          <w:rStyle w:val="43"/>
          <w:rFonts w:hint="eastAsia" w:ascii="仿宋_GB2312" w:eastAsia="仿宋_GB2312" w:cs="仿宋_GB2312"/>
          <w:b/>
          <w:sz w:val="32"/>
          <w:szCs w:val="32"/>
          <w:shd w:val="clear" w:fill="FFFFFF"/>
          <w:lang w:val="en-US" w:eastAsia="zh-CN" w:bidi="ar"/>
        </w:rPr>
        <w:t>厉行节约减少不必要的开支，</w:t>
      </w:r>
      <w:r>
        <w:rPr>
          <w:rFonts w:hint="eastAsia" w:ascii="仿宋_GB2312" w:hAnsi="宋体" w:eastAsia="仿宋_GB2312" w:cs="仿宋_GB2312"/>
          <w:kern w:val="0"/>
          <w:sz w:val="32"/>
          <w:szCs w:val="32"/>
          <w:shd w:val="clear" w:fill="FFFFFF"/>
          <w:lang w:val="en-US" w:eastAsia="zh-CN" w:bidi="ar"/>
        </w:rPr>
        <w:t>卫生健康支出相比上年度减少12.53万元，</w:t>
      </w:r>
      <w:r>
        <w:rPr>
          <w:rStyle w:val="43"/>
          <w:rFonts w:hint="eastAsia" w:ascii="仿宋_GB2312" w:eastAsia="仿宋_GB2312" w:cs="仿宋_GB2312"/>
          <w:b/>
          <w:sz w:val="32"/>
          <w:szCs w:val="32"/>
          <w:shd w:val="clear" w:fill="FFFFFF"/>
          <w:lang w:val="en-US" w:eastAsia="zh-CN" w:bidi="ar"/>
        </w:rPr>
        <w:t>厉行节约减少不必要的开支，</w:t>
      </w:r>
      <w:r>
        <w:rPr>
          <w:rFonts w:hint="eastAsia" w:ascii="仿宋_GB2312" w:hAnsi="宋体" w:eastAsia="仿宋_GB2312" w:cs="仿宋_GB2312"/>
          <w:kern w:val="0"/>
          <w:sz w:val="32"/>
          <w:szCs w:val="32"/>
          <w:shd w:val="clear" w:fill="FFFFFF"/>
          <w:lang w:val="en-US" w:eastAsia="zh-CN" w:bidi="ar"/>
        </w:rPr>
        <w:t>节能环保支出相比上年度减少0.00万元，</w:t>
      </w:r>
      <w:r>
        <w:rPr>
          <w:rStyle w:val="43"/>
          <w:rFonts w:hint="eastAsia" w:ascii="仿宋_GB2312" w:eastAsia="仿宋_GB2312" w:cs="仿宋_GB2312"/>
          <w:b/>
          <w:sz w:val="32"/>
          <w:szCs w:val="32"/>
          <w:shd w:val="clear" w:fill="FFFFFF"/>
          <w:lang w:val="en-US" w:eastAsia="zh-CN" w:bidi="ar"/>
        </w:rPr>
        <w:t>主</w:t>
      </w:r>
      <w:r>
        <w:rPr>
          <w:rFonts w:hint="eastAsia" w:ascii="仿宋_GB2312" w:hAnsi="宋体" w:eastAsia="仿宋_GB2312" w:cs="仿宋_GB2312"/>
          <w:kern w:val="0"/>
          <w:sz w:val="32"/>
          <w:szCs w:val="32"/>
          <w:shd w:val="clear" w:fill="FFFFFF"/>
          <w:lang w:val="en-US" w:eastAsia="zh-CN" w:bidi="ar"/>
        </w:rPr>
        <w:t>城乡社区支出相比上年度减少0.00万元，农林水支出相比上年度减少0.00万元，交通运输支出相比上年度减少0.00万元，资源勘探工业信息等支出相比上年度减少0.00万元，商业服务业等支出相比上年度减少0.00万元，金融支出相比上年度减少0.00万元，援助其他地区支出相比上年度减少0.00万元，自然资源海洋气象等支出相比上年度减少0.00万元，住房保障支出相比上年度减少11.84万元，粮油物资储备支出相比上年度减少0.00万元，国有资本经营预算支出相比上年度减少0.00万元，灾害防治及应急管理支出相比上年度减少0.00万元，其他支出相比上年度减少0.00万元，债务还本支出相比上年度减少0.00万元，债务付息支出相比上年度减少0.00万元，抗疫特别国债安排的支出相比上年度减少0.00万元，（</w:t>
      </w:r>
      <w:r>
        <w:rPr>
          <w:rStyle w:val="43"/>
          <w:rFonts w:hint="eastAsia" w:ascii="仿宋_GB2312" w:eastAsia="仿宋_GB2312" w:cs="仿宋_GB2312"/>
          <w:b/>
          <w:sz w:val="32"/>
          <w:szCs w:val="32"/>
          <w:shd w:val="clear" w:fill="FFFFFF"/>
          <w:lang w:val="en-US" w:eastAsia="zh-CN" w:bidi="ar"/>
        </w:rPr>
        <w:t>可用柱形图或折线图)</w:t>
      </w: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right="0" w:rightChars="0"/>
        <w:jc w:val="left"/>
        <w:textAlignment w:val="auto"/>
        <w:rPr>
          <w:rStyle w:val="43"/>
          <w:rFonts w:hint="eastAsia" w:ascii="仿宋_GB2312" w:eastAsia="仿宋_GB2312" w:cs="仿宋_GB2312"/>
          <w:b/>
          <w:sz w:val="32"/>
          <w:szCs w:val="32"/>
          <w:shd w:val="clear" w:fill="FFFFFF"/>
          <w:lang w:val="en-US" w:eastAsia="zh-CN" w:bidi="ar"/>
        </w:rPr>
      </w:pPr>
      <w:r>
        <w:drawing>
          <wp:anchor distT="0" distB="0" distL="114300" distR="114300" simplePos="0" relativeHeight="251665408" behindDoc="1" locked="0" layoutInCell="1" allowOverlap="1">
            <wp:simplePos x="0" y="0"/>
            <wp:positionH relativeFrom="column">
              <wp:posOffset>342900</wp:posOffset>
            </wp:positionH>
            <wp:positionV relativeFrom="page">
              <wp:posOffset>828675</wp:posOffset>
            </wp:positionV>
            <wp:extent cx="4286250" cy="2496185"/>
            <wp:effectExtent l="4445" t="4445" r="6985" b="13970"/>
            <wp:wrapThrough wrapText="bothSides">
              <wp:wrapPolygon>
                <wp:start x="-22" y="-38"/>
                <wp:lineTo x="-22" y="21457"/>
                <wp:lineTo x="21558" y="21457"/>
                <wp:lineTo x="21558" y="-38"/>
                <wp:lineTo x="-22" y="-38"/>
              </wp:wrapPolygon>
            </wp:wrapThrough>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right="0" w:rightChars="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right="0" w:rightChars="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right="0" w:rightChars="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right="0" w:rightChars="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right="0" w:rightChars="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3" w:firstLineChars="200"/>
        <w:jc w:val="left"/>
        <w:textAlignment w:val="auto"/>
        <w:rPr>
          <w:rFonts w:hint="eastAsia" w:ascii="宋体" w:hAnsi="宋体" w:eastAsia="宋体" w:cs="宋体"/>
          <w:kern w:val="0"/>
          <w:sz w:val="32"/>
          <w:szCs w:val="32"/>
        </w:rPr>
      </w:pPr>
      <w:r>
        <w:rPr>
          <w:rStyle w:val="43"/>
          <w:rFonts w:hint="eastAsia" w:ascii="仿宋_GB2312" w:eastAsia="仿宋_GB2312" w:cs="仿宋_GB2312"/>
          <w:b/>
          <w:sz w:val="32"/>
          <w:szCs w:val="32"/>
          <w:shd w:val="clear" w:fill="FFFFFF"/>
          <w:lang w:val="en-US" w:eastAsia="zh-CN" w:bidi="ar"/>
        </w:rPr>
        <w:t>3．支出按经济分类科目分析。</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left"/>
        <w:textAlignment w:val="auto"/>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（1）“三公”经费支出情况：本单位本年度“三公”经费支出决算数为5.47万元。其中:因公出国（境）费支出决算数为0.00万元，相比上年度减少0.00万元，   公务用车购置及运行维护费支出决算数为5.10万元，相比上年度减少5.10万元，因保养及维修维护费开支较大，公务接待费支出决算数为0.37万元，相比上年度减少0.37万元，</w:t>
      </w:r>
      <w:r>
        <w:rPr>
          <w:rStyle w:val="43"/>
          <w:rFonts w:hint="eastAsia" w:ascii="仿宋_GB2312" w:eastAsia="仿宋_GB2312" w:cs="仿宋_GB2312"/>
          <w:b/>
          <w:sz w:val="32"/>
          <w:szCs w:val="32"/>
          <w:shd w:val="clear" w:fill="FFFFFF"/>
          <w:lang w:val="en-US" w:eastAsia="zh-CN" w:bidi="ar"/>
        </w:rPr>
        <w:t>主要原因为疫情厉行节约，</w:t>
      </w:r>
      <w:r>
        <w:rPr>
          <w:rFonts w:hint="eastAsia" w:ascii="仿宋_GB2312" w:hAnsi="宋体" w:eastAsia="仿宋_GB2312" w:cs="仿宋_GB2312"/>
          <w:kern w:val="0"/>
          <w:sz w:val="32"/>
          <w:szCs w:val="32"/>
          <w:shd w:val="clear" w:fill="FFFFFF"/>
          <w:lang w:val="en-US" w:eastAsia="zh-CN" w:bidi="ar"/>
        </w:rPr>
        <w:t>本年度“三公”经费支出预算数为5.47万元，决算数为5.47万元，预算完成度为100.00%，本年度因公出国（境）费人均支出为0.00万元，公务用车</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right="0"/>
        <w:jc w:val="left"/>
        <w:textAlignment w:val="auto"/>
        <w:rPr>
          <w:rFonts w:hint="eastAsia" w:ascii="仿宋_GB2312" w:eastAsia="仿宋_GB2312" w:cs="仿宋_GB2312"/>
          <w:b/>
          <w:sz w:val="32"/>
          <w:szCs w:val="32"/>
          <w:shd w:val="clear" w:fill="FFFFFF"/>
        </w:rPr>
      </w:pPr>
      <w:r>
        <w:rPr>
          <w:rFonts w:hint="eastAsia" w:ascii="仿宋_GB2312" w:hAnsi="宋体" w:eastAsia="仿宋_GB2312" w:cs="仿宋_GB2312"/>
          <w:kern w:val="0"/>
          <w:sz w:val="32"/>
          <w:szCs w:val="32"/>
          <w:shd w:val="clear" w:fill="FFFFFF"/>
          <w:lang w:val="en-US" w:eastAsia="zh-CN" w:bidi="ar"/>
        </w:rPr>
        <w:t>购置及运行维护费人均支出为0.64万元，公务接待费人均支出为0.05万元。</w:t>
      </w:r>
      <w:r>
        <w:rPr>
          <w:rStyle w:val="43"/>
          <w:rFonts w:hint="eastAsia" w:ascii="仿宋_GB2312" w:eastAsia="仿宋_GB2312" w:cs="仿宋_GB2312"/>
          <w:b/>
          <w:sz w:val="32"/>
          <w:szCs w:val="32"/>
          <w:shd w:val="clear" w:fill="FFFFFF"/>
          <w:lang w:val="en-US" w:eastAsia="zh-CN" w:bidi="ar"/>
        </w:rPr>
        <w:t>（可做表、柱图、折线图）</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drawing>
          <wp:anchor distT="0" distB="0" distL="114300" distR="114300" simplePos="0" relativeHeight="251666432" behindDoc="1" locked="0" layoutInCell="1" allowOverlap="1">
            <wp:simplePos x="0" y="0"/>
            <wp:positionH relativeFrom="column">
              <wp:posOffset>680085</wp:posOffset>
            </wp:positionH>
            <wp:positionV relativeFrom="paragraph">
              <wp:posOffset>9525</wp:posOffset>
            </wp:positionV>
            <wp:extent cx="4286250" cy="2248535"/>
            <wp:effectExtent l="4445" t="4445" r="6985" b="17780"/>
            <wp:wrapNone/>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left"/>
        <w:textAlignment w:val="auto"/>
        <w:rPr>
          <w:rFonts w:hint="eastAsia" w:ascii="仿宋_GB2312" w:eastAsia="仿宋_GB2312" w:cs="仿宋_GB2312"/>
          <w:b/>
          <w:sz w:val="32"/>
          <w:szCs w:val="32"/>
          <w:shd w:val="clear" w:fill="FFFFFF"/>
        </w:rPr>
      </w:pPr>
      <w:r>
        <w:rPr>
          <w:rFonts w:hint="eastAsia" w:ascii="仿宋_GB2312" w:hAnsi="宋体" w:eastAsia="仿宋_GB2312" w:cs="仿宋_GB2312"/>
          <w:kern w:val="0"/>
          <w:sz w:val="32"/>
          <w:szCs w:val="32"/>
          <w:shd w:val="clear" w:fill="FFFFFF"/>
          <w:lang w:val="en-US" w:eastAsia="zh-CN" w:bidi="ar"/>
        </w:rPr>
        <w:t>(2)会议费支出情况：本单位本年度会议费支出决算数为0.40万元，相比上年度减少0.40万元，</w:t>
      </w:r>
      <w:r>
        <w:rPr>
          <w:rStyle w:val="43"/>
          <w:rFonts w:hint="eastAsia" w:ascii="仿宋_GB2312" w:eastAsia="仿宋_GB2312" w:cs="仿宋_GB2312"/>
          <w:b/>
          <w:sz w:val="32"/>
          <w:szCs w:val="32"/>
          <w:shd w:val="clear" w:fill="FFFFFF"/>
          <w:lang w:val="en-US" w:eastAsia="zh-CN" w:bidi="ar"/>
        </w:rPr>
        <w:t>主要原因为厉行节约减少不必要的支出</w:t>
      </w:r>
      <w:r>
        <w:rPr>
          <w:rFonts w:hint="eastAsia" w:ascii="仿宋_GB2312" w:hAnsi="宋体" w:eastAsia="仿宋_GB2312" w:cs="仿宋_GB2312"/>
          <w:kern w:val="0"/>
          <w:sz w:val="32"/>
          <w:szCs w:val="32"/>
          <w:shd w:val="clear" w:fill="FFFFFF"/>
          <w:lang w:val="en-US" w:eastAsia="zh-CN" w:bidi="ar"/>
        </w:rPr>
        <w:t>；会议费人均支出为0.05万元。</w:t>
      </w:r>
      <w:r>
        <w:rPr>
          <w:rStyle w:val="43"/>
          <w:rFonts w:hint="eastAsia" w:ascii="仿宋_GB2312" w:eastAsia="仿宋_GB2312" w:cs="仿宋_GB2312"/>
          <w:b/>
          <w:sz w:val="32"/>
          <w:szCs w:val="32"/>
          <w:shd w:val="clear" w:fill="FFFFFF"/>
          <w:lang w:val="en-US" w:eastAsia="zh-CN" w:bidi="ar"/>
        </w:rPr>
        <w:t>（可做表、柱图、折线图）</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drawing>
          <wp:anchor distT="0" distB="0" distL="114300" distR="114300" simplePos="0" relativeHeight="251667456" behindDoc="1" locked="0" layoutInCell="1" allowOverlap="1">
            <wp:simplePos x="0" y="0"/>
            <wp:positionH relativeFrom="column">
              <wp:posOffset>396240</wp:posOffset>
            </wp:positionH>
            <wp:positionV relativeFrom="page">
              <wp:posOffset>2396490</wp:posOffset>
            </wp:positionV>
            <wp:extent cx="4572000" cy="2743200"/>
            <wp:effectExtent l="4445" t="4445" r="10795" b="10795"/>
            <wp:wrapNone/>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Chars="0" w:right="0" w:rightChars="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right="0" w:rightChars="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left"/>
        <w:textAlignment w:val="auto"/>
        <w:rPr>
          <w:rFonts w:hint="eastAsia" w:ascii="仿宋_GB2312" w:eastAsia="仿宋_GB2312" w:cs="仿宋_GB2312"/>
          <w:b/>
          <w:sz w:val="32"/>
          <w:szCs w:val="32"/>
          <w:shd w:val="clear" w:fill="FFFFFF"/>
        </w:rPr>
      </w:pPr>
      <w:r>
        <w:rPr>
          <w:rFonts w:hint="eastAsia" w:ascii="仿宋_GB2312" w:hAnsi="宋体" w:eastAsia="仿宋_GB2312" w:cs="仿宋_GB2312"/>
          <w:kern w:val="0"/>
          <w:sz w:val="32"/>
          <w:szCs w:val="32"/>
          <w:shd w:val="clear" w:fill="FFFFFF"/>
          <w:lang w:val="en-US" w:eastAsia="zh-CN" w:bidi="ar"/>
        </w:rPr>
        <w:t>(3)培训费支出情况：本单位本年度培训费支出决算数为0.40万元，相比上年度减少0.40万元，</w:t>
      </w:r>
      <w:r>
        <w:rPr>
          <w:rStyle w:val="43"/>
          <w:rFonts w:hint="eastAsia" w:ascii="仿宋_GB2312" w:eastAsia="仿宋_GB2312" w:cs="仿宋_GB2312"/>
          <w:b/>
          <w:sz w:val="32"/>
          <w:szCs w:val="32"/>
          <w:shd w:val="clear" w:fill="FFFFFF"/>
          <w:lang w:val="en-US" w:eastAsia="zh-CN" w:bidi="ar"/>
        </w:rPr>
        <w:t>主要原因为厉行节约减少不必要的支出，</w:t>
      </w:r>
      <w:r>
        <w:rPr>
          <w:rFonts w:hint="eastAsia" w:ascii="仿宋_GB2312" w:hAnsi="宋体" w:eastAsia="仿宋_GB2312" w:cs="仿宋_GB2312"/>
          <w:kern w:val="0"/>
          <w:sz w:val="32"/>
          <w:szCs w:val="32"/>
          <w:shd w:val="clear" w:fill="FFFFFF"/>
          <w:lang w:val="en-US" w:eastAsia="zh-CN" w:bidi="ar"/>
        </w:rPr>
        <w:t>培训费人均支出为0.05万元。</w:t>
      </w:r>
      <w:r>
        <w:rPr>
          <w:rStyle w:val="43"/>
          <w:rFonts w:hint="eastAsia" w:ascii="仿宋_GB2312" w:eastAsia="仿宋_GB2312" w:cs="仿宋_GB2312"/>
          <w:b/>
          <w:sz w:val="32"/>
          <w:szCs w:val="32"/>
          <w:shd w:val="clear" w:fill="FFFFFF"/>
          <w:lang w:val="en-US" w:eastAsia="zh-CN" w:bidi="ar"/>
        </w:rPr>
        <w:t>（可做表、柱图、折线图）</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drawing>
          <wp:anchor distT="0" distB="0" distL="114300" distR="114300" simplePos="0" relativeHeight="251668480" behindDoc="1" locked="0" layoutInCell="1" allowOverlap="1">
            <wp:simplePos x="0" y="0"/>
            <wp:positionH relativeFrom="column">
              <wp:posOffset>426720</wp:posOffset>
            </wp:positionH>
            <wp:positionV relativeFrom="page">
              <wp:posOffset>6648450</wp:posOffset>
            </wp:positionV>
            <wp:extent cx="4572000" cy="2743200"/>
            <wp:effectExtent l="4445" t="4445" r="10795" b="10795"/>
            <wp:wrapNone/>
            <wp:docPr id="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rightChars="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宋体" w:hAnsi="宋体" w:eastAsia="宋体" w:cs="宋体"/>
          <w:kern w:val="0"/>
          <w:sz w:val="32"/>
          <w:szCs w:val="32"/>
        </w:rPr>
      </w:pPr>
      <w:r>
        <w:rPr>
          <w:rFonts w:hint="eastAsia" w:ascii="仿宋_GB2312" w:hAnsi="宋体" w:eastAsia="仿宋_GB2312" w:cs="仿宋_GB2312"/>
          <w:kern w:val="0"/>
          <w:sz w:val="32"/>
          <w:szCs w:val="32"/>
          <w:shd w:val="clear" w:fill="FFFFFF"/>
          <w:lang w:val="en-US" w:eastAsia="zh-CN" w:bidi="ar"/>
        </w:rPr>
        <w:t>（4）其他对单位影响较大的支出情况。</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b/>
          <w:sz w:val="32"/>
          <w:szCs w:val="32"/>
          <w:shd w:val="clear" w:fill="FFFFFF"/>
        </w:rPr>
      </w:pPr>
      <w:r>
        <w:rPr>
          <w:rStyle w:val="43"/>
          <w:rFonts w:hint="eastAsia" w:ascii="仿宋_GB2312" w:eastAsia="仿宋_GB2312" w:cs="仿宋_GB2312"/>
          <w:b/>
          <w:sz w:val="32"/>
          <w:szCs w:val="32"/>
          <w:shd w:val="clear" w:fill="FFFFFF"/>
          <w:lang w:val="en-US" w:eastAsia="zh-CN" w:bidi="ar"/>
        </w:rPr>
        <w:t>无</w:t>
      </w:r>
    </w:p>
    <w:p>
      <w:pPr>
        <w:pStyle w:val="12"/>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0" w:after="0" w:afterAutospacing="0" w:line="560" w:lineRule="exact"/>
        <w:ind w:left="0" w:leftChars="0" w:right="0" w:firstLine="0" w:firstLineChars="0"/>
        <w:jc w:val="left"/>
        <w:textAlignment w:val="auto"/>
        <w:rPr>
          <w:rFonts w:hint="eastAsia" w:ascii="宋体" w:hAnsi="宋体" w:eastAsia="宋体" w:cs="宋体"/>
          <w:kern w:val="0"/>
          <w:sz w:val="32"/>
          <w:szCs w:val="32"/>
        </w:rPr>
      </w:pPr>
      <w:r>
        <w:rPr>
          <w:rFonts w:hint="eastAsia" w:ascii="仿宋_GB2312" w:hAnsi="宋体" w:eastAsia="仿宋_GB2312" w:cs="仿宋_GB2312"/>
          <w:kern w:val="0"/>
          <w:sz w:val="32"/>
          <w:szCs w:val="32"/>
          <w:shd w:val="clear" w:fill="FFFFFF"/>
          <w:lang w:val="en-US" w:eastAsia="zh-CN" w:bidi="ar"/>
        </w:rPr>
        <w:t>重点经济分类支出中存在的问题及改进措施。</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left"/>
        <w:textAlignment w:val="auto"/>
        <w:rPr>
          <w:rFonts w:hint="eastAsia" w:ascii="宋体" w:hAnsi="宋体" w:eastAsia="宋体" w:cs="宋体"/>
          <w:kern w:val="0"/>
          <w:sz w:val="32"/>
          <w:szCs w:val="32"/>
        </w:rPr>
      </w:pPr>
      <w:r>
        <w:rPr>
          <w:rFonts w:hint="eastAsia" w:ascii="仿宋_GB2312" w:hAnsi="宋体" w:eastAsia="仿宋_GB2312" w:cs="仿宋_GB2312"/>
          <w:kern w:val="0"/>
          <w:sz w:val="32"/>
          <w:szCs w:val="32"/>
          <w:shd w:val="clear" w:fill="FFFFFF"/>
          <w:lang w:val="en-US" w:eastAsia="zh-CN" w:bidi="ar"/>
        </w:rPr>
        <w:t>无</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宋体" w:hAnsi="宋体" w:eastAsia="宋体" w:cs="宋体"/>
          <w:kern w:val="0"/>
          <w:sz w:val="32"/>
          <w:szCs w:val="32"/>
        </w:rPr>
      </w:pPr>
      <w:r>
        <w:rPr>
          <w:rStyle w:val="43"/>
          <w:rFonts w:hint="eastAsia" w:ascii="仿宋_GB2312" w:eastAsia="仿宋_GB2312" w:cs="仿宋_GB2312"/>
          <w:b/>
          <w:sz w:val="32"/>
          <w:szCs w:val="32"/>
          <w:shd w:val="clear" w:fill="FFFFFF"/>
          <w:lang w:val="en-US" w:eastAsia="zh-CN" w:bidi="ar"/>
        </w:rPr>
        <w:t>4.财政拨款收入、支出分析。</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left"/>
        <w:textAlignment w:val="auto"/>
        <w:rPr>
          <w:rFonts w:hint="eastAsia" w:ascii="仿宋_GB2312"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lang w:val="en-US" w:eastAsia="zh-CN" w:bidi="ar"/>
        </w:rPr>
        <w:t>本单位本年度财政拨款收入为1,107.20万元，财政拨款支出为999.70万元，其中：基本支出中人员经费支出为145.29万元，公用经费支出为12.50万元。项目支出中基本建设类项目支出为15.38万元，支出要按照基本支出和项目支出分析具体构成及特点</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黑体" w:hAnsi="宋体" w:eastAsia="黑体" w:cs="黑体"/>
          <w:color w:val="000000"/>
          <w:kern w:val="0"/>
          <w:sz w:val="32"/>
          <w:szCs w:val="32"/>
          <w:lang w:val="en-US" w:eastAsia="zh-CN" w:bidi="ar"/>
        </w:rPr>
      </w:pPr>
      <w:r>
        <w:drawing>
          <wp:anchor distT="0" distB="0" distL="114300" distR="114300" simplePos="0" relativeHeight="251669504" behindDoc="1" locked="0" layoutInCell="1" allowOverlap="1">
            <wp:simplePos x="0" y="0"/>
            <wp:positionH relativeFrom="column">
              <wp:posOffset>937260</wp:posOffset>
            </wp:positionH>
            <wp:positionV relativeFrom="paragraph">
              <wp:posOffset>63500</wp:posOffset>
            </wp:positionV>
            <wp:extent cx="3867150" cy="2048510"/>
            <wp:effectExtent l="4445" t="4445" r="14605" b="19685"/>
            <wp:wrapNone/>
            <wp:docPr id="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left"/>
        <w:textAlignment w:val="auto"/>
        <w:outlineLvl w:val="9"/>
        <w:rPr>
          <w:rFonts w:hint="eastAsia" w:ascii="黑体" w:hAnsi="宋体" w:eastAsia="黑体" w:cs="黑体"/>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left"/>
        <w:textAlignment w:val="auto"/>
        <w:outlineLvl w:val="9"/>
        <w:rPr>
          <w:rFonts w:hint="eastAsia" w:ascii="黑体" w:hAnsi="宋体" w:eastAsia="黑体" w:cs="黑体"/>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left"/>
        <w:textAlignment w:val="auto"/>
        <w:outlineLvl w:val="9"/>
        <w:rPr>
          <w:rFonts w:hint="eastAsia" w:ascii="黑体" w:hAnsi="宋体" w:eastAsia="黑体" w:cs="黑体"/>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left"/>
        <w:textAlignment w:val="auto"/>
        <w:outlineLvl w:val="9"/>
        <w:rPr>
          <w:rFonts w:hint="eastAsia" w:ascii="黑体" w:hAnsi="宋体" w:eastAsia="黑体" w:cs="黑体"/>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right="0"/>
        <w:jc w:val="left"/>
        <w:textAlignment w:val="auto"/>
        <w:outlineLvl w:val="9"/>
        <w:rPr>
          <w:rFonts w:hint="eastAsia" w:ascii="黑体" w:hAnsi="宋体" w:eastAsia="黑体" w:cs="黑体"/>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right="0" w:firstLine="640" w:firstLineChars="200"/>
        <w:jc w:val="left"/>
        <w:textAlignment w:val="auto"/>
        <w:outlineLvl w:val="1"/>
        <w:rPr>
          <w:rFonts w:hint="eastAsia" w:ascii="仿宋_GB2312" w:hAnsi="宋体" w:eastAsia="仿宋_GB2312" w:cs="仿宋_GB2312"/>
          <w:color w:val="000000"/>
          <w:kern w:val="0"/>
          <w:sz w:val="32"/>
          <w:szCs w:val="32"/>
          <w:lang w:val="en-US" w:eastAsia="zh-CN" w:bidi="ar"/>
        </w:rPr>
      </w:pPr>
      <w:bookmarkStart w:id="51" w:name="_Toc374"/>
      <w:bookmarkStart w:id="52" w:name="_Toc25827"/>
      <w:r>
        <w:rPr>
          <w:rFonts w:hint="eastAsia" w:ascii="黑体" w:hAnsi="宋体" w:eastAsia="黑体" w:cs="黑体"/>
          <w:color w:val="000000"/>
          <w:kern w:val="0"/>
          <w:sz w:val="32"/>
          <w:szCs w:val="32"/>
          <w:lang w:val="en-US" w:eastAsia="zh-CN" w:bidi="ar"/>
        </w:rPr>
        <w:t>四、财</w:t>
      </w:r>
      <w:r>
        <w:rPr>
          <w:rStyle w:val="45"/>
          <w:rFonts w:hint="eastAsia" w:ascii="黑体" w:hAnsi="宋体" w:eastAsia="黑体" w:cs="黑体"/>
          <w:b w:val="0"/>
          <w:kern w:val="0"/>
          <w:sz w:val="32"/>
          <w:szCs w:val="32"/>
          <w:lang w:val="en-US" w:eastAsia="zh-CN" w:bidi="ar"/>
        </w:rPr>
        <w:t>政拨款收入支出决算总体情况说明</w:t>
      </w:r>
      <w:bookmarkEnd w:id="51"/>
      <w:bookmarkEnd w:id="52"/>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left"/>
        <w:textAlignment w:val="auto"/>
        <w:rPr>
          <w:rFonts w:hint="eastAsia" w:ascii="仿宋_GB2312" w:eastAsia="仿宋_GB2312" w:cs="仿宋_GB2312"/>
          <w:color w:val="000000"/>
          <w:kern w:val="0"/>
          <w:sz w:val="32"/>
          <w:szCs w:val="32"/>
        </w:rPr>
      </w:pPr>
      <w:r>
        <w:rPr>
          <w:rFonts w:hint="eastAsia" w:ascii="仿宋_GB2312" w:hAnsi="宋体" w:eastAsia="仿宋_GB2312" w:cs="仿宋_GB2312"/>
          <w:color w:val="000000"/>
          <w:kern w:val="0"/>
          <w:sz w:val="32"/>
          <w:szCs w:val="32"/>
          <w:lang w:val="en-US" w:eastAsia="zh-CN" w:bidi="ar"/>
        </w:rPr>
        <w:t>2020年度收、支总计2106.7万元。收入1107万元，支出999.70万元，2019年度收、支总计1545万元。收入761.13万元，支出783.87万元（图4：财政拨款收、支决算总计变动情况）（柱状图）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jc w:val="left"/>
        <w:textAlignment w:val="auto"/>
        <w:rPr>
          <w:rFonts w:hint="eastAsia" w:ascii="仿宋" w:hAnsi="仿宋" w:eastAsia="仿宋" w:cs="宋体"/>
          <w:b/>
          <w:color w:val="00B050"/>
          <w:kern w:val="0"/>
          <w:sz w:val="32"/>
          <w:szCs w:val="32"/>
        </w:rPr>
      </w:pPr>
      <w:r>
        <w:drawing>
          <wp:anchor distT="0" distB="0" distL="114300" distR="114300" simplePos="0" relativeHeight="251670528" behindDoc="1" locked="0" layoutInCell="1" allowOverlap="1">
            <wp:simplePos x="0" y="0"/>
            <wp:positionH relativeFrom="column">
              <wp:posOffset>875665</wp:posOffset>
            </wp:positionH>
            <wp:positionV relativeFrom="paragraph">
              <wp:posOffset>14605</wp:posOffset>
            </wp:positionV>
            <wp:extent cx="3525520" cy="2019935"/>
            <wp:effectExtent l="4445" t="4445" r="5715" b="17780"/>
            <wp:wrapNone/>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Pr>
          <w:rFonts w:hint="eastAsia" w:ascii="仿宋" w:hAnsi="仿宋" w:eastAsia="仿宋" w:cs="宋体"/>
          <w:b/>
          <w:color w:val="00B05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jc w:val="left"/>
        <w:textAlignment w:val="auto"/>
        <w:rPr>
          <w:rFonts w:hint="eastAsia" w:ascii="仿宋" w:hAnsi="仿宋" w:eastAsia="仿宋" w:cs="宋体"/>
          <w:b/>
          <w:color w:val="00B050"/>
          <w:kern w:val="0"/>
          <w:sz w:val="32"/>
          <w:szCs w:val="32"/>
        </w:rPr>
      </w:pPr>
      <w:r>
        <w:rPr>
          <w:rFonts w:hint="eastAsia" w:ascii="仿宋" w:hAnsi="仿宋" w:eastAsia="仿宋" w:cs="宋体"/>
          <w:b/>
          <w:color w:val="00B05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jc w:val="left"/>
        <w:textAlignment w:val="auto"/>
        <w:rPr>
          <w:rFonts w:hint="eastAsia" w:ascii="仿宋" w:hAnsi="仿宋" w:eastAsia="仿宋" w:cs="宋体"/>
          <w:color w:val="000000"/>
          <w:kern w:val="0"/>
          <w:sz w:val="32"/>
          <w:szCs w:val="32"/>
        </w:rPr>
      </w:pPr>
      <w:r>
        <w:rPr>
          <w:rFonts w:hint="eastAsia" w:ascii="仿宋" w:hAnsi="仿宋" w:eastAsia="仿宋" w:cs="宋体"/>
          <w:b/>
          <w:color w:val="00B050"/>
          <w:kern w:val="0"/>
          <w:sz w:val="32"/>
          <w:szCs w:val="32"/>
          <w:lang w:val="en-US" w:eastAsia="zh-CN" w:bidi="ar"/>
        </w:rPr>
        <w:t xml:space="preserve"> </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宋体" w:hAnsi="宋体" w:eastAsia="宋体" w:cs="宋体"/>
          <w:kern w:val="0"/>
          <w:sz w:val="32"/>
          <w:szCs w:val="32"/>
        </w:rPr>
      </w:pPr>
      <w:r>
        <w:rPr>
          <w:rStyle w:val="43"/>
          <w:rFonts w:hint="eastAsia" w:ascii="仿宋_GB2312" w:eastAsia="仿宋_GB2312" w:cs="仿宋_GB2312"/>
          <w:b/>
          <w:sz w:val="32"/>
          <w:szCs w:val="32"/>
          <w:shd w:val="clear" w:fill="FFFFFF"/>
          <w:lang w:val="en-US" w:eastAsia="zh-CN" w:bidi="ar"/>
        </w:rPr>
        <w:t>（三）年末结转和结余情况。</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1．分资金来源、资金性质结转和结余情况，特别是项目经费结转和结余情况。</w:t>
      </w:r>
    </w:p>
    <w:tbl>
      <w:tblPr>
        <w:tblStyle w:val="13"/>
        <w:tblW w:w="4223" w:type="dxa"/>
        <w:tblInd w:w="0" w:type="dxa"/>
        <w:shd w:val="clear" w:color="auto" w:fill="auto"/>
        <w:tblLayout w:type="fixed"/>
        <w:tblCellMar>
          <w:top w:w="0" w:type="dxa"/>
          <w:left w:w="0" w:type="dxa"/>
          <w:bottom w:w="0" w:type="dxa"/>
          <w:right w:w="0" w:type="dxa"/>
        </w:tblCellMar>
      </w:tblPr>
      <w:tblGrid>
        <w:gridCol w:w="328"/>
        <w:gridCol w:w="672"/>
        <w:gridCol w:w="90"/>
        <w:gridCol w:w="2460"/>
        <w:gridCol w:w="673"/>
      </w:tblGrid>
      <w:tr>
        <w:tblPrEx>
          <w:tblCellMar>
            <w:top w:w="0" w:type="dxa"/>
            <w:left w:w="0" w:type="dxa"/>
            <w:bottom w:w="0" w:type="dxa"/>
            <w:right w:w="0" w:type="dxa"/>
          </w:tblCellMar>
        </w:tblPrEx>
        <w:trPr>
          <w:gridAfter w:val="1"/>
          <w:wAfter w:w="673" w:type="dxa"/>
          <w:trHeight w:val="300" w:hRule="atLeast"/>
        </w:trPr>
        <w:tc>
          <w:tcPr>
            <w:tcW w:w="1000" w:type="dxa"/>
            <w:gridSpan w:val="2"/>
            <w:vMerge w:val="restart"/>
            <w:tcBorders>
              <w:top w:val="nil"/>
              <w:left w:val="single" w:color="000000" w:sz="12"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支出功能分类科目编码</w:t>
            </w:r>
          </w:p>
        </w:tc>
        <w:tc>
          <w:tcPr>
            <w:tcW w:w="2550" w:type="dxa"/>
            <w:gridSpan w:val="2"/>
            <w:vMerge w:val="restart"/>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科目名称（二级项目名称）</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vMerge w:val="continue"/>
            <w:tcBorders>
              <w:top w:val="nil"/>
              <w:left w:val="single" w:color="000000" w:sz="12"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2550" w:type="dxa"/>
            <w:gridSpan w:val="2"/>
            <w:vMerge w:val="continue"/>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vMerge w:val="continue"/>
            <w:tcBorders>
              <w:top w:val="nil"/>
              <w:left w:val="single" w:color="000000" w:sz="12"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2550" w:type="dxa"/>
            <w:gridSpan w:val="2"/>
            <w:vMerge w:val="continue"/>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28" w:type="dxa"/>
            <w:vMerge w:val="restart"/>
            <w:tcBorders>
              <w:top w:val="nil"/>
              <w:left w:val="single" w:color="000000" w:sz="12"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类</w:t>
            </w:r>
          </w:p>
        </w:tc>
        <w:tc>
          <w:tcPr>
            <w:tcW w:w="672" w:type="dxa"/>
            <w:vMerge w:val="restart"/>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款</w:t>
            </w:r>
          </w:p>
        </w:tc>
        <w:tc>
          <w:tcPr>
            <w:tcW w:w="90" w:type="dxa"/>
            <w:vMerge w:val="restart"/>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w:t>
            </w:r>
          </w:p>
        </w:tc>
        <w:tc>
          <w:tcPr>
            <w:tcW w:w="3133" w:type="dxa"/>
            <w:gridSpan w:val="2"/>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r>
      <w:tr>
        <w:tblPrEx>
          <w:shd w:val="clear" w:color="auto" w:fill="auto"/>
          <w:tblCellMar>
            <w:top w:w="0" w:type="dxa"/>
            <w:left w:w="0" w:type="dxa"/>
            <w:bottom w:w="0" w:type="dxa"/>
            <w:right w:w="0" w:type="dxa"/>
          </w:tblCellMar>
        </w:tblPrEx>
        <w:trPr>
          <w:trHeight w:val="300" w:hRule="atLeast"/>
        </w:trPr>
        <w:tc>
          <w:tcPr>
            <w:tcW w:w="328" w:type="dxa"/>
            <w:vMerge w:val="continue"/>
            <w:tcBorders>
              <w:top w:val="nil"/>
              <w:left w:val="single" w:color="000000" w:sz="12"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672" w:type="dxa"/>
            <w:vMerge w:val="continue"/>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90" w:type="dxa"/>
            <w:vMerge w:val="continue"/>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3133" w:type="dxa"/>
            <w:gridSpan w:val="2"/>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社会保障和就业支出</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20808</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抚恤</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2080805</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义务兵优待</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2080805</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新兵一次性奖金</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2080899</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其他优抚支出</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2080899</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优抚对象临时价格补贴</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20809</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退役安置</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2080901</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退役士兵安置</w:t>
            </w:r>
          </w:p>
        </w:tc>
      </w:tr>
      <w:tr>
        <w:tblPrEx>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2080901</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对个人和家庭的补助</w:t>
            </w:r>
          </w:p>
        </w:tc>
      </w:tr>
      <w:tr>
        <w:tblPrEx>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2080902</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军队移交政府的离退休人员安置</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2080902</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退役安置补助资金</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2080903</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军队移交政府离退休干部管理机构</w:t>
            </w:r>
          </w:p>
        </w:tc>
      </w:tr>
      <w:tr>
        <w:tblPrEx>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2080903</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社会保障和就业支出</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2080905</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军队转业干部安置</w:t>
            </w:r>
          </w:p>
        </w:tc>
      </w:tr>
      <w:tr>
        <w:tblPrEx>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2080905</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军转干补助资金</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2080999</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其他退役安置支出</w:t>
            </w:r>
          </w:p>
        </w:tc>
      </w:tr>
      <w:tr>
        <w:tblPrEx>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2080999</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退役士兵补助</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20825</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其他生活救助</w:t>
            </w:r>
          </w:p>
        </w:tc>
      </w:tr>
      <w:tr>
        <w:tblPrEx>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2082502</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其他农村生活救助</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2082502</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临时价格补贴</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20828</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退役军人管理事务</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2082802</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一般行政管理事务</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2082802</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退役安置</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2082804</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拥军优属</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2082804</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双拥办公费</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2082899</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其他退役军人事务管理支出</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2082899</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公祭日活动经费</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2082899</w:t>
            </w:r>
          </w:p>
        </w:tc>
        <w:tc>
          <w:tcPr>
            <w:tcW w:w="2550" w:type="dxa"/>
            <w:gridSpan w:val="2"/>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烈士陵园基础建设</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卫生健康支出</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21014</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优抚对象医疗</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2101401</w:t>
            </w:r>
          </w:p>
        </w:tc>
        <w:tc>
          <w:tcPr>
            <w:tcW w:w="2550" w:type="dxa"/>
            <w:gridSpan w:val="2"/>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优抚对象医疗补助</w:t>
            </w:r>
          </w:p>
        </w:tc>
      </w:tr>
      <w:tr>
        <w:tblPrEx>
          <w:shd w:val="clear" w:color="auto" w:fill="auto"/>
          <w:tblCellMar>
            <w:top w:w="0" w:type="dxa"/>
            <w:left w:w="0" w:type="dxa"/>
            <w:bottom w:w="0" w:type="dxa"/>
            <w:right w:w="0" w:type="dxa"/>
          </w:tblCellMar>
        </w:tblPrEx>
        <w:trPr>
          <w:gridAfter w:val="1"/>
          <w:wAfter w:w="673" w:type="dxa"/>
          <w:trHeight w:val="300" w:hRule="atLeast"/>
        </w:trPr>
        <w:tc>
          <w:tcPr>
            <w:tcW w:w="1000" w:type="dxa"/>
            <w:gridSpan w:val="2"/>
            <w:tcBorders>
              <w:top w:val="nil"/>
              <w:left w:val="single" w:color="000000" w:sz="12" w:space="0"/>
              <w:bottom w:val="single" w:color="000000" w:sz="12"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2101401</w:t>
            </w:r>
          </w:p>
        </w:tc>
        <w:tc>
          <w:tcPr>
            <w:tcW w:w="2550" w:type="dxa"/>
            <w:gridSpan w:val="2"/>
            <w:tcBorders>
              <w:top w:val="nil"/>
              <w:left w:val="nil"/>
              <w:bottom w:val="single" w:color="000000" w:sz="12"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优抚对象医疗补助资金</w:t>
            </w:r>
          </w:p>
        </w:tc>
      </w:tr>
    </w:tbl>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hAnsi="宋体" w:eastAsia="仿宋_GB2312" w:cs="仿宋_GB2312"/>
          <w:kern w:val="0"/>
          <w:sz w:val="32"/>
          <w:szCs w:val="32"/>
          <w:shd w:val="clear" w:fill="FFFFFF"/>
          <w:lang w:val="en-US" w:eastAsia="zh-CN" w:bidi="ar"/>
        </w:rPr>
      </w:pPr>
    </w:p>
    <w:tbl>
      <w:tblPr>
        <w:tblStyle w:val="13"/>
        <w:tblW w:w="6705" w:type="dxa"/>
        <w:tblInd w:w="0" w:type="dxa"/>
        <w:shd w:val="clear" w:color="auto" w:fill="auto"/>
        <w:tblLayout w:type="autofit"/>
        <w:tblCellMar>
          <w:top w:w="0" w:type="dxa"/>
          <w:left w:w="0" w:type="dxa"/>
          <w:bottom w:w="0" w:type="dxa"/>
          <w:right w:w="0" w:type="dxa"/>
        </w:tblCellMar>
      </w:tblPr>
      <w:tblGrid>
        <w:gridCol w:w="1676"/>
        <w:gridCol w:w="1676"/>
        <w:gridCol w:w="1676"/>
        <w:gridCol w:w="1677"/>
      </w:tblGrid>
      <w:tr>
        <w:tblPrEx>
          <w:shd w:val="clear" w:color="auto" w:fill="auto"/>
          <w:tblCellMar>
            <w:top w:w="0" w:type="dxa"/>
            <w:left w:w="0" w:type="dxa"/>
            <w:bottom w:w="0" w:type="dxa"/>
            <w:right w:w="0" w:type="dxa"/>
          </w:tblCellMar>
        </w:tblPrEx>
        <w:trPr>
          <w:trHeight w:val="300" w:hRule="atLeast"/>
        </w:trPr>
        <w:tc>
          <w:tcPr>
            <w:tcW w:w="3354" w:type="dxa"/>
            <w:gridSpan w:val="2"/>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年初结转和结余</w:t>
            </w:r>
          </w:p>
        </w:tc>
        <w:tc>
          <w:tcPr>
            <w:tcW w:w="3354" w:type="dxa"/>
            <w:gridSpan w:val="2"/>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财政拨款</w:t>
            </w:r>
          </w:p>
        </w:tc>
      </w:tr>
      <w:tr>
        <w:tblPrEx>
          <w:shd w:val="clear" w:color="auto" w:fill="auto"/>
          <w:tblCellMar>
            <w:top w:w="0" w:type="dxa"/>
            <w:left w:w="0" w:type="dxa"/>
            <w:bottom w:w="0" w:type="dxa"/>
            <w:right w:w="0" w:type="dxa"/>
          </w:tblCellMar>
        </w:tblPrEx>
        <w:trPr>
          <w:trHeight w:val="300" w:hRule="atLeast"/>
        </w:trPr>
        <w:tc>
          <w:tcPr>
            <w:tcW w:w="1677" w:type="dxa"/>
            <w:vMerge w:val="restart"/>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1677" w:type="dxa"/>
            <w:vMerge w:val="restart"/>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其中：财政拨款结转和结余</w:t>
            </w:r>
          </w:p>
        </w:tc>
        <w:tc>
          <w:tcPr>
            <w:tcW w:w="1677" w:type="dxa"/>
            <w:vMerge w:val="restart"/>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1677" w:type="dxa"/>
            <w:vMerge w:val="restart"/>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其中：基本建设支出拨款</w:t>
            </w:r>
          </w:p>
        </w:tc>
      </w:tr>
      <w:tr>
        <w:tblPrEx>
          <w:shd w:val="clear" w:color="auto" w:fill="auto"/>
          <w:tblCellMar>
            <w:top w:w="0" w:type="dxa"/>
            <w:left w:w="0" w:type="dxa"/>
            <w:bottom w:w="0" w:type="dxa"/>
            <w:right w:w="0" w:type="dxa"/>
          </w:tblCellMar>
        </w:tblPrEx>
        <w:trPr>
          <w:trHeight w:val="300" w:hRule="atLeast"/>
        </w:trPr>
        <w:tc>
          <w:tcPr>
            <w:tcW w:w="1677" w:type="dxa"/>
            <w:vMerge w:val="continue"/>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1677" w:type="dxa"/>
            <w:vMerge w:val="continue"/>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1677" w:type="dxa"/>
            <w:vMerge w:val="continue"/>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1677" w:type="dxa"/>
            <w:vMerge w:val="continue"/>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1677" w:type="dxa"/>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677" w:type="dxa"/>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677" w:type="dxa"/>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677" w:type="dxa"/>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1,251,158.15</w:t>
            </w:r>
          </w:p>
        </w:tc>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1,251,158.15</w:t>
            </w:r>
          </w:p>
        </w:tc>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9,494,086.46</w:t>
            </w:r>
          </w:p>
        </w:tc>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1,242,408.15</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1,242,408.15</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9,464,286.46</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203,195.85</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203,195.85</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834,598.40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12,000.00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12,000.00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191,195.85</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191,195.85</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834,598.40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191,195.85</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191,195.85</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834,598.40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809,160.00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809,160.00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8,255,766.15</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125,800.00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125,800.00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744,356.00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744,356.00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4,500,436.20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744,356.00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744,356.00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4,500,436.20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94,000.00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94,000.00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3,322,029.95</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3,322,029.95</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64,804.00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64,804.00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213,500.00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64,804.00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64,804.00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213,500.00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2,008.80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2,008.80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2,008.80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230,052.30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230,052.30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371,913.11</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81,914.30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81,914.30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60,000.00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81,914.30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81,914.30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60,000.00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135,838.00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135,838.00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158,162.11</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135,838.00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135,838.00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158,162.11</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12,300.00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12,300.00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153,751.00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153,751.00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8,750.00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8,750.00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29,800.00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8,750.00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8,750.00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29,800.00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8,750.00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8,750.00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29,800.00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12"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8,750.00</w:t>
            </w:r>
          </w:p>
        </w:tc>
        <w:tc>
          <w:tcPr>
            <w:tcW w:w="0" w:type="auto"/>
            <w:tcBorders>
              <w:top w:val="nil"/>
              <w:left w:val="nil"/>
              <w:bottom w:val="single" w:color="000000" w:sz="12"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8,750.00</w:t>
            </w:r>
          </w:p>
        </w:tc>
        <w:tc>
          <w:tcPr>
            <w:tcW w:w="0" w:type="auto"/>
            <w:tcBorders>
              <w:top w:val="nil"/>
              <w:left w:val="nil"/>
              <w:bottom w:val="single" w:color="000000" w:sz="12"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29,800.00</w:t>
            </w:r>
          </w:p>
        </w:tc>
        <w:tc>
          <w:tcPr>
            <w:tcW w:w="0" w:type="auto"/>
            <w:tcBorders>
              <w:top w:val="nil"/>
              <w:left w:val="nil"/>
              <w:bottom w:val="single" w:color="000000" w:sz="12"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bl>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center"/>
        <w:textAlignment w:val="auto"/>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年末结转结余</w:t>
      </w:r>
    </w:p>
    <w:tbl>
      <w:tblPr>
        <w:tblStyle w:val="13"/>
        <w:tblW w:w="5026" w:type="dxa"/>
        <w:tblInd w:w="0" w:type="dxa"/>
        <w:shd w:val="clear" w:color="auto" w:fill="auto"/>
        <w:tblLayout w:type="autofit"/>
        <w:tblCellMar>
          <w:top w:w="0" w:type="dxa"/>
          <w:left w:w="0" w:type="dxa"/>
          <w:bottom w:w="0" w:type="dxa"/>
          <w:right w:w="0" w:type="dxa"/>
        </w:tblCellMar>
      </w:tblPr>
      <w:tblGrid>
        <w:gridCol w:w="1676"/>
        <w:gridCol w:w="1676"/>
        <w:gridCol w:w="1674"/>
      </w:tblGrid>
      <w:tr>
        <w:tblPrEx>
          <w:shd w:val="clear" w:color="auto" w:fill="auto"/>
          <w:tblCellMar>
            <w:top w:w="0" w:type="dxa"/>
            <w:left w:w="0" w:type="dxa"/>
            <w:bottom w:w="0" w:type="dxa"/>
            <w:right w:w="0" w:type="dxa"/>
          </w:tblCellMar>
        </w:tblPrEx>
        <w:trPr>
          <w:trHeight w:val="300" w:hRule="atLeast"/>
        </w:trPr>
        <w:tc>
          <w:tcPr>
            <w:tcW w:w="5031" w:type="dxa"/>
            <w:gridSpan w:val="3"/>
            <w:tcBorders>
              <w:top w:val="nil"/>
              <w:left w:val="nil"/>
              <w:bottom w:val="single" w:color="000000" w:sz="4" w:space="0"/>
              <w:right w:val="single" w:color="000000" w:sz="12"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其中：财政拨款结转和结余</w:t>
            </w:r>
          </w:p>
        </w:tc>
      </w:tr>
      <w:tr>
        <w:tblPrEx>
          <w:shd w:val="clear" w:color="auto" w:fill="auto"/>
          <w:tblCellMar>
            <w:top w:w="0" w:type="dxa"/>
            <w:left w:w="0" w:type="dxa"/>
            <w:bottom w:w="0" w:type="dxa"/>
            <w:right w:w="0" w:type="dxa"/>
          </w:tblCellMar>
        </w:tblPrEx>
        <w:trPr>
          <w:trHeight w:val="300" w:hRule="atLeast"/>
        </w:trPr>
        <w:tc>
          <w:tcPr>
            <w:tcW w:w="1677" w:type="dxa"/>
            <w:vMerge w:val="restart"/>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1677" w:type="dxa"/>
            <w:vMerge w:val="restart"/>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财政拨款结转</w:t>
            </w:r>
          </w:p>
        </w:tc>
        <w:tc>
          <w:tcPr>
            <w:tcW w:w="1677" w:type="dxa"/>
            <w:vMerge w:val="restart"/>
            <w:tcBorders>
              <w:top w:val="nil"/>
              <w:left w:val="nil"/>
              <w:bottom w:val="single" w:color="000000" w:sz="4" w:space="0"/>
              <w:right w:val="single" w:color="000000" w:sz="12"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财政拨款结余</w:t>
            </w:r>
          </w:p>
        </w:tc>
      </w:tr>
      <w:tr>
        <w:tblPrEx>
          <w:shd w:val="clear" w:color="auto" w:fill="auto"/>
          <w:tblCellMar>
            <w:top w:w="0" w:type="dxa"/>
            <w:left w:w="0" w:type="dxa"/>
            <w:bottom w:w="0" w:type="dxa"/>
            <w:right w:w="0" w:type="dxa"/>
          </w:tblCellMar>
        </w:tblPrEx>
        <w:trPr>
          <w:trHeight w:val="300" w:hRule="atLeast"/>
        </w:trPr>
        <w:tc>
          <w:tcPr>
            <w:tcW w:w="1677" w:type="dxa"/>
            <w:vMerge w:val="continue"/>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1677" w:type="dxa"/>
            <w:vMerge w:val="continue"/>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1677" w:type="dxa"/>
            <w:vMerge w:val="continue"/>
            <w:tcBorders>
              <w:top w:val="nil"/>
              <w:left w:val="nil"/>
              <w:bottom w:val="single" w:color="000000" w:sz="4" w:space="0"/>
              <w:right w:val="single" w:color="000000" w:sz="12" w:space="0"/>
            </w:tcBorders>
            <w:shd w:val="clear" w:color="auto" w:fill="C0C0C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1677" w:type="dxa"/>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1677" w:type="dxa"/>
            <w:tcBorders>
              <w:top w:val="nil"/>
              <w:left w:val="nil"/>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1677" w:type="dxa"/>
            <w:tcBorders>
              <w:top w:val="nil"/>
              <w:left w:val="nil"/>
              <w:bottom w:val="single" w:color="000000" w:sz="4" w:space="0"/>
              <w:right w:val="single" w:color="000000" w:sz="12" w:space="0"/>
            </w:tcBorders>
            <w:shd w:val="clear" w:color="auto"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2,326,198.00</w:t>
            </w:r>
          </w:p>
        </w:tc>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2,326,198.00</w:t>
            </w:r>
          </w:p>
        </w:tc>
        <w:tc>
          <w:tcPr>
            <w:tcW w:w="0" w:type="auto"/>
            <w:tcBorders>
              <w:top w:val="nil"/>
              <w:left w:val="nil"/>
              <w:bottom w:val="single" w:color="000000" w:sz="4" w:space="0"/>
              <w:right w:val="single" w:color="000000" w:sz="12" w:space="0"/>
            </w:tcBorders>
            <w:shd w:val="clear" w:color="auto" w:fill="00FF0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2,311,303.00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2,311,303.00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54,573.00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54,573.00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54,573.00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54,573.00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54,573.00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54,573.00</w:t>
            </w: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2,216,582.00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2,216,582.00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20,800.00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20,800.00</w:t>
            </w: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1,204,882.00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1,204,882.00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1,204,882.00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1,204,882.00</w:t>
            </w: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94,000.00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94,000.00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94,000.00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94,000.00</w:t>
            </w: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683,400.00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683,400.00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683,400.00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683,400.00</w:t>
            </w: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213,500.00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213,500.00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213,500.00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213,500.00</w:t>
            </w: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144.00</w:t>
            </w: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40,004.00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40,004.00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40,004.00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40,004.00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40,004.00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40,004.00</w:t>
            </w: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00FF0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14,895.00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14,895.00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14,895.00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14,895.00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tblCellMar>
            <w:top w:w="0" w:type="dxa"/>
            <w:left w:w="0" w:type="dxa"/>
            <w:bottom w:w="0" w:type="dxa"/>
            <w:right w:w="0" w:type="dxa"/>
          </w:tblCellMar>
        </w:tblPrEx>
        <w:trPr>
          <w:trHeight w:val="300" w:hRule="atLeast"/>
        </w:trPr>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14,895.00</w:t>
            </w:r>
          </w:p>
        </w:tc>
        <w:tc>
          <w:tcPr>
            <w:tcW w:w="0" w:type="auto"/>
            <w:tcBorders>
              <w:top w:val="nil"/>
              <w:left w:val="nil"/>
              <w:bottom w:val="single" w:color="000000" w:sz="4" w:space="0"/>
              <w:right w:val="single" w:color="000000" w:sz="4" w:space="0"/>
            </w:tcBorders>
            <w:shd w:val="clear" w:color="auto" w:fill="C0C0C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14,895.00</w:t>
            </w:r>
          </w:p>
        </w:tc>
        <w:tc>
          <w:tcPr>
            <w:tcW w:w="0" w:type="auto"/>
            <w:tcBorders>
              <w:top w:val="nil"/>
              <w:left w:val="nil"/>
              <w:bottom w:val="single" w:color="000000" w:sz="4" w:space="0"/>
              <w:right w:val="single" w:color="000000" w:sz="12" w:space="0"/>
            </w:tcBorders>
            <w:shd w:val="clear" w:color="auto" w:fill="C0C0C0"/>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b/>
                <w:i w:val="0"/>
                <w:color w:val="000000"/>
                <w:sz w:val="20"/>
                <w:szCs w:val="20"/>
                <w:u w:val="none"/>
              </w:rPr>
            </w:pPr>
          </w:p>
        </w:tc>
      </w:tr>
      <w:tr>
        <w:tblPrEx>
          <w:tblCellMar>
            <w:top w:w="0" w:type="dxa"/>
            <w:left w:w="0" w:type="dxa"/>
            <w:bottom w:w="0" w:type="dxa"/>
            <w:right w:w="0" w:type="dxa"/>
          </w:tblCellMar>
        </w:tblPrEx>
        <w:trPr>
          <w:trHeight w:val="300" w:hRule="atLeast"/>
        </w:trPr>
        <w:tc>
          <w:tcPr>
            <w:tcW w:w="0" w:type="auto"/>
            <w:tcBorders>
              <w:top w:val="nil"/>
              <w:left w:val="nil"/>
              <w:bottom w:val="single" w:color="000000" w:sz="12" w:space="0"/>
              <w:right w:val="single" w:color="000000" w:sz="4" w:space="0"/>
            </w:tcBorders>
            <w:shd w:val="clear" w:color="auto" w:fill="00FF00"/>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14,895.00</w:t>
            </w:r>
          </w:p>
        </w:tc>
        <w:tc>
          <w:tcPr>
            <w:tcW w:w="0" w:type="auto"/>
            <w:tcBorders>
              <w:top w:val="nil"/>
              <w:left w:val="nil"/>
              <w:bottom w:val="single" w:color="000000" w:sz="12"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14,895.00</w:t>
            </w:r>
          </w:p>
        </w:tc>
        <w:tc>
          <w:tcPr>
            <w:tcW w:w="0" w:type="auto"/>
            <w:tcBorders>
              <w:top w:val="nil"/>
              <w:left w:val="nil"/>
              <w:bottom w:val="single" w:color="000000" w:sz="12" w:space="0"/>
              <w:right w:val="single" w:color="000000" w:sz="12" w:space="0"/>
            </w:tcBorders>
            <w:shd w:val="clear" w:color="auto" w:fill="FFFFFF"/>
            <w:noWrap/>
            <w:tcMar>
              <w:top w:w="15" w:type="dxa"/>
              <w:left w:w="15" w:type="dxa"/>
              <w:right w:w="15" w:type="dxa"/>
            </w:tcMar>
            <w:vAlign w:val="center"/>
          </w:tcPr>
          <w:p>
            <w:pPr>
              <w:keepNext w:val="0"/>
              <w:keepLines w:val="0"/>
              <w:suppressLineNumbers w:val="0"/>
              <w:spacing w:before="0" w:beforeAutospacing="0" w:after="0" w:afterAutospacing="0"/>
              <w:ind w:left="0" w:right="0"/>
              <w:jc w:val="right"/>
              <w:rPr>
                <w:rFonts w:hint="eastAsia" w:ascii="宋体" w:hAnsi="宋体" w:eastAsia="宋体" w:cs="宋体"/>
                <w:i w:val="0"/>
                <w:color w:val="000000"/>
                <w:sz w:val="20"/>
                <w:szCs w:val="20"/>
                <w:u w:val="none"/>
              </w:rPr>
            </w:pPr>
          </w:p>
        </w:tc>
      </w:tr>
    </w:tbl>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Chars="0" w:right="0" w:rightChars="0"/>
        <w:jc w:val="left"/>
        <w:textAlignment w:val="auto"/>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结转和结余规模较大的原因分析及消化结转和结余的对策。</w:t>
      </w: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leftChars="0" w:right="0" w:rightChars="0"/>
        <w:jc w:val="left"/>
        <w:textAlignment w:val="auto"/>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无大数据对策。</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宋体" w:hAnsi="宋体" w:eastAsia="宋体" w:cs="宋体"/>
          <w:kern w:val="0"/>
          <w:sz w:val="32"/>
          <w:szCs w:val="32"/>
        </w:rPr>
      </w:pPr>
      <w:r>
        <w:rPr>
          <w:rStyle w:val="43"/>
          <w:rFonts w:hint="eastAsia" w:ascii="仿宋_GB2312" w:eastAsia="仿宋_GB2312" w:cs="仿宋_GB2312"/>
          <w:b/>
          <w:sz w:val="32"/>
          <w:szCs w:val="32"/>
          <w:shd w:val="clear" w:fill="FFFFFF"/>
          <w:lang w:val="en-US" w:eastAsia="zh-CN" w:bidi="ar"/>
        </w:rPr>
        <w:t>（四）与预算支出相关的其他指标分析。</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lang w:val="en-US" w:eastAsia="zh-CN" w:bidi="ar"/>
        </w:rPr>
        <w:t>对资产、负债信息进行分析，主要分析与上年度对比情况，包括增减绝对值与幅度，增减变动主要原因(可用柱形图或折线图)，对预算编制和执行的影响等。</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lang w:val="en-US" w:eastAsia="zh-CN" w:bidi="ar"/>
        </w:rPr>
        <w:t>新成立单位暂无资产数据</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Style w:val="43"/>
          <w:rFonts w:hint="eastAsia" w:ascii="仿宋_GB2312" w:eastAsia="仿宋_GB2312" w:cs="仿宋_GB2312"/>
          <w:b/>
          <w:sz w:val="32"/>
          <w:szCs w:val="32"/>
          <w:shd w:val="clear" w:fill="FFFFFF"/>
          <w:lang w:val="en-US" w:eastAsia="zh-CN" w:bidi="ar"/>
        </w:rPr>
      </w:pPr>
      <w:r>
        <w:rPr>
          <w:rStyle w:val="43"/>
          <w:rFonts w:hint="eastAsia" w:ascii="仿宋_GB2312" w:eastAsia="仿宋_GB2312" w:cs="仿宋_GB2312"/>
          <w:b/>
          <w:sz w:val="32"/>
          <w:szCs w:val="32"/>
          <w:shd w:val="clear" w:fill="FFFFFF"/>
          <w:lang w:val="en-US" w:eastAsia="zh-CN" w:bidi="ar"/>
        </w:rPr>
        <w:t>（五）绩效目标完成情况。</w:t>
      </w:r>
    </w:p>
    <w:p>
      <w:pPr>
        <w:pStyle w:val="1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jc w:val="left"/>
        <w:textAlignment w:val="auto"/>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本部门在2020年度部门决算中反映“义务兵优待金、退役安置、生活救助、拥军优属4个项目绩效目标实际完成情况。（本单位部门项目绩效目标个数在5个以上的，选取5个项目进行公开，目标个数在5个以下的，全部进行公开，（公开内容包括完成情况综述和完成情况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3" w:firstLineChars="200"/>
        <w:jc w:val="left"/>
        <w:textAlignment w:val="auto"/>
        <w:rPr>
          <w:rFonts w:hint="eastAsia" w:ascii="宋体" w:hAnsi="宋体" w:eastAsia="宋体" w:cs="宋体"/>
          <w:kern w:val="0"/>
          <w:sz w:val="32"/>
          <w:szCs w:val="32"/>
        </w:rPr>
      </w:pPr>
      <w:r>
        <w:rPr>
          <w:rFonts w:hint="eastAsia" w:ascii="仿宋_GB2312" w:hAnsi="宋体" w:eastAsia="仿宋_GB2312" w:cs="仿宋_GB2312"/>
          <w:b/>
          <w:kern w:val="0"/>
          <w:sz w:val="32"/>
          <w:szCs w:val="32"/>
          <w:lang w:val="en-US" w:eastAsia="zh-CN" w:bidi="ar"/>
        </w:rPr>
        <w:t>1、义务兵优待金项目绩效目标完成情况综述</w:t>
      </w:r>
      <w:r>
        <w:rPr>
          <w:rFonts w:hint="eastAsia" w:ascii="仿宋_GB2312" w:hAnsi="宋体" w:eastAsia="仿宋_GB2312" w:cs="仿宋_GB2312"/>
          <w:kern w:val="0"/>
          <w:sz w:val="32"/>
          <w:szCs w:val="32"/>
          <w:lang w:val="en-US" w:eastAsia="zh-CN" w:bidi="ar"/>
        </w:rPr>
        <w:t>。项目全年预算数7.44万元，执行数7.44万元，完成预算的100%。通过项目实施，保障落实政策，维护稳定。(按照项目总体目标简要描述项目成效），发现的主要问题：无。下一步改进措施：无</w:t>
      </w:r>
    </w:p>
    <w:p>
      <w:pPr>
        <w:pStyle w:val="12"/>
        <w:keepNext w:val="0"/>
        <w:keepLines w:val="0"/>
        <w:widowControl/>
        <w:suppressLineNumbers w:val="0"/>
        <w:snapToGrid w:val="0"/>
        <w:spacing w:before="0" w:beforeAutospacing="0" w:after="0" w:afterAutospacing="0"/>
        <w:ind w:left="0" w:right="0"/>
        <w:jc w:val="left"/>
        <w:rPr>
          <w:rFonts w:hint="eastAsia" w:ascii="宋体" w:hAnsi="宋体" w:eastAsia="宋体" w:cs="Arial Unicode MS"/>
          <w:kern w:val="0"/>
          <w:sz w:val="18"/>
          <w:szCs w:val="18"/>
        </w:rPr>
      </w:pPr>
      <w:r>
        <w:rPr>
          <w:rFonts w:hint="eastAsia" w:ascii="宋体" w:hAnsi="宋体" w:eastAsia="宋体" w:cs="Arial Unicode MS"/>
          <w:kern w:val="0"/>
          <w:sz w:val="18"/>
          <w:szCs w:val="18"/>
          <w:lang w:val="en-US" w:eastAsia="zh-CN" w:bidi="ar"/>
        </w:rPr>
        <w:t xml:space="preserve"> </w:t>
      </w:r>
    </w:p>
    <w:p>
      <w:pPr>
        <w:keepNext w:val="0"/>
        <w:keepLines w:val="0"/>
        <w:widowControl/>
        <w:suppressLineNumbers w:val="0"/>
        <w:snapToGrid w:val="0"/>
        <w:spacing w:before="0" w:beforeAutospacing="0" w:after="0" w:afterAutospacing="0"/>
        <w:ind w:left="0" w:right="0"/>
        <w:jc w:val="left"/>
        <w:rPr>
          <w:rFonts w:hint="default" w:ascii="Calibri" w:hAnsi="Calibri" w:eastAsia="宋体" w:cs="宋体"/>
          <w:kern w:val="0"/>
          <w:sz w:val="24"/>
          <w:szCs w:val="24"/>
        </w:rPr>
      </w:pPr>
      <w:r>
        <w:rPr>
          <w:rFonts w:hint="default" w:ascii="Calibri" w:hAnsi="Calibri" w:eastAsia="宋体" w:cs="宋体"/>
          <w:kern w:val="0"/>
          <w:sz w:val="24"/>
          <w:szCs w:val="24"/>
          <w:lang w:val="en-US" w:eastAsia="zh-CN" w:bidi="ar"/>
        </w:rPr>
        <w:t xml:space="preserve"> </w:t>
      </w:r>
    </w:p>
    <w:tbl>
      <w:tblPr>
        <w:tblStyle w:val="13"/>
        <w:tblW w:w="9522" w:type="dxa"/>
        <w:tblInd w:w="93" w:type="dxa"/>
        <w:shd w:val="clear" w:color="auto" w:fill="auto"/>
        <w:tblLayout w:type="fixed"/>
        <w:tblCellMar>
          <w:top w:w="15" w:type="dxa"/>
          <w:left w:w="15" w:type="dxa"/>
          <w:bottom w:w="15" w:type="dxa"/>
          <w:right w:w="15" w:type="dxa"/>
        </w:tblCellMar>
      </w:tblPr>
      <w:tblGrid>
        <w:gridCol w:w="449"/>
        <w:gridCol w:w="764"/>
        <w:gridCol w:w="1048"/>
        <w:gridCol w:w="764"/>
        <w:gridCol w:w="1182"/>
        <w:gridCol w:w="1843"/>
        <w:gridCol w:w="1596"/>
        <w:gridCol w:w="1876"/>
      </w:tblGrid>
      <w:tr>
        <w:tblPrEx>
          <w:shd w:val="clear" w:color="auto" w:fill="auto"/>
          <w:tblCellMar>
            <w:top w:w="15" w:type="dxa"/>
            <w:left w:w="15" w:type="dxa"/>
            <w:bottom w:w="15" w:type="dxa"/>
            <w:right w:w="15" w:type="dxa"/>
          </w:tblCellMar>
        </w:tblPrEx>
        <w:trPr>
          <w:trHeight w:val="285" w:hRule="atLeast"/>
        </w:trPr>
        <w:tc>
          <w:tcPr>
            <w:tcW w:w="9522" w:type="dxa"/>
            <w:gridSpan w:val="8"/>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项目支出绩效目标完成情况表</w:t>
            </w:r>
          </w:p>
        </w:tc>
      </w:tr>
      <w:tr>
        <w:tblPrEx>
          <w:shd w:val="clear" w:color="auto" w:fill="auto"/>
          <w:tblCellMar>
            <w:top w:w="15" w:type="dxa"/>
            <w:left w:w="15" w:type="dxa"/>
            <w:bottom w:w="15" w:type="dxa"/>
            <w:right w:w="15" w:type="dxa"/>
          </w:tblCellMar>
        </w:tblPrEx>
        <w:trPr>
          <w:trHeight w:val="285" w:hRule="atLeast"/>
        </w:trPr>
        <w:tc>
          <w:tcPr>
            <w:tcW w:w="2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项目名称</w:t>
            </w:r>
          </w:p>
        </w:tc>
        <w:tc>
          <w:tcPr>
            <w:tcW w:w="7261"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义务兵优待金</w:t>
            </w:r>
          </w:p>
        </w:tc>
      </w:tr>
      <w:tr>
        <w:tblPrEx>
          <w:shd w:val="clear" w:color="auto" w:fill="auto"/>
          <w:tblCellMar>
            <w:top w:w="15" w:type="dxa"/>
            <w:left w:w="15" w:type="dxa"/>
            <w:bottom w:w="15" w:type="dxa"/>
            <w:right w:w="15" w:type="dxa"/>
          </w:tblCellMar>
        </w:tblPrEx>
        <w:trPr>
          <w:trHeight w:val="285" w:hRule="atLeast"/>
        </w:trPr>
        <w:tc>
          <w:tcPr>
            <w:tcW w:w="2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预算单位</w:t>
            </w:r>
          </w:p>
        </w:tc>
        <w:tc>
          <w:tcPr>
            <w:tcW w:w="7261"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红原县退役军人事务局</w:t>
            </w:r>
          </w:p>
        </w:tc>
      </w:tr>
      <w:tr>
        <w:tblPrEx>
          <w:shd w:val="clear" w:color="auto" w:fill="auto"/>
          <w:tblCellMar>
            <w:top w:w="15" w:type="dxa"/>
            <w:left w:w="15" w:type="dxa"/>
            <w:bottom w:w="15" w:type="dxa"/>
            <w:right w:w="15" w:type="dxa"/>
          </w:tblCellMar>
        </w:tblPrEx>
        <w:trPr>
          <w:trHeight w:val="285" w:hRule="atLeast"/>
        </w:trPr>
        <w:tc>
          <w:tcPr>
            <w:tcW w:w="44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预算执行情况(万元</w:t>
            </w:r>
          </w:p>
        </w:tc>
        <w:tc>
          <w:tcPr>
            <w:tcW w:w="1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预算数:</w:t>
            </w:r>
          </w:p>
        </w:tc>
        <w:tc>
          <w:tcPr>
            <w:tcW w:w="19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7.44</w:t>
            </w:r>
          </w:p>
        </w:tc>
        <w:tc>
          <w:tcPr>
            <w:tcW w:w="18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执行数:</w:t>
            </w:r>
          </w:p>
        </w:tc>
        <w:tc>
          <w:tcPr>
            <w:tcW w:w="347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7.44</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其中-财政拨款:</w:t>
            </w:r>
          </w:p>
        </w:tc>
        <w:tc>
          <w:tcPr>
            <w:tcW w:w="19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7.44</w:t>
            </w:r>
          </w:p>
        </w:tc>
        <w:tc>
          <w:tcPr>
            <w:tcW w:w="18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其中-财政拨款:</w:t>
            </w:r>
          </w:p>
        </w:tc>
        <w:tc>
          <w:tcPr>
            <w:tcW w:w="347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7.44</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其它资金:</w:t>
            </w:r>
          </w:p>
        </w:tc>
        <w:tc>
          <w:tcPr>
            <w:tcW w:w="19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w:t>
            </w:r>
          </w:p>
        </w:tc>
        <w:tc>
          <w:tcPr>
            <w:tcW w:w="18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其它资金:</w:t>
            </w:r>
          </w:p>
        </w:tc>
        <w:tc>
          <w:tcPr>
            <w:tcW w:w="347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w:t>
            </w:r>
          </w:p>
        </w:tc>
      </w:tr>
      <w:tr>
        <w:tblPrEx>
          <w:shd w:val="clear" w:color="auto" w:fill="auto"/>
          <w:tblCellMar>
            <w:top w:w="15" w:type="dxa"/>
            <w:left w:w="15" w:type="dxa"/>
            <w:bottom w:w="15" w:type="dxa"/>
            <w:right w:w="15" w:type="dxa"/>
          </w:tblCellMar>
        </w:tblPrEx>
        <w:trPr>
          <w:trHeight w:val="285" w:hRule="atLeast"/>
        </w:trPr>
        <w:tc>
          <w:tcPr>
            <w:tcW w:w="44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年度目标完成情况</w:t>
            </w:r>
          </w:p>
        </w:tc>
        <w:tc>
          <w:tcPr>
            <w:tcW w:w="257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预期目标</w:t>
            </w:r>
          </w:p>
        </w:tc>
        <w:tc>
          <w:tcPr>
            <w:tcW w:w="6497"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实际完成目标</w:t>
            </w:r>
          </w:p>
        </w:tc>
      </w:tr>
      <w:tr>
        <w:tblPrEx>
          <w:shd w:val="clear" w:color="auto" w:fill="auto"/>
          <w:tblCellMar>
            <w:top w:w="15" w:type="dxa"/>
            <w:left w:w="15" w:type="dxa"/>
            <w:bottom w:w="15" w:type="dxa"/>
            <w:right w:w="15" w:type="dxa"/>
          </w:tblCellMar>
        </w:tblPrEx>
        <w:trPr>
          <w:trHeight w:val="1063"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57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kern w:val="0"/>
                <w:sz w:val="24"/>
                <w:szCs w:val="24"/>
                <w:lang w:val="en-US" w:eastAsia="zh-CN" w:bidi="ar"/>
              </w:rPr>
              <w:t>及时完成450人次义务兵优待金补助</w:t>
            </w:r>
          </w:p>
        </w:tc>
        <w:tc>
          <w:tcPr>
            <w:tcW w:w="6497"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18"/>
                <w:szCs w:val="18"/>
              </w:rPr>
            </w:pPr>
            <w:r>
              <w:rPr>
                <w:rFonts w:hint="eastAsia" w:ascii="宋体" w:hAnsi="宋体" w:eastAsia="宋体" w:cs="宋体"/>
                <w:kern w:val="0"/>
                <w:sz w:val="24"/>
                <w:szCs w:val="24"/>
                <w:lang w:val="en-US" w:eastAsia="zh-CN" w:bidi="ar"/>
              </w:rPr>
              <w:t>及时完成了450人次义务兵优待金补助</w:t>
            </w:r>
          </w:p>
        </w:tc>
      </w:tr>
      <w:tr>
        <w:tblPrEx>
          <w:shd w:val="clear" w:color="auto" w:fill="auto"/>
          <w:tblCellMar>
            <w:top w:w="15" w:type="dxa"/>
            <w:left w:w="15" w:type="dxa"/>
            <w:bottom w:w="15" w:type="dxa"/>
            <w:right w:w="15" w:type="dxa"/>
          </w:tblCellMar>
        </w:tblPrEx>
        <w:trPr>
          <w:trHeight w:val="624" w:hRule="atLeast"/>
        </w:trPr>
        <w:tc>
          <w:tcPr>
            <w:tcW w:w="44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4"/>
                <w:szCs w:val="24"/>
              </w:rPr>
            </w:pPr>
            <w:r>
              <w:rPr>
                <w:rFonts w:hint="eastAsia" w:ascii="仿宋_GB2312" w:hAnsi="宋体" w:eastAsia="仿宋_GB2312" w:cs="仿宋_GB2312"/>
                <w:color w:val="000000"/>
                <w:kern w:val="0"/>
                <w:sz w:val="24"/>
                <w:szCs w:val="24"/>
                <w:lang w:val="en-US" w:eastAsia="zh-CN" w:bidi="ar"/>
              </w:rPr>
              <w:t>绩效指标完成情况</w:t>
            </w: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一级指标</w:t>
            </w: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二级指标</w:t>
            </w:r>
          </w:p>
        </w:tc>
        <w:tc>
          <w:tcPr>
            <w:tcW w:w="764"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三级指标</w:t>
            </w:r>
          </w:p>
        </w:tc>
        <w:tc>
          <w:tcPr>
            <w:tcW w:w="3025" w:type="dxa"/>
            <w:gridSpan w:val="2"/>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指标评价内容</w:t>
            </w:r>
          </w:p>
        </w:tc>
        <w:tc>
          <w:tcPr>
            <w:tcW w:w="1596"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预期指标值(包含数字及文字描述)</w:t>
            </w:r>
          </w:p>
        </w:tc>
        <w:tc>
          <w:tcPr>
            <w:tcW w:w="1876"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实际完成指标值(包含数字及文字描述)</w:t>
            </w:r>
          </w:p>
        </w:tc>
      </w:tr>
      <w:tr>
        <w:tblPrEx>
          <w:shd w:val="clear" w:color="auto" w:fill="auto"/>
          <w:tblCellMar>
            <w:top w:w="15" w:type="dxa"/>
            <w:left w:w="15" w:type="dxa"/>
            <w:bottom w:w="15" w:type="dxa"/>
            <w:right w:w="15" w:type="dxa"/>
          </w:tblCellMar>
        </w:tblPrEx>
        <w:trPr>
          <w:trHeight w:val="624"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025" w:type="dxa"/>
            <w:gridSpan w:val="2"/>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596"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876"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15" w:type="dxa"/>
            <w:left w:w="15" w:type="dxa"/>
            <w:bottom w:w="15" w:type="dxa"/>
            <w:right w:w="15" w:type="dxa"/>
          </w:tblCellMar>
        </w:tblPrEx>
        <w:trPr>
          <w:trHeight w:val="624"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025" w:type="dxa"/>
            <w:gridSpan w:val="2"/>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596"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876"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项目决策</w:t>
            </w: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绩效目标</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目标内容</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项目预期提供的产品、服务、效益或其他目标明确,即绩效目标实际明确个数/应当明确个数×100%</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450人次</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450人次</w:t>
            </w:r>
          </w:p>
        </w:tc>
      </w:tr>
      <w:tr>
        <w:tblPrEx>
          <w:shd w:val="clear" w:color="auto" w:fill="auto"/>
          <w:tblCellMar>
            <w:top w:w="15" w:type="dxa"/>
            <w:left w:w="15" w:type="dxa"/>
            <w:bottom w:w="15" w:type="dxa"/>
            <w:right w:w="15" w:type="dxa"/>
          </w:tblCellMar>
        </w:tblPrEx>
        <w:trPr>
          <w:trHeight w:val="64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进度计划</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项目计划实施进度明确</w:t>
            </w:r>
          </w:p>
        </w:tc>
        <w:tc>
          <w:tcPr>
            <w:tcW w:w="1596" w:type="dxa"/>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18"/>
                <w:szCs w:val="18"/>
              </w:rPr>
            </w:pPr>
            <w:r>
              <w:rPr>
                <w:rFonts w:hint="eastAsia" w:ascii="宋体" w:hAnsi="宋体" w:eastAsia="宋体" w:cs="宋体"/>
                <w:kern w:val="0"/>
                <w:sz w:val="24"/>
                <w:szCs w:val="24"/>
                <w:lang w:val="en-US" w:eastAsia="zh-CN" w:bidi="ar"/>
              </w:rPr>
              <w:t>及时完成了450人次义务兵优待金补助</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18"/>
                <w:szCs w:val="18"/>
              </w:rPr>
            </w:pPr>
            <w:r>
              <w:rPr>
                <w:rFonts w:hint="eastAsia" w:ascii="宋体" w:hAnsi="宋体" w:eastAsia="宋体" w:cs="宋体"/>
                <w:kern w:val="0"/>
                <w:sz w:val="24"/>
                <w:szCs w:val="24"/>
                <w:lang w:val="en-US" w:eastAsia="zh-CN" w:bidi="ar"/>
              </w:rPr>
              <w:t>及时完成了450人次义务兵优待金补助</w:t>
            </w:r>
          </w:p>
        </w:tc>
      </w:tr>
      <w:tr>
        <w:tblPrEx>
          <w:shd w:val="clear" w:color="auto" w:fill="auto"/>
          <w:tblCellMar>
            <w:top w:w="15" w:type="dxa"/>
            <w:left w:w="15" w:type="dxa"/>
            <w:bottom w:w="15" w:type="dxa"/>
            <w:right w:w="15" w:type="dxa"/>
          </w:tblCellMar>
        </w:tblPrEx>
        <w:trPr>
          <w:trHeight w:val="69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目标匹配</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绩效目标设定符合实际需求的抽样项目点个数/抽样项目点总数×100%</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18"/>
              </w:rPr>
            </w:pPr>
            <w:r>
              <w:rPr>
                <w:rFonts w:hint="eastAsia" w:ascii="宋体" w:hAnsi="宋体" w:eastAsia="宋体" w:cs="宋体"/>
                <w:kern w:val="0"/>
                <w:sz w:val="24"/>
                <w:szCs w:val="24"/>
                <w:lang w:val="en-US" w:eastAsia="zh-CN" w:bidi="ar"/>
              </w:rPr>
              <w:t>及时完成了450人次义务兵优待金补助</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18"/>
              </w:rPr>
            </w:pPr>
            <w:r>
              <w:rPr>
                <w:rFonts w:hint="eastAsia" w:ascii="宋体" w:hAnsi="宋体" w:eastAsia="宋体" w:cs="宋体"/>
                <w:kern w:val="0"/>
                <w:sz w:val="24"/>
                <w:szCs w:val="24"/>
                <w:lang w:val="en-US" w:eastAsia="zh-CN" w:bidi="ar"/>
              </w:rPr>
              <w:t>及时完成了450人次义务兵优待金补助</w:t>
            </w:r>
          </w:p>
        </w:tc>
      </w:tr>
      <w:tr>
        <w:tblPrEx>
          <w:shd w:val="clear" w:color="auto" w:fill="auto"/>
          <w:tblCellMar>
            <w:top w:w="15" w:type="dxa"/>
            <w:left w:w="15" w:type="dxa"/>
            <w:bottom w:w="15" w:type="dxa"/>
            <w:right w:w="15" w:type="dxa"/>
          </w:tblCellMar>
        </w:tblPrEx>
        <w:trPr>
          <w:trHeight w:val="145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决策依据</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政策依据</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项目符合党中央、国务院和省委、省政府决策部署；符合当前经济社会发展需要</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
              </w:rPr>
              <w:t> 阿坝州财政局    阿坝州民政局</w:t>
            </w:r>
          </w:p>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
              </w:rPr>
              <w:t>关于下达）（阿州民政）2016年36号文件</w:t>
            </w:r>
          </w:p>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18"/>
              </w:rPr>
            </w:pP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
              </w:rPr>
              <w:t>根据上级下达资金按时发放义务兵优待金</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实施规划</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bidi="ar"/>
              </w:rPr>
              <w:t>连续性项目根据需要制定中长期实施规划</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
              </w:rPr>
              <w:t>事实规划全县</w:t>
            </w:r>
            <w:r>
              <w:rPr>
                <w:rFonts w:hint="eastAsia" w:ascii="宋体" w:hAnsi="宋体" w:eastAsia="宋体" w:cs="宋体"/>
                <w:kern w:val="0"/>
                <w:sz w:val="24"/>
                <w:szCs w:val="24"/>
                <w:lang w:val="en-US" w:eastAsia="zh-CN" w:bidi="ar"/>
              </w:rPr>
              <w:t>完成了450人次义务兵优待金补助</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
              </w:rPr>
              <w:t>事实规划全县</w:t>
            </w:r>
            <w:r>
              <w:rPr>
                <w:rFonts w:hint="eastAsia" w:ascii="宋体" w:hAnsi="宋体" w:eastAsia="宋体" w:cs="宋体"/>
                <w:kern w:val="0"/>
                <w:sz w:val="24"/>
                <w:szCs w:val="24"/>
                <w:lang w:val="en-US" w:eastAsia="zh-CN" w:bidi="ar"/>
              </w:rPr>
              <w:t>完成了450人次义务兵优待金补助</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实施规划符合实际，并根据情况变化适时调整</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
              </w:rPr>
              <w:t>规划符合实际，暂无调整变化</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
              </w:rPr>
              <w:t>规划符合实际，暂无调整变化</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管理制度</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制定项目资金管理办法</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kern w:val="0"/>
                <w:sz w:val="16"/>
                <w:szCs w:val="16"/>
                <w:lang w:val="en-US" w:eastAsia="zh-CN" w:bidi="ar"/>
              </w:rPr>
              <w:t>阿坝州民政局关于下达义务兵优待金</w:t>
            </w:r>
            <w:r>
              <w:rPr>
                <w:rFonts w:hint="eastAsia" w:ascii="宋体" w:hAnsi="宋体" w:eastAsia="宋体" w:cs="宋体"/>
                <w:kern w:val="0"/>
                <w:sz w:val="18"/>
                <w:szCs w:val="18"/>
                <w:lang w:val="en-US" w:eastAsia="zh-CN" w:bidi="ar"/>
              </w:rPr>
              <w:t>补助</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kern w:val="0"/>
                <w:sz w:val="16"/>
                <w:szCs w:val="16"/>
                <w:lang w:val="en-US" w:eastAsia="zh-CN" w:bidi="ar"/>
              </w:rPr>
              <w:t>阿坝州民政局关于下达2019年义务兵优待金补助</w:t>
            </w:r>
          </w:p>
        </w:tc>
      </w:tr>
      <w:tr>
        <w:tblPrEx>
          <w:shd w:val="clear" w:color="auto" w:fill="auto"/>
          <w:tblCellMar>
            <w:top w:w="15" w:type="dxa"/>
            <w:left w:w="15" w:type="dxa"/>
            <w:bottom w:w="15" w:type="dxa"/>
            <w:right w:w="15" w:type="dxa"/>
          </w:tblCellMar>
        </w:tblPrEx>
        <w:trPr>
          <w:trHeight w:val="75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项目资金分配决策程序明确</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kern w:val="0"/>
                <w:sz w:val="16"/>
                <w:szCs w:val="16"/>
                <w:lang w:val="en-US" w:eastAsia="zh-CN" w:bidi="ar"/>
              </w:rPr>
              <w:t>阿坝州民政局关于下达义务兵优待金</w:t>
            </w:r>
            <w:r>
              <w:rPr>
                <w:rFonts w:hint="eastAsia" w:ascii="宋体" w:hAnsi="宋体" w:eastAsia="宋体" w:cs="宋体"/>
                <w:kern w:val="0"/>
                <w:sz w:val="18"/>
                <w:szCs w:val="18"/>
                <w:lang w:val="en-US" w:eastAsia="zh-CN" w:bidi="ar"/>
              </w:rPr>
              <w:t>补助</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kern w:val="0"/>
                <w:sz w:val="16"/>
                <w:szCs w:val="16"/>
                <w:lang w:val="en-US" w:eastAsia="zh-CN" w:bidi="ar"/>
              </w:rPr>
              <w:t>阿坝州民政局关于下达义务兵优待金</w:t>
            </w:r>
            <w:r>
              <w:rPr>
                <w:rFonts w:hint="eastAsia" w:ascii="宋体" w:hAnsi="宋体" w:eastAsia="宋体" w:cs="宋体"/>
                <w:kern w:val="0"/>
                <w:sz w:val="18"/>
                <w:szCs w:val="18"/>
                <w:lang w:val="en-US" w:eastAsia="zh-CN" w:bidi="ar"/>
              </w:rPr>
              <w:t>补助</w:t>
            </w:r>
          </w:p>
        </w:tc>
      </w:tr>
      <w:tr>
        <w:tblPrEx>
          <w:shd w:val="clear" w:color="auto" w:fill="auto"/>
          <w:tblCellMar>
            <w:top w:w="15" w:type="dxa"/>
            <w:left w:w="15" w:type="dxa"/>
            <w:bottom w:w="15" w:type="dxa"/>
            <w:right w:w="15" w:type="dxa"/>
          </w:tblCellMar>
        </w:tblPrEx>
        <w:trPr>
          <w:trHeight w:val="82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分配方法</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资金分配方法是否科学合理</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分配方法科学合理</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分配方法科学合理</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分配过程</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分配过程符合相关规定</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r>
      <w:tr>
        <w:tblPrEx>
          <w:shd w:val="clear" w:color="auto" w:fill="auto"/>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分配结果</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审核把关</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符合申报条件的抽样项目点个数/抽样项目点总数×100%</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1</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1</w:t>
            </w:r>
          </w:p>
        </w:tc>
      </w:tr>
      <w:tr>
        <w:tblPrEx>
          <w:shd w:val="clear" w:color="auto" w:fill="auto"/>
          <w:tblCellMar>
            <w:top w:w="15" w:type="dxa"/>
            <w:left w:w="15" w:type="dxa"/>
            <w:bottom w:w="15" w:type="dxa"/>
            <w:right w:w="15" w:type="dxa"/>
          </w:tblCellMar>
        </w:tblPrEx>
        <w:trPr>
          <w:trHeight w:val="10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资金集中</w:t>
            </w:r>
          </w:p>
        </w:tc>
        <w:tc>
          <w:tcPr>
            <w:tcW w:w="118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集中</w:t>
            </w:r>
          </w:p>
        </w:tc>
        <w:tc>
          <w:tcPr>
            <w:tcW w:w="1843"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财政资金占项目资金总额比重较小项目个数/项目总数×100%</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宋体" w:hAnsi="宋体" w:eastAsia="宋体" w:cs="宋体"/>
                <w:color w:val="000000"/>
                <w:kern w:val="0"/>
                <w:sz w:val="20"/>
                <w:szCs w:val="20"/>
                <w:lang w:val="en-US" w:eastAsia="zh-CN" w:bidi="ar"/>
              </w:rPr>
              <w:t>100%</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宋体" w:hAnsi="宋体" w:eastAsia="宋体" w:cs="宋体"/>
                <w:color w:val="000000"/>
                <w:kern w:val="0"/>
                <w:sz w:val="20"/>
                <w:szCs w:val="20"/>
                <w:lang w:val="en-US" w:eastAsia="zh-CN" w:bidi="ar"/>
              </w:rPr>
              <w:t>100%</w:t>
            </w:r>
          </w:p>
        </w:tc>
      </w:tr>
      <w:tr>
        <w:tblPrEx>
          <w:shd w:val="clear" w:color="auto" w:fill="auto"/>
          <w:tblCellMar>
            <w:top w:w="15" w:type="dxa"/>
            <w:left w:w="15" w:type="dxa"/>
            <w:bottom w:w="15" w:type="dxa"/>
            <w:right w:w="15" w:type="dxa"/>
          </w:tblCellMar>
        </w:tblPrEx>
        <w:trPr>
          <w:trHeight w:val="1781"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（均衡）</w:t>
            </w:r>
          </w:p>
        </w:tc>
        <w:tc>
          <w:tcPr>
            <w:tcW w:w="118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均衡</w:t>
            </w:r>
          </w:p>
        </w:tc>
        <w:tc>
          <w:tcPr>
            <w:tcW w:w="1843"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16"/>
                <w:szCs w:val="16"/>
                <w:lang w:val="en-US" w:eastAsia="zh-CN" w:bidi="ar"/>
              </w:rPr>
              <w:t>按实际分配结果选择客观因素测算验证资金分配方法制定、分配要素设定、基础数据应用、测算依据选取等是否科学合理（2分）</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r>
      <w:tr>
        <w:tblPrEx>
          <w:shd w:val="clear" w:color="auto" w:fill="auto"/>
          <w:tblCellMar>
            <w:top w:w="15" w:type="dxa"/>
            <w:left w:w="15" w:type="dxa"/>
            <w:bottom w:w="15" w:type="dxa"/>
            <w:right w:w="15" w:type="dxa"/>
          </w:tblCellMar>
        </w:tblPrEx>
        <w:trPr>
          <w:trHeight w:val="54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项目管理</w:t>
            </w:r>
          </w:p>
        </w:tc>
        <w:tc>
          <w:tcPr>
            <w:tcW w:w="104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 资金到位</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分配时效</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县级主管部门按规定及时分配资金</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r>
      <w:tr>
        <w:tblPrEx>
          <w:shd w:val="clear" w:color="auto" w:fill="auto"/>
          <w:tblCellMar>
            <w:top w:w="15" w:type="dxa"/>
            <w:left w:w="15" w:type="dxa"/>
            <w:bottom w:w="15" w:type="dxa"/>
            <w:right w:w="15" w:type="dxa"/>
          </w:tblCellMar>
        </w:tblPrEx>
        <w:trPr>
          <w:trHeight w:val="115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资金拨付</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按规定及时拨付资金</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 xml:space="preserve">资金管理  </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使用范围</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资金使用是否合规</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支付依据</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资金支付依据符合规定，即支付依旧合规资金量/资金总量×100%</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开支标准</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资金开支标准符合规定，即开支标准合规资金量/资金总量×100%</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r>
      <w:tr>
        <w:tblPrEx>
          <w:shd w:val="clear" w:color="auto" w:fill="auto"/>
          <w:tblCellMar>
            <w:top w:w="15" w:type="dxa"/>
            <w:left w:w="15" w:type="dxa"/>
            <w:bottom w:w="15" w:type="dxa"/>
            <w:right w:w="15" w:type="dxa"/>
          </w:tblCellMar>
        </w:tblPrEx>
        <w:trPr>
          <w:trHeight w:val="73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财务管理</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财务制度</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财务制度健全，管理规范</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会计核算</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会计核算规范</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组织实施（4分）</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项目调整</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项目调整严格履行相关手续</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eastAsia="仿宋_GB2312" w:cs="仿宋_GB2312"/>
                <w:kern w:val="0"/>
                <w:sz w:val="16"/>
                <w:szCs w:val="16"/>
              </w:rPr>
            </w:pPr>
            <w:r>
              <w:rPr>
                <w:rFonts w:hint="eastAsia" w:ascii="仿宋_GB2312" w:hAnsi="宋体" w:eastAsia="仿宋_GB2312" w:cs="仿宋_GB2312"/>
                <w:kern w:val="0"/>
                <w:sz w:val="16"/>
                <w:szCs w:val="16"/>
                <w:lang w:val="en-US" w:eastAsia="zh-CN" w:bidi="ar"/>
              </w:rPr>
              <w:t>是</w:t>
            </w:r>
          </w:p>
        </w:tc>
      </w:tr>
      <w:tr>
        <w:tblPrEx>
          <w:shd w:val="clear" w:color="auto" w:fill="auto"/>
          <w:tblCellMar>
            <w:top w:w="15" w:type="dxa"/>
            <w:left w:w="15" w:type="dxa"/>
            <w:bottom w:w="15" w:type="dxa"/>
            <w:right w:w="15" w:type="dxa"/>
          </w:tblCellMar>
        </w:tblPrEx>
        <w:trPr>
          <w:trHeight w:val="85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投资变更</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项目投资变更额/项目总投入×100%</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无</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无</w:t>
            </w:r>
          </w:p>
        </w:tc>
      </w:tr>
      <w:tr>
        <w:tblPrEx>
          <w:shd w:val="clear" w:color="auto" w:fill="auto"/>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制度执行</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严格执行项目有关制度规定</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项目绩效</w:t>
            </w: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项目完成</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完成数量</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实际完成任务量/绩效目标设定任务量×100%</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完成质量</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符合绩效目标设定的验收标准，达到行业基准水平</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9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完成时效</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（实际完成时间-绩效目标设定完成时间）/绩效目标设定完成时间×100%</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2019年12月</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2019年12月</w:t>
            </w:r>
          </w:p>
        </w:tc>
      </w:tr>
      <w:tr>
        <w:tblPrEx>
          <w:shd w:val="clear" w:color="auto" w:fill="auto"/>
          <w:tblCellMar>
            <w:top w:w="15" w:type="dxa"/>
            <w:left w:w="15" w:type="dxa"/>
            <w:bottom w:w="15" w:type="dxa"/>
            <w:right w:w="15" w:type="dxa"/>
          </w:tblCellMar>
        </w:tblPrEx>
        <w:trPr>
          <w:trHeight w:val="636"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完成成本</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（实际完成成本-预计完成成本）/预计完成成本×100%</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r>
      <w:tr>
        <w:tblPrEx>
          <w:tblCellMar>
            <w:top w:w="15" w:type="dxa"/>
            <w:left w:w="15" w:type="dxa"/>
            <w:bottom w:w="15" w:type="dxa"/>
            <w:right w:w="15" w:type="dxa"/>
          </w:tblCellMar>
        </w:tblPrEx>
        <w:trPr>
          <w:trHeight w:val="7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项目效益</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经济效益</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反映相关产出对经济社会发展带来的影响和效果，根据项目实际细化具体指标。</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资金拨付完成保障义务兵优待金补助到位</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有效的保障义务兵优待金生活补助</w:t>
            </w:r>
          </w:p>
        </w:tc>
      </w:tr>
      <w:tr>
        <w:tblPrEx>
          <w:tblCellMar>
            <w:top w:w="15" w:type="dxa"/>
            <w:left w:w="15" w:type="dxa"/>
            <w:bottom w:w="15" w:type="dxa"/>
            <w:right w:w="15" w:type="dxa"/>
          </w:tblCellMar>
        </w:tblPrEx>
        <w:trPr>
          <w:trHeight w:val="73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社会效益</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反映相关产出对社会发展带来的影响和效果，根据项目实际细化具体指标。</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有效的保障义务兵优待金生活补助</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有效的保障义务兵优待金生活补助</w:t>
            </w:r>
          </w:p>
        </w:tc>
      </w:tr>
      <w:tr>
        <w:tblPrEx>
          <w:shd w:val="clear" w:color="auto" w:fill="auto"/>
          <w:tblCellMar>
            <w:top w:w="15" w:type="dxa"/>
            <w:left w:w="15" w:type="dxa"/>
            <w:bottom w:w="15" w:type="dxa"/>
            <w:right w:w="15" w:type="dxa"/>
          </w:tblCellMar>
        </w:tblPrEx>
        <w:trPr>
          <w:trHeight w:val="7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生态效益</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反映相关产出对自然环境带来的影响和效果，根据项目实际细化具体指标。</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无</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无</w:t>
            </w:r>
          </w:p>
        </w:tc>
      </w:tr>
      <w:tr>
        <w:tblPrEx>
          <w:shd w:val="clear" w:color="auto" w:fill="auto"/>
          <w:tblCellMar>
            <w:top w:w="15" w:type="dxa"/>
            <w:left w:w="15" w:type="dxa"/>
            <w:bottom w:w="15" w:type="dxa"/>
            <w:right w:w="15" w:type="dxa"/>
          </w:tblCellMar>
        </w:tblPrEx>
        <w:trPr>
          <w:trHeight w:val="75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可持续效益</w:t>
            </w:r>
          </w:p>
        </w:tc>
        <w:tc>
          <w:tcPr>
            <w:tcW w:w="3025"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反映相关产出带来影响的可持续期限，根据项目实际细化具体指标。</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有效的保障义务兵优待金生活补助</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有效的保障义务兵优待金生活补助</w:t>
            </w:r>
          </w:p>
        </w:tc>
      </w:tr>
      <w:tr>
        <w:tblPrEx>
          <w:shd w:val="clear" w:color="auto" w:fill="auto"/>
          <w:tblCellMar>
            <w:top w:w="15" w:type="dxa"/>
            <w:left w:w="15" w:type="dxa"/>
            <w:bottom w:w="15" w:type="dxa"/>
            <w:right w:w="15" w:type="dxa"/>
          </w:tblCellMar>
        </w:tblPrEx>
        <w:trPr>
          <w:trHeight w:val="108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满意度</w:t>
            </w:r>
          </w:p>
        </w:tc>
        <w:tc>
          <w:tcPr>
            <w:tcW w:w="7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服务对象满意度</w:t>
            </w:r>
          </w:p>
        </w:tc>
        <w:tc>
          <w:tcPr>
            <w:tcW w:w="302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反映服务对象或项目受益人对相关产出及其影响的认可程度，根据项目实际细化具体指标。</w:t>
            </w:r>
          </w:p>
        </w:tc>
        <w:tc>
          <w:tcPr>
            <w:tcW w:w="159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对本项目事实满意度好。无异议。</w:t>
            </w:r>
          </w:p>
        </w:tc>
        <w:tc>
          <w:tcPr>
            <w:tcW w:w="1876"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对本项目事实满意度好。无异议</w:t>
            </w:r>
          </w:p>
        </w:tc>
      </w:tr>
    </w:tbl>
    <w:p>
      <w:pPr>
        <w:keepNext w:val="0"/>
        <w:keepLines w:val="0"/>
        <w:widowControl/>
        <w:suppressLineNumbers w:val="0"/>
        <w:snapToGrid w:val="0"/>
        <w:spacing w:before="0" w:beforeAutospacing="0" w:after="0" w:afterAutospacing="0" w:line="580"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w:t>
      </w:r>
    </w:p>
    <w:p>
      <w:pPr>
        <w:keepNext w:val="0"/>
        <w:keepLines w:val="0"/>
        <w:widowControl/>
        <w:suppressLineNumbers w:val="0"/>
        <w:snapToGrid w:val="0"/>
        <w:spacing w:before="0" w:beforeAutospacing="0" w:after="0" w:afterAutospacing="0"/>
        <w:ind w:left="0" w:right="0" w:firstLine="321" w:firstLineChars="100"/>
        <w:jc w:val="left"/>
        <w:rPr>
          <w:rFonts w:hint="default" w:ascii="Calibri" w:hAnsi="Calibri" w:eastAsia="宋体" w:cs="宋体"/>
          <w:kern w:val="0"/>
          <w:sz w:val="24"/>
          <w:szCs w:val="24"/>
        </w:rPr>
      </w:pPr>
      <w:r>
        <w:rPr>
          <w:rFonts w:hint="eastAsia" w:ascii="仿宋_GB2312" w:hAnsi="宋体" w:eastAsia="仿宋_GB2312" w:cs="仿宋_GB2312"/>
          <w:b/>
          <w:kern w:val="0"/>
          <w:sz w:val="32"/>
          <w:szCs w:val="32"/>
          <w:lang w:val="en-US" w:eastAsia="zh-CN" w:bidi="ar"/>
        </w:rPr>
        <w:t>2.退役安置。</w:t>
      </w:r>
      <w:r>
        <w:rPr>
          <w:rFonts w:hint="eastAsia" w:ascii="仿宋_GB2312" w:hAnsi="宋体" w:eastAsia="仿宋_GB2312" w:cs="仿宋_GB2312"/>
          <w:kern w:val="0"/>
          <w:sz w:val="32"/>
          <w:szCs w:val="32"/>
          <w:lang w:val="en-US" w:eastAsia="zh-CN" w:bidi="ar"/>
        </w:rPr>
        <w:t>项目全年预算数524.81万元，执行数为524.81万元，完成预算的100%。通过项目实施，保障退役安置扎实开展。(按照项目总体目标简要描述项目成效），发现的主要问题：无。下一步改进措施：无。</w:t>
      </w:r>
    </w:p>
    <w:tbl>
      <w:tblPr>
        <w:tblStyle w:val="13"/>
        <w:tblW w:w="9522" w:type="dxa"/>
        <w:tblInd w:w="93" w:type="dxa"/>
        <w:shd w:val="clear" w:color="auto" w:fill="auto"/>
        <w:tblLayout w:type="fixed"/>
        <w:tblCellMar>
          <w:top w:w="15" w:type="dxa"/>
          <w:left w:w="15" w:type="dxa"/>
          <w:bottom w:w="15" w:type="dxa"/>
          <w:right w:w="15" w:type="dxa"/>
        </w:tblCellMar>
      </w:tblPr>
      <w:tblGrid>
        <w:gridCol w:w="449"/>
        <w:gridCol w:w="764"/>
        <w:gridCol w:w="1048"/>
        <w:gridCol w:w="764"/>
        <w:gridCol w:w="1182"/>
        <w:gridCol w:w="1752"/>
        <w:gridCol w:w="1632"/>
        <w:gridCol w:w="1931"/>
      </w:tblGrid>
      <w:tr>
        <w:tblPrEx>
          <w:tblCellMar>
            <w:top w:w="15" w:type="dxa"/>
            <w:left w:w="15" w:type="dxa"/>
            <w:bottom w:w="15" w:type="dxa"/>
            <w:right w:w="15" w:type="dxa"/>
          </w:tblCellMar>
        </w:tblPrEx>
        <w:trPr>
          <w:trHeight w:val="285" w:hRule="atLeast"/>
        </w:trPr>
        <w:tc>
          <w:tcPr>
            <w:tcW w:w="9522" w:type="dxa"/>
            <w:gridSpan w:val="8"/>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项目支出绩效目标完成情况表</w:t>
            </w:r>
          </w:p>
        </w:tc>
      </w:tr>
      <w:tr>
        <w:tblPrEx>
          <w:shd w:val="clear" w:color="auto" w:fill="auto"/>
          <w:tblCellMar>
            <w:top w:w="15" w:type="dxa"/>
            <w:left w:w="15" w:type="dxa"/>
            <w:bottom w:w="15" w:type="dxa"/>
            <w:right w:w="15" w:type="dxa"/>
          </w:tblCellMar>
        </w:tblPrEx>
        <w:trPr>
          <w:trHeight w:val="285" w:hRule="atLeast"/>
        </w:trPr>
        <w:tc>
          <w:tcPr>
            <w:tcW w:w="2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项目名称</w:t>
            </w:r>
          </w:p>
        </w:tc>
        <w:tc>
          <w:tcPr>
            <w:tcW w:w="7261"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仿宋_GB2312" w:hAnsi="宋体" w:eastAsia="仿宋_GB2312" w:cs="仿宋_GB2312"/>
                <w:kern w:val="0"/>
                <w:sz w:val="32"/>
                <w:szCs w:val="32"/>
                <w:lang w:val="en-US" w:eastAsia="zh-CN" w:bidi="ar"/>
              </w:rPr>
              <w:t>退役士兵安置</w:t>
            </w:r>
          </w:p>
        </w:tc>
      </w:tr>
      <w:tr>
        <w:tblPrEx>
          <w:shd w:val="clear" w:color="auto" w:fill="auto"/>
          <w:tblCellMar>
            <w:top w:w="15" w:type="dxa"/>
            <w:left w:w="15" w:type="dxa"/>
            <w:bottom w:w="15" w:type="dxa"/>
            <w:right w:w="15" w:type="dxa"/>
          </w:tblCellMar>
        </w:tblPrEx>
        <w:trPr>
          <w:trHeight w:val="285" w:hRule="atLeast"/>
        </w:trPr>
        <w:tc>
          <w:tcPr>
            <w:tcW w:w="2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预算单位</w:t>
            </w:r>
          </w:p>
        </w:tc>
        <w:tc>
          <w:tcPr>
            <w:tcW w:w="7261"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红原县退役军人事务局</w:t>
            </w:r>
          </w:p>
        </w:tc>
      </w:tr>
      <w:tr>
        <w:tblPrEx>
          <w:shd w:val="clear" w:color="auto" w:fill="auto"/>
          <w:tblCellMar>
            <w:top w:w="15" w:type="dxa"/>
            <w:left w:w="15" w:type="dxa"/>
            <w:bottom w:w="15" w:type="dxa"/>
            <w:right w:w="15" w:type="dxa"/>
          </w:tblCellMar>
        </w:tblPrEx>
        <w:trPr>
          <w:trHeight w:val="285" w:hRule="atLeast"/>
        </w:trPr>
        <w:tc>
          <w:tcPr>
            <w:tcW w:w="44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预算执行情况(万元</w:t>
            </w:r>
          </w:p>
        </w:tc>
        <w:tc>
          <w:tcPr>
            <w:tcW w:w="1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预算数:</w:t>
            </w:r>
          </w:p>
        </w:tc>
        <w:tc>
          <w:tcPr>
            <w:tcW w:w="19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524.81</w:t>
            </w:r>
          </w:p>
        </w:tc>
        <w:tc>
          <w:tcPr>
            <w:tcW w:w="175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执行数:</w:t>
            </w:r>
          </w:p>
        </w:tc>
        <w:tc>
          <w:tcPr>
            <w:tcW w:w="3563"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524.81</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其中-财政拨款:</w:t>
            </w:r>
          </w:p>
        </w:tc>
        <w:tc>
          <w:tcPr>
            <w:tcW w:w="19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524.81</w:t>
            </w:r>
          </w:p>
        </w:tc>
        <w:tc>
          <w:tcPr>
            <w:tcW w:w="175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其中-财政拨款:</w:t>
            </w:r>
          </w:p>
        </w:tc>
        <w:tc>
          <w:tcPr>
            <w:tcW w:w="3563"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524.81</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其它资金:</w:t>
            </w:r>
          </w:p>
        </w:tc>
        <w:tc>
          <w:tcPr>
            <w:tcW w:w="19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w:t>
            </w:r>
          </w:p>
        </w:tc>
        <w:tc>
          <w:tcPr>
            <w:tcW w:w="175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其它资金:</w:t>
            </w:r>
          </w:p>
        </w:tc>
        <w:tc>
          <w:tcPr>
            <w:tcW w:w="3563"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w:t>
            </w:r>
          </w:p>
        </w:tc>
      </w:tr>
      <w:tr>
        <w:tblPrEx>
          <w:shd w:val="clear" w:color="auto" w:fill="auto"/>
          <w:tblCellMar>
            <w:top w:w="15" w:type="dxa"/>
            <w:left w:w="15" w:type="dxa"/>
            <w:bottom w:w="15" w:type="dxa"/>
            <w:right w:w="15" w:type="dxa"/>
          </w:tblCellMar>
        </w:tblPrEx>
        <w:trPr>
          <w:trHeight w:val="285" w:hRule="atLeast"/>
        </w:trPr>
        <w:tc>
          <w:tcPr>
            <w:tcW w:w="44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年度目标完成情况</w:t>
            </w:r>
          </w:p>
        </w:tc>
        <w:tc>
          <w:tcPr>
            <w:tcW w:w="257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预期目标</w:t>
            </w:r>
          </w:p>
        </w:tc>
        <w:tc>
          <w:tcPr>
            <w:tcW w:w="6497"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实际完成目标</w:t>
            </w:r>
          </w:p>
        </w:tc>
      </w:tr>
      <w:tr>
        <w:tblPrEx>
          <w:shd w:val="clear" w:color="auto" w:fill="auto"/>
          <w:tblCellMar>
            <w:top w:w="15" w:type="dxa"/>
            <w:left w:w="15" w:type="dxa"/>
            <w:bottom w:w="15" w:type="dxa"/>
            <w:right w:w="15" w:type="dxa"/>
          </w:tblCellMar>
        </w:tblPrEx>
        <w:trPr>
          <w:trHeight w:val="19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57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kern w:val="0"/>
                <w:sz w:val="18"/>
                <w:szCs w:val="18"/>
                <w:lang w:val="en-US" w:eastAsia="zh-CN" w:bidi="ar"/>
              </w:rPr>
              <w:t>及时启动退役士兵安置工作，成立相应的组织机构，计划资金524.81万元</w:t>
            </w:r>
          </w:p>
        </w:tc>
        <w:tc>
          <w:tcPr>
            <w:tcW w:w="6497"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kern w:val="0"/>
                <w:sz w:val="18"/>
                <w:szCs w:val="18"/>
                <w:lang w:val="en-US" w:eastAsia="zh-CN" w:bidi="ar"/>
              </w:rPr>
              <w:t>及时启动退役安置工作，成立相应的组织机构，计划资金524.81万元</w:t>
            </w:r>
          </w:p>
        </w:tc>
      </w:tr>
      <w:tr>
        <w:tblPrEx>
          <w:shd w:val="clear" w:color="auto" w:fill="auto"/>
          <w:tblCellMar>
            <w:top w:w="15" w:type="dxa"/>
            <w:left w:w="15" w:type="dxa"/>
            <w:bottom w:w="15" w:type="dxa"/>
            <w:right w:w="15" w:type="dxa"/>
          </w:tblCellMar>
        </w:tblPrEx>
        <w:trPr>
          <w:trHeight w:val="624" w:hRule="atLeast"/>
        </w:trPr>
        <w:tc>
          <w:tcPr>
            <w:tcW w:w="44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4"/>
                <w:szCs w:val="24"/>
              </w:rPr>
            </w:pPr>
            <w:r>
              <w:rPr>
                <w:rFonts w:hint="eastAsia" w:ascii="仿宋_GB2312" w:hAnsi="宋体" w:eastAsia="仿宋_GB2312" w:cs="仿宋_GB2312"/>
                <w:color w:val="000000"/>
                <w:kern w:val="0"/>
                <w:sz w:val="24"/>
                <w:szCs w:val="24"/>
                <w:lang w:val="en-US" w:eastAsia="zh-CN" w:bidi="ar"/>
              </w:rPr>
              <w:t>绩效指标完成情况</w:t>
            </w: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一级指标</w:t>
            </w: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二级指标</w:t>
            </w:r>
          </w:p>
        </w:tc>
        <w:tc>
          <w:tcPr>
            <w:tcW w:w="764"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三级指标</w:t>
            </w:r>
          </w:p>
        </w:tc>
        <w:tc>
          <w:tcPr>
            <w:tcW w:w="2934" w:type="dxa"/>
            <w:gridSpan w:val="2"/>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指标评价内容</w:t>
            </w:r>
          </w:p>
        </w:tc>
        <w:tc>
          <w:tcPr>
            <w:tcW w:w="1632"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预期指标值(包含数字及文字描述)</w:t>
            </w:r>
          </w:p>
        </w:tc>
        <w:tc>
          <w:tcPr>
            <w:tcW w:w="1931"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实际完成指标值(包含数字及文字描述)</w:t>
            </w:r>
          </w:p>
        </w:tc>
      </w:tr>
      <w:tr>
        <w:tblPrEx>
          <w:shd w:val="clear" w:color="auto" w:fill="auto"/>
          <w:tblCellMar>
            <w:top w:w="15" w:type="dxa"/>
            <w:left w:w="15" w:type="dxa"/>
            <w:bottom w:w="15" w:type="dxa"/>
            <w:right w:w="15" w:type="dxa"/>
          </w:tblCellMar>
        </w:tblPrEx>
        <w:trPr>
          <w:trHeight w:val="624"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4" w:type="dxa"/>
            <w:gridSpan w:val="2"/>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32"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931"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15" w:type="dxa"/>
            <w:left w:w="15" w:type="dxa"/>
            <w:bottom w:w="15" w:type="dxa"/>
            <w:right w:w="15" w:type="dxa"/>
          </w:tblCellMar>
        </w:tblPrEx>
        <w:trPr>
          <w:trHeight w:val="312"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4" w:type="dxa"/>
            <w:gridSpan w:val="2"/>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32"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931"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项目决策</w:t>
            </w: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绩效目标</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目标内容</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项目预期提供的产品、服务、效益或其他目标明确,即绩效目标实际明确个数/应当明确个数×100%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仿宋_GB2312" w:hAnsi="宋体" w:eastAsia="仿宋_GB2312" w:cs="仿宋_GB2312"/>
                <w:kern w:val="0"/>
                <w:sz w:val="18"/>
                <w:szCs w:val="18"/>
                <w:lang w:val="en-US" w:eastAsia="zh-CN" w:bidi="ar"/>
              </w:rPr>
              <w:t>抽调专人1人参加培训等相关工作</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仿宋_GB2312" w:hAnsi="宋体" w:eastAsia="仿宋_GB2312" w:cs="仿宋_GB2312"/>
                <w:kern w:val="0"/>
                <w:sz w:val="18"/>
                <w:szCs w:val="18"/>
                <w:lang w:val="en-US" w:eastAsia="zh-CN" w:bidi="ar"/>
              </w:rPr>
              <w:t>抽调专人1人参加培训等相关工作</w:t>
            </w:r>
          </w:p>
        </w:tc>
      </w:tr>
      <w:tr>
        <w:tblPrEx>
          <w:shd w:val="clear" w:color="auto" w:fill="auto"/>
          <w:tblCellMar>
            <w:top w:w="15" w:type="dxa"/>
            <w:left w:w="15" w:type="dxa"/>
            <w:bottom w:w="15" w:type="dxa"/>
            <w:right w:w="15" w:type="dxa"/>
          </w:tblCellMar>
        </w:tblPrEx>
        <w:trPr>
          <w:trHeight w:val="64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进度计划</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项目计划实施进度明确</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69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目标匹配</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绩效目标设定符合实际需求的抽样项目点个数/抽样项目点总数×100%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决策依据</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政策依据</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项目符合党中央、国务院和省委、省政府决策部署；符合当前经济社会发展需要</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firstLine="200" w:firstLineChars="10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实施规划</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连续性项目根据需要制定中长期实施规划</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仿宋_GB2312" w:hAnsi="宋体" w:eastAsia="仿宋_GB2312" w:cs="仿宋_GB2312"/>
                <w:kern w:val="0"/>
                <w:sz w:val="18"/>
                <w:szCs w:val="18"/>
                <w:lang w:val="en-US" w:eastAsia="zh-CN" w:bidi="ar"/>
              </w:rPr>
              <w:t>事实规划全县区划工作按时完成</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仿宋_GB2312" w:hAnsi="宋体" w:eastAsia="仿宋_GB2312" w:cs="仿宋_GB2312"/>
                <w:kern w:val="0"/>
                <w:sz w:val="18"/>
                <w:szCs w:val="18"/>
                <w:lang w:val="en-US" w:eastAsia="zh-CN" w:bidi="ar"/>
              </w:rPr>
              <w:t>事实规划全县区划工作按时完成</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实施规划符合实际，并根据情况变化适时调整</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符合实际、无调整</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符合实际、无调整</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管理制度</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制定项目资金管理办法</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5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项目资金分配决策程序明确</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资金分配明确</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资金分配明确</w:t>
            </w:r>
          </w:p>
        </w:tc>
      </w:tr>
      <w:tr>
        <w:tblPrEx>
          <w:shd w:val="clear" w:color="auto" w:fill="auto"/>
          <w:tblCellMar>
            <w:top w:w="15" w:type="dxa"/>
            <w:left w:w="15" w:type="dxa"/>
            <w:bottom w:w="15" w:type="dxa"/>
            <w:right w:w="15" w:type="dxa"/>
          </w:tblCellMar>
        </w:tblPrEx>
        <w:trPr>
          <w:trHeight w:val="82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分配方法</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资金分配方法是否科学合理</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15"/>
                <w:szCs w:val="15"/>
                <w:lang w:val="en-US" w:eastAsia="zh-CN" w:bidi="ar"/>
              </w:rPr>
              <w:t>分配过程</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分配过程符合相关规定</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分配结果</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审核把关</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符合申报条件的抽样项目点个数/抽样项目点总数×100%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r>
      <w:tr>
        <w:tblPrEx>
          <w:shd w:val="clear" w:color="auto" w:fill="auto"/>
          <w:tblCellMar>
            <w:top w:w="15" w:type="dxa"/>
            <w:left w:w="15" w:type="dxa"/>
            <w:bottom w:w="15" w:type="dxa"/>
            <w:right w:w="15" w:type="dxa"/>
          </w:tblCellMar>
        </w:tblPrEx>
        <w:trPr>
          <w:trHeight w:val="10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资金集中</w:t>
            </w:r>
          </w:p>
        </w:tc>
        <w:tc>
          <w:tcPr>
            <w:tcW w:w="118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集中</w:t>
            </w:r>
          </w:p>
        </w:tc>
        <w:tc>
          <w:tcPr>
            <w:tcW w:w="175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财政资金占项目资金总额比重较小项目个数/项目总数×100%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r>
      <w:tr>
        <w:tblPrEx>
          <w:shd w:val="clear" w:color="auto" w:fill="auto"/>
          <w:tblCellMar>
            <w:top w:w="15" w:type="dxa"/>
            <w:left w:w="15" w:type="dxa"/>
            <w:bottom w:w="15" w:type="dxa"/>
            <w:right w:w="15" w:type="dxa"/>
          </w:tblCellMar>
        </w:tblPrEx>
        <w:trPr>
          <w:trHeight w:val="73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（均衡）</w:t>
            </w:r>
          </w:p>
        </w:tc>
        <w:tc>
          <w:tcPr>
            <w:tcW w:w="118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均衡</w:t>
            </w:r>
          </w:p>
        </w:tc>
        <w:tc>
          <w:tcPr>
            <w:tcW w:w="175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按实际分配结果选择客观因素测算验证资金分配方法制定、分配要素设定、基础数据应用、测算依据选取等是否科学合理（2分）</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资金分配方法制定、分配要素设定、基础数据应用、测算依据选取等科学合理</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资金分配方法制定、分配要素设定、基础数据应用、测算依据选取等科学合理</w:t>
            </w:r>
          </w:p>
        </w:tc>
      </w:tr>
      <w:tr>
        <w:tblPrEx>
          <w:shd w:val="clear" w:color="auto" w:fill="auto"/>
          <w:tblCellMar>
            <w:top w:w="15" w:type="dxa"/>
            <w:left w:w="15" w:type="dxa"/>
            <w:bottom w:w="15" w:type="dxa"/>
            <w:right w:w="15" w:type="dxa"/>
          </w:tblCellMar>
        </w:tblPrEx>
        <w:trPr>
          <w:trHeight w:val="54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项目管理</w:t>
            </w:r>
          </w:p>
        </w:tc>
        <w:tc>
          <w:tcPr>
            <w:tcW w:w="104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 资金到位</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分配时效</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县级主管部门按规定及时分配资金</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115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资金拨付</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按规定及时拨付资金</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 xml:space="preserve">资金管理  </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使用范围</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资金使用是否合规</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支付依据</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资金支付依据符合规定，即支付依旧合规资金量/资金总量×100%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开支标准</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资金开支标准符合规定，即开支标准合规资金量/资金总量×100%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3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财务管理</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财务制度</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财务制度健全，管理规范</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会计核算</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会计核算规范</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组织实施（4分）</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项目调整</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项目调整严格履行相关手续</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tblCellMar>
            <w:top w:w="15" w:type="dxa"/>
            <w:left w:w="15" w:type="dxa"/>
            <w:bottom w:w="15" w:type="dxa"/>
            <w:right w:w="15" w:type="dxa"/>
          </w:tblCellMar>
        </w:tblPrEx>
        <w:trPr>
          <w:trHeight w:val="85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投资变更</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项目投资变更额/项目总投入×100%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无</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无</w:t>
            </w:r>
          </w:p>
        </w:tc>
      </w:tr>
      <w:tr>
        <w:tblPrEx>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制度执行</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严格执行项目有关制度规定</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项目绩效</w:t>
            </w: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项目完成</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完成数量</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实际完成任务量/绩效目标设定任务量×100%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完成质量</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符合绩效目标设定的验收标准，达到行业基准水平</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9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完成时效</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（实际完成时间-绩效目标设定完成时间）/绩效目标设定完成时间×100%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2019.12</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2019.12</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完成成本</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（实际完成成本-预计完成成本）/预计完成成本×100%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r>
      <w:tr>
        <w:tblPrEx>
          <w:shd w:val="clear" w:color="auto" w:fill="auto"/>
          <w:tblCellMar>
            <w:top w:w="15" w:type="dxa"/>
            <w:left w:w="15" w:type="dxa"/>
            <w:bottom w:w="15" w:type="dxa"/>
            <w:right w:w="15" w:type="dxa"/>
          </w:tblCellMar>
        </w:tblPrEx>
        <w:trPr>
          <w:trHeight w:val="7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项目效益</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经济效益</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反映相关产出对经济社会发展带来的影响和效果，根据项目实际细化具体指标。</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kern w:val="0"/>
                <w:sz w:val="18"/>
                <w:szCs w:val="18"/>
                <w:lang w:val="en-US" w:eastAsia="zh-CN" w:bidi="ar"/>
              </w:rPr>
              <w:t>退役安置实际完成资金支付524.81万元</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kern w:val="0"/>
                <w:sz w:val="18"/>
                <w:szCs w:val="18"/>
                <w:lang w:val="en-US" w:eastAsia="zh-CN" w:bidi="ar"/>
              </w:rPr>
              <w:t>退役安置实际完成资金支付524.81万元</w:t>
            </w:r>
          </w:p>
        </w:tc>
      </w:tr>
      <w:tr>
        <w:tblPrEx>
          <w:shd w:val="clear" w:color="auto" w:fill="auto"/>
          <w:tblCellMar>
            <w:top w:w="15" w:type="dxa"/>
            <w:left w:w="15" w:type="dxa"/>
            <w:bottom w:w="15" w:type="dxa"/>
            <w:right w:w="15" w:type="dxa"/>
          </w:tblCellMar>
        </w:tblPrEx>
        <w:trPr>
          <w:trHeight w:val="73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社会效益</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反映相关产出对社会发展带来的影响和效果，根据项目实际细化具体指标。</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kern w:val="0"/>
                <w:sz w:val="18"/>
                <w:szCs w:val="18"/>
                <w:lang w:val="en-US" w:eastAsia="zh-CN" w:bidi="ar"/>
              </w:rPr>
              <w:t>及时启动退役安置工作，成立相应的组织机构，计划资金524.81万元</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kern w:val="0"/>
                <w:sz w:val="18"/>
                <w:szCs w:val="18"/>
                <w:lang w:val="en-US" w:eastAsia="zh-CN" w:bidi="ar"/>
              </w:rPr>
              <w:t>及时启动退役安置工作，成立相应的组织机构，计划资金524.81万元</w:t>
            </w:r>
          </w:p>
        </w:tc>
      </w:tr>
      <w:tr>
        <w:tblPrEx>
          <w:shd w:val="clear" w:color="auto" w:fill="auto"/>
          <w:tblCellMar>
            <w:top w:w="15" w:type="dxa"/>
            <w:left w:w="15" w:type="dxa"/>
            <w:bottom w:w="15" w:type="dxa"/>
            <w:right w:w="15" w:type="dxa"/>
          </w:tblCellMar>
        </w:tblPrEx>
        <w:trPr>
          <w:trHeight w:val="7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生态效益</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反映相关产出对自然环境带来的影响和效果，根据项目实际细化具体指标。</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无</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无</w:t>
            </w:r>
          </w:p>
        </w:tc>
      </w:tr>
      <w:tr>
        <w:tblPrEx>
          <w:shd w:val="clear" w:color="auto" w:fill="auto"/>
          <w:tblCellMar>
            <w:top w:w="15" w:type="dxa"/>
            <w:left w:w="15" w:type="dxa"/>
            <w:bottom w:w="15" w:type="dxa"/>
            <w:right w:w="15" w:type="dxa"/>
          </w:tblCellMar>
        </w:tblPrEx>
        <w:trPr>
          <w:trHeight w:val="75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可持续效益</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反映相关产出带来影响的可持续期限，根据项目实际细化具体指标。</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退役安置工作有序推进</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退役安置工作有序推进</w:t>
            </w:r>
          </w:p>
        </w:tc>
      </w:tr>
      <w:tr>
        <w:tblPrEx>
          <w:shd w:val="clear" w:color="auto" w:fill="auto"/>
          <w:tblCellMar>
            <w:top w:w="15" w:type="dxa"/>
            <w:left w:w="15" w:type="dxa"/>
            <w:bottom w:w="15" w:type="dxa"/>
            <w:right w:w="15" w:type="dxa"/>
          </w:tblCellMar>
        </w:tblPrEx>
        <w:trPr>
          <w:trHeight w:val="108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满意度</w:t>
            </w:r>
          </w:p>
        </w:tc>
        <w:tc>
          <w:tcPr>
            <w:tcW w:w="7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服务对象满意度</w:t>
            </w:r>
          </w:p>
        </w:tc>
        <w:tc>
          <w:tcPr>
            <w:tcW w:w="293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反映服务对象或项目受益人对相关产出及其影响的认可程度，根据项目实际细化具体指标。</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对本项目事实满意度好。无异议</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对本项目事实满意度好。无异议</w:t>
            </w:r>
          </w:p>
        </w:tc>
      </w:tr>
    </w:tbl>
    <w:p>
      <w:pPr>
        <w:keepNext w:val="0"/>
        <w:keepLines w:val="0"/>
        <w:widowControl/>
        <w:suppressLineNumbers w:val="0"/>
        <w:snapToGrid w:val="0"/>
        <w:spacing w:before="0" w:beforeAutospacing="0" w:after="0" w:afterAutospacing="0" w:line="580"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w:t>
      </w:r>
    </w:p>
    <w:p>
      <w:pPr>
        <w:keepNext w:val="0"/>
        <w:keepLines w:val="0"/>
        <w:widowControl/>
        <w:suppressLineNumbers w:val="0"/>
        <w:snapToGrid w:val="0"/>
        <w:spacing w:before="0" w:beforeAutospacing="0" w:after="0" w:afterAutospacing="0" w:line="580" w:lineRule="exact"/>
        <w:ind w:left="420" w:leftChars="200" w:right="0" w:firstLine="321" w:firstLineChars="100"/>
        <w:jc w:val="left"/>
        <w:rPr>
          <w:rFonts w:hint="eastAsia" w:ascii="仿宋_GB2312" w:eastAsia="仿宋_GB2312" w:cs="仿宋_GB2312"/>
          <w:kern w:val="0"/>
          <w:sz w:val="32"/>
          <w:szCs w:val="32"/>
        </w:rPr>
      </w:pPr>
      <w:r>
        <w:rPr>
          <w:rFonts w:hint="eastAsia" w:ascii="仿宋_GB2312" w:hAnsi="宋体" w:eastAsia="仿宋_GB2312" w:cs="仿宋_GB2312"/>
          <w:b/>
          <w:kern w:val="0"/>
          <w:sz w:val="32"/>
          <w:szCs w:val="32"/>
          <w:lang w:val="en-US" w:eastAsia="zh-CN" w:bidi="ar"/>
        </w:rPr>
        <w:t>3.其他生活救助。</w:t>
      </w:r>
      <w:r>
        <w:rPr>
          <w:rFonts w:hint="eastAsia" w:ascii="仿宋_GB2312" w:hAnsi="宋体" w:eastAsia="仿宋_GB2312" w:cs="仿宋_GB2312"/>
          <w:kern w:val="0"/>
          <w:sz w:val="32"/>
          <w:szCs w:val="32"/>
          <w:lang w:val="en-US" w:eastAsia="zh-CN" w:bidi="ar"/>
        </w:rPr>
        <w:t>项目全年预算数0.08万元，执行数为0.08万元，完成预算的100%。通过项目实施，切实保障困难军人基本生活(按照项目总体目标简要描述项目成效），发现的主要问题：无。下一步改进措施：无</w:t>
      </w:r>
    </w:p>
    <w:p>
      <w:pPr>
        <w:keepNext w:val="0"/>
        <w:keepLines w:val="0"/>
        <w:widowControl/>
        <w:suppressLineNumbers w:val="0"/>
        <w:snapToGrid w:val="0"/>
        <w:spacing w:before="0" w:beforeAutospacing="0" w:after="0" w:afterAutospacing="0"/>
        <w:ind w:left="0" w:right="0"/>
        <w:jc w:val="left"/>
        <w:rPr>
          <w:rFonts w:hint="default" w:ascii="Calibri" w:hAnsi="Calibri" w:eastAsia="宋体" w:cs="宋体"/>
          <w:kern w:val="0"/>
          <w:sz w:val="24"/>
          <w:szCs w:val="24"/>
        </w:rPr>
      </w:pPr>
      <w:r>
        <w:rPr>
          <w:rFonts w:hint="default" w:ascii="Calibri" w:hAnsi="Calibri" w:eastAsia="宋体" w:cs="宋体"/>
          <w:kern w:val="0"/>
          <w:sz w:val="24"/>
          <w:szCs w:val="24"/>
          <w:lang w:val="en-US" w:eastAsia="zh-CN" w:bidi="ar"/>
        </w:rPr>
        <w:t xml:space="preserve"> </w:t>
      </w:r>
    </w:p>
    <w:tbl>
      <w:tblPr>
        <w:tblStyle w:val="13"/>
        <w:tblW w:w="9522" w:type="dxa"/>
        <w:tblInd w:w="93" w:type="dxa"/>
        <w:shd w:val="clear" w:color="auto" w:fill="auto"/>
        <w:tblLayout w:type="fixed"/>
        <w:tblCellMar>
          <w:top w:w="15" w:type="dxa"/>
          <w:left w:w="15" w:type="dxa"/>
          <w:bottom w:w="15" w:type="dxa"/>
          <w:right w:w="15" w:type="dxa"/>
        </w:tblCellMar>
      </w:tblPr>
      <w:tblGrid>
        <w:gridCol w:w="449"/>
        <w:gridCol w:w="764"/>
        <w:gridCol w:w="1048"/>
        <w:gridCol w:w="764"/>
        <w:gridCol w:w="1182"/>
        <w:gridCol w:w="1752"/>
        <w:gridCol w:w="1632"/>
        <w:gridCol w:w="1931"/>
      </w:tblGrid>
      <w:tr>
        <w:tblPrEx>
          <w:shd w:val="clear" w:color="auto" w:fill="auto"/>
          <w:tblCellMar>
            <w:top w:w="15" w:type="dxa"/>
            <w:left w:w="15" w:type="dxa"/>
            <w:bottom w:w="15" w:type="dxa"/>
            <w:right w:w="15" w:type="dxa"/>
          </w:tblCellMar>
        </w:tblPrEx>
        <w:trPr>
          <w:trHeight w:val="285" w:hRule="atLeast"/>
        </w:trPr>
        <w:tc>
          <w:tcPr>
            <w:tcW w:w="9522" w:type="dxa"/>
            <w:gridSpan w:val="8"/>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项目支出绩效目标完成情况表</w:t>
            </w:r>
          </w:p>
        </w:tc>
      </w:tr>
      <w:tr>
        <w:tblPrEx>
          <w:shd w:val="clear" w:color="auto" w:fill="auto"/>
          <w:tblCellMar>
            <w:top w:w="15" w:type="dxa"/>
            <w:left w:w="15" w:type="dxa"/>
            <w:bottom w:w="15" w:type="dxa"/>
            <w:right w:w="15" w:type="dxa"/>
          </w:tblCellMar>
        </w:tblPrEx>
        <w:trPr>
          <w:trHeight w:val="285" w:hRule="atLeast"/>
        </w:trPr>
        <w:tc>
          <w:tcPr>
            <w:tcW w:w="2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项目名称</w:t>
            </w:r>
          </w:p>
        </w:tc>
        <w:tc>
          <w:tcPr>
            <w:tcW w:w="7261"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其他生活救助</w:t>
            </w:r>
          </w:p>
        </w:tc>
      </w:tr>
      <w:tr>
        <w:tblPrEx>
          <w:shd w:val="clear" w:color="auto" w:fill="auto"/>
          <w:tblCellMar>
            <w:top w:w="15" w:type="dxa"/>
            <w:left w:w="15" w:type="dxa"/>
            <w:bottom w:w="15" w:type="dxa"/>
            <w:right w:w="15" w:type="dxa"/>
          </w:tblCellMar>
        </w:tblPrEx>
        <w:trPr>
          <w:trHeight w:val="285" w:hRule="atLeast"/>
        </w:trPr>
        <w:tc>
          <w:tcPr>
            <w:tcW w:w="2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预算单位</w:t>
            </w:r>
          </w:p>
        </w:tc>
        <w:tc>
          <w:tcPr>
            <w:tcW w:w="7261"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红原县退役军人事务局</w:t>
            </w:r>
          </w:p>
        </w:tc>
      </w:tr>
      <w:tr>
        <w:tblPrEx>
          <w:shd w:val="clear" w:color="auto" w:fill="auto"/>
          <w:tblCellMar>
            <w:top w:w="15" w:type="dxa"/>
            <w:left w:w="15" w:type="dxa"/>
            <w:bottom w:w="15" w:type="dxa"/>
            <w:right w:w="15" w:type="dxa"/>
          </w:tblCellMar>
        </w:tblPrEx>
        <w:trPr>
          <w:trHeight w:val="285" w:hRule="atLeast"/>
        </w:trPr>
        <w:tc>
          <w:tcPr>
            <w:tcW w:w="44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预算执行情况(万元</w:t>
            </w:r>
          </w:p>
        </w:tc>
        <w:tc>
          <w:tcPr>
            <w:tcW w:w="1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预算数:</w:t>
            </w:r>
          </w:p>
        </w:tc>
        <w:tc>
          <w:tcPr>
            <w:tcW w:w="19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0.08</w:t>
            </w:r>
          </w:p>
        </w:tc>
        <w:tc>
          <w:tcPr>
            <w:tcW w:w="175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执行数:</w:t>
            </w:r>
          </w:p>
        </w:tc>
        <w:tc>
          <w:tcPr>
            <w:tcW w:w="3563"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0.08</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其中-财政拨款:</w:t>
            </w:r>
          </w:p>
        </w:tc>
        <w:tc>
          <w:tcPr>
            <w:tcW w:w="19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0.08</w:t>
            </w:r>
          </w:p>
        </w:tc>
        <w:tc>
          <w:tcPr>
            <w:tcW w:w="175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其中-财政拨款:</w:t>
            </w:r>
          </w:p>
        </w:tc>
        <w:tc>
          <w:tcPr>
            <w:tcW w:w="3563"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0.08</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其它资金:</w:t>
            </w:r>
          </w:p>
        </w:tc>
        <w:tc>
          <w:tcPr>
            <w:tcW w:w="19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w:t>
            </w:r>
          </w:p>
        </w:tc>
        <w:tc>
          <w:tcPr>
            <w:tcW w:w="175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其它资金:</w:t>
            </w:r>
          </w:p>
        </w:tc>
        <w:tc>
          <w:tcPr>
            <w:tcW w:w="3563"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w:t>
            </w:r>
          </w:p>
        </w:tc>
      </w:tr>
      <w:tr>
        <w:tblPrEx>
          <w:shd w:val="clear" w:color="auto" w:fill="auto"/>
          <w:tblCellMar>
            <w:top w:w="15" w:type="dxa"/>
            <w:left w:w="15" w:type="dxa"/>
            <w:bottom w:w="15" w:type="dxa"/>
            <w:right w:w="15" w:type="dxa"/>
          </w:tblCellMar>
        </w:tblPrEx>
        <w:trPr>
          <w:trHeight w:val="285" w:hRule="atLeast"/>
        </w:trPr>
        <w:tc>
          <w:tcPr>
            <w:tcW w:w="44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年度目标完成情况</w:t>
            </w:r>
          </w:p>
        </w:tc>
        <w:tc>
          <w:tcPr>
            <w:tcW w:w="257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预期目标</w:t>
            </w:r>
          </w:p>
        </w:tc>
        <w:tc>
          <w:tcPr>
            <w:tcW w:w="6497"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实际完成目标</w:t>
            </w:r>
          </w:p>
        </w:tc>
      </w:tr>
      <w:tr>
        <w:tblPrEx>
          <w:shd w:val="clear" w:color="auto" w:fill="auto"/>
          <w:tblCellMar>
            <w:top w:w="15" w:type="dxa"/>
            <w:left w:w="15" w:type="dxa"/>
            <w:bottom w:w="15" w:type="dxa"/>
            <w:right w:w="15" w:type="dxa"/>
          </w:tblCellMar>
        </w:tblPrEx>
        <w:trPr>
          <w:trHeight w:val="19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57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救助因病因灾等导致的困难军人目标人数200-300人</w:t>
            </w:r>
          </w:p>
        </w:tc>
        <w:tc>
          <w:tcPr>
            <w:tcW w:w="6497"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2019年实际完成目标人数救助26人</w:t>
            </w:r>
          </w:p>
        </w:tc>
      </w:tr>
      <w:tr>
        <w:tblPrEx>
          <w:shd w:val="clear" w:color="auto" w:fill="auto"/>
          <w:tblCellMar>
            <w:top w:w="15" w:type="dxa"/>
            <w:left w:w="15" w:type="dxa"/>
            <w:bottom w:w="15" w:type="dxa"/>
            <w:right w:w="15" w:type="dxa"/>
          </w:tblCellMar>
        </w:tblPrEx>
        <w:trPr>
          <w:trHeight w:val="624" w:hRule="atLeast"/>
        </w:trPr>
        <w:tc>
          <w:tcPr>
            <w:tcW w:w="44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4"/>
                <w:szCs w:val="24"/>
              </w:rPr>
            </w:pPr>
            <w:r>
              <w:rPr>
                <w:rFonts w:hint="eastAsia" w:ascii="仿宋_GB2312" w:hAnsi="宋体" w:eastAsia="仿宋_GB2312" w:cs="仿宋_GB2312"/>
                <w:color w:val="000000"/>
                <w:kern w:val="0"/>
                <w:sz w:val="24"/>
                <w:szCs w:val="24"/>
                <w:lang w:val="en-US" w:eastAsia="zh-CN" w:bidi="ar"/>
              </w:rPr>
              <w:t>绩效指标完成情况</w:t>
            </w: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一级指标</w:t>
            </w: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二级指标</w:t>
            </w:r>
          </w:p>
        </w:tc>
        <w:tc>
          <w:tcPr>
            <w:tcW w:w="764"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三级指标</w:t>
            </w:r>
          </w:p>
        </w:tc>
        <w:tc>
          <w:tcPr>
            <w:tcW w:w="2934" w:type="dxa"/>
            <w:gridSpan w:val="2"/>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指标评价内容</w:t>
            </w:r>
          </w:p>
        </w:tc>
        <w:tc>
          <w:tcPr>
            <w:tcW w:w="1632"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预期指标值(包含数字及文字描述)</w:t>
            </w:r>
          </w:p>
        </w:tc>
        <w:tc>
          <w:tcPr>
            <w:tcW w:w="1931"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实际完成指标值(包含数字及文字描述)</w:t>
            </w:r>
          </w:p>
        </w:tc>
      </w:tr>
      <w:tr>
        <w:tblPrEx>
          <w:shd w:val="clear" w:color="auto" w:fill="auto"/>
          <w:tblCellMar>
            <w:top w:w="15" w:type="dxa"/>
            <w:left w:w="15" w:type="dxa"/>
            <w:bottom w:w="15" w:type="dxa"/>
            <w:right w:w="15" w:type="dxa"/>
          </w:tblCellMar>
        </w:tblPrEx>
        <w:trPr>
          <w:trHeight w:val="624"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4" w:type="dxa"/>
            <w:gridSpan w:val="2"/>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32"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931"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15" w:type="dxa"/>
            <w:left w:w="15" w:type="dxa"/>
            <w:bottom w:w="15" w:type="dxa"/>
            <w:right w:w="15" w:type="dxa"/>
          </w:tblCellMar>
        </w:tblPrEx>
        <w:trPr>
          <w:trHeight w:val="624"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4" w:type="dxa"/>
            <w:gridSpan w:val="2"/>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32"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931"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项目决策</w:t>
            </w: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绩效目标</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目标内容</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项目预期提供的产品、服务、效益或其他目标明确,即绩效目标实际明确个数/应当明确个数×100%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预期指标值全年20-30人</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全年完成共救助困难军人26人</w:t>
            </w:r>
          </w:p>
        </w:tc>
      </w:tr>
      <w:tr>
        <w:tblPrEx>
          <w:shd w:val="clear" w:color="auto" w:fill="auto"/>
          <w:tblCellMar>
            <w:top w:w="15" w:type="dxa"/>
            <w:left w:w="15" w:type="dxa"/>
            <w:bottom w:w="15" w:type="dxa"/>
            <w:right w:w="15" w:type="dxa"/>
          </w:tblCellMar>
        </w:tblPrEx>
        <w:trPr>
          <w:trHeight w:val="64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进度计划</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项目计划实施进度明确</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69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目标匹配</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绩效目标设定符合实际需求的抽样项目点个数/抽样项目点总数×100%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r>
      <w:tr>
        <w:tblPrEx>
          <w:shd w:val="clear" w:color="auto" w:fill="auto"/>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决策依据</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政策依据</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项目符合党中央、国务院和省委、省政府决策部署；符合当前经济社会发展需要</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实施规划</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连续性项目根据需要制定中长期实施规划</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仿宋_GB2312" w:hAnsi="宋体" w:eastAsia="仿宋_GB2312" w:cs="仿宋_GB2312"/>
                <w:kern w:val="0"/>
                <w:sz w:val="18"/>
                <w:szCs w:val="18"/>
                <w:lang w:val="en-US" w:eastAsia="zh-CN" w:bidi="ar"/>
              </w:rPr>
              <w:t>事实规划全县军人生活救助按时完成</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仿宋_GB2312" w:hAnsi="宋体" w:eastAsia="仿宋_GB2312" w:cs="仿宋_GB2312"/>
                <w:kern w:val="0"/>
                <w:sz w:val="18"/>
                <w:szCs w:val="18"/>
                <w:lang w:val="en-US" w:eastAsia="zh-CN" w:bidi="ar"/>
              </w:rPr>
              <w:t>事实规划全县军人生活救助按时完成</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实施规划符合实际，并根据情况变化适时调整</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管理制度</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制定项目资金管理办法</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5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项目资金分配决策程序明确</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82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分配方法</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资金分配方法是否科学合理</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分配过程</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分配过程符合相关规定</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分配结果</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审核把关</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符合申报条件的抽样项目点个数/抽样项目点总数×100%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r>
      <w:tr>
        <w:tblPrEx>
          <w:shd w:val="clear" w:color="auto" w:fill="auto"/>
          <w:tblCellMar>
            <w:top w:w="15" w:type="dxa"/>
            <w:left w:w="15" w:type="dxa"/>
            <w:bottom w:w="15" w:type="dxa"/>
            <w:right w:w="15" w:type="dxa"/>
          </w:tblCellMar>
        </w:tblPrEx>
        <w:trPr>
          <w:trHeight w:val="10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资金集中</w:t>
            </w:r>
          </w:p>
        </w:tc>
        <w:tc>
          <w:tcPr>
            <w:tcW w:w="118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集中</w:t>
            </w:r>
          </w:p>
        </w:tc>
        <w:tc>
          <w:tcPr>
            <w:tcW w:w="175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财政资金占项目资金总额比重较小项目个数/项目总数×100%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r>
      <w:tr>
        <w:tblPrEx>
          <w:shd w:val="clear" w:color="auto" w:fill="auto"/>
          <w:tblCellMar>
            <w:top w:w="15" w:type="dxa"/>
            <w:left w:w="15" w:type="dxa"/>
            <w:bottom w:w="15" w:type="dxa"/>
            <w:right w:w="15" w:type="dxa"/>
          </w:tblCellMar>
        </w:tblPrEx>
        <w:trPr>
          <w:trHeight w:val="1491"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（均衡）</w:t>
            </w:r>
          </w:p>
        </w:tc>
        <w:tc>
          <w:tcPr>
            <w:tcW w:w="118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均衡</w:t>
            </w:r>
          </w:p>
        </w:tc>
        <w:tc>
          <w:tcPr>
            <w:tcW w:w="175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按实际分配结果选择客观因素测算验证资金分配方法制定、分配要素设定、基础数据应用、测算依据选取等是否科学合理（2分）</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资金分配方法制定、分配要素设定、基础数据应用、测算依据选取等科学合理</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资金分配方法制定、分配要素设定、基础数据应用、测算依据选取等科学合理</w:t>
            </w:r>
          </w:p>
        </w:tc>
      </w:tr>
      <w:tr>
        <w:tblPrEx>
          <w:shd w:val="clear" w:color="auto" w:fill="auto"/>
          <w:tblCellMar>
            <w:top w:w="15" w:type="dxa"/>
            <w:left w:w="15" w:type="dxa"/>
            <w:bottom w:w="15" w:type="dxa"/>
            <w:right w:w="15" w:type="dxa"/>
          </w:tblCellMar>
        </w:tblPrEx>
        <w:trPr>
          <w:trHeight w:val="54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项目管理</w:t>
            </w:r>
          </w:p>
        </w:tc>
        <w:tc>
          <w:tcPr>
            <w:tcW w:w="104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 资金到位</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分配时效</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县级主管部门按规定及时分配资金</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509"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资金拨付</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按规定及时拨付资金</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 xml:space="preserve">资金管理  </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使用范围</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资金使用是否合规</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支付依据</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资金支付依据符合规定，即支付依旧合规资金量/资金总量×100%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开支标准</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资金开支标准符合规定，即开支标准合规资金量/资金总量×100%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3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财务管理</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财务制度</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财务制度健全，管理规范</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会计核算</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会计核算规范</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组织实施（4分）</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项目调整</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项目调整严格履行相关手续</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85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投资变更</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项目投资变更额/项目总投入×100%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无变更</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无变更</w:t>
            </w:r>
          </w:p>
        </w:tc>
      </w:tr>
      <w:tr>
        <w:tblPrEx>
          <w:tblCellMar>
            <w:top w:w="15" w:type="dxa"/>
            <w:left w:w="15" w:type="dxa"/>
            <w:bottom w:w="15" w:type="dxa"/>
            <w:right w:w="15" w:type="dxa"/>
          </w:tblCellMar>
        </w:tblPrEx>
        <w:trPr>
          <w:trHeight w:val="76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制度执行</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严格执行项目有关制度规定</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项目绩效</w:t>
            </w: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项目完成</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完成数量</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实际完成任务量/绩效目标设定任务量×100%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r>
      <w:tr>
        <w:tblPrEx>
          <w:shd w:val="clear" w:color="auto" w:fill="auto"/>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完成质量</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符合绩效目标设定的验收标准，达到行业基准水平</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9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完成时效</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（实际完成时间-绩效目标设定完成时间）/绩效目标设定完成时间×100%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2019.12</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2019.12</w:t>
            </w:r>
          </w:p>
        </w:tc>
      </w:tr>
      <w:tr>
        <w:tblPrEx>
          <w:tblCellMar>
            <w:top w:w="15" w:type="dxa"/>
            <w:left w:w="15" w:type="dxa"/>
            <w:bottom w:w="15" w:type="dxa"/>
            <w:right w:w="15" w:type="dxa"/>
          </w:tblCellMar>
        </w:tblPrEx>
        <w:trPr>
          <w:trHeight w:val="28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完成成本</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（实际完成成本-预计完成成本）/预计完成成本×100%</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r>
      <w:tr>
        <w:tblPrEx>
          <w:shd w:val="clear" w:color="auto" w:fill="auto"/>
          <w:tblCellMar>
            <w:top w:w="15" w:type="dxa"/>
            <w:left w:w="15" w:type="dxa"/>
            <w:bottom w:w="15" w:type="dxa"/>
            <w:right w:w="15" w:type="dxa"/>
          </w:tblCellMar>
        </w:tblPrEx>
        <w:trPr>
          <w:trHeight w:val="7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项目效益</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经济效益</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反映相关产出对经济社会发展带来的影响和效果，根据项目实际细化具体指标。</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保障困难军人救急难。确保资金安全发放，让困难军人及时领到资金</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保障困难军人救急难。确保资金安全发放，让困难军人及时领到资金</w:t>
            </w:r>
          </w:p>
        </w:tc>
      </w:tr>
      <w:tr>
        <w:tblPrEx>
          <w:shd w:val="clear" w:color="auto" w:fill="auto"/>
          <w:tblCellMar>
            <w:top w:w="15" w:type="dxa"/>
            <w:left w:w="15" w:type="dxa"/>
            <w:bottom w:w="15" w:type="dxa"/>
            <w:right w:w="15" w:type="dxa"/>
          </w:tblCellMar>
        </w:tblPrEx>
        <w:trPr>
          <w:trHeight w:val="735"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社会效益</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反映相关产出对社会发展带来的影响和效果，根据项目实际细化具体指标。</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16"/>
                <w:szCs w:val="16"/>
                <w:lang w:val="en-US" w:eastAsia="zh-CN" w:bidi="ar"/>
              </w:rPr>
              <w:t>助对象中对符合“救急难”的对象按照程序实现最快、有效的救助</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16"/>
                <w:szCs w:val="16"/>
                <w:lang w:val="en-US" w:eastAsia="zh-CN" w:bidi="ar"/>
              </w:rPr>
              <w:t>救助对象中对符合“救急难”的对象按照程序实现最快、有效的救助</w:t>
            </w:r>
          </w:p>
        </w:tc>
      </w:tr>
      <w:tr>
        <w:tblPrEx>
          <w:shd w:val="clear" w:color="auto" w:fill="auto"/>
          <w:tblCellMar>
            <w:top w:w="15" w:type="dxa"/>
            <w:left w:w="15" w:type="dxa"/>
            <w:bottom w:w="15" w:type="dxa"/>
            <w:right w:w="15" w:type="dxa"/>
          </w:tblCellMar>
        </w:tblPrEx>
        <w:trPr>
          <w:trHeight w:val="72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生态效益</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反映相关产出对自然环境带来的影响和效果，根据项目实际细化具体指标。</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lang w:val="en-US" w:eastAsia="zh-CN" w:bidi="ar"/>
              </w:rPr>
              <w:t>救助对象中对符合“救急难”的对象按照程序实现最快、有效的救助</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lang w:val="en-US" w:eastAsia="zh-CN" w:bidi="ar"/>
              </w:rPr>
              <w:t>救助对象中对符合“救急难”的对象按照程序实现最快、有效的救助</w:t>
            </w:r>
          </w:p>
        </w:tc>
      </w:tr>
      <w:tr>
        <w:tblPrEx>
          <w:shd w:val="clear" w:color="auto" w:fill="auto"/>
          <w:tblCellMar>
            <w:top w:w="15" w:type="dxa"/>
            <w:left w:w="15" w:type="dxa"/>
            <w:bottom w:w="15" w:type="dxa"/>
            <w:right w:w="15" w:type="dxa"/>
          </w:tblCellMar>
        </w:tblPrEx>
        <w:trPr>
          <w:trHeight w:val="75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可持续效益</w:t>
            </w:r>
          </w:p>
        </w:tc>
        <w:tc>
          <w:tcPr>
            <w:tcW w:w="2934"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反映相关产出带来影响的可持续期限，根据项目实际细化具体指标。</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救助工作有序推进</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救助工作有序推进</w:t>
            </w:r>
          </w:p>
        </w:tc>
      </w:tr>
      <w:tr>
        <w:tblPrEx>
          <w:shd w:val="clear" w:color="auto" w:fill="auto"/>
          <w:tblCellMar>
            <w:top w:w="15" w:type="dxa"/>
            <w:left w:w="15" w:type="dxa"/>
            <w:bottom w:w="15" w:type="dxa"/>
            <w:right w:w="15" w:type="dxa"/>
          </w:tblCellMar>
        </w:tblPrEx>
        <w:trPr>
          <w:trHeight w:val="1080" w:hRule="atLeast"/>
        </w:trPr>
        <w:tc>
          <w:tcPr>
            <w:tcW w:w="44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满意度</w:t>
            </w:r>
          </w:p>
        </w:tc>
        <w:tc>
          <w:tcPr>
            <w:tcW w:w="7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服务对象满意度</w:t>
            </w:r>
          </w:p>
        </w:tc>
        <w:tc>
          <w:tcPr>
            <w:tcW w:w="293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反映服务对象或项目受益人对相关产出及其影响的认可程度，根据项目实际细化具体指标。</w:t>
            </w:r>
          </w:p>
        </w:tc>
        <w:tc>
          <w:tcPr>
            <w:tcW w:w="1632"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对本项目事实满意度好。无异议</w:t>
            </w:r>
          </w:p>
        </w:tc>
        <w:tc>
          <w:tcPr>
            <w:tcW w:w="19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对本项目事实满意度好。无异议</w:t>
            </w:r>
          </w:p>
        </w:tc>
      </w:tr>
    </w:tbl>
    <w:p>
      <w:pPr>
        <w:keepNext w:val="0"/>
        <w:keepLines w:val="0"/>
        <w:widowControl/>
        <w:suppressLineNumbers w:val="0"/>
        <w:snapToGrid w:val="0"/>
        <w:spacing w:before="0" w:beforeAutospacing="0" w:after="0" w:afterAutospacing="0" w:line="580" w:lineRule="exact"/>
        <w:ind w:left="420" w:leftChars="20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w:t>
      </w:r>
    </w:p>
    <w:p>
      <w:pPr>
        <w:keepNext w:val="0"/>
        <w:keepLines w:val="0"/>
        <w:widowControl/>
        <w:suppressLineNumbers w:val="0"/>
        <w:snapToGrid w:val="0"/>
        <w:spacing w:before="0" w:beforeAutospacing="0" w:after="0" w:afterAutospacing="0" w:line="580" w:lineRule="exact"/>
        <w:ind w:left="0" w:right="0" w:firstLine="643" w:firstLineChars="200"/>
        <w:jc w:val="left"/>
        <w:rPr>
          <w:rFonts w:hint="eastAsia" w:ascii="仿宋_GB2312" w:eastAsia="仿宋_GB2312" w:cs="仿宋_GB2312"/>
          <w:kern w:val="0"/>
          <w:sz w:val="32"/>
          <w:szCs w:val="32"/>
        </w:rPr>
      </w:pPr>
      <w:r>
        <w:rPr>
          <w:rFonts w:hint="eastAsia" w:ascii="仿宋_GB2312" w:hAnsi="宋体" w:eastAsia="仿宋_GB2312" w:cs="仿宋_GB2312"/>
          <w:b/>
          <w:kern w:val="0"/>
          <w:sz w:val="32"/>
          <w:szCs w:val="32"/>
          <w:lang w:val="en-US" w:eastAsia="zh-CN" w:bidi="ar"/>
        </w:rPr>
        <w:t>4.拥军优属项目绩效目标完成情况综述</w:t>
      </w:r>
      <w:r>
        <w:rPr>
          <w:rFonts w:hint="eastAsia" w:ascii="仿宋_GB2312" w:hAnsi="宋体" w:eastAsia="仿宋_GB2312" w:cs="仿宋_GB2312"/>
          <w:kern w:val="0"/>
          <w:sz w:val="32"/>
          <w:szCs w:val="32"/>
          <w:lang w:val="en-US" w:eastAsia="zh-CN" w:bidi="ar"/>
        </w:rPr>
        <w:t>。项目全年预算数5.23万元，执行数为5.23元，完成预算的100%。通过项目实施，(按照项目总体目标简要描述项目成效），发现的主要问题：无。下一步改进措施：无</w:t>
      </w:r>
    </w:p>
    <w:p>
      <w:pPr>
        <w:keepNext w:val="0"/>
        <w:keepLines w:val="0"/>
        <w:widowControl/>
        <w:suppressLineNumbers w:val="0"/>
        <w:snapToGrid w:val="0"/>
        <w:spacing w:before="0" w:beforeAutospacing="0" w:after="0" w:afterAutospacing="0"/>
        <w:ind w:left="0" w:right="0"/>
        <w:jc w:val="left"/>
        <w:rPr>
          <w:rFonts w:hint="default" w:ascii="Calibri" w:hAnsi="Calibri" w:eastAsia="宋体" w:cs="宋体"/>
          <w:kern w:val="0"/>
          <w:sz w:val="24"/>
          <w:szCs w:val="24"/>
        </w:rPr>
      </w:pPr>
      <w:r>
        <w:rPr>
          <w:rFonts w:hint="default" w:ascii="Calibri" w:hAnsi="Calibri" w:eastAsia="宋体" w:cs="宋体"/>
          <w:kern w:val="0"/>
          <w:sz w:val="24"/>
          <w:szCs w:val="24"/>
          <w:lang w:val="en-US" w:eastAsia="zh-CN" w:bidi="ar"/>
        </w:rPr>
        <w:t xml:space="preserve"> </w:t>
      </w:r>
    </w:p>
    <w:tbl>
      <w:tblPr>
        <w:tblStyle w:val="13"/>
        <w:tblW w:w="9522" w:type="dxa"/>
        <w:tblInd w:w="93" w:type="dxa"/>
        <w:shd w:val="clear" w:color="auto" w:fill="auto"/>
        <w:tblLayout w:type="fixed"/>
        <w:tblCellMar>
          <w:top w:w="15" w:type="dxa"/>
          <w:left w:w="15" w:type="dxa"/>
          <w:bottom w:w="15" w:type="dxa"/>
          <w:right w:w="15" w:type="dxa"/>
        </w:tblCellMar>
      </w:tblPr>
      <w:tblGrid>
        <w:gridCol w:w="41"/>
        <w:gridCol w:w="870"/>
        <w:gridCol w:w="635"/>
        <w:gridCol w:w="870"/>
        <w:gridCol w:w="957"/>
        <w:gridCol w:w="1480"/>
        <w:gridCol w:w="1456"/>
        <w:gridCol w:w="1604"/>
        <w:gridCol w:w="1604"/>
      </w:tblGrid>
      <w:tr>
        <w:tblPrEx>
          <w:shd w:val="clear" w:color="auto" w:fill="auto"/>
          <w:tblCellMar>
            <w:top w:w="15" w:type="dxa"/>
            <w:left w:w="15" w:type="dxa"/>
            <w:bottom w:w="15" w:type="dxa"/>
            <w:right w:w="15" w:type="dxa"/>
          </w:tblCellMar>
        </w:tblPrEx>
        <w:trPr>
          <w:trHeight w:val="285" w:hRule="atLeast"/>
        </w:trPr>
        <w:tc>
          <w:tcPr>
            <w:tcW w:w="952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项目支出绩效目标完成情况表</w:t>
            </w:r>
          </w:p>
        </w:tc>
      </w:tr>
      <w:tr>
        <w:tblPrEx>
          <w:shd w:val="clear" w:color="auto" w:fill="auto"/>
          <w:tblCellMar>
            <w:top w:w="15" w:type="dxa"/>
            <w:left w:w="15" w:type="dxa"/>
            <w:bottom w:w="15" w:type="dxa"/>
            <w:right w:w="15" w:type="dxa"/>
          </w:tblCellMar>
        </w:tblPrEx>
        <w:trPr>
          <w:trHeight w:val="285" w:hRule="atLeast"/>
        </w:trPr>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项目名称</w:t>
            </w:r>
          </w:p>
        </w:tc>
        <w:tc>
          <w:tcPr>
            <w:tcW w:w="7257"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拥军优属</w:t>
            </w:r>
          </w:p>
        </w:tc>
      </w:tr>
      <w:tr>
        <w:tblPrEx>
          <w:shd w:val="clear" w:color="auto" w:fill="auto"/>
          <w:tblCellMar>
            <w:top w:w="15" w:type="dxa"/>
            <w:left w:w="15" w:type="dxa"/>
            <w:bottom w:w="15" w:type="dxa"/>
            <w:right w:w="15" w:type="dxa"/>
          </w:tblCellMar>
        </w:tblPrEx>
        <w:trPr>
          <w:trHeight w:val="285" w:hRule="atLeast"/>
        </w:trPr>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预算单位</w:t>
            </w:r>
          </w:p>
        </w:tc>
        <w:tc>
          <w:tcPr>
            <w:tcW w:w="7257"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红原县退役军人事务局</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预算执行情况(万元</w:t>
            </w:r>
          </w:p>
        </w:tc>
        <w:tc>
          <w:tcPr>
            <w:tcW w:w="181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预算数:</w:t>
            </w:r>
          </w:p>
        </w:tc>
        <w:tc>
          <w:tcPr>
            <w:tcW w:w="194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5.23</w:t>
            </w:r>
          </w:p>
        </w:tc>
        <w:tc>
          <w:tcPr>
            <w:tcW w:w="175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执行数:</w:t>
            </w:r>
          </w:p>
        </w:tc>
        <w:tc>
          <w:tcPr>
            <w:tcW w:w="356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5.23</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81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其中-财政拨款:</w:t>
            </w:r>
          </w:p>
        </w:tc>
        <w:tc>
          <w:tcPr>
            <w:tcW w:w="194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5.23</w:t>
            </w:r>
          </w:p>
        </w:tc>
        <w:tc>
          <w:tcPr>
            <w:tcW w:w="175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其中-财政拨款:</w:t>
            </w:r>
          </w:p>
        </w:tc>
        <w:tc>
          <w:tcPr>
            <w:tcW w:w="356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5.23</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81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其它资金:</w:t>
            </w:r>
          </w:p>
        </w:tc>
        <w:tc>
          <w:tcPr>
            <w:tcW w:w="194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w:t>
            </w:r>
          </w:p>
        </w:tc>
        <w:tc>
          <w:tcPr>
            <w:tcW w:w="175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其它资金:</w:t>
            </w:r>
          </w:p>
        </w:tc>
        <w:tc>
          <w:tcPr>
            <w:tcW w:w="356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0</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年度目标完成情况</w:t>
            </w:r>
          </w:p>
        </w:tc>
        <w:tc>
          <w:tcPr>
            <w:tcW w:w="2575"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预期目标</w:t>
            </w:r>
          </w:p>
        </w:tc>
        <w:tc>
          <w:tcPr>
            <w:tcW w:w="649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实际完成目标</w:t>
            </w:r>
          </w:p>
        </w:tc>
      </w:tr>
      <w:tr>
        <w:tblPrEx>
          <w:shd w:val="clear" w:color="auto" w:fill="auto"/>
          <w:tblCellMar>
            <w:top w:w="15" w:type="dxa"/>
            <w:left w:w="15" w:type="dxa"/>
            <w:bottom w:w="15" w:type="dxa"/>
            <w:right w:w="15" w:type="dxa"/>
          </w:tblCellMar>
        </w:tblPrEx>
        <w:trPr>
          <w:trHeight w:val="1920"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575"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拥军优属工作顺利推进</w:t>
            </w:r>
          </w:p>
        </w:tc>
        <w:tc>
          <w:tcPr>
            <w:tcW w:w="649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bidi="ar"/>
              </w:rPr>
              <w:t>顺利完成</w:t>
            </w:r>
          </w:p>
        </w:tc>
      </w:tr>
      <w:tr>
        <w:tblPrEx>
          <w:shd w:val="clear" w:color="auto" w:fill="auto"/>
          <w:tblCellMar>
            <w:top w:w="15" w:type="dxa"/>
            <w:left w:w="15" w:type="dxa"/>
            <w:bottom w:w="15" w:type="dxa"/>
            <w:right w:w="15" w:type="dxa"/>
          </w:tblCellMar>
        </w:tblPrEx>
        <w:trPr>
          <w:trHeight w:val="624" w:hRule="atLeast"/>
        </w:trPr>
        <w:tc>
          <w:tcPr>
            <w:tcW w:w="45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4"/>
                <w:szCs w:val="24"/>
              </w:rPr>
            </w:pPr>
            <w:r>
              <w:rPr>
                <w:rFonts w:hint="eastAsia" w:ascii="仿宋_GB2312" w:hAnsi="宋体" w:eastAsia="仿宋_GB2312" w:cs="仿宋_GB2312"/>
                <w:color w:val="000000"/>
                <w:kern w:val="0"/>
                <w:sz w:val="24"/>
                <w:szCs w:val="24"/>
                <w:lang w:val="en-US" w:eastAsia="zh-CN" w:bidi="ar"/>
              </w:rPr>
              <w:t>绩效指标完成情况</w:t>
            </w: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一级指标</w:t>
            </w:r>
          </w:p>
        </w:tc>
        <w:tc>
          <w:tcPr>
            <w:tcW w:w="1047"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二级指标</w:t>
            </w:r>
          </w:p>
        </w:tc>
        <w:tc>
          <w:tcPr>
            <w:tcW w:w="764"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三级指标</w:t>
            </w:r>
          </w:p>
        </w:tc>
        <w:tc>
          <w:tcPr>
            <w:tcW w:w="2932" w:type="dxa"/>
            <w:gridSpan w:val="2"/>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指标评价内容</w:t>
            </w:r>
          </w:p>
        </w:tc>
        <w:tc>
          <w:tcPr>
            <w:tcW w:w="1631"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预期指标值(包含数字及文字描述)</w:t>
            </w:r>
          </w:p>
        </w:tc>
        <w:tc>
          <w:tcPr>
            <w:tcW w:w="1930" w:type="dxa"/>
            <w:vMerge w:val="restart"/>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实际完成指标值(包含数字及文字描述)</w:t>
            </w:r>
          </w:p>
        </w:tc>
      </w:tr>
      <w:tr>
        <w:tblPrEx>
          <w:shd w:val="clear" w:color="auto" w:fill="auto"/>
          <w:tblCellMar>
            <w:top w:w="15" w:type="dxa"/>
            <w:left w:w="15" w:type="dxa"/>
            <w:bottom w:w="15" w:type="dxa"/>
            <w:right w:w="15" w:type="dxa"/>
          </w:tblCellMar>
        </w:tblPrEx>
        <w:trPr>
          <w:trHeight w:val="624"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2" w:type="dxa"/>
            <w:gridSpan w:val="2"/>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31"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930"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15" w:type="dxa"/>
            <w:left w:w="15" w:type="dxa"/>
            <w:bottom w:w="15" w:type="dxa"/>
            <w:right w:w="15" w:type="dxa"/>
          </w:tblCellMar>
        </w:tblPrEx>
        <w:trPr>
          <w:trHeight w:val="624"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2" w:type="dxa"/>
            <w:gridSpan w:val="2"/>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31"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930" w:type="dxa"/>
            <w:vMerge w:val="continue"/>
            <w:tcBorders>
              <w:top w:val="single" w:color="000000" w:sz="4" w:space="0"/>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15" w:type="dxa"/>
            <w:left w:w="15" w:type="dxa"/>
            <w:bottom w:w="15" w:type="dxa"/>
            <w:right w:w="15" w:type="dxa"/>
          </w:tblCellMar>
        </w:tblPrEx>
        <w:trPr>
          <w:trHeight w:val="76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项目决策</w:t>
            </w:r>
          </w:p>
        </w:tc>
        <w:tc>
          <w:tcPr>
            <w:tcW w:w="1047"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绩效目标</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目标内容</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项目预期提供的产品、服务、效益或其他目标明确,即绩效目标实际明确个数/应当明确个数×100%</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慰问军人及军属142人</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慰问军人及军属142人</w:t>
            </w:r>
          </w:p>
        </w:tc>
      </w:tr>
      <w:tr>
        <w:tblPrEx>
          <w:shd w:val="clear" w:color="auto" w:fill="auto"/>
          <w:tblCellMar>
            <w:top w:w="15" w:type="dxa"/>
            <w:left w:w="15" w:type="dxa"/>
            <w:bottom w:w="15" w:type="dxa"/>
            <w:right w:w="15" w:type="dxa"/>
          </w:tblCellMar>
        </w:tblPrEx>
        <w:trPr>
          <w:trHeight w:val="64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进度计划</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项目计划实施进度明确</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firstLine="400" w:firstLineChars="20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进度明确</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进度明确</w:t>
            </w:r>
          </w:p>
        </w:tc>
      </w:tr>
      <w:tr>
        <w:tblPrEx>
          <w:shd w:val="clear" w:color="auto" w:fill="auto"/>
          <w:tblCellMar>
            <w:top w:w="15" w:type="dxa"/>
            <w:left w:w="15" w:type="dxa"/>
            <w:bottom w:w="15" w:type="dxa"/>
            <w:right w:w="15" w:type="dxa"/>
          </w:tblCellMar>
        </w:tblPrEx>
        <w:trPr>
          <w:trHeight w:val="690"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目标匹配</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绩效目标设定符合实际需求的抽样项目点个数/抽样项目点总数×100%</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r>
      <w:tr>
        <w:tblPrEx>
          <w:shd w:val="clear" w:color="auto" w:fill="auto"/>
          <w:tblCellMar>
            <w:top w:w="15" w:type="dxa"/>
            <w:left w:w="15" w:type="dxa"/>
            <w:bottom w:w="15" w:type="dxa"/>
            <w:right w:w="15" w:type="dxa"/>
          </w:tblCellMar>
        </w:tblPrEx>
        <w:trPr>
          <w:trHeight w:val="76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决策依据</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政策依据</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项目符合党中央、国务院和省委、省政府决策部署；符合当前经济社会发展需要</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实施规划</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连续性项目根据需要制定中长期实施规划</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仿宋_GB2312" w:cs="宋体"/>
                <w:color w:val="000000"/>
                <w:kern w:val="0"/>
                <w:sz w:val="20"/>
                <w:szCs w:val="20"/>
              </w:rPr>
            </w:pPr>
            <w:r>
              <w:rPr>
                <w:rFonts w:hint="eastAsia" w:ascii="仿宋_GB2312" w:hAnsi="宋体" w:eastAsia="仿宋_GB2312" w:cs="仿宋_GB2312"/>
                <w:kern w:val="0"/>
                <w:sz w:val="18"/>
                <w:szCs w:val="18"/>
                <w:lang w:val="en-US" w:eastAsia="zh-CN" w:bidi="ar"/>
              </w:rPr>
              <w:t>事实规划拥军优属人员</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仿宋_GB2312" w:hAnsi="宋体" w:eastAsia="仿宋_GB2312" w:cs="仿宋_GB2312"/>
                <w:kern w:val="0"/>
                <w:sz w:val="18"/>
                <w:szCs w:val="18"/>
                <w:lang w:val="en-US" w:eastAsia="zh-CN" w:bidi="ar"/>
              </w:rPr>
              <w:t>事实规划拥军优属人员</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实施规划符合实际，并根据情况变化适时调整</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管理制度</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制定项目资金管理办法</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50"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项目资金分配决策程序明确</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82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分配方法</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资金分配方法是否科学合理</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分配过程</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分配过程符合相关规定</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6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分配结果</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审核把关</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符合申报条件的抽样项目点个数/抽样项目点总数×100%</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w:t>
            </w:r>
          </w:p>
        </w:tc>
      </w:tr>
      <w:tr>
        <w:tblPrEx>
          <w:shd w:val="clear" w:color="auto" w:fill="auto"/>
          <w:tblCellMar>
            <w:top w:w="15" w:type="dxa"/>
            <w:left w:w="15" w:type="dxa"/>
            <w:bottom w:w="15" w:type="dxa"/>
            <w:right w:w="15" w:type="dxa"/>
          </w:tblCellMar>
        </w:tblPrEx>
        <w:trPr>
          <w:trHeight w:val="1020"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资金集中</w:t>
            </w:r>
          </w:p>
        </w:tc>
        <w:tc>
          <w:tcPr>
            <w:tcW w:w="118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集中</w:t>
            </w:r>
          </w:p>
        </w:tc>
        <w:tc>
          <w:tcPr>
            <w:tcW w:w="175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财政资金占项目资金总额比重较小项目个数/项目总数×100%</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r>
      <w:tr>
        <w:tblPrEx>
          <w:shd w:val="clear" w:color="auto" w:fill="auto"/>
          <w:tblCellMar>
            <w:top w:w="15" w:type="dxa"/>
            <w:left w:w="15" w:type="dxa"/>
            <w:bottom w:w="15" w:type="dxa"/>
            <w:right w:w="15" w:type="dxa"/>
          </w:tblCellMar>
        </w:tblPrEx>
        <w:trPr>
          <w:trHeight w:val="2064"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（均衡）</w:t>
            </w:r>
          </w:p>
        </w:tc>
        <w:tc>
          <w:tcPr>
            <w:tcW w:w="118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均衡</w:t>
            </w:r>
          </w:p>
        </w:tc>
        <w:tc>
          <w:tcPr>
            <w:tcW w:w="175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18"/>
                <w:szCs w:val="18"/>
                <w:lang w:val="en-US" w:eastAsia="zh-CN" w:bidi="ar"/>
              </w:rPr>
              <w:t>按实际分配结果选择客观因素测算验证资金分配方法制定、分配要素设定、基础数据应用、测算依据选取等是否科</w:t>
            </w:r>
            <w:r>
              <w:rPr>
                <w:rFonts w:hint="eastAsia" w:ascii="宋体" w:hAnsi="宋体" w:eastAsia="宋体" w:cs="宋体"/>
                <w:color w:val="000000"/>
                <w:kern w:val="0"/>
                <w:sz w:val="20"/>
                <w:szCs w:val="20"/>
                <w:lang w:val="en-US" w:eastAsia="zh-CN" w:bidi="ar"/>
              </w:rPr>
              <w:t>学合理（2分）</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540"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项目管理</w:t>
            </w:r>
          </w:p>
        </w:tc>
        <w:tc>
          <w:tcPr>
            <w:tcW w:w="104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 资金到位</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分配时效</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县级主管部门按规定及时分配资金</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115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资金拨付</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按规定及时拨付资金</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 xml:space="preserve">资金管理  </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使用范围</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资金使用是否合规</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支付依据</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资金支付依据符合规定，即支付依旧合规资金量/资金总量×100%</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开支标准</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资金开支标准符合规定，即开支标准合规资金量/资金总量×100%</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3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财务管理</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财务制度</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财务制度健全，管理规范</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会计核算</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会计核算规范</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组织实施（4分）</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项目调整</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项目调整严格履行相关手续</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85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投资变更</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项目投资变更额/项目总投入×100%</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6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制度执行</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严格执行项目有关制度规定</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项目绩效</w:t>
            </w:r>
          </w:p>
        </w:tc>
        <w:tc>
          <w:tcPr>
            <w:tcW w:w="1047"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项目完成</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完成数量</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实际完成任务量/绩效目标设定任务量×100%</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完成质量</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符合绩效目标设定的验收标准，达到行业基准水平</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是</w:t>
            </w:r>
          </w:p>
        </w:tc>
      </w:tr>
      <w:tr>
        <w:tblPrEx>
          <w:shd w:val="clear" w:color="auto" w:fill="auto"/>
          <w:tblCellMar>
            <w:top w:w="15" w:type="dxa"/>
            <w:left w:w="15" w:type="dxa"/>
            <w:bottom w:w="15" w:type="dxa"/>
            <w:right w:w="15" w:type="dxa"/>
          </w:tblCellMar>
        </w:tblPrEx>
        <w:trPr>
          <w:trHeight w:val="79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完成时效</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（实际完成时间-绩效目标设定完成时间）/绩效目标设定完成时间×100%</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2019.12</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2019.12</w:t>
            </w:r>
          </w:p>
        </w:tc>
      </w:tr>
      <w:tr>
        <w:tblPrEx>
          <w:tblCellMar>
            <w:top w:w="15" w:type="dxa"/>
            <w:left w:w="15" w:type="dxa"/>
            <w:bottom w:w="15" w:type="dxa"/>
            <w:right w:w="15" w:type="dxa"/>
          </w:tblCellMar>
        </w:tblPrEx>
        <w:trPr>
          <w:trHeight w:val="28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完成成本</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（实际完成成本-预计完成成本）/预计完成成本×100%</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100%</w:t>
            </w:r>
          </w:p>
        </w:tc>
      </w:tr>
      <w:tr>
        <w:tblPrEx>
          <w:tblCellMar>
            <w:top w:w="15" w:type="dxa"/>
            <w:left w:w="15" w:type="dxa"/>
            <w:bottom w:w="15" w:type="dxa"/>
            <w:right w:w="15" w:type="dxa"/>
          </w:tblCellMar>
        </w:tblPrEx>
        <w:trPr>
          <w:trHeight w:val="720"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项目效益</w:t>
            </w: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经济效益</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反映相关产出对经济社会发展带来的影响和效果，根据项目实际细化具体指标。</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保障拥军优属慰问金到位拨付。</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保障拥军优属慰问金到位拨付。</w:t>
            </w:r>
          </w:p>
        </w:tc>
      </w:tr>
      <w:tr>
        <w:tblPrEx>
          <w:shd w:val="clear" w:color="auto" w:fill="auto"/>
          <w:tblCellMar>
            <w:top w:w="15" w:type="dxa"/>
            <w:left w:w="15" w:type="dxa"/>
            <w:bottom w:w="15" w:type="dxa"/>
            <w:right w:w="15" w:type="dxa"/>
          </w:tblCellMar>
        </w:tblPrEx>
        <w:trPr>
          <w:trHeight w:val="735"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社会效益</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反映相关产出对社会发展带来的影响和效果，根据项目实际细化具体指标。</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16"/>
                <w:szCs w:val="16"/>
                <w:lang w:val="en-US" w:eastAsia="zh-CN" w:bidi="ar"/>
              </w:rPr>
              <w:t>拥军优属对象中对符合对象按照程序实现最快、有效的救助</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16"/>
                <w:szCs w:val="16"/>
                <w:lang w:val="en-US" w:eastAsia="zh-CN" w:bidi="ar"/>
              </w:rPr>
              <w:t>拥军优属对象中对符合对象按照程序实现最快、有效的救助</w:t>
            </w:r>
          </w:p>
        </w:tc>
      </w:tr>
      <w:tr>
        <w:tblPrEx>
          <w:shd w:val="clear" w:color="auto" w:fill="auto"/>
          <w:tblCellMar>
            <w:top w:w="15" w:type="dxa"/>
            <w:left w:w="15" w:type="dxa"/>
            <w:bottom w:w="15" w:type="dxa"/>
            <w:right w:w="15" w:type="dxa"/>
          </w:tblCellMar>
        </w:tblPrEx>
        <w:trPr>
          <w:trHeight w:val="720"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生态效益</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反映相关产出对自然环境带来的影响和效果，根据项目实际细化具体指标。</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16"/>
                <w:szCs w:val="16"/>
                <w:lang w:val="en-US" w:eastAsia="zh-CN" w:bidi="ar"/>
              </w:rPr>
              <w:t>拥军优属对象中对符合对象按照程序实现最快、有效的救助</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16"/>
                <w:szCs w:val="16"/>
                <w:lang w:val="en-US" w:eastAsia="zh-CN" w:bidi="ar"/>
              </w:rPr>
              <w:t>拥军优属对象中对符合对象按照程序实现最快、有效的救助</w:t>
            </w:r>
          </w:p>
        </w:tc>
      </w:tr>
      <w:tr>
        <w:tblPrEx>
          <w:shd w:val="clear" w:color="auto" w:fill="auto"/>
          <w:tblCellMar>
            <w:top w:w="15" w:type="dxa"/>
            <w:left w:w="15" w:type="dxa"/>
            <w:bottom w:w="15" w:type="dxa"/>
            <w:right w:w="15" w:type="dxa"/>
          </w:tblCellMar>
        </w:tblPrEx>
        <w:trPr>
          <w:trHeight w:val="750" w:hRule="atLeast"/>
        </w:trPr>
        <w:tc>
          <w:tcPr>
            <w:tcW w:w="45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047" w:type="dxa"/>
            <w:vMerge w:val="continue"/>
            <w:tcBorders>
              <w:top w:val="nil"/>
              <w:left w:val="nil"/>
              <w:bottom w:val="single" w:color="000000" w:sz="4" w:space="0"/>
              <w:right w:val="single" w:color="000000"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可持续效益</w:t>
            </w:r>
          </w:p>
        </w:tc>
        <w:tc>
          <w:tcPr>
            <w:tcW w:w="2932" w:type="dxa"/>
            <w:gridSpan w:val="2"/>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反映相关产出带来影响的可持续期限，根据项目实际细化具体指标。</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拥军优属救助工作有序推进</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拥军优属救助工作有序推进</w:t>
            </w:r>
          </w:p>
        </w:tc>
      </w:tr>
      <w:tr>
        <w:tblPrEx>
          <w:shd w:val="clear" w:color="auto" w:fill="auto"/>
          <w:tblCellMar>
            <w:top w:w="15" w:type="dxa"/>
            <w:left w:w="15" w:type="dxa"/>
            <w:bottom w:w="15" w:type="dxa"/>
            <w:right w:w="15" w:type="dxa"/>
          </w:tblCellMar>
        </w:tblPrEx>
        <w:trPr>
          <w:gridBefore w:val="1"/>
          <w:wBefore w:w="41" w:type="dxa"/>
          <w:trHeight w:val="1080" w:hRule="atLeast"/>
        </w:trPr>
        <w:tc>
          <w:tcPr>
            <w:tcW w:w="10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满意度</w:t>
            </w:r>
          </w:p>
        </w:tc>
        <w:tc>
          <w:tcPr>
            <w:tcW w:w="764"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服务对象满意度</w:t>
            </w:r>
          </w:p>
        </w:tc>
        <w:tc>
          <w:tcPr>
            <w:tcW w:w="293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反映服务对象或项目受益人对相关产出及其影响的认可程度，根据项目实际细化具体指标。</w:t>
            </w:r>
          </w:p>
        </w:tc>
        <w:tc>
          <w:tcPr>
            <w:tcW w:w="1631"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对本项目事实满意度好。无异议</w:t>
            </w:r>
          </w:p>
        </w:tc>
        <w:tc>
          <w:tcPr>
            <w:tcW w:w="1930" w:type="dxa"/>
            <w:tcBorders>
              <w:top w:val="single" w:color="000000" w:sz="4" w:space="0"/>
              <w:left w:val="nil"/>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对本项目事实满意度好。无异议</w:t>
            </w:r>
          </w:p>
        </w:tc>
        <w:tc>
          <w:tcPr>
            <w:tcW w:w="0" w:type="auto"/>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bl>
    <w:p>
      <w:pPr>
        <w:pStyle w:val="12"/>
        <w:keepNext w:val="0"/>
        <w:keepLines w:val="0"/>
        <w:widowControl/>
        <w:suppressLineNumbers w:val="0"/>
        <w:snapToGrid w:val="0"/>
        <w:spacing w:before="0" w:beforeAutospacing="0" w:after="0" w:afterAutospacing="1"/>
        <w:ind w:left="0" w:right="0"/>
        <w:jc w:val="left"/>
        <w:rPr>
          <w:rFonts w:hint="eastAsia" w:ascii="仿宋_GB2312" w:eastAsia="仿宋_GB2312" w:cs="仿宋_GB2312"/>
          <w:kern w:val="0"/>
          <w:sz w:val="24"/>
          <w:szCs w:val="24"/>
          <w:shd w:val="clear" w:fill="FFFFFF"/>
        </w:rPr>
      </w:pPr>
      <w:r>
        <w:rPr>
          <w:rFonts w:hint="eastAsia" w:ascii="仿宋_GB2312" w:hAnsi="宋体" w:eastAsia="仿宋_GB2312" w:cs="仿宋_GB2312"/>
          <w:kern w:val="0"/>
          <w:sz w:val="24"/>
          <w:szCs w:val="24"/>
          <w:shd w:val="clear" w:fill="FFFFFF"/>
          <w:lang w:val="en-US" w:eastAsia="zh-CN" w:bidi="ar"/>
        </w:rPr>
        <w:t xml:space="preserve"> </w:t>
      </w:r>
    </w:p>
    <w:p>
      <w:pPr>
        <w:pStyle w:val="12"/>
        <w:keepNext w:val="0"/>
        <w:keepLines w:val="0"/>
        <w:widowControl/>
        <w:numPr>
          <w:ilvl w:val="0"/>
          <w:numId w:val="2"/>
        </w:numPr>
        <w:suppressLineNumbers w:val="0"/>
        <w:snapToGrid w:val="0"/>
        <w:spacing w:before="0" w:beforeAutospacing="0" w:after="0" w:afterAutospacing="1"/>
        <w:ind w:left="0" w:right="0"/>
        <w:jc w:val="left"/>
        <w:rPr>
          <w:rFonts w:hint="eastAsia" w:ascii="仿宋_GB2312" w:eastAsia="仿宋_GB2312" w:cs="仿宋_GB2312"/>
          <w:b/>
          <w:sz w:val="24"/>
          <w:szCs w:val="24"/>
          <w:shd w:val="clear" w:fill="FFFFFF"/>
        </w:rPr>
      </w:pPr>
      <w:r>
        <w:rPr>
          <w:rStyle w:val="43"/>
          <w:rFonts w:hint="eastAsia" w:ascii="仿宋_GB2312" w:eastAsia="仿宋_GB2312" w:cs="仿宋_GB2312"/>
          <w:b/>
          <w:sz w:val="24"/>
          <w:szCs w:val="24"/>
          <w:shd w:val="clear" w:fill="FFFFFF"/>
          <w:lang w:val="en-US" w:eastAsia="zh-CN" w:bidi="ar"/>
        </w:rPr>
        <w:t>当年预算执行及绩效管理中存在问题、原因及改进措施。</w:t>
      </w:r>
    </w:p>
    <w:p>
      <w:pPr>
        <w:keepNext w:val="0"/>
        <w:keepLines w:val="0"/>
        <w:widowControl/>
        <w:suppressLineNumbers w:val="0"/>
        <w:snapToGrid w:val="0"/>
        <w:spacing w:before="0" w:beforeAutospacing="0" w:after="0" w:afterAutospacing="0" w:line="580" w:lineRule="exact"/>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本局按要求2020年部门整体支出绩效评价情况开展自评，《退役军人事务局2020年部门整体支出绩效评价报告》见附件（附件1）。</w:t>
      </w:r>
    </w:p>
    <w:p>
      <w:pPr>
        <w:keepNext w:val="0"/>
        <w:keepLines w:val="0"/>
        <w:widowControl/>
        <w:suppressLineNumbers w:val="0"/>
        <w:snapToGrid w:val="0"/>
        <w:spacing w:before="0" w:beforeAutospacing="0" w:after="0" w:afterAutospacing="0" w:line="580" w:lineRule="exact"/>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本部门自行组织对义务兵优待金项目、退役安置项目、生活救助项目、拥军优属项目开展了绩效评价，《退役军人事务局（4项）项目2019年绩效评价报告》见附件（附件2）。（非涉密部门均需公开部门整体支出评价报告，部门自行组织的绩效评价情况根据部门实际公开，若未组织项目绩效评价，则只需说明部门整体支出绩效评价情况）。</w:t>
      </w:r>
    </w:p>
    <w:p>
      <w:pPr>
        <w:pStyle w:val="12"/>
        <w:keepNext w:val="0"/>
        <w:keepLines w:val="0"/>
        <w:widowControl/>
        <w:suppressLineNumbers w:val="0"/>
        <w:snapToGrid w:val="0"/>
        <w:spacing w:before="0" w:beforeAutospacing="0" w:after="0" w:afterAutospacing="0"/>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w:t>
      </w:r>
    </w:p>
    <w:p>
      <w:pPr>
        <w:keepNext w:val="0"/>
        <w:keepLines w:val="0"/>
        <w:widowControl/>
        <w:numPr>
          <w:ilvl w:val="0"/>
          <w:numId w:val="3"/>
        </w:numPr>
        <w:suppressLineNumbers w:val="0"/>
        <w:snapToGrid w:val="0"/>
        <w:spacing w:before="0" w:beforeAutospacing="0" w:after="0" w:afterAutospacing="0" w:line="600" w:lineRule="exact"/>
        <w:ind w:left="0" w:right="0" w:firstLine="660" w:firstLineChars="150"/>
        <w:jc w:val="center"/>
        <w:outlineLvl w:val="0"/>
        <w:rPr>
          <w:rFonts w:hint="eastAsia" w:ascii="仿宋_GB2312" w:hAnsi="Calibri" w:eastAsia="仿宋_GB2312" w:cs="仿宋"/>
          <w:color w:val="000000"/>
          <w:kern w:val="0"/>
          <w:sz w:val="44"/>
          <w:szCs w:val="44"/>
        </w:rPr>
      </w:pPr>
      <w:bookmarkStart w:id="53" w:name="_Toc23379"/>
      <w:bookmarkStart w:id="54" w:name="_Toc5617"/>
      <w:r>
        <w:rPr>
          <w:rFonts w:hint="eastAsia" w:ascii="仿宋_GB2312" w:hAnsi="Calibri" w:eastAsia="仿宋_GB2312" w:cs="仿宋_GB2312"/>
          <w:color w:val="000000"/>
          <w:kern w:val="0"/>
          <w:sz w:val="44"/>
          <w:szCs w:val="44"/>
          <w:lang w:val="en-US" w:eastAsia="zh-CN" w:bidi="ar"/>
        </w:rPr>
        <w:t>名词解释</w:t>
      </w:r>
      <w:bookmarkEnd w:id="53"/>
      <w:bookmarkEnd w:id="54"/>
    </w:p>
    <w:p>
      <w:pPr>
        <w:keepNext w:val="0"/>
        <w:keepLines w:val="0"/>
        <w:widowControl/>
        <w:suppressLineNumbers w:val="0"/>
        <w:snapToGrid w:val="0"/>
        <w:spacing w:before="0" w:beforeAutospacing="0" w:after="0" w:afterAutospacing="0" w:line="600" w:lineRule="exact"/>
        <w:ind w:left="0" w:right="0"/>
        <w:jc w:val="left"/>
        <w:rPr>
          <w:rFonts w:hint="eastAsia" w:ascii="宋体" w:hAnsi="宋体" w:eastAsia="宋体" w:cs="宋体"/>
          <w:b/>
          <w:color w:val="000000"/>
          <w:kern w:val="0"/>
          <w:sz w:val="44"/>
          <w:szCs w:val="44"/>
        </w:rPr>
      </w:pPr>
      <w:r>
        <w:rPr>
          <w:rFonts w:hint="eastAsia" w:ascii="宋体" w:hAnsi="宋体" w:eastAsia="宋体" w:cs="宋体"/>
          <w:b/>
          <w:color w:val="000000"/>
          <w:kern w:val="0"/>
          <w:sz w:val="44"/>
          <w:szCs w:val="44"/>
          <w:lang w:val="en-US" w:eastAsia="zh-CN" w:bidi="ar"/>
        </w:rPr>
        <w:t xml:space="preserve"> </w:t>
      </w:r>
    </w:p>
    <w:p>
      <w:pPr>
        <w:pStyle w:val="12"/>
        <w:keepNext w:val="0"/>
        <w:keepLines w:val="0"/>
        <w:widowControl w:val="0"/>
        <w:suppressLineNumbers w:val="0"/>
        <w:autoSpaceDE w:val="0"/>
        <w:autoSpaceDN w:val="0"/>
        <w:adjustRightInd w:val="0"/>
        <w:snapToGrid w:val="0"/>
        <w:spacing w:before="0" w:beforeAutospacing="0" w:after="0" w:afterAutospacing="0" w:line="560" w:lineRule="exact"/>
        <w:ind w:left="0" w:right="0" w:firstLine="640" w:firstLineChars="200"/>
        <w:jc w:val="left"/>
        <w:rPr>
          <w:rFonts w:hint="eastAsia"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lang w:val="en-US" w:eastAsia="zh-CN" w:bidi="ar"/>
        </w:rPr>
        <w:t>1.</w:t>
      </w:r>
      <w:r>
        <w:rPr>
          <w:rFonts w:hint="eastAsia" w:ascii="仿宋_GB2312" w:hAnsi="Calibri" w:eastAsia="仿宋_GB2312" w:cs="仿宋_GB2312"/>
          <w:color w:val="000000"/>
          <w:kern w:val="0"/>
          <w:sz w:val="32"/>
          <w:szCs w:val="32"/>
          <w:lang w:val="en-US" w:eastAsia="zh-CN" w:bidi="ar"/>
        </w:rPr>
        <w:t>财政拨款收入：指单位从同级财政部门取得的财政预算资金。</w:t>
      </w:r>
    </w:p>
    <w:p>
      <w:pPr>
        <w:pStyle w:val="12"/>
        <w:keepNext w:val="0"/>
        <w:keepLines w:val="0"/>
        <w:widowControl w:val="0"/>
        <w:suppressLineNumbers w:val="0"/>
        <w:autoSpaceDE w:val="0"/>
        <w:autoSpaceDN w:val="0"/>
        <w:adjustRightInd w:val="0"/>
        <w:snapToGrid w:val="0"/>
        <w:spacing w:before="0" w:beforeAutospacing="0" w:after="0" w:afterAutospacing="0" w:line="560" w:lineRule="exact"/>
        <w:ind w:left="0" w:right="0" w:firstLine="640" w:firstLineChars="200"/>
        <w:jc w:val="left"/>
        <w:rPr>
          <w:rFonts w:hint="eastAsia"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lang w:val="en-US" w:eastAsia="zh-CN" w:bidi="ar"/>
        </w:rPr>
        <w:t>2.</w:t>
      </w:r>
      <w:r>
        <w:rPr>
          <w:rFonts w:hint="eastAsia" w:ascii="仿宋_GB2312" w:hAnsi="Calibri" w:eastAsia="仿宋_GB2312" w:cs="仿宋_GB2312"/>
          <w:color w:val="000000"/>
          <w:kern w:val="0"/>
          <w:sz w:val="32"/>
          <w:szCs w:val="32"/>
          <w:lang w:val="en-US" w:eastAsia="zh-CN" w:bidi="ar"/>
        </w:rPr>
        <w:t>其他收入：指单位取得的除上述收入以外的各项收入。主要是利息等。</w:t>
      </w:r>
      <w:r>
        <w:rPr>
          <w:rFonts w:hint="eastAsia" w:ascii="仿宋_GB2312" w:hAnsi="Calibri" w:eastAsia="仿宋_GB2312" w:cs="仿宋"/>
          <w:color w:val="000000"/>
          <w:kern w:val="0"/>
          <w:sz w:val="32"/>
          <w:szCs w:val="32"/>
          <w:lang w:val="en-US" w:eastAsia="zh-CN" w:bidi="ar"/>
        </w:rPr>
        <w:t xml:space="preserve"> </w:t>
      </w:r>
    </w:p>
    <w:p>
      <w:pPr>
        <w:pStyle w:val="12"/>
        <w:keepNext w:val="0"/>
        <w:keepLines w:val="0"/>
        <w:widowControl w:val="0"/>
        <w:suppressLineNumbers w:val="0"/>
        <w:autoSpaceDE w:val="0"/>
        <w:autoSpaceDN w:val="0"/>
        <w:adjustRightInd w:val="0"/>
        <w:snapToGrid w:val="0"/>
        <w:spacing w:before="0" w:beforeAutospacing="0" w:after="0" w:afterAutospacing="0" w:line="560" w:lineRule="exact"/>
        <w:ind w:left="0" w:right="0" w:firstLine="640" w:firstLineChars="200"/>
        <w:jc w:val="left"/>
        <w:rPr>
          <w:rFonts w:hint="eastAsia"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lang w:val="en-US" w:eastAsia="zh-CN" w:bidi="ar"/>
        </w:rPr>
        <w:t>3.</w:t>
      </w:r>
      <w:r>
        <w:rPr>
          <w:rFonts w:hint="eastAsia" w:ascii="仿宋_GB2312" w:hAnsi="Calibri" w:eastAsia="仿宋_GB2312" w:cs="仿宋_GB2312"/>
          <w:color w:val="000000"/>
          <w:kern w:val="0"/>
          <w:sz w:val="32"/>
          <w:szCs w:val="32"/>
          <w:lang w:val="en-US" w:eastAsia="zh-CN" w:bidi="ar"/>
        </w:rPr>
        <w:t>年初结转和结余：指以前年度尚未完成、结转到本年按有关规定继续使用的资金。</w:t>
      </w:r>
      <w:r>
        <w:rPr>
          <w:rFonts w:hint="eastAsia" w:ascii="仿宋_GB2312" w:hAnsi="Calibri" w:eastAsia="仿宋_GB2312" w:cs="仿宋"/>
          <w:color w:val="000000"/>
          <w:kern w:val="0"/>
          <w:sz w:val="32"/>
          <w:szCs w:val="32"/>
          <w:lang w:val="en-US" w:eastAsia="zh-CN" w:bidi="ar"/>
        </w:rPr>
        <w:t xml:space="preserve"> </w:t>
      </w:r>
    </w:p>
    <w:p>
      <w:pPr>
        <w:pStyle w:val="12"/>
        <w:keepNext w:val="0"/>
        <w:keepLines w:val="0"/>
        <w:widowControl w:val="0"/>
        <w:suppressLineNumbers w:val="0"/>
        <w:autoSpaceDE w:val="0"/>
        <w:autoSpaceDN w:val="0"/>
        <w:adjustRightInd w:val="0"/>
        <w:snapToGrid w:val="0"/>
        <w:spacing w:before="0" w:beforeAutospacing="0" w:after="0" w:afterAutospacing="0" w:line="560" w:lineRule="exact"/>
        <w:ind w:left="0" w:right="0" w:firstLine="640" w:firstLineChars="200"/>
        <w:jc w:val="left"/>
        <w:rPr>
          <w:rFonts w:hint="eastAsia"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lang w:val="en-US" w:eastAsia="zh-CN" w:bidi="ar"/>
        </w:rPr>
        <w:t>4</w:t>
      </w:r>
      <w:r>
        <w:rPr>
          <w:rFonts w:hint="eastAsia" w:ascii="仿宋_GB2312" w:hAnsi="Calibri" w:eastAsia="仿宋_GB2312" w:cs="仿宋_GB2312"/>
          <w:color w:val="000000"/>
          <w:kern w:val="0"/>
          <w:sz w:val="32"/>
          <w:szCs w:val="32"/>
          <w:lang w:val="en-US" w:eastAsia="zh-CN" w:bidi="ar"/>
        </w:rPr>
        <w:t>结余分配：指事业单位按照事业单位会计制度的规定从非财政补助结余中分配的事业基金和职工福利基金等。</w:t>
      </w:r>
    </w:p>
    <w:p>
      <w:pPr>
        <w:pStyle w:val="12"/>
        <w:keepNext w:val="0"/>
        <w:keepLines w:val="0"/>
        <w:widowControl w:val="0"/>
        <w:suppressLineNumbers w:val="0"/>
        <w:autoSpaceDE w:val="0"/>
        <w:autoSpaceDN w:val="0"/>
        <w:adjustRightInd w:val="0"/>
        <w:snapToGrid w:val="0"/>
        <w:spacing w:before="0" w:beforeAutospacing="0" w:after="0" w:afterAutospacing="0" w:line="560" w:lineRule="exact"/>
        <w:ind w:left="0" w:right="0" w:firstLine="640" w:firstLineChars="200"/>
        <w:jc w:val="left"/>
        <w:rPr>
          <w:rFonts w:hint="eastAsia"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lang w:val="en-US" w:eastAsia="zh-CN" w:bidi="ar"/>
        </w:rPr>
        <w:t>5</w:t>
      </w:r>
      <w:r>
        <w:rPr>
          <w:rFonts w:hint="eastAsia" w:ascii="仿宋_GB2312" w:hAnsi="Calibri" w:eastAsia="仿宋_GB2312" w:cs="仿宋_GB2312"/>
          <w:color w:val="000000"/>
          <w:kern w:val="0"/>
          <w:sz w:val="32"/>
          <w:szCs w:val="32"/>
          <w:lang w:val="en-US" w:eastAsia="zh-CN" w:bidi="ar"/>
        </w:rPr>
        <w:t>、年末结转和结余：指单位按有关规定结转到下年或以后年度继续使用的资金。</w:t>
      </w:r>
    </w:p>
    <w:p>
      <w:pPr>
        <w:keepNext w:val="0"/>
        <w:keepLines w:val="0"/>
        <w:widowControl/>
        <w:suppressLineNumbers w:val="0"/>
        <w:snapToGrid w:val="0"/>
        <w:spacing w:before="0" w:beforeAutospacing="0" w:after="0" w:afterAutospacing="0"/>
        <w:ind w:left="0" w:right="0"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6.</w:t>
      </w:r>
      <w:r>
        <w:rPr>
          <w:rFonts w:hint="eastAsia" w:ascii="仿宋_GB2312" w:hAnsi="宋体" w:eastAsia="仿宋_GB2312" w:cs="仿宋_GB2312"/>
          <w:color w:val="000000"/>
          <w:kern w:val="0"/>
          <w:sz w:val="32"/>
          <w:szCs w:val="32"/>
          <w:lang w:val="en-US" w:eastAsia="zh-CN" w:bidi="ar"/>
        </w:rPr>
        <w:t>基本支出：指为保障机构正常运转、完成日常工作任务而发生的人员支出和公用支出。</w:t>
      </w:r>
    </w:p>
    <w:p>
      <w:pPr>
        <w:keepNext w:val="0"/>
        <w:keepLines w:val="0"/>
        <w:widowControl/>
        <w:suppressLineNumbers w:val="0"/>
        <w:snapToGrid w:val="0"/>
        <w:spacing w:before="0" w:beforeAutospacing="0" w:after="0" w:afterAutospacing="0"/>
        <w:ind w:left="0" w:right="0"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7.</w:t>
      </w:r>
      <w:r>
        <w:rPr>
          <w:rFonts w:hint="eastAsia" w:ascii="仿宋_GB2312" w:hAnsi="宋体" w:eastAsia="仿宋_GB2312" w:cs="仿宋_GB2312"/>
          <w:color w:val="000000"/>
          <w:kern w:val="0"/>
          <w:sz w:val="32"/>
          <w:szCs w:val="32"/>
          <w:lang w:val="en-US" w:eastAsia="zh-CN" w:bidi="ar"/>
        </w:rPr>
        <w:t>项目支出：指在基本支出之外为完成特定行政任务和事业发展目标所发生的支出。</w:t>
      </w:r>
      <w:r>
        <w:rPr>
          <w:rFonts w:hint="eastAsia" w:ascii="仿宋_GB2312" w:hAnsi="宋体" w:eastAsia="仿宋_GB2312" w:cs="宋体"/>
          <w:color w:val="000000"/>
          <w:kern w:val="0"/>
          <w:sz w:val="32"/>
          <w:szCs w:val="32"/>
          <w:lang w:val="en-US" w:eastAsia="zh-CN" w:bidi="ar"/>
        </w:rPr>
        <w:t xml:space="preserve"> </w:t>
      </w:r>
    </w:p>
    <w:p>
      <w:pPr>
        <w:keepNext w:val="0"/>
        <w:keepLines w:val="0"/>
        <w:widowControl/>
        <w:suppressLineNumbers w:val="0"/>
        <w:snapToGrid w:val="0"/>
        <w:spacing w:before="0" w:beforeAutospacing="0" w:after="0" w:afterAutospacing="0"/>
        <w:ind w:left="0" w:right="0"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1.</w:t>
      </w:r>
      <w:r>
        <w:rPr>
          <w:rFonts w:hint="eastAsia" w:ascii="仿宋_GB2312" w:hAnsi="宋体" w:eastAsia="仿宋_GB2312" w:cs="仿宋_GB2312"/>
          <w:color w:val="000000"/>
          <w:kern w:val="0"/>
          <w:sz w:val="32"/>
          <w:szCs w:val="32"/>
          <w:lang w:val="en-US" w:eastAsia="zh-CN" w:bidi="ar"/>
        </w:rPr>
        <w:t>拥军优属是指开展拥军优属活动支出。</w:t>
      </w:r>
    </w:p>
    <w:p>
      <w:pPr>
        <w:keepNext w:val="0"/>
        <w:keepLines w:val="0"/>
        <w:widowControl/>
        <w:suppressLineNumbers w:val="0"/>
        <w:snapToGrid w:val="0"/>
        <w:spacing w:before="0" w:beforeAutospacing="0" w:after="0" w:afterAutospacing="0"/>
        <w:ind w:left="0" w:right="0"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2.</w:t>
      </w:r>
      <w:r>
        <w:rPr>
          <w:rFonts w:hint="eastAsia" w:ascii="仿宋_GB2312" w:hAnsi="宋体" w:eastAsia="仿宋_GB2312" w:cs="仿宋_GB2312"/>
          <w:color w:val="000000"/>
          <w:kern w:val="0"/>
          <w:sz w:val="32"/>
          <w:szCs w:val="32"/>
          <w:lang w:val="en-US" w:eastAsia="zh-CN" w:bidi="ar"/>
        </w:rPr>
        <w:t>退役安置是指退役士兵安置支出。</w:t>
      </w:r>
    </w:p>
    <w:p>
      <w:pPr>
        <w:keepNext w:val="0"/>
        <w:keepLines w:val="0"/>
        <w:widowControl/>
        <w:suppressLineNumbers w:val="0"/>
        <w:snapToGrid w:val="0"/>
        <w:spacing w:before="0" w:beforeAutospacing="0" w:after="0" w:afterAutospacing="0"/>
        <w:ind w:left="0" w:right="0"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3.</w:t>
      </w:r>
      <w:r>
        <w:rPr>
          <w:rFonts w:hint="eastAsia" w:ascii="仿宋_GB2312" w:hAnsi="宋体" w:eastAsia="仿宋_GB2312" w:cs="仿宋_GB2312"/>
          <w:color w:val="000000"/>
          <w:kern w:val="0"/>
          <w:sz w:val="32"/>
          <w:szCs w:val="32"/>
          <w:lang w:val="en-US" w:eastAsia="zh-CN" w:bidi="ar"/>
        </w:rPr>
        <w:t>优抚对象是指当兵退伍后属优抚人员支出。</w:t>
      </w:r>
    </w:p>
    <w:p>
      <w:pPr>
        <w:keepNext w:val="0"/>
        <w:keepLines w:val="0"/>
        <w:widowControl/>
        <w:suppressLineNumbers w:val="0"/>
        <w:snapToGrid w:val="0"/>
        <w:spacing w:before="0" w:beforeAutospacing="0" w:after="0" w:afterAutospacing="0"/>
        <w:ind w:left="958" w:leftChars="304" w:right="0" w:hanging="320" w:hangingChars="1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4.</w:t>
      </w:r>
      <w:r>
        <w:rPr>
          <w:rFonts w:hint="eastAsia" w:ascii="仿宋_GB2312" w:hAnsi="宋体" w:eastAsia="仿宋_GB2312" w:cs="仿宋_GB2312"/>
          <w:color w:val="000000"/>
          <w:kern w:val="0"/>
          <w:sz w:val="32"/>
          <w:szCs w:val="32"/>
          <w:lang w:val="en-US" w:eastAsia="zh-CN" w:bidi="ar"/>
        </w:rPr>
        <w:t>死亡抚恤是指按规定用于烈士和牺牲病故人员家属的一次性和定期抚恤金以及丧葬补助费。</w:t>
      </w:r>
    </w:p>
    <w:p>
      <w:pPr>
        <w:keepNext w:val="0"/>
        <w:keepLines w:val="0"/>
        <w:widowControl/>
        <w:suppressLineNumbers w:val="0"/>
        <w:snapToGrid w:val="0"/>
        <w:spacing w:before="0" w:beforeAutospacing="0" w:after="0" w:afterAutospacing="0"/>
        <w:ind w:left="0" w:right="0"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5.</w:t>
      </w:r>
      <w:r>
        <w:rPr>
          <w:rFonts w:hint="eastAsia" w:ascii="仿宋_GB2312" w:hAnsi="宋体" w:eastAsia="仿宋_GB2312" w:cs="仿宋_GB2312"/>
          <w:color w:val="000000"/>
          <w:kern w:val="0"/>
          <w:sz w:val="32"/>
          <w:szCs w:val="32"/>
          <w:lang w:val="en-US" w:eastAsia="zh-CN" w:bidi="ar"/>
        </w:rPr>
        <w:t>在乡复员退伍军人生活补助是指在乡退伍红军老战士生活补助。</w:t>
      </w:r>
    </w:p>
    <w:p>
      <w:pPr>
        <w:keepNext w:val="0"/>
        <w:keepLines w:val="0"/>
        <w:widowControl/>
        <w:suppressLineNumbers w:val="0"/>
        <w:snapToGrid w:val="0"/>
        <w:spacing w:before="0" w:beforeAutospacing="0" w:after="0" w:afterAutospacing="0"/>
        <w:ind w:left="0" w:right="0"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6.</w:t>
      </w:r>
      <w:r>
        <w:rPr>
          <w:rFonts w:hint="eastAsia" w:ascii="仿宋_GB2312" w:hAnsi="宋体" w:eastAsia="仿宋_GB2312" w:cs="仿宋_GB2312"/>
          <w:color w:val="000000"/>
          <w:kern w:val="0"/>
          <w:sz w:val="32"/>
          <w:szCs w:val="32"/>
          <w:lang w:val="en-US" w:eastAsia="zh-CN" w:bidi="ar"/>
        </w:rPr>
        <w:t>义务兵优待是指用于义务兵优待方面的支出。</w:t>
      </w:r>
    </w:p>
    <w:p>
      <w:pPr>
        <w:keepNext w:val="0"/>
        <w:keepLines w:val="0"/>
        <w:widowControl/>
        <w:suppressLineNumbers w:val="0"/>
        <w:snapToGrid w:val="0"/>
        <w:spacing w:before="0" w:beforeAutospacing="0" w:after="0" w:afterAutospacing="0"/>
        <w:ind w:left="958" w:leftChars="304" w:right="0" w:hanging="320" w:hangingChars="1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7.</w:t>
      </w:r>
      <w:r>
        <w:rPr>
          <w:rFonts w:hint="eastAsia" w:ascii="仿宋_GB2312" w:hAnsi="宋体" w:eastAsia="仿宋_GB2312" w:cs="仿宋_GB2312"/>
          <w:color w:val="000000"/>
          <w:kern w:val="0"/>
          <w:sz w:val="32"/>
          <w:szCs w:val="32"/>
          <w:lang w:val="en-US" w:eastAsia="zh-CN" w:bidi="ar"/>
        </w:rPr>
        <w:t>农村籍退役士兵老年生活补助是指年龄在</w:t>
      </w:r>
      <w:r>
        <w:rPr>
          <w:rFonts w:hint="eastAsia" w:ascii="仿宋_GB2312" w:hAnsi="宋体" w:eastAsia="仿宋_GB2312" w:cs="宋体"/>
          <w:color w:val="000000"/>
          <w:kern w:val="0"/>
          <w:sz w:val="32"/>
          <w:szCs w:val="32"/>
          <w:lang w:val="en-US" w:eastAsia="zh-CN" w:bidi="ar"/>
        </w:rPr>
        <w:t>60</w:t>
      </w:r>
      <w:r>
        <w:rPr>
          <w:rFonts w:hint="eastAsia" w:ascii="仿宋_GB2312" w:hAnsi="宋体" w:eastAsia="仿宋_GB2312" w:cs="仿宋_GB2312"/>
          <w:color w:val="000000"/>
          <w:kern w:val="0"/>
          <w:sz w:val="32"/>
          <w:szCs w:val="32"/>
          <w:lang w:val="en-US" w:eastAsia="zh-CN" w:bidi="ar"/>
        </w:rPr>
        <w:t>周岁及以上未享受到国家定期抚恤补助的农村籍退役士兵老年生活补助。</w:t>
      </w:r>
    </w:p>
    <w:p>
      <w:pPr>
        <w:keepNext w:val="0"/>
        <w:keepLines w:val="0"/>
        <w:widowControl/>
        <w:suppressLineNumbers w:val="0"/>
        <w:snapToGrid w:val="0"/>
        <w:spacing w:before="0" w:beforeAutospacing="0" w:after="0" w:afterAutospacing="0"/>
        <w:ind w:left="958" w:leftChars="304" w:right="0" w:hanging="320" w:hangingChars="1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8.</w:t>
      </w:r>
      <w:r>
        <w:rPr>
          <w:rFonts w:hint="eastAsia" w:ascii="仿宋_GB2312" w:hAnsi="宋体" w:eastAsia="仿宋_GB2312" w:cs="仿宋_GB2312"/>
          <w:color w:val="000000"/>
          <w:kern w:val="0"/>
          <w:sz w:val="32"/>
          <w:szCs w:val="32"/>
          <w:lang w:val="en-US" w:eastAsia="zh-CN" w:bidi="ar"/>
        </w:rPr>
        <w:t>其他优抚支出是指除上述项目以外其他用于优抚方面的支出。</w:t>
      </w:r>
    </w:p>
    <w:p>
      <w:pPr>
        <w:keepNext w:val="0"/>
        <w:keepLines w:val="0"/>
        <w:widowControl/>
        <w:suppressLineNumbers w:val="0"/>
        <w:snapToGrid w:val="0"/>
        <w:spacing w:before="0" w:beforeAutospacing="0" w:after="0" w:afterAutospacing="0"/>
        <w:ind w:left="958" w:leftChars="304" w:right="0" w:hanging="320" w:hangingChars="1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9.</w:t>
      </w:r>
      <w:r>
        <w:rPr>
          <w:rFonts w:hint="eastAsia" w:ascii="仿宋_GB2312" w:hAnsi="宋体" w:eastAsia="仿宋_GB2312" w:cs="仿宋_GB2312"/>
          <w:color w:val="000000"/>
          <w:kern w:val="0"/>
          <w:sz w:val="32"/>
          <w:szCs w:val="32"/>
          <w:lang w:val="en-US" w:eastAsia="zh-CN" w:bidi="ar"/>
        </w:rPr>
        <w:t>退役士兵安置是指按规定用于伤残义务兵的一次性建房补助、对符合条件的退役士兵和转业士官的安置支出。</w:t>
      </w:r>
      <w:r>
        <w:rPr>
          <w:rFonts w:hint="eastAsia" w:ascii="仿宋_GB2312" w:hAnsi="宋体" w:eastAsia="仿宋_GB2312" w:cs="宋体"/>
          <w:color w:val="000000"/>
          <w:kern w:val="0"/>
          <w:sz w:val="32"/>
          <w:szCs w:val="32"/>
          <w:lang w:val="en-US" w:eastAsia="zh-CN" w:bidi="ar"/>
        </w:rPr>
        <w:t xml:space="preserve">          </w:t>
      </w:r>
    </w:p>
    <w:p>
      <w:pPr>
        <w:keepNext w:val="0"/>
        <w:keepLines w:val="0"/>
        <w:widowControl/>
        <w:suppressLineNumbers w:val="0"/>
        <w:snapToGrid w:val="0"/>
        <w:spacing w:before="0" w:beforeAutospacing="0" w:after="0" w:afterAutospacing="0"/>
        <w:ind w:left="958" w:leftChars="304" w:right="0" w:hanging="320" w:hangingChars="1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10.</w:t>
      </w:r>
      <w:r>
        <w:rPr>
          <w:rFonts w:hint="eastAsia" w:ascii="仿宋_GB2312" w:hAnsi="宋体" w:eastAsia="仿宋_GB2312" w:cs="仿宋_GB2312"/>
          <w:color w:val="000000"/>
          <w:kern w:val="0"/>
          <w:sz w:val="32"/>
          <w:szCs w:val="32"/>
          <w:lang w:val="en-US" w:eastAsia="zh-CN" w:bidi="ar"/>
        </w:rPr>
        <w:t>军队移交政府的离退休人员安置是指移交政府军队离退休人员安置支出。</w:t>
      </w:r>
    </w:p>
    <w:p>
      <w:pPr>
        <w:keepNext w:val="0"/>
        <w:keepLines w:val="0"/>
        <w:widowControl/>
        <w:suppressLineNumbers w:val="0"/>
        <w:snapToGrid w:val="0"/>
        <w:spacing w:before="0" w:beforeAutospacing="0" w:after="0" w:afterAutospacing="0"/>
        <w:ind w:left="958" w:leftChars="304" w:right="0" w:hanging="320" w:hangingChars="1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11.</w:t>
      </w:r>
      <w:r>
        <w:rPr>
          <w:rFonts w:hint="eastAsia" w:ascii="仿宋_GB2312" w:hAnsi="宋体" w:eastAsia="仿宋_GB2312" w:cs="仿宋_GB2312"/>
          <w:color w:val="000000"/>
          <w:kern w:val="0"/>
          <w:sz w:val="32"/>
          <w:szCs w:val="32"/>
          <w:lang w:val="en-US" w:eastAsia="zh-CN" w:bidi="ar"/>
        </w:rPr>
        <w:t>其他社会保障和就业支出是指其他用于社会保障合就业方面的支出。</w:t>
      </w:r>
    </w:p>
    <w:p>
      <w:pPr>
        <w:keepNext w:val="0"/>
        <w:keepLines w:val="0"/>
        <w:widowControl/>
        <w:suppressLineNumbers w:val="0"/>
        <w:snapToGrid w:val="0"/>
        <w:spacing w:before="0" w:beforeAutospacing="0" w:after="0" w:afterAutospacing="0"/>
        <w:ind w:left="958" w:leftChars="304" w:right="0" w:hanging="320" w:hangingChars="1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12.</w:t>
      </w:r>
      <w:r>
        <w:rPr>
          <w:rFonts w:hint="eastAsia" w:ascii="仿宋_GB2312" w:hAnsi="宋体" w:eastAsia="仿宋_GB2312" w:cs="仿宋_GB2312"/>
          <w:color w:val="000000"/>
          <w:kern w:val="0"/>
          <w:sz w:val="32"/>
          <w:szCs w:val="32"/>
          <w:lang w:val="en-US" w:eastAsia="zh-CN" w:bidi="ar"/>
        </w:rPr>
        <w:t>行政事业单位医疗是指医疗卫生等管理事务方面支出。</w:t>
      </w:r>
    </w:p>
    <w:p>
      <w:pPr>
        <w:keepNext w:val="0"/>
        <w:keepLines w:val="0"/>
        <w:widowControl/>
        <w:suppressLineNumbers w:val="0"/>
        <w:snapToGrid w:val="0"/>
        <w:spacing w:before="0" w:beforeAutospacing="0" w:after="0" w:afterAutospacing="0"/>
        <w:ind w:left="958" w:leftChars="304" w:right="0" w:hanging="320" w:hangingChars="1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bidi="ar"/>
        </w:rPr>
        <w:t>13.</w:t>
      </w:r>
      <w:r>
        <w:rPr>
          <w:rFonts w:hint="eastAsia" w:ascii="仿宋_GB2312" w:hAnsi="宋体" w:eastAsia="仿宋_GB2312" w:cs="仿宋_GB2312"/>
          <w:color w:val="000000"/>
          <w:kern w:val="0"/>
          <w:sz w:val="32"/>
          <w:szCs w:val="32"/>
          <w:lang w:val="en-US" w:eastAsia="zh-CN" w:bidi="ar"/>
        </w:rPr>
        <w:t>优抚对象医疗补助是指优抚对象的医疗卫生方面支出。</w:t>
      </w:r>
    </w:p>
    <w:p>
      <w:pPr>
        <w:pStyle w:val="12"/>
        <w:keepNext w:val="0"/>
        <w:keepLines w:val="0"/>
        <w:widowControl w:val="0"/>
        <w:suppressLineNumbers w:val="0"/>
        <w:autoSpaceDE w:val="0"/>
        <w:autoSpaceDN w:val="0"/>
        <w:adjustRightInd w:val="0"/>
        <w:snapToGrid w:val="0"/>
        <w:spacing w:before="0" w:beforeAutospacing="0" w:after="0" w:afterAutospacing="0" w:line="560" w:lineRule="exact"/>
        <w:ind w:left="0" w:right="0" w:firstLine="640" w:firstLineChars="200"/>
        <w:jc w:val="left"/>
        <w:rPr>
          <w:rFonts w:hint="eastAsia"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lang w:val="en-US" w:eastAsia="zh-CN" w:bidi="ar"/>
        </w:rPr>
        <w:t>8.“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2"/>
        <w:keepNext w:val="0"/>
        <w:keepLines w:val="0"/>
        <w:widowControl w:val="0"/>
        <w:suppressLineNumbers w:val="0"/>
        <w:autoSpaceDE w:val="0"/>
        <w:autoSpaceDN w:val="0"/>
        <w:adjustRightInd w:val="0"/>
        <w:snapToGrid w:val="0"/>
        <w:spacing w:before="0" w:beforeAutospacing="0" w:after="0" w:afterAutospacing="0" w:line="560" w:lineRule="exact"/>
        <w:ind w:left="0" w:right="0" w:firstLine="640" w:firstLineChars="200"/>
        <w:jc w:val="left"/>
        <w:rPr>
          <w:rFonts w:hint="eastAsia"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lang w:val="en-US" w:eastAsia="zh-CN" w:bidi="ar"/>
        </w:rPr>
        <w:t>9.</w:t>
      </w:r>
      <w:r>
        <w:rPr>
          <w:rFonts w:hint="eastAsia" w:ascii="仿宋_GB2312" w:hAnsi="Calibri" w:eastAsia="仿宋_GB2312" w:cs="仿宋_GB2312"/>
          <w:color w:val="000000"/>
          <w:kern w:val="0"/>
          <w:sz w:val="32"/>
          <w:szCs w:val="32"/>
          <w:lang w:val="en-US" w:eastAsia="zh-CN" w:bidi="ar"/>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2"/>
        <w:keepNext w:val="0"/>
        <w:keepLines w:val="0"/>
        <w:widowControl w:val="0"/>
        <w:suppressLineNumbers w:val="0"/>
        <w:autoSpaceDE w:val="0"/>
        <w:autoSpaceDN w:val="0"/>
        <w:adjustRightInd w:val="0"/>
        <w:snapToGrid w:val="0"/>
        <w:spacing w:before="0" w:beforeAutospacing="0" w:after="0" w:afterAutospacing="0" w:line="560" w:lineRule="exact"/>
        <w:ind w:left="0" w:right="0" w:firstLine="640" w:firstLineChars="200"/>
        <w:jc w:val="left"/>
        <w:rPr>
          <w:rFonts w:hint="eastAsia"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lang w:val="en-US" w:eastAsia="zh-CN" w:bidi="ar"/>
        </w:rPr>
        <w:t xml:space="preserve"> </w:t>
      </w:r>
    </w:p>
    <w:p>
      <w:pPr>
        <w:pStyle w:val="4"/>
        <w:keepNext w:val="0"/>
        <w:keepLines w:val="0"/>
        <w:widowControl/>
        <w:suppressLineNumbers w:val="0"/>
        <w:snapToGrid w:val="0"/>
        <w:outlineLvl w:val="9"/>
        <w:rPr>
          <w:rStyle w:val="46"/>
          <w:rFonts w:hint="eastAsia" w:ascii="仿宋" w:hAnsi="仿宋" w:eastAsia="仿宋" w:cs="仿宋"/>
          <w:b w:val="0"/>
          <w:kern w:val="44"/>
          <w:sz w:val="32"/>
          <w:szCs w:val="32"/>
        </w:rPr>
      </w:pPr>
      <w:bookmarkStart w:id="55" w:name="_Toc25127"/>
    </w:p>
    <w:p>
      <w:pPr>
        <w:pStyle w:val="4"/>
        <w:keepNext w:val="0"/>
        <w:keepLines w:val="0"/>
        <w:widowControl/>
        <w:suppressLineNumbers w:val="0"/>
        <w:snapToGrid w:val="0"/>
        <w:outlineLvl w:val="9"/>
        <w:rPr>
          <w:rStyle w:val="46"/>
          <w:rFonts w:hint="eastAsia" w:ascii="仿宋" w:hAnsi="仿宋" w:eastAsia="仿宋" w:cs="仿宋"/>
          <w:b w:val="0"/>
          <w:kern w:val="44"/>
          <w:sz w:val="32"/>
          <w:szCs w:val="32"/>
        </w:rPr>
      </w:pPr>
    </w:p>
    <w:p>
      <w:pPr>
        <w:pStyle w:val="4"/>
        <w:keepNext w:val="0"/>
        <w:keepLines w:val="0"/>
        <w:widowControl/>
        <w:suppressLineNumbers w:val="0"/>
        <w:snapToGrid w:val="0"/>
        <w:outlineLvl w:val="9"/>
        <w:rPr>
          <w:rStyle w:val="46"/>
          <w:rFonts w:hint="eastAsia" w:ascii="仿宋" w:hAnsi="仿宋" w:eastAsia="仿宋" w:cs="仿宋"/>
          <w:b w:val="0"/>
          <w:kern w:val="44"/>
          <w:sz w:val="32"/>
          <w:szCs w:val="32"/>
        </w:rPr>
      </w:pPr>
    </w:p>
    <w:p>
      <w:pPr>
        <w:pStyle w:val="4"/>
        <w:keepNext w:val="0"/>
        <w:keepLines w:val="0"/>
        <w:widowControl/>
        <w:suppressLineNumbers w:val="0"/>
        <w:snapToGrid w:val="0"/>
        <w:outlineLvl w:val="9"/>
        <w:rPr>
          <w:rStyle w:val="46"/>
          <w:rFonts w:hint="eastAsia" w:ascii="仿宋" w:hAnsi="仿宋" w:eastAsia="仿宋" w:cs="仿宋"/>
          <w:b w:val="0"/>
          <w:kern w:val="44"/>
          <w:sz w:val="32"/>
          <w:szCs w:val="32"/>
        </w:rPr>
      </w:pPr>
    </w:p>
    <w:p>
      <w:pPr>
        <w:pStyle w:val="4"/>
        <w:keepNext w:val="0"/>
        <w:keepLines w:val="0"/>
        <w:widowControl/>
        <w:suppressLineNumbers w:val="0"/>
        <w:snapToGrid w:val="0"/>
        <w:outlineLvl w:val="9"/>
        <w:rPr>
          <w:rStyle w:val="46"/>
          <w:rFonts w:hint="eastAsia" w:ascii="仿宋" w:hAnsi="仿宋" w:eastAsia="仿宋" w:cs="仿宋"/>
          <w:b w:val="0"/>
          <w:kern w:val="44"/>
          <w:sz w:val="32"/>
          <w:szCs w:val="32"/>
        </w:rPr>
      </w:pPr>
    </w:p>
    <w:p>
      <w:pPr>
        <w:pStyle w:val="4"/>
        <w:keepNext w:val="0"/>
        <w:keepLines w:val="0"/>
        <w:widowControl/>
        <w:suppressLineNumbers w:val="0"/>
        <w:snapToGrid w:val="0"/>
        <w:outlineLvl w:val="9"/>
        <w:rPr>
          <w:rStyle w:val="46"/>
          <w:rFonts w:hint="eastAsia" w:ascii="仿宋" w:hAnsi="仿宋" w:eastAsia="仿宋" w:cs="仿宋"/>
          <w:b w:val="0"/>
          <w:kern w:val="44"/>
          <w:sz w:val="32"/>
          <w:szCs w:val="32"/>
        </w:rPr>
      </w:pPr>
    </w:p>
    <w:p>
      <w:pPr>
        <w:pStyle w:val="4"/>
        <w:keepNext w:val="0"/>
        <w:keepLines w:val="0"/>
        <w:widowControl/>
        <w:suppressLineNumbers w:val="0"/>
        <w:snapToGrid w:val="0"/>
        <w:outlineLvl w:val="9"/>
        <w:rPr>
          <w:rStyle w:val="46"/>
          <w:rFonts w:hint="eastAsia" w:ascii="仿宋" w:hAnsi="仿宋" w:eastAsia="仿宋" w:cs="仿宋"/>
          <w:b w:val="0"/>
          <w:kern w:val="44"/>
          <w:sz w:val="32"/>
          <w:szCs w:val="32"/>
        </w:rPr>
      </w:pPr>
    </w:p>
    <w:p>
      <w:pPr>
        <w:pStyle w:val="4"/>
        <w:keepNext w:val="0"/>
        <w:keepLines w:val="0"/>
        <w:widowControl/>
        <w:suppressLineNumbers w:val="0"/>
        <w:snapToGrid w:val="0"/>
        <w:outlineLvl w:val="9"/>
        <w:rPr>
          <w:rStyle w:val="46"/>
          <w:rFonts w:hint="eastAsia" w:ascii="仿宋" w:hAnsi="仿宋" w:eastAsia="仿宋" w:cs="仿宋"/>
          <w:b w:val="0"/>
          <w:kern w:val="44"/>
          <w:sz w:val="32"/>
          <w:szCs w:val="32"/>
        </w:rPr>
      </w:pPr>
    </w:p>
    <w:p>
      <w:pPr>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2"/>
        <w:rPr>
          <w:rStyle w:val="46"/>
          <w:rFonts w:hint="eastAsia" w:ascii="仿宋" w:hAnsi="仿宋" w:eastAsia="仿宋" w:cs="仿宋"/>
          <w:b w:val="0"/>
          <w:kern w:val="44"/>
          <w:sz w:val="32"/>
          <w:szCs w:val="32"/>
        </w:rPr>
      </w:pPr>
    </w:p>
    <w:p>
      <w:pPr>
        <w:pStyle w:val="4"/>
        <w:keepNext w:val="0"/>
        <w:keepLines w:val="0"/>
        <w:widowControl/>
        <w:suppressLineNumbers w:val="0"/>
        <w:snapToGrid w:val="0"/>
        <w:rPr>
          <w:rFonts w:hint="eastAsia" w:ascii="仿宋" w:hAnsi="仿宋" w:eastAsia="仿宋" w:cs="Times New Roman"/>
          <w:b w:val="0"/>
          <w:kern w:val="44"/>
          <w:sz w:val="32"/>
          <w:szCs w:val="32"/>
        </w:rPr>
      </w:pPr>
      <w:bookmarkStart w:id="56" w:name="_Toc9101"/>
      <w:r>
        <w:rPr>
          <w:rStyle w:val="46"/>
          <w:rFonts w:hint="eastAsia" w:ascii="仿宋" w:hAnsi="仿宋" w:eastAsia="仿宋" w:cs="仿宋"/>
          <w:b w:val="0"/>
          <w:kern w:val="44"/>
          <w:sz w:val="32"/>
          <w:szCs w:val="32"/>
        </w:rPr>
        <w:t>附件</w:t>
      </w:r>
      <w:r>
        <w:rPr>
          <w:rStyle w:val="46"/>
          <w:rFonts w:hint="eastAsia" w:ascii="仿宋" w:hAnsi="仿宋" w:eastAsia="仿宋" w:cs="Times New Roman"/>
          <w:b w:val="0"/>
          <w:kern w:val="44"/>
          <w:sz w:val="32"/>
          <w:szCs w:val="32"/>
        </w:rPr>
        <w:t>1</w:t>
      </w:r>
      <w:bookmarkEnd w:id="55"/>
      <w:bookmarkEnd w:id="56"/>
    </w:p>
    <w:p>
      <w:pPr>
        <w:keepNext w:val="0"/>
        <w:keepLines w:val="0"/>
        <w:widowControl/>
        <w:suppressLineNumbers w:val="0"/>
        <w:snapToGrid w:val="0"/>
        <w:spacing w:before="0" w:beforeAutospacing="0" w:after="0" w:afterAutospacing="0" w:line="480" w:lineRule="exact"/>
        <w:ind w:left="0" w:right="0"/>
        <w:jc w:val="center"/>
        <w:rPr>
          <w:rFonts w:hint="eastAsia" w:ascii="方正小标宋简体" w:hAnsi="宋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bidi="ar"/>
        </w:rPr>
        <w:t>退役军人事务局整体支出绩效评价报告</w:t>
      </w:r>
    </w:p>
    <w:p>
      <w:pPr>
        <w:keepNext w:val="0"/>
        <w:keepLines w:val="0"/>
        <w:widowControl/>
        <w:suppressLineNumbers w:val="0"/>
        <w:adjustRightInd w:val="0"/>
        <w:snapToGrid w:val="0"/>
        <w:spacing w:before="0" w:beforeAutospacing="0" w:after="0" w:afterAutospacing="0" w:line="480" w:lineRule="exact"/>
        <w:ind w:left="0" w:right="0"/>
        <w:jc w:val="left"/>
        <w:rPr>
          <w:rFonts w:hint="eastAsia" w:ascii="宋体" w:hAnsi="宋体" w:eastAsia="宋体" w:cs="宋体"/>
          <w:b/>
          <w:kern w:val="0"/>
          <w:sz w:val="28"/>
          <w:szCs w:val="28"/>
        </w:rPr>
      </w:pPr>
      <w:r>
        <w:rPr>
          <w:rFonts w:hint="eastAsia" w:ascii="宋体" w:hAnsi="宋体" w:eastAsia="宋体" w:cs="宋体"/>
          <w:b/>
          <w:kern w:val="0"/>
          <w:sz w:val="28"/>
          <w:szCs w:val="28"/>
          <w:lang w:val="en-US" w:eastAsia="zh-CN" w:bidi="ar"/>
        </w:rPr>
        <w:t xml:space="preserve"> </w:t>
      </w:r>
    </w:p>
    <w:p>
      <w:pPr>
        <w:keepNext w:val="0"/>
        <w:keepLines w:val="0"/>
        <w:widowControl/>
        <w:suppressLineNumbers w:val="0"/>
        <w:adjustRightInd w:val="0"/>
        <w:snapToGrid w:val="0"/>
        <w:spacing w:before="0" w:beforeAutospacing="0" w:after="0" w:afterAutospacing="0" w:line="480" w:lineRule="exact"/>
        <w:ind w:left="0" w:right="0" w:firstLine="840" w:firstLineChars="300"/>
        <w:jc w:val="left"/>
        <w:rPr>
          <w:rFonts w:hint="eastAsia" w:ascii="黑体" w:hAnsi="宋体" w:eastAsia="黑体" w:cs="黑体"/>
          <w:b w:val="0"/>
          <w:kern w:val="0"/>
          <w:sz w:val="32"/>
          <w:szCs w:val="32"/>
        </w:rPr>
      </w:pPr>
      <w:r>
        <w:rPr>
          <w:rFonts w:hint="eastAsia" w:ascii="黑体" w:hAnsi="宋体" w:eastAsia="黑体" w:cs="黑体"/>
          <w:b w:val="0"/>
          <w:kern w:val="0"/>
          <w:sz w:val="28"/>
          <w:szCs w:val="28"/>
          <w:lang w:val="en-US" w:eastAsia="zh-CN" w:bidi="ar"/>
        </w:rPr>
        <w:t>一、部门（单位）概况</w:t>
      </w:r>
    </w:p>
    <w:p>
      <w:pPr>
        <w:pStyle w:val="12"/>
        <w:keepNext w:val="0"/>
        <w:keepLines w:val="0"/>
        <w:widowControl w:val="0"/>
        <w:suppressLineNumbers w:val="0"/>
        <w:snapToGrid w:val="0"/>
        <w:spacing w:before="0" w:beforeAutospacing="0" w:after="0" w:afterAutospacing="0" w:line="600" w:lineRule="exact"/>
        <w:ind w:left="0" w:right="0" w:firstLine="956" w:firstLineChars="299"/>
        <w:jc w:val="left"/>
        <w:textAlignment w:val="baseline"/>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val="en-US" w:eastAsia="zh-CN" w:bidi="ar"/>
        </w:rPr>
        <w:t>2018</w:t>
      </w:r>
      <w:r>
        <w:rPr>
          <w:rFonts w:hint="eastAsia" w:ascii="仿宋" w:hAnsi="仿宋" w:eastAsia="仿宋" w:cs="仿宋"/>
          <w:color w:val="000000"/>
          <w:kern w:val="0"/>
          <w:sz w:val="32"/>
          <w:szCs w:val="32"/>
          <w:lang w:val="en-US" w:eastAsia="zh-CN" w:bidi="ar"/>
        </w:rPr>
        <w:t>年</w:t>
      </w:r>
      <w:r>
        <w:rPr>
          <w:rFonts w:hint="eastAsia" w:ascii="仿宋" w:hAnsi="仿宋" w:eastAsia="仿宋" w:cs="宋体"/>
          <w:color w:val="000000"/>
          <w:kern w:val="0"/>
          <w:sz w:val="32"/>
          <w:szCs w:val="32"/>
          <w:lang w:val="en-US" w:eastAsia="zh-CN" w:bidi="ar"/>
        </w:rPr>
        <w:t>12</w:t>
      </w:r>
      <w:r>
        <w:rPr>
          <w:rFonts w:hint="eastAsia" w:ascii="仿宋" w:hAnsi="仿宋" w:eastAsia="仿宋" w:cs="仿宋"/>
          <w:color w:val="000000"/>
          <w:kern w:val="0"/>
          <w:sz w:val="32"/>
          <w:szCs w:val="32"/>
          <w:lang w:val="en-US" w:eastAsia="zh-CN" w:bidi="ar"/>
        </w:rPr>
        <w:t>月初，在红原县委县政府的精心安排和筹备下，组建了由一名副县长担任组长，其他六名为成员的红原县退役军人事务局筹备组，积极筹备组建退役军人的基础性工作。办公场所、办公设备准备完备，率先在</w:t>
      </w:r>
      <w:r>
        <w:rPr>
          <w:rFonts w:hint="eastAsia" w:ascii="仿宋" w:hAnsi="仿宋" w:eastAsia="仿宋" w:cs="宋体"/>
          <w:color w:val="000000"/>
          <w:kern w:val="0"/>
          <w:sz w:val="32"/>
          <w:szCs w:val="32"/>
          <w:lang w:val="en-US" w:eastAsia="zh-CN" w:bidi="ar"/>
        </w:rPr>
        <w:t>2019</w:t>
      </w:r>
      <w:r>
        <w:rPr>
          <w:rFonts w:hint="eastAsia" w:ascii="仿宋" w:hAnsi="仿宋" w:eastAsia="仿宋" w:cs="仿宋"/>
          <w:color w:val="000000"/>
          <w:kern w:val="0"/>
          <w:sz w:val="32"/>
          <w:szCs w:val="32"/>
          <w:lang w:val="en-US" w:eastAsia="zh-CN" w:bidi="ar"/>
        </w:rPr>
        <w:t>年</w:t>
      </w:r>
      <w:r>
        <w:rPr>
          <w:rFonts w:hint="eastAsia" w:ascii="仿宋" w:hAnsi="仿宋" w:eastAsia="仿宋" w:cs="宋体"/>
          <w:color w:val="000000"/>
          <w:kern w:val="0"/>
          <w:sz w:val="32"/>
          <w:szCs w:val="32"/>
          <w:lang w:val="en-US" w:eastAsia="zh-CN" w:bidi="ar"/>
        </w:rPr>
        <w:t>3</w:t>
      </w:r>
      <w:r>
        <w:rPr>
          <w:rFonts w:hint="eastAsia" w:ascii="仿宋" w:hAnsi="仿宋" w:eastAsia="仿宋" w:cs="仿宋"/>
          <w:color w:val="000000"/>
          <w:kern w:val="0"/>
          <w:sz w:val="32"/>
          <w:szCs w:val="32"/>
          <w:lang w:val="en-US" w:eastAsia="zh-CN" w:bidi="ar"/>
        </w:rPr>
        <w:t>月</w:t>
      </w:r>
      <w:r>
        <w:rPr>
          <w:rFonts w:hint="eastAsia" w:ascii="仿宋" w:hAnsi="仿宋" w:eastAsia="仿宋" w:cs="宋体"/>
          <w:color w:val="000000"/>
          <w:kern w:val="0"/>
          <w:sz w:val="32"/>
          <w:szCs w:val="32"/>
          <w:lang w:val="en-US" w:eastAsia="zh-CN" w:bidi="ar"/>
        </w:rPr>
        <w:t>7</w:t>
      </w:r>
      <w:r>
        <w:rPr>
          <w:rFonts w:hint="eastAsia" w:ascii="仿宋" w:hAnsi="仿宋" w:eastAsia="仿宋" w:cs="仿宋"/>
          <w:color w:val="000000"/>
          <w:kern w:val="0"/>
          <w:sz w:val="32"/>
          <w:szCs w:val="32"/>
          <w:lang w:val="en-US" w:eastAsia="zh-CN" w:bidi="ar"/>
        </w:rPr>
        <w:t>日挂牌成立红原县退役军人事务局。同时积极拟定三定方案，制定相关制度和工作职责，做到遵守纪律，强化工作作风，有条不紊的完成了红原县退役军人事务局成立和后续工作的开展。</w:t>
      </w:r>
      <w:r>
        <w:rPr>
          <w:rFonts w:hint="eastAsia" w:ascii="仿宋" w:hAnsi="仿宋" w:eastAsia="仿宋" w:cs="宋体"/>
          <w:color w:val="000000"/>
          <w:kern w:val="0"/>
          <w:sz w:val="32"/>
          <w:szCs w:val="32"/>
          <w:lang w:val="en-US" w:eastAsia="zh-CN" w:bidi="ar"/>
        </w:rPr>
        <w:t>2019</w:t>
      </w:r>
      <w:r>
        <w:rPr>
          <w:rFonts w:hint="eastAsia" w:ascii="仿宋" w:hAnsi="仿宋" w:eastAsia="仿宋" w:cs="仿宋"/>
          <w:color w:val="000000"/>
          <w:kern w:val="0"/>
          <w:sz w:val="32"/>
          <w:szCs w:val="32"/>
          <w:lang w:val="en-US" w:eastAsia="zh-CN" w:bidi="ar"/>
        </w:rPr>
        <w:t>年</w:t>
      </w:r>
      <w:r>
        <w:rPr>
          <w:rFonts w:hint="eastAsia" w:ascii="仿宋" w:hAnsi="仿宋" w:eastAsia="仿宋" w:cs="宋体"/>
          <w:color w:val="000000"/>
          <w:kern w:val="0"/>
          <w:sz w:val="32"/>
          <w:szCs w:val="32"/>
          <w:lang w:val="en-US" w:eastAsia="zh-CN" w:bidi="ar"/>
        </w:rPr>
        <w:t>5</w:t>
      </w:r>
      <w:r>
        <w:rPr>
          <w:rFonts w:hint="eastAsia" w:ascii="仿宋" w:hAnsi="仿宋" w:eastAsia="仿宋" w:cs="仿宋"/>
          <w:color w:val="000000"/>
          <w:kern w:val="0"/>
          <w:sz w:val="32"/>
          <w:szCs w:val="32"/>
          <w:lang w:val="en-US" w:eastAsia="zh-CN" w:bidi="ar"/>
        </w:rPr>
        <w:t>月</w:t>
      </w:r>
      <w:r>
        <w:rPr>
          <w:rFonts w:hint="eastAsia" w:ascii="仿宋" w:hAnsi="仿宋" w:eastAsia="仿宋" w:cs="宋体"/>
          <w:color w:val="000000"/>
          <w:kern w:val="0"/>
          <w:sz w:val="32"/>
          <w:szCs w:val="32"/>
          <w:lang w:val="en-US" w:eastAsia="zh-CN" w:bidi="ar"/>
        </w:rPr>
        <w:t>27</w:t>
      </w:r>
      <w:r>
        <w:rPr>
          <w:rFonts w:hint="eastAsia" w:ascii="仿宋" w:hAnsi="仿宋" w:eastAsia="仿宋" w:cs="仿宋"/>
          <w:color w:val="000000"/>
          <w:kern w:val="0"/>
          <w:sz w:val="32"/>
          <w:szCs w:val="32"/>
          <w:lang w:val="en-US" w:eastAsia="zh-CN" w:bidi="ar"/>
        </w:rPr>
        <w:t>日最先在全州挂牌成立红原县退役军人事服务中心。于</w:t>
      </w:r>
      <w:r>
        <w:rPr>
          <w:rFonts w:hint="eastAsia" w:ascii="仿宋" w:hAnsi="仿宋" w:eastAsia="仿宋" w:cs="宋体"/>
          <w:color w:val="000000"/>
          <w:kern w:val="0"/>
          <w:sz w:val="32"/>
          <w:szCs w:val="32"/>
          <w:lang w:val="en-US" w:eastAsia="zh-CN" w:bidi="ar"/>
        </w:rPr>
        <w:t>6</w:t>
      </w:r>
      <w:r>
        <w:rPr>
          <w:rFonts w:hint="eastAsia" w:ascii="仿宋" w:hAnsi="仿宋" w:eastAsia="仿宋" w:cs="仿宋"/>
          <w:color w:val="000000"/>
          <w:kern w:val="0"/>
          <w:sz w:val="32"/>
          <w:szCs w:val="32"/>
          <w:lang w:val="en-US" w:eastAsia="zh-CN" w:bidi="ar"/>
        </w:rPr>
        <w:t>月</w:t>
      </w:r>
      <w:r>
        <w:rPr>
          <w:rFonts w:hint="eastAsia" w:ascii="仿宋" w:hAnsi="仿宋" w:eastAsia="仿宋" w:cs="宋体"/>
          <w:color w:val="000000"/>
          <w:kern w:val="0"/>
          <w:sz w:val="32"/>
          <w:szCs w:val="32"/>
          <w:lang w:val="en-US" w:eastAsia="zh-CN" w:bidi="ar"/>
        </w:rPr>
        <w:t>14</w:t>
      </w:r>
      <w:r>
        <w:rPr>
          <w:rFonts w:hint="eastAsia" w:ascii="仿宋" w:hAnsi="仿宋" w:eastAsia="仿宋" w:cs="仿宋"/>
          <w:color w:val="000000"/>
          <w:kern w:val="0"/>
          <w:sz w:val="32"/>
          <w:szCs w:val="32"/>
          <w:lang w:val="en-US" w:eastAsia="zh-CN" w:bidi="ar"/>
        </w:rPr>
        <w:t>承办了阿坝州退役军人系统信访工作会议。</w:t>
      </w:r>
    </w:p>
    <w:p>
      <w:pPr>
        <w:keepNext w:val="0"/>
        <w:keepLines w:val="0"/>
        <w:widowControl/>
        <w:suppressLineNumbers w:val="0"/>
        <w:adjustRightInd w:val="0"/>
        <w:snapToGrid w:val="0"/>
        <w:spacing w:before="0" w:beforeAutospacing="0" w:after="0" w:afterAutospacing="0" w:line="480" w:lineRule="exact"/>
        <w:ind w:left="0" w:right="0" w:firstLine="640" w:firstLineChars="200"/>
        <w:jc w:val="left"/>
        <w:rPr>
          <w:rFonts w:hint="eastAsia" w:ascii="黑体" w:hAnsi="宋体" w:eastAsia="黑体" w:cs="黑体"/>
          <w:b w:val="0"/>
          <w:color w:val="000000"/>
          <w:kern w:val="0"/>
          <w:sz w:val="32"/>
          <w:szCs w:val="32"/>
        </w:rPr>
      </w:pPr>
      <w:r>
        <w:rPr>
          <w:rFonts w:hint="eastAsia" w:ascii="黑体" w:hAnsi="宋体" w:eastAsia="黑体" w:cs="黑体"/>
          <w:b w:val="0"/>
          <w:kern w:val="0"/>
          <w:sz w:val="32"/>
          <w:szCs w:val="32"/>
          <w:lang w:val="en-US" w:eastAsia="zh-CN" w:bidi="ar"/>
        </w:rPr>
        <w:t>二、机</w:t>
      </w:r>
      <w:r>
        <w:rPr>
          <w:rStyle w:val="42"/>
          <w:rFonts w:hint="eastAsia" w:ascii="黑体" w:hAnsi="宋体" w:eastAsia="黑体" w:cs="黑体"/>
          <w:b w:val="0"/>
          <w:kern w:val="2"/>
          <w:sz w:val="32"/>
          <w:szCs w:val="32"/>
          <w:lang w:val="en-US" w:eastAsia="zh-CN" w:bidi="ar"/>
        </w:rPr>
        <w:t>构设置</w:t>
      </w:r>
    </w:p>
    <w:p>
      <w:pPr>
        <w:keepNext w:val="0"/>
        <w:keepLines w:val="0"/>
        <w:widowControl/>
        <w:suppressLineNumbers w:val="0"/>
        <w:snapToGrid w:val="0"/>
        <w:spacing w:before="0" w:beforeAutospacing="0" w:after="0" w:afterAutospacing="0" w:line="600" w:lineRule="exact"/>
        <w:ind w:left="0" w:right="0" w:firstLine="640" w:firstLineChars="200"/>
        <w:jc w:val="left"/>
        <w:rPr>
          <w:rFonts w:hint="eastAsia" w:ascii="仿宋_GB2312" w:eastAsia="仿宋_GB2312" w:cs="仿宋_GB2312"/>
          <w:color w:val="000000"/>
          <w:kern w:val="0"/>
          <w:sz w:val="32"/>
          <w:szCs w:val="32"/>
        </w:rPr>
      </w:pPr>
      <w:r>
        <w:rPr>
          <w:rFonts w:hint="eastAsia" w:ascii="仿宋_GB2312" w:hAnsi="宋体" w:eastAsia="仿宋_GB2312" w:cs="仿宋_GB2312"/>
          <w:color w:val="000000"/>
          <w:kern w:val="0"/>
          <w:sz w:val="32"/>
          <w:szCs w:val="32"/>
          <w:lang w:val="en-US" w:eastAsia="zh-CN" w:bidi="ar"/>
        </w:rPr>
        <w:t>我局下设办公室，综合业务股。县退役军人局行政编制4名。其中，局长1名，副局长2名。股室级领导职数2名。</w:t>
      </w:r>
    </w:p>
    <w:p>
      <w:pPr>
        <w:keepNext w:val="0"/>
        <w:keepLines w:val="0"/>
        <w:widowControl/>
        <w:suppressLineNumbers w:val="0"/>
        <w:snapToGrid w:val="0"/>
        <w:spacing w:before="0" w:beforeAutospacing="0" w:after="0" w:afterAutospacing="0"/>
        <w:ind w:left="0" w:right="0"/>
        <w:jc w:val="left"/>
        <w:rPr>
          <w:rFonts w:hint="eastAsia" w:ascii="黑体" w:hAnsi="宋体" w:eastAsia="黑体" w:cs="宋体"/>
          <w:color w:val="000000"/>
          <w:kern w:val="0"/>
          <w:sz w:val="32"/>
          <w:szCs w:val="32"/>
        </w:rPr>
      </w:pPr>
      <w:r>
        <w:rPr>
          <w:rFonts w:hint="eastAsia" w:ascii="仿宋_GB2312" w:hAnsi="宋体" w:eastAsia="仿宋_GB2312" w:cs="仿宋_GB2312"/>
          <w:kern w:val="0"/>
          <w:sz w:val="32"/>
          <w:szCs w:val="32"/>
          <w:lang w:val="en-US" w:eastAsia="zh-CN" w:bidi="ar"/>
        </w:rPr>
        <w:t>机关工勤人员事业编制1名。</w:t>
      </w:r>
      <w:r>
        <w:rPr>
          <w:rFonts w:hint="eastAsia" w:ascii="仿宋" w:hAnsi="仿宋" w:eastAsia="仿宋" w:cs="仿宋"/>
          <w:color w:val="000000"/>
          <w:kern w:val="0"/>
          <w:sz w:val="32"/>
          <w:szCs w:val="32"/>
          <w:lang w:val="en-US" w:eastAsia="zh-CN" w:bidi="ar"/>
        </w:rPr>
        <w:t>纳入红原县退役军人事务局</w:t>
      </w:r>
      <w:r>
        <w:rPr>
          <w:rFonts w:hint="eastAsia" w:ascii="仿宋" w:hAnsi="仿宋" w:eastAsia="仿宋" w:cs="宋体"/>
          <w:color w:val="000000"/>
          <w:kern w:val="0"/>
          <w:sz w:val="32"/>
          <w:szCs w:val="32"/>
          <w:lang w:val="en-US" w:eastAsia="zh-CN" w:bidi="ar"/>
        </w:rPr>
        <w:t>2020</w:t>
      </w:r>
      <w:r>
        <w:rPr>
          <w:rFonts w:hint="eastAsia" w:ascii="仿宋" w:hAnsi="仿宋" w:eastAsia="仿宋" w:cs="仿宋"/>
          <w:color w:val="000000"/>
          <w:kern w:val="0"/>
          <w:sz w:val="32"/>
          <w:szCs w:val="32"/>
          <w:lang w:val="en-US" w:eastAsia="zh-CN" w:bidi="ar"/>
        </w:rPr>
        <w:t>年度部门决算编制范围的二级预算单位包括：</w:t>
      </w:r>
    </w:p>
    <w:p>
      <w:pPr>
        <w:keepNext w:val="0"/>
        <w:keepLines w:val="0"/>
        <w:widowControl/>
        <w:suppressLineNumbers w:val="0"/>
        <w:snapToGrid w:val="0"/>
        <w:spacing w:before="0" w:beforeAutospacing="0" w:after="0" w:afterAutospacing="0" w:line="600" w:lineRule="exact"/>
        <w:ind w:left="0" w:right="0" w:firstLine="643" w:firstLineChars="200"/>
        <w:jc w:val="left"/>
        <w:rPr>
          <w:rFonts w:hint="eastAsia" w:ascii="仿宋_GB2312" w:hAnsi="仿宋" w:eastAsia="仿宋_GB2312" w:cs="宋体"/>
          <w:color w:val="000000"/>
          <w:kern w:val="0"/>
          <w:sz w:val="32"/>
          <w:szCs w:val="32"/>
        </w:rPr>
      </w:pPr>
      <w:r>
        <w:rPr>
          <w:rFonts w:hint="eastAsia" w:ascii="楷体" w:hAnsi="楷体" w:eastAsia="楷体" w:cs="楷体"/>
          <w:b/>
          <w:color w:val="000000"/>
          <w:kern w:val="0"/>
          <w:sz w:val="32"/>
          <w:szCs w:val="32"/>
          <w:lang w:val="en-US" w:eastAsia="zh-CN" w:bidi="ar"/>
        </w:rPr>
        <w:t>（一）办公室。</w:t>
      </w:r>
      <w:r>
        <w:rPr>
          <w:rFonts w:hint="eastAsia" w:ascii="仿宋_GB2312" w:hAnsi="仿宋" w:eastAsia="仿宋_GB2312" w:cs="仿宋_GB2312"/>
          <w:color w:val="000000"/>
          <w:kern w:val="0"/>
          <w:sz w:val="32"/>
          <w:szCs w:val="32"/>
          <w:lang w:val="en-US" w:eastAsia="zh-CN" w:bidi="ar"/>
        </w:rPr>
        <w:t>负责文电、会务、档案、机要等机关日常运转工作。承担保密、信息、绩效管理、政务公开、有关综合性文稿起草和史志编纂工作。组织办理人大代表建议、政协委员提案。负责机关和直属单位的机构编制、干部人事、教育培训、离退休人员和内部审计工作，指导本系统人才队伍建设。拟订退役军人事业发展规划、年度计划，贯彻执行国家退役军人管理保障基础设施建设标准，指导和监督退役军人事业资金管理。承担机关财务、政府采购、资产管理、信息化建设等工作。组织、指导退役军人综合服务体系建设。</w:t>
      </w:r>
      <w:r>
        <w:rPr>
          <w:rFonts w:hint="eastAsia" w:ascii="仿宋_GB2312" w:hAnsi="仿宋" w:eastAsia="仿宋_GB2312" w:cs="仿宋_GB2312"/>
          <w:kern w:val="0"/>
          <w:sz w:val="32"/>
          <w:szCs w:val="32"/>
          <w:lang w:val="en-US" w:eastAsia="zh-CN" w:bidi="ar"/>
        </w:rPr>
        <w:t>承担退役军人思想政治、舆论宣传工作，配合指导退役军人党建工作，指导退役军人党员教育管理工作。负责机关和直属单位党群工作。承担退役军人信访工作，研究分析全县退役军人信仿工作情况，负责有关信访事项的接待、处理和答复，督查督办重大信访案件。推动建立全县退役军人事务应急联动机制，协调处理有关突发事件。负责退役军人事务相关舆情工作。</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仿宋_GB2312" w:hAnsi="仿宋" w:eastAsia="仿宋_GB2312" w:cs="宋体"/>
          <w:color w:val="000000"/>
          <w:kern w:val="0"/>
          <w:sz w:val="32"/>
          <w:szCs w:val="32"/>
        </w:rPr>
      </w:pPr>
      <w:r>
        <w:rPr>
          <w:rFonts w:hint="eastAsia" w:ascii="楷体" w:hAnsi="楷体" w:eastAsia="楷体" w:cs="楷体"/>
          <w:b/>
          <w:color w:val="000000"/>
          <w:kern w:val="0"/>
          <w:sz w:val="32"/>
          <w:szCs w:val="32"/>
          <w:lang w:val="en-US" w:eastAsia="zh-CN" w:bidi="ar"/>
        </w:rPr>
        <w:t>（二）综合业务股。</w:t>
      </w:r>
      <w:r>
        <w:rPr>
          <w:rFonts w:hint="eastAsia" w:ascii="仿宋_GB2312" w:hAnsi="仿宋" w:eastAsia="仿宋_GB2312" w:cs="仿宋_GB2312"/>
          <w:color w:val="000000"/>
          <w:kern w:val="0"/>
          <w:sz w:val="32"/>
          <w:szCs w:val="32"/>
          <w:lang w:val="en-US" w:eastAsia="zh-CN" w:bidi="ar"/>
        </w:rPr>
        <w:t>拟订计划分配的军队转业干部、符合政府安排工作条件的退役士兵接收安置、教育培训政策和年度安置计划并组织实施，承担省、州驻县单位军队转业干部、退役士兵的计划安置、计划外选调和培训工作。负责移交地方的军队离休干部、无军籍退休退职职工和符合条件的其他退役军人的移交安置、服务管理工作。负责自主择业军队转业干部、复员干部、自主就业退役士兵的服务管理，承担接收移交安置、就业创业扶持和教育培训工作，拟订就业创业年度计划并组织实施。指导开展有关中介服务工作。组织、协调落实退役军人社会保险等待遇保障工作。承担随军随调家属就业创业扶持工作。指导并监督检查安置相关法律法规和政策措施的落实，承担退役军人权益维护和有关人员的帮扶援助工作。组织、指导全县拥军优属工作，承担现役军人、退役军人、军队文职人员和军属优待、抚恤等工作。组织、协调落实退役军人住房、医疗保障工作，贯彻执行国家有关退役军人医疗、疗养、养老等政策。负责不适宜继续服役的伤病残军人移交安置、退休安置、供养等工作。贯彻执行国民党抗战老兵等有关人员优待政策。承担退役军人总结表彰、荣誉奖励和烈士褒扬、纪念设施管理保护工作，依法承担英雄烈士保护相关工作。拟订全县军人公墓和烈士纪念设施建设规划、管理维护等政策并组织实施，承担烈士评定和向上报备工作，组织、指导英雄烈士纪念工作，负责退役军人事务对外交流与合作。贯彻优抚相关法律法规和政策措施的落实，承担退役军人权益维护和有关人员的帮扶援助工作。</w:t>
      </w:r>
    </w:p>
    <w:p>
      <w:pPr>
        <w:pStyle w:val="12"/>
        <w:keepNext w:val="0"/>
        <w:keepLines w:val="0"/>
        <w:widowControl/>
        <w:suppressLineNumbers w:val="0"/>
        <w:snapToGrid w:val="0"/>
        <w:spacing w:before="0" w:beforeAutospacing="0" w:after="0" w:afterAutospacing="0"/>
        <w:ind w:left="0" w:right="0" w:firstLine="640" w:firstLineChars="200"/>
        <w:jc w:val="left"/>
        <w:rPr>
          <w:rFonts w:hint="eastAsia" w:ascii="黑体" w:hAnsi="宋体" w:eastAsia="黑体" w:cs="黑体"/>
          <w:b w:val="0"/>
          <w:color w:val="000000"/>
          <w:kern w:val="0"/>
          <w:sz w:val="32"/>
          <w:szCs w:val="32"/>
        </w:rPr>
      </w:pPr>
      <w:r>
        <w:rPr>
          <w:rFonts w:hint="eastAsia" w:ascii="黑体" w:hAnsi="宋体" w:eastAsia="黑体" w:cs="黑体"/>
          <w:b w:val="0"/>
          <w:color w:val="000000"/>
          <w:kern w:val="0"/>
          <w:sz w:val="32"/>
          <w:szCs w:val="32"/>
          <w:lang w:val="en-US" w:eastAsia="zh-CN" w:bidi="ar"/>
        </w:rPr>
        <w:t>三、人员概况：</w:t>
      </w:r>
    </w:p>
    <w:p>
      <w:pPr>
        <w:pStyle w:val="12"/>
        <w:keepNext w:val="0"/>
        <w:keepLines w:val="0"/>
        <w:widowControl/>
        <w:suppressLineNumbers w:val="0"/>
        <w:snapToGrid w:val="0"/>
        <w:spacing w:before="0" w:beforeAutospacing="0" w:after="0" w:afterAutospacing="0"/>
        <w:ind w:left="0" w:right="0" w:firstLine="640" w:firstLineChars="200"/>
        <w:jc w:val="left"/>
        <w:rPr>
          <w:rFonts w:hint="eastAsia" w:ascii="仿宋_GB2312" w:hAnsi="仿宋" w:eastAsia="仿宋_GB2312" w:cs="Arial Unicode MS"/>
          <w:b/>
          <w:color w:val="000000"/>
          <w:kern w:val="0"/>
          <w:sz w:val="32"/>
          <w:szCs w:val="32"/>
        </w:rPr>
      </w:pPr>
      <w:r>
        <w:rPr>
          <w:rFonts w:hint="eastAsia" w:ascii="仿宋_GB2312" w:hAnsi="宋体" w:eastAsia="仿宋_GB2312" w:cs="仿宋_GB2312"/>
          <w:kern w:val="0"/>
          <w:sz w:val="32"/>
          <w:szCs w:val="32"/>
          <w:lang w:val="en-US" w:eastAsia="zh-CN" w:bidi="ar"/>
        </w:rPr>
        <w:t>我单位为独立核算全额拨款行政（参公或行政或事业）单位，下设0机构。截止2020年底我单位共有编制8个，其中公务员编制3个，行政工勤编制1个，事业编制4个，在职8人，其中参公0人，公务3人，事业编制4人。</w:t>
      </w:r>
    </w:p>
    <w:p>
      <w:pPr>
        <w:keepNext w:val="0"/>
        <w:keepLines w:val="0"/>
        <w:widowControl/>
        <w:suppressLineNumbers w:val="0"/>
        <w:adjustRightInd w:val="0"/>
        <w:snapToGrid w:val="0"/>
        <w:spacing w:before="0" w:beforeAutospacing="0" w:after="0" w:afterAutospacing="0" w:line="480" w:lineRule="exact"/>
        <w:ind w:left="0" w:right="0" w:firstLine="640" w:firstLineChars="200"/>
        <w:jc w:val="left"/>
        <w:rPr>
          <w:rFonts w:hint="eastAsia" w:ascii="黑体" w:hAnsi="宋体" w:eastAsia="黑体" w:cs="宋体"/>
          <w:color w:val="000000"/>
          <w:kern w:val="0"/>
          <w:sz w:val="24"/>
          <w:szCs w:val="24"/>
        </w:rPr>
      </w:pPr>
      <w:r>
        <w:rPr>
          <w:rFonts w:hint="eastAsia" w:ascii="黑体" w:hAnsi="宋体" w:eastAsia="黑体" w:cs="黑体"/>
          <w:color w:val="000000"/>
          <w:kern w:val="0"/>
          <w:sz w:val="32"/>
          <w:szCs w:val="32"/>
          <w:lang w:val="en-US" w:eastAsia="zh-CN" w:bidi="ar"/>
        </w:rPr>
        <w:t>四、部门财政资金收支情况</w:t>
      </w:r>
    </w:p>
    <w:p>
      <w:pPr>
        <w:keepNext w:val="0"/>
        <w:keepLines w:val="0"/>
        <w:widowControl/>
        <w:suppressLineNumbers w:val="0"/>
        <w:adjustRightInd w:val="0"/>
        <w:snapToGrid w:val="0"/>
        <w:spacing w:before="0" w:beforeAutospacing="0" w:after="0" w:afterAutospacing="0" w:line="480" w:lineRule="exact"/>
        <w:ind w:left="0" w:right="0"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仿宋_GB2312"/>
          <w:color w:val="000000"/>
          <w:kern w:val="0"/>
          <w:sz w:val="32"/>
          <w:szCs w:val="32"/>
          <w:lang w:val="en-US" w:eastAsia="zh-CN" w:bidi="ar"/>
        </w:rPr>
        <w:t>（一）部门财政资金收入情况</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val="en-US" w:eastAsia="zh-CN" w:bidi="ar"/>
        </w:rPr>
        <w:t>2020</w:t>
      </w:r>
      <w:r>
        <w:rPr>
          <w:rFonts w:hint="eastAsia" w:ascii="仿宋" w:hAnsi="仿宋" w:eastAsia="仿宋" w:cs="仿宋"/>
          <w:color w:val="000000"/>
          <w:kern w:val="0"/>
          <w:sz w:val="32"/>
          <w:szCs w:val="32"/>
          <w:lang w:val="en-US" w:eastAsia="zh-CN" w:bidi="ar"/>
        </w:rPr>
        <w:t>年本年收入合计</w:t>
      </w:r>
      <w:r>
        <w:rPr>
          <w:rFonts w:hint="eastAsia" w:ascii="仿宋" w:hAnsi="仿宋" w:eastAsia="仿宋" w:cs="宋体"/>
          <w:color w:val="000000"/>
          <w:kern w:val="0"/>
          <w:sz w:val="32"/>
          <w:szCs w:val="32"/>
          <w:lang w:val="en-US" w:eastAsia="zh-CN" w:bidi="ar"/>
        </w:rPr>
        <w:t>1107.1</w:t>
      </w:r>
      <w:r>
        <w:rPr>
          <w:rFonts w:hint="eastAsia" w:ascii="仿宋" w:hAnsi="仿宋" w:eastAsia="仿宋" w:cs="仿宋"/>
          <w:color w:val="000000"/>
          <w:kern w:val="0"/>
          <w:sz w:val="32"/>
          <w:szCs w:val="32"/>
          <w:lang w:val="en-US" w:eastAsia="zh-CN" w:bidi="ar"/>
        </w:rPr>
        <w:t>万元，其中：一般公共预算财政拨款收入</w:t>
      </w:r>
      <w:r>
        <w:rPr>
          <w:rFonts w:hint="eastAsia" w:ascii="仿宋" w:hAnsi="仿宋" w:eastAsia="仿宋" w:cs="宋体"/>
          <w:color w:val="000000"/>
          <w:kern w:val="0"/>
          <w:sz w:val="32"/>
          <w:szCs w:val="32"/>
          <w:lang w:val="en-US" w:eastAsia="zh-CN" w:bidi="ar"/>
        </w:rPr>
        <w:t>1107.1</w:t>
      </w:r>
      <w:r>
        <w:rPr>
          <w:rFonts w:hint="eastAsia" w:ascii="仿宋" w:hAnsi="仿宋" w:eastAsia="仿宋" w:cs="仿宋"/>
          <w:color w:val="000000"/>
          <w:kern w:val="0"/>
          <w:sz w:val="32"/>
          <w:szCs w:val="32"/>
          <w:lang w:val="en-US" w:eastAsia="zh-CN" w:bidi="ar"/>
        </w:rPr>
        <w:t>万元，占</w:t>
      </w:r>
      <w:r>
        <w:rPr>
          <w:rFonts w:hint="eastAsia" w:ascii="仿宋" w:hAnsi="仿宋" w:eastAsia="仿宋" w:cs="宋体"/>
          <w:color w:val="000000"/>
          <w:kern w:val="0"/>
          <w:sz w:val="32"/>
          <w:szCs w:val="32"/>
          <w:lang w:val="en-US" w:eastAsia="zh-CN" w:bidi="ar"/>
        </w:rPr>
        <w:t>100%</w:t>
      </w:r>
      <w:r>
        <w:rPr>
          <w:rFonts w:hint="eastAsia" w:ascii="仿宋" w:hAnsi="仿宋" w:eastAsia="仿宋" w:cs="仿宋"/>
          <w:color w:val="000000"/>
          <w:kern w:val="0"/>
          <w:sz w:val="32"/>
          <w:szCs w:val="32"/>
          <w:lang w:val="en-US" w:eastAsia="zh-CN" w:bidi="ar"/>
        </w:rPr>
        <w:t>；政府性基金预算财政拨款收入</w:t>
      </w:r>
      <w:r>
        <w:rPr>
          <w:rFonts w:hint="eastAsia" w:ascii="仿宋" w:hAnsi="仿宋" w:eastAsia="仿宋" w:cs="宋体"/>
          <w:color w:val="000000"/>
          <w:kern w:val="0"/>
          <w:sz w:val="32"/>
          <w:szCs w:val="32"/>
          <w:lang w:val="en-US" w:eastAsia="zh-CN" w:bidi="ar"/>
        </w:rPr>
        <w:t>0</w:t>
      </w:r>
      <w:r>
        <w:rPr>
          <w:rFonts w:hint="eastAsia" w:ascii="仿宋" w:hAnsi="仿宋" w:eastAsia="仿宋" w:cs="仿宋"/>
          <w:color w:val="000000"/>
          <w:kern w:val="0"/>
          <w:sz w:val="32"/>
          <w:szCs w:val="32"/>
          <w:lang w:val="en-US" w:eastAsia="zh-CN" w:bidi="ar"/>
        </w:rPr>
        <w:t>万元，占</w:t>
      </w:r>
      <w:r>
        <w:rPr>
          <w:rFonts w:hint="eastAsia" w:ascii="仿宋" w:hAnsi="仿宋" w:eastAsia="仿宋" w:cs="宋体"/>
          <w:color w:val="000000"/>
          <w:kern w:val="0"/>
          <w:sz w:val="32"/>
          <w:szCs w:val="32"/>
          <w:lang w:val="en-US" w:eastAsia="zh-CN" w:bidi="ar"/>
        </w:rPr>
        <w:t>0%</w:t>
      </w:r>
      <w:r>
        <w:rPr>
          <w:rFonts w:hint="eastAsia" w:ascii="仿宋" w:hAnsi="仿宋" w:eastAsia="仿宋" w:cs="仿宋"/>
          <w:color w:val="000000"/>
          <w:kern w:val="0"/>
          <w:sz w:val="32"/>
          <w:szCs w:val="32"/>
          <w:lang w:val="en-US" w:eastAsia="zh-CN" w:bidi="ar"/>
        </w:rPr>
        <w:t>。</w:t>
      </w:r>
    </w:p>
    <w:p>
      <w:pPr>
        <w:keepNext w:val="0"/>
        <w:keepLines w:val="0"/>
        <w:widowControl/>
        <w:suppressLineNumbers w:val="0"/>
        <w:adjustRightInd w:val="0"/>
        <w:snapToGrid w:val="0"/>
        <w:spacing w:before="0" w:beforeAutospacing="0" w:after="0" w:afterAutospacing="0" w:line="480" w:lineRule="exact"/>
        <w:ind w:left="0" w:right="0" w:firstLine="640" w:firstLineChars="200"/>
        <w:jc w:val="left"/>
        <w:rPr>
          <w:rFonts w:hint="eastAsia" w:ascii="宋体" w:hAnsi="宋体" w:eastAsia="宋体" w:cs="宋体"/>
          <w:kern w:val="0"/>
          <w:sz w:val="24"/>
          <w:szCs w:val="24"/>
        </w:rPr>
      </w:pPr>
      <w:r>
        <w:rPr>
          <w:rFonts w:hint="eastAsia" w:ascii="仿宋_GB2312" w:hAnsi="宋体" w:eastAsia="仿宋_GB2312" w:cs="仿宋_GB2312"/>
          <w:color w:val="000000"/>
          <w:kern w:val="0"/>
          <w:sz w:val="32"/>
          <w:szCs w:val="32"/>
          <w:lang w:val="en-US" w:eastAsia="zh-CN" w:bidi="ar"/>
        </w:rPr>
        <w:t>（二）部门财政资金支出情况：</w:t>
      </w:r>
    </w:p>
    <w:p>
      <w:pPr>
        <w:keepNext w:val="0"/>
        <w:keepLines w:val="0"/>
        <w:widowControl/>
        <w:suppressLineNumbers w:val="0"/>
        <w:adjustRightInd w:val="0"/>
        <w:snapToGrid w:val="0"/>
        <w:spacing w:before="0" w:beforeAutospacing="0" w:after="0" w:afterAutospacing="0" w:line="480" w:lineRule="exact"/>
        <w:ind w:left="0" w:right="0" w:firstLine="640" w:firstLineChars="200"/>
        <w:jc w:val="left"/>
        <w:rPr>
          <w:rFonts w:hint="eastAsia" w:ascii="宋体" w:hAnsi="宋体" w:eastAsia="宋体" w:cs="宋体"/>
          <w:kern w:val="0"/>
          <w:sz w:val="24"/>
          <w:szCs w:val="24"/>
        </w:rPr>
      </w:pPr>
      <w:r>
        <w:rPr>
          <w:rFonts w:hint="eastAsia" w:ascii="仿宋" w:hAnsi="仿宋" w:eastAsia="仿宋" w:cs="宋体"/>
          <w:color w:val="000000"/>
          <w:kern w:val="0"/>
          <w:sz w:val="32"/>
          <w:szCs w:val="32"/>
          <w:lang w:val="en-US" w:eastAsia="zh-CN" w:bidi="ar"/>
        </w:rPr>
        <w:t>2020</w:t>
      </w:r>
      <w:r>
        <w:rPr>
          <w:rFonts w:hint="eastAsia" w:ascii="仿宋" w:hAnsi="仿宋" w:eastAsia="仿宋" w:cs="仿宋"/>
          <w:color w:val="000000"/>
          <w:kern w:val="0"/>
          <w:sz w:val="32"/>
          <w:szCs w:val="32"/>
          <w:lang w:val="en-US" w:eastAsia="zh-CN" w:bidi="ar"/>
        </w:rPr>
        <w:t>年本年支出合计</w:t>
      </w:r>
      <w:r>
        <w:rPr>
          <w:rFonts w:hint="eastAsia" w:ascii="仿宋" w:hAnsi="仿宋" w:eastAsia="仿宋" w:cs="宋体"/>
          <w:color w:val="000000"/>
          <w:kern w:val="0"/>
          <w:sz w:val="32"/>
          <w:szCs w:val="32"/>
          <w:lang w:val="en-US" w:eastAsia="zh-CN" w:bidi="ar"/>
        </w:rPr>
        <w:t>783.87</w:t>
      </w:r>
      <w:r>
        <w:rPr>
          <w:rFonts w:hint="eastAsia" w:ascii="仿宋" w:hAnsi="仿宋" w:eastAsia="仿宋" w:cs="仿宋"/>
          <w:color w:val="000000"/>
          <w:kern w:val="0"/>
          <w:sz w:val="32"/>
          <w:szCs w:val="32"/>
          <w:lang w:val="en-US" w:eastAsia="zh-CN" w:bidi="ar"/>
        </w:rPr>
        <w:t>万元，其中：基本支出</w:t>
      </w:r>
      <w:r>
        <w:rPr>
          <w:rFonts w:hint="eastAsia" w:ascii="仿宋" w:hAnsi="仿宋" w:eastAsia="仿宋" w:cs="宋体"/>
          <w:color w:val="000000"/>
          <w:kern w:val="0"/>
          <w:sz w:val="32"/>
          <w:szCs w:val="32"/>
          <w:lang w:val="en-US" w:eastAsia="zh-CN" w:bidi="ar"/>
        </w:rPr>
        <w:t>157.8</w:t>
      </w:r>
      <w:r>
        <w:rPr>
          <w:rFonts w:hint="eastAsia" w:ascii="仿宋" w:hAnsi="仿宋" w:eastAsia="仿宋" w:cs="仿宋"/>
          <w:color w:val="000000"/>
          <w:kern w:val="0"/>
          <w:sz w:val="32"/>
          <w:szCs w:val="32"/>
          <w:lang w:val="en-US" w:eastAsia="zh-CN" w:bidi="ar"/>
        </w:rPr>
        <w:t xml:space="preserve">万元，占     </w:t>
      </w:r>
      <w:r>
        <w:rPr>
          <w:rFonts w:hint="eastAsia" w:ascii="仿宋" w:hAnsi="仿宋" w:eastAsia="仿宋" w:cs="宋体"/>
          <w:color w:val="000000"/>
          <w:kern w:val="0"/>
          <w:sz w:val="32"/>
          <w:szCs w:val="32"/>
          <w:lang w:val="en-US" w:eastAsia="zh-CN" w:bidi="ar"/>
        </w:rPr>
        <w:t>%</w:t>
      </w:r>
      <w:r>
        <w:rPr>
          <w:rFonts w:hint="eastAsia" w:ascii="仿宋" w:hAnsi="仿宋" w:eastAsia="仿宋" w:cs="仿宋"/>
          <w:color w:val="000000"/>
          <w:kern w:val="0"/>
          <w:sz w:val="32"/>
          <w:szCs w:val="32"/>
          <w:lang w:val="en-US" w:eastAsia="zh-CN" w:bidi="ar"/>
        </w:rPr>
        <w:t>；项目支出</w:t>
      </w:r>
      <w:r>
        <w:rPr>
          <w:rFonts w:hint="eastAsia" w:ascii="仿宋" w:hAnsi="仿宋" w:eastAsia="仿宋" w:cs="宋体"/>
          <w:color w:val="000000"/>
          <w:kern w:val="0"/>
          <w:sz w:val="32"/>
          <w:szCs w:val="32"/>
          <w:lang w:val="en-US" w:eastAsia="zh-CN" w:bidi="ar"/>
        </w:rPr>
        <w:t>841.90</w:t>
      </w:r>
      <w:r>
        <w:rPr>
          <w:rFonts w:hint="eastAsia" w:ascii="仿宋" w:hAnsi="仿宋" w:eastAsia="仿宋" w:cs="仿宋"/>
          <w:color w:val="000000"/>
          <w:kern w:val="0"/>
          <w:sz w:val="32"/>
          <w:szCs w:val="32"/>
          <w:lang w:val="en-US" w:eastAsia="zh-CN" w:bidi="ar"/>
        </w:rPr>
        <w:t xml:space="preserve">万元，占   </w:t>
      </w:r>
      <w:r>
        <w:rPr>
          <w:rFonts w:hint="eastAsia" w:ascii="仿宋" w:hAnsi="仿宋" w:eastAsia="仿宋" w:cs="宋体"/>
          <w:color w:val="000000"/>
          <w:kern w:val="0"/>
          <w:sz w:val="32"/>
          <w:szCs w:val="32"/>
          <w:lang w:val="en-US" w:eastAsia="zh-CN" w:bidi="ar"/>
        </w:rPr>
        <w:t>%</w:t>
      </w:r>
      <w:r>
        <w:rPr>
          <w:rFonts w:hint="eastAsia" w:ascii="仿宋" w:hAnsi="仿宋" w:eastAsia="仿宋" w:cs="仿宋"/>
          <w:color w:val="000000"/>
          <w:kern w:val="0"/>
          <w:sz w:val="32"/>
          <w:szCs w:val="32"/>
          <w:lang w:val="en-US" w:eastAsia="zh-CN" w:bidi="ar"/>
        </w:rPr>
        <w:t>；上缴上级支出</w:t>
      </w:r>
      <w:r>
        <w:rPr>
          <w:rFonts w:hint="eastAsia" w:ascii="仿宋" w:hAnsi="仿宋" w:eastAsia="仿宋" w:cs="宋体"/>
          <w:color w:val="000000"/>
          <w:kern w:val="0"/>
          <w:sz w:val="32"/>
          <w:szCs w:val="32"/>
          <w:lang w:val="en-US" w:eastAsia="zh-CN" w:bidi="ar"/>
        </w:rPr>
        <w:t>0</w:t>
      </w:r>
      <w:r>
        <w:rPr>
          <w:rFonts w:hint="eastAsia" w:ascii="仿宋" w:hAnsi="仿宋" w:eastAsia="仿宋" w:cs="仿宋"/>
          <w:color w:val="000000"/>
          <w:kern w:val="0"/>
          <w:sz w:val="32"/>
          <w:szCs w:val="32"/>
          <w:lang w:val="en-US" w:eastAsia="zh-CN" w:bidi="ar"/>
        </w:rPr>
        <w:t>万元，占</w:t>
      </w:r>
      <w:r>
        <w:rPr>
          <w:rFonts w:hint="eastAsia" w:ascii="仿宋" w:hAnsi="仿宋" w:eastAsia="仿宋" w:cs="宋体"/>
          <w:color w:val="000000"/>
          <w:kern w:val="0"/>
          <w:sz w:val="32"/>
          <w:szCs w:val="32"/>
          <w:lang w:val="en-US" w:eastAsia="zh-CN" w:bidi="ar"/>
        </w:rPr>
        <w:t>0%</w:t>
      </w:r>
      <w:r>
        <w:rPr>
          <w:rFonts w:hint="eastAsia" w:ascii="仿宋" w:hAnsi="仿宋" w:eastAsia="仿宋" w:cs="仿宋"/>
          <w:color w:val="000000"/>
          <w:kern w:val="0"/>
          <w:sz w:val="32"/>
          <w:szCs w:val="32"/>
          <w:lang w:val="en-US" w:eastAsia="zh-CN" w:bidi="ar"/>
        </w:rPr>
        <w:t>；经营支出</w:t>
      </w:r>
      <w:r>
        <w:rPr>
          <w:rFonts w:hint="eastAsia" w:ascii="仿宋" w:hAnsi="仿宋" w:eastAsia="仿宋" w:cs="宋体"/>
          <w:color w:val="000000"/>
          <w:kern w:val="0"/>
          <w:sz w:val="32"/>
          <w:szCs w:val="32"/>
          <w:lang w:val="en-US" w:eastAsia="zh-CN" w:bidi="ar"/>
        </w:rPr>
        <w:t>0</w:t>
      </w:r>
      <w:r>
        <w:rPr>
          <w:rFonts w:hint="eastAsia" w:ascii="仿宋" w:hAnsi="仿宋" w:eastAsia="仿宋" w:cs="仿宋"/>
          <w:color w:val="000000"/>
          <w:kern w:val="0"/>
          <w:sz w:val="32"/>
          <w:szCs w:val="32"/>
          <w:lang w:val="en-US" w:eastAsia="zh-CN" w:bidi="ar"/>
        </w:rPr>
        <w:t>万元，占</w:t>
      </w:r>
      <w:r>
        <w:rPr>
          <w:rFonts w:hint="eastAsia" w:ascii="仿宋" w:hAnsi="仿宋" w:eastAsia="仿宋" w:cs="宋体"/>
          <w:color w:val="000000"/>
          <w:kern w:val="0"/>
          <w:sz w:val="32"/>
          <w:szCs w:val="32"/>
          <w:lang w:val="en-US" w:eastAsia="zh-CN" w:bidi="ar"/>
        </w:rPr>
        <w:t>0%</w:t>
      </w:r>
      <w:r>
        <w:rPr>
          <w:rFonts w:hint="eastAsia" w:ascii="仿宋" w:hAnsi="仿宋" w:eastAsia="仿宋" w:cs="仿宋"/>
          <w:color w:val="000000"/>
          <w:kern w:val="0"/>
          <w:sz w:val="32"/>
          <w:szCs w:val="32"/>
          <w:lang w:val="en-US" w:eastAsia="zh-CN" w:bidi="ar"/>
        </w:rPr>
        <w:t>；对附属单位补助支出</w:t>
      </w:r>
      <w:r>
        <w:rPr>
          <w:rFonts w:hint="eastAsia" w:ascii="仿宋" w:hAnsi="仿宋" w:eastAsia="仿宋" w:cs="宋体"/>
          <w:color w:val="000000"/>
          <w:kern w:val="0"/>
          <w:sz w:val="32"/>
          <w:szCs w:val="32"/>
          <w:lang w:val="en-US" w:eastAsia="zh-CN" w:bidi="ar"/>
        </w:rPr>
        <w:t>0</w:t>
      </w:r>
      <w:r>
        <w:rPr>
          <w:rFonts w:hint="eastAsia" w:ascii="仿宋" w:hAnsi="仿宋" w:eastAsia="仿宋" w:cs="仿宋"/>
          <w:color w:val="000000"/>
          <w:kern w:val="0"/>
          <w:sz w:val="32"/>
          <w:szCs w:val="32"/>
          <w:lang w:val="en-US" w:eastAsia="zh-CN" w:bidi="ar"/>
        </w:rPr>
        <w:t>万元，占</w:t>
      </w:r>
      <w:r>
        <w:rPr>
          <w:rFonts w:hint="eastAsia" w:ascii="仿宋" w:hAnsi="仿宋" w:eastAsia="仿宋" w:cs="宋体"/>
          <w:color w:val="000000"/>
          <w:kern w:val="0"/>
          <w:sz w:val="32"/>
          <w:szCs w:val="32"/>
          <w:lang w:val="en-US" w:eastAsia="zh-CN" w:bidi="ar"/>
        </w:rPr>
        <w:t>0%</w:t>
      </w:r>
      <w:r>
        <w:rPr>
          <w:rFonts w:hint="eastAsia" w:ascii="仿宋" w:hAnsi="仿宋" w:eastAsia="仿宋" w:cs="仿宋"/>
          <w:color w:val="000000"/>
          <w:kern w:val="0"/>
          <w:sz w:val="32"/>
          <w:szCs w:val="32"/>
          <w:lang w:val="en-US" w:eastAsia="zh-CN" w:bidi="ar"/>
        </w:rPr>
        <w:t>。</w:t>
      </w:r>
    </w:p>
    <w:p>
      <w:pPr>
        <w:keepNext w:val="0"/>
        <w:keepLines w:val="0"/>
        <w:widowControl/>
        <w:suppressLineNumbers w:val="0"/>
        <w:adjustRightInd w:val="0"/>
        <w:snapToGrid w:val="0"/>
        <w:spacing w:before="0" w:beforeAutospacing="0" w:after="0" w:afterAutospacing="0" w:line="580" w:lineRule="exact"/>
        <w:ind w:left="0" w:right="0" w:firstLine="640" w:firstLineChars="200"/>
        <w:contextualSpacing/>
        <w:jc w:val="left"/>
        <w:rPr>
          <w:rFonts w:hint="eastAsia" w:ascii="黑体" w:hAnsi="宋体" w:eastAsia="黑体" w:cs="宋体"/>
          <w:color w:val="000000"/>
          <w:kern w:val="0"/>
          <w:sz w:val="32"/>
          <w:szCs w:val="32"/>
          <w:shd w:val="clear" w:fill="FFFFFF"/>
        </w:rPr>
      </w:pPr>
      <w:r>
        <w:rPr>
          <w:rFonts w:hint="eastAsia" w:ascii="黑体" w:hAnsi="宋体" w:eastAsia="黑体" w:cs="黑体"/>
          <w:color w:val="000000"/>
          <w:kern w:val="0"/>
          <w:sz w:val="32"/>
          <w:szCs w:val="32"/>
          <w:shd w:val="clear" w:fill="FFFFFF"/>
          <w:lang w:val="en-US" w:eastAsia="zh-CN" w:bidi="ar"/>
        </w:rPr>
        <w:t>五、部门整体预算绩效管理情况</w:t>
      </w:r>
    </w:p>
    <w:p>
      <w:pPr>
        <w:keepNext w:val="0"/>
        <w:keepLines w:val="0"/>
        <w:widowControl/>
        <w:suppressLineNumbers w:val="0"/>
        <w:adjustRightInd w:val="0"/>
        <w:snapToGrid w:val="0"/>
        <w:spacing w:before="0" w:beforeAutospacing="0" w:after="0" w:afterAutospacing="0" w:line="580" w:lineRule="exact"/>
        <w:ind w:left="0" w:right="0" w:firstLine="643" w:firstLineChars="200"/>
        <w:contextualSpacing/>
        <w:jc w:val="left"/>
        <w:rPr>
          <w:rFonts w:hint="eastAsia" w:ascii="楷体_GB2312" w:eastAsia="楷体_GB2312" w:cs="楷体_GB2312"/>
          <w:b/>
          <w:color w:val="000000"/>
          <w:kern w:val="0"/>
          <w:sz w:val="32"/>
          <w:szCs w:val="32"/>
          <w:shd w:val="clear" w:fill="FFFFFF"/>
        </w:rPr>
      </w:pPr>
      <w:r>
        <w:rPr>
          <w:rFonts w:hint="eastAsia" w:ascii="楷体_GB2312" w:hAnsi="宋体" w:eastAsia="楷体_GB2312" w:cs="楷体_GB2312"/>
          <w:b/>
          <w:color w:val="000000"/>
          <w:kern w:val="0"/>
          <w:sz w:val="32"/>
          <w:szCs w:val="32"/>
          <w:shd w:val="clear" w:fill="FFFFFF"/>
          <w:lang w:val="en-US" w:eastAsia="zh-CN" w:bidi="ar"/>
        </w:rPr>
        <w:t>（一）部门预算管理。</w:t>
      </w:r>
    </w:p>
    <w:p>
      <w:pPr>
        <w:pStyle w:val="12"/>
        <w:keepNext w:val="0"/>
        <w:keepLines w:val="0"/>
        <w:widowControl/>
        <w:suppressLineNumbers w:val="0"/>
        <w:snapToGrid w:val="0"/>
        <w:spacing w:before="0" w:beforeAutospacing="0" w:after="0" w:afterAutospacing="0"/>
        <w:ind w:left="0" w:right="0" w:firstLine="640" w:firstLineChars="200"/>
        <w:jc w:val="left"/>
        <w:rPr>
          <w:rFonts w:hint="eastAsia" w:ascii="仿宋_GB2312" w:hAnsi="宋体" w:eastAsia="仿宋_GB2312" w:cs="宋体"/>
          <w:color w:val="000000"/>
          <w:kern w:val="0"/>
          <w:sz w:val="32"/>
          <w:szCs w:val="32"/>
          <w:shd w:val="clear" w:fill="FFFFFF"/>
        </w:rPr>
      </w:pPr>
      <w:r>
        <w:rPr>
          <w:rFonts w:hint="eastAsia" w:ascii="仿宋_GB2312" w:hAnsi="宋体" w:eastAsia="仿宋_GB2312" w:cs="仿宋_GB2312"/>
          <w:kern w:val="0"/>
          <w:sz w:val="32"/>
          <w:szCs w:val="32"/>
          <w:lang w:val="en-US" w:eastAsia="zh-CN" w:bidi="ar"/>
        </w:rPr>
        <w:t>根据预算绩效管理要求，本部门在年初预算编制阶段，组织、项目开展了预算事前绩效评估，对4个项目编制了绩效目标，预算执行过程中，选取4个项目开展绩效监控，年终执行完毕后，对4个项目开展了绩效目标完成情况梳理填报。</w:t>
      </w:r>
      <w:r>
        <w:rPr>
          <w:rFonts w:hint="eastAsia" w:ascii="仿宋_GB2312" w:hAnsi="宋体" w:eastAsia="仿宋_GB2312" w:cs="仿宋_GB2312"/>
          <w:color w:val="000000"/>
          <w:kern w:val="0"/>
          <w:sz w:val="32"/>
          <w:szCs w:val="32"/>
          <w:shd w:val="clear" w:fill="FFFFFF"/>
          <w:lang w:val="en-US" w:eastAsia="zh-CN" w:bidi="ar"/>
        </w:rPr>
        <w:t>预算编制准确：</w:t>
      </w:r>
      <w:r>
        <w:rPr>
          <w:rFonts w:hint="eastAsia" w:ascii="仿宋_GB2312" w:hAnsi="宋体" w:eastAsia="仿宋_GB2312" w:cs="宋体"/>
          <w:color w:val="000000"/>
          <w:kern w:val="0"/>
          <w:sz w:val="32"/>
          <w:szCs w:val="32"/>
          <w:shd w:val="clear" w:fill="FFFFFF"/>
          <w:lang w:val="en-US" w:eastAsia="zh-CN" w:bidi="ar"/>
        </w:rPr>
        <w:t>1</w:t>
      </w:r>
      <w:r>
        <w:rPr>
          <w:rFonts w:hint="eastAsia" w:ascii="仿宋_GB2312" w:hAnsi="宋体" w:eastAsia="仿宋_GB2312" w:cs="仿宋_GB2312"/>
          <w:color w:val="000000"/>
          <w:kern w:val="0"/>
          <w:sz w:val="32"/>
          <w:szCs w:val="32"/>
          <w:shd w:val="clear" w:fill="FFFFFF"/>
          <w:lang w:val="en-US" w:eastAsia="zh-CN" w:bidi="ar"/>
        </w:rPr>
        <w:t>、</w:t>
      </w:r>
      <w:r>
        <w:rPr>
          <w:rFonts w:hint="eastAsia" w:ascii="仿宋_GB2312" w:hAnsi="宋体" w:eastAsia="仿宋_GB2312" w:cs="仿宋_GB2312"/>
          <w:kern w:val="0"/>
          <w:sz w:val="32"/>
          <w:szCs w:val="32"/>
          <w:lang w:val="en-US" w:eastAsia="zh-CN" w:bidi="ar"/>
        </w:rPr>
        <w:t>义务兵优待金项目全年预算数7.44万元，执行数7.44万元，完成预算的100%。通过项目实施，保障落实政策。2.退役安置项目全年预算数524.81万元，执行数为524.81万元，完成预算的100%。通过项目实施，保障退役安置扎实开展。3.其他生活救助。项目全年预算数0.08万元，执行数为0.08万元，完成预算的100%。通过项目实施，切实保障困难军人基本生活。4.拥军优属项目全年预算数5.23万元，执行数为5.23元，完成预算的100%通过项目实施。</w:t>
      </w:r>
      <w:r>
        <w:rPr>
          <w:rFonts w:hint="eastAsia" w:ascii="仿宋_GB2312" w:hAnsi="宋体" w:eastAsia="仿宋_GB2312" w:cs="仿宋_GB2312"/>
          <w:color w:val="000000"/>
          <w:kern w:val="0"/>
          <w:sz w:val="32"/>
          <w:szCs w:val="32"/>
          <w:shd w:val="clear" w:fill="FFFFFF"/>
          <w:lang w:val="en-US" w:eastAsia="zh-CN" w:bidi="ar"/>
        </w:rPr>
        <w:t>预算精准无任何动态调整、执行进度</w:t>
      </w:r>
      <w:r>
        <w:rPr>
          <w:rFonts w:hint="eastAsia" w:ascii="仿宋_GB2312" w:hAnsi="宋体" w:eastAsia="仿宋_GB2312" w:cs="宋体"/>
          <w:color w:val="000000"/>
          <w:kern w:val="0"/>
          <w:sz w:val="32"/>
          <w:szCs w:val="32"/>
          <w:shd w:val="clear" w:fill="FFFFFF"/>
          <w:lang w:val="en-US" w:eastAsia="zh-CN" w:bidi="ar"/>
        </w:rPr>
        <w:t>100%</w:t>
      </w:r>
      <w:r>
        <w:rPr>
          <w:rFonts w:hint="eastAsia" w:ascii="仿宋_GB2312" w:hAnsi="宋体" w:eastAsia="仿宋_GB2312" w:cs="仿宋_GB2312"/>
          <w:color w:val="000000"/>
          <w:kern w:val="0"/>
          <w:sz w:val="32"/>
          <w:szCs w:val="32"/>
          <w:shd w:val="clear" w:fill="FFFFFF"/>
          <w:lang w:val="en-US" w:eastAsia="zh-CN" w:bidi="ar"/>
        </w:rPr>
        <w:t>正确，无任何违规记录等情况。</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仿宋_GB2312" w:eastAsia="仿宋_GB2312" w:cs="仿宋_GB2312"/>
          <w:b/>
          <w:color w:val="000000"/>
          <w:kern w:val="0"/>
          <w:sz w:val="32"/>
          <w:szCs w:val="32"/>
        </w:rPr>
      </w:pPr>
      <w:r>
        <w:rPr>
          <w:rFonts w:hint="eastAsia" w:ascii="仿宋_GB2312" w:hAnsi="宋体" w:eastAsia="仿宋_GB2312" w:cs="仿宋_GB2312"/>
          <w:b/>
          <w:color w:val="000000"/>
          <w:kern w:val="0"/>
          <w:sz w:val="32"/>
          <w:szCs w:val="32"/>
          <w:lang w:val="en-US" w:eastAsia="zh-CN" w:bidi="ar"/>
        </w:rPr>
        <w:t>六、部门财政支出管理情况</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楷体_GB2312" w:eastAsia="楷体_GB2312" w:cs="楷体_GB2312"/>
          <w:b/>
          <w:color w:val="000000"/>
          <w:kern w:val="0"/>
          <w:sz w:val="32"/>
          <w:szCs w:val="32"/>
        </w:rPr>
      </w:pPr>
      <w:r>
        <w:rPr>
          <w:rFonts w:hint="eastAsia" w:ascii="楷体_GB2312" w:hAnsi="宋体" w:eastAsia="楷体_GB2312" w:cs="楷体_GB2312"/>
          <w:b/>
          <w:color w:val="000000"/>
          <w:kern w:val="0"/>
          <w:sz w:val="32"/>
          <w:szCs w:val="32"/>
          <w:lang w:val="en-US" w:eastAsia="zh-CN" w:bidi="ar"/>
        </w:rPr>
        <w:t>（一）预算编制情况。</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仿宋_GB2312" w:eastAsia="仿宋_GB2312" w:cs="仿宋_GB2312"/>
          <w:color w:val="000000"/>
          <w:kern w:val="0"/>
          <w:sz w:val="32"/>
          <w:szCs w:val="32"/>
        </w:rPr>
      </w:pPr>
      <w:r>
        <w:rPr>
          <w:rFonts w:hint="eastAsia" w:ascii="仿宋_GB2312" w:hAnsi="宋体" w:eastAsia="仿宋_GB2312" w:cs="仿宋_GB2312"/>
          <w:color w:val="000000"/>
          <w:kern w:val="0"/>
          <w:sz w:val="32"/>
          <w:szCs w:val="32"/>
          <w:lang w:val="en-US" w:eastAsia="zh-CN" w:bidi="ar"/>
        </w:rPr>
        <w:t>不断提高预算编制质量水平，预算编制水平直接影响财政预算执行的结果，预算编制中主要问题是预算批复滞后，给预算执行带来不利影响。充分认识预算执行管理工作的重要性，加强协调配合，建立部门责任制度，增强法制意识、强化预算执行的严肃性。绩效目标是细化和量化描述，主要包括产出指标、效益指标和满意度指标。</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楷体_GB2312" w:eastAsia="楷体_GB2312" w:cs="楷体_GB2312"/>
          <w:b/>
          <w:color w:val="000000"/>
          <w:kern w:val="0"/>
          <w:sz w:val="32"/>
          <w:szCs w:val="32"/>
        </w:rPr>
      </w:pPr>
      <w:r>
        <w:rPr>
          <w:rFonts w:hint="eastAsia" w:ascii="楷体_GB2312" w:hAnsi="宋体" w:eastAsia="楷体_GB2312" w:cs="楷体_GB2312"/>
          <w:b/>
          <w:color w:val="000000"/>
          <w:kern w:val="0"/>
          <w:sz w:val="32"/>
          <w:szCs w:val="32"/>
          <w:lang w:val="en-US" w:eastAsia="zh-CN" w:bidi="ar"/>
        </w:rPr>
        <w:t xml:space="preserve">（二）执行管理情况。 </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仿宋_GB2312" w:eastAsia="仿宋_GB2312" w:cs="仿宋_GB2312"/>
          <w:color w:val="000000"/>
          <w:kern w:val="0"/>
          <w:sz w:val="32"/>
          <w:szCs w:val="32"/>
        </w:rPr>
      </w:pPr>
      <w:r>
        <w:rPr>
          <w:rFonts w:hint="eastAsia" w:ascii="仿宋_GB2312" w:hAnsi="宋体" w:eastAsia="仿宋_GB2312" w:cs="仿宋_GB2312"/>
          <w:color w:val="000000"/>
          <w:kern w:val="0"/>
          <w:sz w:val="32"/>
          <w:szCs w:val="32"/>
          <w:lang w:val="en-US" w:eastAsia="zh-CN" w:bidi="ar"/>
        </w:rPr>
        <w:t>包括县级财力专项预算分配时限准确，中央专款分配符合规率、部门预算执行进度速度快，中期评估、节能降耗及“三公”经费预算执行准确</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楷体_GB2312" w:eastAsia="楷体_GB2312" w:cs="楷体_GB2312"/>
          <w:b/>
          <w:color w:val="000000"/>
          <w:kern w:val="0"/>
          <w:sz w:val="32"/>
          <w:szCs w:val="32"/>
        </w:rPr>
      </w:pPr>
      <w:r>
        <w:rPr>
          <w:rFonts w:hint="eastAsia" w:ascii="楷体_GB2312" w:hAnsi="宋体" w:eastAsia="楷体_GB2312" w:cs="楷体_GB2312"/>
          <w:b/>
          <w:color w:val="000000"/>
          <w:kern w:val="0"/>
          <w:sz w:val="32"/>
          <w:szCs w:val="32"/>
          <w:lang w:val="en-US" w:eastAsia="zh-CN" w:bidi="ar"/>
        </w:rPr>
        <w:t>（三）综合管理情况。</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仿宋_GB2312" w:eastAsia="仿宋_GB2312" w:cs="仿宋_GB2312"/>
          <w:color w:val="000000"/>
          <w:kern w:val="0"/>
          <w:sz w:val="32"/>
          <w:szCs w:val="32"/>
        </w:rPr>
      </w:pPr>
      <w:r>
        <w:rPr>
          <w:rFonts w:hint="eastAsia" w:ascii="仿宋_GB2312" w:hAnsi="宋体" w:eastAsia="仿宋_GB2312" w:cs="仿宋_GB2312"/>
          <w:color w:val="000000"/>
          <w:kern w:val="0"/>
          <w:sz w:val="32"/>
          <w:szCs w:val="32"/>
          <w:lang w:val="en-US" w:eastAsia="zh-CN" w:bidi="ar"/>
        </w:rPr>
        <w:t>包括政府性债务管理、非税收入执收、政策采购实施计划、资产管理、内控制度管理、信息公开、绩效评价及依法接受财政监督情况等。</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楷体_GB2312" w:eastAsia="楷体_GB2312" w:cs="楷体_GB2312"/>
          <w:b/>
          <w:color w:val="000000"/>
          <w:kern w:val="0"/>
          <w:sz w:val="32"/>
          <w:szCs w:val="32"/>
        </w:rPr>
      </w:pPr>
      <w:r>
        <w:rPr>
          <w:rFonts w:hint="eastAsia" w:ascii="楷体_GB2312" w:hAnsi="宋体" w:eastAsia="楷体_GB2312" w:cs="楷体_GB2312"/>
          <w:b/>
          <w:color w:val="000000"/>
          <w:kern w:val="0"/>
          <w:sz w:val="32"/>
          <w:szCs w:val="32"/>
          <w:lang w:val="en-US" w:eastAsia="zh-CN" w:bidi="ar"/>
        </w:rPr>
        <w:t>（四）整体绩效。</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退役军人事务局职责履行优秀，重点项目绩效评价结果和服务对象十分满意。</w:t>
      </w: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黑体" w:hAnsi="宋体" w:eastAsia="黑体" w:cs="黑体"/>
          <w:kern w:val="0"/>
          <w:sz w:val="32"/>
          <w:szCs w:val="32"/>
          <w:lang w:val="en-US" w:eastAsia="zh-CN" w:bidi="ar"/>
        </w:rPr>
      </w:pPr>
    </w:p>
    <w:p>
      <w:pPr>
        <w:keepNext w:val="0"/>
        <w:keepLines w:val="0"/>
        <w:widowControl/>
        <w:suppressLineNumbers w:val="0"/>
        <w:adjustRightInd w:val="0"/>
        <w:snapToGrid w:val="0"/>
        <w:spacing w:before="0" w:beforeAutospacing="0" w:after="0" w:afterAutospacing="0" w:line="480" w:lineRule="exact"/>
        <w:ind w:left="0" w:right="0" w:firstLine="720"/>
        <w:jc w:val="left"/>
        <w:rPr>
          <w:rFonts w:hint="eastAsia" w:ascii="仿宋_GB2312" w:eastAsia="仿宋_GB2312" w:cs="仿宋_GB2312"/>
          <w:kern w:val="0"/>
          <w:sz w:val="32"/>
          <w:szCs w:val="32"/>
        </w:rPr>
      </w:pPr>
      <w:r>
        <w:rPr>
          <w:rFonts w:hint="eastAsia" w:ascii="黑体" w:hAnsi="宋体" w:eastAsia="黑体" w:cs="黑体"/>
          <w:kern w:val="0"/>
          <w:sz w:val="32"/>
          <w:szCs w:val="32"/>
          <w:lang w:val="en-US" w:eastAsia="zh-CN" w:bidi="ar"/>
        </w:rPr>
        <w:t>附件2</w:t>
      </w:r>
    </w:p>
    <w:p>
      <w:pPr>
        <w:keepNext w:val="0"/>
        <w:keepLines w:val="0"/>
        <w:widowControl/>
        <w:suppressLineNumbers w:val="0"/>
        <w:snapToGrid w:val="0"/>
        <w:spacing w:before="0" w:beforeAutospacing="0" w:after="0" w:afterAutospacing="0" w:line="580" w:lineRule="exact"/>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w:t>
      </w:r>
    </w:p>
    <w:p>
      <w:pPr>
        <w:keepNext w:val="0"/>
        <w:keepLines w:val="0"/>
        <w:widowControl/>
        <w:suppressLineNumbers w:val="0"/>
        <w:snapToGrid w:val="0"/>
        <w:spacing w:before="0" w:beforeAutospacing="0" w:after="0" w:afterAutospacing="0" w:line="600" w:lineRule="exact"/>
        <w:ind w:left="0" w:right="0"/>
        <w:jc w:val="center"/>
        <w:rPr>
          <w:rFonts w:hint="eastAsia" w:ascii="方正小标宋简体" w:hAnsi="宋体" w:eastAsia="方正小标宋简体" w:cs="宋体"/>
          <w:color w:val="000000"/>
          <w:kern w:val="0"/>
          <w:sz w:val="44"/>
          <w:szCs w:val="44"/>
        </w:rPr>
      </w:pPr>
      <w:r>
        <w:rPr>
          <w:rFonts w:hint="eastAsia" w:ascii="方正小标宋简体" w:hAnsi="方正小标宋简体" w:eastAsia="方正小标宋简体" w:cs="方正小标宋简体"/>
          <w:color w:val="000000"/>
          <w:kern w:val="0"/>
          <w:sz w:val="44"/>
          <w:szCs w:val="44"/>
          <w:lang w:val="en-US" w:eastAsia="zh-CN" w:bidi="ar"/>
        </w:rPr>
        <w:t>退役军人事务局</w:t>
      </w:r>
    </w:p>
    <w:p>
      <w:pPr>
        <w:keepNext w:val="0"/>
        <w:keepLines w:val="0"/>
        <w:widowControl/>
        <w:suppressLineNumbers w:val="0"/>
        <w:snapToGrid w:val="0"/>
        <w:spacing w:before="0" w:beforeAutospacing="0" w:after="0" w:afterAutospacing="0" w:line="600" w:lineRule="exact"/>
        <w:ind w:left="0" w:right="0"/>
        <w:jc w:val="center"/>
        <w:rPr>
          <w:rFonts w:hint="eastAsia" w:ascii="宋体" w:hAnsi="宋体" w:eastAsia="宋体" w:cs="宋体"/>
          <w:kern w:val="0"/>
          <w:sz w:val="32"/>
          <w:szCs w:val="32"/>
        </w:rPr>
      </w:pPr>
      <w:r>
        <w:rPr>
          <w:rFonts w:hint="eastAsia" w:ascii="方正小标宋简体" w:hAnsi="方正小标宋简体" w:eastAsia="方正小标宋简体" w:cs="方正小标宋简体"/>
          <w:color w:val="000000"/>
          <w:kern w:val="0"/>
          <w:sz w:val="44"/>
          <w:szCs w:val="44"/>
          <w:lang w:val="en-US" w:eastAsia="zh-CN" w:bidi="ar"/>
        </w:rPr>
        <w:t>项目</w:t>
      </w:r>
      <w:r>
        <w:rPr>
          <w:rFonts w:hint="eastAsia" w:ascii="方正小标宋简体" w:hAnsi="宋体" w:eastAsia="方正小标宋简体" w:cs="宋体"/>
          <w:color w:val="000000"/>
          <w:kern w:val="0"/>
          <w:sz w:val="44"/>
          <w:szCs w:val="44"/>
          <w:lang w:val="en-US" w:eastAsia="zh-CN" w:bidi="ar"/>
        </w:rPr>
        <w:t>2019</w:t>
      </w:r>
      <w:r>
        <w:rPr>
          <w:rFonts w:hint="eastAsia" w:ascii="方正小标宋简体" w:hAnsi="方正小标宋简体" w:eastAsia="方正小标宋简体" w:cs="方正小标宋简体"/>
          <w:color w:val="000000"/>
          <w:kern w:val="0"/>
          <w:sz w:val="44"/>
          <w:szCs w:val="44"/>
          <w:lang w:val="en-US" w:eastAsia="zh-CN" w:bidi="ar"/>
        </w:rPr>
        <w:t>年绩效评价报告</w:t>
      </w:r>
    </w:p>
    <w:p>
      <w:pPr>
        <w:keepNext w:val="0"/>
        <w:keepLines w:val="0"/>
        <w:widowControl/>
        <w:suppressLineNumbers w:val="0"/>
        <w:adjustRightInd w:val="0"/>
        <w:snapToGrid w:val="0"/>
        <w:spacing w:before="0" w:beforeAutospacing="0" w:after="0" w:afterAutospacing="0" w:line="600" w:lineRule="exact"/>
        <w:ind w:left="0" w:right="0" w:firstLine="720"/>
        <w:jc w:val="left"/>
        <w:rPr>
          <w:rFonts w:hint="eastAsia" w:ascii="黑体" w:hAnsi="宋体" w:eastAsia="黑体" w:cs="宋体"/>
          <w:kern w:val="0"/>
          <w:sz w:val="32"/>
          <w:szCs w:val="32"/>
        </w:rPr>
      </w:pPr>
      <w:r>
        <w:rPr>
          <w:rFonts w:hint="eastAsia" w:ascii="黑体" w:hAnsi="宋体" w:eastAsia="黑体" w:cs="黑体"/>
          <w:kern w:val="0"/>
          <w:sz w:val="32"/>
          <w:szCs w:val="32"/>
          <w:lang w:val="en-US" w:eastAsia="zh-CN" w:bidi="ar"/>
        </w:rPr>
        <w:t>一、项目概况</w:t>
      </w:r>
    </w:p>
    <w:p>
      <w:pPr>
        <w:keepNext w:val="0"/>
        <w:keepLines w:val="0"/>
        <w:widowControl/>
        <w:suppressLineNumbers w:val="0"/>
        <w:adjustRightInd w:val="0"/>
        <w:snapToGrid w:val="0"/>
        <w:spacing w:before="0" w:beforeAutospacing="0" w:after="0" w:afterAutospacing="0" w:line="600" w:lineRule="exact"/>
        <w:ind w:left="0" w:right="0" w:firstLine="720"/>
        <w:jc w:val="left"/>
        <w:rPr>
          <w:rFonts w:hint="eastAsia" w:ascii="楷体_GB2312" w:hAnsi="宋体" w:eastAsia="楷体_GB2312" w:cs="宋体"/>
          <w:b/>
          <w:kern w:val="0"/>
          <w:sz w:val="32"/>
          <w:szCs w:val="32"/>
        </w:rPr>
      </w:pPr>
      <w:r>
        <w:rPr>
          <w:rFonts w:hint="eastAsia" w:ascii="楷体_GB2312" w:hAnsi="宋体" w:eastAsia="楷体_GB2312" w:cs="楷体_GB2312"/>
          <w:b/>
          <w:kern w:val="0"/>
          <w:sz w:val="32"/>
          <w:szCs w:val="32"/>
          <w:lang w:val="en-US" w:eastAsia="zh-CN" w:bidi="ar"/>
        </w:rPr>
        <w:t>（一）项目基本情况。</w:t>
      </w:r>
    </w:p>
    <w:p>
      <w:pPr>
        <w:pStyle w:val="12"/>
        <w:keepNext w:val="0"/>
        <w:keepLines w:val="0"/>
        <w:widowControl/>
        <w:suppressLineNumbers w:val="0"/>
        <w:autoSpaceDE w:val="0"/>
        <w:autoSpaceDN/>
        <w:snapToGrid w:val="0"/>
        <w:spacing w:before="0" w:beforeAutospacing="1" w:after="0" w:afterAutospacing="1" w:line="576" w:lineRule="exact"/>
        <w:ind w:left="0" w:right="0" w:firstLine="964" w:firstLineChars="300"/>
        <w:jc w:val="left"/>
        <w:rPr>
          <w:rFonts w:hint="eastAsia" w:ascii="仿宋_GB2312" w:eastAsia="仿宋_GB2312" w:cs="仿宋_GB2312"/>
          <w:b/>
          <w:kern w:val="0"/>
          <w:sz w:val="32"/>
          <w:szCs w:val="32"/>
        </w:rPr>
      </w:pPr>
      <w:r>
        <w:rPr>
          <w:rFonts w:hint="eastAsia" w:ascii="仿宋_GB2312" w:hAnsi="宋体" w:eastAsia="仿宋_GB2312" w:cs="仿宋_GB2312"/>
          <w:b/>
          <w:kern w:val="0"/>
          <w:sz w:val="32"/>
          <w:szCs w:val="32"/>
          <w:lang w:val="en-US" w:eastAsia="zh-CN" w:bidi="ar"/>
        </w:rPr>
        <w:t>1．退役军人事务局项目管理中的职能：</w:t>
      </w:r>
    </w:p>
    <w:p>
      <w:pPr>
        <w:pStyle w:val="12"/>
        <w:keepNext w:val="0"/>
        <w:keepLines w:val="0"/>
        <w:widowControl/>
        <w:suppressLineNumbers w:val="0"/>
        <w:autoSpaceDE w:val="0"/>
        <w:autoSpaceDN/>
        <w:snapToGrid w:val="0"/>
        <w:spacing w:before="0" w:beforeAutospacing="1" w:after="0" w:afterAutospacing="1" w:line="576" w:lineRule="exact"/>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(一)拟订我局关于退役军人思想政治、管理保障和安置优抚等工作的政策措施并组织实施，组织起草相关规范性文件，褒扬彰显退役军人为党、国家和人民牺牲奉献的精神风范和价值导向。</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(二)负责军队转业干部、复员干部、离休退休干部、退役士兵和无军籍退休退职职工的移交安置工作和自主择业、就业退役军人服务管理工作。</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(三)组织指导退役军人教育培训工作，协调扶持退役军人和随军随调家属就业创业。</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(四)会同有关部门制定退役军人特殊保障政策并组织落实。</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(五)组织协调落实移交地方的离休退休军人，符合条件的其他退役军人和无军籍退休退职职工的住房保障工作，以及退役军人医疗保障、社会保险等待遇保障工作。</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(六)组织指导伤病残退役军人服务管理和抚恤工作，拟订退役军人医疗、疗养、养老等机构的规划政策并组织实施。承担不适宜继续服役的伤病残军人相关工作。组织指导军供服务保障工作。</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(七)组织指导全县拥军优属工作。负责现役军人、退役军人、军队文职人员和军属优待、抚恤等工作，落实国家关于国民党抗战老兵等有关人员优待政策。</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八)负责烈士及退役军人荣誉奖励、军人公墓管理维护、纪念活动等工作，依法承担英雄烈士保护相关工作，审核拟列入全县重点保护单位的烈士纪念建筑物，承办烈士纪念设施保护事宜，总结表彰和宣扬退役军人、退役军人工作单位和个人先进典型事迹。</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(九)指导并监督检查退役军人相关法律法规和政策措施的落实，组织开展退役军人权益维护和有关人员的帮扶援助工作。</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(十)承担县双拥工作领导小组和市军队转业干部安置工作领导小组的日常工作。</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(十一)完成州、县委、县政府交办的其他任务。</w:t>
      </w:r>
    </w:p>
    <w:p>
      <w:pPr>
        <w:pStyle w:val="12"/>
        <w:keepNext w:val="0"/>
        <w:keepLines w:val="0"/>
        <w:widowControl/>
        <w:suppressLineNumbers w:val="0"/>
        <w:autoSpaceDE w:val="0"/>
        <w:autoSpaceDN/>
        <w:snapToGrid w:val="0"/>
        <w:spacing w:before="0" w:beforeAutospacing="1" w:after="0" w:afterAutospacing="1" w:line="576" w:lineRule="exact"/>
        <w:ind w:left="0" w:right="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 xml:space="preserve">  (十二)职能转变。退役军人事务局应加强退役军人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喝价值。</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720"/>
        <w:jc w:val="left"/>
        <w:rPr>
          <w:rFonts w:hint="eastAsia" w:ascii="仿宋_GB2312" w:eastAsia="仿宋_GB2312" w:cs="仿宋_GB2312"/>
          <w:kern w:val="0"/>
          <w:sz w:val="32"/>
          <w:szCs w:val="32"/>
        </w:rPr>
      </w:pPr>
      <w:r>
        <w:rPr>
          <w:rFonts w:hint="eastAsia" w:ascii="仿宋_GB2312" w:hAnsi="宋体" w:eastAsia="仿宋_GB2312" w:cs="仿宋_GB2312"/>
          <w:b/>
          <w:kern w:val="0"/>
          <w:sz w:val="32"/>
          <w:szCs w:val="32"/>
          <w:lang w:val="en-US" w:eastAsia="zh-CN" w:bidi="ar"/>
        </w:rPr>
        <w:t>2．项目立项、资金申报的依据：</w:t>
      </w:r>
      <w:r>
        <w:rPr>
          <w:rFonts w:hint="eastAsia" w:ascii="仿宋_GB2312" w:hAnsi="宋体" w:eastAsia="仿宋_GB2312" w:cs="仿宋_GB2312"/>
          <w:kern w:val="0"/>
          <w:sz w:val="32"/>
          <w:szCs w:val="32"/>
          <w:lang w:val="en-US" w:eastAsia="zh-CN" w:bidi="ar"/>
        </w:rPr>
        <w:t>根据政府、财政统一下文。</w:t>
      </w:r>
      <w:r>
        <w:rPr>
          <w:rFonts w:hint="eastAsia" w:ascii="仿宋_GB2312" w:hAnsi="宋体" w:eastAsia="仿宋_GB2312" w:cs="仿宋_GB2312"/>
          <w:color w:val="333333"/>
          <w:kern w:val="0"/>
          <w:sz w:val="32"/>
          <w:szCs w:val="32"/>
          <w:shd w:val="clear" w:fill="FFFFFF"/>
          <w:lang w:val="en-US" w:eastAsia="zh-CN" w:bidi="ar"/>
        </w:rPr>
        <w:t>为进一步加强中央财政退役安置补助经费、优抚对象补助经费、优抚对象医疗保障经费等资金管理，强化预算绩效管理，提高资金使用的规范性、安全性和有效性，现将财政部、退役军人部、医保局印发的《关于修改退役安置等补助资金管理办法的通知》（财社〔2019〕225号）转发给你们，并结合我县工作实际，提出有关要求，请一并遵照执行。</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宋体"/>
          <w:b/>
          <w:kern w:val="0"/>
          <w:sz w:val="32"/>
          <w:szCs w:val="32"/>
          <w:lang w:val="en-US" w:eastAsia="zh-CN" w:bidi="ar"/>
        </w:rPr>
        <w:t>3</w:t>
      </w:r>
      <w:r>
        <w:rPr>
          <w:rFonts w:hint="eastAsia" w:ascii="仿宋_GB2312" w:hAnsi="宋体" w:eastAsia="仿宋_GB2312" w:cs="仿宋_GB2312"/>
          <w:b/>
          <w:kern w:val="0"/>
          <w:sz w:val="32"/>
          <w:szCs w:val="32"/>
          <w:lang w:val="en-US" w:eastAsia="zh-CN" w:bidi="ar"/>
        </w:rPr>
        <w:t>．资金管理办法制定情况，资金支持具体项目的条件、范围与支持方式概况。</w:t>
      </w:r>
      <w:r>
        <w:rPr>
          <w:rFonts w:hint="eastAsia" w:ascii="仿宋_GB2312" w:hAnsi="宋体" w:eastAsia="仿宋_GB2312" w:cs="仿宋_GB2312"/>
          <w:kern w:val="0"/>
          <w:sz w:val="32"/>
          <w:szCs w:val="32"/>
          <w:lang w:val="en-US" w:eastAsia="zh-CN" w:bidi="ar"/>
        </w:rPr>
        <w:t>为进一步加强财政退役安置补助经费、优抚对象补助经费、优抚对象医疗保障经费等资金管理，明确资金实施期限，强化预算绩效管理，现将《财政部 民政部关于印发&lt;退役安置补助资金使用管理办法&gt;的通知》（财社〔2014〕187号）、《财政部 民政部关于印发&lt;优抚对象抚恤补助资金使用管理办法&gt;的通知》（财社〔2012〕221号）、《财政部 民政部 人力资源社会保障部关于印发&lt;优抚对象医疗补助资金使用管理办法&gt;的通知》（财社〔2013〕6号）有关规定修改如下：</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黑体" w:hAnsi="宋体" w:eastAsia="黑体" w:cs="黑体"/>
          <w:b w:val="0"/>
          <w:i w:val="0"/>
          <w:kern w:val="0"/>
          <w:sz w:val="32"/>
          <w:szCs w:val="32"/>
        </w:rPr>
      </w:pPr>
      <w:r>
        <w:rPr>
          <w:rFonts w:hint="eastAsia" w:ascii="黑体" w:hAnsi="宋体" w:eastAsia="黑体" w:cs="黑体"/>
          <w:b w:val="0"/>
          <w:i w:val="0"/>
          <w:kern w:val="0"/>
          <w:sz w:val="32"/>
          <w:szCs w:val="32"/>
          <w:lang w:val="en-US" w:eastAsia="zh-CN" w:bidi="ar"/>
        </w:rPr>
        <w:t>二、关于财社〔2014〕187号文件</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（一）在原办法第二条增加一款作为第二款：“中央财政补助资金实施期限暂至2023年12月31日。期满后财政部会同退役军人部根据法律、行政法规和国务院有关规定及工作需要评估确定后续期限”。</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二）将原办法第六条第二款“用于服务管理机构用房建设、1级至4级分散供养残疾退役士兵购（建）房以及自主就业退役士兵免费参加职业教育和技能培训等方面的资金由中央财政安排，不足部分由地方财政解决，相应纳入各级财政预算”的表述，修改为“用于服务管理机构用房建设、1级至4级分散供养残疾退役士兵购（建）房以及自主就业退役士兵免费参加一次职业教育和技能培训等方面的资金由中央财政安排，不足部分由地方财政解决，相应纳入各级政府预算”。</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（三）将原办法第二条、第六条和第十二条中“退出现役1年内自主就业退役士兵免费参加职业教育和技能培训”的表述，修改为“自主就业退役士兵免费参加一次职业教育和技能培训”。</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四）将原办法第十三条第四款修改为：“中央财政根据1级至4级分散供养残疾退役士兵人数（由中央军委政治工作部和训练管理部等有关部门提供，退役军人部审核汇总）和中央财政定额补助标准，安排1级至4级分散供养残疾退役士兵购（建）房补助资金”。</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五）将原办法第十四条修改为：“中央财政按照各省（自治区、直辖市）自主就业退役士兵参加教育培训人数（由各地退役军人事务部门上报，退役军人部审核汇总）和中央财政定额补助标准，安排自主就业退役士兵职业教育和技能培训资金”，并作为第十三条第五款。</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六）将原办法第十六条修改为：“地方各级退役军人事务部门和服务管理机构，每年应会同同级财政部门审核汇总上一年度新接收退役安置人员情况、已接收人员变化情况以及退役安置补助经费需求情况，并逐级及时汇总上报退役军人部。退役军人部会同军队有关部门提出资金分配方案及分区域绩效目标，函报财政部。财政部接收资金分配方案后，在30日内审定并下达补助经费预算，同步下达区域绩效目标，抄送退役军人部和财政部各地监管局。年度执行中，退役军人部会同财政部指导省级退役军人事务部门、财政部门对绩效目标实现情况进行监控，确保绩效目标如期实现。</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省级退役军人事务部门应会同同级财政部门组织市县做好补助经费绩效自评工作，将区域绩效自评结果报送退役军人部、财政部，并抄送财政部当地监管局。财政部和退役军人部适时开展退役安置补助经费重点绩效评价。绩效评价结果作为预算安排、政策调整和改进管理的重要依据”。</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七）将原办法第二十条和第二十一条合并修改为：“各级财政、退役军人事务部门应当强化补助经费的使用管理，并积极配合有关部门做好审计、稽查等工作。财政部各地监管局在规定职权范围内，依法对补助经费的使用管理情况进行监督。</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各级财政、退役军人事务部门及其工作人员在补助经费的分配、审核、使用、管理等工作中，存在违反本办法规定的行为，以及其他滥用职权、玩忽职守、徇私舞弊等违法违纪行为的，按照《中华人民共和国预算法》《中华人民共和国公务员法》《中华人民共和国监察法》《财政违法行为处罚处分条例》等国家有关规定追究相应责任；涉嫌犯罪的，依法移送司法机关处理”。</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（八）将原办法中的“民政部”修改为“退役军人部”，“民政厅（局）”修改为“退役军人事务厅（局）”，“民政部门”修改为“退役军人事务部门”。同时，相应调整办法的相关条款序号。</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黑体" w:hAnsi="宋体" w:eastAsia="黑体" w:cs="黑体"/>
          <w:b w:val="0"/>
          <w:kern w:val="0"/>
          <w:sz w:val="32"/>
          <w:szCs w:val="32"/>
        </w:rPr>
      </w:pPr>
      <w:r>
        <w:rPr>
          <w:rFonts w:hint="eastAsia" w:ascii="黑体" w:hAnsi="宋体" w:eastAsia="黑体" w:cs="黑体"/>
          <w:b w:val="0"/>
          <w:kern w:val="0"/>
          <w:sz w:val="32"/>
          <w:szCs w:val="32"/>
          <w:lang w:val="en-US" w:eastAsia="zh-CN" w:bidi="ar"/>
        </w:rPr>
        <w:t>三、关于财社〔2012〕221号文件</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（一）在原办法第二条增加一款作为第二款：“中央财政补助资金实施期限暂至2023年12月31日。期满后财政部会同退役军人部根据法律、行政法规和国务院有关规定及工作需要评估确定后续期限”。</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（二）将原办法第三条中“抚恤补助资金由中央和地方财政共同负担，纳入各级财政预算，列抚恤科目”的表述，修改为“优抚对象补助经费由中央和地方财政共同负担，纳入各级政府预算”。</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三）将原办法第六条第二款修改为：“地方各级退役军人事务部门每年应当会同同级财政部门对优抚对象人员情况进行审核，并逐级汇总上报。省级退役军人事务部门应当会同同级财政部门于每年全国优抚对象数据集中审定前，将本地区当年应享受抚恤补助待遇的优抚对象人员情况，经省（自治区、直辖市）人民政府批准后上报退役军人部。退役军人部根据各省（自治区、直辖市）优抚对象人数和规定标准，提出资金分配方案及分区域绩效目标，函报财政部。财政部接收资金分配方案后，在30日内审定并下达补助经费预算，同步下达区域绩效目标，抄送退役军人部和财政部各地监管局。优抚对象补助经费分配结果应当按照预算公开有关规定向社会公布。财政部在优抚对象补助经费下达后20日内将资金分配结果向社会公开。地方各级财政部门应当按照预算公开有关规定将优抚对象补助经费安排详细情况公开，接受社会监督。年度执行中，退役军人部会同财政部指导省级退役军人事务部门、财政部门对绩效目标实现情况进行监控，确保绩效目标如期实现。</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省级退役军人事务部门应会同同级财政部门组织市县做好补助经费绩效自评工作，将区域绩效自评结果报送退役军人部、财政部，并抄送财政部当地监管局。财政部和退役军人部适时开展优抚对象补助经费重点绩效评价。绩效评价结果作为预算安排、政策调整和改进管理的重要依据”。</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四）将原办法第十条修改为：“各级财政、退役军人事务部门应当强化补助经费的使用管理，并积极配合有关部门做好审计、稽查等工作。财政部各地监管局在规定职权范围内，依法对补助经费的使用管理情况进行监督。</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各级财政、退役军人事务部门及其工作人员在补助经费的分配、审核、使用、管理等工作中，存在违反本办法规定的行为，以及其他滥用职权、玩忽职守、徇私舞弊等违法违纪行为的，按照《中华人民共和国预算法》《中华人民共和国公务员法》《中华人民共和国监察法》《财政违法行为处罚处分条例》等国家有关规定追究相应责任；涉嫌犯罪的，依法移送司法机关处理”。</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（五）将原办法中的“民政部”修改为“退役军人部”，“民政厅（局）”修改为“退役军人事务厅（局）”，“民政部门”修改为“退役军人事务部门”。</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黑体" w:hAnsi="宋体" w:eastAsia="黑体" w:cs="黑体"/>
          <w:b w:val="0"/>
          <w:color w:val="333333"/>
          <w:kern w:val="0"/>
          <w:sz w:val="32"/>
          <w:szCs w:val="32"/>
        </w:rPr>
      </w:pPr>
      <w:r>
        <w:rPr>
          <w:rFonts w:hint="eastAsia" w:ascii="黑体" w:hAnsi="宋体" w:eastAsia="黑体" w:cs="黑体"/>
          <w:b w:val="0"/>
          <w:color w:val="333333"/>
          <w:kern w:val="0"/>
          <w:sz w:val="32"/>
          <w:szCs w:val="32"/>
          <w:lang w:val="en-US" w:eastAsia="zh-CN" w:bidi="ar"/>
        </w:rPr>
        <w:t>四、关于财社〔2013〕6号文件</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color w:val="333333"/>
          <w:kern w:val="0"/>
          <w:sz w:val="32"/>
          <w:szCs w:val="32"/>
        </w:rPr>
      </w:pPr>
      <w:r>
        <w:rPr>
          <w:rFonts w:hint="eastAsia" w:ascii="仿宋_GB2312" w:hAnsi="宋体" w:eastAsia="仿宋_GB2312" w:cs="仿宋_GB2312"/>
          <w:color w:val="333333"/>
          <w:kern w:val="0"/>
          <w:sz w:val="32"/>
          <w:szCs w:val="32"/>
          <w:lang w:val="en-US" w:eastAsia="zh-CN" w:bidi="ar"/>
        </w:rPr>
        <w:t>（一）在原办法第三条增加一款作为第二款：“中央财政补助资金实施期限暂至2023年12月31日。期满后财政部会同退役军人部和医保局根据法律、行政法规和国务院有关规定及工作需要评估确定后续期限”。</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color w:val="333333"/>
          <w:kern w:val="0"/>
          <w:sz w:val="32"/>
          <w:szCs w:val="32"/>
        </w:rPr>
      </w:pPr>
      <w:r>
        <w:rPr>
          <w:rFonts w:hint="eastAsia" w:ascii="仿宋_GB2312" w:hAnsi="宋体" w:eastAsia="仿宋_GB2312" w:cs="仿宋_GB2312"/>
          <w:color w:val="333333"/>
          <w:kern w:val="0"/>
          <w:sz w:val="32"/>
          <w:szCs w:val="32"/>
          <w:lang w:val="en-US" w:eastAsia="zh-CN" w:bidi="ar"/>
        </w:rPr>
        <w:t>（二）将原办法第四条中“医疗补助资金纳入各级财政预算，列政府收支分类科目‘医疗保障’款‘优抚对象医疗补助’项下。各级财政部门应当根据经济社会发展情况，逐步加大医疗补助资金投入力度”的表述，修改为“医疗保障经费纳入各级政府预算。各级财政部门应当根据经济社会发展情况，逐步加大医疗保障经费投入力度”。</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color w:val="333333"/>
          <w:kern w:val="0"/>
          <w:sz w:val="32"/>
          <w:szCs w:val="32"/>
        </w:rPr>
      </w:pPr>
      <w:r>
        <w:rPr>
          <w:rFonts w:hint="eastAsia" w:ascii="仿宋_GB2312" w:hAnsi="宋体" w:eastAsia="仿宋_GB2312" w:cs="仿宋_GB2312"/>
          <w:color w:val="333333"/>
          <w:kern w:val="0"/>
          <w:sz w:val="32"/>
          <w:szCs w:val="32"/>
          <w:lang w:val="en-US" w:eastAsia="zh-CN" w:bidi="ar"/>
        </w:rPr>
        <w:t>（三）将原办法第五条修改为：“退役军人部每年根据各省（自治区、直辖市）相关优抚对象人数和中央财政定额补助标准，提出资金分配方案和分区域绩效目标函报财政部，财政部接收资金分配方案后，在30日内审定并下达医疗保障经费预算，同步下达区域绩效目标，抄送退役军人部和财政部各地监管局。医疗保障经费分配结果应当按照预算公开有关规定向社会公布。财政部在医疗保障经费下达后20日内将资金分配结果向社会公开。地方各级财政部门应当按照预算公开有关规定将医疗保障经费安排详细情况公开，接受社会监督。年度执行中，退役军人部会同财政部指导省级退役军人事务部门、财政部门对绩效目标实现情况进行监控，确保区域绩效目标如期实现。</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color w:val="333333"/>
          <w:kern w:val="0"/>
          <w:sz w:val="32"/>
          <w:szCs w:val="32"/>
        </w:rPr>
      </w:pPr>
      <w:r>
        <w:rPr>
          <w:rFonts w:hint="eastAsia" w:ascii="仿宋_GB2312" w:hAnsi="宋体" w:eastAsia="仿宋_GB2312" w:cs="仿宋_GB2312"/>
          <w:color w:val="333333"/>
          <w:kern w:val="0"/>
          <w:sz w:val="32"/>
          <w:szCs w:val="32"/>
          <w:lang w:val="en-US" w:eastAsia="zh-CN" w:bidi="ar"/>
        </w:rPr>
        <w:t>省级退役军人事务部门应会同同级财政部门组织市县做好医疗保障经费绩效自评工作，将区域绩效自评结果报送退役军人部、财政部，并抄送财政部当地监管局。财政部和退役军人部适时开展医疗保障经费重点绩效评价。绩效评价结果作为预算安排、政策调整和改进管理的重要依据”。</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color w:val="333333"/>
          <w:kern w:val="0"/>
          <w:sz w:val="32"/>
          <w:szCs w:val="32"/>
        </w:rPr>
      </w:pPr>
      <w:r>
        <w:rPr>
          <w:rFonts w:hint="eastAsia" w:ascii="仿宋_GB2312" w:hAnsi="宋体" w:eastAsia="仿宋_GB2312" w:cs="仿宋_GB2312"/>
          <w:color w:val="333333"/>
          <w:kern w:val="0"/>
          <w:sz w:val="32"/>
          <w:szCs w:val="32"/>
          <w:lang w:val="en-US" w:eastAsia="zh-CN" w:bidi="ar"/>
        </w:rPr>
        <w:t>（四）将原办法第十条修改为：“各级财政、退役军人事务和医疗保障部门应当强化医疗保障经费的使用管理，并积极配合有关部门做好审计、稽查等工作。财政部各地监管局在规定的职权范围内，依法对医疗保障经费的使用管理情况进行监督。</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eastAsia="仿宋_GB2312" w:cs="仿宋_GB2312"/>
          <w:color w:val="333333"/>
          <w:kern w:val="0"/>
          <w:sz w:val="32"/>
          <w:szCs w:val="32"/>
        </w:rPr>
      </w:pPr>
      <w:r>
        <w:rPr>
          <w:rFonts w:hint="eastAsia" w:ascii="仿宋_GB2312" w:hAnsi="宋体" w:eastAsia="仿宋_GB2312" w:cs="仿宋_GB2312"/>
          <w:color w:val="333333"/>
          <w:kern w:val="0"/>
          <w:sz w:val="32"/>
          <w:szCs w:val="32"/>
          <w:lang w:val="en-US" w:eastAsia="zh-CN" w:bidi="ar"/>
        </w:rPr>
        <w:t>各级财政、退役军人事务等部门及其工作人员在医疗保障经费的分配、审核、使用、管理等工作中，存在违反本办法规定的行为，以及其他滥用职权、玩忽职守、徇私舞弊等违法违纪行为的，按照《中华人民共和国预算法》《中华人民共和国公务员法》《中华人民共和国监察法》《财政违法行为处罚处分条例》等国家有关规定追究相应责任；涉嫌犯罪的，依法移送司法机关处理”。</w:t>
      </w:r>
    </w:p>
    <w:p>
      <w:pPr>
        <w:pStyle w:val="12"/>
        <w:keepNext w:val="0"/>
        <w:keepLines w:val="0"/>
        <w:widowControl/>
        <w:suppressLineNumbers w:val="0"/>
        <w:autoSpaceDE w:val="0"/>
        <w:autoSpaceDN/>
        <w:snapToGrid w:val="0"/>
        <w:spacing w:before="0" w:beforeAutospacing="1" w:after="0" w:afterAutospacing="1" w:line="576" w:lineRule="exact"/>
        <w:ind w:left="0" w:right="0" w:firstLine="420"/>
        <w:jc w:val="left"/>
        <w:rPr>
          <w:rFonts w:hint="eastAsia" w:ascii="仿宋_GB2312" w:hAnsi="宋体" w:eastAsia="仿宋_GB2312" w:cs="宋体"/>
          <w:kern w:val="0"/>
          <w:sz w:val="32"/>
          <w:szCs w:val="32"/>
        </w:rPr>
      </w:pPr>
      <w:r>
        <w:rPr>
          <w:rFonts w:hint="eastAsia" w:ascii="仿宋_GB2312" w:hAnsi="宋体" w:eastAsia="仿宋_GB2312" w:cs="仿宋_GB2312"/>
          <w:color w:val="333333"/>
          <w:kern w:val="0"/>
          <w:sz w:val="32"/>
          <w:szCs w:val="32"/>
          <w:lang w:val="en-US" w:eastAsia="zh-CN" w:bidi="ar"/>
        </w:rPr>
        <w:t>（五）将原办法中的“民政部”修改为“退役军人部”，“民政部门”修改为“退役军人事务部门”，“民政厅（局）”修改为“退役军人事务厅（局）”，“人力资源社会保障部”修改为“医保局”，“人力资源社会保障部门”修改为“医疗保障部门”，“人力资源社会保障厅（局）”修改为“医疗保障局”。</w:t>
      </w:r>
    </w:p>
    <w:p>
      <w:pPr>
        <w:keepNext w:val="0"/>
        <w:keepLines w:val="0"/>
        <w:widowControl/>
        <w:suppressLineNumbers w:val="0"/>
        <w:adjustRightInd w:val="0"/>
        <w:snapToGrid w:val="0"/>
        <w:spacing w:before="0" w:beforeAutospacing="0" w:after="0" w:afterAutospacing="0" w:line="600" w:lineRule="exact"/>
        <w:ind w:left="0" w:right="0" w:firstLine="720"/>
        <w:jc w:val="left"/>
        <w:rPr>
          <w:rFonts w:hint="eastAsia" w:ascii="黑体" w:hAnsi="宋体" w:eastAsia="黑体" w:cs="黑体"/>
          <w:b w:val="0"/>
          <w:kern w:val="0"/>
          <w:sz w:val="32"/>
          <w:szCs w:val="32"/>
          <w:lang w:val="en-US" w:eastAsia="zh-CN" w:bidi="ar"/>
        </w:rPr>
      </w:pPr>
    </w:p>
    <w:p>
      <w:pPr>
        <w:keepNext w:val="0"/>
        <w:keepLines w:val="0"/>
        <w:widowControl/>
        <w:suppressLineNumbers w:val="0"/>
        <w:adjustRightInd w:val="0"/>
        <w:snapToGrid w:val="0"/>
        <w:spacing w:before="0" w:beforeAutospacing="0" w:after="0" w:afterAutospacing="0" w:line="600" w:lineRule="exact"/>
        <w:ind w:left="0" w:right="0" w:firstLine="720"/>
        <w:jc w:val="left"/>
        <w:rPr>
          <w:rFonts w:hint="eastAsia" w:ascii="黑体" w:hAnsi="宋体" w:eastAsia="黑体" w:cs="黑体"/>
          <w:b w:val="0"/>
          <w:kern w:val="0"/>
          <w:sz w:val="32"/>
          <w:szCs w:val="32"/>
          <w:lang w:val="en-US" w:eastAsia="zh-CN" w:bidi="ar"/>
        </w:rPr>
      </w:pPr>
    </w:p>
    <w:p>
      <w:pPr>
        <w:keepNext w:val="0"/>
        <w:keepLines w:val="0"/>
        <w:widowControl/>
        <w:suppressLineNumbers w:val="0"/>
        <w:adjustRightInd w:val="0"/>
        <w:snapToGrid w:val="0"/>
        <w:spacing w:before="0" w:beforeAutospacing="0" w:after="0" w:afterAutospacing="0" w:line="600" w:lineRule="exact"/>
        <w:ind w:left="0" w:right="0" w:firstLine="720"/>
        <w:jc w:val="left"/>
        <w:rPr>
          <w:rFonts w:hint="eastAsia" w:ascii="黑体" w:hAnsi="宋体" w:eastAsia="黑体" w:cs="黑体"/>
          <w:b w:val="0"/>
          <w:kern w:val="0"/>
          <w:sz w:val="32"/>
          <w:szCs w:val="32"/>
        </w:rPr>
      </w:pPr>
      <w:r>
        <w:rPr>
          <w:rFonts w:hint="eastAsia" w:ascii="黑体" w:hAnsi="宋体" w:eastAsia="黑体" w:cs="黑体"/>
          <w:b w:val="0"/>
          <w:kern w:val="0"/>
          <w:sz w:val="32"/>
          <w:szCs w:val="32"/>
          <w:lang w:val="en-US" w:eastAsia="zh-CN" w:bidi="ar"/>
        </w:rPr>
        <w:t>五、项目绩效目标。</w:t>
      </w:r>
    </w:p>
    <w:p>
      <w:pPr>
        <w:keepNext w:val="0"/>
        <w:keepLines w:val="0"/>
        <w:widowControl/>
        <w:suppressLineNumbers w:val="0"/>
        <w:adjustRightInd w:val="0"/>
        <w:snapToGrid w:val="0"/>
        <w:spacing w:before="0" w:beforeAutospacing="0" w:after="0" w:afterAutospacing="0" w:line="600" w:lineRule="exact"/>
        <w:ind w:left="0" w:right="0" w:firstLine="720"/>
        <w:jc w:val="left"/>
        <w:rPr>
          <w:rFonts w:hint="eastAsia" w:ascii="黑体" w:hAnsi="宋体" w:eastAsia="仿宋_GB2312" w:cs="宋体"/>
          <w:kern w:val="0"/>
          <w:sz w:val="32"/>
          <w:szCs w:val="32"/>
        </w:rPr>
      </w:pPr>
      <w:r>
        <w:rPr>
          <w:rFonts w:hint="eastAsia" w:ascii="仿宋_GB2312" w:hAnsi="宋体" w:eastAsia="仿宋_GB2312" w:cs="宋体"/>
          <w:kern w:val="0"/>
          <w:sz w:val="32"/>
          <w:szCs w:val="32"/>
          <w:lang w:val="en-US" w:eastAsia="zh-CN" w:bidi="ar"/>
        </w:rPr>
        <w:t>1</w:t>
      </w:r>
      <w:r>
        <w:rPr>
          <w:rFonts w:hint="eastAsia" w:ascii="仿宋_GB2312" w:hAnsi="宋体" w:eastAsia="仿宋_GB2312" w:cs="仿宋_GB2312"/>
          <w:kern w:val="0"/>
          <w:sz w:val="32"/>
          <w:szCs w:val="32"/>
          <w:lang w:val="en-US" w:eastAsia="zh-CN" w:bidi="ar"/>
        </w:rPr>
        <w:t>．项目主要内容：义务兵优待金、拥军优属、其他生活救助、退役士兵安置。</w:t>
      </w:r>
    </w:p>
    <w:tbl>
      <w:tblPr>
        <w:tblStyle w:val="13"/>
        <w:tblW w:w="9285" w:type="dxa"/>
        <w:tblInd w:w="93" w:type="dxa"/>
        <w:shd w:val="clear" w:color="auto" w:fill="auto"/>
        <w:tblLayout w:type="autofit"/>
        <w:tblCellMar>
          <w:top w:w="0" w:type="dxa"/>
          <w:left w:w="0" w:type="dxa"/>
          <w:bottom w:w="0" w:type="dxa"/>
          <w:right w:w="0" w:type="dxa"/>
        </w:tblCellMar>
      </w:tblPr>
      <w:tblGrid>
        <w:gridCol w:w="840"/>
        <w:gridCol w:w="830"/>
        <w:gridCol w:w="2833"/>
        <w:gridCol w:w="1454"/>
        <w:gridCol w:w="2248"/>
        <w:gridCol w:w="1080"/>
      </w:tblGrid>
      <w:tr>
        <w:tblPrEx>
          <w:shd w:val="clear" w:color="auto" w:fill="auto"/>
          <w:tblCellMar>
            <w:top w:w="0" w:type="dxa"/>
            <w:left w:w="0" w:type="dxa"/>
            <w:bottom w:w="0" w:type="dxa"/>
            <w:right w:w="0" w:type="dxa"/>
          </w:tblCellMar>
        </w:tblPrEx>
        <w:trPr>
          <w:trHeight w:val="485" w:hRule="atLeast"/>
        </w:trPr>
        <w:tc>
          <w:tcPr>
            <w:tcW w:w="928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48"/>
                <w:szCs w:val="48"/>
              </w:rPr>
            </w:pPr>
            <w:r>
              <w:rPr>
                <w:rFonts w:hint="default" w:ascii="Arial Unicode MS" w:hAnsi="Arial Unicode MS" w:eastAsia="Arial Unicode MS" w:cs="Arial Unicode MS"/>
                <w:color w:val="000000"/>
                <w:kern w:val="0"/>
                <w:sz w:val="48"/>
                <w:szCs w:val="48"/>
                <w:lang w:val="en-US" w:eastAsia="zh-CN" w:bidi="ar"/>
              </w:rPr>
              <w:t>部门整体支出绩效目标表</w:t>
            </w:r>
          </w:p>
        </w:tc>
      </w:tr>
      <w:tr>
        <w:tblPrEx>
          <w:shd w:val="clear" w:color="auto" w:fill="auto"/>
          <w:tblCellMar>
            <w:top w:w="0" w:type="dxa"/>
            <w:left w:w="0" w:type="dxa"/>
            <w:bottom w:w="0" w:type="dxa"/>
            <w:right w:w="0" w:type="dxa"/>
          </w:tblCellMar>
        </w:tblPrEx>
        <w:trPr>
          <w:trHeight w:val="645" w:hRule="atLeast"/>
        </w:trPr>
        <w:tc>
          <w:tcPr>
            <w:tcW w:w="928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8"/>
                <w:szCs w:val="28"/>
              </w:rPr>
            </w:pPr>
            <w:r>
              <w:rPr>
                <w:rFonts w:hint="default" w:ascii="Arial Unicode MS" w:hAnsi="Arial Unicode MS" w:eastAsia="Arial Unicode MS" w:cs="Arial Unicode MS"/>
                <w:color w:val="000000"/>
                <w:kern w:val="0"/>
                <w:sz w:val="32"/>
                <w:szCs w:val="32"/>
                <w:lang w:val="en-US" w:eastAsia="zh-CN" w:bidi="ar"/>
              </w:rPr>
              <w:t>（</w:t>
            </w:r>
            <w:r>
              <w:rPr>
                <w:rStyle w:val="40"/>
                <w:rFonts w:hint="eastAsia" w:ascii="Arial Unicode MS" w:hAnsi="Arial Unicode MS" w:eastAsia="Arial Unicode MS" w:cs="Arial Unicode MS"/>
                <w:color w:val="000000"/>
                <w:sz w:val="32"/>
                <w:szCs w:val="32"/>
                <w:lang w:val="en-US" w:eastAsia="zh-CN" w:bidi="ar"/>
              </w:rPr>
              <w:t>2020</w:t>
            </w:r>
            <w:r>
              <w:rPr>
                <w:rStyle w:val="48"/>
                <w:rFonts w:hint="default" w:ascii="Arial Unicode MS" w:hAnsi="Arial Unicode MS" w:eastAsia="Arial Unicode MS" w:cs="Arial Unicode MS"/>
                <w:color w:val="000000"/>
                <w:sz w:val="32"/>
                <w:szCs w:val="32"/>
                <w:lang w:val="en-US" w:eastAsia="zh-CN" w:bidi="ar"/>
              </w:rPr>
              <w:t>年度）</w:t>
            </w:r>
          </w:p>
        </w:tc>
      </w:tr>
      <w:tr>
        <w:tblPrEx>
          <w:shd w:val="clear" w:color="auto" w:fill="auto"/>
          <w:tblCellMar>
            <w:top w:w="0" w:type="dxa"/>
            <w:left w:w="0" w:type="dxa"/>
            <w:bottom w:w="0" w:type="dxa"/>
            <w:right w:w="0" w:type="dxa"/>
          </w:tblCellMar>
        </w:tblPrEx>
        <w:trPr>
          <w:trHeight w:val="780"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部门（单位）名称</w:t>
            </w:r>
          </w:p>
        </w:tc>
        <w:tc>
          <w:tcPr>
            <w:tcW w:w="4290"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红原县退役军人事务局</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firstLine="200" w:firstLineChars="10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部门预算编码</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193101</w:t>
            </w:r>
          </w:p>
        </w:tc>
      </w:tr>
      <w:tr>
        <w:tblPrEx>
          <w:shd w:val="clear" w:color="auto" w:fill="auto"/>
          <w:tblCellMar>
            <w:top w:w="0" w:type="dxa"/>
            <w:left w:w="0" w:type="dxa"/>
            <w:bottom w:w="0" w:type="dxa"/>
            <w:right w:w="0" w:type="dxa"/>
          </w:tblCellMar>
        </w:tblPrEx>
        <w:trPr>
          <w:trHeight w:val="292"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年度</w:t>
            </w:r>
          </w:p>
        </w:tc>
        <w:tc>
          <w:tcPr>
            <w:tcW w:w="3660"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Style w:val="40"/>
                <w:rFonts w:hint="default" w:ascii="Arial Unicode MS" w:hAnsi="Arial Unicode MS" w:eastAsia="Arial Unicode MS" w:cs="Arial Unicode MS"/>
                <w:color w:val="000000"/>
                <w:sz w:val="20"/>
                <w:szCs w:val="20"/>
                <w:lang w:val="en-US" w:eastAsia="zh-CN" w:bidi="ar"/>
              </w:rPr>
              <w:t>资金总额</w:t>
            </w:r>
          </w:p>
        </w:tc>
        <w:tc>
          <w:tcPr>
            <w:tcW w:w="4785" w:type="dxa"/>
            <w:gridSpan w:val="3"/>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1545</w:t>
            </w:r>
          </w:p>
        </w:tc>
      </w:tr>
      <w:tr>
        <w:tblPrEx>
          <w:shd w:val="clear" w:color="auto" w:fill="auto"/>
          <w:tblCellMar>
            <w:top w:w="0" w:type="dxa"/>
            <w:left w:w="0" w:type="dxa"/>
            <w:bottom w:w="0" w:type="dxa"/>
            <w:right w:w="0" w:type="dxa"/>
          </w:tblCellMar>
        </w:tblPrEx>
        <w:trPr>
          <w:trHeight w:val="292"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预算</w:t>
            </w:r>
          </w:p>
        </w:tc>
        <w:tc>
          <w:tcPr>
            <w:tcW w:w="3660"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785" w:type="dxa"/>
            <w:gridSpan w:val="3"/>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0" w:type="dxa"/>
            <w:left w:w="0" w:type="dxa"/>
            <w:bottom w:w="0" w:type="dxa"/>
            <w:right w:w="0" w:type="dxa"/>
          </w:tblCellMar>
        </w:tblPrEx>
        <w:trPr>
          <w:trHeight w:val="575"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安排</w:t>
            </w:r>
          </w:p>
        </w:tc>
        <w:tc>
          <w:tcPr>
            <w:tcW w:w="3660"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项目支出</w:t>
            </w:r>
          </w:p>
        </w:tc>
        <w:tc>
          <w:tcPr>
            <w:tcW w:w="4785"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678.17</w:t>
            </w:r>
          </w:p>
        </w:tc>
      </w:tr>
      <w:tr>
        <w:tblPrEx>
          <w:shd w:val="clear" w:color="auto" w:fill="auto"/>
          <w:tblCellMar>
            <w:top w:w="0" w:type="dxa"/>
            <w:left w:w="0" w:type="dxa"/>
            <w:bottom w:w="0" w:type="dxa"/>
            <w:right w:w="0" w:type="dxa"/>
          </w:tblCellMar>
        </w:tblPrEx>
        <w:trPr>
          <w:trHeight w:val="585"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（万元）</w:t>
            </w:r>
          </w:p>
        </w:tc>
        <w:tc>
          <w:tcPr>
            <w:tcW w:w="3660"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基本支出</w:t>
            </w:r>
          </w:p>
        </w:tc>
        <w:tc>
          <w:tcPr>
            <w:tcW w:w="4785"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866.83</w:t>
            </w:r>
          </w:p>
        </w:tc>
      </w:tr>
      <w:tr>
        <w:tblPrEx>
          <w:shd w:val="clear" w:color="auto" w:fill="auto"/>
          <w:tblCellMar>
            <w:top w:w="0" w:type="dxa"/>
            <w:left w:w="0" w:type="dxa"/>
            <w:bottom w:w="0" w:type="dxa"/>
            <w:right w:w="0" w:type="dxa"/>
          </w:tblCellMar>
        </w:tblPrEx>
        <w:trPr>
          <w:trHeight w:val="725"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年度</w:t>
            </w:r>
          </w:p>
        </w:tc>
        <w:tc>
          <w:tcPr>
            <w:tcW w:w="8445" w:type="dxa"/>
            <w:gridSpan w:val="5"/>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numPr>
                <w:ilvl w:val="0"/>
                <w:numId w:val="4"/>
              </w:numPr>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顺利开展双拥，春节走访 ，部队慰问等工作</w:t>
            </w:r>
          </w:p>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2.为复员退伍军人，伤残军人，退役士兵安置等提供生活补助</w:t>
            </w:r>
          </w:p>
        </w:tc>
      </w:tr>
      <w:tr>
        <w:tblPrEx>
          <w:shd w:val="clear" w:color="auto" w:fill="auto"/>
          <w:tblCellMar>
            <w:top w:w="0" w:type="dxa"/>
            <w:left w:w="0" w:type="dxa"/>
            <w:bottom w:w="0" w:type="dxa"/>
            <w:right w:w="0" w:type="dxa"/>
          </w:tblCellMar>
        </w:tblPrEx>
        <w:trPr>
          <w:trHeight w:val="725"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总体</w:t>
            </w:r>
          </w:p>
        </w:tc>
        <w:tc>
          <w:tcPr>
            <w:tcW w:w="8445" w:type="dxa"/>
            <w:gridSpan w:val="5"/>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0" w:type="dxa"/>
            <w:left w:w="0" w:type="dxa"/>
            <w:bottom w:w="0" w:type="dxa"/>
            <w:right w:w="0" w:type="dxa"/>
          </w:tblCellMar>
        </w:tblPrEx>
        <w:trPr>
          <w:trHeight w:val="725"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目标</w:t>
            </w:r>
          </w:p>
        </w:tc>
        <w:tc>
          <w:tcPr>
            <w:tcW w:w="8445" w:type="dxa"/>
            <w:gridSpan w:val="5"/>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0" w:type="dxa"/>
            <w:left w:w="0" w:type="dxa"/>
            <w:bottom w:w="0" w:type="dxa"/>
            <w:right w:w="0" w:type="dxa"/>
          </w:tblCellMar>
        </w:tblPrEx>
        <w:trPr>
          <w:trHeight w:val="78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年度</w:t>
            </w:r>
          </w:p>
        </w:tc>
        <w:tc>
          <w:tcPr>
            <w:tcW w:w="3660"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部门职能</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年度目标任务</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支出项目名称</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预算金额（万元）</w:t>
            </w:r>
          </w:p>
        </w:tc>
      </w:tr>
      <w:tr>
        <w:tblPrEx>
          <w:shd w:val="clear" w:color="auto" w:fill="auto"/>
          <w:tblCellMar>
            <w:top w:w="0" w:type="dxa"/>
            <w:left w:w="0" w:type="dxa"/>
            <w:bottom w:w="0" w:type="dxa"/>
            <w:right w:w="0" w:type="dxa"/>
          </w:tblCellMar>
        </w:tblPrEx>
        <w:trPr>
          <w:trHeight w:val="78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履职</w:t>
            </w:r>
          </w:p>
        </w:tc>
        <w:tc>
          <w:tcPr>
            <w:tcW w:w="3660"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贯彻执行国家及省，市有关退役军人事务局优抚工作的政策法规，落实自然增长机制，确保复员军人生活补助，其他优抚抚恤补助，伤残军人抚恤，义务兵优待金，退役士兵人员补助，重点优抚对象抚恤资金按时足额发放，保障优抚对象各项政策待遇的落实</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确保双拥，春节走访等工作顺利开展</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双拥，部队，走访等慰问经费项目</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40</w:t>
            </w:r>
          </w:p>
        </w:tc>
      </w:tr>
      <w:tr>
        <w:tblPrEx>
          <w:shd w:val="clear" w:color="auto" w:fill="auto"/>
          <w:tblCellMar>
            <w:top w:w="0" w:type="dxa"/>
            <w:left w:w="0" w:type="dxa"/>
            <w:bottom w:w="0" w:type="dxa"/>
            <w:right w:w="0" w:type="dxa"/>
          </w:tblCellMar>
        </w:tblPrEx>
        <w:trPr>
          <w:trHeight w:val="78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目标</w:t>
            </w:r>
          </w:p>
        </w:tc>
        <w:tc>
          <w:tcPr>
            <w:tcW w:w="3660"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贯彻执行国家及省，市有关退役军人事务局优抚工作的政策法规，落实自然增长机制，确保复员军人生活补助，其他优抚抚恤补助，伤残军人抚恤，义务兵优待金，退役士兵人员补助，重点优抚对象抚恤资金按时足额发放，保障优抚对象各项政策待遇的落实</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确保复员退伍军人生活补助资金及时足额发放</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复员退伍军人生活补助</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247.37</w:t>
            </w:r>
          </w:p>
        </w:tc>
      </w:tr>
      <w:tr>
        <w:tblPrEx>
          <w:shd w:val="clear" w:color="auto" w:fill="auto"/>
          <w:tblCellMar>
            <w:top w:w="0" w:type="dxa"/>
            <w:left w:w="0" w:type="dxa"/>
            <w:bottom w:w="0" w:type="dxa"/>
            <w:right w:w="0"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rPr>
            </w:pPr>
          </w:p>
        </w:tc>
        <w:tc>
          <w:tcPr>
            <w:tcW w:w="3660"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贯彻执行国家及省，市有关退役军人事务局优抚工作的政策法规，落实自然增长机制，确保复员军人生活补助，其他优抚抚恤补助，伤残军人抚恤，义务兵优待金，退役士兵人员补助，重点优抚对象抚恤资金按时足额发放，保障优抚对象各项政策待遇的落实</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确保其他优抚抚恤补助资金及时足额发放</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其他优抚</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81.04</w:t>
            </w:r>
          </w:p>
        </w:tc>
      </w:tr>
      <w:tr>
        <w:tblPrEx>
          <w:shd w:val="clear" w:color="auto" w:fill="auto"/>
          <w:tblCellMar>
            <w:top w:w="0" w:type="dxa"/>
            <w:left w:w="0" w:type="dxa"/>
            <w:bottom w:w="0" w:type="dxa"/>
            <w:right w:w="0"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rPr>
            </w:pPr>
          </w:p>
        </w:tc>
        <w:tc>
          <w:tcPr>
            <w:tcW w:w="3660"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贯彻执行国家及省，市有关退役军人事务局优抚工作的政策法规，落实自然增长机制，确保复员军人生活补助，其他优抚抚恤补助，伤残军人抚恤，义务兵优待金，退役士兵人员补助，重点优抚对象抚恤资金按时足额发放，保障优抚对象各项政策待遇的落实</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确保伤残军人抚恤资金及时足额发放</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伤残军人抚恤</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209.25</w:t>
            </w:r>
          </w:p>
        </w:tc>
      </w:tr>
      <w:tr>
        <w:tblPrEx>
          <w:shd w:val="clear" w:color="auto" w:fill="auto"/>
          <w:tblCellMar>
            <w:top w:w="0" w:type="dxa"/>
            <w:left w:w="0" w:type="dxa"/>
            <w:bottom w:w="0" w:type="dxa"/>
            <w:right w:w="0"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rPr>
            </w:pPr>
          </w:p>
        </w:tc>
        <w:tc>
          <w:tcPr>
            <w:tcW w:w="3660"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贯彻执行国家及省，市有关退役军人事务局优抚工作的政策法规，落实自然增长机制，确保复员军人生活补助，其他优抚抚恤补助，伤残军人抚恤，义务兵优待金，退役士兵人员补助，重点优抚对象抚恤资金按时足额发放，保障优抚对象各项政策待遇的落实</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确保单位经费正常运转，其他补助顺利开展</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日常运转经费</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宋体" w:eastAsia="Arial Unicode MS" w:cs="Arial Unicode MS"/>
                <w:color w:val="000000"/>
                <w:kern w:val="0"/>
                <w:sz w:val="20"/>
                <w:szCs w:val="20"/>
              </w:rPr>
            </w:pPr>
            <w:r>
              <w:rPr>
                <w:rFonts w:hint="default" w:ascii="Arial Unicode MS" w:hAnsi="Arial Unicode MS" w:eastAsia="宋体" w:cs="Arial Unicode MS"/>
                <w:color w:val="000000"/>
                <w:kern w:val="0"/>
                <w:sz w:val="20"/>
                <w:szCs w:val="20"/>
                <w:lang w:val="en-US" w:eastAsia="zh-CN" w:bidi="ar"/>
              </w:rPr>
              <w:t>100.51</w:t>
            </w:r>
          </w:p>
        </w:tc>
      </w:tr>
      <w:tr>
        <w:tblPrEx>
          <w:shd w:val="clear" w:color="auto" w:fill="auto"/>
          <w:tblCellMar>
            <w:top w:w="0" w:type="dxa"/>
            <w:left w:w="0" w:type="dxa"/>
            <w:bottom w:w="0" w:type="dxa"/>
            <w:right w:w="0" w:type="dxa"/>
          </w:tblCellMar>
        </w:tblPrEx>
        <w:trPr>
          <w:trHeight w:val="780" w:hRule="atLeast"/>
        </w:trPr>
        <w:tc>
          <w:tcPr>
            <w:tcW w:w="84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年度绩效指标</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一级指标</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二级指标</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三级指标</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指标解释</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目标值</w:t>
            </w:r>
          </w:p>
        </w:tc>
      </w:tr>
      <w:tr>
        <w:tblPrEx>
          <w:shd w:val="clear" w:color="auto" w:fill="auto"/>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产出目标</w:t>
            </w:r>
          </w:p>
        </w:tc>
        <w:tc>
          <w:tcPr>
            <w:tcW w:w="28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时效目标</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资金到位率</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本指标主要考核资金到位率，资金到位率达100%得满分，每少1个百分点扣1分，扣完为止</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100%</w:t>
            </w:r>
          </w:p>
        </w:tc>
      </w:tr>
      <w:tr>
        <w:tblPrEx>
          <w:shd w:val="clear" w:color="auto" w:fill="auto"/>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8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资金到位时效</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本指标主要考核资金到位时效，资金12月底前到位得满分，比计划月份晚一个月以内扣1分，比计划月份晚一个月以上不得分</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12月</w:t>
            </w:r>
          </w:p>
        </w:tc>
      </w:tr>
      <w:tr>
        <w:tblPrEx>
          <w:shd w:val="clear" w:color="auto" w:fill="auto"/>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8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成本目标</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复员退伍军人生活补助经费</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本指标主要考核复员退伍军人生活补助经费发放情况，复员退伍军人生活补助经费发放到位得满分，每少1个百分点扣1分，扣完为止</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&lt;=247.37万元</w:t>
            </w:r>
          </w:p>
        </w:tc>
      </w:tr>
      <w:tr>
        <w:tblPrEx>
          <w:shd w:val="clear" w:color="auto" w:fill="auto"/>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8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其他优抚抚恤补助经费</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本指标主要考核其他优抚抚恤金经费发放情况，经费发放到位得满分，每少1个百分点扣1分，扣完为止</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&lt;=209.25万元</w:t>
            </w:r>
          </w:p>
        </w:tc>
      </w:tr>
      <w:tr>
        <w:tblPrEx>
          <w:shd w:val="clear" w:color="auto" w:fill="auto"/>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8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完成双拥工作全年所需的工作经费</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本指标主要考核双拥慰问走访部队等经费发放情况，经费发放到位得满分，每少1个百分点扣1分，扣完为止</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&lt;=40万元</w:t>
            </w:r>
          </w:p>
        </w:tc>
      </w:tr>
      <w:tr>
        <w:tblPrEx>
          <w:shd w:val="clear" w:color="auto" w:fill="auto"/>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8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伤残军人抚恤经费</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本指标主要考核伤残军人抚恤经费发放情况，经费发放到位得满分，每少1个百分点扣1分，扣完为止</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&lt;=81.04万元</w:t>
            </w:r>
          </w:p>
        </w:tc>
      </w:tr>
      <w:tr>
        <w:tblPrEx>
          <w:shd w:val="clear" w:color="auto" w:fill="auto"/>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8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义务兵优待金</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本指标主要考核义务兵优待金经费发放情况，经费发放到位得满分，每少1个百分点扣1分，扣完为止</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&lt;=100.51万元</w:t>
            </w:r>
          </w:p>
        </w:tc>
      </w:tr>
      <w:tr>
        <w:tblPrEx>
          <w:shd w:val="clear" w:color="auto" w:fill="auto"/>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83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数量目标</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享受复员退伍军人生活补助人数</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本指标主要考核享受复员退伍军人生活补助人数情况，实际完成率=（实际产出数量/计划产出数量）*100%。实际完成率大于95%得满分，每少1个百分点扣1分，扣完为止。</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183人</w:t>
            </w:r>
          </w:p>
        </w:tc>
      </w:tr>
      <w:tr>
        <w:tblPrEx>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83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质量目标</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享受补助人员覆盖率</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本指标主要考核享受补助人员覆盖率，享受补助人员覆盖率达100%得满分，每少1个百分点扣1分，扣完为止 。</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100%</w:t>
            </w:r>
          </w:p>
        </w:tc>
      </w:tr>
      <w:tr>
        <w:tblPrEx>
          <w:shd w:val="clear" w:color="auto" w:fill="auto"/>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效益目标</w:t>
            </w:r>
          </w:p>
        </w:tc>
        <w:tc>
          <w:tcPr>
            <w:tcW w:w="283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社会效益目标</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优抚对象上访率</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本指标主要考核优抚对象上访情况，优抚对象上访率低于7%的满分，每多1个百分点扣2分，扣完为止。</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7%</w:t>
            </w:r>
          </w:p>
        </w:tc>
      </w:tr>
      <w:tr>
        <w:tblPrEx>
          <w:shd w:val="clear" w:color="auto" w:fill="auto"/>
          <w:tblCellMar>
            <w:top w:w="0" w:type="dxa"/>
            <w:left w:w="0" w:type="dxa"/>
            <w:bottom w:w="0" w:type="dxa"/>
            <w:right w:w="0" w:type="dxa"/>
          </w:tblCellMar>
        </w:tblPrEx>
        <w:trPr>
          <w:trHeight w:val="780" w:hRule="atLeast"/>
        </w:trPr>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2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满意度目标</w:t>
            </w:r>
          </w:p>
        </w:tc>
        <w:tc>
          <w:tcPr>
            <w:tcW w:w="283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服务对象满意度</w:t>
            </w:r>
          </w:p>
        </w:tc>
        <w:tc>
          <w:tcPr>
            <w:tcW w:w="145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优抚对象满意度</w:t>
            </w:r>
          </w:p>
        </w:tc>
        <w:tc>
          <w:tcPr>
            <w:tcW w:w="22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本指标主要考核优抚对象对优抚工作的满意度情况，优抚对象对优抚工作的满意度大于93%的满分，每少1个百分点扣1分，扣完为止。</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93%</w:t>
            </w:r>
          </w:p>
        </w:tc>
      </w:tr>
      <w:tr>
        <w:tblPrEx>
          <w:shd w:val="clear" w:color="auto" w:fill="auto"/>
          <w:tblCellMar>
            <w:top w:w="0" w:type="dxa"/>
            <w:left w:w="0" w:type="dxa"/>
            <w:bottom w:w="0" w:type="dxa"/>
            <w:right w:w="0" w:type="dxa"/>
          </w:tblCellMar>
        </w:tblPrEx>
        <w:trPr>
          <w:trHeight w:val="615" w:hRule="atLeast"/>
        </w:trPr>
        <w:tc>
          <w:tcPr>
            <w:tcW w:w="928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Arial Unicode MS" w:hAnsi="Arial Unicode MS" w:eastAsia="Arial Unicode MS" w:cs="Arial Unicode MS"/>
                <w:color w:val="000000"/>
                <w:kern w:val="0"/>
                <w:sz w:val="20"/>
                <w:szCs w:val="20"/>
              </w:rPr>
            </w:pPr>
            <w:r>
              <w:rPr>
                <w:rFonts w:hint="default" w:ascii="Arial Unicode MS" w:hAnsi="Arial Unicode MS" w:eastAsia="Arial Unicode MS" w:cs="Arial Unicode MS"/>
                <w:color w:val="000000"/>
                <w:kern w:val="0"/>
                <w:sz w:val="20"/>
                <w:szCs w:val="20"/>
                <w:lang w:val="en-US" w:eastAsia="zh-CN" w:bidi="ar"/>
              </w:rPr>
              <w:t>注：1.编制的三级指标个数不少于10个，且所有指标都必须是量化指标。2.指标解释是对绩效目标三级指标进行解释说明，包括指标出处、具体内容、上年度数值、计算方法、评分标准等。</w:t>
            </w:r>
          </w:p>
        </w:tc>
      </w:tr>
    </w:tbl>
    <w:p>
      <w:pPr>
        <w:keepNext w:val="0"/>
        <w:keepLines w:val="0"/>
        <w:widowControl/>
        <w:suppressLineNumbers w:val="0"/>
        <w:adjustRightInd w:val="0"/>
        <w:snapToGrid w:val="0"/>
        <w:spacing w:before="0" w:beforeAutospacing="0" w:after="0" w:afterAutospacing="0" w:line="600" w:lineRule="exact"/>
        <w:ind w:left="0" w:right="0"/>
        <w:jc w:val="left"/>
        <w:rPr>
          <w:rFonts w:hint="eastAsia" w:ascii="黑体" w:hAnsi="宋体" w:eastAsia="黑体" w:cs="宋体"/>
          <w:kern w:val="0"/>
          <w:sz w:val="32"/>
          <w:szCs w:val="32"/>
        </w:rPr>
      </w:pPr>
      <w:r>
        <w:rPr>
          <w:rFonts w:hint="eastAsia" w:ascii="黑体" w:hAnsi="宋体" w:eastAsia="黑体" w:cs="宋体"/>
          <w:kern w:val="0"/>
          <w:sz w:val="32"/>
          <w:szCs w:val="32"/>
          <w:lang w:val="en-US" w:eastAsia="zh-CN" w:bidi="ar"/>
        </w:rPr>
        <w:t xml:space="preserve"> </w:t>
      </w:r>
    </w:p>
    <w:p>
      <w:pPr>
        <w:keepNext w:val="0"/>
        <w:keepLines w:val="0"/>
        <w:widowControl/>
        <w:suppressLineNumbers w:val="0"/>
        <w:adjustRightInd w:val="0"/>
        <w:snapToGrid w:val="0"/>
        <w:spacing w:before="0" w:beforeAutospacing="0" w:after="0" w:afterAutospacing="0" w:line="600" w:lineRule="exact"/>
        <w:ind w:left="0" w:right="0" w:firstLine="720"/>
        <w:jc w:val="left"/>
        <w:rPr>
          <w:rFonts w:hint="eastAsia" w:ascii="仿宋_GB2312" w:hAnsi="宋体" w:eastAsia="仿宋_GB2312" w:cs="宋体"/>
          <w:kern w:val="0"/>
          <w:sz w:val="32"/>
          <w:szCs w:val="32"/>
        </w:rPr>
      </w:pPr>
      <w:r>
        <w:rPr>
          <w:rFonts w:hint="eastAsia" w:ascii="黑体" w:hAnsi="宋体" w:eastAsia="黑体" w:cs="黑体"/>
          <w:kern w:val="0"/>
          <w:sz w:val="32"/>
          <w:szCs w:val="32"/>
          <w:lang w:val="en-US" w:eastAsia="zh-CN" w:bidi="ar"/>
        </w:rPr>
        <w:t>六、项目绩效情况</w:t>
      </w:r>
      <w:r>
        <w:rPr>
          <w:rFonts w:hint="eastAsia" w:ascii="仿宋_GB2312" w:hAnsi="宋体" w:eastAsia="仿宋_GB2312" w:cs="宋体"/>
          <w:kern w:val="0"/>
          <w:sz w:val="32"/>
          <w:szCs w:val="32"/>
          <w:lang w:val="en-US" w:eastAsia="zh-CN" w:bidi="ar"/>
        </w:rPr>
        <w:t xml:space="preserve"> </w:t>
      </w:r>
    </w:p>
    <w:p>
      <w:pPr>
        <w:keepNext w:val="0"/>
        <w:keepLines w:val="0"/>
        <w:widowControl/>
        <w:suppressLineNumbers w:val="0"/>
        <w:snapToGrid w:val="0"/>
        <w:spacing w:before="0" w:beforeAutospacing="0" w:after="0" w:afterAutospacing="0" w:line="580" w:lineRule="exact"/>
        <w:ind w:left="962" w:leftChars="152" w:right="0" w:hanging="643" w:hangingChars="200"/>
        <w:jc w:val="left"/>
        <w:rPr>
          <w:rFonts w:hint="eastAsia" w:ascii="楷体_GB2312" w:eastAsia="楷体_GB2312" w:cs="楷体_GB2312"/>
          <w:b/>
          <w:kern w:val="0"/>
          <w:sz w:val="32"/>
          <w:szCs w:val="32"/>
        </w:rPr>
      </w:pPr>
      <w:r>
        <w:rPr>
          <w:rFonts w:hint="eastAsia" w:ascii="楷体_GB2312" w:hAnsi="宋体" w:eastAsia="楷体_GB2312" w:cs="楷体_GB2312"/>
          <w:b/>
          <w:kern w:val="0"/>
          <w:sz w:val="32"/>
          <w:szCs w:val="32"/>
          <w:lang w:val="en-US" w:eastAsia="zh-CN" w:bidi="ar"/>
        </w:rPr>
        <w:t>1、项目绩效目标完成情况。</w:t>
      </w:r>
    </w:p>
    <w:p>
      <w:pPr>
        <w:keepNext w:val="0"/>
        <w:keepLines w:val="0"/>
        <w:widowControl/>
        <w:suppressLineNumbers w:val="0"/>
        <w:snapToGrid w:val="0"/>
        <w:spacing w:before="0" w:beforeAutospacing="0" w:after="0" w:afterAutospacing="0" w:line="580" w:lineRule="exact"/>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本部门在2020年度部门决算中反映“义务兵优待金、退役安置、生活救助、拥军优属4个项目绩效目标实际完成情况。</w:t>
      </w:r>
    </w:p>
    <w:p>
      <w:pPr>
        <w:keepNext w:val="0"/>
        <w:keepLines w:val="0"/>
        <w:widowControl/>
        <w:suppressLineNumbers w:val="0"/>
        <w:adjustRightInd w:val="0"/>
        <w:snapToGrid w:val="0"/>
        <w:spacing w:before="0" w:beforeAutospacing="0" w:after="0" w:afterAutospacing="0" w:line="600" w:lineRule="exact"/>
        <w:ind w:left="0" w:right="0"/>
        <w:jc w:val="left"/>
        <w:rPr>
          <w:rFonts w:hint="eastAsia" w:ascii="宋体" w:hAnsi="宋体" w:eastAsia="宋体" w:cs="宋体"/>
          <w:kern w:val="0"/>
          <w:sz w:val="24"/>
          <w:szCs w:val="24"/>
        </w:rPr>
      </w:pPr>
      <w:r>
        <w:rPr>
          <w:rFonts w:hint="eastAsia" w:ascii="黑体" w:hAnsi="宋体" w:eastAsia="黑体" w:cs="黑体"/>
          <w:kern w:val="0"/>
          <w:sz w:val="32"/>
          <w:szCs w:val="32"/>
          <w:lang w:val="en-US" w:eastAsia="zh-CN" w:bidi="ar"/>
        </w:rPr>
        <w:t xml:space="preserve">  四、评价结论及建议</w:t>
      </w:r>
      <w:r>
        <w:rPr>
          <w:rFonts w:hint="eastAsia" w:ascii="宋体" w:hAnsi="宋体" w:eastAsia="宋体" w:cs="宋体"/>
          <w:kern w:val="0"/>
          <w:sz w:val="24"/>
          <w:szCs w:val="24"/>
          <w:lang w:val="en-US" w:eastAsia="zh-CN" w:bidi="ar"/>
        </w:rPr>
        <w:t xml:space="preserve">      </w:t>
      </w:r>
    </w:p>
    <w:p>
      <w:pPr>
        <w:pStyle w:val="12"/>
        <w:keepNext w:val="0"/>
        <w:keepLines w:val="0"/>
        <w:widowControl/>
        <w:suppressLineNumbers w:val="0"/>
        <w:snapToGrid w:val="0"/>
        <w:spacing w:before="0" w:beforeAutospacing="0" w:after="0" w:afterAutospacing="0"/>
        <w:ind w:left="0" w:right="0" w:firstLine="643" w:firstLineChars="200"/>
        <w:jc w:val="left"/>
        <w:rPr>
          <w:rFonts w:hint="eastAsia" w:ascii="楷体_GB2312" w:eastAsia="楷体_GB2312" w:cs="楷体_GB2312"/>
          <w:b/>
          <w:kern w:val="0"/>
          <w:sz w:val="32"/>
          <w:szCs w:val="32"/>
        </w:rPr>
      </w:pPr>
      <w:r>
        <w:rPr>
          <w:rFonts w:hint="eastAsia" w:ascii="楷体_GB2312" w:hAnsi="宋体" w:eastAsia="楷体_GB2312" w:cs="楷体_GB2312"/>
          <w:b/>
          <w:kern w:val="0"/>
          <w:sz w:val="32"/>
          <w:szCs w:val="32"/>
          <w:lang w:val="en-US" w:eastAsia="zh-CN" w:bidi="ar"/>
        </w:rPr>
        <w:t>（一）评价结论</w:t>
      </w:r>
    </w:p>
    <w:p>
      <w:pPr>
        <w:keepNext w:val="0"/>
        <w:keepLines w:val="0"/>
        <w:widowControl/>
        <w:suppressLineNumbers w:val="0"/>
        <w:adjustRightInd w:val="0"/>
        <w:snapToGrid w:val="0"/>
        <w:spacing w:before="0" w:beforeAutospacing="0" w:after="0" w:afterAutospacing="0" w:line="580"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宋体" w:eastAsia="仿宋_GB2312" w:cs="仿宋_GB2312"/>
          <w:color w:val="000000"/>
          <w:kern w:val="0"/>
          <w:sz w:val="32"/>
          <w:szCs w:val="32"/>
          <w:shd w:val="clear" w:fill="FFFFFF"/>
          <w:lang w:val="en-US" w:eastAsia="zh-CN" w:bidi="ar"/>
        </w:rPr>
        <w:t>红原县退役军人事务局按照相关规定组织实施，项目完成情况良好，圆满完成省、州下达的绩效目标，取得了良好的社会效益，针对退役军人特殊人员十分满意。</w:t>
      </w:r>
    </w:p>
    <w:p>
      <w:pPr>
        <w:keepNext w:val="0"/>
        <w:keepLines w:val="0"/>
        <w:widowControl/>
        <w:numPr>
          <w:ilvl w:val="0"/>
          <w:numId w:val="5"/>
        </w:numPr>
        <w:suppressLineNumbers w:val="0"/>
        <w:adjustRightInd w:val="0"/>
        <w:snapToGrid w:val="0"/>
        <w:spacing w:before="0" w:beforeAutospacing="0" w:after="0" w:afterAutospacing="0" w:line="580" w:lineRule="exact"/>
        <w:ind w:left="0" w:right="0" w:firstLine="643" w:firstLineChars="200"/>
        <w:contextualSpacing/>
        <w:jc w:val="left"/>
        <w:rPr>
          <w:rFonts w:hint="eastAsia" w:ascii="楷体_GB2312" w:eastAsia="楷体_GB2312" w:cs="楷体_GB2312"/>
          <w:b/>
          <w:color w:val="000000"/>
          <w:kern w:val="0"/>
          <w:sz w:val="32"/>
          <w:szCs w:val="32"/>
          <w:shd w:val="clear" w:fill="FFFFFF"/>
        </w:rPr>
      </w:pPr>
      <w:r>
        <w:rPr>
          <w:rFonts w:hint="eastAsia" w:ascii="楷体_GB2312" w:hAnsi="宋体" w:eastAsia="楷体_GB2312" w:cs="楷体_GB2312"/>
          <w:b/>
          <w:color w:val="000000"/>
          <w:kern w:val="0"/>
          <w:sz w:val="32"/>
          <w:szCs w:val="32"/>
          <w:shd w:val="clear" w:fill="FFFFFF"/>
          <w:lang w:val="en-US" w:eastAsia="zh-CN" w:bidi="ar"/>
        </w:rPr>
        <w:t>存在问题。</w:t>
      </w:r>
    </w:p>
    <w:p>
      <w:pPr>
        <w:pStyle w:val="12"/>
        <w:keepNext w:val="0"/>
        <w:keepLines w:val="0"/>
        <w:widowControl/>
        <w:suppressLineNumbers w:val="0"/>
        <w:snapToGrid w:val="0"/>
        <w:spacing w:before="0" w:beforeAutospacing="0" w:after="0" w:afterAutospacing="0"/>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1、存在支出项目编制过多过散，项目经费执行难度过大的问题。</w:t>
      </w:r>
    </w:p>
    <w:p>
      <w:pPr>
        <w:pStyle w:val="12"/>
        <w:keepNext w:val="0"/>
        <w:keepLines w:val="0"/>
        <w:widowControl/>
        <w:suppressLineNumbers w:val="0"/>
        <w:snapToGrid w:val="0"/>
        <w:spacing w:before="0" w:beforeAutospacing="0" w:after="0" w:afterAutospacing="0"/>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2、存在部分项目支出预算的申请理由不够充分、测算依据及说明不够具体的问题。</w:t>
      </w:r>
    </w:p>
    <w:p>
      <w:pPr>
        <w:pStyle w:val="12"/>
        <w:keepNext w:val="0"/>
        <w:keepLines w:val="0"/>
        <w:widowControl/>
        <w:suppressLineNumbers w:val="0"/>
        <w:snapToGrid w:val="0"/>
        <w:spacing w:before="0" w:beforeAutospacing="0" w:after="0" w:afterAutospacing="0"/>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3、存在项目年度绩效指标填报不够完整，指标内容和指标值不够具体明确，不利于开展项目支出绩效评价的问题。</w:t>
      </w:r>
    </w:p>
    <w:p>
      <w:pPr>
        <w:keepNext w:val="0"/>
        <w:keepLines w:val="0"/>
        <w:widowControl/>
        <w:numPr>
          <w:ilvl w:val="0"/>
          <w:numId w:val="5"/>
        </w:numPr>
        <w:suppressLineNumbers w:val="0"/>
        <w:adjustRightInd w:val="0"/>
        <w:snapToGrid w:val="0"/>
        <w:spacing w:before="0" w:beforeAutospacing="0" w:after="0" w:afterAutospacing="0" w:line="580" w:lineRule="exact"/>
        <w:ind w:left="0" w:right="0" w:firstLine="643" w:firstLineChars="200"/>
        <w:contextualSpacing/>
        <w:jc w:val="left"/>
        <w:rPr>
          <w:rFonts w:hint="eastAsia" w:ascii="楷体_GB2312" w:eastAsia="楷体_GB2312" w:cs="楷体_GB2312"/>
          <w:b/>
          <w:color w:val="000000"/>
          <w:kern w:val="0"/>
          <w:sz w:val="32"/>
          <w:szCs w:val="32"/>
          <w:shd w:val="clear" w:fill="FFFFFF"/>
        </w:rPr>
      </w:pPr>
      <w:r>
        <w:rPr>
          <w:rFonts w:hint="eastAsia" w:ascii="楷体_GB2312" w:hAnsi="宋体" w:eastAsia="楷体_GB2312" w:cs="楷体_GB2312"/>
          <w:b/>
          <w:color w:val="000000"/>
          <w:kern w:val="0"/>
          <w:sz w:val="32"/>
          <w:szCs w:val="32"/>
          <w:shd w:val="clear" w:fill="FFFFFF"/>
          <w:lang w:val="en-US" w:eastAsia="zh-CN" w:bidi="ar"/>
        </w:rPr>
        <w:t>整改措施</w:t>
      </w:r>
    </w:p>
    <w:p>
      <w:pPr>
        <w:pStyle w:val="12"/>
        <w:keepNext w:val="0"/>
        <w:keepLines w:val="0"/>
        <w:widowControl/>
        <w:suppressLineNumbers w:val="0"/>
        <w:snapToGrid w:val="0"/>
        <w:spacing w:before="0" w:beforeAutospacing="0" w:after="0" w:afterAutospacing="0"/>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1、我局预算编制的很多支出项目是根据相关法律法规以及上级相关部门的规定填报的。我局在以后年度编制该项目支出预算时可以合并到一起列入“保机构运转项目”填报，再在项目支出明细预算予以细分。</w:t>
      </w:r>
    </w:p>
    <w:p>
      <w:pPr>
        <w:pStyle w:val="12"/>
        <w:keepNext w:val="0"/>
        <w:keepLines w:val="0"/>
        <w:widowControl/>
        <w:suppressLineNumbers w:val="0"/>
        <w:snapToGrid w:val="0"/>
        <w:spacing w:before="0" w:beforeAutospacing="0" w:after="0" w:afterAutospacing="0"/>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2、我局涉及多个部门职能特色项目的合并到一个支出项目填报，再在项目支出明细预算予以细分。</w:t>
      </w:r>
    </w:p>
    <w:p>
      <w:pPr>
        <w:pStyle w:val="12"/>
        <w:keepNext w:val="0"/>
        <w:keepLines w:val="0"/>
        <w:widowControl/>
        <w:suppressLineNumbers w:val="0"/>
        <w:snapToGrid w:val="0"/>
        <w:spacing w:before="0" w:beforeAutospacing="0" w:after="0" w:afterAutospacing="0"/>
        <w:ind w:left="0" w:right="0" w:firstLine="640" w:firstLineChars="200"/>
        <w:jc w:val="left"/>
        <w:rPr>
          <w:rFonts w:hint="eastAsia" w:ascii="仿宋_GB2312" w:eastAsia="仿宋_GB2312" w:cs="仿宋_GB2312"/>
          <w:kern w:val="0"/>
          <w:sz w:val="32"/>
          <w:szCs w:val="32"/>
        </w:rPr>
      </w:pPr>
      <w:r>
        <w:rPr>
          <w:rFonts w:hint="eastAsia" w:ascii="仿宋_GB2312" w:hAnsi="宋体" w:eastAsia="仿宋_GB2312" w:cs="仿宋_GB2312"/>
          <w:kern w:val="0"/>
          <w:sz w:val="32"/>
          <w:szCs w:val="32"/>
          <w:lang w:val="en-US" w:eastAsia="zh-CN" w:bidi="ar"/>
        </w:rPr>
        <w:t>3、项目资金绩效目标申报表必须按要求填报完整。</w:t>
      </w:r>
    </w:p>
    <w:p>
      <w:pPr>
        <w:pStyle w:val="12"/>
        <w:keepNext w:val="0"/>
        <w:keepLines w:val="0"/>
        <w:widowControl/>
        <w:suppressLineNumbers w:val="0"/>
        <w:snapToGrid w:val="0"/>
        <w:spacing w:before="0" w:beforeAutospacing="0" w:after="0" w:afterAutospacing="1"/>
        <w:ind w:left="0" w:right="0" w:rightChars="0"/>
        <w:jc w:val="left"/>
        <w:rPr>
          <w:rFonts w:hint="eastAsia" w:ascii="仿宋_GB2312" w:eastAsia="仿宋_GB2312" w:cs="仿宋_GB2312"/>
          <w:b/>
          <w:sz w:val="24"/>
          <w:szCs w:val="24"/>
          <w:shd w:val="clear" w:fill="FFFFFF"/>
        </w:rPr>
      </w:pPr>
      <w:r>
        <w:rPr>
          <w:rStyle w:val="43"/>
          <w:rFonts w:hint="eastAsia" w:ascii="仿宋_GB2312" w:eastAsia="仿宋_GB2312" w:cs="仿宋_GB2312"/>
          <w:b/>
          <w:sz w:val="24"/>
          <w:szCs w:val="24"/>
          <w:shd w:val="clear" w:fill="FFFFFF"/>
          <w:lang w:val="en-US" w:eastAsia="zh-CN" w:bidi="ar"/>
        </w:rPr>
        <w:t xml:space="preserve"> </w:t>
      </w:r>
    </w:p>
    <w:p>
      <w:pPr>
        <w:pStyle w:val="12"/>
        <w:keepNext w:val="0"/>
        <w:keepLines w:val="0"/>
        <w:widowControl/>
        <w:suppressLineNumbers w:val="0"/>
        <w:snapToGrid w:val="0"/>
        <w:spacing w:before="0" w:beforeAutospacing="0" w:after="0" w:afterAutospacing="1"/>
        <w:ind w:left="0" w:right="0" w:rightChars="0"/>
        <w:jc w:val="left"/>
        <w:rPr>
          <w:rStyle w:val="43"/>
          <w:rFonts w:hint="eastAsia" w:ascii="仿宋_GB2312" w:eastAsia="仿宋_GB2312" w:cs="仿宋_GB2312"/>
          <w:b/>
          <w:sz w:val="24"/>
          <w:szCs w:val="24"/>
          <w:shd w:val="clear" w:fill="FFFFFF"/>
          <w:lang w:val="en-US" w:eastAsia="zh-CN" w:bidi="ar"/>
        </w:rPr>
      </w:pPr>
    </w:p>
    <w:p>
      <w:pPr>
        <w:pStyle w:val="12"/>
        <w:keepNext w:val="0"/>
        <w:keepLines w:val="0"/>
        <w:widowControl/>
        <w:suppressLineNumbers w:val="0"/>
        <w:snapToGrid w:val="0"/>
        <w:spacing w:before="0" w:beforeAutospacing="0" w:after="0" w:afterAutospacing="1"/>
        <w:ind w:left="0" w:right="0" w:rightChars="0"/>
        <w:jc w:val="left"/>
        <w:rPr>
          <w:rStyle w:val="43"/>
          <w:rFonts w:hint="eastAsia" w:ascii="仿宋_GB2312" w:eastAsia="仿宋_GB2312" w:cs="仿宋_GB2312"/>
          <w:b/>
          <w:sz w:val="24"/>
          <w:szCs w:val="24"/>
          <w:shd w:val="clear" w:fill="FFFFFF"/>
          <w:lang w:val="en-US" w:eastAsia="zh-CN" w:bidi="ar"/>
        </w:rPr>
      </w:pPr>
    </w:p>
    <w:p>
      <w:pPr>
        <w:pStyle w:val="12"/>
        <w:keepNext w:val="0"/>
        <w:keepLines w:val="0"/>
        <w:widowControl/>
        <w:suppressLineNumbers w:val="0"/>
        <w:snapToGrid w:val="0"/>
        <w:spacing w:before="0" w:beforeAutospacing="0" w:after="0" w:afterAutospacing="1"/>
        <w:ind w:left="0" w:right="0" w:rightChars="0"/>
        <w:jc w:val="left"/>
        <w:rPr>
          <w:rFonts w:hint="eastAsia" w:ascii="仿宋_GB2312" w:eastAsia="仿宋_GB2312" w:cs="仿宋_GB2312"/>
          <w:b/>
          <w:sz w:val="24"/>
          <w:szCs w:val="24"/>
          <w:shd w:val="clear" w:fill="FFFFFF"/>
        </w:rPr>
      </w:pPr>
      <w:r>
        <w:rPr>
          <w:rStyle w:val="43"/>
          <w:rFonts w:hint="eastAsia" w:ascii="仿宋_GB2312" w:eastAsia="仿宋_GB2312" w:cs="仿宋_GB2312"/>
          <w:b/>
          <w:sz w:val="24"/>
          <w:szCs w:val="24"/>
          <w:shd w:val="clear" w:fill="FFFFFF"/>
          <w:lang w:val="en-US" w:eastAsia="zh-CN" w:bidi="ar"/>
        </w:rPr>
        <w:t xml:space="preserve"> </w:t>
      </w:r>
    </w:p>
    <w:p>
      <w:pPr>
        <w:pStyle w:val="12"/>
        <w:keepNext w:val="0"/>
        <w:keepLines w:val="0"/>
        <w:widowControl/>
        <w:suppressLineNumbers w:val="0"/>
        <w:snapToGrid w:val="0"/>
        <w:spacing w:before="0" w:beforeAutospacing="0" w:after="0" w:afterAutospacing="1"/>
        <w:ind w:left="0" w:right="0"/>
        <w:jc w:val="left"/>
        <w:outlineLvl w:val="0"/>
        <w:rPr>
          <w:rFonts w:hint="eastAsia" w:hAnsi="宋体" w:eastAsia="宋体" w:cs="宋体" w:asciiTheme="minorAscii"/>
          <w:kern w:val="0"/>
          <w:sz w:val="28"/>
          <w:szCs w:val="28"/>
        </w:rPr>
      </w:pPr>
      <w:bookmarkStart w:id="57" w:name="_Toc23836"/>
      <w:r>
        <w:rPr>
          <w:rFonts w:hint="eastAsia" w:hAnsi="宋体" w:eastAsia="仿宋_GB2312" w:cs="仿宋_GB2312" w:asciiTheme="minorAscii"/>
          <w:kern w:val="0"/>
          <w:sz w:val="28"/>
          <w:szCs w:val="28"/>
          <w:shd w:val="clear" w:fill="FFFFFF"/>
          <w:lang w:val="en-US" w:eastAsia="zh-CN" w:bidi="ar"/>
        </w:rPr>
        <w:t>三、本年度部门决算等财务工作开展情况</w:t>
      </w:r>
      <w:bookmarkEnd w:id="57"/>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（一）本单位财务管理、绩效管理、决算组织、编报、审核情况。</w:t>
      </w:r>
    </w:p>
    <w:p>
      <w:pPr>
        <w:pStyle w:val="12"/>
        <w:keepNext w:val="0"/>
        <w:keepLines w:val="0"/>
        <w:widowControl/>
        <w:suppressLineNumbers w:val="0"/>
        <w:snapToGrid w:val="0"/>
        <w:spacing w:before="0" w:beforeAutospacing="0" w:after="0" w:afterAutospacing="1"/>
        <w:ind w:left="0" w:right="0"/>
        <w:jc w:val="left"/>
        <w:outlineLvl w:val="0"/>
        <w:rPr>
          <w:rFonts w:hint="eastAsia" w:eastAsia="仿宋_GB2312" w:cs="仿宋_GB2312" w:asciiTheme="minorAscii"/>
          <w:b/>
          <w:sz w:val="28"/>
          <w:szCs w:val="28"/>
          <w:shd w:val="clear" w:fill="FFFFFF"/>
        </w:rPr>
      </w:pPr>
      <w:bookmarkStart w:id="58" w:name="_Toc32427"/>
      <w:r>
        <w:rPr>
          <w:rStyle w:val="43"/>
          <w:rFonts w:hint="eastAsia" w:eastAsia="仿宋_GB2312" w:cs="仿宋_GB2312" w:asciiTheme="minorAscii"/>
          <w:b/>
          <w:sz w:val="28"/>
          <w:szCs w:val="28"/>
          <w:shd w:val="clear" w:fill="FFFFFF"/>
          <w:lang w:val="en-US" w:eastAsia="zh-CN" w:bidi="ar"/>
        </w:rPr>
        <w:t>较好无任何大问题</w:t>
      </w:r>
      <w:bookmarkEnd w:id="58"/>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（二）本单位决算及绩效信息公开工作开展情况。</w:t>
      </w:r>
    </w:p>
    <w:p>
      <w:pPr>
        <w:pStyle w:val="12"/>
        <w:keepNext w:val="0"/>
        <w:keepLines w:val="0"/>
        <w:widowControl/>
        <w:suppressLineNumbers w:val="0"/>
        <w:snapToGrid w:val="0"/>
        <w:spacing w:before="0" w:beforeAutospacing="0" w:after="0" w:afterAutospacing="1"/>
        <w:ind w:left="0" w:right="0"/>
        <w:jc w:val="left"/>
        <w:outlineLvl w:val="0"/>
        <w:rPr>
          <w:rFonts w:hint="eastAsia" w:eastAsia="仿宋_GB2312" w:cs="仿宋_GB2312" w:asciiTheme="minorAscii"/>
          <w:b/>
          <w:sz w:val="28"/>
          <w:szCs w:val="28"/>
          <w:shd w:val="clear" w:fill="FFFFFF"/>
        </w:rPr>
      </w:pPr>
      <w:bookmarkStart w:id="59" w:name="_Toc24701"/>
      <w:r>
        <w:rPr>
          <w:rStyle w:val="43"/>
          <w:rFonts w:hint="eastAsia" w:eastAsia="仿宋_GB2312" w:cs="仿宋_GB2312" w:asciiTheme="minorAscii"/>
          <w:b/>
          <w:sz w:val="28"/>
          <w:szCs w:val="28"/>
          <w:shd w:val="clear" w:fill="FFFFFF"/>
          <w:lang w:val="en-US" w:eastAsia="zh-CN" w:bidi="ar"/>
        </w:rPr>
        <w:t>及时、准确</w:t>
      </w:r>
      <w:bookmarkEnd w:id="59"/>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（三）对单位决算管理及报表设计的意见建议。</w:t>
      </w:r>
    </w:p>
    <w:p>
      <w:pPr>
        <w:pStyle w:val="12"/>
        <w:keepNext w:val="0"/>
        <w:keepLines w:val="0"/>
        <w:widowControl/>
        <w:suppressLineNumbers w:val="0"/>
        <w:snapToGrid w:val="0"/>
        <w:spacing w:before="0" w:beforeAutospacing="0" w:after="0" w:afterAutospacing="1"/>
        <w:ind w:left="0" w:right="0"/>
        <w:jc w:val="left"/>
        <w:rPr>
          <w:rFonts w:hint="eastAsia" w:eastAsia="仿宋_GB2312" w:cs="仿宋_GB2312" w:asciiTheme="minorAscii"/>
          <w:kern w:val="0"/>
          <w:sz w:val="28"/>
          <w:szCs w:val="28"/>
          <w:shd w:val="clear" w:fill="FFFFFF"/>
        </w:rPr>
      </w:pPr>
      <w:r>
        <w:rPr>
          <w:rFonts w:hint="eastAsia" w:hAnsi="宋体" w:eastAsia="仿宋_GB2312" w:cs="仿宋_GB2312" w:asciiTheme="minorAscii"/>
          <w:kern w:val="0"/>
          <w:sz w:val="28"/>
          <w:szCs w:val="28"/>
          <w:shd w:val="clear" w:fill="FFFFFF"/>
          <w:lang w:val="en-US" w:eastAsia="zh-CN" w:bidi="ar"/>
        </w:rPr>
        <w:t xml:space="preserve"> </w:t>
      </w:r>
    </w:p>
    <w:p>
      <w:pPr>
        <w:pStyle w:val="12"/>
        <w:keepNext w:val="0"/>
        <w:keepLines w:val="0"/>
        <w:widowControl/>
        <w:suppressLineNumbers w:val="0"/>
        <w:snapToGrid w:val="0"/>
        <w:spacing w:before="0" w:beforeAutospacing="0" w:after="0" w:afterAutospacing="1"/>
        <w:ind w:left="0" w:right="0"/>
        <w:jc w:val="left"/>
        <w:rPr>
          <w:rFonts w:hint="eastAsia" w:eastAsia="仿宋_GB2312" w:cs="仿宋_GB2312" w:asciiTheme="minorAscii"/>
          <w:kern w:val="0"/>
          <w:sz w:val="28"/>
          <w:szCs w:val="28"/>
          <w:shd w:val="clear" w:fill="FFFFFF"/>
        </w:rPr>
      </w:pPr>
      <w:r>
        <w:rPr>
          <w:rFonts w:hint="eastAsia" w:hAnsi="宋体" w:eastAsia="仿宋_GB2312" w:cs="仿宋_GB2312" w:asciiTheme="minorAscii"/>
          <w:kern w:val="0"/>
          <w:sz w:val="28"/>
          <w:szCs w:val="28"/>
          <w:shd w:val="clear" w:fill="FFFFFF"/>
          <w:lang w:val="en-US" w:eastAsia="zh-CN" w:bidi="ar"/>
        </w:rPr>
        <w:t>无</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（四）对加强部门决算数据分析利用工作的建议。</w:t>
      </w:r>
    </w:p>
    <w:p>
      <w:pPr>
        <w:pStyle w:val="12"/>
        <w:keepNext w:val="0"/>
        <w:keepLines w:val="0"/>
        <w:widowControl/>
        <w:suppressLineNumbers w:val="0"/>
        <w:snapToGrid w:val="0"/>
        <w:spacing w:before="0" w:beforeAutospacing="0" w:after="0" w:afterAutospacing="1"/>
        <w:ind w:left="0" w:right="0"/>
        <w:jc w:val="left"/>
        <w:outlineLvl w:val="0"/>
        <w:rPr>
          <w:rFonts w:hint="eastAsia" w:eastAsia="仿宋_GB2312" w:cs="仿宋_GB2312" w:asciiTheme="minorAscii"/>
          <w:b/>
          <w:sz w:val="28"/>
          <w:szCs w:val="28"/>
          <w:shd w:val="clear" w:fill="FFFFFF"/>
        </w:rPr>
      </w:pPr>
      <w:bookmarkStart w:id="60" w:name="_Toc5111"/>
      <w:r>
        <w:rPr>
          <w:rStyle w:val="43"/>
          <w:rFonts w:hint="eastAsia" w:eastAsia="仿宋_GB2312" w:cs="仿宋_GB2312" w:asciiTheme="minorAscii"/>
          <w:b/>
          <w:sz w:val="28"/>
          <w:szCs w:val="28"/>
          <w:shd w:val="clear" w:fill="FFFFFF"/>
          <w:lang w:val="en-US" w:eastAsia="zh-CN" w:bidi="ar"/>
        </w:rPr>
        <w:t>无</w:t>
      </w:r>
      <w:bookmarkEnd w:id="60"/>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注：收入支出预算执行情况分析可参考部门决算分析评价表（见软件查询模板）及行政事业单位财务分析指标（附后）。</w:t>
      </w:r>
    </w:p>
    <w:p>
      <w:pPr>
        <w:pStyle w:val="12"/>
        <w:keepNext w:val="0"/>
        <w:keepLines w:val="0"/>
        <w:widowControl/>
        <w:suppressLineNumbers w:val="0"/>
        <w:snapToGrid w:val="0"/>
        <w:spacing w:before="0" w:beforeAutospacing="0" w:after="0" w:afterAutospacing="1"/>
        <w:ind w:left="0" w:right="0"/>
        <w:jc w:val="left"/>
        <w:rPr>
          <w:rFonts w:hint="eastAsia" w:hAnsi="宋体" w:eastAsia="仿宋_GB2312" w:cs="仿宋_GB2312" w:asciiTheme="minorAscii"/>
          <w:kern w:val="0"/>
          <w:sz w:val="28"/>
          <w:szCs w:val="28"/>
          <w:shd w:val="clear" w:fill="FFFFFF"/>
          <w:lang w:val="en-US" w:eastAsia="zh-CN" w:bidi="ar"/>
        </w:rPr>
      </w:pP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附：</w:t>
      </w:r>
    </w:p>
    <w:p>
      <w:pPr>
        <w:pStyle w:val="12"/>
        <w:keepNext w:val="0"/>
        <w:keepLines w:val="0"/>
        <w:widowControl/>
        <w:suppressLineNumbers w:val="0"/>
        <w:snapToGrid w:val="0"/>
        <w:spacing w:before="0" w:beforeAutospacing="0" w:after="0" w:afterAutospacing="1"/>
        <w:ind w:left="0" w:right="0"/>
        <w:jc w:val="center"/>
        <w:rPr>
          <w:rFonts w:hint="eastAsia" w:hAnsi="宋体" w:eastAsia="宋体" w:cs="宋体" w:asciiTheme="minorAscii"/>
          <w:kern w:val="0"/>
          <w:sz w:val="28"/>
          <w:szCs w:val="28"/>
        </w:rPr>
      </w:pPr>
      <w:r>
        <w:rPr>
          <w:rFonts w:hint="eastAsia" w:hAnsi="宋体" w:eastAsia="宋体" w:cs="宋体" w:asciiTheme="minorAscii"/>
          <w:kern w:val="0"/>
          <w:sz w:val="28"/>
          <w:szCs w:val="28"/>
          <w:shd w:val="clear" w:fill="FFFFFF"/>
          <w:lang w:val="en-US" w:eastAsia="zh-CN" w:bidi="ar"/>
        </w:rPr>
        <w:t xml:space="preserve"> </w:t>
      </w:r>
    </w:p>
    <w:p>
      <w:pPr>
        <w:pStyle w:val="12"/>
        <w:keepNext w:val="0"/>
        <w:keepLines w:val="0"/>
        <w:widowControl/>
        <w:suppressLineNumbers w:val="0"/>
        <w:snapToGrid w:val="0"/>
        <w:spacing w:before="0" w:beforeAutospacing="0" w:after="0" w:afterAutospacing="1"/>
        <w:ind w:left="0" w:right="0"/>
        <w:jc w:val="center"/>
        <w:outlineLvl w:val="0"/>
        <w:rPr>
          <w:rFonts w:hint="eastAsia" w:hAnsi="宋体" w:eastAsia="宋体" w:cs="宋体" w:asciiTheme="minorAscii"/>
          <w:kern w:val="0"/>
          <w:sz w:val="28"/>
          <w:szCs w:val="28"/>
        </w:rPr>
      </w:pPr>
      <w:bookmarkStart w:id="61" w:name="_Toc10604"/>
      <w:r>
        <w:rPr>
          <w:rFonts w:hint="eastAsia" w:hAnsi="宋体" w:eastAsia="仿宋_GB2312" w:cs="仿宋_GB2312" w:asciiTheme="minorAscii"/>
          <w:kern w:val="0"/>
          <w:sz w:val="28"/>
          <w:szCs w:val="28"/>
          <w:shd w:val="clear" w:fill="FFFFFF"/>
          <w:lang w:val="en-US" w:eastAsia="zh-CN" w:bidi="ar"/>
        </w:rPr>
        <w:t>行政事业单位财务分析指标</w:t>
      </w:r>
      <w:bookmarkEnd w:id="61"/>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宋体" w:cs="宋体" w:asciiTheme="minorAscii"/>
          <w:kern w:val="0"/>
          <w:sz w:val="28"/>
          <w:szCs w:val="28"/>
          <w:shd w:val="clear" w:fill="FFFFFF"/>
          <w:lang w:val="en-US" w:eastAsia="zh-CN" w:bidi="ar"/>
        </w:rPr>
        <w:t xml:space="preserve"> </w:t>
      </w:r>
    </w:p>
    <w:p>
      <w:pPr>
        <w:pStyle w:val="12"/>
        <w:keepNext w:val="0"/>
        <w:keepLines w:val="0"/>
        <w:widowControl/>
        <w:suppressLineNumbers w:val="0"/>
        <w:snapToGrid w:val="0"/>
        <w:spacing w:before="0" w:beforeAutospacing="0" w:after="0" w:afterAutospacing="1"/>
        <w:ind w:left="0" w:right="0"/>
        <w:jc w:val="left"/>
        <w:outlineLvl w:val="0"/>
        <w:rPr>
          <w:rFonts w:hint="eastAsia" w:hAnsi="宋体" w:eastAsia="宋体" w:cs="宋体" w:asciiTheme="minorAscii"/>
          <w:kern w:val="0"/>
          <w:sz w:val="28"/>
          <w:szCs w:val="28"/>
        </w:rPr>
      </w:pPr>
      <w:bookmarkStart w:id="62" w:name="_Toc26961"/>
      <w:r>
        <w:rPr>
          <w:rFonts w:hint="eastAsia" w:hAnsi="宋体" w:eastAsia="仿宋_GB2312" w:cs="仿宋_GB2312" w:asciiTheme="minorAscii"/>
          <w:kern w:val="0"/>
          <w:sz w:val="28"/>
          <w:szCs w:val="28"/>
          <w:shd w:val="clear" w:fill="FFFFFF"/>
          <w:lang w:val="en-US" w:eastAsia="zh-CN" w:bidi="ar"/>
        </w:rPr>
        <w:t>一、行政单位财务分析指标</w:t>
      </w:r>
      <w:bookmarkEnd w:id="62"/>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1.支出增长率，衡量行政单位支出的增长水平。计算公式为：</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支出增长率＝(本期支出总额÷上期支出总额-1)×100%=</w:t>
      </w:r>
      <w:r>
        <w:rPr>
          <w:rFonts w:hint="eastAsia" w:hAnsi="宋体" w:eastAsia="宋体" w:cs="宋体" w:asciiTheme="minorAscii"/>
          <w:kern w:val="0"/>
          <w:sz w:val="28"/>
          <w:szCs w:val="28"/>
          <w:shd w:val="clear" w:fill="FFFFFF"/>
          <w:lang w:val="en-US" w:eastAsia="zh-CN" w:bidi="ar"/>
        </w:rPr>
        <w:t>27.53%</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2.当年预算支出完成率，衡量行政单位当年支出总预算及分项预算完成的程度。计算公式为：</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当年预算支出完成率＝年终执行数÷调整预算数×100%=</w:t>
      </w:r>
      <w:r>
        <w:rPr>
          <w:rFonts w:hint="eastAsia" w:hAnsi="宋体" w:eastAsia="宋体" w:cs="宋体" w:asciiTheme="minorAscii"/>
          <w:kern w:val="0"/>
          <w:sz w:val="28"/>
          <w:szCs w:val="28"/>
          <w:shd w:val="clear" w:fill="FFFFFF"/>
          <w:lang w:val="en-US" w:eastAsia="zh-CN" w:bidi="ar"/>
        </w:rPr>
        <w:t>81.12%</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3.人均开支，衡量行政单位人均年消耗经费水平。计算公式为：</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人均开支＝本期支出数÷本期平均在职人员数=</w:t>
      </w:r>
      <w:r>
        <w:rPr>
          <w:rFonts w:hint="eastAsia" w:hAnsi="宋体" w:eastAsia="宋体" w:cs="宋体" w:asciiTheme="minorAscii"/>
          <w:kern w:val="0"/>
          <w:sz w:val="28"/>
          <w:szCs w:val="28"/>
          <w:shd w:val="clear" w:fill="FFFFFF"/>
          <w:lang w:val="en-US" w:eastAsia="zh-CN" w:bidi="ar"/>
        </w:rPr>
        <w:t>19.72</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4.项目支出占总支出的比率，衡量行政单位的支出结构。计算公式为：</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项目支出比率=本期项目支出数÷本期支出总数×100%=</w:t>
      </w:r>
      <w:r>
        <w:rPr>
          <w:rFonts w:hint="eastAsia" w:hAnsi="宋体" w:eastAsia="宋体" w:cs="宋体" w:asciiTheme="minorAscii"/>
          <w:kern w:val="0"/>
          <w:sz w:val="28"/>
          <w:szCs w:val="28"/>
          <w:shd w:val="clear" w:fill="FFFFFF"/>
          <w:lang w:val="en-US" w:eastAsia="zh-CN" w:bidi="ar"/>
        </w:rPr>
        <w:t>84.22%</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5.人员支出、公用支出占总支出的比率，衡量行政单位的支出结构。计算公式为：</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人员支出比率=本期人员支出数÷本期支出总数×100%=</w:t>
      </w:r>
      <w:r>
        <w:rPr>
          <w:rFonts w:hint="eastAsia" w:hAnsi="宋体" w:eastAsia="宋体" w:cs="宋体" w:asciiTheme="minorAscii"/>
          <w:kern w:val="0"/>
          <w:sz w:val="28"/>
          <w:szCs w:val="28"/>
          <w:shd w:val="clear" w:fill="FFFFFF"/>
          <w:lang w:val="en-US" w:eastAsia="zh-CN" w:bidi="ar"/>
        </w:rPr>
        <w:t>14.53%</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公用支出比率=本期公用支出数÷本期支出总数×100%=</w:t>
      </w:r>
      <w:r>
        <w:rPr>
          <w:rFonts w:hint="eastAsia" w:hAnsi="宋体" w:eastAsia="宋体" w:cs="宋体" w:asciiTheme="minorAscii"/>
          <w:kern w:val="0"/>
          <w:sz w:val="28"/>
          <w:szCs w:val="28"/>
          <w:shd w:val="clear" w:fill="FFFFFF"/>
          <w:lang w:val="en-US" w:eastAsia="zh-CN" w:bidi="ar"/>
        </w:rPr>
        <w:t>1.25%</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6.人均办公使用面积，衡量行政单位办公用房配备情况。计算公式为：</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人均办公使用面积=本期末单位办公用房使用面积÷本期末在职人员数=0.00</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7.人车比例，衡量行政单位公务用车配备情况。计算公式为：</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人车比例=本期末在职人员数÷本期末公务用车实有数=8.00</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宋体" w:cs="宋体" w:asciiTheme="minorAscii"/>
          <w:kern w:val="0"/>
          <w:sz w:val="28"/>
          <w:szCs w:val="28"/>
          <w:shd w:val="clear" w:fill="FFFFFF"/>
          <w:lang w:val="en-US" w:eastAsia="zh-CN" w:bidi="ar"/>
        </w:rPr>
        <w:t xml:space="preserve"> </w:t>
      </w:r>
    </w:p>
    <w:p>
      <w:pPr>
        <w:pStyle w:val="12"/>
        <w:keepNext w:val="0"/>
        <w:keepLines w:val="0"/>
        <w:widowControl/>
        <w:suppressLineNumbers w:val="0"/>
        <w:snapToGrid w:val="0"/>
        <w:spacing w:before="0" w:beforeAutospacing="0" w:after="0" w:afterAutospacing="1"/>
        <w:ind w:left="0" w:right="0"/>
        <w:jc w:val="left"/>
        <w:outlineLvl w:val="0"/>
        <w:rPr>
          <w:rFonts w:hint="eastAsia" w:hAnsi="宋体" w:eastAsia="宋体" w:cs="宋体" w:asciiTheme="minorAscii"/>
          <w:kern w:val="0"/>
          <w:sz w:val="28"/>
          <w:szCs w:val="28"/>
        </w:rPr>
      </w:pPr>
      <w:bookmarkStart w:id="63" w:name="_Toc14592"/>
      <w:r>
        <w:rPr>
          <w:rFonts w:hint="eastAsia" w:hAnsi="宋体" w:eastAsia="仿宋_GB2312" w:cs="仿宋_GB2312" w:asciiTheme="minorAscii"/>
          <w:kern w:val="0"/>
          <w:sz w:val="28"/>
          <w:szCs w:val="28"/>
          <w:shd w:val="clear" w:fill="FFFFFF"/>
          <w:lang w:val="en-US" w:eastAsia="zh-CN" w:bidi="ar"/>
        </w:rPr>
        <w:t>二、事业单位财务分析指标</w:t>
      </w:r>
      <w:bookmarkEnd w:id="63"/>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1.预算收入和支出完成率，衡量事业单位收入和支出总预算及分项预算完成的程度。计算公式为：</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预算收入完成率＝年终执行数÷调整预算数×100%=</w:t>
      </w:r>
      <w:r>
        <w:rPr>
          <w:rFonts w:hint="eastAsia" w:hAnsi="宋体" w:eastAsia="宋体" w:cs="宋体" w:asciiTheme="minorAscii"/>
          <w:kern w:val="0"/>
          <w:sz w:val="28"/>
          <w:szCs w:val="28"/>
          <w:shd w:val="clear" w:fill="FFFFFF"/>
          <w:lang w:val="en-US" w:eastAsia="zh-CN" w:bidi="ar"/>
        </w:rPr>
        <w:t>100.00%</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预算支出完成率＝年终执行数÷调整预算数×100%=</w:t>
      </w:r>
      <w:r>
        <w:rPr>
          <w:rFonts w:hint="eastAsia" w:hAnsi="宋体" w:eastAsia="宋体" w:cs="宋体" w:asciiTheme="minorAscii"/>
          <w:kern w:val="0"/>
          <w:sz w:val="28"/>
          <w:szCs w:val="28"/>
          <w:shd w:val="clear" w:fill="FFFFFF"/>
          <w:lang w:val="en-US" w:eastAsia="zh-CN" w:bidi="ar"/>
        </w:rPr>
        <w:t>81.12%</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2.人员支出、公用支出占事业支出的比率，衡量事业单位事业支出结构。计算公式为：</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人员支出比率＝人员支出÷事业支出×100%=</w:t>
      </w:r>
      <w:r>
        <w:rPr>
          <w:rFonts w:hint="eastAsia" w:hAnsi="宋体" w:eastAsia="宋体" w:cs="宋体" w:asciiTheme="minorAscii"/>
          <w:kern w:val="0"/>
          <w:sz w:val="28"/>
          <w:szCs w:val="28"/>
          <w:shd w:val="clear" w:fill="FFFFFF"/>
          <w:lang w:val="en-US" w:eastAsia="zh-CN" w:bidi="ar"/>
        </w:rPr>
        <w:t>14.53%</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公用支出比率＝公用支出÷事业支出×100%=</w:t>
      </w:r>
      <w:r>
        <w:rPr>
          <w:rFonts w:hint="eastAsia" w:hAnsi="宋体" w:eastAsia="宋体" w:cs="宋体" w:asciiTheme="minorAscii"/>
          <w:kern w:val="0"/>
          <w:sz w:val="28"/>
          <w:szCs w:val="28"/>
          <w:shd w:val="clear" w:fill="FFFFFF"/>
          <w:lang w:val="en-US" w:eastAsia="zh-CN" w:bidi="ar"/>
        </w:rPr>
        <w:t>1.25%</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3.人均基本支出，衡量事业单位按照实际在编人数平均的基本支出水平。计算公式为：</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人均基本支出＝（基本支出-离退休人员支出）÷实际在编人数=</w:t>
      </w:r>
      <w:r>
        <w:rPr>
          <w:rFonts w:hint="eastAsia" w:hAnsi="宋体" w:eastAsia="宋体" w:cs="宋体" w:asciiTheme="minorAscii"/>
          <w:kern w:val="0"/>
          <w:sz w:val="28"/>
          <w:szCs w:val="28"/>
          <w:shd w:val="clear" w:fill="FFFFFF"/>
          <w:lang w:val="en-US" w:eastAsia="zh-CN" w:bidi="ar"/>
        </w:rPr>
        <w:t>181,610.91</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宋体" w:cs="宋体" w:asciiTheme="minorAscii"/>
          <w:kern w:val="0"/>
          <w:sz w:val="28"/>
          <w:szCs w:val="28"/>
          <w:shd w:val="clear" w:fill="FFFFFF"/>
          <w:lang w:val="en-US" w:eastAsia="zh-CN" w:bidi="ar"/>
        </w:rPr>
        <w:t xml:space="preserve"> </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此外，行业事业单位还可根据相关财务制度规定和分析需要增加相关分析指标，如：</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1.财政拨款依存度, 衡量部门（单位）对财政拨款的依赖程度。</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8"/>
          <w:szCs w:val="28"/>
        </w:rPr>
      </w:pPr>
      <w:r>
        <w:rPr>
          <w:rFonts w:hint="eastAsia" w:hAnsi="宋体" w:eastAsia="仿宋_GB2312" w:cs="仿宋_GB2312" w:asciiTheme="minorAscii"/>
          <w:kern w:val="0"/>
          <w:sz w:val="28"/>
          <w:szCs w:val="28"/>
          <w:shd w:val="clear" w:fill="FFFFFF"/>
          <w:lang w:val="en-US" w:eastAsia="zh-CN" w:bidi="ar"/>
        </w:rPr>
        <w:t>财政拨款依存度＝财政拨款收入÷收入总额×100%=</w:t>
      </w:r>
      <w:r>
        <w:rPr>
          <w:rFonts w:hint="eastAsia" w:hAnsi="宋体" w:eastAsia="宋体" w:cs="宋体" w:asciiTheme="minorAscii"/>
          <w:kern w:val="0"/>
          <w:sz w:val="28"/>
          <w:szCs w:val="28"/>
          <w:shd w:val="clear" w:fill="FFFFFF"/>
          <w:lang w:val="en-US" w:eastAsia="zh-CN" w:bidi="ar"/>
        </w:rPr>
        <w:t>100.00%</w:t>
      </w:r>
    </w:p>
    <w:p>
      <w:pPr>
        <w:pStyle w:val="12"/>
        <w:keepNext w:val="0"/>
        <w:keepLines w:val="0"/>
        <w:widowControl/>
        <w:suppressLineNumbers w:val="0"/>
        <w:snapToGrid w:val="0"/>
        <w:spacing w:before="0" w:beforeAutospacing="0" w:after="0" w:afterAutospacing="1"/>
        <w:ind w:left="0" w:right="0"/>
        <w:jc w:val="left"/>
        <w:rPr>
          <w:rFonts w:hint="eastAsia" w:hAnsi="宋体" w:eastAsia="宋体" w:cs="宋体" w:asciiTheme="minorAscii"/>
          <w:kern w:val="0"/>
          <w:sz w:val="24"/>
          <w:szCs w:val="24"/>
        </w:rPr>
      </w:pPr>
      <w:r>
        <w:rPr>
          <w:rFonts w:hint="eastAsia" w:hAnsi="宋体" w:eastAsia="宋体" w:cs="宋体" w:asciiTheme="minorAscii"/>
          <w:kern w:val="0"/>
          <w:sz w:val="24"/>
          <w:szCs w:val="24"/>
          <w:shd w:val="clear" w:fill="FFFFFF"/>
          <w:lang w:val="en-US" w:eastAsia="zh-CN" w:bidi="ar"/>
        </w:rPr>
        <w:t xml:space="preserve"> </w:t>
      </w:r>
    </w:p>
    <w:p>
      <w:pPr>
        <w:pStyle w:val="2"/>
        <w:rPr>
          <w:rFonts w:hAnsi="黑体" w:eastAsia="黑体" w:asciiTheme="minorAscii"/>
          <w:color w:val="000000"/>
          <w:sz w:val="44"/>
          <w:szCs w:val="44"/>
        </w:rPr>
      </w:pPr>
    </w:p>
    <w:p>
      <w:pPr>
        <w:pStyle w:val="2"/>
        <w:rPr>
          <w:rFonts w:hAnsi="黑体" w:eastAsia="黑体" w:asciiTheme="minorAscii"/>
          <w:color w:val="000000"/>
          <w:sz w:val="44"/>
          <w:szCs w:val="44"/>
        </w:rPr>
      </w:pPr>
    </w:p>
    <w:p>
      <w:pPr>
        <w:pStyle w:val="2"/>
        <w:rPr>
          <w:rFonts w:ascii="黑体" w:hAnsi="黑体" w:eastAsia="黑体"/>
          <w:color w:val="000000"/>
          <w:sz w:val="44"/>
          <w:szCs w:val="44"/>
        </w:rPr>
      </w:pPr>
    </w:p>
    <w:p>
      <w:pPr>
        <w:pStyle w:val="2"/>
        <w:rPr>
          <w:rFonts w:ascii="黑体" w:hAnsi="黑体" w:eastAsia="黑体"/>
          <w:color w:val="000000"/>
          <w:sz w:val="44"/>
          <w:szCs w:val="44"/>
        </w:rPr>
      </w:pPr>
    </w:p>
    <w:p>
      <w:pPr>
        <w:pStyle w:val="2"/>
        <w:rPr>
          <w:rFonts w:ascii="黑体" w:hAnsi="黑体" w:eastAsia="黑体"/>
          <w:color w:val="000000"/>
          <w:sz w:val="44"/>
          <w:szCs w:val="44"/>
        </w:rPr>
      </w:pPr>
    </w:p>
    <w:p>
      <w:pPr>
        <w:pageBreakBefore w:val="0"/>
        <w:widowControl w:val="0"/>
        <w:kinsoku/>
        <w:wordWrap/>
        <w:overflowPunct/>
        <w:topLinePunct w:val="0"/>
        <w:autoSpaceDE/>
        <w:autoSpaceDN/>
        <w:bidi w:val="0"/>
        <w:adjustRightInd/>
        <w:snapToGrid/>
        <w:spacing w:line="560" w:lineRule="exact"/>
        <w:jc w:val="both"/>
        <w:textAlignment w:val="auto"/>
        <w:outlineLvl w:val="0"/>
        <w:rPr>
          <w:rFonts w:ascii="仿宋" w:hAnsi="仿宋" w:eastAsia="仿宋"/>
          <w:b/>
          <w:color w:val="000000"/>
          <w:sz w:val="44"/>
          <w:szCs w:val="44"/>
        </w:rPr>
      </w:pPr>
      <w:bookmarkStart w:id="64" w:name="_Toc14418"/>
      <w:bookmarkStart w:id="65" w:name="_Toc2815"/>
      <w:bookmarkStart w:id="66" w:name="_Toc6989"/>
      <w:bookmarkStart w:id="67" w:name="_Toc32410"/>
      <w:bookmarkStart w:id="68" w:name="_Toc11083"/>
      <w:r>
        <w:rPr>
          <w:rFonts w:hint="eastAsia" w:ascii="黑体" w:hAnsi="黑体" w:eastAsia="黑体"/>
          <w:color w:val="000000"/>
          <w:sz w:val="44"/>
          <w:szCs w:val="44"/>
        </w:rPr>
        <w:t>第</w:t>
      </w:r>
      <w:r>
        <w:rPr>
          <w:rStyle w:val="18"/>
          <w:rFonts w:hint="eastAsia" w:ascii="黑体" w:hAnsi="黑体" w:eastAsia="黑体"/>
          <w:b w:val="0"/>
        </w:rPr>
        <w:t>五部分</w:t>
      </w:r>
      <w:r>
        <w:rPr>
          <w:rStyle w:val="18"/>
          <w:rFonts w:ascii="黑体" w:hAnsi="黑体" w:eastAsia="黑体"/>
          <w:b w:val="0"/>
        </w:rPr>
        <w:t xml:space="preserve"> </w:t>
      </w:r>
      <w:r>
        <w:rPr>
          <w:rStyle w:val="18"/>
          <w:rFonts w:hint="eastAsia" w:ascii="黑体" w:hAnsi="黑体" w:eastAsia="黑体"/>
          <w:b w:val="0"/>
        </w:rPr>
        <w:t>附表</w:t>
      </w:r>
      <w:bookmarkEnd w:id="64"/>
      <w:bookmarkEnd w:id="65"/>
      <w:bookmarkEnd w:id="66"/>
      <w:bookmarkEnd w:id="67"/>
      <w:bookmarkEnd w:id="68"/>
    </w:p>
    <w:p>
      <w:pPr>
        <w:pStyle w:val="4"/>
        <w:pageBreakBefore w:val="0"/>
        <w:widowControl w:val="0"/>
        <w:numPr>
          <w:ilvl w:val="0"/>
          <w:numId w:val="6"/>
        </w:numPr>
        <w:kinsoku/>
        <w:wordWrap/>
        <w:overflowPunct/>
        <w:topLinePunct w:val="0"/>
        <w:autoSpaceDE/>
        <w:autoSpaceDN/>
        <w:bidi w:val="0"/>
        <w:adjustRightInd/>
        <w:snapToGrid/>
        <w:spacing w:line="560" w:lineRule="exact"/>
        <w:textAlignment w:val="auto"/>
        <w:rPr>
          <w:rFonts w:ascii="仿宋" w:hAnsi="仿宋" w:eastAsia="仿宋"/>
          <w:b w:val="0"/>
          <w:color w:val="000000"/>
        </w:rPr>
      </w:pPr>
      <w:bookmarkStart w:id="69" w:name="_Toc1284"/>
      <w:bookmarkStart w:id="70" w:name="_Toc16913"/>
      <w:bookmarkStart w:id="71" w:name="_Toc2159"/>
      <w:bookmarkStart w:id="72" w:name="_Toc16061"/>
      <w:bookmarkStart w:id="73" w:name="_Toc17614"/>
      <w:bookmarkStart w:id="74" w:name="_Toc32532"/>
      <w:bookmarkStart w:id="75" w:name="_Toc15396620"/>
      <w:r>
        <w:rPr>
          <w:rFonts w:hint="eastAsia" w:ascii="仿宋" w:hAnsi="仿宋" w:eastAsia="仿宋"/>
          <w:b w:val="0"/>
          <w:color w:val="000000"/>
        </w:rPr>
        <w:t>收入支出决算总表</w:t>
      </w:r>
      <w:bookmarkEnd w:id="69"/>
      <w:bookmarkEnd w:id="70"/>
      <w:bookmarkEnd w:id="71"/>
      <w:bookmarkEnd w:id="72"/>
      <w:bookmarkEnd w:id="73"/>
      <w:bookmarkEnd w:id="74"/>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76" w:name="_Toc30092"/>
      <w:bookmarkStart w:id="77" w:name="_Toc17705"/>
      <w:bookmarkStart w:id="78" w:name="_Toc26534"/>
      <w:bookmarkStart w:id="79" w:name="_Toc30094"/>
      <w:bookmarkStart w:id="80" w:name="_Toc26133"/>
      <w:bookmarkStart w:id="81" w:name="_Toc16318"/>
      <w:r>
        <w:rPr>
          <w:rFonts w:hint="eastAsia" w:ascii="仿宋" w:hAnsi="仿宋" w:eastAsia="仿宋"/>
          <w:b w:val="0"/>
          <w:color w:val="000000"/>
        </w:rPr>
        <w:t>二、收</w:t>
      </w:r>
      <w:r>
        <w:rPr>
          <w:rStyle w:val="19"/>
          <w:rFonts w:hint="eastAsia" w:ascii="仿宋" w:hAnsi="仿宋" w:eastAsia="仿宋"/>
          <w:b w:val="0"/>
          <w:bCs w:val="0"/>
        </w:rPr>
        <w:t>入总表</w:t>
      </w:r>
      <w:bookmarkEnd w:id="75"/>
      <w:bookmarkEnd w:id="76"/>
      <w:bookmarkEnd w:id="77"/>
      <w:bookmarkEnd w:id="78"/>
      <w:bookmarkEnd w:id="79"/>
      <w:bookmarkEnd w:id="80"/>
      <w:bookmarkEnd w:id="81"/>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82" w:name="_Toc10200"/>
      <w:bookmarkStart w:id="83" w:name="_Toc15396621"/>
      <w:bookmarkStart w:id="84" w:name="_Toc17006"/>
      <w:bookmarkStart w:id="85" w:name="_Toc2293"/>
      <w:bookmarkStart w:id="86" w:name="_Toc20899"/>
      <w:bookmarkStart w:id="87" w:name="_Toc19531"/>
      <w:bookmarkStart w:id="88" w:name="_Toc8171"/>
      <w:r>
        <w:rPr>
          <w:rStyle w:val="19"/>
          <w:rFonts w:hint="eastAsia" w:ascii="仿宋" w:hAnsi="仿宋" w:eastAsia="仿宋"/>
          <w:b w:val="0"/>
          <w:bCs w:val="0"/>
        </w:rPr>
        <w:t>三、</w:t>
      </w:r>
      <w:r>
        <w:rPr>
          <w:rFonts w:hint="eastAsia" w:ascii="仿宋" w:hAnsi="仿宋" w:eastAsia="仿宋"/>
          <w:b w:val="0"/>
          <w:color w:val="000000"/>
        </w:rPr>
        <w:t>支</w:t>
      </w:r>
      <w:r>
        <w:rPr>
          <w:rStyle w:val="19"/>
          <w:rFonts w:hint="eastAsia" w:ascii="仿宋" w:hAnsi="仿宋" w:eastAsia="仿宋"/>
          <w:b w:val="0"/>
          <w:bCs w:val="0"/>
        </w:rPr>
        <w:t>出总表</w:t>
      </w:r>
      <w:bookmarkEnd w:id="82"/>
      <w:bookmarkEnd w:id="83"/>
      <w:bookmarkEnd w:id="84"/>
      <w:bookmarkEnd w:id="85"/>
      <w:bookmarkEnd w:id="86"/>
      <w:bookmarkEnd w:id="87"/>
      <w:bookmarkEnd w:id="88"/>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b w:val="0"/>
          <w:color w:val="000000"/>
        </w:rPr>
      </w:pPr>
      <w:bookmarkStart w:id="89" w:name="_Toc24485"/>
      <w:bookmarkStart w:id="90" w:name="_Toc15396622"/>
      <w:bookmarkStart w:id="91" w:name="_Toc19764"/>
      <w:bookmarkStart w:id="92" w:name="_Toc17407"/>
      <w:bookmarkStart w:id="93" w:name="_Toc2680"/>
      <w:bookmarkStart w:id="94" w:name="_Toc28157"/>
      <w:bookmarkStart w:id="95" w:name="_Toc22067"/>
      <w:r>
        <w:rPr>
          <w:rStyle w:val="19"/>
          <w:rFonts w:hint="eastAsia" w:ascii="仿宋" w:hAnsi="仿宋" w:eastAsia="仿宋"/>
          <w:b w:val="0"/>
          <w:bCs w:val="0"/>
        </w:rPr>
        <w:t>四、</w:t>
      </w:r>
      <w:r>
        <w:rPr>
          <w:rFonts w:hint="eastAsia" w:ascii="仿宋" w:hAnsi="仿宋" w:eastAsia="仿宋"/>
          <w:b w:val="0"/>
          <w:color w:val="000000"/>
        </w:rPr>
        <w:t>财</w:t>
      </w:r>
      <w:r>
        <w:rPr>
          <w:rStyle w:val="19"/>
          <w:rFonts w:hint="eastAsia" w:ascii="仿宋" w:hAnsi="仿宋" w:eastAsia="仿宋"/>
          <w:b w:val="0"/>
          <w:bCs w:val="0"/>
        </w:rPr>
        <w:t>政拨款收入支出决算总表</w:t>
      </w:r>
      <w:bookmarkEnd w:id="89"/>
      <w:bookmarkEnd w:id="90"/>
      <w:bookmarkEnd w:id="91"/>
      <w:bookmarkEnd w:id="92"/>
      <w:bookmarkEnd w:id="93"/>
      <w:bookmarkEnd w:id="94"/>
      <w:bookmarkEnd w:id="95"/>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96" w:name="_Toc15396623"/>
      <w:bookmarkStart w:id="97" w:name="_Toc28759"/>
      <w:bookmarkStart w:id="98" w:name="_Toc26895"/>
      <w:bookmarkStart w:id="99" w:name="_Toc28830"/>
      <w:bookmarkStart w:id="100" w:name="_Toc5738"/>
      <w:bookmarkStart w:id="101" w:name="_Toc18335"/>
      <w:bookmarkStart w:id="102" w:name="_Toc4671"/>
      <w:r>
        <w:rPr>
          <w:rStyle w:val="19"/>
          <w:rFonts w:hint="eastAsia" w:ascii="仿宋" w:hAnsi="仿宋" w:eastAsia="仿宋"/>
          <w:b w:val="0"/>
          <w:bCs w:val="0"/>
        </w:rPr>
        <w:t>五、</w:t>
      </w:r>
      <w:r>
        <w:rPr>
          <w:rFonts w:hint="eastAsia" w:ascii="仿宋" w:hAnsi="仿宋" w:eastAsia="仿宋"/>
          <w:b w:val="0"/>
          <w:color w:val="000000"/>
        </w:rPr>
        <w:t>财</w:t>
      </w:r>
      <w:r>
        <w:rPr>
          <w:rStyle w:val="19"/>
          <w:rFonts w:hint="eastAsia" w:ascii="仿宋" w:hAnsi="仿宋" w:eastAsia="仿宋"/>
          <w:b w:val="0"/>
          <w:bCs w:val="0"/>
        </w:rPr>
        <w:t>政拨款支出决算明细表（政府经济分类科目）</w:t>
      </w:r>
      <w:bookmarkEnd w:id="96"/>
      <w:bookmarkEnd w:id="97"/>
      <w:bookmarkEnd w:id="98"/>
      <w:bookmarkEnd w:id="99"/>
      <w:bookmarkEnd w:id="100"/>
      <w:bookmarkEnd w:id="101"/>
      <w:bookmarkEnd w:id="102"/>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103" w:name="_Toc559"/>
      <w:bookmarkStart w:id="104" w:name="_Toc13848"/>
      <w:bookmarkStart w:id="105" w:name="_Toc21660"/>
      <w:bookmarkStart w:id="106" w:name="_Toc6903"/>
      <w:bookmarkStart w:id="107" w:name="_Toc25921"/>
      <w:bookmarkStart w:id="108" w:name="_Toc11390"/>
      <w:bookmarkStart w:id="109" w:name="_Toc15396624"/>
      <w:r>
        <w:rPr>
          <w:rStyle w:val="19"/>
          <w:rFonts w:hint="eastAsia" w:ascii="仿宋" w:hAnsi="仿宋" w:eastAsia="仿宋"/>
          <w:b w:val="0"/>
          <w:bCs w:val="0"/>
        </w:rPr>
        <w:t>六、</w:t>
      </w:r>
      <w:r>
        <w:rPr>
          <w:rFonts w:hint="eastAsia" w:ascii="仿宋" w:hAnsi="仿宋" w:eastAsia="仿宋"/>
          <w:b w:val="0"/>
          <w:color w:val="000000"/>
        </w:rPr>
        <w:t>一</w:t>
      </w:r>
      <w:r>
        <w:rPr>
          <w:rStyle w:val="19"/>
          <w:rFonts w:hint="eastAsia" w:ascii="仿宋" w:hAnsi="仿宋" w:eastAsia="仿宋"/>
          <w:b w:val="0"/>
          <w:bCs w:val="0"/>
        </w:rPr>
        <w:t>般公共预算财政拨款支出决算表</w:t>
      </w:r>
      <w:bookmarkEnd w:id="103"/>
      <w:bookmarkEnd w:id="104"/>
      <w:bookmarkEnd w:id="105"/>
      <w:bookmarkEnd w:id="106"/>
      <w:bookmarkEnd w:id="107"/>
      <w:bookmarkEnd w:id="108"/>
      <w:bookmarkEnd w:id="109"/>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110" w:name="_Toc21595"/>
      <w:bookmarkStart w:id="111" w:name="_Toc15396625"/>
      <w:bookmarkStart w:id="112" w:name="_Toc13805"/>
      <w:bookmarkStart w:id="113" w:name="_Toc26529"/>
      <w:bookmarkStart w:id="114" w:name="_Toc1965"/>
      <w:bookmarkStart w:id="115" w:name="_Toc7350"/>
      <w:bookmarkStart w:id="116" w:name="_Toc12458"/>
      <w:r>
        <w:rPr>
          <w:rStyle w:val="19"/>
          <w:rFonts w:hint="eastAsia" w:ascii="仿宋" w:hAnsi="仿宋" w:eastAsia="仿宋"/>
          <w:b w:val="0"/>
          <w:bCs w:val="0"/>
        </w:rPr>
        <w:t>七、</w:t>
      </w:r>
      <w:r>
        <w:rPr>
          <w:rFonts w:hint="eastAsia" w:ascii="仿宋" w:hAnsi="仿宋" w:eastAsia="仿宋"/>
          <w:b w:val="0"/>
          <w:color w:val="000000"/>
        </w:rPr>
        <w:t>一</w:t>
      </w:r>
      <w:r>
        <w:rPr>
          <w:rStyle w:val="19"/>
          <w:rFonts w:hint="eastAsia" w:ascii="仿宋" w:hAnsi="仿宋" w:eastAsia="仿宋"/>
          <w:b w:val="0"/>
          <w:bCs w:val="0"/>
        </w:rPr>
        <w:t>般公共预算财政拨款支出决算明细表</w:t>
      </w:r>
      <w:bookmarkEnd w:id="110"/>
      <w:bookmarkEnd w:id="111"/>
      <w:bookmarkEnd w:id="112"/>
      <w:bookmarkEnd w:id="113"/>
      <w:bookmarkEnd w:id="114"/>
      <w:bookmarkEnd w:id="115"/>
      <w:bookmarkEnd w:id="116"/>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117" w:name="_Toc15396626"/>
      <w:bookmarkStart w:id="118" w:name="_Toc20412"/>
      <w:bookmarkStart w:id="119" w:name="_Toc22026"/>
      <w:bookmarkStart w:id="120" w:name="_Toc29192"/>
      <w:bookmarkStart w:id="121" w:name="_Toc20348"/>
      <w:bookmarkStart w:id="122" w:name="_Toc21867"/>
      <w:bookmarkStart w:id="123" w:name="_Toc12599"/>
      <w:r>
        <w:rPr>
          <w:rStyle w:val="19"/>
          <w:rFonts w:hint="eastAsia" w:ascii="仿宋" w:hAnsi="仿宋" w:eastAsia="仿宋"/>
          <w:b w:val="0"/>
          <w:bCs w:val="0"/>
        </w:rPr>
        <w:t>八、</w:t>
      </w:r>
      <w:r>
        <w:rPr>
          <w:rFonts w:hint="eastAsia" w:ascii="仿宋" w:hAnsi="仿宋" w:eastAsia="仿宋"/>
          <w:b w:val="0"/>
          <w:color w:val="000000"/>
        </w:rPr>
        <w:t>一</w:t>
      </w:r>
      <w:r>
        <w:rPr>
          <w:rStyle w:val="19"/>
          <w:rFonts w:hint="eastAsia" w:ascii="仿宋" w:hAnsi="仿宋" w:eastAsia="仿宋"/>
          <w:b w:val="0"/>
          <w:bCs w:val="0"/>
        </w:rPr>
        <w:t>般公共预算财政拨款基本支出决算表</w:t>
      </w:r>
      <w:bookmarkEnd w:id="117"/>
      <w:bookmarkEnd w:id="118"/>
      <w:bookmarkEnd w:id="119"/>
      <w:bookmarkEnd w:id="120"/>
      <w:bookmarkEnd w:id="121"/>
      <w:bookmarkEnd w:id="122"/>
      <w:bookmarkEnd w:id="123"/>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124" w:name="_Toc15396627"/>
      <w:bookmarkStart w:id="125" w:name="_Toc3561"/>
      <w:bookmarkStart w:id="126" w:name="_Toc5913"/>
      <w:bookmarkStart w:id="127" w:name="_Toc20652"/>
      <w:bookmarkStart w:id="128" w:name="_Toc28795"/>
      <w:bookmarkStart w:id="129" w:name="_Toc22544"/>
      <w:bookmarkStart w:id="130" w:name="_Toc31504"/>
      <w:r>
        <w:rPr>
          <w:rStyle w:val="19"/>
          <w:rFonts w:hint="eastAsia" w:ascii="仿宋" w:hAnsi="仿宋" w:eastAsia="仿宋"/>
          <w:b w:val="0"/>
          <w:bCs w:val="0"/>
        </w:rPr>
        <w:t>九、</w:t>
      </w:r>
      <w:r>
        <w:rPr>
          <w:rFonts w:hint="eastAsia" w:ascii="仿宋" w:hAnsi="仿宋" w:eastAsia="仿宋"/>
          <w:b w:val="0"/>
          <w:color w:val="000000"/>
        </w:rPr>
        <w:t>一</w:t>
      </w:r>
      <w:r>
        <w:rPr>
          <w:rStyle w:val="19"/>
          <w:rFonts w:hint="eastAsia" w:ascii="仿宋" w:hAnsi="仿宋" w:eastAsia="仿宋"/>
          <w:b w:val="0"/>
          <w:bCs w:val="0"/>
        </w:rPr>
        <w:t>般公共预算财政拨款项目支出决算表</w:t>
      </w:r>
      <w:bookmarkEnd w:id="124"/>
      <w:bookmarkEnd w:id="125"/>
      <w:bookmarkEnd w:id="126"/>
      <w:bookmarkEnd w:id="127"/>
      <w:bookmarkEnd w:id="128"/>
      <w:bookmarkEnd w:id="129"/>
      <w:bookmarkEnd w:id="130"/>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131" w:name="_Toc15396628"/>
      <w:bookmarkStart w:id="132" w:name="_Toc26736"/>
      <w:bookmarkStart w:id="133" w:name="_Toc30580"/>
      <w:bookmarkStart w:id="134" w:name="_Toc9499"/>
      <w:bookmarkStart w:id="135" w:name="_Toc7662"/>
      <w:bookmarkStart w:id="136" w:name="_Toc12410"/>
      <w:bookmarkStart w:id="137" w:name="_Toc15094"/>
      <w:r>
        <w:rPr>
          <w:rStyle w:val="19"/>
          <w:rFonts w:hint="eastAsia" w:ascii="仿宋" w:hAnsi="仿宋" w:eastAsia="仿宋"/>
          <w:b w:val="0"/>
          <w:bCs w:val="0"/>
        </w:rPr>
        <w:t>十、</w:t>
      </w:r>
      <w:r>
        <w:rPr>
          <w:rFonts w:hint="eastAsia" w:ascii="仿宋" w:hAnsi="仿宋" w:eastAsia="仿宋"/>
          <w:b w:val="0"/>
          <w:color w:val="000000"/>
        </w:rPr>
        <w:t>一</w:t>
      </w:r>
      <w:r>
        <w:rPr>
          <w:rStyle w:val="19"/>
          <w:rFonts w:hint="eastAsia" w:ascii="仿宋" w:hAnsi="仿宋" w:eastAsia="仿宋"/>
          <w:b w:val="0"/>
          <w:bCs w:val="0"/>
        </w:rPr>
        <w:t>般公共预算财政拨款“三公”经费支出决算表</w:t>
      </w:r>
      <w:bookmarkEnd w:id="131"/>
      <w:bookmarkEnd w:id="132"/>
      <w:bookmarkEnd w:id="133"/>
      <w:bookmarkEnd w:id="134"/>
      <w:bookmarkEnd w:id="135"/>
      <w:bookmarkEnd w:id="136"/>
      <w:bookmarkEnd w:id="137"/>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138" w:name="_Toc10093"/>
      <w:bookmarkStart w:id="139" w:name="_Toc18106"/>
      <w:bookmarkStart w:id="140" w:name="_Toc5986"/>
      <w:bookmarkStart w:id="141" w:name="_Toc6933"/>
      <w:bookmarkStart w:id="142" w:name="_Toc15396629"/>
      <w:bookmarkStart w:id="143" w:name="_Toc2115"/>
      <w:bookmarkStart w:id="144" w:name="_Toc22816"/>
      <w:r>
        <w:rPr>
          <w:rStyle w:val="19"/>
          <w:rFonts w:hint="eastAsia" w:ascii="仿宋" w:hAnsi="仿宋" w:eastAsia="仿宋"/>
          <w:b w:val="0"/>
          <w:bCs w:val="0"/>
        </w:rPr>
        <w:t>十一、</w:t>
      </w:r>
      <w:r>
        <w:rPr>
          <w:rFonts w:hint="eastAsia" w:ascii="仿宋" w:hAnsi="仿宋" w:eastAsia="仿宋"/>
          <w:b w:val="0"/>
          <w:color w:val="000000"/>
        </w:rPr>
        <w:t>政</w:t>
      </w:r>
      <w:r>
        <w:rPr>
          <w:rStyle w:val="19"/>
          <w:rFonts w:hint="eastAsia" w:ascii="仿宋" w:hAnsi="仿宋" w:eastAsia="仿宋"/>
          <w:b w:val="0"/>
          <w:bCs w:val="0"/>
        </w:rPr>
        <w:t>府性基金预算财政拨款收入支出决算表</w:t>
      </w:r>
      <w:bookmarkEnd w:id="138"/>
      <w:bookmarkEnd w:id="139"/>
      <w:bookmarkEnd w:id="140"/>
      <w:bookmarkEnd w:id="141"/>
      <w:bookmarkEnd w:id="142"/>
      <w:bookmarkEnd w:id="143"/>
      <w:bookmarkEnd w:id="144"/>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145" w:name="_Toc15396630"/>
      <w:bookmarkStart w:id="146" w:name="_Toc12046"/>
      <w:bookmarkStart w:id="147" w:name="_Toc4560"/>
      <w:bookmarkStart w:id="148" w:name="_Toc28941"/>
      <w:bookmarkStart w:id="149" w:name="_Toc20571"/>
      <w:bookmarkStart w:id="150" w:name="_Toc141"/>
      <w:bookmarkStart w:id="151" w:name="_Toc641"/>
      <w:r>
        <w:rPr>
          <w:rStyle w:val="19"/>
          <w:rFonts w:hint="eastAsia" w:ascii="仿宋" w:hAnsi="仿宋" w:eastAsia="仿宋"/>
          <w:b w:val="0"/>
          <w:bCs w:val="0"/>
        </w:rPr>
        <w:t>十二、</w:t>
      </w:r>
      <w:r>
        <w:rPr>
          <w:rFonts w:hint="eastAsia" w:ascii="仿宋" w:hAnsi="仿宋" w:eastAsia="仿宋"/>
          <w:b w:val="0"/>
          <w:color w:val="000000"/>
        </w:rPr>
        <w:t>政</w:t>
      </w:r>
      <w:r>
        <w:rPr>
          <w:rStyle w:val="19"/>
          <w:rFonts w:hint="eastAsia" w:ascii="仿宋" w:hAnsi="仿宋" w:eastAsia="仿宋"/>
          <w:b w:val="0"/>
          <w:bCs w:val="0"/>
        </w:rPr>
        <w:t>府性基金预算财政拨款“三公”经费支出决算表</w:t>
      </w:r>
      <w:bookmarkEnd w:id="145"/>
      <w:bookmarkEnd w:id="146"/>
      <w:bookmarkEnd w:id="147"/>
      <w:bookmarkEnd w:id="148"/>
      <w:bookmarkEnd w:id="149"/>
      <w:bookmarkEnd w:id="150"/>
      <w:bookmarkEnd w:id="151"/>
    </w:p>
    <w:p>
      <w:pPr>
        <w:pStyle w:val="4"/>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000000"/>
        </w:rPr>
      </w:pPr>
      <w:bookmarkStart w:id="152" w:name="_Toc15396631"/>
      <w:bookmarkStart w:id="153" w:name="_Toc13226"/>
      <w:bookmarkStart w:id="154" w:name="_Toc10495"/>
      <w:bookmarkStart w:id="155" w:name="_Toc3427"/>
      <w:bookmarkStart w:id="156" w:name="_Toc12660"/>
      <w:bookmarkStart w:id="157" w:name="_Toc31086"/>
      <w:bookmarkStart w:id="158" w:name="_Toc9998"/>
      <w:r>
        <w:rPr>
          <w:rStyle w:val="19"/>
          <w:rFonts w:hint="eastAsia" w:ascii="仿宋" w:hAnsi="仿宋" w:eastAsia="仿宋"/>
          <w:b w:val="0"/>
          <w:bCs w:val="0"/>
        </w:rPr>
        <w:t>十三、</w:t>
      </w:r>
      <w:r>
        <w:rPr>
          <w:rFonts w:hint="eastAsia" w:ascii="仿宋" w:hAnsi="仿宋" w:eastAsia="仿宋"/>
          <w:b w:val="0"/>
          <w:color w:val="000000"/>
        </w:rPr>
        <w:t>国</w:t>
      </w:r>
      <w:r>
        <w:rPr>
          <w:rStyle w:val="19"/>
          <w:rFonts w:hint="eastAsia" w:ascii="仿宋" w:hAnsi="仿宋" w:eastAsia="仿宋"/>
          <w:b w:val="0"/>
          <w:bCs w:val="0"/>
        </w:rPr>
        <w:t>有资本经营预算支出决算表</w:t>
      </w:r>
      <w:bookmarkEnd w:id="152"/>
      <w:bookmarkEnd w:id="153"/>
      <w:bookmarkEnd w:id="154"/>
      <w:bookmarkEnd w:id="155"/>
      <w:bookmarkEnd w:id="156"/>
      <w:bookmarkEnd w:id="157"/>
      <w:bookmarkEnd w:id="158"/>
    </w:p>
    <w:p>
      <w:pPr>
        <w:pStyle w:val="28"/>
        <w:spacing w:line="560" w:lineRule="exact"/>
        <w:ind w:firstLine="640" w:firstLineChars="200"/>
        <w:rPr>
          <w:rFonts w:ascii="仿宋_GB2312" w:eastAsia="仿宋_GB2312"/>
          <w:sz w:val="32"/>
          <w:szCs w:val="32"/>
        </w:rPr>
      </w:pPr>
    </w:p>
    <w:p/>
    <w:sectPr>
      <w:headerReference r:id="rId5" w:type="default"/>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Himalaya">
    <w:panose1 w:val="01010100010101010101"/>
    <w:charset w:val="00"/>
    <w:family w:val="auto"/>
    <w:pitch w:val="default"/>
    <w:sig w:usb0="80000003" w:usb1="00010000" w:usb2="0000004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JhKX8c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ptKI7dcYsDv/z8cfn15/L7O1lm&#10;efoANWbdB8xLwzs/4NLMfkBnZj2oaPMX+RCMo7jnq7hySETkR+vVel1hSGBsviA+e3geIqT30luS&#10;jYZGnF4RlZ8+QhpT55Rczfk7bUyZoHH/OBAze1jufewxW2nYDxOhvW/PyKfHwTfU4Z5TYj441DXv&#10;yGzE2djPxjFEfejKEuV6EG6PCZsoveUKI+xUGCdW2E3blVfi8b1kPfxR2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3JhKX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8uCFsgBAACa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koieMWJ37++eP86/H88J28&#10;yfr0AWpMuwuYmIb3fsDc2Q/ozLQHFW3+IiGCcYQ6XdSVQyIiP1otV6sKQwJj8wXx2dPzECF9kN6S&#10;bDQ04viKqvz4CdKYOqfkas7famPKCI37y4GY2cNy72OP2UrDbpgI7Xx7Qj49Tr6hDhedEvPRobDY&#10;X5qNOBu72TiEqPdd2aJcD8K7Q8ImSm+5wgg7FcaRFXbTeuWd+PNesp5+qc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GfLghbIAQAAmgMAAA4AAAAAAAAAAQAgAAAAHgEAAGRycy9lMm9Eb2Mu&#10;eG1sUEsFBgAAAAAGAAYAWQEAAFgFA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55BB6"/>
    <w:multiLevelType w:val="multilevel"/>
    <w:tmpl w:val="88C55BB6"/>
    <w:lvl w:ilvl="0" w:tentative="0">
      <w:start w:val="6"/>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BF1EB187"/>
    <w:multiLevelType w:val="multilevel"/>
    <w:tmpl w:val="BF1EB187"/>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F7D1F1FB"/>
    <w:multiLevelType w:val="multilevel"/>
    <w:tmpl w:val="F7D1F1FB"/>
    <w:lvl w:ilvl="0" w:tentative="0">
      <w:start w:val="2"/>
      <w:numFmt w:val="chineseCounting"/>
      <w:suff w:val="nothing"/>
      <w:lvlText w:val="（%1）"/>
      <w:lvlJc w:val="left"/>
      <w:pPr>
        <w:ind w:left="0" w:firstLine="0"/>
      </w:pPr>
      <w:rPr>
        <w:rFonts w:hint="eastAsia" w:ascii="宋体" w:hAnsi="宋体" w:eastAsia="宋体"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3E001672"/>
    <w:multiLevelType w:val="multilevel"/>
    <w:tmpl w:val="3E001672"/>
    <w:lvl w:ilvl="0" w:tentative="0">
      <w:start w:val="3"/>
      <w:numFmt w:val="chineseCounting"/>
      <w:suff w:val="space"/>
      <w:lvlText w:val="第%1部分"/>
      <w:lvlJc w:val="left"/>
      <w:pPr>
        <w:ind w:left="0" w:firstLine="0"/>
      </w:pPr>
      <w:rPr>
        <w:rFonts w:hint="eastAsia" w:ascii="宋体" w:hAnsi="宋体" w:eastAsia="宋体"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4">
    <w:nsid w:val="5531B372"/>
    <w:multiLevelType w:val="multilevel"/>
    <w:tmpl w:val="5531B372"/>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5">
    <w:nsid w:val="5D5382B5"/>
    <w:multiLevelType w:val="singleLevel"/>
    <w:tmpl w:val="5D5382B5"/>
    <w:lvl w:ilvl="0" w:tentative="0">
      <w:start w:val="1"/>
      <w:numFmt w:val="chineseCounting"/>
      <w:suff w:val="nothing"/>
      <w:lvlText w:val="%1、"/>
      <w:lvlJc w:val="left"/>
      <w:rPr>
        <w:rFonts w:cs="Times New Roman"/>
      </w:r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05E33"/>
    <w:rsid w:val="0021101A"/>
    <w:rsid w:val="00220536"/>
    <w:rsid w:val="00235629"/>
    <w:rsid w:val="00260C38"/>
    <w:rsid w:val="002616C0"/>
    <w:rsid w:val="00265372"/>
    <w:rsid w:val="002662AA"/>
    <w:rsid w:val="00280496"/>
    <w:rsid w:val="00294DC9"/>
    <w:rsid w:val="00295495"/>
    <w:rsid w:val="002A31DE"/>
    <w:rsid w:val="002B2613"/>
    <w:rsid w:val="002D19B0"/>
    <w:rsid w:val="002D6D05"/>
    <w:rsid w:val="002F1818"/>
    <w:rsid w:val="002F567B"/>
    <w:rsid w:val="003216A9"/>
    <w:rsid w:val="00335A74"/>
    <w:rsid w:val="0036561B"/>
    <w:rsid w:val="0037013F"/>
    <w:rsid w:val="00380C92"/>
    <w:rsid w:val="003A3D89"/>
    <w:rsid w:val="003A484F"/>
    <w:rsid w:val="003A4883"/>
    <w:rsid w:val="003B0BE0"/>
    <w:rsid w:val="003B0C1B"/>
    <w:rsid w:val="003B688C"/>
    <w:rsid w:val="003C0291"/>
    <w:rsid w:val="003C39AE"/>
    <w:rsid w:val="003C7B60"/>
    <w:rsid w:val="003D0C0F"/>
    <w:rsid w:val="003D1FB2"/>
    <w:rsid w:val="003D66DA"/>
    <w:rsid w:val="003E1310"/>
    <w:rsid w:val="003E6F55"/>
    <w:rsid w:val="003F6619"/>
    <w:rsid w:val="00406254"/>
    <w:rsid w:val="00416CD4"/>
    <w:rsid w:val="004223DE"/>
    <w:rsid w:val="00434489"/>
    <w:rsid w:val="00437085"/>
    <w:rsid w:val="00443880"/>
    <w:rsid w:val="004464F4"/>
    <w:rsid w:val="00471401"/>
    <w:rsid w:val="00473F31"/>
    <w:rsid w:val="00477263"/>
    <w:rsid w:val="0048263A"/>
    <w:rsid w:val="00487E5D"/>
    <w:rsid w:val="004A711F"/>
    <w:rsid w:val="004B199D"/>
    <w:rsid w:val="004B4690"/>
    <w:rsid w:val="004E0A2D"/>
    <w:rsid w:val="004E1712"/>
    <w:rsid w:val="004E206B"/>
    <w:rsid w:val="004E6B26"/>
    <w:rsid w:val="004E6DF7"/>
    <w:rsid w:val="004F0FBD"/>
    <w:rsid w:val="004F403E"/>
    <w:rsid w:val="00505A47"/>
    <w:rsid w:val="00512FDA"/>
    <w:rsid w:val="00520DA0"/>
    <w:rsid w:val="005664BB"/>
    <w:rsid w:val="00566FFA"/>
    <w:rsid w:val="0057481D"/>
    <w:rsid w:val="00575F0B"/>
    <w:rsid w:val="0058486E"/>
    <w:rsid w:val="00585B33"/>
    <w:rsid w:val="0059014D"/>
    <w:rsid w:val="005B5C64"/>
    <w:rsid w:val="005C6BD0"/>
    <w:rsid w:val="005C6C4C"/>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27533"/>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F1991"/>
    <w:rsid w:val="007F2C2F"/>
    <w:rsid w:val="007F55FC"/>
    <w:rsid w:val="007F5665"/>
    <w:rsid w:val="00800112"/>
    <w:rsid w:val="00813348"/>
    <w:rsid w:val="008253BB"/>
    <w:rsid w:val="00833962"/>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E98"/>
    <w:rsid w:val="009C37FB"/>
    <w:rsid w:val="009D3447"/>
    <w:rsid w:val="009D4711"/>
    <w:rsid w:val="009F1185"/>
    <w:rsid w:val="009F18CD"/>
    <w:rsid w:val="009F2A13"/>
    <w:rsid w:val="009F7527"/>
    <w:rsid w:val="00A039ED"/>
    <w:rsid w:val="00A04EB0"/>
    <w:rsid w:val="00A13CC1"/>
    <w:rsid w:val="00A16847"/>
    <w:rsid w:val="00A237D8"/>
    <w:rsid w:val="00A268C4"/>
    <w:rsid w:val="00A307CD"/>
    <w:rsid w:val="00A331C8"/>
    <w:rsid w:val="00A35117"/>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0F83"/>
    <w:rsid w:val="00AD5620"/>
    <w:rsid w:val="00AD656B"/>
    <w:rsid w:val="00AD7C1B"/>
    <w:rsid w:val="00AE16BA"/>
    <w:rsid w:val="00AE1EBE"/>
    <w:rsid w:val="00AF37A0"/>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0E69"/>
    <w:rsid w:val="00C33E72"/>
    <w:rsid w:val="00C354B2"/>
    <w:rsid w:val="00C35554"/>
    <w:rsid w:val="00C42709"/>
    <w:rsid w:val="00C533CC"/>
    <w:rsid w:val="00C5751C"/>
    <w:rsid w:val="00C61BFC"/>
    <w:rsid w:val="00C62B85"/>
    <w:rsid w:val="00C65438"/>
    <w:rsid w:val="00C91CBB"/>
    <w:rsid w:val="00CB4E70"/>
    <w:rsid w:val="00CC09B6"/>
    <w:rsid w:val="00CC666F"/>
    <w:rsid w:val="00CD1E3F"/>
    <w:rsid w:val="00CE44F6"/>
    <w:rsid w:val="00CE49DA"/>
    <w:rsid w:val="00CE7B61"/>
    <w:rsid w:val="00D00095"/>
    <w:rsid w:val="00D114F0"/>
    <w:rsid w:val="00D179F5"/>
    <w:rsid w:val="00D20620"/>
    <w:rsid w:val="00D2207C"/>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DF7548"/>
    <w:rsid w:val="00E01053"/>
    <w:rsid w:val="00E07ACF"/>
    <w:rsid w:val="00E331A1"/>
    <w:rsid w:val="00E33202"/>
    <w:rsid w:val="00E336A9"/>
    <w:rsid w:val="00E472B1"/>
    <w:rsid w:val="00E50624"/>
    <w:rsid w:val="00E568DF"/>
    <w:rsid w:val="00E64269"/>
    <w:rsid w:val="00E66797"/>
    <w:rsid w:val="00E82267"/>
    <w:rsid w:val="00E853CE"/>
    <w:rsid w:val="00E867B6"/>
    <w:rsid w:val="00E87F08"/>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3B772E"/>
    <w:rsid w:val="01A418FB"/>
    <w:rsid w:val="041F6892"/>
    <w:rsid w:val="04487592"/>
    <w:rsid w:val="050D66DD"/>
    <w:rsid w:val="068312D2"/>
    <w:rsid w:val="089E30EF"/>
    <w:rsid w:val="09F27E50"/>
    <w:rsid w:val="0B0F6F67"/>
    <w:rsid w:val="0BA16CB7"/>
    <w:rsid w:val="0BDB7ADF"/>
    <w:rsid w:val="0C565B8D"/>
    <w:rsid w:val="0CC67273"/>
    <w:rsid w:val="0FB467E7"/>
    <w:rsid w:val="101F1C03"/>
    <w:rsid w:val="10C055FF"/>
    <w:rsid w:val="10FC520E"/>
    <w:rsid w:val="13383EE4"/>
    <w:rsid w:val="13707884"/>
    <w:rsid w:val="14800355"/>
    <w:rsid w:val="157A15E6"/>
    <w:rsid w:val="16BB723D"/>
    <w:rsid w:val="16FF2A43"/>
    <w:rsid w:val="185022BE"/>
    <w:rsid w:val="19E71283"/>
    <w:rsid w:val="1A881B74"/>
    <w:rsid w:val="1CE96B5B"/>
    <w:rsid w:val="1F8720D6"/>
    <w:rsid w:val="22CA4710"/>
    <w:rsid w:val="23672A6B"/>
    <w:rsid w:val="23FB4F4A"/>
    <w:rsid w:val="240371BF"/>
    <w:rsid w:val="270F2795"/>
    <w:rsid w:val="282E16E9"/>
    <w:rsid w:val="287C77CE"/>
    <w:rsid w:val="291014E7"/>
    <w:rsid w:val="29DC2018"/>
    <w:rsid w:val="29FD04D3"/>
    <w:rsid w:val="2A61095E"/>
    <w:rsid w:val="2C0179D2"/>
    <w:rsid w:val="2F560D22"/>
    <w:rsid w:val="2FD50872"/>
    <w:rsid w:val="319F7F4E"/>
    <w:rsid w:val="31F435D4"/>
    <w:rsid w:val="321943C3"/>
    <w:rsid w:val="34C43533"/>
    <w:rsid w:val="352A7952"/>
    <w:rsid w:val="35791632"/>
    <w:rsid w:val="35B8353C"/>
    <w:rsid w:val="39E879BC"/>
    <w:rsid w:val="3A741459"/>
    <w:rsid w:val="3AC06003"/>
    <w:rsid w:val="3BA41335"/>
    <w:rsid w:val="3CCB7C44"/>
    <w:rsid w:val="3D4D76E8"/>
    <w:rsid w:val="3ECB7E96"/>
    <w:rsid w:val="3F620B80"/>
    <w:rsid w:val="4165770B"/>
    <w:rsid w:val="429648CD"/>
    <w:rsid w:val="430112B1"/>
    <w:rsid w:val="43181F7E"/>
    <w:rsid w:val="444F48C0"/>
    <w:rsid w:val="45B26E03"/>
    <w:rsid w:val="463706F7"/>
    <w:rsid w:val="46ED5F82"/>
    <w:rsid w:val="48FA1FEA"/>
    <w:rsid w:val="48FF751C"/>
    <w:rsid w:val="49DB48C6"/>
    <w:rsid w:val="4B1931D8"/>
    <w:rsid w:val="4BC31212"/>
    <w:rsid w:val="4BFA5E12"/>
    <w:rsid w:val="4C640A47"/>
    <w:rsid w:val="4DF42660"/>
    <w:rsid w:val="4E607808"/>
    <w:rsid w:val="4E8047E7"/>
    <w:rsid w:val="4ECE2238"/>
    <w:rsid w:val="4F52538A"/>
    <w:rsid w:val="510D0DC7"/>
    <w:rsid w:val="521A6FFF"/>
    <w:rsid w:val="52926E35"/>
    <w:rsid w:val="52AE7F82"/>
    <w:rsid w:val="548F37E1"/>
    <w:rsid w:val="558E7A41"/>
    <w:rsid w:val="560F0220"/>
    <w:rsid w:val="57341E13"/>
    <w:rsid w:val="57A70DE1"/>
    <w:rsid w:val="58121C57"/>
    <w:rsid w:val="598364C1"/>
    <w:rsid w:val="59FE1129"/>
    <w:rsid w:val="5AAE3E23"/>
    <w:rsid w:val="5AF70BB6"/>
    <w:rsid w:val="5CCA134E"/>
    <w:rsid w:val="5E755839"/>
    <w:rsid w:val="5F0E79E0"/>
    <w:rsid w:val="5F7964D1"/>
    <w:rsid w:val="60DB1074"/>
    <w:rsid w:val="6106459B"/>
    <w:rsid w:val="610B5EF0"/>
    <w:rsid w:val="620E18EB"/>
    <w:rsid w:val="63781502"/>
    <w:rsid w:val="67345972"/>
    <w:rsid w:val="67E66072"/>
    <w:rsid w:val="6956067F"/>
    <w:rsid w:val="69B50205"/>
    <w:rsid w:val="69C451A1"/>
    <w:rsid w:val="6F5C1AD9"/>
    <w:rsid w:val="70166F92"/>
    <w:rsid w:val="701B0A6D"/>
    <w:rsid w:val="70435685"/>
    <w:rsid w:val="70D358C4"/>
    <w:rsid w:val="71D24C4B"/>
    <w:rsid w:val="723229A4"/>
    <w:rsid w:val="72734D90"/>
    <w:rsid w:val="72CC0B46"/>
    <w:rsid w:val="749D71A8"/>
    <w:rsid w:val="75A55ACC"/>
    <w:rsid w:val="77C23334"/>
    <w:rsid w:val="78E6263B"/>
    <w:rsid w:val="7A1D3A4B"/>
    <w:rsid w:val="7B743AB2"/>
    <w:rsid w:val="7D342A7B"/>
    <w:rsid w:val="7D950046"/>
    <w:rsid w:val="7DB67FB8"/>
    <w:rsid w:val="7E0D6B1E"/>
    <w:rsid w:val="7EB90959"/>
    <w:rsid w:val="7F8A0CD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31"/>
    <w:qFormat/>
    <w:uiPriority w:val="99"/>
    <w:pPr>
      <w:keepNext/>
      <w:keepLines/>
      <w:spacing w:before="260" w:after="260" w:line="416" w:lineRule="auto"/>
      <w:outlineLvl w:val="1"/>
    </w:pPr>
    <w:rPr>
      <w:rFonts w:ascii="Cambria" w:hAnsi="Cambria" w:cs="Microsoft Himalaya"/>
      <w:b/>
      <w:bCs/>
      <w:sz w:val="32"/>
      <w:szCs w:val="32"/>
    </w:rPr>
  </w:style>
  <w:style w:type="paragraph" w:styleId="5">
    <w:name w:val="heading 3"/>
    <w:basedOn w:val="1"/>
    <w:next w:val="1"/>
    <w:link w:val="20"/>
    <w:qFormat/>
    <w:uiPriority w:val="99"/>
    <w:pPr>
      <w:keepNext/>
      <w:keepLines/>
      <w:spacing w:before="260" w:after="260" w:line="416" w:lineRule="auto"/>
      <w:outlineLvl w:val="2"/>
    </w:pPr>
    <w:rPr>
      <w:b/>
      <w:bCs/>
      <w:sz w:val="32"/>
      <w:szCs w:val="32"/>
    </w:rPr>
  </w:style>
  <w:style w:type="character" w:default="1" w:styleId="15">
    <w:name w:val="Default Paragraph Font"/>
    <w:semiHidden/>
    <w:qFormat/>
    <w:uiPriority w:val="99"/>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26"/>
    <w:qFormat/>
    <w:uiPriority w:val="99"/>
    <w:pPr>
      <w:tabs>
        <w:tab w:val="center" w:pos="4153"/>
        <w:tab w:val="right" w:pos="8306"/>
      </w:tabs>
      <w:snapToGrid w:val="0"/>
      <w:jc w:val="left"/>
    </w:pPr>
    <w:rPr>
      <w:rFonts w:cs="Arial Unicode MS"/>
      <w:kern w:val="0"/>
      <w:sz w:val="18"/>
      <w:szCs w:val="20"/>
      <w:lang w:bidi="bo-CN"/>
    </w:rPr>
  </w:style>
  <w:style w:type="paragraph" w:styleId="6">
    <w:name w:val="Body Text"/>
    <w:basedOn w:val="1"/>
    <w:link w:val="27"/>
    <w:qFormat/>
    <w:uiPriority w:val="99"/>
    <w:pPr>
      <w:spacing w:beforeLines="30"/>
    </w:pPr>
    <w:rPr>
      <w:rFonts w:ascii="仿宋_GB2312" w:eastAsia="仿宋_GB2312" w:cs="Arial Unicode MS"/>
      <w:kern w:val="0"/>
      <w:sz w:val="24"/>
      <w:szCs w:val="20"/>
      <w:lang w:bidi="bo-CN"/>
    </w:rPr>
  </w:style>
  <w:style w:type="paragraph" w:styleId="7">
    <w:name w:val="toc 3"/>
    <w:basedOn w:val="1"/>
    <w:next w:val="1"/>
    <w:qFormat/>
    <w:uiPriority w:val="99"/>
    <w:pPr>
      <w:tabs>
        <w:tab w:val="right" w:leader="dot" w:pos="8296"/>
      </w:tabs>
      <w:ind w:left="840" w:leftChars="400"/>
    </w:pPr>
  </w:style>
  <w:style w:type="paragraph" w:styleId="8">
    <w:name w:val="Balloon Text"/>
    <w:basedOn w:val="1"/>
    <w:link w:val="23"/>
    <w:qFormat/>
    <w:uiPriority w:val="99"/>
    <w:rPr>
      <w:sz w:val="18"/>
      <w:szCs w:val="18"/>
    </w:rPr>
  </w:style>
  <w:style w:type="paragraph" w:styleId="9">
    <w:name w:val="header"/>
    <w:basedOn w:val="1"/>
    <w:link w:val="25"/>
    <w:semiHidden/>
    <w:qFormat/>
    <w:uiPriority w:val="99"/>
    <w:pPr>
      <w:pBdr>
        <w:bottom w:val="single" w:color="auto" w:sz="6" w:space="1"/>
      </w:pBdr>
      <w:tabs>
        <w:tab w:val="center" w:pos="4153"/>
        <w:tab w:val="right" w:pos="8306"/>
      </w:tabs>
      <w:snapToGrid w:val="0"/>
      <w:jc w:val="center"/>
    </w:pPr>
    <w:rPr>
      <w:rFonts w:cs="Arial Unicode MS"/>
      <w:kern w:val="0"/>
      <w:sz w:val="18"/>
      <w:szCs w:val="20"/>
      <w:lang w:bidi="bo-CN"/>
    </w:rPr>
  </w:style>
  <w:style w:type="paragraph" w:styleId="10">
    <w:name w:val="toc 1"/>
    <w:basedOn w:val="1"/>
    <w:next w:val="1"/>
    <w:qFormat/>
    <w:uiPriority w:val="99"/>
    <w:pPr>
      <w:tabs>
        <w:tab w:val="right" w:leader="dot" w:pos="8296"/>
      </w:tabs>
      <w:spacing w:before="93"/>
      <w:jc w:val="center"/>
    </w:pPr>
    <w:rPr>
      <w:rFonts w:ascii="仿宋" w:hAnsi="仿宋" w:eastAsia="仿宋"/>
      <w:sz w:val="28"/>
      <w:szCs w:val="28"/>
    </w:rPr>
  </w:style>
  <w:style w:type="paragraph" w:styleId="11">
    <w:name w:val="toc 2"/>
    <w:basedOn w:val="1"/>
    <w:next w:val="1"/>
    <w:qFormat/>
    <w:uiPriority w:val="99"/>
    <w:pPr>
      <w:tabs>
        <w:tab w:val="right" w:leader="dot" w:pos="8296"/>
      </w:tabs>
      <w:ind w:left="420" w:leftChars="200"/>
    </w:pPr>
  </w:style>
  <w:style w:type="paragraph" w:styleId="12">
    <w:name w:val="Normal (Web)"/>
    <w:basedOn w:val="1"/>
    <w:semiHidden/>
    <w:qFormat/>
    <w:uiPriority w:val="99"/>
    <w:pPr>
      <w:spacing w:beforeAutospacing="1" w:afterAutospacing="1"/>
      <w:jc w:val="left"/>
    </w:pPr>
    <w:rPr>
      <w:rFonts w:cs="Arial Unicode MS"/>
      <w:kern w:val="0"/>
      <w:sz w:val="24"/>
      <w:lang w:bidi="bo-CN"/>
    </w:rPr>
  </w:style>
  <w:style w:type="table" w:styleId="14">
    <w:name w:val="Table Grid"/>
    <w:basedOn w:val="13"/>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99"/>
    <w:rPr>
      <w:rFonts w:cs="Times New Roman"/>
      <w:b/>
    </w:rPr>
  </w:style>
  <w:style w:type="character" w:styleId="17">
    <w:name w:val="Hyperlink"/>
    <w:basedOn w:val="15"/>
    <w:qFormat/>
    <w:uiPriority w:val="99"/>
    <w:rPr>
      <w:rFonts w:cs="Times New Roman"/>
      <w:color w:val="0000FF"/>
      <w:u w:val="single"/>
    </w:rPr>
  </w:style>
  <w:style w:type="character" w:customStyle="1" w:styleId="18">
    <w:name w:val="Heading 1 Char"/>
    <w:basedOn w:val="15"/>
    <w:link w:val="3"/>
    <w:qFormat/>
    <w:locked/>
    <w:uiPriority w:val="99"/>
    <w:rPr>
      <w:rFonts w:ascii="Times New Roman" w:hAnsi="Times New Roman" w:cs="Times New Roman"/>
      <w:b/>
      <w:bCs/>
      <w:kern w:val="44"/>
      <w:sz w:val="44"/>
      <w:szCs w:val="44"/>
    </w:rPr>
  </w:style>
  <w:style w:type="character" w:customStyle="1" w:styleId="19">
    <w:name w:val="Heading 2 Char"/>
    <w:basedOn w:val="15"/>
    <w:link w:val="4"/>
    <w:qFormat/>
    <w:locked/>
    <w:uiPriority w:val="99"/>
    <w:rPr>
      <w:rFonts w:ascii="Cambria" w:hAnsi="Cambria" w:eastAsia="宋体" w:cs="Times New Roman"/>
      <w:b/>
      <w:bCs/>
      <w:kern w:val="2"/>
      <w:sz w:val="32"/>
      <w:szCs w:val="32"/>
    </w:rPr>
  </w:style>
  <w:style w:type="character" w:customStyle="1" w:styleId="20">
    <w:name w:val="Heading 3 Char"/>
    <w:basedOn w:val="15"/>
    <w:link w:val="5"/>
    <w:qFormat/>
    <w:locked/>
    <w:uiPriority w:val="99"/>
    <w:rPr>
      <w:rFonts w:ascii="Times New Roman" w:hAnsi="Times New Roman" w:cs="Times New Roman"/>
      <w:b/>
      <w:bCs/>
      <w:kern w:val="2"/>
      <w:sz w:val="32"/>
      <w:szCs w:val="32"/>
    </w:rPr>
  </w:style>
  <w:style w:type="character" w:customStyle="1" w:styleId="21">
    <w:name w:val="Footer Char"/>
    <w:basedOn w:val="15"/>
    <w:link w:val="2"/>
    <w:semiHidden/>
    <w:qFormat/>
    <w:uiPriority w:val="99"/>
    <w:rPr>
      <w:rFonts w:ascii="Times New Roman" w:hAnsi="Times New Roman" w:cs="Times New Roman"/>
      <w:sz w:val="18"/>
      <w:szCs w:val="18"/>
    </w:rPr>
  </w:style>
  <w:style w:type="character" w:customStyle="1" w:styleId="22">
    <w:name w:val="Body Text Char"/>
    <w:basedOn w:val="15"/>
    <w:link w:val="6"/>
    <w:semiHidden/>
    <w:qFormat/>
    <w:uiPriority w:val="99"/>
    <w:rPr>
      <w:rFonts w:ascii="Times New Roman" w:hAnsi="Times New Roman" w:cs="Times New Roman"/>
      <w:sz w:val="24"/>
      <w:szCs w:val="24"/>
    </w:rPr>
  </w:style>
  <w:style w:type="character" w:customStyle="1" w:styleId="23">
    <w:name w:val="Balloon Text Char"/>
    <w:basedOn w:val="15"/>
    <w:link w:val="8"/>
    <w:semiHidden/>
    <w:qFormat/>
    <w:locked/>
    <w:uiPriority w:val="99"/>
    <w:rPr>
      <w:rFonts w:ascii="Times New Roman" w:hAnsi="Times New Roman" w:cs="Times New Roman"/>
      <w:kern w:val="2"/>
      <w:sz w:val="18"/>
      <w:szCs w:val="18"/>
    </w:rPr>
  </w:style>
  <w:style w:type="character" w:customStyle="1" w:styleId="24">
    <w:name w:val="Header Char"/>
    <w:basedOn w:val="15"/>
    <w:link w:val="9"/>
    <w:semiHidden/>
    <w:qFormat/>
    <w:uiPriority w:val="99"/>
    <w:rPr>
      <w:rFonts w:ascii="Times New Roman" w:hAnsi="Times New Roman" w:cs="Times New Roman"/>
      <w:sz w:val="18"/>
      <w:szCs w:val="18"/>
    </w:rPr>
  </w:style>
  <w:style w:type="character" w:customStyle="1" w:styleId="25">
    <w:name w:val="Header Char1"/>
    <w:link w:val="9"/>
    <w:semiHidden/>
    <w:qFormat/>
    <w:locked/>
    <w:uiPriority w:val="99"/>
    <w:rPr>
      <w:sz w:val="18"/>
    </w:rPr>
  </w:style>
  <w:style w:type="character" w:customStyle="1" w:styleId="26">
    <w:name w:val="Footer Char1"/>
    <w:link w:val="2"/>
    <w:qFormat/>
    <w:locked/>
    <w:uiPriority w:val="99"/>
    <w:rPr>
      <w:sz w:val="18"/>
    </w:rPr>
  </w:style>
  <w:style w:type="character" w:customStyle="1" w:styleId="27">
    <w:name w:val="Body Text Char1"/>
    <w:link w:val="6"/>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customStyle="1" w:styleId="29">
    <w:name w:val="List Paragraph1"/>
    <w:basedOn w:val="1"/>
    <w:qFormat/>
    <w:uiPriority w:val="99"/>
    <w:pPr>
      <w:ind w:firstLine="420" w:firstLineChars="200"/>
    </w:pPr>
  </w:style>
  <w:style w:type="character" w:customStyle="1" w:styleId="30">
    <w:name w:val="标题 1 字符"/>
    <w:basedOn w:val="15"/>
    <w:link w:val="3"/>
    <w:qFormat/>
    <w:locked/>
    <w:uiPriority w:val="99"/>
    <w:rPr>
      <w:rFonts w:ascii="Times New Roman" w:hAnsi="Times New Roman" w:cs="Times New Roman"/>
      <w:b/>
      <w:bCs/>
      <w:kern w:val="44"/>
      <w:sz w:val="44"/>
      <w:szCs w:val="44"/>
    </w:rPr>
  </w:style>
  <w:style w:type="character" w:customStyle="1" w:styleId="31">
    <w:name w:val="标题 2 字符"/>
    <w:basedOn w:val="15"/>
    <w:link w:val="4"/>
    <w:qFormat/>
    <w:locked/>
    <w:uiPriority w:val="99"/>
    <w:rPr>
      <w:rFonts w:ascii="Cambria" w:hAnsi="Cambria" w:eastAsia="宋体" w:cs="Microsoft Himalaya"/>
      <w:b/>
      <w:bCs/>
      <w:kern w:val="2"/>
      <w:sz w:val="32"/>
      <w:szCs w:val="32"/>
    </w:rPr>
  </w:style>
  <w:style w:type="paragraph" w:customStyle="1" w:styleId="32">
    <w:name w:val="TOC 标题1"/>
    <w:basedOn w:val="3"/>
    <w:next w:val="1"/>
    <w:qFormat/>
    <w:uiPriority w:val="99"/>
    <w:pPr>
      <w:widowControl/>
      <w:spacing w:before="480" w:after="0" w:line="276" w:lineRule="auto"/>
      <w:jc w:val="left"/>
      <w:outlineLvl w:val="9"/>
    </w:pPr>
    <w:rPr>
      <w:rFonts w:ascii="Cambria" w:hAnsi="Cambria" w:cs="Microsoft Himalaya"/>
      <w:color w:val="365F91"/>
      <w:kern w:val="0"/>
      <w:sz w:val="28"/>
      <w:szCs w:val="28"/>
    </w:rPr>
  </w:style>
  <w:style w:type="paragraph" w:customStyle="1" w:styleId="33">
    <w:name w:val="TOC Heading1"/>
    <w:basedOn w:val="3"/>
    <w:next w:val="1"/>
    <w:qFormat/>
    <w:uiPriority w:val="99"/>
    <w:pPr>
      <w:widowControl/>
      <w:spacing w:before="480" w:after="0" w:line="276" w:lineRule="auto"/>
      <w:jc w:val="left"/>
      <w:outlineLvl w:val="9"/>
    </w:pPr>
    <w:rPr>
      <w:rFonts w:ascii="Cambria" w:hAnsi="Cambria" w:cs="Microsoft Himalaya"/>
      <w:color w:val="365F91"/>
      <w:kern w:val="0"/>
      <w:sz w:val="28"/>
      <w:szCs w:val="28"/>
    </w:rPr>
  </w:style>
  <w:style w:type="paragraph" w:customStyle="1" w:styleId="34">
    <w:name w:val="Normal (Web)1"/>
    <w:basedOn w:val="1"/>
    <w:qFormat/>
    <w:uiPriority w:val="99"/>
    <w:pPr>
      <w:widowControl/>
      <w:spacing w:before="102" w:after="102" w:line="351" w:lineRule="atLeast"/>
      <w:ind w:firstLine="419"/>
      <w:jc w:val="left"/>
      <w:textAlignment w:val="baseline"/>
    </w:pPr>
    <w:rPr>
      <w:rFonts w:ascii="宋体" w:hAnsi="Calibri"/>
      <w:color w:val="000000"/>
      <w:kern w:val="0"/>
      <w:sz w:val="24"/>
      <w:szCs w:val="20"/>
      <w:u w:color="000000"/>
    </w:rPr>
  </w:style>
  <w:style w:type="paragraph" w:customStyle="1" w:styleId="35">
    <w:name w:val="WPSOffice手动目录 1"/>
    <w:qFormat/>
    <w:uiPriority w:val="99"/>
    <w:rPr>
      <w:rFonts w:ascii="Times New Roman" w:hAnsi="Times New Roman" w:eastAsia="宋体" w:cs="Times New Roman"/>
      <w:kern w:val="0"/>
      <w:sz w:val="20"/>
      <w:szCs w:val="20"/>
      <w:lang w:val="en-US" w:eastAsia="zh-CN" w:bidi="bo-CN"/>
    </w:rPr>
  </w:style>
  <w:style w:type="paragraph" w:customStyle="1" w:styleId="36">
    <w:name w:val="WPSOffice手动目录 2"/>
    <w:qFormat/>
    <w:uiPriority w:val="99"/>
    <w:pPr>
      <w:ind w:left="200" w:leftChars="200"/>
    </w:pPr>
    <w:rPr>
      <w:rFonts w:ascii="Times New Roman" w:hAnsi="Times New Roman" w:eastAsia="宋体" w:cs="Times New Roman"/>
      <w:kern w:val="0"/>
      <w:sz w:val="20"/>
      <w:szCs w:val="20"/>
      <w:lang w:val="en-US" w:eastAsia="zh-CN" w:bidi="bo-CN"/>
    </w:rPr>
  </w:style>
  <w:style w:type="character" w:customStyle="1" w:styleId="37">
    <w:name w:val="font21"/>
    <w:basedOn w:val="15"/>
    <w:qFormat/>
    <w:uiPriority w:val="99"/>
    <w:rPr>
      <w:rFonts w:ascii="Arial Unicode MS" w:hAnsi="Arial Unicode MS" w:eastAsia="Arial Unicode MS" w:cs="Arial Unicode MS"/>
      <w:color w:val="000000"/>
      <w:sz w:val="20"/>
      <w:szCs w:val="20"/>
      <w:u w:val="none"/>
    </w:rPr>
  </w:style>
  <w:style w:type="character" w:customStyle="1" w:styleId="38">
    <w:name w:val="font31"/>
    <w:basedOn w:val="15"/>
    <w:qFormat/>
    <w:uiPriority w:val="99"/>
    <w:rPr>
      <w:rFonts w:ascii="Arial Unicode MS" w:hAnsi="Arial Unicode MS" w:eastAsia="Arial Unicode MS" w:cs="Arial Unicode MS"/>
      <w:color w:val="000000"/>
      <w:sz w:val="28"/>
      <w:szCs w:val="28"/>
      <w:u w:val="none"/>
    </w:rPr>
  </w:style>
  <w:style w:type="character" w:customStyle="1" w:styleId="39">
    <w:name w:val="font11"/>
    <w:basedOn w:val="15"/>
    <w:qFormat/>
    <w:uiPriority w:val="99"/>
    <w:rPr>
      <w:rFonts w:ascii="Arial Unicode MS" w:hAnsi="Arial Unicode MS" w:eastAsia="Arial Unicode MS" w:cs="Arial Unicode MS"/>
      <w:color w:val="000000"/>
      <w:sz w:val="36"/>
      <w:szCs w:val="36"/>
      <w:u w:val="none"/>
    </w:rPr>
  </w:style>
  <w:style w:type="character" w:customStyle="1" w:styleId="40">
    <w:name w:val="21"/>
    <w:basedOn w:val="15"/>
    <w:qFormat/>
    <w:uiPriority w:val="0"/>
    <w:rPr>
      <w:rFonts w:hint="default" w:ascii="Arial Unicode MS" w:hAnsi="Arial Unicode MS" w:eastAsia="Arial Unicode MS" w:cs="Arial Unicode MS"/>
      <w:color w:val="000000"/>
      <w:sz w:val="20"/>
      <w:szCs w:val="20"/>
    </w:rPr>
  </w:style>
  <w:style w:type="character" w:customStyle="1" w:styleId="41">
    <w:name w:val="10"/>
    <w:basedOn w:val="15"/>
    <w:qFormat/>
    <w:uiPriority w:val="0"/>
    <w:rPr>
      <w:rFonts w:hint="default" w:ascii="Times New Roman" w:hAnsi="Times New Roman" w:cs="Times New Roman"/>
    </w:rPr>
  </w:style>
  <w:style w:type="character" w:customStyle="1" w:styleId="42">
    <w:name w:val="18"/>
    <w:basedOn w:val="15"/>
    <w:qFormat/>
    <w:uiPriority w:val="0"/>
    <w:rPr>
      <w:rFonts w:hint="default" w:ascii="Cambria" w:hAnsi="Cambria" w:eastAsia="宋体" w:cs="Times New Roman"/>
      <w:b/>
      <w:kern w:val="2"/>
      <w:sz w:val="32"/>
      <w:szCs w:val="32"/>
    </w:rPr>
  </w:style>
  <w:style w:type="character" w:customStyle="1" w:styleId="43">
    <w:name w:val="15"/>
    <w:basedOn w:val="15"/>
    <w:qFormat/>
    <w:uiPriority w:val="0"/>
    <w:rPr>
      <w:rFonts w:hint="default" w:ascii="Times New Roman" w:hAnsi="Times New Roman" w:cs="Times New Roman"/>
      <w:b/>
    </w:rPr>
  </w:style>
  <w:style w:type="character" w:customStyle="1" w:styleId="44">
    <w:name w:val="16"/>
    <w:basedOn w:val="15"/>
    <w:qFormat/>
    <w:uiPriority w:val="0"/>
    <w:rPr>
      <w:rFonts w:hint="eastAsia" w:ascii="宋体" w:hAnsi="宋体" w:eastAsia="宋体" w:cs="宋体"/>
      <w:b/>
      <w:kern w:val="44"/>
      <w:sz w:val="48"/>
      <w:szCs w:val="48"/>
    </w:rPr>
  </w:style>
  <w:style w:type="character" w:customStyle="1" w:styleId="45">
    <w:name w:val="17"/>
    <w:basedOn w:val="15"/>
    <w:qFormat/>
    <w:uiPriority w:val="0"/>
    <w:rPr>
      <w:rFonts w:hint="eastAsia" w:ascii="宋体" w:hAnsi="宋体" w:eastAsia="宋体" w:cs="宋体"/>
      <w:b/>
      <w:sz w:val="36"/>
      <w:szCs w:val="36"/>
    </w:rPr>
  </w:style>
  <w:style w:type="character" w:customStyle="1" w:styleId="46">
    <w:name w:val="19"/>
    <w:basedOn w:val="15"/>
    <w:qFormat/>
    <w:uiPriority w:val="0"/>
    <w:rPr>
      <w:rFonts w:hint="default" w:ascii="Times New Roman" w:hAnsi="Times New Roman" w:cs="Times New Roman"/>
      <w:b/>
      <w:kern w:val="44"/>
      <w:sz w:val="44"/>
      <w:szCs w:val="44"/>
    </w:rPr>
  </w:style>
  <w:style w:type="character" w:customStyle="1" w:styleId="47">
    <w:name w:val="20"/>
    <w:basedOn w:val="15"/>
    <w:qFormat/>
    <w:uiPriority w:val="0"/>
    <w:rPr>
      <w:rFonts w:hint="default" w:ascii="Arial Unicode MS" w:hAnsi="Arial Unicode MS" w:eastAsia="Arial Unicode MS" w:cs="Arial Unicode MS"/>
      <w:color w:val="000000"/>
      <w:sz w:val="28"/>
      <w:szCs w:val="28"/>
    </w:rPr>
  </w:style>
  <w:style w:type="character" w:customStyle="1" w:styleId="48">
    <w:name w:val="22"/>
    <w:basedOn w:val="15"/>
    <w:qFormat/>
    <w:uiPriority w:val="0"/>
    <w:rPr>
      <w:rFonts w:hint="default" w:ascii="Arial Unicode MS" w:hAnsi="Arial Unicode MS" w:eastAsia="Arial Unicode MS" w:cs="Arial Unicode MS"/>
      <w:color w:val="000000"/>
      <w:sz w:val="36"/>
      <w:szCs w:val="36"/>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2" TargetMode="External"/></Relationships>
</file>

<file path=word/charts/_rels/chart10.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1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12.xml.rels><?xml version="1.0" encoding="UTF-8" standalone="yes"?>
<Relationships xmlns="http://schemas.openxmlformats.org/package/2006/relationships"><Relationship Id="rId3" Type="http://schemas.microsoft.com/office/2011/relationships/chartColorStyle" Target="colors9.xml"/><Relationship Id="rId2" Type="http://schemas.microsoft.com/office/2011/relationships/chartStyle" Target="style9.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0.xml"/><Relationship Id="rId2" Type="http://schemas.microsoft.com/office/2011/relationships/chartStyle" Target="style10.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1.xml"/><Relationship Id="rId2" Type="http://schemas.microsoft.com/office/2011/relationships/chartStyle" Target="style11.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oleObject" Target="&#24037;&#20316;&#31807;1"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9.xml.rels><?xml version="1.0" encoding="UTF-8" standalone="yes"?>
<Relationships xmlns="http://schemas.openxmlformats.org/package/2006/relationships"><Relationship Id="rId3" Type="http://schemas.microsoft.com/office/2011/relationships/chartColorStyle" Target="colors12.xml"/><Relationship Id="rId2" Type="http://schemas.microsoft.com/office/2011/relationships/chartStyle" Target="style12.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08675"/>
          <c:y val="0.193287037037037"/>
          <c:w val="0.882"/>
          <c:h val="0.711435185185185"/>
        </c:manualLayout>
      </c:layout>
      <c:barChart>
        <c:barDir val="col"/>
        <c:grouping val="clustered"/>
        <c:varyColors val="0"/>
        <c:ser>
          <c:idx val="0"/>
          <c:order val="0"/>
          <c:tx>
            <c:strRef>
              <c:f>[工作簿2]Sheet1!$B$1</c:f>
              <c:strCache>
                <c:ptCount val="1"/>
                <c:pt idx="0">
                  <c:v>2020年度收、支（万元）</c:v>
                </c:pt>
              </c:strCache>
            </c:strRef>
          </c:tx>
          <c:spPr>
            <a:solidFill>
              <a:schemeClr val="accent1"/>
            </a:solidFill>
            <a:ln>
              <a:noFill/>
            </a:ln>
            <a:effectLst/>
          </c:spPr>
          <c:invertIfNegative val="0"/>
          <c:dLbls>
            <c:delete val="1"/>
          </c:dLbls>
          <c:cat>
            <c:strRef>
              <c:f>[工作簿2]Sheet1!$A$2:$A$3</c:f>
              <c:strCache>
                <c:ptCount val="2"/>
                <c:pt idx="0">
                  <c:v>收入</c:v>
                </c:pt>
                <c:pt idx="1">
                  <c:v>支出</c:v>
                </c:pt>
              </c:strCache>
            </c:strRef>
          </c:cat>
          <c:val>
            <c:numRef>
              <c:f>[工作簿2]Sheet1!$B$2:$B$3</c:f>
              <c:numCache>
                <c:formatCode>General</c:formatCode>
                <c:ptCount val="2"/>
                <c:pt idx="0">
                  <c:v>1107</c:v>
                </c:pt>
                <c:pt idx="1">
                  <c:v>975.3</c:v>
                </c:pt>
              </c:numCache>
            </c:numRef>
          </c:val>
        </c:ser>
        <c:dLbls>
          <c:showLegendKey val="0"/>
          <c:showVal val="0"/>
          <c:showCatName val="0"/>
          <c:showSerName val="0"/>
          <c:showPercent val="0"/>
          <c:showBubbleSize val="0"/>
        </c:dLbls>
        <c:gapWidth val="219"/>
        <c:overlap val="-27"/>
        <c:axId val="636218277"/>
        <c:axId val="195535317"/>
      </c:barChart>
      <c:catAx>
        <c:axId val="63621827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5535317"/>
        <c:crosses val="autoZero"/>
        <c:auto val="1"/>
        <c:lblAlgn val="ctr"/>
        <c:lblOffset val="100"/>
        <c:noMultiLvlLbl val="0"/>
      </c:catAx>
      <c:valAx>
        <c:axId val="19553531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3621827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30125"/>
          <c:y val="0.00694444444444444"/>
        </c:manualLayout>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[工作簿1]Sheet9!$A$2</c:f>
              <c:strCache>
                <c:ptCount val="1"/>
                <c:pt idx="0">
                  <c:v>培训费支出情况（万元）</c:v>
                </c:pt>
              </c:strCache>
            </c:strRef>
          </c:tx>
          <c:spPr>
            <a:solidFill>
              <a:schemeClr val="accent1"/>
            </a:solidFill>
            <a:ln>
              <a:noFill/>
            </a:ln>
            <a:effectLst/>
          </c:spPr>
          <c:invertIfNegative val="0"/>
          <c:dLbls>
            <c:delete val="1"/>
          </c:dLbls>
          <c:cat>
            <c:strRef>
              <c:f>[工作簿1]Sheet9!$B$1:$D$1</c:f>
              <c:strCache>
                <c:ptCount val="3"/>
                <c:pt idx="0">
                  <c:v>2019</c:v>
                </c:pt>
                <c:pt idx="1">
                  <c:v>2020</c:v>
                </c:pt>
                <c:pt idx="2">
                  <c:v>人均</c:v>
                </c:pt>
              </c:strCache>
            </c:strRef>
          </c:cat>
          <c:val>
            <c:numRef>
              <c:f>[工作簿1]Sheet9!$B$2:$D$2</c:f>
              <c:numCache>
                <c:formatCode>General</c:formatCode>
                <c:ptCount val="3"/>
                <c:pt idx="0">
                  <c:v>0.8</c:v>
                </c:pt>
                <c:pt idx="1">
                  <c:v>0.4</c:v>
                </c:pt>
                <c:pt idx="2">
                  <c:v>0.05</c:v>
                </c:pt>
              </c:numCache>
            </c:numRef>
          </c:val>
        </c:ser>
        <c:dLbls>
          <c:showLegendKey val="0"/>
          <c:showVal val="0"/>
          <c:showCatName val="0"/>
          <c:showSerName val="0"/>
          <c:showPercent val="0"/>
          <c:showBubbleSize val="0"/>
        </c:dLbls>
        <c:gapWidth val="219"/>
        <c:overlap val="-27"/>
        <c:axId val="467372209"/>
        <c:axId val="832844232"/>
      </c:barChart>
      <c:catAx>
        <c:axId val="4673722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32844232"/>
        <c:crosses val="autoZero"/>
        <c:auto val="1"/>
        <c:lblAlgn val="ctr"/>
        <c:lblOffset val="100"/>
        <c:noMultiLvlLbl val="0"/>
      </c:catAx>
      <c:valAx>
        <c:axId val="8328442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737220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24454477050414"/>
          <c:y val="0.0456158134820071"/>
        </c:manualLayout>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[工作簿1]Sheet10!$A$2</c:f>
              <c:strCache>
                <c:ptCount val="1"/>
                <c:pt idx="0">
                  <c:v>财政拨款收入、支出（万元）</c:v>
                </c:pt>
              </c:strCache>
            </c:strRef>
          </c:tx>
          <c:spPr>
            <a:solidFill>
              <a:schemeClr val="accent1"/>
            </a:solidFill>
            <a:ln>
              <a:noFill/>
            </a:ln>
            <a:effectLst/>
          </c:spPr>
          <c:invertIfNegative val="0"/>
          <c:dLbls>
            <c:delete val="1"/>
          </c:dLbls>
          <c:cat>
            <c:strRef>
              <c:f>[工作簿1]Sheet10!$B$1:$C$1</c:f>
              <c:strCache>
                <c:ptCount val="2"/>
                <c:pt idx="0">
                  <c:v>收入</c:v>
                </c:pt>
                <c:pt idx="1">
                  <c:v>支出</c:v>
                </c:pt>
              </c:strCache>
            </c:strRef>
          </c:cat>
          <c:val>
            <c:numRef>
              <c:f>[工作簿1]Sheet10!$B$2:$C$2</c:f>
              <c:numCache>
                <c:formatCode>#,##0.00</c:formatCode>
                <c:ptCount val="2"/>
                <c:pt idx="0">
                  <c:v>1107.2</c:v>
                </c:pt>
                <c:pt idx="1" c:formatCode="General">
                  <c:v>999.7</c:v>
                </c:pt>
              </c:numCache>
            </c:numRef>
          </c:val>
        </c:ser>
        <c:dLbls>
          <c:showLegendKey val="0"/>
          <c:showVal val="0"/>
          <c:showCatName val="0"/>
          <c:showSerName val="0"/>
          <c:showPercent val="0"/>
          <c:showBubbleSize val="0"/>
        </c:dLbls>
        <c:gapWidth val="219"/>
        <c:overlap val="-27"/>
        <c:axId val="43242157"/>
        <c:axId val="708315124"/>
      </c:barChart>
      <c:catAx>
        <c:axId val="4324215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08315124"/>
        <c:crosses val="autoZero"/>
        <c:auto val="1"/>
        <c:lblAlgn val="ctr"/>
        <c:lblOffset val="100"/>
        <c:noMultiLvlLbl val="0"/>
      </c:catAx>
      <c:valAx>
        <c:axId val="70831512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24215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财政拨款收入支出决算总体情况</a:t>
            </a:r>
          </a:p>
        </c:rich>
      </c:tx>
      <c:layout>
        <c:manualLayout>
          <c:xMode val="edge"/>
          <c:yMode val="edge"/>
          <c:x val="0.186761963952766"/>
          <c:y val="0.0078740157480315"/>
        </c:manualLayout>
      </c:layout>
      <c:overlay val="0"/>
      <c:spPr>
        <a:noFill/>
        <a:ln>
          <a:noFill/>
        </a:ln>
        <a:effectLst/>
      </c:spPr>
    </c:title>
    <c:autoTitleDeleted val="0"/>
    <c:plotArea>
      <c:layout>
        <c:manualLayout>
          <c:layoutTarget val="inner"/>
          <c:xMode val="edge"/>
          <c:yMode val="edge"/>
          <c:x val="0.078540350877193"/>
          <c:y val="0.124453218426662"/>
          <c:w val="0.882"/>
          <c:h val="0.606805555555556"/>
        </c:manualLayout>
      </c:layout>
      <c:barChart>
        <c:barDir val="col"/>
        <c:grouping val="clustered"/>
        <c:varyColors val="0"/>
        <c:ser>
          <c:idx val="0"/>
          <c:order val="0"/>
          <c:tx>
            <c:strRef>
              <c:f>[工作簿1]Sheet11!$A$2</c:f>
              <c:strCache>
                <c:ptCount val="1"/>
                <c:pt idx="0">
                  <c:v>收入</c:v>
                </c:pt>
              </c:strCache>
            </c:strRef>
          </c:tx>
          <c:spPr>
            <a:solidFill>
              <a:schemeClr val="accent1"/>
            </a:solidFill>
            <a:ln>
              <a:noFill/>
            </a:ln>
            <a:effectLst/>
          </c:spPr>
          <c:invertIfNegative val="0"/>
          <c:dLbls>
            <c:delete val="1"/>
          </c:dLbls>
          <c:cat>
            <c:numRef>
              <c:f>[工作簿1]Sheet11!$B$1:$C$1</c:f>
              <c:numCache>
                <c:formatCode>General</c:formatCode>
                <c:ptCount val="2"/>
                <c:pt idx="0">
                  <c:v>2019</c:v>
                </c:pt>
                <c:pt idx="1">
                  <c:v>2020</c:v>
                </c:pt>
              </c:numCache>
            </c:numRef>
          </c:cat>
          <c:val>
            <c:numRef>
              <c:f>[工作簿1]Sheet11!$B$2:$C$2</c:f>
              <c:numCache>
                <c:formatCode>General</c:formatCode>
                <c:ptCount val="2"/>
                <c:pt idx="0">
                  <c:v>761.13</c:v>
                </c:pt>
                <c:pt idx="1">
                  <c:v>1107</c:v>
                </c:pt>
              </c:numCache>
            </c:numRef>
          </c:val>
        </c:ser>
        <c:ser>
          <c:idx val="1"/>
          <c:order val="1"/>
          <c:tx>
            <c:strRef>
              <c:f>[工作簿1]Sheet11!$A$3</c:f>
              <c:strCache>
                <c:ptCount val="1"/>
                <c:pt idx="0">
                  <c:v>支出</c:v>
                </c:pt>
              </c:strCache>
            </c:strRef>
          </c:tx>
          <c:spPr>
            <a:solidFill>
              <a:schemeClr val="accent2"/>
            </a:solidFill>
            <a:ln>
              <a:noFill/>
            </a:ln>
            <a:effectLst/>
          </c:spPr>
          <c:invertIfNegative val="0"/>
          <c:dLbls>
            <c:delete val="1"/>
          </c:dLbls>
          <c:cat>
            <c:numRef>
              <c:f>[工作簿1]Sheet11!$B$1:$C$1</c:f>
              <c:numCache>
                <c:formatCode>General</c:formatCode>
                <c:ptCount val="2"/>
                <c:pt idx="0">
                  <c:v>2019</c:v>
                </c:pt>
                <c:pt idx="1">
                  <c:v>2020</c:v>
                </c:pt>
              </c:numCache>
            </c:numRef>
          </c:cat>
          <c:val>
            <c:numRef>
              <c:f>[工作簿1]Sheet11!$B$3:$C$3</c:f>
              <c:numCache>
                <c:formatCode>General</c:formatCode>
                <c:ptCount val="2"/>
                <c:pt idx="0">
                  <c:v>783.87</c:v>
                </c:pt>
                <c:pt idx="1">
                  <c:v>999.7</c:v>
                </c:pt>
              </c:numCache>
            </c:numRef>
          </c:val>
        </c:ser>
        <c:dLbls>
          <c:showLegendKey val="0"/>
          <c:showVal val="0"/>
          <c:showCatName val="0"/>
          <c:showSerName val="0"/>
          <c:showPercent val="0"/>
          <c:showBubbleSize val="0"/>
        </c:dLbls>
        <c:gapWidth val="219"/>
        <c:overlap val="-27"/>
        <c:axId val="169229141"/>
        <c:axId val="220340163"/>
      </c:barChart>
      <c:catAx>
        <c:axId val="16922914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0340163"/>
        <c:crosses val="autoZero"/>
        <c:auto val="1"/>
        <c:lblAlgn val="ctr"/>
        <c:lblOffset val="100"/>
        <c:noMultiLvlLbl val="0"/>
      </c:catAx>
      <c:valAx>
        <c:axId val="2203401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6922914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2020年本年收入分类</a:t>
            </a:r>
          </a:p>
        </c:rich>
      </c:tx>
      <c:layout/>
      <c:overlay val="0"/>
      <c:spPr>
        <a:noFill/>
        <a:ln>
          <a:noFill/>
        </a:ln>
        <a:effectLst/>
      </c:spPr>
    </c:title>
    <c:autoTitleDeleted val="0"/>
    <c:plotArea>
      <c:layout/>
      <c:pieChart>
        <c:varyColors val="1"/>
        <c:ser>
          <c:idx val="0"/>
          <c:order val="0"/>
          <c:tx>
            <c:strRef>
              <c:f>[工作簿1]Sheet3!$A$2</c:f>
              <c:strCache>
                <c:ptCount val="1"/>
                <c:pt idx="0">
                  <c:v>一般公共预算财政拨款收入</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[工作簿1]Sheet3!$B$1</c:f>
              <c:strCache>
                <c:ptCount val="1"/>
                <c:pt idx="0">
                  <c:v>一般公共预算财政拨款收入</c:v>
                </c:pt>
              </c:strCache>
            </c:strRef>
          </c:cat>
          <c:val>
            <c:numRef>
              <c:f>[工作簿1]Sheet3!$B$2</c:f>
              <c:numCache>
                <c:formatCode>General</c:formatCode>
                <c:ptCount val="1"/>
                <c:pt idx="0">
                  <c:v>100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收入支出预算安排情况</a:t>
            </a:r>
          </a:p>
        </c:rich>
      </c:tx>
      <c:layout/>
      <c:overlay val="0"/>
      <c:spPr>
        <a:noFill/>
        <a:ln>
          <a:noFill/>
        </a:ln>
        <a:effectLst/>
      </c:spPr>
    </c:title>
    <c:autoTitleDeleted val="0"/>
    <c:plotArea>
      <c:layout>
        <c:manualLayout>
          <c:layoutTarget val="inner"/>
          <c:xMode val="edge"/>
          <c:yMode val="edge"/>
          <c:x val="0.0484166666666667"/>
          <c:y val="0.325694444444444"/>
          <c:w val="0.894638888888889"/>
          <c:h val="0.606805555555556"/>
        </c:manualLayout>
      </c:layout>
      <c:barChart>
        <c:barDir val="col"/>
        <c:grouping val="clustered"/>
        <c:varyColors val="0"/>
        <c:ser>
          <c:idx val="0"/>
          <c:order val="0"/>
          <c:tx>
            <c:strRef>
              <c:f>[工作簿1]Sheet4!$A$2</c:f>
              <c:strCache>
                <c:ptCount val="1"/>
                <c:pt idx="0">
                  <c:v>2019</c:v>
                </c:pt>
              </c:strCache>
            </c:strRef>
          </c:tx>
          <c:spPr>
            <a:solidFill>
              <a:schemeClr val="accent1"/>
            </a:solidFill>
            <a:ln>
              <a:noFill/>
            </a:ln>
            <a:effectLst/>
          </c:spPr>
          <c:invertIfNegative val="0"/>
          <c:dLbls>
            <c:delete val="1"/>
          </c:dLbls>
          <c:cat>
            <c:strRef>
              <c:f>[工作簿1]Sheet4!$B$1:$C$1</c:f>
              <c:strCache>
                <c:ptCount val="2"/>
                <c:pt idx="0">
                  <c:v>收入预算</c:v>
                </c:pt>
                <c:pt idx="1">
                  <c:v>支出预算</c:v>
                </c:pt>
              </c:strCache>
            </c:strRef>
          </c:cat>
          <c:val>
            <c:numRef>
              <c:f>[工作簿1]Sheet4!$B$2:$C$2</c:f>
              <c:numCache>
                <c:formatCode>General</c:formatCode>
                <c:ptCount val="2"/>
                <c:pt idx="0">
                  <c:v>0</c:v>
                </c:pt>
                <c:pt idx="1">
                  <c:v>0</c:v>
                </c:pt>
              </c:numCache>
            </c:numRef>
          </c:val>
        </c:ser>
        <c:ser>
          <c:idx val="1"/>
          <c:order val="1"/>
          <c:tx>
            <c:strRef>
              <c:f>[工作簿1]Sheet4!$A$3</c:f>
              <c:strCache>
                <c:ptCount val="1"/>
                <c:pt idx="0">
                  <c:v>2020</c:v>
                </c:pt>
              </c:strCache>
            </c:strRef>
          </c:tx>
          <c:spPr>
            <a:solidFill>
              <a:schemeClr val="accent2"/>
            </a:solidFill>
            <a:ln>
              <a:noFill/>
            </a:ln>
            <a:effectLst/>
          </c:spPr>
          <c:invertIfNegative val="0"/>
          <c:dLbls>
            <c:delete val="1"/>
          </c:dLbls>
          <c:cat>
            <c:strRef>
              <c:f>[工作簿1]Sheet4!$B$1:$C$1</c:f>
              <c:strCache>
                <c:ptCount val="2"/>
                <c:pt idx="0">
                  <c:v>收入预算</c:v>
                </c:pt>
                <c:pt idx="1">
                  <c:v>支出预算</c:v>
                </c:pt>
              </c:strCache>
            </c:strRef>
          </c:cat>
          <c:val>
            <c:numRef>
              <c:f>[工作簿1]Sheet4!$B$3:$C$3</c:f>
              <c:numCache>
                <c:formatCode>General</c:formatCode>
                <c:ptCount val="2"/>
                <c:pt idx="0">
                  <c:v>407.91</c:v>
                </c:pt>
                <c:pt idx="1">
                  <c:v>407.91</c:v>
                </c:pt>
              </c:numCache>
            </c:numRef>
          </c:val>
        </c:ser>
        <c:dLbls>
          <c:showLegendKey val="0"/>
          <c:showVal val="0"/>
          <c:showCatName val="0"/>
          <c:showSerName val="0"/>
          <c:showPercent val="0"/>
          <c:showBubbleSize val="0"/>
        </c:dLbls>
        <c:gapWidth val="219"/>
        <c:overlap val="-27"/>
        <c:axId val="238796124"/>
        <c:axId val="869991373"/>
      </c:barChart>
      <c:catAx>
        <c:axId val="23879612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9991373"/>
        <c:crosses val="autoZero"/>
        <c:auto val="1"/>
        <c:lblAlgn val="ctr"/>
        <c:lblOffset val="100"/>
        <c:noMultiLvlLbl val="0"/>
      </c:catAx>
      <c:valAx>
        <c:axId val="86999137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879612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收入支出预算执行情况</a:t>
            </a:r>
          </a:p>
        </c:rich>
      </c:tx>
      <c:layout/>
      <c:overlay val="0"/>
      <c:spPr>
        <a:noFill/>
        <a:ln>
          <a:noFill/>
        </a:ln>
        <a:effectLst/>
      </c:spPr>
    </c:title>
    <c:autoTitleDeleted val="0"/>
    <c:plotArea>
      <c:layout/>
      <c:barChart>
        <c:barDir val="col"/>
        <c:grouping val="clustered"/>
        <c:varyColors val="0"/>
        <c:ser>
          <c:idx val="0"/>
          <c:order val="0"/>
          <c:tx>
            <c:strRef>
              <c:f>[工作簿1]Sheet5!$A$2</c:f>
              <c:strCache>
                <c:ptCount val="1"/>
                <c:pt idx="0">
                  <c:v/>
                </c:pt>
              </c:strCache>
            </c:strRef>
          </c:tx>
          <c:spPr>
            <a:solidFill>
              <a:schemeClr val="accent1"/>
            </a:solidFill>
            <a:ln>
              <a:noFill/>
            </a:ln>
            <a:effectLst/>
          </c:spPr>
          <c:invertIfNegative val="0"/>
          <c:dLbls>
            <c:delete val="1"/>
          </c:dLbls>
          <c:cat>
            <c:strRef>
              <c:f>[工作簿1]Sheet5!$B$1:$C$1</c:f>
              <c:strCache>
                <c:ptCount val="2"/>
                <c:pt idx="0">
                  <c:v>预算收支</c:v>
                </c:pt>
                <c:pt idx="1">
                  <c:v>收支</c:v>
                </c:pt>
              </c:strCache>
            </c:strRef>
          </c:cat>
          <c:val>
            <c:numRef>
              <c:f>[工作簿1]Sheet5!$B$2:$C$2</c:f>
              <c:numCache>
                <c:formatCode>#,##0.00</c:formatCode>
                <c:ptCount val="2"/>
                <c:pt idx="0">
                  <c:v>1107.2</c:v>
                </c:pt>
                <c:pt idx="1">
                  <c:v>1232.31</c:v>
                </c:pt>
              </c:numCache>
            </c:numRef>
          </c:val>
        </c:ser>
        <c:ser>
          <c:idx val="1"/>
          <c:order val="1"/>
          <c:tx>
            <c:strRef>
              <c:f>[工作簿1]Sheet5!$A$3</c:f>
              <c:strCache>
                <c:ptCount val="1"/>
                <c:pt idx="0">
                  <c:v/>
                </c:pt>
              </c:strCache>
            </c:strRef>
          </c:tx>
          <c:spPr>
            <a:solidFill>
              <a:schemeClr val="accent2"/>
            </a:solidFill>
            <a:ln>
              <a:noFill/>
            </a:ln>
            <a:effectLst/>
          </c:spPr>
          <c:invertIfNegative val="0"/>
          <c:dLbls>
            <c:delete val="1"/>
          </c:dLbls>
          <c:cat>
            <c:strRef>
              <c:f>[工作簿1]Sheet5!$B$1:$C$1</c:f>
              <c:strCache>
                <c:ptCount val="2"/>
                <c:pt idx="0">
                  <c:v>预算收支</c:v>
                </c:pt>
                <c:pt idx="1">
                  <c:v>收支</c:v>
                </c:pt>
              </c:strCache>
            </c:strRef>
          </c:cat>
          <c:val>
            <c:numRef>
              <c:f>[工作簿1]Sheet5!$B$3:$C$3</c:f>
              <c:numCache>
                <c:formatCode>#,##0.00</c:formatCode>
                <c:ptCount val="2"/>
                <c:pt idx="0">
                  <c:v>1232.31</c:v>
                </c:pt>
                <c:pt idx="1" c:formatCode="General">
                  <c:v>999.7</c:v>
                </c:pt>
              </c:numCache>
            </c:numRef>
          </c:val>
        </c:ser>
        <c:dLbls>
          <c:showLegendKey val="0"/>
          <c:showVal val="0"/>
          <c:showCatName val="0"/>
          <c:showSerName val="0"/>
          <c:showPercent val="0"/>
          <c:showBubbleSize val="0"/>
        </c:dLbls>
        <c:gapWidth val="219"/>
        <c:overlap val="-27"/>
        <c:axId val="330688004"/>
        <c:axId val="821339930"/>
      </c:barChart>
      <c:catAx>
        <c:axId val="33068800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21339930"/>
        <c:crosses val="autoZero"/>
        <c:auto val="1"/>
        <c:lblAlgn val="ctr"/>
        <c:lblOffset val="100"/>
        <c:noMultiLvlLbl val="0"/>
      </c:catAx>
      <c:valAx>
        <c:axId val="82133993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068800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2020年本年收入分类</a:t>
            </a:r>
          </a:p>
        </c:rich>
      </c:tx>
      <c:layout/>
      <c:overlay val="0"/>
      <c:spPr>
        <a:noFill/>
        <a:ln>
          <a:noFill/>
        </a:ln>
        <a:effectLst/>
      </c:spPr>
    </c:title>
    <c:autoTitleDeleted val="0"/>
    <c:plotArea>
      <c:layout/>
      <c:pieChart>
        <c:varyColors val="1"/>
        <c:ser>
          <c:idx val="0"/>
          <c:order val="0"/>
          <c:tx>
            <c:strRef>
              <c:f>[工作簿1]Sheet3!$A$2</c:f>
              <c:strCache>
                <c:ptCount val="1"/>
                <c:pt idx="0">
                  <c:v>一般公共预算财政拨款收入</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[工作簿1]Sheet3!$B$1</c:f>
              <c:strCache>
                <c:ptCount val="1"/>
                <c:pt idx="0">
                  <c:v>一般公共预算财政拨款收入</c:v>
                </c:pt>
              </c:strCache>
            </c:strRef>
          </c:cat>
          <c:val>
            <c:numRef>
              <c:f>[工作簿1]Sheet3!$B$2</c:f>
              <c:numCache>
                <c:formatCode>General</c:formatCode>
                <c:ptCount val="1"/>
                <c:pt idx="0">
                  <c:v>100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388055555555556"/>
          <c:y val="0.03125"/>
        </c:manualLayout>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[工作簿1]Sheet6!$B$1</c:f>
              <c:strCache>
                <c:ptCount val="1"/>
                <c:pt idx="0">
                  <c:v>本年度总支出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1"/>
              <c:layout>
                <c:manualLayout>
                  <c:x val="-0.13"/>
                  <c:y val="-0.0027777777777777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148333333333333"/>
                  <c:y val="-0.011111111111111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[工作簿1]Sheet6!$A$2:$A$4</c:f>
              <c:strCache>
                <c:ptCount val="3"/>
                <c:pt idx="0">
                  <c:v>社会保障和就业支出</c:v>
                </c:pt>
                <c:pt idx="1">
                  <c:v>卫生健康支出</c:v>
                </c:pt>
                <c:pt idx="2">
                  <c:v>住房保障支出</c:v>
                </c:pt>
              </c:strCache>
            </c:strRef>
          </c:cat>
          <c:val>
            <c:numRef>
              <c:f>[工作簿1]Sheet6!$B$2:$B$4</c:f>
              <c:numCache>
                <c:formatCode>General</c:formatCode>
                <c:ptCount val="3"/>
                <c:pt idx="0">
                  <c:v>97.56</c:v>
                </c:pt>
                <c:pt idx="1">
                  <c:v>1.25</c:v>
                </c:pt>
                <c:pt idx="2">
                  <c:v>1.18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本年度一般公共预算财政拨款收入相比上年度</a:t>
            </a:r>
          </a:p>
        </c:rich>
      </c:tx>
      <c:layout>
        <c:manualLayout>
          <c:xMode val="edge"/>
          <c:yMode val="edge"/>
          <c:x val="0.1325"/>
          <c:y val="0.00694444444444444"/>
        </c:manualLayout>
      </c:layout>
      <c:overlay val="0"/>
      <c:spPr>
        <a:noFill/>
        <a:ln>
          <a:noFill/>
        </a:ln>
        <a:effectLst/>
      </c:spPr>
    </c:title>
    <c:autoTitleDeleted val="0"/>
    <c:plotArea>
      <c:layout>
        <c:manualLayout>
          <c:layoutTarget val="inner"/>
          <c:xMode val="edge"/>
          <c:yMode val="edge"/>
          <c:x val="0.332166666666667"/>
          <c:y val="0.209166666666667"/>
          <c:w val="0.319"/>
          <c:h val="0.531666666666667"/>
        </c:manualLayout>
      </c:layout>
      <c:pieChart>
        <c:varyColors val="1"/>
        <c:ser>
          <c:idx val="0"/>
          <c:order val="0"/>
          <c:tx>
            <c:strRef>
              <c:f>[工作簿1]Sheet7!$B$1</c:f>
              <c:strCache>
                <c:ptCount val="1"/>
                <c:pt idx="0">
                  <c:v>金额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1"/>
              <c:layout>
                <c:manualLayout>
                  <c:x val="-0.188333333333333"/>
                  <c:y val="0.061111111111111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616666666666667"/>
                  <c:y val="-0.0027777777777777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[工作簿1]Sheet7!$A$2:$A$4</c:f>
              <c:strCache>
                <c:ptCount val="3"/>
                <c:pt idx="0">
                  <c:v>社会保障和就业支出减少</c:v>
                </c:pt>
                <c:pt idx="1">
                  <c:v>卫生健康支出相比上年度减少</c:v>
                </c:pt>
                <c:pt idx="2">
                  <c:v>住房保障支出相比上年度减少</c:v>
                </c:pt>
              </c:strCache>
            </c:strRef>
          </c:cat>
          <c:val>
            <c:numRef>
              <c:f>[工作簿1]Sheet7!$B$2:$B$4</c:f>
              <c:numCache>
                <c:formatCode>General</c:formatCode>
                <c:ptCount val="3"/>
                <c:pt idx="0">
                  <c:v>975.33</c:v>
                </c:pt>
                <c:pt idx="1">
                  <c:v>12.53</c:v>
                </c:pt>
                <c:pt idx="2">
                  <c:v>11.84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“三公”经费预算、决算情况</a:t>
            </a:r>
          </a:p>
        </c:rich>
      </c:tx>
      <c:layout/>
      <c:overlay val="0"/>
      <c:spPr>
        <a:noFill/>
        <a:ln>
          <a:noFill/>
        </a:ln>
        <a:effectLst/>
      </c:spPr>
    </c:title>
    <c:autoTitleDeleted val="0"/>
    <c:plotArea>
      <c:layout/>
      <c:barChart>
        <c:barDir val="col"/>
        <c:grouping val="clustered"/>
        <c:varyColors val="0"/>
        <c:ser>
          <c:idx val="0"/>
          <c:order val="0"/>
          <c:tx>
            <c:strRef>
              <c:f>[工作簿1]Sheet8!$B$1</c:f>
              <c:strCache>
                <c:ptCount val="1"/>
                <c:pt idx="0">
                  <c:v>预算</c:v>
                </c:pt>
              </c:strCache>
            </c:strRef>
          </c:tx>
          <c:spPr>
            <a:solidFill>
              <a:schemeClr val="accent1"/>
            </a:solidFill>
            <a:ln>
              <a:noFill/>
            </a:ln>
            <a:effectLst/>
          </c:spPr>
          <c:invertIfNegative val="0"/>
          <c:dLbls>
            <c:delete val="1"/>
          </c:dLbls>
          <c:cat>
            <c:strRef>
              <c:f>[工作簿1]Sheet8!$A$2:$A$4</c:f>
              <c:strCache>
                <c:ptCount val="3"/>
                <c:pt idx="0">
                  <c:v>三公”经费</c:v>
                </c:pt>
                <c:pt idx="1">
                  <c:v>公务用车购置及运行维护费支出决算数</c:v>
                </c:pt>
                <c:pt idx="2">
                  <c:v>公务接待费支出决算数</c:v>
                </c:pt>
              </c:strCache>
            </c:strRef>
          </c:cat>
          <c:val>
            <c:numRef>
              <c:f>[工作簿1]Sheet8!$B$2:$B$4</c:f>
              <c:numCache>
                <c:formatCode>General</c:formatCode>
                <c:ptCount val="3"/>
                <c:pt idx="0">
                  <c:v>5.47</c:v>
                </c:pt>
                <c:pt idx="1">
                  <c:v>0.64</c:v>
                </c:pt>
                <c:pt idx="2">
                  <c:v>0.05</c:v>
                </c:pt>
              </c:numCache>
            </c:numRef>
          </c:val>
        </c:ser>
        <c:ser>
          <c:idx val="1"/>
          <c:order val="1"/>
          <c:tx>
            <c:strRef>
              <c:f>[工作簿1]Sheet8!$C$1</c:f>
              <c:strCache>
                <c:ptCount val="1"/>
                <c:pt idx="0">
                  <c:v>决算</c:v>
                </c:pt>
              </c:strCache>
            </c:strRef>
          </c:tx>
          <c:spPr>
            <a:solidFill>
              <a:schemeClr val="accent2"/>
            </a:solidFill>
            <a:ln>
              <a:noFill/>
            </a:ln>
            <a:effectLst/>
          </c:spPr>
          <c:invertIfNegative val="0"/>
          <c:dLbls>
            <c:delete val="1"/>
          </c:dLbls>
          <c:cat>
            <c:strRef>
              <c:f>[工作簿1]Sheet8!$A$2:$A$4</c:f>
              <c:strCache>
                <c:ptCount val="3"/>
                <c:pt idx="0">
                  <c:v>三公”经费</c:v>
                </c:pt>
                <c:pt idx="1">
                  <c:v>公务用车购置及运行维护费支出决算数</c:v>
                </c:pt>
                <c:pt idx="2">
                  <c:v>公务接待费支出决算数</c:v>
                </c:pt>
              </c:strCache>
            </c:strRef>
          </c:cat>
          <c:val>
            <c:numRef>
              <c:f>[工作簿1]Sheet8!$C$2:$C$4</c:f>
              <c:numCache>
                <c:formatCode>General</c:formatCode>
                <c:ptCount val="3"/>
                <c:pt idx="0">
                  <c:v>5.47</c:v>
                </c:pt>
                <c:pt idx="1">
                  <c:v>5.1</c:v>
                </c:pt>
                <c:pt idx="2">
                  <c:v>0.37</c:v>
                </c:pt>
              </c:numCache>
            </c:numRef>
          </c:val>
        </c:ser>
        <c:dLbls>
          <c:showLegendKey val="0"/>
          <c:showVal val="0"/>
          <c:showCatName val="0"/>
          <c:showSerName val="0"/>
          <c:showPercent val="0"/>
          <c:showBubbleSize val="0"/>
        </c:dLbls>
        <c:gapWidth val="219"/>
        <c:overlap val="-27"/>
        <c:axId val="819178442"/>
        <c:axId val="351505049"/>
      </c:barChart>
      <c:catAx>
        <c:axId val="81917844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1505049"/>
        <c:crosses val="autoZero"/>
        <c:auto val="1"/>
        <c:lblAlgn val="ctr"/>
        <c:lblOffset val="100"/>
        <c:noMultiLvlLbl val="0"/>
      </c:catAx>
      <c:valAx>
        <c:axId val="35150504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917844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0948055555555556"/>
          <c:y val="0.22037037037037"/>
          <c:w val="0.901027777777778"/>
          <c:h val="0.711666666666667"/>
        </c:manualLayout>
      </c:layout>
      <c:barChart>
        <c:barDir val="col"/>
        <c:grouping val="clustered"/>
        <c:varyColors val="0"/>
        <c:ser>
          <c:idx val="0"/>
          <c:order val="0"/>
          <c:tx>
            <c:strRef>
              <c:f>[工作簿1]Sheet9!$A$2</c:f>
              <c:strCache>
                <c:ptCount val="1"/>
                <c:pt idx="0">
                  <c:v>本单位本年度会议费支出决算数（万元）</c:v>
                </c:pt>
              </c:strCache>
            </c:strRef>
          </c:tx>
          <c:spPr>
            <a:solidFill>
              <a:schemeClr val="accent1"/>
            </a:solidFill>
            <a:ln>
              <a:noFill/>
            </a:ln>
            <a:effectLst/>
          </c:spPr>
          <c:invertIfNegative val="0"/>
          <c:dLbls>
            <c:delete val="1"/>
          </c:dLbls>
          <c:cat>
            <c:strRef>
              <c:f>[工作簿1]Sheet9!$B$1:$D$1</c:f>
              <c:strCache>
                <c:ptCount val="3"/>
                <c:pt idx="0">
                  <c:v>2019</c:v>
                </c:pt>
                <c:pt idx="1">
                  <c:v>2020</c:v>
                </c:pt>
                <c:pt idx="2">
                  <c:v>人均</c:v>
                </c:pt>
              </c:strCache>
            </c:strRef>
          </c:cat>
          <c:val>
            <c:numRef>
              <c:f>[工作簿1]Sheet9!$B$2:$D$2</c:f>
              <c:numCache>
                <c:formatCode>General</c:formatCode>
                <c:ptCount val="3"/>
                <c:pt idx="0">
                  <c:v>0.8</c:v>
                </c:pt>
                <c:pt idx="1">
                  <c:v>0.4</c:v>
                </c:pt>
                <c:pt idx="2">
                  <c:v>0.05</c:v>
                </c:pt>
              </c:numCache>
            </c:numRef>
          </c:val>
        </c:ser>
        <c:dLbls>
          <c:showLegendKey val="0"/>
          <c:showVal val="0"/>
          <c:showCatName val="0"/>
          <c:showSerName val="0"/>
          <c:showPercent val="0"/>
          <c:showBubbleSize val="0"/>
        </c:dLbls>
        <c:gapWidth val="219"/>
        <c:overlap val="-27"/>
        <c:axId val="467372209"/>
        <c:axId val="832844232"/>
      </c:barChart>
      <c:catAx>
        <c:axId val="4673722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32844232"/>
        <c:crosses val="autoZero"/>
        <c:auto val="1"/>
        <c:lblAlgn val="ctr"/>
        <c:lblOffset val="100"/>
        <c:noMultiLvlLbl val="0"/>
      </c:catAx>
      <c:valAx>
        <c:axId val="8328442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737220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四川省财政厅</Company>
  <Pages>68</Pages>
  <Words>5268</Words>
  <Characters>30032</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WPS_1501412960</cp:lastModifiedBy>
  <cp:lastPrinted>2020-07-23T02:58:00Z</cp:lastPrinted>
  <dcterms:modified xsi:type="dcterms:W3CDTF">2021-12-05T08:11:40Z</dcterms:modified>
  <dc:title>四川省***</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0390A26456934960836FED8288CB7AD8</vt:lpwstr>
  </property>
</Properties>
</file>